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vsd" ContentType="application/vnd.visio"/>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26B541" w14:textId="781FA5EB" w:rsidR="003F61C1" w:rsidRPr="002F08D0" w:rsidRDefault="00BB5183" w:rsidP="002F08D0">
      <w:pPr>
        <w:pStyle w:val="Title"/>
        <w:rPr>
          <w:rFonts w:ascii="Arial" w:hAnsi="Arial" w:cs="Arial"/>
        </w:rPr>
      </w:pPr>
      <w:r w:rsidRPr="002F08D0">
        <w:rPr>
          <w:rFonts w:ascii="Arial" w:hAnsi="Arial" w:cs="Arial"/>
          <w:noProof/>
          <w:lang w:eastAsia="en-NZ"/>
        </w:rPr>
        <w:drawing>
          <wp:anchor distT="0" distB="0" distL="114300" distR="114300" simplePos="0" relativeHeight="251658240" behindDoc="1" locked="0" layoutInCell="1" allowOverlap="1" wp14:anchorId="2A82353D" wp14:editId="37B195AC">
            <wp:simplePos x="0" y="0"/>
            <wp:positionH relativeFrom="page">
              <wp:posOffset>8890</wp:posOffset>
            </wp:positionH>
            <wp:positionV relativeFrom="paragraph">
              <wp:posOffset>-970280</wp:posOffset>
            </wp:positionV>
            <wp:extent cx="7559674" cy="10690494"/>
            <wp:effectExtent l="0" t="0" r="3810" b="0"/>
            <wp:wrapNone/>
            <wp:docPr id="108063169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31694" name="Picture 3">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59674" cy="10690494"/>
                    </a:xfrm>
                    <a:prstGeom prst="rect">
                      <a:avLst/>
                    </a:prstGeom>
                  </pic:spPr>
                </pic:pic>
              </a:graphicData>
            </a:graphic>
            <wp14:sizeRelH relativeFrom="page">
              <wp14:pctWidth>0</wp14:pctWidth>
            </wp14:sizeRelH>
            <wp14:sizeRelV relativeFrom="page">
              <wp14:pctHeight>0</wp14:pctHeight>
            </wp14:sizeRelV>
          </wp:anchor>
        </w:drawing>
      </w:r>
      <w:r w:rsidR="003F61C1" w:rsidRPr="002F08D0">
        <w:rPr>
          <w:rFonts w:ascii="Arial" w:hAnsi="Arial" w:cs="Arial"/>
        </w:rPr>
        <w:t>Design Guidance Note</w:t>
      </w:r>
    </w:p>
    <w:p w14:paraId="38042DBE" w14:textId="1D64BFA1" w:rsidR="003F61C1" w:rsidRPr="00CA561F" w:rsidRDefault="003F61C1" w:rsidP="00CA561F">
      <w:pPr>
        <w:pStyle w:val="Subtitle"/>
        <w:spacing w:line="900" w:lineRule="exact"/>
        <w:rPr>
          <w:rFonts w:ascii="Arial" w:hAnsi="Arial" w:cs="Arial"/>
          <w:bCs/>
        </w:rPr>
      </w:pPr>
      <w:r w:rsidRPr="00CA561F">
        <w:rPr>
          <w:rFonts w:ascii="Arial" w:hAnsi="Arial" w:cs="Arial"/>
        </w:rPr>
        <w:t>Technical Guidelines for the Seismic and Structural Design of Hospital Buildings</w:t>
      </w:r>
      <w:r w:rsidR="007D4DEA" w:rsidRPr="007D4DEA">
        <w:rPr>
          <w:rFonts w:ascii="Arial" w:hAnsi="Arial" w:cs="Arial"/>
          <w:b w:val="0"/>
          <w:bCs/>
        </w:rPr>
        <w:t xml:space="preserve"> </w:t>
      </w:r>
      <w:r w:rsidR="007D4DEA" w:rsidRPr="007D4DEA">
        <w:rPr>
          <w:rFonts w:ascii="Arial" w:hAnsi="Arial" w:cs="Arial"/>
          <w:b w:val="0"/>
          <w:bCs/>
          <w:sz w:val="56"/>
          <w:szCs w:val="22"/>
        </w:rPr>
        <w:t>(</w:t>
      </w:r>
      <w:r w:rsidR="007D4DEA">
        <w:rPr>
          <w:rFonts w:ascii="Arial" w:hAnsi="Arial" w:cs="Arial"/>
          <w:b w:val="0"/>
          <w:bCs/>
          <w:sz w:val="56"/>
          <w:szCs w:val="22"/>
        </w:rPr>
        <w:t>v</w:t>
      </w:r>
      <w:r w:rsidR="007D4DEA" w:rsidRPr="007D4DEA">
        <w:rPr>
          <w:rFonts w:ascii="Arial" w:hAnsi="Arial" w:cs="Arial"/>
          <w:b w:val="0"/>
          <w:bCs/>
          <w:sz w:val="56"/>
          <w:szCs w:val="22"/>
        </w:rPr>
        <w:t>1)</w:t>
      </w:r>
    </w:p>
    <w:p w14:paraId="4B1F4990" w14:textId="6AC726F1" w:rsidR="00B959B2" w:rsidRPr="00CA561F" w:rsidRDefault="00905E05" w:rsidP="00666E06">
      <w:pPr>
        <w:pStyle w:val="Subtitle"/>
        <w:rPr>
          <w:rFonts w:ascii="Arial" w:hAnsi="Arial" w:cs="Arial"/>
          <w:b w:val="0"/>
          <w:bCs/>
        </w:rPr>
      </w:pPr>
      <w:r w:rsidRPr="00CA561F">
        <w:rPr>
          <w:rFonts w:ascii="Arial" w:hAnsi="Arial" w:cs="Arial"/>
          <w:b w:val="0"/>
          <w:bCs/>
        </w:rPr>
        <w:t>July 2025</w:t>
      </w:r>
      <w:r w:rsidR="005A6700" w:rsidRPr="00CA561F">
        <w:rPr>
          <w:rFonts w:ascii="Arial" w:hAnsi="Arial" w:cs="Arial"/>
          <w:b w:val="0"/>
          <w:bCs/>
        </w:rPr>
        <w:t xml:space="preserve"> </w:t>
      </w:r>
      <w:r w:rsidR="005A6700" w:rsidRPr="00CA561F">
        <w:rPr>
          <w:rFonts w:ascii="Arial" w:hAnsi="Arial" w:cs="Arial"/>
          <w:b w:val="0"/>
          <w:bCs/>
        </w:rPr>
        <w:tab/>
      </w:r>
      <w:r w:rsidR="005A6700" w:rsidRPr="00CA561F">
        <w:rPr>
          <w:rFonts w:ascii="Arial" w:hAnsi="Arial" w:cs="Arial"/>
          <w:b w:val="0"/>
          <w:bCs/>
        </w:rPr>
        <w:tab/>
      </w:r>
      <w:r w:rsidR="005A6700" w:rsidRPr="00CA561F">
        <w:rPr>
          <w:rFonts w:ascii="Arial" w:hAnsi="Arial" w:cs="Arial"/>
          <w:b w:val="0"/>
          <w:bCs/>
        </w:rPr>
        <w:tab/>
      </w:r>
    </w:p>
    <w:p w14:paraId="0B80ADB0" w14:textId="3FBA4D29" w:rsidR="00824878" w:rsidRDefault="00824878" w:rsidP="00666E06">
      <w:pPr>
        <w:pStyle w:val="EmphasisHeading"/>
      </w:pPr>
    </w:p>
    <w:p w14:paraId="61D2B9CE" w14:textId="1592F446" w:rsidR="00824878" w:rsidRDefault="00824878" w:rsidP="00666E06">
      <w:pPr>
        <w:pStyle w:val="EmphasisHeading"/>
      </w:pPr>
    </w:p>
    <w:p w14:paraId="0A2D9555" w14:textId="77777777" w:rsidR="00824878" w:rsidRDefault="00824878" w:rsidP="00666E06">
      <w:pPr>
        <w:pStyle w:val="EmphasisHeading"/>
        <w:sectPr w:rsidR="00824878" w:rsidSect="00781EE6">
          <w:headerReference w:type="default" r:id="rId14"/>
          <w:footerReference w:type="default" r:id="rId15"/>
          <w:footnotePr>
            <w:numRestart w:val="eachPage"/>
          </w:footnotePr>
          <w:pgSz w:w="11906" w:h="16838" w:code="187"/>
          <w:pgMar w:top="1560" w:right="1134" w:bottom="1701" w:left="1134" w:header="709" w:footer="709" w:gutter="0"/>
          <w:cols w:space="708"/>
          <w:titlePg/>
          <w:docGrid w:linePitch="360"/>
        </w:sectPr>
      </w:pPr>
    </w:p>
    <w:p w14:paraId="711D004B" w14:textId="37988C8E" w:rsidR="004C2E5B" w:rsidRPr="00567CE4" w:rsidRDefault="004C2E5B" w:rsidP="00666E06">
      <w:r w:rsidRPr="00567CE4">
        <w:lastRenderedPageBreak/>
        <w:t xml:space="preserve">Citation: </w:t>
      </w:r>
      <w:r w:rsidR="00117A09" w:rsidRPr="00567CE4">
        <w:t>H</w:t>
      </w:r>
      <w:r w:rsidR="00ED4008" w:rsidRPr="00567CE4">
        <w:t>ealth New Zealand</w:t>
      </w:r>
      <w:r w:rsidR="00117A09" w:rsidRPr="00567CE4">
        <w:t xml:space="preserve"> | Te Whatu Ora (</w:t>
      </w:r>
      <w:r w:rsidR="007D5C79" w:rsidRPr="00567CE4">
        <w:t>Health NZ</w:t>
      </w:r>
      <w:r w:rsidR="00117A09" w:rsidRPr="00567CE4">
        <w:t>)</w:t>
      </w:r>
      <w:r w:rsidRPr="00567CE4">
        <w:t xml:space="preserve"> </w:t>
      </w:r>
      <w:r w:rsidR="007163AB" w:rsidRPr="00567CE4">
        <w:t>202</w:t>
      </w:r>
      <w:r w:rsidR="00FD3A13" w:rsidRPr="00567CE4">
        <w:t>5</w:t>
      </w:r>
      <w:r w:rsidRPr="00567CE4">
        <w:t xml:space="preserve">. </w:t>
      </w:r>
      <w:r w:rsidR="00062C38" w:rsidRPr="00567CE4">
        <w:t>Design Guidance Note: Seismic Technical Guidelines for the Design of Hospital Buildings</w:t>
      </w:r>
      <w:r w:rsidR="00FD3A13" w:rsidRPr="00567CE4">
        <w:t xml:space="preserve">, </w:t>
      </w:r>
      <w:r w:rsidR="00366E11" w:rsidRPr="00567CE4">
        <w:t>v1</w:t>
      </w:r>
      <w:r w:rsidR="00FD3A13" w:rsidRPr="00567CE4">
        <w:t>.</w:t>
      </w:r>
      <w:r w:rsidRPr="00567CE4">
        <w:t xml:space="preserve"> Wellington: </w:t>
      </w:r>
      <w:r w:rsidR="007D5C79" w:rsidRPr="00567CE4">
        <w:t>Health NZ</w:t>
      </w:r>
      <w:r w:rsidR="00177862" w:rsidRPr="00567CE4">
        <w:t>.</w:t>
      </w:r>
    </w:p>
    <w:p w14:paraId="29BA45AF" w14:textId="77777777" w:rsidR="00932DD7" w:rsidRDefault="004C2E5B" w:rsidP="004B69D3">
      <w:r w:rsidRPr="00567CE4">
        <w:t xml:space="preserve">Published in </w:t>
      </w:r>
      <w:r w:rsidR="009343AD" w:rsidRPr="00567CE4">
        <w:t>Ju</w:t>
      </w:r>
      <w:r w:rsidR="00B92BF4">
        <w:t>ly</w:t>
      </w:r>
      <w:r w:rsidR="00FD3A13" w:rsidRPr="00567CE4">
        <w:t xml:space="preserve"> </w:t>
      </w:r>
      <w:r w:rsidR="00835562" w:rsidRPr="00567CE4">
        <w:t>202</w:t>
      </w:r>
      <w:r w:rsidR="00FD3A13" w:rsidRPr="00567CE4">
        <w:t>5</w:t>
      </w:r>
      <w:r w:rsidRPr="00567CE4">
        <w:t xml:space="preserve"> by </w:t>
      </w:r>
      <w:r w:rsidR="00B92BF4" w:rsidRPr="00567CE4">
        <w:t>Health New Zealand | Te Whatu Ora (Health NZ)</w:t>
      </w:r>
      <w:r w:rsidRPr="00567CE4">
        <w:br/>
        <w:t xml:space="preserve">PO Box </w:t>
      </w:r>
      <w:r w:rsidR="00B92BF4">
        <w:t>793</w:t>
      </w:r>
      <w:r w:rsidRPr="00567CE4">
        <w:t>, Wellington 6140, New Zealand</w:t>
      </w:r>
    </w:p>
    <w:p w14:paraId="0853171E" w14:textId="22BC37ED" w:rsidR="004B69D3" w:rsidRDefault="004B69D3" w:rsidP="004B69D3">
      <w:r>
        <w:t xml:space="preserve">ISBN </w:t>
      </w:r>
      <w:r w:rsidR="00C7760A" w:rsidRPr="00C7760A">
        <w:t>978-1-991139-43-6 (online)</w:t>
      </w:r>
    </w:p>
    <w:p w14:paraId="16AA14CC" w14:textId="15EC9760" w:rsidR="00A101E2" w:rsidRPr="00567CE4" w:rsidRDefault="00A101E2" w:rsidP="00666E06">
      <w:r>
        <w:rPr>
          <w:noProof/>
          <w:lang w:eastAsia="en-NZ"/>
        </w:rPr>
        <w:drawing>
          <wp:inline distT="0" distB="0" distL="0" distR="0" wp14:anchorId="3077F95F" wp14:editId="05A66D88">
            <wp:extent cx="1838325" cy="323850"/>
            <wp:effectExtent l="0" t="0" r="9525" b="0"/>
            <wp:docPr id="4" name="Picture 4" descr="Health New Zealand Te Whatu O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ealth New Zealand Te Whatu Ora log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8325" cy="323850"/>
                    </a:xfrm>
                    <a:prstGeom prst="rect">
                      <a:avLst/>
                    </a:prstGeom>
                    <a:noFill/>
                    <a:ln>
                      <a:noFill/>
                    </a:ln>
                  </pic:spPr>
                </pic:pic>
              </a:graphicData>
            </a:graphic>
          </wp:inline>
        </w:drawing>
      </w:r>
    </w:p>
    <w:p w14:paraId="7A41A20D" w14:textId="19AFDA84" w:rsidR="00B75F7F" w:rsidRPr="00567CE4" w:rsidRDefault="00B75F7F" w:rsidP="00666E06">
      <w:r w:rsidRPr="00567CE4">
        <w:t>This document is available at</w:t>
      </w:r>
      <w:r w:rsidR="00ED4008" w:rsidRPr="00567CE4">
        <w:t xml:space="preserve"> </w:t>
      </w:r>
      <w:hyperlink r:id="rId17" w:history="1">
        <w:r w:rsidR="00ED4008" w:rsidRPr="00567CE4">
          <w:rPr>
            <w:rStyle w:val="Hyperlink"/>
            <w:bCs/>
          </w:rPr>
          <w:t>tewhatuora.govt.nz</w:t>
        </w:r>
      </w:hyperlink>
      <w:r w:rsidRPr="00567CE4">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D7BB" w:themeFill="background1" w:themeFillShade="D9"/>
        <w:tblCellMar>
          <w:left w:w="0" w:type="dxa"/>
          <w:right w:w="0" w:type="dxa"/>
        </w:tblCellMar>
        <w:tblLook w:val="04A0" w:firstRow="1" w:lastRow="0" w:firstColumn="1" w:lastColumn="0" w:noHBand="0" w:noVBand="1"/>
      </w:tblPr>
      <w:tblGrid>
        <w:gridCol w:w="1696"/>
        <w:gridCol w:w="7932"/>
      </w:tblGrid>
      <w:tr w:rsidR="00B75F7F" w:rsidRPr="004C4241" w14:paraId="3572164C" w14:textId="77777777" w:rsidTr="00016482">
        <w:tc>
          <w:tcPr>
            <w:tcW w:w="1696" w:type="dxa"/>
            <w:vAlign w:val="center"/>
          </w:tcPr>
          <w:p w14:paraId="42F2CDF9" w14:textId="77777777" w:rsidR="00B75F7F" w:rsidRPr="004C4241" w:rsidRDefault="00B75F7F" w:rsidP="00666E06">
            <w:r w:rsidRPr="004C4241">
              <w:rPr>
                <w:noProof/>
                <w:lang w:eastAsia="en-NZ"/>
              </w:rPr>
              <w:drawing>
                <wp:inline distT="0" distB="0" distL="0" distR="0" wp14:anchorId="1A415004" wp14:editId="6FA9D32F">
                  <wp:extent cx="809625" cy="285750"/>
                  <wp:effectExtent l="0" t="0" r="9525" b="0"/>
                  <wp:docPr id="7" name="Picture 7"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tc>
        <w:tc>
          <w:tcPr>
            <w:tcW w:w="7932" w:type="dxa"/>
          </w:tcPr>
          <w:p w14:paraId="77D4B008" w14:textId="44081CEF" w:rsidR="00B75F7F" w:rsidRPr="004C4241" w:rsidRDefault="00B75F7F" w:rsidP="00666E06">
            <w:r w:rsidRPr="004C4241">
              <w:t xml:space="preserve">This work is licensed under the Creative Commons Attribution 4.0 International licence. In essence, you are free to: share </w:t>
            </w:r>
            <w:r w:rsidR="00D15110" w:rsidRPr="004C4241">
              <w:t>i.e.</w:t>
            </w:r>
            <w:r w:rsidRPr="004C4241">
              <w:t xml:space="preserve">, copy and redistribute the material in any medium or format; adapt </w:t>
            </w:r>
            <w:r w:rsidR="00D15110" w:rsidRPr="004C4241">
              <w:t>i.e.</w:t>
            </w:r>
            <w:r w:rsidRPr="004C4241">
              <w:t>, remix, transform and build upon the material. You must give appropriate credit, provide a link to the licence and indicate if changes were made.</w:t>
            </w:r>
          </w:p>
        </w:tc>
      </w:tr>
    </w:tbl>
    <w:p w14:paraId="1C006EF5" w14:textId="77777777" w:rsidR="00AD665E" w:rsidRDefault="00AD665E" w:rsidP="00666E06"/>
    <w:p w14:paraId="3BBF0CD7" w14:textId="78F2F726" w:rsidR="00AD665E" w:rsidRPr="0029296E" w:rsidRDefault="00AD665E" w:rsidP="00DC5A64">
      <w:pPr>
        <w:pStyle w:val="Heading2"/>
      </w:pPr>
      <w:bookmarkStart w:id="0" w:name="_Toc203641921"/>
      <w:r w:rsidRPr="0029296E">
        <w:t>Document Revision Record</w:t>
      </w:r>
      <w:bookmarkEnd w:id="0"/>
    </w:p>
    <w:tbl>
      <w:tblPr>
        <w:tblStyle w:val="GridTable4"/>
        <w:tblW w:w="9493" w:type="dxa"/>
        <w:tblLook w:val="0620" w:firstRow="1" w:lastRow="0" w:firstColumn="0" w:lastColumn="0" w:noHBand="1" w:noVBand="1"/>
      </w:tblPr>
      <w:tblGrid>
        <w:gridCol w:w="1413"/>
        <w:gridCol w:w="2268"/>
        <w:gridCol w:w="5812"/>
      </w:tblGrid>
      <w:tr w:rsidR="00B6651A" w:rsidRPr="00C31C8D" w14:paraId="184AF61F" w14:textId="77777777" w:rsidTr="002A3817">
        <w:trPr>
          <w:cnfStyle w:val="100000000000" w:firstRow="1" w:lastRow="0" w:firstColumn="0" w:lastColumn="0" w:oddVBand="0" w:evenVBand="0" w:oddHBand="0" w:evenHBand="0" w:firstRowFirstColumn="0" w:firstRowLastColumn="0" w:lastRowFirstColumn="0" w:lastRowLastColumn="0"/>
        </w:trPr>
        <w:tc>
          <w:tcPr>
            <w:tcW w:w="1413" w:type="dxa"/>
            <w:tcBorders>
              <w:top w:val="single" w:sz="12" w:space="0" w:color="003399" w:themeColor="accent2"/>
              <w:left w:val="nil"/>
              <w:bottom w:val="single" w:sz="12" w:space="0" w:color="003399" w:themeColor="accent2"/>
              <w:right w:val="single" w:sz="8" w:space="0" w:color="BFBFBF"/>
            </w:tcBorders>
            <w:shd w:val="clear" w:color="auto" w:fill="F6F4EC"/>
          </w:tcPr>
          <w:p w14:paraId="2B5C5811" w14:textId="77777777" w:rsidR="00AD665E" w:rsidRPr="00C31C8D" w:rsidRDefault="00AD665E" w:rsidP="006C5B15">
            <w:pPr>
              <w:pStyle w:val="Tableheading0"/>
              <w:rPr>
                <w:b/>
                <w:bCs/>
              </w:rPr>
            </w:pPr>
            <w:r w:rsidRPr="00C31C8D">
              <w:rPr>
                <w:b/>
                <w:bCs/>
              </w:rPr>
              <w:t>Revision</w:t>
            </w:r>
          </w:p>
        </w:tc>
        <w:tc>
          <w:tcPr>
            <w:tcW w:w="2268"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10AB545A" w14:textId="77777777" w:rsidR="00AD665E" w:rsidRPr="00C31C8D" w:rsidRDefault="00AD665E" w:rsidP="006C5B15">
            <w:pPr>
              <w:pStyle w:val="Tableheading0"/>
              <w:rPr>
                <w:b/>
                <w:bCs/>
              </w:rPr>
            </w:pPr>
            <w:r w:rsidRPr="00C31C8D">
              <w:rPr>
                <w:b/>
                <w:bCs/>
              </w:rPr>
              <w:t>Date of Release</w:t>
            </w:r>
          </w:p>
        </w:tc>
        <w:tc>
          <w:tcPr>
            <w:tcW w:w="5812" w:type="dxa"/>
            <w:tcBorders>
              <w:top w:val="single" w:sz="12" w:space="0" w:color="003399" w:themeColor="accent2"/>
              <w:left w:val="single" w:sz="8" w:space="0" w:color="BFBFBF"/>
              <w:bottom w:val="single" w:sz="12" w:space="0" w:color="003399" w:themeColor="accent2"/>
              <w:right w:val="nil"/>
            </w:tcBorders>
            <w:shd w:val="clear" w:color="auto" w:fill="F6F4EC"/>
          </w:tcPr>
          <w:p w14:paraId="17CFC1D0" w14:textId="77777777" w:rsidR="00AD665E" w:rsidRPr="00C31C8D" w:rsidRDefault="00AD665E" w:rsidP="006C5B15">
            <w:pPr>
              <w:pStyle w:val="Tableheading0"/>
              <w:rPr>
                <w:b/>
                <w:bCs/>
              </w:rPr>
            </w:pPr>
            <w:r w:rsidRPr="00C31C8D">
              <w:rPr>
                <w:b/>
                <w:bCs/>
              </w:rPr>
              <w:t>Reason for Revision</w:t>
            </w:r>
          </w:p>
        </w:tc>
      </w:tr>
      <w:tr w:rsidR="00AD665E" w:rsidRPr="00180399" w14:paraId="0B91A2CA" w14:textId="77777777" w:rsidTr="002A3817">
        <w:tc>
          <w:tcPr>
            <w:tcW w:w="1413" w:type="dxa"/>
            <w:tcBorders>
              <w:top w:val="single" w:sz="12" w:space="0" w:color="003399" w:themeColor="accent2"/>
              <w:left w:val="nil"/>
              <w:bottom w:val="single" w:sz="8" w:space="0" w:color="BFBFBF"/>
              <w:right w:val="single" w:sz="8" w:space="0" w:color="BFBFBF"/>
            </w:tcBorders>
          </w:tcPr>
          <w:p w14:paraId="0ED0C786" w14:textId="77777777" w:rsidR="00AD665E" w:rsidRPr="00180399" w:rsidRDefault="00AD665E" w:rsidP="00B6651A">
            <w:pPr>
              <w:pStyle w:val="Table1stcolumn"/>
            </w:pPr>
            <w:r w:rsidRPr="00180399">
              <w:t>0.1</w:t>
            </w:r>
          </w:p>
        </w:tc>
        <w:tc>
          <w:tcPr>
            <w:tcW w:w="2268" w:type="dxa"/>
            <w:tcBorders>
              <w:top w:val="single" w:sz="12" w:space="0" w:color="003399" w:themeColor="accent2"/>
              <w:left w:val="single" w:sz="8" w:space="0" w:color="BFBFBF"/>
              <w:bottom w:val="single" w:sz="8" w:space="0" w:color="BFBFBF"/>
              <w:right w:val="single" w:sz="8" w:space="0" w:color="BFBFBF"/>
            </w:tcBorders>
          </w:tcPr>
          <w:p w14:paraId="7A83255C" w14:textId="77777777" w:rsidR="00AD665E" w:rsidRPr="00B6651A" w:rsidRDefault="00AD665E" w:rsidP="00B6651A">
            <w:pPr>
              <w:pStyle w:val="TableText"/>
            </w:pPr>
            <w:r w:rsidRPr="00B6651A">
              <w:t>December 2023</w:t>
            </w:r>
          </w:p>
        </w:tc>
        <w:tc>
          <w:tcPr>
            <w:tcW w:w="5812" w:type="dxa"/>
            <w:tcBorders>
              <w:top w:val="single" w:sz="12" w:space="0" w:color="003399" w:themeColor="accent2"/>
              <w:left w:val="single" w:sz="8" w:space="0" w:color="BFBFBF"/>
              <w:bottom w:val="single" w:sz="8" w:space="0" w:color="BFBFBF"/>
              <w:right w:val="nil"/>
            </w:tcBorders>
          </w:tcPr>
          <w:p w14:paraId="143D37C8" w14:textId="77777777" w:rsidR="00AD665E" w:rsidRPr="00180399" w:rsidRDefault="00AD665E" w:rsidP="00B6651A">
            <w:pPr>
              <w:pStyle w:val="TableText"/>
            </w:pPr>
            <w:r w:rsidRPr="00180399">
              <w:t>DRAFT for HEAG Review</w:t>
            </w:r>
          </w:p>
        </w:tc>
      </w:tr>
      <w:tr w:rsidR="00AD665E" w:rsidRPr="00180399" w14:paraId="514E83ED" w14:textId="77777777" w:rsidTr="002A3817">
        <w:tc>
          <w:tcPr>
            <w:tcW w:w="1413" w:type="dxa"/>
            <w:tcBorders>
              <w:top w:val="single" w:sz="8" w:space="0" w:color="BFBFBF"/>
              <w:left w:val="nil"/>
              <w:bottom w:val="single" w:sz="8" w:space="0" w:color="BFBFBF"/>
              <w:right w:val="single" w:sz="8" w:space="0" w:color="BFBFBF"/>
            </w:tcBorders>
          </w:tcPr>
          <w:p w14:paraId="6D1EDC86" w14:textId="77777777" w:rsidR="00AD665E" w:rsidRPr="00180399" w:rsidRDefault="00AD665E" w:rsidP="00B6651A">
            <w:pPr>
              <w:pStyle w:val="Table1stcolumn"/>
            </w:pPr>
            <w:r w:rsidRPr="00180399">
              <w:t>0.2</w:t>
            </w:r>
          </w:p>
        </w:tc>
        <w:tc>
          <w:tcPr>
            <w:tcW w:w="2268" w:type="dxa"/>
            <w:tcBorders>
              <w:top w:val="single" w:sz="8" w:space="0" w:color="BFBFBF"/>
              <w:left w:val="single" w:sz="8" w:space="0" w:color="BFBFBF"/>
              <w:bottom w:val="single" w:sz="8" w:space="0" w:color="BFBFBF"/>
              <w:right w:val="single" w:sz="8" w:space="0" w:color="BFBFBF"/>
            </w:tcBorders>
          </w:tcPr>
          <w:p w14:paraId="53FEE2E9" w14:textId="1D6B7CFB" w:rsidR="00AD665E" w:rsidRPr="00180399" w:rsidRDefault="00AD665E" w:rsidP="00B6651A">
            <w:pPr>
              <w:pStyle w:val="TableText"/>
            </w:pPr>
            <w:r w:rsidRPr="00180399">
              <w:t>February 2024</w:t>
            </w:r>
          </w:p>
        </w:tc>
        <w:tc>
          <w:tcPr>
            <w:tcW w:w="5812" w:type="dxa"/>
            <w:tcBorders>
              <w:top w:val="single" w:sz="8" w:space="0" w:color="BFBFBF"/>
              <w:left w:val="single" w:sz="8" w:space="0" w:color="BFBFBF"/>
              <w:bottom w:val="single" w:sz="8" w:space="0" w:color="BFBFBF"/>
              <w:right w:val="nil"/>
            </w:tcBorders>
          </w:tcPr>
          <w:p w14:paraId="7453E393" w14:textId="085A00EC" w:rsidR="00AD665E" w:rsidRPr="00180399" w:rsidRDefault="00AD665E" w:rsidP="00B6651A">
            <w:pPr>
              <w:pStyle w:val="TableText"/>
            </w:pPr>
            <w:r w:rsidRPr="00180399">
              <w:t xml:space="preserve">DRAFT Interim Release for </w:t>
            </w:r>
            <w:r w:rsidR="007D5C79" w:rsidRPr="00180399">
              <w:t xml:space="preserve">Health NZ </w:t>
            </w:r>
            <w:r w:rsidRPr="00180399">
              <w:t>Review</w:t>
            </w:r>
          </w:p>
        </w:tc>
      </w:tr>
      <w:tr w:rsidR="00AD665E" w:rsidRPr="00180399" w14:paraId="1C6E63D9" w14:textId="77777777" w:rsidTr="002A3817">
        <w:tc>
          <w:tcPr>
            <w:tcW w:w="1413" w:type="dxa"/>
            <w:tcBorders>
              <w:top w:val="single" w:sz="8" w:space="0" w:color="BFBFBF"/>
              <w:left w:val="nil"/>
              <w:bottom w:val="single" w:sz="8" w:space="0" w:color="BFBFBF"/>
              <w:right w:val="single" w:sz="8" w:space="0" w:color="BFBFBF"/>
            </w:tcBorders>
          </w:tcPr>
          <w:p w14:paraId="4C27E8F3" w14:textId="77777777" w:rsidR="00AD665E" w:rsidRPr="00180399" w:rsidRDefault="00AD665E" w:rsidP="00B6651A">
            <w:pPr>
              <w:pStyle w:val="Table1stcolumn"/>
            </w:pPr>
            <w:r w:rsidRPr="00180399">
              <w:t>0.3</w:t>
            </w:r>
          </w:p>
        </w:tc>
        <w:tc>
          <w:tcPr>
            <w:tcW w:w="2268" w:type="dxa"/>
            <w:tcBorders>
              <w:top w:val="single" w:sz="8" w:space="0" w:color="BFBFBF"/>
              <w:left w:val="single" w:sz="8" w:space="0" w:color="BFBFBF"/>
              <w:bottom w:val="single" w:sz="8" w:space="0" w:color="BFBFBF"/>
              <w:right w:val="single" w:sz="8" w:space="0" w:color="BFBFBF"/>
            </w:tcBorders>
          </w:tcPr>
          <w:p w14:paraId="3220818D" w14:textId="77777777" w:rsidR="00AD665E" w:rsidRPr="00180399" w:rsidRDefault="00AD665E" w:rsidP="00B6651A">
            <w:pPr>
              <w:pStyle w:val="TableText"/>
            </w:pPr>
            <w:r w:rsidRPr="00180399">
              <w:t>Various WIP</w:t>
            </w:r>
          </w:p>
        </w:tc>
        <w:tc>
          <w:tcPr>
            <w:tcW w:w="5812" w:type="dxa"/>
            <w:tcBorders>
              <w:top w:val="single" w:sz="8" w:space="0" w:color="BFBFBF"/>
              <w:left w:val="single" w:sz="8" w:space="0" w:color="BFBFBF"/>
              <w:bottom w:val="single" w:sz="8" w:space="0" w:color="BFBFBF"/>
              <w:right w:val="nil"/>
            </w:tcBorders>
          </w:tcPr>
          <w:p w14:paraId="2416DECF" w14:textId="77777777" w:rsidR="00AD665E" w:rsidRPr="00180399" w:rsidRDefault="00AD665E" w:rsidP="00B6651A">
            <w:pPr>
              <w:pStyle w:val="TableText"/>
            </w:pPr>
            <w:r w:rsidRPr="00180399">
              <w:t>Working Drafts</w:t>
            </w:r>
          </w:p>
        </w:tc>
      </w:tr>
      <w:tr w:rsidR="00AD665E" w:rsidRPr="00180399" w14:paraId="6C014165" w14:textId="77777777" w:rsidTr="002A3817">
        <w:tc>
          <w:tcPr>
            <w:tcW w:w="1413" w:type="dxa"/>
            <w:tcBorders>
              <w:top w:val="single" w:sz="8" w:space="0" w:color="BFBFBF"/>
              <w:left w:val="nil"/>
              <w:bottom w:val="single" w:sz="8" w:space="0" w:color="BFBFBF"/>
              <w:right w:val="single" w:sz="8" w:space="0" w:color="BFBFBF"/>
            </w:tcBorders>
          </w:tcPr>
          <w:p w14:paraId="51F93B98" w14:textId="77777777" w:rsidR="00AD665E" w:rsidRPr="00180399" w:rsidRDefault="00AD665E" w:rsidP="00B6651A">
            <w:pPr>
              <w:pStyle w:val="Table1stcolumn"/>
            </w:pPr>
            <w:r w:rsidRPr="00180399">
              <w:t>0.4</w:t>
            </w:r>
          </w:p>
        </w:tc>
        <w:tc>
          <w:tcPr>
            <w:tcW w:w="2268" w:type="dxa"/>
            <w:tcBorders>
              <w:top w:val="single" w:sz="8" w:space="0" w:color="BFBFBF"/>
              <w:left w:val="single" w:sz="8" w:space="0" w:color="BFBFBF"/>
              <w:bottom w:val="single" w:sz="8" w:space="0" w:color="BFBFBF"/>
              <w:right w:val="single" w:sz="8" w:space="0" w:color="BFBFBF"/>
            </w:tcBorders>
          </w:tcPr>
          <w:p w14:paraId="61702629" w14:textId="77777777" w:rsidR="00AD665E" w:rsidRPr="00180399" w:rsidRDefault="00AD665E" w:rsidP="00B6651A">
            <w:pPr>
              <w:pStyle w:val="TableText"/>
            </w:pPr>
            <w:r w:rsidRPr="00180399">
              <w:t>June 2024</w:t>
            </w:r>
          </w:p>
        </w:tc>
        <w:tc>
          <w:tcPr>
            <w:tcW w:w="5812" w:type="dxa"/>
            <w:tcBorders>
              <w:top w:val="single" w:sz="8" w:space="0" w:color="BFBFBF"/>
              <w:left w:val="single" w:sz="8" w:space="0" w:color="BFBFBF"/>
              <w:bottom w:val="single" w:sz="8" w:space="0" w:color="BFBFBF"/>
              <w:right w:val="nil"/>
            </w:tcBorders>
          </w:tcPr>
          <w:p w14:paraId="2674DAF9" w14:textId="6C976DBE" w:rsidR="00AD665E" w:rsidRPr="00180399" w:rsidRDefault="00AD665E" w:rsidP="00B6651A">
            <w:pPr>
              <w:pStyle w:val="TableText"/>
            </w:pPr>
            <w:r w:rsidRPr="00180399">
              <w:t xml:space="preserve">DRAFT for </w:t>
            </w:r>
            <w:r w:rsidR="007D5C79" w:rsidRPr="00180399">
              <w:t xml:space="preserve">Health NZ </w:t>
            </w:r>
            <w:r w:rsidRPr="00180399">
              <w:t>Internal Review</w:t>
            </w:r>
          </w:p>
        </w:tc>
      </w:tr>
      <w:tr w:rsidR="00BB14B0" w:rsidRPr="00180399" w14:paraId="4BCBA12A" w14:textId="77777777" w:rsidTr="002A3817">
        <w:tc>
          <w:tcPr>
            <w:tcW w:w="1413" w:type="dxa"/>
            <w:tcBorders>
              <w:top w:val="single" w:sz="8" w:space="0" w:color="BFBFBF"/>
              <w:left w:val="nil"/>
              <w:bottom w:val="single" w:sz="8" w:space="0" w:color="BFBFBF"/>
              <w:right w:val="single" w:sz="8" w:space="0" w:color="BFBFBF"/>
            </w:tcBorders>
          </w:tcPr>
          <w:p w14:paraId="0736AFB7" w14:textId="49D741D7" w:rsidR="00BB14B0" w:rsidRPr="00180399" w:rsidRDefault="00BB14B0" w:rsidP="00B6651A">
            <w:pPr>
              <w:pStyle w:val="Table1stcolumn"/>
            </w:pPr>
            <w:r w:rsidRPr="00180399">
              <w:t>0.5</w:t>
            </w:r>
          </w:p>
        </w:tc>
        <w:tc>
          <w:tcPr>
            <w:tcW w:w="2268" w:type="dxa"/>
            <w:tcBorders>
              <w:top w:val="single" w:sz="8" w:space="0" w:color="BFBFBF"/>
              <w:left w:val="single" w:sz="8" w:space="0" w:color="BFBFBF"/>
              <w:bottom w:val="single" w:sz="8" w:space="0" w:color="BFBFBF"/>
              <w:right w:val="single" w:sz="8" w:space="0" w:color="BFBFBF"/>
            </w:tcBorders>
          </w:tcPr>
          <w:p w14:paraId="57FFA1DF" w14:textId="115CD156" w:rsidR="00BB14B0" w:rsidRPr="00180399" w:rsidRDefault="00BB14B0" w:rsidP="00B6651A">
            <w:pPr>
              <w:pStyle w:val="TableText"/>
            </w:pPr>
            <w:r w:rsidRPr="00180399">
              <w:t>August 2024</w:t>
            </w:r>
          </w:p>
        </w:tc>
        <w:tc>
          <w:tcPr>
            <w:tcW w:w="5812" w:type="dxa"/>
            <w:tcBorders>
              <w:top w:val="single" w:sz="8" w:space="0" w:color="BFBFBF"/>
              <w:left w:val="single" w:sz="8" w:space="0" w:color="BFBFBF"/>
              <w:bottom w:val="single" w:sz="8" w:space="0" w:color="BFBFBF"/>
              <w:right w:val="nil"/>
            </w:tcBorders>
          </w:tcPr>
          <w:p w14:paraId="04F1D02A" w14:textId="57F04F7D" w:rsidR="00BB14B0" w:rsidRPr="00180399" w:rsidRDefault="00BB14B0" w:rsidP="00B6651A">
            <w:pPr>
              <w:pStyle w:val="TableText"/>
            </w:pPr>
            <w:r w:rsidRPr="00180399">
              <w:t>DRAFT for Consultation</w:t>
            </w:r>
          </w:p>
        </w:tc>
      </w:tr>
      <w:tr w:rsidR="00BB14B0" w:rsidRPr="00180399" w14:paraId="2849650A" w14:textId="77777777" w:rsidTr="002A3817">
        <w:tc>
          <w:tcPr>
            <w:tcW w:w="1413" w:type="dxa"/>
            <w:tcBorders>
              <w:top w:val="single" w:sz="8" w:space="0" w:color="BFBFBF"/>
              <w:left w:val="nil"/>
              <w:bottom w:val="single" w:sz="8" w:space="0" w:color="BFBFBF"/>
              <w:right w:val="single" w:sz="8" w:space="0" w:color="BFBFBF"/>
            </w:tcBorders>
          </w:tcPr>
          <w:p w14:paraId="063DB960" w14:textId="3F6B9639" w:rsidR="00BB14B0" w:rsidRPr="00180399" w:rsidRDefault="00BB14B0" w:rsidP="00B6651A">
            <w:pPr>
              <w:pStyle w:val="Table1stcolumn"/>
            </w:pPr>
            <w:r w:rsidRPr="00180399">
              <w:t>0.6</w:t>
            </w:r>
          </w:p>
        </w:tc>
        <w:tc>
          <w:tcPr>
            <w:tcW w:w="2268" w:type="dxa"/>
            <w:tcBorders>
              <w:top w:val="single" w:sz="8" w:space="0" w:color="BFBFBF"/>
              <w:left w:val="single" w:sz="8" w:space="0" w:color="BFBFBF"/>
              <w:bottom w:val="single" w:sz="8" w:space="0" w:color="BFBFBF"/>
              <w:right w:val="single" w:sz="8" w:space="0" w:color="BFBFBF"/>
            </w:tcBorders>
          </w:tcPr>
          <w:p w14:paraId="08FD4DC1" w14:textId="1091828A" w:rsidR="00BB14B0" w:rsidRPr="00180399" w:rsidRDefault="004B773E" w:rsidP="00B6651A">
            <w:pPr>
              <w:pStyle w:val="TableText"/>
            </w:pPr>
            <w:r w:rsidRPr="00180399">
              <w:t xml:space="preserve">November </w:t>
            </w:r>
            <w:r w:rsidR="007B309D" w:rsidRPr="00180399">
              <w:t>2024</w:t>
            </w:r>
          </w:p>
        </w:tc>
        <w:tc>
          <w:tcPr>
            <w:tcW w:w="5812" w:type="dxa"/>
            <w:tcBorders>
              <w:top w:val="single" w:sz="8" w:space="0" w:color="BFBFBF"/>
              <w:left w:val="single" w:sz="8" w:space="0" w:color="BFBFBF"/>
              <w:bottom w:val="single" w:sz="8" w:space="0" w:color="BFBFBF"/>
              <w:right w:val="nil"/>
            </w:tcBorders>
          </w:tcPr>
          <w:p w14:paraId="789C893A" w14:textId="59702F7F" w:rsidR="00BB14B0" w:rsidRPr="00180399" w:rsidRDefault="00B63545" w:rsidP="00B6651A">
            <w:pPr>
              <w:pStyle w:val="TableText"/>
            </w:pPr>
            <w:r w:rsidRPr="00180399">
              <w:t>Post-Consulta</w:t>
            </w:r>
            <w:r w:rsidR="00A31C8F" w:rsidRPr="00180399">
              <w:t>tion</w:t>
            </w:r>
            <w:r w:rsidRPr="00180399">
              <w:t xml:space="preserve"> </w:t>
            </w:r>
            <w:r w:rsidR="00391973" w:rsidRPr="00180399">
              <w:t>DRAFT</w:t>
            </w:r>
          </w:p>
        </w:tc>
      </w:tr>
      <w:tr w:rsidR="0058407E" w:rsidRPr="00180399" w14:paraId="545F605D" w14:textId="77777777" w:rsidTr="002A3817">
        <w:tc>
          <w:tcPr>
            <w:tcW w:w="1413" w:type="dxa"/>
            <w:tcBorders>
              <w:top w:val="single" w:sz="8" w:space="0" w:color="BFBFBF"/>
              <w:left w:val="nil"/>
              <w:bottom w:val="single" w:sz="8" w:space="0" w:color="BFBFBF"/>
              <w:right w:val="single" w:sz="8" w:space="0" w:color="BFBFBF"/>
            </w:tcBorders>
          </w:tcPr>
          <w:p w14:paraId="1F404238" w14:textId="39D7A34A" w:rsidR="0058407E" w:rsidRPr="00180399" w:rsidRDefault="00BB7681" w:rsidP="00B6651A">
            <w:pPr>
              <w:pStyle w:val="Table1stcolumn"/>
            </w:pPr>
            <w:r w:rsidRPr="00180399">
              <w:t>0.7</w:t>
            </w:r>
          </w:p>
        </w:tc>
        <w:tc>
          <w:tcPr>
            <w:tcW w:w="2268" w:type="dxa"/>
            <w:tcBorders>
              <w:top w:val="single" w:sz="8" w:space="0" w:color="BFBFBF"/>
              <w:left w:val="single" w:sz="8" w:space="0" w:color="BFBFBF"/>
              <w:bottom w:val="single" w:sz="8" w:space="0" w:color="BFBFBF"/>
              <w:right w:val="single" w:sz="8" w:space="0" w:color="BFBFBF"/>
            </w:tcBorders>
          </w:tcPr>
          <w:p w14:paraId="7F3931A9" w14:textId="227E48CE" w:rsidR="0058407E" w:rsidRPr="00180399" w:rsidRDefault="007F3910" w:rsidP="00B6651A">
            <w:pPr>
              <w:pStyle w:val="TableText"/>
            </w:pPr>
            <w:r w:rsidRPr="00180399">
              <w:t>February</w:t>
            </w:r>
            <w:r w:rsidR="003931CF" w:rsidRPr="00180399">
              <w:t xml:space="preserve"> 2025</w:t>
            </w:r>
          </w:p>
        </w:tc>
        <w:tc>
          <w:tcPr>
            <w:tcW w:w="5812" w:type="dxa"/>
            <w:tcBorders>
              <w:top w:val="single" w:sz="8" w:space="0" w:color="BFBFBF"/>
              <w:left w:val="single" w:sz="8" w:space="0" w:color="BFBFBF"/>
              <w:bottom w:val="single" w:sz="8" w:space="0" w:color="BFBFBF"/>
              <w:right w:val="nil"/>
            </w:tcBorders>
          </w:tcPr>
          <w:p w14:paraId="50331FFF" w14:textId="7C706895" w:rsidR="0058407E" w:rsidRPr="00180399" w:rsidRDefault="00BB7681" w:rsidP="00B6651A">
            <w:pPr>
              <w:pStyle w:val="TableText"/>
            </w:pPr>
            <w:r w:rsidRPr="00180399">
              <w:t>Final draft for Commissioner approval</w:t>
            </w:r>
          </w:p>
        </w:tc>
      </w:tr>
      <w:tr w:rsidR="39E1FD1C" w:rsidRPr="00180399" w14:paraId="68A054EA" w14:textId="77777777" w:rsidTr="002A3817">
        <w:trPr>
          <w:trHeight w:val="300"/>
        </w:trPr>
        <w:tc>
          <w:tcPr>
            <w:tcW w:w="1413" w:type="dxa"/>
            <w:tcBorders>
              <w:top w:val="single" w:sz="8" w:space="0" w:color="BFBFBF"/>
              <w:left w:val="nil"/>
              <w:bottom w:val="single" w:sz="8" w:space="0" w:color="BFBFBF"/>
              <w:right w:val="single" w:sz="8" w:space="0" w:color="BFBFBF"/>
            </w:tcBorders>
          </w:tcPr>
          <w:p w14:paraId="6C5E1DF6" w14:textId="61765AF5" w:rsidR="5089D446" w:rsidRPr="00180399" w:rsidRDefault="5089D446" w:rsidP="00B6651A">
            <w:pPr>
              <w:pStyle w:val="Table1stcolumn"/>
            </w:pPr>
            <w:r w:rsidRPr="00180399">
              <w:t>0.8</w:t>
            </w:r>
          </w:p>
        </w:tc>
        <w:tc>
          <w:tcPr>
            <w:tcW w:w="2268" w:type="dxa"/>
            <w:tcBorders>
              <w:top w:val="single" w:sz="8" w:space="0" w:color="BFBFBF"/>
              <w:left w:val="single" w:sz="8" w:space="0" w:color="BFBFBF"/>
              <w:bottom w:val="single" w:sz="8" w:space="0" w:color="BFBFBF"/>
              <w:right w:val="single" w:sz="8" w:space="0" w:color="BFBFBF"/>
            </w:tcBorders>
          </w:tcPr>
          <w:p w14:paraId="58E7CA6C" w14:textId="6FADF159" w:rsidR="5089D446" w:rsidRPr="00180399" w:rsidRDefault="5089D446" w:rsidP="00B6651A">
            <w:pPr>
              <w:pStyle w:val="TableText"/>
            </w:pPr>
            <w:r w:rsidRPr="00180399">
              <w:t>June 2025</w:t>
            </w:r>
          </w:p>
        </w:tc>
        <w:tc>
          <w:tcPr>
            <w:tcW w:w="5812" w:type="dxa"/>
            <w:tcBorders>
              <w:top w:val="single" w:sz="8" w:space="0" w:color="BFBFBF"/>
              <w:left w:val="single" w:sz="8" w:space="0" w:color="BFBFBF"/>
              <w:bottom w:val="single" w:sz="8" w:space="0" w:color="BFBFBF"/>
              <w:right w:val="nil"/>
            </w:tcBorders>
          </w:tcPr>
          <w:p w14:paraId="73171B30" w14:textId="651DF944" w:rsidR="5089D446" w:rsidRPr="00180399" w:rsidRDefault="5089D446" w:rsidP="00B6651A">
            <w:pPr>
              <w:pStyle w:val="TableText"/>
            </w:pPr>
            <w:r w:rsidRPr="00180399">
              <w:t>Approved by Commissioner (26 June 2025)</w:t>
            </w:r>
          </w:p>
        </w:tc>
      </w:tr>
      <w:tr w:rsidR="003E746A" w:rsidRPr="00180399" w14:paraId="6FA0A864" w14:textId="77777777" w:rsidTr="002A3817">
        <w:tc>
          <w:tcPr>
            <w:tcW w:w="1413" w:type="dxa"/>
            <w:tcBorders>
              <w:top w:val="single" w:sz="8" w:space="0" w:color="BFBFBF"/>
              <w:left w:val="nil"/>
              <w:bottom w:val="nil"/>
              <w:right w:val="single" w:sz="8" w:space="0" w:color="BFBFBF"/>
            </w:tcBorders>
          </w:tcPr>
          <w:p w14:paraId="31D67409" w14:textId="78BD3879" w:rsidR="003E746A" w:rsidRPr="00180399" w:rsidRDefault="003E746A" w:rsidP="00B6651A">
            <w:pPr>
              <w:pStyle w:val="Table1stcolumn"/>
            </w:pPr>
            <w:r w:rsidRPr="00180399">
              <w:t>1</w:t>
            </w:r>
          </w:p>
        </w:tc>
        <w:tc>
          <w:tcPr>
            <w:tcW w:w="2268" w:type="dxa"/>
            <w:tcBorders>
              <w:top w:val="single" w:sz="8" w:space="0" w:color="BFBFBF"/>
              <w:left w:val="single" w:sz="8" w:space="0" w:color="BFBFBF"/>
              <w:bottom w:val="nil"/>
              <w:right w:val="single" w:sz="8" w:space="0" w:color="BFBFBF"/>
            </w:tcBorders>
          </w:tcPr>
          <w:p w14:paraId="0B2E438E" w14:textId="3D06A9A9" w:rsidR="003E746A" w:rsidRPr="00180399" w:rsidRDefault="0061381F" w:rsidP="00B6651A">
            <w:pPr>
              <w:pStyle w:val="TableText"/>
            </w:pPr>
            <w:r w:rsidRPr="00180399">
              <w:t>Ju</w:t>
            </w:r>
            <w:r w:rsidR="10DFE369" w:rsidRPr="00180399">
              <w:t>ly</w:t>
            </w:r>
            <w:r w:rsidR="006A574E" w:rsidRPr="00180399">
              <w:t xml:space="preserve"> 2025</w:t>
            </w:r>
          </w:p>
        </w:tc>
        <w:tc>
          <w:tcPr>
            <w:tcW w:w="5812" w:type="dxa"/>
            <w:tcBorders>
              <w:top w:val="single" w:sz="8" w:space="0" w:color="BFBFBF"/>
              <w:left w:val="single" w:sz="8" w:space="0" w:color="BFBFBF"/>
              <w:bottom w:val="nil"/>
              <w:right w:val="nil"/>
            </w:tcBorders>
          </w:tcPr>
          <w:p w14:paraId="08E2609A" w14:textId="08C7919F" w:rsidR="003E746A" w:rsidRPr="00180399" w:rsidRDefault="004255D5" w:rsidP="00B6651A">
            <w:pPr>
              <w:pStyle w:val="TableText"/>
            </w:pPr>
            <w:r w:rsidRPr="00180399">
              <w:t>Approved and Operative Version</w:t>
            </w:r>
          </w:p>
        </w:tc>
      </w:tr>
    </w:tbl>
    <w:p w14:paraId="5DF2B427" w14:textId="77777777" w:rsidR="00AD665E" w:rsidRDefault="00AD665E" w:rsidP="00666E06"/>
    <w:p w14:paraId="169F795C" w14:textId="46059597" w:rsidR="00AD665E" w:rsidRPr="002E749F" w:rsidRDefault="7DA920C7" w:rsidP="00DC5A64">
      <w:pPr>
        <w:pStyle w:val="Heading2"/>
      </w:pPr>
      <w:bookmarkStart w:id="1" w:name="_Toc203641922"/>
      <w:r w:rsidRPr="002E749F">
        <w:t>Disclaimer</w:t>
      </w:r>
      <w:bookmarkEnd w:id="1"/>
    </w:p>
    <w:p w14:paraId="74CE30F5" w14:textId="27C28987" w:rsidR="00630DE1" w:rsidRPr="0029296E" w:rsidRDefault="00C31C8D" w:rsidP="00666E06">
      <w:r w:rsidRPr="00567CE4">
        <w:t xml:space="preserve">Health New Zealand | Te Whatu Ora (Health NZ) </w:t>
      </w:r>
      <w:r w:rsidR="2B55BFEB" w:rsidRPr="0029296E">
        <w:t>does not warrant the accuracy of the guidance note or assume any liability to any third party arising from adherence to, or any use of, the guidance note.   Use of the guidance note by any designer, engineer or any other third party does not release or waive the obligations of that designer, engineer or other third party to comply with (a) their contractual obligations to Health NZ or any other party, (b) applicable legislative and regulatory requirements (including the New Zealand Building Code), or (c) applicable codes, guidelines, standards or professional codes/duties.  Designers, engineers and other third parties are expected to exercise their own professional and expert judgement in performing their work for Health NZ.</w:t>
      </w:r>
    </w:p>
    <w:p w14:paraId="25390E8F" w14:textId="77777777" w:rsidR="004C2E5B" w:rsidRPr="00155C3B" w:rsidRDefault="004C2E5B" w:rsidP="00155C3B">
      <w:pPr>
        <w:pStyle w:val="Heading1"/>
      </w:pPr>
      <w:bookmarkStart w:id="2" w:name="_Ref149485033"/>
      <w:bookmarkStart w:id="3" w:name="_Toc203641923"/>
      <w:r w:rsidRPr="00155C3B">
        <w:lastRenderedPageBreak/>
        <w:t>Foreword</w:t>
      </w:r>
      <w:bookmarkEnd w:id="2"/>
      <w:bookmarkEnd w:id="3"/>
    </w:p>
    <w:p w14:paraId="472C97E4" w14:textId="106B46CA" w:rsidR="16016AB7" w:rsidRPr="00666E06" w:rsidRDefault="007D5C79" w:rsidP="00666E06">
      <w:r w:rsidRPr="00666E06">
        <w:t>Health NZ</w:t>
      </w:r>
      <w:r w:rsidR="004C464F" w:rsidRPr="00666E06">
        <w:t xml:space="preserve"> </w:t>
      </w:r>
      <w:r w:rsidR="16016AB7" w:rsidRPr="00666E06">
        <w:t xml:space="preserve">is building the foundations of a new health system. Delivering a unified, sustainable health system includes: </w:t>
      </w:r>
    </w:p>
    <w:p w14:paraId="488A3DD0" w14:textId="6C754481" w:rsidR="16016AB7" w:rsidRPr="00CA561F" w:rsidRDefault="16016AB7" w:rsidP="00CA561F">
      <w:pPr>
        <w:pStyle w:val="ListBullet"/>
      </w:pPr>
      <w:r w:rsidRPr="00CA561F">
        <w:t xml:space="preserve">Delivering equity for all, </w:t>
      </w:r>
    </w:p>
    <w:p w14:paraId="4A08ED71" w14:textId="54C326E7" w:rsidR="16016AB7" w:rsidRPr="00CA561F" w:rsidRDefault="16016AB7" w:rsidP="00CA561F">
      <w:pPr>
        <w:pStyle w:val="ListBullet"/>
      </w:pPr>
      <w:r w:rsidRPr="00CA561F">
        <w:t xml:space="preserve">Embedding Te Tiriti, </w:t>
      </w:r>
    </w:p>
    <w:p w14:paraId="57E750E1" w14:textId="62D1CA7F" w:rsidR="16016AB7" w:rsidRPr="00CA561F" w:rsidRDefault="16016AB7" w:rsidP="00CA561F">
      <w:pPr>
        <w:pStyle w:val="ListBullet"/>
      </w:pPr>
      <w:r w:rsidRPr="00CA561F">
        <w:t xml:space="preserve">Implementing a population health approach, and </w:t>
      </w:r>
    </w:p>
    <w:p w14:paraId="12008F10" w14:textId="6C670B3B" w:rsidR="16016AB7" w:rsidRPr="00CA561F" w:rsidRDefault="16016AB7" w:rsidP="00CA561F">
      <w:pPr>
        <w:pStyle w:val="ListBullet"/>
      </w:pPr>
      <w:r w:rsidRPr="00CA561F">
        <w:t xml:space="preserve">Ensuring sustainability of the health system. </w:t>
      </w:r>
    </w:p>
    <w:p w14:paraId="6A544A4F" w14:textId="3D0531A2" w:rsidR="16016AB7" w:rsidRPr="008A3656" w:rsidRDefault="16016AB7" w:rsidP="00666E06">
      <w:r w:rsidRPr="008A3656">
        <w:t>Nationally consistent design guidance supports fit-for-purpose facility development and provides clear and consistent design expectations</w:t>
      </w:r>
      <w:r w:rsidR="00A43953">
        <w:t xml:space="preserve">. </w:t>
      </w:r>
      <w:r w:rsidRPr="008A3656">
        <w:t xml:space="preserve">This will streamline development processes and reduce the risk of time and cost overruns. </w:t>
      </w:r>
    </w:p>
    <w:p w14:paraId="2CE101AB" w14:textId="6CDF4835" w:rsidR="16016AB7" w:rsidRPr="008A3656" w:rsidRDefault="16016AB7" w:rsidP="00666E06">
      <w:r w:rsidRPr="008A3656">
        <w:t xml:space="preserve">Providing nationally consistent design guidance </w:t>
      </w:r>
      <w:r w:rsidR="008A0F00" w:rsidRPr="008A3656">
        <w:t>which draws upon</w:t>
      </w:r>
      <w:r w:rsidRPr="008A3656">
        <w:t xml:space="preserve"> the wealth of expertise that exists across New Zealand, </w:t>
      </w:r>
      <w:r w:rsidR="00967A17" w:rsidRPr="008A3656">
        <w:t xml:space="preserve">and </w:t>
      </w:r>
      <w:r w:rsidRPr="008A3656">
        <w:t>guidance that is genuinely informed by the principles of Te Tiriti o Waitangi, will deliver buildings that promote equitable access</w:t>
      </w:r>
      <w:r w:rsidR="00B16F7B" w:rsidRPr="008A3656">
        <w:t xml:space="preserve"> and </w:t>
      </w:r>
      <w:r w:rsidRPr="008A3656">
        <w:t>respond to the social, cultural and physical needs of all New Zealanders.</w:t>
      </w:r>
    </w:p>
    <w:p w14:paraId="53E2B038" w14:textId="0979069D" w:rsidR="0014372C" w:rsidRDefault="0014372C" w:rsidP="00666E06">
      <w:r w:rsidRPr="008A3656">
        <w:t>This technical guidance is a key document for design teams to follow for all hospital building projects, irrespective of size. It is given effect to by the Health New Zealand Seismic Policy, which requires the seismic performance objective</w:t>
      </w:r>
      <w:r w:rsidR="00726E48">
        <w:t>s</w:t>
      </w:r>
      <w:r w:rsidRPr="008A3656">
        <w:t xml:space="preserve"> and criteria in this document to be followed for the design of new buildings and the upgrading of existing buildings.</w:t>
      </w:r>
    </w:p>
    <w:p w14:paraId="52B92033" w14:textId="45C49EBE" w:rsidR="004C2E5B" w:rsidRPr="00F01A61" w:rsidRDefault="00263A35" w:rsidP="00DC5A64">
      <w:pPr>
        <w:pStyle w:val="Heading2"/>
      </w:pPr>
      <w:bookmarkStart w:id="4" w:name="_Toc203641924"/>
      <w:r w:rsidRPr="00F01A61">
        <w:t>Acknowledgements</w:t>
      </w:r>
      <w:bookmarkEnd w:id="4"/>
    </w:p>
    <w:p w14:paraId="21ABCC47" w14:textId="7E87777D" w:rsidR="00EF22C4" w:rsidRPr="008A3656" w:rsidRDefault="007D5C79" w:rsidP="00666E06">
      <w:pPr>
        <w:pStyle w:val="EmphasisHeading"/>
      </w:pPr>
      <w:r>
        <w:t xml:space="preserve">Health NZ </w:t>
      </w:r>
      <w:r w:rsidR="00EF22C4" w:rsidRPr="008A3656">
        <w:t>Health Engineering Advisory Group</w:t>
      </w:r>
    </w:p>
    <w:p w14:paraId="509C61FE" w14:textId="5A707D6F" w:rsidR="00C3191C" w:rsidRPr="008A3656" w:rsidRDefault="00EF22C4" w:rsidP="00C301F2">
      <w:pPr>
        <w:pStyle w:val="ListBullet"/>
      </w:pPr>
      <w:r w:rsidRPr="008A3656">
        <w:t>Andy Thompson (Holmes)</w:t>
      </w:r>
    </w:p>
    <w:p w14:paraId="2220DA27" w14:textId="77777777" w:rsidR="00C3191C" w:rsidRPr="008A3656" w:rsidRDefault="00EF22C4" w:rsidP="00C301F2">
      <w:pPr>
        <w:pStyle w:val="ListBullet"/>
      </w:pPr>
      <w:r w:rsidRPr="008A3656">
        <w:t>Jared Keen (Beca)</w:t>
      </w:r>
    </w:p>
    <w:p w14:paraId="7F2147E1" w14:textId="77777777" w:rsidR="00C3191C" w:rsidRPr="008A3656" w:rsidRDefault="00EF22C4" w:rsidP="00C301F2">
      <w:pPr>
        <w:pStyle w:val="ListBullet"/>
      </w:pPr>
      <w:r w:rsidRPr="008A3656">
        <w:t>Michelle Grant (LGE Consulting)</w:t>
      </w:r>
    </w:p>
    <w:p w14:paraId="40B35530" w14:textId="77777777" w:rsidR="00C3191C" w:rsidRPr="008A3656" w:rsidRDefault="00EF22C4" w:rsidP="00C301F2">
      <w:pPr>
        <w:pStyle w:val="ListBullet"/>
      </w:pPr>
      <w:r w:rsidRPr="008A3656">
        <w:t>Dave Brunsdon (Kestrel Group)</w:t>
      </w:r>
    </w:p>
    <w:p w14:paraId="4E66A387" w14:textId="77777777" w:rsidR="003B14BD" w:rsidRPr="008A3656" w:rsidRDefault="00EF22C4" w:rsidP="00C301F2">
      <w:pPr>
        <w:pStyle w:val="ListBullet"/>
      </w:pPr>
      <w:r w:rsidRPr="008A3656">
        <w:t>Ignatius Black (Silvester Clark)</w:t>
      </w:r>
    </w:p>
    <w:p w14:paraId="6C73A9CC" w14:textId="77777777" w:rsidR="003B14BD" w:rsidRPr="008A3656" w:rsidRDefault="00EF22C4" w:rsidP="00C301F2">
      <w:pPr>
        <w:pStyle w:val="ListBullet"/>
      </w:pPr>
      <w:r w:rsidRPr="008A3656">
        <w:t>Paul Campbell (WSP)</w:t>
      </w:r>
    </w:p>
    <w:p w14:paraId="71447DB5" w14:textId="77777777" w:rsidR="003B14BD" w:rsidRPr="008A3656" w:rsidRDefault="00EF22C4" w:rsidP="00C301F2">
      <w:pPr>
        <w:pStyle w:val="ListBullet"/>
      </w:pPr>
      <w:r w:rsidRPr="008A3656">
        <w:t>Jan Stanway (WSP)</w:t>
      </w:r>
    </w:p>
    <w:p w14:paraId="412E19A8" w14:textId="77777777" w:rsidR="003B14BD" w:rsidRPr="008A3656" w:rsidRDefault="00EF22C4" w:rsidP="00C301F2">
      <w:pPr>
        <w:pStyle w:val="ListBullet"/>
      </w:pPr>
      <w:r w:rsidRPr="008A3656">
        <w:t>Craig Stevenson (Aurecon)</w:t>
      </w:r>
    </w:p>
    <w:p w14:paraId="25D53619" w14:textId="77777777" w:rsidR="003B14BD" w:rsidRPr="008A3656" w:rsidRDefault="00EF22C4" w:rsidP="00C301F2">
      <w:pPr>
        <w:pStyle w:val="ListBullet"/>
      </w:pPr>
      <w:r w:rsidRPr="008A3656">
        <w:t>Nick Traylen (Geotech Consulting)</w:t>
      </w:r>
    </w:p>
    <w:p w14:paraId="230CE54A" w14:textId="76DA0A97" w:rsidR="00EF22C4" w:rsidRPr="008A3656" w:rsidRDefault="00EF22C4" w:rsidP="00C301F2">
      <w:pPr>
        <w:pStyle w:val="ListBullet"/>
      </w:pPr>
      <w:r w:rsidRPr="008A3656">
        <w:t>Rick Wentz (Wentz Pacific)</w:t>
      </w:r>
    </w:p>
    <w:p w14:paraId="40C4FD88" w14:textId="77777777" w:rsidR="00EF22C4" w:rsidRPr="008A3656" w:rsidRDefault="00EF22C4" w:rsidP="00666E06">
      <w:pPr>
        <w:pStyle w:val="EmphasisHeading"/>
      </w:pPr>
      <w:r w:rsidRPr="008A3656">
        <w:t>Review Input</w:t>
      </w:r>
    </w:p>
    <w:p w14:paraId="603F2657" w14:textId="37E0A95B" w:rsidR="00EF22C4" w:rsidRPr="008A3656" w:rsidRDefault="00EF22C4" w:rsidP="00C301F2">
      <w:pPr>
        <w:pStyle w:val="ListBullet"/>
      </w:pPr>
      <w:r w:rsidRPr="008A3656">
        <w:t>Mike Stannard (Kestrel Group)</w:t>
      </w:r>
    </w:p>
    <w:p w14:paraId="71AED2EF" w14:textId="2DFFFAE3" w:rsidR="00EF22C4" w:rsidRPr="008A3656" w:rsidRDefault="007D5C79" w:rsidP="00666E06">
      <w:pPr>
        <w:pStyle w:val="EmphasisHeading"/>
      </w:pPr>
      <w:r>
        <w:t>Health NZ</w:t>
      </w:r>
      <w:r w:rsidR="00181FE1">
        <w:t xml:space="preserve"> </w:t>
      </w:r>
      <w:r w:rsidR="00EF22C4" w:rsidRPr="008A3656">
        <w:t>Infrastructure and Investment Group</w:t>
      </w:r>
    </w:p>
    <w:p w14:paraId="24204F45" w14:textId="3CD67B56" w:rsidR="00D53626" w:rsidRDefault="00EF22C4" w:rsidP="00C301F2">
      <w:pPr>
        <w:pStyle w:val="ListBullet"/>
      </w:pPr>
      <w:r w:rsidRPr="008A3656">
        <w:t>Monique Fouwler, Stacey Marsh, Todd Collings and Lisa Moon</w:t>
      </w:r>
      <w:r w:rsidR="00D53626" w:rsidRPr="008A3656">
        <w:br w:type="page"/>
      </w:r>
    </w:p>
    <w:sdt>
      <w:sdtPr>
        <w:rPr>
          <w:rFonts w:asciiTheme="minorHAnsi" w:eastAsiaTheme="minorEastAsia" w:hAnsiTheme="minorHAnsi" w:cstheme="minorBidi"/>
          <w:b w:val="0"/>
          <w:color w:val="auto"/>
          <w:sz w:val="24"/>
          <w:szCs w:val="24"/>
        </w:rPr>
        <w:id w:val="-1875375867"/>
        <w:docPartObj>
          <w:docPartGallery w:val="Table of Contents"/>
          <w:docPartUnique/>
        </w:docPartObj>
      </w:sdtPr>
      <w:sdtEndPr>
        <w:rPr>
          <w:rFonts w:ascii="Arial" w:eastAsiaTheme="minorHAnsi" w:hAnsi="Arial" w:cstheme="majorBidi"/>
          <w:noProof/>
        </w:rPr>
      </w:sdtEndPr>
      <w:sdtContent>
        <w:p w14:paraId="3FC4AC96" w14:textId="77777777" w:rsidR="009D3E72" w:rsidRPr="007369C5" w:rsidRDefault="009D3E72" w:rsidP="009D3E72">
          <w:pPr>
            <w:pStyle w:val="TOCHeading"/>
            <w:spacing w:before="0" w:after="0"/>
            <w:rPr>
              <w:rFonts w:ascii="Arial" w:hAnsi="Arial" w:cs="Arial"/>
              <w:sz w:val="52"/>
              <w:szCs w:val="52"/>
            </w:rPr>
          </w:pPr>
          <w:r w:rsidRPr="007369C5">
            <w:rPr>
              <w:rFonts w:ascii="Arial" w:hAnsi="Arial" w:cs="Arial"/>
              <w:sz w:val="52"/>
              <w:szCs w:val="52"/>
            </w:rPr>
            <w:t>Contents</w:t>
          </w:r>
        </w:p>
        <w:p w14:paraId="076ABEBA" w14:textId="199CD7AD" w:rsidR="008338B6" w:rsidRDefault="004C0AC8">
          <w:pPr>
            <w:pStyle w:val="TOC2"/>
            <w:rPr>
              <w:rFonts w:asciiTheme="minorHAnsi" w:eastAsiaTheme="minorEastAsia" w:hAnsiTheme="minorHAnsi"/>
              <w:noProof/>
              <w:kern w:val="2"/>
              <w:lang w:eastAsia="en-NZ"/>
              <w14:ligatures w14:val="standardContextual"/>
            </w:rPr>
          </w:pPr>
          <w:r>
            <w:rPr>
              <w:rFonts w:asciiTheme="majorHAnsi" w:hAnsiTheme="majorHAnsi" w:cstheme="majorHAnsi"/>
              <w:b/>
            </w:rPr>
            <w:fldChar w:fldCharType="begin"/>
          </w:r>
          <w:r>
            <w:rPr>
              <w:rFonts w:asciiTheme="majorHAnsi" w:hAnsiTheme="majorHAnsi" w:cstheme="majorHAnsi"/>
              <w:b/>
            </w:rPr>
            <w:instrText xml:space="preserve"> TOC \o "1-1" \h \z \t "Heading 2,2,Numbered Heading 2,2,Appendix Heading 2,2,Divider heading,1,A1.1 Numb Heading 2,2,Numb Heading 2,2,Section 2 Heading 2,2,Section 3 heading 2,2,Section 6 Heading 2,2" </w:instrText>
          </w:r>
          <w:r>
            <w:rPr>
              <w:rFonts w:asciiTheme="majorHAnsi" w:hAnsiTheme="majorHAnsi" w:cstheme="majorHAnsi"/>
              <w:b/>
            </w:rPr>
            <w:fldChar w:fldCharType="separate"/>
          </w:r>
          <w:hyperlink w:anchor="_Toc203641921" w:history="1">
            <w:r w:rsidR="008338B6" w:rsidRPr="006C11D8">
              <w:rPr>
                <w:rStyle w:val="Hyperlink"/>
                <w:noProof/>
              </w:rPr>
              <w:t>Document Revision Record</w:t>
            </w:r>
            <w:r w:rsidR="008338B6">
              <w:rPr>
                <w:noProof/>
                <w:webHidden/>
              </w:rPr>
              <w:tab/>
            </w:r>
            <w:r w:rsidR="008338B6">
              <w:rPr>
                <w:noProof/>
                <w:webHidden/>
              </w:rPr>
              <w:fldChar w:fldCharType="begin"/>
            </w:r>
            <w:r w:rsidR="008338B6">
              <w:rPr>
                <w:noProof/>
                <w:webHidden/>
              </w:rPr>
              <w:instrText xml:space="preserve"> PAGEREF _Toc203641921 \h </w:instrText>
            </w:r>
            <w:r w:rsidR="008338B6">
              <w:rPr>
                <w:noProof/>
                <w:webHidden/>
              </w:rPr>
            </w:r>
            <w:r w:rsidR="008338B6">
              <w:rPr>
                <w:noProof/>
                <w:webHidden/>
              </w:rPr>
              <w:fldChar w:fldCharType="separate"/>
            </w:r>
            <w:r w:rsidR="008338B6">
              <w:rPr>
                <w:noProof/>
                <w:webHidden/>
              </w:rPr>
              <w:t>2</w:t>
            </w:r>
            <w:r w:rsidR="008338B6">
              <w:rPr>
                <w:noProof/>
                <w:webHidden/>
              </w:rPr>
              <w:fldChar w:fldCharType="end"/>
            </w:r>
          </w:hyperlink>
        </w:p>
        <w:p w14:paraId="2523A184" w14:textId="07E3013C" w:rsidR="008338B6" w:rsidRDefault="008338B6">
          <w:pPr>
            <w:pStyle w:val="TOC2"/>
            <w:rPr>
              <w:rFonts w:asciiTheme="minorHAnsi" w:eastAsiaTheme="minorEastAsia" w:hAnsiTheme="minorHAnsi"/>
              <w:noProof/>
              <w:kern w:val="2"/>
              <w:lang w:eastAsia="en-NZ"/>
              <w14:ligatures w14:val="standardContextual"/>
            </w:rPr>
          </w:pPr>
          <w:hyperlink w:anchor="_Toc203641922" w:history="1">
            <w:r w:rsidRPr="006C11D8">
              <w:rPr>
                <w:rStyle w:val="Hyperlink"/>
                <w:noProof/>
              </w:rPr>
              <w:t>Disclaimer</w:t>
            </w:r>
            <w:r>
              <w:rPr>
                <w:noProof/>
                <w:webHidden/>
              </w:rPr>
              <w:tab/>
            </w:r>
            <w:r>
              <w:rPr>
                <w:noProof/>
                <w:webHidden/>
              </w:rPr>
              <w:fldChar w:fldCharType="begin"/>
            </w:r>
            <w:r>
              <w:rPr>
                <w:noProof/>
                <w:webHidden/>
              </w:rPr>
              <w:instrText xml:space="preserve"> PAGEREF _Toc203641922 \h </w:instrText>
            </w:r>
            <w:r>
              <w:rPr>
                <w:noProof/>
                <w:webHidden/>
              </w:rPr>
            </w:r>
            <w:r>
              <w:rPr>
                <w:noProof/>
                <w:webHidden/>
              </w:rPr>
              <w:fldChar w:fldCharType="separate"/>
            </w:r>
            <w:r>
              <w:rPr>
                <w:noProof/>
                <w:webHidden/>
              </w:rPr>
              <w:t>2</w:t>
            </w:r>
            <w:r>
              <w:rPr>
                <w:noProof/>
                <w:webHidden/>
              </w:rPr>
              <w:fldChar w:fldCharType="end"/>
            </w:r>
          </w:hyperlink>
        </w:p>
        <w:p w14:paraId="62F8046A" w14:textId="34D806D7" w:rsidR="008338B6" w:rsidRDefault="008338B6">
          <w:pPr>
            <w:pStyle w:val="TOC1"/>
            <w:rPr>
              <w:rFonts w:asciiTheme="minorHAnsi" w:eastAsiaTheme="minorEastAsia" w:hAnsiTheme="minorHAnsi"/>
              <w:b w:val="0"/>
              <w:noProof/>
              <w:kern w:val="2"/>
              <w:lang w:eastAsia="en-NZ"/>
              <w14:ligatures w14:val="standardContextual"/>
            </w:rPr>
          </w:pPr>
          <w:hyperlink w:anchor="_Toc203641923" w:history="1">
            <w:r w:rsidRPr="006C11D8">
              <w:rPr>
                <w:rStyle w:val="Hyperlink"/>
                <w:noProof/>
              </w:rPr>
              <w:t>Foreword</w:t>
            </w:r>
            <w:r>
              <w:rPr>
                <w:noProof/>
                <w:webHidden/>
              </w:rPr>
              <w:tab/>
            </w:r>
            <w:r>
              <w:rPr>
                <w:noProof/>
                <w:webHidden/>
              </w:rPr>
              <w:fldChar w:fldCharType="begin"/>
            </w:r>
            <w:r>
              <w:rPr>
                <w:noProof/>
                <w:webHidden/>
              </w:rPr>
              <w:instrText xml:space="preserve"> PAGEREF _Toc203641923 \h </w:instrText>
            </w:r>
            <w:r>
              <w:rPr>
                <w:noProof/>
                <w:webHidden/>
              </w:rPr>
            </w:r>
            <w:r>
              <w:rPr>
                <w:noProof/>
                <w:webHidden/>
              </w:rPr>
              <w:fldChar w:fldCharType="separate"/>
            </w:r>
            <w:r>
              <w:rPr>
                <w:noProof/>
                <w:webHidden/>
              </w:rPr>
              <w:t>3</w:t>
            </w:r>
            <w:r>
              <w:rPr>
                <w:noProof/>
                <w:webHidden/>
              </w:rPr>
              <w:fldChar w:fldCharType="end"/>
            </w:r>
          </w:hyperlink>
        </w:p>
        <w:p w14:paraId="5FCE50F0" w14:textId="1E46826B" w:rsidR="008338B6" w:rsidRDefault="008338B6">
          <w:pPr>
            <w:pStyle w:val="TOC2"/>
            <w:rPr>
              <w:rFonts w:asciiTheme="minorHAnsi" w:eastAsiaTheme="minorEastAsia" w:hAnsiTheme="minorHAnsi"/>
              <w:noProof/>
              <w:kern w:val="2"/>
              <w:lang w:eastAsia="en-NZ"/>
              <w14:ligatures w14:val="standardContextual"/>
            </w:rPr>
          </w:pPr>
          <w:hyperlink w:anchor="_Toc203641924" w:history="1">
            <w:r w:rsidRPr="006C11D8">
              <w:rPr>
                <w:rStyle w:val="Hyperlink"/>
                <w:noProof/>
              </w:rPr>
              <w:t>Acknowledgements</w:t>
            </w:r>
            <w:r>
              <w:rPr>
                <w:noProof/>
                <w:webHidden/>
              </w:rPr>
              <w:tab/>
            </w:r>
            <w:r>
              <w:rPr>
                <w:noProof/>
                <w:webHidden/>
              </w:rPr>
              <w:fldChar w:fldCharType="begin"/>
            </w:r>
            <w:r>
              <w:rPr>
                <w:noProof/>
                <w:webHidden/>
              </w:rPr>
              <w:instrText xml:space="preserve"> PAGEREF _Toc203641924 \h </w:instrText>
            </w:r>
            <w:r>
              <w:rPr>
                <w:noProof/>
                <w:webHidden/>
              </w:rPr>
            </w:r>
            <w:r>
              <w:rPr>
                <w:noProof/>
                <w:webHidden/>
              </w:rPr>
              <w:fldChar w:fldCharType="separate"/>
            </w:r>
            <w:r>
              <w:rPr>
                <w:noProof/>
                <w:webHidden/>
              </w:rPr>
              <w:t>3</w:t>
            </w:r>
            <w:r>
              <w:rPr>
                <w:noProof/>
                <w:webHidden/>
              </w:rPr>
              <w:fldChar w:fldCharType="end"/>
            </w:r>
          </w:hyperlink>
        </w:p>
        <w:p w14:paraId="0903FFC0" w14:textId="0AA8BBEC" w:rsidR="008338B6" w:rsidRDefault="008338B6">
          <w:pPr>
            <w:pStyle w:val="TOC1"/>
            <w:rPr>
              <w:rFonts w:asciiTheme="minorHAnsi" w:eastAsiaTheme="minorEastAsia" w:hAnsiTheme="minorHAnsi"/>
              <w:b w:val="0"/>
              <w:noProof/>
              <w:kern w:val="2"/>
              <w:lang w:eastAsia="en-NZ"/>
              <w14:ligatures w14:val="standardContextual"/>
            </w:rPr>
          </w:pPr>
          <w:hyperlink w:anchor="_Toc203641925" w:history="1">
            <w:r w:rsidRPr="006C11D8">
              <w:rPr>
                <w:rStyle w:val="Hyperlink"/>
                <w:noProof/>
              </w:rPr>
              <w:t>Part A. Background, Project Briefing and Design Process</w:t>
            </w:r>
            <w:r>
              <w:rPr>
                <w:noProof/>
                <w:webHidden/>
              </w:rPr>
              <w:tab/>
            </w:r>
            <w:r>
              <w:rPr>
                <w:noProof/>
                <w:webHidden/>
              </w:rPr>
              <w:fldChar w:fldCharType="begin"/>
            </w:r>
            <w:r>
              <w:rPr>
                <w:noProof/>
                <w:webHidden/>
              </w:rPr>
              <w:instrText xml:space="preserve"> PAGEREF _Toc203641925 \h </w:instrText>
            </w:r>
            <w:r>
              <w:rPr>
                <w:noProof/>
                <w:webHidden/>
              </w:rPr>
            </w:r>
            <w:r>
              <w:rPr>
                <w:noProof/>
                <w:webHidden/>
              </w:rPr>
              <w:fldChar w:fldCharType="separate"/>
            </w:r>
            <w:r>
              <w:rPr>
                <w:noProof/>
                <w:webHidden/>
              </w:rPr>
              <w:t>8</w:t>
            </w:r>
            <w:r>
              <w:rPr>
                <w:noProof/>
                <w:webHidden/>
              </w:rPr>
              <w:fldChar w:fldCharType="end"/>
            </w:r>
          </w:hyperlink>
        </w:p>
        <w:p w14:paraId="79772630" w14:textId="115C0328"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26" w:history="1">
            <w:r w:rsidRPr="006C11D8">
              <w:rPr>
                <w:rStyle w:val="Hyperlink"/>
                <w:noProof/>
              </w:rPr>
              <w:t>A1.</w:t>
            </w:r>
            <w:r>
              <w:rPr>
                <w:rFonts w:asciiTheme="minorHAnsi" w:eastAsiaTheme="minorEastAsia" w:hAnsiTheme="minorHAnsi"/>
                <w:b w:val="0"/>
                <w:noProof/>
                <w:kern w:val="2"/>
                <w:lang w:eastAsia="en-NZ"/>
                <w14:ligatures w14:val="standardContextual"/>
              </w:rPr>
              <w:tab/>
            </w:r>
            <w:r w:rsidRPr="006C11D8">
              <w:rPr>
                <w:rStyle w:val="Hyperlink"/>
                <w:noProof/>
              </w:rPr>
              <w:t>Introduction</w:t>
            </w:r>
            <w:r>
              <w:rPr>
                <w:noProof/>
                <w:webHidden/>
              </w:rPr>
              <w:tab/>
            </w:r>
            <w:r>
              <w:rPr>
                <w:noProof/>
                <w:webHidden/>
              </w:rPr>
              <w:fldChar w:fldCharType="begin"/>
            </w:r>
            <w:r>
              <w:rPr>
                <w:noProof/>
                <w:webHidden/>
              </w:rPr>
              <w:instrText xml:space="preserve"> PAGEREF _Toc203641926 \h </w:instrText>
            </w:r>
            <w:r>
              <w:rPr>
                <w:noProof/>
                <w:webHidden/>
              </w:rPr>
            </w:r>
            <w:r>
              <w:rPr>
                <w:noProof/>
                <w:webHidden/>
              </w:rPr>
              <w:fldChar w:fldCharType="separate"/>
            </w:r>
            <w:r>
              <w:rPr>
                <w:noProof/>
                <w:webHidden/>
              </w:rPr>
              <w:t>9</w:t>
            </w:r>
            <w:r>
              <w:rPr>
                <w:noProof/>
                <w:webHidden/>
              </w:rPr>
              <w:fldChar w:fldCharType="end"/>
            </w:r>
          </w:hyperlink>
        </w:p>
        <w:p w14:paraId="6B00FD8A" w14:textId="0670C41B" w:rsidR="008338B6" w:rsidRDefault="008338B6">
          <w:pPr>
            <w:pStyle w:val="TOC2"/>
            <w:rPr>
              <w:rFonts w:asciiTheme="minorHAnsi" w:eastAsiaTheme="minorEastAsia" w:hAnsiTheme="minorHAnsi"/>
              <w:noProof/>
              <w:kern w:val="2"/>
              <w:lang w:eastAsia="en-NZ"/>
              <w14:ligatures w14:val="standardContextual"/>
            </w:rPr>
          </w:pPr>
          <w:hyperlink w:anchor="_Toc203641927" w:history="1">
            <w:r w:rsidRPr="006C11D8">
              <w:rPr>
                <w:rStyle w:val="Hyperlink"/>
                <w:noProof/>
              </w:rPr>
              <w:t>A1.1.</w:t>
            </w:r>
            <w:r>
              <w:rPr>
                <w:rFonts w:asciiTheme="minorHAnsi" w:eastAsiaTheme="minorEastAsia" w:hAnsiTheme="minorHAnsi"/>
                <w:noProof/>
                <w:kern w:val="2"/>
                <w:lang w:eastAsia="en-NZ"/>
                <w14:ligatures w14:val="standardContextual"/>
              </w:rPr>
              <w:tab/>
            </w:r>
            <w:r w:rsidRPr="006C11D8">
              <w:rPr>
                <w:rStyle w:val="Hyperlink"/>
                <w:noProof/>
              </w:rPr>
              <w:t>Purpose and objectives of these guidelines</w:t>
            </w:r>
            <w:r>
              <w:rPr>
                <w:noProof/>
                <w:webHidden/>
              </w:rPr>
              <w:tab/>
            </w:r>
            <w:r>
              <w:rPr>
                <w:noProof/>
                <w:webHidden/>
              </w:rPr>
              <w:fldChar w:fldCharType="begin"/>
            </w:r>
            <w:r>
              <w:rPr>
                <w:noProof/>
                <w:webHidden/>
              </w:rPr>
              <w:instrText xml:space="preserve"> PAGEREF _Toc203641927 \h </w:instrText>
            </w:r>
            <w:r>
              <w:rPr>
                <w:noProof/>
                <w:webHidden/>
              </w:rPr>
            </w:r>
            <w:r>
              <w:rPr>
                <w:noProof/>
                <w:webHidden/>
              </w:rPr>
              <w:fldChar w:fldCharType="separate"/>
            </w:r>
            <w:r>
              <w:rPr>
                <w:noProof/>
                <w:webHidden/>
              </w:rPr>
              <w:t>9</w:t>
            </w:r>
            <w:r>
              <w:rPr>
                <w:noProof/>
                <w:webHidden/>
              </w:rPr>
              <w:fldChar w:fldCharType="end"/>
            </w:r>
          </w:hyperlink>
        </w:p>
        <w:p w14:paraId="200B8BF3" w14:textId="77B989B5" w:rsidR="008338B6" w:rsidRDefault="008338B6">
          <w:pPr>
            <w:pStyle w:val="TOC2"/>
            <w:rPr>
              <w:rFonts w:asciiTheme="minorHAnsi" w:eastAsiaTheme="minorEastAsia" w:hAnsiTheme="minorHAnsi"/>
              <w:noProof/>
              <w:kern w:val="2"/>
              <w:lang w:eastAsia="en-NZ"/>
              <w14:ligatures w14:val="standardContextual"/>
            </w:rPr>
          </w:pPr>
          <w:hyperlink w:anchor="_Toc203641928" w:history="1">
            <w:r w:rsidRPr="006C11D8">
              <w:rPr>
                <w:rStyle w:val="Hyperlink"/>
                <w:noProof/>
              </w:rPr>
              <w:t>A1.2.</w:t>
            </w:r>
            <w:r>
              <w:rPr>
                <w:rFonts w:asciiTheme="minorHAnsi" w:eastAsiaTheme="minorEastAsia" w:hAnsiTheme="minorHAnsi"/>
                <w:noProof/>
                <w:kern w:val="2"/>
                <w:lang w:eastAsia="en-NZ"/>
                <w14:ligatures w14:val="standardContextual"/>
              </w:rPr>
              <w:tab/>
            </w:r>
            <w:r w:rsidRPr="006C11D8">
              <w:rPr>
                <w:rStyle w:val="Hyperlink"/>
                <w:noProof/>
              </w:rPr>
              <w:t>Intended Audience</w:t>
            </w:r>
            <w:r>
              <w:rPr>
                <w:noProof/>
                <w:webHidden/>
              </w:rPr>
              <w:tab/>
            </w:r>
            <w:r>
              <w:rPr>
                <w:noProof/>
                <w:webHidden/>
              </w:rPr>
              <w:fldChar w:fldCharType="begin"/>
            </w:r>
            <w:r>
              <w:rPr>
                <w:noProof/>
                <w:webHidden/>
              </w:rPr>
              <w:instrText xml:space="preserve"> PAGEREF _Toc203641928 \h </w:instrText>
            </w:r>
            <w:r>
              <w:rPr>
                <w:noProof/>
                <w:webHidden/>
              </w:rPr>
            </w:r>
            <w:r>
              <w:rPr>
                <w:noProof/>
                <w:webHidden/>
              </w:rPr>
              <w:fldChar w:fldCharType="separate"/>
            </w:r>
            <w:r>
              <w:rPr>
                <w:noProof/>
                <w:webHidden/>
              </w:rPr>
              <w:t>10</w:t>
            </w:r>
            <w:r>
              <w:rPr>
                <w:noProof/>
                <w:webHidden/>
              </w:rPr>
              <w:fldChar w:fldCharType="end"/>
            </w:r>
          </w:hyperlink>
        </w:p>
        <w:p w14:paraId="7604A3A5" w14:textId="1BD7C34B" w:rsidR="008338B6" w:rsidRDefault="008338B6">
          <w:pPr>
            <w:pStyle w:val="TOC2"/>
            <w:rPr>
              <w:rFonts w:asciiTheme="minorHAnsi" w:eastAsiaTheme="minorEastAsia" w:hAnsiTheme="minorHAnsi"/>
              <w:noProof/>
              <w:kern w:val="2"/>
              <w:lang w:eastAsia="en-NZ"/>
              <w14:ligatures w14:val="standardContextual"/>
            </w:rPr>
          </w:pPr>
          <w:hyperlink w:anchor="_Toc203641929" w:history="1">
            <w:r w:rsidRPr="006C11D8">
              <w:rPr>
                <w:rStyle w:val="Hyperlink"/>
                <w:noProof/>
              </w:rPr>
              <w:t>A1.3.</w:t>
            </w:r>
            <w:r>
              <w:rPr>
                <w:rFonts w:asciiTheme="minorHAnsi" w:eastAsiaTheme="minorEastAsia" w:hAnsiTheme="minorHAnsi"/>
                <w:noProof/>
                <w:kern w:val="2"/>
                <w:lang w:eastAsia="en-NZ"/>
                <w14:ligatures w14:val="standardContextual"/>
              </w:rPr>
              <w:tab/>
            </w:r>
            <w:r w:rsidRPr="006C11D8">
              <w:rPr>
                <w:rStyle w:val="Hyperlink"/>
                <w:noProof/>
              </w:rPr>
              <w:t>Format of this guide</w:t>
            </w:r>
            <w:r>
              <w:rPr>
                <w:noProof/>
                <w:webHidden/>
              </w:rPr>
              <w:tab/>
            </w:r>
            <w:r>
              <w:rPr>
                <w:noProof/>
                <w:webHidden/>
              </w:rPr>
              <w:fldChar w:fldCharType="begin"/>
            </w:r>
            <w:r>
              <w:rPr>
                <w:noProof/>
                <w:webHidden/>
              </w:rPr>
              <w:instrText xml:space="preserve"> PAGEREF _Toc203641929 \h </w:instrText>
            </w:r>
            <w:r>
              <w:rPr>
                <w:noProof/>
                <w:webHidden/>
              </w:rPr>
            </w:r>
            <w:r>
              <w:rPr>
                <w:noProof/>
                <w:webHidden/>
              </w:rPr>
              <w:fldChar w:fldCharType="separate"/>
            </w:r>
            <w:r>
              <w:rPr>
                <w:noProof/>
                <w:webHidden/>
              </w:rPr>
              <w:t>11</w:t>
            </w:r>
            <w:r>
              <w:rPr>
                <w:noProof/>
                <w:webHidden/>
              </w:rPr>
              <w:fldChar w:fldCharType="end"/>
            </w:r>
          </w:hyperlink>
        </w:p>
        <w:p w14:paraId="2B06DDE4" w14:textId="25E529DA" w:rsidR="008338B6" w:rsidRDefault="008338B6">
          <w:pPr>
            <w:pStyle w:val="TOC2"/>
            <w:rPr>
              <w:rFonts w:asciiTheme="minorHAnsi" w:eastAsiaTheme="minorEastAsia" w:hAnsiTheme="minorHAnsi"/>
              <w:noProof/>
              <w:kern w:val="2"/>
              <w:lang w:eastAsia="en-NZ"/>
              <w14:ligatures w14:val="standardContextual"/>
            </w:rPr>
          </w:pPr>
          <w:hyperlink w:anchor="_Toc203641930" w:history="1">
            <w:r w:rsidRPr="006C11D8">
              <w:rPr>
                <w:rStyle w:val="Hyperlink"/>
                <w:noProof/>
              </w:rPr>
              <w:t>A1.4.</w:t>
            </w:r>
            <w:r>
              <w:rPr>
                <w:rFonts w:asciiTheme="minorHAnsi" w:eastAsiaTheme="minorEastAsia" w:hAnsiTheme="minorHAnsi"/>
                <w:noProof/>
                <w:kern w:val="2"/>
                <w:lang w:eastAsia="en-NZ"/>
                <w14:ligatures w14:val="standardContextual"/>
              </w:rPr>
              <w:tab/>
            </w:r>
            <w:r w:rsidRPr="006C11D8">
              <w:rPr>
                <w:rStyle w:val="Hyperlink"/>
                <w:noProof/>
              </w:rPr>
              <w:t>Design principles</w:t>
            </w:r>
            <w:r>
              <w:rPr>
                <w:noProof/>
                <w:webHidden/>
              </w:rPr>
              <w:tab/>
            </w:r>
            <w:r>
              <w:rPr>
                <w:noProof/>
                <w:webHidden/>
              </w:rPr>
              <w:fldChar w:fldCharType="begin"/>
            </w:r>
            <w:r>
              <w:rPr>
                <w:noProof/>
                <w:webHidden/>
              </w:rPr>
              <w:instrText xml:space="preserve"> PAGEREF _Toc203641930 \h </w:instrText>
            </w:r>
            <w:r>
              <w:rPr>
                <w:noProof/>
                <w:webHidden/>
              </w:rPr>
            </w:r>
            <w:r>
              <w:rPr>
                <w:noProof/>
                <w:webHidden/>
              </w:rPr>
              <w:fldChar w:fldCharType="separate"/>
            </w:r>
            <w:r>
              <w:rPr>
                <w:noProof/>
                <w:webHidden/>
              </w:rPr>
              <w:t>11</w:t>
            </w:r>
            <w:r>
              <w:rPr>
                <w:noProof/>
                <w:webHidden/>
              </w:rPr>
              <w:fldChar w:fldCharType="end"/>
            </w:r>
          </w:hyperlink>
        </w:p>
        <w:p w14:paraId="417B2B80" w14:textId="4384CD12" w:rsidR="008338B6" w:rsidRDefault="008338B6">
          <w:pPr>
            <w:pStyle w:val="TOC2"/>
            <w:rPr>
              <w:rFonts w:asciiTheme="minorHAnsi" w:eastAsiaTheme="minorEastAsia" w:hAnsiTheme="minorHAnsi"/>
              <w:noProof/>
              <w:kern w:val="2"/>
              <w:lang w:eastAsia="en-NZ"/>
              <w14:ligatures w14:val="standardContextual"/>
            </w:rPr>
          </w:pPr>
          <w:hyperlink w:anchor="_Toc203641931" w:history="1">
            <w:r w:rsidRPr="006C11D8">
              <w:rPr>
                <w:rStyle w:val="Hyperlink"/>
                <w:noProof/>
              </w:rPr>
              <w:t>A1.5.</w:t>
            </w:r>
            <w:r>
              <w:rPr>
                <w:rFonts w:asciiTheme="minorHAnsi" w:eastAsiaTheme="minorEastAsia" w:hAnsiTheme="minorHAnsi"/>
                <w:noProof/>
                <w:kern w:val="2"/>
                <w:lang w:eastAsia="en-NZ"/>
                <w14:ligatures w14:val="standardContextual"/>
              </w:rPr>
              <w:tab/>
            </w:r>
            <w:r w:rsidRPr="006C11D8">
              <w:rPr>
                <w:rStyle w:val="Hyperlink"/>
                <w:noProof/>
              </w:rPr>
              <w:t>Key interfacing guidelines, standards and organisations</w:t>
            </w:r>
            <w:r>
              <w:rPr>
                <w:noProof/>
                <w:webHidden/>
              </w:rPr>
              <w:tab/>
            </w:r>
            <w:r>
              <w:rPr>
                <w:noProof/>
                <w:webHidden/>
              </w:rPr>
              <w:fldChar w:fldCharType="begin"/>
            </w:r>
            <w:r>
              <w:rPr>
                <w:noProof/>
                <w:webHidden/>
              </w:rPr>
              <w:instrText xml:space="preserve"> PAGEREF _Toc203641931 \h </w:instrText>
            </w:r>
            <w:r>
              <w:rPr>
                <w:noProof/>
                <w:webHidden/>
              </w:rPr>
            </w:r>
            <w:r>
              <w:rPr>
                <w:noProof/>
                <w:webHidden/>
              </w:rPr>
              <w:fldChar w:fldCharType="separate"/>
            </w:r>
            <w:r>
              <w:rPr>
                <w:noProof/>
                <w:webHidden/>
              </w:rPr>
              <w:t>13</w:t>
            </w:r>
            <w:r>
              <w:rPr>
                <w:noProof/>
                <w:webHidden/>
              </w:rPr>
              <w:fldChar w:fldCharType="end"/>
            </w:r>
          </w:hyperlink>
        </w:p>
        <w:p w14:paraId="2D40A5C4" w14:textId="40B40593" w:rsidR="008338B6" w:rsidRDefault="008338B6">
          <w:pPr>
            <w:pStyle w:val="TOC2"/>
            <w:rPr>
              <w:rFonts w:asciiTheme="minorHAnsi" w:eastAsiaTheme="minorEastAsia" w:hAnsiTheme="minorHAnsi"/>
              <w:noProof/>
              <w:kern w:val="2"/>
              <w:lang w:eastAsia="en-NZ"/>
              <w14:ligatures w14:val="standardContextual"/>
            </w:rPr>
          </w:pPr>
          <w:hyperlink w:anchor="_Toc203641932" w:history="1">
            <w:r w:rsidRPr="006C11D8">
              <w:rPr>
                <w:rStyle w:val="Hyperlink"/>
                <w:noProof/>
              </w:rPr>
              <w:t>A1.6.</w:t>
            </w:r>
            <w:r>
              <w:rPr>
                <w:rFonts w:asciiTheme="minorHAnsi" w:eastAsiaTheme="minorEastAsia" w:hAnsiTheme="minorHAnsi"/>
                <w:noProof/>
                <w:kern w:val="2"/>
                <w:lang w:eastAsia="en-NZ"/>
                <w14:ligatures w14:val="standardContextual"/>
              </w:rPr>
              <w:tab/>
            </w:r>
            <w:r w:rsidRPr="006C11D8">
              <w:rPr>
                <w:rStyle w:val="Hyperlink"/>
                <w:noProof/>
              </w:rPr>
              <w:t>Health NZ Mandatory Requirements</w:t>
            </w:r>
            <w:r>
              <w:rPr>
                <w:noProof/>
                <w:webHidden/>
              </w:rPr>
              <w:tab/>
            </w:r>
            <w:r>
              <w:rPr>
                <w:noProof/>
                <w:webHidden/>
              </w:rPr>
              <w:fldChar w:fldCharType="begin"/>
            </w:r>
            <w:r>
              <w:rPr>
                <w:noProof/>
                <w:webHidden/>
              </w:rPr>
              <w:instrText xml:space="preserve"> PAGEREF _Toc203641932 \h </w:instrText>
            </w:r>
            <w:r>
              <w:rPr>
                <w:noProof/>
                <w:webHidden/>
              </w:rPr>
            </w:r>
            <w:r>
              <w:rPr>
                <w:noProof/>
                <w:webHidden/>
              </w:rPr>
              <w:fldChar w:fldCharType="separate"/>
            </w:r>
            <w:r>
              <w:rPr>
                <w:noProof/>
                <w:webHidden/>
              </w:rPr>
              <w:t>16</w:t>
            </w:r>
            <w:r>
              <w:rPr>
                <w:noProof/>
                <w:webHidden/>
              </w:rPr>
              <w:fldChar w:fldCharType="end"/>
            </w:r>
          </w:hyperlink>
        </w:p>
        <w:p w14:paraId="242428FF" w14:textId="129B786F" w:rsidR="008338B6" w:rsidRDefault="008338B6">
          <w:pPr>
            <w:pStyle w:val="TOC2"/>
            <w:rPr>
              <w:rFonts w:asciiTheme="minorHAnsi" w:eastAsiaTheme="minorEastAsia" w:hAnsiTheme="minorHAnsi"/>
              <w:noProof/>
              <w:kern w:val="2"/>
              <w:lang w:eastAsia="en-NZ"/>
              <w14:ligatures w14:val="standardContextual"/>
            </w:rPr>
          </w:pPr>
          <w:hyperlink w:anchor="_Toc203641933" w:history="1">
            <w:r w:rsidRPr="006C11D8">
              <w:rPr>
                <w:rStyle w:val="Hyperlink"/>
                <w:noProof/>
              </w:rPr>
              <w:t>A1.7.</w:t>
            </w:r>
            <w:r>
              <w:rPr>
                <w:rFonts w:asciiTheme="minorHAnsi" w:eastAsiaTheme="minorEastAsia" w:hAnsiTheme="minorHAnsi"/>
                <w:noProof/>
                <w:kern w:val="2"/>
                <w:lang w:eastAsia="en-NZ"/>
                <w14:ligatures w14:val="standardContextual"/>
              </w:rPr>
              <w:tab/>
            </w:r>
            <w:r w:rsidRPr="006C11D8">
              <w:rPr>
                <w:rStyle w:val="Hyperlink"/>
                <w:noProof/>
              </w:rPr>
              <w:t>Masterplanning and Site Context</w:t>
            </w:r>
            <w:r>
              <w:rPr>
                <w:noProof/>
                <w:webHidden/>
              </w:rPr>
              <w:tab/>
            </w:r>
            <w:r>
              <w:rPr>
                <w:noProof/>
                <w:webHidden/>
              </w:rPr>
              <w:fldChar w:fldCharType="begin"/>
            </w:r>
            <w:r>
              <w:rPr>
                <w:noProof/>
                <w:webHidden/>
              </w:rPr>
              <w:instrText xml:space="preserve"> PAGEREF _Toc203641933 \h </w:instrText>
            </w:r>
            <w:r>
              <w:rPr>
                <w:noProof/>
                <w:webHidden/>
              </w:rPr>
            </w:r>
            <w:r>
              <w:rPr>
                <w:noProof/>
                <w:webHidden/>
              </w:rPr>
              <w:fldChar w:fldCharType="separate"/>
            </w:r>
            <w:r>
              <w:rPr>
                <w:noProof/>
                <w:webHidden/>
              </w:rPr>
              <w:t>19</w:t>
            </w:r>
            <w:r>
              <w:rPr>
                <w:noProof/>
                <w:webHidden/>
              </w:rPr>
              <w:fldChar w:fldCharType="end"/>
            </w:r>
          </w:hyperlink>
        </w:p>
        <w:p w14:paraId="1A457B7B" w14:textId="3BE0FA39"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34" w:history="1">
            <w:r w:rsidRPr="006C11D8">
              <w:rPr>
                <w:rStyle w:val="Hyperlink"/>
                <w:noProof/>
              </w:rPr>
              <w:t>A2.</w:t>
            </w:r>
            <w:r>
              <w:rPr>
                <w:rFonts w:asciiTheme="minorHAnsi" w:eastAsiaTheme="minorEastAsia" w:hAnsiTheme="minorHAnsi"/>
                <w:b w:val="0"/>
                <w:noProof/>
                <w:kern w:val="2"/>
                <w:lang w:eastAsia="en-NZ"/>
                <w14:ligatures w14:val="standardContextual"/>
              </w:rPr>
              <w:tab/>
            </w:r>
            <w:r w:rsidRPr="006C11D8">
              <w:rPr>
                <w:rStyle w:val="Hyperlink"/>
                <w:noProof/>
              </w:rPr>
              <w:t>Design Methodology, Phasing, and Compliance</w:t>
            </w:r>
            <w:r>
              <w:rPr>
                <w:noProof/>
                <w:webHidden/>
              </w:rPr>
              <w:tab/>
            </w:r>
            <w:r>
              <w:rPr>
                <w:noProof/>
                <w:webHidden/>
              </w:rPr>
              <w:fldChar w:fldCharType="begin"/>
            </w:r>
            <w:r>
              <w:rPr>
                <w:noProof/>
                <w:webHidden/>
              </w:rPr>
              <w:instrText xml:space="preserve"> PAGEREF _Toc203641934 \h </w:instrText>
            </w:r>
            <w:r>
              <w:rPr>
                <w:noProof/>
                <w:webHidden/>
              </w:rPr>
            </w:r>
            <w:r>
              <w:rPr>
                <w:noProof/>
                <w:webHidden/>
              </w:rPr>
              <w:fldChar w:fldCharType="separate"/>
            </w:r>
            <w:r>
              <w:rPr>
                <w:noProof/>
                <w:webHidden/>
              </w:rPr>
              <w:t>21</w:t>
            </w:r>
            <w:r>
              <w:rPr>
                <w:noProof/>
                <w:webHidden/>
              </w:rPr>
              <w:fldChar w:fldCharType="end"/>
            </w:r>
          </w:hyperlink>
        </w:p>
        <w:p w14:paraId="769EE40A" w14:textId="3E888677" w:rsidR="008338B6" w:rsidRDefault="008338B6">
          <w:pPr>
            <w:pStyle w:val="TOC2"/>
            <w:rPr>
              <w:rFonts w:asciiTheme="minorHAnsi" w:eastAsiaTheme="minorEastAsia" w:hAnsiTheme="minorHAnsi"/>
              <w:noProof/>
              <w:kern w:val="2"/>
              <w:lang w:eastAsia="en-NZ"/>
              <w14:ligatures w14:val="standardContextual"/>
            </w:rPr>
          </w:pPr>
          <w:hyperlink w:anchor="_Toc203641935" w:history="1">
            <w:r w:rsidRPr="006C11D8">
              <w:rPr>
                <w:rStyle w:val="Hyperlink"/>
                <w:noProof/>
              </w:rPr>
              <w:t>A2.1.</w:t>
            </w:r>
            <w:r>
              <w:rPr>
                <w:rFonts w:asciiTheme="minorHAnsi" w:eastAsiaTheme="minorEastAsia" w:hAnsiTheme="minorHAnsi"/>
                <w:noProof/>
                <w:kern w:val="2"/>
                <w:lang w:eastAsia="en-NZ"/>
                <w14:ligatures w14:val="standardContextual"/>
              </w:rPr>
              <w:tab/>
            </w:r>
            <w:r w:rsidRPr="006C11D8">
              <w:rPr>
                <w:rStyle w:val="Hyperlink"/>
                <w:noProof/>
              </w:rPr>
              <w:t>Design Philosophy</w:t>
            </w:r>
            <w:r>
              <w:rPr>
                <w:noProof/>
                <w:webHidden/>
              </w:rPr>
              <w:tab/>
            </w:r>
            <w:r>
              <w:rPr>
                <w:noProof/>
                <w:webHidden/>
              </w:rPr>
              <w:fldChar w:fldCharType="begin"/>
            </w:r>
            <w:r>
              <w:rPr>
                <w:noProof/>
                <w:webHidden/>
              </w:rPr>
              <w:instrText xml:space="preserve"> PAGEREF _Toc203641935 \h </w:instrText>
            </w:r>
            <w:r>
              <w:rPr>
                <w:noProof/>
                <w:webHidden/>
              </w:rPr>
            </w:r>
            <w:r>
              <w:rPr>
                <w:noProof/>
                <w:webHidden/>
              </w:rPr>
              <w:fldChar w:fldCharType="separate"/>
            </w:r>
            <w:r>
              <w:rPr>
                <w:noProof/>
                <w:webHidden/>
              </w:rPr>
              <w:t>21</w:t>
            </w:r>
            <w:r>
              <w:rPr>
                <w:noProof/>
                <w:webHidden/>
              </w:rPr>
              <w:fldChar w:fldCharType="end"/>
            </w:r>
          </w:hyperlink>
        </w:p>
        <w:p w14:paraId="489F42FA" w14:textId="62680089" w:rsidR="008338B6" w:rsidRDefault="008338B6">
          <w:pPr>
            <w:pStyle w:val="TOC2"/>
            <w:rPr>
              <w:rFonts w:asciiTheme="minorHAnsi" w:eastAsiaTheme="minorEastAsia" w:hAnsiTheme="minorHAnsi"/>
              <w:noProof/>
              <w:kern w:val="2"/>
              <w:lang w:eastAsia="en-NZ"/>
              <w14:ligatures w14:val="standardContextual"/>
            </w:rPr>
          </w:pPr>
          <w:hyperlink w:anchor="_Toc203641936" w:history="1">
            <w:r w:rsidRPr="006C11D8">
              <w:rPr>
                <w:rStyle w:val="Hyperlink"/>
                <w:noProof/>
              </w:rPr>
              <w:t>A2.2.</w:t>
            </w:r>
            <w:r>
              <w:rPr>
                <w:rFonts w:asciiTheme="minorHAnsi" w:eastAsiaTheme="minorEastAsia" w:hAnsiTheme="minorHAnsi"/>
                <w:noProof/>
                <w:kern w:val="2"/>
                <w:lang w:eastAsia="en-NZ"/>
                <w14:ligatures w14:val="standardContextual"/>
              </w:rPr>
              <w:tab/>
            </w:r>
            <w:r w:rsidRPr="006C11D8">
              <w:rPr>
                <w:rStyle w:val="Hyperlink"/>
                <w:noProof/>
              </w:rPr>
              <w:t>Design Phases</w:t>
            </w:r>
            <w:r>
              <w:rPr>
                <w:noProof/>
                <w:webHidden/>
              </w:rPr>
              <w:tab/>
            </w:r>
            <w:r>
              <w:rPr>
                <w:noProof/>
                <w:webHidden/>
              </w:rPr>
              <w:fldChar w:fldCharType="begin"/>
            </w:r>
            <w:r>
              <w:rPr>
                <w:noProof/>
                <w:webHidden/>
              </w:rPr>
              <w:instrText xml:space="preserve"> PAGEREF _Toc203641936 \h </w:instrText>
            </w:r>
            <w:r>
              <w:rPr>
                <w:noProof/>
                <w:webHidden/>
              </w:rPr>
            </w:r>
            <w:r>
              <w:rPr>
                <w:noProof/>
                <w:webHidden/>
              </w:rPr>
              <w:fldChar w:fldCharType="separate"/>
            </w:r>
            <w:r>
              <w:rPr>
                <w:noProof/>
                <w:webHidden/>
              </w:rPr>
              <w:t>21</w:t>
            </w:r>
            <w:r>
              <w:rPr>
                <w:noProof/>
                <w:webHidden/>
              </w:rPr>
              <w:fldChar w:fldCharType="end"/>
            </w:r>
          </w:hyperlink>
        </w:p>
        <w:p w14:paraId="20D947AA" w14:textId="78F8D0D2" w:rsidR="008338B6" w:rsidRDefault="008338B6">
          <w:pPr>
            <w:pStyle w:val="TOC2"/>
            <w:rPr>
              <w:rFonts w:asciiTheme="minorHAnsi" w:eastAsiaTheme="minorEastAsia" w:hAnsiTheme="minorHAnsi"/>
              <w:noProof/>
              <w:kern w:val="2"/>
              <w:lang w:eastAsia="en-NZ"/>
              <w14:ligatures w14:val="standardContextual"/>
            </w:rPr>
          </w:pPr>
          <w:hyperlink w:anchor="_Toc203641937" w:history="1">
            <w:r w:rsidRPr="006C11D8">
              <w:rPr>
                <w:rStyle w:val="Hyperlink"/>
                <w:noProof/>
              </w:rPr>
              <w:t>A2.3.</w:t>
            </w:r>
            <w:r>
              <w:rPr>
                <w:rFonts w:asciiTheme="minorHAnsi" w:eastAsiaTheme="minorEastAsia" w:hAnsiTheme="minorHAnsi"/>
                <w:noProof/>
                <w:kern w:val="2"/>
                <w:lang w:eastAsia="en-NZ"/>
                <w14:ligatures w14:val="standardContextual"/>
              </w:rPr>
              <w:tab/>
            </w:r>
            <w:r w:rsidRPr="006C11D8">
              <w:rPr>
                <w:rStyle w:val="Hyperlink"/>
                <w:noProof/>
              </w:rPr>
              <w:t>Design Roles</w:t>
            </w:r>
            <w:r>
              <w:rPr>
                <w:noProof/>
                <w:webHidden/>
              </w:rPr>
              <w:tab/>
            </w:r>
            <w:r>
              <w:rPr>
                <w:noProof/>
                <w:webHidden/>
              </w:rPr>
              <w:fldChar w:fldCharType="begin"/>
            </w:r>
            <w:r>
              <w:rPr>
                <w:noProof/>
                <w:webHidden/>
              </w:rPr>
              <w:instrText xml:space="preserve"> PAGEREF _Toc203641937 \h </w:instrText>
            </w:r>
            <w:r>
              <w:rPr>
                <w:noProof/>
                <w:webHidden/>
              </w:rPr>
            </w:r>
            <w:r>
              <w:rPr>
                <w:noProof/>
                <w:webHidden/>
              </w:rPr>
              <w:fldChar w:fldCharType="separate"/>
            </w:r>
            <w:r>
              <w:rPr>
                <w:noProof/>
                <w:webHidden/>
              </w:rPr>
              <w:t>28</w:t>
            </w:r>
            <w:r>
              <w:rPr>
                <w:noProof/>
                <w:webHidden/>
              </w:rPr>
              <w:fldChar w:fldCharType="end"/>
            </w:r>
          </w:hyperlink>
        </w:p>
        <w:p w14:paraId="4A9F0C3D" w14:textId="6EEBF393" w:rsidR="008338B6" w:rsidRDefault="008338B6">
          <w:pPr>
            <w:pStyle w:val="TOC2"/>
            <w:rPr>
              <w:rFonts w:asciiTheme="minorHAnsi" w:eastAsiaTheme="minorEastAsia" w:hAnsiTheme="minorHAnsi"/>
              <w:noProof/>
              <w:kern w:val="2"/>
              <w:lang w:eastAsia="en-NZ"/>
              <w14:ligatures w14:val="standardContextual"/>
            </w:rPr>
          </w:pPr>
          <w:hyperlink w:anchor="_Toc203641938" w:history="1">
            <w:r w:rsidRPr="006C11D8">
              <w:rPr>
                <w:rStyle w:val="Hyperlink"/>
                <w:noProof/>
              </w:rPr>
              <w:t>A2.4.</w:t>
            </w:r>
            <w:r>
              <w:rPr>
                <w:rFonts w:asciiTheme="minorHAnsi" w:eastAsiaTheme="minorEastAsia" w:hAnsiTheme="minorHAnsi"/>
                <w:noProof/>
                <w:kern w:val="2"/>
                <w:lang w:eastAsia="en-NZ"/>
                <w14:ligatures w14:val="standardContextual"/>
              </w:rPr>
              <w:tab/>
            </w:r>
            <w:r w:rsidRPr="006C11D8">
              <w:rPr>
                <w:rStyle w:val="Hyperlink"/>
                <w:noProof/>
              </w:rPr>
              <w:t>Compliance and Peer Review</w:t>
            </w:r>
            <w:r>
              <w:rPr>
                <w:noProof/>
                <w:webHidden/>
              </w:rPr>
              <w:tab/>
            </w:r>
            <w:r>
              <w:rPr>
                <w:noProof/>
                <w:webHidden/>
              </w:rPr>
              <w:fldChar w:fldCharType="begin"/>
            </w:r>
            <w:r>
              <w:rPr>
                <w:noProof/>
                <w:webHidden/>
              </w:rPr>
              <w:instrText xml:space="preserve"> PAGEREF _Toc203641938 \h </w:instrText>
            </w:r>
            <w:r>
              <w:rPr>
                <w:noProof/>
                <w:webHidden/>
              </w:rPr>
            </w:r>
            <w:r>
              <w:rPr>
                <w:noProof/>
                <w:webHidden/>
              </w:rPr>
              <w:fldChar w:fldCharType="separate"/>
            </w:r>
            <w:r>
              <w:rPr>
                <w:noProof/>
                <w:webHidden/>
              </w:rPr>
              <w:t>30</w:t>
            </w:r>
            <w:r>
              <w:rPr>
                <w:noProof/>
                <w:webHidden/>
              </w:rPr>
              <w:fldChar w:fldCharType="end"/>
            </w:r>
          </w:hyperlink>
        </w:p>
        <w:p w14:paraId="52A564F0" w14:textId="3BB0DA2F"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39" w:history="1">
            <w:r w:rsidRPr="006C11D8">
              <w:rPr>
                <w:rStyle w:val="Hyperlink"/>
                <w:noProof/>
              </w:rPr>
              <w:t>A3.</w:t>
            </w:r>
            <w:r>
              <w:rPr>
                <w:rFonts w:asciiTheme="minorHAnsi" w:eastAsiaTheme="minorEastAsia" w:hAnsiTheme="minorHAnsi"/>
                <w:b w:val="0"/>
                <w:noProof/>
                <w:kern w:val="2"/>
                <w:lang w:eastAsia="en-NZ"/>
                <w14:ligatures w14:val="standardContextual"/>
              </w:rPr>
              <w:tab/>
            </w:r>
            <w:r w:rsidRPr="006C11D8">
              <w:rPr>
                <w:rStyle w:val="Hyperlink"/>
                <w:noProof/>
              </w:rPr>
              <w:t>Documentation and Project Records</w:t>
            </w:r>
            <w:r>
              <w:rPr>
                <w:noProof/>
                <w:webHidden/>
              </w:rPr>
              <w:tab/>
            </w:r>
            <w:r>
              <w:rPr>
                <w:noProof/>
                <w:webHidden/>
              </w:rPr>
              <w:fldChar w:fldCharType="begin"/>
            </w:r>
            <w:r>
              <w:rPr>
                <w:noProof/>
                <w:webHidden/>
              </w:rPr>
              <w:instrText xml:space="preserve"> PAGEREF _Toc203641939 \h </w:instrText>
            </w:r>
            <w:r>
              <w:rPr>
                <w:noProof/>
                <w:webHidden/>
              </w:rPr>
            </w:r>
            <w:r>
              <w:rPr>
                <w:noProof/>
                <w:webHidden/>
              </w:rPr>
              <w:fldChar w:fldCharType="separate"/>
            </w:r>
            <w:r>
              <w:rPr>
                <w:noProof/>
                <w:webHidden/>
              </w:rPr>
              <w:t>33</w:t>
            </w:r>
            <w:r>
              <w:rPr>
                <w:noProof/>
                <w:webHidden/>
              </w:rPr>
              <w:fldChar w:fldCharType="end"/>
            </w:r>
          </w:hyperlink>
        </w:p>
        <w:p w14:paraId="2E1E30CB" w14:textId="78DE2E63" w:rsidR="008338B6" w:rsidRDefault="008338B6">
          <w:pPr>
            <w:pStyle w:val="TOC2"/>
            <w:rPr>
              <w:rFonts w:asciiTheme="minorHAnsi" w:eastAsiaTheme="minorEastAsia" w:hAnsiTheme="minorHAnsi"/>
              <w:noProof/>
              <w:kern w:val="2"/>
              <w:lang w:eastAsia="en-NZ"/>
              <w14:ligatures w14:val="standardContextual"/>
            </w:rPr>
          </w:pPr>
          <w:hyperlink w:anchor="_Toc203641940" w:history="1">
            <w:r w:rsidRPr="006C11D8">
              <w:rPr>
                <w:rStyle w:val="Hyperlink"/>
                <w:noProof/>
              </w:rPr>
              <w:t>A3.1.</w:t>
            </w:r>
            <w:r>
              <w:rPr>
                <w:rFonts w:asciiTheme="minorHAnsi" w:eastAsiaTheme="minorEastAsia" w:hAnsiTheme="minorHAnsi"/>
                <w:noProof/>
                <w:kern w:val="2"/>
                <w:lang w:eastAsia="en-NZ"/>
                <w14:ligatures w14:val="standardContextual"/>
              </w:rPr>
              <w:tab/>
            </w:r>
            <w:r w:rsidRPr="006C11D8">
              <w:rPr>
                <w:rStyle w:val="Hyperlink"/>
                <w:noProof/>
              </w:rPr>
              <w:t>Structural Design Features Report</w:t>
            </w:r>
            <w:r>
              <w:rPr>
                <w:noProof/>
                <w:webHidden/>
              </w:rPr>
              <w:tab/>
            </w:r>
            <w:r>
              <w:rPr>
                <w:noProof/>
                <w:webHidden/>
              </w:rPr>
              <w:fldChar w:fldCharType="begin"/>
            </w:r>
            <w:r>
              <w:rPr>
                <w:noProof/>
                <w:webHidden/>
              </w:rPr>
              <w:instrText xml:space="preserve"> PAGEREF _Toc203641940 \h </w:instrText>
            </w:r>
            <w:r>
              <w:rPr>
                <w:noProof/>
                <w:webHidden/>
              </w:rPr>
            </w:r>
            <w:r>
              <w:rPr>
                <w:noProof/>
                <w:webHidden/>
              </w:rPr>
              <w:fldChar w:fldCharType="separate"/>
            </w:r>
            <w:r>
              <w:rPr>
                <w:noProof/>
                <w:webHidden/>
              </w:rPr>
              <w:t>33</w:t>
            </w:r>
            <w:r>
              <w:rPr>
                <w:noProof/>
                <w:webHidden/>
              </w:rPr>
              <w:fldChar w:fldCharType="end"/>
            </w:r>
          </w:hyperlink>
        </w:p>
        <w:p w14:paraId="57429AE9" w14:textId="52C448C0" w:rsidR="008338B6" w:rsidRDefault="008338B6">
          <w:pPr>
            <w:pStyle w:val="TOC2"/>
            <w:rPr>
              <w:rFonts w:asciiTheme="minorHAnsi" w:eastAsiaTheme="minorEastAsia" w:hAnsiTheme="minorHAnsi"/>
              <w:noProof/>
              <w:kern w:val="2"/>
              <w:lang w:eastAsia="en-NZ"/>
              <w14:ligatures w14:val="standardContextual"/>
            </w:rPr>
          </w:pPr>
          <w:hyperlink w:anchor="_Toc203641941" w:history="1">
            <w:r w:rsidRPr="006C11D8">
              <w:rPr>
                <w:rStyle w:val="Hyperlink"/>
                <w:noProof/>
              </w:rPr>
              <w:t>A3.2.</w:t>
            </w:r>
            <w:r>
              <w:rPr>
                <w:rFonts w:asciiTheme="minorHAnsi" w:eastAsiaTheme="minorEastAsia" w:hAnsiTheme="minorHAnsi"/>
                <w:noProof/>
                <w:kern w:val="2"/>
                <w:lang w:eastAsia="en-NZ"/>
                <w14:ligatures w14:val="standardContextual"/>
              </w:rPr>
              <w:tab/>
            </w:r>
            <w:r w:rsidRPr="006C11D8">
              <w:rPr>
                <w:rStyle w:val="Hyperlink"/>
                <w:noProof/>
              </w:rPr>
              <w:t>Non-Structural Element Seismic Design Strategy</w:t>
            </w:r>
            <w:r>
              <w:rPr>
                <w:noProof/>
                <w:webHidden/>
              </w:rPr>
              <w:tab/>
            </w:r>
            <w:r>
              <w:rPr>
                <w:noProof/>
                <w:webHidden/>
              </w:rPr>
              <w:fldChar w:fldCharType="begin"/>
            </w:r>
            <w:r>
              <w:rPr>
                <w:noProof/>
                <w:webHidden/>
              </w:rPr>
              <w:instrText xml:space="preserve"> PAGEREF _Toc203641941 \h </w:instrText>
            </w:r>
            <w:r>
              <w:rPr>
                <w:noProof/>
                <w:webHidden/>
              </w:rPr>
            </w:r>
            <w:r>
              <w:rPr>
                <w:noProof/>
                <w:webHidden/>
              </w:rPr>
              <w:fldChar w:fldCharType="separate"/>
            </w:r>
            <w:r>
              <w:rPr>
                <w:noProof/>
                <w:webHidden/>
              </w:rPr>
              <w:t>36</w:t>
            </w:r>
            <w:r>
              <w:rPr>
                <w:noProof/>
                <w:webHidden/>
              </w:rPr>
              <w:fldChar w:fldCharType="end"/>
            </w:r>
          </w:hyperlink>
        </w:p>
        <w:p w14:paraId="313DBB35" w14:textId="47459951" w:rsidR="008338B6" w:rsidRDefault="008338B6">
          <w:pPr>
            <w:pStyle w:val="TOC2"/>
            <w:rPr>
              <w:rFonts w:asciiTheme="minorHAnsi" w:eastAsiaTheme="minorEastAsia" w:hAnsiTheme="minorHAnsi"/>
              <w:noProof/>
              <w:kern w:val="2"/>
              <w:lang w:eastAsia="en-NZ"/>
              <w14:ligatures w14:val="standardContextual"/>
            </w:rPr>
          </w:pPr>
          <w:hyperlink w:anchor="_Toc203641942" w:history="1">
            <w:r w:rsidRPr="006C11D8">
              <w:rPr>
                <w:rStyle w:val="Hyperlink"/>
                <w:noProof/>
              </w:rPr>
              <w:t>A3.3.</w:t>
            </w:r>
            <w:r>
              <w:rPr>
                <w:rFonts w:asciiTheme="minorHAnsi" w:eastAsiaTheme="minorEastAsia" w:hAnsiTheme="minorHAnsi"/>
                <w:noProof/>
                <w:kern w:val="2"/>
                <w:lang w:eastAsia="en-NZ"/>
                <w14:ligatures w14:val="standardContextual"/>
              </w:rPr>
              <w:tab/>
            </w:r>
            <w:r w:rsidRPr="006C11D8">
              <w:rPr>
                <w:rStyle w:val="Hyperlink"/>
                <w:noProof/>
              </w:rPr>
              <w:t>Embodied Carbon and LCA Reporting</w:t>
            </w:r>
            <w:r>
              <w:rPr>
                <w:noProof/>
                <w:webHidden/>
              </w:rPr>
              <w:tab/>
            </w:r>
            <w:r>
              <w:rPr>
                <w:noProof/>
                <w:webHidden/>
              </w:rPr>
              <w:fldChar w:fldCharType="begin"/>
            </w:r>
            <w:r>
              <w:rPr>
                <w:noProof/>
                <w:webHidden/>
              </w:rPr>
              <w:instrText xml:space="preserve"> PAGEREF _Toc203641942 \h </w:instrText>
            </w:r>
            <w:r>
              <w:rPr>
                <w:noProof/>
                <w:webHidden/>
              </w:rPr>
            </w:r>
            <w:r>
              <w:rPr>
                <w:noProof/>
                <w:webHidden/>
              </w:rPr>
              <w:fldChar w:fldCharType="separate"/>
            </w:r>
            <w:r>
              <w:rPr>
                <w:noProof/>
                <w:webHidden/>
              </w:rPr>
              <w:t>37</w:t>
            </w:r>
            <w:r>
              <w:rPr>
                <w:noProof/>
                <w:webHidden/>
              </w:rPr>
              <w:fldChar w:fldCharType="end"/>
            </w:r>
          </w:hyperlink>
        </w:p>
        <w:p w14:paraId="28439C93" w14:textId="26CED253" w:rsidR="008338B6" w:rsidRDefault="008338B6">
          <w:pPr>
            <w:pStyle w:val="TOC2"/>
            <w:rPr>
              <w:rFonts w:asciiTheme="minorHAnsi" w:eastAsiaTheme="minorEastAsia" w:hAnsiTheme="minorHAnsi"/>
              <w:noProof/>
              <w:kern w:val="2"/>
              <w:lang w:eastAsia="en-NZ"/>
              <w14:ligatures w14:val="standardContextual"/>
            </w:rPr>
          </w:pPr>
          <w:hyperlink w:anchor="_Toc203641943" w:history="1">
            <w:r w:rsidRPr="006C11D8">
              <w:rPr>
                <w:rStyle w:val="Hyperlink"/>
                <w:noProof/>
              </w:rPr>
              <w:t>A3.4.</w:t>
            </w:r>
            <w:r>
              <w:rPr>
                <w:rFonts w:asciiTheme="minorHAnsi" w:eastAsiaTheme="minorEastAsia" w:hAnsiTheme="minorHAnsi"/>
                <w:noProof/>
                <w:kern w:val="2"/>
                <w:lang w:eastAsia="en-NZ"/>
                <w14:ligatures w14:val="standardContextual"/>
              </w:rPr>
              <w:tab/>
            </w:r>
            <w:r w:rsidRPr="006C11D8">
              <w:rPr>
                <w:rStyle w:val="Hyperlink"/>
                <w:noProof/>
              </w:rPr>
              <w:t>Geotechnical Reporting</w:t>
            </w:r>
            <w:r>
              <w:rPr>
                <w:noProof/>
                <w:webHidden/>
              </w:rPr>
              <w:tab/>
            </w:r>
            <w:r>
              <w:rPr>
                <w:noProof/>
                <w:webHidden/>
              </w:rPr>
              <w:fldChar w:fldCharType="begin"/>
            </w:r>
            <w:r>
              <w:rPr>
                <w:noProof/>
                <w:webHidden/>
              </w:rPr>
              <w:instrText xml:space="preserve"> PAGEREF _Toc203641943 \h </w:instrText>
            </w:r>
            <w:r>
              <w:rPr>
                <w:noProof/>
                <w:webHidden/>
              </w:rPr>
            </w:r>
            <w:r>
              <w:rPr>
                <w:noProof/>
                <w:webHidden/>
              </w:rPr>
              <w:fldChar w:fldCharType="separate"/>
            </w:r>
            <w:r>
              <w:rPr>
                <w:noProof/>
                <w:webHidden/>
              </w:rPr>
              <w:t>39</w:t>
            </w:r>
            <w:r>
              <w:rPr>
                <w:noProof/>
                <w:webHidden/>
              </w:rPr>
              <w:fldChar w:fldCharType="end"/>
            </w:r>
          </w:hyperlink>
        </w:p>
        <w:p w14:paraId="44DA6F58" w14:textId="0B3DCD9B" w:rsidR="008338B6" w:rsidRDefault="008338B6">
          <w:pPr>
            <w:pStyle w:val="TOC1"/>
            <w:rPr>
              <w:rFonts w:asciiTheme="minorHAnsi" w:eastAsiaTheme="minorEastAsia" w:hAnsiTheme="minorHAnsi"/>
              <w:b w:val="0"/>
              <w:noProof/>
              <w:kern w:val="2"/>
              <w:lang w:eastAsia="en-NZ"/>
              <w14:ligatures w14:val="standardContextual"/>
            </w:rPr>
          </w:pPr>
          <w:hyperlink w:anchor="_Toc203641944" w:history="1">
            <w:r w:rsidRPr="006C11D8">
              <w:rPr>
                <w:rStyle w:val="Hyperlink"/>
                <w:noProof/>
              </w:rPr>
              <w:t>Part B. Performance Requirements for Hospital Buildings</w:t>
            </w:r>
            <w:r>
              <w:rPr>
                <w:noProof/>
                <w:webHidden/>
              </w:rPr>
              <w:tab/>
            </w:r>
            <w:r>
              <w:rPr>
                <w:noProof/>
                <w:webHidden/>
              </w:rPr>
              <w:fldChar w:fldCharType="begin"/>
            </w:r>
            <w:r>
              <w:rPr>
                <w:noProof/>
                <w:webHidden/>
              </w:rPr>
              <w:instrText xml:space="preserve"> PAGEREF _Toc203641944 \h </w:instrText>
            </w:r>
            <w:r>
              <w:rPr>
                <w:noProof/>
                <w:webHidden/>
              </w:rPr>
            </w:r>
            <w:r>
              <w:rPr>
                <w:noProof/>
                <w:webHidden/>
              </w:rPr>
              <w:fldChar w:fldCharType="separate"/>
            </w:r>
            <w:r>
              <w:rPr>
                <w:noProof/>
                <w:webHidden/>
              </w:rPr>
              <w:t>42</w:t>
            </w:r>
            <w:r>
              <w:rPr>
                <w:noProof/>
                <w:webHidden/>
              </w:rPr>
              <w:fldChar w:fldCharType="end"/>
            </w:r>
          </w:hyperlink>
        </w:p>
        <w:p w14:paraId="0AEE68CD" w14:textId="32704843"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45" w:history="1">
            <w:r w:rsidRPr="006C11D8">
              <w:rPr>
                <w:rStyle w:val="Hyperlink"/>
                <w:noProof/>
              </w:rPr>
              <w:t>B1.</w:t>
            </w:r>
            <w:r>
              <w:rPr>
                <w:rFonts w:asciiTheme="minorHAnsi" w:eastAsiaTheme="minorEastAsia" w:hAnsiTheme="minorHAnsi"/>
                <w:b w:val="0"/>
                <w:noProof/>
                <w:kern w:val="2"/>
                <w:lang w:eastAsia="en-NZ"/>
                <w14:ligatures w14:val="standardContextual"/>
              </w:rPr>
              <w:tab/>
            </w:r>
            <w:r w:rsidRPr="006C11D8">
              <w:rPr>
                <w:rStyle w:val="Hyperlink"/>
                <w:noProof/>
              </w:rPr>
              <w:t>Classifying Hospital Building Functions and Importance Levels</w:t>
            </w:r>
            <w:r>
              <w:rPr>
                <w:noProof/>
                <w:webHidden/>
              </w:rPr>
              <w:tab/>
            </w:r>
            <w:r>
              <w:rPr>
                <w:noProof/>
                <w:webHidden/>
              </w:rPr>
              <w:fldChar w:fldCharType="begin"/>
            </w:r>
            <w:r>
              <w:rPr>
                <w:noProof/>
                <w:webHidden/>
              </w:rPr>
              <w:instrText xml:space="preserve"> PAGEREF _Toc203641945 \h </w:instrText>
            </w:r>
            <w:r>
              <w:rPr>
                <w:noProof/>
                <w:webHidden/>
              </w:rPr>
            </w:r>
            <w:r>
              <w:rPr>
                <w:noProof/>
                <w:webHidden/>
              </w:rPr>
              <w:fldChar w:fldCharType="separate"/>
            </w:r>
            <w:r>
              <w:rPr>
                <w:noProof/>
                <w:webHidden/>
              </w:rPr>
              <w:t>43</w:t>
            </w:r>
            <w:r>
              <w:rPr>
                <w:noProof/>
                <w:webHidden/>
              </w:rPr>
              <w:fldChar w:fldCharType="end"/>
            </w:r>
          </w:hyperlink>
        </w:p>
        <w:p w14:paraId="77372E2D" w14:textId="0F311686" w:rsidR="008338B6" w:rsidRDefault="008338B6">
          <w:pPr>
            <w:pStyle w:val="TOC2"/>
            <w:rPr>
              <w:rFonts w:asciiTheme="minorHAnsi" w:eastAsiaTheme="minorEastAsia" w:hAnsiTheme="minorHAnsi"/>
              <w:noProof/>
              <w:kern w:val="2"/>
              <w:lang w:eastAsia="en-NZ"/>
              <w14:ligatures w14:val="standardContextual"/>
            </w:rPr>
          </w:pPr>
          <w:hyperlink w:anchor="_Toc203641946" w:history="1">
            <w:r w:rsidRPr="006C11D8">
              <w:rPr>
                <w:rStyle w:val="Hyperlink"/>
                <w:noProof/>
              </w:rPr>
              <w:t>B1.1.</w:t>
            </w:r>
            <w:r>
              <w:rPr>
                <w:rFonts w:asciiTheme="minorHAnsi" w:eastAsiaTheme="minorEastAsia" w:hAnsiTheme="minorHAnsi"/>
                <w:noProof/>
                <w:kern w:val="2"/>
                <w:lang w:eastAsia="en-NZ"/>
                <w14:ligatures w14:val="standardContextual"/>
              </w:rPr>
              <w:tab/>
            </w:r>
            <w:r w:rsidRPr="006C11D8">
              <w:rPr>
                <w:rStyle w:val="Hyperlink"/>
                <w:noProof/>
              </w:rPr>
              <w:t>Background to Importance Levels for Hospital Buildings</w:t>
            </w:r>
            <w:r>
              <w:rPr>
                <w:noProof/>
                <w:webHidden/>
              </w:rPr>
              <w:tab/>
            </w:r>
            <w:r>
              <w:rPr>
                <w:noProof/>
                <w:webHidden/>
              </w:rPr>
              <w:fldChar w:fldCharType="begin"/>
            </w:r>
            <w:r>
              <w:rPr>
                <w:noProof/>
                <w:webHidden/>
              </w:rPr>
              <w:instrText xml:space="preserve"> PAGEREF _Toc203641946 \h </w:instrText>
            </w:r>
            <w:r>
              <w:rPr>
                <w:noProof/>
                <w:webHidden/>
              </w:rPr>
            </w:r>
            <w:r>
              <w:rPr>
                <w:noProof/>
                <w:webHidden/>
              </w:rPr>
              <w:fldChar w:fldCharType="separate"/>
            </w:r>
            <w:r>
              <w:rPr>
                <w:noProof/>
                <w:webHidden/>
              </w:rPr>
              <w:t>43</w:t>
            </w:r>
            <w:r>
              <w:rPr>
                <w:noProof/>
                <w:webHidden/>
              </w:rPr>
              <w:fldChar w:fldCharType="end"/>
            </w:r>
          </w:hyperlink>
        </w:p>
        <w:p w14:paraId="1AF36CE9" w14:textId="6AE66202" w:rsidR="008338B6" w:rsidRDefault="008338B6">
          <w:pPr>
            <w:pStyle w:val="TOC2"/>
            <w:rPr>
              <w:rFonts w:asciiTheme="minorHAnsi" w:eastAsiaTheme="minorEastAsia" w:hAnsiTheme="minorHAnsi"/>
              <w:noProof/>
              <w:kern w:val="2"/>
              <w:lang w:eastAsia="en-NZ"/>
              <w14:ligatures w14:val="standardContextual"/>
            </w:rPr>
          </w:pPr>
          <w:hyperlink w:anchor="_Toc203641947" w:history="1">
            <w:r w:rsidRPr="006C11D8">
              <w:rPr>
                <w:rStyle w:val="Hyperlink"/>
                <w:noProof/>
              </w:rPr>
              <w:t>B1.2.</w:t>
            </w:r>
            <w:r>
              <w:rPr>
                <w:rFonts w:asciiTheme="minorHAnsi" w:eastAsiaTheme="minorEastAsia" w:hAnsiTheme="minorHAnsi"/>
                <w:noProof/>
                <w:kern w:val="2"/>
                <w:lang w:eastAsia="en-NZ"/>
                <w14:ligatures w14:val="standardContextual"/>
              </w:rPr>
              <w:tab/>
            </w:r>
            <w:r w:rsidRPr="006C11D8">
              <w:rPr>
                <w:rStyle w:val="Hyperlink"/>
                <w:noProof/>
              </w:rPr>
              <w:t>Medical Service Categories and Importance Levels</w:t>
            </w:r>
            <w:r>
              <w:rPr>
                <w:noProof/>
                <w:webHidden/>
              </w:rPr>
              <w:tab/>
            </w:r>
            <w:r>
              <w:rPr>
                <w:noProof/>
                <w:webHidden/>
              </w:rPr>
              <w:fldChar w:fldCharType="begin"/>
            </w:r>
            <w:r>
              <w:rPr>
                <w:noProof/>
                <w:webHidden/>
              </w:rPr>
              <w:instrText xml:space="preserve"> PAGEREF _Toc203641947 \h </w:instrText>
            </w:r>
            <w:r>
              <w:rPr>
                <w:noProof/>
                <w:webHidden/>
              </w:rPr>
            </w:r>
            <w:r>
              <w:rPr>
                <w:noProof/>
                <w:webHidden/>
              </w:rPr>
              <w:fldChar w:fldCharType="separate"/>
            </w:r>
            <w:r>
              <w:rPr>
                <w:noProof/>
                <w:webHidden/>
              </w:rPr>
              <w:t>44</w:t>
            </w:r>
            <w:r>
              <w:rPr>
                <w:noProof/>
                <w:webHidden/>
              </w:rPr>
              <w:fldChar w:fldCharType="end"/>
            </w:r>
          </w:hyperlink>
        </w:p>
        <w:p w14:paraId="07A5E42A" w14:textId="0911A6AA" w:rsidR="008338B6" w:rsidRDefault="008338B6">
          <w:pPr>
            <w:pStyle w:val="TOC2"/>
            <w:rPr>
              <w:rFonts w:asciiTheme="minorHAnsi" w:eastAsiaTheme="minorEastAsia" w:hAnsiTheme="minorHAnsi"/>
              <w:noProof/>
              <w:kern w:val="2"/>
              <w:lang w:eastAsia="en-NZ"/>
              <w14:ligatures w14:val="standardContextual"/>
            </w:rPr>
          </w:pPr>
          <w:hyperlink w:anchor="_Toc203641948" w:history="1">
            <w:r w:rsidRPr="006C11D8">
              <w:rPr>
                <w:rStyle w:val="Hyperlink"/>
                <w:noProof/>
              </w:rPr>
              <w:t>B1.3.</w:t>
            </w:r>
            <w:r>
              <w:rPr>
                <w:rFonts w:asciiTheme="minorHAnsi" w:eastAsiaTheme="minorEastAsia" w:hAnsiTheme="minorHAnsi"/>
                <w:noProof/>
                <w:kern w:val="2"/>
                <w:lang w:eastAsia="en-NZ"/>
                <w14:ligatures w14:val="standardContextual"/>
              </w:rPr>
              <w:tab/>
            </w:r>
            <w:r w:rsidRPr="006C11D8">
              <w:rPr>
                <w:rStyle w:val="Hyperlink"/>
                <w:noProof/>
              </w:rPr>
              <w:t>Classifying Link Structures and Independently Located Infrastructure</w:t>
            </w:r>
            <w:r>
              <w:rPr>
                <w:noProof/>
                <w:webHidden/>
              </w:rPr>
              <w:tab/>
            </w:r>
            <w:r>
              <w:rPr>
                <w:noProof/>
                <w:webHidden/>
              </w:rPr>
              <w:fldChar w:fldCharType="begin"/>
            </w:r>
            <w:r>
              <w:rPr>
                <w:noProof/>
                <w:webHidden/>
              </w:rPr>
              <w:instrText xml:space="preserve"> PAGEREF _Toc203641948 \h </w:instrText>
            </w:r>
            <w:r>
              <w:rPr>
                <w:noProof/>
                <w:webHidden/>
              </w:rPr>
            </w:r>
            <w:r>
              <w:rPr>
                <w:noProof/>
                <w:webHidden/>
              </w:rPr>
              <w:fldChar w:fldCharType="separate"/>
            </w:r>
            <w:r>
              <w:rPr>
                <w:noProof/>
                <w:webHidden/>
              </w:rPr>
              <w:t>49</w:t>
            </w:r>
            <w:r>
              <w:rPr>
                <w:noProof/>
                <w:webHidden/>
              </w:rPr>
              <w:fldChar w:fldCharType="end"/>
            </w:r>
          </w:hyperlink>
        </w:p>
        <w:p w14:paraId="022ED79C" w14:textId="21E92B88"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49" w:history="1">
            <w:r w:rsidRPr="006C11D8">
              <w:rPr>
                <w:rStyle w:val="Hyperlink"/>
                <w:noProof/>
              </w:rPr>
              <w:t>B2.</w:t>
            </w:r>
            <w:r>
              <w:rPr>
                <w:rFonts w:asciiTheme="minorHAnsi" w:eastAsiaTheme="minorEastAsia" w:hAnsiTheme="minorHAnsi"/>
                <w:b w:val="0"/>
                <w:noProof/>
                <w:kern w:val="2"/>
                <w:lang w:eastAsia="en-NZ"/>
                <w14:ligatures w14:val="standardContextual"/>
              </w:rPr>
              <w:tab/>
            </w:r>
            <w:r w:rsidRPr="006C11D8">
              <w:rPr>
                <w:rStyle w:val="Hyperlink"/>
                <w:noProof/>
              </w:rPr>
              <w:t>Seismic Performance Requirements</w:t>
            </w:r>
            <w:r>
              <w:rPr>
                <w:noProof/>
                <w:webHidden/>
              </w:rPr>
              <w:tab/>
            </w:r>
            <w:r>
              <w:rPr>
                <w:noProof/>
                <w:webHidden/>
              </w:rPr>
              <w:fldChar w:fldCharType="begin"/>
            </w:r>
            <w:r>
              <w:rPr>
                <w:noProof/>
                <w:webHidden/>
              </w:rPr>
              <w:instrText xml:space="preserve"> PAGEREF _Toc203641949 \h </w:instrText>
            </w:r>
            <w:r>
              <w:rPr>
                <w:noProof/>
                <w:webHidden/>
              </w:rPr>
            </w:r>
            <w:r>
              <w:rPr>
                <w:noProof/>
                <w:webHidden/>
              </w:rPr>
              <w:fldChar w:fldCharType="separate"/>
            </w:r>
            <w:r>
              <w:rPr>
                <w:noProof/>
                <w:webHidden/>
              </w:rPr>
              <w:t>51</w:t>
            </w:r>
            <w:r>
              <w:rPr>
                <w:noProof/>
                <w:webHidden/>
              </w:rPr>
              <w:fldChar w:fldCharType="end"/>
            </w:r>
          </w:hyperlink>
        </w:p>
        <w:p w14:paraId="5A121F90" w14:textId="3DCDDF4B" w:rsidR="008338B6" w:rsidRDefault="008338B6">
          <w:pPr>
            <w:pStyle w:val="TOC2"/>
            <w:rPr>
              <w:rFonts w:asciiTheme="minorHAnsi" w:eastAsiaTheme="minorEastAsia" w:hAnsiTheme="minorHAnsi"/>
              <w:noProof/>
              <w:kern w:val="2"/>
              <w:lang w:eastAsia="en-NZ"/>
              <w14:ligatures w14:val="standardContextual"/>
            </w:rPr>
          </w:pPr>
          <w:hyperlink w:anchor="_Toc203641950" w:history="1">
            <w:r w:rsidRPr="006C11D8">
              <w:rPr>
                <w:rStyle w:val="Hyperlink"/>
                <w:noProof/>
              </w:rPr>
              <w:t>B2.1.</w:t>
            </w:r>
            <w:r>
              <w:rPr>
                <w:rFonts w:asciiTheme="minorHAnsi" w:eastAsiaTheme="minorEastAsia" w:hAnsiTheme="minorHAnsi"/>
                <w:noProof/>
                <w:kern w:val="2"/>
                <w:lang w:eastAsia="en-NZ"/>
                <w14:ligatures w14:val="standardContextual"/>
              </w:rPr>
              <w:tab/>
            </w:r>
            <w:r w:rsidRPr="006C11D8">
              <w:rPr>
                <w:rStyle w:val="Hyperlink"/>
                <w:noProof/>
              </w:rPr>
              <w:t>The Seismic Performance Framework</w:t>
            </w:r>
            <w:r>
              <w:rPr>
                <w:noProof/>
                <w:webHidden/>
              </w:rPr>
              <w:tab/>
            </w:r>
            <w:r>
              <w:rPr>
                <w:noProof/>
                <w:webHidden/>
              </w:rPr>
              <w:fldChar w:fldCharType="begin"/>
            </w:r>
            <w:r>
              <w:rPr>
                <w:noProof/>
                <w:webHidden/>
              </w:rPr>
              <w:instrText xml:space="preserve"> PAGEREF _Toc203641950 \h </w:instrText>
            </w:r>
            <w:r>
              <w:rPr>
                <w:noProof/>
                <w:webHidden/>
              </w:rPr>
            </w:r>
            <w:r>
              <w:rPr>
                <w:noProof/>
                <w:webHidden/>
              </w:rPr>
              <w:fldChar w:fldCharType="separate"/>
            </w:r>
            <w:r>
              <w:rPr>
                <w:noProof/>
                <w:webHidden/>
              </w:rPr>
              <w:t>51</w:t>
            </w:r>
            <w:r>
              <w:rPr>
                <w:noProof/>
                <w:webHidden/>
              </w:rPr>
              <w:fldChar w:fldCharType="end"/>
            </w:r>
          </w:hyperlink>
        </w:p>
        <w:p w14:paraId="0451B162" w14:textId="6AF4B600" w:rsidR="008338B6" w:rsidRDefault="008338B6">
          <w:pPr>
            <w:pStyle w:val="TOC2"/>
            <w:rPr>
              <w:rFonts w:asciiTheme="minorHAnsi" w:eastAsiaTheme="minorEastAsia" w:hAnsiTheme="minorHAnsi"/>
              <w:noProof/>
              <w:kern w:val="2"/>
              <w:lang w:eastAsia="en-NZ"/>
              <w14:ligatures w14:val="standardContextual"/>
            </w:rPr>
          </w:pPr>
          <w:hyperlink w:anchor="_Toc203641951" w:history="1">
            <w:r w:rsidRPr="006C11D8">
              <w:rPr>
                <w:rStyle w:val="Hyperlink"/>
                <w:noProof/>
              </w:rPr>
              <w:t>B2.2.</w:t>
            </w:r>
            <w:r>
              <w:rPr>
                <w:rFonts w:asciiTheme="minorHAnsi" w:eastAsiaTheme="minorEastAsia" w:hAnsiTheme="minorHAnsi"/>
                <w:noProof/>
                <w:kern w:val="2"/>
                <w:lang w:eastAsia="en-NZ"/>
                <w14:ligatures w14:val="standardContextual"/>
              </w:rPr>
              <w:tab/>
            </w:r>
            <w:r w:rsidRPr="006C11D8">
              <w:rPr>
                <w:rStyle w:val="Hyperlink"/>
                <w:noProof/>
              </w:rPr>
              <w:t>Outcome Objectives for Seismic Performance</w:t>
            </w:r>
            <w:r>
              <w:rPr>
                <w:noProof/>
                <w:webHidden/>
              </w:rPr>
              <w:tab/>
            </w:r>
            <w:r>
              <w:rPr>
                <w:noProof/>
                <w:webHidden/>
              </w:rPr>
              <w:fldChar w:fldCharType="begin"/>
            </w:r>
            <w:r>
              <w:rPr>
                <w:noProof/>
                <w:webHidden/>
              </w:rPr>
              <w:instrText xml:space="preserve"> PAGEREF _Toc203641951 \h </w:instrText>
            </w:r>
            <w:r>
              <w:rPr>
                <w:noProof/>
                <w:webHidden/>
              </w:rPr>
            </w:r>
            <w:r>
              <w:rPr>
                <w:noProof/>
                <w:webHidden/>
              </w:rPr>
              <w:fldChar w:fldCharType="separate"/>
            </w:r>
            <w:r>
              <w:rPr>
                <w:noProof/>
                <w:webHidden/>
              </w:rPr>
              <w:t>53</w:t>
            </w:r>
            <w:r>
              <w:rPr>
                <w:noProof/>
                <w:webHidden/>
              </w:rPr>
              <w:fldChar w:fldCharType="end"/>
            </w:r>
          </w:hyperlink>
        </w:p>
        <w:p w14:paraId="4D0EAD74" w14:textId="47019418" w:rsidR="008338B6" w:rsidRDefault="008338B6">
          <w:pPr>
            <w:pStyle w:val="TOC2"/>
            <w:rPr>
              <w:rFonts w:asciiTheme="minorHAnsi" w:eastAsiaTheme="minorEastAsia" w:hAnsiTheme="minorHAnsi"/>
              <w:noProof/>
              <w:kern w:val="2"/>
              <w:lang w:eastAsia="en-NZ"/>
              <w14:ligatures w14:val="standardContextual"/>
            </w:rPr>
          </w:pPr>
          <w:hyperlink w:anchor="_Toc203641952" w:history="1">
            <w:r w:rsidRPr="006C11D8">
              <w:rPr>
                <w:rStyle w:val="Hyperlink"/>
                <w:noProof/>
              </w:rPr>
              <w:t>B2.3.</w:t>
            </w:r>
            <w:r>
              <w:rPr>
                <w:rFonts w:asciiTheme="minorHAnsi" w:eastAsiaTheme="minorEastAsia" w:hAnsiTheme="minorHAnsi"/>
                <w:noProof/>
                <w:kern w:val="2"/>
                <w:lang w:eastAsia="en-NZ"/>
                <w14:ligatures w14:val="standardContextual"/>
              </w:rPr>
              <w:tab/>
            </w:r>
            <w:r w:rsidRPr="006C11D8">
              <w:rPr>
                <w:rStyle w:val="Hyperlink"/>
                <w:noProof/>
              </w:rPr>
              <w:t>Seismic Performance Goals and Limit States for Design</w:t>
            </w:r>
            <w:r>
              <w:rPr>
                <w:noProof/>
                <w:webHidden/>
              </w:rPr>
              <w:tab/>
            </w:r>
            <w:r>
              <w:rPr>
                <w:noProof/>
                <w:webHidden/>
              </w:rPr>
              <w:fldChar w:fldCharType="begin"/>
            </w:r>
            <w:r>
              <w:rPr>
                <w:noProof/>
                <w:webHidden/>
              </w:rPr>
              <w:instrText xml:space="preserve"> PAGEREF _Toc203641952 \h </w:instrText>
            </w:r>
            <w:r>
              <w:rPr>
                <w:noProof/>
                <w:webHidden/>
              </w:rPr>
            </w:r>
            <w:r>
              <w:rPr>
                <w:noProof/>
                <w:webHidden/>
              </w:rPr>
              <w:fldChar w:fldCharType="separate"/>
            </w:r>
            <w:r>
              <w:rPr>
                <w:noProof/>
                <w:webHidden/>
              </w:rPr>
              <w:t>56</w:t>
            </w:r>
            <w:r>
              <w:rPr>
                <w:noProof/>
                <w:webHidden/>
              </w:rPr>
              <w:fldChar w:fldCharType="end"/>
            </w:r>
          </w:hyperlink>
        </w:p>
        <w:p w14:paraId="47212577" w14:textId="384974F5" w:rsidR="008338B6" w:rsidRDefault="008338B6">
          <w:pPr>
            <w:pStyle w:val="TOC2"/>
            <w:rPr>
              <w:rFonts w:asciiTheme="minorHAnsi" w:eastAsiaTheme="minorEastAsia" w:hAnsiTheme="minorHAnsi"/>
              <w:noProof/>
              <w:kern w:val="2"/>
              <w:lang w:eastAsia="en-NZ"/>
              <w14:ligatures w14:val="standardContextual"/>
            </w:rPr>
          </w:pPr>
          <w:hyperlink w:anchor="_Toc203641953" w:history="1">
            <w:r w:rsidRPr="006C11D8">
              <w:rPr>
                <w:rStyle w:val="Hyperlink"/>
                <w:noProof/>
                <w:lang w:val="en-GB"/>
              </w:rPr>
              <w:t>B2.4.</w:t>
            </w:r>
            <w:r>
              <w:rPr>
                <w:rFonts w:asciiTheme="minorHAnsi" w:eastAsiaTheme="minorEastAsia" w:hAnsiTheme="minorHAnsi"/>
                <w:noProof/>
                <w:kern w:val="2"/>
                <w:lang w:eastAsia="en-NZ"/>
                <w14:ligatures w14:val="standardContextual"/>
              </w:rPr>
              <w:tab/>
            </w:r>
            <w:r w:rsidRPr="006C11D8">
              <w:rPr>
                <w:rStyle w:val="Hyperlink"/>
                <w:noProof/>
                <w:lang w:val="en-GB"/>
              </w:rPr>
              <w:t>Structural Robustness Requirements for the ULS Design Limit State</w:t>
            </w:r>
            <w:r>
              <w:rPr>
                <w:noProof/>
                <w:webHidden/>
              </w:rPr>
              <w:tab/>
            </w:r>
            <w:r>
              <w:rPr>
                <w:noProof/>
                <w:webHidden/>
              </w:rPr>
              <w:fldChar w:fldCharType="begin"/>
            </w:r>
            <w:r>
              <w:rPr>
                <w:noProof/>
                <w:webHidden/>
              </w:rPr>
              <w:instrText xml:space="preserve"> PAGEREF _Toc203641953 \h </w:instrText>
            </w:r>
            <w:r>
              <w:rPr>
                <w:noProof/>
                <w:webHidden/>
              </w:rPr>
            </w:r>
            <w:r>
              <w:rPr>
                <w:noProof/>
                <w:webHidden/>
              </w:rPr>
              <w:fldChar w:fldCharType="separate"/>
            </w:r>
            <w:r>
              <w:rPr>
                <w:noProof/>
                <w:webHidden/>
              </w:rPr>
              <w:t>61</w:t>
            </w:r>
            <w:r>
              <w:rPr>
                <w:noProof/>
                <w:webHidden/>
              </w:rPr>
              <w:fldChar w:fldCharType="end"/>
            </w:r>
          </w:hyperlink>
        </w:p>
        <w:p w14:paraId="5DA71667" w14:textId="4EAB01FA" w:rsidR="008338B6" w:rsidRDefault="008338B6">
          <w:pPr>
            <w:pStyle w:val="TOC2"/>
            <w:rPr>
              <w:rFonts w:asciiTheme="minorHAnsi" w:eastAsiaTheme="minorEastAsia" w:hAnsiTheme="minorHAnsi"/>
              <w:noProof/>
              <w:kern w:val="2"/>
              <w:lang w:eastAsia="en-NZ"/>
              <w14:ligatures w14:val="standardContextual"/>
            </w:rPr>
          </w:pPr>
          <w:hyperlink w:anchor="_Toc203641954" w:history="1">
            <w:r w:rsidRPr="006C11D8">
              <w:rPr>
                <w:rStyle w:val="Hyperlink"/>
                <w:noProof/>
              </w:rPr>
              <w:t>B2.5.</w:t>
            </w:r>
            <w:r>
              <w:rPr>
                <w:rFonts w:asciiTheme="minorHAnsi" w:eastAsiaTheme="minorEastAsia" w:hAnsiTheme="minorHAnsi"/>
                <w:noProof/>
                <w:kern w:val="2"/>
                <w:lang w:eastAsia="en-NZ"/>
                <w14:ligatures w14:val="standardContextual"/>
              </w:rPr>
              <w:tab/>
            </w:r>
            <w:r w:rsidRPr="006C11D8">
              <w:rPr>
                <w:rStyle w:val="Hyperlink"/>
                <w:noProof/>
              </w:rPr>
              <w:t>Descriptions of Physical States for the SLS2 and DCLS Limit States</w:t>
            </w:r>
            <w:r>
              <w:rPr>
                <w:noProof/>
                <w:webHidden/>
              </w:rPr>
              <w:tab/>
            </w:r>
            <w:r>
              <w:rPr>
                <w:noProof/>
                <w:webHidden/>
              </w:rPr>
              <w:fldChar w:fldCharType="begin"/>
            </w:r>
            <w:r>
              <w:rPr>
                <w:noProof/>
                <w:webHidden/>
              </w:rPr>
              <w:instrText xml:space="preserve"> PAGEREF _Toc203641954 \h </w:instrText>
            </w:r>
            <w:r>
              <w:rPr>
                <w:noProof/>
                <w:webHidden/>
              </w:rPr>
            </w:r>
            <w:r>
              <w:rPr>
                <w:noProof/>
                <w:webHidden/>
              </w:rPr>
              <w:fldChar w:fldCharType="separate"/>
            </w:r>
            <w:r>
              <w:rPr>
                <w:noProof/>
                <w:webHidden/>
              </w:rPr>
              <w:t>64</w:t>
            </w:r>
            <w:r>
              <w:rPr>
                <w:noProof/>
                <w:webHidden/>
              </w:rPr>
              <w:fldChar w:fldCharType="end"/>
            </w:r>
          </w:hyperlink>
        </w:p>
        <w:p w14:paraId="6E1354E4" w14:textId="3A16DDFF"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55" w:history="1">
            <w:r w:rsidRPr="006C11D8">
              <w:rPr>
                <w:rStyle w:val="Hyperlink"/>
                <w:noProof/>
              </w:rPr>
              <w:t>B3.</w:t>
            </w:r>
            <w:r>
              <w:rPr>
                <w:rFonts w:asciiTheme="minorHAnsi" w:eastAsiaTheme="minorEastAsia" w:hAnsiTheme="minorHAnsi"/>
                <w:b w:val="0"/>
                <w:noProof/>
                <w:kern w:val="2"/>
                <w:lang w:eastAsia="en-NZ"/>
                <w14:ligatures w14:val="standardContextual"/>
              </w:rPr>
              <w:tab/>
            </w:r>
            <w:r w:rsidRPr="006C11D8">
              <w:rPr>
                <w:rStyle w:val="Hyperlink"/>
                <w:noProof/>
              </w:rPr>
              <w:t>Durability</w:t>
            </w:r>
            <w:r>
              <w:rPr>
                <w:noProof/>
                <w:webHidden/>
              </w:rPr>
              <w:tab/>
            </w:r>
            <w:r>
              <w:rPr>
                <w:noProof/>
                <w:webHidden/>
              </w:rPr>
              <w:fldChar w:fldCharType="begin"/>
            </w:r>
            <w:r>
              <w:rPr>
                <w:noProof/>
                <w:webHidden/>
              </w:rPr>
              <w:instrText xml:space="preserve"> PAGEREF _Toc203641955 \h </w:instrText>
            </w:r>
            <w:r>
              <w:rPr>
                <w:noProof/>
                <w:webHidden/>
              </w:rPr>
            </w:r>
            <w:r>
              <w:rPr>
                <w:noProof/>
                <w:webHidden/>
              </w:rPr>
              <w:fldChar w:fldCharType="separate"/>
            </w:r>
            <w:r>
              <w:rPr>
                <w:noProof/>
                <w:webHidden/>
              </w:rPr>
              <w:t>73</w:t>
            </w:r>
            <w:r>
              <w:rPr>
                <w:noProof/>
                <w:webHidden/>
              </w:rPr>
              <w:fldChar w:fldCharType="end"/>
            </w:r>
          </w:hyperlink>
        </w:p>
        <w:p w14:paraId="76ACA91C" w14:textId="6D685A2F" w:rsidR="008338B6" w:rsidRDefault="008338B6">
          <w:pPr>
            <w:pStyle w:val="TOC2"/>
            <w:rPr>
              <w:rFonts w:asciiTheme="minorHAnsi" w:eastAsiaTheme="minorEastAsia" w:hAnsiTheme="minorHAnsi"/>
              <w:noProof/>
              <w:kern w:val="2"/>
              <w:lang w:eastAsia="en-NZ"/>
              <w14:ligatures w14:val="standardContextual"/>
            </w:rPr>
          </w:pPr>
          <w:hyperlink w:anchor="_Toc203641956" w:history="1">
            <w:r w:rsidRPr="006C11D8">
              <w:rPr>
                <w:rStyle w:val="Hyperlink"/>
                <w:noProof/>
              </w:rPr>
              <w:t>B3.1.</w:t>
            </w:r>
            <w:r>
              <w:rPr>
                <w:rFonts w:asciiTheme="minorHAnsi" w:eastAsiaTheme="minorEastAsia" w:hAnsiTheme="minorHAnsi"/>
                <w:noProof/>
                <w:kern w:val="2"/>
                <w:lang w:eastAsia="en-NZ"/>
                <w14:ligatures w14:val="standardContextual"/>
              </w:rPr>
              <w:tab/>
            </w:r>
            <w:r w:rsidRPr="006C11D8">
              <w:rPr>
                <w:rStyle w:val="Hyperlink"/>
                <w:noProof/>
              </w:rPr>
              <w:t>Health NZ Requirements for Structural Durability</w:t>
            </w:r>
            <w:r>
              <w:rPr>
                <w:noProof/>
                <w:webHidden/>
              </w:rPr>
              <w:tab/>
            </w:r>
            <w:r>
              <w:rPr>
                <w:noProof/>
                <w:webHidden/>
              </w:rPr>
              <w:fldChar w:fldCharType="begin"/>
            </w:r>
            <w:r>
              <w:rPr>
                <w:noProof/>
                <w:webHidden/>
              </w:rPr>
              <w:instrText xml:space="preserve"> PAGEREF _Toc203641956 \h </w:instrText>
            </w:r>
            <w:r>
              <w:rPr>
                <w:noProof/>
                <w:webHidden/>
              </w:rPr>
            </w:r>
            <w:r>
              <w:rPr>
                <w:noProof/>
                <w:webHidden/>
              </w:rPr>
              <w:fldChar w:fldCharType="separate"/>
            </w:r>
            <w:r>
              <w:rPr>
                <w:noProof/>
                <w:webHidden/>
              </w:rPr>
              <w:t>73</w:t>
            </w:r>
            <w:r>
              <w:rPr>
                <w:noProof/>
                <w:webHidden/>
              </w:rPr>
              <w:fldChar w:fldCharType="end"/>
            </w:r>
          </w:hyperlink>
        </w:p>
        <w:p w14:paraId="58E081CB" w14:textId="019EA757"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57" w:history="1">
            <w:r w:rsidRPr="006C11D8">
              <w:rPr>
                <w:rStyle w:val="Hyperlink"/>
                <w:noProof/>
              </w:rPr>
              <w:t>B4.</w:t>
            </w:r>
            <w:r>
              <w:rPr>
                <w:rFonts w:asciiTheme="minorHAnsi" w:eastAsiaTheme="minorEastAsia" w:hAnsiTheme="minorHAnsi"/>
                <w:b w:val="0"/>
                <w:noProof/>
                <w:kern w:val="2"/>
                <w:lang w:eastAsia="en-NZ"/>
                <w14:ligatures w14:val="standardContextual"/>
              </w:rPr>
              <w:tab/>
            </w:r>
            <w:r w:rsidRPr="006C11D8">
              <w:rPr>
                <w:rStyle w:val="Hyperlink"/>
                <w:noProof/>
              </w:rPr>
              <w:t>Sustainable Design</w:t>
            </w:r>
            <w:r>
              <w:rPr>
                <w:noProof/>
                <w:webHidden/>
              </w:rPr>
              <w:tab/>
            </w:r>
            <w:r>
              <w:rPr>
                <w:noProof/>
                <w:webHidden/>
              </w:rPr>
              <w:fldChar w:fldCharType="begin"/>
            </w:r>
            <w:r>
              <w:rPr>
                <w:noProof/>
                <w:webHidden/>
              </w:rPr>
              <w:instrText xml:space="preserve"> PAGEREF _Toc203641957 \h </w:instrText>
            </w:r>
            <w:r>
              <w:rPr>
                <w:noProof/>
                <w:webHidden/>
              </w:rPr>
            </w:r>
            <w:r>
              <w:rPr>
                <w:noProof/>
                <w:webHidden/>
              </w:rPr>
              <w:fldChar w:fldCharType="separate"/>
            </w:r>
            <w:r>
              <w:rPr>
                <w:noProof/>
                <w:webHidden/>
              </w:rPr>
              <w:t>75</w:t>
            </w:r>
            <w:r>
              <w:rPr>
                <w:noProof/>
                <w:webHidden/>
              </w:rPr>
              <w:fldChar w:fldCharType="end"/>
            </w:r>
          </w:hyperlink>
        </w:p>
        <w:p w14:paraId="37E034DE" w14:textId="424E8217" w:rsidR="008338B6" w:rsidRDefault="008338B6">
          <w:pPr>
            <w:pStyle w:val="TOC2"/>
            <w:rPr>
              <w:rFonts w:asciiTheme="minorHAnsi" w:eastAsiaTheme="minorEastAsia" w:hAnsiTheme="minorHAnsi"/>
              <w:noProof/>
              <w:kern w:val="2"/>
              <w:lang w:eastAsia="en-NZ"/>
              <w14:ligatures w14:val="standardContextual"/>
            </w:rPr>
          </w:pPr>
          <w:hyperlink w:anchor="_Toc203641958" w:history="1">
            <w:r w:rsidRPr="006C11D8">
              <w:rPr>
                <w:rStyle w:val="Hyperlink"/>
                <w:noProof/>
              </w:rPr>
              <w:t>B4.1.</w:t>
            </w:r>
            <w:r>
              <w:rPr>
                <w:rFonts w:asciiTheme="minorHAnsi" w:eastAsiaTheme="minorEastAsia" w:hAnsiTheme="minorHAnsi"/>
                <w:noProof/>
                <w:kern w:val="2"/>
                <w:lang w:eastAsia="en-NZ"/>
                <w14:ligatures w14:val="standardContextual"/>
              </w:rPr>
              <w:tab/>
            </w:r>
            <w:r w:rsidRPr="006C11D8">
              <w:rPr>
                <w:rStyle w:val="Hyperlink"/>
                <w:noProof/>
              </w:rPr>
              <w:t>Brief for Emissions reduction targets and Environmental Rating Systems</w:t>
            </w:r>
            <w:r>
              <w:rPr>
                <w:noProof/>
                <w:webHidden/>
              </w:rPr>
              <w:tab/>
            </w:r>
            <w:r>
              <w:rPr>
                <w:noProof/>
                <w:webHidden/>
              </w:rPr>
              <w:fldChar w:fldCharType="begin"/>
            </w:r>
            <w:r>
              <w:rPr>
                <w:noProof/>
                <w:webHidden/>
              </w:rPr>
              <w:instrText xml:space="preserve"> PAGEREF _Toc203641958 \h </w:instrText>
            </w:r>
            <w:r>
              <w:rPr>
                <w:noProof/>
                <w:webHidden/>
              </w:rPr>
            </w:r>
            <w:r>
              <w:rPr>
                <w:noProof/>
                <w:webHidden/>
              </w:rPr>
              <w:fldChar w:fldCharType="separate"/>
            </w:r>
            <w:r>
              <w:rPr>
                <w:noProof/>
                <w:webHidden/>
              </w:rPr>
              <w:t>76</w:t>
            </w:r>
            <w:r>
              <w:rPr>
                <w:noProof/>
                <w:webHidden/>
              </w:rPr>
              <w:fldChar w:fldCharType="end"/>
            </w:r>
          </w:hyperlink>
        </w:p>
        <w:p w14:paraId="2F59069C" w14:textId="5FF431AD" w:rsidR="008338B6" w:rsidRDefault="008338B6">
          <w:pPr>
            <w:pStyle w:val="TOC2"/>
            <w:rPr>
              <w:rFonts w:asciiTheme="minorHAnsi" w:eastAsiaTheme="minorEastAsia" w:hAnsiTheme="minorHAnsi"/>
              <w:noProof/>
              <w:kern w:val="2"/>
              <w:lang w:eastAsia="en-NZ"/>
              <w14:ligatures w14:val="standardContextual"/>
            </w:rPr>
          </w:pPr>
          <w:hyperlink w:anchor="_Toc203641959" w:history="1">
            <w:r w:rsidRPr="006C11D8">
              <w:rPr>
                <w:rStyle w:val="Hyperlink"/>
                <w:noProof/>
              </w:rPr>
              <w:t>B4.2.</w:t>
            </w:r>
            <w:r>
              <w:rPr>
                <w:rFonts w:asciiTheme="minorHAnsi" w:eastAsiaTheme="minorEastAsia" w:hAnsiTheme="minorHAnsi"/>
                <w:noProof/>
                <w:kern w:val="2"/>
                <w:lang w:eastAsia="en-NZ"/>
                <w14:ligatures w14:val="standardContextual"/>
              </w:rPr>
              <w:tab/>
            </w:r>
            <w:r w:rsidRPr="006C11D8">
              <w:rPr>
                <w:rStyle w:val="Hyperlink"/>
                <w:noProof/>
              </w:rPr>
              <w:t>Structural Embodied Carbon Emissions</w:t>
            </w:r>
            <w:r>
              <w:rPr>
                <w:noProof/>
                <w:webHidden/>
              </w:rPr>
              <w:tab/>
            </w:r>
            <w:r>
              <w:rPr>
                <w:noProof/>
                <w:webHidden/>
              </w:rPr>
              <w:fldChar w:fldCharType="begin"/>
            </w:r>
            <w:r>
              <w:rPr>
                <w:noProof/>
                <w:webHidden/>
              </w:rPr>
              <w:instrText xml:space="preserve"> PAGEREF _Toc203641959 \h </w:instrText>
            </w:r>
            <w:r>
              <w:rPr>
                <w:noProof/>
                <w:webHidden/>
              </w:rPr>
            </w:r>
            <w:r>
              <w:rPr>
                <w:noProof/>
                <w:webHidden/>
              </w:rPr>
              <w:fldChar w:fldCharType="separate"/>
            </w:r>
            <w:r>
              <w:rPr>
                <w:noProof/>
                <w:webHidden/>
              </w:rPr>
              <w:t>76</w:t>
            </w:r>
            <w:r>
              <w:rPr>
                <w:noProof/>
                <w:webHidden/>
              </w:rPr>
              <w:fldChar w:fldCharType="end"/>
            </w:r>
          </w:hyperlink>
        </w:p>
        <w:p w14:paraId="055F5FF9" w14:textId="6CA75DA2"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60" w:history="1">
            <w:r w:rsidRPr="006C11D8">
              <w:rPr>
                <w:rStyle w:val="Hyperlink"/>
                <w:noProof/>
              </w:rPr>
              <w:t>B5.</w:t>
            </w:r>
            <w:r>
              <w:rPr>
                <w:rFonts w:asciiTheme="minorHAnsi" w:eastAsiaTheme="minorEastAsia" w:hAnsiTheme="minorHAnsi"/>
                <w:b w:val="0"/>
                <w:noProof/>
                <w:kern w:val="2"/>
                <w:lang w:eastAsia="en-NZ"/>
                <w14:ligatures w14:val="standardContextual"/>
              </w:rPr>
              <w:tab/>
            </w:r>
            <w:r w:rsidRPr="006C11D8">
              <w:rPr>
                <w:rStyle w:val="Hyperlink"/>
                <w:noProof/>
              </w:rPr>
              <w:t>Additional Structural Performance Requirements</w:t>
            </w:r>
            <w:r>
              <w:rPr>
                <w:noProof/>
                <w:webHidden/>
              </w:rPr>
              <w:tab/>
            </w:r>
            <w:r>
              <w:rPr>
                <w:noProof/>
                <w:webHidden/>
              </w:rPr>
              <w:fldChar w:fldCharType="begin"/>
            </w:r>
            <w:r>
              <w:rPr>
                <w:noProof/>
                <w:webHidden/>
              </w:rPr>
              <w:instrText xml:space="preserve"> PAGEREF _Toc203641960 \h </w:instrText>
            </w:r>
            <w:r>
              <w:rPr>
                <w:noProof/>
                <w:webHidden/>
              </w:rPr>
            </w:r>
            <w:r>
              <w:rPr>
                <w:noProof/>
                <w:webHidden/>
              </w:rPr>
              <w:fldChar w:fldCharType="separate"/>
            </w:r>
            <w:r>
              <w:rPr>
                <w:noProof/>
                <w:webHidden/>
              </w:rPr>
              <w:t>79</w:t>
            </w:r>
            <w:r>
              <w:rPr>
                <w:noProof/>
                <w:webHidden/>
              </w:rPr>
              <w:fldChar w:fldCharType="end"/>
            </w:r>
          </w:hyperlink>
        </w:p>
        <w:p w14:paraId="36F18A01" w14:textId="423A7A93" w:rsidR="008338B6" w:rsidRDefault="008338B6">
          <w:pPr>
            <w:pStyle w:val="TOC2"/>
            <w:rPr>
              <w:rFonts w:asciiTheme="minorHAnsi" w:eastAsiaTheme="minorEastAsia" w:hAnsiTheme="minorHAnsi"/>
              <w:noProof/>
              <w:kern w:val="2"/>
              <w:lang w:eastAsia="en-NZ"/>
              <w14:ligatures w14:val="standardContextual"/>
            </w:rPr>
          </w:pPr>
          <w:hyperlink w:anchor="_Toc203641961" w:history="1">
            <w:r w:rsidRPr="006C11D8">
              <w:rPr>
                <w:rStyle w:val="Hyperlink"/>
                <w:noProof/>
              </w:rPr>
              <w:t>B5.1.</w:t>
            </w:r>
            <w:r>
              <w:rPr>
                <w:rFonts w:asciiTheme="minorHAnsi" w:eastAsiaTheme="minorEastAsia" w:hAnsiTheme="minorHAnsi"/>
                <w:noProof/>
                <w:kern w:val="2"/>
                <w:lang w:eastAsia="en-NZ"/>
                <w14:ligatures w14:val="standardContextual"/>
              </w:rPr>
              <w:tab/>
            </w:r>
            <w:r w:rsidRPr="006C11D8">
              <w:rPr>
                <w:rStyle w:val="Hyperlink"/>
                <w:noProof/>
              </w:rPr>
              <w:t>Vibration of Floors</w:t>
            </w:r>
            <w:r>
              <w:rPr>
                <w:noProof/>
                <w:webHidden/>
              </w:rPr>
              <w:tab/>
            </w:r>
            <w:r>
              <w:rPr>
                <w:noProof/>
                <w:webHidden/>
              </w:rPr>
              <w:fldChar w:fldCharType="begin"/>
            </w:r>
            <w:r>
              <w:rPr>
                <w:noProof/>
                <w:webHidden/>
              </w:rPr>
              <w:instrText xml:space="preserve"> PAGEREF _Toc203641961 \h </w:instrText>
            </w:r>
            <w:r>
              <w:rPr>
                <w:noProof/>
                <w:webHidden/>
              </w:rPr>
            </w:r>
            <w:r>
              <w:rPr>
                <w:noProof/>
                <w:webHidden/>
              </w:rPr>
              <w:fldChar w:fldCharType="separate"/>
            </w:r>
            <w:r>
              <w:rPr>
                <w:noProof/>
                <w:webHidden/>
              </w:rPr>
              <w:t>79</w:t>
            </w:r>
            <w:r>
              <w:rPr>
                <w:noProof/>
                <w:webHidden/>
              </w:rPr>
              <w:fldChar w:fldCharType="end"/>
            </w:r>
          </w:hyperlink>
        </w:p>
        <w:p w14:paraId="6B482B31" w14:textId="55E4660A" w:rsidR="008338B6" w:rsidRDefault="008338B6">
          <w:pPr>
            <w:pStyle w:val="TOC2"/>
            <w:rPr>
              <w:rFonts w:asciiTheme="minorHAnsi" w:eastAsiaTheme="minorEastAsia" w:hAnsiTheme="minorHAnsi"/>
              <w:noProof/>
              <w:kern w:val="2"/>
              <w:lang w:eastAsia="en-NZ"/>
              <w14:ligatures w14:val="standardContextual"/>
            </w:rPr>
          </w:pPr>
          <w:hyperlink w:anchor="_Toc203641962" w:history="1">
            <w:r w:rsidRPr="006C11D8">
              <w:rPr>
                <w:rStyle w:val="Hyperlink"/>
                <w:noProof/>
              </w:rPr>
              <w:t>B5.2.</w:t>
            </w:r>
            <w:r>
              <w:rPr>
                <w:rFonts w:asciiTheme="minorHAnsi" w:eastAsiaTheme="minorEastAsia" w:hAnsiTheme="minorHAnsi"/>
                <w:noProof/>
                <w:kern w:val="2"/>
                <w:lang w:eastAsia="en-NZ"/>
                <w14:ligatures w14:val="standardContextual"/>
              </w:rPr>
              <w:tab/>
            </w:r>
            <w:r w:rsidRPr="006C11D8">
              <w:rPr>
                <w:rStyle w:val="Hyperlink"/>
                <w:noProof/>
              </w:rPr>
              <w:t>Structural Performance in Fire</w:t>
            </w:r>
            <w:r>
              <w:rPr>
                <w:noProof/>
                <w:webHidden/>
              </w:rPr>
              <w:tab/>
            </w:r>
            <w:r>
              <w:rPr>
                <w:noProof/>
                <w:webHidden/>
              </w:rPr>
              <w:fldChar w:fldCharType="begin"/>
            </w:r>
            <w:r>
              <w:rPr>
                <w:noProof/>
                <w:webHidden/>
              </w:rPr>
              <w:instrText xml:space="preserve"> PAGEREF _Toc203641962 \h </w:instrText>
            </w:r>
            <w:r>
              <w:rPr>
                <w:noProof/>
                <w:webHidden/>
              </w:rPr>
            </w:r>
            <w:r>
              <w:rPr>
                <w:noProof/>
                <w:webHidden/>
              </w:rPr>
              <w:fldChar w:fldCharType="separate"/>
            </w:r>
            <w:r>
              <w:rPr>
                <w:noProof/>
                <w:webHidden/>
              </w:rPr>
              <w:t>86</w:t>
            </w:r>
            <w:r>
              <w:rPr>
                <w:noProof/>
                <w:webHidden/>
              </w:rPr>
              <w:fldChar w:fldCharType="end"/>
            </w:r>
          </w:hyperlink>
        </w:p>
        <w:p w14:paraId="4AADE70B" w14:textId="3C32C75A"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63" w:history="1">
            <w:r w:rsidRPr="006C11D8">
              <w:rPr>
                <w:rStyle w:val="Hyperlink"/>
                <w:noProof/>
              </w:rPr>
              <w:t>B6.</w:t>
            </w:r>
            <w:r>
              <w:rPr>
                <w:rFonts w:asciiTheme="minorHAnsi" w:eastAsiaTheme="minorEastAsia" w:hAnsiTheme="minorHAnsi"/>
                <w:b w:val="0"/>
                <w:noProof/>
                <w:kern w:val="2"/>
                <w:lang w:eastAsia="en-NZ"/>
                <w14:ligatures w14:val="standardContextual"/>
              </w:rPr>
              <w:tab/>
            </w:r>
            <w:r w:rsidRPr="006C11D8">
              <w:rPr>
                <w:rStyle w:val="Hyperlink"/>
                <w:noProof/>
              </w:rPr>
              <w:t>Structural Requirements for Adaptable Spaces</w:t>
            </w:r>
            <w:r>
              <w:rPr>
                <w:noProof/>
                <w:webHidden/>
              </w:rPr>
              <w:tab/>
            </w:r>
            <w:r>
              <w:rPr>
                <w:noProof/>
                <w:webHidden/>
              </w:rPr>
              <w:fldChar w:fldCharType="begin"/>
            </w:r>
            <w:r>
              <w:rPr>
                <w:noProof/>
                <w:webHidden/>
              </w:rPr>
              <w:instrText xml:space="preserve"> PAGEREF _Toc203641963 \h </w:instrText>
            </w:r>
            <w:r>
              <w:rPr>
                <w:noProof/>
                <w:webHidden/>
              </w:rPr>
            </w:r>
            <w:r>
              <w:rPr>
                <w:noProof/>
                <w:webHidden/>
              </w:rPr>
              <w:fldChar w:fldCharType="separate"/>
            </w:r>
            <w:r>
              <w:rPr>
                <w:noProof/>
                <w:webHidden/>
              </w:rPr>
              <w:t>91</w:t>
            </w:r>
            <w:r>
              <w:rPr>
                <w:noProof/>
                <w:webHidden/>
              </w:rPr>
              <w:fldChar w:fldCharType="end"/>
            </w:r>
          </w:hyperlink>
        </w:p>
        <w:p w14:paraId="0C856EBC" w14:textId="14402D77" w:rsidR="008338B6" w:rsidRDefault="008338B6">
          <w:pPr>
            <w:pStyle w:val="TOC2"/>
            <w:rPr>
              <w:rFonts w:asciiTheme="minorHAnsi" w:eastAsiaTheme="minorEastAsia" w:hAnsiTheme="minorHAnsi"/>
              <w:noProof/>
              <w:kern w:val="2"/>
              <w:lang w:eastAsia="en-NZ"/>
              <w14:ligatures w14:val="standardContextual"/>
            </w:rPr>
          </w:pPr>
          <w:hyperlink w:anchor="_Toc203641964" w:history="1">
            <w:r w:rsidRPr="006C11D8">
              <w:rPr>
                <w:rStyle w:val="Hyperlink"/>
                <w:noProof/>
              </w:rPr>
              <w:t>B6.1.</w:t>
            </w:r>
            <w:r>
              <w:rPr>
                <w:rFonts w:asciiTheme="minorHAnsi" w:eastAsiaTheme="minorEastAsia" w:hAnsiTheme="minorHAnsi"/>
                <w:noProof/>
                <w:kern w:val="2"/>
                <w:lang w:eastAsia="en-NZ"/>
                <w14:ligatures w14:val="standardContextual"/>
              </w:rPr>
              <w:tab/>
            </w:r>
            <w:r w:rsidRPr="006C11D8">
              <w:rPr>
                <w:rStyle w:val="Hyperlink"/>
                <w:noProof/>
              </w:rPr>
              <w:t>Spatial Planning</w:t>
            </w:r>
            <w:r>
              <w:rPr>
                <w:noProof/>
                <w:webHidden/>
              </w:rPr>
              <w:tab/>
            </w:r>
            <w:r>
              <w:rPr>
                <w:noProof/>
                <w:webHidden/>
              </w:rPr>
              <w:fldChar w:fldCharType="begin"/>
            </w:r>
            <w:r>
              <w:rPr>
                <w:noProof/>
                <w:webHidden/>
              </w:rPr>
              <w:instrText xml:space="preserve"> PAGEREF _Toc203641964 \h </w:instrText>
            </w:r>
            <w:r>
              <w:rPr>
                <w:noProof/>
                <w:webHidden/>
              </w:rPr>
            </w:r>
            <w:r>
              <w:rPr>
                <w:noProof/>
                <w:webHidden/>
              </w:rPr>
              <w:fldChar w:fldCharType="separate"/>
            </w:r>
            <w:r>
              <w:rPr>
                <w:noProof/>
                <w:webHidden/>
              </w:rPr>
              <w:t>91</w:t>
            </w:r>
            <w:r>
              <w:rPr>
                <w:noProof/>
                <w:webHidden/>
              </w:rPr>
              <w:fldChar w:fldCharType="end"/>
            </w:r>
          </w:hyperlink>
        </w:p>
        <w:p w14:paraId="75F5DEB0" w14:textId="58ACBE2F" w:rsidR="008338B6" w:rsidRDefault="008338B6">
          <w:pPr>
            <w:pStyle w:val="TOC2"/>
            <w:rPr>
              <w:rFonts w:asciiTheme="minorHAnsi" w:eastAsiaTheme="minorEastAsia" w:hAnsiTheme="minorHAnsi"/>
              <w:noProof/>
              <w:kern w:val="2"/>
              <w:lang w:eastAsia="en-NZ"/>
              <w14:ligatures w14:val="standardContextual"/>
            </w:rPr>
          </w:pPr>
          <w:hyperlink w:anchor="_Toc203641965" w:history="1">
            <w:r w:rsidRPr="006C11D8">
              <w:rPr>
                <w:rStyle w:val="Hyperlink"/>
                <w:noProof/>
              </w:rPr>
              <w:t>B6.2.</w:t>
            </w:r>
            <w:r>
              <w:rPr>
                <w:rFonts w:asciiTheme="minorHAnsi" w:eastAsiaTheme="minorEastAsia" w:hAnsiTheme="minorHAnsi"/>
                <w:noProof/>
                <w:kern w:val="2"/>
                <w:lang w:eastAsia="en-NZ"/>
                <w14:ligatures w14:val="standardContextual"/>
              </w:rPr>
              <w:tab/>
            </w:r>
            <w:r w:rsidRPr="006C11D8">
              <w:rPr>
                <w:rStyle w:val="Hyperlink"/>
                <w:noProof/>
              </w:rPr>
              <w:t>Adaptable Floor Structures</w:t>
            </w:r>
            <w:r>
              <w:rPr>
                <w:noProof/>
                <w:webHidden/>
              </w:rPr>
              <w:tab/>
            </w:r>
            <w:r>
              <w:rPr>
                <w:noProof/>
                <w:webHidden/>
              </w:rPr>
              <w:fldChar w:fldCharType="begin"/>
            </w:r>
            <w:r>
              <w:rPr>
                <w:noProof/>
                <w:webHidden/>
              </w:rPr>
              <w:instrText xml:space="preserve"> PAGEREF _Toc203641965 \h </w:instrText>
            </w:r>
            <w:r>
              <w:rPr>
                <w:noProof/>
                <w:webHidden/>
              </w:rPr>
            </w:r>
            <w:r>
              <w:rPr>
                <w:noProof/>
                <w:webHidden/>
              </w:rPr>
              <w:fldChar w:fldCharType="separate"/>
            </w:r>
            <w:r>
              <w:rPr>
                <w:noProof/>
                <w:webHidden/>
              </w:rPr>
              <w:t>92</w:t>
            </w:r>
            <w:r>
              <w:rPr>
                <w:noProof/>
                <w:webHidden/>
              </w:rPr>
              <w:fldChar w:fldCharType="end"/>
            </w:r>
          </w:hyperlink>
        </w:p>
        <w:p w14:paraId="746CEF35" w14:textId="536773CB" w:rsidR="008338B6" w:rsidRDefault="008338B6">
          <w:pPr>
            <w:pStyle w:val="TOC2"/>
            <w:rPr>
              <w:rFonts w:asciiTheme="minorHAnsi" w:eastAsiaTheme="minorEastAsia" w:hAnsiTheme="minorHAnsi"/>
              <w:noProof/>
              <w:kern w:val="2"/>
              <w:lang w:eastAsia="en-NZ"/>
              <w14:ligatures w14:val="standardContextual"/>
            </w:rPr>
          </w:pPr>
          <w:hyperlink w:anchor="_Toc203641966" w:history="1">
            <w:r w:rsidRPr="006C11D8">
              <w:rPr>
                <w:rStyle w:val="Hyperlink"/>
                <w:noProof/>
              </w:rPr>
              <w:t>B6.3.</w:t>
            </w:r>
            <w:r>
              <w:rPr>
                <w:rFonts w:asciiTheme="minorHAnsi" w:eastAsiaTheme="minorEastAsia" w:hAnsiTheme="minorHAnsi"/>
                <w:noProof/>
                <w:kern w:val="2"/>
                <w:lang w:eastAsia="en-NZ"/>
                <w14:ligatures w14:val="standardContextual"/>
              </w:rPr>
              <w:tab/>
            </w:r>
            <w:r w:rsidRPr="006C11D8">
              <w:rPr>
                <w:rStyle w:val="Hyperlink"/>
                <w:noProof/>
              </w:rPr>
              <w:t>Floor to Floor Height and Ceiling Plenum</w:t>
            </w:r>
            <w:r>
              <w:rPr>
                <w:noProof/>
                <w:webHidden/>
              </w:rPr>
              <w:tab/>
            </w:r>
            <w:r>
              <w:rPr>
                <w:noProof/>
                <w:webHidden/>
              </w:rPr>
              <w:fldChar w:fldCharType="begin"/>
            </w:r>
            <w:r>
              <w:rPr>
                <w:noProof/>
                <w:webHidden/>
              </w:rPr>
              <w:instrText xml:space="preserve"> PAGEREF _Toc203641966 \h </w:instrText>
            </w:r>
            <w:r>
              <w:rPr>
                <w:noProof/>
                <w:webHidden/>
              </w:rPr>
            </w:r>
            <w:r>
              <w:rPr>
                <w:noProof/>
                <w:webHidden/>
              </w:rPr>
              <w:fldChar w:fldCharType="separate"/>
            </w:r>
            <w:r>
              <w:rPr>
                <w:noProof/>
                <w:webHidden/>
              </w:rPr>
              <w:t>94</w:t>
            </w:r>
            <w:r>
              <w:rPr>
                <w:noProof/>
                <w:webHidden/>
              </w:rPr>
              <w:fldChar w:fldCharType="end"/>
            </w:r>
          </w:hyperlink>
        </w:p>
        <w:p w14:paraId="1221CC67" w14:textId="116D0ED2"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67" w:history="1">
            <w:r w:rsidRPr="006C11D8">
              <w:rPr>
                <w:rStyle w:val="Hyperlink"/>
                <w:noProof/>
              </w:rPr>
              <w:t>B7.</w:t>
            </w:r>
            <w:r>
              <w:rPr>
                <w:rFonts w:asciiTheme="minorHAnsi" w:eastAsiaTheme="minorEastAsia" w:hAnsiTheme="minorHAnsi"/>
                <w:b w:val="0"/>
                <w:noProof/>
                <w:kern w:val="2"/>
                <w:lang w:eastAsia="en-NZ"/>
                <w14:ligatures w14:val="standardContextual"/>
              </w:rPr>
              <w:tab/>
            </w:r>
            <w:r w:rsidRPr="006C11D8">
              <w:rPr>
                <w:rStyle w:val="Hyperlink"/>
                <w:noProof/>
              </w:rPr>
              <w:t>Alterations to Existing Buildings</w:t>
            </w:r>
            <w:r>
              <w:rPr>
                <w:noProof/>
                <w:webHidden/>
              </w:rPr>
              <w:tab/>
            </w:r>
            <w:r>
              <w:rPr>
                <w:noProof/>
                <w:webHidden/>
              </w:rPr>
              <w:fldChar w:fldCharType="begin"/>
            </w:r>
            <w:r>
              <w:rPr>
                <w:noProof/>
                <w:webHidden/>
              </w:rPr>
              <w:instrText xml:space="preserve"> PAGEREF _Toc203641967 \h </w:instrText>
            </w:r>
            <w:r>
              <w:rPr>
                <w:noProof/>
                <w:webHidden/>
              </w:rPr>
            </w:r>
            <w:r>
              <w:rPr>
                <w:noProof/>
                <w:webHidden/>
              </w:rPr>
              <w:fldChar w:fldCharType="separate"/>
            </w:r>
            <w:r>
              <w:rPr>
                <w:noProof/>
                <w:webHidden/>
              </w:rPr>
              <w:t>96</w:t>
            </w:r>
            <w:r>
              <w:rPr>
                <w:noProof/>
                <w:webHidden/>
              </w:rPr>
              <w:fldChar w:fldCharType="end"/>
            </w:r>
          </w:hyperlink>
        </w:p>
        <w:p w14:paraId="35AB408B" w14:textId="2C2C1246" w:rsidR="008338B6" w:rsidRDefault="008338B6">
          <w:pPr>
            <w:pStyle w:val="TOC2"/>
            <w:rPr>
              <w:rFonts w:asciiTheme="minorHAnsi" w:eastAsiaTheme="minorEastAsia" w:hAnsiTheme="minorHAnsi"/>
              <w:noProof/>
              <w:kern w:val="2"/>
              <w:lang w:eastAsia="en-NZ"/>
              <w14:ligatures w14:val="standardContextual"/>
            </w:rPr>
          </w:pPr>
          <w:hyperlink w:anchor="_Toc203641968" w:history="1">
            <w:r w:rsidRPr="006C11D8">
              <w:rPr>
                <w:rStyle w:val="Hyperlink"/>
                <w:noProof/>
              </w:rPr>
              <w:t>B7.1.</w:t>
            </w:r>
            <w:r>
              <w:rPr>
                <w:rFonts w:asciiTheme="minorHAnsi" w:eastAsiaTheme="minorEastAsia" w:hAnsiTheme="minorHAnsi"/>
                <w:noProof/>
                <w:kern w:val="2"/>
                <w:lang w:eastAsia="en-NZ"/>
                <w14:ligatures w14:val="standardContextual"/>
              </w:rPr>
              <w:tab/>
            </w:r>
            <w:r w:rsidRPr="006C11D8">
              <w:rPr>
                <w:rStyle w:val="Hyperlink"/>
                <w:noProof/>
              </w:rPr>
              <w:t>General</w:t>
            </w:r>
            <w:r>
              <w:rPr>
                <w:noProof/>
                <w:webHidden/>
              </w:rPr>
              <w:tab/>
            </w:r>
            <w:r>
              <w:rPr>
                <w:noProof/>
                <w:webHidden/>
              </w:rPr>
              <w:fldChar w:fldCharType="begin"/>
            </w:r>
            <w:r>
              <w:rPr>
                <w:noProof/>
                <w:webHidden/>
              </w:rPr>
              <w:instrText xml:space="preserve"> PAGEREF _Toc203641968 \h </w:instrText>
            </w:r>
            <w:r>
              <w:rPr>
                <w:noProof/>
                <w:webHidden/>
              </w:rPr>
            </w:r>
            <w:r>
              <w:rPr>
                <w:noProof/>
                <w:webHidden/>
              </w:rPr>
              <w:fldChar w:fldCharType="separate"/>
            </w:r>
            <w:r>
              <w:rPr>
                <w:noProof/>
                <w:webHidden/>
              </w:rPr>
              <w:t>96</w:t>
            </w:r>
            <w:r>
              <w:rPr>
                <w:noProof/>
                <w:webHidden/>
              </w:rPr>
              <w:fldChar w:fldCharType="end"/>
            </w:r>
          </w:hyperlink>
        </w:p>
        <w:p w14:paraId="05D7E606" w14:textId="0D4EFD8A" w:rsidR="008338B6" w:rsidRDefault="008338B6">
          <w:pPr>
            <w:pStyle w:val="TOC2"/>
            <w:rPr>
              <w:rFonts w:asciiTheme="minorHAnsi" w:eastAsiaTheme="minorEastAsia" w:hAnsiTheme="minorHAnsi"/>
              <w:noProof/>
              <w:kern w:val="2"/>
              <w:lang w:eastAsia="en-NZ"/>
              <w14:ligatures w14:val="standardContextual"/>
            </w:rPr>
          </w:pPr>
          <w:hyperlink w:anchor="_Toc203641969" w:history="1">
            <w:r w:rsidRPr="006C11D8">
              <w:rPr>
                <w:rStyle w:val="Hyperlink"/>
                <w:noProof/>
              </w:rPr>
              <w:t>B7.2.</w:t>
            </w:r>
            <w:r>
              <w:rPr>
                <w:rFonts w:asciiTheme="minorHAnsi" w:eastAsiaTheme="minorEastAsia" w:hAnsiTheme="minorHAnsi"/>
                <w:noProof/>
                <w:kern w:val="2"/>
                <w:lang w:eastAsia="en-NZ"/>
                <w14:ligatures w14:val="standardContextual"/>
              </w:rPr>
              <w:tab/>
            </w:r>
            <w:r w:rsidRPr="006C11D8">
              <w:rPr>
                <w:rStyle w:val="Hyperlink"/>
                <w:noProof/>
              </w:rPr>
              <w:t>Minor Alterations</w:t>
            </w:r>
            <w:r>
              <w:rPr>
                <w:noProof/>
                <w:webHidden/>
              </w:rPr>
              <w:tab/>
            </w:r>
            <w:r>
              <w:rPr>
                <w:noProof/>
                <w:webHidden/>
              </w:rPr>
              <w:fldChar w:fldCharType="begin"/>
            </w:r>
            <w:r>
              <w:rPr>
                <w:noProof/>
                <w:webHidden/>
              </w:rPr>
              <w:instrText xml:space="preserve"> PAGEREF _Toc203641969 \h </w:instrText>
            </w:r>
            <w:r>
              <w:rPr>
                <w:noProof/>
                <w:webHidden/>
              </w:rPr>
            </w:r>
            <w:r>
              <w:rPr>
                <w:noProof/>
                <w:webHidden/>
              </w:rPr>
              <w:fldChar w:fldCharType="separate"/>
            </w:r>
            <w:r>
              <w:rPr>
                <w:noProof/>
                <w:webHidden/>
              </w:rPr>
              <w:t>100</w:t>
            </w:r>
            <w:r>
              <w:rPr>
                <w:noProof/>
                <w:webHidden/>
              </w:rPr>
              <w:fldChar w:fldCharType="end"/>
            </w:r>
          </w:hyperlink>
        </w:p>
        <w:p w14:paraId="46A01945" w14:textId="700DE4A3" w:rsidR="008338B6" w:rsidRDefault="008338B6">
          <w:pPr>
            <w:pStyle w:val="TOC2"/>
            <w:rPr>
              <w:rFonts w:asciiTheme="minorHAnsi" w:eastAsiaTheme="minorEastAsia" w:hAnsiTheme="minorHAnsi"/>
              <w:noProof/>
              <w:kern w:val="2"/>
              <w:lang w:eastAsia="en-NZ"/>
              <w14:ligatures w14:val="standardContextual"/>
            </w:rPr>
          </w:pPr>
          <w:hyperlink w:anchor="_Toc203641970" w:history="1">
            <w:r w:rsidRPr="006C11D8">
              <w:rPr>
                <w:rStyle w:val="Hyperlink"/>
                <w:noProof/>
              </w:rPr>
              <w:t>B7.3.</w:t>
            </w:r>
            <w:r>
              <w:rPr>
                <w:rFonts w:asciiTheme="minorHAnsi" w:eastAsiaTheme="minorEastAsia" w:hAnsiTheme="minorHAnsi"/>
                <w:noProof/>
                <w:kern w:val="2"/>
                <w:lang w:eastAsia="en-NZ"/>
                <w14:ligatures w14:val="standardContextual"/>
              </w:rPr>
              <w:tab/>
            </w:r>
            <w:r w:rsidRPr="006C11D8">
              <w:rPr>
                <w:rStyle w:val="Hyperlink"/>
                <w:noProof/>
              </w:rPr>
              <w:t>Significant Alterations and Additions</w:t>
            </w:r>
            <w:r>
              <w:rPr>
                <w:noProof/>
                <w:webHidden/>
              </w:rPr>
              <w:tab/>
            </w:r>
            <w:r>
              <w:rPr>
                <w:noProof/>
                <w:webHidden/>
              </w:rPr>
              <w:fldChar w:fldCharType="begin"/>
            </w:r>
            <w:r>
              <w:rPr>
                <w:noProof/>
                <w:webHidden/>
              </w:rPr>
              <w:instrText xml:space="preserve"> PAGEREF _Toc203641970 \h </w:instrText>
            </w:r>
            <w:r>
              <w:rPr>
                <w:noProof/>
                <w:webHidden/>
              </w:rPr>
            </w:r>
            <w:r>
              <w:rPr>
                <w:noProof/>
                <w:webHidden/>
              </w:rPr>
              <w:fldChar w:fldCharType="separate"/>
            </w:r>
            <w:r>
              <w:rPr>
                <w:noProof/>
                <w:webHidden/>
              </w:rPr>
              <w:t>102</w:t>
            </w:r>
            <w:r>
              <w:rPr>
                <w:noProof/>
                <w:webHidden/>
              </w:rPr>
              <w:fldChar w:fldCharType="end"/>
            </w:r>
          </w:hyperlink>
        </w:p>
        <w:p w14:paraId="06F6428A" w14:textId="5B62172C" w:rsidR="008338B6" w:rsidRDefault="008338B6">
          <w:pPr>
            <w:pStyle w:val="TOC2"/>
            <w:rPr>
              <w:rFonts w:asciiTheme="minorHAnsi" w:eastAsiaTheme="minorEastAsia" w:hAnsiTheme="minorHAnsi"/>
              <w:noProof/>
              <w:kern w:val="2"/>
              <w:lang w:eastAsia="en-NZ"/>
              <w14:ligatures w14:val="standardContextual"/>
            </w:rPr>
          </w:pPr>
          <w:hyperlink w:anchor="_Toc203641971" w:history="1">
            <w:r w:rsidRPr="006C11D8">
              <w:rPr>
                <w:rStyle w:val="Hyperlink"/>
                <w:noProof/>
              </w:rPr>
              <w:t>B7.4.</w:t>
            </w:r>
            <w:r>
              <w:rPr>
                <w:rFonts w:asciiTheme="minorHAnsi" w:eastAsiaTheme="minorEastAsia" w:hAnsiTheme="minorHAnsi"/>
                <w:noProof/>
                <w:kern w:val="2"/>
                <w:lang w:eastAsia="en-NZ"/>
                <w14:ligatures w14:val="standardContextual"/>
              </w:rPr>
              <w:tab/>
            </w:r>
            <w:r w:rsidRPr="006C11D8">
              <w:rPr>
                <w:rStyle w:val="Hyperlink"/>
                <w:noProof/>
              </w:rPr>
              <w:t>Changing the Service Functions of an Existing Building</w:t>
            </w:r>
            <w:r>
              <w:rPr>
                <w:noProof/>
                <w:webHidden/>
              </w:rPr>
              <w:tab/>
            </w:r>
            <w:r>
              <w:rPr>
                <w:noProof/>
                <w:webHidden/>
              </w:rPr>
              <w:fldChar w:fldCharType="begin"/>
            </w:r>
            <w:r>
              <w:rPr>
                <w:noProof/>
                <w:webHidden/>
              </w:rPr>
              <w:instrText xml:space="preserve"> PAGEREF _Toc203641971 \h </w:instrText>
            </w:r>
            <w:r>
              <w:rPr>
                <w:noProof/>
                <w:webHidden/>
              </w:rPr>
            </w:r>
            <w:r>
              <w:rPr>
                <w:noProof/>
                <w:webHidden/>
              </w:rPr>
              <w:fldChar w:fldCharType="separate"/>
            </w:r>
            <w:r>
              <w:rPr>
                <w:noProof/>
                <w:webHidden/>
              </w:rPr>
              <w:t>107</w:t>
            </w:r>
            <w:r>
              <w:rPr>
                <w:noProof/>
                <w:webHidden/>
              </w:rPr>
              <w:fldChar w:fldCharType="end"/>
            </w:r>
          </w:hyperlink>
        </w:p>
        <w:p w14:paraId="30634CC6" w14:textId="2A32131B" w:rsidR="008338B6" w:rsidRDefault="008338B6">
          <w:pPr>
            <w:pStyle w:val="TOC2"/>
            <w:rPr>
              <w:rFonts w:asciiTheme="minorHAnsi" w:eastAsiaTheme="minorEastAsia" w:hAnsiTheme="minorHAnsi"/>
              <w:noProof/>
              <w:kern w:val="2"/>
              <w:lang w:eastAsia="en-NZ"/>
              <w14:ligatures w14:val="standardContextual"/>
            </w:rPr>
          </w:pPr>
          <w:hyperlink w:anchor="_Toc203641972" w:history="1">
            <w:r w:rsidRPr="006C11D8">
              <w:rPr>
                <w:rStyle w:val="Hyperlink"/>
                <w:noProof/>
              </w:rPr>
              <w:t>B7.5.</w:t>
            </w:r>
            <w:r>
              <w:rPr>
                <w:rFonts w:asciiTheme="minorHAnsi" w:eastAsiaTheme="minorEastAsia" w:hAnsiTheme="minorHAnsi"/>
                <w:noProof/>
                <w:kern w:val="2"/>
                <w:lang w:eastAsia="en-NZ"/>
                <w14:ligatures w14:val="standardContextual"/>
              </w:rPr>
              <w:tab/>
            </w:r>
            <w:r w:rsidRPr="006C11D8">
              <w:rPr>
                <w:rStyle w:val="Hyperlink"/>
                <w:noProof/>
              </w:rPr>
              <w:t>Applying ANARP</w:t>
            </w:r>
            <w:r>
              <w:rPr>
                <w:noProof/>
                <w:webHidden/>
              </w:rPr>
              <w:tab/>
            </w:r>
            <w:r>
              <w:rPr>
                <w:noProof/>
                <w:webHidden/>
              </w:rPr>
              <w:fldChar w:fldCharType="begin"/>
            </w:r>
            <w:r>
              <w:rPr>
                <w:noProof/>
                <w:webHidden/>
              </w:rPr>
              <w:instrText xml:space="preserve"> PAGEREF _Toc203641972 \h </w:instrText>
            </w:r>
            <w:r>
              <w:rPr>
                <w:noProof/>
                <w:webHidden/>
              </w:rPr>
            </w:r>
            <w:r>
              <w:rPr>
                <w:noProof/>
                <w:webHidden/>
              </w:rPr>
              <w:fldChar w:fldCharType="separate"/>
            </w:r>
            <w:r>
              <w:rPr>
                <w:noProof/>
                <w:webHidden/>
              </w:rPr>
              <w:t>107</w:t>
            </w:r>
            <w:r>
              <w:rPr>
                <w:noProof/>
                <w:webHidden/>
              </w:rPr>
              <w:fldChar w:fldCharType="end"/>
            </w:r>
          </w:hyperlink>
        </w:p>
        <w:p w14:paraId="6C851AF3" w14:textId="38DB2B43" w:rsidR="008338B6" w:rsidRDefault="008338B6">
          <w:pPr>
            <w:pStyle w:val="TOC2"/>
            <w:rPr>
              <w:rFonts w:asciiTheme="minorHAnsi" w:eastAsiaTheme="minorEastAsia" w:hAnsiTheme="minorHAnsi"/>
              <w:noProof/>
              <w:kern w:val="2"/>
              <w:lang w:eastAsia="en-NZ"/>
              <w14:ligatures w14:val="standardContextual"/>
            </w:rPr>
          </w:pPr>
          <w:hyperlink w:anchor="_Toc203641973" w:history="1">
            <w:r w:rsidRPr="006C11D8">
              <w:rPr>
                <w:rStyle w:val="Hyperlink"/>
                <w:noProof/>
              </w:rPr>
              <w:t>B7.6.</w:t>
            </w:r>
            <w:r>
              <w:rPr>
                <w:rFonts w:asciiTheme="minorHAnsi" w:eastAsiaTheme="minorEastAsia" w:hAnsiTheme="minorHAnsi"/>
                <w:noProof/>
                <w:kern w:val="2"/>
                <w:lang w:eastAsia="en-NZ"/>
                <w14:ligatures w14:val="standardContextual"/>
              </w:rPr>
              <w:tab/>
            </w:r>
            <w:r w:rsidRPr="006C11D8">
              <w:rPr>
                <w:rStyle w:val="Hyperlink"/>
                <w:noProof/>
              </w:rPr>
              <w:t>Compliance and Producer Statements</w:t>
            </w:r>
            <w:r>
              <w:rPr>
                <w:noProof/>
                <w:webHidden/>
              </w:rPr>
              <w:tab/>
            </w:r>
            <w:r>
              <w:rPr>
                <w:noProof/>
                <w:webHidden/>
              </w:rPr>
              <w:fldChar w:fldCharType="begin"/>
            </w:r>
            <w:r>
              <w:rPr>
                <w:noProof/>
                <w:webHidden/>
              </w:rPr>
              <w:instrText xml:space="preserve"> PAGEREF _Toc203641973 \h </w:instrText>
            </w:r>
            <w:r>
              <w:rPr>
                <w:noProof/>
                <w:webHidden/>
              </w:rPr>
            </w:r>
            <w:r>
              <w:rPr>
                <w:noProof/>
                <w:webHidden/>
              </w:rPr>
              <w:fldChar w:fldCharType="separate"/>
            </w:r>
            <w:r>
              <w:rPr>
                <w:noProof/>
                <w:webHidden/>
              </w:rPr>
              <w:t>110</w:t>
            </w:r>
            <w:r>
              <w:rPr>
                <w:noProof/>
                <w:webHidden/>
              </w:rPr>
              <w:fldChar w:fldCharType="end"/>
            </w:r>
          </w:hyperlink>
        </w:p>
        <w:p w14:paraId="4967C002" w14:textId="5E867F19"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74" w:history="1">
            <w:r w:rsidRPr="006C11D8">
              <w:rPr>
                <w:rStyle w:val="Hyperlink"/>
                <w:noProof/>
              </w:rPr>
              <w:t>B8.</w:t>
            </w:r>
            <w:r>
              <w:rPr>
                <w:rFonts w:asciiTheme="minorHAnsi" w:eastAsiaTheme="minorEastAsia" w:hAnsiTheme="minorHAnsi"/>
                <w:b w:val="0"/>
                <w:noProof/>
                <w:kern w:val="2"/>
                <w:lang w:eastAsia="en-NZ"/>
                <w14:ligatures w14:val="standardContextual"/>
              </w:rPr>
              <w:tab/>
            </w:r>
            <w:r w:rsidRPr="006C11D8">
              <w:rPr>
                <w:rStyle w:val="Hyperlink"/>
                <w:noProof/>
              </w:rPr>
              <w:t>Seismic Assessment and Retrofit Work</w:t>
            </w:r>
            <w:r>
              <w:rPr>
                <w:noProof/>
                <w:webHidden/>
              </w:rPr>
              <w:tab/>
            </w:r>
            <w:r>
              <w:rPr>
                <w:noProof/>
                <w:webHidden/>
              </w:rPr>
              <w:fldChar w:fldCharType="begin"/>
            </w:r>
            <w:r>
              <w:rPr>
                <w:noProof/>
                <w:webHidden/>
              </w:rPr>
              <w:instrText xml:space="preserve"> PAGEREF _Toc203641974 \h </w:instrText>
            </w:r>
            <w:r>
              <w:rPr>
                <w:noProof/>
                <w:webHidden/>
              </w:rPr>
            </w:r>
            <w:r>
              <w:rPr>
                <w:noProof/>
                <w:webHidden/>
              </w:rPr>
              <w:fldChar w:fldCharType="separate"/>
            </w:r>
            <w:r>
              <w:rPr>
                <w:noProof/>
                <w:webHidden/>
              </w:rPr>
              <w:t>111</w:t>
            </w:r>
            <w:r>
              <w:rPr>
                <w:noProof/>
                <w:webHidden/>
              </w:rPr>
              <w:fldChar w:fldCharType="end"/>
            </w:r>
          </w:hyperlink>
        </w:p>
        <w:p w14:paraId="2C3DDD93" w14:textId="2F31CFB9" w:rsidR="008338B6" w:rsidRDefault="008338B6">
          <w:pPr>
            <w:pStyle w:val="TOC2"/>
            <w:rPr>
              <w:rFonts w:asciiTheme="minorHAnsi" w:eastAsiaTheme="minorEastAsia" w:hAnsiTheme="minorHAnsi"/>
              <w:noProof/>
              <w:kern w:val="2"/>
              <w:lang w:eastAsia="en-NZ"/>
              <w14:ligatures w14:val="standardContextual"/>
            </w:rPr>
          </w:pPr>
          <w:hyperlink w:anchor="_Toc203641975" w:history="1">
            <w:r w:rsidRPr="006C11D8">
              <w:rPr>
                <w:rStyle w:val="Hyperlink"/>
                <w:noProof/>
              </w:rPr>
              <w:t>B8.1.</w:t>
            </w:r>
            <w:r>
              <w:rPr>
                <w:rFonts w:asciiTheme="minorHAnsi" w:eastAsiaTheme="minorEastAsia" w:hAnsiTheme="minorHAnsi"/>
                <w:noProof/>
                <w:kern w:val="2"/>
                <w:lang w:eastAsia="en-NZ"/>
                <w14:ligatures w14:val="standardContextual"/>
              </w:rPr>
              <w:tab/>
            </w:r>
            <w:r w:rsidRPr="006C11D8">
              <w:rPr>
                <w:rStyle w:val="Hyperlink"/>
                <w:noProof/>
              </w:rPr>
              <w:t>Health NZ Seismic Policy</w:t>
            </w:r>
            <w:r>
              <w:rPr>
                <w:noProof/>
                <w:webHidden/>
              </w:rPr>
              <w:tab/>
            </w:r>
            <w:r>
              <w:rPr>
                <w:noProof/>
                <w:webHidden/>
              </w:rPr>
              <w:fldChar w:fldCharType="begin"/>
            </w:r>
            <w:r>
              <w:rPr>
                <w:noProof/>
                <w:webHidden/>
              </w:rPr>
              <w:instrText xml:space="preserve"> PAGEREF _Toc203641975 \h </w:instrText>
            </w:r>
            <w:r>
              <w:rPr>
                <w:noProof/>
                <w:webHidden/>
              </w:rPr>
            </w:r>
            <w:r>
              <w:rPr>
                <w:noProof/>
                <w:webHidden/>
              </w:rPr>
              <w:fldChar w:fldCharType="separate"/>
            </w:r>
            <w:r>
              <w:rPr>
                <w:noProof/>
                <w:webHidden/>
              </w:rPr>
              <w:t>111</w:t>
            </w:r>
            <w:r>
              <w:rPr>
                <w:noProof/>
                <w:webHidden/>
              </w:rPr>
              <w:fldChar w:fldCharType="end"/>
            </w:r>
          </w:hyperlink>
        </w:p>
        <w:p w14:paraId="5C6A29DE" w14:textId="3F006069" w:rsidR="008338B6" w:rsidRDefault="008338B6">
          <w:pPr>
            <w:pStyle w:val="TOC2"/>
            <w:rPr>
              <w:rFonts w:asciiTheme="minorHAnsi" w:eastAsiaTheme="minorEastAsia" w:hAnsiTheme="minorHAnsi"/>
              <w:noProof/>
              <w:kern w:val="2"/>
              <w:lang w:eastAsia="en-NZ"/>
              <w14:ligatures w14:val="standardContextual"/>
            </w:rPr>
          </w:pPr>
          <w:hyperlink w:anchor="_Toc203641976" w:history="1">
            <w:r w:rsidRPr="006C11D8">
              <w:rPr>
                <w:rStyle w:val="Hyperlink"/>
                <w:noProof/>
              </w:rPr>
              <w:t>B8.2.</w:t>
            </w:r>
            <w:r>
              <w:rPr>
                <w:rFonts w:asciiTheme="minorHAnsi" w:eastAsiaTheme="minorEastAsia" w:hAnsiTheme="minorHAnsi"/>
                <w:noProof/>
                <w:kern w:val="2"/>
                <w:lang w:eastAsia="en-NZ"/>
                <w14:ligatures w14:val="standardContextual"/>
              </w:rPr>
              <w:tab/>
            </w:r>
            <w:r w:rsidRPr="006C11D8">
              <w:rPr>
                <w:rStyle w:val="Hyperlink"/>
                <w:noProof/>
              </w:rPr>
              <w:t>Seismic Assessment for Life Safety Purposes</w:t>
            </w:r>
            <w:r>
              <w:rPr>
                <w:noProof/>
                <w:webHidden/>
              </w:rPr>
              <w:tab/>
            </w:r>
            <w:r>
              <w:rPr>
                <w:noProof/>
                <w:webHidden/>
              </w:rPr>
              <w:fldChar w:fldCharType="begin"/>
            </w:r>
            <w:r>
              <w:rPr>
                <w:noProof/>
                <w:webHidden/>
              </w:rPr>
              <w:instrText xml:space="preserve"> PAGEREF _Toc203641976 \h </w:instrText>
            </w:r>
            <w:r>
              <w:rPr>
                <w:noProof/>
                <w:webHidden/>
              </w:rPr>
            </w:r>
            <w:r>
              <w:rPr>
                <w:noProof/>
                <w:webHidden/>
              </w:rPr>
              <w:fldChar w:fldCharType="separate"/>
            </w:r>
            <w:r>
              <w:rPr>
                <w:noProof/>
                <w:webHidden/>
              </w:rPr>
              <w:t>113</w:t>
            </w:r>
            <w:r>
              <w:rPr>
                <w:noProof/>
                <w:webHidden/>
              </w:rPr>
              <w:fldChar w:fldCharType="end"/>
            </w:r>
          </w:hyperlink>
        </w:p>
        <w:p w14:paraId="6FD4FED7" w14:textId="0DF597B8" w:rsidR="008338B6" w:rsidRDefault="008338B6">
          <w:pPr>
            <w:pStyle w:val="TOC2"/>
            <w:rPr>
              <w:rFonts w:asciiTheme="minorHAnsi" w:eastAsiaTheme="minorEastAsia" w:hAnsiTheme="minorHAnsi"/>
              <w:noProof/>
              <w:kern w:val="2"/>
              <w:lang w:eastAsia="en-NZ"/>
              <w14:ligatures w14:val="standardContextual"/>
            </w:rPr>
          </w:pPr>
          <w:hyperlink w:anchor="_Toc203641977" w:history="1">
            <w:r w:rsidRPr="006C11D8">
              <w:rPr>
                <w:rStyle w:val="Hyperlink"/>
                <w:noProof/>
              </w:rPr>
              <w:t>B8.3.</w:t>
            </w:r>
            <w:r>
              <w:rPr>
                <w:rFonts w:asciiTheme="minorHAnsi" w:eastAsiaTheme="minorEastAsia" w:hAnsiTheme="minorHAnsi"/>
                <w:noProof/>
                <w:kern w:val="2"/>
                <w:lang w:eastAsia="en-NZ"/>
                <w14:ligatures w14:val="standardContextual"/>
              </w:rPr>
              <w:tab/>
            </w:r>
            <w:r w:rsidRPr="006C11D8">
              <w:rPr>
                <w:rStyle w:val="Hyperlink"/>
                <w:noProof/>
              </w:rPr>
              <w:t>Evaluating Continued Functionality</w:t>
            </w:r>
            <w:r>
              <w:rPr>
                <w:noProof/>
                <w:webHidden/>
              </w:rPr>
              <w:tab/>
            </w:r>
            <w:r>
              <w:rPr>
                <w:noProof/>
                <w:webHidden/>
              </w:rPr>
              <w:fldChar w:fldCharType="begin"/>
            </w:r>
            <w:r>
              <w:rPr>
                <w:noProof/>
                <w:webHidden/>
              </w:rPr>
              <w:instrText xml:space="preserve"> PAGEREF _Toc203641977 \h </w:instrText>
            </w:r>
            <w:r>
              <w:rPr>
                <w:noProof/>
                <w:webHidden/>
              </w:rPr>
            </w:r>
            <w:r>
              <w:rPr>
                <w:noProof/>
                <w:webHidden/>
              </w:rPr>
              <w:fldChar w:fldCharType="separate"/>
            </w:r>
            <w:r>
              <w:rPr>
                <w:noProof/>
                <w:webHidden/>
              </w:rPr>
              <w:t>114</w:t>
            </w:r>
            <w:r>
              <w:rPr>
                <w:noProof/>
                <w:webHidden/>
              </w:rPr>
              <w:fldChar w:fldCharType="end"/>
            </w:r>
          </w:hyperlink>
        </w:p>
        <w:p w14:paraId="59416C19" w14:textId="61564501" w:rsidR="008338B6" w:rsidRDefault="008338B6">
          <w:pPr>
            <w:pStyle w:val="TOC2"/>
            <w:rPr>
              <w:rFonts w:asciiTheme="minorHAnsi" w:eastAsiaTheme="minorEastAsia" w:hAnsiTheme="minorHAnsi"/>
              <w:noProof/>
              <w:kern w:val="2"/>
              <w:lang w:eastAsia="en-NZ"/>
              <w14:ligatures w14:val="standardContextual"/>
            </w:rPr>
          </w:pPr>
          <w:hyperlink w:anchor="_Toc203641978" w:history="1">
            <w:r w:rsidRPr="006C11D8">
              <w:rPr>
                <w:rStyle w:val="Hyperlink"/>
                <w:noProof/>
              </w:rPr>
              <w:t>B8.4.</w:t>
            </w:r>
            <w:r>
              <w:rPr>
                <w:rFonts w:asciiTheme="minorHAnsi" w:eastAsiaTheme="minorEastAsia" w:hAnsiTheme="minorHAnsi"/>
                <w:noProof/>
                <w:kern w:val="2"/>
                <w:lang w:eastAsia="en-NZ"/>
                <w14:ligatures w14:val="standardContextual"/>
              </w:rPr>
              <w:tab/>
            </w:r>
            <w:r w:rsidRPr="006C11D8">
              <w:rPr>
                <w:rStyle w:val="Hyperlink"/>
                <w:noProof/>
              </w:rPr>
              <w:t>Seismic Retrofit Objectives</w:t>
            </w:r>
            <w:r>
              <w:rPr>
                <w:noProof/>
                <w:webHidden/>
              </w:rPr>
              <w:tab/>
            </w:r>
            <w:r>
              <w:rPr>
                <w:noProof/>
                <w:webHidden/>
              </w:rPr>
              <w:fldChar w:fldCharType="begin"/>
            </w:r>
            <w:r>
              <w:rPr>
                <w:noProof/>
                <w:webHidden/>
              </w:rPr>
              <w:instrText xml:space="preserve"> PAGEREF _Toc203641978 \h </w:instrText>
            </w:r>
            <w:r>
              <w:rPr>
                <w:noProof/>
                <w:webHidden/>
              </w:rPr>
            </w:r>
            <w:r>
              <w:rPr>
                <w:noProof/>
                <w:webHidden/>
              </w:rPr>
              <w:fldChar w:fldCharType="separate"/>
            </w:r>
            <w:r>
              <w:rPr>
                <w:noProof/>
                <w:webHidden/>
              </w:rPr>
              <w:t>116</w:t>
            </w:r>
            <w:r>
              <w:rPr>
                <w:noProof/>
                <w:webHidden/>
              </w:rPr>
              <w:fldChar w:fldCharType="end"/>
            </w:r>
          </w:hyperlink>
        </w:p>
        <w:p w14:paraId="3DDCEDCC" w14:textId="77D38E88" w:rsidR="008338B6" w:rsidRDefault="008338B6">
          <w:pPr>
            <w:pStyle w:val="TOC1"/>
            <w:rPr>
              <w:rFonts w:asciiTheme="minorHAnsi" w:eastAsiaTheme="minorEastAsia" w:hAnsiTheme="minorHAnsi"/>
              <w:b w:val="0"/>
              <w:noProof/>
              <w:kern w:val="2"/>
              <w:lang w:eastAsia="en-NZ"/>
              <w14:ligatures w14:val="standardContextual"/>
            </w:rPr>
          </w:pPr>
          <w:hyperlink w:anchor="_Toc203641979" w:history="1">
            <w:r w:rsidRPr="006C11D8">
              <w:rPr>
                <w:rStyle w:val="Hyperlink"/>
                <w:noProof/>
              </w:rPr>
              <w:t>Part C. Structural and Geotechnical Requirements</w:t>
            </w:r>
            <w:r>
              <w:rPr>
                <w:noProof/>
                <w:webHidden/>
              </w:rPr>
              <w:tab/>
            </w:r>
            <w:r>
              <w:rPr>
                <w:noProof/>
                <w:webHidden/>
              </w:rPr>
              <w:fldChar w:fldCharType="begin"/>
            </w:r>
            <w:r>
              <w:rPr>
                <w:noProof/>
                <w:webHidden/>
              </w:rPr>
              <w:instrText xml:space="preserve"> PAGEREF _Toc203641979 \h </w:instrText>
            </w:r>
            <w:r>
              <w:rPr>
                <w:noProof/>
                <w:webHidden/>
              </w:rPr>
            </w:r>
            <w:r>
              <w:rPr>
                <w:noProof/>
                <w:webHidden/>
              </w:rPr>
              <w:fldChar w:fldCharType="separate"/>
            </w:r>
            <w:r>
              <w:rPr>
                <w:noProof/>
                <w:webHidden/>
              </w:rPr>
              <w:t>118</w:t>
            </w:r>
            <w:r>
              <w:rPr>
                <w:noProof/>
                <w:webHidden/>
              </w:rPr>
              <w:fldChar w:fldCharType="end"/>
            </w:r>
          </w:hyperlink>
        </w:p>
        <w:p w14:paraId="5F9B8878" w14:textId="1EF1AC25"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80" w:history="1">
            <w:r w:rsidRPr="006C11D8">
              <w:rPr>
                <w:rStyle w:val="Hyperlink"/>
                <w:noProof/>
              </w:rPr>
              <w:t>C1.</w:t>
            </w:r>
            <w:r>
              <w:rPr>
                <w:rFonts w:asciiTheme="minorHAnsi" w:eastAsiaTheme="minorEastAsia" w:hAnsiTheme="minorHAnsi"/>
                <w:b w:val="0"/>
                <w:noProof/>
                <w:kern w:val="2"/>
                <w:lang w:eastAsia="en-NZ"/>
                <w14:ligatures w14:val="standardContextual"/>
              </w:rPr>
              <w:tab/>
            </w:r>
            <w:r w:rsidRPr="006C11D8">
              <w:rPr>
                <w:rStyle w:val="Hyperlink"/>
                <w:noProof/>
              </w:rPr>
              <w:t>Design Loadings</w:t>
            </w:r>
            <w:r>
              <w:rPr>
                <w:noProof/>
                <w:webHidden/>
              </w:rPr>
              <w:tab/>
            </w:r>
            <w:r>
              <w:rPr>
                <w:noProof/>
                <w:webHidden/>
              </w:rPr>
              <w:fldChar w:fldCharType="begin"/>
            </w:r>
            <w:r>
              <w:rPr>
                <w:noProof/>
                <w:webHidden/>
              </w:rPr>
              <w:instrText xml:space="preserve"> PAGEREF _Toc203641980 \h </w:instrText>
            </w:r>
            <w:r>
              <w:rPr>
                <w:noProof/>
                <w:webHidden/>
              </w:rPr>
            </w:r>
            <w:r>
              <w:rPr>
                <w:noProof/>
                <w:webHidden/>
              </w:rPr>
              <w:fldChar w:fldCharType="separate"/>
            </w:r>
            <w:r>
              <w:rPr>
                <w:noProof/>
                <w:webHidden/>
              </w:rPr>
              <w:t>119</w:t>
            </w:r>
            <w:r>
              <w:rPr>
                <w:noProof/>
                <w:webHidden/>
              </w:rPr>
              <w:fldChar w:fldCharType="end"/>
            </w:r>
          </w:hyperlink>
        </w:p>
        <w:p w14:paraId="6CCF49DE" w14:textId="36698560" w:rsidR="008338B6" w:rsidRDefault="008338B6">
          <w:pPr>
            <w:pStyle w:val="TOC2"/>
            <w:rPr>
              <w:rFonts w:asciiTheme="minorHAnsi" w:eastAsiaTheme="minorEastAsia" w:hAnsiTheme="minorHAnsi"/>
              <w:noProof/>
              <w:kern w:val="2"/>
              <w:lang w:eastAsia="en-NZ"/>
              <w14:ligatures w14:val="standardContextual"/>
            </w:rPr>
          </w:pPr>
          <w:hyperlink w:anchor="_Toc203641981" w:history="1">
            <w:r w:rsidRPr="006C11D8">
              <w:rPr>
                <w:rStyle w:val="Hyperlink"/>
                <w:noProof/>
              </w:rPr>
              <w:t>C1.1.</w:t>
            </w:r>
            <w:r>
              <w:rPr>
                <w:rFonts w:asciiTheme="minorHAnsi" w:eastAsiaTheme="minorEastAsia" w:hAnsiTheme="minorHAnsi"/>
                <w:noProof/>
                <w:kern w:val="2"/>
                <w:lang w:eastAsia="en-NZ"/>
                <w14:ligatures w14:val="standardContextual"/>
              </w:rPr>
              <w:tab/>
            </w:r>
            <w:r w:rsidRPr="006C11D8">
              <w:rPr>
                <w:rStyle w:val="Hyperlink"/>
                <w:noProof/>
              </w:rPr>
              <w:t>General</w:t>
            </w:r>
            <w:r>
              <w:rPr>
                <w:noProof/>
                <w:webHidden/>
              </w:rPr>
              <w:tab/>
            </w:r>
            <w:r>
              <w:rPr>
                <w:noProof/>
                <w:webHidden/>
              </w:rPr>
              <w:fldChar w:fldCharType="begin"/>
            </w:r>
            <w:r>
              <w:rPr>
                <w:noProof/>
                <w:webHidden/>
              </w:rPr>
              <w:instrText xml:space="preserve"> PAGEREF _Toc203641981 \h </w:instrText>
            </w:r>
            <w:r>
              <w:rPr>
                <w:noProof/>
                <w:webHidden/>
              </w:rPr>
            </w:r>
            <w:r>
              <w:rPr>
                <w:noProof/>
                <w:webHidden/>
              </w:rPr>
              <w:fldChar w:fldCharType="separate"/>
            </w:r>
            <w:r>
              <w:rPr>
                <w:noProof/>
                <w:webHidden/>
              </w:rPr>
              <w:t>119</w:t>
            </w:r>
            <w:r>
              <w:rPr>
                <w:noProof/>
                <w:webHidden/>
              </w:rPr>
              <w:fldChar w:fldCharType="end"/>
            </w:r>
          </w:hyperlink>
        </w:p>
        <w:p w14:paraId="6751C787" w14:textId="56987E56" w:rsidR="008338B6" w:rsidRDefault="008338B6">
          <w:pPr>
            <w:pStyle w:val="TOC2"/>
            <w:rPr>
              <w:rFonts w:asciiTheme="minorHAnsi" w:eastAsiaTheme="minorEastAsia" w:hAnsiTheme="minorHAnsi"/>
              <w:noProof/>
              <w:kern w:val="2"/>
              <w:lang w:eastAsia="en-NZ"/>
              <w14:ligatures w14:val="standardContextual"/>
            </w:rPr>
          </w:pPr>
          <w:hyperlink w:anchor="_Toc203641982" w:history="1">
            <w:r w:rsidRPr="006C11D8">
              <w:rPr>
                <w:rStyle w:val="Hyperlink"/>
                <w:noProof/>
              </w:rPr>
              <w:t>C1.2.</w:t>
            </w:r>
            <w:r>
              <w:rPr>
                <w:rFonts w:asciiTheme="minorHAnsi" w:eastAsiaTheme="minorEastAsia" w:hAnsiTheme="minorHAnsi"/>
                <w:noProof/>
                <w:kern w:val="2"/>
                <w:lang w:eastAsia="en-NZ"/>
                <w14:ligatures w14:val="standardContextual"/>
              </w:rPr>
              <w:tab/>
            </w:r>
            <w:r w:rsidRPr="006C11D8">
              <w:rPr>
                <w:rStyle w:val="Hyperlink"/>
                <w:noProof/>
              </w:rPr>
              <w:t>Permanent and Imposed Loading</w:t>
            </w:r>
            <w:r>
              <w:rPr>
                <w:noProof/>
                <w:webHidden/>
              </w:rPr>
              <w:tab/>
            </w:r>
            <w:r>
              <w:rPr>
                <w:noProof/>
                <w:webHidden/>
              </w:rPr>
              <w:fldChar w:fldCharType="begin"/>
            </w:r>
            <w:r>
              <w:rPr>
                <w:noProof/>
                <w:webHidden/>
              </w:rPr>
              <w:instrText xml:space="preserve"> PAGEREF _Toc203641982 \h </w:instrText>
            </w:r>
            <w:r>
              <w:rPr>
                <w:noProof/>
                <w:webHidden/>
              </w:rPr>
            </w:r>
            <w:r>
              <w:rPr>
                <w:noProof/>
                <w:webHidden/>
              </w:rPr>
              <w:fldChar w:fldCharType="separate"/>
            </w:r>
            <w:r>
              <w:rPr>
                <w:noProof/>
                <w:webHidden/>
              </w:rPr>
              <w:t>120</w:t>
            </w:r>
            <w:r>
              <w:rPr>
                <w:noProof/>
                <w:webHidden/>
              </w:rPr>
              <w:fldChar w:fldCharType="end"/>
            </w:r>
          </w:hyperlink>
        </w:p>
        <w:p w14:paraId="476065E0" w14:textId="5D4F0ABC" w:rsidR="008338B6" w:rsidRDefault="008338B6">
          <w:pPr>
            <w:pStyle w:val="TOC2"/>
            <w:rPr>
              <w:rFonts w:asciiTheme="minorHAnsi" w:eastAsiaTheme="minorEastAsia" w:hAnsiTheme="minorHAnsi"/>
              <w:noProof/>
              <w:kern w:val="2"/>
              <w:lang w:eastAsia="en-NZ"/>
              <w14:ligatures w14:val="standardContextual"/>
            </w:rPr>
          </w:pPr>
          <w:hyperlink w:anchor="_Toc203641983" w:history="1">
            <w:r w:rsidRPr="006C11D8">
              <w:rPr>
                <w:rStyle w:val="Hyperlink"/>
                <w:noProof/>
              </w:rPr>
              <w:t>C1.3.</w:t>
            </w:r>
            <w:r>
              <w:rPr>
                <w:rFonts w:asciiTheme="minorHAnsi" w:eastAsiaTheme="minorEastAsia" w:hAnsiTheme="minorHAnsi"/>
                <w:noProof/>
                <w:kern w:val="2"/>
                <w:lang w:eastAsia="en-NZ"/>
                <w14:ligatures w14:val="standardContextual"/>
              </w:rPr>
              <w:tab/>
            </w:r>
            <w:r w:rsidRPr="006C11D8">
              <w:rPr>
                <w:rStyle w:val="Hyperlink"/>
                <w:noProof/>
              </w:rPr>
              <w:t>Seismic Loading</w:t>
            </w:r>
            <w:r>
              <w:rPr>
                <w:noProof/>
                <w:webHidden/>
              </w:rPr>
              <w:tab/>
            </w:r>
            <w:r>
              <w:rPr>
                <w:noProof/>
                <w:webHidden/>
              </w:rPr>
              <w:fldChar w:fldCharType="begin"/>
            </w:r>
            <w:r>
              <w:rPr>
                <w:noProof/>
                <w:webHidden/>
              </w:rPr>
              <w:instrText xml:space="preserve"> PAGEREF _Toc203641983 \h </w:instrText>
            </w:r>
            <w:r>
              <w:rPr>
                <w:noProof/>
                <w:webHidden/>
              </w:rPr>
            </w:r>
            <w:r>
              <w:rPr>
                <w:noProof/>
                <w:webHidden/>
              </w:rPr>
              <w:fldChar w:fldCharType="separate"/>
            </w:r>
            <w:r>
              <w:rPr>
                <w:noProof/>
                <w:webHidden/>
              </w:rPr>
              <w:t>122</w:t>
            </w:r>
            <w:r>
              <w:rPr>
                <w:noProof/>
                <w:webHidden/>
              </w:rPr>
              <w:fldChar w:fldCharType="end"/>
            </w:r>
          </w:hyperlink>
        </w:p>
        <w:p w14:paraId="5831286D" w14:textId="25E05AC6"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84" w:history="1">
            <w:r w:rsidRPr="006C11D8">
              <w:rPr>
                <w:rStyle w:val="Hyperlink"/>
                <w:noProof/>
              </w:rPr>
              <w:t>C2.</w:t>
            </w:r>
            <w:r>
              <w:rPr>
                <w:rFonts w:asciiTheme="minorHAnsi" w:eastAsiaTheme="minorEastAsia" w:hAnsiTheme="minorHAnsi"/>
                <w:b w:val="0"/>
                <w:noProof/>
                <w:kern w:val="2"/>
                <w:lang w:eastAsia="en-NZ"/>
                <w14:ligatures w14:val="standardContextual"/>
              </w:rPr>
              <w:tab/>
            </w:r>
            <w:r w:rsidRPr="006C11D8">
              <w:rPr>
                <w:rStyle w:val="Hyperlink"/>
                <w:noProof/>
              </w:rPr>
              <w:t>Geotechnical Considerations and Building Foundations</w:t>
            </w:r>
            <w:r>
              <w:rPr>
                <w:noProof/>
                <w:webHidden/>
              </w:rPr>
              <w:tab/>
            </w:r>
            <w:r>
              <w:rPr>
                <w:noProof/>
                <w:webHidden/>
              </w:rPr>
              <w:fldChar w:fldCharType="begin"/>
            </w:r>
            <w:r>
              <w:rPr>
                <w:noProof/>
                <w:webHidden/>
              </w:rPr>
              <w:instrText xml:space="preserve"> PAGEREF _Toc203641984 \h </w:instrText>
            </w:r>
            <w:r>
              <w:rPr>
                <w:noProof/>
                <w:webHidden/>
              </w:rPr>
            </w:r>
            <w:r>
              <w:rPr>
                <w:noProof/>
                <w:webHidden/>
              </w:rPr>
              <w:fldChar w:fldCharType="separate"/>
            </w:r>
            <w:r>
              <w:rPr>
                <w:noProof/>
                <w:webHidden/>
              </w:rPr>
              <w:t>132</w:t>
            </w:r>
            <w:r>
              <w:rPr>
                <w:noProof/>
                <w:webHidden/>
              </w:rPr>
              <w:fldChar w:fldCharType="end"/>
            </w:r>
          </w:hyperlink>
        </w:p>
        <w:p w14:paraId="70E8C692" w14:textId="4B6F9AB8" w:rsidR="008338B6" w:rsidRDefault="008338B6">
          <w:pPr>
            <w:pStyle w:val="TOC2"/>
            <w:rPr>
              <w:rFonts w:asciiTheme="minorHAnsi" w:eastAsiaTheme="minorEastAsia" w:hAnsiTheme="minorHAnsi"/>
              <w:noProof/>
              <w:kern w:val="2"/>
              <w:lang w:eastAsia="en-NZ"/>
              <w14:ligatures w14:val="standardContextual"/>
            </w:rPr>
          </w:pPr>
          <w:hyperlink w:anchor="_Toc203641985" w:history="1">
            <w:r w:rsidRPr="006C11D8">
              <w:rPr>
                <w:rStyle w:val="Hyperlink"/>
                <w:noProof/>
              </w:rPr>
              <w:t>C2.1.</w:t>
            </w:r>
            <w:r>
              <w:rPr>
                <w:rFonts w:asciiTheme="minorHAnsi" w:eastAsiaTheme="minorEastAsia" w:hAnsiTheme="minorHAnsi"/>
                <w:noProof/>
                <w:kern w:val="2"/>
                <w:lang w:eastAsia="en-NZ"/>
                <w14:ligatures w14:val="standardContextual"/>
              </w:rPr>
              <w:tab/>
            </w:r>
            <w:r w:rsidRPr="006C11D8">
              <w:rPr>
                <w:rStyle w:val="Hyperlink"/>
                <w:noProof/>
              </w:rPr>
              <w:t>Introduction</w:t>
            </w:r>
            <w:r>
              <w:rPr>
                <w:noProof/>
                <w:webHidden/>
              </w:rPr>
              <w:tab/>
            </w:r>
            <w:r>
              <w:rPr>
                <w:noProof/>
                <w:webHidden/>
              </w:rPr>
              <w:fldChar w:fldCharType="begin"/>
            </w:r>
            <w:r>
              <w:rPr>
                <w:noProof/>
                <w:webHidden/>
              </w:rPr>
              <w:instrText xml:space="preserve"> PAGEREF _Toc203641985 \h </w:instrText>
            </w:r>
            <w:r>
              <w:rPr>
                <w:noProof/>
                <w:webHidden/>
              </w:rPr>
            </w:r>
            <w:r>
              <w:rPr>
                <w:noProof/>
                <w:webHidden/>
              </w:rPr>
              <w:fldChar w:fldCharType="separate"/>
            </w:r>
            <w:r>
              <w:rPr>
                <w:noProof/>
                <w:webHidden/>
              </w:rPr>
              <w:t>132</w:t>
            </w:r>
            <w:r>
              <w:rPr>
                <w:noProof/>
                <w:webHidden/>
              </w:rPr>
              <w:fldChar w:fldCharType="end"/>
            </w:r>
          </w:hyperlink>
        </w:p>
        <w:p w14:paraId="2D16BB3D" w14:textId="7BF42AFB" w:rsidR="008338B6" w:rsidRDefault="008338B6">
          <w:pPr>
            <w:pStyle w:val="TOC2"/>
            <w:rPr>
              <w:rFonts w:asciiTheme="minorHAnsi" w:eastAsiaTheme="minorEastAsia" w:hAnsiTheme="minorHAnsi"/>
              <w:noProof/>
              <w:kern w:val="2"/>
              <w:lang w:eastAsia="en-NZ"/>
              <w14:ligatures w14:val="standardContextual"/>
            </w:rPr>
          </w:pPr>
          <w:hyperlink w:anchor="_Toc203641986" w:history="1">
            <w:r w:rsidRPr="006C11D8">
              <w:rPr>
                <w:rStyle w:val="Hyperlink"/>
                <w:noProof/>
              </w:rPr>
              <w:t>C2.2.</w:t>
            </w:r>
            <w:r>
              <w:rPr>
                <w:rFonts w:asciiTheme="minorHAnsi" w:eastAsiaTheme="minorEastAsia" w:hAnsiTheme="minorHAnsi"/>
                <w:noProof/>
                <w:kern w:val="2"/>
                <w:lang w:eastAsia="en-NZ"/>
                <w14:ligatures w14:val="standardContextual"/>
              </w:rPr>
              <w:tab/>
            </w:r>
            <w:r w:rsidRPr="006C11D8">
              <w:rPr>
                <w:rStyle w:val="Hyperlink"/>
                <w:noProof/>
              </w:rPr>
              <w:t>Geotechnical Investigations</w:t>
            </w:r>
            <w:r>
              <w:rPr>
                <w:noProof/>
                <w:webHidden/>
              </w:rPr>
              <w:tab/>
            </w:r>
            <w:r>
              <w:rPr>
                <w:noProof/>
                <w:webHidden/>
              </w:rPr>
              <w:fldChar w:fldCharType="begin"/>
            </w:r>
            <w:r>
              <w:rPr>
                <w:noProof/>
                <w:webHidden/>
              </w:rPr>
              <w:instrText xml:space="preserve"> PAGEREF _Toc203641986 \h </w:instrText>
            </w:r>
            <w:r>
              <w:rPr>
                <w:noProof/>
                <w:webHidden/>
              </w:rPr>
            </w:r>
            <w:r>
              <w:rPr>
                <w:noProof/>
                <w:webHidden/>
              </w:rPr>
              <w:fldChar w:fldCharType="separate"/>
            </w:r>
            <w:r>
              <w:rPr>
                <w:noProof/>
                <w:webHidden/>
              </w:rPr>
              <w:t>132</w:t>
            </w:r>
            <w:r>
              <w:rPr>
                <w:noProof/>
                <w:webHidden/>
              </w:rPr>
              <w:fldChar w:fldCharType="end"/>
            </w:r>
          </w:hyperlink>
        </w:p>
        <w:p w14:paraId="5C19D1B9" w14:textId="67DD74D1" w:rsidR="008338B6" w:rsidRDefault="008338B6">
          <w:pPr>
            <w:pStyle w:val="TOC2"/>
            <w:rPr>
              <w:rFonts w:asciiTheme="minorHAnsi" w:eastAsiaTheme="minorEastAsia" w:hAnsiTheme="minorHAnsi"/>
              <w:noProof/>
              <w:kern w:val="2"/>
              <w:lang w:eastAsia="en-NZ"/>
              <w14:ligatures w14:val="standardContextual"/>
            </w:rPr>
          </w:pPr>
          <w:hyperlink w:anchor="_Toc203641987" w:history="1">
            <w:r w:rsidRPr="006C11D8">
              <w:rPr>
                <w:rStyle w:val="Hyperlink"/>
                <w:noProof/>
              </w:rPr>
              <w:t>C2.3.</w:t>
            </w:r>
            <w:r>
              <w:rPr>
                <w:rFonts w:asciiTheme="minorHAnsi" w:eastAsiaTheme="minorEastAsia" w:hAnsiTheme="minorHAnsi"/>
                <w:noProof/>
                <w:kern w:val="2"/>
                <w:lang w:eastAsia="en-NZ"/>
                <w14:ligatures w14:val="standardContextual"/>
              </w:rPr>
              <w:tab/>
            </w:r>
            <w:r w:rsidRPr="006C11D8">
              <w:rPr>
                <w:rStyle w:val="Hyperlink"/>
                <w:noProof/>
              </w:rPr>
              <w:t>Geotechnical Analysis</w:t>
            </w:r>
            <w:r>
              <w:rPr>
                <w:noProof/>
                <w:webHidden/>
              </w:rPr>
              <w:tab/>
            </w:r>
            <w:r>
              <w:rPr>
                <w:noProof/>
                <w:webHidden/>
              </w:rPr>
              <w:fldChar w:fldCharType="begin"/>
            </w:r>
            <w:r>
              <w:rPr>
                <w:noProof/>
                <w:webHidden/>
              </w:rPr>
              <w:instrText xml:space="preserve"> PAGEREF _Toc203641987 \h </w:instrText>
            </w:r>
            <w:r>
              <w:rPr>
                <w:noProof/>
                <w:webHidden/>
              </w:rPr>
            </w:r>
            <w:r>
              <w:rPr>
                <w:noProof/>
                <w:webHidden/>
              </w:rPr>
              <w:fldChar w:fldCharType="separate"/>
            </w:r>
            <w:r>
              <w:rPr>
                <w:noProof/>
                <w:webHidden/>
              </w:rPr>
              <w:t>134</w:t>
            </w:r>
            <w:r>
              <w:rPr>
                <w:noProof/>
                <w:webHidden/>
              </w:rPr>
              <w:fldChar w:fldCharType="end"/>
            </w:r>
          </w:hyperlink>
        </w:p>
        <w:p w14:paraId="658F99BF" w14:textId="219FF26B" w:rsidR="008338B6" w:rsidRDefault="008338B6">
          <w:pPr>
            <w:pStyle w:val="TOC2"/>
            <w:rPr>
              <w:rFonts w:asciiTheme="minorHAnsi" w:eastAsiaTheme="minorEastAsia" w:hAnsiTheme="minorHAnsi"/>
              <w:noProof/>
              <w:kern w:val="2"/>
              <w:lang w:eastAsia="en-NZ"/>
              <w14:ligatures w14:val="standardContextual"/>
            </w:rPr>
          </w:pPr>
          <w:hyperlink w:anchor="_Toc203641988" w:history="1">
            <w:r w:rsidRPr="006C11D8">
              <w:rPr>
                <w:rStyle w:val="Hyperlink"/>
                <w:noProof/>
              </w:rPr>
              <w:t>C2.4.</w:t>
            </w:r>
            <w:r>
              <w:rPr>
                <w:rFonts w:asciiTheme="minorHAnsi" w:eastAsiaTheme="minorEastAsia" w:hAnsiTheme="minorHAnsi"/>
                <w:noProof/>
                <w:kern w:val="2"/>
                <w:lang w:eastAsia="en-NZ"/>
                <w14:ligatures w14:val="standardContextual"/>
              </w:rPr>
              <w:tab/>
            </w:r>
            <w:r w:rsidRPr="006C11D8">
              <w:rPr>
                <w:rStyle w:val="Hyperlink"/>
                <w:noProof/>
              </w:rPr>
              <w:t>Role of Ground Conditions in Selection of Structural System</w:t>
            </w:r>
            <w:r>
              <w:rPr>
                <w:noProof/>
                <w:webHidden/>
              </w:rPr>
              <w:tab/>
            </w:r>
            <w:r>
              <w:rPr>
                <w:noProof/>
                <w:webHidden/>
              </w:rPr>
              <w:fldChar w:fldCharType="begin"/>
            </w:r>
            <w:r>
              <w:rPr>
                <w:noProof/>
                <w:webHidden/>
              </w:rPr>
              <w:instrText xml:space="preserve"> PAGEREF _Toc203641988 \h </w:instrText>
            </w:r>
            <w:r>
              <w:rPr>
                <w:noProof/>
                <w:webHidden/>
              </w:rPr>
            </w:r>
            <w:r>
              <w:rPr>
                <w:noProof/>
                <w:webHidden/>
              </w:rPr>
              <w:fldChar w:fldCharType="separate"/>
            </w:r>
            <w:r>
              <w:rPr>
                <w:noProof/>
                <w:webHidden/>
              </w:rPr>
              <w:t>135</w:t>
            </w:r>
            <w:r>
              <w:rPr>
                <w:noProof/>
                <w:webHidden/>
              </w:rPr>
              <w:fldChar w:fldCharType="end"/>
            </w:r>
          </w:hyperlink>
        </w:p>
        <w:p w14:paraId="510A11AC" w14:textId="457D35CD" w:rsidR="008338B6" w:rsidRDefault="008338B6">
          <w:pPr>
            <w:pStyle w:val="TOC2"/>
            <w:rPr>
              <w:rFonts w:asciiTheme="minorHAnsi" w:eastAsiaTheme="minorEastAsia" w:hAnsiTheme="minorHAnsi"/>
              <w:noProof/>
              <w:kern w:val="2"/>
              <w:lang w:eastAsia="en-NZ"/>
              <w14:ligatures w14:val="standardContextual"/>
            </w:rPr>
          </w:pPr>
          <w:hyperlink w:anchor="_Toc203641989" w:history="1">
            <w:r w:rsidRPr="006C11D8">
              <w:rPr>
                <w:rStyle w:val="Hyperlink"/>
                <w:noProof/>
              </w:rPr>
              <w:t>C2.5.</w:t>
            </w:r>
            <w:r>
              <w:rPr>
                <w:rFonts w:asciiTheme="minorHAnsi" w:eastAsiaTheme="minorEastAsia" w:hAnsiTheme="minorHAnsi"/>
                <w:noProof/>
                <w:kern w:val="2"/>
                <w:lang w:eastAsia="en-NZ"/>
                <w14:ligatures w14:val="standardContextual"/>
              </w:rPr>
              <w:tab/>
            </w:r>
            <w:r w:rsidRPr="006C11D8">
              <w:rPr>
                <w:rStyle w:val="Hyperlink"/>
                <w:noProof/>
              </w:rPr>
              <w:t>Foundation Design</w:t>
            </w:r>
            <w:r>
              <w:rPr>
                <w:noProof/>
                <w:webHidden/>
              </w:rPr>
              <w:tab/>
            </w:r>
            <w:r>
              <w:rPr>
                <w:noProof/>
                <w:webHidden/>
              </w:rPr>
              <w:fldChar w:fldCharType="begin"/>
            </w:r>
            <w:r>
              <w:rPr>
                <w:noProof/>
                <w:webHidden/>
              </w:rPr>
              <w:instrText xml:space="preserve"> PAGEREF _Toc203641989 \h </w:instrText>
            </w:r>
            <w:r>
              <w:rPr>
                <w:noProof/>
                <w:webHidden/>
              </w:rPr>
            </w:r>
            <w:r>
              <w:rPr>
                <w:noProof/>
                <w:webHidden/>
              </w:rPr>
              <w:fldChar w:fldCharType="separate"/>
            </w:r>
            <w:r>
              <w:rPr>
                <w:noProof/>
                <w:webHidden/>
              </w:rPr>
              <w:t>136</w:t>
            </w:r>
            <w:r>
              <w:rPr>
                <w:noProof/>
                <w:webHidden/>
              </w:rPr>
              <w:fldChar w:fldCharType="end"/>
            </w:r>
          </w:hyperlink>
        </w:p>
        <w:p w14:paraId="0A54D2CC" w14:textId="7D6A05D3" w:rsidR="008338B6" w:rsidRDefault="008338B6">
          <w:pPr>
            <w:pStyle w:val="TOC2"/>
            <w:rPr>
              <w:rFonts w:asciiTheme="minorHAnsi" w:eastAsiaTheme="minorEastAsia" w:hAnsiTheme="minorHAnsi"/>
              <w:noProof/>
              <w:kern w:val="2"/>
              <w:lang w:eastAsia="en-NZ"/>
              <w14:ligatures w14:val="standardContextual"/>
            </w:rPr>
          </w:pPr>
          <w:hyperlink w:anchor="_Toc203641990" w:history="1">
            <w:r w:rsidRPr="006C11D8">
              <w:rPr>
                <w:rStyle w:val="Hyperlink"/>
                <w:noProof/>
              </w:rPr>
              <w:t>C2.6.</w:t>
            </w:r>
            <w:r>
              <w:rPr>
                <w:rFonts w:asciiTheme="minorHAnsi" w:eastAsiaTheme="minorEastAsia" w:hAnsiTheme="minorHAnsi"/>
                <w:noProof/>
                <w:kern w:val="2"/>
                <w:lang w:eastAsia="en-NZ"/>
                <w14:ligatures w14:val="standardContextual"/>
              </w:rPr>
              <w:tab/>
            </w:r>
            <w:r w:rsidRPr="006C11D8">
              <w:rPr>
                <w:rStyle w:val="Hyperlink"/>
                <w:noProof/>
              </w:rPr>
              <w:t>Risk-Based Foundation Selection Approaches and Whole of Life Cost</w:t>
            </w:r>
            <w:r>
              <w:rPr>
                <w:noProof/>
                <w:webHidden/>
              </w:rPr>
              <w:tab/>
            </w:r>
            <w:r>
              <w:rPr>
                <w:noProof/>
                <w:webHidden/>
              </w:rPr>
              <w:fldChar w:fldCharType="begin"/>
            </w:r>
            <w:r>
              <w:rPr>
                <w:noProof/>
                <w:webHidden/>
              </w:rPr>
              <w:instrText xml:space="preserve"> PAGEREF _Toc203641990 \h </w:instrText>
            </w:r>
            <w:r>
              <w:rPr>
                <w:noProof/>
                <w:webHidden/>
              </w:rPr>
            </w:r>
            <w:r>
              <w:rPr>
                <w:noProof/>
                <w:webHidden/>
              </w:rPr>
              <w:fldChar w:fldCharType="separate"/>
            </w:r>
            <w:r>
              <w:rPr>
                <w:noProof/>
                <w:webHidden/>
              </w:rPr>
              <w:t>139</w:t>
            </w:r>
            <w:r>
              <w:rPr>
                <w:noProof/>
                <w:webHidden/>
              </w:rPr>
              <w:fldChar w:fldCharType="end"/>
            </w:r>
          </w:hyperlink>
        </w:p>
        <w:p w14:paraId="73279161" w14:textId="117E450D" w:rsidR="008338B6" w:rsidRDefault="008338B6">
          <w:pPr>
            <w:pStyle w:val="TOC2"/>
            <w:rPr>
              <w:rFonts w:asciiTheme="minorHAnsi" w:eastAsiaTheme="minorEastAsia" w:hAnsiTheme="minorHAnsi"/>
              <w:noProof/>
              <w:kern w:val="2"/>
              <w:lang w:eastAsia="en-NZ"/>
              <w14:ligatures w14:val="standardContextual"/>
            </w:rPr>
          </w:pPr>
          <w:hyperlink w:anchor="_Toc203641991" w:history="1">
            <w:r w:rsidRPr="006C11D8">
              <w:rPr>
                <w:rStyle w:val="Hyperlink"/>
                <w:noProof/>
              </w:rPr>
              <w:t>C2.7.</w:t>
            </w:r>
            <w:r>
              <w:rPr>
                <w:rFonts w:asciiTheme="minorHAnsi" w:eastAsiaTheme="minorEastAsia" w:hAnsiTheme="minorHAnsi"/>
                <w:noProof/>
                <w:kern w:val="2"/>
                <w:lang w:eastAsia="en-NZ"/>
                <w14:ligatures w14:val="standardContextual"/>
              </w:rPr>
              <w:tab/>
            </w:r>
            <w:r w:rsidRPr="006C11D8">
              <w:rPr>
                <w:rStyle w:val="Hyperlink"/>
                <w:noProof/>
              </w:rPr>
              <w:t>Repairability of Foundation Systems</w:t>
            </w:r>
            <w:r>
              <w:rPr>
                <w:noProof/>
                <w:webHidden/>
              </w:rPr>
              <w:tab/>
            </w:r>
            <w:r>
              <w:rPr>
                <w:noProof/>
                <w:webHidden/>
              </w:rPr>
              <w:fldChar w:fldCharType="begin"/>
            </w:r>
            <w:r>
              <w:rPr>
                <w:noProof/>
                <w:webHidden/>
              </w:rPr>
              <w:instrText xml:space="preserve"> PAGEREF _Toc203641991 \h </w:instrText>
            </w:r>
            <w:r>
              <w:rPr>
                <w:noProof/>
                <w:webHidden/>
              </w:rPr>
            </w:r>
            <w:r>
              <w:rPr>
                <w:noProof/>
                <w:webHidden/>
              </w:rPr>
              <w:fldChar w:fldCharType="separate"/>
            </w:r>
            <w:r>
              <w:rPr>
                <w:noProof/>
                <w:webHidden/>
              </w:rPr>
              <w:t>141</w:t>
            </w:r>
            <w:r>
              <w:rPr>
                <w:noProof/>
                <w:webHidden/>
              </w:rPr>
              <w:fldChar w:fldCharType="end"/>
            </w:r>
          </w:hyperlink>
        </w:p>
        <w:p w14:paraId="50013C0F" w14:textId="0E8435A8" w:rsidR="008338B6" w:rsidRDefault="008338B6">
          <w:pPr>
            <w:pStyle w:val="TOC2"/>
            <w:rPr>
              <w:rFonts w:asciiTheme="minorHAnsi" w:eastAsiaTheme="minorEastAsia" w:hAnsiTheme="minorHAnsi"/>
              <w:noProof/>
              <w:kern w:val="2"/>
              <w:lang w:eastAsia="en-NZ"/>
              <w14:ligatures w14:val="standardContextual"/>
            </w:rPr>
          </w:pPr>
          <w:hyperlink w:anchor="_Toc203641992" w:history="1">
            <w:r w:rsidRPr="006C11D8">
              <w:rPr>
                <w:rStyle w:val="Hyperlink"/>
                <w:noProof/>
              </w:rPr>
              <w:t>C2.8.</w:t>
            </w:r>
            <w:r>
              <w:rPr>
                <w:rFonts w:asciiTheme="minorHAnsi" w:eastAsiaTheme="minorEastAsia" w:hAnsiTheme="minorHAnsi"/>
                <w:noProof/>
                <w:kern w:val="2"/>
                <w:lang w:eastAsia="en-NZ"/>
                <w14:ligatures w14:val="standardContextual"/>
              </w:rPr>
              <w:tab/>
            </w:r>
            <w:r w:rsidRPr="006C11D8">
              <w:rPr>
                <w:rStyle w:val="Hyperlink"/>
                <w:noProof/>
              </w:rPr>
              <w:t>Design of Retaining Walls</w:t>
            </w:r>
            <w:r>
              <w:rPr>
                <w:noProof/>
                <w:webHidden/>
              </w:rPr>
              <w:tab/>
            </w:r>
            <w:r>
              <w:rPr>
                <w:noProof/>
                <w:webHidden/>
              </w:rPr>
              <w:fldChar w:fldCharType="begin"/>
            </w:r>
            <w:r>
              <w:rPr>
                <w:noProof/>
                <w:webHidden/>
              </w:rPr>
              <w:instrText xml:space="preserve"> PAGEREF _Toc203641992 \h </w:instrText>
            </w:r>
            <w:r>
              <w:rPr>
                <w:noProof/>
                <w:webHidden/>
              </w:rPr>
            </w:r>
            <w:r>
              <w:rPr>
                <w:noProof/>
                <w:webHidden/>
              </w:rPr>
              <w:fldChar w:fldCharType="separate"/>
            </w:r>
            <w:r>
              <w:rPr>
                <w:noProof/>
                <w:webHidden/>
              </w:rPr>
              <w:t>141</w:t>
            </w:r>
            <w:r>
              <w:rPr>
                <w:noProof/>
                <w:webHidden/>
              </w:rPr>
              <w:fldChar w:fldCharType="end"/>
            </w:r>
          </w:hyperlink>
        </w:p>
        <w:p w14:paraId="5A69F52C" w14:textId="23AF62CA" w:rsidR="008338B6" w:rsidRDefault="008338B6">
          <w:pPr>
            <w:pStyle w:val="TOC2"/>
            <w:rPr>
              <w:rFonts w:asciiTheme="minorHAnsi" w:eastAsiaTheme="minorEastAsia" w:hAnsiTheme="minorHAnsi"/>
              <w:noProof/>
              <w:kern w:val="2"/>
              <w:lang w:eastAsia="en-NZ"/>
              <w14:ligatures w14:val="standardContextual"/>
            </w:rPr>
          </w:pPr>
          <w:hyperlink w:anchor="_Toc203641993" w:history="1">
            <w:r w:rsidRPr="006C11D8">
              <w:rPr>
                <w:rStyle w:val="Hyperlink"/>
                <w:noProof/>
              </w:rPr>
              <w:t>C2.9.</w:t>
            </w:r>
            <w:r>
              <w:rPr>
                <w:rFonts w:asciiTheme="minorHAnsi" w:eastAsiaTheme="minorEastAsia" w:hAnsiTheme="minorHAnsi"/>
                <w:noProof/>
                <w:kern w:val="2"/>
                <w:lang w:eastAsia="en-NZ"/>
                <w14:ligatures w14:val="standardContextual"/>
              </w:rPr>
              <w:tab/>
            </w:r>
            <w:r w:rsidRPr="006C11D8">
              <w:rPr>
                <w:rStyle w:val="Hyperlink"/>
                <w:noProof/>
              </w:rPr>
              <w:t>Slope Considerations</w:t>
            </w:r>
            <w:r>
              <w:rPr>
                <w:noProof/>
                <w:webHidden/>
              </w:rPr>
              <w:tab/>
            </w:r>
            <w:r>
              <w:rPr>
                <w:noProof/>
                <w:webHidden/>
              </w:rPr>
              <w:fldChar w:fldCharType="begin"/>
            </w:r>
            <w:r>
              <w:rPr>
                <w:noProof/>
                <w:webHidden/>
              </w:rPr>
              <w:instrText xml:space="preserve"> PAGEREF _Toc203641993 \h </w:instrText>
            </w:r>
            <w:r>
              <w:rPr>
                <w:noProof/>
                <w:webHidden/>
              </w:rPr>
            </w:r>
            <w:r>
              <w:rPr>
                <w:noProof/>
                <w:webHidden/>
              </w:rPr>
              <w:fldChar w:fldCharType="separate"/>
            </w:r>
            <w:r>
              <w:rPr>
                <w:noProof/>
                <w:webHidden/>
              </w:rPr>
              <w:t>141</w:t>
            </w:r>
            <w:r>
              <w:rPr>
                <w:noProof/>
                <w:webHidden/>
              </w:rPr>
              <w:fldChar w:fldCharType="end"/>
            </w:r>
          </w:hyperlink>
        </w:p>
        <w:p w14:paraId="2DEF7E24" w14:textId="791DB9CA"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94" w:history="1">
            <w:r w:rsidRPr="006C11D8">
              <w:rPr>
                <w:rStyle w:val="Hyperlink"/>
                <w:noProof/>
              </w:rPr>
              <w:t>C3.</w:t>
            </w:r>
            <w:r>
              <w:rPr>
                <w:rFonts w:asciiTheme="minorHAnsi" w:eastAsiaTheme="minorEastAsia" w:hAnsiTheme="minorHAnsi"/>
                <w:b w:val="0"/>
                <w:noProof/>
                <w:kern w:val="2"/>
                <w:lang w:eastAsia="en-NZ"/>
                <w14:ligatures w14:val="standardContextual"/>
              </w:rPr>
              <w:tab/>
            </w:r>
            <w:r w:rsidRPr="006C11D8">
              <w:rPr>
                <w:rStyle w:val="Hyperlink"/>
                <w:noProof/>
              </w:rPr>
              <w:t>Structural Requirements</w:t>
            </w:r>
            <w:r>
              <w:rPr>
                <w:noProof/>
                <w:webHidden/>
              </w:rPr>
              <w:tab/>
            </w:r>
            <w:r>
              <w:rPr>
                <w:noProof/>
                <w:webHidden/>
              </w:rPr>
              <w:fldChar w:fldCharType="begin"/>
            </w:r>
            <w:r>
              <w:rPr>
                <w:noProof/>
                <w:webHidden/>
              </w:rPr>
              <w:instrText xml:space="preserve"> PAGEREF _Toc203641994 \h </w:instrText>
            </w:r>
            <w:r>
              <w:rPr>
                <w:noProof/>
                <w:webHidden/>
              </w:rPr>
            </w:r>
            <w:r>
              <w:rPr>
                <w:noProof/>
                <w:webHidden/>
              </w:rPr>
              <w:fldChar w:fldCharType="separate"/>
            </w:r>
            <w:r>
              <w:rPr>
                <w:noProof/>
                <w:webHidden/>
              </w:rPr>
              <w:t>142</w:t>
            </w:r>
            <w:r>
              <w:rPr>
                <w:noProof/>
                <w:webHidden/>
              </w:rPr>
              <w:fldChar w:fldCharType="end"/>
            </w:r>
          </w:hyperlink>
        </w:p>
        <w:p w14:paraId="57C6E6CB" w14:textId="76D25076" w:rsidR="008338B6" w:rsidRDefault="008338B6">
          <w:pPr>
            <w:pStyle w:val="TOC2"/>
            <w:rPr>
              <w:rFonts w:asciiTheme="minorHAnsi" w:eastAsiaTheme="minorEastAsia" w:hAnsiTheme="minorHAnsi"/>
              <w:noProof/>
              <w:kern w:val="2"/>
              <w:lang w:eastAsia="en-NZ"/>
              <w14:ligatures w14:val="standardContextual"/>
            </w:rPr>
          </w:pPr>
          <w:hyperlink w:anchor="_Toc203641995" w:history="1">
            <w:r w:rsidRPr="006C11D8">
              <w:rPr>
                <w:rStyle w:val="Hyperlink"/>
                <w:noProof/>
              </w:rPr>
              <w:t>C3.1.</w:t>
            </w:r>
            <w:r>
              <w:rPr>
                <w:rFonts w:asciiTheme="minorHAnsi" w:eastAsiaTheme="minorEastAsia" w:hAnsiTheme="minorHAnsi"/>
                <w:noProof/>
                <w:kern w:val="2"/>
                <w:lang w:eastAsia="en-NZ"/>
                <w14:ligatures w14:val="standardContextual"/>
              </w:rPr>
              <w:tab/>
            </w:r>
            <w:r w:rsidRPr="006C11D8">
              <w:rPr>
                <w:rStyle w:val="Hyperlink"/>
                <w:noProof/>
              </w:rPr>
              <w:t>Control of Structural Damage from Earthquake</w:t>
            </w:r>
            <w:r>
              <w:rPr>
                <w:noProof/>
                <w:webHidden/>
              </w:rPr>
              <w:tab/>
            </w:r>
            <w:r>
              <w:rPr>
                <w:noProof/>
                <w:webHidden/>
              </w:rPr>
              <w:fldChar w:fldCharType="begin"/>
            </w:r>
            <w:r>
              <w:rPr>
                <w:noProof/>
                <w:webHidden/>
              </w:rPr>
              <w:instrText xml:space="preserve"> PAGEREF _Toc203641995 \h </w:instrText>
            </w:r>
            <w:r>
              <w:rPr>
                <w:noProof/>
                <w:webHidden/>
              </w:rPr>
            </w:r>
            <w:r>
              <w:rPr>
                <w:noProof/>
                <w:webHidden/>
              </w:rPr>
              <w:fldChar w:fldCharType="separate"/>
            </w:r>
            <w:r>
              <w:rPr>
                <w:noProof/>
                <w:webHidden/>
              </w:rPr>
              <w:t>142</w:t>
            </w:r>
            <w:r>
              <w:rPr>
                <w:noProof/>
                <w:webHidden/>
              </w:rPr>
              <w:fldChar w:fldCharType="end"/>
            </w:r>
          </w:hyperlink>
        </w:p>
        <w:p w14:paraId="0490F109" w14:textId="43238A14" w:rsidR="008338B6" w:rsidRDefault="008338B6">
          <w:pPr>
            <w:pStyle w:val="TOC2"/>
            <w:rPr>
              <w:rFonts w:asciiTheme="minorHAnsi" w:eastAsiaTheme="minorEastAsia" w:hAnsiTheme="minorHAnsi"/>
              <w:noProof/>
              <w:kern w:val="2"/>
              <w:lang w:eastAsia="en-NZ"/>
              <w14:ligatures w14:val="standardContextual"/>
            </w:rPr>
          </w:pPr>
          <w:hyperlink w:anchor="_Toc203641996" w:history="1">
            <w:r w:rsidRPr="006C11D8">
              <w:rPr>
                <w:rStyle w:val="Hyperlink"/>
                <w:noProof/>
              </w:rPr>
              <w:t>C3.2.</w:t>
            </w:r>
            <w:r>
              <w:rPr>
                <w:rFonts w:asciiTheme="minorHAnsi" w:eastAsiaTheme="minorEastAsia" w:hAnsiTheme="minorHAnsi"/>
                <w:noProof/>
                <w:kern w:val="2"/>
                <w:lang w:eastAsia="en-NZ"/>
                <w14:ligatures w14:val="standardContextual"/>
              </w:rPr>
              <w:tab/>
            </w:r>
            <w:r w:rsidRPr="006C11D8">
              <w:rPr>
                <w:rStyle w:val="Hyperlink"/>
                <w:noProof/>
              </w:rPr>
              <w:t>Design of Physical Interfaces and Seismic Separations Between Buildings</w:t>
            </w:r>
            <w:r>
              <w:rPr>
                <w:noProof/>
                <w:webHidden/>
              </w:rPr>
              <w:tab/>
            </w:r>
            <w:r>
              <w:rPr>
                <w:noProof/>
                <w:webHidden/>
              </w:rPr>
              <w:fldChar w:fldCharType="begin"/>
            </w:r>
            <w:r>
              <w:rPr>
                <w:noProof/>
                <w:webHidden/>
              </w:rPr>
              <w:instrText xml:space="preserve"> PAGEREF _Toc203641996 \h </w:instrText>
            </w:r>
            <w:r>
              <w:rPr>
                <w:noProof/>
                <w:webHidden/>
              </w:rPr>
            </w:r>
            <w:r>
              <w:rPr>
                <w:noProof/>
                <w:webHidden/>
              </w:rPr>
              <w:fldChar w:fldCharType="separate"/>
            </w:r>
            <w:r>
              <w:rPr>
                <w:noProof/>
                <w:webHidden/>
              </w:rPr>
              <w:t>145</w:t>
            </w:r>
            <w:r>
              <w:rPr>
                <w:noProof/>
                <w:webHidden/>
              </w:rPr>
              <w:fldChar w:fldCharType="end"/>
            </w:r>
          </w:hyperlink>
        </w:p>
        <w:p w14:paraId="477BA057" w14:textId="31932659"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1997" w:history="1">
            <w:r w:rsidRPr="006C11D8">
              <w:rPr>
                <w:rStyle w:val="Hyperlink"/>
                <w:noProof/>
              </w:rPr>
              <w:t>C4.</w:t>
            </w:r>
            <w:r>
              <w:rPr>
                <w:rFonts w:asciiTheme="minorHAnsi" w:eastAsiaTheme="minorEastAsia" w:hAnsiTheme="minorHAnsi"/>
                <w:b w:val="0"/>
                <w:noProof/>
                <w:kern w:val="2"/>
                <w:lang w:eastAsia="en-NZ"/>
                <w14:ligatures w14:val="standardContextual"/>
              </w:rPr>
              <w:tab/>
            </w:r>
            <w:r w:rsidRPr="006C11D8">
              <w:rPr>
                <w:rStyle w:val="Hyperlink"/>
                <w:noProof/>
              </w:rPr>
              <w:t>Non-structural Elements: Detailing and Structural Support</w:t>
            </w:r>
            <w:r>
              <w:rPr>
                <w:noProof/>
                <w:webHidden/>
              </w:rPr>
              <w:tab/>
            </w:r>
            <w:r>
              <w:rPr>
                <w:noProof/>
                <w:webHidden/>
              </w:rPr>
              <w:fldChar w:fldCharType="begin"/>
            </w:r>
            <w:r>
              <w:rPr>
                <w:noProof/>
                <w:webHidden/>
              </w:rPr>
              <w:instrText xml:space="preserve"> PAGEREF _Toc203641997 \h </w:instrText>
            </w:r>
            <w:r>
              <w:rPr>
                <w:noProof/>
                <w:webHidden/>
              </w:rPr>
            </w:r>
            <w:r>
              <w:rPr>
                <w:noProof/>
                <w:webHidden/>
              </w:rPr>
              <w:fldChar w:fldCharType="separate"/>
            </w:r>
            <w:r>
              <w:rPr>
                <w:noProof/>
                <w:webHidden/>
              </w:rPr>
              <w:t>147</w:t>
            </w:r>
            <w:r>
              <w:rPr>
                <w:noProof/>
                <w:webHidden/>
              </w:rPr>
              <w:fldChar w:fldCharType="end"/>
            </w:r>
          </w:hyperlink>
        </w:p>
        <w:p w14:paraId="6CC2FAAD" w14:textId="3D459293" w:rsidR="008338B6" w:rsidRDefault="008338B6">
          <w:pPr>
            <w:pStyle w:val="TOC2"/>
            <w:rPr>
              <w:rFonts w:asciiTheme="minorHAnsi" w:eastAsiaTheme="minorEastAsia" w:hAnsiTheme="minorHAnsi"/>
              <w:noProof/>
              <w:kern w:val="2"/>
              <w:lang w:eastAsia="en-NZ"/>
              <w14:ligatures w14:val="standardContextual"/>
            </w:rPr>
          </w:pPr>
          <w:hyperlink w:anchor="_Toc203641998" w:history="1">
            <w:r w:rsidRPr="006C11D8">
              <w:rPr>
                <w:rStyle w:val="Hyperlink"/>
                <w:noProof/>
              </w:rPr>
              <w:t>C4.1.</w:t>
            </w:r>
            <w:r>
              <w:rPr>
                <w:rFonts w:asciiTheme="minorHAnsi" w:eastAsiaTheme="minorEastAsia" w:hAnsiTheme="minorHAnsi"/>
                <w:noProof/>
                <w:kern w:val="2"/>
                <w:lang w:eastAsia="en-NZ"/>
                <w14:ligatures w14:val="standardContextual"/>
              </w:rPr>
              <w:tab/>
            </w:r>
            <w:r w:rsidRPr="006C11D8">
              <w:rPr>
                <w:rStyle w:val="Hyperlink"/>
                <w:noProof/>
              </w:rPr>
              <w:t>General</w:t>
            </w:r>
            <w:r>
              <w:rPr>
                <w:noProof/>
                <w:webHidden/>
              </w:rPr>
              <w:tab/>
            </w:r>
            <w:r>
              <w:rPr>
                <w:noProof/>
                <w:webHidden/>
              </w:rPr>
              <w:fldChar w:fldCharType="begin"/>
            </w:r>
            <w:r>
              <w:rPr>
                <w:noProof/>
                <w:webHidden/>
              </w:rPr>
              <w:instrText xml:space="preserve"> PAGEREF _Toc203641998 \h </w:instrText>
            </w:r>
            <w:r>
              <w:rPr>
                <w:noProof/>
                <w:webHidden/>
              </w:rPr>
            </w:r>
            <w:r>
              <w:rPr>
                <w:noProof/>
                <w:webHidden/>
              </w:rPr>
              <w:fldChar w:fldCharType="separate"/>
            </w:r>
            <w:r>
              <w:rPr>
                <w:noProof/>
                <w:webHidden/>
              </w:rPr>
              <w:t>147</w:t>
            </w:r>
            <w:r>
              <w:rPr>
                <w:noProof/>
                <w:webHidden/>
              </w:rPr>
              <w:fldChar w:fldCharType="end"/>
            </w:r>
          </w:hyperlink>
        </w:p>
        <w:p w14:paraId="0F17AD38" w14:textId="0A85FBB7" w:rsidR="008338B6" w:rsidRDefault="008338B6">
          <w:pPr>
            <w:pStyle w:val="TOC2"/>
            <w:rPr>
              <w:rFonts w:asciiTheme="minorHAnsi" w:eastAsiaTheme="minorEastAsia" w:hAnsiTheme="minorHAnsi"/>
              <w:noProof/>
              <w:kern w:val="2"/>
              <w:lang w:eastAsia="en-NZ"/>
              <w14:ligatures w14:val="standardContextual"/>
            </w:rPr>
          </w:pPr>
          <w:hyperlink w:anchor="_Toc203641999" w:history="1">
            <w:r w:rsidRPr="006C11D8">
              <w:rPr>
                <w:rStyle w:val="Hyperlink"/>
                <w:noProof/>
              </w:rPr>
              <w:t>C4.2.</w:t>
            </w:r>
            <w:r>
              <w:rPr>
                <w:rFonts w:asciiTheme="minorHAnsi" w:eastAsiaTheme="minorEastAsia" w:hAnsiTheme="minorHAnsi"/>
                <w:noProof/>
                <w:kern w:val="2"/>
                <w:lang w:eastAsia="en-NZ"/>
                <w14:ligatures w14:val="standardContextual"/>
              </w:rPr>
              <w:tab/>
            </w:r>
            <w:r w:rsidRPr="006C11D8">
              <w:rPr>
                <w:rStyle w:val="Hyperlink"/>
                <w:noProof/>
              </w:rPr>
              <w:t>Documentation and Process Related Requirements</w:t>
            </w:r>
            <w:r>
              <w:rPr>
                <w:noProof/>
                <w:webHidden/>
              </w:rPr>
              <w:tab/>
            </w:r>
            <w:r>
              <w:rPr>
                <w:noProof/>
                <w:webHidden/>
              </w:rPr>
              <w:fldChar w:fldCharType="begin"/>
            </w:r>
            <w:r>
              <w:rPr>
                <w:noProof/>
                <w:webHidden/>
              </w:rPr>
              <w:instrText xml:space="preserve"> PAGEREF _Toc203641999 \h </w:instrText>
            </w:r>
            <w:r>
              <w:rPr>
                <w:noProof/>
                <w:webHidden/>
              </w:rPr>
            </w:r>
            <w:r>
              <w:rPr>
                <w:noProof/>
                <w:webHidden/>
              </w:rPr>
              <w:fldChar w:fldCharType="separate"/>
            </w:r>
            <w:r>
              <w:rPr>
                <w:noProof/>
                <w:webHidden/>
              </w:rPr>
              <w:t>148</w:t>
            </w:r>
            <w:r>
              <w:rPr>
                <w:noProof/>
                <w:webHidden/>
              </w:rPr>
              <w:fldChar w:fldCharType="end"/>
            </w:r>
          </w:hyperlink>
        </w:p>
        <w:p w14:paraId="1A5D0640" w14:textId="62470300" w:rsidR="008338B6" w:rsidRDefault="008338B6">
          <w:pPr>
            <w:pStyle w:val="TOC2"/>
            <w:rPr>
              <w:rFonts w:asciiTheme="minorHAnsi" w:eastAsiaTheme="minorEastAsia" w:hAnsiTheme="minorHAnsi"/>
              <w:noProof/>
              <w:kern w:val="2"/>
              <w:lang w:eastAsia="en-NZ"/>
              <w14:ligatures w14:val="standardContextual"/>
            </w:rPr>
          </w:pPr>
          <w:hyperlink w:anchor="_Toc203642000" w:history="1">
            <w:r w:rsidRPr="006C11D8">
              <w:rPr>
                <w:rStyle w:val="Hyperlink"/>
                <w:noProof/>
              </w:rPr>
              <w:t>C4.3.</w:t>
            </w:r>
            <w:r>
              <w:rPr>
                <w:rFonts w:asciiTheme="minorHAnsi" w:eastAsiaTheme="minorEastAsia" w:hAnsiTheme="minorHAnsi"/>
                <w:noProof/>
                <w:kern w:val="2"/>
                <w:lang w:eastAsia="en-NZ"/>
                <w14:ligatures w14:val="standardContextual"/>
              </w:rPr>
              <w:tab/>
            </w:r>
            <w:r w:rsidRPr="006C11D8">
              <w:rPr>
                <w:rStyle w:val="Hyperlink"/>
                <w:noProof/>
              </w:rPr>
              <w:t>General Design Requirements for Non-Structural Elements</w:t>
            </w:r>
            <w:r>
              <w:rPr>
                <w:noProof/>
                <w:webHidden/>
              </w:rPr>
              <w:tab/>
            </w:r>
            <w:r>
              <w:rPr>
                <w:noProof/>
                <w:webHidden/>
              </w:rPr>
              <w:fldChar w:fldCharType="begin"/>
            </w:r>
            <w:r>
              <w:rPr>
                <w:noProof/>
                <w:webHidden/>
              </w:rPr>
              <w:instrText xml:space="preserve"> PAGEREF _Toc203642000 \h </w:instrText>
            </w:r>
            <w:r>
              <w:rPr>
                <w:noProof/>
                <w:webHidden/>
              </w:rPr>
            </w:r>
            <w:r>
              <w:rPr>
                <w:noProof/>
                <w:webHidden/>
              </w:rPr>
              <w:fldChar w:fldCharType="separate"/>
            </w:r>
            <w:r>
              <w:rPr>
                <w:noProof/>
                <w:webHidden/>
              </w:rPr>
              <w:t>156</w:t>
            </w:r>
            <w:r>
              <w:rPr>
                <w:noProof/>
                <w:webHidden/>
              </w:rPr>
              <w:fldChar w:fldCharType="end"/>
            </w:r>
          </w:hyperlink>
        </w:p>
        <w:p w14:paraId="7DC594F8" w14:textId="2B0639C7" w:rsidR="008338B6" w:rsidRDefault="008338B6">
          <w:pPr>
            <w:pStyle w:val="TOC2"/>
            <w:rPr>
              <w:rFonts w:asciiTheme="minorHAnsi" w:eastAsiaTheme="minorEastAsia" w:hAnsiTheme="minorHAnsi"/>
              <w:noProof/>
              <w:kern w:val="2"/>
              <w:lang w:eastAsia="en-NZ"/>
              <w14:ligatures w14:val="standardContextual"/>
            </w:rPr>
          </w:pPr>
          <w:hyperlink w:anchor="_Toc203642001" w:history="1">
            <w:r w:rsidRPr="006C11D8">
              <w:rPr>
                <w:rStyle w:val="Hyperlink"/>
                <w:noProof/>
              </w:rPr>
              <w:t>C4.4.</w:t>
            </w:r>
            <w:r>
              <w:rPr>
                <w:rFonts w:asciiTheme="minorHAnsi" w:eastAsiaTheme="minorEastAsia" w:hAnsiTheme="minorHAnsi"/>
                <w:noProof/>
                <w:kern w:val="2"/>
                <w:lang w:eastAsia="en-NZ"/>
                <w14:ligatures w14:val="standardContextual"/>
              </w:rPr>
              <w:tab/>
            </w:r>
            <w:r w:rsidRPr="006C11D8">
              <w:rPr>
                <w:rStyle w:val="Hyperlink"/>
                <w:noProof/>
              </w:rPr>
              <w:t>Exterior Cladding</w:t>
            </w:r>
            <w:r>
              <w:rPr>
                <w:noProof/>
                <w:webHidden/>
              </w:rPr>
              <w:tab/>
            </w:r>
            <w:r>
              <w:rPr>
                <w:noProof/>
                <w:webHidden/>
              </w:rPr>
              <w:fldChar w:fldCharType="begin"/>
            </w:r>
            <w:r>
              <w:rPr>
                <w:noProof/>
                <w:webHidden/>
              </w:rPr>
              <w:instrText xml:space="preserve"> PAGEREF _Toc203642001 \h </w:instrText>
            </w:r>
            <w:r>
              <w:rPr>
                <w:noProof/>
                <w:webHidden/>
              </w:rPr>
            </w:r>
            <w:r>
              <w:rPr>
                <w:noProof/>
                <w:webHidden/>
              </w:rPr>
              <w:fldChar w:fldCharType="separate"/>
            </w:r>
            <w:r>
              <w:rPr>
                <w:noProof/>
                <w:webHidden/>
              </w:rPr>
              <w:t>159</w:t>
            </w:r>
            <w:r>
              <w:rPr>
                <w:noProof/>
                <w:webHidden/>
              </w:rPr>
              <w:fldChar w:fldCharType="end"/>
            </w:r>
          </w:hyperlink>
        </w:p>
        <w:p w14:paraId="1FF0F87D" w14:textId="3600E7CD" w:rsidR="008338B6" w:rsidRDefault="008338B6">
          <w:pPr>
            <w:pStyle w:val="TOC2"/>
            <w:rPr>
              <w:rFonts w:asciiTheme="minorHAnsi" w:eastAsiaTheme="minorEastAsia" w:hAnsiTheme="minorHAnsi"/>
              <w:noProof/>
              <w:kern w:val="2"/>
              <w:lang w:eastAsia="en-NZ"/>
              <w14:ligatures w14:val="standardContextual"/>
            </w:rPr>
          </w:pPr>
          <w:hyperlink w:anchor="_Toc203642002" w:history="1">
            <w:r w:rsidRPr="006C11D8">
              <w:rPr>
                <w:rStyle w:val="Hyperlink"/>
                <w:noProof/>
              </w:rPr>
              <w:t>C4.5.</w:t>
            </w:r>
            <w:r>
              <w:rPr>
                <w:rFonts w:asciiTheme="minorHAnsi" w:eastAsiaTheme="minorEastAsia" w:hAnsiTheme="minorHAnsi"/>
                <w:noProof/>
                <w:kern w:val="2"/>
                <w:lang w:eastAsia="en-NZ"/>
                <w14:ligatures w14:val="standardContextual"/>
              </w:rPr>
              <w:tab/>
            </w:r>
            <w:r w:rsidRPr="006C11D8">
              <w:rPr>
                <w:rStyle w:val="Hyperlink"/>
                <w:noProof/>
              </w:rPr>
              <w:t>Lightweight Partition Walls</w:t>
            </w:r>
            <w:r>
              <w:rPr>
                <w:noProof/>
                <w:webHidden/>
              </w:rPr>
              <w:tab/>
            </w:r>
            <w:r>
              <w:rPr>
                <w:noProof/>
                <w:webHidden/>
              </w:rPr>
              <w:fldChar w:fldCharType="begin"/>
            </w:r>
            <w:r>
              <w:rPr>
                <w:noProof/>
                <w:webHidden/>
              </w:rPr>
              <w:instrText xml:space="preserve"> PAGEREF _Toc203642002 \h </w:instrText>
            </w:r>
            <w:r>
              <w:rPr>
                <w:noProof/>
                <w:webHidden/>
              </w:rPr>
            </w:r>
            <w:r>
              <w:rPr>
                <w:noProof/>
                <w:webHidden/>
              </w:rPr>
              <w:fldChar w:fldCharType="separate"/>
            </w:r>
            <w:r>
              <w:rPr>
                <w:noProof/>
                <w:webHidden/>
              </w:rPr>
              <w:t>161</w:t>
            </w:r>
            <w:r>
              <w:rPr>
                <w:noProof/>
                <w:webHidden/>
              </w:rPr>
              <w:fldChar w:fldCharType="end"/>
            </w:r>
          </w:hyperlink>
        </w:p>
        <w:p w14:paraId="7A7999C4" w14:textId="59BCD00C" w:rsidR="008338B6" w:rsidRDefault="008338B6">
          <w:pPr>
            <w:pStyle w:val="TOC2"/>
            <w:rPr>
              <w:rFonts w:asciiTheme="minorHAnsi" w:eastAsiaTheme="minorEastAsia" w:hAnsiTheme="minorHAnsi"/>
              <w:noProof/>
              <w:kern w:val="2"/>
              <w:lang w:eastAsia="en-NZ"/>
              <w14:ligatures w14:val="standardContextual"/>
            </w:rPr>
          </w:pPr>
          <w:hyperlink w:anchor="_Toc203642003" w:history="1">
            <w:r w:rsidRPr="006C11D8">
              <w:rPr>
                <w:rStyle w:val="Hyperlink"/>
                <w:noProof/>
              </w:rPr>
              <w:t>C4.6.</w:t>
            </w:r>
            <w:r>
              <w:rPr>
                <w:rFonts w:asciiTheme="minorHAnsi" w:eastAsiaTheme="minorEastAsia" w:hAnsiTheme="minorHAnsi"/>
                <w:noProof/>
                <w:kern w:val="2"/>
                <w:lang w:eastAsia="en-NZ"/>
                <w14:ligatures w14:val="standardContextual"/>
              </w:rPr>
              <w:tab/>
            </w:r>
            <w:r w:rsidRPr="006C11D8">
              <w:rPr>
                <w:rStyle w:val="Hyperlink"/>
                <w:noProof/>
              </w:rPr>
              <w:t>Suspended Ceilings</w:t>
            </w:r>
            <w:r>
              <w:rPr>
                <w:noProof/>
                <w:webHidden/>
              </w:rPr>
              <w:tab/>
            </w:r>
            <w:r>
              <w:rPr>
                <w:noProof/>
                <w:webHidden/>
              </w:rPr>
              <w:fldChar w:fldCharType="begin"/>
            </w:r>
            <w:r>
              <w:rPr>
                <w:noProof/>
                <w:webHidden/>
              </w:rPr>
              <w:instrText xml:space="preserve"> PAGEREF _Toc203642003 \h </w:instrText>
            </w:r>
            <w:r>
              <w:rPr>
                <w:noProof/>
                <w:webHidden/>
              </w:rPr>
            </w:r>
            <w:r>
              <w:rPr>
                <w:noProof/>
                <w:webHidden/>
              </w:rPr>
              <w:fldChar w:fldCharType="separate"/>
            </w:r>
            <w:r>
              <w:rPr>
                <w:noProof/>
                <w:webHidden/>
              </w:rPr>
              <w:t>171</w:t>
            </w:r>
            <w:r>
              <w:rPr>
                <w:noProof/>
                <w:webHidden/>
              </w:rPr>
              <w:fldChar w:fldCharType="end"/>
            </w:r>
          </w:hyperlink>
        </w:p>
        <w:p w14:paraId="260CE38C" w14:textId="27E8480B" w:rsidR="008338B6" w:rsidRDefault="008338B6">
          <w:pPr>
            <w:pStyle w:val="TOC2"/>
            <w:rPr>
              <w:rFonts w:asciiTheme="minorHAnsi" w:eastAsiaTheme="minorEastAsia" w:hAnsiTheme="minorHAnsi"/>
              <w:noProof/>
              <w:kern w:val="2"/>
              <w:lang w:eastAsia="en-NZ"/>
              <w14:ligatures w14:val="standardContextual"/>
            </w:rPr>
          </w:pPr>
          <w:hyperlink w:anchor="_Toc203642004" w:history="1">
            <w:r w:rsidRPr="006C11D8">
              <w:rPr>
                <w:rStyle w:val="Hyperlink"/>
                <w:noProof/>
              </w:rPr>
              <w:t>C4.7.</w:t>
            </w:r>
            <w:r>
              <w:rPr>
                <w:rFonts w:asciiTheme="minorHAnsi" w:eastAsiaTheme="minorEastAsia" w:hAnsiTheme="minorHAnsi"/>
                <w:noProof/>
                <w:kern w:val="2"/>
                <w:lang w:eastAsia="en-NZ"/>
                <w14:ligatures w14:val="standardContextual"/>
              </w:rPr>
              <w:tab/>
            </w:r>
            <w:r w:rsidRPr="006C11D8">
              <w:rPr>
                <w:rStyle w:val="Hyperlink"/>
                <w:noProof/>
              </w:rPr>
              <w:t>Suspended Building Services</w:t>
            </w:r>
            <w:r>
              <w:rPr>
                <w:noProof/>
                <w:webHidden/>
              </w:rPr>
              <w:tab/>
            </w:r>
            <w:r>
              <w:rPr>
                <w:noProof/>
                <w:webHidden/>
              </w:rPr>
              <w:fldChar w:fldCharType="begin"/>
            </w:r>
            <w:r>
              <w:rPr>
                <w:noProof/>
                <w:webHidden/>
              </w:rPr>
              <w:instrText xml:space="preserve"> PAGEREF _Toc203642004 \h </w:instrText>
            </w:r>
            <w:r>
              <w:rPr>
                <w:noProof/>
                <w:webHidden/>
              </w:rPr>
            </w:r>
            <w:r>
              <w:rPr>
                <w:noProof/>
                <w:webHidden/>
              </w:rPr>
              <w:fldChar w:fldCharType="separate"/>
            </w:r>
            <w:r>
              <w:rPr>
                <w:noProof/>
                <w:webHidden/>
              </w:rPr>
              <w:t>173</w:t>
            </w:r>
            <w:r>
              <w:rPr>
                <w:noProof/>
                <w:webHidden/>
              </w:rPr>
              <w:fldChar w:fldCharType="end"/>
            </w:r>
          </w:hyperlink>
        </w:p>
        <w:p w14:paraId="578248B3" w14:textId="203295A9" w:rsidR="008338B6" w:rsidRDefault="008338B6">
          <w:pPr>
            <w:pStyle w:val="TOC2"/>
            <w:rPr>
              <w:rFonts w:asciiTheme="minorHAnsi" w:eastAsiaTheme="minorEastAsia" w:hAnsiTheme="minorHAnsi"/>
              <w:noProof/>
              <w:kern w:val="2"/>
              <w:lang w:eastAsia="en-NZ"/>
              <w14:ligatures w14:val="standardContextual"/>
            </w:rPr>
          </w:pPr>
          <w:hyperlink w:anchor="_Toc203642005" w:history="1">
            <w:r w:rsidRPr="006C11D8">
              <w:rPr>
                <w:rStyle w:val="Hyperlink"/>
                <w:noProof/>
              </w:rPr>
              <w:t>C4.8.</w:t>
            </w:r>
            <w:r>
              <w:rPr>
                <w:rFonts w:asciiTheme="minorHAnsi" w:eastAsiaTheme="minorEastAsia" w:hAnsiTheme="minorHAnsi"/>
                <w:noProof/>
                <w:kern w:val="2"/>
                <w:lang w:eastAsia="en-NZ"/>
                <w14:ligatures w14:val="standardContextual"/>
              </w:rPr>
              <w:tab/>
            </w:r>
            <w:r w:rsidRPr="006C11D8">
              <w:rPr>
                <w:rStyle w:val="Hyperlink"/>
                <w:noProof/>
              </w:rPr>
              <w:t>Plant and Other Mounted Equipment</w:t>
            </w:r>
            <w:r>
              <w:rPr>
                <w:noProof/>
                <w:webHidden/>
              </w:rPr>
              <w:tab/>
            </w:r>
            <w:r>
              <w:rPr>
                <w:noProof/>
                <w:webHidden/>
              </w:rPr>
              <w:fldChar w:fldCharType="begin"/>
            </w:r>
            <w:r>
              <w:rPr>
                <w:noProof/>
                <w:webHidden/>
              </w:rPr>
              <w:instrText xml:space="preserve"> PAGEREF _Toc203642005 \h </w:instrText>
            </w:r>
            <w:r>
              <w:rPr>
                <w:noProof/>
                <w:webHidden/>
              </w:rPr>
            </w:r>
            <w:r>
              <w:rPr>
                <w:noProof/>
                <w:webHidden/>
              </w:rPr>
              <w:fldChar w:fldCharType="separate"/>
            </w:r>
            <w:r>
              <w:rPr>
                <w:noProof/>
                <w:webHidden/>
              </w:rPr>
              <w:t>177</w:t>
            </w:r>
            <w:r>
              <w:rPr>
                <w:noProof/>
                <w:webHidden/>
              </w:rPr>
              <w:fldChar w:fldCharType="end"/>
            </w:r>
          </w:hyperlink>
        </w:p>
        <w:p w14:paraId="3C2BE8DF" w14:textId="67A0276C" w:rsidR="008338B6" w:rsidRDefault="008338B6">
          <w:pPr>
            <w:pStyle w:val="TOC2"/>
            <w:rPr>
              <w:rFonts w:asciiTheme="minorHAnsi" w:eastAsiaTheme="minorEastAsia" w:hAnsiTheme="minorHAnsi"/>
              <w:noProof/>
              <w:kern w:val="2"/>
              <w:lang w:eastAsia="en-NZ"/>
              <w14:ligatures w14:val="standardContextual"/>
            </w:rPr>
          </w:pPr>
          <w:hyperlink w:anchor="_Toc203642006" w:history="1">
            <w:r w:rsidRPr="006C11D8">
              <w:rPr>
                <w:rStyle w:val="Hyperlink"/>
                <w:noProof/>
              </w:rPr>
              <w:t>C4.9.</w:t>
            </w:r>
            <w:r>
              <w:rPr>
                <w:rFonts w:asciiTheme="minorHAnsi" w:eastAsiaTheme="minorEastAsia" w:hAnsiTheme="minorHAnsi"/>
                <w:noProof/>
                <w:kern w:val="2"/>
                <w:lang w:eastAsia="en-NZ"/>
                <w14:ligatures w14:val="standardContextual"/>
              </w:rPr>
              <w:tab/>
            </w:r>
            <w:r w:rsidRPr="006C11D8">
              <w:rPr>
                <w:rStyle w:val="Hyperlink"/>
                <w:noProof/>
              </w:rPr>
              <w:t>Vertical Transportation (Lifts)</w:t>
            </w:r>
            <w:r>
              <w:rPr>
                <w:noProof/>
                <w:webHidden/>
              </w:rPr>
              <w:tab/>
            </w:r>
            <w:r>
              <w:rPr>
                <w:noProof/>
                <w:webHidden/>
              </w:rPr>
              <w:fldChar w:fldCharType="begin"/>
            </w:r>
            <w:r>
              <w:rPr>
                <w:noProof/>
                <w:webHidden/>
              </w:rPr>
              <w:instrText xml:space="preserve"> PAGEREF _Toc203642006 \h </w:instrText>
            </w:r>
            <w:r>
              <w:rPr>
                <w:noProof/>
                <w:webHidden/>
              </w:rPr>
            </w:r>
            <w:r>
              <w:rPr>
                <w:noProof/>
                <w:webHidden/>
              </w:rPr>
              <w:fldChar w:fldCharType="separate"/>
            </w:r>
            <w:r>
              <w:rPr>
                <w:noProof/>
                <w:webHidden/>
              </w:rPr>
              <w:t>179</w:t>
            </w:r>
            <w:r>
              <w:rPr>
                <w:noProof/>
                <w:webHidden/>
              </w:rPr>
              <w:fldChar w:fldCharType="end"/>
            </w:r>
          </w:hyperlink>
        </w:p>
        <w:p w14:paraId="7B9197C9" w14:textId="7AEDDB5C" w:rsidR="008338B6" w:rsidRDefault="008338B6">
          <w:pPr>
            <w:pStyle w:val="TOC1"/>
            <w:tabs>
              <w:tab w:val="left" w:pos="720"/>
            </w:tabs>
            <w:rPr>
              <w:rFonts w:asciiTheme="minorHAnsi" w:eastAsiaTheme="minorEastAsia" w:hAnsiTheme="minorHAnsi"/>
              <w:b w:val="0"/>
              <w:noProof/>
              <w:kern w:val="2"/>
              <w:lang w:eastAsia="en-NZ"/>
              <w14:ligatures w14:val="standardContextual"/>
            </w:rPr>
          </w:pPr>
          <w:hyperlink w:anchor="_Toc203642007" w:history="1">
            <w:r w:rsidRPr="006C11D8">
              <w:rPr>
                <w:rStyle w:val="Hyperlink"/>
                <w:noProof/>
              </w:rPr>
              <w:t>C5.</w:t>
            </w:r>
            <w:r>
              <w:rPr>
                <w:rFonts w:asciiTheme="minorHAnsi" w:eastAsiaTheme="minorEastAsia" w:hAnsiTheme="minorHAnsi"/>
                <w:b w:val="0"/>
                <w:noProof/>
                <w:kern w:val="2"/>
                <w:lang w:eastAsia="en-NZ"/>
                <w14:ligatures w14:val="standardContextual"/>
              </w:rPr>
              <w:tab/>
            </w:r>
            <w:r w:rsidRPr="006C11D8">
              <w:rPr>
                <w:rStyle w:val="Hyperlink"/>
                <w:noProof/>
              </w:rPr>
              <w:t>Design of Lightweight and Low-rise Hospital Infrastructure</w:t>
            </w:r>
            <w:r>
              <w:rPr>
                <w:noProof/>
                <w:webHidden/>
              </w:rPr>
              <w:tab/>
            </w:r>
            <w:r>
              <w:rPr>
                <w:noProof/>
                <w:webHidden/>
              </w:rPr>
              <w:fldChar w:fldCharType="begin"/>
            </w:r>
            <w:r>
              <w:rPr>
                <w:noProof/>
                <w:webHidden/>
              </w:rPr>
              <w:instrText xml:space="preserve"> PAGEREF _Toc203642007 \h </w:instrText>
            </w:r>
            <w:r>
              <w:rPr>
                <w:noProof/>
                <w:webHidden/>
              </w:rPr>
            </w:r>
            <w:r>
              <w:rPr>
                <w:noProof/>
                <w:webHidden/>
              </w:rPr>
              <w:fldChar w:fldCharType="separate"/>
            </w:r>
            <w:r>
              <w:rPr>
                <w:noProof/>
                <w:webHidden/>
              </w:rPr>
              <w:t>183</w:t>
            </w:r>
            <w:r>
              <w:rPr>
                <w:noProof/>
                <w:webHidden/>
              </w:rPr>
              <w:fldChar w:fldCharType="end"/>
            </w:r>
          </w:hyperlink>
        </w:p>
        <w:p w14:paraId="1B7905FD" w14:textId="6EFB2857" w:rsidR="008338B6" w:rsidRDefault="008338B6">
          <w:pPr>
            <w:pStyle w:val="TOC2"/>
            <w:rPr>
              <w:rFonts w:asciiTheme="minorHAnsi" w:eastAsiaTheme="minorEastAsia" w:hAnsiTheme="minorHAnsi"/>
              <w:noProof/>
              <w:kern w:val="2"/>
              <w:lang w:eastAsia="en-NZ"/>
              <w14:ligatures w14:val="standardContextual"/>
            </w:rPr>
          </w:pPr>
          <w:hyperlink w:anchor="_Toc203642008" w:history="1">
            <w:r w:rsidRPr="006C11D8">
              <w:rPr>
                <w:rStyle w:val="Hyperlink"/>
                <w:noProof/>
              </w:rPr>
              <w:t>C5.1.</w:t>
            </w:r>
            <w:r>
              <w:rPr>
                <w:rFonts w:asciiTheme="minorHAnsi" w:eastAsiaTheme="minorEastAsia" w:hAnsiTheme="minorHAnsi"/>
                <w:noProof/>
                <w:kern w:val="2"/>
                <w:lang w:eastAsia="en-NZ"/>
                <w14:ligatures w14:val="standardContextual"/>
              </w:rPr>
              <w:tab/>
            </w:r>
            <w:r w:rsidRPr="006C11D8">
              <w:rPr>
                <w:rStyle w:val="Hyperlink"/>
                <w:noProof/>
              </w:rPr>
              <w:t>Scope</w:t>
            </w:r>
            <w:r>
              <w:rPr>
                <w:noProof/>
                <w:webHidden/>
              </w:rPr>
              <w:tab/>
            </w:r>
            <w:r>
              <w:rPr>
                <w:noProof/>
                <w:webHidden/>
              </w:rPr>
              <w:fldChar w:fldCharType="begin"/>
            </w:r>
            <w:r>
              <w:rPr>
                <w:noProof/>
                <w:webHidden/>
              </w:rPr>
              <w:instrText xml:space="preserve"> PAGEREF _Toc203642008 \h </w:instrText>
            </w:r>
            <w:r>
              <w:rPr>
                <w:noProof/>
                <w:webHidden/>
              </w:rPr>
            </w:r>
            <w:r>
              <w:rPr>
                <w:noProof/>
                <w:webHidden/>
              </w:rPr>
              <w:fldChar w:fldCharType="separate"/>
            </w:r>
            <w:r>
              <w:rPr>
                <w:noProof/>
                <w:webHidden/>
              </w:rPr>
              <w:t>183</w:t>
            </w:r>
            <w:r>
              <w:rPr>
                <w:noProof/>
                <w:webHidden/>
              </w:rPr>
              <w:fldChar w:fldCharType="end"/>
            </w:r>
          </w:hyperlink>
        </w:p>
        <w:p w14:paraId="0CE77A14" w14:textId="359B0770" w:rsidR="008338B6" w:rsidRDefault="008338B6">
          <w:pPr>
            <w:pStyle w:val="TOC2"/>
            <w:rPr>
              <w:rFonts w:asciiTheme="minorHAnsi" w:eastAsiaTheme="minorEastAsia" w:hAnsiTheme="minorHAnsi"/>
              <w:noProof/>
              <w:kern w:val="2"/>
              <w:lang w:eastAsia="en-NZ"/>
              <w14:ligatures w14:val="standardContextual"/>
            </w:rPr>
          </w:pPr>
          <w:hyperlink w:anchor="_Toc203642009" w:history="1">
            <w:r w:rsidRPr="006C11D8">
              <w:rPr>
                <w:rStyle w:val="Hyperlink"/>
                <w:noProof/>
              </w:rPr>
              <w:t>C5.2.</w:t>
            </w:r>
            <w:r>
              <w:rPr>
                <w:rFonts w:asciiTheme="minorHAnsi" w:eastAsiaTheme="minorEastAsia" w:hAnsiTheme="minorHAnsi"/>
                <w:noProof/>
                <w:kern w:val="2"/>
                <w:lang w:eastAsia="en-NZ"/>
                <w14:ligatures w14:val="standardContextual"/>
              </w:rPr>
              <w:tab/>
            </w:r>
            <w:r w:rsidRPr="006C11D8">
              <w:rPr>
                <w:rStyle w:val="Hyperlink"/>
                <w:noProof/>
              </w:rPr>
              <w:t>Structural Robustness</w:t>
            </w:r>
            <w:r>
              <w:rPr>
                <w:noProof/>
                <w:webHidden/>
              </w:rPr>
              <w:tab/>
            </w:r>
            <w:r>
              <w:rPr>
                <w:noProof/>
                <w:webHidden/>
              </w:rPr>
              <w:fldChar w:fldCharType="begin"/>
            </w:r>
            <w:r>
              <w:rPr>
                <w:noProof/>
                <w:webHidden/>
              </w:rPr>
              <w:instrText xml:space="preserve"> PAGEREF _Toc203642009 \h </w:instrText>
            </w:r>
            <w:r>
              <w:rPr>
                <w:noProof/>
                <w:webHidden/>
              </w:rPr>
            </w:r>
            <w:r>
              <w:rPr>
                <w:noProof/>
                <w:webHidden/>
              </w:rPr>
              <w:fldChar w:fldCharType="separate"/>
            </w:r>
            <w:r>
              <w:rPr>
                <w:noProof/>
                <w:webHidden/>
              </w:rPr>
              <w:t>184</w:t>
            </w:r>
            <w:r>
              <w:rPr>
                <w:noProof/>
                <w:webHidden/>
              </w:rPr>
              <w:fldChar w:fldCharType="end"/>
            </w:r>
          </w:hyperlink>
        </w:p>
        <w:p w14:paraId="27430977" w14:textId="1C1FA4E3" w:rsidR="008338B6" w:rsidRDefault="008338B6">
          <w:pPr>
            <w:pStyle w:val="TOC2"/>
            <w:rPr>
              <w:rFonts w:asciiTheme="minorHAnsi" w:eastAsiaTheme="minorEastAsia" w:hAnsiTheme="minorHAnsi"/>
              <w:noProof/>
              <w:kern w:val="2"/>
              <w:lang w:eastAsia="en-NZ"/>
              <w14:ligatures w14:val="standardContextual"/>
            </w:rPr>
          </w:pPr>
          <w:hyperlink w:anchor="_Toc203642010" w:history="1">
            <w:r w:rsidRPr="006C11D8">
              <w:rPr>
                <w:rStyle w:val="Hyperlink"/>
                <w:noProof/>
              </w:rPr>
              <w:t>C5.3.</w:t>
            </w:r>
            <w:r>
              <w:rPr>
                <w:rFonts w:asciiTheme="minorHAnsi" w:eastAsiaTheme="minorEastAsia" w:hAnsiTheme="minorHAnsi"/>
                <w:noProof/>
                <w:kern w:val="2"/>
                <w:lang w:eastAsia="en-NZ"/>
                <w14:ligatures w14:val="standardContextual"/>
              </w:rPr>
              <w:tab/>
            </w:r>
            <w:r w:rsidRPr="006C11D8">
              <w:rPr>
                <w:rStyle w:val="Hyperlink"/>
                <w:noProof/>
              </w:rPr>
              <w:t>Lightweight Construction Techniques used in non-Specific Engineering Design</w:t>
            </w:r>
            <w:r>
              <w:rPr>
                <w:noProof/>
                <w:webHidden/>
              </w:rPr>
              <w:tab/>
            </w:r>
            <w:r>
              <w:rPr>
                <w:noProof/>
                <w:webHidden/>
              </w:rPr>
              <w:fldChar w:fldCharType="begin"/>
            </w:r>
            <w:r>
              <w:rPr>
                <w:noProof/>
                <w:webHidden/>
              </w:rPr>
              <w:instrText xml:space="preserve"> PAGEREF _Toc203642010 \h </w:instrText>
            </w:r>
            <w:r>
              <w:rPr>
                <w:noProof/>
                <w:webHidden/>
              </w:rPr>
            </w:r>
            <w:r>
              <w:rPr>
                <w:noProof/>
                <w:webHidden/>
              </w:rPr>
              <w:fldChar w:fldCharType="separate"/>
            </w:r>
            <w:r>
              <w:rPr>
                <w:noProof/>
                <w:webHidden/>
              </w:rPr>
              <w:t>187</w:t>
            </w:r>
            <w:r>
              <w:rPr>
                <w:noProof/>
                <w:webHidden/>
              </w:rPr>
              <w:fldChar w:fldCharType="end"/>
            </w:r>
          </w:hyperlink>
        </w:p>
        <w:p w14:paraId="51CED68C" w14:textId="368A165F" w:rsidR="008338B6" w:rsidRDefault="008338B6">
          <w:pPr>
            <w:pStyle w:val="TOC2"/>
            <w:rPr>
              <w:rFonts w:asciiTheme="minorHAnsi" w:eastAsiaTheme="minorEastAsia" w:hAnsiTheme="minorHAnsi"/>
              <w:noProof/>
              <w:kern w:val="2"/>
              <w:lang w:eastAsia="en-NZ"/>
              <w14:ligatures w14:val="standardContextual"/>
            </w:rPr>
          </w:pPr>
          <w:hyperlink w:anchor="_Toc203642011" w:history="1">
            <w:r w:rsidRPr="006C11D8">
              <w:rPr>
                <w:rStyle w:val="Hyperlink"/>
                <w:noProof/>
              </w:rPr>
              <w:t>C5.4.</w:t>
            </w:r>
            <w:r>
              <w:rPr>
                <w:rFonts w:asciiTheme="minorHAnsi" w:eastAsiaTheme="minorEastAsia" w:hAnsiTheme="minorHAnsi"/>
                <w:noProof/>
                <w:kern w:val="2"/>
                <w:lang w:eastAsia="en-NZ"/>
                <w14:ligatures w14:val="standardContextual"/>
              </w:rPr>
              <w:tab/>
            </w:r>
            <w:r w:rsidRPr="006C11D8">
              <w:rPr>
                <w:rStyle w:val="Hyperlink"/>
                <w:noProof/>
              </w:rPr>
              <w:t>Examples</w:t>
            </w:r>
            <w:r>
              <w:rPr>
                <w:noProof/>
                <w:webHidden/>
              </w:rPr>
              <w:tab/>
            </w:r>
            <w:r>
              <w:rPr>
                <w:noProof/>
                <w:webHidden/>
              </w:rPr>
              <w:fldChar w:fldCharType="begin"/>
            </w:r>
            <w:r>
              <w:rPr>
                <w:noProof/>
                <w:webHidden/>
              </w:rPr>
              <w:instrText xml:space="preserve"> PAGEREF _Toc203642011 \h </w:instrText>
            </w:r>
            <w:r>
              <w:rPr>
                <w:noProof/>
                <w:webHidden/>
              </w:rPr>
            </w:r>
            <w:r>
              <w:rPr>
                <w:noProof/>
                <w:webHidden/>
              </w:rPr>
              <w:fldChar w:fldCharType="separate"/>
            </w:r>
            <w:r>
              <w:rPr>
                <w:noProof/>
                <w:webHidden/>
              </w:rPr>
              <w:t>190</w:t>
            </w:r>
            <w:r>
              <w:rPr>
                <w:noProof/>
                <w:webHidden/>
              </w:rPr>
              <w:fldChar w:fldCharType="end"/>
            </w:r>
          </w:hyperlink>
        </w:p>
        <w:p w14:paraId="07099B2B" w14:textId="26774289" w:rsidR="008338B6" w:rsidRDefault="008338B6">
          <w:pPr>
            <w:pStyle w:val="TOC1"/>
            <w:rPr>
              <w:rFonts w:asciiTheme="minorHAnsi" w:eastAsiaTheme="minorEastAsia" w:hAnsiTheme="minorHAnsi"/>
              <w:b w:val="0"/>
              <w:noProof/>
              <w:kern w:val="2"/>
              <w:lang w:eastAsia="en-NZ"/>
              <w14:ligatures w14:val="standardContextual"/>
            </w:rPr>
          </w:pPr>
          <w:hyperlink w:anchor="_Toc203642012" w:history="1">
            <w:r w:rsidRPr="006C11D8">
              <w:rPr>
                <w:rStyle w:val="Hyperlink"/>
                <w:noProof/>
              </w:rPr>
              <w:t>Glossary of terms, definitions, and acronyms</w:t>
            </w:r>
            <w:r>
              <w:rPr>
                <w:noProof/>
                <w:webHidden/>
              </w:rPr>
              <w:tab/>
            </w:r>
            <w:r>
              <w:rPr>
                <w:noProof/>
                <w:webHidden/>
              </w:rPr>
              <w:fldChar w:fldCharType="begin"/>
            </w:r>
            <w:r>
              <w:rPr>
                <w:noProof/>
                <w:webHidden/>
              </w:rPr>
              <w:instrText xml:space="preserve"> PAGEREF _Toc203642012 \h </w:instrText>
            </w:r>
            <w:r>
              <w:rPr>
                <w:noProof/>
                <w:webHidden/>
              </w:rPr>
            </w:r>
            <w:r>
              <w:rPr>
                <w:noProof/>
                <w:webHidden/>
              </w:rPr>
              <w:fldChar w:fldCharType="separate"/>
            </w:r>
            <w:r>
              <w:rPr>
                <w:noProof/>
                <w:webHidden/>
              </w:rPr>
              <w:t>194</w:t>
            </w:r>
            <w:r>
              <w:rPr>
                <w:noProof/>
                <w:webHidden/>
              </w:rPr>
              <w:fldChar w:fldCharType="end"/>
            </w:r>
          </w:hyperlink>
        </w:p>
        <w:p w14:paraId="16928017" w14:textId="64ABC803" w:rsidR="008338B6" w:rsidRDefault="008338B6">
          <w:pPr>
            <w:pStyle w:val="TOC1"/>
            <w:rPr>
              <w:rFonts w:asciiTheme="minorHAnsi" w:eastAsiaTheme="minorEastAsia" w:hAnsiTheme="minorHAnsi"/>
              <w:b w:val="0"/>
              <w:noProof/>
              <w:kern w:val="2"/>
              <w:lang w:eastAsia="en-NZ"/>
              <w14:ligatures w14:val="standardContextual"/>
            </w:rPr>
          </w:pPr>
          <w:hyperlink w:anchor="_Toc203642013" w:history="1">
            <w:r w:rsidRPr="006C11D8">
              <w:rPr>
                <w:rStyle w:val="Hyperlink"/>
                <w:noProof/>
              </w:rPr>
              <w:t>References</w:t>
            </w:r>
            <w:r>
              <w:rPr>
                <w:noProof/>
                <w:webHidden/>
              </w:rPr>
              <w:tab/>
            </w:r>
            <w:r>
              <w:rPr>
                <w:noProof/>
                <w:webHidden/>
              </w:rPr>
              <w:fldChar w:fldCharType="begin"/>
            </w:r>
            <w:r>
              <w:rPr>
                <w:noProof/>
                <w:webHidden/>
              </w:rPr>
              <w:instrText xml:space="preserve"> PAGEREF _Toc203642013 \h </w:instrText>
            </w:r>
            <w:r>
              <w:rPr>
                <w:noProof/>
                <w:webHidden/>
              </w:rPr>
            </w:r>
            <w:r>
              <w:rPr>
                <w:noProof/>
                <w:webHidden/>
              </w:rPr>
              <w:fldChar w:fldCharType="separate"/>
            </w:r>
            <w:r>
              <w:rPr>
                <w:noProof/>
                <w:webHidden/>
              </w:rPr>
              <w:t>201</w:t>
            </w:r>
            <w:r>
              <w:rPr>
                <w:noProof/>
                <w:webHidden/>
              </w:rPr>
              <w:fldChar w:fldCharType="end"/>
            </w:r>
          </w:hyperlink>
        </w:p>
        <w:p w14:paraId="0D48A011" w14:textId="7E733904" w:rsidR="008338B6" w:rsidRDefault="008338B6">
          <w:pPr>
            <w:pStyle w:val="TOC1"/>
            <w:rPr>
              <w:rFonts w:asciiTheme="minorHAnsi" w:eastAsiaTheme="minorEastAsia" w:hAnsiTheme="minorHAnsi"/>
              <w:b w:val="0"/>
              <w:noProof/>
              <w:kern w:val="2"/>
              <w:lang w:eastAsia="en-NZ"/>
              <w14:ligatures w14:val="standardContextual"/>
            </w:rPr>
          </w:pPr>
          <w:hyperlink w:anchor="_Toc203642014" w:history="1">
            <w:r w:rsidRPr="006C11D8">
              <w:rPr>
                <w:rStyle w:val="Hyperlink"/>
                <w:noProof/>
              </w:rPr>
              <w:t>Appendices</w:t>
            </w:r>
            <w:r>
              <w:rPr>
                <w:noProof/>
                <w:webHidden/>
              </w:rPr>
              <w:tab/>
            </w:r>
            <w:r>
              <w:rPr>
                <w:noProof/>
                <w:webHidden/>
              </w:rPr>
              <w:fldChar w:fldCharType="begin"/>
            </w:r>
            <w:r>
              <w:rPr>
                <w:noProof/>
                <w:webHidden/>
              </w:rPr>
              <w:instrText xml:space="preserve"> PAGEREF _Toc203642014 \h </w:instrText>
            </w:r>
            <w:r>
              <w:rPr>
                <w:noProof/>
                <w:webHidden/>
              </w:rPr>
            </w:r>
            <w:r>
              <w:rPr>
                <w:noProof/>
                <w:webHidden/>
              </w:rPr>
              <w:fldChar w:fldCharType="separate"/>
            </w:r>
            <w:r>
              <w:rPr>
                <w:noProof/>
                <w:webHidden/>
              </w:rPr>
              <w:t>207</w:t>
            </w:r>
            <w:r>
              <w:rPr>
                <w:noProof/>
                <w:webHidden/>
              </w:rPr>
              <w:fldChar w:fldCharType="end"/>
            </w:r>
          </w:hyperlink>
        </w:p>
        <w:p w14:paraId="36315802" w14:textId="54CF2F66" w:rsidR="008338B6" w:rsidRDefault="008338B6">
          <w:pPr>
            <w:pStyle w:val="TOC1"/>
            <w:rPr>
              <w:rFonts w:asciiTheme="minorHAnsi" w:eastAsiaTheme="minorEastAsia" w:hAnsiTheme="minorHAnsi"/>
              <w:b w:val="0"/>
              <w:noProof/>
              <w:kern w:val="2"/>
              <w:lang w:eastAsia="en-NZ"/>
              <w14:ligatures w14:val="standardContextual"/>
            </w:rPr>
          </w:pPr>
          <w:hyperlink w:anchor="_Toc203642015" w:history="1">
            <w:r w:rsidRPr="006C11D8">
              <w:rPr>
                <w:rStyle w:val="Hyperlink"/>
                <w:noProof/>
              </w:rPr>
              <w:t>Appendix 1. Campus Earthquake Resilience (Structural Considerations)</w:t>
            </w:r>
            <w:r>
              <w:rPr>
                <w:noProof/>
                <w:webHidden/>
              </w:rPr>
              <w:tab/>
            </w:r>
            <w:r>
              <w:rPr>
                <w:noProof/>
                <w:webHidden/>
              </w:rPr>
              <w:fldChar w:fldCharType="begin"/>
            </w:r>
            <w:r>
              <w:rPr>
                <w:noProof/>
                <w:webHidden/>
              </w:rPr>
              <w:instrText xml:space="preserve"> PAGEREF _Toc203642015 \h </w:instrText>
            </w:r>
            <w:r>
              <w:rPr>
                <w:noProof/>
                <w:webHidden/>
              </w:rPr>
            </w:r>
            <w:r>
              <w:rPr>
                <w:noProof/>
                <w:webHidden/>
              </w:rPr>
              <w:fldChar w:fldCharType="separate"/>
            </w:r>
            <w:r>
              <w:rPr>
                <w:noProof/>
                <w:webHidden/>
              </w:rPr>
              <w:t>208</w:t>
            </w:r>
            <w:r>
              <w:rPr>
                <w:noProof/>
                <w:webHidden/>
              </w:rPr>
              <w:fldChar w:fldCharType="end"/>
            </w:r>
          </w:hyperlink>
        </w:p>
        <w:p w14:paraId="1E0A2889" w14:textId="422DDD32" w:rsidR="008338B6" w:rsidRDefault="008338B6">
          <w:pPr>
            <w:pStyle w:val="TOC2"/>
            <w:rPr>
              <w:rFonts w:asciiTheme="minorHAnsi" w:eastAsiaTheme="minorEastAsia" w:hAnsiTheme="minorHAnsi"/>
              <w:noProof/>
              <w:kern w:val="2"/>
              <w:lang w:eastAsia="en-NZ"/>
              <w14:ligatures w14:val="standardContextual"/>
            </w:rPr>
          </w:pPr>
          <w:hyperlink w:anchor="_Toc203642016" w:history="1">
            <w:r w:rsidRPr="006C11D8">
              <w:rPr>
                <w:rStyle w:val="Hyperlink"/>
                <w:noProof/>
              </w:rPr>
              <w:t>1.1.</w:t>
            </w:r>
            <w:r>
              <w:rPr>
                <w:rFonts w:asciiTheme="minorHAnsi" w:eastAsiaTheme="minorEastAsia" w:hAnsiTheme="minorHAnsi"/>
                <w:noProof/>
                <w:kern w:val="2"/>
                <w:lang w:eastAsia="en-NZ"/>
                <w14:ligatures w14:val="standardContextual"/>
              </w:rPr>
              <w:tab/>
            </w:r>
            <w:r w:rsidRPr="006C11D8">
              <w:rPr>
                <w:rStyle w:val="Hyperlink"/>
                <w:noProof/>
              </w:rPr>
              <w:t>Purpose of this Information</w:t>
            </w:r>
            <w:r>
              <w:rPr>
                <w:noProof/>
                <w:webHidden/>
              </w:rPr>
              <w:tab/>
            </w:r>
            <w:r>
              <w:rPr>
                <w:noProof/>
                <w:webHidden/>
              </w:rPr>
              <w:fldChar w:fldCharType="begin"/>
            </w:r>
            <w:r>
              <w:rPr>
                <w:noProof/>
                <w:webHidden/>
              </w:rPr>
              <w:instrText xml:space="preserve"> PAGEREF _Toc203642016 \h </w:instrText>
            </w:r>
            <w:r>
              <w:rPr>
                <w:noProof/>
                <w:webHidden/>
              </w:rPr>
            </w:r>
            <w:r>
              <w:rPr>
                <w:noProof/>
                <w:webHidden/>
              </w:rPr>
              <w:fldChar w:fldCharType="separate"/>
            </w:r>
            <w:r>
              <w:rPr>
                <w:noProof/>
                <w:webHidden/>
              </w:rPr>
              <w:t>208</w:t>
            </w:r>
            <w:r>
              <w:rPr>
                <w:noProof/>
                <w:webHidden/>
              </w:rPr>
              <w:fldChar w:fldCharType="end"/>
            </w:r>
          </w:hyperlink>
        </w:p>
        <w:p w14:paraId="06C1C127" w14:textId="2AEBDDB4" w:rsidR="008338B6" w:rsidRDefault="008338B6">
          <w:pPr>
            <w:pStyle w:val="TOC2"/>
            <w:rPr>
              <w:rFonts w:asciiTheme="minorHAnsi" w:eastAsiaTheme="minorEastAsia" w:hAnsiTheme="minorHAnsi"/>
              <w:noProof/>
              <w:kern w:val="2"/>
              <w:lang w:eastAsia="en-NZ"/>
              <w14:ligatures w14:val="standardContextual"/>
            </w:rPr>
          </w:pPr>
          <w:hyperlink w:anchor="_Toc203642017" w:history="1">
            <w:r w:rsidRPr="006C11D8">
              <w:rPr>
                <w:rStyle w:val="Hyperlink"/>
                <w:noProof/>
              </w:rPr>
              <w:t>1.2.</w:t>
            </w:r>
            <w:r>
              <w:rPr>
                <w:rFonts w:asciiTheme="minorHAnsi" w:eastAsiaTheme="minorEastAsia" w:hAnsiTheme="minorHAnsi"/>
                <w:noProof/>
                <w:kern w:val="2"/>
                <w:lang w:eastAsia="en-NZ"/>
                <w14:ligatures w14:val="standardContextual"/>
              </w:rPr>
              <w:tab/>
            </w:r>
            <w:r w:rsidRPr="006C11D8">
              <w:rPr>
                <w:rStyle w:val="Hyperlink"/>
                <w:noProof/>
              </w:rPr>
              <w:t>Adjacencies—Managing Physical Risks Posed by Adjacent Structures</w:t>
            </w:r>
            <w:r>
              <w:rPr>
                <w:noProof/>
                <w:webHidden/>
              </w:rPr>
              <w:tab/>
            </w:r>
            <w:r>
              <w:rPr>
                <w:noProof/>
                <w:webHidden/>
              </w:rPr>
              <w:fldChar w:fldCharType="begin"/>
            </w:r>
            <w:r>
              <w:rPr>
                <w:noProof/>
                <w:webHidden/>
              </w:rPr>
              <w:instrText xml:space="preserve"> PAGEREF _Toc203642017 \h </w:instrText>
            </w:r>
            <w:r>
              <w:rPr>
                <w:noProof/>
                <w:webHidden/>
              </w:rPr>
            </w:r>
            <w:r>
              <w:rPr>
                <w:noProof/>
                <w:webHidden/>
              </w:rPr>
              <w:fldChar w:fldCharType="separate"/>
            </w:r>
            <w:r>
              <w:rPr>
                <w:noProof/>
                <w:webHidden/>
              </w:rPr>
              <w:t>208</w:t>
            </w:r>
            <w:r>
              <w:rPr>
                <w:noProof/>
                <w:webHidden/>
              </w:rPr>
              <w:fldChar w:fldCharType="end"/>
            </w:r>
          </w:hyperlink>
        </w:p>
        <w:p w14:paraId="521B9D2E" w14:textId="158D0AE8" w:rsidR="008338B6" w:rsidRDefault="008338B6">
          <w:pPr>
            <w:pStyle w:val="TOC2"/>
            <w:rPr>
              <w:rFonts w:asciiTheme="minorHAnsi" w:eastAsiaTheme="minorEastAsia" w:hAnsiTheme="minorHAnsi"/>
              <w:noProof/>
              <w:kern w:val="2"/>
              <w:lang w:eastAsia="en-NZ"/>
              <w14:ligatures w14:val="standardContextual"/>
            </w:rPr>
          </w:pPr>
          <w:hyperlink w:anchor="_Toc203642018" w:history="1">
            <w:r w:rsidRPr="006C11D8">
              <w:rPr>
                <w:rStyle w:val="Hyperlink"/>
                <w:noProof/>
              </w:rPr>
              <w:t>1.3.</w:t>
            </w:r>
            <w:r>
              <w:rPr>
                <w:rFonts w:asciiTheme="minorHAnsi" w:eastAsiaTheme="minorEastAsia" w:hAnsiTheme="minorHAnsi"/>
                <w:noProof/>
                <w:kern w:val="2"/>
                <w:lang w:eastAsia="en-NZ"/>
                <w14:ligatures w14:val="standardContextual"/>
              </w:rPr>
              <w:tab/>
            </w:r>
            <w:r w:rsidRPr="006C11D8">
              <w:rPr>
                <w:rStyle w:val="Hyperlink"/>
                <w:noProof/>
              </w:rPr>
              <w:t>Dependencies—Managing Risk to Building Engineering Systems that Pass Through or Near Other Structures</w:t>
            </w:r>
            <w:r>
              <w:rPr>
                <w:noProof/>
                <w:webHidden/>
              </w:rPr>
              <w:tab/>
            </w:r>
            <w:r>
              <w:rPr>
                <w:noProof/>
                <w:webHidden/>
              </w:rPr>
              <w:fldChar w:fldCharType="begin"/>
            </w:r>
            <w:r>
              <w:rPr>
                <w:noProof/>
                <w:webHidden/>
              </w:rPr>
              <w:instrText xml:space="preserve"> PAGEREF _Toc203642018 \h </w:instrText>
            </w:r>
            <w:r>
              <w:rPr>
                <w:noProof/>
                <w:webHidden/>
              </w:rPr>
            </w:r>
            <w:r>
              <w:rPr>
                <w:noProof/>
                <w:webHidden/>
              </w:rPr>
              <w:fldChar w:fldCharType="separate"/>
            </w:r>
            <w:r>
              <w:rPr>
                <w:noProof/>
                <w:webHidden/>
              </w:rPr>
              <w:t>213</w:t>
            </w:r>
            <w:r>
              <w:rPr>
                <w:noProof/>
                <w:webHidden/>
              </w:rPr>
              <w:fldChar w:fldCharType="end"/>
            </w:r>
          </w:hyperlink>
        </w:p>
        <w:p w14:paraId="0869C767" w14:textId="0D138C68" w:rsidR="008338B6" w:rsidRDefault="008338B6">
          <w:pPr>
            <w:pStyle w:val="TOC1"/>
            <w:rPr>
              <w:rFonts w:asciiTheme="minorHAnsi" w:eastAsiaTheme="minorEastAsia" w:hAnsiTheme="minorHAnsi"/>
              <w:b w:val="0"/>
              <w:noProof/>
              <w:kern w:val="2"/>
              <w:lang w:eastAsia="en-NZ"/>
              <w14:ligatures w14:val="standardContextual"/>
            </w:rPr>
          </w:pPr>
          <w:hyperlink w:anchor="_Toc203642019" w:history="1">
            <w:r w:rsidRPr="006C11D8">
              <w:rPr>
                <w:rStyle w:val="Hyperlink"/>
                <w:noProof/>
              </w:rPr>
              <w:t>Notes</w:t>
            </w:r>
            <w:r>
              <w:rPr>
                <w:noProof/>
                <w:webHidden/>
              </w:rPr>
              <w:tab/>
            </w:r>
            <w:r>
              <w:rPr>
                <w:noProof/>
                <w:webHidden/>
              </w:rPr>
              <w:fldChar w:fldCharType="begin"/>
            </w:r>
            <w:r>
              <w:rPr>
                <w:noProof/>
                <w:webHidden/>
              </w:rPr>
              <w:instrText xml:space="preserve"> PAGEREF _Toc203642019 \h </w:instrText>
            </w:r>
            <w:r>
              <w:rPr>
                <w:noProof/>
                <w:webHidden/>
              </w:rPr>
            </w:r>
            <w:r>
              <w:rPr>
                <w:noProof/>
                <w:webHidden/>
              </w:rPr>
              <w:fldChar w:fldCharType="separate"/>
            </w:r>
            <w:r>
              <w:rPr>
                <w:noProof/>
                <w:webHidden/>
              </w:rPr>
              <w:t>216</w:t>
            </w:r>
            <w:r>
              <w:rPr>
                <w:noProof/>
                <w:webHidden/>
              </w:rPr>
              <w:fldChar w:fldCharType="end"/>
            </w:r>
          </w:hyperlink>
        </w:p>
        <w:p w14:paraId="0B80CE67" w14:textId="5D137E27" w:rsidR="009D3E72" w:rsidRDefault="004C0AC8" w:rsidP="00666E06">
          <w:pPr>
            <w:rPr>
              <w:noProof/>
            </w:rPr>
          </w:pPr>
          <w:r>
            <w:rPr>
              <w:rFonts w:asciiTheme="majorHAnsi" w:hAnsiTheme="majorHAnsi" w:cstheme="majorHAnsi"/>
              <w:b/>
            </w:rPr>
            <w:fldChar w:fldCharType="end"/>
          </w:r>
        </w:p>
      </w:sdtContent>
    </w:sdt>
    <w:p w14:paraId="75985455" w14:textId="77777777" w:rsidR="00BB2CCB" w:rsidRDefault="00BB2CCB" w:rsidP="00666E06"/>
    <w:p w14:paraId="19C6F2C3" w14:textId="77777777" w:rsidR="00BC4C61" w:rsidRDefault="00BC4C61" w:rsidP="00666E06"/>
    <w:p w14:paraId="681EF022" w14:textId="77777777" w:rsidR="00BC4C61" w:rsidRDefault="00BC4C61" w:rsidP="00BC4C61">
      <w:pPr>
        <w:sectPr w:rsidR="00BC4C61" w:rsidSect="00781EE6">
          <w:headerReference w:type="first" r:id="rId19"/>
          <w:footerReference w:type="first" r:id="rId20"/>
          <w:footnotePr>
            <w:numRestart w:val="eachPage"/>
          </w:footnotePr>
          <w:pgSz w:w="11906" w:h="16838" w:code="187"/>
          <w:pgMar w:top="1134" w:right="1134" w:bottom="1134" w:left="1134" w:header="709" w:footer="680" w:gutter="0"/>
          <w:cols w:space="708"/>
          <w:docGrid w:linePitch="360"/>
        </w:sectPr>
      </w:pPr>
    </w:p>
    <w:p w14:paraId="720FE49C" w14:textId="06F1E468" w:rsidR="00EA31DC" w:rsidRPr="00662E49" w:rsidRDefault="00A42CFA" w:rsidP="00B07C9E">
      <w:pPr>
        <w:pStyle w:val="Dividerheading"/>
        <w:ind w:left="0"/>
      </w:pPr>
      <w:bookmarkStart w:id="5" w:name="_Toc203641925"/>
      <w:bookmarkStart w:id="6" w:name="_Ref165527863"/>
      <w:r w:rsidRPr="00662E49">
        <w:rPr>
          <w:noProof/>
        </w:rPr>
        <w:lastRenderedPageBreak/>
        <w:drawing>
          <wp:anchor distT="0" distB="0" distL="114300" distR="114300" simplePos="0" relativeHeight="251658241" behindDoc="1" locked="0" layoutInCell="1" allowOverlap="1" wp14:anchorId="60374F98" wp14:editId="172AF8DD">
            <wp:simplePos x="0" y="0"/>
            <wp:positionH relativeFrom="margin">
              <wp:posOffset>-730885</wp:posOffset>
            </wp:positionH>
            <wp:positionV relativeFrom="margin">
              <wp:posOffset>-982980</wp:posOffset>
            </wp:positionV>
            <wp:extent cx="7559999" cy="9598548"/>
            <wp:effectExtent l="0" t="0" r="3175" b="3175"/>
            <wp:wrapNone/>
            <wp:docPr id="1804006956"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06956" name="Picture 10">
                      <a:extLst>
                        <a:ext uri="{C183D7F6-B498-43B3-948B-1728B52AA6E4}">
                          <adec:decorative xmlns:adec="http://schemas.microsoft.com/office/drawing/2017/decorative" val="1"/>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59999" cy="9598548"/>
                    </a:xfrm>
                    <a:prstGeom prst="rect">
                      <a:avLst/>
                    </a:prstGeom>
                  </pic:spPr>
                </pic:pic>
              </a:graphicData>
            </a:graphic>
            <wp14:sizeRelH relativeFrom="page">
              <wp14:pctWidth>0</wp14:pctWidth>
            </wp14:sizeRelH>
            <wp14:sizeRelV relativeFrom="page">
              <wp14:pctHeight>0</wp14:pctHeight>
            </wp14:sizeRelV>
          </wp:anchor>
        </w:drawing>
      </w:r>
      <w:r w:rsidR="00D234DB" w:rsidRPr="00662E49">
        <w:t>Part A. Background, Project Briefing and Design Process</w:t>
      </w:r>
      <w:bookmarkEnd w:id="5"/>
    </w:p>
    <w:p w14:paraId="41933CA5" w14:textId="69A55F51" w:rsidR="00EA31DC" w:rsidRDefault="00EA31DC">
      <w:pPr>
        <w:rPr>
          <w:rFonts w:eastAsiaTheme="majorEastAsia" w:cs="Arial"/>
          <w:b/>
          <w:color w:val="15284C" w:themeColor="text2"/>
          <w:sz w:val="52"/>
          <w:szCs w:val="32"/>
        </w:rPr>
      </w:pPr>
      <w:r>
        <w:br w:type="page"/>
      </w:r>
    </w:p>
    <w:p w14:paraId="5CBC0364" w14:textId="56E01887" w:rsidR="009C350C" w:rsidRDefault="009C350C" w:rsidP="00294158">
      <w:pPr>
        <w:pStyle w:val="NumbHeading1"/>
      </w:pPr>
      <w:bookmarkStart w:id="7" w:name="_Ref149485049"/>
      <w:bookmarkStart w:id="8" w:name="_Toc203641926"/>
      <w:bookmarkEnd w:id="6"/>
      <w:r w:rsidRPr="00A9001D">
        <w:lastRenderedPageBreak/>
        <w:t>Introduction</w:t>
      </w:r>
      <w:bookmarkEnd w:id="7"/>
      <w:bookmarkEnd w:id="8"/>
    </w:p>
    <w:p w14:paraId="0B429222" w14:textId="00330EF7" w:rsidR="00A93932" w:rsidRPr="0098755F" w:rsidRDefault="009C350C" w:rsidP="001947BB">
      <w:pPr>
        <w:pStyle w:val="NumbHeading2"/>
      </w:pPr>
      <w:bookmarkStart w:id="9" w:name="_Toc147899104"/>
      <w:bookmarkStart w:id="10" w:name="_Toc203641927"/>
      <w:r w:rsidRPr="0098755F">
        <w:t xml:space="preserve">Purpose and </w:t>
      </w:r>
      <w:r w:rsidR="00257B56" w:rsidRPr="0098755F">
        <w:t>o</w:t>
      </w:r>
      <w:r w:rsidRPr="0098755F">
        <w:t>bjectives</w:t>
      </w:r>
      <w:bookmarkEnd w:id="9"/>
      <w:r w:rsidR="00A93932" w:rsidRPr="0098755F">
        <w:t xml:space="preserve"> of these </w:t>
      </w:r>
      <w:r w:rsidR="008D6099" w:rsidRPr="0098755F">
        <w:t>g</w:t>
      </w:r>
      <w:r w:rsidR="00A93932" w:rsidRPr="0098755F">
        <w:t>uidelines</w:t>
      </w:r>
      <w:bookmarkEnd w:id="10"/>
    </w:p>
    <w:p w14:paraId="75FF68F6" w14:textId="1E4E9826" w:rsidR="00D65979" w:rsidRPr="00C16DDC" w:rsidRDefault="00C3116F" w:rsidP="00666E06">
      <w:r w:rsidRPr="00C16DDC">
        <w:t>The purpose of this document</w:t>
      </w:r>
      <w:r w:rsidR="00DA6BEB" w:rsidRPr="00C16DDC">
        <w:t xml:space="preserve"> </w:t>
      </w:r>
      <w:r w:rsidRPr="00C16DDC">
        <w:t xml:space="preserve">is to provide </w:t>
      </w:r>
      <w:r w:rsidR="009B0671" w:rsidRPr="00C16DDC">
        <w:t xml:space="preserve">holistic </w:t>
      </w:r>
      <w:r w:rsidR="0005385A" w:rsidRPr="00C16DDC">
        <w:t xml:space="preserve">technical </w:t>
      </w:r>
      <w:r w:rsidRPr="00C16DDC">
        <w:t xml:space="preserve">guidance to </w:t>
      </w:r>
      <w:r w:rsidR="008C0A37" w:rsidRPr="00C16DDC">
        <w:t xml:space="preserve">multi-disciplinary </w:t>
      </w:r>
      <w:r w:rsidRPr="00C16DDC">
        <w:t>design teams</w:t>
      </w:r>
      <w:r w:rsidR="000A0386" w:rsidRPr="00C16DDC">
        <w:t xml:space="preserve"> </w:t>
      </w:r>
      <w:r w:rsidR="00C72BE8" w:rsidRPr="00C16DDC">
        <w:t>delivering public hospital projects</w:t>
      </w:r>
      <w:r w:rsidR="005C2BB5" w:rsidRPr="00C16DDC">
        <w:t xml:space="preserve"> for </w:t>
      </w:r>
      <w:r w:rsidR="00493D02">
        <w:t>Health NZ</w:t>
      </w:r>
      <w:r w:rsidR="004038D1" w:rsidRPr="00C16DDC">
        <w:t xml:space="preserve">. The </w:t>
      </w:r>
      <w:r w:rsidR="00A75DD5" w:rsidRPr="00C16DDC">
        <w:t xml:space="preserve">two </w:t>
      </w:r>
      <w:r w:rsidR="004038D1" w:rsidRPr="00C16DDC">
        <w:t xml:space="preserve">specific </w:t>
      </w:r>
      <w:r w:rsidR="00A75DD5" w:rsidRPr="00C16DDC">
        <w:t>areas of focus</w:t>
      </w:r>
      <w:r w:rsidR="004038D1" w:rsidRPr="00C16DDC">
        <w:t xml:space="preserve"> are</w:t>
      </w:r>
      <w:r w:rsidR="000C3825" w:rsidRPr="00C16DDC">
        <w:t xml:space="preserve"> general requirements for</w:t>
      </w:r>
      <w:r w:rsidR="004038D1" w:rsidRPr="00C16DDC">
        <w:t xml:space="preserve"> </w:t>
      </w:r>
      <w:r w:rsidR="00DD4E5B" w:rsidRPr="00C16DDC">
        <w:rPr>
          <w:b/>
          <w:bCs/>
        </w:rPr>
        <w:t xml:space="preserve">structural and geotechnical design, </w:t>
      </w:r>
      <w:r w:rsidR="00DD4E5B" w:rsidRPr="00C16DDC">
        <w:t>and</w:t>
      </w:r>
      <w:r w:rsidR="000C3825" w:rsidRPr="00C16DDC">
        <w:t xml:space="preserve"> the</w:t>
      </w:r>
      <w:r w:rsidR="00DD4E5B" w:rsidRPr="00C16DDC">
        <w:rPr>
          <w:b/>
          <w:bCs/>
        </w:rPr>
        <w:t xml:space="preserve"> </w:t>
      </w:r>
      <w:r w:rsidR="000047AC" w:rsidRPr="00C16DDC">
        <w:rPr>
          <w:b/>
          <w:bCs/>
        </w:rPr>
        <w:t>seismic performance framework</w:t>
      </w:r>
      <w:r w:rsidR="006C5321" w:rsidRPr="00C16DDC">
        <w:rPr>
          <w:b/>
          <w:bCs/>
        </w:rPr>
        <w:t xml:space="preserve"> </w:t>
      </w:r>
      <w:r w:rsidR="006C5321" w:rsidRPr="00C16DDC">
        <w:t>(</w:t>
      </w:r>
      <w:r w:rsidR="006C5321" w:rsidRPr="00C16DDC">
        <w:fldChar w:fldCharType="begin"/>
      </w:r>
      <w:r w:rsidR="006C5321" w:rsidRPr="00C16DDC">
        <w:instrText xml:space="preserve"> REF _Ref149543749 \h  \* MERGEFORMAT </w:instrText>
      </w:r>
      <w:r w:rsidR="006C5321" w:rsidRPr="00C16DDC">
        <w:fldChar w:fldCharType="separate"/>
      </w:r>
      <w:r w:rsidR="000761C1" w:rsidRPr="001C70A7">
        <w:t xml:space="preserve">Figure </w:t>
      </w:r>
      <w:r w:rsidR="000761C1">
        <w:rPr>
          <w:noProof/>
        </w:rPr>
        <w:t>1</w:t>
      </w:r>
      <w:r w:rsidR="006C5321" w:rsidRPr="00C16DDC">
        <w:fldChar w:fldCharType="end"/>
      </w:r>
      <w:r w:rsidR="006C5321" w:rsidRPr="00C16DDC">
        <w:t>).</w:t>
      </w:r>
      <w:r w:rsidR="00F03920" w:rsidRPr="00C16DDC">
        <w:rPr>
          <w:b/>
          <w:bCs/>
        </w:rPr>
        <w:t xml:space="preserve"> </w:t>
      </w:r>
      <w:r w:rsidR="00F03920" w:rsidRPr="00C16DDC">
        <w:t xml:space="preserve">The seismic </w:t>
      </w:r>
      <w:r w:rsidR="00C269A7" w:rsidRPr="00C16DDC">
        <w:t xml:space="preserve">framework </w:t>
      </w:r>
      <w:r w:rsidR="000C3825" w:rsidRPr="00C16DDC">
        <w:t>extends an</w:t>
      </w:r>
      <w:r w:rsidR="00875BB5" w:rsidRPr="00C16DDC">
        <w:t xml:space="preserve"> umbrella </w:t>
      </w:r>
      <w:r w:rsidR="00F03920" w:rsidRPr="00C16DDC">
        <w:t>across all design disciplines</w:t>
      </w:r>
      <w:r w:rsidR="0002768D" w:rsidRPr="00C16DDC">
        <w:t xml:space="preserve"> th</w:t>
      </w:r>
      <w:r w:rsidR="0043621E" w:rsidRPr="00C16DDC">
        <w:t xml:space="preserve">at </w:t>
      </w:r>
      <w:r w:rsidR="006C5321" w:rsidRPr="00C16DDC">
        <w:t>contribute to seismically resilient design</w:t>
      </w:r>
      <w:r w:rsidR="001965D3" w:rsidRPr="00C16DDC">
        <w:t xml:space="preserve"> of hospitals</w:t>
      </w:r>
      <w:r w:rsidR="006C5321" w:rsidRPr="00C16DDC">
        <w:t>.</w:t>
      </w:r>
    </w:p>
    <w:p w14:paraId="1875C70C" w14:textId="54A9B67A" w:rsidR="00AF5300" w:rsidRPr="00C16DDC" w:rsidRDefault="00733C43" w:rsidP="00666E06">
      <w:r w:rsidRPr="00C16DDC">
        <w:t>The</w:t>
      </w:r>
      <w:r w:rsidR="00726BCF" w:rsidRPr="00C16DDC">
        <w:t xml:space="preserve"> objective is t</w:t>
      </w:r>
      <w:r w:rsidR="00946771" w:rsidRPr="00C16DDC">
        <w:t xml:space="preserve">o </w:t>
      </w:r>
      <w:r w:rsidR="00175A9B" w:rsidRPr="00C16DDC">
        <w:t>increase</w:t>
      </w:r>
      <w:r w:rsidR="00946771" w:rsidRPr="00C16DDC">
        <w:t xml:space="preserve"> consistency in approaches and</w:t>
      </w:r>
      <w:r w:rsidR="00726BCF" w:rsidRPr="00C16DDC">
        <w:t xml:space="preserve"> outcomes</w:t>
      </w:r>
      <w:r w:rsidR="005A696D" w:rsidRPr="00C16DDC">
        <w:t xml:space="preserve"> </w:t>
      </w:r>
      <w:r w:rsidR="0055394F" w:rsidRPr="00C16DDC">
        <w:t>in these areas and</w:t>
      </w:r>
      <w:r w:rsidR="003055FB" w:rsidRPr="00C16DDC">
        <w:t xml:space="preserve"> improve the efficiency </w:t>
      </w:r>
      <w:r w:rsidR="005A696D" w:rsidRPr="00C16DDC">
        <w:t xml:space="preserve">and effectiveness in the way </w:t>
      </w:r>
      <w:r w:rsidR="003055FB" w:rsidRPr="00C16DDC">
        <w:t>projects are delivered</w:t>
      </w:r>
      <w:r w:rsidR="00FA1CA7">
        <w:t xml:space="preserve"> </w:t>
      </w:r>
      <w:r w:rsidR="00AF715C" w:rsidRPr="00C16DDC">
        <w:t>through the project conception and design process</w:t>
      </w:r>
      <w:r w:rsidR="004036A1" w:rsidRPr="00C16DDC">
        <w:t>,</w:t>
      </w:r>
      <w:r w:rsidR="00AF715C" w:rsidRPr="00C16DDC">
        <w:t xml:space="preserve"> as well as through construction delivery</w:t>
      </w:r>
      <w:r w:rsidR="000B76E8" w:rsidRPr="00C16DDC">
        <w:t xml:space="preserve"> and commissioning</w:t>
      </w:r>
      <w:r w:rsidR="00C72BE8" w:rsidRPr="00C16DDC">
        <w:t>.</w:t>
      </w:r>
    </w:p>
    <w:p w14:paraId="7629CACE" w14:textId="17666D62" w:rsidR="00857DE9" w:rsidRDefault="000921DA" w:rsidP="00666E06">
      <w:r>
        <w:rPr>
          <w:noProof/>
        </w:rPr>
        <w:drawing>
          <wp:inline distT="0" distB="0" distL="0" distR="0" wp14:anchorId="484463F2" wp14:editId="325BE6D1">
            <wp:extent cx="5818909" cy="3191435"/>
            <wp:effectExtent l="0" t="0" r="0" b="9525"/>
            <wp:docPr id="1351192838" name="Picture 1351192838" descr="A diagram of a health c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92838" name="Picture 1" descr="A diagram of a health care system&#10;&#10;Description automatically generated"/>
                    <pic:cNvPicPr/>
                  </pic:nvPicPr>
                  <pic:blipFill rotWithShape="1">
                    <a:blip r:embed="rId22"/>
                    <a:srcRect t="2216" r="966" b="1108"/>
                    <a:stretch/>
                  </pic:blipFill>
                  <pic:spPr bwMode="auto">
                    <a:xfrm>
                      <a:off x="0" y="0"/>
                      <a:ext cx="5830588" cy="3197841"/>
                    </a:xfrm>
                    <a:prstGeom prst="rect">
                      <a:avLst/>
                    </a:prstGeom>
                    <a:ln>
                      <a:noFill/>
                    </a:ln>
                    <a:extLst>
                      <a:ext uri="{53640926-AAD7-44D8-BBD7-CCE9431645EC}">
                        <a14:shadowObscured xmlns:a14="http://schemas.microsoft.com/office/drawing/2010/main"/>
                      </a:ext>
                    </a:extLst>
                  </pic:spPr>
                </pic:pic>
              </a:graphicData>
            </a:graphic>
          </wp:inline>
        </w:drawing>
      </w:r>
    </w:p>
    <w:p w14:paraId="09D54F3B" w14:textId="69969345" w:rsidR="00857DE9" w:rsidRPr="0048124F" w:rsidRDefault="00857DE9" w:rsidP="00BD1621">
      <w:pPr>
        <w:pStyle w:val="Figure"/>
        <w:rPr>
          <w:sz w:val="20"/>
          <w:szCs w:val="20"/>
        </w:rPr>
      </w:pPr>
      <w:bookmarkStart w:id="11" w:name="_Ref149543749"/>
      <w:r w:rsidRPr="0048124F">
        <w:rPr>
          <w:sz w:val="20"/>
          <w:szCs w:val="20"/>
        </w:rPr>
        <w:t xml:space="preserve">Figure </w:t>
      </w:r>
      <w:r w:rsidRPr="0048124F">
        <w:rPr>
          <w:sz w:val="20"/>
          <w:szCs w:val="20"/>
        </w:rPr>
        <w:fldChar w:fldCharType="begin"/>
      </w:r>
      <w:r w:rsidRPr="0048124F">
        <w:rPr>
          <w:sz w:val="20"/>
          <w:szCs w:val="20"/>
        </w:rPr>
        <w:instrText>SEQ Figure \* ARABIC</w:instrText>
      </w:r>
      <w:r w:rsidRPr="0048124F">
        <w:rPr>
          <w:sz w:val="20"/>
          <w:szCs w:val="20"/>
        </w:rPr>
        <w:fldChar w:fldCharType="separate"/>
      </w:r>
      <w:r w:rsidR="000761C1" w:rsidRPr="0048124F">
        <w:rPr>
          <w:noProof/>
          <w:sz w:val="20"/>
          <w:szCs w:val="20"/>
        </w:rPr>
        <w:t>1</w:t>
      </w:r>
      <w:r w:rsidRPr="0048124F">
        <w:rPr>
          <w:sz w:val="20"/>
          <w:szCs w:val="20"/>
        </w:rPr>
        <w:fldChar w:fldCharType="end"/>
      </w:r>
      <w:bookmarkEnd w:id="11"/>
      <w:r w:rsidRPr="0048124F">
        <w:rPr>
          <w:sz w:val="20"/>
          <w:szCs w:val="20"/>
        </w:rPr>
        <w:t xml:space="preserve">: The role of this </w:t>
      </w:r>
      <w:r w:rsidR="00DA2794" w:rsidRPr="0048124F">
        <w:rPr>
          <w:sz w:val="20"/>
          <w:szCs w:val="20"/>
        </w:rPr>
        <w:t>technical</w:t>
      </w:r>
      <w:r w:rsidR="00902124" w:rsidRPr="0048124F">
        <w:rPr>
          <w:sz w:val="20"/>
          <w:szCs w:val="20"/>
        </w:rPr>
        <w:t xml:space="preserve"> </w:t>
      </w:r>
      <w:r w:rsidRPr="0048124F">
        <w:rPr>
          <w:sz w:val="20"/>
          <w:szCs w:val="20"/>
        </w:rPr>
        <w:t>guid</w:t>
      </w:r>
      <w:r w:rsidR="00902124" w:rsidRPr="0048124F">
        <w:rPr>
          <w:sz w:val="20"/>
          <w:szCs w:val="20"/>
        </w:rPr>
        <w:t>eline</w:t>
      </w:r>
      <w:r w:rsidR="000843C6" w:rsidRPr="0048124F">
        <w:rPr>
          <w:sz w:val="20"/>
          <w:szCs w:val="20"/>
        </w:rPr>
        <w:t xml:space="preserve"> </w:t>
      </w:r>
      <w:r w:rsidR="002815A6" w:rsidRPr="0048124F">
        <w:rPr>
          <w:sz w:val="20"/>
          <w:szCs w:val="20"/>
        </w:rPr>
        <w:t>comprising structural and geotechnical requirements, and the overarching seismic performance framework.</w:t>
      </w:r>
    </w:p>
    <w:p w14:paraId="2A5F3654" w14:textId="2FF121A3" w:rsidR="00263C33" w:rsidRPr="00C16DDC" w:rsidRDefault="0053319A" w:rsidP="00666E06">
      <w:r w:rsidRPr="00C16DDC">
        <w:t>This guideline</w:t>
      </w:r>
      <w:r w:rsidR="008A5DF6" w:rsidRPr="00C16DDC">
        <w:t xml:space="preserve"> </w:t>
      </w:r>
      <w:r w:rsidR="009D311A">
        <w:t>sets</w:t>
      </w:r>
      <w:r w:rsidR="009D311A" w:rsidRPr="00C16DDC">
        <w:t xml:space="preserve"> </w:t>
      </w:r>
      <w:r w:rsidR="008A5DF6" w:rsidRPr="00C16DDC">
        <w:t xml:space="preserve">the </w:t>
      </w:r>
      <w:r w:rsidR="007B159A">
        <w:t>performance</w:t>
      </w:r>
      <w:r w:rsidR="008A5DF6" w:rsidRPr="00C16DDC">
        <w:t xml:space="preserve"> </w:t>
      </w:r>
      <w:r w:rsidR="00840342">
        <w:t xml:space="preserve">standard </w:t>
      </w:r>
      <w:r w:rsidR="00FF31A8" w:rsidRPr="00C16DDC">
        <w:t>required</w:t>
      </w:r>
      <w:r w:rsidR="008A5DF6" w:rsidRPr="00C16DDC">
        <w:t xml:space="preserve"> by</w:t>
      </w:r>
      <w:r w:rsidR="00855D05" w:rsidRPr="00C16DDC">
        <w:t xml:space="preserve"> the Seismic Policy of</w:t>
      </w:r>
      <w:r w:rsidR="008A5DF6" w:rsidRPr="00C16DDC">
        <w:t xml:space="preserve"> </w:t>
      </w:r>
      <w:r w:rsidR="007D5C79">
        <w:t>Health NZ</w:t>
      </w:r>
      <w:r w:rsidR="007B0DEC">
        <w:t xml:space="preserve"> </w:t>
      </w:r>
      <w:r w:rsidR="006423C4" w:rsidRPr="00C16DDC">
        <w:t>for delivery of health services</w:t>
      </w:r>
      <w:r w:rsidR="00FA1CA7">
        <w:t xml:space="preserve"> </w:t>
      </w:r>
      <w:r w:rsidR="00396A48" w:rsidRPr="00C16DDC">
        <w:t xml:space="preserve">which will also meet, as a minimum, </w:t>
      </w:r>
      <w:r w:rsidR="00AF5300" w:rsidRPr="00C16DDC">
        <w:t xml:space="preserve">New Zealand </w:t>
      </w:r>
      <w:r w:rsidR="00396A48" w:rsidRPr="00C16DDC">
        <w:t>Building Code requirements for public hospital buildings</w:t>
      </w:r>
      <w:r w:rsidR="002E5E51" w:rsidRPr="00C16DDC">
        <w:t xml:space="preserve">, </w:t>
      </w:r>
      <w:r w:rsidR="00790A32" w:rsidRPr="00C16DDC">
        <w:t xml:space="preserve">and </w:t>
      </w:r>
      <w:r w:rsidR="00063415" w:rsidRPr="00C16DDC">
        <w:t xml:space="preserve">the New Zealand </w:t>
      </w:r>
      <w:r w:rsidR="004D6016" w:rsidRPr="00C16DDC">
        <w:t>Government’s</w:t>
      </w:r>
      <w:r w:rsidR="00063415" w:rsidRPr="00C16DDC">
        <w:t xml:space="preserve"> </w:t>
      </w:r>
      <w:r w:rsidR="00724FDC" w:rsidRPr="00C16DDC">
        <w:t xml:space="preserve">commitment to </w:t>
      </w:r>
      <w:r w:rsidR="00277AED" w:rsidRPr="00C16DDC">
        <w:t xml:space="preserve">Climate Change </w:t>
      </w:r>
      <w:r w:rsidR="000E0B22" w:rsidRPr="00C16DDC">
        <w:t>action</w:t>
      </w:r>
      <w:r w:rsidR="00396A48" w:rsidRPr="00C16DDC">
        <w:t>.</w:t>
      </w:r>
    </w:p>
    <w:p w14:paraId="5C1C6754" w14:textId="17E2DEBA" w:rsidR="0070213B" w:rsidRPr="00C16DDC" w:rsidRDefault="0070213B" w:rsidP="00666E06">
      <w:r w:rsidRPr="00C16DDC">
        <w:t xml:space="preserve">This guideline recognises the specialist nature of hospital buildings, </w:t>
      </w:r>
      <w:r w:rsidR="006E3D9F" w:rsidRPr="00C16DDC">
        <w:t>and the</w:t>
      </w:r>
      <w:r w:rsidR="00CF0730" w:rsidRPr="00C16DDC">
        <w:t xml:space="preserve"> significant and varied constraints and chall</w:t>
      </w:r>
      <w:r w:rsidR="00977219" w:rsidRPr="00C16DDC">
        <w:t xml:space="preserve">enges that </w:t>
      </w:r>
      <w:r w:rsidR="00411D34" w:rsidRPr="00C16DDC">
        <w:t>these projects face, some of which are unique</w:t>
      </w:r>
      <w:r w:rsidR="00791DDE">
        <w:t xml:space="preserve"> </w:t>
      </w:r>
      <w:r w:rsidR="00411D34" w:rsidRPr="00C16DDC">
        <w:t xml:space="preserve">but </w:t>
      </w:r>
      <w:r w:rsidR="00804D2D" w:rsidRPr="00C16DDC">
        <w:t>most</w:t>
      </w:r>
      <w:r w:rsidR="00411D34" w:rsidRPr="00C16DDC">
        <w:t xml:space="preserve"> of which are common</w:t>
      </w:r>
      <w:r w:rsidR="00FE4430" w:rsidRPr="00C16DDC">
        <w:t xml:space="preserve">. </w:t>
      </w:r>
      <w:r w:rsidR="00E33A83" w:rsidRPr="00C16DDC">
        <w:t xml:space="preserve">It </w:t>
      </w:r>
      <w:r w:rsidR="00625C60" w:rsidRPr="00C16DDC">
        <w:t xml:space="preserve">therefore </w:t>
      </w:r>
      <w:r w:rsidR="003A249E" w:rsidRPr="00C16DDC">
        <w:t xml:space="preserve">seeks to maximise the value </w:t>
      </w:r>
      <w:r w:rsidR="00411D34" w:rsidRPr="00C16DDC">
        <w:t>of</w:t>
      </w:r>
      <w:r w:rsidR="00113687" w:rsidRPr="00C16DDC">
        <w:t xml:space="preserve"> </w:t>
      </w:r>
      <w:r w:rsidR="003A249E" w:rsidRPr="00C16DDC">
        <w:t xml:space="preserve">pooled </w:t>
      </w:r>
      <w:r w:rsidR="004A655C" w:rsidRPr="00C16DDC">
        <w:t>expertise</w:t>
      </w:r>
      <w:r w:rsidR="00FE4430" w:rsidRPr="00C16DDC">
        <w:t xml:space="preserve"> </w:t>
      </w:r>
      <w:r w:rsidR="00411D34" w:rsidRPr="00C16DDC">
        <w:t>and experience</w:t>
      </w:r>
      <w:r w:rsidR="003A249E" w:rsidRPr="00C16DDC">
        <w:t xml:space="preserve"> in health facility delivery</w:t>
      </w:r>
      <w:r w:rsidR="00411D34" w:rsidRPr="00C16DDC">
        <w:t xml:space="preserve"> </w:t>
      </w:r>
      <w:r w:rsidR="00FE4430" w:rsidRPr="00C16DDC">
        <w:t xml:space="preserve">for the benefit of </w:t>
      </w:r>
      <w:r w:rsidR="00411D34" w:rsidRPr="00C16DDC">
        <w:t>all</w:t>
      </w:r>
      <w:r w:rsidR="00931A4D" w:rsidRPr="00C16DDC">
        <w:t xml:space="preserve"> </w:t>
      </w:r>
      <w:r w:rsidR="007D5C79">
        <w:t xml:space="preserve">Health NZ </w:t>
      </w:r>
      <w:r w:rsidR="00931A4D" w:rsidRPr="00C16DDC">
        <w:t>projects</w:t>
      </w:r>
      <w:r w:rsidR="00411D34" w:rsidRPr="00C16DDC">
        <w:t>.</w:t>
      </w:r>
    </w:p>
    <w:p w14:paraId="07EFCC0B" w14:textId="154C5D52" w:rsidR="00FE144C" w:rsidRPr="00D56CAE" w:rsidRDefault="00C35B96" w:rsidP="00D56CAE">
      <w:pPr>
        <w:pStyle w:val="BodyHeading"/>
      </w:pPr>
      <w:r w:rsidRPr="00D56CAE">
        <w:lastRenderedPageBreak/>
        <w:t>A</w:t>
      </w:r>
      <w:r w:rsidR="005312EB" w:rsidRPr="00D56CAE">
        <w:t xml:space="preserve"> holistic design response to </w:t>
      </w:r>
      <w:r w:rsidR="00D940E1" w:rsidRPr="00D56CAE">
        <w:t>earthquake</w:t>
      </w:r>
      <w:r w:rsidR="004232E2" w:rsidRPr="00D56CAE">
        <w:t xml:space="preserve"> resilience</w:t>
      </w:r>
    </w:p>
    <w:p w14:paraId="1AF202C8" w14:textId="388CB9D5" w:rsidR="004A3659" w:rsidRPr="00C16DDC" w:rsidRDefault="00D141FB" w:rsidP="00666E06">
      <w:r w:rsidRPr="00C16DDC">
        <w:t xml:space="preserve">This guideline contains </w:t>
      </w:r>
      <w:r w:rsidRPr="00C16DDC">
        <w:rPr>
          <w:b/>
          <w:bCs/>
        </w:rPr>
        <w:t>information for</w:t>
      </w:r>
      <w:r w:rsidR="0078477F" w:rsidRPr="00C16DDC">
        <w:rPr>
          <w:b/>
          <w:bCs/>
        </w:rPr>
        <w:t xml:space="preserve"> all design disciplines</w:t>
      </w:r>
      <w:r w:rsidR="0078477F" w:rsidRPr="00C16DDC">
        <w:t xml:space="preserve"> </w:t>
      </w:r>
      <w:r w:rsidR="009C183E" w:rsidRPr="00C16DDC">
        <w:t xml:space="preserve">collectively </w:t>
      </w:r>
      <w:r w:rsidR="00515C3E" w:rsidRPr="00C16DDC">
        <w:t>responsible</w:t>
      </w:r>
      <w:r w:rsidR="00D05B7E" w:rsidRPr="00C16DDC">
        <w:t xml:space="preserve"> for the</w:t>
      </w:r>
      <w:r w:rsidR="00DC3059" w:rsidRPr="00C16DDC">
        <w:t xml:space="preserve"> successful de</w:t>
      </w:r>
      <w:r w:rsidR="00BD6119" w:rsidRPr="00C16DDC">
        <w:t xml:space="preserve">livery of </w:t>
      </w:r>
      <w:r w:rsidR="00515C3E" w:rsidRPr="00C16DDC">
        <w:t xml:space="preserve">resilient </w:t>
      </w:r>
      <w:r w:rsidR="00BD6119" w:rsidRPr="00C16DDC">
        <w:t>facilities</w:t>
      </w:r>
      <w:r w:rsidR="00C85C74" w:rsidRPr="00C16DDC">
        <w:t xml:space="preserve"> that are </w:t>
      </w:r>
      <w:r w:rsidR="00515C3E" w:rsidRPr="00C16DDC">
        <w:t xml:space="preserve">not only safe, but </w:t>
      </w:r>
      <w:r w:rsidR="004A603D" w:rsidRPr="00C16DDC">
        <w:t>which can continue to fulfil</w:t>
      </w:r>
      <w:r w:rsidR="00303072" w:rsidRPr="00C16DDC">
        <w:t xml:space="preserve"> the </w:t>
      </w:r>
      <w:r w:rsidR="00515C3E" w:rsidRPr="00C16DDC">
        <w:t xml:space="preserve">clinical </w:t>
      </w:r>
      <w:r w:rsidR="00303072" w:rsidRPr="00C16DDC">
        <w:t>function</w:t>
      </w:r>
      <w:r w:rsidR="00E44426" w:rsidRPr="00C16DDC">
        <w:t>s</w:t>
      </w:r>
      <w:r w:rsidR="00303072" w:rsidRPr="00C16DDC">
        <w:t xml:space="preserve"> that </w:t>
      </w:r>
      <w:r w:rsidR="007D5C79">
        <w:t xml:space="preserve">Health NZ </w:t>
      </w:r>
      <w:r w:rsidR="00A12C42" w:rsidRPr="00C16DDC">
        <w:t>and our communities expect</w:t>
      </w:r>
      <w:r w:rsidR="00C56047" w:rsidRPr="00C16DDC">
        <w:t xml:space="preserve"> </w:t>
      </w:r>
      <w:r w:rsidR="002F1813" w:rsidRPr="00C16DDC">
        <w:t>following</w:t>
      </w:r>
      <w:r w:rsidR="00C56047" w:rsidRPr="00C16DDC">
        <w:t xml:space="preserve"> </w:t>
      </w:r>
      <w:r w:rsidR="00CD0FBD" w:rsidRPr="00C16DDC">
        <w:t>major</w:t>
      </w:r>
      <w:r w:rsidR="00C56047" w:rsidRPr="00C16DDC">
        <w:t xml:space="preserve"> </w:t>
      </w:r>
      <w:r w:rsidR="002C701F" w:rsidRPr="00C16DDC">
        <w:t>earthquakes</w:t>
      </w:r>
      <w:r w:rsidR="00702A2C" w:rsidRPr="00C16DDC">
        <w:t>.</w:t>
      </w:r>
      <w:r w:rsidR="0025660B" w:rsidRPr="00C16DDC">
        <w:t xml:space="preserve"> It </w:t>
      </w:r>
      <w:r w:rsidR="00636A10" w:rsidRPr="00C16DDC">
        <w:t>defines</w:t>
      </w:r>
      <w:r w:rsidR="0025660B" w:rsidRPr="00C16DDC">
        <w:t xml:space="preserve"> the </w:t>
      </w:r>
      <w:r w:rsidR="00CD0FBD" w:rsidRPr="00C16DDC">
        <w:rPr>
          <w:b/>
          <w:bCs/>
          <w:i/>
          <w:iCs/>
        </w:rPr>
        <w:t>Seismic P</w:t>
      </w:r>
      <w:r w:rsidR="0025660B" w:rsidRPr="00C16DDC">
        <w:rPr>
          <w:b/>
          <w:bCs/>
          <w:i/>
          <w:iCs/>
        </w:rPr>
        <w:t xml:space="preserve">erformance </w:t>
      </w:r>
      <w:r w:rsidR="00CD0FBD" w:rsidRPr="00C16DDC">
        <w:rPr>
          <w:b/>
          <w:bCs/>
          <w:i/>
          <w:iCs/>
        </w:rPr>
        <w:t>F</w:t>
      </w:r>
      <w:r w:rsidR="0025660B" w:rsidRPr="00C16DDC">
        <w:rPr>
          <w:b/>
          <w:bCs/>
          <w:i/>
          <w:iCs/>
        </w:rPr>
        <w:t>ramework</w:t>
      </w:r>
      <w:r w:rsidR="00636A10" w:rsidRPr="00C16DDC">
        <w:t xml:space="preserve"> for all disciplines</w:t>
      </w:r>
      <w:r w:rsidR="00035D62" w:rsidRPr="00C16DDC">
        <w:t>.</w:t>
      </w:r>
    </w:p>
    <w:p w14:paraId="1F16ED2F" w14:textId="49A6B763" w:rsidR="00D058AF" w:rsidRPr="00C16DDC" w:rsidRDefault="00D95D03" w:rsidP="00666E06">
      <w:r w:rsidRPr="00C16DDC">
        <w:t>This enables</w:t>
      </w:r>
      <w:r w:rsidR="00535A64" w:rsidRPr="00C16DDC">
        <w:t xml:space="preserve"> </w:t>
      </w:r>
      <w:r w:rsidR="008D6099" w:rsidRPr="00C16DDC">
        <w:t>the</w:t>
      </w:r>
      <w:r w:rsidR="00535A64" w:rsidRPr="00C16DDC">
        <w:t xml:space="preserve"> </w:t>
      </w:r>
      <w:r w:rsidR="009B0A0F" w:rsidRPr="00C16DDC">
        <w:t>con</w:t>
      </w:r>
      <w:r w:rsidR="005F7E8C" w:rsidRPr="00C16DDC">
        <w:t xml:space="preserve">sistent </w:t>
      </w:r>
      <w:r w:rsidR="00456C80" w:rsidRPr="00C16DDC">
        <w:t xml:space="preserve">briefing and </w:t>
      </w:r>
      <w:r w:rsidR="00094713" w:rsidRPr="00C16DDC">
        <w:t>definition</w:t>
      </w:r>
      <w:r w:rsidR="005F7E8C" w:rsidRPr="00C16DDC">
        <w:t xml:space="preserve"> of seismic performance</w:t>
      </w:r>
      <w:r w:rsidR="005D2C3D" w:rsidRPr="00C16DDC">
        <w:t xml:space="preserve"> </w:t>
      </w:r>
      <w:r w:rsidR="00B076DE" w:rsidRPr="00C16DDC">
        <w:t>objectives</w:t>
      </w:r>
      <w:r w:rsidR="00456C80" w:rsidRPr="00C16DDC">
        <w:t xml:space="preserve"> that are appropriate to </w:t>
      </w:r>
      <w:r w:rsidR="00785BF3" w:rsidRPr="00C16DDC">
        <w:t>a</w:t>
      </w:r>
      <w:r w:rsidR="00456C80" w:rsidRPr="00C16DDC">
        <w:t xml:space="preserve"> building</w:t>
      </w:r>
      <w:r w:rsidR="00785BF3" w:rsidRPr="00C16DDC">
        <w:t>’</w:t>
      </w:r>
      <w:r w:rsidR="00456C80" w:rsidRPr="00C16DDC">
        <w:t xml:space="preserve">s context within </w:t>
      </w:r>
      <w:r w:rsidR="00E56D6E" w:rsidRPr="00C16DDC">
        <w:t>a</w:t>
      </w:r>
      <w:r w:rsidR="007002D0" w:rsidRPr="00C16DDC">
        <w:t xml:space="preserve"> community and</w:t>
      </w:r>
      <w:r w:rsidR="00E56D6E" w:rsidRPr="00C16DDC">
        <w:t xml:space="preserve"> </w:t>
      </w:r>
      <w:r w:rsidR="007002D0" w:rsidRPr="00C16DDC">
        <w:t xml:space="preserve">hospital </w:t>
      </w:r>
      <w:r w:rsidR="00E56D6E" w:rsidRPr="00C16DDC">
        <w:t>campus</w:t>
      </w:r>
      <w:r w:rsidR="005D2C3D" w:rsidRPr="00C16DDC">
        <w:t>,</w:t>
      </w:r>
      <w:r w:rsidR="00E56D6E" w:rsidRPr="00C16DDC">
        <w:t xml:space="preserve"> its specific clinical functions</w:t>
      </w:r>
      <w:r w:rsidR="008A5DF6" w:rsidRPr="00C16DDC">
        <w:t>,</w:t>
      </w:r>
      <w:r w:rsidR="00E56D6E" w:rsidRPr="00C16DDC">
        <w:t xml:space="preserve"> and the degree </w:t>
      </w:r>
      <w:r w:rsidR="00067605" w:rsidRPr="00C16DDC">
        <w:t>of post-disaster functionality</w:t>
      </w:r>
      <w:r w:rsidR="006356DE" w:rsidRPr="00C16DDC">
        <w:t xml:space="preserve"> that this context requires</w:t>
      </w:r>
      <w:r w:rsidR="00067605" w:rsidRPr="00C16DDC">
        <w:t>.</w:t>
      </w:r>
    </w:p>
    <w:p w14:paraId="23656E10" w14:textId="5F006ADB" w:rsidR="00466B15" w:rsidRPr="00C16DDC" w:rsidRDefault="00466B15" w:rsidP="00666E06">
      <w:r w:rsidRPr="00C16DDC">
        <w:t xml:space="preserve">Specific </w:t>
      </w:r>
      <w:r w:rsidR="00A3333C" w:rsidRPr="00C16DDC">
        <w:t xml:space="preserve">seismic </w:t>
      </w:r>
      <w:r w:rsidRPr="00C16DDC">
        <w:t>design and detailing criteria for structural and geotechnical designers (including inputs from these disciplines into the detailing and restraint of non-structural elements) are included in this guideline.</w:t>
      </w:r>
    </w:p>
    <w:p w14:paraId="1C87BEDC" w14:textId="54703D78" w:rsidR="00C35B96" w:rsidRPr="00F56D6D" w:rsidRDefault="00D058AF" w:rsidP="00D56CAE">
      <w:pPr>
        <w:pStyle w:val="BodyHeading"/>
      </w:pPr>
      <w:r w:rsidRPr="00F56D6D">
        <w:t>Specific guidance on structural and geotechnical</w:t>
      </w:r>
      <w:r w:rsidR="004319C3" w:rsidRPr="00F56D6D">
        <w:t xml:space="preserve"> design</w:t>
      </w:r>
    </w:p>
    <w:p w14:paraId="34760FF5" w14:textId="344FC18F" w:rsidR="0067374C" w:rsidRPr="00C16DDC" w:rsidRDefault="000972D2" w:rsidP="00666E06">
      <w:r w:rsidRPr="00C16DDC">
        <w:t>This guideline</w:t>
      </w:r>
      <w:r w:rsidR="00364241" w:rsidRPr="00C16DDC">
        <w:t xml:space="preserve"> also contains the full</w:t>
      </w:r>
      <w:r w:rsidR="00FE09BC" w:rsidRPr="00C16DDC">
        <w:t>er</w:t>
      </w:r>
      <w:r w:rsidR="00B77601" w:rsidRPr="00C16DDC">
        <w:t xml:space="preserve"> (non-seismic)</w:t>
      </w:r>
      <w:r w:rsidR="00364241" w:rsidRPr="00C16DDC">
        <w:t xml:space="preserve"> structural and geotechnical</w:t>
      </w:r>
      <w:r w:rsidR="00B266C6" w:rsidRPr="00C16DDC">
        <w:t xml:space="preserve"> requirements for hospital buildings</w:t>
      </w:r>
      <w:r w:rsidR="00364241" w:rsidRPr="00C16DDC">
        <w:t>.</w:t>
      </w:r>
      <w:r w:rsidR="00B266C6" w:rsidRPr="00C16DDC">
        <w:t xml:space="preserve"> The reason that </w:t>
      </w:r>
      <w:r w:rsidR="005F467C" w:rsidRPr="00C16DDC">
        <w:t xml:space="preserve">these are included together with the broader </w:t>
      </w:r>
      <w:r w:rsidR="00D8297A" w:rsidRPr="00C16DDC">
        <w:t>(</w:t>
      </w:r>
      <w:r w:rsidR="00353514" w:rsidRPr="00C16DDC">
        <w:t xml:space="preserve">and </w:t>
      </w:r>
      <w:r w:rsidR="00D8297A" w:rsidRPr="00C16DDC">
        <w:t xml:space="preserve">multi-disciplinary) </w:t>
      </w:r>
      <w:r w:rsidR="00FE09BC" w:rsidRPr="00C16DDC">
        <w:t>seismic performance</w:t>
      </w:r>
      <w:r w:rsidR="005F467C" w:rsidRPr="00C16DDC">
        <w:t xml:space="preserve"> framework, is the particularly close and constraining relationship that structural and geotechnical design has </w:t>
      </w:r>
      <w:r w:rsidR="0067374C" w:rsidRPr="00C16DDC">
        <w:t xml:space="preserve">with </w:t>
      </w:r>
      <w:r w:rsidR="00D93F0E" w:rsidRPr="00C16DDC">
        <w:t>earthquake</w:t>
      </w:r>
      <w:r w:rsidR="0067374C" w:rsidRPr="00C16DDC">
        <w:t xml:space="preserve"> resilience</w:t>
      </w:r>
      <w:r w:rsidR="0062017C" w:rsidRPr="00C16DDC">
        <w:t>.</w:t>
      </w:r>
    </w:p>
    <w:p w14:paraId="46D2D4EC" w14:textId="25B86147" w:rsidR="004A3659" w:rsidRPr="00C16DDC" w:rsidRDefault="0062017C" w:rsidP="00666E06">
      <w:r w:rsidRPr="00C16DDC">
        <w:t xml:space="preserve">Strategies and philosophies for maximising adaptability, </w:t>
      </w:r>
      <w:r w:rsidR="007F1724" w:rsidRPr="00C16DDC">
        <w:t>flexibility,</w:t>
      </w:r>
      <w:r w:rsidRPr="00C16DDC">
        <w:t xml:space="preserve"> and clinical performance </w:t>
      </w:r>
      <w:r w:rsidR="00126FDC" w:rsidRPr="00C16DDC">
        <w:t xml:space="preserve">are often closely interlinked and potentially in tension with </w:t>
      </w:r>
      <w:r w:rsidR="00AE2572" w:rsidRPr="00C16DDC">
        <w:t>methods for</w:t>
      </w:r>
      <w:r w:rsidR="003C7D3A" w:rsidRPr="00C16DDC">
        <w:t xml:space="preserve"> delivering </w:t>
      </w:r>
      <w:r w:rsidR="009E5AB5" w:rsidRPr="00C16DDC">
        <w:t>high levels of seismic performance, and climate objectives</w:t>
      </w:r>
      <w:r w:rsidR="00AE2572" w:rsidRPr="00C16DDC">
        <w:t xml:space="preserve">. </w:t>
      </w:r>
      <w:r w:rsidR="003F3B85" w:rsidRPr="00C16DDC">
        <w:t>Therefore,</w:t>
      </w:r>
      <w:r w:rsidR="00AE2572" w:rsidRPr="00C16DDC">
        <w:t xml:space="preserve"> these focus areas </w:t>
      </w:r>
      <w:r w:rsidR="001347FC" w:rsidRPr="00C16DDC">
        <w:t>are</w:t>
      </w:r>
      <w:r w:rsidR="00AE2572" w:rsidRPr="00C16DDC">
        <w:t xml:space="preserve"> </w:t>
      </w:r>
      <w:r w:rsidR="003C7D3A" w:rsidRPr="00C16DDC">
        <w:t>presented together</w:t>
      </w:r>
      <w:r w:rsidR="003F3B85" w:rsidRPr="00C16DDC">
        <w:t xml:space="preserve"> </w:t>
      </w:r>
      <w:r w:rsidR="00AE2572" w:rsidRPr="00C16DDC">
        <w:t xml:space="preserve">in </w:t>
      </w:r>
      <w:r w:rsidR="003F3B85" w:rsidRPr="00C16DDC">
        <w:t>a single</w:t>
      </w:r>
      <w:r w:rsidR="00AE2572" w:rsidRPr="00C16DDC">
        <w:t xml:space="preserve"> guide.</w:t>
      </w:r>
    </w:p>
    <w:p w14:paraId="5062A5FC" w14:textId="1440D863" w:rsidR="00A93932" w:rsidRPr="00E76C71" w:rsidRDefault="00BC3B34" w:rsidP="001947BB">
      <w:pPr>
        <w:pStyle w:val="NumbHeading2"/>
      </w:pPr>
      <w:bookmarkStart w:id="12" w:name="_Toc203641928"/>
      <w:r>
        <w:t>I</w:t>
      </w:r>
      <w:r w:rsidR="00A93932" w:rsidRPr="00E76C71">
        <w:t xml:space="preserve">ntended </w:t>
      </w:r>
      <w:r w:rsidR="00DF0B32" w:rsidRPr="00E76C71">
        <w:t>A</w:t>
      </w:r>
      <w:r w:rsidR="00A93932" w:rsidRPr="00E76C71">
        <w:t>udience</w:t>
      </w:r>
      <w:bookmarkEnd w:id="12"/>
    </w:p>
    <w:p w14:paraId="3BD53DD6" w14:textId="015A1D94" w:rsidR="004C4764" w:rsidRPr="00A76E56" w:rsidRDefault="00944FE0" w:rsidP="00D56CAE">
      <w:pPr>
        <w:pStyle w:val="BodyHeading"/>
      </w:pPr>
      <w:r w:rsidRPr="00A76E56">
        <w:t xml:space="preserve">Parts A and B of this guideline </w:t>
      </w:r>
      <w:r w:rsidR="004C7FDE" w:rsidRPr="00A76E56">
        <w:t xml:space="preserve">are directed towards </w:t>
      </w:r>
      <w:r w:rsidR="00EA7EA4" w:rsidRPr="00A76E56">
        <w:t>multi-disciplinary</w:t>
      </w:r>
      <w:r w:rsidR="004C7FDE" w:rsidRPr="00A76E56">
        <w:t xml:space="preserve"> project teams</w:t>
      </w:r>
      <w:r w:rsidR="00506E91" w:rsidRPr="00A76E56">
        <w:t xml:space="preserve">, </w:t>
      </w:r>
      <w:r w:rsidR="00D02A0C" w:rsidRPr="00A76E56">
        <w:t xml:space="preserve">project </w:t>
      </w:r>
      <w:r w:rsidR="00454B15" w:rsidRPr="00A76E56">
        <w:t>stakeholders</w:t>
      </w:r>
      <w:r w:rsidR="00506E91" w:rsidRPr="00A76E56">
        <w:t xml:space="preserve"> and clinical representatives</w:t>
      </w:r>
    </w:p>
    <w:p w14:paraId="0BDFF0DE" w14:textId="4A9A97B5" w:rsidR="00281381" w:rsidRPr="00A76E56" w:rsidRDefault="00281381" w:rsidP="00666E06">
      <w:r w:rsidRPr="00A76E56">
        <w:t>P</w:t>
      </w:r>
      <w:r w:rsidR="00852C73" w:rsidRPr="00A76E56">
        <w:t>art</w:t>
      </w:r>
      <w:r w:rsidRPr="00A76E56">
        <w:t xml:space="preserve"> A</w:t>
      </w:r>
      <w:r w:rsidR="00611DBB" w:rsidRPr="00A76E56">
        <w:t xml:space="preserve"> include</w:t>
      </w:r>
      <w:r w:rsidRPr="00A76E56">
        <w:t>s</w:t>
      </w:r>
      <w:r w:rsidR="00611DBB" w:rsidRPr="00A76E56">
        <w:t xml:space="preserve"> important </w:t>
      </w:r>
      <w:r w:rsidR="00A50761" w:rsidRPr="00A76E56">
        <w:t xml:space="preserve">process and documentation </w:t>
      </w:r>
      <w:r w:rsidR="006104E2" w:rsidRPr="00A76E56">
        <w:rPr>
          <w:rFonts w:eastAsiaTheme="minorEastAsia"/>
        </w:rPr>
        <w:t>requirements</w:t>
      </w:r>
      <w:r w:rsidR="00364241" w:rsidRPr="00A76E56">
        <w:rPr>
          <w:rFonts w:eastAsiaTheme="minorEastAsia"/>
        </w:rPr>
        <w:t xml:space="preserve"> </w:t>
      </w:r>
      <w:r w:rsidR="005B4AEE" w:rsidRPr="00A76E56">
        <w:rPr>
          <w:rFonts w:eastAsiaTheme="minorEastAsia"/>
        </w:rPr>
        <w:t>for</w:t>
      </w:r>
      <w:r w:rsidR="00364241" w:rsidRPr="00A76E56">
        <w:rPr>
          <w:rFonts w:eastAsiaTheme="minorEastAsia"/>
        </w:rPr>
        <w:t xml:space="preserve"> </w:t>
      </w:r>
      <w:r w:rsidR="00B57BF1" w:rsidRPr="00A76E56">
        <w:rPr>
          <w:rFonts w:eastAsiaTheme="minorEastAsia"/>
        </w:rPr>
        <w:t xml:space="preserve">the </w:t>
      </w:r>
      <w:r w:rsidR="00364241" w:rsidRPr="00A76E56">
        <w:rPr>
          <w:rFonts w:eastAsiaTheme="minorEastAsia"/>
        </w:rPr>
        <w:t>structural and geotechnical disciplines</w:t>
      </w:r>
      <w:r w:rsidR="000C4A0F" w:rsidRPr="00A76E56">
        <w:rPr>
          <w:rFonts w:eastAsiaTheme="minorEastAsia"/>
        </w:rPr>
        <w:t>. Th</w:t>
      </w:r>
      <w:r w:rsidR="006104E2" w:rsidRPr="00A76E56">
        <w:rPr>
          <w:rFonts w:eastAsiaTheme="minorEastAsia"/>
        </w:rPr>
        <w:t>e</w:t>
      </w:r>
      <w:r w:rsidR="000C4A0F" w:rsidRPr="00A76E56">
        <w:rPr>
          <w:rFonts w:eastAsiaTheme="minorEastAsia"/>
        </w:rPr>
        <w:t>s</w:t>
      </w:r>
      <w:r w:rsidR="006104E2" w:rsidRPr="00A76E56">
        <w:t>e requirements</w:t>
      </w:r>
      <w:r w:rsidR="000C4A0F" w:rsidRPr="00A76E56">
        <w:t xml:space="preserve"> extend to </w:t>
      </w:r>
      <w:r w:rsidR="00364241" w:rsidRPr="00A76E56">
        <w:t xml:space="preserve">all team </w:t>
      </w:r>
      <w:r w:rsidR="00454B15" w:rsidRPr="00A76E56">
        <w:t xml:space="preserve">disciplines </w:t>
      </w:r>
      <w:r w:rsidR="00463ADA" w:rsidRPr="00A76E56">
        <w:t>for aspects related</w:t>
      </w:r>
      <w:r w:rsidR="00AF02B7" w:rsidRPr="00A76E56">
        <w:t xml:space="preserve"> to </w:t>
      </w:r>
      <w:r w:rsidR="00B365C0" w:rsidRPr="00A76E56">
        <w:t xml:space="preserve">the </w:t>
      </w:r>
      <w:r w:rsidR="00752336" w:rsidRPr="00A76E56">
        <w:t>seismic performance</w:t>
      </w:r>
      <w:r w:rsidR="00B365C0" w:rsidRPr="00A76E56">
        <w:t xml:space="preserve"> framework</w:t>
      </w:r>
      <w:r w:rsidR="00AF02B7" w:rsidRPr="00A76E56">
        <w:t>.</w:t>
      </w:r>
    </w:p>
    <w:p w14:paraId="61E8A4CA" w14:textId="1C2D33D3" w:rsidR="006419B0" w:rsidRPr="00A76E56" w:rsidRDefault="00281381" w:rsidP="00666E06">
      <w:r w:rsidRPr="00A76E56">
        <w:t xml:space="preserve">Part B </w:t>
      </w:r>
      <w:r w:rsidR="00611DBB" w:rsidRPr="00A76E56">
        <w:t>defin</w:t>
      </w:r>
      <w:r w:rsidRPr="00A76E56">
        <w:t>es</w:t>
      </w:r>
      <w:r w:rsidR="00611DBB" w:rsidRPr="00A76E56">
        <w:t xml:space="preserve"> the performance </w:t>
      </w:r>
      <w:r w:rsidR="00B55233" w:rsidRPr="00A76E56">
        <w:t>requirements for hospital buildings relevant to the two focus areas of this guideline.</w:t>
      </w:r>
      <w:r w:rsidR="00E37CF6" w:rsidRPr="00A76E56">
        <w:t xml:space="preserve"> </w:t>
      </w:r>
      <w:r w:rsidR="00193547" w:rsidRPr="00A76E56">
        <w:rPr>
          <w:b/>
          <w:bCs/>
        </w:rPr>
        <w:t>The</w:t>
      </w:r>
      <w:r w:rsidR="00E37CF6" w:rsidRPr="00A76E56">
        <w:rPr>
          <w:b/>
          <w:bCs/>
        </w:rPr>
        <w:t xml:space="preserve"> </w:t>
      </w:r>
      <w:r w:rsidR="00D35138" w:rsidRPr="00A76E56">
        <w:rPr>
          <w:b/>
          <w:bCs/>
          <w:i/>
          <w:iCs/>
        </w:rPr>
        <w:t>S</w:t>
      </w:r>
      <w:r w:rsidR="00E37CF6" w:rsidRPr="00A76E56">
        <w:rPr>
          <w:b/>
          <w:bCs/>
          <w:i/>
          <w:iCs/>
        </w:rPr>
        <w:t xml:space="preserve">eismic </w:t>
      </w:r>
      <w:r w:rsidR="00D35138" w:rsidRPr="00A76E56">
        <w:rPr>
          <w:b/>
          <w:bCs/>
          <w:i/>
          <w:iCs/>
        </w:rPr>
        <w:t>P</w:t>
      </w:r>
      <w:r w:rsidR="00E37CF6" w:rsidRPr="00A76E56">
        <w:rPr>
          <w:b/>
          <w:bCs/>
          <w:i/>
          <w:iCs/>
        </w:rPr>
        <w:t xml:space="preserve">erformance </w:t>
      </w:r>
      <w:r w:rsidR="00D35138" w:rsidRPr="00A76E56">
        <w:rPr>
          <w:b/>
          <w:bCs/>
          <w:i/>
          <w:iCs/>
        </w:rPr>
        <w:t>F</w:t>
      </w:r>
      <w:r w:rsidR="00611DBB" w:rsidRPr="00A76E56">
        <w:rPr>
          <w:b/>
          <w:bCs/>
          <w:i/>
          <w:iCs/>
        </w:rPr>
        <w:t>ramework</w:t>
      </w:r>
      <w:r w:rsidR="00361B75" w:rsidRPr="00A76E56">
        <w:rPr>
          <w:b/>
          <w:bCs/>
        </w:rPr>
        <w:t xml:space="preserve"> </w:t>
      </w:r>
      <w:r w:rsidR="00D35138" w:rsidRPr="00A76E56">
        <w:rPr>
          <w:b/>
          <w:bCs/>
        </w:rPr>
        <w:t>is presented</w:t>
      </w:r>
      <w:r w:rsidR="00193547" w:rsidRPr="00A76E56">
        <w:rPr>
          <w:b/>
          <w:bCs/>
        </w:rPr>
        <w:t xml:space="preserve"> here.</w:t>
      </w:r>
      <w:r w:rsidR="00D35138" w:rsidRPr="00A76E56">
        <w:rPr>
          <w:b/>
          <w:bCs/>
        </w:rPr>
        <w:t xml:space="preserve"> </w:t>
      </w:r>
      <w:r w:rsidR="00193547" w:rsidRPr="00A76E56">
        <w:t>This</w:t>
      </w:r>
      <w:r w:rsidR="00611DBB" w:rsidRPr="00A76E56">
        <w:t xml:space="preserve"> will guide </w:t>
      </w:r>
      <w:r w:rsidR="00A40D6F" w:rsidRPr="00A76E56">
        <w:t xml:space="preserve">strategies for </w:t>
      </w:r>
      <w:r w:rsidR="008275FE" w:rsidRPr="00A76E56">
        <w:t xml:space="preserve">building </w:t>
      </w:r>
      <w:r w:rsidR="00A40D6F" w:rsidRPr="00A76E56">
        <w:t>servic</w:t>
      </w:r>
      <w:r w:rsidR="008275FE" w:rsidRPr="00A76E56">
        <w:t>es design and operation</w:t>
      </w:r>
      <w:r w:rsidR="00A40D6F" w:rsidRPr="00A76E56">
        <w:t>, building enclosure and fitout</w:t>
      </w:r>
      <w:r w:rsidR="00795F76" w:rsidRPr="00A76E56">
        <w:t xml:space="preserve"> detailing</w:t>
      </w:r>
      <w:r w:rsidR="00A40D6F" w:rsidRPr="00A76E56">
        <w:t xml:space="preserve">, </w:t>
      </w:r>
      <w:r w:rsidR="00CF7777" w:rsidRPr="00A76E56">
        <w:t xml:space="preserve">and </w:t>
      </w:r>
      <w:r w:rsidR="0055002B" w:rsidRPr="00A76E56">
        <w:t>successful coordination and detailing of these elements that aligns with the seismic response of the primary structure</w:t>
      </w:r>
      <w:r w:rsidR="00FA1CA7">
        <w:t xml:space="preserve"> </w:t>
      </w:r>
      <w:r w:rsidR="008D6A01" w:rsidRPr="00A76E56">
        <w:t>in a post-earthquake clinical context</w:t>
      </w:r>
      <w:r w:rsidR="00535744" w:rsidRPr="00A76E56">
        <w:t>.</w:t>
      </w:r>
    </w:p>
    <w:p w14:paraId="2950B5AF" w14:textId="329B3AD8" w:rsidR="004C4764" w:rsidRDefault="004C7FDE" w:rsidP="00D56CAE">
      <w:pPr>
        <w:pStyle w:val="BodyHeading"/>
      </w:pPr>
      <w:r>
        <w:t>Part C</w:t>
      </w:r>
      <w:r w:rsidR="00944FE0">
        <w:t xml:space="preserve"> is directed </w:t>
      </w:r>
      <w:r w:rsidR="00454B15">
        <w:t xml:space="preserve">primarily </w:t>
      </w:r>
      <w:r w:rsidR="00944FE0">
        <w:t xml:space="preserve">towards </w:t>
      </w:r>
      <w:r w:rsidR="00080106">
        <w:t xml:space="preserve">structural and geotechnical </w:t>
      </w:r>
      <w:r w:rsidR="00944FE0">
        <w:t>engineers</w:t>
      </w:r>
    </w:p>
    <w:p w14:paraId="10A32738" w14:textId="744609DD" w:rsidR="00E16EFE" w:rsidRPr="00244D32" w:rsidRDefault="00C9185C" w:rsidP="00666E06">
      <w:r w:rsidRPr="00244D32">
        <w:t xml:space="preserve">The detail in </w:t>
      </w:r>
      <w:r w:rsidR="00306D80" w:rsidRPr="00244D32">
        <w:t>Part C of this guide</w:t>
      </w:r>
      <w:r w:rsidRPr="00244D32">
        <w:t xml:space="preserve"> </w:t>
      </w:r>
      <w:r w:rsidR="00550344" w:rsidRPr="00244D32">
        <w:t>is</w:t>
      </w:r>
      <w:r w:rsidR="00306D80" w:rsidRPr="00244D32">
        <w:t xml:space="preserve"> primarily</w:t>
      </w:r>
      <w:r w:rsidR="00550344" w:rsidRPr="00244D32">
        <w:t xml:space="preserve"> intended for </w:t>
      </w:r>
      <w:r w:rsidR="00445CA5" w:rsidRPr="00244D32">
        <w:t>structural and geotechnical engineers</w:t>
      </w:r>
      <w:r w:rsidR="00D75616" w:rsidRPr="00244D32">
        <w:t xml:space="preserve">. It </w:t>
      </w:r>
      <w:r w:rsidR="00134DE3" w:rsidRPr="00244D32">
        <w:t>gives the means by which</w:t>
      </w:r>
      <w:r w:rsidR="00D75616" w:rsidRPr="00244D32">
        <w:t xml:space="preserve"> </w:t>
      </w:r>
      <w:r w:rsidR="002322D0" w:rsidRPr="00244D32">
        <w:t>the performance requirements set out in Part B</w:t>
      </w:r>
      <w:r w:rsidR="00D75616" w:rsidRPr="00244D32">
        <w:t xml:space="preserve"> can be met</w:t>
      </w:r>
      <w:r w:rsidR="00550344" w:rsidRPr="00244D32">
        <w:t xml:space="preserve">. </w:t>
      </w:r>
      <w:r w:rsidR="00720C8E" w:rsidRPr="00244D32">
        <w:t>I</w:t>
      </w:r>
      <w:r w:rsidR="00944FE0" w:rsidRPr="00244D32">
        <w:t xml:space="preserve">t </w:t>
      </w:r>
      <w:r w:rsidR="00F7636B" w:rsidRPr="00244D32">
        <w:t xml:space="preserve">is also intended to assist other parties interacting with structural and geotechnical engineers </w:t>
      </w:r>
      <w:r w:rsidR="005C5426" w:rsidRPr="00244D32">
        <w:t xml:space="preserve">understand </w:t>
      </w:r>
      <w:r w:rsidR="00C041A0" w:rsidRPr="00244D32">
        <w:t xml:space="preserve">the basis for </w:t>
      </w:r>
      <w:r w:rsidR="005C5426" w:rsidRPr="00244D32">
        <w:t>engineering constraints</w:t>
      </w:r>
      <w:r w:rsidR="003B7F13" w:rsidRPr="00244D32">
        <w:t>.</w:t>
      </w:r>
    </w:p>
    <w:p w14:paraId="6BFC0FDD" w14:textId="0DFF27B6" w:rsidR="00ED180B" w:rsidRPr="00244D32" w:rsidRDefault="00A011DF" w:rsidP="00666E06">
      <w:r w:rsidRPr="00244D32">
        <w:lastRenderedPageBreak/>
        <w:t>Where appropriate,</w:t>
      </w:r>
      <w:r w:rsidR="00450442" w:rsidRPr="00244D32">
        <w:t xml:space="preserve"> </w:t>
      </w:r>
      <w:r w:rsidR="0082570C" w:rsidRPr="00244D32">
        <w:t>specific areas of commentary are included</w:t>
      </w:r>
      <w:r w:rsidRPr="00244D32">
        <w:t xml:space="preserve"> to aid in the </w:t>
      </w:r>
      <w:r w:rsidR="00DF4170" w:rsidRPr="00244D32">
        <w:t>interpretation and understanding of engineering requirements.</w:t>
      </w:r>
    </w:p>
    <w:p w14:paraId="2957F712" w14:textId="6F775751" w:rsidR="00483A4F" w:rsidRDefault="0088775E" w:rsidP="00D56CAE">
      <w:pPr>
        <w:pStyle w:val="BodyHeading"/>
      </w:pPr>
      <w:r>
        <w:t>Master planning</w:t>
      </w:r>
      <w:r w:rsidR="00483A4F">
        <w:t xml:space="preserve"> and Business Case Development</w:t>
      </w:r>
    </w:p>
    <w:p w14:paraId="77656E23" w14:textId="48EF021A" w:rsidR="006E1154" w:rsidRDefault="006419B0" w:rsidP="00666E06">
      <w:r w:rsidRPr="00244D32">
        <w:t xml:space="preserve">The information </w:t>
      </w:r>
      <w:r w:rsidR="00887EFA" w:rsidRPr="00244D32">
        <w:t xml:space="preserve">in this technical guideline </w:t>
      </w:r>
      <w:r w:rsidRPr="00244D32">
        <w:t xml:space="preserve">will also be </w:t>
      </w:r>
      <w:r w:rsidR="00B042AC" w:rsidRPr="00244D32">
        <w:t>applicable</w:t>
      </w:r>
      <w:r w:rsidRPr="00244D32">
        <w:t xml:space="preserve"> for </w:t>
      </w:r>
      <w:r w:rsidR="00294AED" w:rsidRPr="00244D32">
        <w:t>master planning</w:t>
      </w:r>
      <w:r w:rsidR="00B042AC" w:rsidRPr="00244D32">
        <w:t xml:space="preserve"> and business case development</w:t>
      </w:r>
      <w:r w:rsidR="00A43953">
        <w:t xml:space="preserve">. </w:t>
      </w:r>
      <w:r w:rsidR="00483A4F" w:rsidRPr="00244D32">
        <w:t>T</w:t>
      </w:r>
      <w:r w:rsidR="00810506" w:rsidRPr="00244D32">
        <w:t>his</w:t>
      </w:r>
      <w:r w:rsidR="00575DDC" w:rsidRPr="00244D32">
        <w:t xml:space="preserve"> guideline </w:t>
      </w:r>
      <w:r w:rsidR="00810506" w:rsidRPr="00244D32">
        <w:t>define</w:t>
      </w:r>
      <w:r w:rsidR="10397F6C" w:rsidRPr="00244D32">
        <w:t>s</w:t>
      </w:r>
      <w:r w:rsidR="00887EFA" w:rsidRPr="00244D32">
        <w:t xml:space="preserve"> </w:t>
      </w:r>
      <w:r w:rsidR="00810506" w:rsidRPr="00244D32">
        <w:t xml:space="preserve">important </w:t>
      </w:r>
      <w:r w:rsidR="008770E8" w:rsidRPr="00244D32">
        <w:t xml:space="preserve">technical inputs </w:t>
      </w:r>
      <w:r w:rsidR="00F04F15" w:rsidRPr="00244D32">
        <w:t>to the</w:t>
      </w:r>
      <w:r w:rsidR="008770E8" w:rsidRPr="00244D32">
        <w:t xml:space="preserve"> process</w:t>
      </w:r>
      <w:r w:rsidR="00F04F15" w:rsidRPr="00244D32">
        <w:t xml:space="preserve">es described in </w:t>
      </w:r>
      <w:r w:rsidR="007D5C79">
        <w:t xml:space="preserve">Health NZ </w:t>
      </w:r>
      <w:r w:rsidR="00697FB8">
        <w:t>’s</w:t>
      </w:r>
      <w:r w:rsidR="00FC2CB9" w:rsidRPr="00244D32">
        <w:t xml:space="preserve"> </w:t>
      </w:r>
      <w:r w:rsidR="00FC2CB9" w:rsidRPr="00244D32">
        <w:rPr>
          <w:i/>
        </w:rPr>
        <w:t xml:space="preserve">Masterplanning Guidance for Public Hospital </w:t>
      </w:r>
      <w:r w:rsidR="00FC2CB9" w:rsidRPr="00244D32">
        <w:rPr>
          <w:i/>
          <w:iCs/>
        </w:rPr>
        <w:t>Facilities</w:t>
      </w:r>
      <w:r w:rsidR="008770E8" w:rsidRPr="00244D32">
        <w:t>.</w:t>
      </w:r>
    </w:p>
    <w:p w14:paraId="0F944D3D" w14:textId="4B475F70" w:rsidR="00A93932" w:rsidRPr="004A43B4" w:rsidRDefault="00A93932" w:rsidP="001947BB">
      <w:pPr>
        <w:pStyle w:val="NumbHeading2"/>
      </w:pPr>
      <w:bookmarkStart w:id="13" w:name="_Ref173911966"/>
      <w:bookmarkStart w:id="14" w:name="_Toc203641929"/>
      <w:r w:rsidRPr="004A43B4">
        <w:t xml:space="preserve">Format of this </w:t>
      </w:r>
      <w:r w:rsidR="00257B56" w:rsidRPr="004A43B4">
        <w:t>g</w:t>
      </w:r>
      <w:r w:rsidRPr="004A43B4">
        <w:t>uide</w:t>
      </w:r>
      <w:bookmarkEnd w:id="13"/>
      <w:bookmarkEnd w:id="14"/>
    </w:p>
    <w:p w14:paraId="20F40825" w14:textId="610B8190" w:rsidR="00223F5C" w:rsidRPr="004A43B4" w:rsidRDefault="00AC623D" w:rsidP="00666E06">
      <w:r w:rsidRPr="004A43B4">
        <w:t xml:space="preserve">In general, </w:t>
      </w:r>
      <w:r w:rsidR="007D031F" w:rsidRPr="004A43B4">
        <w:t>the content within this guideline is intended to be informative</w:t>
      </w:r>
      <w:r w:rsidR="00F75B5D" w:rsidRPr="004A43B4">
        <w:t xml:space="preserve"> </w:t>
      </w:r>
      <w:r w:rsidR="00CA070C" w:rsidRPr="004A43B4">
        <w:t>as well as</w:t>
      </w:r>
      <w:r w:rsidR="00F75B5D" w:rsidRPr="004A43B4">
        <w:t xml:space="preserve"> </w:t>
      </w:r>
      <w:r w:rsidR="007D031F" w:rsidRPr="004A43B4">
        <w:t>rep</w:t>
      </w:r>
      <w:r w:rsidR="004602D0" w:rsidRPr="004A43B4">
        <w:t>resent best practice</w:t>
      </w:r>
      <w:r w:rsidR="00143449" w:rsidRPr="004A43B4">
        <w:t xml:space="preserve"> </w:t>
      </w:r>
      <w:r w:rsidR="00017930" w:rsidRPr="004A43B4">
        <w:t xml:space="preserve">recommendations </w:t>
      </w:r>
      <w:r w:rsidR="00143449" w:rsidRPr="004A43B4">
        <w:t xml:space="preserve">that </w:t>
      </w:r>
      <w:r w:rsidR="00143449" w:rsidRPr="004A43B4">
        <w:rPr>
          <w:i/>
          <w:iCs/>
        </w:rPr>
        <w:t>should be followed</w:t>
      </w:r>
      <w:r w:rsidR="0052495E" w:rsidRPr="004A43B4">
        <w:t xml:space="preserve"> in order to meet</w:t>
      </w:r>
      <w:r w:rsidR="00DE0B11" w:rsidRPr="004A43B4">
        <w:t xml:space="preserve"> the requirements of </w:t>
      </w:r>
      <w:r w:rsidR="007D5C79">
        <w:t>Health NZ</w:t>
      </w:r>
      <w:r w:rsidR="00B4257B">
        <w:t xml:space="preserve"> </w:t>
      </w:r>
      <w:r w:rsidR="00DE0B11" w:rsidRPr="004A43B4">
        <w:t>projects</w:t>
      </w:r>
      <w:r w:rsidR="004602D0" w:rsidRPr="004A43B4">
        <w:t>.</w:t>
      </w:r>
      <w:r w:rsidR="00B97659" w:rsidRPr="004A43B4">
        <w:t xml:space="preserve"> </w:t>
      </w:r>
      <w:r w:rsidR="004C4F2E" w:rsidRPr="004A43B4">
        <w:t>L</w:t>
      </w:r>
      <w:r w:rsidR="00223F5C" w:rsidRPr="004A43B4">
        <w:t xml:space="preserve">anguage </w:t>
      </w:r>
      <w:r w:rsidR="000475CD" w:rsidRPr="004A43B4">
        <w:t xml:space="preserve">within the body of the guideline </w:t>
      </w:r>
      <w:r w:rsidR="004C4F2E" w:rsidRPr="004A43B4">
        <w:t>that</w:t>
      </w:r>
      <w:r w:rsidR="00CA4BB6" w:rsidRPr="004A43B4">
        <w:t xml:space="preserve"> </w:t>
      </w:r>
      <w:r w:rsidR="002F58FB" w:rsidRPr="004A43B4">
        <w:t>use</w:t>
      </w:r>
      <w:r w:rsidR="00CA4BB6" w:rsidRPr="004A43B4">
        <w:t>s</w:t>
      </w:r>
      <w:r w:rsidR="002F58FB" w:rsidRPr="004A43B4">
        <w:t xml:space="preserve"> </w:t>
      </w:r>
      <w:r w:rsidR="00B97659" w:rsidRPr="004A43B4">
        <w:t xml:space="preserve">the word </w:t>
      </w:r>
      <w:r w:rsidR="00B97659" w:rsidRPr="004A43B4">
        <w:rPr>
          <w:i/>
          <w:iCs/>
        </w:rPr>
        <w:t>should</w:t>
      </w:r>
      <w:r w:rsidR="00CB6688" w:rsidRPr="004A43B4">
        <w:t xml:space="preserve"> </w:t>
      </w:r>
      <w:r w:rsidR="00017930" w:rsidRPr="004A43B4">
        <w:t xml:space="preserve">(rather than </w:t>
      </w:r>
      <w:r w:rsidR="00017930" w:rsidRPr="004A43B4">
        <w:rPr>
          <w:i/>
          <w:iCs/>
        </w:rPr>
        <w:t>shall</w:t>
      </w:r>
      <w:r w:rsidR="00017930" w:rsidRPr="004A43B4">
        <w:t xml:space="preserve">) </w:t>
      </w:r>
      <w:r w:rsidR="00CB6688" w:rsidRPr="004A43B4">
        <w:t xml:space="preserve">implies </w:t>
      </w:r>
      <w:r w:rsidR="003410E0" w:rsidRPr="004A43B4">
        <w:t>clear</w:t>
      </w:r>
      <w:r w:rsidR="00F11979" w:rsidRPr="004A43B4">
        <w:t xml:space="preserve"> intent and </w:t>
      </w:r>
      <w:r w:rsidR="008E0138" w:rsidRPr="004A43B4">
        <w:t xml:space="preserve">a </w:t>
      </w:r>
      <w:r w:rsidR="00F11979" w:rsidRPr="004A43B4">
        <w:t xml:space="preserve">strong </w:t>
      </w:r>
      <w:r w:rsidR="003410E0" w:rsidRPr="004A43B4">
        <w:t xml:space="preserve">recommendation on how the requirements of these guidelines </w:t>
      </w:r>
      <w:r w:rsidR="008E0138" w:rsidRPr="004A43B4">
        <w:t>ought to</w:t>
      </w:r>
      <w:r w:rsidR="003410E0" w:rsidRPr="004A43B4">
        <w:t xml:space="preserve"> be met. </w:t>
      </w:r>
      <w:r w:rsidR="00946FAF" w:rsidRPr="004A43B4">
        <w:t>However,</w:t>
      </w:r>
      <w:r w:rsidR="00223F5C" w:rsidRPr="004A43B4">
        <w:t xml:space="preserve"> there may be other ways in which the </w:t>
      </w:r>
      <w:r w:rsidR="00F11979" w:rsidRPr="004A43B4">
        <w:t>objectives</w:t>
      </w:r>
      <w:r w:rsidR="00223F5C" w:rsidRPr="004A43B4">
        <w:t xml:space="preserve"> can be met.</w:t>
      </w:r>
    </w:p>
    <w:p w14:paraId="74F55983" w14:textId="4686DE97" w:rsidR="002E7D97" w:rsidRPr="004A43B4" w:rsidRDefault="002E7D97" w:rsidP="00666E06">
      <w:r w:rsidRPr="004A43B4">
        <w:t xml:space="preserve">Parts of this guideline content </w:t>
      </w:r>
      <w:r w:rsidR="00C66566" w:rsidRPr="004A43B4">
        <w:t>have</w:t>
      </w:r>
      <w:r w:rsidRPr="004A43B4">
        <w:t xml:space="preserve"> specific</w:t>
      </w:r>
      <w:r w:rsidR="00C66566" w:rsidRPr="004A43B4">
        <w:t xml:space="preserve"> status as described below:</w:t>
      </w:r>
    </w:p>
    <w:p w14:paraId="4E68530C" w14:textId="11765259" w:rsidR="00F729FD" w:rsidRPr="004A43B4" w:rsidRDefault="007D5C79" w:rsidP="00666E06">
      <w:pPr>
        <w:pStyle w:val="Requirement"/>
      </w:pPr>
      <w:r>
        <w:rPr>
          <w:rStyle w:val="Strong"/>
        </w:rPr>
        <w:t xml:space="preserve">Health NZ </w:t>
      </w:r>
      <w:r w:rsidR="00F729FD" w:rsidRPr="004A43B4">
        <w:rPr>
          <w:rStyle w:val="Strong"/>
        </w:rPr>
        <w:t>Recommendation:</w:t>
      </w:r>
      <w:r w:rsidR="00F729FD" w:rsidRPr="004A43B4">
        <w:t xml:space="preserve"> A specific </w:t>
      </w:r>
      <w:r w:rsidR="006E7341" w:rsidRPr="004A43B4">
        <w:t>recommendation highlighting</w:t>
      </w:r>
      <w:r w:rsidR="00F729FD" w:rsidRPr="004A43B4">
        <w:t xml:space="preserve"> </w:t>
      </w:r>
      <w:r>
        <w:t xml:space="preserve">Health NZ </w:t>
      </w:r>
      <w:r w:rsidR="00697FB8">
        <w:t>’s</w:t>
      </w:r>
      <w:r w:rsidR="006E7341" w:rsidRPr="004A43B4">
        <w:t xml:space="preserve"> preferred practice on</w:t>
      </w:r>
      <w:r w:rsidR="00F729FD" w:rsidRPr="004A43B4">
        <w:t xml:space="preserve"> projects</w:t>
      </w:r>
      <w:r w:rsidR="006E7341" w:rsidRPr="004A43B4">
        <w:t>.</w:t>
      </w:r>
    </w:p>
    <w:p w14:paraId="454534FB" w14:textId="2759B7C4" w:rsidR="00A93932" w:rsidRPr="004A43B4" w:rsidRDefault="007D5C79" w:rsidP="00666E06">
      <w:pPr>
        <w:pStyle w:val="Requirement"/>
      </w:pPr>
      <w:r w:rsidRPr="00B219C9">
        <w:rPr>
          <w:rStyle w:val="Strong"/>
          <w:color w:val="0C818F" w:themeColor="accent3"/>
        </w:rPr>
        <w:t xml:space="preserve">Health NZ </w:t>
      </w:r>
      <w:r w:rsidR="00A93932" w:rsidRPr="00B219C9">
        <w:rPr>
          <w:rStyle w:val="Strong"/>
          <w:color w:val="0C818F" w:themeColor="accent3"/>
        </w:rPr>
        <w:t>Requirement:</w:t>
      </w:r>
      <w:r w:rsidR="00A93932" w:rsidRPr="004A43B4">
        <w:t xml:space="preserve"> </w:t>
      </w:r>
      <w:r w:rsidR="006814A7" w:rsidRPr="004A43B4">
        <w:t xml:space="preserve">A </w:t>
      </w:r>
      <w:r w:rsidR="0052495E" w:rsidRPr="004A43B4">
        <w:t xml:space="preserve">specific </w:t>
      </w:r>
      <w:r w:rsidR="006814A7" w:rsidRPr="004A43B4">
        <w:t xml:space="preserve">technical requirement for </w:t>
      </w:r>
      <w:r>
        <w:t xml:space="preserve">Health NZ </w:t>
      </w:r>
      <w:r w:rsidR="006814A7" w:rsidRPr="004A43B4">
        <w:t xml:space="preserve">projects that </w:t>
      </w:r>
      <w:r w:rsidR="0052495E" w:rsidRPr="004A43B4">
        <w:t>must</w:t>
      </w:r>
      <w:r w:rsidR="006814A7" w:rsidRPr="004A43B4">
        <w:t xml:space="preserve"> be followed</w:t>
      </w:r>
      <w:r w:rsidR="0052495E" w:rsidRPr="004A43B4">
        <w:t xml:space="preserve"> in order to meet </w:t>
      </w:r>
      <w:r w:rsidR="003C61E9" w:rsidRPr="004A43B4">
        <w:t>the</w:t>
      </w:r>
      <w:r w:rsidR="0052495E" w:rsidRPr="004A43B4">
        <w:t xml:space="preserve"> requirements</w:t>
      </w:r>
      <w:r w:rsidR="003C61E9" w:rsidRPr="004A43B4">
        <w:t xml:space="preserve"> of projects that reference these guidelines</w:t>
      </w:r>
      <w:r w:rsidR="00F738B8" w:rsidRPr="004A43B4">
        <w:t>—</w:t>
      </w:r>
      <w:r w:rsidR="00E64540" w:rsidRPr="004A43B4">
        <w:t xml:space="preserve">except where expressly modified in the </w:t>
      </w:r>
      <w:r>
        <w:rPr>
          <w:i/>
          <w:iCs/>
        </w:rPr>
        <w:t>Health NZ</w:t>
      </w:r>
      <w:r w:rsidR="00B4257B">
        <w:rPr>
          <w:i/>
          <w:iCs/>
        </w:rPr>
        <w:t xml:space="preserve"> </w:t>
      </w:r>
      <w:r w:rsidR="001860AD" w:rsidRPr="004A43B4">
        <w:rPr>
          <w:i/>
          <w:iCs/>
        </w:rPr>
        <w:t>P</w:t>
      </w:r>
      <w:r w:rsidR="00E64540" w:rsidRPr="004A43B4">
        <w:rPr>
          <w:i/>
          <w:iCs/>
        </w:rPr>
        <w:t xml:space="preserve">roject </w:t>
      </w:r>
      <w:r w:rsidR="001860AD" w:rsidRPr="004A43B4">
        <w:rPr>
          <w:i/>
          <w:iCs/>
        </w:rPr>
        <w:t>Technical B</w:t>
      </w:r>
      <w:r w:rsidR="00E64540" w:rsidRPr="004A43B4">
        <w:rPr>
          <w:i/>
          <w:iCs/>
        </w:rPr>
        <w:t>rief</w:t>
      </w:r>
      <w:r w:rsidR="00C076D6" w:rsidRPr="004A43B4">
        <w:t xml:space="preserve">, or where </w:t>
      </w:r>
      <w:r w:rsidR="00B90EA4" w:rsidRPr="004A43B4">
        <w:t xml:space="preserve">a specific departure is accepted </w:t>
      </w:r>
      <w:r w:rsidR="00C076D6" w:rsidRPr="004A43B4">
        <w:t>by</w:t>
      </w:r>
      <w:r w:rsidR="0055353C" w:rsidRPr="004A43B4">
        <w:t xml:space="preserve"> the HEAG</w:t>
      </w:r>
      <w:r w:rsidR="00D267E2" w:rsidRPr="004A43B4">
        <w:t xml:space="preserve"> (or its representative)</w:t>
      </w:r>
      <w:r w:rsidR="00C076D6" w:rsidRPr="004A43B4">
        <w:t xml:space="preserve"> following the departure process outlined in section </w:t>
      </w:r>
      <w:r w:rsidR="00C076D6" w:rsidRPr="004A43B4">
        <w:fldChar w:fldCharType="begin"/>
      </w:r>
      <w:r w:rsidR="00C076D6" w:rsidRPr="004A43B4">
        <w:instrText xml:space="preserve"> REF _Ref149229404 \r \h </w:instrText>
      </w:r>
      <w:r w:rsidR="004A43B4">
        <w:instrText xml:space="preserve"> \* MERGEFORMAT </w:instrText>
      </w:r>
      <w:r w:rsidR="00C076D6" w:rsidRPr="004A43B4">
        <w:fldChar w:fldCharType="separate"/>
      </w:r>
      <w:r w:rsidR="000761C1">
        <w:t>A1.6.2</w:t>
      </w:r>
      <w:r w:rsidR="00C076D6" w:rsidRPr="004A43B4">
        <w:fldChar w:fldCharType="end"/>
      </w:r>
      <w:r w:rsidR="00C076D6" w:rsidRPr="004A43B4">
        <w:t xml:space="preserve"> of this guideline</w:t>
      </w:r>
      <w:r w:rsidR="00E22D6A" w:rsidRPr="004A43B4">
        <w:t xml:space="preserve"> on a project basis</w:t>
      </w:r>
      <w:r w:rsidR="00C076D6" w:rsidRPr="004A43B4">
        <w:t>.</w:t>
      </w:r>
    </w:p>
    <w:p w14:paraId="027BCEB5" w14:textId="043ADE85" w:rsidR="00CC72A1" w:rsidRPr="004A43B4" w:rsidRDefault="00CC72A1" w:rsidP="00666E06">
      <w:pPr>
        <w:pStyle w:val="Requirement"/>
      </w:pPr>
      <w:r w:rsidRPr="004A43B4">
        <w:rPr>
          <w:rStyle w:val="Strong"/>
        </w:rPr>
        <w:t>NZBC Requirement:</w:t>
      </w:r>
      <w:r w:rsidRPr="004A43B4">
        <w:t xml:space="preserve"> Used to reiterate or clarify a requirement of the NZBC or its Acceptable Solutions or Verification Methods (in which case the specific VM or AS will be noted)</w:t>
      </w:r>
      <w:r w:rsidR="00665A9E" w:rsidRPr="004A43B4">
        <w:t>.</w:t>
      </w:r>
      <w:r w:rsidRPr="004A43B4">
        <w:t xml:space="preserve"> </w:t>
      </w:r>
      <w:r w:rsidR="005F1CB6" w:rsidRPr="004A43B4">
        <w:t>These are included to highlight issues that have</w:t>
      </w:r>
      <w:r w:rsidRPr="004A43B4">
        <w:t xml:space="preserve"> particular relevance to the subject of discussion and that must be followed</w:t>
      </w:r>
      <w:r w:rsidR="00036698" w:rsidRPr="004A43B4">
        <w:t xml:space="preserve"> to comply with that compliance document</w:t>
      </w:r>
      <w:r w:rsidRPr="004A43B4">
        <w:t>.</w:t>
      </w:r>
    </w:p>
    <w:p w14:paraId="29FC5A74" w14:textId="7C3D0144" w:rsidR="00F22195" w:rsidRPr="000939F8" w:rsidRDefault="00663B3A" w:rsidP="00A47350">
      <w:pPr>
        <w:rPr>
          <w:rStyle w:val="Strong"/>
          <w:b w:val="0"/>
        </w:rPr>
      </w:pPr>
      <w:r w:rsidRPr="000939F8">
        <w:rPr>
          <w:rStyle w:val="Strong"/>
          <w:b w:val="0"/>
        </w:rPr>
        <w:t>Specifically d</w:t>
      </w:r>
      <w:r w:rsidR="00F22195" w:rsidRPr="000939F8">
        <w:rPr>
          <w:rStyle w:val="Strong"/>
          <w:b w:val="0"/>
        </w:rPr>
        <w:t xml:space="preserve">efined terms are generally </w:t>
      </w:r>
      <w:r w:rsidR="00F22195" w:rsidRPr="000939F8">
        <w:rPr>
          <w:rStyle w:val="Strong"/>
          <w:b w:val="0"/>
          <w:i/>
        </w:rPr>
        <w:t>italicised</w:t>
      </w:r>
      <w:r w:rsidR="00F22195" w:rsidRPr="000939F8">
        <w:rPr>
          <w:rStyle w:val="Strong"/>
          <w:b w:val="0"/>
        </w:rPr>
        <w:t xml:space="preserve"> and defined at the rear of the document</w:t>
      </w:r>
      <w:r w:rsidR="004D7014" w:rsidRPr="000939F8">
        <w:rPr>
          <w:rStyle w:val="Strong"/>
          <w:b w:val="0"/>
        </w:rPr>
        <w:t xml:space="preserve"> in the</w:t>
      </w:r>
      <w:r w:rsidR="00C03D9A" w:rsidRPr="000939F8">
        <w:rPr>
          <w:rStyle w:val="Strong"/>
          <w:b w:val="0"/>
        </w:rPr>
        <w:t xml:space="preserve"> </w:t>
      </w:r>
      <w:hyperlink w:anchor="Glossary" w:history="1">
        <w:r w:rsidR="004A20B5" w:rsidRPr="000939F8">
          <w:rPr>
            <w:rStyle w:val="Hyperlink"/>
            <w:b w:val="0"/>
          </w:rPr>
          <w:t>Glossary</w:t>
        </w:r>
      </w:hyperlink>
      <w:r w:rsidR="004A20B5" w:rsidRPr="000939F8">
        <w:rPr>
          <w:rStyle w:val="Strong"/>
          <w:b w:val="0"/>
        </w:rPr>
        <w:t>.</w:t>
      </w:r>
    </w:p>
    <w:p w14:paraId="36D48EA1" w14:textId="3D2FCE04" w:rsidR="008C151C" w:rsidRPr="009A7573" w:rsidRDefault="00BA38CC" w:rsidP="002D23A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A7573">
        <w:t>T</w:t>
      </w:r>
      <w:r w:rsidR="008A2A44" w:rsidRPr="009A7573">
        <w:t xml:space="preserve">hese </w:t>
      </w:r>
      <w:r w:rsidR="00B90EA4" w:rsidRPr="009A7573">
        <w:t xml:space="preserve">boxes </w:t>
      </w:r>
      <w:r w:rsidRPr="009A7573">
        <w:t>contain</w:t>
      </w:r>
      <w:r w:rsidR="008A2A44" w:rsidRPr="009A7573">
        <w:t xml:space="preserve"> additional commentary </w:t>
      </w:r>
      <w:r w:rsidR="00D33CA2" w:rsidRPr="009A7573">
        <w:t>in plain language</w:t>
      </w:r>
      <w:r w:rsidR="00173CE0" w:rsidRPr="009A7573">
        <w:t xml:space="preserve"> or </w:t>
      </w:r>
      <w:r w:rsidR="008C3140" w:rsidRPr="009A7573">
        <w:t xml:space="preserve">further </w:t>
      </w:r>
      <w:r w:rsidR="00873D8B" w:rsidRPr="009A7573">
        <w:t>technical discussion</w:t>
      </w:r>
      <w:r w:rsidR="00D33CA2" w:rsidRPr="009A7573">
        <w:t xml:space="preserve"> </w:t>
      </w:r>
      <w:r w:rsidR="008A2A44" w:rsidRPr="009A7573">
        <w:t>that is u</w:t>
      </w:r>
      <w:r w:rsidR="00B90EA4" w:rsidRPr="009A7573">
        <w:t xml:space="preserve">sually </w:t>
      </w:r>
      <w:r w:rsidR="008A2A44" w:rsidRPr="009A7573">
        <w:t xml:space="preserve">used to summarise key messages </w:t>
      </w:r>
      <w:r w:rsidR="00815BA4" w:rsidRPr="009A7573">
        <w:t xml:space="preserve">or </w:t>
      </w:r>
      <w:r w:rsidR="00D33CA2" w:rsidRPr="009A7573">
        <w:t xml:space="preserve">clarify the </w:t>
      </w:r>
      <w:r w:rsidR="00815BA4" w:rsidRPr="009A7573">
        <w:t>intent</w:t>
      </w:r>
      <w:r w:rsidR="008A2A44" w:rsidRPr="009A7573">
        <w:t xml:space="preserve"> behind</w:t>
      </w:r>
      <w:r w:rsidR="00A364AC" w:rsidRPr="009A7573">
        <w:t xml:space="preserve"> some of the recommendations or requirements.</w:t>
      </w:r>
      <w:bookmarkStart w:id="15" w:name="_Toc147899105"/>
    </w:p>
    <w:p w14:paraId="48923F7D" w14:textId="77777777" w:rsidR="00E81BA7" w:rsidRDefault="00E81BA7" w:rsidP="00E81BA7">
      <w:bookmarkStart w:id="16" w:name="_Toc203641930"/>
    </w:p>
    <w:p w14:paraId="7383DCDD" w14:textId="7B88C248" w:rsidR="009C350C" w:rsidRPr="004A43B4" w:rsidRDefault="009C350C" w:rsidP="001947BB">
      <w:pPr>
        <w:pStyle w:val="NumbHeading2"/>
      </w:pPr>
      <w:r w:rsidRPr="004A43B4">
        <w:lastRenderedPageBreak/>
        <w:t xml:space="preserve">Design </w:t>
      </w:r>
      <w:r w:rsidR="00257B56" w:rsidRPr="004A43B4">
        <w:t>p</w:t>
      </w:r>
      <w:r w:rsidRPr="004A43B4">
        <w:t>rinciples</w:t>
      </w:r>
      <w:bookmarkEnd w:id="15"/>
      <w:bookmarkEnd w:id="16"/>
    </w:p>
    <w:p w14:paraId="676FDE40" w14:textId="7268DBD8" w:rsidR="074BE149" w:rsidRPr="004A43B4" w:rsidRDefault="074BE149" w:rsidP="00666E06">
      <w:r w:rsidRPr="004A43B4">
        <w:t xml:space="preserve">This document is one of a suite of Design Guidance Notes (DGN) being developed by </w:t>
      </w:r>
      <w:r w:rsidR="007D5C79">
        <w:t xml:space="preserve">Health NZ </w:t>
      </w:r>
      <w:r w:rsidRPr="004A43B4">
        <w:t xml:space="preserve">to clarify specific requirements supplementary to </w:t>
      </w:r>
      <w:r w:rsidR="00262C82" w:rsidRPr="004A43B4">
        <w:t xml:space="preserve">the </w:t>
      </w:r>
      <w:r w:rsidR="00262C82" w:rsidRPr="004A43B4">
        <w:rPr>
          <w:i/>
          <w:iCs/>
        </w:rPr>
        <w:t>Australasian Health Facility Guidelines</w:t>
      </w:r>
      <w:r w:rsidR="00262C82" w:rsidRPr="004A43B4">
        <w:t xml:space="preserve"> (</w:t>
      </w:r>
      <w:r w:rsidRPr="004A43B4">
        <w:t>AusHFG</w:t>
      </w:r>
      <w:r w:rsidR="00262C82" w:rsidRPr="004A43B4">
        <w:t>)</w:t>
      </w:r>
      <w:r w:rsidRPr="004A43B4">
        <w:t xml:space="preserve"> for all health facility development projects in Aotearoa New Zealand. </w:t>
      </w:r>
      <w:r w:rsidR="007D5C79">
        <w:t>Health NZ</w:t>
      </w:r>
      <w:r w:rsidR="00B4257B">
        <w:t xml:space="preserve"> </w:t>
      </w:r>
      <w:r w:rsidRPr="004A43B4">
        <w:t xml:space="preserve">has described the overarching principles of design for Health Facilities in </w:t>
      </w:r>
      <w:r w:rsidR="007F7BC7" w:rsidRPr="004A43B4">
        <w:t>a</w:t>
      </w:r>
      <w:r w:rsidRPr="004A43B4">
        <w:t xml:space="preserve"> New Zealand Health Facility</w:t>
      </w:r>
      <w:r w:rsidR="750B2297" w:rsidRPr="004A43B4">
        <w:t xml:space="preserve"> </w:t>
      </w:r>
      <w:hyperlink r:id="rId23">
        <w:r w:rsidR="750B2297" w:rsidRPr="004A43B4">
          <w:rPr>
            <w:rStyle w:val="Hyperlink"/>
            <w:color w:val="0070C0"/>
          </w:rPr>
          <w:t>Design Guidance Note</w:t>
        </w:r>
      </w:hyperlink>
      <w:sdt>
        <w:sdtPr>
          <w:id w:val="1110165199"/>
          <w:citation/>
        </w:sdtPr>
        <w:sdtEndPr/>
        <w:sdtContent>
          <w:r w:rsidR="00A15DA6" w:rsidRPr="004A43B4">
            <w:fldChar w:fldCharType="begin"/>
          </w:r>
          <w:r w:rsidR="001C22CF" w:rsidRPr="004A43B4">
            <w:rPr>
              <w:lang w:val="en-US"/>
            </w:rPr>
            <w:instrText xml:space="preserve">CITATION TeW \l 1033 </w:instrText>
          </w:r>
          <w:r w:rsidR="00A15DA6" w:rsidRPr="004A43B4">
            <w:fldChar w:fldCharType="separate"/>
          </w:r>
          <w:r w:rsidR="00222D65">
            <w:rPr>
              <w:noProof/>
              <w:lang w:val="en-US"/>
            </w:rPr>
            <w:t xml:space="preserve"> (Te Whatu Ora, 2022)</w:t>
          </w:r>
          <w:r w:rsidR="00A15DA6" w:rsidRPr="004A43B4">
            <w:fldChar w:fldCharType="end"/>
          </w:r>
        </w:sdtContent>
      </w:sdt>
      <w:r w:rsidR="00A15DA6" w:rsidRPr="004A43B4">
        <w:t>.</w:t>
      </w:r>
    </w:p>
    <w:p w14:paraId="67181F84" w14:textId="616C7D1F" w:rsidR="074BE149" w:rsidRPr="004A43B4" w:rsidRDefault="074BE149" w:rsidP="00666E06">
      <w:r w:rsidRPr="004A43B4">
        <w:t xml:space="preserve">A summary of the main elements are listed below: </w:t>
      </w:r>
    </w:p>
    <w:p w14:paraId="66E34954" w14:textId="52B6178D" w:rsidR="074BE149" w:rsidRPr="004A43B4" w:rsidRDefault="074BE149" w:rsidP="00666E06">
      <w:r w:rsidRPr="004A43B4">
        <w:rPr>
          <w:b/>
          <w:bCs/>
        </w:rPr>
        <w:t>Kaupapa Māori</w:t>
      </w:r>
      <w:r w:rsidR="7162B933" w:rsidRPr="004A43B4">
        <w:t>.</w:t>
      </w:r>
      <w:r w:rsidRPr="004A43B4">
        <w:t xml:space="preserve"> Meaningful engagement with Māori is vital to improving health equity for Māori and ensuring that Treaty obligations are addressed. </w:t>
      </w:r>
    </w:p>
    <w:p w14:paraId="61FF04DC" w14:textId="51D08071" w:rsidR="074BE149" w:rsidRPr="004A43B4" w:rsidRDefault="074BE149" w:rsidP="00666E06">
      <w:r w:rsidRPr="004A43B4">
        <w:rPr>
          <w:b/>
          <w:bCs/>
        </w:rPr>
        <w:t>Environmental sustainability</w:t>
      </w:r>
      <w:r w:rsidR="51E44702" w:rsidRPr="004A43B4">
        <w:t xml:space="preserve">. </w:t>
      </w:r>
      <w:r w:rsidRPr="004A43B4">
        <w:t xml:space="preserve">Sustainable healthcare infrastructure promotes better health outcomes, lowers emissions, reduces operating costs, promotes efficient use of resources, and assists with meeting responsibilities under the Carbon Neutral Government Programme (CNGP). </w:t>
      </w:r>
    </w:p>
    <w:p w14:paraId="03C73308" w14:textId="02245B92" w:rsidR="074BE149" w:rsidRPr="004A43B4" w:rsidRDefault="074BE149" w:rsidP="00666E06">
      <w:r w:rsidRPr="004A43B4">
        <w:rPr>
          <w:b/>
          <w:bCs/>
        </w:rPr>
        <w:t>Universal design</w:t>
      </w:r>
      <w:r w:rsidR="2792C05C" w:rsidRPr="004A43B4">
        <w:rPr>
          <w:b/>
          <w:bCs/>
        </w:rPr>
        <w:t>.</w:t>
      </w:r>
      <w:r w:rsidR="2792C05C" w:rsidRPr="004A43B4">
        <w:t xml:space="preserve"> </w:t>
      </w:r>
      <w:r w:rsidRPr="004A43B4">
        <w:t xml:space="preserve">Effective Universal Design practices ensure that all people can access, use, and understand the environment to the greatest extent possible without the need for adaptations or specialised solutions. </w:t>
      </w:r>
    </w:p>
    <w:p w14:paraId="7E1DBB5E" w14:textId="04E912BA" w:rsidR="074BE149" w:rsidRPr="004A43B4" w:rsidRDefault="074BE149" w:rsidP="00666E06">
      <w:r w:rsidRPr="004A43B4">
        <w:rPr>
          <w:b/>
          <w:bCs/>
        </w:rPr>
        <w:t>Co-design</w:t>
      </w:r>
      <w:r w:rsidR="54A84C36" w:rsidRPr="004A43B4">
        <w:rPr>
          <w:b/>
          <w:bCs/>
        </w:rPr>
        <w:t>.</w:t>
      </w:r>
      <w:r w:rsidR="54A84C36" w:rsidRPr="004A43B4">
        <w:t xml:space="preserve"> </w:t>
      </w:r>
      <w:r w:rsidRPr="004A43B4">
        <w:t xml:space="preserve">Effective co-design practices ensure that specific stakeholder needs are appropriately reflected in the design outcome and that effective facility operation and service delivery are supported. </w:t>
      </w:r>
    </w:p>
    <w:p w14:paraId="4637C4AC" w14:textId="6CEA8D35" w:rsidR="074BE149" w:rsidRPr="004A43B4" w:rsidRDefault="074BE149" w:rsidP="00666E06">
      <w:r w:rsidRPr="004A43B4">
        <w:rPr>
          <w:b/>
          <w:bCs/>
        </w:rPr>
        <w:t>Futureproofing</w:t>
      </w:r>
      <w:r w:rsidR="2A888FC4" w:rsidRPr="004A43B4">
        <w:rPr>
          <w:b/>
          <w:bCs/>
        </w:rPr>
        <w:t>.</w:t>
      </w:r>
      <w:r w:rsidR="2A888FC4" w:rsidRPr="004A43B4">
        <w:t xml:space="preserve"> </w:t>
      </w:r>
      <w:r w:rsidRPr="004A43B4">
        <w:t xml:space="preserve">Successful futureproofing ensures durability over time while providing initial flexibility of designed spaces, and adaptability. </w:t>
      </w:r>
    </w:p>
    <w:p w14:paraId="6D93FF5F" w14:textId="65E6ADC1" w:rsidR="074BE149" w:rsidRPr="004A43B4" w:rsidRDefault="074BE149" w:rsidP="00666E06">
      <w:r w:rsidRPr="004A43B4">
        <w:rPr>
          <w:b/>
          <w:bCs/>
        </w:rPr>
        <w:t>Site master</w:t>
      </w:r>
      <w:r w:rsidR="008D3A1D">
        <w:rPr>
          <w:b/>
          <w:bCs/>
        </w:rPr>
        <w:t>-</w:t>
      </w:r>
      <w:r w:rsidRPr="004A43B4">
        <w:rPr>
          <w:b/>
          <w:bCs/>
        </w:rPr>
        <w:t>planning</w:t>
      </w:r>
      <w:r w:rsidR="4A56DC8D" w:rsidRPr="004A43B4">
        <w:rPr>
          <w:b/>
          <w:bCs/>
        </w:rPr>
        <w:t>.</w:t>
      </w:r>
      <w:r w:rsidR="4A56DC8D" w:rsidRPr="004A43B4">
        <w:t xml:space="preserve"> </w:t>
      </w:r>
      <w:r w:rsidRPr="004A43B4">
        <w:t xml:space="preserve">Effective site master planning ensures that current and future health infrastructure supports current and future clinical service and asset management requirements and broader community objectives. Facility design should be aligned and integrated with a site masterplan. </w:t>
      </w:r>
    </w:p>
    <w:p w14:paraId="2005D9BD" w14:textId="3DE23698" w:rsidR="074BE149" w:rsidRPr="004A43B4" w:rsidRDefault="074BE149" w:rsidP="00666E06">
      <w:r w:rsidRPr="004A43B4">
        <w:rPr>
          <w:b/>
          <w:bCs/>
        </w:rPr>
        <w:t>Resilience and post-disaster planning</w:t>
      </w:r>
      <w:r w:rsidR="464AF660" w:rsidRPr="004A43B4">
        <w:rPr>
          <w:b/>
          <w:bCs/>
        </w:rPr>
        <w:t>.</w:t>
      </w:r>
      <w:r w:rsidR="464AF660" w:rsidRPr="004A43B4">
        <w:t xml:space="preserve"> </w:t>
      </w:r>
      <w:r w:rsidRPr="004A43B4">
        <w:t>Effective disaster and emergency response planning ensures that healthcare facilities are designed to remain operational during and after natural disasters and pandemics.</w:t>
      </w:r>
    </w:p>
    <w:p w14:paraId="334773A6" w14:textId="569C43B7" w:rsidR="09707C5E" w:rsidRPr="004A43B4" w:rsidRDefault="09707C5E" w:rsidP="00666E06">
      <w:r w:rsidRPr="004A43B4">
        <w:rPr>
          <w:b/>
          <w:bCs/>
        </w:rPr>
        <w:t>Safe and secure environments</w:t>
      </w:r>
      <w:r w:rsidR="6685C8B7" w:rsidRPr="004A43B4">
        <w:t xml:space="preserve">. </w:t>
      </w:r>
      <w:r w:rsidRPr="004A43B4">
        <w:t xml:space="preserve">Effective design of safe and secure environments supports the safety of all building occupants (including building maintenance access). </w:t>
      </w:r>
    </w:p>
    <w:p w14:paraId="52978B49" w14:textId="1CDEB116" w:rsidR="09707C5E" w:rsidRPr="004A43B4" w:rsidRDefault="09707C5E" w:rsidP="00666E06">
      <w:r w:rsidRPr="004A43B4">
        <w:rPr>
          <w:b/>
          <w:bCs/>
        </w:rPr>
        <w:t>Dignity, autonomy, and choice</w:t>
      </w:r>
      <w:r w:rsidR="5BA71975" w:rsidRPr="004A43B4">
        <w:t xml:space="preserve">. </w:t>
      </w:r>
      <w:r w:rsidRPr="004A43B4">
        <w:t xml:space="preserve">Effective facility design provides a person with more choices for satisfying personal preferences and requirements. </w:t>
      </w:r>
    </w:p>
    <w:p w14:paraId="2E657891" w14:textId="19A8467E" w:rsidR="09707C5E" w:rsidRPr="004A43B4" w:rsidRDefault="09707C5E" w:rsidP="00666E06">
      <w:r w:rsidRPr="004A43B4">
        <w:rPr>
          <w:b/>
          <w:bCs/>
        </w:rPr>
        <w:t>Therapeutic environment</w:t>
      </w:r>
      <w:r w:rsidR="4E9819FD" w:rsidRPr="004A43B4">
        <w:rPr>
          <w:b/>
          <w:bCs/>
        </w:rPr>
        <w:t>.</w:t>
      </w:r>
      <w:r w:rsidRPr="004A43B4">
        <w:t xml:space="preserve"> Effective facility design can contribute to good health outcomes.</w:t>
      </w:r>
    </w:p>
    <w:p w14:paraId="555DF6FA" w14:textId="41B972DC" w:rsidR="53E15A71" w:rsidRPr="004A43B4" w:rsidRDefault="53E15A71" w:rsidP="00666E06">
      <w:r w:rsidRPr="004A43B4">
        <w:t>For</w:t>
      </w:r>
      <w:r w:rsidR="6364BCD6" w:rsidRPr="004A43B4">
        <w:t xml:space="preserve"> building structural considerations, </w:t>
      </w:r>
      <w:r w:rsidR="007D5C79">
        <w:t>Health NZ</w:t>
      </w:r>
      <w:r w:rsidR="00B4257B">
        <w:t xml:space="preserve"> </w:t>
      </w:r>
      <w:r w:rsidR="6364BCD6" w:rsidRPr="004A43B4">
        <w:t xml:space="preserve">design teams should consider the following </w:t>
      </w:r>
      <w:r w:rsidR="00724771" w:rsidRPr="004A43B4">
        <w:t xml:space="preserve">additional </w:t>
      </w:r>
      <w:r w:rsidR="6364BCD6" w:rsidRPr="004A43B4">
        <w:t>principles</w:t>
      </w:r>
      <w:r w:rsidR="0023600F" w:rsidRPr="004A43B4">
        <w:t xml:space="preserve"> for infrastructure and facility design as a healthcare enabler</w:t>
      </w:r>
      <w:r w:rsidR="6364BCD6" w:rsidRPr="004A43B4">
        <w:t>.</w:t>
      </w:r>
    </w:p>
    <w:p w14:paraId="62C887E8" w14:textId="7FC54FDB" w:rsidR="490C6692" w:rsidRPr="004A43B4" w:rsidRDefault="490C6692" w:rsidP="00666E06">
      <w:r w:rsidRPr="004A43B4">
        <w:rPr>
          <w:b/>
          <w:bCs/>
        </w:rPr>
        <w:t>Standardisation</w:t>
      </w:r>
      <w:r w:rsidRPr="004A43B4">
        <w:t>.</w:t>
      </w:r>
      <w:r w:rsidR="488B5A97" w:rsidRPr="004A43B4">
        <w:t xml:space="preserve"> Efficiencies can be gained in standardised approaches to design</w:t>
      </w:r>
      <w:r w:rsidR="00BA5940" w:rsidRPr="004A43B4">
        <w:t xml:space="preserve"> and construction</w:t>
      </w:r>
      <w:r w:rsidR="002605B5" w:rsidRPr="004A43B4">
        <w:t xml:space="preserve"> delivery</w:t>
      </w:r>
      <w:r w:rsidR="488B5A97" w:rsidRPr="004A43B4">
        <w:t>.</w:t>
      </w:r>
    </w:p>
    <w:p w14:paraId="783F772B" w14:textId="2CAACCD2" w:rsidR="490C6692" w:rsidRPr="004A43B4" w:rsidRDefault="490C6692" w:rsidP="00666E06">
      <w:r w:rsidRPr="004A43B4">
        <w:rPr>
          <w:b/>
          <w:bCs/>
        </w:rPr>
        <w:lastRenderedPageBreak/>
        <w:t>Future spatial flexibility</w:t>
      </w:r>
      <w:r w:rsidR="00362C7E" w:rsidRPr="004A43B4">
        <w:rPr>
          <w:b/>
          <w:bCs/>
        </w:rPr>
        <w:t xml:space="preserve"> (long life—loose fit)</w:t>
      </w:r>
      <w:r w:rsidRPr="004A43B4">
        <w:t xml:space="preserve">. Spaces should be efficient, but not overly bespoke. </w:t>
      </w:r>
      <w:r w:rsidR="00724771" w:rsidRPr="004A43B4">
        <w:t>Generally,</w:t>
      </w:r>
      <w:r w:rsidRPr="004A43B4">
        <w:t xml:space="preserve"> this encourages structural forms which are regular and ideally not overly constraining on large areas of floor plate.</w:t>
      </w:r>
    </w:p>
    <w:p w14:paraId="1C106EA4" w14:textId="77777777" w:rsidR="00D5767B" w:rsidRDefault="490C6692" w:rsidP="00666E06">
      <w:r w:rsidRPr="004A43B4">
        <w:rPr>
          <w:b/>
          <w:bCs/>
        </w:rPr>
        <w:t>Design for now, strengthen if use changes</w:t>
      </w:r>
      <w:r w:rsidRPr="004A43B4">
        <w:t xml:space="preserve">. </w:t>
      </w:r>
      <w:r w:rsidR="00CB14B1" w:rsidRPr="004A43B4">
        <w:t xml:space="preserve">This “lean design” principle </w:t>
      </w:r>
      <w:r w:rsidR="00FF260E" w:rsidRPr="004A43B4">
        <w:t xml:space="preserve">is relevant to the design of hospital facilities which are </w:t>
      </w:r>
      <w:r w:rsidR="00C5289F" w:rsidRPr="004A43B4">
        <w:t xml:space="preserve">both cost </w:t>
      </w:r>
      <w:r w:rsidR="001D1EA3" w:rsidRPr="004A43B4">
        <w:t>effective and environmentally sustainable</w:t>
      </w:r>
      <w:r w:rsidR="00C5289F" w:rsidRPr="004A43B4">
        <w:t xml:space="preserve">. </w:t>
      </w:r>
      <w:r w:rsidRPr="004A43B4">
        <w:t xml:space="preserve">Designers are encouraged to avoid making </w:t>
      </w:r>
      <w:r w:rsidR="00580CA1" w:rsidRPr="004A43B4">
        <w:t xml:space="preserve">potentially </w:t>
      </w:r>
      <w:r w:rsidRPr="004A43B4">
        <w:t xml:space="preserve">unnecessary allowances </w:t>
      </w:r>
      <w:r w:rsidR="24F4F5B4" w:rsidRPr="004A43B4">
        <w:t>f</w:t>
      </w:r>
      <w:r w:rsidRPr="004A43B4">
        <w:t>or all future possibilities</w:t>
      </w:r>
      <w:r w:rsidR="00F063AF" w:rsidRPr="004A43B4">
        <w:t xml:space="preserve"> in a manner that adds cost </w:t>
      </w:r>
      <w:r w:rsidR="003C13B7" w:rsidRPr="004A43B4">
        <w:t xml:space="preserve">or constraint without </w:t>
      </w:r>
      <w:r w:rsidR="00CB14B1" w:rsidRPr="004A43B4">
        <w:t xml:space="preserve">sufficient </w:t>
      </w:r>
      <w:r w:rsidR="003C13B7" w:rsidRPr="004A43B4">
        <w:t xml:space="preserve">certainty that the value will </w:t>
      </w:r>
      <w:r w:rsidR="00CB14B1" w:rsidRPr="004A43B4">
        <w:t xml:space="preserve">ever </w:t>
      </w:r>
      <w:r w:rsidR="003465C9" w:rsidRPr="004A43B4">
        <w:t>be realised</w:t>
      </w:r>
      <w:r w:rsidRPr="004A43B4">
        <w:t>. Practical solutions t</w:t>
      </w:r>
      <w:r w:rsidR="61E1451C" w:rsidRPr="004A43B4">
        <w:t>hat support</w:t>
      </w:r>
      <w:r w:rsidRPr="004A43B4">
        <w:t xml:space="preserve"> adaptability are encouraged</w:t>
      </w:r>
      <w:r w:rsidR="3A158844" w:rsidRPr="004A43B4">
        <w:t>.</w:t>
      </w:r>
      <w:r w:rsidR="00B66C6E" w:rsidRPr="004A43B4">
        <w:t xml:space="preserve"> This is an important principle </w:t>
      </w:r>
      <w:r w:rsidR="00DD1A66" w:rsidRPr="004A43B4">
        <w:t xml:space="preserve">to apply </w:t>
      </w:r>
      <w:r w:rsidR="0009792E" w:rsidRPr="004A43B4">
        <w:t xml:space="preserve">alongside (and sometimes </w:t>
      </w:r>
      <w:r w:rsidR="00DD1A66" w:rsidRPr="004A43B4">
        <w:t>in challenge</w:t>
      </w:r>
      <w:r w:rsidR="00FD47DF" w:rsidRPr="004A43B4">
        <w:t xml:space="preserve"> to</w:t>
      </w:r>
      <w:r w:rsidR="0009792E" w:rsidRPr="004A43B4">
        <w:t>)</w:t>
      </w:r>
      <w:r w:rsidR="00FD47DF" w:rsidRPr="004A43B4">
        <w:t xml:space="preserve"> “futureproof</w:t>
      </w:r>
      <w:r w:rsidR="007A51E3" w:rsidRPr="004A43B4">
        <w:t>ing</w:t>
      </w:r>
      <w:r w:rsidR="00FD47DF" w:rsidRPr="004A43B4">
        <w:t>”</w:t>
      </w:r>
      <w:r w:rsidR="007A51E3" w:rsidRPr="004A43B4">
        <w:t xml:space="preserve"> design</w:t>
      </w:r>
      <w:r w:rsidR="0023600F" w:rsidRPr="004A43B4">
        <w:t xml:space="preserve"> principles.</w:t>
      </w:r>
      <w:bookmarkStart w:id="17" w:name="_Toc147899106"/>
    </w:p>
    <w:p w14:paraId="24BD0612" w14:textId="09315694" w:rsidR="009C350C" w:rsidRPr="004A43B4" w:rsidRDefault="009C350C" w:rsidP="001947BB">
      <w:pPr>
        <w:pStyle w:val="NumbHeading2"/>
      </w:pPr>
      <w:bookmarkStart w:id="18" w:name="_Ref169154495"/>
      <w:bookmarkStart w:id="19" w:name="_Ref169154519"/>
      <w:bookmarkStart w:id="20" w:name="_Toc203641931"/>
      <w:r w:rsidRPr="004A43B4">
        <w:t xml:space="preserve">Key </w:t>
      </w:r>
      <w:r w:rsidR="00C15DED" w:rsidRPr="004A43B4">
        <w:t>i</w:t>
      </w:r>
      <w:r w:rsidRPr="004A43B4">
        <w:t xml:space="preserve">nterfacing </w:t>
      </w:r>
      <w:r w:rsidR="00C31759" w:rsidRPr="004A43B4">
        <w:t xml:space="preserve">guidelines, standards and </w:t>
      </w:r>
      <w:r w:rsidR="005A3DFB" w:rsidRPr="004A43B4">
        <w:t>organisations</w:t>
      </w:r>
      <w:bookmarkEnd w:id="17"/>
      <w:bookmarkEnd w:id="18"/>
      <w:bookmarkEnd w:id="19"/>
      <w:bookmarkEnd w:id="20"/>
    </w:p>
    <w:p w14:paraId="2B1186E0" w14:textId="3D3141E6" w:rsidR="006932C6" w:rsidRPr="00305C52" w:rsidRDefault="00F40E39" w:rsidP="00666E06">
      <w:r w:rsidRPr="00305C52">
        <w:t xml:space="preserve">Reference </w:t>
      </w:r>
      <w:r w:rsidR="008D3A1D">
        <w:t xml:space="preserve">to </w:t>
      </w:r>
      <w:r w:rsidRPr="00305C52">
        <w:t xml:space="preserve">and commentary on the </w:t>
      </w:r>
      <w:r w:rsidR="006932C6" w:rsidRPr="00305C52">
        <w:t xml:space="preserve">following interfacing </w:t>
      </w:r>
      <w:r w:rsidRPr="00305C52">
        <w:t>guidelines</w:t>
      </w:r>
      <w:r w:rsidR="00E236E6" w:rsidRPr="00305C52">
        <w:t xml:space="preserve"> and</w:t>
      </w:r>
      <w:r w:rsidRPr="00305C52">
        <w:t xml:space="preserve"> </w:t>
      </w:r>
      <w:r w:rsidR="006932C6" w:rsidRPr="00305C52">
        <w:t xml:space="preserve">standards </w:t>
      </w:r>
      <w:r w:rsidR="00720CCE" w:rsidRPr="00305C52">
        <w:t xml:space="preserve">from </w:t>
      </w:r>
      <w:r w:rsidR="007D5C79">
        <w:t xml:space="preserve">Health NZ </w:t>
      </w:r>
      <w:r w:rsidR="006932C6" w:rsidRPr="00305C52">
        <w:t>and</w:t>
      </w:r>
      <w:r w:rsidR="00720CCE" w:rsidRPr="00305C52">
        <w:t xml:space="preserve"> other</w:t>
      </w:r>
      <w:r w:rsidR="006932C6" w:rsidRPr="00305C52">
        <w:t xml:space="preserve"> organisations </w:t>
      </w:r>
      <w:r w:rsidR="0068758F" w:rsidRPr="00305C52">
        <w:t>are provided in this section.</w:t>
      </w:r>
    </w:p>
    <w:p w14:paraId="0F71F7B1" w14:textId="314E7F41" w:rsidR="006932C6" w:rsidRPr="00305C52" w:rsidRDefault="006932C6" w:rsidP="00C301F2">
      <w:pPr>
        <w:pStyle w:val="ListBullet"/>
      </w:pPr>
      <w:r w:rsidRPr="00305C52">
        <w:t>The Ministry of Health</w:t>
      </w:r>
      <w:r w:rsidR="00DD0B54">
        <w:t xml:space="preserve"> |</w:t>
      </w:r>
      <w:r w:rsidRPr="00305C52">
        <w:t xml:space="preserve"> </w:t>
      </w:r>
      <w:r w:rsidR="00DD0B54" w:rsidRPr="00305C52">
        <w:t xml:space="preserve">Manatū Hauora </w:t>
      </w:r>
      <w:r w:rsidRPr="00305C52">
        <w:t>Service Framework</w:t>
      </w:r>
    </w:p>
    <w:p w14:paraId="27FF7F66" w14:textId="5DA2DD86" w:rsidR="00604439" w:rsidRPr="00305C52" w:rsidRDefault="00604439" w:rsidP="00C301F2">
      <w:pPr>
        <w:pStyle w:val="ListBullet"/>
      </w:pPr>
      <w:r w:rsidRPr="00305C52">
        <w:t>Australasian Health Facility Guidelines (AusHFG)</w:t>
      </w:r>
    </w:p>
    <w:p w14:paraId="3044DC31" w14:textId="40EBDF98" w:rsidR="00604439" w:rsidRPr="00305C52" w:rsidRDefault="007D5C79" w:rsidP="00C301F2">
      <w:pPr>
        <w:pStyle w:val="ListBullet"/>
      </w:pPr>
      <w:r>
        <w:t xml:space="preserve">Health </w:t>
      </w:r>
      <w:r w:rsidR="00380958">
        <w:t xml:space="preserve">NZ </w:t>
      </w:r>
      <w:r w:rsidR="00604439" w:rsidRPr="00305C52">
        <w:t xml:space="preserve">New Zealand Health Facility Design Guidance Notes (and other guidance commissioned by </w:t>
      </w:r>
      <w:r w:rsidR="00493D02">
        <w:t>Health NZ</w:t>
      </w:r>
      <w:r w:rsidR="00720CCE" w:rsidRPr="00305C52">
        <w:t>)</w:t>
      </w:r>
      <w:r w:rsidR="00604439" w:rsidRPr="00305C52">
        <w:t>.</w:t>
      </w:r>
    </w:p>
    <w:p w14:paraId="1F7F408C" w14:textId="3D816C5A" w:rsidR="00604439" w:rsidRPr="00305C52" w:rsidRDefault="00604439" w:rsidP="00C301F2">
      <w:pPr>
        <w:pStyle w:val="ListBullet"/>
      </w:pPr>
      <w:r w:rsidRPr="00305C52">
        <w:t>New Zealand Building Code Documents</w:t>
      </w:r>
    </w:p>
    <w:p w14:paraId="45B40A24" w14:textId="4C71E5C9" w:rsidR="00604439" w:rsidRPr="00305C52" w:rsidRDefault="00941FCA" w:rsidP="00C301F2">
      <w:pPr>
        <w:pStyle w:val="ListBullet"/>
      </w:pPr>
      <w:r w:rsidRPr="00305C52">
        <w:t>MBIE/NZGS Earthquake Geotechnical Engineering Practice Modules</w:t>
      </w:r>
    </w:p>
    <w:p w14:paraId="2790EE8B" w14:textId="4D3368A5" w:rsidR="00F40E39" w:rsidRPr="00305C52" w:rsidRDefault="00F40E39" w:rsidP="00C301F2">
      <w:pPr>
        <w:pStyle w:val="ListBullet"/>
      </w:pPr>
      <w:r w:rsidRPr="00305C52">
        <w:t>Low Damage Seismic Design Guidelines</w:t>
      </w:r>
      <w:r w:rsidR="001D1CF7">
        <w:t xml:space="preserve"> (under</w:t>
      </w:r>
      <w:r w:rsidR="00C9022C">
        <w:t xml:space="preserve"> </w:t>
      </w:r>
      <w:r w:rsidR="001D1CF7">
        <w:t>development)</w:t>
      </w:r>
    </w:p>
    <w:p w14:paraId="13202711" w14:textId="1BCEABB7" w:rsidR="00F40E39" w:rsidRPr="00305C52" w:rsidRDefault="00F40E39" w:rsidP="00C301F2">
      <w:pPr>
        <w:pStyle w:val="ListBullet"/>
      </w:pPr>
      <w:r w:rsidRPr="00305C52">
        <w:t>Code of Practice for the Seismic Performance of Non-Structural Elements (BIP NSE CoP)</w:t>
      </w:r>
      <w:r w:rsidR="008B5899" w:rsidRPr="00305C52">
        <w:t>.</w:t>
      </w:r>
    </w:p>
    <w:p w14:paraId="6E37F3C6" w14:textId="6D7189D8" w:rsidR="008B5899" w:rsidRPr="00305C52" w:rsidRDefault="008B5899" w:rsidP="00C301F2">
      <w:pPr>
        <w:pStyle w:val="ListBullet"/>
      </w:pPr>
      <w:r w:rsidRPr="00305C52">
        <w:t>Other Relevant Guidance.</w:t>
      </w:r>
    </w:p>
    <w:p w14:paraId="1908AA79" w14:textId="2B74B642" w:rsidR="009C350C" w:rsidRPr="00CA561F" w:rsidRDefault="00356D64" w:rsidP="00CA561F">
      <w:pPr>
        <w:pStyle w:val="BodyHeading"/>
      </w:pPr>
      <w:bookmarkStart w:id="21" w:name="_Toc147899108"/>
      <w:bookmarkStart w:id="22" w:name="OLE_LINK1"/>
      <w:r w:rsidRPr="00CA561F">
        <w:t xml:space="preserve">The </w:t>
      </w:r>
      <w:r w:rsidR="005B6F47" w:rsidRPr="00CA561F">
        <w:t>Ministry of Health</w:t>
      </w:r>
      <w:r w:rsidR="00DD0B54" w:rsidRPr="00CA561F">
        <w:t xml:space="preserve"> | Manatū Hauora </w:t>
      </w:r>
      <w:r w:rsidR="005B6F47" w:rsidRPr="00CA561F">
        <w:t>Service</w:t>
      </w:r>
      <w:r w:rsidR="009C350C" w:rsidRPr="00CA561F">
        <w:t xml:space="preserve"> Framework</w:t>
      </w:r>
      <w:bookmarkEnd w:id="21"/>
    </w:p>
    <w:bookmarkEnd w:id="22"/>
    <w:p w14:paraId="6E810340" w14:textId="0BC3ADFD" w:rsidR="002474B2" w:rsidRPr="00305C52" w:rsidRDefault="00DD0B54" w:rsidP="00666E06">
      <w:r w:rsidRPr="00DD0B54">
        <w:t xml:space="preserve">The </w:t>
      </w:r>
      <w:r w:rsidR="005B6F47" w:rsidRPr="00305C52">
        <w:rPr>
          <w:i/>
          <w:iCs/>
        </w:rPr>
        <w:t>Ministry of Health</w:t>
      </w:r>
      <w:r>
        <w:rPr>
          <w:i/>
          <w:iCs/>
        </w:rPr>
        <w:t xml:space="preserve"> | </w:t>
      </w:r>
      <w:r w:rsidRPr="00305C52">
        <w:rPr>
          <w:i/>
          <w:iCs/>
        </w:rPr>
        <w:t>Manat</w:t>
      </w:r>
      <w:r w:rsidRPr="00305C52">
        <w:rPr>
          <w:rFonts w:cstheme="minorHAnsi"/>
          <w:i/>
          <w:iCs/>
        </w:rPr>
        <w:t>ū</w:t>
      </w:r>
      <w:r w:rsidRPr="00305C52">
        <w:rPr>
          <w:i/>
          <w:iCs/>
        </w:rPr>
        <w:t xml:space="preserve"> Hauora </w:t>
      </w:r>
      <w:r w:rsidR="005B6F47" w:rsidRPr="00305C52">
        <w:t xml:space="preserve">is </w:t>
      </w:r>
      <w:r w:rsidR="00F119E9" w:rsidRPr="00305C52">
        <w:t xml:space="preserve">the government’s principal advisor on health and disability policy. It is </w:t>
      </w:r>
      <w:r w:rsidR="005B6F47" w:rsidRPr="00305C52">
        <w:t>responsible for funding, monitoring and ensuring the sector is compliant with accountability expectations.</w:t>
      </w:r>
      <w:r w:rsidR="00FA1289" w:rsidRPr="00305C52">
        <w:t xml:space="preserve"> </w:t>
      </w:r>
      <w:r w:rsidR="007D5C79">
        <w:rPr>
          <w:i/>
          <w:iCs/>
        </w:rPr>
        <w:t>Health N</w:t>
      </w:r>
      <w:r w:rsidR="002D4251">
        <w:rPr>
          <w:i/>
          <w:iCs/>
        </w:rPr>
        <w:t>ew Zealand</w:t>
      </w:r>
      <w:r w:rsidR="007D5C79">
        <w:rPr>
          <w:i/>
          <w:iCs/>
        </w:rPr>
        <w:t xml:space="preserve"> </w:t>
      </w:r>
      <w:r w:rsidR="00FA1289" w:rsidRPr="00305C52">
        <w:rPr>
          <w:i/>
          <w:iCs/>
        </w:rPr>
        <w:t>|</w:t>
      </w:r>
      <w:r w:rsidR="00CE3D09">
        <w:rPr>
          <w:i/>
          <w:iCs/>
        </w:rPr>
        <w:t>Te Whatu Ora</w:t>
      </w:r>
      <w:r w:rsidR="00FA1289" w:rsidRPr="00305C52">
        <w:t xml:space="preserve"> </w:t>
      </w:r>
      <w:r w:rsidR="003241A7" w:rsidRPr="00305C52">
        <w:t>replace</w:t>
      </w:r>
      <w:r w:rsidR="00E62BD5" w:rsidRPr="00305C52">
        <w:t>d</w:t>
      </w:r>
      <w:r w:rsidR="003241A7" w:rsidRPr="00305C52">
        <w:t xml:space="preserve"> the role of District Health Boards</w:t>
      </w:r>
      <w:r w:rsidR="00E62BD5" w:rsidRPr="00305C52">
        <w:t xml:space="preserve"> from July 2022</w:t>
      </w:r>
      <w:r w:rsidR="003241A7" w:rsidRPr="00305C52">
        <w:t xml:space="preserve">, and </w:t>
      </w:r>
      <w:r w:rsidR="00E62BD5" w:rsidRPr="00305C52">
        <w:t>is responsible for planning and commissioning hospital, primary and community health services.</w:t>
      </w:r>
    </w:p>
    <w:p w14:paraId="5BDA472E" w14:textId="35E7FB88" w:rsidR="00B26709" w:rsidRPr="00305C52" w:rsidRDefault="00356D64" w:rsidP="00666E06">
      <w:r w:rsidRPr="00305C52">
        <w:t xml:space="preserve">The </w:t>
      </w:r>
      <w:r w:rsidR="002474B2" w:rsidRPr="00305C52">
        <w:t>Ministry</w:t>
      </w:r>
      <w:r w:rsidR="00D05E32" w:rsidRPr="00305C52">
        <w:t>’</w:t>
      </w:r>
      <w:r w:rsidRPr="00305C52">
        <w:t>s</w:t>
      </w:r>
      <w:r w:rsidR="00AD37E0" w:rsidRPr="00305C52">
        <w:t xml:space="preserve"> </w:t>
      </w:r>
      <w:r w:rsidR="00AD37E0" w:rsidRPr="00305C52">
        <w:rPr>
          <w:i/>
          <w:iCs/>
        </w:rPr>
        <w:t>Nationwide Service Framework Library</w:t>
      </w:r>
      <w:r w:rsidR="00AD37E0" w:rsidRPr="00305C52">
        <w:t xml:space="preserve"> (NSFL) contain</w:t>
      </w:r>
      <w:r w:rsidR="002474B2" w:rsidRPr="00305C52">
        <w:t>s</w:t>
      </w:r>
      <w:r w:rsidR="00AD37E0" w:rsidRPr="00305C52">
        <w:t xml:space="preserve"> </w:t>
      </w:r>
      <w:r w:rsidR="002474B2" w:rsidRPr="00305C52">
        <w:t>documents</w:t>
      </w:r>
      <w:r w:rsidR="00AD37E0" w:rsidRPr="00305C52">
        <w:t xml:space="preserve"> on</w:t>
      </w:r>
      <w:r w:rsidR="003859EE" w:rsidRPr="00305C52">
        <w:t xml:space="preserve"> funding agreements and accountabilities set </w:t>
      </w:r>
      <w:r w:rsidR="002474B2" w:rsidRPr="00305C52">
        <w:t>between</w:t>
      </w:r>
      <w:r w:rsidR="003859EE" w:rsidRPr="00305C52">
        <w:t xml:space="preserve"> </w:t>
      </w:r>
      <w:r w:rsidR="003859EE" w:rsidRPr="00305C52">
        <w:rPr>
          <w:i/>
          <w:iCs/>
        </w:rPr>
        <w:t>Manat</w:t>
      </w:r>
      <w:r w:rsidR="003859EE" w:rsidRPr="00305C52">
        <w:rPr>
          <w:rFonts w:cstheme="minorHAnsi"/>
          <w:i/>
          <w:iCs/>
        </w:rPr>
        <w:t>ū</w:t>
      </w:r>
      <w:r w:rsidR="003859EE" w:rsidRPr="00305C52">
        <w:rPr>
          <w:i/>
          <w:iCs/>
        </w:rPr>
        <w:t xml:space="preserve"> Hauora</w:t>
      </w:r>
      <w:r w:rsidR="002474B2" w:rsidRPr="00305C52">
        <w:rPr>
          <w:i/>
          <w:iCs/>
        </w:rPr>
        <w:t xml:space="preserve"> </w:t>
      </w:r>
      <w:r w:rsidR="002474B2" w:rsidRPr="00305C52">
        <w:t>and</w:t>
      </w:r>
      <w:r w:rsidR="002474B2" w:rsidRPr="00305C52">
        <w:rPr>
          <w:i/>
          <w:iCs/>
        </w:rPr>
        <w:t xml:space="preserve"> </w:t>
      </w:r>
      <w:r w:rsidR="002D4251">
        <w:rPr>
          <w:i/>
          <w:iCs/>
        </w:rPr>
        <w:t>Health NZ</w:t>
      </w:r>
      <w:r w:rsidR="002474B2" w:rsidRPr="00305C52">
        <w:rPr>
          <w:i/>
          <w:iCs/>
        </w:rPr>
        <w:t>.</w:t>
      </w:r>
    </w:p>
    <w:p w14:paraId="65E9839E" w14:textId="01F7D68F" w:rsidR="009C350C" w:rsidRPr="00163DA7" w:rsidRDefault="009C350C" w:rsidP="00D56CAE">
      <w:pPr>
        <w:pStyle w:val="BodyHeading"/>
      </w:pPr>
      <w:bookmarkStart w:id="23" w:name="_Toc147899109"/>
      <w:r w:rsidRPr="00163DA7">
        <w:t>Australasian Health Facility Guidelines (</w:t>
      </w:r>
      <w:r w:rsidR="3CD98C28" w:rsidRPr="00163DA7">
        <w:t>A</w:t>
      </w:r>
      <w:r w:rsidR="44B9F781" w:rsidRPr="00163DA7">
        <w:t>us</w:t>
      </w:r>
      <w:r w:rsidR="3CD98C28" w:rsidRPr="00163DA7">
        <w:t>HFG</w:t>
      </w:r>
      <w:r w:rsidRPr="00163DA7">
        <w:t>)</w:t>
      </w:r>
      <w:bookmarkEnd w:id="23"/>
    </w:p>
    <w:p w14:paraId="05FF8C4E" w14:textId="5BCB19BC" w:rsidR="0021725C" w:rsidRPr="00305C52" w:rsidRDefault="007C7997" w:rsidP="00666E06">
      <w:r w:rsidRPr="00305C52">
        <w:t xml:space="preserve">The fundamental purpose of </w:t>
      </w:r>
      <w:r w:rsidR="007D5C79">
        <w:t xml:space="preserve">Health NZ </w:t>
      </w:r>
      <w:r w:rsidRPr="00305C52">
        <w:t xml:space="preserve">facilities is the </w:t>
      </w:r>
      <w:r w:rsidR="006739B6" w:rsidRPr="00305C52">
        <w:t>delivery</w:t>
      </w:r>
      <w:r w:rsidRPr="00305C52">
        <w:t xml:space="preserve"> of </w:t>
      </w:r>
      <w:r w:rsidR="00FA5567">
        <w:t xml:space="preserve">hospital or </w:t>
      </w:r>
      <w:r w:rsidR="00E7629C">
        <w:t>acute</w:t>
      </w:r>
      <w:r w:rsidR="00254B1A" w:rsidRPr="00305C52">
        <w:t xml:space="preserve"> </w:t>
      </w:r>
      <w:r w:rsidR="00FA5567">
        <w:t xml:space="preserve">health </w:t>
      </w:r>
      <w:r w:rsidR="00254B1A" w:rsidRPr="00305C52">
        <w:t>and community healthcare services</w:t>
      </w:r>
      <w:r w:rsidR="00E43DFF" w:rsidRPr="00305C52">
        <w:t>.</w:t>
      </w:r>
      <w:r w:rsidRPr="00305C52">
        <w:t xml:space="preserve"> </w:t>
      </w:r>
      <w:r w:rsidR="00E43DFF" w:rsidRPr="00305C52">
        <w:t>T</w:t>
      </w:r>
      <w:r w:rsidR="00794E4D" w:rsidRPr="00305C52">
        <w:t>h</w:t>
      </w:r>
      <w:r w:rsidR="00496758" w:rsidRPr="00305C52">
        <w:t xml:space="preserve">e provision of safe environments </w:t>
      </w:r>
      <w:r w:rsidR="00E43DFF" w:rsidRPr="00305C52">
        <w:t xml:space="preserve">from which </w:t>
      </w:r>
      <w:r w:rsidR="00634074" w:rsidRPr="00305C52">
        <w:t>to deliver these services and maximise health outcomes is paramount.</w:t>
      </w:r>
    </w:p>
    <w:p w14:paraId="2B53977D" w14:textId="1C9BFBF8" w:rsidR="00634074" w:rsidRPr="00305C52" w:rsidRDefault="00634074" w:rsidP="00666E06">
      <w:r w:rsidRPr="00305C52">
        <w:t>In this regard, the Australasian Health Facility Guidelines</w:t>
      </w:r>
      <w:r w:rsidR="004A1478" w:rsidRPr="00305C52">
        <w:t xml:space="preserve"> (</w:t>
      </w:r>
      <w:r w:rsidR="6FB5D47D" w:rsidRPr="00305C52">
        <w:t>A</w:t>
      </w:r>
      <w:r w:rsidR="016F3572" w:rsidRPr="00305C52">
        <w:t>us</w:t>
      </w:r>
      <w:r w:rsidR="6FB5D47D" w:rsidRPr="00305C52">
        <w:t>HFG</w:t>
      </w:r>
      <w:r w:rsidR="004A1478" w:rsidRPr="00305C52">
        <w:t>)</w:t>
      </w:r>
      <w:r w:rsidRPr="00305C52">
        <w:t xml:space="preserve"> </w:t>
      </w:r>
      <w:r w:rsidR="003A7955" w:rsidRPr="00305C52">
        <w:t>are</w:t>
      </w:r>
      <w:r w:rsidR="00974E74" w:rsidRPr="00305C52">
        <w:t xml:space="preserve"> a key </w:t>
      </w:r>
      <w:r w:rsidR="003A7955" w:rsidRPr="00305C52">
        <w:t xml:space="preserve">anchoring </w:t>
      </w:r>
      <w:r w:rsidR="00974E74" w:rsidRPr="00305C52">
        <w:t xml:space="preserve">reference point, </w:t>
      </w:r>
      <w:r w:rsidR="00B929EF" w:rsidRPr="00305C52">
        <w:t>to</w:t>
      </w:r>
      <w:r w:rsidR="00683798" w:rsidRPr="00305C52">
        <w:t xml:space="preserve"> which these technical </w:t>
      </w:r>
      <w:r w:rsidR="002D25E9" w:rsidRPr="00305C52">
        <w:t>guidelines are complimentary.</w:t>
      </w:r>
      <w:r w:rsidR="00A04F40" w:rsidRPr="00305C52">
        <w:t xml:space="preserve"> All designers </w:t>
      </w:r>
      <w:r w:rsidR="001A7988" w:rsidRPr="00305C52">
        <w:lastRenderedPageBreak/>
        <w:t>including engineering disciplines are encouraged</w:t>
      </w:r>
      <w:r w:rsidR="00CF7F89" w:rsidRPr="00305C52">
        <w:t xml:space="preserve"> </w:t>
      </w:r>
      <w:r w:rsidR="00FC6559" w:rsidRPr="00305C52">
        <w:t xml:space="preserve">to </w:t>
      </w:r>
      <w:r w:rsidR="00CF7F89" w:rsidRPr="00305C52">
        <w:t>develop</w:t>
      </w:r>
      <w:r w:rsidR="001A7988" w:rsidRPr="00305C52">
        <w:t xml:space="preserve"> familiarity with </w:t>
      </w:r>
      <w:r w:rsidR="00E66E50" w:rsidRPr="00305C52">
        <w:t xml:space="preserve">these guidelines, which </w:t>
      </w:r>
      <w:r w:rsidR="00EC65BF" w:rsidRPr="00305C52">
        <w:t>can be accessed via</w:t>
      </w:r>
      <w:r w:rsidR="00E66E50" w:rsidRPr="00305C52">
        <w:t xml:space="preserve"> </w:t>
      </w:r>
      <w:hyperlink r:id="rId24">
        <w:r w:rsidR="0D42C971" w:rsidRPr="00305C52">
          <w:rPr>
            <w:rStyle w:val="Hyperlink"/>
            <w:color w:val="0070C0"/>
          </w:rPr>
          <w:t>https://healthfacilityguidelines.com.au/</w:t>
        </w:r>
      </w:hyperlink>
      <w:r w:rsidR="00E66E50" w:rsidRPr="00305C52">
        <w:t>.</w:t>
      </w:r>
    </w:p>
    <w:p w14:paraId="74DBB1D0" w14:textId="185DF0EA" w:rsidR="0009097B" w:rsidRPr="00305C52" w:rsidRDefault="007D5C79" w:rsidP="00D56CAE">
      <w:pPr>
        <w:pStyle w:val="BodyHeading"/>
      </w:pPr>
      <w:r>
        <w:t xml:space="preserve">Health NZ </w:t>
      </w:r>
      <w:r w:rsidR="00CF0ECA" w:rsidRPr="00305C52">
        <w:t>New Zealand Health Facility Design Guidance Note</w:t>
      </w:r>
      <w:r w:rsidR="00C31759" w:rsidRPr="00305C52">
        <w:t>s</w:t>
      </w:r>
    </w:p>
    <w:p w14:paraId="2567B229" w14:textId="6B5F8B61" w:rsidR="004B704F" w:rsidRPr="00305C52" w:rsidRDefault="004B704F" w:rsidP="00666E06">
      <w:r w:rsidRPr="00305C52">
        <w:t xml:space="preserve">This document is one of a suite of Design Guidance Notes (DGN) being developed by </w:t>
      </w:r>
      <w:r w:rsidR="007D5C79">
        <w:t xml:space="preserve">Health NZ </w:t>
      </w:r>
      <w:r w:rsidRPr="00305C52">
        <w:t xml:space="preserve">to clarify specific requirements supplementary to </w:t>
      </w:r>
      <w:r w:rsidRPr="00305C52">
        <w:rPr>
          <w:i/>
          <w:iCs/>
        </w:rPr>
        <w:t>AusHFG</w:t>
      </w:r>
      <w:r w:rsidRPr="00305C52">
        <w:t xml:space="preserve"> for all health facility development projects in Aotearoa New Zealand. </w:t>
      </w:r>
      <w:r w:rsidR="007D5C79">
        <w:t xml:space="preserve">Health NZ </w:t>
      </w:r>
      <w:r w:rsidRPr="00305C52">
        <w:t xml:space="preserve">has described the overarching principles of design for Health Facilities in the New Zealand Health Facility </w:t>
      </w:r>
      <w:hyperlink r:id="rId25">
        <w:r w:rsidRPr="00305C52">
          <w:rPr>
            <w:rStyle w:val="Hyperlink"/>
            <w:color w:val="0070C0"/>
          </w:rPr>
          <w:t>Design Guidance Note</w:t>
        </w:r>
      </w:hyperlink>
      <w:sdt>
        <w:sdtPr>
          <w:id w:val="743764991"/>
          <w:citation/>
        </w:sdtPr>
        <w:sdtEndPr/>
        <w:sdtContent>
          <w:r w:rsidRPr="00305C52">
            <w:fldChar w:fldCharType="begin"/>
          </w:r>
          <w:r w:rsidRPr="00305C52">
            <w:rPr>
              <w:lang w:val="en-US"/>
            </w:rPr>
            <w:instrText xml:space="preserve">CITATION TeW \l 1033 </w:instrText>
          </w:r>
          <w:r w:rsidRPr="00305C52">
            <w:fldChar w:fldCharType="separate"/>
          </w:r>
          <w:r w:rsidR="00222D65">
            <w:rPr>
              <w:noProof/>
              <w:lang w:val="en-US"/>
            </w:rPr>
            <w:t xml:space="preserve"> (Te Whatu Ora, 2022)</w:t>
          </w:r>
          <w:r w:rsidRPr="00305C52">
            <w:fldChar w:fldCharType="end"/>
          </w:r>
        </w:sdtContent>
      </w:sdt>
      <w:r w:rsidRPr="00305C52">
        <w:t>.</w:t>
      </w:r>
    </w:p>
    <w:p w14:paraId="26194141" w14:textId="3BF4DACF" w:rsidR="00481FF8" w:rsidRPr="00163DA7" w:rsidRDefault="00481FF8" w:rsidP="00D56CAE">
      <w:pPr>
        <w:pStyle w:val="BodyHeading"/>
      </w:pPr>
      <w:r w:rsidRPr="00163DA7">
        <w:t xml:space="preserve">Other guidance commissioned by </w:t>
      </w:r>
      <w:r w:rsidR="00954422">
        <w:t>Health NZ</w:t>
      </w:r>
    </w:p>
    <w:p w14:paraId="31E92EC2" w14:textId="10F20D23" w:rsidR="00481FF8" w:rsidRPr="00163DA7" w:rsidRDefault="00481FF8" w:rsidP="00666E06">
      <w:r w:rsidRPr="00163DA7">
        <w:t xml:space="preserve">The following guidelines and reports have been prepared by or for </w:t>
      </w:r>
      <w:r w:rsidR="007E5D01">
        <w:t>Health NZ</w:t>
      </w:r>
      <w:r w:rsidRPr="00163DA7">
        <w:t>, and are relevant to this document:</w:t>
      </w:r>
    </w:p>
    <w:p w14:paraId="59B3A1A4" w14:textId="2023DEFB" w:rsidR="00481FF8" w:rsidRPr="003927CF" w:rsidRDefault="007D5C79" w:rsidP="003927CF">
      <w:pPr>
        <w:pStyle w:val="ListBullet"/>
      </w:pPr>
      <w:r w:rsidRPr="003927CF">
        <w:t xml:space="preserve">Health NZ </w:t>
      </w:r>
      <w:r w:rsidR="00481FF8" w:rsidRPr="003927CF">
        <w:t>Masterplanning Guidance for Public Hospital Facilities</w:t>
      </w:r>
    </w:p>
    <w:p w14:paraId="5B4CF043" w14:textId="6779C3E3" w:rsidR="00481FF8" w:rsidRPr="003927CF" w:rsidRDefault="007D5C79" w:rsidP="003927CF">
      <w:pPr>
        <w:pStyle w:val="ListBullet"/>
      </w:pPr>
      <w:r w:rsidRPr="003927CF">
        <w:t xml:space="preserve">Health NZ </w:t>
      </w:r>
      <w:r w:rsidR="00481FF8" w:rsidRPr="003927CF">
        <w:t xml:space="preserve">Fire Engineering Design for New Zealand Public Hospitals, </w:t>
      </w:r>
      <w:r w:rsidR="00EF7C02" w:rsidRPr="003927CF">
        <w:t>Version 1,</w:t>
      </w:r>
      <w:r w:rsidR="00481FF8" w:rsidRPr="003927CF">
        <w:t xml:space="preserve"> </w:t>
      </w:r>
      <w:r w:rsidR="00EF7C02" w:rsidRPr="003927CF">
        <w:t>July</w:t>
      </w:r>
      <w:r w:rsidR="00481FF8" w:rsidRPr="003927CF">
        <w:t xml:space="preserve"> 202</w:t>
      </w:r>
      <w:r w:rsidR="00EF7C02" w:rsidRPr="003927CF">
        <w:t>4</w:t>
      </w:r>
      <w:r w:rsidR="00481FF8" w:rsidRPr="003927CF">
        <w:t xml:space="preserve"> </w:t>
      </w:r>
      <w:sdt>
        <w:sdtPr>
          <w:id w:val="420495354"/>
        </w:sdtPr>
        <w:sdtEndPr/>
        <w:sdtContent>
          <w:r w:rsidR="00481FF8" w:rsidRPr="003927CF">
            <w:fldChar w:fldCharType="begin"/>
          </w:r>
          <w:r w:rsidR="00EF7C02" w:rsidRPr="003927CF">
            <w:instrText xml:space="preserve">CITATION TeW23 \l 1033 </w:instrText>
          </w:r>
          <w:r w:rsidR="00481FF8" w:rsidRPr="003927CF">
            <w:fldChar w:fldCharType="separate"/>
          </w:r>
          <w:r w:rsidR="00222D65" w:rsidRPr="00222D65">
            <w:rPr>
              <w:noProof/>
            </w:rPr>
            <w:t>(Te Whatu Ora, 2024)</w:t>
          </w:r>
          <w:r w:rsidR="00481FF8" w:rsidRPr="003927CF">
            <w:fldChar w:fldCharType="end"/>
          </w:r>
          <w:r w:rsidR="00481FF8" w:rsidRPr="003927CF">
            <w:t xml:space="preserve"> </w:t>
          </w:r>
        </w:sdtContent>
      </w:sdt>
    </w:p>
    <w:p w14:paraId="31AA1275" w14:textId="3030CB6A" w:rsidR="00481FF8" w:rsidRPr="003927CF" w:rsidRDefault="007D5C79" w:rsidP="003927CF">
      <w:pPr>
        <w:pStyle w:val="ListBullet"/>
      </w:pPr>
      <w:r w:rsidRPr="003927CF">
        <w:t xml:space="preserve">Health NZ </w:t>
      </w:r>
      <w:r w:rsidR="00481FF8" w:rsidRPr="003927CF">
        <w:t xml:space="preserve">Building Services Design Guidelines for Public Hospitals (in development) </w:t>
      </w:r>
    </w:p>
    <w:p w14:paraId="6492DD5B" w14:textId="33E2B0D5" w:rsidR="00481FF8" w:rsidRPr="003927CF" w:rsidRDefault="00481FF8" w:rsidP="003927CF">
      <w:pPr>
        <w:pStyle w:val="ListBullet"/>
      </w:pPr>
      <w:r w:rsidRPr="003927CF">
        <w:t>The Kestrel Report: Understanding and Improving the Seismic Resilience of Hospital Buildings</w:t>
      </w:r>
      <w:sdt>
        <w:sdtPr>
          <w:id w:val="361167230"/>
          <w:citation/>
        </w:sdtPr>
        <w:sdtEndPr/>
        <w:sdtContent>
          <w:r w:rsidRPr="003927CF">
            <w:fldChar w:fldCharType="begin"/>
          </w:r>
          <w:r w:rsidRPr="003927CF">
            <w:instrText xml:space="preserve"> CITATION Kes22 \l 1033 </w:instrText>
          </w:r>
          <w:r w:rsidRPr="003927CF">
            <w:fldChar w:fldCharType="separate"/>
          </w:r>
          <w:r w:rsidR="00222D65">
            <w:rPr>
              <w:noProof/>
            </w:rPr>
            <w:t xml:space="preserve"> </w:t>
          </w:r>
          <w:r w:rsidR="00222D65" w:rsidRPr="00222D65">
            <w:rPr>
              <w:noProof/>
            </w:rPr>
            <w:t>(Kestrel Group, 2022)</w:t>
          </w:r>
          <w:r w:rsidRPr="003927CF">
            <w:fldChar w:fldCharType="end"/>
          </w:r>
        </w:sdtContent>
      </w:sdt>
    </w:p>
    <w:p w14:paraId="7142D781" w14:textId="77777777" w:rsidR="00481FF8" w:rsidRPr="003927CF" w:rsidRDefault="00481FF8" w:rsidP="003927CF">
      <w:pPr>
        <w:pStyle w:val="ListBullet"/>
      </w:pPr>
      <w:r w:rsidRPr="003927CF">
        <w:t>Public Health Sector Carbon Neutral Government Programme Update, March 2023</w:t>
      </w:r>
    </w:p>
    <w:p w14:paraId="7A82136A" w14:textId="0B0EBD03" w:rsidR="009C350C" w:rsidRPr="00163DA7" w:rsidRDefault="009C350C" w:rsidP="00D56CAE">
      <w:pPr>
        <w:pStyle w:val="BodyHeading"/>
      </w:pPr>
      <w:bookmarkStart w:id="24" w:name="_Toc147899107"/>
      <w:r w:rsidRPr="00163DA7">
        <w:t>New Zealand Building Code Documents</w:t>
      </w:r>
      <w:bookmarkEnd w:id="24"/>
    </w:p>
    <w:p w14:paraId="56C35818" w14:textId="2D582352" w:rsidR="00954F48" w:rsidRPr="00163DA7" w:rsidRDefault="00D14E11" w:rsidP="00666E06">
      <w:r w:rsidRPr="00163DA7">
        <w:t xml:space="preserve">All </w:t>
      </w:r>
      <w:r w:rsidR="007D5C79">
        <w:t xml:space="preserve">Health NZ </w:t>
      </w:r>
      <w:r w:rsidRPr="00163DA7">
        <w:t>projects are required to comply with the New Zealand Building Code</w:t>
      </w:r>
      <w:r w:rsidR="005E2BB7" w:rsidRPr="00163DA7">
        <w:t>.</w:t>
      </w:r>
      <w:r w:rsidR="00296271" w:rsidRPr="00163DA7">
        <w:t xml:space="preserve"> This guideline sets out </w:t>
      </w:r>
      <w:r w:rsidR="00897BA3" w:rsidRPr="00163DA7">
        <w:t>additional requirements and clarifications</w:t>
      </w:r>
      <w:r w:rsidR="001147AD" w:rsidRPr="00163DA7">
        <w:t xml:space="preserve"> that apply in addition to the requirements of the Building Code</w:t>
      </w:r>
      <w:r w:rsidR="00897BA3" w:rsidRPr="00163DA7">
        <w:t>.</w:t>
      </w:r>
    </w:p>
    <w:p w14:paraId="1AD64BCA" w14:textId="1E4A5665" w:rsidR="00D14E11" w:rsidRPr="00163DA7" w:rsidRDefault="005E62D8" w:rsidP="00666E06">
      <w:r w:rsidRPr="00163DA7">
        <w:t xml:space="preserve">For structural and geotechnical aspects, the content of this guide assumes that the following compliance documents will </w:t>
      </w:r>
      <w:r w:rsidR="00796192" w:rsidRPr="00163DA7">
        <w:t xml:space="preserve">form the </w:t>
      </w:r>
      <w:r w:rsidR="00296271" w:rsidRPr="00163DA7">
        <w:t xml:space="preserve">general </w:t>
      </w:r>
      <w:r w:rsidR="00796192" w:rsidRPr="00163DA7">
        <w:t>basis for design</w:t>
      </w:r>
      <w:r w:rsidR="007817A9" w:rsidRPr="00163DA7">
        <w:t>, in most instances</w:t>
      </w:r>
      <w:r w:rsidRPr="00163DA7">
        <w:t>.</w:t>
      </w:r>
    </w:p>
    <w:p w14:paraId="71684AC4" w14:textId="529ACCC4" w:rsidR="00500726" w:rsidRPr="00163DA7" w:rsidRDefault="008A5140" w:rsidP="003927CF">
      <w:pPr>
        <w:pStyle w:val="ListBullet"/>
      </w:pPr>
      <w:r w:rsidRPr="00163DA7">
        <w:t xml:space="preserve">Verification Method </w:t>
      </w:r>
      <w:r w:rsidR="00500726" w:rsidRPr="00163DA7">
        <w:t>B1/VM1</w:t>
      </w:r>
      <w:r w:rsidR="005E0D83" w:rsidRPr="00163DA7">
        <w:t xml:space="preserve"> (Structure)</w:t>
      </w:r>
    </w:p>
    <w:p w14:paraId="3DABC6E1" w14:textId="094DB386" w:rsidR="008A5140" w:rsidRPr="00163DA7" w:rsidRDefault="008A5140" w:rsidP="003927CF">
      <w:pPr>
        <w:pStyle w:val="ListBullet"/>
      </w:pPr>
      <w:r w:rsidRPr="00163DA7">
        <w:t>Acceptable Solution B2/AS1</w:t>
      </w:r>
      <w:r w:rsidR="005E0D83" w:rsidRPr="00163DA7">
        <w:t xml:space="preserve"> (Durability)</w:t>
      </w:r>
    </w:p>
    <w:p w14:paraId="4104EEAA" w14:textId="466EC35F" w:rsidR="00500726" w:rsidRPr="00163DA7" w:rsidRDefault="00796192" w:rsidP="003927CF">
      <w:pPr>
        <w:pStyle w:val="ListBullet"/>
      </w:pPr>
      <w:r w:rsidRPr="00163DA7">
        <w:t xml:space="preserve">Earthquake </w:t>
      </w:r>
      <w:r w:rsidR="00500726" w:rsidRPr="00163DA7">
        <w:t xml:space="preserve">Geotechnical </w:t>
      </w:r>
      <w:r w:rsidRPr="00163DA7">
        <w:t xml:space="preserve">Engineering Practice </w:t>
      </w:r>
      <w:r w:rsidR="00500726" w:rsidRPr="00163DA7">
        <w:t>Modules</w:t>
      </w:r>
      <w:r w:rsidRPr="00163DA7">
        <w:t xml:space="preserve"> </w:t>
      </w:r>
      <w:r w:rsidR="00EA477D" w:rsidRPr="00163DA7">
        <w:t>i</w:t>
      </w:r>
      <w:r w:rsidR="007F6527" w:rsidRPr="00163DA7">
        <w:t xml:space="preserve">ssued as </w:t>
      </w:r>
      <w:r w:rsidRPr="00163DA7">
        <w:t>Section 175 Guidance</w:t>
      </w:r>
      <w:r w:rsidR="00727FB4" w:rsidRPr="00163DA7">
        <w:t xml:space="preserve"> under the Building Act</w:t>
      </w:r>
    </w:p>
    <w:p w14:paraId="0184B918" w14:textId="2442BA03" w:rsidR="00296271" w:rsidRPr="00163DA7" w:rsidRDefault="00D7360A" w:rsidP="00666E06">
      <w:r w:rsidRPr="00163DA7">
        <w:t>This guideline does not preclude the use of other methods for complying with the Building Code</w:t>
      </w:r>
      <w:r w:rsidR="00F224EC" w:rsidRPr="00163DA7">
        <w:t xml:space="preserve">, provided that </w:t>
      </w:r>
      <w:r w:rsidR="00A23DD8" w:rsidRPr="00163DA7">
        <w:t>the requirements of the guidelines and their intent are met</w:t>
      </w:r>
      <w:r w:rsidRPr="00163DA7">
        <w:t xml:space="preserve">. </w:t>
      </w:r>
      <w:r w:rsidR="007817A9" w:rsidRPr="00163DA7">
        <w:t xml:space="preserve">Alternative </w:t>
      </w:r>
      <w:r w:rsidR="00746C67" w:rsidRPr="00163DA7">
        <w:t>S</w:t>
      </w:r>
      <w:r w:rsidR="007817A9" w:rsidRPr="00163DA7">
        <w:t>olutions</w:t>
      </w:r>
      <w:r w:rsidR="006C7048" w:rsidRPr="00163DA7">
        <w:t xml:space="preserve"> </w:t>
      </w:r>
      <w:r w:rsidR="00C738A6" w:rsidRPr="00163DA7">
        <w:t>can</w:t>
      </w:r>
      <w:r w:rsidR="006C7048" w:rsidRPr="00163DA7">
        <w:t xml:space="preserve"> be used</w:t>
      </w:r>
      <w:r w:rsidR="1FDC5F88" w:rsidRPr="00163DA7">
        <w:t>, for example</w:t>
      </w:r>
      <w:r w:rsidR="3C443953" w:rsidRPr="00163DA7">
        <w:t xml:space="preserve"> published Standards which</w:t>
      </w:r>
      <w:r w:rsidR="00A23DD8" w:rsidRPr="00163DA7">
        <w:t xml:space="preserve"> </w:t>
      </w:r>
      <w:r w:rsidR="00AB54FD" w:rsidRPr="00163DA7">
        <w:t xml:space="preserve">are </w:t>
      </w:r>
      <w:r w:rsidR="3C443953" w:rsidRPr="00163DA7">
        <w:t>not yet cited, or</w:t>
      </w:r>
      <w:r w:rsidR="00AB54FD" w:rsidRPr="00163DA7">
        <w:t xml:space="preserve"> where </w:t>
      </w:r>
      <w:r w:rsidR="001E43DF" w:rsidRPr="00163DA7">
        <w:t>seismic technologies such as base isolation, supplemental damping or other anti-seismic devices are employed</w:t>
      </w:r>
      <w:r w:rsidR="00746C67" w:rsidRPr="00163DA7">
        <w:t>.</w:t>
      </w:r>
      <w:r w:rsidR="00C738A6" w:rsidRPr="00163DA7">
        <w:t xml:space="preserve"> Refer to Section</w:t>
      </w:r>
      <w:r w:rsidR="00CD55EF" w:rsidRPr="00163DA7">
        <w:t xml:space="preserve"> </w:t>
      </w:r>
      <w:r w:rsidR="00DB5424" w:rsidRPr="00163DA7">
        <w:fldChar w:fldCharType="begin"/>
      </w:r>
      <w:r w:rsidR="00DB5424" w:rsidRPr="00163DA7">
        <w:instrText xml:space="preserve"> REF _Ref157520184 \r \h </w:instrText>
      </w:r>
      <w:r w:rsidR="00163DA7">
        <w:instrText xml:space="preserve"> \* MERGEFORMAT </w:instrText>
      </w:r>
      <w:r w:rsidR="00DB5424" w:rsidRPr="00163DA7">
        <w:fldChar w:fldCharType="separate"/>
      </w:r>
      <w:r w:rsidR="000761C1">
        <w:t>A2.4</w:t>
      </w:r>
      <w:r w:rsidR="00DB5424" w:rsidRPr="00163DA7">
        <w:fldChar w:fldCharType="end"/>
      </w:r>
      <w:r w:rsidR="00D1087D" w:rsidRPr="00163DA7">
        <w:t xml:space="preserve"> </w:t>
      </w:r>
      <w:r w:rsidR="00C738A6" w:rsidRPr="00163DA7">
        <w:t xml:space="preserve">for additional information and requirements regarding the </w:t>
      </w:r>
      <w:r w:rsidR="00D1087D" w:rsidRPr="00163DA7">
        <w:t>definition of compliance pathway.</w:t>
      </w:r>
    </w:p>
    <w:p w14:paraId="2EC270BA" w14:textId="44BB5479" w:rsidR="005E2BB7" w:rsidRPr="00163DA7" w:rsidRDefault="008C767B" w:rsidP="00666E06">
      <w:r w:rsidRPr="00163DA7">
        <w:t>R</w:t>
      </w:r>
      <w:r w:rsidR="005E2BB7" w:rsidRPr="00163DA7">
        <w:t>efer</w:t>
      </w:r>
      <w:r w:rsidR="00F1776A" w:rsidRPr="00163DA7">
        <w:t xml:space="preserve"> also</w:t>
      </w:r>
      <w:r w:rsidR="005E2BB7" w:rsidRPr="00163DA7">
        <w:t xml:space="preserve"> to section </w:t>
      </w:r>
      <w:r w:rsidR="000C1992" w:rsidRPr="00163DA7">
        <w:fldChar w:fldCharType="begin"/>
      </w:r>
      <w:r w:rsidR="000C1992" w:rsidRPr="00163DA7">
        <w:instrText xml:space="preserve"> REF _Ref149544426 \r \h </w:instrText>
      </w:r>
      <w:r w:rsidR="00163DA7">
        <w:instrText xml:space="preserve"> \* MERGEFORMAT </w:instrText>
      </w:r>
      <w:r w:rsidR="000C1992" w:rsidRPr="00163DA7">
        <w:fldChar w:fldCharType="separate"/>
      </w:r>
      <w:r w:rsidR="000761C1">
        <w:t>C1.3</w:t>
      </w:r>
      <w:r w:rsidR="000C1992" w:rsidRPr="00163DA7">
        <w:fldChar w:fldCharType="end"/>
      </w:r>
      <w:r w:rsidR="000C1992" w:rsidRPr="00163DA7">
        <w:t xml:space="preserve"> </w:t>
      </w:r>
      <w:r w:rsidR="000C1992" w:rsidRPr="00163DA7">
        <w:fldChar w:fldCharType="begin"/>
      </w:r>
      <w:r w:rsidR="000C1992" w:rsidRPr="00163DA7">
        <w:instrText xml:space="preserve"> REF _Ref149544429 \h </w:instrText>
      </w:r>
      <w:r w:rsidR="00163DA7">
        <w:instrText xml:space="preserve"> \* MERGEFORMAT </w:instrText>
      </w:r>
      <w:r w:rsidR="000C1992" w:rsidRPr="00163DA7">
        <w:fldChar w:fldCharType="separate"/>
      </w:r>
      <w:r w:rsidR="000761C1" w:rsidRPr="006E45AC">
        <w:t>Seismic Loading</w:t>
      </w:r>
      <w:r w:rsidR="000C1992" w:rsidRPr="00163DA7">
        <w:fldChar w:fldCharType="end"/>
      </w:r>
      <w:r w:rsidR="000C1992" w:rsidRPr="00163DA7">
        <w:t xml:space="preserve"> for specific </w:t>
      </w:r>
      <w:r w:rsidRPr="00163DA7">
        <w:t>requirements</w:t>
      </w:r>
      <w:r w:rsidR="000C1992" w:rsidRPr="00163DA7">
        <w:t xml:space="preserve"> </w:t>
      </w:r>
      <w:r w:rsidR="005E2BB7" w:rsidRPr="00163DA7">
        <w:t xml:space="preserve">regarding </w:t>
      </w:r>
      <w:r w:rsidRPr="00163DA7">
        <w:t xml:space="preserve">the revised earthquake </w:t>
      </w:r>
      <w:r w:rsidR="00013CDE">
        <w:t>actions</w:t>
      </w:r>
      <w:r w:rsidRPr="00163DA7">
        <w:t xml:space="preserve"> </w:t>
      </w:r>
      <w:r w:rsidR="00013CDE">
        <w:t>s</w:t>
      </w:r>
      <w:r w:rsidRPr="00163DA7">
        <w:t xml:space="preserve">tandard </w:t>
      </w:r>
      <w:r w:rsidR="00932DC5" w:rsidRPr="00163DA7">
        <w:t>TS</w:t>
      </w:r>
      <w:r w:rsidR="005E2BB7" w:rsidRPr="00163DA7">
        <w:t xml:space="preserve"> 1170.5</w:t>
      </w:r>
      <w:r w:rsidRPr="00163DA7">
        <w:t>.</w:t>
      </w:r>
    </w:p>
    <w:p w14:paraId="73756376" w14:textId="5A1A393B" w:rsidR="00280559" w:rsidRPr="00163DA7" w:rsidRDefault="00BD7593" w:rsidP="00D56CAE">
      <w:pPr>
        <w:pStyle w:val="BodyHeading"/>
      </w:pPr>
      <w:bookmarkStart w:id="25" w:name="_Ref150751934"/>
      <w:r w:rsidRPr="00163DA7">
        <w:t xml:space="preserve">MBIE/NZGS </w:t>
      </w:r>
      <w:r w:rsidR="00280AB9" w:rsidRPr="00163DA7">
        <w:t xml:space="preserve">Earthquake </w:t>
      </w:r>
      <w:r w:rsidRPr="00163DA7">
        <w:t xml:space="preserve">Geotechnical Engineering </w:t>
      </w:r>
      <w:r w:rsidR="00280AB9" w:rsidRPr="00163DA7">
        <w:t xml:space="preserve">Practice </w:t>
      </w:r>
      <w:r w:rsidRPr="00163DA7">
        <w:t>Modules</w:t>
      </w:r>
      <w:bookmarkEnd w:id="25"/>
    </w:p>
    <w:p w14:paraId="20C28E53" w14:textId="765B117A" w:rsidR="00982DA0" w:rsidRPr="00163DA7" w:rsidRDefault="00982DA0" w:rsidP="00666E06">
      <w:r w:rsidRPr="00163DA7">
        <w:t xml:space="preserve">The Ministry for Business Innovation and Employment (MBIE) in conjunction with the New Zealand Geotechnical Society (NZGS) has published a series of guidelines titled </w:t>
      </w:r>
      <w:r w:rsidRPr="00163DA7">
        <w:lastRenderedPageBreak/>
        <w:t xml:space="preserve">‘Earthquake Geotechnical Engineering Practice’. </w:t>
      </w:r>
      <w:r w:rsidR="007D5C79">
        <w:t xml:space="preserve">Health NZ </w:t>
      </w:r>
      <w:r w:rsidRPr="00163DA7">
        <w:t>requires that the MBIE guidelines are followed for state health facilities. These guidelines are listed below:</w:t>
      </w:r>
    </w:p>
    <w:p w14:paraId="62DABAC0" w14:textId="77777777" w:rsidR="00982DA0" w:rsidRPr="00163DA7" w:rsidRDefault="00982DA0" w:rsidP="003927CF">
      <w:pPr>
        <w:pStyle w:val="ListBullet"/>
      </w:pPr>
      <w:r w:rsidRPr="00163DA7">
        <w:t>Module 1 - Overview of the Guidelines.</w:t>
      </w:r>
    </w:p>
    <w:p w14:paraId="7C3B4538" w14:textId="77777777" w:rsidR="00982DA0" w:rsidRPr="00163DA7" w:rsidRDefault="00982DA0" w:rsidP="003927CF">
      <w:pPr>
        <w:pStyle w:val="ListBullet"/>
      </w:pPr>
      <w:r w:rsidRPr="00163DA7">
        <w:t>Module 2 - Geotechnical Investigations for Earthquake Engineering.</w:t>
      </w:r>
    </w:p>
    <w:p w14:paraId="08DB5DA6" w14:textId="77777777" w:rsidR="00982DA0" w:rsidRPr="00163DA7" w:rsidRDefault="00982DA0" w:rsidP="003927CF">
      <w:pPr>
        <w:pStyle w:val="ListBullet"/>
      </w:pPr>
      <w:r w:rsidRPr="00163DA7">
        <w:t xml:space="preserve">Module 3 - Identification, Assessment and Mitigation of Liquefaction Hazards. </w:t>
      </w:r>
    </w:p>
    <w:p w14:paraId="62A456C9" w14:textId="77777777" w:rsidR="00982DA0" w:rsidRPr="00163DA7" w:rsidRDefault="00982DA0" w:rsidP="003927CF">
      <w:pPr>
        <w:pStyle w:val="ListBullet"/>
      </w:pPr>
      <w:r w:rsidRPr="00163DA7">
        <w:t>Module 4 - Earthquake Resistant Foundation Design.</w:t>
      </w:r>
    </w:p>
    <w:p w14:paraId="55A240AC" w14:textId="77777777" w:rsidR="00982DA0" w:rsidRPr="00163DA7" w:rsidRDefault="00982DA0" w:rsidP="003927CF">
      <w:pPr>
        <w:pStyle w:val="ListBullet"/>
      </w:pPr>
      <w:r w:rsidRPr="00163DA7">
        <w:t>Module 5 - Ground Improvement of Soils Prone to Liquefaction.</w:t>
      </w:r>
    </w:p>
    <w:p w14:paraId="2925B279" w14:textId="57203F75" w:rsidR="0051148D" w:rsidRPr="00163DA7" w:rsidRDefault="00982DA0" w:rsidP="003927CF">
      <w:pPr>
        <w:pStyle w:val="ListBullet"/>
      </w:pPr>
      <w:r w:rsidRPr="00163DA7">
        <w:t>Module 6 - Earthquake Resistant Retaining Wall Design.</w:t>
      </w:r>
    </w:p>
    <w:p w14:paraId="1C75CFA3" w14:textId="76AD809F" w:rsidR="00D775D9" w:rsidRPr="00163DA7" w:rsidRDefault="007D5C79" w:rsidP="00D54D61">
      <w:pPr>
        <w:pStyle w:val="Requirement"/>
      </w:pPr>
      <w:r w:rsidRPr="00B219C9">
        <w:rPr>
          <w:b/>
          <w:bCs/>
          <w:color w:val="0C818F" w:themeColor="accent3"/>
        </w:rPr>
        <w:t xml:space="preserve">Health NZ </w:t>
      </w:r>
      <w:r w:rsidR="00630905" w:rsidRPr="00B219C9">
        <w:rPr>
          <w:b/>
          <w:bCs/>
          <w:color w:val="0C818F" w:themeColor="accent3"/>
        </w:rPr>
        <w:t>Requirement:</w:t>
      </w:r>
      <w:r w:rsidR="00630905" w:rsidRPr="00B219C9">
        <w:rPr>
          <w:color w:val="0C818F" w:themeColor="accent3"/>
        </w:rPr>
        <w:t xml:space="preserve"> </w:t>
      </w:r>
      <w:r w:rsidR="00630905" w:rsidRPr="00163DA7">
        <w:t xml:space="preserve">The </w:t>
      </w:r>
      <w:r w:rsidR="040F74A0" w:rsidRPr="00163DA7">
        <w:t xml:space="preserve">most recent versions of the </w:t>
      </w:r>
      <w:r w:rsidR="00630905" w:rsidRPr="00163DA7">
        <w:t xml:space="preserve">Earthquake Geotechnical Engineering Practice </w:t>
      </w:r>
      <w:r w:rsidR="00280AB9" w:rsidRPr="00163DA7">
        <w:t>Modules</w:t>
      </w:r>
      <w:r w:rsidR="00630905" w:rsidRPr="00163DA7">
        <w:t xml:space="preserve"> shall be followed for </w:t>
      </w:r>
      <w:r>
        <w:t xml:space="preserve">Health NZ </w:t>
      </w:r>
      <w:r w:rsidR="00630905" w:rsidRPr="00163DA7">
        <w:t>projects.</w:t>
      </w:r>
    </w:p>
    <w:p w14:paraId="31FC7631" w14:textId="0A4A71EB" w:rsidR="00C933AC" w:rsidRPr="00163DA7" w:rsidRDefault="00C933AC" w:rsidP="002D23A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163DA7">
        <w:t xml:space="preserve">An update to Modules 1 and 2 is being progressed to align with the </w:t>
      </w:r>
      <w:r w:rsidR="00FF50CB" w:rsidRPr="00163DA7">
        <w:t>publication</w:t>
      </w:r>
      <w:r w:rsidRPr="00163DA7">
        <w:t xml:space="preserve"> of </w:t>
      </w:r>
      <w:r w:rsidR="00932DC5" w:rsidRPr="00163DA7">
        <w:t>TS</w:t>
      </w:r>
      <w:r w:rsidRPr="00163DA7">
        <w:t xml:space="preserve"> 1170.5</w:t>
      </w:r>
      <w:r w:rsidR="00FF50CB" w:rsidRPr="00163DA7">
        <w:t xml:space="preserve">. </w:t>
      </w:r>
      <w:r w:rsidR="006B3E64" w:rsidRPr="00163DA7">
        <w:t>Specific r</w:t>
      </w:r>
      <w:r w:rsidR="00C93FC0" w:rsidRPr="00163DA7">
        <w:t>eference to these anticipated versions is made by (</w:t>
      </w:r>
      <w:r w:rsidR="006B3E64" w:rsidRPr="00163DA7">
        <w:rPr>
          <w:rFonts w:eastAsiaTheme="minorEastAsia"/>
        </w:rPr>
        <w:t>TS 1170.5 aligned version, once released</w:t>
      </w:r>
      <w:r w:rsidR="00C93FC0" w:rsidRPr="00163DA7">
        <w:t>).</w:t>
      </w:r>
    </w:p>
    <w:p w14:paraId="78D2D2AE" w14:textId="77777777" w:rsidR="00B94D2F" w:rsidRPr="00053F58" w:rsidRDefault="00B94D2F" w:rsidP="00D56CAE">
      <w:pPr>
        <w:pStyle w:val="BodyHeading"/>
      </w:pPr>
      <w:bookmarkStart w:id="26" w:name="_Toc147899110"/>
      <w:bookmarkStart w:id="27" w:name="_Ref151382882"/>
      <w:r w:rsidRPr="00053F58">
        <w:t>Development of Guidelines for Low Damage Seismic Design</w:t>
      </w:r>
      <w:bookmarkEnd w:id="26"/>
      <w:bookmarkEnd w:id="27"/>
    </w:p>
    <w:p w14:paraId="10F271A8" w14:textId="18A2AE83" w:rsidR="00B94D2F" w:rsidRPr="00053F58" w:rsidRDefault="38721AD2" w:rsidP="00666E06">
      <w:r w:rsidRPr="00053F58">
        <w:t xml:space="preserve">Currently, there is a Low Damage Seismic Design (LDSD) project being run by </w:t>
      </w:r>
      <w:r w:rsidR="00C42053">
        <w:t xml:space="preserve">the </w:t>
      </w:r>
      <w:r w:rsidR="005A2384">
        <w:t>St</w:t>
      </w:r>
      <w:r w:rsidR="00F36207">
        <w:t>r</w:t>
      </w:r>
      <w:r w:rsidR="005A2384">
        <w:t>uctural Engineering Society of NZ, the Natural Hazards Commission Toka Tu Ake</w:t>
      </w:r>
      <w:r w:rsidR="00F36207">
        <w:t xml:space="preserve"> </w:t>
      </w:r>
      <w:r w:rsidRPr="00053F58">
        <w:t>and MBIE. The LDSD project aims to provide designers with a framework to design buildings with more reliable resilience than the NZBC code minimum requirements provides. The framework will deliver a common understanding and communication for seismic performance of everyday buildings. This is achieved through design principles and criteria that can be followed to achieve the desired level of the LDSD performance framework.</w:t>
      </w:r>
      <w:r w:rsidR="00F73457">
        <w:t xml:space="preserve"> </w:t>
      </w:r>
      <w:r w:rsidR="00736934">
        <w:t xml:space="preserve">The </w:t>
      </w:r>
      <w:r w:rsidR="00032D1E">
        <w:t>first introductory volume</w:t>
      </w:r>
      <w:r w:rsidR="00F73457">
        <w:t xml:space="preserve"> of the guide</w:t>
      </w:r>
      <w:r w:rsidR="00032D1E">
        <w:t xml:space="preserve">, </w:t>
      </w:r>
      <w:hyperlink r:id="rId26" w:history="1">
        <w:r w:rsidR="00032D1E" w:rsidRPr="005E14E0">
          <w:rPr>
            <w:rStyle w:val="Hyperlink"/>
            <w:color w:val="0070C0"/>
          </w:rPr>
          <w:t xml:space="preserve">Low Damage Seismic Design: </w:t>
        </w:r>
        <w:r w:rsidR="00F73457" w:rsidRPr="005E14E0">
          <w:rPr>
            <w:rStyle w:val="Hyperlink"/>
            <w:color w:val="0070C0"/>
          </w:rPr>
          <w:t>Benefits, Options and Getting Started</w:t>
        </w:r>
      </w:hyperlink>
      <w:r w:rsidR="00736934">
        <w:t xml:space="preserve"> was published in December 2024. </w:t>
      </w:r>
      <w:r w:rsidR="00240498">
        <w:t>Volumes 2 and 3 (compris</w:t>
      </w:r>
      <w:r w:rsidR="00D40647">
        <w:t>ing</w:t>
      </w:r>
      <w:r w:rsidR="00240498">
        <w:t xml:space="preserve"> the performance framework and technical content) remain in development.</w:t>
      </w:r>
    </w:p>
    <w:p w14:paraId="2FE8DD38" w14:textId="3F1D529F" w:rsidR="00B94D2F" w:rsidRPr="00053F58" w:rsidRDefault="38721AD2" w:rsidP="00666E06">
      <w:r w:rsidRPr="00053F58">
        <w:t>A</w:t>
      </w:r>
      <w:r w:rsidR="00B94D2F" w:rsidRPr="00053F58">
        <w:t xml:space="preserve"> significant </w:t>
      </w:r>
      <w:r w:rsidRPr="00053F58">
        <w:t>amount</w:t>
      </w:r>
      <w:r w:rsidR="00B94D2F" w:rsidRPr="00053F58">
        <w:t xml:space="preserve"> of research, literature review and foundational work has been completed </w:t>
      </w:r>
      <w:r w:rsidRPr="00053F58">
        <w:t xml:space="preserve">for the LDSD project and much of this has been used to inform this </w:t>
      </w:r>
      <w:r w:rsidR="0055179D">
        <w:t>Health NZ Design Guidance Note</w:t>
      </w:r>
      <w:r w:rsidRPr="00053F58">
        <w:t>.</w:t>
      </w:r>
    </w:p>
    <w:p w14:paraId="735B9827" w14:textId="62F784A3" w:rsidR="00B94D2F" w:rsidRPr="00053F58" w:rsidRDefault="38721AD2" w:rsidP="00666E06">
      <w:r w:rsidRPr="00053F58">
        <w:t>Whilst some hospital buildings have specialist requirements and do not necessarily fit the everyday build typology of the LDSD focus, effort has been made to ensure the principl</w:t>
      </w:r>
      <w:r w:rsidR="00EF7630" w:rsidRPr="00053F58">
        <w:t>e</w:t>
      </w:r>
      <w:r w:rsidRPr="00053F58">
        <w:t xml:space="preserve">s of the documents are aligned, particularly around common language and the performance framework. </w:t>
      </w:r>
      <w:r w:rsidR="0191F11F" w:rsidRPr="00053F58">
        <w:t>On the future</w:t>
      </w:r>
      <w:r w:rsidRPr="00053F58">
        <w:t xml:space="preserve"> release of the</w:t>
      </w:r>
      <w:r w:rsidR="00914461">
        <w:t xml:space="preserve"> </w:t>
      </w:r>
      <w:r w:rsidR="00621036">
        <w:t>completed</w:t>
      </w:r>
      <w:r w:rsidRPr="00053F58">
        <w:t xml:space="preserve"> LDSD </w:t>
      </w:r>
      <w:r w:rsidR="631D9790" w:rsidRPr="00053F58">
        <w:t>guide, i</w:t>
      </w:r>
      <w:r w:rsidRPr="00053F58">
        <w:t xml:space="preserve">t is intended that future revisions of this guideline will </w:t>
      </w:r>
      <w:r w:rsidR="73B2E10F" w:rsidRPr="00053F58">
        <w:t>continue</w:t>
      </w:r>
      <w:r w:rsidR="6CB05C99" w:rsidRPr="00053F58">
        <w:t xml:space="preserve"> this alignment effort</w:t>
      </w:r>
      <w:r w:rsidR="00F77A84">
        <w:t>,</w:t>
      </w:r>
      <w:r w:rsidR="6CB05C99" w:rsidRPr="00053F58">
        <w:t xml:space="preserve"> with an </w:t>
      </w:r>
      <w:r w:rsidRPr="00053F58">
        <w:t>expanded framework specific to hospital projects</w:t>
      </w:r>
      <w:r w:rsidR="00B94D2F" w:rsidRPr="00053F58">
        <w:t>.</w:t>
      </w:r>
    </w:p>
    <w:p w14:paraId="77E1812C" w14:textId="2A787F15" w:rsidR="000332D6" w:rsidRPr="00053F58" w:rsidRDefault="00E57ED4" w:rsidP="00D56CAE">
      <w:pPr>
        <w:pStyle w:val="BodyHeading"/>
      </w:pPr>
      <w:r w:rsidRPr="00053F58">
        <w:t>Code of Practice for the Seismic Performance of Non-Structural Elements</w:t>
      </w:r>
      <w:r w:rsidR="00D2333E" w:rsidRPr="00053F58">
        <w:t xml:space="preserve"> (</w:t>
      </w:r>
      <w:r w:rsidRPr="00053F58">
        <w:t xml:space="preserve">BIP </w:t>
      </w:r>
      <w:r w:rsidR="00D2333E" w:rsidRPr="00053F58">
        <w:t>NSE CoP)</w:t>
      </w:r>
    </w:p>
    <w:p w14:paraId="68DED077" w14:textId="02CBD83B" w:rsidR="00AE5944" w:rsidRPr="00053F58" w:rsidRDefault="00AE5944" w:rsidP="00666E06">
      <w:r w:rsidRPr="00053F58">
        <w:t xml:space="preserve">The non-structural element design information in this Design Guidance Note is intended to be read alongside the </w:t>
      </w:r>
      <w:r w:rsidR="004A6DA8">
        <w:t xml:space="preserve">BRANZ and </w:t>
      </w:r>
      <w:r w:rsidRPr="00053F58">
        <w:t xml:space="preserve">Building Innovation Partnership (BIP) </w:t>
      </w:r>
      <w:r w:rsidRPr="00053F58">
        <w:rPr>
          <w:i/>
        </w:rPr>
        <w:t>Code of Practice for the Seismic Performance of Non-Structural Elements</w:t>
      </w:r>
      <w:r w:rsidRPr="00053F58">
        <w:t xml:space="preserve"> (</w:t>
      </w:r>
      <w:r w:rsidR="00FC4F9C" w:rsidRPr="00053F58">
        <w:t>referred to</w:t>
      </w:r>
      <w:r w:rsidR="004A6DA8">
        <w:t xml:space="preserve"> herein</w:t>
      </w:r>
      <w:r w:rsidR="00FC4F9C" w:rsidRPr="00053F58">
        <w:t xml:space="preserve"> as the</w:t>
      </w:r>
      <w:r w:rsidRPr="00053F58">
        <w:t xml:space="preserve"> BIP </w:t>
      </w:r>
      <w:r w:rsidR="00873CEA" w:rsidRPr="00053F58">
        <w:t xml:space="preserve">NSE </w:t>
      </w:r>
      <w:r w:rsidRPr="00053F58">
        <w:t xml:space="preserve">CoP). This code of practice includes additional general information about the </w:t>
      </w:r>
      <w:r w:rsidR="00940CCF" w:rsidRPr="00053F58">
        <w:t xml:space="preserve">seismic </w:t>
      </w:r>
      <w:r w:rsidRPr="00053F58">
        <w:lastRenderedPageBreak/>
        <w:t>design of non-structural elements and designers are encouraged to refer to it for additional information.</w:t>
      </w:r>
    </w:p>
    <w:p w14:paraId="0247F37F" w14:textId="65C4F84E" w:rsidR="002D2D42" w:rsidRPr="00053F58" w:rsidRDefault="00CE21B0" w:rsidP="00666E06">
      <w:r>
        <w:t xml:space="preserve">The referenced </w:t>
      </w:r>
      <w:r w:rsidR="000C5276">
        <w:t>code of practice</w:t>
      </w:r>
      <w:r w:rsidR="002D2D42" w:rsidRPr="00053F58">
        <w:t xml:space="preserve"> </w:t>
      </w:r>
      <w:sdt>
        <w:sdtPr>
          <w:id w:val="-224451281"/>
          <w:citation/>
        </w:sdtPr>
        <w:sdtEndPr/>
        <w:sdtContent>
          <w:r w:rsidR="002D2D42" w:rsidRPr="00053F58">
            <w:fldChar w:fldCharType="begin"/>
          </w:r>
          <w:r w:rsidR="004A6DA8">
            <w:rPr>
              <w:lang w:val="en-US"/>
            </w:rPr>
            <w:instrText xml:space="preserve">CITATION BIP24 \l 1033 </w:instrText>
          </w:r>
          <w:r w:rsidR="002D2D42" w:rsidRPr="00053F58">
            <w:fldChar w:fldCharType="separate"/>
          </w:r>
          <w:r w:rsidR="00222D65">
            <w:rPr>
              <w:noProof/>
              <w:lang w:val="en-US"/>
            </w:rPr>
            <w:t>(BIP, BRANZ, 2024)</w:t>
          </w:r>
          <w:r w:rsidR="002D2D42" w:rsidRPr="00053F58">
            <w:fldChar w:fldCharType="end"/>
          </w:r>
        </w:sdtContent>
      </w:sdt>
      <w:r w:rsidR="002D2D42" w:rsidRPr="00053F58">
        <w:t xml:space="preserve"> has been coordinated with this Design Guidance Note. Designers should refer to the most recent</w:t>
      </w:r>
      <w:r w:rsidR="00765235" w:rsidRPr="00053F58">
        <w:t xml:space="preserve"> published</w:t>
      </w:r>
      <w:r w:rsidR="002D2D42" w:rsidRPr="00053F58">
        <w:t xml:space="preserve"> version.</w:t>
      </w:r>
    </w:p>
    <w:p w14:paraId="60506DE5" w14:textId="77777777" w:rsidR="00A93932" w:rsidRPr="00053F58" w:rsidRDefault="00A93932" w:rsidP="00D56CAE">
      <w:pPr>
        <w:pStyle w:val="BodyHeading"/>
      </w:pPr>
      <w:bookmarkStart w:id="28" w:name="_Toc147899111"/>
      <w:r w:rsidRPr="00053F58">
        <w:t>Other Relevant Guidance</w:t>
      </w:r>
      <w:bookmarkEnd w:id="28"/>
    </w:p>
    <w:p w14:paraId="2BC583B3" w14:textId="1C2CDEB2" w:rsidR="00A16A87" w:rsidRPr="00053F58" w:rsidRDefault="00952D6D" w:rsidP="00666E06">
      <w:r w:rsidRPr="00053F58">
        <w:t>R</w:t>
      </w:r>
      <w:r w:rsidR="00A16A87" w:rsidRPr="00053F58">
        <w:t>eferences</w:t>
      </w:r>
      <w:r w:rsidRPr="00053F58">
        <w:t xml:space="preserve"> to other relevant guidance</w:t>
      </w:r>
      <w:r w:rsidR="00626147" w:rsidRPr="00053F58">
        <w:t xml:space="preserve"> documents are given below. These may be </w:t>
      </w:r>
      <w:r w:rsidR="00F402D0" w:rsidRPr="00053F58">
        <w:t>informative,</w:t>
      </w:r>
      <w:r w:rsidRPr="00053F58">
        <w:t xml:space="preserve"> but </w:t>
      </w:r>
      <w:r w:rsidR="00B806E3" w:rsidRPr="00053F58">
        <w:t xml:space="preserve">their inclusion here does not imply </w:t>
      </w:r>
      <w:r w:rsidR="00743A62" w:rsidRPr="00053F58">
        <w:t>a</w:t>
      </w:r>
      <w:r w:rsidR="00B806E3" w:rsidRPr="00053F58">
        <w:t xml:space="preserve"> specific recommendation</w:t>
      </w:r>
      <w:r w:rsidR="00B85D51" w:rsidRPr="00053F58">
        <w:t xml:space="preserve"> on applicability</w:t>
      </w:r>
      <w:r w:rsidRPr="00053F58">
        <w:t>.</w:t>
      </w:r>
      <w:r w:rsidR="00B806E3" w:rsidRPr="00053F58">
        <w:t xml:space="preserve"> The requirements of this </w:t>
      </w:r>
      <w:r w:rsidR="00E75591" w:rsidRPr="00053F58">
        <w:t>document and any mandatory references shall take precedence.</w:t>
      </w:r>
    </w:p>
    <w:p w14:paraId="76997410" w14:textId="221AD18F" w:rsidR="001A080F" w:rsidRPr="00053F58" w:rsidRDefault="00B64217" w:rsidP="00F4381D">
      <w:pPr>
        <w:pStyle w:val="ListBullet"/>
      </w:pPr>
      <w:r w:rsidRPr="00053F58">
        <w:t>Seismic Assessment of Existing Buildings</w:t>
      </w:r>
      <w:r w:rsidR="007B591B" w:rsidRPr="00053F58">
        <w:t xml:space="preserve"> – Technical Guidelines for Engineering Assessments</w:t>
      </w:r>
      <w:r w:rsidR="00983F93" w:rsidRPr="00053F58">
        <w:t xml:space="preserve"> </w:t>
      </w:r>
      <w:sdt>
        <w:sdtPr>
          <w:id w:val="-1561239144"/>
          <w:citation/>
        </w:sdtPr>
        <w:sdtEndPr/>
        <w:sdtContent>
          <w:r w:rsidR="00FA7D00" w:rsidRPr="00053F58">
            <w:fldChar w:fldCharType="begin"/>
          </w:r>
          <w:r w:rsidR="008A104E">
            <w:rPr>
              <w:lang w:val="en-US"/>
            </w:rPr>
            <w:instrText xml:space="preserve">CITATION Placeholder2 \l 1033 </w:instrText>
          </w:r>
          <w:r w:rsidR="00FA7D00" w:rsidRPr="00053F58">
            <w:fldChar w:fldCharType="separate"/>
          </w:r>
          <w:r w:rsidR="00222D65">
            <w:rPr>
              <w:noProof/>
              <w:lang w:val="en-US"/>
            </w:rPr>
            <w:t>(MBIE, EQC, NZSEE, SESOC, NZGS, 2017)</w:t>
          </w:r>
          <w:r w:rsidR="00FA7D00" w:rsidRPr="00053F58">
            <w:fldChar w:fldCharType="end"/>
          </w:r>
        </w:sdtContent>
      </w:sdt>
      <w:r w:rsidR="007B591B" w:rsidRPr="00053F58">
        <w:t xml:space="preserve">, </w:t>
      </w:r>
      <w:sdt>
        <w:sdtPr>
          <w:id w:val="280075652"/>
          <w:citation/>
        </w:sdtPr>
        <w:sdtEndPr/>
        <w:sdtContent>
          <w:r w:rsidR="00743A62" w:rsidRPr="00053F58">
            <w:fldChar w:fldCharType="begin"/>
          </w:r>
          <w:r w:rsidR="00743A62" w:rsidRPr="00053F58">
            <w:rPr>
              <w:lang w:val="en-US"/>
            </w:rPr>
            <w:instrText xml:space="preserve"> CITATION Con18 \l 1033 </w:instrText>
          </w:r>
          <w:r w:rsidR="00743A62" w:rsidRPr="00053F58">
            <w:fldChar w:fldCharType="separate"/>
          </w:r>
          <w:r w:rsidR="00222D65">
            <w:rPr>
              <w:noProof/>
              <w:lang w:val="en-US"/>
            </w:rPr>
            <w:t>(MBIE, EQC, NZSEE, SESOC, NZGS, 2018)</w:t>
          </w:r>
          <w:r w:rsidR="00743A62" w:rsidRPr="00053F58">
            <w:fldChar w:fldCharType="end"/>
          </w:r>
        </w:sdtContent>
      </w:sdt>
      <w:r w:rsidR="00743A62" w:rsidRPr="00053F58">
        <w:t>.</w:t>
      </w:r>
    </w:p>
    <w:p w14:paraId="5E584F77" w14:textId="78143C7D" w:rsidR="008C151C" w:rsidRPr="00053F58" w:rsidRDefault="00D67102" w:rsidP="00F4381D">
      <w:pPr>
        <w:pStyle w:val="ListBullet"/>
      </w:pPr>
      <w:r w:rsidRPr="00053F58">
        <w:t xml:space="preserve">New Zealand Construction Industry Council </w:t>
      </w:r>
      <w:r w:rsidR="000E3487" w:rsidRPr="00053F58">
        <w:t>(NZCIC) Design</w:t>
      </w:r>
      <w:r w:rsidR="32097817" w:rsidRPr="00053F58">
        <w:t xml:space="preserve"> Guidelines</w:t>
      </w:r>
      <w:r w:rsidR="000E3487" w:rsidRPr="00053F58">
        <w:t xml:space="preserve"> </w:t>
      </w:r>
      <w:sdt>
        <w:sdtPr>
          <w:id w:val="598065434"/>
          <w:citation/>
        </w:sdtPr>
        <w:sdtEndPr/>
        <w:sdtContent>
          <w:r w:rsidR="005F72A1" w:rsidRPr="00053F58">
            <w:fldChar w:fldCharType="begin"/>
          </w:r>
          <w:r w:rsidR="005F72A1" w:rsidRPr="00053F58">
            <w:rPr>
              <w:lang w:val="en-US"/>
            </w:rPr>
            <w:instrText xml:space="preserve"> CITATION NZC22 \l 1033 </w:instrText>
          </w:r>
          <w:r w:rsidR="005F72A1" w:rsidRPr="00053F58">
            <w:fldChar w:fldCharType="separate"/>
          </w:r>
          <w:r w:rsidR="00222D65">
            <w:rPr>
              <w:noProof/>
              <w:lang w:val="en-US"/>
            </w:rPr>
            <w:t>(NZCIC, 2023)</w:t>
          </w:r>
          <w:r w:rsidR="005F72A1" w:rsidRPr="00053F58">
            <w:fldChar w:fldCharType="end"/>
          </w:r>
        </w:sdtContent>
      </w:sdt>
      <w:r w:rsidR="000E3487" w:rsidRPr="00053F58">
        <w:t>.</w:t>
      </w:r>
      <w:bookmarkStart w:id="29" w:name="_Toc147899112"/>
      <w:bookmarkStart w:id="30" w:name="_Ref151543803"/>
    </w:p>
    <w:p w14:paraId="7F0DB326" w14:textId="0E68FF80" w:rsidR="009C350C" w:rsidRPr="001947BB" w:rsidRDefault="007D5C79" w:rsidP="001947BB">
      <w:pPr>
        <w:pStyle w:val="NumbHeading2"/>
      </w:pPr>
      <w:bookmarkStart w:id="31" w:name="_Ref173911969"/>
      <w:bookmarkStart w:id="32" w:name="_Toc203641932"/>
      <w:r w:rsidRPr="001947BB">
        <w:t xml:space="preserve">Health NZ </w:t>
      </w:r>
      <w:r w:rsidR="009C350C" w:rsidRPr="001947BB">
        <w:t>Mandatory Requirements</w:t>
      </w:r>
      <w:bookmarkEnd w:id="29"/>
      <w:bookmarkEnd w:id="30"/>
      <w:bookmarkEnd w:id="31"/>
      <w:bookmarkEnd w:id="32"/>
    </w:p>
    <w:p w14:paraId="2CB93C41" w14:textId="47BE3144" w:rsidR="006973BA" w:rsidRPr="00EC4A65" w:rsidRDefault="006973BA" w:rsidP="001947BB">
      <w:pPr>
        <w:pStyle w:val="NumbHeading3"/>
      </w:pPr>
      <w:bookmarkStart w:id="33" w:name="_Ref157151090"/>
      <w:r w:rsidRPr="00EC4A65">
        <w:t>Specific Requirements</w:t>
      </w:r>
      <w:bookmarkEnd w:id="33"/>
    </w:p>
    <w:p w14:paraId="6FF0AA5F" w14:textId="64661A6F" w:rsidR="00A02CD5" w:rsidRDefault="00F2227D" w:rsidP="00666E06">
      <w:r w:rsidRPr="00B17DC8">
        <w:t>Specific mandatory requirements</w:t>
      </w:r>
      <w:r w:rsidR="00354BFE" w:rsidRPr="00B17DC8">
        <w:t xml:space="preserve"> that are contained within the body of this document are listed in </w:t>
      </w:r>
      <w:r w:rsidR="00354BFE" w:rsidRPr="00B17DC8">
        <w:fldChar w:fldCharType="begin"/>
      </w:r>
      <w:r w:rsidR="00354BFE" w:rsidRPr="00B17DC8">
        <w:instrText xml:space="preserve"> REF _Ref149572551 \h </w:instrText>
      </w:r>
      <w:r w:rsidR="00B17DC8">
        <w:instrText xml:space="preserve"> \* MERGEFORMAT </w:instrText>
      </w:r>
      <w:r w:rsidR="00354BFE" w:rsidRPr="00B17DC8">
        <w:fldChar w:fldCharType="separate"/>
      </w:r>
      <w:r w:rsidR="000761C1" w:rsidRPr="000761C1">
        <w:t xml:space="preserve">Table </w:t>
      </w:r>
      <w:r w:rsidR="000761C1" w:rsidRPr="000761C1">
        <w:rPr>
          <w:noProof/>
        </w:rPr>
        <w:t>1</w:t>
      </w:r>
      <w:r w:rsidR="00354BFE" w:rsidRPr="00B17DC8">
        <w:fldChar w:fldCharType="end"/>
      </w:r>
      <w:r w:rsidR="00354BFE" w:rsidRPr="00B17DC8">
        <w:t xml:space="preserve"> </w:t>
      </w:r>
      <w:r w:rsidR="003944E7" w:rsidRPr="00B17DC8">
        <w:t xml:space="preserve">in abbreviated form </w:t>
      </w:r>
      <w:r w:rsidR="00354BFE" w:rsidRPr="00B17DC8">
        <w:t xml:space="preserve">for ease of reference. Users should </w:t>
      </w:r>
      <w:r w:rsidR="003944E7" w:rsidRPr="00B17DC8">
        <w:t>refer to the referenced sections for the full requirements.</w:t>
      </w:r>
    </w:p>
    <w:p w14:paraId="09B3CD0E" w14:textId="6B68125C" w:rsidR="005117CD" w:rsidRPr="00DF106E" w:rsidRDefault="005117CD" w:rsidP="00784818">
      <w:pPr>
        <w:pStyle w:val="Figure"/>
        <w:keepNext/>
        <w:rPr>
          <w:sz w:val="20"/>
          <w:szCs w:val="20"/>
        </w:rPr>
      </w:pPr>
      <w:bookmarkStart w:id="34" w:name="_Ref149572551"/>
      <w:r w:rsidRPr="00DF106E">
        <w:rPr>
          <w:sz w:val="20"/>
          <w:szCs w:val="20"/>
        </w:rPr>
        <w:t xml:space="preserve">Table </w:t>
      </w:r>
      <w:r w:rsidRPr="00DF106E">
        <w:rPr>
          <w:sz w:val="20"/>
          <w:szCs w:val="20"/>
        </w:rPr>
        <w:fldChar w:fldCharType="begin"/>
      </w:r>
      <w:r w:rsidRPr="00DF106E">
        <w:rPr>
          <w:sz w:val="20"/>
          <w:szCs w:val="20"/>
        </w:rPr>
        <w:instrText>SEQ Table \* ARABIC</w:instrText>
      </w:r>
      <w:r w:rsidRPr="00DF106E">
        <w:rPr>
          <w:sz w:val="20"/>
          <w:szCs w:val="20"/>
        </w:rPr>
        <w:fldChar w:fldCharType="separate"/>
      </w:r>
      <w:r w:rsidR="000761C1">
        <w:rPr>
          <w:noProof/>
          <w:sz w:val="20"/>
          <w:szCs w:val="20"/>
        </w:rPr>
        <w:t>1</w:t>
      </w:r>
      <w:r w:rsidRPr="00DF106E">
        <w:rPr>
          <w:sz w:val="20"/>
          <w:szCs w:val="20"/>
        </w:rPr>
        <w:fldChar w:fldCharType="end"/>
      </w:r>
      <w:bookmarkEnd w:id="34"/>
      <w:r w:rsidRPr="00DF106E">
        <w:rPr>
          <w:sz w:val="20"/>
          <w:szCs w:val="20"/>
        </w:rPr>
        <w:t xml:space="preserve">: </w:t>
      </w:r>
      <w:bookmarkStart w:id="35" w:name="_Ref162181278"/>
      <w:r w:rsidRPr="00DF106E">
        <w:rPr>
          <w:sz w:val="20"/>
          <w:szCs w:val="20"/>
        </w:rPr>
        <w:t>Summary of Health NZ Mandatory Requirements</w:t>
      </w:r>
      <w:bookmarkEnd w:id="35"/>
    </w:p>
    <w:tbl>
      <w:tblPr>
        <w:tblStyle w:val="GridTable4-Accent5"/>
        <w:tblW w:w="9634" w:type="dxa"/>
        <w:tblLook w:val="0620" w:firstRow="1" w:lastRow="0" w:firstColumn="0" w:lastColumn="0" w:noHBand="1" w:noVBand="1"/>
      </w:tblPr>
      <w:tblGrid>
        <w:gridCol w:w="1234"/>
        <w:gridCol w:w="2305"/>
        <w:gridCol w:w="6095"/>
      </w:tblGrid>
      <w:tr w:rsidR="006C5B15" w:rsidRPr="00C03678" w14:paraId="35ED78AB" w14:textId="77777777" w:rsidTr="004C3A27">
        <w:trPr>
          <w:cnfStyle w:val="100000000000" w:firstRow="1" w:lastRow="0" w:firstColumn="0" w:lastColumn="0" w:oddVBand="0" w:evenVBand="0" w:oddHBand="0" w:evenHBand="0" w:firstRowFirstColumn="0" w:firstRowLastColumn="0" w:lastRowFirstColumn="0" w:lastRowLastColumn="0"/>
          <w:tblHeader/>
        </w:trPr>
        <w:tc>
          <w:tcPr>
            <w:tcW w:w="1234" w:type="dxa"/>
            <w:tcBorders>
              <w:top w:val="single" w:sz="12" w:space="0" w:color="003399" w:themeColor="accent2"/>
              <w:bottom w:val="single" w:sz="12" w:space="0" w:color="003399" w:themeColor="accent2"/>
              <w:right w:val="single" w:sz="8" w:space="0" w:color="BFBFBF"/>
            </w:tcBorders>
            <w:shd w:val="clear" w:color="auto" w:fill="F6F4EC"/>
          </w:tcPr>
          <w:p w14:paraId="51CE3A2C" w14:textId="77777777" w:rsidR="005117CD" w:rsidRPr="00C03678" w:rsidRDefault="005117CD" w:rsidP="006C5B15">
            <w:pPr>
              <w:pStyle w:val="Tableheading0"/>
              <w:rPr>
                <w:b/>
                <w:bCs/>
                <w:sz w:val="20"/>
                <w:szCs w:val="20"/>
              </w:rPr>
            </w:pPr>
            <w:r w:rsidRPr="00C03678">
              <w:rPr>
                <w:b/>
                <w:bCs/>
                <w:sz w:val="20"/>
                <w:szCs w:val="20"/>
              </w:rPr>
              <w:t>Section Ref.</w:t>
            </w:r>
          </w:p>
        </w:tc>
        <w:tc>
          <w:tcPr>
            <w:tcW w:w="2305"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6F9A8AA4" w14:textId="77777777" w:rsidR="005117CD" w:rsidRPr="00C03678" w:rsidRDefault="005117CD" w:rsidP="006C5B15">
            <w:pPr>
              <w:pStyle w:val="Tableheading0"/>
              <w:rPr>
                <w:b/>
                <w:bCs/>
                <w:sz w:val="20"/>
                <w:szCs w:val="20"/>
              </w:rPr>
            </w:pPr>
            <w:r w:rsidRPr="00C03678">
              <w:rPr>
                <w:b/>
                <w:bCs/>
                <w:sz w:val="20"/>
                <w:szCs w:val="20"/>
              </w:rPr>
              <w:t>Item</w:t>
            </w:r>
          </w:p>
        </w:tc>
        <w:tc>
          <w:tcPr>
            <w:tcW w:w="6095" w:type="dxa"/>
            <w:tcBorders>
              <w:top w:val="single" w:sz="12" w:space="0" w:color="003399" w:themeColor="accent2"/>
              <w:left w:val="single" w:sz="8" w:space="0" w:color="BFBFBF"/>
              <w:bottom w:val="single" w:sz="12" w:space="0" w:color="003399" w:themeColor="accent2"/>
            </w:tcBorders>
            <w:shd w:val="clear" w:color="auto" w:fill="F6F4EC"/>
          </w:tcPr>
          <w:p w14:paraId="16C59B8F" w14:textId="77777777" w:rsidR="005117CD" w:rsidRPr="00C03678" w:rsidRDefault="005117CD" w:rsidP="006C5B15">
            <w:pPr>
              <w:pStyle w:val="Tableheading0"/>
              <w:rPr>
                <w:b/>
                <w:bCs/>
                <w:sz w:val="20"/>
                <w:szCs w:val="20"/>
              </w:rPr>
            </w:pPr>
            <w:r w:rsidRPr="00C03678">
              <w:rPr>
                <w:b/>
                <w:bCs/>
                <w:sz w:val="20"/>
                <w:szCs w:val="20"/>
              </w:rPr>
              <w:t>Summary</w:t>
            </w:r>
          </w:p>
        </w:tc>
      </w:tr>
      <w:tr w:rsidR="007B6688" w:rsidRPr="00C03678" w14:paraId="04A85D26" w14:textId="77777777" w:rsidTr="004C3A27">
        <w:tc>
          <w:tcPr>
            <w:tcW w:w="1234" w:type="dxa"/>
            <w:tcBorders>
              <w:top w:val="single" w:sz="12" w:space="0" w:color="003399" w:themeColor="accent2"/>
              <w:left w:val="nil"/>
              <w:bottom w:val="single" w:sz="8" w:space="0" w:color="BFBFBF"/>
              <w:right w:val="single" w:sz="8" w:space="0" w:color="BFBFBF"/>
            </w:tcBorders>
          </w:tcPr>
          <w:p w14:paraId="723B090A" w14:textId="0DA67AC8"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_Ref169154495 \r \h  \* MERGEFORMAT </w:instrText>
            </w:r>
            <w:r w:rsidRPr="00C03678">
              <w:rPr>
                <w:sz w:val="20"/>
                <w:szCs w:val="20"/>
              </w:rPr>
            </w:r>
            <w:r w:rsidRPr="00C03678">
              <w:rPr>
                <w:sz w:val="20"/>
                <w:szCs w:val="20"/>
              </w:rPr>
              <w:fldChar w:fldCharType="separate"/>
            </w:r>
            <w:r w:rsidR="000761C1">
              <w:rPr>
                <w:sz w:val="20"/>
                <w:szCs w:val="20"/>
              </w:rPr>
              <w:t>A1.5</w:t>
            </w:r>
            <w:r w:rsidRPr="00C03678">
              <w:rPr>
                <w:sz w:val="20"/>
                <w:szCs w:val="20"/>
              </w:rPr>
              <w:fldChar w:fldCharType="end"/>
            </w:r>
            <w:r w:rsidRPr="00C03678">
              <w:rPr>
                <w:sz w:val="20"/>
                <w:szCs w:val="20"/>
              </w:rPr>
              <w:br/>
            </w:r>
            <w:r w:rsidRPr="00C03678">
              <w:rPr>
                <w:sz w:val="20"/>
                <w:szCs w:val="20"/>
              </w:rPr>
              <w:fldChar w:fldCharType="begin"/>
            </w:r>
            <w:r w:rsidRPr="00C03678">
              <w:rPr>
                <w:sz w:val="20"/>
                <w:szCs w:val="20"/>
              </w:rPr>
              <w:instrText xml:space="preserve"> REF _Ref157173728 \r \h  \* MERGEFORMAT </w:instrText>
            </w:r>
            <w:r w:rsidRPr="00C03678">
              <w:rPr>
                <w:sz w:val="20"/>
                <w:szCs w:val="20"/>
              </w:rPr>
            </w:r>
            <w:r w:rsidRPr="00C03678">
              <w:rPr>
                <w:sz w:val="20"/>
                <w:szCs w:val="20"/>
              </w:rPr>
              <w:fldChar w:fldCharType="separate"/>
            </w:r>
            <w:r w:rsidR="000761C1">
              <w:rPr>
                <w:sz w:val="20"/>
                <w:szCs w:val="20"/>
              </w:rPr>
              <w:t>C1.3.3</w:t>
            </w:r>
            <w:r w:rsidRPr="00C03678">
              <w:rPr>
                <w:sz w:val="20"/>
                <w:szCs w:val="20"/>
              </w:rPr>
              <w:fldChar w:fldCharType="end"/>
            </w:r>
            <w:r w:rsidRPr="00C03678">
              <w:rPr>
                <w:sz w:val="20"/>
                <w:szCs w:val="20"/>
              </w:rPr>
              <w:br/>
            </w:r>
            <w:r w:rsidRPr="00C03678">
              <w:rPr>
                <w:sz w:val="20"/>
                <w:szCs w:val="20"/>
              </w:rPr>
              <w:fldChar w:fldCharType="begin"/>
            </w:r>
            <w:r w:rsidRPr="00C03678">
              <w:rPr>
                <w:sz w:val="20"/>
                <w:szCs w:val="20"/>
              </w:rPr>
              <w:instrText xml:space="preserve"> REF _Ref157173730 \r \h  \* MERGEFORMAT </w:instrText>
            </w:r>
            <w:r w:rsidRPr="00C03678">
              <w:rPr>
                <w:sz w:val="20"/>
                <w:szCs w:val="20"/>
              </w:rPr>
            </w:r>
            <w:r w:rsidRPr="00C03678">
              <w:rPr>
                <w:sz w:val="20"/>
                <w:szCs w:val="20"/>
              </w:rPr>
              <w:fldChar w:fldCharType="separate"/>
            </w:r>
            <w:r w:rsidR="000761C1">
              <w:rPr>
                <w:sz w:val="20"/>
                <w:szCs w:val="20"/>
              </w:rPr>
              <w:t>C1.3.4</w:t>
            </w:r>
            <w:r w:rsidRPr="00C03678">
              <w:rPr>
                <w:sz w:val="20"/>
                <w:szCs w:val="20"/>
              </w:rPr>
              <w:fldChar w:fldCharType="end"/>
            </w:r>
          </w:p>
        </w:tc>
        <w:tc>
          <w:tcPr>
            <w:tcW w:w="2305" w:type="dxa"/>
            <w:tcBorders>
              <w:top w:val="single" w:sz="12" w:space="0" w:color="003399" w:themeColor="accent2"/>
              <w:left w:val="single" w:sz="8" w:space="0" w:color="BFBFBF"/>
              <w:bottom w:val="single" w:sz="8" w:space="0" w:color="BFBFBF"/>
              <w:right w:val="single" w:sz="8" w:space="0" w:color="BFBFBF"/>
            </w:tcBorders>
          </w:tcPr>
          <w:p w14:paraId="5DD6CB6D" w14:textId="77777777" w:rsidR="005117CD" w:rsidRPr="00C03678" w:rsidRDefault="005117CD" w:rsidP="00B6651A">
            <w:pPr>
              <w:pStyle w:val="TableText"/>
              <w:rPr>
                <w:sz w:val="20"/>
                <w:szCs w:val="20"/>
              </w:rPr>
            </w:pPr>
            <w:r w:rsidRPr="00C03678">
              <w:rPr>
                <w:sz w:val="20"/>
                <w:szCs w:val="20"/>
              </w:rPr>
              <w:t>Geotechnical Modules</w:t>
            </w:r>
          </w:p>
        </w:tc>
        <w:tc>
          <w:tcPr>
            <w:tcW w:w="6095" w:type="dxa"/>
            <w:tcBorders>
              <w:top w:val="single" w:sz="12" w:space="0" w:color="003399" w:themeColor="accent2"/>
              <w:left w:val="single" w:sz="8" w:space="0" w:color="BFBFBF"/>
              <w:bottom w:val="single" w:sz="8" w:space="0" w:color="BFBFBF"/>
              <w:right w:val="nil"/>
            </w:tcBorders>
          </w:tcPr>
          <w:p w14:paraId="14470C1C" w14:textId="77777777" w:rsidR="005117CD" w:rsidRPr="00C03678" w:rsidRDefault="005117CD" w:rsidP="00B6651A">
            <w:pPr>
              <w:pStyle w:val="TableText"/>
              <w:rPr>
                <w:sz w:val="20"/>
                <w:szCs w:val="20"/>
              </w:rPr>
            </w:pPr>
            <w:r w:rsidRPr="00C03678">
              <w:rPr>
                <w:sz w:val="20"/>
                <w:szCs w:val="20"/>
              </w:rPr>
              <w:t>The Earthquake Geotechnical Engineering Practice Modules (most recent version</w:t>
            </w:r>
            <w:r w:rsidRPr="00C03678">
              <w:rPr>
                <w:rStyle w:val="FootnoteReference"/>
                <w:sz w:val="20"/>
                <w:szCs w:val="20"/>
              </w:rPr>
              <w:footnoteReference w:id="2"/>
            </w:r>
            <w:r w:rsidRPr="00C03678">
              <w:rPr>
                <w:sz w:val="20"/>
                <w:szCs w:val="20"/>
              </w:rPr>
              <w:t>) shall be followed.</w:t>
            </w:r>
          </w:p>
        </w:tc>
      </w:tr>
      <w:tr w:rsidR="007B6688" w:rsidRPr="00C03678" w14:paraId="33BC2E08" w14:textId="77777777" w:rsidTr="004C3A27">
        <w:tc>
          <w:tcPr>
            <w:tcW w:w="1234" w:type="dxa"/>
            <w:tcBorders>
              <w:top w:val="single" w:sz="8" w:space="0" w:color="BFBFBF"/>
              <w:left w:val="nil"/>
              <w:bottom w:val="single" w:sz="8" w:space="0" w:color="BFBFBF"/>
              <w:right w:val="single" w:sz="8" w:space="0" w:color="BFBFBF"/>
            </w:tcBorders>
          </w:tcPr>
          <w:p w14:paraId="4CC48E7F" w14:textId="761B8D6D"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_Ref149568214 \r \h  \* MERGEFORMAT </w:instrText>
            </w:r>
            <w:r w:rsidRPr="00C03678">
              <w:rPr>
                <w:sz w:val="20"/>
                <w:szCs w:val="20"/>
              </w:rPr>
            </w:r>
            <w:r w:rsidRPr="00C03678">
              <w:rPr>
                <w:sz w:val="20"/>
                <w:szCs w:val="20"/>
              </w:rPr>
              <w:fldChar w:fldCharType="separate"/>
            </w:r>
            <w:r w:rsidR="000761C1">
              <w:rPr>
                <w:sz w:val="20"/>
                <w:szCs w:val="20"/>
              </w:rPr>
              <w:t>A2.2.2</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2B9B89E3" w14:textId="77777777" w:rsidR="005117CD" w:rsidRPr="00C03678" w:rsidRDefault="005117CD" w:rsidP="00B6651A">
            <w:pPr>
              <w:pStyle w:val="TableText"/>
              <w:rPr>
                <w:sz w:val="20"/>
                <w:szCs w:val="20"/>
              </w:rPr>
            </w:pPr>
            <w:r w:rsidRPr="00C03678">
              <w:rPr>
                <w:sz w:val="20"/>
                <w:szCs w:val="20"/>
              </w:rPr>
              <w:t>Seismic Performance Brief</w:t>
            </w:r>
          </w:p>
        </w:tc>
        <w:tc>
          <w:tcPr>
            <w:tcW w:w="6095" w:type="dxa"/>
            <w:tcBorders>
              <w:top w:val="single" w:sz="8" w:space="0" w:color="BFBFBF"/>
              <w:left w:val="single" w:sz="8" w:space="0" w:color="BFBFBF"/>
              <w:bottom w:val="single" w:sz="8" w:space="0" w:color="BFBFBF"/>
              <w:right w:val="nil"/>
            </w:tcBorders>
          </w:tcPr>
          <w:p w14:paraId="09058496" w14:textId="77777777" w:rsidR="005117CD" w:rsidRPr="00C03678" w:rsidRDefault="005117CD" w:rsidP="00B6651A">
            <w:pPr>
              <w:pStyle w:val="TableText"/>
              <w:rPr>
                <w:sz w:val="20"/>
                <w:szCs w:val="20"/>
              </w:rPr>
            </w:pPr>
            <w:r w:rsidRPr="00C03678">
              <w:rPr>
                <w:sz w:val="20"/>
                <w:szCs w:val="20"/>
              </w:rPr>
              <w:t>Concept deliverables shall reflect interpretation of the performance brief (with reference to the Project Technical Brief) and present the design response.</w:t>
            </w:r>
          </w:p>
        </w:tc>
      </w:tr>
      <w:tr w:rsidR="007B6688" w:rsidRPr="00C03678" w14:paraId="34BE4493" w14:textId="77777777" w:rsidTr="004C3A27">
        <w:tc>
          <w:tcPr>
            <w:tcW w:w="1234" w:type="dxa"/>
            <w:tcBorders>
              <w:top w:val="single" w:sz="8" w:space="0" w:color="BFBFBF"/>
              <w:left w:val="nil"/>
              <w:bottom w:val="single" w:sz="8" w:space="0" w:color="BFBFBF"/>
              <w:right w:val="single" w:sz="8" w:space="0" w:color="BFBFBF"/>
            </w:tcBorders>
          </w:tcPr>
          <w:p w14:paraId="553EC3F1" w14:textId="133AD6AC"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_Ref149568214 \r \h  \* MERGEFORMAT </w:instrText>
            </w:r>
            <w:r w:rsidRPr="00C03678">
              <w:rPr>
                <w:sz w:val="20"/>
                <w:szCs w:val="20"/>
              </w:rPr>
            </w:r>
            <w:r w:rsidRPr="00C03678">
              <w:rPr>
                <w:sz w:val="20"/>
                <w:szCs w:val="20"/>
              </w:rPr>
              <w:fldChar w:fldCharType="separate"/>
            </w:r>
            <w:r w:rsidR="000761C1">
              <w:rPr>
                <w:sz w:val="20"/>
                <w:szCs w:val="20"/>
              </w:rPr>
              <w:t>A2.2.2</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63EFE8FD" w14:textId="77777777" w:rsidR="005117CD" w:rsidRPr="00C03678" w:rsidRDefault="005117CD" w:rsidP="00B6651A">
            <w:pPr>
              <w:pStyle w:val="TableText"/>
              <w:rPr>
                <w:sz w:val="20"/>
                <w:szCs w:val="20"/>
              </w:rPr>
            </w:pPr>
            <w:r w:rsidRPr="00C03678">
              <w:rPr>
                <w:sz w:val="20"/>
                <w:szCs w:val="20"/>
              </w:rPr>
              <w:t>Concept Optioneering</w:t>
            </w:r>
          </w:p>
        </w:tc>
        <w:tc>
          <w:tcPr>
            <w:tcW w:w="6095" w:type="dxa"/>
            <w:tcBorders>
              <w:top w:val="single" w:sz="8" w:space="0" w:color="BFBFBF"/>
              <w:left w:val="single" w:sz="8" w:space="0" w:color="BFBFBF"/>
              <w:bottom w:val="single" w:sz="8" w:space="0" w:color="BFBFBF"/>
              <w:right w:val="nil"/>
            </w:tcBorders>
          </w:tcPr>
          <w:p w14:paraId="05CA1618" w14:textId="77777777" w:rsidR="005117CD" w:rsidRPr="00C03678" w:rsidRDefault="005117CD" w:rsidP="00B6651A">
            <w:pPr>
              <w:pStyle w:val="TableText"/>
              <w:rPr>
                <w:sz w:val="20"/>
                <w:szCs w:val="20"/>
              </w:rPr>
            </w:pPr>
            <w:r w:rsidRPr="00C03678">
              <w:rPr>
                <w:sz w:val="20"/>
                <w:szCs w:val="20"/>
              </w:rPr>
              <w:t>A minimum number of concept typologies shall be considered; reporting requirements apply.</w:t>
            </w:r>
          </w:p>
        </w:tc>
      </w:tr>
      <w:tr w:rsidR="007B6688" w:rsidRPr="00C03678" w14:paraId="5DA9FDD8" w14:textId="77777777" w:rsidTr="004C3A27">
        <w:tc>
          <w:tcPr>
            <w:tcW w:w="1234" w:type="dxa"/>
            <w:tcBorders>
              <w:top w:val="single" w:sz="8" w:space="0" w:color="BFBFBF"/>
              <w:left w:val="nil"/>
              <w:bottom w:val="single" w:sz="8" w:space="0" w:color="BFBFBF"/>
              <w:right w:val="single" w:sz="8" w:space="0" w:color="BFBFBF"/>
            </w:tcBorders>
          </w:tcPr>
          <w:p w14:paraId="02599B8A" w14:textId="60F2CE4E"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_Ref157160828 \r \h  \* MERGEFORMAT </w:instrText>
            </w:r>
            <w:r w:rsidRPr="00C03678">
              <w:rPr>
                <w:sz w:val="20"/>
                <w:szCs w:val="20"/>
              </w:rPr>
            </w:r>
            <w:r w:rsidRPr="00C03678">
              <w:rPr>
                <w:sz w:val="20"/>
                <w:szCs w:val="20"/>
              </w:rPr>
              <w:fldChar w:fldCharType="separate"/>
            </w:r>
            <w:r w:rsidR="000761C1">
              <w:rPr>
                <w:sz w:val="20"/>
                <w:szCs w:val="20"/>
              </w:rPr>
              <w:t>A2.3.1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42B0B255" w14:textId="77777777" w:rsidR="005117CD" w:rsidRPr="00C03678" w:rsidRDefault="005117CD" w:rsidP="00B6651A">
            <w:pPr>
              <w:pStyle w:val="TableText"/>
              <w:rPr>
                <w:sz w:val="20"/>
                <w:szCs w:val="20"/>
              </w:rPr>
            </w:pPr>
            <w:r w:rsidRPr="00C03678">
              <w:rPr>
                <w:sz w:val="20"/>
                <w:szCs w:val="20"/>
              </w:rPr>
              <w:t>Design Roles</w:t>
            </w:r>
          </w:p>
        </w:tc>
        <w:tc>
          <w:tcPr>
            <w:tcW w:w="6095" w:type="dxa"/>
            <w:tcBorders>
              <w:top w:val="single" w:sz="8" w:space="0" w:color="BFBFBF"/>
              <w:left w:val="single" w:sz="8" w:space="0" w:color="BFBFBF"/>
              <w:bottom w:val="single" w:sz="8" w:space="0" w:color="BFBFBF"/>
              <w:right w:val="nil"/>
            </w:tcBorders>
          </w:tcPr>
          <w:p w14:paraId="0FB63F60" w14:textId="77777777" w:rsidR="005117CD" w:rsidRPr="00C03678" w:rsidRDefault="005117CD" w:rsidP="00B6651A">
            <w:pPr>
              <w:pStyle w:val="TableText"/>
              <w:rPr>
                <w:sz w:val="20"/>
                <w:szCs w:val="20"/>
              </w:rPr>
            </w:pPr>
            <w:r w:rsidRPr="00C03678">
              <w:rPr>
                <w:sz w:val="20"/>
                <w:szCs w:val="20"/>
              </w:rPr>
              <w:t>A roles and responsibilities table shall be prepared.</w:t>
            </w:r>
          </w:p>
        </w:tc>
      </w:tr>
      <w:tr w:rsidR="007B6688" w:rsidRPr="00C03678" w14:paraId="515E9151" w14:textId="77777777" w:rsidTr="004C3A27">
        <w:tc>
          <w:tcPr>
            <w:tcW w:w="1234" w:type="dxa"/>
            <w:tcBorders>
              <w:top w:val="single" w:sz="8" w:space="0" w:color="BFBFBF"/>
              <w:left w:val="nil"/>
              <w:bottom w:val="single" w:sz="8" w:space="0" w:color="BFBFBF"/>
              <w:right w:val="single" w:sz="8" w:space="0" w:color="BFBFBF"/>
            </w:tcBorders>
          </w:tcPr>
          <w:p w14:paraId="5D7C3B9B" w14:textId="2D442CB7"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_Ref157149208 \r \h  \* MERGEFORMAT </w:instrText>
            </w:r>
            <w:r w:rsidRPr="00C03678">
              <w:rPr>
                <w:sz w:val="20"/>
                <w:szCs w:val="20"/>
              </w:rPr>
            </w:r>
            <w:r w:rsidRPr="00C03678">
              <w:rPr>
                <w:sz w:val="20"/>
                <w:szCs w:val="20"/>
              </w:rPr>
              <w:fldChar w:fldCharType="separate"/>
            </w:r>
            <w:r w:rsidR="000761C1">
              <w:rPr>
                <w:sz w:val="20"/>
                <w:szCs w:val="20"/>
              </w:rPr>
              <w:t>A3.1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020797FB" w14:textId="77777777" w:rsidR="005117CD" w:rsidRPr="00C03678" w:rsidRDefault="005117CD" w:rsidP="00B6651A">
            <w:pPr>
              <w:pStyle w:val="TableText"/>
              <w:rPr>
                <w:sz w:val="20"/>
                <w:szCs w:val="20"/>
              </w:rPr>
            </w:pPr>
            <w:r w:rsidRPr="00C03678">
              <w:rPr>
                <w:sz w:val="20"/>
                <w:szCs w:val="20"/>
              </w:rPr>
              <w:t>Design Features Report (DFR)</w:t>
            </w:r>
          </w:p>
        </w:tc>
        <w:tc>
          <w:tcPr>
            <w:tcW w:w="6095" w:type="dxa"/>
            <w:tcBorders>
              <w:top w:val="single" w:sz="8" w:space="0" w:color="BFBFBF"/>
              <w:left w:val="single" w:sz="8" w:space="0" w:color="BFBFBF"/>
              <w:bottom w:val="single" w:sz="8" w:space="0" w:color="BFBFBF"/>
              <w:right w:val="nil"/>
            </w:tcBorders>
          </w:tcPr>
          <w:p w14:paraId="785E3685" w14:textId="77777777" w:rsidR="005117CD" w:rsidRPr="00C03678" w:rsidRDefault="005117CD" w:rsidP="00B6651A">
            <w:pPr>
              <w:pStyle w:val="TableText"/>
              <w:rPr>
                <w:sz w:val="20"/>
                <w:szCs w:val="20"/>
              </w:rPr>
            </w:pPr>
            <w:r w:rsidRPr="00C03678">
              <w:rPr>
                <w:sz w:val="20"/>
                <w:szCs w:val="20"/>
              </w:rPr>
              <w:t>A DFR is required for all projects (all phase deliverables).</w:t>
            </w:r>
          </w:p>
        </w:tc>
      </w:tr>
      <w:tr w:rsidR="007B6688" w:rsidRPr="00C03678" w14:paraId="00E89026" w14:textId="77777777" w:rsidTr="004C3A27">
        <w:tc>
          <w:tcPr>
            <w:tcW w:w="1234" w:type="dxa"/>
            <w:tcBorders>
              <w:top w:val="single" w:sz="8" w:space="0" w:color="BFBFBF"/>
              <w:left w:val="nil"/>
              <w:bottom w:val="single" w:sz="8" w:space="0" w:color="BFBFBF"/>
              <w:right w:val="single" w:sz="8" w:space="0" w:color="BFBFBF"/>
            </w:tcBorders>
          </w:tcPr>
          <w:p w14:paraId="33F9AAB7" w14:textId="242FCBD6"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_Ref152819641 \r \h  \* MERGEFORMAT </w:instrText>
            </w:r>
            <w:r w:rsidRPr="00C03678">
              <w:rPr>
                <w:sz w:val="20"/>
                <w:szCs w:val="20"/>
              </w:rPr>
            </w:r>
            <w:r w:rsidRPr="00C03678">
              <w:rPr>
                <w:sz w:val="20"/>
                <w:szCs w:val="20"/>
              </w:rPr>
              <w:fldChar w:fldCharType="separate"/>
            </w:r>
            <w:r w:rsidR="000761C1">
              <w:rPr>
                <w:sz w:val="20"/>
                <w:szCs w:val="20"/>
              </w:rPr>
              <w:t>A3.1.1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0C17039A" w14:textId="77777777" w:rsidR="005117CD" w:rsidRPr="00C03678" w:rsidRDefault="005117CD" w:rsidP="00B6651A">
            <w:pPr>
              <w:pStyle w:val="TableText"/>
              <w:rPr>
                <w:sz w:val="20"/>
                <w:szCs w:val="20"/>
              </w:rPr>
            </w:pPr>
            <w:r w:rsidRPr="00C03678">
              <w:rPr>
                <w:sz w:val="20"/>
                <w:szCs w:val="20"/>
              </w:rPr>
              <w:t>Building Performance Summary</w:t>
            </w:r>
          </w:p>
        </w:tc>
        <w:tc>
          <w:tcPr>
            <w:tcW w:w="6095" w:type="dxa"/>
            <w:tcBorders>
              <w:top w:val="single" w:sz="8" w:space="0" w:color="BFBFBF"/>
              <w:left w:val="single" w:sz="8" w:space="0" w:color="BFBFBF"/>
              <w:bottom w:val="single" w:sz="8" w:space="0" w:color="BFBFBF"/>
              <w:right w:val="nil"/>
            </w:tcBorders>
          </w:tcPr>
          <w:p w14:paraId="69F1EB9B" w14:textId="77777777" w:rsidR="005117CD" w:rsidRPr="00C03678" w:rsidRDefault="005117CD" w:rsidP="00B6651A">
            <w:pPr>
              <w:pStyle w:val="TableText"/>
              <w:rPr>
                <w:sz w:val="20"/>
                <w:szCs w:val="20"/>
              </w:rPr>
            </w:pPr>
            <w:r w:rsidRPr="00C03678">
              <w:rPr>
                <w:sz w:val="20"/>
                <w:szCs w:val="20"/>
              </w:rPr>
              <w:t xml:space="preserve">A </w:t>
            </w:r>
            <w:r w:rsidRPr="00C03678">
              <w:rPr>
                <w:i/>
                <w:iCs/>
                <w:sz w:val="20"/>
                <w:szCs w:val="20"/>
              </w:rPr>
              <w:t>Building Movement, Acceleration and Loading Report</w:t>
            </w:r>
            <w:r w:rsidRPr="00C03678">
              <w:rPr>
                <w:sz w:val="20"/>
                <w:szCs w:val="20"/>
              </w:rPr>
              <w:t xml:space="preserve"> shall be prepared (generally as an extractable part of the DFR).</w:t>
            </w:r>
          </w:p>
        </w:tc>
      </w:tr>
      <w:tr w:rsidR="007B6688" w:rsidRPr="00C03678" w14:paraId="730EDA9B" w14:textId="77777777" w:rsidTr="004C3A27">
        <w:tc>
          <w:tcPr>
            <w:tcW w:w="1234" w:type="dxa"/>
            <w:tcBorders>
              <w:top w:val="single" w:sz="8" w:space="0" w:color="BFBFBF"/>
              <w:left w:val="nil"/>
              <w:bottom w:val="single" w:sz="8" w:space="0" w:color="BFBFBF"/>
              <w:right w:val="single" w:sz="8" w:space="0" w:color="BFBFBF"/>
            </w:tcBorders>
          </w:tcPr>
          <w:p w14:paraId="74EEB86D" w14:textId="4A46641F" w:rsidR="005117CD" w:rsidRPr="00C03678" w:rsidRDefault="005117CD" w:rsidP="00B6651A">
            <w:pPr>
              <w:pStyle w:val="TableText"/>
              <w:rPr>
                <w:sz w:val="20"/>
                <w:szCs w:val="20"/>
              </w:rPr>
            </w:pPr>
            <w:r w:rsidRPr="00C03678">
              <w:rPr>
                <w:sz w:val="20"/>
                <w:szCs w:val="20"/>
              </w:rPr>
              <w:lastRenderedPageBreak/>
              <w:fldChar w:fldCharType="begin"/>
            </w:r>
            <w:r w:rsidRPr="00C03678">
              <w:rPr>
                <w:sz w:val="20"/>
                <w:szCs w:val="20"/>
              </w:rPr>
              <w:instrText xml:space="preserve"> REF _Ref152139034 \r \h  \* MERGEFORMAT </w:instrText>
            </w:r>
            <w:r w:rsidRPr="00C03678">
              <w:rPr>
                <w:sz w:val="20"/>
                <w:szCs w:val="20"/>
              </w:rPr>
            </w:r>
            <w:r w:rsidRPr="00C03678">
              <w:rPr>
                <w:sz w:val="20"/>
                <w:szCs w:val="20"/>
              </w:rPr>
              <w:fldChar w:fldCharType="separate"/>
            </w:r>
            <w:r w:rsidR="000761C1">
              <w:rPr>
                <w:sz w:val="20"/>
                <w:szCs w:val="20"/>
              </w:rPr>
              <w:t>A3.2</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05261767" w14:textId="77777777" w:rsidR="005117CD" w:rsidRPr="00C03678" w:rsidRDefault="005117CD" w:rsidP="00B6651A">
            <w:pPr>
              <w:pStyle w:val="TableText"/>
              <w:rPr>
                <w:sz w:val="20"/>
                <w:szCs w:val="20"/>
              </w:rPr>
            </w:pPr>
            <w:r w:rsidRPr="00C03678">
              <w:rPr>
                <w:sz w:val="20"/>
                <w:szCs w:val="20"/>
              </w:rPr>
              <w:t>NSE Strategy</w:t>
            </w:r>
          </w:p>
        </w:tc>
        <w:tc>
          <w:tcPr>
            <w:tcW w:w="6095" w:type="dxa"/>
            <w:tcBorders>
              <w:top w:val="single" w:sz="8" w:space="0" w:color="BFBFBF"/>
              <w:left w:val="single" w:sz="8" w:space="0" w:color="BFBFBF"/>
              <w:bottom w:val="single" w:sz="8" w:space="0" w:color="BFBFBF"/>
              <w:right w:val="nil"/>
            </w:tcBorders>
          </w:tcPr>
          <w:p w14:paraId="215C755B" w14:textId="77777777" w:rsidR="005117CD" w:rsidRPr="00C03678" w:rsidRDefault="005117CD" w:rsidP="00B6651A">
            <w:pPr>
              <w:pStyle w:val="TableText"/>
              <w:rPr>
                <w:sz w:val="20"/>
                <w:szCs w:val="20"/>
              </w:rPr>
            </w:pPr>
            <w:r w:rsidRPr="00C03678">
              <w:rPr>
                <w:sz w:val="20"/>
                <w:szCs w:val="20"/>
              </w:rPr>
              <w:t xml:space="preserve">A </w:t>
            </w:r>
            <w:r w:rsidRPr="00C03678">
              <w:rPr>
                <w:i/>
                <w:sz w:val="20"/>
                <w:szCs w:val="20"/>
              </w:rPr>
              <w:t>NSE Seismic Design Strategy</w:t>
            </w:r>
            <w:r w:rsidRPr="00C03678">
              <w:rPr>
                <w:sz w:val="20"/>
                <w:szCs w:val="20"/>
              </w:rPr>
              <w:t xml:space="preserve"> is required (all phase deliverables).</w:t>
            </w:r>
          </w:p>
        </w:tc>
      </w:tr>
      <w:tr w:rsidR="007B6688" w:rsidRPr="00C03678" w14:paraId="13D34C91" w14:textId="77777777" w:rsidTr="004C3A27">
        <w:tc>
          <w:tcPr>
            <w:tcW w:w="1234" w:type="dxa"/>
            <w:tcBorders>
              <w:top w:val="single" w:sz="8" w:space="0" w:color="BFBFBF"/>
              <w:left w:val="nil"/>
              <w:bottom w:val="single" w:sz="8" w:space="0" w:color="BFBFBF"/>
              <w:right w:val="single" w:sz="8" w:space="0" w:color="BFBFBF"/>
            </w:tcBorders>
          </w:tcPr>
          <w:p w14:paraId="1BE54F24" w14:textId="71525C1A"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_Ref157149034 \r \h  \* MERGEFORMAT </w:instrText>
            </w:r>
            <w:r w:rsidRPr="00C03678">
              <w:rPr>
                <w:sz w:val="20"/>
                <w:szCs w:val="20"/>
              </w:rPr>
            </w:r>
            <w:r w:rsidRPr="00C03678">
              <w:rPr>
                <w:sz w:val="20"/>
                <w:szCs w:val="20"/>
              </w:rPr>
              <w:fldChar w:fldCharType="separate"/>
            </w:r>
            <w:r w:rsidR="000761C1">
              <w:rPr>
                <w:sz w:val="20"/>
                <w:szCs w:val="20"/>
              </w:rPr>
              <w:t>A3.3</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4719E208" w14:textId="77777777" w:rsidR="005117CD" w:rsidRPr="00C03678" w:rsidRDefault="005117CD" w:rsidP="00B6651A">
            <w:pPr>
              <w:pStyle w:val="TableText"/>
              <w:rPr>
                <w:sz w:val="20"/>
                <w:szCs w:val="20"/>
              </w:rPr>
            </w:pPr>
            <w:r w:rsidRPr="00C03678">
              <w:rPr>
                <w:sz w:val="20"/>
                <w:szCs w:val="20"/>
              </w:rPr>
              <w:t>Up-front Carbon Reporting</w:t>
            </w:r>
          </w:p>
        </w:tc>
        <w:tc>
          <w:tcPr>
            <w:tcW w:w="6095" w:type="dxa"/>
            <w:tcBorders>
              <w:top w:val="single" w:sz="8" w:space="0" w:color="BFBFBF"/>
              <w:left w:val="single" w:sz="8" w:space="0" w:color="BFBFBF"/>
              <w:bottom w:val="single" w:sz="8" w:space="0" w:color="BFBFBF"/>
              <w:right w:val="nil"/>
            </w:tcBorders>
          </w:tcPr>
          <w:p w14:paraId="47013176" w14:textId="77777777" w:rsidR="005117CD" w:rsidRPr="00C03678" w:rsidRDefault="005117CD" w:rsidP="00B6651A">
            <w:pPr>
              <w:pStyle w:val="TableText"/>
              <w:rPr>
                <w:sz w:val="20"/>
                <w:szCs w:val="20"/>
              </w:rPr>
            </w:pPr>
            <w:r w:rsidRPr="00C03678">
              <w:rPr>
                <w:i/>
                <w:iCs/>
                <w:sz w:val="20"/>
                <w:szCs w:val="20"/>
              </w:rPr>
              <w:t>Up-front Carbon</w:t>
            </w:r>
            <w:r w:rsidRPr="00C03678">
              <w:rPr>
                <w:sz w:val="20"/>
                <w:szCs w:val="20"/>
              </w:rPr>
              <w:t xml:space="preserve"> estimates for structural and geotechnical disciplines shall be reported in a standard format at all design phases.</w:t>
            </w:r>
          </w:p>
        </w:tc>
      </w:tr>
      <w:tr w:rsidR="007B6688" w:rsidRPr="00C03678" w14:paraId="37D27773" w14:textId="77777777" w:rsidTr="004C3A27">
        <w:tc>
          <w:tcPr>
            <w:tcW w:w="1234" w:type="dxa"/>
            <w:tcBorders>
              <w:top w:val="single" w:sz="8" w:space="0" w:color="BFBFBF"/>
              <w:left w:val="nil"/>
              <w:bottom w:val="single" w:sz="8" w:space="0" w:color="BFBFBF"/>
              <w:right w:val="single" w:sz="8" w:space="0" w:color="BFBFBF"/>
            </w:tcBorders>
          </w:tcPr>
          <w:p w14:paraId="2C2D2234" w14:textId="5C59106F"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_Ref157149034 \r \h  \* MERGEFORMAT </w:instrText>
            </w:r>
            <w:r w:rsidRPr="00C03678">
              <w:rPr>
                <w:sz w:val="20"/>
                <w:szCs w:val="20"/>
              </w:rPr>
            </w:r>
            <w:r w:rsidRPr="00C03678">
              <w:rPr>
                <w:sz w:val="20"/>
                <w:szCs w:val="20"/>
              </w:rPr>
              <w:fldChar w:fldCharType="separate"/>
            </w:r>
            <w:r w:rsidR="000761C1">
              <w:rPr>
                <w:sz w:val="20"/>
                <w:szCs w:val="20"/>
              </w:rPr>
              <w:t>A3.3</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5A860253" w14:textId="77777777" w:rsidR="005117CD" w:rsidRPr="00C03678" w:rsidRDefault="005117CD" w:rsidP="00B6651A">
            <w:pPr>
              <w:pStyle w:val="TableText"/>
              <w:rPr>
                <w:sz w:val="20"/>
                <w:szCs w:val="20"/>
              </w:rPr>
            </w:pPr>
            <w:r w:rsidRPr="00C03678">
              <w:rPr>
                <w:sz w:val="20"/>
                <w:szCs w:val="20"/>
              </w:rPr>
              <w:t>Life Cycle Assessment (LCA)</w:t>
            </w:r>
          </w:p>
        </w:tc>
        <w:tc>
          <w:tcPr>
            <w:tcW w:w="6095" w:type="dxa"/>
            <w:tcBorders>
              <w:top w:val="single" w:sz="8" w:space="0" w:color="BFBFBF"/>
              <w:left w:val="single" w:sz="8" w:space="0" w:color="BFBFBF"/>
              <w:bottom w:val="single" w:sz="8" w:space="0" w:color="BFBFBF"/>
              <w:right w:val="nil"/>
            </w:tcBorders>
          </w:tcPr>
          <w:p w14:paraId="62141765" w14:textId="77777777" w:rsidR="005117CD" w:rsidRPr="00C03678" w:rsidRDefault="005117CD" w:rsidP="00B6651A">
            <w:pPr>
              <w:pStyle w:val="TableText"/>
              <w:rPr>
                <w:sz w:val="20"/>
                <w:szCs w:val="20"/>
              </w:rPr>
            </w:pPr>
            <w:r w:rsidRPr="00C03678">
              <w:rPr>
                <w:sz w:val="20"/>
                <w:szCs w:val="20"/>
              </w:rPr>
              <w:t>A verified project LCA is required.</w:t>
            </w:r>
          </w:p>
        </w:tc>
      </w:tr>
      <w:tr w:rsidR="007B6688" w:rsidRPr="00C03678" w14:paraId="50EBE012" w14:textId="77777777" w:rsidTr="004C3A27">
        <w:tc>
          <w:tcPr>
            <w:tcW w:w="1234" w:type="dxa"/>
            <w:tcBorders>
              <w:top w:val="single" w:sz="8" w:space="0" w:color="BFBFBF"/>
              <w:left w:val="nil"/>
              <w:bottom w:val="single" w:sz="8" w:space="0" w:color="BFBFBF"/>
              <w:right w:val="single" w:sz="8" w:space="0" w:color="BFBFBF"/>
            </w:tcBorders>
          </w:tcPr>
          <w:p w14:paraId="203D56FD" w14:textId="0AC31858"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_Ref149568440 \r \h  \* MERGEFORMAT </w:instrText>
            </w:r>
            <w:r w:rsidRPr="00C03678">
              <w:rPr>
                <w:sz w:val="20"/>
                <w:szCs w:val="20"/>
              </w:rPr>
            </w:r>
            <w:r w:rsidRPr="00C03678">
              <w:rPr>
                <w:sz w:val="20"/>
                <w:szCs w:val="20"/>
              </w:rPr>
              <w:fldChar w:fldCharType="separate"/>
            </w:r>
            <w:r w:rsidR="000761C1">
              <w:rPr>
                <w:sz w:val="20"/>
                <w:szCs w:val="20"/>
              </w:rPr>
              <w:t>A3.4.1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6C3EE413" w14:textId="77777777" w:rsidR="005117CD" w:rsidRPr="00C03678" w:rsidRDefault="005117CD" w:rsidP="00B6651A">
            <w:pPr>
              <w:pStyle w:val="TableText"/>
              <w:rPr>
                <w:sz w:val="20"/>
                <w:szCs w:val="20"/>
              </w:rPr>
            </w:pPr>
            <w:r w:rsidRPr="00C03678">
              <w:rPr>
                <w:sz w:val="20"/>
                <w:szCs w:val="20"/>
              </w:rPr>
              <w:t>NZGD</w:t>
            </w:r>
          </w:p>
        </w:tc>
        <w:tc>
          <w:tcPr>
            <w:tcW w:w="6095" w:type="dxa"/>
            <w:tcBorders>
              <w:top w:val="single" w:sz="8" w:space="0" w:color="BFBFBF"/>
              <w:left w:val="single" w:sz="8" w:space="0" w:color="BFBFBF"/>
              <w:bottom w:val="single" w:sz="8" w:space="0" w:color="BFBFBF"/>
              <w:right w:val="nil"/>
            </w:tcBorders>
          </w:tcPr>
          <w:p w14:paraId="43C0A7A3" w14:textId="77777777" w:rsidR="005117CD" w:rsidRPr="00C03678" w:rsidRDefault="005117CD" w:rsidP="00B6651A">
            <w:pPr>
              <w:pStyle w:val="TableText"/>
              <w:rPr>
                <w:sz w:val="20"/>
                <w:szCs w:val="20"/>
              </w:rPr>
            </w:pPr>
            <w:r w:rsidRPr="00C03678">
              <w:rPr>
                <w:sz w:val="20"/>
                <w:szCs w:val="20"/>
              </w:rPr>
              <w:t>All geotechnical investigation data for Health NZ projects shall be uploaded to the New Zealand Geotechnical Database.</w:t>
            </w:r>
          </w:p>
        </w:tc>
      </w:tr>
      <w:tr w:rsidR="007B6688" w:rsidRPr="00C03678" w14:paraId="014EA593" w14:textId="77777777" w:rsidTr="004C3A27">
        <w:tc>
          <w:tcPr>
            <w:tcW w:w="1234" w:type="dxa"/>
            <w:tcBorders>
              <w:top w:val="single" w:sz="8" w:space="0" w:color="BFBFBF"/>
              <w:left w:val="nil"/>
              <w:bottom w:val="single" w:sz="8" w:space="0" w:color="BFBFBF"/>
              <w:right w:val="single" w:sz="8" w:space="0" w:color="BFBFBF"/>
            </w:tcBorders>
          </w:tcPr>
          <w:p w14:paraId="03FFF3CD" w14:textId="2EA47B85"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_Ref150756251 \r \h  \* MERGEFORMAT </w:instrText>
            </w:r>
            <w:r w:rsidRPr="00C03678">
              <w:rPr>
                <w:sz w:val="20"/>
                <w:szCs w:val="20"/>
              </w:rPr>
            </w:r>
            <w:r w:rsidRPr="00C03678">
              <w:rPr>
                <w:sz w:val="20"/>
                <w:szCs w:val="20"/>
              </w:rPr>
              <w:fldChar w:fldCharType="separate"/>
            </w:r>
            <w:r w:rsidR="000761C1">
              <w:rPr>
                <w:sz w:val="20"/>
                <w:szCs w:val="20"/>
              </w:rPr>
              <w:t>B2.3.1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0D38AA1C" w14:textId="77777777" w:rsidR="005117CD" w:rsidRPr="00C03678" w:rsidRDefault="005117CD" w:rsidP="00B6651A">
            <w:pPr>
              <w:pStyle w:val="TableText"/>
              <w:rPr>
                <w:sz w:val="20"/>
                <w:szCs w:val="20"/>
              </w:rPr>
            </w:pPr>
            <w:r w:rsidRPr="00C03678">
              <w:rPr>
                <w:sz w:val="20"/>
                <w:szCs w:val="20"/>
              </w:rPr>
              <w:t>Seismic Performance Framework</w:t>
            </w:r>
          </w:p>
        </w:tc>
        <w:tc>
          <w:tcPr>
            <w:tcW w:w="6095" w:type="dxa"/>
            <w:tcBorders>
              <w:top w:val="single" w:sz="8" w:space="0" w:color="BFBFBF"/>
              <w:left w:val="single" w:sz="8" w:space="0" w:color="BFBFBF"/>
              <w:bottom w:val="single" w:sz="8" w:space="0" w:color="BFBFBF"/>
              <w:right w:val="nil"/>
            </w:tcBorders>
          </w:tcPr>
          <w:p w14:paraId="51E2B535" w14:textId="23BF2C50" w:rsidR="005117CD" w:rsidRPr="00C03678" w:rsidRDefault="005117CD" w:rsidP="00B6651A">
            <w:pPr>
              <w:pStyle w:val="TableText"/>
              <w:rPr>
                <w:sz w:val="20"/>
                <w:szCs w:val="20"/>
              </w:rPr>
            </w:pPr>
            <w:r w:rsidRPr="00C03678">
              <w:rPr>
                <w:sz w:val="20"/>
                <w:szCs w:val="20"/>
              </w:rPr>
              <w:t xml:space="preserve">All design limit states shown in Table 9 shall be considered, including SLS2 and DCLS as defined in this section and Section </w:t>
            </w:r>
            <w:r w:rsidRPr="00C03678">
              <w:rPr>
                <w:sz w:val="20"/>
                <w:szCs w:val="20"/>
              </w:rPr>
              <w:fldChar w:fldCharType="begin"/>
            </w:r>
            <w:r w:rsidRPr="00C03678">
              <w:rPr>
                <w:sz w:val="20"/>
                <w:szCs w:val="20"/>
              </w:rPr>
              <w:instrText xml:space="preserve"> REF _Ref150180900 \r \h  \* MERGEFORMAT </w:instrText>
            </w:r>
            <w:r w:rsidRPr="00C03678">
              <w:rPr>
                <w:sz w:val="20"/>
                <w:szCs w:val="20"/>
              </w:rPr>
            </w:r>
            <w:r w:rsidRPr="00C03678">
              <w:rPr>
                <w:sz w:val="20"/>
                <w:szCs w:val="20"/>
              </w:rPr>
              <w:fldChar w:fldCharType="separate"/>
            </w:r>
            <w:r w:rsidR="000761C1">
              <w:rPr>
                <w:sz w:val="20"/>
                <w:szCs w:val="20"/>
              </w:rPr>
              <w:t>B2.5</w:t>
            </w:r>
            <w:r w:rsidRPr="00C03678">
              <w:rPr>
                <w:sz w:val="20"/>
                <w:szCs w:val="20"/>
              </w:rPr>
              <w:fldChar w:fldCharType="end"/>
            </w:r>
            <w:r w:rsidRPr="00C03678">
              <w:rPr>
                <w:sz w:val="20"/>
                <w:szCs w:val="20"/>
              </w:rPr>
              <w:t>.</w:t>
            </w:r>
          </w:p>
        </w:tc>
      </w:tr>
      <w:tr w:rsidR="007B6688" w:rsidRPr="00C03678" w14:paraId="6A282BF6" w14:textId="77777777" w:rsidTr="004C3A27">
        <w:tc>
          <w:tcPr>
            <w:tcW w:w="1234" w:type="dxa"/>
            <w:tcBorders>
              <w:top w:val="single" w:sz="8" w:space="0" w:color="BFBFBF"/>
              <w:left w:val="nil"/>
              <w:bottom w:val="single" w:sz="8" w:space="0" w:color="BFBFBF"/>
              <w:right w:val="single" w:sz="8" w:space="0" w:color="BFBFBF"/>
            </w:tcBorders>
          </w:tcPr>
          <w:p w14:paraId="41329A6C" w14:textId="28A35B37"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_Ref152313887 \r \h  \* MERGEFORMAT </w:instrText>
            </w:r>
            <w:r w:rsidRPr="00C03678">
              <w:rPr>
                <w:sz w:val="20"/>
                <w:szCs w:val="20"/>
              </w:rPr>
            </w:r>
            <w:r w:rsidRPr="00C03678">
              <w:rPr>
                <w:sz w:val="20"/>
                <w:szCs w:val="20"/>
              </w:rPr>
              <w:fldChar w:fldCharType="separate"/>
            </w:r>
            <w:r w:rsidR="000761C1">
              <w:rPr>
                <w:sz w:val="20"/>
                <w:szCs w:val="20"/>
              </w:rPr>
              <w:t>B2.4</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4D5AE68B" w14:textId="77777777" w:rsidR="005117CD" w:rsidRPr="00C03678" w:rsidRDefault="005117CD" w:rsidP="00B6651A">
            <w:pPr>
              <w:pStyle w:val="TableText"/>
              <w:rPr>
                <w:sz w:val="20"/>
                <w:szCs w:val="20"/>
              </w:rPr>
            </w:pPr>
            <w:r w:rsidRPr="00C03678">
              <w:rPr>
                <w:sz w:val="20"/>
                <w:szCs w:val="20"/>
              </w:rPr>
              <w:t>Structural robustness</w:t>
            </w:r>
          </w:p>
        </w:tc>
        <w:tc>
          <w:tcPr>
            <w:tcW w:w="6095" w:type="dxa"/>
            <w:tcBorders>
              <w:top w:val="single" w:sz="8" w:space="0" w:color="BFBFBF"/>
              <w:left w:val="single" w:sz="8" w:space="0" w:color="BFBFBF"/>
              <w:bottom w:val="single" w:sz="8" w:space="0" w:color="BFBFBF"/>
              <w:right w:val="nil"/>
            </w:tcBorders>
          </w:tcPr>
          <w:p w14:paraId="334B4879" w14:textId="77777777" w:rsidR="005117CD" w:rsidRPr="00C03678" w:rsidRDefault="005117CD" w:rsidP="00B6651A">
            <w:pPr>
              <w:pStyle w:val="TableText"/>
              <w:rPr>
                <w:sz w:val="20"/>
                <w:szCs w:val="20"/>
              </w:rPr>
            </w:pPr>
            <w:r w:rsidRPr="00C03678">
              <w:rPr>
                <w:sz w:val="20"/>
                <w:szCs w:val="20"/>
              </w:rPr>
              <w:t xml:space="preserve">The recommendations of the 2022 </w:t>
            </w:r>
            <w:r w:rsidRPr="00C03678">
              <w:rPr>
                <w:i/>
                <w:sz w:val="20"/>
                <w:szCs w:val="20"/>
              </w:rPr>
              <w:t>Design for Uncertainty</w:t>
            </w:r>
            <w:r w:rsidRPr="00C03678">
              <w:rPr>
                <w:sz w:val="20"/>
                <w:szCs w:val="20"/>
              </w:rPr>
              <w:t xml:space="preserve"> Advisory shall be applied, as clarified by the tabulated commentary in this section.</w:t>
            </w:r>
          </w:p>
        </w:tc>
      </w:tr>
      <w:tr w:rsidR="007B6688" w:rsidRPr="00C03678" w14:paraId="437C4F8A" w14:textId="77777777" w:rsidTr="004C3A27">
        <w:tc>
          <w:tcPr>
            <w:tcW w:w="1234" w:type="dxa"/>
            <w:tcBorders>
              <w:top w:val="single" w:sz="8" w:space="0" w:color="BFBFBF"/>
              <w:left w:val="nil"/>
              <w:bottom w:val="single" w:sz="8" w:space="0" w:color="BFBFBF"/>
              <w:right w:val="single" w:sz="8" w:space="0" w:color="BFBFBF"/>
            </w:tcBorders>
          </w:tcPr>
          <w:p w14:paraId="222B6CB0" w14:textId="7A3E1D21"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_Ref149720073 \r \h  \* MERGEFORMAT </w:instrText>
            </w:r>
            <w:r w:rsidRPr="00C03678">
              <w:rPr>
                <w:sz w:val="20"/>
                <w:szCs w:val="20"/>
              </w:rPr>
            </w:r>
            <w:r w:rsidRPr="00C03678">
              <w:rPr>
                <w:sz w:val="20"/>
                <w:szCs w:val="20"/>
              </w:rPr>
              <w:fldChar w:fldCharType="separate"/>
            </w:r>
            <w:r w:rsidR="000761C1">
              <w:rPr>
                <w:sz w:val="20"/>
                <w:szCs w:val="20"/>
              </w:rPr>
              <w:t>B3.1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76F55A20" w14:textId="77777777" w:rsidR="005117CD" w:rsidRPr="00C03678" w:rsidRDefault="005117CD" w:rsidP="00B6651A">
            <w:pPr>
              <w:pStyle w:val="TableText"/>
              <w:rPr>
                <w:sz w:val="20"/>
                <w:szCs w:val="20"/>
              </w:rPr>
            </w:pPr>
            <w:r w:rsidRPr="00C03678">
              <w:rPr>
                <w:sz w:val="20"/>
                <w:szCs w:val="20"/>
              </w:rPr>
              <w:t>Structural durability</w:t>
            </w:r>
          </w:p>
        </w:tc>
        <w:tc>
          <w:tcPr>
            <w:tcW w:w="6095" w:type="dxa"/>
            <w:tcBorders>
              <w:top w:val="single" w:sz="8" w:space="0" w:color="BFBFBF"/>
              <w:left w:val="single" w:sz="8" w:space="0" w:color="BFBFBF"/>
              <w:bottom w:val="single" w:sz="8" w:space="0" w:color="BFBFBF"/>
              <w:right w:val="nil"/>
            </w:tcBorders>
          </w:tcPr>
          <w:p w14:paraId="3D8F74B0" w14:textId="77777777" w:rsidR="005117CD" w:rsidRPr="00C03678" w:rsidRDefault="005117CD" w:rsidP="00B6651A">
            <w:pPr>
              <w:pStyle w:val="TableText"/>
              <w:rPr>
                <w:sz w:val="20"/>
                <w:szCs w:val="20"/>
              </w:rPr>
            </w:pPr>
            <w:r w:rsidRPr="00C03678">
              <w:rPr>
                <w:sz w:val="20"/>
                <w:szCs w:val="20"/>
              </w:rPr>
              <w:t>The Specified Intended Life for structural durability purposes shall be 100 years generally, but 50 years for low-corrosion internal environments.</w:t>
            </w:r>
          </w:p>
        </w:tc>
      </w:tr>
      <w:tr w:rsidR="007B6688" w:rsidRPr="00C03678" w14:paraId="1B98170E" w14:textId="77777777" w:rsidTr="004C3A27">
        <w:tc>
          <w:tcPr>
            <w:tcW w:w="1234" w:type="dxa"/>
            <w:tcBorders>
              <w:top w:val="single" w:sz="8" w:space="0" w:color="BFBFBF"/>
              <w:left w:val="nil"/>
              <w:bottom w:val="single" w:sz="8" w:space="0" w:color="BFBFBF"/>
              <w:right w:val="single" w:sz="8" w:space="0" w:color="BFBFBF"/>
            </w:tcBorders>
          </w:tcPr>
          <w:p w14:paraId="1304458A" w14:textId="155685AB"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_Ref149720073 \r \h  \* MERGEFORMAT </w:instrText>
            </w:r>
            <w:r w:rsidRPr="00C03678">
              <w:rPr>
                <w:sz w:val="20"/>
                <w:szCs w:val="20"/>
              </w:rPr>
            </w:r>
            <w:r w:rsidRPr="00C03678">
              <w:rPr>
                <w:sz w:val="20"/>
                <w:szCs w:val="20"/>
              </w:rPr>
              <w:fldChar w:fldCharType="separate"/>
            </w:r>
            <w:r w:rsidR="000761C1">
              <w:rPr>
                <w:sz w:val="20"/>
                <w:szCs w:val="20"/>
              </w:rPr>
              <w:t>B3.1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25EC81E5" w14:textId="77777777" w:rsidR="005117CD" w:rsidRPr="00C03678" w:rsidRDefault="005117CD" w:rsidP="00B6651A">
            <w:pPr>
              <w:pStyle w:val="TableText"/>
              <w:rPr>
                <w:sz w:val="20"/>
                <w:szCs w:val="20"/>
              </w:rPr>
            </w:pPr>
            <w:r w:rsidRPr="00C03678">
              <w:rPr>
                <w:sz w:val="20"/>
                <w:szCs w:val="20"/>
              </w:rPr>
              <w:t>Steelwork coatings</w:t>
            </w:r>
          </w:p>
        </w:tc>
        <w:tc>
          <w:tcPr>
            <w:tcW w:w="6095" w:type="dxa"/>
            <w:tcBorders>
              <w:top w:val="single" w:sz="8" w:space="0" w:color="BFBFBF"/>
              <w:left w:val="single" w:sz="8" w:space="0" w:color="BFBFBF"/>
              <w:bottom w:val="single" w:sz="8" w:space="0" w:color="BFBFBF"/>
              <w:right w:val="nil"/>
            </w:tcBorders>
          </w:tcPr>
          <w:p w14:paraId="7D4001F5" w14:textId="532565C7" w:rsidR="005117CD" w:rsidRPr="00C03678" w:rsidRDefault="000E58C9" w:rsidP="00B6651A">
            <w:pPr>
              <w:pStyle w:val="TableText"/>
              <w:rPr>
                <w:sz w:val="20"/>
                <w:szCs w:val="20"/>
              </w:rPr>
            </w:pPr>
            <w:r w:rsidRPr="00C03678">
              <w:rPr>
                <w:sz w:val="20"/>
                <w:szCs w:val="20"/>
              </w:rPr>
              <w:t xml:space="preserve">Inputs sufficient for </w:t>
            </w:r>
            <w:r w:rsidR="005117CD" w:rsidRPr="00C03678">
              <w:rPr>
                <w:sz w:val="20"/>
                <w:szCs w:val="20"/>
              </w:rPr>
              <w:t>whole-of-life cost analysis shall be prepared to confirm selection of coating system performance criteria.</w:t>
            </w:r>
          </w:p>
        </w:tc>
      </w:tr>
      <w:tr w:rsidR="007B6688" w:rsidRPr="00C03678" w14:paraId="6FEA6930" w14:textId="77777777" w:rsidTr="004C3A27">
        <w:tc>
          <w:tcPr>
            <w:tcW w:w="1234" w:type="dxa"/>
            <w:tcBorders>
              <w:top w:val="single" w:sz="8" w:space="0" w:color="BFBFBF"/>
              <w:left w:val="nil"/>
              <w:bottom w:val="single" w:sz="8" w:space="0" w:color="BFBFBF"/>
              <w:right w:val="single" w:sz="8" w:space="0" w:color="BFBFBF"/>
            </w:tcBorders>
          </w:tcPr>
          <w:p w14:paraId="34B94216" w14:textId="074D130E"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_Ref165453565 \r \h  \* MERGEFORMAT </w:instrText>
            </w:r>
            <w:r w:rsidRPr="00C03678">
              <w:rPr>
                <w:sz w:val="20"/>
                <w:szCs w:val="20"/>
              </w:rPr>
            </w:r>
            <w:r w:rsidRPr="00C03678">
              <w:rPr>
                <w:sz w:val="20"/>
                <w:szCs w:val="20"/>
              </w:rPr>
              <w:fldChar w:fldCharType="separate"/>
            </w:r>
            <w:r w:rsidR="000761C1">
              <w:rPr>
                <w:sz w:val="20"/>
                <w:szCs w:val="20"/>
              </w:rPr>
              <w:t>B5.1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42292334" w14:textId="77777777" w:rsidR="005117CD" w:rsidRPr="00C03678" w:rsidRDefault="005117CD" w:rsidP="00B6651A">
            <w:pPr>
              <w:pStyle w:val="TableText"/>
              <w:rPr>
                <w:sz w:val="20"/>
                <w:szCs w:val="20"/>
              </w:rPr>
            </w:pPr>
            <w:r w:rsidRPr="00C03678">
              <w:rPr>
                <w:sz w:val="20"/>
                <w:szCs w:val="20"/>
              </w:rPr>
              <w:t>Vibration of Floors</w:t>
            </w:r>
          </w:p>
        </w:tc>
        <w:tc>
          <w:tcPr>
            <w:tcW w:w="6095" w:type="dxa"/>
            <w:tcBorders>
              <w:top w:val="single" w:sz="8" w:space="0" w:color="BFBFBF"/>
              <w:left w:val="single" w:sz="8" w:space="0" w:color="BFBFBF"/>
              <w:bottom w:val="single" w:sz="8" w:space="0" w:color="BFBFBF"/>
              <w:right w:val="nil"/>
            </w:tcBorders>
          </w:tcPr>
          <w:p w14:paraId="3F385A3B" w14:textId="77777777" w:rsidR="005117CD" w:rsidRPr="00C03678" w:rsidRDefault="005117CD" w:rsidP="00B6651A">
            <w:pPr>
              <w:pStyle w:val="TableText"/>
              <w:rPr>
                <w:sz w:val="20"/>
                <w:szCs w:val="20"/>
              </w:rPr>
            </w:pPr>
            <w:r w:rsidRPr="00C03678">
              <w:rPr>
                <w:sz w:val="20"/>
                <w:szCs w:val="20"/>
              </w:rPr>
              <w:t>Evaluate response to footfall-induced vibration, and consider if there are extraordinary areas where other vibration sources may require consideration.</w:t>
            </w:r>
          </w:p>
        </w:tc>
      </w:tr>
      <w:tr w:rsidR="007B6688" w:rsidRPr="00C03678" w14:paraId="624964E3" w14:textId="77777777" w:rsidTr="004C3A27">
        <w:tc>
          <w:tcPr>
            <w:tcW w:w="1234" w:type="dxa"/>
            <w:tcBorders>
              <w:top w:val="single" w:sz="8" w:space="0" w:color="BFBFBF"/>
              <w:left w:val="nil"/>
              <w:bottom w:val="single" w:sz="8" w:space="0" w:color="BFBFBF"/>
              <w:right w:val="single" w:sz="8" w:space="0" w:color="BFBFBF"/>
            </w:tcBorders>
          </w:tcPr>
          <w:p w14:paraId="0ED25BE3" w14:textId="72B6FD13" w:rsidR="005117CD" w:rsidRPr="00C03678" w:rsidRDefault="005117CD" w:rsidP="00B6651A">
            <w:pPr>
              <w:pStyle w:val="TableText"/>
              <w:rPr>
                <w:sz w:val="20"/>
                <w:szCs w:val="20"/>
              </w:rPr>
            </w:pPr>
            <w:r w:rsidRPr="00C03678">
              <w:rPr>
                <w:sz w:val="20"/>
                <w:szCs w:val="20"/>
              </w:rPr>
              <w:fldChar w:fldCharType="begin"/>
            </w:r>
            <w:r w:rsidRPr="00C03678">
              <w:rPr>
                <w:sz w:val="20"/>
                <w:szCs w:val="20"/>
              </w:rPr>
              <w:instrText xml:space="preserve"> REF _Ref165531988 \r \h  \* MERGEFORMAT </w:instrText>
            </w:r>
            <w:r w:rsidRPr="00C03678">
              <w:rPr>
                <w:sz w:val="20"/>
                <w:szCs w:val="20"/>
              </w:rPr>
            </w:r>
            <w:r w:rsidRPr="00C03678">
              <w:rPr>
                <w:sz w:val="20"/>
                <w:szCs w:val="20"/>
              </w:rPr>
              <w:fldChar w:fldCharType="separate"/>
            </w:r>
            <w:r w:rsidR="000761C1">
              <w:rPr>
                <w:sz w:val="20"/>
                <w:szCs w:val="20"/>
              </w:rPr>
              <w:t>B6.2</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371BDA46" w14:textId="77777777" w:rsidR="005117CD" w:rsidRPr="00C03678" w:rsidRDefault="005117CD" w:rsidP="00B6651A">
            <w:pPr>
              <w:pStyle w:val="TableText"/>
              <w:rPr>
                <w:sz w:val="20"/>
                <w:szCs w:val="20"/>
              </w:rPr>
            </w:pPr>
            <w:r w:rsidRPr="00C03678">
              <w:rPr>
                <w:sz w:val="20"/>
                <w:szCs w:val="20"/>
              </w:rPr>
              <w:t>Adaptable design of floor structures</w:t>
            </w:r>
          </w:p>
        </w:tc>
        <w:tc>
          <w:tcPr>
            <w:tcW w:w="6095" w:type="dxa"/>
            <w:tcBorders>
              <w:top w:val="single" w:sz="8" w:space="0" w:color="BFBFBF"/>
              <w:left w:val="single" w:sz="8" w:space="0" w:color="BFBFBF"/>
              <w:bottom w:val="single" w:sz="8" w:space="0" w:color="BFBFBF"/>
              <w:right w:val="nil"/>
            </w:tcBorders>
          </w:tcPr>
          <w:p w14:paraId="42917BDB" w14:textId="77777777" w:rsidR="005117CD" w:rsidRPr="00C03678" w:rsidRDefault="005117CD" w:rsidP="00B6651A">
            <w:pPr>
              <w:pStyle w:val="TableText"/>
              <w:rPr>
                <w:sz w:val="20"/>
                <w:szCs w:val="20"/>
              </w:rPr>
            </w:pPr>
            <w:r w:rsidRPr="00C03678">
              <w:rPr>
                <w:sz w:val="20"/>
                <w:szCs w:val="20"/>
              </w:rPr>
              <w:t>Consider strategies that provide a practical level of adaptability (the “long-life, loose-fit” principle), and weigh these in tension with estimated up-front cost premiums and likelihood of value realisation.</w:t>
            </w:r>
          </w:p>
        </w:tc>
      </w:tr>
      <w:tr w:rsidR="007B6688" w:rsidRPr="00C03678" w14:paraId="398D585B" w14:textId="77777777" w:rsidTr="004C3A27">
        <w:tc>
          <w:tcPr>
            <w:tcW w:w="1234" w:type="dxa"/>
            <w:tcBorders>
              <w:top w:val="single" w:sz="8" w:space="0" w:color="BFBFBF"/>
              <w:left w:val="nil"/>
              <w:bottom w:val="single" w:sz="8" w:space="0" w:color="BFBFBF"/>
              <w:right w:val="single" w:sz="8" w:space="0" w:color="BFBFBF"/>
            </w:tcBorders>
          </w:tcPr>
          <w:p w14:paraId="0550C7AB" w14:textId="3633C65B" w:rsidR="004F5C61" w:rsidRPr="00C03678" w:rsidRDefault="004F5C61" w:rsidP="00B6651A">
            <w:pPr>
              <w:pStyle w:val="TableText"/>
              <w:rPr>
                <w:sz w:val="20"/>
                <w:szCs w:val="20"/>
              </w:rPr>
            </w:pPr>
            <w:r w:rsidRPr="00C03678">
              <w:rPr>
                <w:sz w:val="20"/>
                <w:szCs w:val="20"/>
              </w:rPr>
              <w:fldChar w:fldCharType="begin"/>
            </w:r>
            <w:r w:rsidRPr="00C03678">
              <w:rPr>
                <w:sz w:val="20"/>
                <w:szCs w:val="20"/>
              </w:rPr>
              <w:instrText xml:space="preserve"> REF _Ref180127051 \r \h </w:instrText>
            </w:r>
            <w:r w:rsidR="002A3817" w:rsidRPr="00C03678">
              <w:rPr>
                <w:sz w:val="20"/>
                <w:szCs w:val="20"/>
              </w:rPr>
              <w:instrText xml:space="preserve"> \* MERGEFORMAT </w:instrText>
            </w:r>
            <w:r w:rsidRPr="00C03678">
              <w:rPr>
                <w:sz w:val="20"/>
                <w:szCs w:val="20"/>
              </w:rPr>
            </w:r>
            <w:r w:rsidRPr="00C03678">
              <w:rPr>
                <w:sz w:val="20"/>
                <w:szCs w:val="20"/>
              </w:rPr>
              <w:fldChar w:fldCharType="separate"/>
            </w:r>
            <w:r w:rsidR="000761C1">
              <w:rPr>
                <w:sz w:val="20"/>
                <w:szCs w:val="20"/>
              </w:rPr>
              <w:t>B7.1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07088C8B" w14:textId="3C40A4CF" w:rsidR="004F5C61" w:rsidRPr="00C03678" w:rsidRDefault="004F5C61" w:rsidP="00B6651A">
            <w:pPr>
              <w:pStyle w:val="TableText"/>
              <w:rPr>
                <w:sz w:val="20"/>
                <w:szCs w:val="20"/>
              </w:rPr>
            </w:pPr>
            <w:r w:rsidRPr="00C03678">
              <w:rPr>
                <w:sz w:val="20"/>
                <w:szCs w:val="20"/>
              </w:rPr>
              <w:t>Alterations</w:t>
            </w:r>
          </w:p>
        </w:tc>
        <w:tc>
          <w:tcPr>
            <w:tcW w:w="6095" w:type="dxa"/>
            <w:tcBorders>
              <w:top w:val="single" w:sz="8" w:space="0" w:color="BFBFBF"/>
              <w:left w:val="single" w:sz="8" w:space="0" w:color="BFBFBF"/>
              <w:bottom w:val="single" w:sz="8" w:space="0" w:color="BFBFBF"/>
              <w:right w:val="nil"/>
            </w:tcBorders>
          </w:tcPr>
          <w:p w14:paraId="6E04646B" w14:textId="16FF682D" w:rsidR="004F5C61" w:rsidRPr="00C03678" w:rsidRDefault="004F5C61" w:rsidP="00B6651A">
            <w:pPr>
              <w:pStyle w:val="TableText"/>
              <w:rPr>
                <w:sz w:val="20"/>
                <w:szCs w:val="20"/>
              </w:rPr>
            </w:pPr>
            <w:r w:rsidRPr="00C03678">
              <w:rPr>
                <w:sz w:val="20"/>
                <w:szCs w:val="20"/>
              </w:rPr>
              <w:t>All structural and non-structural alterations, refurbishments and major maintenance projects shall follow the decision making process set out in this section for seismic and structural aspects.</w:t>
            </w:r>
          </w:p>
        </w:tc>
      </w:tr>
      <w:tr w:rsidR="007B6688" w:rsidRPr="00C03678" w14:paraId="114BEDA2" w14:textId="77777777" w:rsidTr="004C3A27">
        <w:trPr>
          <w:trHeight w:val="845"/>
        </w:trPr>
        <w:tc>
          <w:tcPr>
            <w:tcW w:w="1234" w:type="dxa"/>
            <w:tcBorders>
              <w:top w:val="single" w:sz="8" w:space="0" w:color="BFBFBF"/>
              <w:left w:val="nil"/>
              <w:bottom w:val="single" w:sz="8" w:space="0" w:color="BFBFBF"/>
              <w:right w:val="single" w:sz="8" w:space="0" w:color="BFBFBF"/>
            </w:tcBorders>
          </w:tcPr>
          <w:p w14:paraId="34B03A9F" w14:textId="6044F6AE" w:rsidR="004F5C61" w:rsidRPr="00C03678" w:rsidRDefault="004F5C61" w:rsidP="00B6651A">
            <w:pPr>
              <w:pStyle w:val="TableText"/>
              <w:rPr>
                <w:sz w:val="20"/>
                <w:szCs w:val="20"/>
              </w:rPr>
            </w:pPr>
            <w:r w:rsidRPr="00C03678">
              <w:rPr>
                <w:sz w:val="20"/>
                <w:szCs w:val="20"/>
              </w:rPr>
              <w:fldChar w:fldCharType="begin"/>
            </w:r>
            <w:r w:rsidRPr="00C03678">
              <w:rPr>
                <w:sz w:val="20"/>
                <w:szCs w:val="20"/>
              </w:rPr>
              <w:instrText xml:space="preserve"> REF _Ref149568362 \r \h  \* MERGEFORMAT </w:instrText>
            </w:r>
            <w:r w:rsidRPr="00C03678">
              <w:rPr>
                <w:sz w:val="20"/>
                <w:szCs w:val="20"/>
              </w:rPr>
            </w:r>
            <w:r w:rsidRPr="00C03678">
              <w:rPr>
                <w:sz w:val="20"/>
                <w:szCs w:val="20"/>
              </w:rPr>
              <w:fldChar w:fldCharType="separate"/>
            </w:r>
            <w:r w:rsidR="000761C1">
              <w:rPr>
                <w:sz w:val="20"/>
                <w:szCs w:val="20"/>
              </w:rPr>
              <w:t>C1.3.1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67C5BDA7" w14:textId="77777777" w:rsidR="004F5C61" w:rsidRPr="00C03678" w:rsidRDefault="004F5C61" w:rsidP="00B6651A">
            <w:pPr>
              <w:pStyle w:val="TableText"/>
              <w:rPr>
                <w:sz w:val="20"/>
                <w:szCs w:val="20"/>
              </w:rPr>
            </w:pPr>
            <w:r w:rsidRPr="00C03678">
              <w:rPr>
                <w:sz w:val="20"/>
                <w:szCs w:val="20"/>
              </w:rPr>
              <w:t>Seismic Loading (interim requirement)</w:t>
            </w:r>
          </w:p>
        </w:tc>
        <w:tc>
          <w:tcPr>
            <w:tcW w:w="6095" w:type="dxa"/>
            <w:tcBorders>
              <w:top w:val="single" w:sz="8" w:space="0" w:color="BFBFBF"/>
              <w:left w:val="single" w:sz="8" w:space="0" w:color="BFBFBF"/>
              <w:bottom w:val="single" w:sz="8" w:space="0" w:color="BFBFBF"/>
              <w:right w:val="nil"/>
            </w:tcBorders>
          </w:tcPr>
          <w:p w14:paraId="28098BFB" w14:textId="77777777" w:rsidR="004F5C61" w:rsidRPr="00C03678" w:rsidRDefault="004F5C61" w:rsidP="00B6651A">
            <w:pPr>
              <w:pStyle w:val="TableText"/>
              <w:rPr>
                <w:sz w:val="20"/>
                <w:szCs w:val="20"/>
              </w:rPr>
            </w:pPr>
            <w:r w:rsidRPr="00C03678">
              <w:rPr>
                <w:sz w:val="20"/>
                <w:szCs w:val="20"/>
              </w:rPr>
              <w:t>Health NZ requires design teams consider to the impacts of applying TS 1170.5, once published (whilst continuing to apply NZS 1170.5:2004 as the compliance pathway).</w:t>
            </w:r>
          </w:p>
        </w:tc>
      </w:tr>
      <w:tr w:rsidR="007B6688" w:rsidRPr="00C03678" w14:paraId="3CB65A45" w14:textId="77777777" w:rsidTr="004C3A27">
        <w:tc>
          <w:tcPr>
            <w:tcW w:w="1234" w:type="dxa"/>
            <w:tcBorders>
              <w:top w:val="single" w:sz="8" w:space="0" w:color="BFBFBF"/>
              <w:left w:val="nil"/>
              <w:bottom w:val="single" w:sz="8" w:space="0" w:color="BFBFBF"/>
              <w:right w:val="single" w:sz="8" w:space="0" w:color="BFBFBF"/>
            </w:tcBorders>
          </w:tcPr>
          <w:p w14:paraId="28E82456" w14:textId="49A27DB4" w:rsidR="004F5C61" w:rsidRPr="00C03678" w:rsidRDefault="004F5C61" w:rsidP="00B6651A">
            <w:pPr>
              <w:pStyle w:val="TableText"/>
              <w:rPr>
                <w:sz w:val="20"/>
                <w:szCs w:val="20"/>
              </w:rPr>
            </w:pPr>
            <w:r w:rsidRPr="00C03678">
              <w:rPr>
                <w:sz w:val="20"/>
                <w:szCs w:val="20"/>
              </w:rPr>
              <w:fldChar w:fldCharType="begin"/>
            </w:r>
            <w:r w:rsidRPr="00C03678">
              <w:rPr>
                <w:sz w:val="20"/>
                <w:szCs w:val="20"/>
              </w:rPr>
              <w:instrText xml:space="preserve"> REF _Ref152322416 \r \h  \* MERGEFORMAT </w:instrText>
            </w:r>
            <w:r w:rsidRPr="00C03678">
              <w:rPr>
                <w:sz w:val="20"/>
                <w:szCs w:val="20"/>
              </w:rPr>
            </w:r>
            <w:r w:rsidRPr="00C03678">
              <w:rPr>
                <w:sz w:val="20"/>
                <w:szCs w:val="20"/>
              </w:rPr>
              <w:fldChar w:fldCharType="separate"/>
            </w:r>
            <w:r w:rsidR="000761C1">
              <w:rPr>
                <w:sz w:val="20"/>
                <w:szCs w:val="20"/>
              </w:rPr>
              <w:t>C3.1</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6CC6D1D4" w14:textId="77777777" w:rsidR="004F5C61" w:rsidRPr="00C03678" w:rsidRDefault="004F5C61" w:rsidP="00B6651A">
            <w:pPr>
              <w:pStyle w:val="TableText"/>
              <w:rPr>
                <w:sz w:val="20"/>
                <w:szCs w:val="20"/>
              </w:rPr>
            </w:pPr>
            <w:r w:rsidRPr="00C03678">
              <w:rPr>
                <w:sz w:val="20"/>
                <w:szCs w:val="20"/>
              </w:rPr>
              <w:t>Control of Structural Damage</w:t>
            </w:r>
          </w:p>
        </w:tc>
        <w:tc>
          <w:tcPr>
            <w:tcW w:w="6095" w:type="dxa"/>
            <w:tcBorders>
              <w:top w:val="single" w:sz="8" w:space="0" w:color="BFBFBF"/>
              <w:left w:val="single" w:sz="8" w:space="0" w:color="BFBFBF"/>
              <w:bottom w:val="single" w:sz="8" w:space="0" w:color="BFBFBF"/>
              <w:right w:val="nil"/>
            </w:tcBorders>
          </w:tcPr>
          <w:p w14:paraId="226CA302" w14:textId="77777777" w:rsidR="004F5C61" w:rsidRPr="00C03678" w:rsidRDefault="004F5C61" w:rsidP="00B6651A">
            <w:pPr>
              <w:pStyle w:val="TableText"/>
              <w:rPr>
                <w:sz w:val="20"/>
                <w:szCs w:val="20"/>
              </w:rPr>
            </w:pPr>
            <w:r w:rsidRPr="00C03678">
              <w:rPr>
                <w:sz w:val="20"/>
                <w:szCs w:val="20"/>
              </w:rPr>
              <w:t xml:space="preserve">Damage reduction recommendations of SESOC Interim Design Guidance shall be followed, alongside the clarifications in this section. </w:t>
            </w:r>
          </w:p>
        </w:tc>
      </w:tr>
      <w:tr w:rsidR="007B6688" w:rsidRPr="00C03678" w14:paraId="7FD704D6" w14:textId="77777777" w:rsidTr="004C3A27">
        <w:tc>
          <w:tcPr>
            <w:tcW w:w="1234" w:type="dxa"/>
            <w:tcBorders>
              <w:top w:val="single" w:sz="8" w:space="0" w:color="BFBFBF"/>
              <w:left w:val="nil"/>
              <w:bottom w:val="single" w:sz="8" w:space="0" w:color="BFBFBF"/>
              <w:right w:val="single" w:sz="8" w:space="0" w:color="BFBFBF"/>
            </w:tcBorders>
          </w:tcPr>
          <w:p w14:paraId="3AB1DB0A" w14:textId="6D3DA3C6" w:rsidR="004F5C61" w:rsidRPr="00C03678" w:rsidRDefault="004F5C61" w:rsidP="00B6651A">
            <w:pPr>
              <w:pStyle w:val="TableText"/>
              <w:rPr>
                <w:sz w:val="20"/>
                <w:szCs w:val="20"/>
              </w:rPr>
            </w:pPr>
            <w:r w:rsidRPr="00C03678">
              <w:rPr>
                <w:sz w:val="20"/>
                <w:szCs w:val="20"/>
              </w:rPr>
              <w:fldChar w:fldCharType="begin"/>
            </w:r>
            <w:r w:rsidRPr="00C03678">
              <w:rPr>
                <w:sz w:val="20"/>
                <w:szCs w:val="20"/>
              </w:rPr>
              <w:instrText xml:space="preserve"> REF _Ref170372851 \r \h  \* MERGEFORMAT </w:instrText>
            </w:r>
            <w:r w:rsidRPr="00C03678">
              <w:rPr>
                <w:sz w:val="20"/>
                <w:szCs w:val="20"/>
              </w:rPr>
            </w:r>
            <w:r w:rsidRPr="00C03678">
              <w:rPr>
                <w:sz w:val="20"/>
                <w:szCs w:val="20"/>
              </w:rPr>
              <w:fldChar w:fldCharType="separate"/>
            </w:r>
            <w:r w:rsidR="000761C1">
              <w:rPr>
                <w:sz w:val="20"/>
                <w:szCs w:val="20"/>
              </w:rPr>
              <w:t>C5.2</w:t>
            </w:r>
            <w:r w:rsidRPr="00C03678">
              <w:rPr>
                <w:sz w:val="20"/>
                <w:szCs w:val="20"/>
              </w:rPr>
              <w:fldChar w:fldCharType="end"/>
            </w:r>
          </w:p>
        </w:tc>
        <w:tc>
          <w:tcPr>
            <w:tcW w:w="2305" w:type="dxa"/>
            <w:tcBorders>
              <w:top w:val="single" w:sz="8" w:space="0" w:color="BFBFBF"/>
              <w:left w:val="single" w:sz="8" w:space="0" w:color="BFBFBF"/>
              <w:bottom w:val="single" w:sz="8" w:space="0" w:color="BFBFBF"/>
              <w:right w:val="single" w:sz="8" w:space="0" w:color="BFBFBF"/>
            </w:tcBorders>
          </w:tcPr>
          <w:p w14:paraId="542CDD88" w14:textId="77777777" w:rsidR="004F5C61" w:rsidRPr="00C03678" w:rsidRDefault="004F5C61" w:rsidP="00B6651A">
            <w:pPr>
              <w:pStyle w:val="TableText"/>
              <w:rPr>
                <w:sz w:val="20"/>
                <w:szCs w:val="20"/>
              </w:rPr>
            </w:pPr>
            <w:r w:rsidRPr="00C03678">
              <w:rPr>
                <w:sz w:val="20"/>
                <w:szCs w:val="20"/>
              </w:rPr>
              <w:t>Structural robustness in low-rise buildings</w:t>
            </w:r>
          </w:p>
        </w:tc>
        <w:tc>
          <w:tcPr>
            <w:tcW w:w="6095" w:type="dxa"/>
            <w:tcBorders>
              <w:top w:val="single" w:sz="8" w:space="0" w:color="BFBFBF"/>
              <w:left w:val="single" w:sz="8" w:space="0" w:color="BFBFBF"/>
              <w:bottom w:val="single" w:sz="8" w:space="0" w:color="BFBFBF"/>
              <w:right w:val="nil"/>
            </w:tcBorders>
          </w:tcPr>
          <w:p w14:paraId="583B8E82" w14:textId="30807C00" w:rsidR="004F5C61" w:rsidRPr="00C03678" w:rsidRDefault="004F5C61" w:rsidP="00B6651A">
            <w:pPr>
              <w:pStyle w:val="TableText"/>
              <w:rPr>
                <w:sz w:val="20"/>
                <w:szCs w:val="20"/>
              </w:rPr>
            </w:pPr>
            <w:r w:rsidRPr="00C03678">
              <w:rPr>
                <w:sz w:val="20"/>
                <w:szCs w:val="20"/>
              </w:rPr>
              <w:t xml:space="preserve">Clarification of the structural robustness requirements applicable in </w:t>
            </w:r>
            <w:r w:rsidRPr="00C03678">
              <w:rPr>
                <w:sz w:val="20"/>
                <w:szCs w:val="20"/>
              </w:rPr>
              <w:fldChar w:fldCharType="begin"/>
            </w:r>
            <w:r w:rsidRPr="00C03678">
              <w:rPr>
                <w:sz w:val="20"/>
                <w:szCs w:val="20"/>
              </w:rPr>
              <w:instrText xml:space="preserve"> REF _Ref152313887 \r \h  \* MERGEFORMAT </w:instrText>
            </w:r>
            <w:r w:rsidRPr="00C03678">
              <w:rPr>
                <w:sz w:val="20"/>
                <w:szCs w:val="20"/>
              </w:rPr>
            </w:r>
            <w:r w:rsidRPr="00C03678">
              <w:rPr>
                <w:sz w:val="20"/>
                <w:szCs w:val="20"/>
              </w:rPr>
              <w:fldChar w:fldCharType="separate"/>
            </w:r>
            <w:r w:rsidR="000761C1">
              <w:rPr>
                <w:sz w:val="20"/>
                <w:szCs w:val="20"/>
              </w:rPr>
              <w:t>B2.4</w:t>
            </w:r>
            <w:r w:rsidRPr="00C03678">
              <w:rPr>
                <w:sz w:val="20"/>
                <w:szCs w:val="20"/>
              </w:rPr>
              <w:fldChar w:fldCharType="end"/>
            </w:r>
            <w:r w:rsidRPr="00C03678">
              <w:rPr>
                <w:sz w:val="20"/>
                <w:szCs w:val="20"/>
              </w:rPr>
              <w:t>—specific to low rise construction</w:t>
            </w:r>
          </w:p>
        </w:tc>
      </w:tr>
      <w:tr w:rsidR="007B6688" w:rsidRPr="00C03678" w14:paraId="3EAF292A" w14:textId="77777777" w:rsidTr="004C3A27">
        <w:tc>
          <w:tcPr>
            <w:tcW w:w="1234" w:type="dxa"/>
            <w:tcBorders>
              <w:top w:val="single" w:sz="8" w:space="0" w:color="BFBFBF"/>
              <w:left w:val="nil"/>
              <w:bottom w:val="nil"/>
              <w:right w:val="single" w:sz="8" w:space="0" w:color="BFBFBF"/>
            </w:tcBorders>
          </w:tcPr>
          <w:p w14:paraId="76E1905B" w14:textId="48B25ADA" w:rsidR="004F5C61" w:rsidRPr="00C03678" w:rsidRDefault="004F5C61" w:rsidP="00B6651A">
            <w:pPr>
              <w:pStyle w:val="TableText"/>
              <w:rPr>
                <w:sz w:val="20"/>
                <w:szCs w:val="20"/>
              </w:rPr>
            </w:pPr>
            <w:r w:rsidRPr="00C03678">
              <w:rPr>
                <w:sz w:val="20"/>
                <w:szCs w:val="20"/>
              </w:rPr>
              <w:fldChar w:fldCharType="begin"/>
            </w:r>
            <w:r w:rsidRPr="00C03678">
              <w:rPr>
                <w:sz w:val="20"/>
                <w:szCs w:val="20"/>
              </w:rPr>
              <w:instrText xml:space="preserve"> REF _Ref166328881 \r \h  \* MERGEFORMAT </w:instrText>
            </w:r>
            <w:r w:rsidRPr="00C03678">
              <w:rPr>
                <w:sz w:val="20"/>
                <w:szCs w:val="20"/>
              </w:rPr>
            </w:r>
            <w:r w:rsidRPr="00C03678">
              <w:rPr>
                <w:sz w:val="20"/>
                <w:szCs w:val="20"/>
              </w:rPr>
              <w:fldChar w:fldCharType="separate"/>
            </w:r>
            <w:r w:rsidR="000761C1">
              <w:rPr>
                <w:sz w:val="20"/>
                <w:szCs w:val="20"/>
              </w:rPr>
              <w:t>C5.3</w:t>
            </w:r>
            <w:r w:rsidRPr="00C03678">
              <w:rPr>
                <w:sz w:val="20"/>
                <w:szCs w:val="20"/>
              </w:rPr>
              <w:fldChar w:fldCharType="end"/>
            </w:r>
          </w:p>
        </w:tc>
        <w:tc>
          <w:tcPr>
            <w:tcW w:w="2305" w:type="dxa"/>
            <w:tcBorders>
              <w:top w:val="single" w:sz="8" w:space="0" w:color="BFBFBF"/>
              <w:left w:val="single" w:sz="8" w:space="0" w:color="BFBFBF"/>
              <w:bottom w:val="nil"/>
              <w:right w:val="single" w:sz="8" w:space="0" w:color="BFBFBF"/>
            </w:tcBorders>
          </w:tcPr>
          <w:p w14:paraId="466BF4C2" w14:textId="77777777" w:rsidR="004F5C61" w:rsidRPr="00C03678" w:rsidRDefault="004F5C61" w:rsidP="00B6651A">
            <w:pPr>
              <w:pStyle w:val="TableText"/>
              <w:rPr>
                <w:sz w:val="20"/>
                <w:szCs w:val="20"/>
              </w:rPr>
            </w:pPr>
            <w:r w:rsidRPr="00C03678">
              <w:rPr>
                <w:sz w:val="20"/>
                <w:szCs w:val="20"/>
              </w:rPr>
              <w:t>P21 tested bracing systems</w:t>
            </w:r>
          </w:p>
        </w:tc>
        <w:tc>
          <w:tcPr>
            <w:tcW w:w="6095" w:type="dxa"/>
            <w:tcBorders>
              <w:top w:val="single" w:sz="8" w:space="0" w:color="BFBFBF"/>
              <w:left w:val="single" w:sz="8" w:space="0" w:color="BFBFBF"/>
              <w:bottom w:val="nil"/>
              <w:right w:val="nil"/>
            </w:tcBorders>
          </w:tcPr>
          <w:p w14:paraId="3699A080" w14:textId="77777777" w:rsidR="004F5C61" w:rsidRPr="00C03678" w:rsidRDefault="004F5C61" w:rsidP="00B6651A">
            <w:pPr>
              <w:pStyle w:val="TableText"/>
              <w:rPr>
                <w:sz w:val="20"/>
                <w:szCs w:val="20"/>
              </w:rPr>
            </w:pPr>
            <w:r w:rsidRPr="00C03678">
              <w:rPr>
                <w:sz w:val="20"/>
                <w:szCs w:val="20"/>
              </w:rPr>
              <w:t>Restrictions and requirements apply to the use of P21 tested bracing systems.</w:t>
            </w:r>
          </w:p>
        </w:tc>
      </w:tr>
    </w:tbl>
    <w:p w14:paraId="66A9B5B1" w14:textId="77777777" w:rsidR="005117CD" w:rsidRDefault="005117CD" w:rsidP="00666E06"/>
    <w:p w14:paraId="41002666" w14:textId="77777777" w:rsidR="00F22ACE" w:rsidRPr="00D20542" w:rsidRDefault="00F22ACE" w:rsidP="00D56CAE">
      <w:pPr>
        <w:pStyle w:val="BodyHeading"/>
      </w:pPr>
      <w:r w:rsidRPr="00D20542">
        <w:lastRenderedPageBreak/>
        <w:t>Process-related exemptions for minor</w:t>
      </w:r>
      <w:r>
        <w:t xml:space="preserve"> or lower risk</w:t>
      </w:r>
      <w:r w:rsidRPr="00D20542">
        <w:t xml:space="preserve"> projects</w:t>
      </w:r>
    </w:p>
    <w:p w14:paraId="3DCDF251" w14:textId="20A4D26E" w:rsidR="00F22ACE" w:rsidRPr="00D20542" w:rsidRDefault="00F22ACE" w:rsidP="00666E06">
      <w:r w:rsidRPr="00513B38">
        <w:t xml:space="preserve">For practical reasons, </w:t>
      </w:r>
      <w:r w:rsidR="00117C81">
        <w:t xml:space="preserve">some </w:t>
      </w:r>
      <w:r w:rsidR="0090571A">
        <w:t xml:space="preserve">requirements </w:t>
      </w:r>
      <w:r w:rsidR="00A8453F">
        <w:t xml:space="preserve">can be reduced on </w:t>
      </w:r>
      <w:r>
        <w:t>the following project</w:t>
      </w:r>
      <w:r w:rsidR="002907A1">
        <w:t xml:space="preserve"> types</w:t>
      </w:r>
      <w:r>
        <w:t xml:space="preserve"> on a scale/risk basis:</w:t>
      </w:r>
    </w:p>
    <w:p w14:paraId="20D5F069" w14:textId="2A9AB24C" w:rsidR="00F22ACE" w:rsidRDefault="00F22ACE" w:rsidP="003241AE">
      <w:pPr>
        <w:pStyle w:val="ListBullet"/>
        <w:ind w:left="357" w:hanging="357"/>
        <w:rPr>
          <w:noProof/>
        </w:rPr>
      </w:pPr>
      <w:r>
        <w:t>L</w:t>
      </w:r>
      <w:r w:rsidRPr="00513B38">
        <w:t xml:space="preserve">ow-rise hospital projects that are Importance Level 2 and fall under the </w:t>
      </w:r>
      <w:r w:rsidRPr="00130AD4">
        <w:t>Service Category</w:t>
      </w:r>
      <w:r w:rsidRPr="00513B38">
        <w:t xml:space="preserve"> “Other Services – Support” (Section </w:t>
      </w:r>
      <w:r w:rsidRPr="00513B38">
        <w:fldChar w:fldCharType="begin"/>
      </w:r>
      <w:r w:rsidRPr="00513B38">
        <w:instrText xml:space="preserve"> REF _Ref160007872 \r \h </w:instrText>
      </w:r>
      <w:r>
        <w:instrText xml:space="preserve"> \* MERGEFORMAT </w:instrText>
      </w:r>
      <w:r w:rsidRPr="00513B38">
        <w:fldChar w:fldCharType="separate"/>
      </w:r>
      <w:r w:rsidR="000761C1">
        <w:t>B1.2</w:t>
      </w:r>
      <w:r w:rsidRPr="00513B38">
        <w:fldChar w:fldCharType="end"/>
      </w:r>
      <w:r w:rsidRPr="00513B38">
        <w:t xml:space="preserve">, </w:t>
      </w:r>
      <w:r w:rsidRPr="003241AE">
        <w:fldChar w:fldCharType="begin"/>
      </w:r>
      <w:r w:rsidRPr="003241AE">
        <w:instrText xml:space="preserve"> REF _Ref150076187 \h  \* MERGEFORMAT </w:instrText>
      </w:r>
      <w:r w:rsidRPr="003241AE">
        <w:fldChar w:fldCharType="separate"/>
      </w:r>
      <w:r w:rsidR="000761C1" w:rsidRPr="003241AE">
        <w:rPr>
          <w:noProof/>
        </w:rPr>
        <w:t>Table 2</w:t>
      </w:r>
      <w:r w:rsidRPr="003241AE">
        <w:fldChar w:fldCharType="end"/>
      </w:r>
      <w:r w:rsidRPr="003241AE">
        <w:t>)</w:t>
      </w:r>
      <w:r w:rsidR="0036531E">
        <w:t>;</w:t>
      </w:r>
    </w:p>
    <w:p w14:paraId="4A749D99" w14:textId="20D784B6" w:rsidR="00F22ACE" w:rsidRDefault="00F22ACE" w:rsidP="005F4E26">
      <w:pPr>
        <w:pStyle w:val="ListBullet"/>
      </w:pPr>
      <w:r>
        <w:t xml:space="preserve">Minor alterations or structural alterations, as defined in Section </w:t>
      </w:r>
      <w:r w:rsidR="000E5F94">
        <w:fldChar w:fldCharType="begin"/>
      </w:r>
      <w:r w:rsidR="000E5F94">
        <w:instrText xml:space="preserve"> REF _Ref203131338 \r \h </w:instrText>
      </w:r>
      <w:r w:rsidR="000E5F94">
        <w:fldChar w:fldCharType="separate"/>
      </w:r>
      <w:r w:rsidR="000761C1">
        <w:t>B7</w:t>
      </w:r>
      <w:r w:rsidR="000E5F94">
        <w:fldChar w:fldCharType="end"/>
      </w:r>
      <w:r>
        <w:t xml:space="preserve"> (but generally excluding significant structural additions)</w:t>
      </w:r>
      <w:r w:rsidR="0036531E">
        <w:t>;</w:t>
      </w:r>
    </w:p>
    <w:p w14:paraId="76CECBEC" w14:textId="77777777" w:rsidR="00F22ACE" w:rsidRDefault="00F22ACE" w:rsidP="005F4E26">
      <w:pPr>
        <w:pStyle w:val="ListBullet"/>
      </w:pPr>
      <w:r>
        <w:t>Other lower risk projects where specifically identified in the project brief.</w:t>
      </w:r>
    </w:p>
    <w:p w14:paraId="767218AA" w14:textId="5704332E" w:rsidR="00F22ACE" w:rsidRPr="00513B38" w:rsidRDefault="009650C8" w:rsidP="00666E06">
      <w:r>
        <w:t xml:space="preserve">For these </w:t>
      </w:r>
      <w:r w:rsidR="00F22ACE">
        <w:t>projects</w:t>
      </w:r>
      <w:r>
        <w:t>,</w:t>
      </w:r>
      <w:r w:rsidR="00276686">
        <w:t xml:space="preserve"> and with reference to </w:t>
      </w:r>
      <w:r w:rsidR="00276686" w:rsidRPr="00513B38">
        <w:fldChar w:fldCharType="begin"/>
      </w:r>
      <w:r w:rsidR="00276686" w:rsidRPr="00513B38">
        <w:instrText xml:space="preserve"> REF _Ref149572551 \h </w:instrText>
      </w:r>
      <w:r w:rsidR="00276686">
        <w:instrText xml:space="preserve"> \* MERGEFORMAT </w:instrText>
      </w:r>
      <w:r w:rsidR="00276686" w:rsidRPr="00513B38">
        <w:fldChar w:fldCharType="separate"/>
      </w:r>
      <w:r w:rsidR="000761C1" w:rsidRPr="000761C1">
        <w:t xml:space="preserve">Table </w:t>
      </w:r>
      <w:r w:rsidR="000761C1" w:rsidRPr="000761C1">
        <w:rPr>
          <w:noProof/>
        </w:rPr>
        <w:t>1</w:t>
      </w:r>
      <w:r w:rsidR="00276686" w:rsidRPr="00513B38">
        <w:fldChar w:fldCharType="end"/>
      </w:r>
      <w:r w:rsidR="00276686">
        <w:t>,</w:t>
      </w:r>
      <w:r>
        <w:t xml:space="preserve"> the following process-related Health NZ Requirements can be reduced</w:t>
      </w:r>
      <w:r w:rsidR="00F22ACE" w:rsidRPr="00513B38">
        <w:t xml:space="preserve"> </w:t>
      </w:r>
      <w:r w:rsidR="00F22ACE">
        <w:t>except or as otherwise</w:t>
      </w:r>
      <w:r w:rsidR="00F22ACE" w:rsidRPr="00513B38">
        <w:t xml:space="preserve"> noted in the project brief</w:t>
      </w:r>
      <w:r w:rsidR="00276686">
        <w:t>:</w:t>
      </w:r>
    </w:p>
    <w:p w14:paraId="12291C62" w14:textId="59667908" w:rsidR="00F22ACE" w:rsidRPr="00513B38" w:rsidRDefault="00F22ACE" w:rsidP="00C301F2">
      <w:pPr>
        <w:pStyle w:val="ListBullet"/>
      </w:pPr>
      <w:r w:rsidRPr="00513B38">
        <w:t xml:space="preserve">A Structural Design Features Report (DFR) complying with Section </w:t>
      </w:r>
      <w:r w:rsidRPr="00513B38">
        <w:fldChar w:fldCharType="begin"/>
      </w:r>
      <w:r w:rsidRPr="00513B38">
        <w:instrText xml:space="preserve"> REF _Ref162181052 \r \h </w:instrText>
      </w:r>
      <w:r>
        <w:instrText xml:space="preserve"> \* MERGEFORMAT </w:instrText>
      </w:r>
      <w:r w:rsidRPr="00513B38">
        <w:fldChar w:fldCharType="separate"/>
      </w:r>
      <w:r w:rsidR="000761C1">
        <w:t>A3.1</w:t>
      </w:r>
      <w:r w:rsidRPr="00513B38">
        <w:fldChar w:fldCharType="end"/>
      </w:r>
      <w:r w:rsidRPr="00513B38">
        <w:t xml:space="preserve"> is still required. However, the level of detail should be adapted to the context.</w:t>
      </w:r>
    </w:p>
    <w:p w14:paraId="4E32A15C" w14:textId="24A21063" w:rsidR="00F22ACE" w:rsidRPr="00513B38" w:rsidRDefault="00F22ACE" w:rsidP="005F4E26">
      <w:pPr>
        <w:pStyle w:val="ListBullet"/>
      </w:pPr>
      <w:r w:rsidRPr="00513B38">
        <w:t xml:space="preserve">An NSE Seismic Design Strategy complying with Section </w:t>
      </w:r>
      <w:r w:rsidRPr="00513B38">
        <w:fldChar w:fldCharType="begin"/>
      </w:r>
      <w:r w:rsidRPr="00513B38">
        <w:instrText xml:space="preserve"> REF _Ref152139034 \r \h </w:instrText>
      </w:r>
      <w:r>
        <w:instrText xml:space="preserve"> \* MERGEFORMAT </w:instrText>
      </w:r>
      <w:r w:rsidRPr="00513B38">
        <w:fldChar w:fldCharType="separate"/>
      </w:r>
      <w:r w:rsidR="000761C1">
        <w:t>A3.2</w:t>
      </w:r>
      <w:r w:rsidRPr="00513B38">
        <w:fldChar w:fldCharType="end"/>
      </w:r>
      <w:r w:rsidRPr="00513B38">
        <w:t xml:space="preserve"> is still required. However, it is likely to be in the form of a brief statement in the DFR covering the key relevant points.</w:t>
      </w:r>
    </w:p>
    <w:p w14:paraId="07652463" w14:textId="68CFD8AE" w:rsidR="00F22ACE" w:rsidRDefault="00F22ACE" w:rsidP="005F4E26">
      <w:pPr>
        <w:pStyle w:val="ListBullet"/>
      </w:pPr>
      <w:r w:rsidRPr="00513B38">
        <w:t xml:space="preserve">Presentation summary sheets of the proposed concept (as part of Concept Design deliverables to Section </w:t>
      </w:r>
      <w:r w:rsidRPr="00513B38">
        <w:fldChar w:fldCharType="begin"/>
      </w:r>
      <w:r w:rsidRPr="00513B38">
        <w:instrText xml:space="preserve"> REF _Ref162181144 \r \h </w:instrText>
      </w:r>
      <w:r>
        <w:instrText xml:space="preserve"> \* MERGEFORMAT </w:instrText>
      </w:r>
      <w:r w:rsidRPr="00513B38">
        <w:fldChar w:fldCharType="separate"/>
      </w:r>
      <w:r w:rsidR="000761C1">
        <w:t>A2.2.2</w:t>
      </w:r>
      <w:r w:rsidRPr="00513B38">
        <w:fldChar w:fldCharType="end"/>
      </w:r>
      <w:r w:rsidRPr="00513B38">
        <w:t>) are still required. However, presentation of multiple alternative concepts is not mandatory. A record of other typologies and options considered but discarded without rigorous testing (with brief commentary) should be included.</w:t>
      </w:r>
    </w:p>
    <w:p w14:paraId="2A9ED3E9" w14:textId="313BBC32" w:rsidR="00C43CB5" w:rsidRPr="00513B38" w:rsidRDefault="00C43CB5" w:rsidP="005F4E26">
      <w:pPr>
        <w:pStyle w:val="ListBullet"/>
      </w:pPr>
      <w:r w:rsidRPr="005E5353">
        <w:t xml:space="preserve">For </w:t>
      </w:r>
      <w:r w:rsidRPr="005E5353">
        <w:rPr>
          <w:i/>
          <w:iCs/>
        </w:rPr>
        <w:t>minor alterations</w:t>
      </w:r>
      <w:r>
        <w:t xml:space="preserve"> (Section </w:t>
      </w:r>
      <w:r>
        <w:fldChar w:fldCharType="begin"/>
      </w:r>
      <w:r>
        <w:instrText xml:space="preserve"> REF _Ref180127591 \r \h </w:instrText>
      </w:r>
      <w:r w:rsidR="005F4E26">
        <w:instrText xml:space="preserve"> \* MERGEFORMAT </w:instrText>
      </w:r>
      <w:r>
        <w:fldChar w:fldCharType="separate"/>
      </w:r>
      <w:r w:rsidR="000761C1">
        <w:t>B7.2</w:t>
      </w:r>
      <w:r>
        <w:fldChar w:fldCharType="end"/>
      </w:r>
      <w:r>
        <w:t>),</w:t>
      </w:r>
      <w:r>
        <w:rPr>
          <w:i/>
          <w:iCs/>
        </w:rPr>
        <w:t xml:space="preserve"> </w:t>
      </w:r>
      <w:r w:rsidRPr="00697FB8">
        <w:rPr>
          <w:i/>
          <w:iCs/>
        </w:rPr>
        <w:t>Up-front Carbon</w:t>
      </w:r>
      <w:r w:rsidRPr="00697FB8">
        <w:t xml:space="preserve"> reporting for structure (to Sections </w:t>
      </w:r>
      <w:r w:rsidRPr="00697FB8">
        <w:fldChar w:fldCharType="begin"/>
      </w:r>
      <w:r w:rsidRPr="00697FB8">
        <w:instrText xml:space="preserve"> REF _Ref157151135 \r \h </w:instrText>
      </w:r>
      <w:r>
        <w:instrText xml:space="preserve"> \* MERGEFORMAT </w:instrText>
      </w:r>
      <w:r w:rsidRPr="00697FB8">
        <w:fldChar w:fldCharType="separate"/>
      </w:r>
      <w:r w:rsidR="000761C1">
        <w:t>A2.2</w:t>
      </w:r>
      <w:r w:rsidRPr="00697FB8">
        <w:fldChar w:fldCharType="end"/>
      </w:r>
      <w:r w:rsidRPr="00697FB8">
        <w:t xml:space="preserve"> and </w:t>
      </w:r>
      <w:r w:rsidRPr="00697FB8">
        <w:fldChar w:fldCharType="begin"/>
      </w:r>
      <w:r w:rsidRPr="00697FB8">
        <w:instrText xml:space="preserve"> REF _Ref157144164 \r \h </w:instrText>
      </w:r>
      <w:r>
        <w:instrText xml:space="preserve"> \* MERGEFORMAT </w:instrText>
      </w:r>
      <w:r w:rsidRPr="00697FB8">
        <w:fldChar w:fldCharType="separate"/>
      </w:r>
      <w:r w:rsidR="000761C1">
        <w:t>A3.3</w:t>
      </w:r>
      <w:r w:rsidRPr="00697FB8">
        <w:fldChar w:fldCharType="end"/>
      </w:r>
      <w:r w:rsidRPr="00697FB8">
        <w:t>) is not mandatory. If the project brief requires an LCA, then allow to provide inputs into that LCA.</w:t>
      </w:r>
    </w:p>
    <w:p w14:paraId="4E3194E6" w14:textId="78CF7317" w:rsidR="00F22ACE" w:rsidRPr="00513B38" w:rsidRDefault="00F22ACE" w:rsidP="005F4E26">
      <w:pPr>
        <w:pStyle w:val="ListBullet"/>
      </w:pPr>
      <w:r w:rsidRPr="00513B38">
        <w:t xml:space="preserve">A whole of life cost assessment for steelwork coatings to Section </w:t>
      </w:r>
      <w:r w:rsidRPr="00513B38">
        <w:fldChar w:fldCharType="begin"/>
      </w:r>
      <w:r w:rsidRPr="00513B38">
        <w:instrText xml:space="preserve"> REF _Ref149720073 \r \h </w:instrText>
      </w:r>
      <w:r>
        <w:instrText xml:space="preserve"> \* MERGEFORMAT </w:instrText>
      </w:r>
      <w:r w:rsidRPr="00513B38">
        <w:fldChar w:fldCharType="separate"/>
      </w:r>
      <w:r w:rsidR="000761C1">
        <w:t>B3.1</w:t>
      </w:r>
      <w:r w:rsidRPr="00513B38">
        <w:fldChar w:fldCharType="end"/>
      </w:r>
      <w:r w:rsidRPr="00513B38">
        <w:t xml:space="preserve"> is not mandatory but could still be valuable in some contexts.</w:t>
      </w:r>
    </w:p>
    <w:p w14:paraId="417D8418" w14:textId="51F1F83F" w:rsidR="009C350C" w:rsidRPr="00C32104" w:rsidRDefault="009C350C" w:rsidP="00140238">
      <w:pPr>
        <w:pStyle w:val="NumbHeading3"/>
      </w:pPr>
      <w:bookmarkStart w:id="36" w:name="_Toc147899113"/>
      <w:bookmarkStart w:id="37" w:name="_Ref149229404"/>
      <w:bookmarkStart w:id="38" w:name="_Ref150178103"/>
      <w:bookmarkStart w:id="39" w:name="_Ref166337388"/>
      <w:bookmarkStart w:id="40" w:name="_Ref180313876"/>
      <w:r w:rsidRPr="00C32104">
        <w:t xml:space="preserve">Departures from </w:t>
      </w:r>
      <w:r w:rsidR="007D5C79">
        <w:t xml:space="preserve">Health NZ </w:t>
      </w:r>
      <w:r w:rsidRPr="00C32104">
        <w:t>Requirements</w:t>
      </w:r>
      <w:bookmarkEnd w:id="36"/>
      <w:bookmarkEnd w:id="37"/>
      <w:bookmarkEnd w:id="38"/>
      <w:bookmarkEnd w:id="39"/>
      <w:bookmarkEnd w:id="40"/>
    </w:p>
    <w:p w14:paraId="074165F6" w14:textId="65DB3AC2" w:rsidR="009C350C" w:rsidRPr="00C32104" w:rsidRDefault="009C350C" w:rsidP="00666E06">
      <w:r w:rsidRPr="00C32104">
        <w:t xml:space="preserve">Departures from the mandatory requirements contained in this document </w:t>
      </w:r>
      <w:r w:rsidR="00E45398" w:rsidRPr="00C32104">
        <w:t>shall</w:t>
      </w:r>
      <w:r w:rsidRPr="00C32104">
        <w:t xml:space="preserve"> be submitted to the HEAG for assessment.</w:t>
      </w:r>
      <w:r w:rsidR="001149D3" w:rsidRPr="00C32104">
        <w:t xml:space="preserve"> Submissions </w:t>
      </w:r>
      <w:r w:rsidR="003C429E" w:rsidRPr="00C32104">
        <w:t>should include:</w:t>
      </w:r>
    </w:p>
    <w:p w14:paraId="65BF25E1" w14:textId="03A4A628" w:rsidR="005B7C71" w:rsidRPr="00C32104" w:rsidRDefault="00BB2397" w:rsidP="00666E06">
      <w:pPr>
        <w:pStyle w:val="ListBullet"/>
      </w:pPr>
      <w:r w:rsidRPr="00C32104">
        <w:t xml:space="preserve">Specific identification of the </w:t>
      </w:r>
      <w:r w:rsidR="00691142" w:rsidRPr="00C32104">
        <w:t>p</w:t>
      </w:r>
      <w:r w:rsidRPr="00C32104">
        <w:t>roject to which the requested departure applies.</w:t>
      </w:r>
    </w:p>
    <w:p w14:paraId="7B8C8F98" w14:textId="1E9D067D" w:rsidR="003C429E" w:rsidRPr="00C32104" w:rsidRDefault="007807FC" w:rsidP="00666E06">
      <w:pPr>
        <w:pStyle w:val="ListBullet"/>
      </w:pPr>
      <w:r w:rsidRPr="00C32104">
        <w:t xml:space="preserve">Reference to the </w:t>
      </w:r>
      <w:r w:rsidR="007D5C79">
        <w:t xml:space="preserve">Health NZ </w:t>
      </w:r>
      <w:r w:rsidRPr="00C32104">
        <w:t>requirement in question.</w:t>
      </w:r>
    </w:p>
    <w:p w14:paraId="753D6340" w14:textId="266A0D9A" w:rsidR="00884978" w:rsidRPr="00C32104" w:rsidRDefault="00E103A9" w:rsidP="00666E06">
      <w:pPr>
        <w:pStyle w:val="ListBullet"/>
      </w:pPr>
      <w:r w:rsidRPr="00C32104">
        <w:t>T</w:t>
      </w:r>
      <w:r w:rsidR="00884978" w:rsidRPr="00C32104">
        <w:t xml:space="preserve">he proposed </w:t>
      </w:r>
      <w:r w:rsidR="5E528240" w:rsidRPr="00C32104">
        <w:t>departure</w:t>
      </w:r>
      <w:r w:rsidR="00884978" w:rsidRPr="00C32104">
        <w:t>.</w:t>
      </w:r>
    </w:p>
    <w:p w14:paraId="3D11D6E6" w14:textId="4D98A0B7" w:rsidR="00884978" w:rsidRPr="00C32104" w:rsidRDefault="00884978" w:rsidP="00666E06">
      <w:pPr>
        <w:pStyle w:val="ListBullet"/>
      </w:pPr>
      <w:r w:rsidRPr="00C32104">
        <w:t xml:space="preserve">The technical basis for the </w:t>
      </w:r>
      <w:r w:rsidR="005B7C71" w:rsidRPr="00C32104">
        <w:t xml:space="preserve">proposed </w:t>
      </w:r>
      <w:r w:rsidR="09174868" w:rsidRPr="00C32104">
        <w:t>departure</w:t>
      </w:r>
      <w:r w:rsidR="005B7C71" w:rsidRPr="00C32104">
        <w:t>.</w:t>
      </w:r>
    </w:p>
    <w:p w14:paraId="6CFCEFFB" w14:textId="4991C7F9" w:rsidR="007807FC" w:rsidRPr="00C32104" w:rsidRDefault="00917EC2" w:rsidP="00666E06">
      <w:pPr>
        <w:pStyle w:val="ListBullet"/>
      </w:pPr>
      <w:r w:rsidRPr="00C32104">
        <w:t>The impact of the proposed change, by relevant measure</w:t>
      </w:r>
      <w:r w:rsidR="003315F5" w:rsidRPr="00C32104">
        <w:t>s</w:t>
      </w:r>
      <w:r w:rsidRPr="00C32104">
        <w:t xml:space="preserve"> including </w:t>
      </w:r>
      <w:r w:rsidR="00884978" w:rsidRPr="00C32104">
        <w:t>cost.</w:t>
      </w:r>
    </w:p>
    <w:p w14:paraId="7086D907" w14:textId="77CD191E" w:rsidR="00FE7D72" w:rsidRDefault="00E103A9" w:rsidP="00666E06">
      <w:pPr>
        <w:pStyle w:val="ListBullet"/>
      </w:pPr>
      <w:r w:rsidRPr="00C32104">
        <w:t>Optional: w</w:t>
      </w:r>
      <w:r w:rsidR="005B7C71" w:rsidRPr="00C32104">
        <w:t xml:space="preserve">hether it is considered that the proposed departure ought to apply to other </w:t>
      </w:r>
      <w:r w:rsidR="007D5C79">
        <w:t xml:space="preserve">Health NZ </w:t>
      </w:r>
      <w:r w:rsidR="005B7C71" w:rsidRPr="00C32104">
        <w:t>projects (or be reflected in an amendment to the guidelines)</w:t>
      </w:r>
      <w:r w:rsidRPr="00C32104">
        <w:t>, with commentary</w:t>
      </w:r>
      <w:r w:rsidR="005B7C71" w:rsidRPr="00C32104">
        <w:t>.</w:t>
      </w:r>
    </w:p>
    <w:p w14:paraId="12524FF6" w14:textId="71C923E3" w:rsidR="0080291B" w:rsidRDefault="0080291B" w:rsidP="00666E06">
      <w:pPr>
        <w:pStyle w:val="ListBullet"/>
      </w:pPr>
      <w:r>
        <w:br w:type="page"/>
      </w:r>
    </w:p>
    <w:p w14:paraId="0E60367F" w14:textId="669C916E" w:rsidR="00F95138" w:rsidRPr="005B2E8D" w:rsidRDefault="00966E2C" w:rsidP="00140238">
      <w:pPr>
        <w:pStyle w:val="NumbHeading2"/>
      </w:pPr>
      <w:bookmarkStart w:id="41" w:name="_Ref160119380"/>
      <w:bookmarkStart w:id="42" w:name="_Toc203641933"/>
      <w:r w:rsidRPr="005B2E8D">
        <w:lastRenderedPageBreak/>
        <w:t xml:space="preserve">Masterplanning and </w:t>
      </w:r>
      <w:r w:rsidR="00DC445B" w:rsidRPr="005B2E8D">
        <w:t>S</w:t>
      </w:r>
      <w:r w:rsidRPr="005B2E8D">
        <w:t xml:space="preserve">ite </w:t>
      </w:r>
      <w:r w:rsidR="00DC445B" w:rsidRPr="005B2E8D">
        <w:t>C</w:t>
      </w:r>
      <w:r w:rsidRPr="005B2E8D">
        <w:t>ontext</w:t>
      </w:r>
      <w:bookmarkEnd w:id="41"/>
      <w:bookmarkEnd w:id="42"/>
    </w:p>
    <w:p w14:paraId="2971815C" w14:textId="7A2C8490" w:rsidR="00DC445B" w:rsidRPr="00B21FA7" w:rsidRDefault="00DC445B" w:rsidP="00140238">
      <w:pPr>
        <w:pStyle w:val="NumbHeading3"/>
      </w:pPr>
      <w:r w:rsidRPr="00B21FA7">
        <w:t>General</w:t>
      </w:r>
    </w:p>
    <w:p w14:paraId="2306E875" w14:textId="2D889A76" w:rsidR="000E6C71" w:rsidRPr="00B21FA7" w:rsidRDefault="007D5C79" w:rsidP="00666E06">
      <w:r>
        <w:t xml:space="preserve">Health NZ </w:t>
      </w:r>
      <w:r w:rsidR="00697FB8">
        <w:t>’s</w:t>
      </w:r>
      <w:r w:rsidR="00380D94" w:rsidRPr="00B21FA7">
        <w:t xml:space="preserve"> </w:t>
      </w:r>
      <w:r w:rsidR="00380D94" w:rsidRPr="00B21FA7">
        <w:rPr>
          <w:i/>
        </w:rPr>
        <w:t xml:space="preserve">Masterplanning Guidance for Public Hospital </w:t>
      </w:r>
      <w:r w:rsidR="00380D94" w:rsidRPr="00B21FA7">
        <w:rPr>
          <w:i/>
          <w:iCs/>
        </w:rPr>
        <w:t>Facilities</w:t>
      </w:r>
      <w:r w:rsidR="00380D94" w:rsidRPr="00B21FA7">
        <w:t xml:space="preserve"> </w:t>
      </w:r>
      <w:r w:rsidR="00387FB4" w:rsidRPr="00B21FA7">
        <w:t xml:space="preserve">is the key reference document for masterplanning in </w:t>
      </w:r>
      <w:r w:rsidR="00F27FD6" w:rsidRPr="00B21FA7">
        <w:t xml:space="preserve">public healthcare contexts. This </w:t>
      </w:r>
      <w:r w:rsidR="00820AC2" w:rsidRPr="00B21FA7">
        <w:t>S</w:t>
      </w:r>
      <w:r w:rsidR="00946E38" w:rsidRPr="00B21FA7">
        <w:t>ection</w:t>
      </w:r>
      <w:r w:rsidR="00F27FD6" w:rsidRPr="00B21FA7">
        <w:t xml:space="preserve"> </w:t>
      </w:r>
      <w:r w:rsidR="00820AC2" w:rsidRPr="00B21FA7">
        <w:fldChar w:fldCharType="begin"/>
      </w:r>
      <w:r w:rsidR="00820AC2" w:rsidRPr="00B21FA7">
        <w:instrText xml:space="preserve"> REF _Ref160119380 \r \h </w:instrText>
      </w:r>
      <w:r w:rsidR="00B21FA7">
        <w:instrText xml:space="preserve"> \* MERGEFORMAT </w:instrText>
      </w:r>
      <w:r w:rsidR="00820AC2" w:rsidRPr="00B21FA7">
        <w:fldChar w:fldCharType="separate"/>
      </w:r>
      <w:r w:rsidR="000761C1">
        <w:t>A1.7</w:t>
      </w:r>
      <w:r w:rsidR="00820AC2" w:rsidRPr="00B21FA7">
        <w:fldChar w:fldCharType="end"/>
      </w:r>
      <w:r w:rsidR="00820AC2" w:rsidRPr="00B21FA7">
        <w:t xml:space="preserve"> </w:t>
      </w:r>
      <w:r w:rsidR="00F27FD6" w:rsidRPr="00B21FA7">
        <w:t>contains additional information relevant to the processes described in that document</w:t>
      </w:r>
      <w:r w:rsidR="00F558C6">
        <w:t xml:space="preserve"> </w:t>
      </w:r>
      <w:r w:rsidR="005F2B9A" w:rsidRPr="00B21FA7">
        <w:t>with specific additional detail relevant to seismic performance, and structural and geotechnical matters. This includes:</w:t>
      </w:r>
    </w:p>
    <w:p w14:paraId="7DDDB54F" w14:textId="5222821B" w:rsidR="005F2B9A" w:rsidRPr="00B21FA7" w:rsidRDefault="005F2B9A" w:rsidP="00013B92">
      <w:pPr>
        <w:pStyle w:val="ListBullet"/>
      </w:pPr>
      <w:r w:rsidRPr="00B21FA7">
        <w:t xml:space="preserve">Geotechnical </w:t>
      </w:r>
      <w:r w:rsidR="008036E6" w:rsidRPr="00B21FA7">
        <w:t>considerations which are important for site selection</w:t>
      </w:r>
      <w:r w:rsidR="00E20300" w:rsidRPr="00B21FA7">
        <w:t xml:space="preserve">, </w:t>
      </w:r>
      <w:r w:rsidR="00F622AB" w:rsidRPr="00B21FA7">
        <w:t>and for developing robust business cases</w:t>
      </w:r>
      <w:r w:rsidR="006605E5" w:rsidRPr="00B21FA7">
        <w:t xml:space="preserve"> that </w:t>
      </w:r>
      <w:r w:rsidR="00614E94" w:rsidRPr="00B21FA7">
        <w:t>reduce</w:t>
      </w:r>
      <w:r w:rsidR="006605E5" w:rsidRPr="00B21FA7">
        <w:t xml:space="preserve"> cost uncertainty</w:t>
      </w:r>
      <w:r w:rsidR="00F622AB" w:rsidRPr="00B21FA7">
        <w:t>.</w:t>
      </w:r>
    </w:p>
    <w:p w14:paraId="1EFE9D3D" w14:textId="7CA14F59" w:rsidR="00736C81" w:rsidRPr="00B21FA7" w:rsidRDefault="00736C81" w:rsidP="00013B92">
      <w:pPr>
        <w:pStyle w:val="ListBullet"/>
      </w:pPr>
      <w:r w:rsidRPr="00B21FA7">
        <w:t>Alterations and refurbishments to existing buildings</w:t>
      </w:r>
      <w:r w:rsidR="00AF712E" w:rsidRPr="00B21FA7">
        <w:t xml:space="preserve"> (including making design provision for future structural additions, risks and benefits)</w:t>
      </w:r>
      <w:r w:rsidR="0030450F" w:rsidRPr="00B21FA7">
        <w:t>.</w:t>
      </w:r>
    </w:p>
    <w:p w14:paraId="4DBE12B1" w14:textId="39A9E47E" w:rsidR="005F2B9A" w:rsidRPr="00B21FA7" w:rsidRDefault="00BD2622" w:rsidP="00013B92">
      <w:pPr>
        <w:pStyle w:val="ListBullet"/>
      </w:pPr>
      <w:r w:rsidRPr="00B21FA7">
        <w:t>Seismic resilience</w:t>
      </w:r>
      <w:r w:rsidR="00EF5BD0" w:rsidRPr="00B21FA7">
        <w:t xml:space="preserve"> of hospital campuses</w:t>
      </w:r>
    </w:p>
    <w:p w14:paraId="27E2387A" w14:textId="0C7B32F7" w:rsidR="00457620" w:rsidRPr="00B21FA7" w:rsidRDefault="00457620" w:rsidP="004D55F1">
      <w:pPr>
        <w:pStyle w:val="ListBullet"/>
        <w:numPr>
          <w:ilvl w:val="1"/>
          <w:numId w:val="47"/>
        </w:numPr>
      </w:pPr>
      <w:r w:rsidRPr="00B21FA7">
        <w:t>Seismic policy</w:t>
      </w:r>
      <w:r w:rsidR="00CA1482" w:rsidRPr="00B21FA7">
        <w:t xml:space="preserve"> considerations for existing buildings.</w:t>
      </w:r>
    </w:p>
    <w:p w14:paraId="13DFB4AA" w14:textId="0C5EB213" w:rsidR="00736C81" w:rsidRPr="00B21FA7" w:rsidRDefault="00EF5BD0" w:rsidP="004D55F1">
      <w:pPr>
        <w:pStyle w:val="ListBullet"/>
        <w:numPr>
          <w:ilvl w:val="1"/>
          <w:numId w:val="47"/>
        </w:numPr>
      </w:pPr>
      <w:r w:rsidRPr="00B21FA7">
        <w:t xml:space="preserve">Managing </w:t>
      </w:r>
      <w:r w:rsidR="00F723D8" w:rsidRPr="00B21FA7">
        <w:t xml:space="preserve">physical </w:t>
      </w:r>
      <w:r w:rsidR="00340A91" w:rsidRPr="00B21FA7">
        <w:t>risks from adjacent buildings</w:t>
      </w:r>
      <w:r w:rsidR="00F723D8" w:rsidRPr="00B21FA7">
        <w:t>.</w:t>
      </w:r>
    </w:p>
    <w:p w14:paraId="31DD377C" w14:textId="74F55DDB" w:rsidR="00340A91" w:rsidRPr="00B21FA7" w:rsidRDefault="001F3E98" w:rsidP="004D55F1">
      <w:pPr>
        <w:pStyle w:val="ListBullet"/>
        <w:numPr>
          <w:ilvl w:val="1"/>
          <w:numId w:val="47"/>
        </w:numPr>
      </w:pPr>
      <w:r w:rsidRPr="00B21FA7">
        <w:t>Site wide d</w:t>
      </w:r>
      <w:r w:rsidR="00340A91" w:rsidRPr="00B21FA7">
        <w:t xml:space="preserve">ependencies on </w:t>
      </w:r>
      <w:r w:rsidRPr="00B21FA7">
        <w:t xml:space="preserve">utilities </w:t>
      </w:r>
      <w:r w:rsidR="00F723D8" w:rsidRPr="00B21FA7">
        <w:t xml:space="preserve">and </w:t>
      </w:r>
      <w:r w:rsidRPr="00B21FA7">
        <w:t>engineering</w:t>
      </w:r>
      <w:r w:rsidR="00340A91" w:rsidRPr="00B21FA7">
        <w:t xml:space="preserve"> systems</w:t>
      </w:r>
      <w:r w:rsidR="00F723D8" w:rsidRPr="00B21FA7">
        <w:t xml:space="preserve"> </w:t>
      </w:r>
      <w:r w:rsidR="007651CC">
        <w:t>that pass through or near other structures</w:t>
      </w:r>
      <w:r w:rsidR="00340A91" w:rsidRPr="00B21FA7">
        <w:t>.</w:t>
      </w:r>
    </w:p>
    <w:p w14:paraId="754FE47E" w14:textId="54AF5A3A" w:rsidR="004F1738" w:rsidRPr="00B21FA7" w:rsidRDefault="00095BD5" w:rsidP="00140238">
      <w:pPr>
        <w:pStyle w:val="NumbHeading3"/>
      </w:pPr>
      <w:bookmarkStart w:id="43" w:name="_Ref168979434"/>
      <w:r w:rsidRPr="00B21FA7">
        <w:t xml:space="preserve">Geotechnical </w:t>
      </w:r>
      <w:r w:rsidR="004F1738" w:rsidRPr="00B21FA7">
        <w:t>Considerations and Site Selection</w:t>
      </w:r>
      <w:bookmarkEnd w:id="43"/>
    </w:p>
    <w:p w14:paraId="61FFF147" w14:textId="536DF767" w:rsidR="00C10C30" w:rsidRPr="00B21FA7" w:rsidRDefault="00CD6D17" w:rsidP="00666E06">
      <w:r w:rsidRPr="00B21FA7">
        <w:t>Prior to embarking on site planning, and then the various building design phases, it is vital that the site and its environs are adequately characterised. This is to identify key site constraints and opportunities that influence planning and design decisions, and to enable an intelligent, holistic approach to the planning of health facilities.</w:t>
      </w:r>
      <w:r w:rsidR="00162C72" w:rsidRPr="00B21FA7">
        <w:t xml:space="preserve"> Siting can have considerable impacts on cost and performance of </w:t>
      </w:r>
      <w:r w:rsidR="00B24A20" w:rsidRPr="00B21FA7">
        <w:t>hospital buildings and infrastructure.</w:t>
      </w:r>
    </w:p>
    <w:p w14:paraId="6E49B05C" w14:textId="7AB90213" w:rsidR="00CD6D17" w:rsidRPr="00B21FA7" w:rsidRDefault="00CD6D17" w:rsidP="00666E06">
      <w:r w:rsidRPr="00B21FA7">
        <w:t xml:space="preserve">This geotechnical investigation and assessment must be carried out well in advance of any other design-related activities (including architectural planning). As discussed in </w:t>
      </w:r>
      <w:r w:rsidR="00850C3F" w:rsidRPr="00B21FA7">
        <w:t>S</w:t>
      </w:r>
      <w:r w:rsidRPr="00B21FA7">
        <w:t>ection</w:t>
      </w:r>
      <w:r w:rsidR="00850C3F" w:rsidRPr="00B21FA7">
        <w:t xml:space="preserve"> </w:t>
      </w:r>
      <w:r w:rsidR="00850C3F" w:rsidRPr="00B21FA7">
        <w:fldChar w:fldCharType="begin"/>
      </w:r>
      <w:r w:rsidR="00850C3F" w:rsidRPr="00B21FA7">
        <w:instrText xml:space="preserve"> REF _Ref150752924 \r \h </w:instrText>
      </w:r>
      <w:r w:rsidR="00B21FA7">
        <w:instrText xml:space="preserve"> \* MERGEFORMAT </w:instrText>
      </w:r>
      <w:r w:rsidR="00850C3F" w:rsidRPr="00B21FA7">
        <w:fldChar w:fldCharType="separate"/>
      </w:r>
      <w:r w:rsidR="000761C1">
        <w:t>A3.4</w:t>
      </w:r>
      <w:r w:rsidR="00850C3F" w:rsidRPr="00B21FA7">
        <w:fldChar w:fldCharType="end"/>
      </w:r>
      <w:r w:rsidRPr="00B21FA7">
        <w:t xml:space="preserve">, even at site acquisition or master planning stage </w:t>
      </w:r>
      <w:r w:rsidR="007D5C79">
        <w:t xml:space="preserve">Health NZ </w:t>
      </w:r>
      <w:r w:rsidRPr="00B21FA7">
        <w:t>expects geotechnical reporting to provide comprehensive and technically justified advice on all geotechnical aspects of the site, including design data (even if preliminary) for likely feasible foundation types, as well as any advice that might influence the siting of facilities</w:t>
      </w:r>
      <w:r w:rsidR="33D43725" w:rsidRPr="00B21FA7">
        <w:t xml:space="preserve"> (including </w:t>
      </w:r>
      <w:r w:rsidR="01524D3F" w:rsidRPr="00B21FA7">
        <w:t xml:space="preserve">on and off site </w:t>
      </w:r>
      <w:r w:rsidR="33D43725" w:rsidRPr="00B21FA7">
        <w:t xml:space="preserve">hazards that could </w:t>
      </w:r>
      <w:r w:rsidR="39AD1680" w:rsidRPr="00B21FA7">
        <w:t>compromise</w:t>
      </w:r>
      <w:r w:rsidR="33D43725" w:rsidRPr="00B21FA7">
        <w:t xml:space="preserve"> access to a facility in the event of an emergency)</w:t>
      </w:r>
      <w:r w:rsidRPr="00B21FA7">
        <w:t>.</w:t>
      </w:r>
    </w:p>
    <w:p w14:paraId="1BFFB1D6" w14:textId="77777777" w:rsidR="00CD6D17" w:rsidRPr="00B21FA7" w:rsidRDefault="00CD6D17" w:rsidP="00666E06">
      <w:r w:rsidRPr="00B21FA7">
        <w:t>A site zonation plan should be provided that identifies any areas of a site that are more, or less, suitable for the siting of buildings or other facilities, as well as identifying any particular geotechnical hazards that might influence the design of buildings or infrastructure.</w:t>
      </w:r>
    </w:p>
    <w:p w14:paraId="7B0D989B" w14:textId="10B133E5" w:rsidR="00A123A6" w:rsidRPr="006B657B" w:rsidRDefault="00702568" w:rsidP="00140238">
      <w:pPr>
        <w:pStyle w:val="NumbHeading3"/>
      </w:pPr>
      <w:bookmarkStart w:id="44" w:name="_Ref168395090"/>
      <w:r w:rsidRPr="006B657B">
        <w:t>Altering</w:t>
      </w:r>
      <w:r w:rsidR="00B61256" w:rsidRPr="006B657B">
        <w:t xml:space="preserve"> or Refurbishing</w:t>
      </w:r>
      <w:r w:rsidR="00A123A6" w:rsidRPr="006B657B">
        <w:t xml:space="preserve"> Existing Buildings</w:t>
      </w:r>
      <w:bookmarkEnd w:id="44"/>
    </w:p>
    <w:p w14:paraId="7FF04F25" w14:textId="04D2221E" w:rsidR="00820AC2" w:rsidRPr="006B657B" w:rsidRDefault="003E4279" w:rsidP="00666E06">
      <w:r w:rsidRPr="006B657B">
        <w:t xml:space="preserve">This </w:t>
      </w:r>
      <w:r w:rsidR="0012576B" w:rsidRPr="006B657B">
        <w:t xml:space="preserve">section </w:t>
      </w:r>
      <w:r w:rsidRPr="006B657B">
        <w:t>applies to any work in existing buildings</w:t>
      </w:r>
      <w:r w:rsidR="00820AC2" w:rsidRPr="006B657B">
        <w:t xml:space="preserve">, </w:t>
      </w:r>
      <w:r w:rsidRPr="006B657B">
        <w:t>including</w:t>
      </w:r>
      <w:r w:rsidR="00820AC2" w:rsidRPr="006B657B">
        <w:t>:</w:t>
      </w:r>
    </w:p>
    <w:p w14:paraId="1473AFCC" w14:textId="26175726" w:rsidR="00B01D97" w:rsidRPr="006B657B" w:rsidRDefault="00FF376D" w:rsidP="00A90F86">
      <w:pPr>
        <w:pStyle w:val="ListBullet"/>
      </w:pPr>
      <w:r w:rsidRPr="006B657B">
        <w:t>A</w:t>
      </w:r>
      <w:r w:rsidR="003E4279" w:rsidRPr="006B657B">
        <w:t>lterations and additions,</w:t>
      </w:r>
    </w:p>
    <w:p w14:paraId="3C91C70C" w14:textId="38699ACB" w:rsidR="00B01D97" w:rsidRPr="006B657B" w:rsidRDefault="00FF376D" w:rsidP="00A90F86">
      <w:pPr>
        <w:pStyle w:val="ListBullet"/>
      </w:pPr>
      <w:r w:rsidRPr="006B657B">
        <w:t>R</w:t>
      </w:r>
      <w:r w:rsidR="003E4279" w:rsidRPr="006B657B">
        <w:t>efurbishments or major maintenance projects</w:t>
      </w:r>
      <w:r w:rsidR="00B01D97" w:rsidRPr="006B657B">
        <w:t>,</w:t>
      </w:r>
    </w:p>
    <w:p w14:paraId="74E964D1" w14:textId="0E72FEA2" w:rsidR="003E4279" w:rsidRPr="006B657B" w:rsidRDefault="00FF376D" w:rsidP="00A90F86">
      <w:pPr>
        <w:pStyle w:val="ListBullet"/>
      </w:pPr>
      <w:r w:rsidRPr="006B657B">
        <w:lastRenderedPageBreak/>
        <w:t>R</w:t>
      </w:r>
      <w:r w:rsidR="001D4A2C" w:rsidRPr="006B657B">
        <w:t>elocating</w:t>
      </w:r>
      <w:r w:rsidR="003E4279" w:rsidRPr="006B657B">
        <w:t xml:space="preserve"> departments or</w:t>
      </w:r>
      <w:r w:rsidR="006E78BC" w:rsidRPr="006B657B">
        <w:t xml:space="preserve"> changing</w:t>
      </w:r>
      <w:r w:rsidR="003E4279" w:rsidRPr="006B657B">
        <w:t xml:space="preserve"> service functions.</w:t>
      </w:r>
    </w:p>
    <w:p w14:paraId="00E6E76B" w14:textId="0D142A8C" w:rsidR="000446AA" w:rsidRPr="006B657B" w:rsidRDefault="00791174" w:rsidP="00666E06">
      <w:r w:rsidRPr="006B657B">
        <w:t xml:space="preserve">When </w:t>
      </w:r>
      <w:r w:rsidR="006E0D46" w:rsidRPr="006B657B">
        <w:t>reviewing or developing site masterplans</w:t>
      </w:r>
      <w:r w:rsidR="0037252D" w:rsidRPr="006B657B">
        <w:t>,</w:t>
      </w:r>
      <w:r w:rsidRPr="006B657B">
        <w:t xml:space="preserve"> </w:t>
      </w:r>
      <w:r w:rsidR="0037252D" w:rsidRPr="006B657B">
        <w:t>and</w:t>
      </w:r>
      <w:r w:rsidRPr="006B657B">
        <w:t xml:space="preserve"> </w:t>
      </w:r>
      <w:r w:rsidR="00E036AB" w:rsidRPr="006B657B">
        <w:t xml:space="preserve">when </w:t>
      </w:r>
      <w:r w:rsidR="006E0D46" w:rsidRPr="006B657B">
        <w:t xml:space="preserve">planning specific projects involving existing buildings, teams need to consider how the new work will </w:t>
      </w:r>
      <w:r w:rsidR="008D17FD" w:rsidRPr="006B657B">
        <w:t>comply with</w:t>
      </w:r>
      <w:r w:rsidR="002B3B8F" w:rsidRPr="006B657B">
        <w:t xml:space="preserve"> the Building Code</w:t>
      </w:r>
      <w:r w:rsidR="006F7369" w:rsidRPr="006B657B">
        <w:t xml:space="preserve"> and</w:t>
      </w:r>
      <w:r w:rsidR="008D17FD" w:rsidRPr="006B657B">
        <w:t xml:space="preserve"> the requirements of these guidelines, and what level of </w:t>
      </w:r>
      <w:r w:rsidR="00074C41" w:rsidRPr="006B657B">
        <w:t xml:space="preserve">rigour is applied </w:t>
      </w:r>
      <w:r w:rsidR="006F7369" w:rsidRPr="006B657B">
        <w:t>in</w:t>
      </w:r>
      <w:r w:rsidR="00074C41" w:rsidRPr="006B657B">
        <w:t xml:space="preserve"> review</w:t>
      </w:r>
      <w:r w:rsidR="006F7369" w:rsidRPr="006B657B">
        <w:t>ing</w:t>
      </w:r>
      <w:r w:rsidR="00074C41" w:rsidRPr="006B657B">
        <w:t xml:space="preserve"> the structural adequacy of the existing</w:t>
      </w:r>
      <w:r w:rsidR="006F7369" w:rsidRPr="006B657B">
        <w:t xml:space="preserve"> unaltered</w:t>
      </w:r>
      <w:r w:rsidR="00074C41" w:rsidRPr="006B657B">
        <w:t xml:space="preserve"> </w:t>
      </w:r>
      <w:r w:rsidR="00792A88" w:rsidRPr="006B657B">
        <w:t xml:space="preserve">parts of a </w:t>
      </w:r>
      <w:r w:rsidR="00074C41" w:rsidRPr="006B657B">
        <w:t>structure</w:t>
      </w:r>
      <w:r w:rsidR="00FE40F8" w:rsidRPr="006B657B">
        <w:t xml:space="preserve">. This may involve </w:t>
      </w:r>
      <w:r w:rsidR="00E53F89" w:rsidRPr="006B657B">
        <w:t xml:space="preserve">application of </w:t>
      </w:r>
      <w:r w:rsidR="00956D62" w:rsidRPr="006B657B">
        <w:t>the</w:t>
      </w:r>
      <w:r w:rsidR="00FE40F8" w:rsidRPr="006B657B">
        <w:t xml:space="preserve"> </w:t>
      </w:r>
      <w:r w:rsidR="00FE40F8" w:rsidRPr="006B657B">
        <w:rPr>
          <w:i/>
          <w:iCs/>
        </w:rPr>
        <w:t xml:space="preserve">as near as is </w:t>
      </w:r>
      <w:r w:rsidR="00CD7170" w:rsidRPr="006B657B">
        <w:rPr>
          <w:i/>
          <w:iCs/>
        </w:rPr>
        <w:t xml:space="preserve">reasonably </w:t>
      </w:r>
      <w:r w:rsidR="00FE40F8" w:rsidRPr="006B657B">
        <w:rPr>
          <w:i/>
          <w:iCs/>
        </w:rPr>
        <w:t>practicable</w:t>
      </w:r>
      <w:r w:rsidR="00FE40F8" w:rsidRPr="006B657B">
        <w:t xml:space="preserve"> (ANARP) test</w:t>
      </w:r>
      <w:r w:rsidR="00956D62" w:rsidRPr="006B657B">
        <w:t xml:space="preserve"> in a few different contexts.</w:t>
      </w:r>
    </w:p>
    <w:p w14:paraId="246141AC" w14:textId="36C37EF2" w:rsidR="00780858" w:rsidRPr="00985FD2" w:rsidRDefault="00780858" w:rsidP="009B2FF2">
      <w:r w:rsidRPr="000A1EC3">
        <w:t xml:space="preserve">Refer to Section </w:t>
      </w:r>
      <w:r w:rsidR="009B2FF2">
        <w:fldChar w:fldCharType="begin"/>
      </w:r>
      <w:r w:rsidR="009B2FF2">
        <w:instrText xml:space="preserve"> REF _Ref203129137 \r \h </w:instrText>
      </w:r>
      <w:r w:rsidR="002A7A22">
        <w:instrText xml:space="preserve"> \* MERGEFORMAT </w:instrText>
      </w:r>
      <w:r w:rsidR="009B2FF2">
        <w:fldChar w:fldCharType="separate"/>
      </w:r>
      <w:r w:rsidR="000761C1">
        <w:t>B7</w:t>
      </w:r>
      <w:r w:rsidR="009B2FF2">
        <w:fldChar w:fldCharType="end"/>
      </w:r>
      <w:r w:rsidR="00CB3A3C">
        <w:t xml:space="preserve"> </w:t>
      </w:r>
      <w:r w:rsidR="007A5AA7" w:rsidRPr="000A1EC3">
        <w:t>(</w:t>
      </w:r>
      <w:r w:rsidR="00CB3A3C">
        <w:fldChar w:fldCharType="begin"/>
      </w:r>
      <w:r w:rsidR="00CB3A3C">
        <w:instrText xml:space="preserve"> REF _Ref180394106 \h </w:instrText>
      </w:r>
      <w:r w:rsidR="009B2FF2">
        <w:instrText xml:space="preserve"> \* MERGEFORMAT </w:instrText>
      </w:r>
      <w:r w:rsidR="00CB3A3C">
        <w:fldChar w:fldCharType="separate"/>
      </w:r>
      <w:r w:rsidR="000761C1" w:rsidRPr="00A9001D">
        <w:t>Alterations to Existing Buildings</w:t>
      </w:r>
      <w:r w:rsidR="00CB3A3C">
        <w:fldChar w:fldCharType="end"/>
      </w:r>
      <w:r w:rsidR="007A5AA7" w:rsidRPr="000A1EC3">
        <w:t>)</w:t>
      </w:r>
      <w:r w:rsidRPr="000A1EC3">
        <w:t xml:space="preserve"> for a </w:t>
      </w:r>
      <w:r w:rsidR="00255C93" w:rsidRPr="000A1EC3">
        <w:t>decision</w:t>
      </w:r>
      <w:r w:rsidR="00255C93" w:rsidRPr="006B657B">
        <w:t>-making</w:t>
      </w:r>
      <w:r w:rsidRPr="006B657B">
        <w:t xml:space="preserve"> framework and detailed information</w:t>
      </w:r>
      <w:r w:rsidR="004409F2" w:rsidRPr="006B657B">
        <w:t xml:space="preserve"> on alterations</w:t>
      </w:r>
      <w:r w:rsidR="00255C93" w:rsidRPr="006B657B">
        <w:t>.</w:t>
      </w:r>
      <w:r w:rsidR="000B2717" w:rsidRPr="006B657B">
        <w:t xml:space="preserve"> </w:t>
      </w:r>
      <w:r w:rsidR="000B2717" w:rsidRPr="006B657B">
        <w:rPr>
          <w:b/>
          <w:bCs/>
        </w:rPr>
        <w:t>The</w:t>
      </w:r>
      <w:r w:rsidR="00255C93" w:rsidRPr="006B657B">
        <w:rPr>
          <w:b/>
          <w:bCs/>
        </w:rPr>
        <w:t xml:space="preserve"> decision-making framework </w:t>
      </w:r>
      <w:r w:rsidR="000B2717" w:rsidRPr="006B657B">
        <w:rPr>
          <w:b/>
          <w:bCs/>
        </w:rPr>
        <w:t xml:space="preserve">in Section </w:t>
      </w:r>
      <w:r w:rsidR="000E5F94">
        <w:rPr>
          <w:b/>
          <w:bCs/>
        </w:rPr>
        <w:fldChar w:fldCharType="begin"/>
      </w:r>
      <w:r w:rsidR="000E5F94">
        <w:rPr>
          <w:b/>
          <w:bCs/>
        </w:rPr>
        <w:instrText xml:space="preserve"> REF _Ref203131366 \r \h </w:instrText>
      </w:r>
      <w:r w:rsidR="000E5F94">
        <w:rPr>
          <w:b/>
          <w:bCs/>
        </w:rPr>
      </w:r>
      <w:r w:rsidR="000E5F94">
        <w:rPr>
          <w:b/>
          <w:bCs/>
        </w:rPr>
        <w:fldChar w:fldCharType="separate"/>
      </w:r>
      <w:r w:rsidR="000761C1">
        <w:rPr>
          <w:b/>
          <w:bCs/>
        </w:rPr>
        <w:t>B7</w:t>
      </w:r>
      <w:r w:rsidR="000E5F94">
        <w:rPr>
          <w:b/>
          <w:bCs/>
        </w:rPr>
        <w:fldChar w:fldCharType="end"/>
      </w:r>
      <w:r w:rsidR="00CB3A3C">
        <w:rPr>
          <w:b/>
          <w:bCs/>
        </w:rPr>
        <w:t xml:space="preserve"> </w:t>
      </w:r>
      <w:r w:rsidR="00255C93" w:rsidRPr="006B657B">
        <w:rPr>
          <w:b/>
          <w:bCs/>
        </w:rPr>
        <w:t xml:space="preserve">needs to be applied even when the work being carried out is largely </w:t>
      </w:r>
      <w:r w:rsidR="00787930" w:rsidRPr="006B657B">
        <w:rPr>
          <w:b/>
          <w:bCs/>
        </w:rPr>
        <w:t xml:space="preserve">fitout related and </w:t>
      </w:r>
      <w:r w:rsidR="00255C93" w:rsidRPr="006B657B">
        <w:rPr>
          <w:b/>
          <w:bCs/>
        </w:rPr>
        <w:t>non-structural</w:t>
      </w:r>
      <w:r w:rsidR="00255C93" w:rsidRPr="006B657B">
        <w:t>.</w:t>
      </w:r>
    </w:p>
    <w:p w14:paraId="581009E4" w14:textId="4A78340B" w:rsidR="00AF712E" w:rsidRPr="006B657B" w:rsidRDefault="00AF712E" w:rsidP="00666E06">
      <w:r w:rsidRPr="006B657B">
        <w:t>There is also discussion on approaches to development phasing that involve making design provision in new buildings for future structural additions (which has risks and benefits).</w:t>
      </w:r>
    </w:p>
    <w:p w14:paraId="3A26BA02" w14:textId="4DA5FC11" w:rsidR="0073614A" w:rsidRPr="006B657B" w:rsidRDefault="0073614A" w:rsidP="00666E06">
      <w:r w:rsidRPr="006B657B">
        <w:t xml:space="preserve">Refer to </w:t>
      </w:r>
      <w:r w:rsidRPr="000A1EC3">
        <w:t xml:space="preserve">Section </w:t>
      </w:r>
      <w:r w:rsidR="00F4294B">
        <w:fldChar w:fldCharType="begin"/>
      </w:r>
      <w:r w:rsidR="00F4294B">
        <w:instrText xml:space="preserve"> REF _Ref203129197 \r \h </w:instrText>
      </w:r>
      <w:r w:rsidR="00F4294B">
        <w:fldChar w:fldCharType="separate"/>
      </w:r>
      <w:r w:rsidR="000761C1">
        <w:t>B8</w:t>
      </w:r>
      <w:r w:rsidR="00F4294B">
        <w:fldChar w:fldCharType="end"/>
      </w:r>
      <w:r w:rsidR="00CB3A3C">
        <w:t xml:space="preserve"> </w:t>
      </w:r>
      <w:r w:rsidRPr="000A1EC3">
        <w:t>(</w:t>
      </w:r>
      <w:r w:rsidR="00CB3A3C">
        <w:fldChar w:fldCharType="begin"/>
      </w:r>
      <w:r w:rsidR="00CB3A3C">
        <w:instrText xml:space="preserve"> REF _Ref180394146 \h </w:instrText>
      </w:r>
      <w:r w:rsidR="00CB3A3C">
        <w:fldChar w:fldCharType="separate"/>
      </w:r>
      <w:r w:rsidR="000761C1" w:rsidRPr="006956C4">
        <w:t>Seismic Assessment and Retrofit Work</w:t>
      </w:r>
      <w:r w:rsidR="00CB3A3C">
        <w:fldChar w:fldCharType="end"/>
      </w:r>
      <w:r w:rsidRPr="000A1EC3">
        <w:t>) for additional</w:t>
      </w:r>
      <w:r w:rsidRPr="006B657B">
        <w:t xml:space="preserve"> information in relation to seismic assessment and retrofit.</w:t>
      </w:r>
    </w:p>
    <w:p w14:paraId="7CFF6AA1" w14:textId="790F0015" w:rsidR="00051EAC" w:rsidRDefault="000D7E17" w:rsidP="00140238">
      <w:pPr>
        <w:pStyle w:val="NumbHeading3"/>
      </w:pPr>
      <w:r>
        <w:t>Campus Resilience</w:t>
      </w:r>
    </w:p>
    <w:p w14:paraId="07358FC6" w14:textId="6AE8E9C5" w:rsidR="000D7E17" w:rsidRDefault="000D7E17" w:rsidP="00666E06">
      <w:r>
        <w:t xml:space="preserve">Refer to </w:t>
      </w:r>
      <w:r w:rsidR="001753A3">
        <w:fldChar w:fldCharType="begin"/>
      </w:r>
      <w:r w:rsidR="001753A3">
        <w:instrText xml:space="preserve"> REF Appendix_1 \h </w:instrText>
      </w:r>
      <w:r w:rsidR="001753A3">
        <w:fldChar w:fldCharType="separate"/>
      </w:r>
      <w:r w:rsidR="000761C1" w:rsidRPr="00F301A3">
        <w:t>Appendix 1</w:t>
      </w:r>
      <w:r w:rsidR="001753A3">
        <w:fldChar w:fldCharType="end"/>
      </w:r>
      <w:r>
        <w:t xml:space="preserve"> for information on the following considerations which can be relevant to site masterplanning.</w:t>
      </w:r>
    </w:p>
    <w:p w14:paraId="4D0DB9E9" w14:textId="7BE2E06B" w:rsidR="000D7E17" w:rsidRPr="000D7E17" w:rsidRDefault="000D7E17" w:rsidP="00666E06">
      <w:pPr>
        <w:pStyle w:val="ListBullet"/>
      </w:pPr>
      <w:r w:rsidRPr="000D7E17">
        <w:rPr>
          <w:b/>
          <w:bCs/>
        </w:rPr>
        <w:t>Adjacencies</w:t>
      </w:r>
      <w:r>
        <w:t xml:space="preserve">: </w:t>
      </w:r>
      <w:r w:rsidRPr="000D7E17">
        <w:t>Managing Physical Earthquake Risks Posed by Adjacent Structures</w:t>
      </w:r>
    </w:p>
    <w:p w14:paraId="3645D7A0" w14:textId="243268AE" w:rsidR="000D7E17" w:rsidRPr="000D7E17" w:rsidRDefault="000D7E17" w:rsidP="00666E06">
      <w:pPr>
        <w:pStyle w:val="ListBullet"/>
      </w:pPr>
      <w:r w:rsidRPr="000D7E17">
        <w:rPr>
          <w:b/>
          <w:bCs/>
        </w:rPr>
        <w:t>Dependencies</w:t>
      </w:r>
      <w:r>
        <w:t xml:space="preserve">: </w:t>
      </w:r>
      <w:r w:rsidRPr="000D7E17">
        <w:t>Managing Earthquake Risk to Building Engineering Systems that Pass Through or Near Other Structures</w:t>
      </w:r>
    </w:p>
    <w:p w14:paraId="44BDB251" w14:textId="3022BEEB" w:rsidR="00E133D0" w:rsidRPr="007B700D" w:rsidRDefault="00E133D0" w:rsidP="00666E06">
      <w:r w:rsidRPr="007B700D">
        <w:br w:type="page"/>
      </w:r>
    </w:p>
    <w:p w14:paraId="38D71FBD" w14:textId="77777777" w:rsidR="00E133D0" w:rsidRPr="00A9001D" w:rsidRDefault="00E133D0" w:rsidP="00140238">
      <w:pPr>
        <w:pStyle w:val="NumbHeading1"/>
      </w:pPr>
      <w:bookmarkStart w:id="45" w:name="_Toc147899116"/>
      <w:bookmarkStart w:id="46" w:name="_Ref151449953"/>
      <w:bookmarkStart w:id="47" w:name="_Toc203641934"/>
      <w:r w:rsidRPr="00A9001D">
        <w:lastRenderedPageBreak/>
        <w:t>Design Methodology, Phasing, and Compliance</w:t>
      </w:r>
      <w:bookmarkEnd w:id="45"/>
      <w:bookmarkEnd w:id="46"/>
      <w:bookmarkEnd w:id="47"/>
    </w:p>
    <w:p w14:paraId="53332F7F" w14:textId="2C06590D" w:rsidR="00062EE4" w:rsidRPr="00A7476E" w:rsidRDefault="00062EE4" w:rsidP="00140238">
      <w:pPr>
        <w:pStyle w:val="NumbHeading2"/>
      </w:pPr>
      <w:bookmarkStart w:id="48" w:name="_Ref169020056"/>
      <w:bookmarkStart w:id="49" w:name="_Toc203641935"/>
      <w:r w:rsidRPr="00A7476E">
        <w:t>Design Philosophy</w:t>
      </w:r>
      <w:bookmarkEnd w:id="48"/>
      <w:bookmarkEnd w:id="49"/>
    </w:p>
    <w:p w14:paraId="63B8C85D" w14:textId="77777777" w:rsidR="00015A1B" w:rsidRPr="001E2732" w:rsidRDefault="00015A1B" w:rsidP="00666E06">
      <w:r w:rsidRPr="001E2732">
        <w:t xml:space="preserve">Health New Zealand expects that a holistic approach is taken with the design of its facilities. This is to ensure that the functionality and amenity of such facilities are optimised and meet the performance requirements outlined in this document, while minimising construction, maintenance, and operational costs on a whole-of-life basis. </w:t>
      </w:r>
    </w:p>
    <w:p w14:paraId="42EB85DB" w14:textId="77777777" w:rsidR="00015A1B" w:rsidRPr="001E2732" w:rsidRDefault="00015A1B" w:rsidP="00666E06">
      <w:r w:rsidRPr="001E2732">
        <w:t>Design teams therefore need to ensure that there is a good understanding of the overall site before embarking on master planning or concept design. Early technical engagement is required to ensure that the site and its environs are adequately characterised. This is to ensure that key site constraints and opportunities are properly taken account of in planning and design decisions, and to enable an intelligent, integrated approach to the planning of health facilities.</w:t>
      </w:r>
    </w:p>
    <w:p w14:paraId="18E50179" w14:textId="714714CE" w:rsidR="00015A1B" w:rsidRPr="001E2732" w:rsidRDefault="00015A1B" w:rsidP="00666E06">
      <w:r w:rsidRPr="001E2732">
        <w:t>Of particular importance is the early engagement of geotechnical expertise to provide an understanding of site constraints and ground conditions. Informed decisions around the most appropriate structural configuration for buildings should be made once there is a clear understanding of the ground conditions, and in particular the performance of the ground and likely building response, under seismic loadings. Architectural design can then be integrated with the best-fit structural system</w:t>
      </w:r>
      <w:r w:rsidR="00F7323C">
        <w:t>—that is,</w:t>
      </w:r>
      <w:r w:rsidRPr="001E2732">
        <w:t xml:space="preserve"> a structurally efficient building layout and load resisting configuration, that works most efficiently with the known ground conditions.</w:t>
      </w:r>
    </w:p>
    <w:p w14:paraId="317FC3ED" w14:textId="77777777" w:rsidR="00801921" w:rsidRPr="00A7476E" w:rsidRDefault="00801921" w:rsidP="00491B38">
      <w:pPr>
        <w:pStyle w:val="NumbHeading2"/>
      </w:pPr>
      <w:bookmarkStart w:id="50" w:name="_Ref157151135"/>
      <w:bookmarkStart w:id="51" w:name="_Ref157151141"/>
      <w:bookmarkStart w:id="52" w:name="_Ref157169629"/>
      <w:bookmarkStart w:id="53" w:name="_Toc203641936"/>
      <w:bookmarkStart w:id="54" w:name="_Toc147899120"/>
      <w:bookmarkStart w:id="55" w:name="_Ref149581801"/>
      <w:bookmarkStart w:id="56" w:name="_Ref149630941"/>
      <w:bookmarkStart w:id="57" w:name="_Ref149630946"/>
      <w:r w:rsidRPr="00A7476E">
        <w:t>Design Phases</w:t>
      </w:r>
      <w:bookmarkEnd w:id="50"/>
      <w:bookmarkEnd w:id="51"/>
      <w:bookmarkEnd w:id="52"/>
      <w:bookmarkEnd w:id="53"/>
    </w:p>
    <w:p w14:paraId="0D8C28F4" w14:textId="5835C03D" w:rsidR="00801921" w:rsidRPr="000A50B7" w:rsidRDefault="00801921" w:rsidP="00666E06">
      <w:r w:rsidRPr="000A50B7">
        <w:t xml:space="preserve">Design phasing should generally be in accordance with the </w:t>
      </w:r>
      <w:r w:rsidR="00487179" w:rsidRPr="000A50B7">
        <w:t>2023</w:t>
      </w:r>
      <w:r w:rsidRPr="000A50B7">
        <w:t xml:space="preserve"> NZCIC Guidelines</w:t>
      </w:r>
      <w:r w:rsidR="006D2BC0" w:rsidRPr="000A50B7">
        <w:t xml:space="preserve"> </w:t>
      </w:r>
      <w:sdt>
        <w:sdtPr>
          <w:id w:val="-2032860251"/>
          <w:citation/>
        </w:sdtPr>
        <w:sdtEndPr/>
        <w:sdtContent>
          <w:r w:rsidR="006D2BC0" w:rsidRPr="000A50B7">
            <w:fldChar w:fldCharType="begin"/>
          </w:r>
          <w:r w:rsidR="006D2BC0" w:rsidRPr="000A50B7">
            <w:rPr>
              <w:lang w:val="en-US"/>
            </w:rPr>
            <w:instrText xml:space="preserve"> CITATION NZC22 \l 1033 </w:instrText>
          </w:r>
          <w:r w:rsidR="006D2BC0" w:rsidRPr="000A50B7">
            <w:fldChar w:fldCharType="separate"/>
          </w:r>
          <w:r w:rsidR="00222D65">
            <w:rPr>
              <w:noProof/>
              <w:lang w:val="en-US"/>
            </w:rPr>
            <w:t>(NZCIC, 2023)</w:t>
          </w:r>
          <w:r w:rsidR="006D2BC0" w:rsidRPr="000A50B7">
            <w:fldChar w:fldCharType="end"/>
          </w:r>
        </w:sdtContent>
      </w:sdt>
      <w:r w:rsidRPr="000A50B7">
        <w:t xml:space="preserve">, as modified by the </w:t>
      </w:r>
      <w:r w:rsidR="007D5C79">
        <w:rPr>
          <w:i/>
          <w:iCs/>
        </w:rPr>
        <w:t xml:space="preserve">Health NZ </w:t>
      </w:r>
      <w:r w:rsidRPr="000A50B7">
        <w:rPr>
          <w:i/>
          <w:iCs/>
        </w:rPr>
        <w:t>Project Technical Brief</w:t>
      </w:r>
      <w:r w:rsidRPr="000A50B7">
        <w:t>.</w:t>
      </w:r>
    </w:p>
    <w:p w14:paraId="550BC18D" w14:textId="6ACBFDA6" w:rsidR="00801921" w:rsidRPr="000A50B7" w:rsidRDefault="00801921" w:rsidP="00666E06">
      <w:r w:rsidRPr="000A50B7">
        <w:t>This guideline contains additional requirements for design phase deliverables relating to:</w:t>
      </w:r>
    </w:p>
    <w:p w14:paraId="3F0D1ECE" w14:textId="77777777" w:rsidR="00801921" w:rsidRPr="000A50B7" w:rsidRDefault="00801921" w:rsidP="00C301F2">
      <w:pPr>
        <w:pStyle w:val="ListBullet"/>
      </w:pPr>
      <w:r w:rsidRPr="000A50B7">
        <w:t xml:space="preserve">The </w:t>
      </w:r>
      <w:r w:rsidRPr="00000B83">
        <w:t>Seismic Performance Framework</w:t>
      </w:r>
    </w:p>
    <w:p w14:paraId="7563A3D8" w14:textId="77777777" w:rsidR="00801921" w:rsidRPr="000A50B7" w:rsidRDefault="00801921" w:rsidP="00C301F2">
      <w:pPr>
        <w:pStyle w:val="ListBullet"/>
      </w:pPr>
      <w:r w:rsidRPr="000A50B7">
        <w:t>Structural support and restraint of Non-Structural Elements (NSEs)</w:t>
      </w:r>
    </w:p>
    <w:p w14:paraId="0A917B99" w14:textId="1E22BF62" w:rsidR="00801921" w:rsidRPr="000A50B7" w:rsidRDefault="00801921" w:rsidP="00C301F2">
      <w:pPr>
        <w:pStyle w:val="ListBullet"/>
      </w:pPr>
      <w:r w:rsidRPr="000A50B7">
        <w:t>NZ Government/</w:t>
      </w:r>
      <w:r w:rsidR="007D5C79">
        <w:t xml:space="preserve">Health NZ </w:t>
      </w:r>
      <w:r w:rsidRPr="000A50B7">
        <w:t>policies regarding the construction sector’s response to the National Emissions Reduction plan through the Building for Climate Change (BfCC) programme (and the early lead taken by Government led projects).</w:t>
      </w:r>
    </w:p>
    <w:p w14:paraId="0A3F663D" w14:textId="77777777" w:rsidR="00801921" w:rsidRPr="000A50B7" w:rsidRDefault="00801921" w:rsidP="00491B38">
      <w:pPr>
        <w:pStyle w:val="NumbHeading3"/>
      </w:pPr>
      <w:bookmarkStart w:id="58" w:name="_Ref150752213"/>
      <w:r w:rsidRPr="000A50B7">
        <w:t>Site Characterisation</w:t>
      </w:r>
      <w:bookmarkEnd w:id="58"/>
    </w:p>
    <w:p w14:paraId="3D41FAD7" w14:textId="77777777" w:rsidR="00801921" w:rsidRPr="000A50B7" w:rsidRDefault="00801921" w:rsidP="00666E06">
      <w:r w:rsidRPr="000A50B7">
        <w:t xml:space="preserve">Prior to embarking on site planning, and then the various building design phases, it is vital that the site and its environs are adequately characterised. This is to identify key site constraints and opportunities that influence planning and design decisions and to enable an intelligent, holistic approach to the planning of health facilities. This must be carried out </w:t>
      </w:r>
      <w:r w:rsidRPr="000A50B7">
        <w:lastRenderedPageBreak/>
        <w:t>well in advance of any other design-related activities. In particular, the following are important pre-planning information-gathering exercises:</w:t>
      </w:r>
    </w:p>
    <w:p w14:paraId="2740EB4A" w14:textId="77777777" w:rsidR="00801921" w:rsidRPr="000A50B7" w:rsidRDefault="00801921" w:rsidP="002A72BA">
      <w:pPr>
        <w:pStyle w:val="ListBullet"/>
      </w:pPr>
      <w:r w:rsidRPr="000A50B7">
        <w:t>Site topographical plan.</w:t>
      </w:r>
    </w:p>
    <w:p w14:paraId="008F3FEB" w14:textId="77777777" w:rsidR="00801921" w:rsidRPr="000A50B7" w:rsidRDefault="00801921" w:rsidP="002A72BA">
      <w:pPr>
        <w:pStyle w:val="ListBullet"/>
      </w:pPr>
      <w:r w:rsidRPr="000A50B7">
        <w:t>Site services plan.</w:t>
      </w:r>
    </w:p>
    <w:p w14:paraId="1293B92B" w14:textId="77777777" w:rsidR="00801921" w:rsidRPr="000A50B7" w:rsidRDefault="00801921" w:rsidP="002A72BA">
      <w:pPr>
        <w:pStyle w:val="ListBullet"/>
      </w:pPr>
      <w:r w:rsidRPr="000A50B7">
        <w:t>Existing building condition survey, including current floor level survey data.</w:t>
      </w:r>
    </w:p>
    <w:p w14:paraId="48337333" w14:textId="77777777" w:rsidR="00801921" w:rsidRPr="000A50B7" w:rsidRDefault="00801921" w:rsidP="002A72BA">
      <w:pPr>
        <w:pStyle w:val="ListBullet"/>
      </w:pPr>
      <w:r w:rsidRPr="000A50B7">
        <w:t>Site-wide geotechnical investigation and assessment (including off-site hazards).</w:t>
      </w:r>
    </w:p>
    <w:p w14:paraId="78D742EE" w14:textId="77777777" w:rsidR="00801921" w:rsidRPr="000A50B7" w:rsidRDefault="00801921" w:rsidP="002A72BA">
      <w:pPr>
        <w:pStyle w:val="ListBullet"/>
      </w:pPr>
      <w:r w:rsidRPr="000A50B7">
        <w:t>Flood paths.</w:t>
      </w:r>
    </w:p>
    <w:p w14:paraId="752F8D0F" w14:textId="77777777" w:rsidR="00801921" w:rsidRPr="000A50B7" w:rsidRDefault="00801921" w:rsidP="002A72BA">
      <w:pPr>
        <w:pStyle w:val="ListBullet"/>
      </w:pPr>
      <w:r w:rsidRPr="000A50B7">
        <w:t>Contamination assessment.</w:t>
      </w:r>
    </w:p>
    <w:p w14:paraId="3C43682B" w14:textId="1D62C7E8" w:rsidR="00801921" w:rsidRPr="000A50B7" w:rsidRDefault="00801921" w:rsidP="00666E06">
      <w:r w:rsidRPr="000A50B7">
        <w:t>The degree of detail in each activity will vary with the size and nature of the facility being considered. For example, a new hospital on a new site will require detailed provision of all the items listed above, including an assessment of off-site risks that, for example, might compromise access to the hospital facility during a crisis event. At the other end of the scale would be a small addition to an existing building on a site, where a topographical survey may not be needed, and the geotechnical assessment could be limited to just the area being developed. However, in all cases early acquisition of this information is important.</w:t>
      </w:r>
    </w:p>
    <w:p w14:paraId="01000CDF" w14:textId="77777777" w:rsidR="00801921" w:rsidRPr="000A50B7" w:rsidRDefault="00801921" w:rsidP="002A72BA">
      <w:pPr>
        <w:pStyle w:val="NumbHeading3"/>
      </w:pPr>
      <w:bookmarkStart w:id="59" w:name="_Toc147899122"/>
      <w:bookmarkStart w:id="60" w:name="_Ref149568214"/>
      <w:bookmarkStart w:id="61" w:name="_Ref157151243"/>
      <w:bookmarkStart w:id="62" w:name="_Ref157160475"/>
      <w:bookmarkStart w:id="63" w:name="_Ref162181144"/>
      <w:r w:rsidRPr="000A50B7">
        <w:t>Concept Design</w:t>
      </w:r>
      <w:bookmarkEnd w:id="59"/>
      <w:bookmarkEnd w:id="60"/>
      <w:bookmarkEnd w:id="61"/>
      <w:bookmarkEnd w:id="62"/>
      <w:bookmarkEnd w:id="63"/>
    </w:p>
    <w:p w14:paraId="79FA72EB" w14:textId="5A160FDD" w:rsidR="00801921" w:rsidRPr="000A50B7" w:rsidRDefault="00801921" w:rsidP="00666E06">
      <w:r w:rsidRPr="000A50B7">
        <w:t xml:space="preserve">Concept Design involves the further development and confirmation of the layout and structural typologies which respond to the </w:t>
      </w:r>
      <w:r w:rsidR="007D5C79">
        <w:rPr>
          <w:i/>
          <w:iCs/>
        </w:rPr>
        <w:t xml:space="preserve">Health NZ </w:t>
      </w:r>
      <w:r w:rsidRPr="000A50B7">
        <w:rPr>
          <w:i/>
          <w:iCs/>
        </w:rPr>
        <w:t>Project Technical Brief</w:t>
      </w:r>
      <w:r w:rsidRPr="000A50B7">
        <w:t>, Schedule of Accommodation, and project and site constraints. It confirms and reflects the Performance Requirements of the Project Brief.</w:t>
      </w:r>
    </w:p>
    <w:p w14:paraId="18178C26" w14:textId="77777777" w:rsidR="00801921" w:rsidRPr="000A50B7" w:rsidRDefault="00801921" w:rsidP="00666E06">
      <w:r w:rsidRPr="000A50B7">
        <w:t xml:space="preserve">Philosophies should be established for the way in which the design will respond to the brief. Strategies to meet the Performance Requirements should be defined (including the </w:t>
      </w:r>
      <w:r w:rsidRPr="000A50B7">
        <w:rPr>
          <w:i/>
          <w:iCs/>
        </w:rPr>
        <w:t>Seismic Performance Framework</w:t>
      </w:r>
      <w:r w:rsidRPr="000A50B7">
        <w:t xml:space="preserve">). This phase also represents an opportunity to clarify aspects of the </w:t>
      </w:r>
      <w:r w:rsidRPr="000A50B7">
        <w:rPr>
          <w:i/>
          <w:iCs/>
        </w:rPr>
        <w:t>Project Technical Brief</w:t>
      </w:r>
      <w:r w:rsidRPr="000A50B7">
        <w:t>, alongside the development of these strategies.</w:t>
      </w:r>
    </w:p>
    <w:p w14:paraId="5A6846AD" w14:textId="0252C3CD" w:rsidR="00801921" w:rsidRPr="000A50B7" w:rsidRDefault="007D5C79" w:rsidP="002A72BA">
      <w:pPr>
        <w:ind w:left="720"/>
      </w:pPr>
      <w:r w:rsidRPr="00B219C9">
        <w:rPr>
          <w:rStyle w:val="Strong"/>
          <w:color w:val="0C818F" w:themeColor="accent3"/>
        </w:rPr>
        <w:t xml:space="preserve">Health NZ </w:t>
      </w:r>
      <w:r w:rsidR="00801921" w:rsidRPr="00B219C9">
        <w:rPr>
          <w:rStyle w:val="Strong"/>
          <w:color w:val="0C818F" w:themeColor="accent3"/>
        </w:rPr>
        <w:t>Requirement:</w:t>
      </w:r>
      <w:r w:rsidR="00801921" w:rsidRPr="000A50B7">
        <w:t xml:space="preserve"> Concept Design Features Reports shall reflect confirmation of how the </w:t>
      </w:r>
      <w:r w:rsidR="00801921" w:rsidRPr="000A50B7">
        <w:rPr>
          <w:i/>
          <w:iCs/>
        </w:rPr>
        <w:t>Seismic Performance Framework</w:t>
      </w:r>
      <w:r w:rsidR="00801921" w:rsidRPr="000A50B7">
        <w:t xml:space="preserve"> has been interpreted for the purposes of the project. The Concept Design Features Report shall describe in general terms, the philosophy/strategy outlining how the design will meet these performance requirements.</w:t>
      </w:r>
    </w:p>
    <w:p w14:paraId="6D6C2F84" w14:textId="570D2777" w:rsidR="00801921" w:rsidRDefault="007D5C79" w:rsidP="002A72BA">
      <w:pPr>
        <w:ind w:left="720"/>
      </w:pPr>
      <w:r w:rsidRPr="00B219C9">
        <w:rPr>
          <w:rStyle w:val="Strong"/>
          <w:color w:val="0C818F" w:themeColor="accent3"/>
        </w:rPr>
        <w:t xml:space="preserve">Health NZ </w:t>
      </w:r>
      <w:r w:rsidR="00801921" w:rsidRPr="00B219C9">
        <w:rPr>
          <w:rStyle w:val="Strong"/>
          <w:color w:val="0C818F" w:themeColor="accent3"/>
        </w:rPr>
        <w:t>Requirement:</w:t>
      </w:r>
      <w:r w:rsidR="00801921" w:rsidRPr="000A50B7">
        <w:t xml:space="preserve"> Multiple structural typologies shall be considered in concept development, with at least one concept considering the use of concentrated bracing elements in the lateral stability system. Summary sheets shall be included with Concept Design deliverables, covering the following:</w:t>
      </w:r>
    </w:p>
    <w:p w14:paraId="709D0026" w14:textId="77777777" w:rsidR="00D15AE3" w:rsidRDefault="00D15AE3" w:rsidP="002A72BA">
      <w:pPr>
        <w:ind w:left="720"/>
      </w:pPr>
    </w:p>
    <w:p w14:paraId="0C29C13C" w14:textId="77777777" w:rsidR="00D15AE3" w:rsidRDefault="00D15AE3" w:rsidP="002A72BA">
      <w:pPr>
        <w:ind w:left="720"/>
      </w:pPr>
    </w:p>
    <w:p w14:paraId="0A673AE3" w14:textId="77777777" w:rsidR="00D15AE3" w:rsidRDefault="00D15AE3" w:rsidP="002A72BA">
      <w:pPr>
        <w:ind w:left="720"/>
      </w:pPr>
    </w:p>
    <w:p w14:paraId="1414B2FD" w14:textId="77777777" w:rsidR="00D15AE3" w:rsidRPr="000A50B7" w:rsidRDefault="00D15AE3" w:rsidP="002A72BA">
      <w:pPr>
        <w:ind w:left="720"/>
      </w:pPr>
    </w:p>
    <w:p w14:paraId="56F7721D" w14:textId="77777777" w:rsidR="00BF490C" w:rsidRDefault="00801921" w:rsidP="00BF490C">
      <w:pPr>
        <w:pStyle w:val="ListBullet"/>
        <w:widowControl w:val="0"/>
        <w:ind w:left="1077" w:hanging="357"/>
      </w:pPr>
      <w:r w:rsidRPr="000A50B7">
        <w:lastRenderedPageBreak/>
        <w:t>Each concept typology (Generally around one sheet per typology)</w:t>
      </w:r>
    </w:p>
    <w:p w14:paraId="498449E2" w14:textId="08BD0863" w:rsidR="00D6447A" w:rsidRDefault="00D6447A" w:rsidP="00BF490C">
      <w:pPr>
        <w:pStyle w:val="ListBullet"/>
        <w:widowControl w:val="0"/>
        <w:ind w:left="1077" w:hanging="357"/>
      </w:pPr>
      <w:r w:rsidRPr="000A50B7">
        <w:t>Calculation of Up-Front Embodied Carbon</w:t>
      </w:r>
      <w:r w:rsidRPr="000A50B7">
        <w:rPr>
          <w:rStyle w:val="FootnoteReference"/>
        </w:rPr>
        <w:footnoteReference w:id="3"/>
      </w:r>
      <w:r w:rsidRPr="000A50B7">
        <w:t xml:space="preserve"> for comparative purposes, presenting kg-CO</w:t>
      </w:r>
      <w:r w:rsidRPr="00BF490C">
        <w:rPr>
          <w:vertAlign w:val="subscript"/>
        </w:rPr>
        <w:t>2</w:t>
      </w:r>
      <w:r w:rsidRPr="000A50B7">
        <w:t>-eq on a total and per m</w:t>
      </w:r>
      <w:r w:rsidRPr="00BF490C">
        <w:rPr>
          <w:vertAlign w:val="superscript"/>
        </w:rPr>
        <w:t>2</w:t>
      </w:r>
      <w:r w:rsidRPr="000A50B7">
        <w:t xml:space="preserve"> basis (usually one sheet)</w:t>
      </w:r>
    </w:p>
    <w:p w14:paraId="4BF504EB" w14:textId="77777777" w:rsidR="00801921" w:rsidRPr="000A50B7" w:rsidRDefault="00801921" w:rsidP="00BF490C">
      <w:pPr>
        <w:pStyle w:val="ListBullet"/>
        <w:widowControl w:val="0"/>
        <w:ind w:left="1077" w:hanging="357"/>
      </w:pPr>
      <w:r w:rsidRPr="000A50B7">
        <w:t>Comparative matrix presenting key differentiators between the concepts (generally limited to one or two sheets)</w:t>
      </w:r>
    </w:p>
    <w:p w14:paraId="11CA7FD2" w14:textId="2F03AB27" w:rsidR="00801921" w:rsidRPr="000A50B7" w:rsidRDefault="00801921" w:rsidP="00666E06">
      <w:r w:rsidRPr="000A50B7">
        <w:t>The audience for the content of the summary sheets should be the design team, including Design Managers and cost planners, project stakeholders and IIG representatives. It is generally expected that the Structural Engineer would be responsible for the compilation of these summaries</w:t>
      </w:r>
      <w:r w:rsidR="001963A2">
        <w:t xml:space="preserve">, </w:t>
      </w:r>
      <w:r w:rsidRPr="000A50B7">
        <w:t xml:space="preserve">obtaining important inputs from Geotechnical Engineers, NSE </w:t>
      </w:r>
      <w:r w:rsidR="00712CB5" w:rsidRPr="000A50B7">
        <w:t>Seismic</w:t>
      </w:r>
      <w:r w:rsidRPr="000A50B7">
        <w:t xml:space="preserve"> Designers and other disciplines impacted by the overall structural concept direction. For the purposes of this </w:t>
      </w:r>
      <w:r w:rsidRPr="000A50B7">
        <w:rPr>
          <w:i/>
          <w:iCs/>
        </w:rPr>
        <w:t>Draft Interim Release</w:t>
      </w:r>
      <w:r w:rsidRPr="000A50B7">
        <w:t>, project teams may develop their own template for this purpose</w:t>
      </w:r>
      <w:r w:rsidR="001963A2">
        <w:t xml:space="preserve"> </w:t>
      </w:r>
      <w:r w:rsidRPr="000A50B7">
        <w:t xml:space="preserve">generally following the intent indicated in </w:t>
      </w:r>
      <w:r w:rsidRPr="000A50B7">
        <w:fldChar w:fldCharType="begin"/>
      </w:r>
      <w:r w:rsidRPr="000A50B7">
        <w:instrText xml:space="preserve"> REF _Ref149559160 \h </w:instrText>
      </w:r>
      <w:r w:rsidR="000A50B7">
        <w:instrText xml:space="preserve"> \* MERGEFORMAT </w:instrText>
      </w:r>
      <w:r w:rsidRPr="000A50B7">
        <w:fldChar w:fldCharType="separate"/>
      </w:r>
      <w:r w:rsidR="00C12A9F" w:rsidRPr="00C12A9F">
        <w:t xml:space="preserve">Figure </w:t>
      </w:r>
      <w:r w:rsidR="00C12A9F" w:rsidRPr="00C12A9F">
        <w:rPr>
          <w:noProof/>
        </w:rPr>
        <w:t>2</w:t>
      </w:r>
      <w:r w:rsidRPr="000A50B7">
        <w:fldChar w:fldCharType="end"/>
      </w:r>
      <w:r w:rsidRPr="000A50B7">
        <w:t>.</w:t>
      </w:r>
    </w:p>
    <w:p w14:paraId="2096439A" w14:textId="77777777" w:rsidR="00801921" w:rsidRDefault="00801921" w:rsidP="00666E06">
      <w:r>
        <w:rPr>
          <w:noProof/>
        </w:rPr>
        <w:drawing>
          <wp:inline distT="0" distB="0" distL="0" distR="0" wp14:anchorId="7BFBCCC6" wp14:editId="5E50FDEB">
            <wp:extent cx="6120130" cy="1443990"/>
            <wp:effectExtent l="0" t="0" r="0" b="3810"/>
            <wp:docPr id="1649165054" name="Picture 1649165054"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65054" name="Picture 1" descr="A close-up of a graph&#10;&#10;Description automatically generated"/>
                    <pic:cNvPicPr/>
                  </pic:nvPicPr>
                  <pic:blipFill>
                    <a:blip r:embed="rId27"/>
                    <a:stretch>
                      <a:fillRect/>
                    </a:stretch>
                  </pic:blipFill>
                  <pic:spPr>
                    <a:xfrm>
                      <a:off x="0" y="0"/>
                      <a:ext cx="6120130" cy="1443990"/>
                    </a:xfrm>
                    <a:prstGeom prst="rect">
                      <a:avLst/>
                    </a:prstGeom>
                  </pic:spPr>
                </pic:pic>
              </a:graphicData>
            </a:graphic>
          </wp:inline>
        </w:drawing>
      </w:r>
    </w:p>
    <w:p w14:paraId="3FAC3A25" w14:textId="00E5A684" w:rsidR="00801921" w:rsidRPr="0048124F" w:rsidRDefault="00801921" w:rsidP="00BD1621">
      <w:pPr>
        <w:pStyle w:val="Figure"/>
        <w:rPr>
          <w:sz w:val="20"/>
          <w:szCs w:val="20"/>
        </w:rPr>
      </w:pPr>
      <w:bookmarkStart w:id="64" w:name="_Ref149559160"/>
      <w:r w:rsidRPr="0048124F">
        <w:rPr>
          <w:sz w:val="20"/>
          <w:szCs w:val="20"/>
        </w:rPr>
        <w:t xml:space="preserve">Figure </w:t>
      </w:r>
      <w:r w:rsidRPr="0048124F">
        <w:rPr>
          <w:sz w:val="20"/>
          <w:szCs w:val="20"/>
        </w:rPr>
        <w:fldChar w:fldCharType="begin"/>
      </w:r>
      <w:r w:rsidRPr="0048124F">
        <w:rPr>
          <w:sz w:val="20"/>
          <w:szCs w:val="20"/>
        </w:rPr>
        <w:instrText>SEQ Figure \* ARABIC</w:instrText>
      </w:r>
      <w:r w:rsidRPr="0048124F">
        <w:rPr>
          <w:sz w:val="20"/>
          <w:szCs w:val="20"/>
        </w:rPr>
        <w:fldChar w:fldCharType="separate"/>
      </w:r>
      <w:r w:rsidR="00C12A9F">
        <w:rPr>
          <w:noProof/>
          <w:sz w:val="20"/>
          <w:szCs w:val="20"/>
        </w:rPr>
        <w:t>2</w:t>
      </w:r>
      <w:r w:rsidRPr="0048124F">
        <w:rPr>
          <w:sz w:val="20"/>
          <w:szCs w:val="20"/>
        </w:rPr>
        <w:fldChar w:fldCharType="end"/>
      </w:r>
      <w:bookmarkEnd w:id="64"/>
      <w:r w:rsidRPr="0048124F">
        <w:rPr>
          <w:sz w:val="20"/>
          <w:szCs w:val="20"/>
        </w:rPr>
        <w:t xml:space="preserve">: Presentation summary sheets required as part of Concept Design deliverables for Structural and Geotechnical disciplines. Refer to Section </w:t>
      </w:r>
      <w:r w:rsidRPr="0048124F">
        <w:rPr>
          <w:sz w:val="20"/>
          <w:szCs w:val="20"/>
        </w:rPr>
        <w:fldChar w:fldCharType="begin"/>
      </w:r>
      <w:r w:rsidRPr="0048124F">
        <w:rPr>
          <w:sz w:val="20"/>
          <w:szCs w:val="20"/>
        </w:rPr>
        <w:instrText xml:space="preserve"> REF _Ref157144164 \r \h  \* MERGEFORMAT </w:instrText>
      </w:r>
      <w:r w:rsidRPr="0048124F">
        <w:rPr>
          <w:sz w:val="20"/>
          <w:szCs w:val="20"/>
        </w:rPr>
      </w:r>
      <w:r w:rsidRPr="0048124F">
        <w:rPr>
          <w:sz w:val="20"/>
          <w:szCs w:val="20"/>
        </w:rPr>
        <w:fldChar w:fldCharType="separate"/>
      </w:r>
      <w:r w:rsidR="000761C1" w:rsidRPr="0048124F">
        <w:rPr>
          <w:sz w:val="20"/>
          <w:szCs w:val="20"/>
        </w:rPr>
        <w:t>A3.3</w:t>
      </w:r>
      <w:r w:rsidRPr="0048124F">
        <w:rPr>
          <w:sz w:val="20"/>
          <w:szCs w:val="20"/>
        </w:rPr>
        <w:fldChar w:fldCharType="end"/>
      </w:r>
      <w:r w:rsidRPr="0048124F">
        <w:rPr>
          <w:sz w:val="20"/>
          <w:szCs w:val="20"/>
        </w:rPr>
        <w:t xml:space="preserve"> for additional recommendations on the form of presentation of Up-front Carbon calculations.</w:t>
      </w:r>
    </w:p>
    <w:p w14:paraId="4D3F770E" w14:textId="2B3D2412" w:rsidR="00801921" w:rsidRPr="000A50B7" w:rsidRDefault="00801921" w:rsidP="00666E06">
      <w:r w:rsidRPr="000A50B7">
        <w:t xml:space="preserve">Although a number of concepts may be explored, it is generally anticipated that ~3 concept typologies will be carried to the level of development indicated in </w:t>
      </w:r>
      <w:r w:rsidRPr="000A50B7">
        <w:fldChar w:fldCharType="begin"/>
      </w:r>
      <w:r w:rsidRPr="000A50B7">
        <w:instrText xml:space="preserve"> REF _Ref149559160 \h </w:instrText>
      </w:r>
      <w:r w:rsidR="000A50B7">
        <w:instrText xml:space="preserve"> \* MERGEFORMAT </w:instrText>
      </w:r>
      <w:r w:rsidRPr="000A50B7">
        <w:fldChar w:fldCharType="separate"/>
      </w:r>
      <w:r w:rsidR="00C12A9F" w:rsidRPr="00C12A9F">
        <w:t xml:space="preserve">Figure </w:t>
      </w:r>
      <w:r w:rsidR="00C12A9F" w:rsidRPr="00C12A9F">
        <w:rPr>
          <w:noProof/>
        </w:rPr>
        <w:t>2</w:t>
      </w:r>
      <w:r w:rsidRPr="000A50B7">
        <w:fldChar w:fldCharType="end"/>
      </w:r>
      <w:r w:rsidRPr="000A50B7">
        <w:t>. This should comprise the proposed concept design that the project team is recommending for progression to Preliminary Design</w:t>
      </w:r>
      <w:r w:rsidR="00D539E8">
        <w:t xml:space="preserve"> </w:t>
      </w:r>
      <w:r w:rsidRPr="000A50B7">
        <w:t>developed to the Concept Design level of development in accordance with the CIC Guidelines and the project brief.</w:t>
      </w:r>
    </w:p>
    <w:p w14:paraId="16C73738" w14:textId="77777777" w:rsidR="00801921" w:rsidRPr="000A50B7" w:rsidRDefault="00801921" w:rsidP="00666E06">
      <w:r w:rsidRPr="000A50B7">
        <w:t>It should also comprise a record of the other most promising concept options “considered” (generally at least 1 to 2 additional). These need not be developed to the same CIC Guidelines level of detail. However, they do need to be developed sufficiently to allow comparative (i.e. consistently coarse) calculation of kg-CO</w:t>
      </w:r>
      <w:r w:rsidRPr="000A50B7">
        <w:rPr>
          <w:vertAlign w:val="subscript"/>
        </w:rPr>
        <w:t>2</w:t>
      </w:r>
      <w:r w:rsidRPr="000A50B7">
        <w:t>-eq, general resolution against the schedule of accommodation and fair assessment of other comparative merits.</w:t>
      </w:r>
    </w:p>
    <w:p w14:paraId="739E1EBB" w14:textId="77777777" w:rsidR="00801921" w:rsidRPr="000A50B7" w:rsidRDefault="00801921" w:rsidP="00666E06">
      <w:r w:rsidRPr="000A50B7">
        <w:t xml:space="preserve">Where the structural typologies explored have significant influence on spatial planning (possibly to the point of impacting the overall block and stack) then it is expected that the concepts presented will reflect this. However, as noted above, the level of resolution of the plan for other concepts “considered” would not be expected to match that of the </w:t>
      </w:r>
      <w:r w:rsidRPr="000A50B7">
        <w:lastRenderedPageBreak/>
        <w:t xml:space="preserve">“proposed” concept design (nor to a CIC Guidelines </w:t>
      </w:r>
      <w:r w:rsidRPr="000A50B7">
        <w:rPr>
          <w:i/>
          <w:iCs/>
        </w:rPr>
        <w:t>Concept Design</w:t>
      </w:r>
      <w:r w:rsidRPr="000A50B7">
        <w:t xml:space="preserve"> level of development).</w:t>
      </w:r>
    </w:p>
    <w:p w14:paraId="140DDF67" w14:textId="77777777" w:rsidR="00801921" w:rsidRPr="000A50B7" w:rsidRDefault="00801921" w:rsidP="00666E06">
      <w:r w:rsidRPr="000A50B7">
        <w:t>It is helpful to keep a separate record of other typologies and options considered but discarded without rigorous testing with brief commentary.</w:t>
      </w:r>
    </w:p>
    <w:p w14:paraId="73402272" w14:textId="619FDEAF"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 xml:space="preserve">This guideline does not prescribe the use of any particular typology over another. </w:t>
      </w:r>
      <w:r w:rsidRPr="000A50B7">
        <w:rPr>
          <w:b/>
          <w:bCs/>
        </w:rPr>
        <w:t>However, it does require the consideration of multiple typologies</w:t>
      </w:r>
      <w:r w:rsidR="00D539E8">
        <w:rPr>
          <w:b/>
          <w:bCs/>
        </w:rPr>
        <w:t xml:space="preserve"> </w:t>
      </w:r>
      <w:r w:rsidRPr="000A50B7">
        <w:t>and a standard concise format for conveying the final concept design proposed, alongside other concepts considered.</w:t>
      </w:r>
    </w:p>
    <w:p w14:paraId="7E7659CF" w14:textId="17660855"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This is important to ensure the appropriate weighing of design constraints and ensuring appropriate visibility and rigour in decision making</w:t>
      </w:r>
      <w:r w:rsidR="00D539E8">
        <w:t xml:space="preserve"> </w:t>
      </w:r>
      <w:r w:rsidRPr="000A50B7">
        <w:t>maximising the chances of effective and linear design execution in subsequent stages. Importantly, it is also intended to aid in data capture for the benefit of future work establishing appropriate targets for embodied carbon minimisation.</w:t>
      </w:r>
    </w:p>
    <w:p w14:paraId="1D6057B5" w14:textId="69073E2C"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Lateral stability systems comprising concentrated bracing elements (braces or walls) are generally the most structurally efficient forms in the absence of other constraints</w:t>
      </w:r>
      <w:r w:rsidR="00D539E8">
        <w:t xml:space="preserve"> </w:t>
      </w:r>
      <w:r w:rsidRPr="000A50B7">
        <w:t>driving lowest structural cost and minimising embodied carbon. This is especially so where low inter-storey displacement targets are part of the strategy for achieving seismic performance objectives.</w:t>
      </w:r>
    </w:p>
    <w:p w14:paraId="141177D3" w14:textId="77777777"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Notwithstanding the obvious physical constraint associated with the placement of structural bracing core(s) themselves, these typologies can maximise adaptability, depth for reticulation of services, can minimise constraint in other parts of the floor plate, and can reduce the costs associated with non-structural elements.</w:t>
      </w:r>
    </w:p>
    <w:p w14:paraId="7D2E8E8C" w14:textId="246D03CC"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Although these typologies are common in other parts of the world, including Australia</w:t>
      </w:r>
      <w:r w:rsidR="00D539E8">
        <w:t xml:space="preserve">, </w:t>
      </w:r>
      <w:r w:rsidRPr="000A50B7">
        <w:t>such approaches are somewhat less common in the modern era of hospital infrastructure in New Zealand</w:t>
      </w:r>
      <w:r w:rsidR="00D539E8">
        <w:t xml:space="preserve">, </w:t>
      </w:r>
      <w:r w:rsidRPr="000A50B7">
        <w:t xml:space="preserve">particularly </w:t>
      </w:r>
      <w:r w:rsidR="00AE001A" w:rsidRPr="000A50B7">
        <w:t>tertiary</w:t>
      </w:r>
      <w:r w:rsidRPr="000A50B7">
        <w:t xml:space="preserve"> care facilities (with exceptions). Anecdotally, this is generally put down to a combination of:</w:t>
      </w:r>
    </w:p>
    <w:p w14:paraId="7E1F9A33" w14:textId="77777777" w:rsidR="00801921" w:rsidRPr="000A50B7" w:rsidRDefault="00801921" w:rsidP="00845B4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A50B7">
        <w:t>a high desire for adaptable and flexible spaces,</w:t>
      </w:r>
    </w:p>
    <w:p w14:paraId="1D6B94C9" w14:textId="77777777" w:rsidR="00801921" w:rsidRPr="000A50B7" w:rsidRDefault="00801921" w:rsidP="00845B4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A50B7">
        <w:t>generally higher seismic bracing requirements, requiring a more intentional location of lateral bracing structure,</w:t>
      </w:r>
    </w:p>
    <w:p w14:paraId="4337990B" w14:textId="2F9B50AE" w:rsidR="00801921" w:rsidRPr="000A50B7" w:rsidRDefault="00801921" w:rsidP="00845B4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A50B7">
        <w:t>challenges introduced by vertical stacking of different programme</w:t>
      </w:r>
      <w:r w:rsidR="003A2055" w:rsidRPr="000A50B7">
        <w:t>s</w:t>
      </w:r>
      <w:r w:rsidRPr="000A50B7">
        <w:t xml:space="preserve"> (such as non-clinical areas over clinical spaces) and a desire for stepped floor plates outlines,</w:t>
      </w:r>
    </w:p>
    <w:p w14:paraId="46F71369" w14:textId="77777777" w:rsidR="00801921" w:rsidRPr="000A50B7" w:rsidRDefault="00801921" w:rsidP="00845B4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A50B7">
        <w:t>difficulty in accommodating diagonal structure where it could impede views and/or complicate detailing or introduce additional surfaces, intersections of finishes and infection control risks,</w:t>
      </w:r>
    </w:p>
    <w:p w14:paraId="0FB089E0" w14:textId="77777777" w:rsidR="00801921" w:rsidRPr="000A50B7" w:rsidRDefault="00801921" w:rsidP="00845B4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A50B7">
        <w:t>ultimately, difficulty in locating sufficient bays of bracing where they do not impose unreasonable constraint on programme or use of spaces.</w:t>
      </w:r>
    </w:p>
    <w:p w14:paraId="02A60AFB" w14:textId="1C568235" w:rsidR="00801921" w:rsidRPr="000A50B7"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t>The most appropriate structural typology cannot be prescribed, and will ultimately be determined by geographical and geotechnical setting, campus context and masterplan, the schedule of accommodation</w:t>
      </w:r>
      <w:r w:rsidR="0002543E">
        <w:t xml:space="preserve"> </w:t>
      </w:r>
      <w:r w:rsidRPr="000A50B7">
        <w:t>and in some instances</w:t>
      </w:r>
      <w:r w:rsidR="0002543E">
        <w:t xml:space="preserve"> </w:t>
      </w:r>
      <w:r w:rsidRPr="000A50B7">
        <w:t>the preferred methods for achieving the required level of earthquake resilience.</w:t>
      </w:r>
    </w:p>
    <w:p w14:paraId="6FB601B8" w14:textId="5ADE8C1A" w:rsidR="00A7476E" w:rsidRDefault="00801921" w:rsidP="00BB59F5">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530"/>
      </w:pPr>
      <w:r w:rsidRPr="000A50B7">
        <w:lastRenderedPageBreak/>
        <w:t>At concept and preliminary stages, the expectation is that embodied carbon calculations are managed within respective disciplines—aggregated as necessary by the ESD Consultant. Estimation of the size of elements and their weights and reinforcing contents will also be required. It is acknowledged that a significant degree of judgement will be required given the stage of design</w:t>
      </w:r>
      <w:r w:rsidR="0002543E">
        <w:t xml:space="preserve"> </w:t>
      </w:r>
      <w:r w:rsidRPr="000A50B7">
        <w:t>and it may be appropriate to represent the uncertainty in such estimates by a range.</w:t>
      </w:r>
    </w:p>
    <w:p w14:paraId="113E6F67" w14:textId="700E032A" w:rsidR="00801921" w:rsidRPr="000A50B7" w:rsidRDefault="00801921" w:rsidP="00D56CAE">
      <w:pPr>
        <w:pStyle w:val="BodyHeading"/>
      </w:pPr>
      <w:r w:rsidRPr="000A50B7">
        <w:t>Development of a Non-</w:t>
      </w:r>
      <w:r w:rsidR="000D28EF">
        <w:t>Structural</w:t>
      </w:r>
      <w:r w:rsidR="000D28EF" w:rsidRPr="000A50B7">
        <w:t xml:space="preserve"> </w:t>
      </w:r>
      <w:r w:rsidRPr="000A50B7">
        <w:t>Element (NSE) Seismic Design Strategy</w:t>
      </w:r>
    </w:p>
    <w:p w14:paraId="234486E8" w14:textId="30ABAE15" w:rsidR="00801921" w:rsidRPr="000A50B7" w:rsidRDefault="00801921" w:rsidP="00666E06">
      <w:pPr>
        <w:rPr>
          <w:lang w:val="en-US"/>
        </w:rPr>
      </w:pPr>
      <w:r w:rsidRPr="000A50B7">
        <w:rPr>
          <w:lang w:val="en-US"/>
        </w:rPr>
        <w:t xml:space="preserve">In concept and preliminary design, the NSE </w:t>
      </w:r>
      <w:r w:rsidR="00712CB5" w:rsidRPr="000A50B7">
        <w:rPr>
          <w:lang w:val="en-US"/>
        </w:rPr>
        <w:t>Seismic</w:t>
      </w:r>
      <w:r w:rsidRPr="000A50B7">
        <w:rPr>
          <w:lang w:val="en-US"/>
        </w:rPr>
        <w:t xml:space="preserve"> Designer should be working in parallel with other disciplines. An initial </w:t>
      </w:r>
      <w:r w:rsidRPr="000A50B7">
        <w:rPr>
          <w:i/>
          <w:iCs/>
          <w:lang w:val="en-US"/>
        </w:rPr>
        <w:t>Non-Structural Element (NSE) Seismic Design Strategy</w:t>
      </w:r>
      <w:r w:rsidRPr="000A50B7">
        <w:rPr>
          <w:lang w:val="en-US"/>
        </w:rPr>
        <w:t xml:space="preserve"> </w:t>
      </w:r>
      <w:r w:rsidR="00362C7E" w:rsidRPr="000A50B7">
        <w:rPr>
          <w:lang w:val="en-US"/>
        </w:rPr>
        <w:t xml:space="preserve">(described in Section </w:t>
      </w:r>
      <w:r w:rsidR="00362C7E" w:rsidRPr="000A50B7">
        <w:rPr>
          <w:lang w:val="en-US"/>
        </w:rPr>
        <w:fldChar w:fldCharType="begin"/>
      </w:r>
      <w:r w:rsidR="00362C7E" w:rsidRPr="000A50B7">
        <w:rPr>
          <w:lang w:val="en-US"/>
        </w:rPr>
        <w:instrText xml:space="preserve"> REF _Ref152139034 \r \h </w:instrText>
      </w:r>
      <w:r w:rsidR="000A50B7">
        <w:rPr>
          <w:lang w:val="en-US"/>
        </w:rPr>
        <w:instrText xml:space="preserve"> \* MERGEFORMAT </w:instrText>
      </w:r>
      <w:r w:rsidR="00362C7E" w:rsidRPr="000A50B7">
        <w:rPr>
          <w:lang w:val="en-US"/>
        </w:rPr>
      </w:r>
      <w:r w:rsidR="00362C7E" w:rsidRPr="000A50B7">
        <w:rPr>
          <w:lang w:val="en-US"/>
        </w:rPr>
        <w:fldChar w:fldCharType="separate"/>
      </w:r>
      <w:r w:rsidR="000761C1">
        <w:rPr>
          <w:lang w:val="en-US"/>
        </w:rPr>
        <w:t>A3.2</w:t>
      </w:r>
      <w:r w:rsidR="00362C7E" w:rsidRPr="000A50B7">
        <w:rPr>
          <w:lang w:val="en-US"/>
        </w:rPr>
        <w:fldChar w:fldCharType="end"/>
      </w:r>
      <w:r w:rsidR="00362C7E" w:rsidRPr="000A50B7">
        <w:rPr>
          <w:lang w:val="en-US"/>
        </w:rPr>
        <w:t xml:space="preserve">) </w:t>
      </w:r>
      <w:r w:rsidRPr="000A50B7">
        <w:rPr>
          <w:lang w:val="en-US"/>
        </w:rPr>
        <w:t>should be developed as part of Concept Design work</w:t>
      </w:r>
      <w:r w:rsidR="0002543E">
        <w:rPr>
          <w:lang w:val="en-US"/>
        </w:rPr>
        <w:t xml:space="preserve">, </w:t>
      </w:r>
      <w:r w:rsidRPr="000A50B7">
        <w:rPr>
          <w:lang w:val="en-US"/>
        </w:rPr>
        <w:t xml:space="preserve">the importance of this workstream is alluded to in the commentary above, and by its inclusion in the summary sheets indicated in </w:t>
      </w:r>
      <w:r w:rsidRPr="000A50B7">
        <w:rPr>
          <w:lang w:val="en-US"/>
        </w:rPr>
        <w:fldChar w:fldCharType="begin"/>
      </w:r>
      <w:r w:rsidRPr="000A50B7">
        <w:rPr>
          <w:lang w:val="en-US"/>
        </w:rPr>
        <w:instrText xml:space="preserve"> REF _Ref149559160 \h </w:instrText>
      </w:r>
      <w:r w:rsidR="000A50B7">
        <w:rPr>
          <w:lang w:val="en-US"/>
        </w:rPr>
        <w:instrText xml:space="preserve"> \* MERGEFORMAT </w:instrText>
      </w:r>
      <w:r w:rsidRPr="000A50B7">
        <w:rPr>
          <w:lang w:val="en-US"/>
        </w:rPr>
      </w:r>
      <w:r w:rsidRPr="000A50B7">
        <w:rPr>
          <w:lang w:val="en-US"/>
        </w:rPr>
        <w:fldChar w:fldCharType="separate"/>
      </w:r>
      <w:r w:rsidR="00092FDE" w:rsidRPr="00092FDE">
        <w:t xml:space="preserve">Figure </w:t>
      </w:r>
      <w:r w:rsidR="00092FDE" w:rsidRPr="00092FDE">
        <w:rPr>
          <w:noProof/>
        </w:rPr>
        <w:t>2</w:t>
      </w:r>
      <w:r w:rsidRPr="000A50B7">
        <w:rPr>
          <w:lang w:val="en-US"/>
        </w:rPr>
        <w:fldChar w:fldCharType="end"/>
      </w:r>
      <w:r w:rsidRPr="000A50B7">
        <w:rPr>
          <w:lang w:val="en-US"/>
        </w:rPr>
        <w:t>.</w:t>
      </w:r>
      <w:r w:rsidR="002B45A5" w:rsidRPr="000A50B7">
        <w:rPr>
          <w:lang w:val="en-US"/>
        </w:rPr>
        <w:t xml:space="preserve"> The BIP NSE CoP contains specific information on Concept Design inter-discipline coordination, interfaces, and considerations.</w:t>
      </w:r>
    </w:p>
    <w:p w14:paraId="3BF34D21" w14:textId="578774D2" w:rsidR="003B3835" w:rsidRDefault="00801921" w:rsidP="00666E06">
      <w:pPr>
        <w:rPr>
          <w:lang w:val="en-US"/>
        </w:rPr>
      </w:pPr>
      <w:r w:rsidRPr="000A50B7">
        <w:rPr>
          <w:lang w:val="en-US"/>
        </w:rPr>
        <w:t xml:space="preserve">The NSE </w:t>
      </w:r>
      <w:r w:rsidR="00712CB5" w:rsidRPr="000A50B7">
        <w:rPr>
          <w:lang w:val="en-US"/>
        </w:rPr>
        <w:t>Seismic</w:t>
      </w:r>
      <w:r w:rsidRPr="000A50B7">
        <w:rPr>
          <w:lang w:val="en-US"/>
        </w:rPr>
        <w:t xml:space="preserve"> Designer should take primary responsibility for developing the strategy</w:t>
      </w:r>
      <w:r w:rsidR="00324881">
        <w:rPr>
          <w:lang w:val="en-US"/>
        </w:rPr>
        <w:t xml:space="preserve"> document</w:t>
      </w:r>
      <w:r w:rsidR="005D717F">
        <w:rPr>
          <w:lang w:val="en-US"/>
        </w:rPr>
        <w:t xml:space="preserve">. The strategy itself should </w:t>
      </w:r>
      <w:r w:rsidR="00AF3C9F">
        <w:rPr>
          <w:lang w:val="en-US"/>
        </w:rPr>
        <w:t>reflect</w:t>
      </w:r>
      <w:r w:rsidR="005D717F">
        <w:rPr>
          <w:lang w:val="en-US"/>
        </w:rPr>
        <w:t xml:space="preserve"> </w:t>
      </w:r>
      <w:r w:rsidR="00AF3C9F">
        <w:rPr>
          <w:lang w:val="en-US"/>
        </w:rPr>
        <w:t>the</w:t>
      </w:r>
      <w:r w:rsidR="005D717F">
        <w:rPr>
          <w:lang w:val="en-US"/>
        </w:rPr>
        <w:t xml:space="preserve"> holistic</w:t>
      </w:r>
      <w:r w:rsidR="00DF3882">
        <w:rPr>
          <w:lang w:val="en-US"/>
        </w:rPr>
        <w:t>/collective</w:t>
      </w:r>
      <w:r w:rsidRPr="000A50B7">
        <w:rPr>
          <w:lang w:val="en-US"/>
        </w:rPr>
        <w:t xml:space="preserve"> </w:t>
      </w:r>
      <w:r w:rsidR="00AF3C9F">
        <w:rPr>
          <w:lang w:val="en-US"/>
        </w:rPr>
        <w:t>contributions</w:t>
      </w:r>
      <w:r w:rsidR="00CD1210">
        <w:rPr>
          <w:lang w:val="en-US"/>
        </w:rPr>
        <w:t xml:space="preserve"> and mutual agreement</w:t>
      </w:r>
      <w:r w:rsidR="00AF3C9F">
        <w:rPr>
          <w:lang w:val="en-US"/>
        </w:rPr>
        <w:t xml:space="preserve"> of</w:t>
      </w:r>
      <w:r w:rsidRPr="000A50B7">
        <w:rPr>
          <w:lang w:val="en-US"/>
        </w:rPr>
        <w:t xml:space="preserve"> the</w:t>
      </w:r>
      <w:r w:rsidR="00736F47">
        <w:rPr>
          <w:lang w:val="en-US"/>
        </w:rPr>
        <w:t xml:space="preserve"> structural and building services engineers</w:t>
      </w:r>
      <w:r w:rsidR="00171E30">
        <w:rPr>
          <w:lang w:val="en-US"/>
        </w:rPr>
        <w:t>, architect, contractor (where</w:t>
      </w:r>
      <w:r w:rsidR="00CD1210">
        <w:rPr>
          <w:lang w:val="en-US"/>
        </w:rPr>
        <w:t xml:space="preserve"> their input is</w:t>
      </w:r>
      <w:r w:rsidR="00171E30">
        <w:rPr>
          <w:lang w:val="en-US"/>
        </w:rPr>
        <w:t xml:space="preserve"> available), </w:t>
      </w:r>
      <w:r w:rsidR="003B3835" w:rsidRPr="000A50B7">
        <w:rPr>
          <w:lang w:val="en-US"/>
        </w:rPr>
        <w:t>other</w:t>
      </w:r>
      <w:r w:rsidR="003B3835">
        <w:rPr>
          <w:lang w:val="en-US"/>
        </w:rPr>
        <w:t xml:space="preserve"> affected</w:t>
      </w:r>
      <w:r w:rsidR="003B3835" w:rsidRPr="000A50B7">
        <w:rPr>
          <w:lang w:val="en-US"/>
        </w:rPr>
        <w:t xml:space="preserve"> disciplines</w:t>
      </w:r>
      <w:r w:rsidR="003B3835">
        <w:rPr>
          <w:lang w:val="en-US"/>
        </w:rPr>
        <w:t xml:space="preserve"> and </w:t>
      </w:r>
      <w:r w:rsidR="00171E30">
        <w:rPr>
          <w:lang w:val="en-US"/>
        </w:rPr>
        <w:t>the</w:t>
      </w:r>
      <w:r w:rsidRPr="000A50B7">
        <w:rPr>
          <w:lang w:val="en-US"/>
        </w:rPr>
        <w:t xml:space="preserve"> </w:t>
      </w:r>
      <w:r w:rsidR="00963A39">
        <w:rPr>
          <w:lang w:val="en-US"/>
        </w:rPr>
        <w:t>NSE</w:t>
      </w:r>
      <w:r w:rsidR="00954529">
        <w:rPr>
          <w:lang w:val="en-US"/>
        </w:rPr>
        <w:t xml:space="preserve"> Seismic Designer</w:t>
      </w:r>
      <w:r w:rsidR="00171E30">
        <w:rPr>
          <w:lang w:val="en-US"/>
        </w:rPr>
        <w:t>s own inputs</w:t>
      </w:r>
      <w:r w:rsidRPr="000A50B7">
        <w:rPr>
          <w:lang w:val="en-US"/>
        </w:rPr>
        <w:t>.</w:t>
      </w:r>
    </w:p>
    <w:p w14:paraId="16F82682" w14:textId="02998066" w:rsidR="00801921" w:rsidRPr="000A50B7" w:rsidRDefault="00E54422" w:rsidP="00666E06">
      <w:pPr>
        <w:rPr>
          <w:lang w:val="en-US"/>
        </w:rPr>
      </w:pPr>
      <w:r>
        <w:rPr>
          <w:lang w:val="en-US"/>
        </w:rPr>
        <w:t>Contributing and a</w:t>
      </w:r>
      <w:r w:rsidR="00801921" w:rsidRPr="000A50B7">
        <w:rPr>
          <w:lang w:val="en-US"/>
        </w:rPr>
        <w:t xml:space="preserve">ffected disciplines should develop an understanding of the consequential detailing implications of the </w:t>
      </w:r>
      <w:r w:rsidR="00801921" w:rsidRPr="000A50B7">
        <w:rPr>
          <w:i/>
          <w:iCs/>
          <w:lang w:val="en-US"/>
        </w:rPr>
        <w:t>NSE Seismic Design Strategy</w:t>
      </w:r>
      <w:r w:rsidR="0002543E">
        <w:rPr>
          <w:i/>
          <w:iCs/>
          <w:lang w:val="en-US"/>
        </w:rPr>
        <w:t xml:space="preserve"> </w:t>
      </w:r>
      <w:r w:rsidR="00801921" w:rsidRPr="000A50B7">
        <w:rPr>
          <w:lang w:val="en-US"/>
        </w:rPr>
        <w:t>and similarly the benefits and consequences of altering primary structure performance targets to allow different strategies to be explored.</w:t>
      </w:r>
    </w:p>
    <w:p w14:paraId="48EA13DB" w14:textId="77777777" w:rsidR="00801921" w:rsidRPr="005F3AFE" w:rsidRDefault="00801921" w:rsidP="0032064A">
      <w:pPr>
        <w:pStyle w:val="NumbHeading3"/>
      </w:pPr>
      <w:bookmarkStart w:id="65" w:name="_Toc147899123"/>
      <w:r w:rsidRPr="005F3AFE">
        <w:t>Preliminary Design</w:t>
      </w:r>
      <w:bookmarkEnd w:id="65"/>
    </w:p>
    <w:p w14:paraId="57088F1A" w14:textId="342630EC" w:rsidR="00801921" w:rsidRPr="005F3AFE" w:rsidRDefault="00801921" w:rsidP="00D56CAE">
      <w:pPr>
        <w:pStyle w:val="BodyHeading"/>
      </w:pPr>
      <w:r w:rsidRPr="005F3AFE">
        <w:t xml:space="preserve">Development of </w:t>
      </w:r>
      <w:r w:rsidR="00DA41B7" w:rsidRPr="005F3AFE">
        <w:t xml:space="preserve">the </w:t>
      </w:r>
      <w:r w:rsidRPr="005F3AFE">
        <w:t xml:space="preserve">Seismic Performance Framework and NSE </w:t>
      </w:r>
      <w:r w:rsidR="00DA41B7" w:rsidRPr="005F3AFE">
        <w:t xml:space="preserve">Seismic Design </w:t>
      </w:r>
      <w:r w:rsidRPr="005F3AFE">
        <w:t>Strategy</w:t>
      </w:r>
    </w:p>
    <w:p w14:paraId="4B7EBB86" w14:textId="3B0ADF16" w:rsidR="007E5FD0" w:rsidRPr="002A5547" w:rsidRDefault="00801921" w:rsidP="00666E06">
      <w:r w:rsidRPr="005F3AFE">
        <w:t xml:space="preserve">Preliminary Design incorporates the further development and testing of the design response to the </w:t>
      </w:r>
      <w:r w:rsidRPr="005F3AFE">
        <w:rPr>
          <w:i/>
          <w:iCs/>
        </w:rPr>
        <w:t>Seismic Performance Framework</w:t>
      </w:r>
      <w:r w:rsidRPr="005F3AFE">
        <w:t xml:space="preserve"> and the </w:t>
      </w:r>
      <w:r w:rsidRPr="005F3AFE">
        <w:rPr>
          <w:i/>
          <w:iCs/>
        </w:rPr>
        <w:t>NSE Seismic Design Strategy</w:t>
      </w:r>
      <w:r w:rsidR="00AA244A">
        <w:t>, for the selected concept option</w:t>
      </w:r>
      <w:r w:rsidR="00A43953">
        <w:t xml:space="preserve">. </w:t>
      </w:r>
      <w:r w:rsidRPr="005F3AFE">
        <w:t xml:space="preserve">By the completion of preliminary design, this document should capture detailed information about the approach for the seismic design, coordination, and construction of non-structural </w:t>
      </w:r>
      <w:r w:rsidRPr="002A5547">
        <w:t>elements</w:t>
      </w:r>
      <w:r w:rsidR="00A43953" w:rsidRPr="002A5547">
        <w:t>.</w:t>
      </w:r>
      <w:r w:rsidR="007E5FD0" w:rsidRPr="002A5547">
        <w:t xml:space="preserve"> This should also include a detailed delineation of responsibilities between designers, and with the contractor.</w:t>
      </w:r>
      <w:r w:rsidR="00567807">
        <w:t xml:space="preserve"> The </w:t>
      </w:r>
      <w:r w:rsidR="000962BF">
        <w:t>procurement approach will be influenced by these issues.</w:t>
      </w:r>
      <w:r w:rsidR="00567807">
        <w:t xml:space="preserve"> </w:t>
      </w:r>
    </w:p>
    <w:p w14:paraId="43A499C5" w14:textId="32F3F5A4" w:rsidR="00801921" w:rsidRPr="005F3AFE" w:rsidRDefault="00801921" w:rsidP="00666E06">
      <w:r w:rsidRPr="005F3AFE">
        <w:t xml:space="preserve">A detailed list of requirements can be found in </w:t>
      </w:r>
      <w:r w:rsidR="00083977">
        <w:t>S</w:t>
      </w:r>
      <w:r w:rsidRPr="005F3AFE">
        <w:t xml:space="preserve">ection </w:t>
      </w:r>
      <w:r w:rsidRPr="005F3AFE">
        <w:fldChar w:fldCharType="begin"/>
      </w:r>
      <w:r w:rsidRPr="005F3AFE">
        <w:instrText xml:space="preserve"> REF _Ref152139034 \r \h  \* MERGEFORMAT </w:instrText>
      </w:r>
      <w:r w:rsidRPr="005F3AFE">
        <w:fldChar w:fldCharType="separate"/>
      </w:r>
      <w:r w:rsidR="000761C1">
        <w:t>A3.2</w:t>
      </w:r>
      <w:r w:rsidRPr="005F3AFE">
        <w:fldChar w:fldCharType="end"/>
      </w:r>
      <w:r w:rsidRPr="005F3AFE">
        <w:t>.</w:t>
      </w:r>
    </w:p>
    <w:p w14:paraId="0D58B99C" w14:textId="77777777" w:rsidR="00801921" w:rsidRPr="005F3AFE" w:rsidRDefault="00801921" w:rsidP="00666E06">
      <w:r w:rsidRPr="005F3AFE">
        <w:t>This work generally continues in parallel with other disciplines with aligned timing of deliverables through the concept and preliminary design phases.</w:t>
      </w:r>
    </w:p>
    <w:p w14:paraId="1FD54F72" w14:textId="77777777" w:rsidR="00801921" w:rsidRPr="005F3AFE" w:rsidRDefault="00801921" w:rsidP="00D56CAE">
      <w:pPr>
        <w:pStyle w:val="BodyHeading"/>
      </w:pPr>
      <w:r w:rsidRPr="005F3AFE">
        <w:lastRenderedPageBreak/>
        <w:t>Up-front Embodied Carbon Reporting</w:t>
      </w:r>
    </w:p>
    <w:p w14:paraId="55557D9D" w14:textId="6CC8E221" w:rsidR="00801921" w:rsidRPr="005F3AFE" w:rsidRDefault="00801921" w:rsidP="00666E06">
      <w:r w:rsidRPr="005F3AFE">
        <w:t xml:space="preserve">At this design stage, </w:t>
      </w:r>
      <w:r w:rsidRPr="005F3AFE">
        <w:rPr>
          <w:i/>
          <w:iCs/>
        </w:rPr>
        <w:t>Up-front Carbon</w:t>
      </w:r>
      <w:r w:rsidRPr="005F3AFE">
        <w:t xml:space="preserve"> estimating and summary reporting for structure and geotechnical disciplines can generally remain based on Modules A1 to A3 per MBIE’s BfCC framework, refer to Section </w:t>
      </w:r>
      <w:r w:rsidRPr="005F3AFE">
        <w:fldChar w:fldCharType="begin"/>
      </w:r>
      <w:r w:rsidRPr="005F3AFE">
        <w:instrText xml:space="preserve"> REF _Ref151386872 \r \h </w:instrText>
      </w:r>
      <w:r w:rsidR="005F3AFE">
        <w:instrText xml:space="preserve"> \* MERGEFORMAT </w:instrText>
      </w:r>
      <w:r w:rsidRPr="005F3AFE">
        <w:fldChar w:fldCharType="separate"/>
      </w:r>
      <w:r w:rsidR="000761C1">
        <w:t>B4</w:t>
      </w:r>
      <w:r w:rsidRPr="005F3AFE">
        <w:fldChar w:fldCharType="end"/>
      </w:r>
      <w:r w:rsidRPr="005F3AFE">
        <w:t xml:space="preserve">. Comparative analysis </w:t>
      </w:r>
      <w:r w:rsidR="001C40F1" w:rsidRPr="005F3AFE">
        <w:t>should</w:t>
      </w:r>
      <w:r w:rsidRPr="005F3AFE">
        <w:t xml:space="preserve"> expand to include Modules A1 to A5 where the transport and construction components are significant and where sufficiently reliable data are available. The modules included must be clearly stated in the presentation of any summaries</w:t>
      </w:r>
      <w:r w:rsidR="000E1457">
        <w:t xml:space="preserve"> </w:t>
      </w:r>
      <w:r w:rsidRPr="005F3AFE">
        <w:t>and must be carried consistently across comparisons.</w:t>
      </w:r>
    </w:p>
    <w:p w14:paraId="4BC0C886" w14:textId="0AD5BEE1" w:rsidR="00801921" w:rsidRPr="005F3AFE" w:rsidRDefault="00801921" w:rsidP="00666E06">
      <w:r w:rsidRPr="005F3AFE">
        <w:t xml:space="preserve">At Preliminary Design, </w:t>
      </w:r>
      <w:r w:rsidRPr="005F3AFE">
        <w:rPr>
          <w:i/>
          <w:iCs/>
        </w:rPr>
        <w:t>Up-front Carbon</w:t>
      </w:r>
      <w:r w:rsidRPr="005F3AFE">
        <w:t xml:space="preserve"> calculations help to identify the most carbon intensive elements and materials. This helps to set the focus of Developed Design</w:t>
      </w:r>
      <w:r w:rsidR="0002543E">
        <w:t xml:space="preserve"> </w:t>
      </w:r>
      <w:r w:rsidRPr="005F3AFE">
        <w:t>particularly towards those areas where design refinement could have the most influence. It also allows teams to begin to identify opportunities around sourcing of materials, and outline specifications.</w:t>
      </w:r>
    </w:p>
    <w:p w14:paraId="6269FBB7" w14:textId="70CC3DBA" w:rsidR="00801921" w:rsidRPr="005F3AFE" w:rsidRDefault="00801921" w:rsidP="0032064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5F3AFE">
        <w:t xml:space="preserve">There will naturally be tensions between minimisation of </w:t>
      </w:r>
      <w:r w:rsidRPr="005F3AFE">
        <w:rPr>
          <w:iCs/>
        </w:rPr>
        <w:t>Up-front Carbon</w:t>
      </w:r>
      <w:r w:rsidRPr="005F3AFE">
        <w:t xml:space="preserve"> and delivering enduring facilities of a high quality (that meet the performance brief) that are fit for future adaptability under changing uses or modes of care.</w:t>
      </w:r>
      <w:r w:rsidR="004A6BF9">
        <w:t xml:space="preserve"> </w:t>
      </w:r>
      <w:r w:rsidRPr="005F3AFE">
        <w:t>However</w:t>
      </w:r>
      <w:r w:rsidR="004A6BF9">
        <w:t>,</w:t>
      </w:r>
      <w:r w:rsidRPr="005F3AFE">
        <w:t xml:space="preserve"> equally important is the collection of data to inform appropriate embodied carbon reduction targets in the future</w:t>
      </w:r>
      <w:r w:rsidR="00370843">
        <w:t>,</w:t>
      </w:r>
      <w:r w:rsidR="00BB0AB7">
        <w:t xml:space="preserve"> </w:t>
      </w:r>
      <w:r w:rsidRPr="005F3AFE">
        <w:t>as well as enable smart choices to be made. Especially early in the design process, where there is more ability to make changes to allow the realisation of opportunities or minimise barriers against embodied carbon minimisation.</w:t>
      </w:r>
    </w:p>
    <w:p w14:paraId="16EA8954" w14:textId="77777777" w:rsidR="00801921" w:rsidRPr="005F3AFE" w:rsidRDefault="00801921" w:rsidP="0032064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5F3AFE">
        <w:t xml:space="preserve">In Preliminary Design, teams are encouraged to constructively challenge areas of the performance brief where reasonable compromises are perceived to be available and where doing so could materially influence opportunities to minimise </w:t>
      </w:r>
      <w:r w:rsidRPr="005F3AFE">
        <w:rPr>
          <w:iCs/>
        </w:rPr>
        <w:t>Up-front Carbon</w:t>
      </w:r>
      <w:r w:rsidRPr="005F3AFE">
        <w:t>.</w:t>
      </w:r>
    </w:p>
    <w:p w14:paraId="3EA319EE" w14:textId="77777777" w:rsidR="00801921" w:rsidRDefault="00801921" w:rsidP="0032064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5F3AFE">
        <w:t>The flexible design principle of “long life, loose fit” should be applied alongside the lean design principle of “design for use now, and strengthen if use changes”. Both of these principles carry a similar status and should be used to test key design decisions around adaptability for future use, reconfiguration, or alterations and extensions.</w:t>
      </w:r>
    </w:p>
    <w:p w14:paraId="1226A511" w14:textId="77777777" w:rsidR="00801921" w:rsidRPr="001857FB" w:rsidRDefault="00801921" w:rsidP="0032064A">
      <w:pPr>
        <w:pStyle w:val="NumbHeading3"/>
      </w:pPr>
      <w:bookmarkStart w:id="66" w:name="_Toc147899124"/>
      <w:bookmarkStart w:id="67" w:name="_Ref149580653"/>
      <w:bookmarkStart w:id="68" w:name="_Ref149581890"/>
      <w:r w:rsidRPr="001857FB">
        <w:t>Developed and Detailed Design</w:t>
      </w:r>
      <w:bookmarkEnd w:id="66"/>
      <w:bookmarkEnd w:id="67"/>
      <w:bookmarkEnd w:id="68"/>
    </w:p>
    <w:p w14:paraId="6F973C56" w14:textId="7F75B219" w:rsidR="00801921" w:rsidRPr="001857FB" w:rsidRDefault="00801921" w:rsidP="00D56CAE">
      <w:pPr>
        <w:pStyle w:val="BodyHeading"/>
      </w:pPr>
      <w:r w:rsidRPr="001857FB">
        <w:t>Development of NSE Seismic Design and Coordination</w:t>
      </w:r>
    </w:p>
    <w:p w14:paraId="17F2B42B" w14:textId="1B80E9A8" w:rsidR="00801921" w:rsidRPr="001857FB" w:rsidRDefault="00801921" w:rsidP="00666E06">
      <w:r w:rsidRPr="001857FB">
        <w:t xml:space="preserve">The primary purposes of NSE </w:t>
      </w:r>
      <w:r w:rsidR="001C552F" w:rsidRPr="001857FB">
        <w:t>s</w:t>
      </w:r>
      <w:r w:rsidR="00BC2D82" w:rsidRPr="001857FB">
        <w:t xml:space="preserve">eismic </w:t>
      </w:r>
      <w:r w:rsidR="001C552F" w:rsidRPr="001857FB">
        <w:t>d</w:t>
      </w:r>
      <w:r w:rsidR="00BC2D82" w:rsidRPr="001857FB">
        <w:t>esign</w:t>
      </w:r>
      <w:r w:rsidRPr="001857FB">
        <w:t xml:space="preserve"> </w:t>
      </w:r>
      <w:r w:rsidR="00DA41B7" w:rsidRPr="001857FB">
        <w:t xml:space="preserve">activities in </w:t>
      </w:r>
      <w:r w:rsidRPr="001857FB">
        <w:t>Developed Design are:</w:t>
      </w:r>
    </w:p>
    <w:p w14:paraId="54F69216" w14:textId="77777777" w:rsidR="00801921" w:rsidRPr="001857FB" w:rsidRDefault="00801921" w:rsidP="004D55F1">
      <w:pPr>
        <w:pStyle w:val="ListParagraph"/>
        <w:numPr>
          <w:ilvl w:val="0"/>
          <w:numId w:val="50"/>
        </w:numPr>
      </w:pPr>
      <w:r w:rsidRPr="001857FB">
        <w:t>to demonstrate the availability of coordinated, cost effective, and buildable solutions to general and congested areas,</w:t>
      </w:r>
    </w:p>
    <w:p w14:paraId="124F463D" w14:textId="77777777" w:rsidR="00801921" w:rsidRPr="001857FB" w:rsidRDefault="00801921" w:rsidP="004D55F1">
      <w:pPr>
        <w:pStyle w:val="ListParagraph"/>
        <w:numPr>
          <w:ilvl w:val="0"/>
          <w:numId w:val="50"/>
        </w:numPr>
      </w:pPr>
      <w:r w:rsidRPr="001857FB">
        <w:t>to support cost planning.</w:t>
      </w:r>
    </w:p>
    <w:p w14:paraId="06464963" w14:textId="01CA43B4" w:rsidR="00801921" w:rsidRPr="001857FB" w:rsidRDefault="00801921" w:rsidP="00666E06">
      <w:r w:rsidRPr="001857FB">
        <w:t xml:space="preserve">Modelling of restraint solutions (to agreed extents and levels of development) generally commences in Developed Design. From this time, the NSE </w:t>
      </w:r>
      <w:r w:rsidR="003434DC" w:rsidRPr="001857FB">
        <w:t>seismic</w:t>
      </w:r>
      <w:r w:rsidRPr="001857FB">
        <w:t xml:space="preserve"> design will normally operate on a lag behind the parent elements, provided sufficient overlap is retained to ensure coordination activity is occurring appropriate to the phase deliverable</w:t>
      </w:r>
      <w:r w:rsidRPr="001857FB">
        <w:rPr>
          <w:rFonts w:cstheme="minorHAnsi"/>
        </w:rPr>
        <w:t xml:space="preserve"> (</w:t>
      </w:r>
      <w:r w:rsidRPr="001857FB">
        <w:t>prior to the lagged modelling and documentation preparation period). This overlap is crucial to achieve integrated design.</w:t>
      </w:r>
    </w:p>
    <w:p w14:paraId="517A096B" w14:textId="68F12E95" w:rsidR="00801921" w:rsidRPr="001857FB" w:rsidRDefault="00801921" w:rsidP="00666E06">
      <w:r w:rsidRPr="001857FB">
        <w:lastRenderedPageBreak/>
        <w:t xml:space="preserve">Typically, this lag is several weeks, and should not be more than half a design phase, depending on the scale of the project. NSE </w:t>
      </w:r>
      <w:r w:rsidR="00712CB5" w:rsidRPr="001857FB">
        <w:t>Seismic Designer</w:t>
      </w:r>
      <w:r w:rsidRPr="001857FB">
        <w:t xml:space="preserve">s and other team members should mutually agree lag timings that ensure coordinated design solutions are agreed </w:t>
      </w:r>
      <w:r w:rsidRPr="001857FB">
        <w:rPr>
          <w:b/>
          <w:bCs/>
        </w:rPr>
        <w:t>prior</w:t>
      </w:r>
      <w:r w:rsidRPr="001857FB">
        <w:t xml:space="preserve"> to the lag, with lagged activity comprising only documentation preparation (and modelling effort associated with this preparation). The important measure is that the lagged activity should not generate unresolved clashes beyond the acceptable thresholds stipulated by the deliverable stage requirements and BIM execution plans.</w:t>
      </w:r>
    </w:p>
    <w:p w14:paraId="51C83F63" w14:textId="6C2B00B2" w:rsidR="00801921" w:rsidRPr="001857FB" w:rsidRDefault="00801921" w:rsidP="00666E06">
      <w:r w:rsidRPr="001857FB">
        <w:t xml:space="preserve">Refer to </w:t>
      </w:r>
      <w:r w:rsidRPr="0092503B">
        <w:t xml:space="preserve">Section </w:t>
      </w:r>
      <w:r w:rsidR="00090C16" w:rsidRPr="0092503B">
        <w:fldChar w:fldCharType="begin"/>
      </w:r>
      <w:r w:rsidR="00090C16" w:rsidRPr="0092503B">
        <w:instrText xml:space="preserve"> REF _Ref165301814 \r \h </w:instrText>
      </w:r>
      <w:r w:rsidR="001857FB" w:rsidRPr="0092503B">
        <w:instrText xml:space="preserve"> \* MERGEFORMAT </w:instrText>
      </w:r>
      <w:r w:rsidR="00090C16" w:rsidRPr="0092503B">
        <w:fldChar w:fldCharType="separate"/>
      </w:r>
      <w:r w:rsidR="000761C1">
        <w:t>C4</w:t>
      </w:r>
      <w:r w:rsidR="00090C16" w:rsidRPr="0092503B">
        <w:fldChar w:fldCharType="end"/>
      </w:r>
      <w:r w:rsidR="005D1E54">
        <w:t>,</w:t>
      </w:r>
      <w:r w:rsidR="003B4EBE" w:rsidRPr="0092503B">
        <w:t xml:space="preserve"> </w:t>
      </w:r>
      <w:r w:rsidR="003B4EBE" w:rsidRPr="0092503B">
        <w:fldChar w:fldCharType="begin"/>
      </w:r>
      <w:r w:rsidR="003B4EBE" w:rsidRPr="0092503B">
        <w:instrText xml:space="preserve"> REF _Ref165301850 \h </w:instrText>
      </w:r>
      <w:r w:rsidR="001857FB" w:rsidRPr="0092503B">
        <w:instrText xml:space="preserve"> \* MERGEFORMAT </w:instrText>
      </w:r>
      <w:r w:rsidR="003B4EBE" w:rsidRPr="0092503B">
        <w:fldChar w:fldCharType="separate"/>
      </w:r>
      <w:r w:rsidR="000761C1" w:rsidRPr="00A9001D">
        <w:t>Non-structural Elements: Detailing and Structural Support</w:t>
      </w:r>
      <w:r w:rsidR="003B4EBE" w:rsidRPr="0092503B">
        <w:fldChar w:fldCharType="end"/>
      </w:r>
      <w:r w:rsidR="003B4EBE" w:rsidRPr="0092503B">
        <w:t xml:space="preserve"> (Section </w:t>
      </w:r>
      <w:r w:rsidR="00090C16" w:rsidRPr="0092503B">
        <w:fldChar w:fldCharType="begin"/>
      </w:r>
      <w:r w:rsidR="00090C16" w:rsidRPr="0092503B">
        <w:instrText xml:space="preserve"> REF _Ref152940422 \r \h </w:instrText>
      </w:r>
      <w:r w:rsidR="001857FB" w:rsidRPr="0092503B">
        <w:instrText xml:space="preserve"> \* MERGEFORMAT </w:instrText>
      </w:r>
      <w:r w:rsidR="00090C16" w:rsidRPr="0092503B">
        <w:fldChar w:fldCharType="separate"/>
      </w:r>
      <w:r w:rsidR="000761C1">
        <w:t>C4.2</w:t>
      </w:r>
      <w:r w:rsidR="00090C16" w:rsidRPr="0092503B">
        <w:fldChar w:fldCharType="end"/>
      </w:r>
      <w:r w:rsidR="003B4EBE" w:rsidRPr="001857FB">
        <w:t>)</w:t>
      </w:r>
      <w:r w:rsidRPr="001857FB">
        <w:t xml:space="preserve"> for detailed information on Coordination strategies, BIM requirements and managing interfaces between design disciplines.</w:t>
      </w:r>
    </w:p>
    <w:p w14:paraId="0A3499ED" w14:textId="77777777" w:rsidR="00801921" w:rsidRPr="001857FB" w:rsidRDefault="00801921" w:rsidP="00D56CAE">
      <w:pPr>
        <w:pStyle w:val="BodyHeading"/>
      </w:pPr>
      <w:r w:rsidRPr="001857FB">
        <w:t>Up-front Carbon Reporting and Lifecycle Assessment</w:t>
      </w:r>
    </w:p>
    <w:p w14:paraId="1F01CE39" w14:textId="143A575C" w:rsidR="00801921" w:rsidRPr="00C5464F" w:rsidRDefault="007D5C79" w:rsidP="00666E06">
      <w:r>
        <w:t xml:space="preserve">Health NZ </w:t>
      </w:r>
      <w:r w:rsidR="00801921" w:rsidRPr="00C5464F">
        <w:t xml:space="preserve">require confirmed measurement and reporting of </w:t>
      </w:r>
      <w:r w:rsidR="00801921" w:rsidRPr="00C5464F">
        <w:rPr>
          <w:i/>
          <w:iCs/>
        </w:rPr>
        <w:t>Up-front Carbon</w:t>
      </w:r>
      <w:r w:rsidR="00801921" w:rsidRPr="00C5464F">
        <w:t xml:space="preserve"> at the completion of design (Modules A1 to A5). Significant projects also require a verified full Life Cycle Assessment (LCA) for the project at the completion of design. For the purposes of this guideline, the overall preparation of measurements that comply with the required methodologies are the responsibility of the ESD Consultant. The measurements will require inputs from the respective design disciplines</w:t>
      </w:r>
      <w:r w:rsidR="0002543E">
        <w:t xml:space="preserve"> - </w:t>
      </w:r>
      <w:r w:rsidR="00801921" w:rsidRPr="00C5464F">
        <w:t xml:space="preserve">refer to Section </w:t>
      </w:r>
      <w:r w:rsidR="00801921" w:rsidRPr="00C5464F">
        <w:fldChar w:fldCharType="begin"/>
      </w:r>
      <w:r w:rsidR="00801921" w:rsidRPr="00C5464F">
        <w:instrText xml:space="preserve"> REF _Ref149634916 \r \h </w:instrText>
      </w:r>
      <w:r w:rsidR="00C5464F">
        <w:instrText xml:space="preserve"> \* MERGEFORMAT </w:instrText>
      </w:r>
      <w:r w:rsidR="00801921" w:rsidRPr="00C5464F">
        <w:fldChar w:fldCharType="separate"/>
      </w:r>
      <w:r w:rsidR="000761C1">
        <w:t>B4</w:t>
      </w:r>
      <w:r w:rsidR="00801921" w:rsidRPr="00C5464F">
        <w:fldChar w:fldCharType="end"/>
      </w:r>
      <w:r w:rsidR="00801921" w:rsidRPr="00C5464F">
        <w:t xml:space="preserve"> for requirements.</w:t>
      </w:r>
    </w:p>
    <w:p w14:paraId="2351323B" w14:textId="77777777" w:rsidR="00801921" w:rsidRPr="00C5464F" w:rsidRDefault="00801921" w:rsidP="00666E06">
      <w:r w:rsidRPr="00C5464F">
        <w:t xml:space="preserve">The Structural Design Features Report should continue to report updated </w:t>
      </w:r>
      <w:r w:rsidRPr="00C5464F">
        <w:rPr>
          <w:i/>
          <w:iCs/>
        </w:rPr>
        <w:t>Up-front Carbon</w:t>
      </w:r>
      <w:r w:rsidRPr="00C5464F">
        <w:t xml:space="preserve"> summaries for structural and geotechnical disciplines (alongside inputs into the detailed project LCA). This is for ease of tracking progress through design, and for data-collection purposes.</w:t>
      </w:r>
    </w:p>
    <w:p w14:paraId="7D00CCE2" w14:textId="12940D3C" w:rsidR="00801921" w:rsidRPr="00C5464F" w:rsidRDefault="00801921" w:rsidP="0032064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5464F">
        <w:t xml:space="preserve">For structural aspects, most inputs required to complete confirmed </w:t>
      </w:r>
      <w:r w:rsidRPr="00C5464F">
        <w:rPr>
          <w:iCs/>
        </w:rPr>
        <w:t>Up-Front Carbon</w:t>
      </w:r>
      <w:r w:rsidRPr="00C5464F">
        <w:t xml:space="preserve"> measurements and full LCA should be available at the completion of Developed Design</w:t>
      </w:r>
      <w:r w:rsidR="0002543E">
        <w:t xml:space="preserve"> </w:t>
      </w:r>
      <w:r w:rsidRPr="00C5464F">
        <w:t>requiring only review at the completion of detailed design.</w:t>
      </w:r>
    </w:p>
    <w:p w14:paraId="5FCDF9FA" w14:textId="6B834A1A" w:rsidR="00801921" w:rsidRPr="00C5464F" w:rsidRDefault="00801921" w:rsidP="0032064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5464F">
        <w:t xml:space="preserve">However, an important part of developed and detailed design is confirming and committing the material specification. The procurement model for the project and availability of </w:t>
      </w:r>
      <w:r w:rsidR="00F303ED">
        <w:t>e</w:t>
      </w:r>
      <w:r w:rsidR="00F303ED" w:rsidRPr="00C5464F">
        <w:t xml:space="preserve">arly </w:t>
      </w:r>
      <w:r w:rsidR="00F303ED">
        <w:t>c</w:t>
      </w:r>
      <w:r w:rsidR="00F303ED" w:rsidRPr="00C5464F">
        <w:t xml:space="preserve">ontractor </w:t>
      </w:r>
      <w:r w:rsidR="00F303ED">
        <w:t>i</w:t>
      </w:r>
      <w:r w:rsidR="00F303ED" w:rsidRPr="00C5464F">
        <w:t xml:space="preserve">nput </w:t>
      </w:r>
      <w:r w:rsidRPr="00C5464F">
        <w:t>will also have some influence on the level of specificity that appropriate for project specifications, and which can be counted for in LCA. This will need to be managed in conjunction with the ESD Consultant responsible for compiling the LCA.</w:t>
      </w:r>
      <w:r w:rsidRPr="00C5464F">
        <w:br w:type="page"/>
      </w:r>
    </w:p>
    <w:p w14:paraId="542B31E2" w14:textId="6BF590D3" w:rsidR="00E133D0" w:rsidRPr="00584A40" w:rsidRDefault="00E133D0" w:rsidP="008E5D98">
      <w:pPr>
        <w:pStyle w:val="NumbHeading2"/>
      </w:pPr>
      <w:bookmarkStart w:id="69" w:name="_Ref157140572"/>
      <w:bookmarkStart w:id="70" w:name="_Ref157140577"/>
      <w:bookmarkStart w:id="71" w:name="_Ref157160348"/>
      <w:bookmarkStart w:id="72" w:name="_Toc203641937"/>
      <w:r w:rsidRPr="00584A40">
        <w:lastRenderedPageBreak/>
        <w:t>Design Roles</w:t>
      </w:r>
      <w:bookmarkEnd w:id="54"/>
      <w:bookmarkEnd w:id="55"/>
      <w:bookmarkEnd w:id="56"/>
      <w:bookmarkEnd w:id="57"/>
      <w:bookmarkEnd w:id="69"/>
      <w:bookmarkEnd w:id="70"/>
      <w:bookmarkEnd w:id="71"/>
      <w:bookmarkEnd w:id="72"/>
    </w:p>
    <w:p w14:paraId="08821F98" w14:textId="1106AE39" w:rsidR="00E026E5" w:rsidRPr="00584A40" w:rsidRDefault="00E026E5" w:rsidP="008E5D98">
      <w:pPr>
        <w:pStyle w:val="NumbHeading3"/>
      </w:pPr>
      <w:bookmarkStart w:id="73" w:name="_Ref157160828"/>
      <w:r w:rsidRPr="00584A40">
        <w:t>General</w:t>
      </w:r>
      <w:bookmarkEnd w:id="73"/>
    </w:p>
    <w:p w14:paraId="23DCDDD7" w14:textId="76EF9667" w:rsidR="00FF7AA4" w:rsidRPr="00584A40" w:rsidRDefault="00D3365B" w:rsidP="00666E06">
      <w:r w:rsidRPr="00584A40">
        <w:t xml:space="preserve">For the purposes of </w:t>
      </w:r>
      <w:r w:rsidR="00FB1CDE" w:rsidRPr="00584A40">
        <w:t>these guidelines</w:t>
      </w:r>
      <w:r w:rsidR="0034350B" w:rsidRPr="00584A40">
        <w:t xml:space="preserve">, </w:t>
      </w:r>
      <w:r w:rsidR="001C2A4E" w:rsidRPr="00584A40">
        <w:t>the defined roles and responsibilities should be generally in accordance with the CIC guidelines</w:t>
      </w:r>
      <w:r w:rsidR="00801706" w:rsidRPr="00584A40">
        <w:t xml:space="preserve">, as </w:t>
      </w:r>
      <w:r w:rsidR="00217219" w:rsidRPr="00584A40">
        <w:t>clarified/modified or expanded in the Project Brief</w:t>
      </w:r>
      <w:r w:rsidR="00FF7AA4" w:rsidRPr="00584A40">
        <w:t>.</w:t>
      </w:r>
      <w:r w:rsidR="00DE0141" w:rsidRPr="00584A40">
        <w:t xml:space="preserve"> </w:t>
      </w:r>
      <w:r w:rsidR="00A840BD" w:rsidRPr="00584A40">
        <w:t xml:space="preserve">Additionally, specific consideration should be given to </w:t>
      </w:r>
      <w:r w:rsidR="0088448C" w:rsidRPr="00584A40">
        <w:t>allocation</w:t>
      </w:r>
      <w:r w:rsidR="00DD5DB5" w:rsidRPr="00584A40">
        <w:t xml:space="preserve"> of the following scope </w:t>
      </w:r>
      <w:r w:rsidR="002626AA" w:rsidRPr="00584A40">
        <w:t>items</w:t>
      </w:r>
      <w:r w:rsidR="00DD5DB5" w:rsidRPr="00584A40">
        <w:t xml:space="preserve"> and related roles and responsibilities:</w:t>
      </w:r>
    </w:p>
    <w:p w14:paraId="7A17924A" w14:textId="608DACC1" w:rsidR="00FE0A6C" w:rsidRPr="00584A40" w:rsidRDefault="00DD5DB5" w:rsidP="004D55F1">
      <w:pPr>
        <w:pStyle w:val="ListParagraph"/>
        <w:numPr>
          <w:ilvl w:val="0"/>
          <w:numId w:val="43"/>
        </w:numPr>
      </w:pPr>
      <w:r w:rsidRPr="00584A40">
        <w:t>R</w:t>
      </w:r>
      <w:r w:rsidR="00817B25" w:rsidRPr="00584A40">
        <w:t>equirements</w:t>
      </w:r>
      <w:r w:rsidR="004D4148" w:rsidRPr="00584A40">
        <w:t xml:space="preserve"> for embodied carbon calculation and reporting—and any additional efforts associated with </w:t>
      </w:r>
      <w:r w:rsidR="00C7583B" w:rsidRPr="00584A40">
        <w:t>the brief requirements in this regard.</w:t>
      </w:r>
    </w:p>
    <w:p w14:paraId="2077B767" w14:textId="236D82B5" w:rsidR="008B5088" w:rsidRPr="00584A40" w:rsidRDefault="006F644E" w:rsidP="004D55F1">
      <w:pPr>
        <w:pStyle w:val="ListParagraph"/>
        <w:numPr>
          <w:ilvl w:val="0"/>
          <w:numId w:val="43"/>
        </w:numPr>
      </w:pPr>
      <w:r w:rsidRPr="00584A40">
        <w:t>Non-Structural Element</w:t>
      </w:r>
      <w:r w:rsidR="00D46709" w:rsidRPr="00584A40">
        <w:t xml:space="preserve"> (NSE)</w:t>
      </w:r>
      <w:r w:rsidRPr="00584A40">
        <w:t xml:space="preserve"> </w:t>
      </w:r>
      <w:r w:rsidR="00D46709" w:rsidRPr="00584A40">
        <w:t>s</w:t>
      </w:r>
      <w:r w:rsidRPr="00584A40">
        <w:t xml:space="preserve">eismic </w:t>
      </w:r>
      <w:r w:rsidR="00D46709" w:rsidRPr="00584A40">
        <w:t>design</w:t>
      </w:r>
      <w:r w:rsidRPr="00584A40">
        <w:t xml:space="preserve"> </w:t>
      </w:r>
      <w:r w:rsidR="008F267A" w:rsidRPr="00584A40">
        <w:t xml:space="preserve">scope </w:t>
      </w:r>
      <w:r w:rsidR="00D160AD" w:rsidRPr="00584A40">
        <w:t xml:space="preserve">(further discussion is given in Section </w:t>
      </w:r>
      <w:r w:rsidR="00D160AD" w:rsidRPr="00584A40">
        <w:fldChar w:fldCharType="begin"/>
      </w:r>
      <w:r w:rsidR="00D160AD" w:rsidRPr="00584A40">
        <w:instrText xml:space="preserve"> REF _Ref152940406 \r \h </w:instrText>
      </w:r>
      <w:r w:rsidR="00584A40">
        <w:instrText xml:space="preserve"> \* MERGEFORMAT </w:instrText>
      </w:r>
      <w:r w:rsidR="00D160AD" w:rsidRPr="00584A40">
        <w:fldChar w:fldCharType="separate"/>
      </w:r>
      <w:r w:rsidR="000761C1">
        <w:t>A2.3.2</w:t>
      </w:r>
      <w:r w:rsidR="00D160AD" w:rsidRPr="00584A40">
        <w:fldChar w:fldCharType="end"/>
      </w:r>
      <w:r w:rsidR="00D160AD" w:rsidRPr="00584A40">
        <w:t xml:space="preserve"> below and </w:t>
      </w:r>
      <w:r w:rsidR="00D160AD" w:rsidRPr="00584A40">
        <w:fldChar w:fldCharType="begin"/>
      </w:r>
      <w:r w:rsidR="00D160AD" w:rsidRPr="00584A40">
        <w:instrText xml:space="preserve"> REF _Ref152940422 \r \h </w:instrText>
      </w:r>
      <w:r w:rsidR="00584A40">
        <w:instrText xml:space="preserve"> \* MERGEFORMAT </w:instrText>
      </w:r>
      <w:r w:rsidR="00D160AD" w:rsidRPr="00584A40">
        <w:fldChar w:fldCharType="separate"/>
      </w:r>
      <w:r w:rsidR="000761C1">
        <w:t>C4.2</w:t>
      </w:r>
      <w:r w:rsidR="00D160AD" w:rsidRPr="00584A40">
        <w:fldChar w:fldCharType="end"/>
      </w:r>
      <w:r w:rsidR="00D160AD" w:rsidRPr="00584A40">
        <w:t>)</w:t>
      </w:r>
    </w:p>
    <w:p w14:paraId="7302DB03" w14:textId="4D77205A" w:rsidR="009C2AEA" w:rsidRPr="00584A40" w:rsidRDefault="008B5088" w:rsidP="004D55F1">
      <w:pPr>
        <w:pStyle w:val="ListParagraph"/>
        <w:numPr>
          <w:ilvl w:val="0"/>
          <w:numId w:val="43"/>
        </w:numPr>
      </w:pPr>
      <w:r w:rsidRPr="00584A40">
        <w:t xml:space="preserve">Requirements for other disciplines (particularly </w:t>
      </w:r>
      <w:r w:rsidR="00D160AD" w:rsidRPr="00584A40">
        <w:t>structural engineer, architect and building services engineer</w:t>
      </w:r>
      <w:r w:rsidR="002936E9" w:rsidRPr="00584A40">
        <w:t>),</w:t>
      </w:r>
      <w:r w:rsidR="00D160AD" w:rsidRPr="00584A40">
        <w:t xml:space="preserve"> when interfac</w:t>
      </w:r>
      <w:r w:rsidR="002936E9" w:rsidRPr="00584A40">
        <w:t>ing</w:t>
      </w:r>
      <w:r w:rsidR="00D160AD" w:rsidRPr="00584A40">
        <w:t xml:space="preserve"> with the </w:t>
      </w:r>
      <w:r w:rsidR="00E026E5" w:rsidRPr="00584A40">
        <w:t xml:space="preserve">NSE </w:t>
      </w:r>
      <w:r w:rsidR="00F1403E" w:rsidRPr="00584A40">
        <w:t>seismic</w:t>
      </w:r>
      <w:r w:rsidR="00E026E5" w:rsidRPr="00584A40">
        <w:t xml:space="preserve"> design scope </w:t>
      </w:r>
      <w:r w:rsidR="00AB09BC" w:rsidRPr="00584A40">
        <w:t>(</w:t>
      </w:r>
      <w:r w:rsidR="009E3BE2" w:rsidRPr="00584A40">
        <w:t xml:space="preserve">further discussion is given in Section </w:t>
      </w:r>
      <w:r w:rsidR="009E3BE2" w:rsidRPr="00584A40">
        <w:fldChar w:fldCharType="begin"/>
      </w:r>
      <w:r w:rsidR="009E3BE2" w:rsidRPr="00584A40">
        <w:instrText xml:space="preserve"> REF _Ref152940406 \r \h </w:instrText>
      </w:r>
      <w:r w:rsidR="00584A40">
        <w:instrText xml:space="preserve"> \* MERGEFORMAT </w:instrText>
      </w:r>
      <w:r w:rsidR="009E3BE2" w:rsidRPr="00584A40">
        <w:fldChar w:fldCharType="separate"/>
      </w:r>
      <w:r w:rsidR="000761C1">
        <w:t>A2.3.2</w:t>
      </w:r>
      <w:r w:rsidR="009E3BE2" w:rsidRPr="00584A40">
        <w:fldChar w:fldCharType="end"/>
      </w:r>
      <w:r w:rsidR="00AB09BC" w:rsidRPr="00584A40">
        <w:t xml:space="preserve"> </w:t>
      </w:r>
      <w:r w:rsidR="009E3BE2" w:rsidRPr="00584A40">
        <w:t xml:space="preserve">below and </w:t>
      </w:r>
      <w:r w:rsidR="009E3BE2" w:rsidRPr="00584A40">
        <w:fldChar w:fldCharType="begin"/>
      </w:r>
      <w:r w:rsidR="009E3BE2" w:rsidRPr="00584A40">
        <w:instrText xml:space="preserve"> REF _Ref152940422 \r \h </w:instrText>
      </w:r>
      <w:r w:rsidR="00584A40">
        <w:instrText xml:space="preserve"> \* MERGEFORMAT </w:instrText>
      </w:r>
      <w:r w:rsidR="009E3BE2" w:rsidRPr="00584A40">
        <w:fldChar w:fldCharType="separate"/>
      </w:r>
      <w:r w:rsidR="000761C1">
        <w:t>C4.2</w:t>
      </w:r>
      <w:r w:rsidR="009E3BE2" w:rsidRPr="00584A40">
        <w:fldChar w:fldCharType="end"/>
      </w:r>
      <w:r w:rsidR="00AB09BC" w:rsidRPr="00584A40">
        <w:t>)</w:t>
      </w:r>
    </w:p>
    <w:p w14:paraId="46906B5E" w14:textId="0C64B694" w:rsidR="00AB4F65" w:rsidRPr="00584A40" w:rsidRDefault="007D5C79" w:rsidP="008E5D98">
      <w:pPr>
        <w:pStyle w:val="Requirement"/>
        <w:ind w:left="360"/>
      </w:pPr>
      <w:r w:rsidRPr="00B219C9">
        <w:rPr>
          <w:b/>
          <w:bCs/>
          <w:color w:val="0C818F" w:themeColor="accent3"/>
        </w:rPr>
        <w:t xml:space="preserve">Health NZ </w:t>
      </w:r>
      <w:r w:rsidR="00AB4F65" w:rsidRPr="00B219C9">
        <w:rPr>
          <w:b/>
          <w:bCs/>
          <w:color w:val="0C818F" w:themeColor="accent3"/>
        </w:rPr>
        <w:t>Requirement:</w:t>
      </w:r>
      <w:r w:rsidR="00AB4F65" w:rsidRPr="00584A40">
        <w:t xml:space="preserve"> The design team shall agree</w:t>
      </w:r>
      <w:r w:rsidR="0077683B" w:rsidRPr="00584A40">
        <w:t xml:space="preserve"> and document a roles and responsibilities table, which shall be included </w:t>
      </w:r>
      <w:r w:rsidR="008F60DE" w:rsidRPr="00584A40">
        <w:t>or appended to</w:t>
      </w:r>
      <w:r w:rsidR="0077683B" w:rsidRPr="00584A40">
        <w:t xml:space="preserve"> the Design Features Report.</w:t>
      </w:r>
      <w:r w:rsidR="00BF738B" w:rsidRPr="00584A40">
        <w:t xml:space="preserve"> The matrix form of the CIC guidelines</w:t>
      </w:r>
      <w:r w:rsidR="00166AF8" w:rsidRPr="00584A40">
        <w:t xml:space="preserve"> (expanded </w:t>
      </w:r>
      <w:r w:rsidR="00161C48" w:rsidRPr="00584A40">
        <w:t>in accordance with the BIP NSE CoP)</w:t>
      </w:r>
      <w:r w:rsidR="00BF738B" w:rsidRPr="00584A40">
        <w:t xml:space="preserve"> is recommended.</w:t>
      </w:r>
    </w:p>
    <w:p w14:paraId="582F961C" w14:textId="395F41E9" w:rsidR="00F507BE" w:rsidRPr="00584A40" w:rsidRDefault="008D1C17" w:rsidP="008E5D98">
      <w:pPr>
        <w:pStyle w:val="NumbHeading3"/>
      </w:pPr>
      <w:bookmarkStart w:id="74" w:name="_Ref152940406"/>
      <w:r w:rsidRPr="00584A40">
        <w:t xml:space="preserve">Design Roles Relating to Seismic </w:t>
      </w:r>
      <w:r w:rsidR="0019602C" w:rsidRPr="00584A40">
        <w:t>Design</w:t>
      </w:r>
      <w:r w:rsidRPr="00584A40">
        <w:t xml:space="preserve"> of </w:t>
      </w:r>
      <w:r w:rsidR="0029509A" w:rsidRPr="00584A40">
        <w:t>Non-Structural Elements (</w:t>
      </w:r>
      <w:r w:rsidRPr="00584A40">
        <w:t>NSE</w:t>
      </w:r>
      <w:r w:rsidR="0029509A" w:rsidRPr="00584A40">
        <w:t>)</w:t>
      </w:r>
      <w:bookmarkEnd w:id="74"/>
    </w:p>
    <w:p w14:paraId="0648475C" w14:textId="17BD988C" w:rsidR="003577A4" w:rsidRPr="00584A40" w:rsidRDefault="003577A4" w:rsidP="008E5D98">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584A40">
        <w:t>This document uses the term</w:t>
      </w:r>
      <w:r w:rsidR="00B52804" w:rsidRPr="00584A40">
        <w:t xml:space="preserve"> </w:t>
      </w:r>
      <w:r w:rsidR="00B52804" w:rsidRPr="00584A40">
        <w:rPr>
          <w:iCs/>
        </w:rPr>
        <w:t>Non-Structural Element</w:t>
      </w:r>
      <w:r w:rsidR="00B52804" w:rsidRPr="00584A40">
        <w:t xml:space="preserve"> (or</w:t>
      </w:r>
      <w:r w:rsidR="008A0F82" w:rsidRPr="00584A40">
        <w:t xml:space="preserve"> </w:t>
      </w:r>
      <w:r w:rsidR="008A0F82" w:rsidRPr="00584A40">
        <w:rPr>
          <w:iCs/>
        </w:rPr>
        <w:t>NSE</w:t>
      </w:r>
      <w:r w:rsidR="00B52804" w:rsidRPr="00584A40">
        <w:rPr>
          <w:iCs/>
        </w:rPr>
        <w:t>)</w:t>
      </w:r>
      <w:r w:rsidR="008A0F82" w:rsidRPr="00584A40">
        <w:rPr>
          <w:iCs/>
        </w:rPr>
        <w:t xml:space="preserve"> seismic design</w:t>
      </w:r>
      <w:r w:rsidRPr="00584A40">
        <w:t xml:space="preserve"> throughout</w:t>
      </w:r>
      <w:r w:rsidR="008A0F82" w:rsidRPr="00584A40">
        <w:t xml:space="preserve"> (</w:t>
      </w:r>
      <w:r w:rsidR="00746F47" w:rsidRPr="00584A40">
        <w:t xml:space="preserve">in lieu of the common industry term </w:t>
      </w:r>
      <w:r w:rsidR="00B52804" w:rsidRPr="00584A40">
        <w:t>“</w:t>
      </w:r>
      <w:r w:rsidR="00746F47" w:rsidRPr="00584A40">
        <w:t>seismic restraint</w:t>
      </w:r>
      <w:r w:rsidR="00B52804" w:rsidRPr="00584A40">
        <w:t>” or “SR”</w:t>
      </w:r>
      <w:r w:rsidR="00746F47" w:rsidRPr="00584A40">
        <w:t>)</w:t>
      </w:r>
      <w:r w:rsidRPr="00584A40">
        <w:t xml:space="preserve">. Whilst seismic restraint is a core part of the </w:t>
      </w:r>
      <w:r w:rsidR="001C687D" w:rsidRPr="00584A40">
        <w:t>No</w:t>
      </w:r>
      <w:r w:rsidR="00195CAC" w:rsidRPr="00584A40">
        <w:t xml:space="preserve">n-Structural Element </w:t>
      </w:r>
      <w:r w:rsidR="008A0F82" w:rsidRPr="00584A40">
        <w:t xml:space="preserve">(NSE) </w:t>
      </w:r>
      <w:r w:rsidR="00195CAC" w:rsidRPr="00584A40">
        <w:t xml:space="preserve">Seismic </w:t>
      </w:r>
      <w:r w:rsidR="008A0F82" w:rsidRPr="00584A40">
        <w:t>D</w:t>
      </w:r>
      <w:r w:rsidRPr="00584A40">
        <w:t xml:space="preserve">esigner(s) role, their </w:t>
      </w:r>
      <w:r w:rsidR="007B24A0" w:rsidRPr="00584A40">
        <w:t>inputs</w:t>
      </w:r>
      <w:r w:rsidRPr="00584A40">
        <w:t xml:space="preserve"> extend beyond restraint to many areas of seismic </w:t>
      </w:r>
      <w:r w:rsidR="00195CAC" w:rsidRPr="00584A40">
        <w:t xml:space="preserve">design and </w:t>
      </w:r>
      <w:r w:rsidRPr="00584A40">
        <w:t>performance, including seismic displacement compatibility.</w:t>
      </w:r>
    </w:p>
    <w:p w14:paraId="4316E0A2" w14:textId="36396A95" w:rsidR="00B63697" w:rsidRPr="00584A40" w:rsidRDefault="000C15DA" w:rsidP="00666E06">
      <w:r w:rsidRPr="00584A40">
        <w:t>Non-Structural Element (NSE)</w:t>
      </w:r>
      <w:r w:rsidR="0029509A" w:rsidRPr="00584A40">
        <w:t xml:space="preserve"> </w:t>
      </w:r>
      <w:r w:rsidR="00752CE8" w:rsidRPr="00584A40">
        <w:t xml:space="preserve">seismic design </w:t>
      </w:r>
      <w:r w:rsidR="0029509A" w:rsidRPr="00584A40">
        <w:t>is an area of critical importance to a hospital building.</w:t>
      </w:r>
      <w:r w:rsidR="005E0F10" w:rsidRPr="00584A40">
        <w:t xml:space="preserve"> Effective design and design management are crucial </w:t>
      </w:r>
      <w:r w:rsidR="003E7156" w:rsidRPr="00584A40">
        <w:t xml:space="preserve">in achieving </w:t>
      </w:r>
      <w:r w:rsidR="005E0F10" w:rsidRPr="00584A40">
        <w:t xml:space="preserve">two key </w:t>
      </w:r>
      <w:r w:rsidR="003E7156" w:rsidRPr="00584A40">
        <w:t>success factors:</w:t>
      </w:r>
    </w:p>
    <w:p w14:paraId="77E206E7" w14:textId="39F31CCF" w:rsidR="005E0F10" w:rsidRPr="00584A40" w:rsidRDefault="005E0F10" w:rsidP="004D55F1">
      <w:pPr>
        <w:pStyle w:val="ListParagraph"/>
        <w:numPr>
          <w:ilvl w:val="0"/>
          <w:numId w:val="13"/>
        </w:numPr>
      </w:pPr>
      <w:r w:rsidRPr="00584A40">
        <w:t xml:space="preserve">To deliver on requirements </w:t>
      </w:r>
      <w:r w:rsidR="00430E91" w:rsidRPr="00584A40">
        <w:t>for continued function</w:t>
      </w:r>
      <w:r w:rsidR="00930119" w:rsidRPr="00584A40">
        <w:t>ality</w:t>
      </w:r>
      <w:r w:rsidR="00430E91" w:rsidRPr="00584A40">
        <w:t xml:space="preserve"> following</w:t>
      </w:r>
      <w:r w:rsidR="00930119" w:rsidRPr="00584A40">
        <w:t xml:space="preserve"> major</w:t>
      </w:r>
      <w:r w:rsidR="00430E91" w:rsidRPr="00584A40">
        <w:t xml:space="preserve"> earthquakes</w:t>
      </w:r>
      <w:r w:rsidRPr="00584A40">
        <w:t>.</w:t>
      </w:r>
    </w:p>
    <w:p w14:paraId="7855D609" w14:textId="75CCF8DC" w:rsidR="005E0F10" w:rsidRPr="00584A40" w:rsidRDefault="00B15E05" w:rsidP="004D55F1">
      <w:pPr>
        <w:pStyle w:val="ListParagraph"/>
        <w:numPr>
          <w:ilvl w:val="0"/>
          <w:numId w:val="13"/>
        </w:numPr>
      </w:pPr>
      <w:r w:rsidRPr="00584A40">
        <w:t xml:space="preserve">To deliver design and construction </w:t>
      </w:r>
      <w:r w:rsidR="0022132B" w:rsidRPr="00584A40">
        <w:t xml:space="preserve">execution </w:t>
      </w:r>
      <w:r w:rsidRPr="00584A40">
        <w:t>efficiently.</w:t>
      </w:r>
    </w:p>
    <w:p w14:paraId="079CC7EB" w14:textId="7EC8FFB6" w:rsidR="008D1C17" w:rsidRPr="00584A40" w:rsidRDefault="002E14CF" w:rsidP="00666E06">
      <w:r w:rsidRPr="00584A40">
        <w:t>Therefore,</w:t>
      </w:r>
      <w:r w:rsidR="001E4A0B" w:rsidRPr="00584A40">
        <w:t xml:space="preserve"> the requirements of this guideline focus as much on effective design processes as they do</w:t>
      </w:r>
      <w:r w:rsidRPr="00584A40">
        <w:t xml:space="preserve"> design criteria.</w:t>
      </w:r>
      <w:r w:rsidR="00CC45AC" w:rsidRPr="00584A40">
        <w:t xml:space="preserve"> </w:t>
      </w:r>
      <w:r w:rsidR="0029509A" w:rsidRPr="00584A40">
        <w:t xml:space="preserve">Whilst many other design roles have clearly defined scopes (either through historic precedent, or through the NZCIC guidelines), </w:t>
      </w:r>
      <w:r w:rsidR="00660DAA" w:rsidRPr="00584A40">
        <w:t>NSE seismic design</w:t>
      </w:r>
      <w:r w:rsidR="0029509A" w:rsidRPr="00584A40">
        <w:t xml:space="preserve"> remains an area of evolving scope and responsibilities</w:t>
      </w:r>
      <w:r w:rsidR="00B63697" w:rsidRPr="00584A40">
        <w:t xml:space="preserve"> </w:t>
      </w:r>
      <w:r w:rsidR="00C02A2C" w:rsidRPr="00584A40">
        <w:t xml:space="preserve">as it traverses many design disciplines as well as </w:t>
      </w:r>
      <w:r w:rsidR="005B2396" w:rsidRPr="00584A40">
        <w:t xml:space="preserve">traditional </w:t>
      </w:r>
      <w:r w:rsidR="00C02A2C" w:rsidRPr="00584A40">
        <w:t xml:space="preserve">design and construction procurement </w:t>
      </w:r>
      <w:r w:rsidR="005B2396" w:rsidRPr="00584A40">
        <w:t>boundaries</w:t>
      </w:r>
      <w:r w:rsidR="0029509A" w:rsidRPr="00584A40">
        <w:t>.</w:t>
      </w:r>
    </w:p>
    <w:p w14:paraId="40CDE349" w14:textId="786736A4" w:rsidR="00D02445" w:rsidRPr="00584A40" w:rsidRDefault="006A02D7" w:rsidP="00666E06">
      <w:r w:rsidRPr="00584A40">
        <w:t xml:space="preserve">For most hospital projects, the </w:t>
      </w:r>
      <w:r w:rsidR="0001318F" w:rsidRPr="00584A40">
        <w:t>complexity of buildings systems requires that a</w:t>
      </w:r>
      <w:r w:rsidR="00D02445" w:rsidRPr="00584A40">
        <w:t xml:space="preserve"> seismic designer for all non-structural elements (NSE </w:t>
      </w:r>
      <w:r w:rsidR="00712CB5" w:rsidRPr="00584A40">
        <w:t>Seismic</w:t>
      </w:r>
      <w:r w:rsidR="00D02445" w:rsidRPr="00584A40">
        <w:t xml:space="preserve"> </w:t>
      </w:r>
      <w:r w:rsidR="007E7B4F" w:rsidRPr="00584A40">
        <w:t>D</w:t>
      </w:r>
      <w:r w:rsidR="00D02445" w:rsidRPr="00584A40">
        <w:t xml:space="preserve">esigner) be appointed at the same </w:t>
      </w:r>
      <w:r w:rsidR="00D02445" w:rsidRPr="00584A40">
        <w:lastRenderedPageBreak/>
        <w:t xml:space="preserve">time as the lead disciplines (building services, architecture, structural engineering) are appointed (i.e. concept design). </w:t>
      </w:r>
      <w:r w:rsidR="00B05608" w:rsidRPr="00584A40">
        <w:t>The NSE Seismic Designer</w:t>
      </w:r>
      <w:r w:rsidR="00D02445" w:rsidRPr="00584A40">
        <w:t xml:space="preserve"> may or may not be from the same organisation as the lead </w:t>
      </w:r>
      <w:r w:rsidR="00C404D2" w:rsidRPr="00584A40">
        <w:t>disciplines</w:t>
      </w:r>
      <w:r w:rsidR="00A43953">
        <w:t xml:space="preserve">. </w:t>
      </w:r>
    </w:p>
    <w:p w14:paraId="35954CE6" w14:textId="0D5578E1" w:rsidR="00D02445" w:rsidRPr="00584A40" w:rsidRDefault="00D02445" w:rsidP="00666E06">
      <w:r w:rsidRPr="00584A40">
        <w:t xml:space="preserve">The NSE </w:t>
      </w:r>
      <w:r w:rsidR="00266901" w:rsidRPr="00584A40">
        <w:t>seismic</w:t>
      </w:r>
      <w:r w:rsidRPr="00584A40">
        <w:t xml:space="preserve"> design will also need to transfer to the contractor during the construction documentation (shop drawing) phase in the same manner as other designs</w:t>
      </w:r>
      <w:r w:rsidR="008400CB" w:rsidRPr="00584A40">
        <w:t xml:space="preserve"> (the BIP NSE CoP contains information on the handover of NSE seismic design to the contractor).</w:t>
      </w:r>
      <w:r w:rsidRPr="00584A40">
        <w:t xml:space="preserve"> This may </w:t>
      </w:r>
      <w:r w:rsidR="00597F6A" w:rsidRPr="00584A40">
        <w:t xml:space="preserve">require </w:t>
      </w:r>
      <w:r w:rsidRPr="00584A40">
        <w:t xml:space="preserve">novation of the NSE </w:t>
      </w:r>
      <w:r w:rsidR="00712CB5" w:rsidRPr="00584A40">
        <w:t>Seismic</w:t>
      </w:r>
      <w:r w:rsidRPr="00584A40">
        <w:t xml:space="preserve"> </w:t>
      </w:r>
      <w:r w:rsidR="007E7B4F" w:rsidRPr="00584A40">
        <w:t>D</w:t>
      </w:r>
      <w:r w:rsidRPr="00584A40">
        <w:t>esigner, depending on project procurement method.</w:t>
      </w:r>
      <w:r w:rsidR="00FA2CDA" w:rsidRPr="00584A40">
        <w:t xml:space="preserve"> Whilst some detailing may occur during construction phase, it is expected that primary coordination with other disciplines is</w:t>
      </w:r>
      <w:r w:rsidR="00ED7713" w:rsidRPr="00584A40">
        <w:t xml:space="preserve"> undertaken </w:t>
      </w:r>
      <w:r w:rsidR="00FA2CDA" w:rsidRPr="00584A40">
        <w:t>during the design phases</w:t>
      </w:r>
      <w:r w:rsidR="00ED7713" w:rsidRPr="00584A40">
        <w:t>.</w:t>
      </w:r>
    </w:p>
    <w:p w14:paraId="3BB3E42E" w14:textId="1C6F088F" w:rsidR="00D02445" w:rsidRPr="00584A40" w:rsidRDefault="00D02445" w:rsidP="00666E06">
      <w:r w:rsidRPr="00584A40">
        <w:t xml:space="preserve">A NSE </w:t>
      </w:r>
      <w:r w:rsidR="00266901" w:rsidRPr="00584A40">
        <w:t>seismic</w:t>
      </w:r>
      <w:r w:rsidRPr="00584A40">
        <w:t xml:space="preserve"> design is required for the following elements:</w:t>
      </w:r>
    </w:p>
    <w:p w14:paraId="7F457D44" w14:textId="0D7B15A3" w:rsidR="00D02445" w:rsidRPr="00584A40" w:rsidRDefault="007217AC" w:rsidP="008E5D98">
      <w:pPr>
        <w:pStyle w:val="ListBullet"/>
      </w:pPr>
      <w:r w:rsidRPr="00584A40">
        <w:t>Combined</w:t>
      </w:r>
      <w:r w:rsidR="00D02445" w:rsidRPr="00584A40">
        <w:t xml:space="preserve"> </w:t>
      </w:r>
      <w:r w:rsidR="001F51DB" w:rsidRPr="00584A40">
        <w:t xml:space="preserve">reticulated </w:t>
      </w:r>
      <w:r w:rsidR="00D02445" w:rsidRPr="00584A40">
        <w:t>building services</w:t>
      </w:r>
    </w:p>
    <w:p w14:paraId="27E3A1A0" w14:textId="77777777" w:rsidR="00D02445" w:rsidRPr="00584A40" w:rsidRDefault="00D02445" w:rsidP="008E5D98">
      <w:pPr>
        <w:pStyle w:val="ListBullet"/>
      </w:pPr>
      <w:r w:rsidRPr="00584A40">
        <w:t>Plant</w:t>
      </w:r>
    </w:p>
    <w:p w14:paraId="62BC3DC8" w14:textId="77777777" w:rsidR="00D02445" w:rsidRPr="00584A40" w:rsidRDefault="00D02445" w:rsidP="008E5D98">
      <w:pPr>
        <w:pStyle w:val="ListBullet"/>
      </w:pPr>
      <w:r w:rsidRPr="00584A40">
        <w:t>Specialist medical equipment</w:t>
      </w:r>
    </w:p>
    <w:p w14:paraId="6A9B0682" w14:textId="77777777" w:rsidR="00D02445" w:rsidRPr="00584A40" w:rsidRDefault="00D02445" w:rsidP="008E5D98">
      <w:pPr>
        <w:pStyle w:val="ListBullet"/>
      </w:pPr>
      <w:r w:rsidRPr="00584A40">
        <w:t>Fire sprinkler systems</w:t>
      </w:r>
    </w:p>
    <w:p w14:paraId="585595CC" w14:textId="11DB5F47" w:rsidR="00D02445" w:rsidRPr="00584A40" w:rsidRDefault="00D02445" w:rsidP="008E5D98">
      <w:pPr>
        <w:pStyle w:val="ListBullet"/>
      </w:pPr>
      <w:r w:rsidRPr="00584A40">
        <w:t>Ceilings</w:t>
      </w:r>
    </w:p>
    <w:p w14:paraId="66609484" w14:textId="77777777" w:rsidR="00D02445" w:rsidRPr="00584A40" w:rsidRDefault="00D02445" w:rsidP="008E5D98">
      <w:pPr>
        <w:pStyle w:val="ListBullet"/>
      </w:pPr>
      <w:r w:rsidRPr="00584A40">
        <w:t>Partitions</w:t>
      </w:r>
    </w:p>
    <w:p w14:paraId="3EF45857" w14:textId="2D59B334" w:rsidR="00A27783" w:rsidRPr="00584A40" w:rsidRDefault="00A27783" w:rsidP="008E5D98">
      <w:pPr>
        <w:pStyle w:val="ListBullet"/>
      </w:pPr>
      <w:r w:rsidRPr="00584A40">
        <w:t>Non-unitised</w:t>
      </w:r>
      <w:r w:rsidR="00D81F0D" w:rsidRPr="00584A40">
        <w:t xml:space="preserve"> façade</w:t>
      </w:r>
      <w:r w:rsidR="009B4FDB" w:rsidRPr="00584A40">
        <w:t xml:space="preserve"> (see comment box below)</w:t>
      </w:r>
    </w:p>
    <w:p w14:paraId="3782A79C" w14:textId="02CF97C5" w:rsidR="00061E6B" w:rsidRPr="00584A40" w:rsidRDefault="001F51DB" w:rsidP="008E5D98">
      <w:pPr>
        <w:pStyle w:val="ListBullet"/>
      </w:pPr>
      <w:r w:rsidRPr="00584A40">
        <w:t xml:space="preserve">Some </w:t>
      </w:r>
      <w:r w:rsidR="00BC065A" w:rsidRPr="00584A40">
        <w:t xml:space="preserve">extraordinary </w:t>
      </w:r>
      <w:r w:rsidRPr="00584A40">
        <w:t>aspects of g</w:t>
      </w:r>
      <w:r w:rsidR="00061E6B" w:rsidRPr="00584A40">
        <w:t>eneral Fixed Furniture and Equipment (</w:t>
      </w:r>
      <w:r w:rsidRPr="00584A40">
        <w:t>FF&amp;E</w:t>
      </w:r>
      <w:r w:rsidR="00061E6B" w:rsidRPr="00584A40">
        <w:t>)</w:t>
      </w:r>
      <w:r w:rsidR="003C552D" w:rsidRPr="00584A40">
        <w:t xml:space="preserve"> except where absorbed by </w:t>
      </w:r>
      <w:r w:rsidR="00BC065A" w:rsidRPr="00584A40">
        <w:t>partition design.</w:t>
      </w:r>
    </w:p>
    <w:p w14:paraId="2A2DF99E" w14:textId="3A7B30CE" w:rsidR="00D02445" w:rsidRPr="00584A40" w:rsidRDefault="00D02445" w:rsidP="00666E06">
      <w:r w:rsidRPr="00584A40">
        <w:t>Often these will all be undertaken by a single designer. If they are undertaken by different designers, then a demonstrable means of achieving holistic and coordinated (not independent) design must be provided</w:t>
      </w:r>
      <w:r w:rsidR="00544EAB" w:rsidRPr="00584A40">
        <w:t xml:space="preserve"> for in engagements and design process</w:t>
      </w:r>
      <w:r w:rsidRPr="00584A40">
        <w:t>.</w:t>
      </w:r>
      <w:r w:rsidR="008E6612" w:rsidRPr="00584A40">
        <w:t xml:space="preserve"> In all cases, the </w:t>
      </w:r>
      <w:r w:rsidR="00D77004" w:rsidRPr="00584A40">
        <w:t>allocation</w:t>
      </w:r>
      <w:r w:rsidR="008E6612" w:rsidRPr="00584A40">
        <w:t xml:space="preserve"> of </w:t>
      </w:r>
      <w:r w:rsidR="00FF2BA4" w:rsidRPr="00584A40">
        <w:t>NSE seismic design</w:t>
      </w:r>
      <w:r w:rsidR="008F4081" w:rsidRPr="00584A40">
        <w:t xml:space="preserve"> related </w:t>
      </w:r>
      <w:r w:rsidR="008E6612" w:rsidRPr="00584A40">
        <w:t xml:space="preserve">design responsibilities must ensure </w:t>
      </w:r>
      <w:r w:rsidR="00975642" w:rsidRPr="00584A40">
        <w:t xml:space="preserve">that </w:t>
      </w:r>
      <w:r w:rsidR="00866E01" w:rsidRPr="00584A40">
        <w:t>a holistic</w:t>
      </w:r>
      <w:r w:rsidR="00C96BE1" w:rsidRPr="00584A40">
        <w:t xml:space="preserve">ally considered design </w:t>
      </w:r>
      <w:r w:rsidR="00866E01" w:rsidRPr="00584A40">
        <w:t>can be achieved</w:t>
      </w:r>
      <w:r w:rsidR="00AF2735" w:rsidRPr="00584A40">
        <w:t xml:space="preserve"> </w:t>
      </w:r>
      <w:r w:rsidR="00C96BE1" w:rsidRPr="00584A40">
        <w:t xml:space="preserve">that is coordinated with </w:t>
      </w:r>
      <w:r w:rsidR="001F5E5E" w:rsidRPr="00584A40">
        <w:t xml:space="preserve">other disciplines including </w:t>
      </w:r>
      <w:r w:rsidR="008F4081" w:rsidRPr="00584A40">
        <w:t>S</w:t>
      </w:r>
      <w:r w:rsidR="00C96BE1" w:rsidRPr="00584A40">
        <w:t>tructural</w:t>
      </w:r>
      <w:r w:rsidR="008F4081" w:rsidRPr="00584A40">
        <w:t xml:space="preserve"> Engineering</w:t>
      </w:r>
      <w:r w:rsidR="00C96BE1" w:rsidRPr="00584A40">
        <w:t xml:space="preserve">, </w:t>
      </w:r>
      <w:r w:rsidR="008F4081" w:rsidRPr="00584A40">
        <w:t>A</w:t>
      </w:r>
      <w:r w:rsidR="00C96BE1" w:rsidRPr="00584A40">
        <w:t>rchitectural</w:t>
      </w:r>
      <w:r w:rsidR="00347B58" w:rsidRPr="00584A40">
        <w:t>, Fire Engineering</w:t>
      </w:r>
      <w:r w:rsidR="00C96BE1" w:rsidRPr="00584A40">
        <w:t xml:space="preserve"> and </w:t>
      </w:r>
      <w:r w:rsidR="008F4081" w:rsidRPr="00584A40">
        <w:t>S</w:t>
      </w:r>
      <w:r w:rsidR="00C96BE1" w:rsidRPr="00584A40">
        <w:t>ervices</w:t>
      </w:r>
      <w:r w:rsidR="008F4081" w:rsidRPr="00584A40">
        <w:t xml:space="preserve"> Engineering</w:t>
      </w:r>
      <w:r w:rsidR="00C96BE1" w:rsidRPr="00584A40">
        <w:t xml:space="preserve"> </w:t>
      </w:r>
      <w:r w:rsidR="001F5E5E" w:rsidRPr="00584A40">
        <w:t>design roles</w:t>
      </w:r>
      <w:r w:rsidR="00C96BE1" w:rsidRPr="00584A40">
        <w:t>.</w:t>
      </w:r>
    </w:p>
    <w:p w14:paraId="71A96A24" w14:textId="1283889C" w:rsidR="00584A40" w:rsidRDefault="004D41D3" w:rsidP="003171DF">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584A40">
        <w:t>Unitised/modular f</w:t>
      </w:r>
      <w:r w:rsidR="001F51DB" w:rsidRPr="00584A40">
        <w:t xml:space="preserve">açade design is typically procured differently. </w:t>
      </w:r>
      <w:r w:rsidR="00775D08" w:rsidRPr="00584A40">
        <w:t>Specification</w:t>
      </w:r>
      <w:r w:rsidR="001F51DB" w:rsidRPr="00584A40">
        <w:t xml:space="preserve"> forms a part of the architectural design scope. This may include the appointment of a specialist façade designer during the design phases and is likely to include a component of contractor (or subcontractor) design during the construction phases. These design responsibilities should be clearly articulated. Although façade design is not explicitly covered here, many of the same principles will apply.</w:t>
      </w:r>
    </w:p>
    <w:p w14:paraId="29FE0349" w14:textId="401E9E3D" w:rsidR="004B7140" w:rsidRPr="00584A40" w:rsidRDefault="00093972" w:rsidP="00D56CAE">
      <w:pPr>
        <w:pStyle w:val="BodyHeading"/>
      </w:pPr>
      <w:r w:rsidRPr="00584A40">
        <w:t xml:space="preserve">Responsibilities of </w:t>
      </w:r>
      <w:r w:rsidR="006D04AF" w:rsidRPr="00584A40">
        <w:t xml:space="preserve">other disciplines when interfacing with the </w:t>
      </w:r>
      <w:r w:rsidR="00E15E94" w:rsidRPr="00584A40">
        <w:t>NSE</w:t>
      </w:r>
      <w:r w:rsidR="006D04AF" w:rsidRPr="00584A40">
        <w:t xml:space="preserve"> </w:t>
      </w:r>
      <w:r w:rsidRPr="00584A40">
        <w:t xml:space="preserve">Seismic </w:t>
      </w:r>
      <w:r w:rsidR="006D04AF" w:rsidRPr="00584A40">
        <w:t>Designer</w:t>
      </w:r>
    </w:p>
    <w:p w14:paraId="624474A9" w14:textId="02371097" w:rsidR="00093972" w:rsidRPr="00584A40" w:rsidRDefault="00DC23FB" w:rsidP="00666E06">
      <w:r w:rsidRPr="00584A40">
        <w:t xml:space="preserve">The </w:t>
      </w:r>
      <w:r w:rsidR="000C7922" w:rsidRPr="00584A40">
        <w:t>S</w:t>
      </w:r>
      <w:r w:rsidRPr="00584A40">
        <w:t xml:space="preserve">tructural </w:t>
      </w:r>
      <w:r w:rsidR="000C7922" w:rsidRPr="00584A40">
        <w:t>E</w:t>
      </w:r>
      <w:r w:rsidRPr="00584A40">
        <w:t xml:space="preserve">ngineer, </w:t>
      </w:r>
      <w:r w:rsidR="000C7922" w:rsidRPr="00584A40">
        <w:t>A</w:t>
      </w:r>
      <w:r w:rsidRPr="00584A40">
        <w:t xml:space="preserve">rchitect, </w:t>
      </w:r>
      <w:r w:rsidR="000C7922" w:rsidRPr="00584A40">
        <w:t>S</w:t>
      </w:r>
      <w:r w:rsidRPr="00584A40">
        <w:t xml:space="preserve">ervices </w:t>
      </w:r>
      <w:r w:rsidR="000C7922" w:rsidRPr="00584A40">
        <w:t>E</w:t>
      </w:r>
      <w:r w:rsidRPr="00584A40">
        <w:t>ngineer</w:t>
      </w:r>
      <w:r w:rsidR="00E15E94" w:rsidRPr="00584A40">
        <w:t>, passive fire protection specifiers</w:t>
      </w:r>
      <w:r w:rsidRPr="00584A40">
        <w:t xml:space="preserve"> </w:t>
      </w:r>
      <w:r w:rsidR="00604E24" w:rsidRPr="00584A40">
        <w:t xml:space="preserve">and ECI </w:t>
      </w:r>
      <w:r w:rsidR="000C7922" w:rsidRPr="00584A40">
        <w:t>C</w:t>
      </w:r>
      <w:r w:rsidR="00604E24" w:rsidRPr="00584A40">
        <w:t>ontractor (if appointed) a</w:t>
      </w:r>
      <w:r w:rsidR="00B36E86" w:rsidRPr="00584A40">
        <w:t>re</w:t>
      </w:r>
      <w:r w:rsidR="00604E24" w:rsidRPr="00584A40">
        <w:t xml:space="preserve"> required to interface regularly with the </w:t>
      </w:r>
      <w:r w:rsidR="001968CC" w:rsidRPr="00584A40">
        <w:t>No</w:t>
      </w:r>
      <w:r w:rsidR="00B36E86" w:rsidRPr="00584A40">
        <w:t xml:space="preserve">n-Structural </w:t>
      </w:r>
      <w:r w:rsidR="000C7922" w:rsidRPr="00584A40">
        <w:t>E</w:t>
      </w:r>
      <w:r w:rsidR="00B36E86" w:rsidRPr="00584A40">
        <w:t>lement</w:t>
      </w:r>
      <w:r w:rsidR="00975642" w:rsidRPr="00584A40">
        <w:t xml:space="preserve"> (NSE)</w:t>
      </w:r>
      <w:r w:rsidR="00B36E86" w:rsidRPr="00584A40">
        <w:t xml:space="preserve"> </w:t>
      </w:r>
      <w:r w:rsidR="000C7922" w:rsidRPr="00584A40">
        <w:t>S</w:t>
      </w:r>
      <w:r w:rsidR="00B36E86" w:rsidRPr="00584A40">
        <w:t xml:space="preserve">eismic </w:t>
      </w:r>
      <w:r w:rsidR="000C7922" w:rsidRPr="00584A40">
        <w:t>D</w:t>
      </w:r>
      <w:r w:rsidR="00B36E86" w:rsidRPr="00584A40">
        <w:t xml:space="preserve">esigner. </w:t>
      </w:r>
      <w:r w:rsidR="00093972" w:rsidRPr="00584A40">
        <w:t xml:space="preserve">Refer to Section </w:t>
      </w:r>
      <w:r w:rsidR="00AF196C" w:rsidRPr="00584A40">
        <w:fldChar w:fldCharType="begin"/>
      </w:r>
      <w:r w:rsidR="00AF196C" w:rsidRPr="00584A40">
        <w:instrText xml:space="preserve"> REF _Ref152940422 \r \h </w:instrText>
      </w:r>
      <w:r w:rsidR="00584A40">
        <w:instrText xml:space="preserve"> \* MERGEFORMAT </w:instrText>
      </w:r>
      <w:r w:rsidR="00AF196C" w:rsidRPr="00584A40">
        <w:fldChar w:fldCharType="separate"/>
      </w:r>
      <w:r w:rsidR="000761C1">
        <w:t>C4.2</w:t>
      </w:r>
      <w:r w:rsidR="00AF196C" w:rsidRPr="00584A40">
        <w:fldChar w:fldCharType="end"/>
      </w:r>
      <w:r w:rsidR="00093972" w:rsidRPr="00584A40">
        <w:t xml:space="preserve"> for detailed information on </w:t>
      </w:r>
      <w:r w:rsidR="00A2343C" w:rsidRPr="00584A40">
        <w:t>NSE roles</w:t>
      </w:r>
      <w:r w:rsidR="006B41BE" w:rsidRPr="00584A40">
        <w:t>, interfaces with other disciplines,</w:t>
      </w:r>
      <w:r w:rsidR="00A2343C" w:rsidRPr="00584A40">
        <w:t xml:space="preserve"> and </w:t>
      </w:r>
      <w:r w:rsidR="00A51BC3" w:rsidRPr="00584A40">
        <w:t xml:space="preserve">important matters for resolution </w:t>
      </w:r>
      <w:r w:rsidR="00302FDD" w:rsidRPr="00584A40">
        <w:t xml:space="preserve">in </w:t>
      </w:r>
      <w:r w:rsidR="002649F2" w:rsidRPr="00584A40">
        <w:t xml:space="preserve">establishing </w:t>
      </w:r>
      <w:r w:rsidR="00302FDD" w:rsidRPr="00584A40">
        <w:t>engagements and des</w:t>
      </w:r>
      <w:r w:rsidR="002649F2" w:rsidRPr="00584A40">
        <w:t>ign process.</w:t>
      </w:r>
    </w:p>
    <w:p w14:paraId="25FD8637" w14:textId="77777777" w:rsidR="003171DF" w:rsidRDefault="003171DF" w:rsidP="00666E06"/>
    <w:p w14:paraId="254C79AA" w14:textId="307F7D7A" w:rsidR="000002C5" w:rsidRPr="00584A40" w:rsidRDefault="000002C5" w:rsidP="00666E06">
      <w:r w:rsidRPr="00584A40">
        <w:lastRenderedPageBreak/>
        <w:t>In particular:</w:t>
      </w:r>
    </w:p>
    <w:p w14:paraId="6AA2C2CF" w14:textId="0B278EE6" w:rsidR="000002C5" w:rsidRPr="00584A40" w:rsidRDefault="000002C5" w:rsidP="004D55F1">
      <w:pPr>
        <w:pStyle w:val="ListParagraph"/>
        <w:numPr>
          <w:ilvl w:val="0"/>
          <w:numId w:val="46"/>
        </w:numPr>
      </w:pPr>
      <w:r w:rsidRPr="00584A40">
        <w:t xml:space="preserve">Section </w:t>
      </w:r>
      <w:r w:rsidR="005827F0" w:rsidRPr="00584A40">
        <w:fldChar w:fldCharType="begin"/>
      </w:r>
      <w:r w:rsidR="005827F0" w:rsidRPr="00584A40">
        <w:instrText xml:space="preserve"> REF _Ref153540085 \r \h </w:instrText>
      </w:r>
      <w:r w:rsidR="00584A40">
        <w:instrText xml:space="preserve"> \* MERGEFORMAT </w:instrText>
      </w:r>
      <w:r w:rsidR="005827F0" w:rsidRPr="00584A40">
        <w:fldChar w:fldCharType="separate"/>
      </w:r>
      <w:r w:rsidR="000761C1">
        <w:t>C4.2.1</w:t>
      </w:r>
      <w:r w:rsidR="005827F0" w:rsidRPr="00584A40">
        <w:fldChar w:fldCharType="end"/>
      </w:r>
      <w:r w:rsidR="002D0858" w:rsidRPr="00584A40">
        <w:t xml:space="preserve"> </w:t>
      </w:r>
      <w:r w:rsidR="005A64DD" w:rsidRPr="00584A40">
        <w:t xml:space="preserve">sets out detailed responsibilities for the NSE </w:t>
      </w:r>
      <w:r w:rsidR="00712CB5" w:rsidRPr="00584A40">
        <w:t>Seismic Designer</w:t>
      </w:r>
      <w:r w:rsidR="005A64DD" w:rsidRPr="00584A40">
        <w:t>.</w:t>
      </w:r>
      <w:r w:rsidR="002D0858" w:rsidRPr="00584A40">
        <w:t xml:space="preserve"> </w:t>
      </w:r>
    </w:p>
    <w:p w14:paraId="498E6A8D" w14:textId="0B61EBBA" w:rsidR="005A64DD" w:rsidRPr="00584A40" w:rsidRDefault="005A64DD" w:rsidP="004D55F1">
      <w:pPr>
        <w:pStyle w:val="ListParagraph"/>
        <w:numPr>
          <w:ilvl w:val="0"/>
          <w:numId w:val="46"/>
        </w:numPr>
      </w:pPr>
      <w:r w:rsidRPr="00584A40">
        <w:t>Section</w:t>
      </w:r>
      <w:r w:rsidR="00E631DD" w:rsidRPr="00584A40">
        <w:t xml:space="preserve">s </w:t>
      </w:r>
      <w:r w:rsidR="00E631DD" w:rsidRPr="00584A40">
        <w:fldChar w:fldCharType="begin"/>
      </w:r>
      <w:r w:rsidR="00E631DD" w:rsidRPr="00584A40">
        <w:instrText xml:space="preserve"> REF _Ref157780708 \r \h </w:instrText>
      </w:r>
      <w:r w:rsidR="00584A40">
        <w:instrText xml:space="preserve"> \* MERGEFORMAT </w:instrText>
      </w:r>
      <w:r w:rsidR="00E631DD" w:rsidRPr="00584A40">
        <w:fldChar w:fldCharType="separate"/>
      </w:r>
      <w:r w:rsidR="000761C1">
        <w:t>C4.2.4</w:t>
      </w:r>
      <w:r w:rsidR="00E631DD" w:rsidRPr="00584A40">
        <w:fldChar w:fldCharType="end"/>
      </w:r>
      <w:r w:rsidR="00E631DD" w:rsidRPr="00584A40">
        <w:t xml:space="preserve"> and</w:t>
      </w:r>
      <w:r w:rsidRPr="00584A40">
        <w:t xml:space="preserve"> </w:t>
      </w:r>
      <w:r w:rsidRPr="00584A40">
        <w:fldChar w:fldCharType="begin"/>
      </w:r>
      <w:r w:rsidRPr="00584A40">
        <w:instrText xml:space="preserve"> REF _Ref152819761 \r \h </w:instrText>
      </w:r>
      <w:r w:rsidR="00584A40">
        <w:instrText xml:space="preserve"> \* MERGEFORMAT </w:instrText>
      </w:r>
      <w:r w:rsidRPr="00584A40">
        <w:fldChar w:fldCharType="separate"/>
      </w:r>
      <w:r w:rsidR="000761C1">
        <w:t>C4.2.5</w:t>
      </w:r>
      <w:r w:rsidRPr="00584A40">
        <w:fldChar w:fldCharType="end"/>
      </w:r>
      <w:r w:rsidRPr="00584A40">
        <w:t xml:space="preserve"> set out</w:t>
      </w:r>
      <w:r w:rsidR="008117FA" w:rsidRPr="00584A40">
        <w:t xml:space="preserve"> design approach and</w:t>
      </w:r>
      <w:r w:rsidRPr="00584A40">
        <w:t xml:space="preserve"> </w:t>
      </w:r>
      <w:r w:rsidR="00A436EC" w:rsidRPr="00584A40">
        <w:t xml:space="preserve">BIM modelling expectations, including expectations for coordination with the </w:t>
      </w:r>
      <w:r w:rsidR="005E5194" w:rsidRPr="00584A40">
        <w:t>building services engineer and architect.</w:t>
      </w:r>
    </w:p>
    <w:p w14:paraId="6FED806A" w14:textId="106E4BF9" w:rsidR="005E5194" w:rsidRPr="00584A40" w:rsidRDefault="005E5194" w:rsidP="004D55F1">
      <w:pPr>
        <w:pStyle w:val="ListParagraph"/>
        <w:numPr>
          <w:ilvl w:val="0"/>
          <w:numId w:val="46"/>
        </w:numPr>
      </w:pPr>
      <w:r w:rsidRPr="00584A40">
        <w:t xml:space="preserve">Section </w:t>
      </w:r>
      <w:r w:rsidRPr="00584A40">
        <w:fldChar w:fldCharType="begin"/>
      </w:r>
      <w:r w:rsidRPr="00584A40">
        <w:instrText xml:space="preserve"> REF _Ref152568304 \r \h </w:instrText>
      </w:r>
      <w:r w:rsidR="00584A40">
        <w:instrText xml:space="preserve"> \* MERGEFORMAT </w:instrText>
      </w:r>
      <w:r w:rsidRPr="00584A40">
        <w:fldChar w:fldCharType="separate"/>
      </w:r>
      <w:r w:rsidR="000761C1">
        <w:t>C4.2.6</w:t>
      </w:r>
      <w:r w:rsidRPr="00584A40">
        <w:fldChar w:fldCharType="end"/>
      </w:r>
      <w:r w:rsidR="00836CA8" w:rsidRPr="00584A40">
        <w:t xml:space="preserve"> details the interface between NSE </w:t>
      </w:r>
      <w:r w:rsidR="00712CB5" w:rsidRPr="00584A40">
        <w:t>Seismic Designer</w:t>
      </w:r>
      <w:r w:rsidR="00836CA8" w:rsidRPr="00584A40">
        <w:t xml:space="preserve"> and structural engineer, included expectations for </w:t>
      </w:r>
      <w:r w:rsidR="00032719" w:rsidRPr="00584A40">
        <w:t>structural performance.</w:t>
      </w:r>
    </w:p>
    <w:p w14:paraId="04C0B612" w14:textId="77777777" w:rsidR="009E2B2F" w:rsidRPr="00584A40" w:rsidRDefault="009E2B2F" w:rsidP="003171DF">
      <w:pPr>
        <w:pStyle w:val="NumbHeading2"/>
      </w:pPr>
      <w:bookmarkStart w:id="75" w:name="_Ref157520184"/>
      <w:bookmarkStart w:id="76" w:name="_Ref157521778"/>
      <w:bookmarkStart w:id="77" w:name="_Toc203641938"/>
      <w:r w:rsidRPr="00584A40">
        <w:t>Compliance and Peer Review</w:t>
      </w:r>
      <w:bookmarkEnd w:id="75"/>
      <w:bookmarkEnd w:id="76"/>
      <w:bookmarkEnd w:id="77"/>
    </w:p>
    <w:p w14:paraId="701594A5" w14:textId="77777777" w:rsidR="009E2B2F" w:rsidRPr="00584A40" w:rsidRDefault="009E2B2F" w:rsidP="003171DF">
      <w:pPr>
        <w:pStyle w:val="NumbHeading3"/>
      </w:pPr>
      <w:r w:rsidRPr="00584A40">
        <w:t>General</w:t>
      </w:r>
    </w:p>
    <w:p w14:paraId="06F4826B" w14:textId="7099E823" w:rsidR="009E2B2F" w:rsidRPr="00584A40" w:rsidRDefault="009E2B2F" w:rsidP="00666E06">
      <w:r w:rsidRPr="00584A40">
        <w:t xml:space="preserve">Demonstrating compliance with the Building Code and these Technical Guidelines is the responsibility of the design team. Assessment and acceptance of Building Consent submissions is the responsibility of the Building Consent Authority (BCA). </w:t>
      </w:r>
      <w:r w:rsidR="007D5C79">
        <w:t xml:space="preserve">Health NZ </w:t>
      </w:r>
      <w:r w:rsidRPr="00584A40">
        <w:t>also have interests in the process for working towards demonstrated regulatory compliance</w:t>
      </w:r>
      <w:r w:rsidR="00672DA7">
        <w:t xml:space="preserve"> </w:t>
      </w:r>
      <w:r w:rsidRPr="00584A40">
        <w:t>and assurance of compliant design.</w:t>
      </w:r>
    </w:p>
    <w:p w14:paraId="6D3BFBBD" w14:textId="38122A3D" w:rsidR="009E2B2F" w:rsidRPr="00584A40" w:rsidRDefault="009E2B2F" w:rsidP="00666E06">
      <w:r w:rsidRPr="00584A40">
        <w:t xml:space="preserve">Peer Review is used to help provide additional assurance of the quality of design work both for </w:t>
      </w:r>
      <w:r w:rsidR="007D5C79">
        <w:t xml:space="preserve">Health NZ </w:t>
      </w:r>
      <w:r w:rsidRPr="00584A40">
        <w:t xml:space="preserve">and for the Building Consent Authority. Peer Review should be generally in accordance with Engineering New Zealand’s </w:t>
      </w:r>
      <w:r w:rsidRPr="00584A40">
        <w:rPr>
          <w:i/>
          <w:iCs/>
        </w:rPr>
        <w:t>Practice Note 2: Peer Review</w:t>
      </w:r>
      <w:r w:rsidRPr="00584A40">
        <w:t xml:space="preserve"> </w:t>
      </w:r>
      <w:sdt>
        <w:sdtPr>
          <w:id w:val="-934512181"/>
          <w:citation/>
        </w:sdtPr>
        <w:sdtEndPr/>
        <w:sdtContent>
          <w:r w:rsidRPr="00584A40">
            <w:fldChar w:fldCharType="begin"/>
          </w:r>
          <w:r w:rsidRPr="00584A40">
            <w:rPr>
              <w:lang w:val="en-US"/>
            </w:rPr>
            <w:instrText xml:space="preserve"> CITATION ENZ18 \l 1033 </w:instrText>
          </w:r>
          <w:r w:rsidRPr="00584A40">
            <w:fldChar w:fldCharType="separate"/>
          </w:r>
          <w:r w:rsidR="00222D65">
            <w:rPr>
              <w:noProof/>
              <w:lang w:val="en-US"/>
            </w:rPr>
            <w:t>(ENZ, 2018)</w:t>
          </w:r>
          <w:r w:rsidRPr="00584A40">
            <w:fldChar w:fldCharType="end"/>
          </w:r>
        </w:sdtContent>
      </w:sdt>
      <w:r w:rsidRPr="00584A40">
        <w:t>, and may include multiple reviews</w:t>
      </w:r>
      <w:r w:rsidR="00B546E3">
        <w:t xml:space="preserve"> for distinct purposes</w:t>
      </w:r>
      <w:r w:rsidRPr="00584A40">
        <w:t>:</w:t>
      </w:r>
    </w:p>
    <w:p w14:paraId="31357CB2" w14:textId="2FEB51D6" w:rsidR="009E2B2F" w:rsidRPr="00584A40" w:rsidRDefault="009E2B2F" w:rsidP="004D55F1">
      <w:pPr>
        <w:pStyle w:val="ListParagraph"/>
        <w:numPr>
          <w:ilvl w:val="0"/>
          <w:numId w:val="49"/>
        </w:numPr>
      </w:pPr>
      <w:r w:rsidRPr="00584A40">
        <w:t xml:space="preserve">The </w:t>
      </w:r>
      <w:r w:rsidR="007D5C79">
        <w:rPr>
          <w:b/>
          <w:bCs/>
        </w:rPr>
        <w:t xml:space="preserve">Health NZ </w:t>
      </w:r>
      <w:r w:rsidRPr="00584A40">
        <w:rPr>
          <w:b/>
          <w:bCs/>
        </w:rPr>
        <w:t>Engineering Review</w:t>
      </w:r>
      <w:r w:rsidRPr="00584A40">
        <w:t xml:space="preserve"> process (under development) is outlined in Section </w:t>
      </w:r>
      <w:r w:rsidRPr="00584A40">
        <w:fldChar w:fldCharType="begin"/>
      </w:r>
      <w:r w:rsidRPr="00584A40">
        <w:instrText xml:space="preserve"> REF _Ref151544895 \r \h </w:instrText>
      </w:r>
      <w:r w:rsidR="00584A40">
        <w:instrText xml:space="preserve"> \* MERGEFORMAT </w:instrText>
      </w:r>
      <w:r w:rsidRPr="00584A40">
        <w:fldChar w:fldCharType="separate"/>
      </w:r>
      <w:r w:rsidR="000761C1">
        <w:t>A2.4.3</w:t>
      </w:r>
      <w:r w:rsidRPr="00584A40">
        <w:fldChar w:fldCharType="end"/>
      </w:r>
      <w:r w:rsidRPr="00584A40">
        <w:t>, and is focussed on early-stage review of design direction through concept development and preliminary phases.</w:t>
      </w:r>
    </w:p>
    <w:p w14:paraId="6BFD7607" w14:textId="6D4270AE" w:rsidR="009E2B2F" w:rsidRPr="00584A40" w:rsidRDefault="009E2B2F" w:rsidP="004D55F1">
      <w:pPr>
        <w:pStyle w:val="ListParagraph"/>
        <w:numPr>
          <w:ilvl w:val="0"/>
          <w:numId w:val="49"/>
        </w:numPr>
      </w:pPr>
      <w:r w:rsidRPr="00584A40">
        <w:rPr>
          <w:b/>
          <w:bCs/>
        </w:rPr>
        <w:t>Independent Peer Review</w:t>
      </w:r>
      <w:r w:rsidRPr="00584A40">
        <w:t xml:space="preserve"> (where applicable) is outlined in Section </w:t>
      </w:r>
      <w:r w:rsidRPr="00584A40">
        <w:fldChar w:fldCharType="begin"/>
      </w:r>
      <w:r w:rsidRPr="00584A40">
        <w:instrText xml:space="preserve"> REF _Ref157153742 \r \h </w:instrText>
      </w:r>
      <w:r w:rsidR="00584A40">
        <w:instrText xml:space="preserve"> \* MERGEFORMAT </w:instrText>
      </w:r>
      <w:r w:rsidRPr="00584A40">
        <w:fldChar w:fldCharType="separate"/>
      </w:r>
      <w:r w:rsidR="000761C1">
        <w:t>A2.4.4</w:t>
      </w:r>
      <w:r w:rsidRPr="00584A40">
        <w:fldChar w:fldCharType="end"/>
      </w:r>
      <w:r w:rsidRPr="00584A40">
        <w:t xml:space="preserve"> and is more detailed. It should include scope for traditional review of the design for regulatory compliance (</w:t>
      </w:r>
      <w:r w:rsidRPr="00584A40">
        <w:rPr>
          <w:i/>
          <w:iCs/>
        </w:rPr>
        <w:t>Regulatory Peer Review</w:t>
      </w:r>
      <w:r w:rsidRPr="00584A40">
        <w:t>), as well as S</w:t>
      </w:r>
      <w:r w:rsidRPr="00584A40">
        <w:rPr>
          <w:i/>
          <w:iCs/>
        </w:rPr>
        <w:t>pecific Peer Review</w:t>
      </w:r>
      <w:r w:rsidRPr="00584A40">
        <w:t xml:space="preserve"> for execution of the design against </w:t>
      </w:r>
      <w:r w:rsidR="007D5C79">
        <w:t xml:space="preserve">Health NZ </w:t>
      </w:r>
      <w:r w:rsidRPr="00584A40">
        <w:t>requirements. Early engagement is recommended for significant projects.</w:t>
      </w:r>
    </w:p>
    <w:p w14:paraId="75A5E1AD" w14:textId="607898D6" w:rsidR="009E2B2F" w:rsidRPr="00584A40" w:rsidRDefault="009E2B2F" w:rsidP="00666E06">
      <w:r w:rsidRPr="00584A40">
        <w:t>Once an independent peer reviewer has been appointed (where applicable) the design team should agree a consenting strategy with the BCA as early as possible. This strategy should clearly state the compliance pathway the design team is nominating</w:t>
      </w:r>
      <w:r w:rsidR="001F768D">
        <w:t>.</w:t>
      </w:r>
      <w:r w:rsidR="00672DA7">
        <w:t xml:space="preserve"> </w:t>
      </w:r>
      <w:r w:rsidR="001F768D">
        <w:t>T</w:t>
      </w:r>
      <w:r w:rsidRPr="00584A40">
        <w:t>he compliance pathway shall be incorporated into the Design Features Report.</w:t>
      </w:r>
    </w:p>
    <w:p w14:paraId="77CFA2DB" w14:textId="77777777" w:rsidR="009E2B2F" w:rsidRPr="00584A40" w:rsidRDefault="009E2B2F" w:rsidP="0088101A">
      <w:pPr>
        <w:pStyle w:val="NumbHeading3"/>
      </w:pPr>
      <w:bookmarkStart w:id="78" w:name="_Toc147899118"/>
      <w:bookmarkStart w:id="79" w:name="_Ref151547005"/>
      <w:bookmarkStart w:id="80" w:name="_Ref151547008"/>
      <w:bookmarkStart w:id="81" w:name="_Ref157150977"/>
      <w:bookmarkStart w:id="82" w:name="_Ref157150986"/>
      <w:r w:rsidRPr="00584A40">
        <w:t>Demonstrating Compliance with these Technical Guidelines</w:t>
      </w:r>
      <w:bookmarkEnd w:id="78"/>
      <w:bookmarkEnd w:id="79"/>
      <w:bookmarkEnd w:id="80"/>
      <w:bookmarkEnd w:id="81"/>
      <w:bookmarkEnd w:id="82"/>
    </w:p>
    <w:p w14:paraId="73A792E2" w14:textId="2917A0FC" w:rsidR="009E2B2F" w:rsidRPr="004A20A7" w:rsidRDefault="009E2B2F" w:rsidP="00666E06">
      <w:r w:rsidRPr="004A20A7">
        <w:t xml:space="preserve">A Project Design Features Report (DFR) compiled in accordance with Section </w:t>
      </w:r>
      <w:r w:rsidRPr="004A20A7">
        <w:fldChar w:fldCharType="begin"/>
      </w:r>
      <w:r w:rsidRPr="004A20A7">
        <w:instrText xml:space="preserve"> REF _Ref152939559 \r \h </w:instrText>
      </w:r>
      <w:r w:rsidR="004A20A7">
        <w:instrText xml:space="preserve"> \* MERGEFORMAT </w:instrText>
      </w:r>
      <w:r w:rsidRPr="004A20A7">
        <w:fldChar w:fldCharType="separate"/>
      </w:r>
      <w:r w:rsidR="000761C1">
        <w:t>A3.1</w:t>
      </w:r>
      <w:r w:rsidRPr="004A20A7">
        <w:fldChar w:fldCharType="end"/>
      </w:r>
      <w:r w:rsidRPr="004A20A7">
        <w:t xml:space="preserve"> is the formal means by which compliance with these guidelines is demonstrated. It will also be used as part of demonstrating Building Code compliance for regulatory purposes, alongside the design documents and </w:t>
      </w:r>
      <w:r w:rsidRPr="004A20A7">
        <w:rPr>
          <w:i/>
          <w:iCs/>
        </w:rPr>
        <w:t>Producer Statement for Design Review</w:t>
      </w:r>
      <w:r w:rsidR="00672DA7">
        <w:rPr>
          <w:i/>
          <w:iCs/>
        </w:rPr>
        <w:t xml:space="preserve"> - </w:t>
      </w:r>
      <w:r w:rsidRPr="004A20A7">
        <w:rPr>
          <w:i/>
          <w:iCs/>
        </w:rPr>
        <w:t>PS1</w:t>
      </w:r>
      <w:r w:rsidRPr="004A20A7">
        <w:t>.</w:t>
      </w:r>
    </w:p>
    <w:p w14:paraId="7EBAD485" w14:textId="1376655E" w:rsidR="009E2B2F" w:rsidRPr="004A20A7" w:rsidRDefault="009E2B2F" w:rsidP="00666E06">
      <w:r w:rsidRPr="004A20A7">
        <w:t xml:space="preserve">The DFR should refer to these guidelines as forming part of the basis for design (in accordance with the Project Technical Brief) alongside other compliance documents. </w:t>
      </w:r>
      <w:r w:rsidRPr="004A20A7">
        <w:rPr>
          <w:b/>
          <w:bCs/>
        </w:rPr>
        <w:t xml:space="preserve">A </w:t>
      </w:r>
      <w:r w:rsidRPr="004A20A7">
        <w:rPr>
          <w:b/>
          <w:bCs/>
        </w:rPr>
        <w:lastRenderedPageBreak/>
        <w:t>specific section in the DFR should provide confirmation in tabular format that the key</w:t>
      </w:r>
      <w:r w:rsidRPr="004A20A7">
        <w:t xml:space="preserve"> </w:t>
      </w:r>
      <w:r w:rsidRPr="004A20A7">
        <w:rPr>
          <w:b/>
          <w:bCs/>
        </w:rPr>
        <w:t xml:space="preserve">applicable </w:t>
      </w:r>
      <w:r w:rsidR="007D5C79">
        <w:rPr>
          <w:b/>
          <w:bCs/>
          <w:i/>
          <w:iCs/>
        </w:rPr>
        <w:t xml:space="preserve">Health NZ </w:t>
      </w:r>
      <w:r w:rsidRPr="004A20A7">
        <w:rPr>
          <w:b/>
          <w:bCs/>
          <w:i/>
          <w:iCs/>
        </w:rPr>
        <w:t>Requirements</w:t>
      </w:r>
      <w:r w:rsidRPr="004A20A7">
        <w:rPr>
          <w:b/>
          <w:bCs/>
        </w:rPr>
        <w:t xml:space="preserve"> in this guideline (summarised in Section </w:t>
      </w:r>
      <w:r w:rsidRPr="004A20A7">
        <w:rPr>
          <w:b/>
          <w:bCs/>
        </w:rPr>
        <w:fldChar w:fldCharType="begin"/>
      </w:r>
      <w:r w:rsidRPr="004A20A7">
        <w:rPr>
          <w:b/>
          <w:bCs/>
        </w:rPr>
        <w:instrText xml:space="preserve"> REF _Ref157151090 \r \h </w:instrText>
      </w:r>
      <w:r w:rsidR="00282825" w:rsidRPr="004A20A7">
        <w:rPr>
          <w:b/>
          <w:bCs/>
        </w:rPr>
        <w:instrText xml:space="preserve"> \* MERGEFORMAT </w:instrText>
      </w:r>
      <w:r w:rsidRPr="004A20A7">
        <w:rPr>
          <w:b/>
          <w:bCs/>
        </w:rPr>
      </w:r>
      <w:r w:rsidRPr="004A20A7">
        <w:rPr>
          <w:b/>
          <w:bCs/>
        </w:rPr>
        <w:fldChar w:fldCharType="separate"/>
      </w:r>
      <w:r w:rsidR="000761C1">
        <w:rPr>
          <w:b/>
          <w:bCs/>
        </w:rPr>
        <w:t>A1.6.1</w:t>
      </w:r>
      <w:r w:rsidRPr="004A20A7">
        <w:rPr>
          <w:b/>
          <w:bCs/>
        </w:rPr>
        <w:fldChar w:fldCharType="end"/>
      </w:r>
      <w:r w:rsidRPr="004A20A7">
        <w:rPr>
          <w:b/>
          <w:bCs/>
        </w:rPr>
        <w:t xml:space="preserve">, </w:t>
      </w:r>
      <w:r w:rsidRPr="004A20A7">
        <w:rPr>
          <w:b/>
          <w:bCs/>
        </w:rPr>
        <w:fldChar w:fldCharType="begin"/>
      </w:r>
      <w:r w:rsidRPr="004A20A7">
        <w:rPr>
          <w:b/>
          <w:bCs/>
        </w:rPr>
        <w:instrText xml:space="preserve"> REF _Ref149572551 \h </w:instrText>
      </w:r>
      <w:r w:rsidR="00282825" w:rsidRPr="004A20A7">
        <w:rPr>
          <w:b/>
          <w:bCs/>
        </w:rPr>
        <w:instrText xml:space="preserve"> \* MERGEFORMAT </w:instrText>
      </w:r>
      <w:r w:rsidRPr="004A20A7">
        <w:rPr>
          <w:b/>
          <w:bCs/>
        </w:rPr>
      </w:r>
      <w:r w:rsidRPr="004A20A7">
        <w:rPr>
          <w:b/>
          <w:bCs/>
        </w:rPr>
        <w:fldChar w:fldCharType="separate"/>
      </w:r>
      <w:r w:rsidR="000761C1" w:rsidRPr="000761C1">
        <w:rPr>
          <w:b/>
          <w:bCs/>
        </w:rPr>
        <w:t xml:space="preserve">Table </w:t>
      </w:r>
      <w:r w:rsidR="000761C1" w:rsidRPr="000761C1">
        <w:rPr>
          <w:b/>
          <w:bCs/>
          <w:noProof/>
        </w:rPr>
        <w:t>1</w:t>
      </w:r>
      <w:r w:rsidRPr="004A20A7">
        <w:rPr>
          <w:b/>
          <w:bCs/>
        </w:rPr>
        <w:fldChar w:fldCharType="end"/>
      </w:r>
      <w:r w:rsidRPr="004A20A7">
        <w:rPr>
          <w:b/>
          <w:bCs/>
        </w:rPr>
        <w:t>) have been met</w:t>
      </w:r>
      <w:r w:rsidRPr="004A20A7">
        <w:t>.</w:t>
      </w:r>
    </w:p>
    <w:p w14:paraId="42244416" w14:textId="49630BB6" w:rsidR="00442F74" w:rsidRDefault="009E2B2F" w:rsidP="00666E06">
      <w:r w:rsidRPr="004A20A7">
        <w:t xml:space="preserve">Projects should also make allowances to engage with </w:t>
      </w:r>
      <w:r w:rsidR="007D5C79">
        <w:t xml:space="preserve">Health NZ </w:t>
      </w:r>
      <w:r w:rsidRPr="004A20A7">
        <w:t xml:space="preserve">Engineering Review (Section </w:t>
      </w:r>
      <w:r w:rsidRPr="004A20A7">
        <w:fldChar w:fldCharType="begin"/>
      </w:r>
      <w:r w:rsidRPr="004A20A7">
        <w:instrText xml:space="preserve"> REF _Ref152229879 \r \h </w:instrText>
      </w:r>
      <w:r w:rsidR="004A20A7">
        <w:instrText xml:space="preserve"> \* MERGEFORMAT </w:instrText>
      </w:r>
      <w:r w:rsidRPr="004A20A7">
        <w:fldChar w:fldCharType="separate"/>
      </w:r>
      <w:r w:rsidR="000761C1">
        <w:t>A2.4.3</w:t>
      </w:r>
      <w:r w:rsidRPr="004A20A7">
        <w:fldChar w:fldCharType="end"/>
      </w:r>
      <w:r w:rsidRPr="004A20A7">
        <w:t xml:space="preserve">) and Independent Peer Review (Section </w:t>
      </w:r>
      <w:r w:rsidRPr="004A20A7">
        <w:fldChar w:fldCharType="begin"/>
      </w:r>
      <w:r w:rsidRPr="004A20A7">
        <w:instrText xml:space="preserve"> REF _Ref157153742 \r \h </w:instrText>
      </w:r>
      <w:r w:rsidR="004A20A7">
        <w:instrText xml:space="preserve"> \* MERGEFORMAT </w:instrText>
      </w:r>
      <w:r w:rsidRPr="004A20A7">
        <w:fldChar w:fldCharType="separate"/>
      </w:r>
      <w:r w:rsidR="000761C1">
        <w:t>A2.4.4</w:t>
      </w:r>
      <w:r w:rsidRPr="004A20A7">
        <w:fldChar w:fldCharType="end"/>
      </w:r>
      <w:r w:rsidRPr="004A20A7">
        <w:t>).</w:t>
      </w:r>
    </w:p>
    <w:p w14:paraId="73AE34EC" w14:textId="423288B6" w:rsidR="009E2B2F" w:rsidRPr="004A20A7" w:rsidRDefault="007D5C79" w:rsidP="0088101A">
      <w:pPr>
        <w:pStyle w:val="NumbHeading3"/>
      </w:pPr>
      <w:bookmarkStart w:id="83" w:name="_Toc147899114"/>
      <w:bookmarkStart w:id="84" w:name="_Ref151544895"/>
      <w:bookmarkStart w:id="85" w:name="_Ref152229879"/>
      <w:r>
        <w:t xml:space="preserve">Health NZ </w:t>
      </w:r>
      <w:r w:rsidR="009E2B2F" w:rsidRPr="004A20A7">
        <w:t>Engineering Review</w:t>
      </w:r>
      <w:bookmarkEnd w:id="83"/>
      <w:bookmarkEnd w:id="84"/>
      <w:bookmarkEnd w:id="85"/>
    </w:p>
    <w:p w14:paraId="7D31495A" w14:textId="2D9CBC94" w:rsidR="009E2B2F" w:rsidRPr="004A20A7" w:rsidRDefault="007D5C79" w:rsidP="00D56CAE">
      <w:pPr>
        <w:pStyle w:val="BodyHeading"/>
      </w:pPr>
      <w:r>
        <w:t xml:space="preserve">Health NZ </w:t>
      </w:r>
      <w:r w:rsidR="009E2B2F" w:rsidRPr="004A20A7">
        <w:t>Review for significant projects</w:t>
      </w:r>
    </w:p>
    <w:p w14:paraId="66D7F934" w14:textId="72EEA80F" w:rsidR="009E2B2F" w:rsidRPr="004A20A7" w:rsidRDefault="007D5C79" w:rsidP="0088101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 xml:space="preserve">Health NZ </w:t>
      </w:r>
      <w:r w:rsidR="009E2B2F" w:rsidRPr="004A20A7">
        <w:t xml:space="preserve">intends to develop a design assurance process for significant hospital projects, including engineering review. This process is under development. It is not a </w:t>
      </w:r>
      <w:r w:rsidR="009E2B2F" w:rsidRPr="004A20A7">
        <w:rPr>
          <w:iCs/>
        </w:rPr>
        <w:t>Regulatory Peer Review</w:t>
      </w:r>
      <w:r w:rsidR="009E2B2F" w:rsidRPr="004A20A7">
        <w:t>. For the purposes of this Draft Interim Release, respondents should make allowances aligned with the intent set out in this section.</w:t>
      </w:r>
    </w:p>
    <w:p w14:paraId="0680354F" w14:textId="1653F376" w:rsidR="009E2B2F" w:rsidRPr="00442F74" w:rsidRDefault="009E2B2F" w:rsidP="00666E06">
      <w:r w:rsidRPr="004A20A7">
        <w:t>The design team is required to present the Concept and Preliminary designs for review</w:t>
      </w:r>
      <w:r w:rsidR="00672DA7">
        <w:t xml:space="preserve">, </w:t>
      </w:r>
      <w:r w:rsidRPr="004A20A7">
        <w:t xml:space="preserve">an approach which is supported by the form of deliverables outlined in Section </w:t>
      </w:r>
      <w:r w:rsidRPr="00442F74">
        <w:fldChar w:fldCharType="begin"/>
      </w:r>
      <w:r w:rsidRPr="00442F74">
        <w:instrText xml:space="preserve"> REF _Ref157151135 \r \h </w:instrText>
      </w:r>
      <w:r w:rsidR="004A20A7" w:rsidRPr="00442F74">
        <w:instrText xml:space="preserve"> \* MERGEFORMAT </w:instrText>
      </w:r>
      <w:r w:rsidRPr="00442F74">
        <w:fldChar w:fldCharType="separate"/>
      </w:r>
      <w:r w:rsidR="000761C1">
        <w:t>A2.2</w:t>
      </w:r>
      <w:r w:rsidRPr="00442F74">
        <w:fldChar w:fldCharType="end"/>
      </w:r>
      <w:r w:rsidRPr="00442F74">
        <w:t xml:space="preserve"> </w:t>
      </w:r>
      <w:r w:rsidRPr="00442F74">
        <w:fldChar w:fldCharType="begin"/>
      </w:r>
      <w:r w:rsidRPr="00442F74">
        <w:instrText xml:space="preserve"> REF _Ref157151141 \h </w:instrText>
      </w:r>
      <w:r w:rsidR="004A20A7" w:rsidRPr="00442F74">
        <w:instrText xml:space="preserve"> \* MERGEFORMAT </w:instrText>
      </w:r>
      <w:r w:rsidRPr="00442F74">
        <w:fldChar w:fldCharType="separate"/>
      </w:r>
      <w:r w:rsidR="000761C1" w:rsidRPr="00A7476E">
        <w:t>Design Phases</w:t>
      </w:r>
      <w:r w:rsidRPr="00442F74">
        <w:fldChar w:fldCharType="end"/>
      </w:r>
      <w:r w:rsidRPr="00442F74">
        <w:t>.</w:t>
      </w:r>
    </w:p>
    <w:p w14:paraId="7F89BD03" w14:textId="467C2C97" w:rsidR="009E2B2F" w:rsidRPr="004A20A7" w:rsidRDefault="009E2B2F" w:rsidP="00666E06">
      <w:r w:rsidRPr="004A20A7">
        <w:t xml:space="preserve">Design teams should submit the information required in Section </w:t>
      </w:r>
      <w:r w:rsidRPr="004A20A7">
        <w:fldChar w:fldCharType="begin"/>
      </w:r>
      <w:r w:rsidRPr="004A20A7">
        <w:instrText xml:space="preserve"> REF _Ref157151243 \r \h </w:instrText>
      </w:r>
      <w:r w:rsidR="004A20A7">
        <w:instrText xml:space="preserve"> \* MERGEFORMAT </w:instrText>
      </w:r>
      <w:r w:rsidRPr="004A20A7">
        <w:fldChar w:fldCharType="separate"/>
      </w:r>
      <w:r w:rsidR="000761C1">
        <w:t>A2.2.2</w:t>
      </w:r>
      <w:r w:rsidRPr="004A20A7">
        <w:fldChar w:fldCharType="end"/>
      </w:r>
      <w:r w:rsidRPr="004A20A7">
        <w:t xml:space="preserve"> along with the Design Features Report and drawings to </w:t>
      </w:r>
      <w:r w:rsidR="007D5C79">
        <w:t xml:space="preserve">Health NZ </w:t>
      </w:r>
      <w:r w:rsidRPr="004A20A7">
        <w:t>nominated Reviewers. The documentation to be reviewed should describe a whole-of-project philosophy applied in the design response. This should reflect a coordinated philosophy across health planning, architecture and engineering disciplines.</w:t>
      </w:r>
    </w:p>
    <w:p w14:paraId="62250776" w14:textId="0F70BF8B" w:rsidR="009E2B2F" w:rsidRPr="004A20A7" w:rsidRDefault="009E2B2F" w:rsidP="00666E06">
      <w:r w:rsidRPr="004A20A7">
        <w:t>A key requirement of documentation submitted for Concept and Preliminary Design reviews are to allow clear and simple understanding of the design response to the brief. It will also allow review of scope gaps, and that the level of detail proposed by each discipline's drawings/documentation will deliver a project that meets the client's requirements.</w:t>
      </w:r>
    </w:p>
    <w:p w14:paraId="419C1EF2" w14:textId="189C99D6" w:rsidR="009E2B2F" w:rsidRPr="004A20A7" w:rsidRDefault="009E2B2F" w:rsidP="0088101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A20A7">
        <w:t xml:space="preserve">The purpose of the </w:t>
      </w:r>
      <w:r w:rsidR="007D5C79">
        <w:t xml:space="preserve">Health NZ </w:t>
      </w:r>
      <w:r w:rsidRPr="004A20A7">
        <w:t>Engineering Review is to review the project in the early phases for compliance with the client requirements. This review focuses on ensuring the engineering has taken a cost effective best for project approach whilst it's not too late to make any philosophy changes</w:t>
      </w:r>
      <w:r w:rsidR="006E3D89">
        <w:t xml:space="preserve"> </w:t>
      </w:r>
      <w:r w:rsidRPr="004A20A7">
        <w:t>or whether it is appropriate to consider adjustments to the Project Brief as part of resolving an appropriate design response.</w:t>
      </w:r>
    </w:p>
    <w:p w14:paraId="1D5C0508" w14:textId="2E769195" w:rsidR="009E2B2F" w:rsidRPr="004A20A7" w:rsidRDefault="009E2B2F" w:rsidP="0088101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A20A7">
        <w:t xml:space="preserve">The </w:t>
      </w:r>
      <w:r w:rsidR="007D5C79">
        <w:t xml:space="preserve">Health NZ </w:t>
      </w:r>
      <w:r w:rsidRPr="004A20A7">
        <w:t xml:space="preserve">engineering review is separate to, but complementary to, any </w:t>
      </w:r>
      <w:r w:rsidRPr="004A20A7">
        <w:rPr>
          <w:iCs/>
        </w:rPr>
        <w:t>Regulatory Peer Review</w:t>
      </w:r>
      <w:r w:rsidRPr="004A20A7">
        <w:t xml:space="preserve"> such as for building consent purposes. A successful review is a requirement to moving to the next design stage.</w:t>
      </w:r>
    </w:p>
    <w:p w14:paraId="7BA9C3A9" w14:textId="77777777" w:rsidR="00FF07C5" w:rsidRDefault="00FF07C5" w:rsidP="0088101A">
      <w:pPr>
        <w:pStyle w:val="NumbHeading3"/>
        <w:sectPr w:rsidR="00FF07C5" w:rsidSect="00DB28BF">
          <w:headerReference w:type="even" r:id="rId28"/>
          <w:headerReference w:type="default" r:id="rId29"/>
          <w:footerReference w:type="default" r:id="rId30"/>
          <w:footnotePr>
            <w:numRestart w:val="eachPage"/>
          </w:footnotePr>
          <w:pgSz w:w="11906" w:h="16838" w:code="187"/>
          <w:pgMar w:top="1560" w:right="1134" w:bottom="1418" w:left="1134" w:header="709" w:footer="709" w:gutter="0"/>
          <w:cols w:space="708"/>
          <w:titlePg/>
          <w:docGrid w:linePitch="360"/>
        </w:sectPr>
      </w:pPr>
      <w:bookmarkStart w:id="86" w:name="_Ref157153742"/>
    </w:p>
    <w:p w14:paraId="6E39B296" w14:textId="77777777" w:rsidR="009E2B2F" w:rsidRDefault="009E2B2F" w:rsidP="0088101A">
      <w:pPr>
        <w:pStyle w:val="NumbHeading3"/>
      </w:pPr>
      <w:r w:rsidRPr="00B9271E">
        <w:lastRenderedPageBreak/>
        <w:t>Independent Peer Review Requirements</w:t>
      </w:r>
      <w:bookmarkEnd w:id="86"/>
    </w:p>
    <w:p w14:paraId="380C1ECF" w14:textId="0DF0300B" w:rsidR="001D251F" w:rsidRDefault="001D251F" w:rsidP="00666E06">
      <w:r>
        <w:t xml:space="preserve">Independent </w:t>
      </w:r>
      <w:r w:rsidR="00063B47">
        <w:t>Peer Review can be carried out for two reasons:</w:t>
      </w:r>
    </w:p>
    <w:p w14:paraId="28C713A5" w14:textId="4DB67FFF" w:rsidR="00063B47" w:rsidRDefault="00063B47" w:rsidP="004D55F1">
      <w:pPr>
        <w:pStyle w:val="ListParagraph"/>
        <w:numPr>
          <w:ilvl w:val="0"/>
          <w:numId w:val="101"/>
        </w:numPr>
      </w:pPr>
      <w:r w:rsidRPr="00A309F4">
        <w:rPr>
          <w:i/>
          <w:iCs/>
        </w:rPr>
        <w:t>Regulatory Peer Review</w:t>
      </w:r>
      <w:r>
        <w:t xml:space="preserve"> for Building Consent purposes</w:t>
      </w:r>
    </w:p>
    <w:p w14:paraId="147445D6" w14:textId="7D187F02" w:rsidR="00063B47" w:rsidRPr="001D251F" w:rsidRDefault="001E05A5" w:rsidP="004D55F1">
      <w:pPr>
        <w:pStyle w:val="ListParagraph"/>
        <w:numPr>
          <w:ilvl w:val="0"/>
          <w:numId w:val="101"/>
        </w:numPr>
      </w:pPr>
      <w:r w:rsidRPr="00A309F4">
        <w:rPr>
          <w:i/>
          <w:iCs/>
        </w:rPr>
        <w:t>Specific Peer Review</w:t>
      </w:r>
      <w:r>
        <w:t xml:space="preserve"> against the additional requirements of these guidelines and the project brief.</w:t>
      </w:r>
    </w:p>
    <w:p w14:paraId="3685048D" w14:textId="49C9D1FF" w:rsidR="009E2B2F" w:rsidRPr="00B9271E" w:rsidRDefault="007D5C79" w:rsidP="00666E06">
      <w:r>
        <w:t xml:space="preserve">Health NZ </w:t>
      </w:r>
      <w:r w:rsidR="009E2B2F" w:rsidRPr="00B9271E">
        <w:t xml:space="preserve">anticipate engaging independent </w:t>
      </w:r>
      <w:r w:rsidR="00605AF3" w:rsidRPr="00605AF3">
        <w:t>peer reviewers</w:t>
      </w:r>
      <w:r w:rsidR="009E2B2F" w:rsidRPr="00B9271E">
        <w:t xml:space="preserve"> for significant projects covering Building Code Clauses B1</w:t>
      </w:r>
      <w:r w:rsidR="00076DE6">
        <w:t xml:space="preserve"> and </w:t>
      </w:r>
      <w:r w:rsidR="009E2B2F" w:rsidRPr="00B9271E">
        <w:t>B2 as a minimum</w:t>
      </w:r>
      <w:r w:rsidR="00812526" w:rsidRPr="00B9271E">
        <w:t xml:space="preserve">, and any project </w:t>
      </w:r>
      <w:r w:rsidR="00AE4333" w:rsidRPr="00B9271E">
        <w:t xml:space="preserve">for aspects </w:t>
      </w:r>
      <w:r w:rsidR="00812526" w:rsidRPr="00B9271E">
        <w:t>employing special studies or Alternative Solutions</w:t>
      </w:r>
      <w:r w:rsidR="009E2B2F" w:rsidRPr="00B9271E">
        <w:t xml:space="preserve">. Detailed guidance on the conduct of independent regulatory peer review is available in SESOC’s Practice Guideline </w:t>
      </w:r>
      <w:r w:rsidR="009E2B2F" w:rsidRPr="00B9271E">
        <w:rPr>
          <w:i/>
          <w:iCs/>
        </w:rPr>
        <w:t>Independent Review of Structural Designs for Building Consent</w:t>
      </w:r>
      <w:r w:rsidR="009E2B2F" w:rsidRPr="00B9271E">
        <w:t xml:space="preserve"> </w:t>
      </w:r>
      <w:sdt>
        <w:sdtPr>
          <w:id w:val="2109076882"/>
          <w:citation/>
        </w:sdtPr>
        <w:sdtEndPr/>
        <w:sdtContent>
          <w:r w:rsidR="009E2B2F" w:rsidRPr="00B9271E">
            <w:fldChar w:fldCharType="begin"/>
          </w:r>
          <w:r w:rsidR="009E2B2F" w:rsidRPr="00B9271E">
            <w:rPr>
              <w:lang w:val="en-US"/>
            </w:rPr>
            <w:instrText xml:space="preserve"> CITATION SES10 \l 1033 </w:instrText>
          </w:r>
          <w:r w:rsidR="009E2B2F" w:rsidRPr="00B9271E">
            <w:fldChar w:fldCharType="separate"/>
          </w:r>
          <w:r w:rsidR="00222D65">
            <w:rPr>
              <w:noProof/>
              <w:lang w:val="en-US"/>
            </w:rPr>
            <w:t>(SESOC, 2010)</w:t>
          </w:r>
          <w:r w:rsidR="009E2B2F" w:rsidRPr="00B9271E">
            <w:fldChar w:fldCharType="end"/>
          </w:r>
        </w:sdtContent>
      </w:sdt>
      <w:r w:rsidR="009E2B2F" w:rsidRPr="00B9271E">
        <w:t xml:space="preserve">.This scope should extend to include </w:t>
      </w:r>
      <w:r w:rsidR="009E2B2F" w:rsidRPr="00B9271E">
        <w:rPr>
          <w:i/>
          <w:iCs/>
        </w:rPr>
        <w:t>Specific Peer Review</w:t>
      </w:r>
      <w:r w:rsidR="009E2B2F" w:rsidRPr="00B9271E">
        <w:t xml:space="preserve"> for compliance with the requirements of these guidelines</w:t>
      </w:r>
      <w:r w:rsidR="001E05A5">
        <w:t xml:space="preserve"> and the project brief</w:t>
      </w:r>
      <w:r w:rsidR="009E2B2F" w:rsidRPr="00B9271E">
        <w:t xml:space="preserve"> </w:t>
      </w:r>
      <w:sdt>
        <w:sdtPr>
          <w:id w:val="-585534521"/>
          <w:citation/>
        </w:sdtPr>
        <w:sdtEndPr/>
        <w:sdtContent>
          <w:r w:rsidR="009E2B2F" w:rsidRPr="00B9271E">
            <w:fldChar w:fldCharType="begin"/>
          </w:r>
          <w:r w:rsidR="009E2B2F" w:rsidRPr="00B9271E">
            <w:rPr>
              <w:lang w:val="en-US"/>
            </w:rPr>
            <w:instrText xml:space="preserve"> CITATION ENZ18 \l 1033 </w:instrText>
          </w:r>
          <w:r w:rsidR="009E2B2F" w:rsidRPr="00B9271E">
            <w:fldChar w:fldCharType="separate"/>
          </w:r>
          <w:r w:rsidR="00222D65">
            <w:rPr>
              <w:noProof/>
              <w:lang w:val="en-US"/>
            </w:rPr>
            <w:t>(ENZ, 2018)</w:t>
          </w:r>
          <w:r w:rsidR="009E2B2F" w:rsidRPr="00B9271E">
            <w:fldChar w:fldCharType="end"/>
          </w:r>
        </w:sdtContent>
      </w:sdt>
      <w:r w:rsidR="009E2B2F" w:rsidRPr="00B9271E">
        <w:t>.</w:t>
      </w:r>
    </w:p>
    <w:p w14:paraId="280C69F8" w14:textId="18FD338D" w:rsidR="009E2B2F" w:rsidRPr="00B9271E" w:rsidRDefault="009E2B2F" w:rsidP="00666E06">
      <w:r w:rsidRPr="00B9271E">
        <w:t xml:space="preserve">The satisfactory conclusion of reviews should be supported by a statement issued to </w:t>
      </w:r>
      <w:r w:rsidR="007D5C79">
        <w:t xml:space="preserve">Health NZ </w:t>
      </w:r>
      <w:r w:rsidRPr="00B9271E">
        <w:t xml:space="preserve">giving an opinion on compliance with </w:t>
      </w:r>
      <w:r w:rsidR="00494EB2" w:rsidRPr="00B9271E">
        <w:t xml:space="preserve">this </w:t>
      </w:r>
      <w:r w:rsidR="007D5C79">
        <w:t xml:space="preserve">Health NZ </w:t>
      </w:r>
      <w:r w:rsidR="00494EB2" w:rsidRPr="00B9271E">
        <w:t>Design Guidance Note</w:t>
      </w:r>
      <w:r w:rsidR="00E424FE" w:rsidRPr="00B9271E">
        <w:rPr>
          <w:i/>
          <w:iCs/>
        </w:rPr>
        <w:t xml:space="preserve"> </w:t>
      </w:r>
      <w:r w:rsidR="00283775" w:rsidRPr="00B9271E">
        <w:t>(</w:t>
      </w:r>
      <w:r w:rsidR="00283775" w:rsidRPr="00B9271E">
        <w:rPr>
          <w:i/>
          <w:iCs/>
        </w:rPr>
        <w:t xml:space="preserve">Technical Guidelines for the Seismic and Structural </w:t>
      </w:r>
      <w:r w:rsidR="00E424FE" w:rsidRPr="00B9271E">
        <w:rPr>
          <w:i/>
          <w:iCs/>
        </w:rPr>
        <w:t>Design of Hospital Buildings</w:t>
      </w:r>
      <w:r w:rsidR="00283775" w:rsidRPr="00B9271E">
        <w:t>)</w:t>
      </w:r>
      <w:r w:rsidRPr="00B9271E">
        <w:t xml:space="preserve">. This is separate to </w:t>
      </w:r>
      <w:r w:rsidRPr="00B9271E">
        <w:rPr>
          <w:i/>
          <w:iCs/>
        </w:rPr>
        <w:t>Producer Statements for Design Review</w:t>
      </w:r>
      <w:r w:rsidR="006E3D89">
        <w:rPr>
          <w:i/>
          <w:iCs/>
        </w:rPr>
        <w:t xml:space="preserve"> - </w:t>
      </w:r>
      <w:r w:rsidRPr="00B9271E">
        <w:rPr>
          <w:i/>
          <w:iCs/>
        </w:rPr>
        <w:t>PS2</w:t>
      </w:r>
      <w:r w:rsidRPr="00B9271E">
        <w:t xml:space="preserve"> issued to </w:t>
      </w:r>
      <w:r w:rsidR="007D5C79">
        <w:t xml:space="preserve">Health NZ </w:t>
      </w:r>
      <w:r w:rsidRPr="00B9271E">
        <w:t>and the BCA for regulatory compliance purposes. This scope should be confirmed as part of the briefing and engagement process.</w:t>
      </w:r>
    </w:p>
    <w:p w14:paraId="7F4A1346" w14:textId="16AD58D1" w:rsidR="009E2B2F" w:rsidRPr="00B9271E" w:rsidRDefault="009E2B2F" w:rsidP="00666E06">
      <w:r w:rsidRPr="00B9271E">
        <w:t xml:space="preserve">The design team should allow to agree the peer review scope with </w:t>
      </w:r>
      <w:r w:rsidR="007D5C79">
        <w:t xml:space="preserve">Health NZ </w:t>
      </w:r>
      <w:r w:rsidRPr="00B9271E">
        <w:t>for structural and geotechnical aspects at the appropriate project stage (such as during Concept Design) and assist in preparation of a peer review brief and required competencies.</w:t>
      </w:r>
    </w:p>
    <w:p w14:paraId="57D26FDF" w14:textId="77777777" w:rsidR="009E2B2F" w:rsidRPr="00B9271E" w:rsidRDefault="009E2B2F" w:rsidP="00D56CAE">
      <w:pPr>
        <w:pStyle w:val="BodyHeading"/>
      </w:pPr>
      <w:r w:rsidRPr="00B9271E">
        <w:t>Early Engagement of Independent Peer Review</w:t>
      </w:r>
    </w:p>
    <w:p w14:paraId="3F1A9933" w14:textId="5A8DA9BD" w:rsidR="009E2B2F" w:rsidRPr="00B9271E" w:rsidRDefault="009E2B2F" w:rsidP="00666E06">
      <w:r w:rsidRPr="00B9271E">
        <w:t xml:space="preserve">Early engagement of independent peer reviewers is strongly encouraged, particularly for more significant or complex projects. This is called </w:t>
      </w:r>
      <w:r w:rsidRPr="00B9271E">
        <w:rPr>
          <w:i/>
          <w:iCs/>
        </w:rPr>
        <w:t>Concept or Strategic Peer Review</w:t>
      </w:r>
      <w:r w:rsidRPr="00B9271E">
        <w:t xml:space="preserve"> </w:t>
      </w:r>
      <w:sdt>
        <w:sdtPr>
          <w:id w:val="438729147"/>
          <w:citation/>
        </w:sdtPr>
        <w:sdtEndPr/>
        <w:sdtContent>
          <w:r w:rsidRPr="00B9271E">
            <w:fldChar w:fldCharType="begin"/>
          </w:r>
          <w:r w:rsidRPr="00B9271E">
            <w:rPr>
              <w:lang w:val="en-US"/>
            </w:rPr>
            <w:instrText xml:space="preserve"> CITATION ENZ18 \l 1033 </w:instrText>
          </w:r>
          <w:r w:rsidRPr="00B9271E">
            <w:fldChar w:fldCharType="separate"/>
          </w:r>
          <w:r w:rsidR="00222D65">
            <w:rPr>
              <w:noProof/>
              <w:lang w:val="en-US"/>
            </w:rPr>
            <w:t>(ENZ, 2018)</w:t>
          </w:r>
          <w:r w:rsidRPr="00B9271E">
            <w:fldChar w:fldCharType="end"/>
          </w:r>
        </w:sdtContent>
      </w:sdt>
      <w:r w:rsidRPr="00B9271E">
        <w:t xml:space="preserve"> and is good practice to manage design risk.</w:t>
      </w:r>
    </w:p>
    <w:p w14:paraId="7A741589" w14:textId="63937381" w:rsidR="009E2B2F" w:rsidRPr="00B9271E" w:rsidRDefault="009E2B2F" w:rsidP="00666E06">
      <w:r w:rsidRPr="00B9271E">
        <w:t xml:space="preserve">Early engagement allows opportunity for </w:t>
      </w:r>
      <w:r w:rsidR="00C56E29">
        <w:t xml:space="preserve">independent </w:t>
      </w:r>
      <w:r w:rsidRPr="00B9271E">
        <w:t xml:space="preserve">peer reviewers to work towards common agreement to the principles underpinning concept and preliminary design, with constructive challenge—independently of </w:t>
      </w:r>
      <w:r w:rsidR="007D5C79">
        <w:t xml:space="preserve">Health NZ </w:t>
      </w:r>
      <w:r w:rsidRPr="00B9271E">
        <w:t>Engineering Review.</w:t>
      </w:r>
    </w:p>
    <w:p w14:paraId="713397C1" w14:textId="77777777" w:rsidR="009E2B2F" w:rsidRPr="00093972" w:rsidRDefault="009E2B2F" w:rsidP="00666E06"/>
    <w:p w14:paraId="536AC131" w14:textId="77777777" w:rsidR="00A2618D" w:rsidRDefault="00A2618D" w:rsidP="00666E06">
      <w:bookmarkStart w:id="87" w:name="_Toc147899121"/>
      <w:bookmarkStart w:id="88" w:name="_Ref149633484"/>
      <w:bookmarkStart w:id="89" w:name="_Ref149720182"/>
      <w:bookmarkStart w:id="90" w:name="_Ref151547779"/>
      <w:bookmarkStart w:id="91" w:name="_Ref151547818"/>
      <w:bookmarkStart w:id="92" w:name="_Ref151548432"/>
      <w:r>
        <w:br w:type="page"/>
      </w:r>
    </w:p>
    <w:p w14:paraId="584AA209" w14:textId="54EE2BB3" w:rsidR="00E133D0" w:rsidRPr="00A9001D" w:rsidRDefault="00E133D0" w:rsidP="001B467E">
      <w:pPr>
        <w:pStyle w:val="NumbHeading1"/>
      </w:pPr>
      <w:bookmarkStart w:id="93" w:name="_Toc147899127"/>
      <w:bookmarkStart w:id="94" w:name="_Ref151449964"/>
      <w:bookmarkStart w:id="95" w:name="_Toc203641939"/>
      <w:bookmarkEnd w:id="87"/>
      <w:bookmarkEnd w:id="88"/>
      <w:bookmarkEnd w:id="89"/>
      <w:bookmarkEnd w:id="90"/>
      <w:bookmarkEnd w:id="91"/>
      <w:bookmarkEnd w:id="92"/>
      <w:r w:rsidRPr="00A9001D">
        <w:lastRenderedPageBreak/>
        <w:t>Documentation and Project Records</w:t>
      </w:r>
      <w:bookmarkEnd w:id="93"/>
      <w:bookmarkEnd w:id="94"/>
      <w:bookmarkEnd w:id="95"/>
    </w:p>
    <w:p w14:paraId="42370F5B" w14:textId="67237B7A" w:rsidR="00E133D0" w:rsidRPr="00B9271E" w:rsidRDefault="00C53076" w:rsidP="001B467E">
      <w:pPr>
        <w:pStyle w:val="NumbHeading2"/>
      </w:pPr>
      <w:bookmarkStart w:id="96" w:name="_Toc147899128"/>
      <w:bookmarkStart w:id="97" w:name="_Ref152939559"/>
      <w:bookmarkStart w:id="98" w:name="_Ref157149208"/>
      <w:bookmarkStart w:id="99" w:name="_Ref162181052"/>
      <w:bookmarkStart w:id="100" w:name="_Ref166599915"/>
      <w:bookmarkStart w:id="101" w:name="_Ref170138674"/>
      <w:bookmarkStart w:id="102" w:name="_Toc203641940"/>
      <w:r w:rsidRPr="00B9271E">
        <w:t xml:space="preserve">Structural </w:t>
      </w:r>
      <w:r w:rsidR="00E133D0" w:rsidRPr="00B9271E">
        <w:t>Design Features Report</w:t>
      </w:r>
      <w:bookmarkEnd w:id="96"/>
      <w:bookmarkEnd w:id="97"/>
      <w:bookmarkEnd w:id="98"/>
      <w:bookmarkEnd w:id="99"/>
      <w:bookmarkEnd w:id="100"/>
      <w:bookmarkEnd w:id="101"/>
      <w:bookmarkEnd w:id="102"/>
    </w:p>
    <w:p w14:paraId="74784D1B" w14:textId="335D0E57" w:rsidR="00907D99" w:rsidRPr="00076478" w:rsidRDefault="0E51B5EC" w:rsidP="00666E06">
      <w:r w:rsidRPr="00076478">
        <w:t xml:space="preserve">A Design Features Report </w:t>
      </w:r>
      <w:r w:rsidR="05C408C1" w:rsidRPr="00076478">
        <w:t xml:space="preserve">(DFR) </w:t>
      </w:r>
      <w:r w:rsidRPr="00076478">
        <w:t>is required for all projects</w:t>
      </w:r>
      <w:r w:rsidR="4E0A199A" w:rsidRPr="00076478">
        <w:t>.</w:t>
      </w:r>
      <w:r w:rsidR="00C15AFF" w:rsidRPr="00076478">
        <w:t xml:space="preserve"> The preparation of the DFR is the responsibility of the Structural Engineer</w:t>
      </w:r>
      <w:r w:rsidR="00992DE7" w:rsidRPr="00076478">
        <w:t xml:space="preserve">, with inputs supplied by others as appropriate including Geotechnical and NSE Seismic </w:t>
      </w:r>
      <w:r w:rsidR="00926B27" w:rsidRPr="00076478">
        <w:t>Design</w:t>
      </w:r>
      <w:r w:rsidR="00992DE7" w:rsidRPr="00076478">
        <w:t xml:space="preserve"> disciplines.</w:t>
      </w:r>
      <w:r w:rsidR="2D3DCDB5" w:rsidRPr="00076478">
        <w:t xml:space="preserve"> </w:t>
      </w:r>
      <w:r w:rsidR="41A72224" w:rsidRPr="00076478">
        <w:t>Th</w:t>
      </w:r>
      <w:r w:rsidR="2AEB14B8" w:rsidRPr="00076478">
        <w:t>e</w:t>
      </w:r>
      <w:r w:rsidR="2D3DCDB5" w:rsidRPr="00076478">
        <w:t xml:space="preserve"> DFR </w:t>
      </w:r>
      <w:r w:rsidR="001B2572" w:rsidRPr="00076478">
        <w:t>should</w:t>
      </w:r>
      <w:r w:rsidR="2D3DCDB5" w:rsidRPr="00076478">
        <w:t xml:space="preserve"> be prepared at </w:t>
      </w:r>
      <w:r w:rsidR="79E570F1" w:rsidRPr="00076478">
        <w:t xml:space="preserve">concept phase, </w:t>
      </w:r>
      <w:r w:rsidR="2D3DCDB5" w:rsidRPr="00076478">
        <w:t>even if information is high-level</w:t>
      </w:r>
      <w:r w:rsidR="584AF399" w:rsidRPr="00076478">
        <w:t>.</w:t>
      </w:r>
      <w:r w:rsidR="00F93C81" w:rsidRPr="00076478">
        <w:t xml:space="preserve"> It should</w:t>
      </w:r>
      <w:r w:rsidR="6D1E71D3" w:rsidRPr="00076478">
        <w:t xml:space="preserve"> be updated and presented with all subsequent design stages.</w:t>
      </w:r>
      <w:r w:rsidR="407967FF" w:rsidRPr="00076478">
        <w:t xml:space="preserve"> </w:t>
      </w:r>
      <w:r w:rsidR="2B856018" w:rsidRPr="00076478">
        <w:t xml:space="preserve">The DFR </w:t>
      </w:r>
      <w:r w:rsidR="002D7781" w:rsidRPr="00076478">
        <w:t>shall include, as a minimum</w:t>
      </w:r>
      <w:r w:rsidR="68EBF957" w:rsidRPr="00076478">
        <w:t>:</w:t>
      </w:r>
    </w:p>
    <w:p w14:paraId="2460B2EA" w14:textId="0FA419CD" w:rsidR="68EBF957" w:rsidRPr="00076478" w:rsidRDefault="68EBF957" w:rsidP="004D55F1">
      <w:pPr>
        <w:pStyle w:val="ListParagraph"/>
        <w:numPr>
          <w:ilvl w:val="0"/>
          <w:numId w:val="11"/>
        </w:numPr>
      </w:pPr>
      <w:r w:rsidRPr="00076478">
        <w:t>Record all agreed performance objectives</w:t>
      </w:r>
      <w:r w:rsidR="000D2AC7" w:rsidRPr="00076478">
        <w:rPr>
          <w:rStyle w:val="FootnoteReference"/>
        </w:rPr>
        <w:footnoteReference w:id="4"/>
      </w:r>
      <w:r w:rsidR="004C7470" w:rsidRPr="00076478">
        <w:t>.</w:t>
      </w:r>
    </w:p>
    <w:p w14:paraId="6354D968" w14:textId="12B9E0FF" w:rsidR="00067556" w:rsidRPr="00076478" w:rsidRDefault="00067556" w:rsidP="004D55F1">
      <w:pPr>
        <w:pStyle w:val="ListParagraph"/>
        <w:numPr>
          <w:ilvl w:val="0"/>
          <w:numId w:val="11"/>
        </w:numPr>
      </w:pPr>
      <w:r w:rsidRPr="00076478">
        <w:t xml:space="preserve">Roles and responsibilities table (refer Section </w:t>
      </w:r>
      <w:r w:rsidRPr="00076478">
        <w:fldChar w:fldCharType="begin"/>
      </w:r>
      <w:r w:rsidRPr="00076478">
        <w:instrText xml:space="preserve"> REF _Ref157160348 \r \h </w:instrText>
      </w:r>
      <w:r w:rsidR="00076478">
        <w:instrText xml:space="preserve"> \* MERGEFORMAT </w:instrText>
      </w:r>
      <w:r w:rsidRPr="00076478">
        <w:fldChar w:fldCharType="separate"/>
      </w:r>
      <w:r w:rsidR="000761C1">
        <w:t>A2.3</w:t>
      </w:r>
      <w:r w:rsidRPr="00076478">
        <w:fldChar w:fldCharType="end"/>
      </w:r>
      <w:r w:rsidRPr="00076478">
        <w:t>)</w:t>
      </w:r>
      <w:r w:rsidR="00902781" w:rsidRPr="00076478">
        <w:t>.</w:t>
      </w:r>
    </w:p>
    <w:p w14:paraId="2A58F813" w14:textId="7453815D" w:rsidR="5681ADED" w:rsidRPr="00076478" w:rsidRDefault="5681ADED" w:rsidP="004D55F1">
      <w:pPr>
        <w:pStyle w:val="ListParagraph"/>
        <w:numPr>
          <w:ilvl w:val="0"/>
          <w:numId w:val="11"/>
        </w:numPr>
      </w:pPr>
      <w:r w:rsidRPr="00076478">
        <w:t xml:space="preserve">Summarise the ground conditions and any geotechnical engineering constraints, with </w:t>
      </w:r>
      <w:r w:rsidR="29CD91DF" w:rsidRPr="00076478">
        <w:t xml:space="preserve">a clear statement identifying the version of </w:t>
      </w:r>
      <w:r w:rsidRPr="00076478">
        <w:t>the geotechnical report</w:t>
      </w:r>
      <w:r w:rsidR="121F19EF" w:rsidRPr="00076478">
        <w:t xml:space="preserve"> from which th</w:t>
      </w:r>
      <w:r w:rsidR="0E852F8B" w:rsidRPr="00076478">
        <w:t>is</w:t>
      </w:r>
      <w:r w:rsidR="121F19EF" w:rsidRPr="00076478">
        <w:t xml:space="preserve"> information has been extracted</w:t>
      </w:r>
      <w:r w:rsidR="00936EE7" w:rsidRPr="00076478">
        <w:rPr>
          <w:rStyle w:val="FootnoteReference"/>
          <w:rFonts w:eastAsiaTheme="minorEastAsia"/>
        </w:rPr>
        <w:footnoteReference w:id="5"/>
      </w:r>
      <w:r w:rsidR="121F19EF" w:rsidRPr="00076478">
        <w:t>.</w:t>
      </w:r>
    </w:p>
    <w:p w14:paraId="0981D23C" w14:textId="67FE3051" w:rsidR="68EBF957" w:rsidRPr="00076478" w:rsidRDefault="68EBF957" w:rsidP="004D55F1">
      <w:pPr>
        <w:pStyle w:val="ListParagraph"/>
        <w:numPr>
          <w:ilvl w:val="0"/>
          <w:numId w:val="11"/>
        </w:numPr>
      </w:pPr>
      <w:r w:rsidRPr="00076478">
        <w:t>Clearly describe the structural system and philosophy</w:t>
      </w:r>
      <w:r w:rsidR="004C7470" w:rsidRPr="00076478">
        <w:t>.</w:t>
      </w:r>
    </w:p>
    <w:p w14:paraId="3FF4A376" w14:textId="724D55E1" w:rsidR="004C7470" w:rsidRPr="00076478" w:rsidRDefault="004C7470" w:rsidP="004D55F1">
      <w:pPr>
        <w:pStyle w:val="ListParagraph"/>
        <w:numPr>
          <w:ilvl w:val="0"/>
          <w:numId w:val="11"/>
        </w:numPr>
      </w:pPr>
      <w:r w:rsidRPr="00076478">
        <w:t xml:space="preserve">Confirm the means of </w:t>
      </w:r>
      <w:r w:rsidR="002D7781" w:rsidRPr="00076478">
        <w:t xml:space="preserve">demonstrating </w:t>
      </w:r>
      <w:r w:rsidRPr="00076478">
        <w:t>compliance with the Building Code and the requirements of this document</w:t>
      </w:r>
      <w:r w:rsidR="008606C1" w:rsidRPr="00076478">
        <w:t xml:space="preserve">, including the </w:t>
      </w:r>
      <w:r w:rsidR="008606C1" w:rsidRPr="00076478">
        <w:rPr>
          <w:i/>
          <w:iCs/>
        </w:rPr>
        <w:t>Seismic Performance Framework</w:t>
      </w:r>
      <w:r w:rsidRPr="00076478">
        <w:t>.</w:t>
      </w:r>
    </w:p>
    <w:p w14:paraId="226BBA25" w14:textId="54ABE7DE" w:rsidR="007637B5" w:rsidRPr="00076478" w:rsidRDefault="37E47B4F" w:rsidP="004D55F1">
      <w:pPr>
        <w:pStyle w:val="ListParagraph"/>
        <w:numPr>
          <w:ilvl w:val="0"/>
          <w:numId w:val="11"/>
        </w:numPr>
      </w:pPr>
      <w:r w:rsidRPr="00076478">
        <w:t>Detail</w:t>
      </w:r>
      <w:r w:rsidR="00010645" w:rsidRPr="00076478">
        <w:t>s of</w:t>
      </w:r>
      <w:r w:rsidRPr="00076478">
        <w:t xml:space="preserve"> any agreed departures from the requirements of this document</w:t>
      </w:r>
      <w:r w:rsidR="004C7470" w:rsidRPr="00076478">
        <w:t>.</w:t>
      </w:r>
    </w:p>
    <w:p w14:paraId="157F7C61" w14:textId="18C855C8" w:rsidR="00CA3DF7" w:rsidRPr="00076478" w:rsidRDefault="00CA3DF7" w:rsidP="004D55F1">
      <w:pPr>
        <w:pStyle w:val="ListParagraph"/>
        <w:numPr>
          <w:ilvl w:val="0"/>
          <w:numId w:val="11"/>
        </w:numPr>
      </w:pPr>
      <w:r w:rsidRPr="00076478">
        <w:t xml:space="preserve">Extractable information on building movements and accelerations for NSE </w:t>
      </w:r>
      <w:r w:rsidR="00950B32" w:rsidRPr="00076478">
        <w:t>d</w:t>
      </w:r>
      <w:r w:rsidRPr="00076478">
        <w:t xml:space="preserve">esign (refer to Section </w:t>
      </w:r>
      <w:r w:rsidRPr="00076478">
        <w:fldChar w:fldCharType="begin"/>
      </w:r>
      <w:r w:rsidRPr="00076478">
        <w:instrText xml:space="preserve"> REF _Ref152140987 \r \h </w:instrText>
      </w:r>
      <w:r w:rsidR="00076478">
        <w:instrText xml:space="preserve"> \* MERGEFORMAT </w:instrText>
      </w:r>
      <w:r w:rsidRPr="00076478">
        <w:fldChar w:fldCharType="separate"/>
      </w:r>
      <w:r w:rsidR="000761C1">
        <w:t>A3.1.1</w:t>
      </w:r>
      <w:r w:rsidRPr="00076478">
        <w:fldChar w:fldCharType="end"/>
      </w:r>
      <w:r w:rsidRPr="00076478">
        <w:t>).</w:t>
      </w:r>
    </w:p>
    <w:p w14:paraId="68A088C0" w14:textId="15CA272A" w:rsidR="005022A1" w:rsidRPr="00076478" w:rsidRDefault="005022A1" w:rsidP="004D55F1">
      <w:pPr>
        <w:pStyle w:val="ListParagraph"/>
        <w:numPr>
          <w:ilvl w:val="0"/>
          <w:numId w:val="11"/>
        </w:numPr>
      </w:pPr>
      <w:r w:rsidRPr="00076478">
        <w:rPr>
          <w:i/>
          <w:iCs/>
        </w:rPr>
        <w:t>Up-front Carbon</w:t>
      </w:r>
      <w:r w:rsidRPr="00076478">
        <w:t xml:space="preserve"> reporting in accordance with Section </w:t>
      </w:r>
      <w:r w:rsidR="00ED0ADC" w:rsidRPr="00076478">
        <w:fldChar w:fldCharType="begin"/>
      </w:r>
      <w:r w:rsidR="00ED0ADC" w:rsidRPr="00076478">
        <w:instrText xml:space="preserve"> REF _Ref157160386 \r \h </w:instrText>
      </w:r>
      <w:r w:rsidR="00076478">
        <w:instrText xml:space="preserve"> \* MERGEFORMAT </w:instrText>
      </w:r>
      <w:r w:rsidR="00ED0ADC" w:rsidRPr="00076478">
        <w:fldChar w:fldCharType="separate"/>
      </w:r>
      <w:r w:rsidR="000761C1">
        <w:t>A3.3</w:t>
      </w:r>
      <w:r w:rsidR="00ED0ADC" w:rsidRPr="00076478">
        <w:fldChar w:fldCharType="end"/>
      </w:r>
      <w:r w:rsidR="00BC1ABC" w:rsidRPr="00076478">
        <w:t xml:space="preserve"> and </w:t>
      </w:r>
      <w:r w:rsidR="00776B07" w:rsidRPr="00076478">
        <w:t>any further required inputs into LCA</w:t>
      </w:r>
      <w:r w:rsidR="00365ED0" w:rsidRPr="00076478">
        <w:t xml:space="preserve"> or </w:t>
      </w:r>
      <w:r w:rsidR="005B5666" w:rsidRPr="00076478">
        <w:t>the sustainability performance brief for the project</w:t>
      </w:r>
      <w:r w:rsidRPr="00076478">
        <w:t>.</w:t>
      </w:r>
    </w:p>
    <w:p w14:paraId="6F331516" w14:textId="38B986C7" w:rsidR="00C6737C" w:rsidRPr="00076478" w:rsidRDefault="00C6737C" w:rsidP="004D55F1">
      <w:pPr>
        <w:pStyle w:val="ListParagraph"/>
        <w:numPr>
          <w:ilvl w:val="0"/>
          <w:numId w:val="11"/>
        </w:numPr>
      </w:pPr>
      <w:r w:rsidRPr="00076478">
        <w:t xml:space="preserve">Appended Concept Design summary presentation sheets (refer Section </w:t>
      </w:r>
      <w:r w:rsidRPr="00076478">
        <w:fldChar w:fldCharType="begin"/>
      </w:r>
      <w:r w:rsidRPr="00076478">
        <w:instrText xml:space="preserve"> REF _Ref157160475 \r \h </w:instrText>
      </w:r>
      <w:r w:rsidR="00076478">
        <w:instrText xml:space="preserve"> \* MERGEFORMAT </w:instrText>
      </w:r>
      <w:r w:rsidRPr="00076478">
        <w:fldChar w:fldCharType="separate"/>
      </w:r>
      <w:r w:rsidR="000761C1">
        <w:t>A2.2.2</w:t>
      </w:r>
      <w:r w:rsidRPr="00076478">
        <w:fldChar w:fldCharType="end"/>
      </w:r>
      <w:r w:rsidRPr="00076478">
        <w:t>).</w:t>
      </w:r>
    </w:p>
    <w:p w14:paraId="1A838608" w14:textId="1452E799" w:rsidR="0093044A" w:rsidRPr="00076478" w:rsidRDefault="00FF5457" w:rsidP="004D55F1">
      <w:pPr>
        <w:pStyle w:val="ListParagraph"/>
        <w:numPr>
          <w:ilvl w:val="0"/>
          <w:numId w:val="11"/>
        </w:numPr>
      </w:pPr>
      <w:r w:rsidRPr="00076478">
        <w:t>Other content recommended in the SESOC</w:t>
      </w:r>
      <w:r w:rsidR="00916CCF" w:rsidRPr="00076478">
        <w:t xml:space="preserve"> template DFR.</w:t>
      </w:r>
    </w:p>
    <w:p w14:paraId="08E2DEC5" w14:textId="73CAC8D1" w:rsidR="00857431" w:rsidRPr="00076478" w:rsidRDefault="007D5C79" w:rsidP="00666E06">
      <w:pPr>
        <w:pStyle w:val="Requirement"/>
      </w:pPr>
      <w:r w:rsidRPr="00B219C9">
        <w:rPr>
          <w:b/>
          <w:bCs/>
          <w:color w:val="0C818F" w:themeColor="accent3"/>
        </w:rPr>
        <w:t xml:space="preserve">Health NZ </w:t>
      </w:r>
      <w:r w:rsidR="00C6524B" w:rsidRPr="00B219C9">
        <w:rPr>
          <w:b/>
          <w:bCs/>
          <w:color w:val="0C818F" w:themeColor="accent3"/>
        </w:rPr>
        <w:t>R</w:t>
      </w:r>
      <w:r w:rsidR="00857431" w:rsidRPr="00B219C9">
        <w:rPr>
          <w:b/>
          <w:bCs/>
          <w:color w:val="0C818F" w:themeColor="accent3"/>
        </w:rPr>
        <w:t>equirement:</w:t>
      </w:r>
      <w:r w:rsidR="00857431" w:rsidRPr="00076478">
        <w:t xml:space="preserve"> A </w:t>
      </w:r>
      <w:r w:rsidR="00857431" w:rsidRPr="00076478">
        <w:rPr>
          <w:i/>
          <w:iCs/>
        </w:rPr>
        <w:t>Design Features Report</w:t>
      </w:r>
      <w:r w:rsidR="00857431" w:rsidRPr="00076478">
        <w:t xml:space="preserve"> </w:t>
      </w:r>
      <w:r w:rsidR="003A7275" w:rsidRPr="00076478">
        <w:t>(D</w:t>
      </w:r>
      <w:r w:rsidR="00FC1326" w:rsidRPr="00076478">
        <w:t>FR</w:t>
      </w:r>
      <w:r w:rsidR="003A7275" w:rsidRPr="00076478">
        <w:t xml:space="preserve">) </w:t>
      </w:r>
      <w:r w:rsidR="00857431" w:rsidRPr="00076478">
        <w:t>shall be prepared</w:t>
      </w:r>
      <w:r w:rsidR="0031163F" w:rsidRPr="00076478">
        <w:t xml:space="preserve"> by the Structural Engineer</w:t>
      </w:r>
      <w:r w:rsidR="00857431" w:rsidRPr="00076478">
        <w:t xml:space="preserve">, updated at each design phase milestone, in accordance with </w:t>
      </w:r>
      <w:r w:rsidR="0031163F" w:rsidRPr="00076478">
        <w:t>industry practice recommendations and the minimum requirements outlined above.</w:t>
      </w:r>
      <w:r w:rsidR="0019342C" w:rsidRPr="00076478">
        <w:t xml:space="preserve"> The Geotechnical Engineer shall review </w:t>
      </w:r>
      <w:r w:rsidR="009C22FE" w:rsidRPr="00076478">
        <w:t>geotechnical and foundation design</w:t>
      </w:r>
      <w:r w:rsidR="00124FA8" w:rsidRPr="00076478">
        <w:t xml:space="preserve"> aspects</w:t>
      </w:r>
      <w:r w:rsidR="009C22FE" w:rsidRPr="00076478">
        <w:t xml:space="preserve"> for interpretation.</w:t>
      </w:r>
    </w:p>
    <w:p w14:paraId="630DA9E3" w14:textId="192CF175" w:rsidR="00791A3B" w:rsidRPr="00076478" w:rsidRDefault="00C94CFC" w:rsidP="001B467E">
      <w:pPr>
        <w:pStyle w:val="NumbHeading3"/>
      </w:pPr>
      <w:bookmarkStart w:id="103" w:name="_Ref152140987"/>
      <w:bookmarkStart w:id="104" w:name="_Ref152819641"/>
      <w:r w:rsidRPr="00076478">
        <w:lastRenderedPageBreak/>
        <w:t>Building Movement</w:t>
      </w:r>
      <w:r w:rsidR="00DF2EBF" w:rsidRPr="00076478">
        <w:t>,</w:t>
      </w:r>
      <w:r w:rsidRPr="00076478">
        <w:t xml:space="preserve"> Acceleration</w:t>
      </w:r>
      <w:r w:rsidR="00001726" w:rsidRPr="00076478">
        <w:t>, and Loading</w:t>
      </w:r>
      <w:r w:rsidRPr="00076478">
        <w:t xml:space="preserve"> </w:t>
      </w:r>
      <w:bookmarkEnd w:id="103"/>
      <w:r w:rsidR="00D35388" w:rsidRPr="00076478">
        <w:t>Report</w:t>
      </w:r>
      <w:r w:rsidR="00B03C12" w:rsidRPr="00076478">
        <w:t xml:space="preserve"> for N</w:t>
      </w:r>
      <w:r w:rsidR="002302B4" w:rsidRPr="00076478">
        <w:t>on-Structural Elements</w:t>
      </w:r>
      <w:bookmarkEnd w:id="104"/>
    </w:p>
    <w:p w14:paraId="46454BC7" w14:textId="7C02CD96" w:rsidR="008D5A28" w:rsidRPr="00950B48" w:rsidRDefault="00B82B01" w:rsidP="00666E06">
      <w:r w:rsidRPr="00950B48">
        <w:t xml:space="preserve">The DFR should include </w:t>
      </w:r>
      <w:r w:rsidR="0072075B" w:rsidRPr="00950B48">
        <w:t xml:space="preserve">an extractable </w:t>
      </w:r>
      <w:r w:rsidR="0072075B" w:rsidRPr="00950B48">
        <w:rPr>
          <w:i/>
          <w:iCs/>
        </w:rPr>
        <w:t>Building Movement</w:t>
      </w:r>
      <w:r w:rsidR="00704BBB" w:rsidRPr="00950B48">
        <w:rPr>
          <w:i/>
          <w:iCs/>
        </w:rPr>
        <w:t>,</w:t>
      </w:r>
      <w:r w:rsidR="0072075B" w:rsidRPr="00950B48">
        <w:rPr>
          <w:i/>
          <w:iCs/>
        </w:rPr>
        <w:t xml:space="preserve"> Acceleration and Loading Report</w:t>
      </w:r>
      <w:r w:rsidR="0072075B" w:rsidRPr="00950B48">
        <w:t xml:space="preserve"> for Non-Structural Element (NSE) design and coordination.</w:t>
      </w:r>
      <w:r w:rsidR="00C26335" w:rsidRPr="00950B48">
        <w:t xml:space="preserve"> The compilation of this</w:t>
      </w:r>
      <w:r w:rsidR="00C26335">
        <w:t xml:space="preserve"> report is the </w:t>
      </w:r>
      <w:r w:rsidR="00C26335" w:rsidRPr="00950B48">
        <w:t>responsibility of the Structural Engineer. However</w:t>
      </w:r>
      <w:r w:rsidR="00F72B04" w:rsidRPr="00950B48">
        <w:t xml:space="preserve">, it is important that </w:t>
      </w:r>
      <w:r w:rsidR="00C26335" w:rsidRPr="00950B48">
        <w:t xml:space="preserve">the development of the </w:t>
      </w:r>
      <w:r w:rsidR="00010B69" w:rsidRPr="00950B48">
        <w:t>strategy that underlies</w:t>
      </w:r>
      <w:r w:rsidR="00102B76" w:rsidRPr="00950B48">
        <w:t xml:space="preserve"> it </w:t>
      </w:r>
      <w:r w:rsidR="00BE3A03" w:rsidRPr="00950B48">
        <w:t>reflect project-level decisions</w:t>
      </w:r>
      <w:r w:rsidR="00BC739E" w:rsidRPr="00950B48">
        <w:t xml:space="preserve"> with input </w:t>
      </w:r>
      <w:r w:rsidR="00DC3124" w:rsidRPr="00950B48">
        <w:t>by all relevant disciplines.</w:t>
      </w:r>
    </w:p>
    <w:p w14:paraId="712D0753" w14:textId="1C5C46F9" w:rsidR="000D45B4" w:rsidRPr="00950B48" w:rsidRDefault="00C96CB8" w:rsidP="00D56CAE">
      <w:pPr>
        <w:pStyle w:val="BodyHeading"/>
      </w:pPr>
      <w:r w:rsidRPr="00950B48">
        <w:t>Earthquake Accelerations</w:t>
      </w:r>
      <w:r w:rsidR="008D5A28" w:rsidRPr="00950B48">
        <w:t xml:space="preserve"> for NSE</w:t>
      </w:r>
      <w:r w:rsidR="00841495" w:rsidRPr="00950B48">
        <w:t>s</w:t>
      </w:r>
    </w:p>
    <w:p w14:paraId="5E5C8D27" w14:textId="4942EB5D" w:rsidR="00B843CB" w:rsidRPr="00950B48" w:rsidRDefault="00791A3B" w:rsidP="00666E06">
      <w:pPr>
        <w:rPr>
          <w:lang w:val="en-US"/>
        </w:rPr>
      </w:pPr>
      <w:r w:rsidRPr="00950B48">
        <w:rPr>
          <w:lang w:val="en-US"/>
        </w:rPr>
        <w:t xml:space="preserve">The </w:t>
      </w:r>
      <w:r w:rsidR="00470B57" w:rsidRPr="00950B48">
        <w:rPr>
          <w:lang w:val="en-US"/>
        </w:rPr>
        <w:t>S</w:t>
      </w:r>
      <w:r w:rsidRPr="00950B48">
        <w:rPr>
          <w:lang w:val="en-US"/>
        </w:rPr>
        <w:t xml:space="preserve">tructural </w:t>
      </w:r>
      <w:r w:rsidR="00470B57" w:rsidRPr="00950B48">
        <w:rPr>
          <w:lang w:val="en-US"/>
        </w:rPr>
        <w:t>E</w:t>
      </w:r>
      <w:r w:rsidRPr="00950B48">
        <w:rPr>
          <w:lang w:val="en-US"/>
        </w:rPr>
        <w:t xml:space="preserve">ngineer shall provide sufficient information to the NSE </w:t>
      </w:r>
      <w:r w:rsidR="009A12A3" w:rsidRPr="00950B48">
        <w:rPr>
          <w:lang w:val="en-US"/>
        </w:rPr>
        <w:t>Seismic Designer</w:t>
      </w:r>
      <w:r w:rsidRPr="00950B48">
        <w:rPr>
          <w:lang w:val="en-US"/>
        </w:rPr>
        <w:t xml:space="preserve"> to determine </w:t>
      </w:r>
      <w:r w:rsidR="008D3BFB" w:rsidRPr="00950B48">
        <w:rPr>
          <w:lang w:val="en-US"/>
        </w:rPr>
        <w:t xml:space="preserve">earthquake </w:t>
      </w:r>
      <w:r w:rsidRPr="00950B48">
        <w:rPr>
          <w:lang w:val="en-US"/>
        </w:rPr>
        <w:t>design accelerations for the restraints.</w:t>
      </w:r>
      <w:r w:rsidR="00B843CB" w:rsidRPr="00950B48">
        <w:rPr>
          <w:lang w:val="en-US"/>
        </w:rPr>
        <w:t xml:space="preserve"> </w:t>
      </w:r>
      <w:r w:rsidRPr="00950B48">
        <w:rPr>
          <w:lang w:val="en-US"/>
        </w:rPr>
        <w:t xml:space="preserve">For a simpler building, this might simply be the building characteristics sufficient to determine floor accelerations </w:t>
      </w:r>
      <w:r w:rsidR="008D3BFB" w:rsidRPr="00950B48">
        <w:rPr>
          <w:lang w:val="en-US"/>
        </w:rPr>
        <w:t xml:space="preserve">independently </w:t>
      </w:r>
      <w:r w:rsidRPr="00950B48">
        <w:rPr>
          <w:lang w:val="en-US"/>
        </w:rPr>
        <w:t xml:space="preserve">from </w:t>
      </w:r>
      <w:r w:rsidR="008D3BFB" w:rsidRPr="00950B48">
        <w:rPr>
          <w:lang w:val="en-US"/>
        </w:rPr>
        <w:t>the Earthquake Loadings Standard</w:t>
      </w:r>
      <w:r w:rsidRPr="00950B48">
        <w:rPr>
          <w:lang w:val="en-US"/>
        </w:rPr>
        <w:t>.</w:t>
      </w:r>
    </w:p>
    <w:p w14:paraId="4204B896" w14:textId="483A387A" w:rsidR="00B843CB" w:rsidRPr="00950B48" w:rsidRDefault="0023769F" w:rsidP="00666E06">
      <w:pPr>
        <w:rPr>
          <w:lang w:val="en-US"/>
        </w:rPr>
      </w:pPr>
      <w:r w:rsidRPr="00950B48">
        <w:rPr>
          <w:lang w:val="en-US"/>
        </w:rPr>
        <w:t>However, i</w:t>
      </w:r>
      <w:r w:rsidR="00791A3B" w:rsidRPr="00950B48">
        <w:rPr>
          <w:lang w:val="en-US"/>
        </w:rPr>
        <w:t xml:space="preserve">t is preferable for the </w:t>
      </w:r>
      <w:r w:rsidRPr="00950B48">
        <w:rPr>
          <w:lang w:val="en-US"/>
        </w:rPr>
        <w:t>Structural Engineer</w:t>
      </w:r>
      <w:r w:rsidR="00791A3B" w:rsidRPr="00950B48">
        <w:rPr>
          <w:lang w:val="en-US"/>
        </w:rPr>
        <w:t xml:space="preserve"> to directly provide </w:t>
      </w:r>
      <w:r w:rsidR="00DE3AAC" w:rsidRPr="00950B48">
        <w:rPr>
          <w:lang w:val="en-US"/>
        </w:rPr>
        <w:t>design</w:t>
      </w:r>
      <w:r w:rsidR="00791A3B" w:rsidRPr="00950B48">
        <w:rPr>
          <w:lang w:val="en-US"/>
        </w:rPr>
        <w:t xml:space="preserve"> accelerations (along with explanation of their derivations).</w:t>
      </w:r>
      <w:r w:rsidR="00B843CB" w:rsidRPr="00950B48">
        <w:rPr>
          <w:lang w:val="en-US"/>
        </w:rPr>
        <w:t xml:space="preserve"> This includes where design teams are proposing to apply the parts and components of </w:t>
      </w:r>
      <w:r w:rsidR="00932DC5" w:rsidRPr="00950B48">
        <w:rPr>
          <w:lang w:val="en-US"/>
        </w:rPr>
        <w:t>TS</w:t>
      </w:r>
      <w:r w:rsidR="00B843CB" w:rsidRPr="00950B48">
        <w:rPr>
          <w:lang w:val="en-US"/>
        </w:rPr>
        <w:t xml:space="preserve"> 1170.5 in a transitional environment under an Alternative Solution pathway. Refer to Section </w:t>
      </w:r>
      <w:r w:rsidR="00B843CB" w:rsidRPr="00950B48">
        <w:rPr>
          <w:lang w:val="en-US"/>
        </w:rPr>
        <w:fldChar w:fldCharType="begin"/>
      </w:r>
      <w:r w:rsidR="00B843CB" w:rsidRPr="00950B48">
        <w:rPr>
          <w:lang w:val="en-US"/>
        </w:rPr>
        <w:instrText xml:space="preserve"> REF _Ref149568362 \r \h </w:instrText>
      </w:r>
      <w:r w:rsidR="00950B48">
        <w:rPr>
          <w:lang w:val="en-US"/>
        </w:rPr>
        <w:instrText xml:space="preserve"> \* MERGEFORMAT </w:instrText>
      </w:r>
      <w:r w:rsidR="00B843CB" w:rsidRPr="00950B48">
        <w:rPr>
          <w:lang w:val="en-US"/>
        </w:rPr>
      </w:r>
      <w:r w:rsidR="00B843CB" w:rsidRPr="00950B48">
        <w:rPr>
          <w:lang w:val="en-US"/>
        </w:rPr>
        <w:fldChar w:fldCharType="separate"/>
      </w:r>
      <w:r w:rsidR="000761C1">
        <w:rPr>
          <w:lang w:val="en-US"/>
        </w:rPr>
        <w:t>C1.3.1</w:t>
      </w:r>
      <w:r w:rsidR="00B843CB" w:rsidRPr="00950B48">
        <w:rPr>
          <w:lang w:val="en-US"/>
        </w:rPr>
        <w:fldChar w:fldCharType="end"/>
      </w:r>
      <w:r w:rsidR="00B843CB" w:rsidRPr="00950B48">
        <w:rPr>
          <w:lang w:val="en-US"/>
        </w:rPr>
        <w:t xml:space="preserve"> for specific commentary on this approach.</w:t>
      </w:r>
    </w:p>
    <w:p w14:paraId="4BD2FA13" w14:textId="0B4EA1A9" w:rsidR="00791A3B" w:rsidRPr="00950B48" w:rsidRDefault="00FF7EC4" w:rsidP="00666E06">
      <w:pPr>
        <w:rPr>
          <w:lang w:val="en-US"/>
        </w:rPr>
      </w:pPr>
      <w:r w:rsidRPr="00950B48">
        <w:rPr>
          <w:lang w:val="en-US"/>
        </w:rPr>
        <w:t>I</w:t>
      </w:r>
      <w:r w:rsidR="00496B91" w:rsidRPr="00950B48">
        <w:rPr>
          <w:lang w:val="en-US"/>
        </w:rPr>
        <w:t>n situations</w:t>
      </w:r>
      <w:r w:rsidR="00791A3B" w:rsidRPr="00950B48">
        <w:rPr>
          <w:lang w:val="en-US"/>
        </w:rPr>
        <w:t xml:space="preserve"> where </w:t>
      </w:r>
      <w:r w:rsidR="004E4DD8" w:rsidRPr="00950B48">
        <w:rPr>
          <w:lang w:val="en-US"/>
        </w:rPr>
        <w:t>the Loadings Standard</w:t>
      </w:r>
      <w:r w:rsidR="00791A3B" w:rsidRPr="00950B48">
        <w:rPr>
          <w:lang w:val="en-US"/>
        </w:rPr>
        <w:t xml:space="preserve"> </w:t>
      </w:r>
      <w:r w:rsidR="0056726B" w:rsidRPr="00950B48">
        <w:rPr>
          <w:lang w:val="en-US"/>
        </w:rPr>
        <w:t>is less likely to</w:t>
      </w:r>
      <w:r w:rsidR="00791A3B" w:rsidRPr="00950B48">
        <w:rPr>
          <w:lang w:val="en-US"/>
        </w:rPr>
        <w:t xml:space="preserve"> provide a good representation of floor accelerations</w:t>
      </w:r>
      <w:r w:rsidRPr="00950B48">
        <w:rPr>
          <w:lang w:val="en-US"/>
        </w:rPr>
        <w:t xml:space="preserve">, designers may wish to </w:t>
      </w:r>
      <w:r w:rsidR="002D6116" w:rsidRPr="00950B48">
        <w:rPr>
          <w:lang w:val="en-US"/>
        </w:rPr>
        <w:t xml:space="preserve">specifically derive design accelerations for </w:t>
      </w:r>
      <w:r w:rsidR="008716B2" w:rsidRPr="00950B48">
        <w:rPr>
          <w:lang w:val="en-US"/>
        </w:rPr>
        <w:t>parts</w:t>
      </w:r>
      <w:r w:rsidR="00503263" w:rsidRPr="00950B48">
        <w:rPr>
          <w:lang w:val="en-US"/>
        </w:rPr>
        <w:t xml:space="preserve"> under an Alternative Solution pathway</w:t>
      </w:r>
      <w:r w:rsidR="00632144" w:rsidRPr="00950B48">
        <w:rPr>
          <w:lang w:val="en-US"/>
        </w:rPr>
        <w:t xml:space="preserve">. </w:t>
      </w:r>
      <w:r w:rsidR="00D943F7" w:rsidRPr="00950B48">
        <w:rPr>
          <w:lang w:val="en-US"/>
        </w:rPr>
        <w:t xml:space="preserve">This </w:t>
      </w:r>
      <w:r w:rsidR="00791A3B" w:rsidRPr="00950B48">
        <w:rPr>
          <w:lang w:val="en-US"/>
        </w:rPr>
        <w:t>includ</w:t>
      </w:r>
      <w:r w:rsidR="00D943F7" w:rsidRPr="00950B48">
        <w:rPr>
          <w:lang w:val="en-US"/>
        </w:rPr>
        <w:t>es</w:t>
      </w:r>
      <w:r w:rsidR="00791A3B" w:rsidRPr="00950B48">
        <w:rPr>
          <w:lang w:val="en-US"/>
        </w:rPr>
        <w:t xml:space="preserve"> seismically isolated buildings, buildings with dampers or other devices, </w:t>
      </w:r>
      <w:r w:rsidR="008716B2" w:rsidRPr="00950B48">
        <w:rPr>
          <w:lang w:val="en-US"/>
        </w:rPr>
        <w:t xml:space="preserve">or other </w:t>
      </w:r>
      <w:r w:rsidR="00791A3B" w:rsidRPr="00950B48">
        <w:rPr>
          <w:lang w:val="en-US"/>
        </w:rPr>
        <w:t>buildings</w:t>
      </w:r>
      <w:r w:rsidR="00D93B95" w:rsidRPr="00950B48">
        <w:rPr>
          <w:lang w:val="en-US"/>
        </w:rPr>
        <w:t xml:space="preserve"> </w:t>
      </w:r>
      <w:r w:rsidR="00BD4667" w:rsidRPr="00950B48">
        <w:rPr>
          <w:lang w:val="en-US"/>
        </w:rPr>
        <w:t xml:space="preserve">considered by </w:t>
      </w:r>
      <w:r w:rsidR="00D93B95" w:rsidRPr="00950B48">
        <w:rPr>
          <w:lang w:val="en-US"/>
        </w:rPr>
        <w:t>the designer</w:t>
      </w:r>
      <w:r w:rsidR="00BD4667" w:rsidRPr="00950B48">
        <w:rPr>
          <w:lang w:val="en-US"/>
        </w:rPr>
        <w:t xml:space="preserve"> to warrant Special Study.</w:t>
      </w:r>
      <w:r w:rsidR="00A62BFB" w:rsidRPr="00950B48">
        <w:rPr>
          <w:lang w:val="en-US"/>
        </w:rPr>
        <w:t xml:space="preserve"> </w:t>
      </w:r>
      <w:r w:rsidR="007964DE" w:rsidRPr="00950B48">
        <w:rPr>
          <w:lang w:val="en-US"/>
        </w:rPr>
        <w:t xml:space="preserve">Designers should apply a rational method supported by </w:t>
      </w:r>
      <w:r w:rsidR="00717533" w:rsidRPr="00950B48">
        <w:rPr>
          <w:lang w:val="en-US"/>
        </w:rPr>
        <w:t xml:space="preserve">the </w:t>
      </w:r>
      <w:r w:rsidR="007964DE" w:rsidRPr="00950B48">
        <w:rPr>
          <w:lang w:val="en-US"/>
        </w:rPr>
        <w:t xml:space="preserve">literature, that complies with Section </w:t>
      </w:r>
      <w:r w:rsidR="004B6414">
        <w:rPr>
          <w:lang w:val="en-US"/>
        </w:rPr>
        <w:fldChar w:fldCharType="begin"/>
      </w:r>
      <w:r w:rsidR="004B6414">
        <w:rPr>
          <w:lang w:val="en-US"/>
        </w:rPr>
        <w:instrText xml:space="preserve"> REF _Ref149568362 \r \h </w:instrText>
      </w:r>
      <w:r w:rsidR="004B6414">
        <w:rPr>
          <w:lang w:val="en-US"/>
        </w:rPr>
      </w:r>
      <w:r w:rsidR="004B6414">
        <w:rPr>
          <w:lang w:val="en-US"/>
        </w:rPr>
        <w:fldChar w:fldCharType="separate"/>
      </w:r>
      <w:r w:rsidR="000761C1">
        <w:rPr>
          <w:lang w:val="en-US"/>
        </w:rPr>
        <w:t>C1.3.1</w:t>
      </w:r>
      <w:r w:rsidR="004B6414">
        <w:rPr>
          <w:lang w:val="en-US"/>
        </w:rPr>
        <w:fldChar w:fldCharType="end"/>
      </w:r>
      <w:r w:rsidR="007964DE" w:rsidRPr="00950B48">
        <w:rPr>
          <w:lang w:val="en-US"/>
        </w:rPr>
        <w:t xml:space="preserve"> </w:t>
      </w:r>
      <w:r w:rsidR="008607A7" w:rsidRPr="00950B48">
        <w:rPr>
          <w:lang w:val="en-US"/>
        </w:rPr>
        <w:t xml:space="preserve">and present the </w:t>
      </w:r>
      <w:r w:rsidR="00E2521C" w:rsidRPr="00950B48">
        <w:rPr>
          <w:lang w:val="en-US"/>
        </w:rPr>
        <w:t xml:space="preserve">design </w:t>
      </w:r>
      <w:r w:rsidR="001B03D2" w:rsidRPr="00950B48">
        <w:rPr>
          <w:lang w:val="en-US"/>
        </w:rPr>
        <w:t>accelerations in this section</w:t>
      </w:r>
      <w:r w:rsidR="007964DE" w:rsidRPr="00950B48">
        <w:rPr>
          <w:lang w:val="en-US"/>
        </w:rPr>
        <w:t>.</w:t>
      </w:r>
    </w:p>
    <w:p w14:paraId="1B59AC93" w14:textId="05DFCE19" w:rsidR="008D5A28" w:rsidRPr="00950B48" w:rsidRDefault="008D5A28" w:rsidP="00D56CAE">
      <w:pPr>
        <w:pStyle w:val="BodyHeading"/>
        <w:rPr>
          <w:lang w:val="en-US"/>
        </w:rPr>
      </w:pPr>
      <w:r w:rsidRPr="00950B48">
        <w:rPr>
          <w:lang w:val="en-US"/>
        </w:rPr>
        <w:t>Building Movements</w:t>
      </w:r>
    </w:p>
    <w:p w14:paraId="77D0900D" w14:textId="1AAEB44F" w:rsidR="00791A3B" w:rsidRPr="00950B48" w:rsidRDefault="00791A3B" w:rsidP="00666E06">
      <w:pPr>
        <w:rPr>
          <w:lang w:val="en-US"/>
        </w:rPr>
      </w:pPr>
      <w:r w:rsidRPr="00950B48">
        <w:rPr>
          <w:lang w:val="en-US"/>
        </w:rPr>
        <w:t xml:space="preserve">The Structural </w:t>
      </w:r>
      <w:r w:rsidR="00470B57" w:rsidRPr="00950B48">
        <w:rPr>
          <w:lang w:val="en-US"/>
        </w:rPr>
        <w:t>E</w:t>
      </w:r>
      <w:r w:rsidRPr="00950B48">
        <w:rPr>
          <w:lang w:val="en-US"/>
        </w:rPr>
        <w:t>ngineer shall also provide building deformations, including:</w:t>
      </w:r>
    </w:p>
    <w:p w14:paraId="3F71DF67" w14:textId="5E9A1D28" w:rsidR="00753B50" w:rsidRPr="00950B48" w:rsidRDefault="00753B50" w:rsidP="004D55F1">
      <w:pPr>
        <w:pStyle w:val="ListParagraph"/>
        <w:numPr>
          <w:ilvl w:val="0"/>
          <w:numId w:val="16"/>
        </w:numPr>
        <w:rPr>
          <w:lang w:val="en-US"/>
        </w:rPr>
      </w:pPr>
      <w:r w:rsidRPr="00950B48">
        <w:rPr>
          <w:lang w:val="en-US"/>
        </w:rPr>
        <w:t>Building deformation envelopes at relevant locations</w:t>
      </w:r>
      <w:r w:rsidR="002A2129" w:rsidRPr="00950B48">
        <w:rPr>
          <w:lang w:val="en-US"/>
        </w:rPr>
        <w:t xml:space="preserve"> across the floor plan.</w:t>
      </w:r>
    </w:p>
    <w:p w14:paraId="17334B2B" w14:textId="73BE9BB2" w:rsidR="00791A3B" w:rsidRPr="00950B48" w:rsidRDefault="00753B50" w:rsidP="004D55F1">
      <w:pPr>
        <w:pStyle w:val="ListParagraph"/>
        <w:numPr>
          <w:ilvl w:val="0"/>
          <w:numId w:val="16"/>
        </w:numPr>
        <w:rPr>
          <w:lang w:val="en-US"/>
        </w:rPr>
      </w:pPr>
      <w:r w:rsidRPr="00950B48">
        <w:rPr>
          <w:lang w:val="en-US"/>
        </w:rPr>
        <w:t>Interstorey d</w:t>
      </w:r>
      <w:r w:rsidR="00791A3B" w:rsidRPr="00950B48">
        <w:rPr>
          <w:lang w:val="en-US"/>
        </w:rPr>
        <w:t>rifts (by level)</w:t>
      </w:r>
      <w:r w:rsidRPr="00950B48">
        <w:rPr>
          <w:lang w:val="en-US"/>
        </w:rPr>
        <w:t xml:space="preserve"> at relevant locations</w:t>
      </w:r>
      <w:r w:rsidR="00B22052" w:rsidRPr="00950B48">
        <w:rPr>
          <w:lang w:val="en-US"/>
        </w:rPr>
        <w:t xml:space="preserve"> across the floor plan.</w:t>
      </w:r>
    </w:p>
    <w:p w14:paraId="25D7819F" w14:textId="4B36B64F" w:rsidR="00791A3B" w:rsidRPr="00950B48" w:rsidRDefault="00791A3B" w:rsidP="004D55F1">
      <w:pPr>
        <w:pStyle w:val="ListParagraph"/>
        <w:numPr>
          <w:ilvl w:val="0"/>
          <w:numId w:val="16"/>
        </w:numPr>
        <w:rPr>
          <w:lang w:val="en-US"/>
        </w:rPr>
      </w:pPr>
      <w:r w:rsidRPr="00950B48">
        <w:rPr>
          <w:lang w:val="en-US"/>
        </w:rPr>
        <w:t>Deformations over seismic gaps</w:t>
      </w:r>
      <w:r w:rsidR="003D0A45" w:rsidRPr="00950B48">
        <w:rPr>
          <w:lang w:val="en-US"/>
        </w:rPr>
        <w:t>.</w:t>
      </w:r>
    </w:p>
    <w:p w14:paraId="65B32BBD" w14:textId="78C8890A" w:rsidR="00A23498" w:rsidRPr="00950B48" w:rsidRDefault="00A23498" w:rsidP="004D55F1">
      <w:pPr>
        <w:pStyle w:val="ListParagraph"/>
        <w:numPr>
          <w:ilvl w:val="0"/>
          <w:numId w:val="16"/>
        </w:numPr>
        <w:rPr>
          <w:lang w:val="en-US"/>
        </w:rPr>
      </w:pPr>
      <w:r w:rsidRPr="00950B48">
        <w:rPr>
          <w:lang w:val="en-US"/>
        </w:rPr>
        <w:t>Identification of any other building movement</w:t>
      </w:r>
      <w:r w:rsidR="00174D1C" w:rsidRPr="00950B48">
        <w:rPr>
          <w:lang w:val="en-US"/>
        </w:rPr>
        <w:t xml:space="preserve"> joints</w:t>
      </w:r>
      <w:r w:rsidR="00C718A7" w:rsidRPr="00950B48">
        <w:rPr>
          <w:lang w:val="en-US"/>
        </w:rPr>
        <w:t xml:space="preserve"> (including</w:t>
      </w:r>
      <w:r w:rsidRPr="00950B48">
        <w:rPr>
          <w:lang w:val="en-US"/>
        </w:rPr>
        <w:t xml:space="preserve"> isolation or control joints</w:t>
      </w:r>
      <w:r w:rsidR="00C718A7" w:rsidRPr="00950B48">
        <w:rPr>
          <w:lang w:val="en-US"/>
        </w:rPr>
        <w:t>)</w:t>
      </w:r>
      <w:r w:rsidR="00256099" w:rsidRPr="00950B48">
        <w:rPr>
          <w:lang w:val="en-US"/>
        </w:rPr>
        <w:t xml:space="preserve"> or other non-standard deformations that may have relevance</w:t>
      </w:r>
      <w:r w:rsidRPr="00950B48">
        <w:rPr>
          <w:lang w:val="en-US"/>
        </w:rPr>
        <w:t xml:space="preserve"> for NSE design</w:t>
      </w:r>
      <w:r w:rsidR="00041538" w:rsidRPr="00950B48">
        <w:rPr>
          <w:lang w:val="en-US"/>
        </w:rPr>
        <w:t>.</w:t>
      </w:r>
    </w:p>
    <w:p w14:paraId="0DB25E48" w14:textId="796AA64D" w:rsidR="00B665DA" w:rsidRPr="00950B48" w:rsidRDefault="00B665DA" w:rsidP="004D55F1">
      <w:pPr>
        <w:pStyle w:val="ListParagraph"/>
        <w:numPr>
          <w:ilvl w:val="0"/>
          <w:numId w:val="16"/>
        </w:numPr>
        <w:rPr>
          <w:lang w:val="en-US"/>
        </w:rPr>
      </w:pPr>
      <w:r w:rsidRPr="00950B48">
        <w:rPr>
          <w:lang w:val="en-US"/>
        </w:rPr>
        <w:t xml:space="preserve">Graphical presentation of building movements to aid in clarity of interpretation, where </w:t>
      </w:r>
      <w:r w:rsidR="00CA04C4" w:rsidRPr="00950B48">
        <w:rPr>
          <w:lang w:val="en-US"/>
        </w:rPr>
        <w:t xml:space="preserve">deemed </w:t>
      </w:r>
      <w:r w:rsidRPr="00950B48">
        <w:rPr>
          <w:lang w:val="en-US"/>
        </w:rPr>
        <w:t>appropriate.</w:t>
      </w:r>
    </w:p>
    <w:p w14:paraId="457F26C1" w14:textId="1C531DAD" w:rsidR="00BD0A3B" w:rsidRPr="00950B48" w:rsidRDefault="00BD0A3B" w:rsidP="004D55F1">
      <w:pPr>
        <w:pStyle w:val="ListParagraph"/>
        <w:numPr>
          <w:ilvl w:val="0"/>
          <w:numId w:val="16"/>
        </w:numPr>
        <w:rPr>
          <w:lang w:val="en-US"/>
        </w:rPr>
      </w:pPr>
      <w:r w:rsidRPr="00950B48">
        <w:rPr>
          <w:lang w:val="en-US"/>
        </w:rPr>
        <w:t xml:space="preserve">Interpreted building tolerances and clarification on where clearances </w:t>
      </w:r>
      <w:r w:rsidR="00753B50" w:rsidRPr="00950B48">
        <w:rPr>
          <w:lang w:val="en-US"/>
        </w:rPr>
        <w:t>of any sort are intended for construction tolerance, or for movement allowance.</w:t>
      </w:r>
    </w:p>
    <w:p w14:paraId="05D59BC7" w14:textId="717F978D" w:rsidR="00791A3B" w:rsidRPr="00950B48" w:rsidRDefault="00791A3B" w:rsidP="00666E06">
      <w:pPr>
        <w:rPr>
          <w:lang w:val="en-US"/>
        </w:rPr>
      </w:pPr>
      <w:r w:rsidRPr="00950B48">
        <w:rPr>
          <w:lang w:val="en-US"/>
        </w:rPr>
        <w:t>Building vertical deformations (i.e. from gravity) should be provided along with building lateral deformations (i.e. from earthquakes)</w:t>
      </w:r>
      <w:r w:rsidR="00715E99" w:rsidRPr="00950B48">
        <w:rPr>
          <w:lang w:val="en-US"/>
        </w:rPr>
        <w:t xml:space="preserve">, </w:t>
      </w:r>
      <w:r w:rsidR="00A2195F" w:rsidRPr="00950B48">
        <w:rPr>
          <w:lang w:val="en-US"/>
        </w:rPr>
        <w:t xml:space="preserve">sufficiently broken down to communicate </w:t>
      </w:r>
      <w:r w:rsidR="004F52CB" w:rsidRPr="00950B48">
        <w:rPr>
          <w:lang w:val="en-US"/>
        </w:rPr>
        <w:t xml:space="preserve">construction </w:t>
      </w:r>
      <w:r w:rsidR="00A2195F" w:rsidRPr="00950B48">
        <w:rPr>
          <w:lang w:val="en-US"/>
        </w:rPr>
        <w:t xml:space="preserve">sequencing </w:t>
      </w:r>
      <w:r w:rsidR="005E1CE3" w:rsidRPr="00950B48">
        <w:rPr>
          <w:lang w:val="en-US"/>
        </w:rPr>
        <w:t>and tolerance</w:t>
      </w:r>
      <w:r w:rsidR="004F52CB" w:rsidRPr="00950B48">
        <w:rPr>
          <w:lang w:val="en-US"/>
        </w:rPr>
        <w:t xml:space="preserve"> considerations as appropriate</w:t>
      </w:r>
      <w:r w:rsidRPr="00950B48">
        <w:rPr>
          <w:lang w:val="en-US"/>
        </w:rPr>
        <w:t>.</w:t>
      </w:r>
      <w:r w:rsidR="00A62400" w:rsidRPr="00950B48">
        <w:rPr>
          <w:lang w:val="en-US"/>
        </w:rPr>
        <w:t xml:space="preserve"> The BIP NSE CoP</w:t>
      </w:r>
      <w:sdt>
        <w:sdtPr>
          <w:rPr>
            <w:lang w:val="en-US"/>
          </w:rPr>
          <w:id w:val="1240439419"/>
          <w:citation/>
        </w:sdtPr>
        <w:sdtEndPr/>
        <w:sdtContent>
          <w:r w:rsidR="00B64AEA" w:rsidRPr="00950B48">
            <w:rPr>
              <w:lang w:val="en-US"/>
            </w:rPr>
            <w:fldChar w:fldCharType="begin"/>
          </w:r>
          <w:r w:rsidR="004A6DA8">
            <w:rPr>
              <w:lang w:val="en-US"/>
            </w:rPr>
            <w:instrText xml:space="preserve">CITATION BIP24 \l 1033 </w:instrText>
          </w:r>
          <w:r w:rsidR="00B64AEA" w:rsidRPr="00950B48">
            <w:rPr>
              <w:lang w:val="en-US"/>
            </w:rPr>
            <w:fldChar w:fldCharType="separate"/>
          </w:r>
          <w:r w:rsidR="00222D65">
            <w:rPr>
              <w:noProof/>
              <w:lang w:val="en-US"/>
            </w:rPr>
            <w:t xml:space="preserve"> (BIP, BRANZ, 2024)</w:t>
          </w:r>
          <w:r w:rsidR="00B64AEA" w:rsidRPr="00950B48">
            <w:rPr>
              <w:lang w:val="en-US"/>
            </w:rPr>
            <w:fldChar w:fldCharType="end"/>
          </w:r>
        </w:sdtContent>
      </w:sdt>
      <w:r w:rsidR="00A62400" w:rsidRPr="00950B48">
        <w:rPr>
          <w:lang w:val="en-US"/>
        </w:rPr>
        <w:t xml:space="preserve"> </w:t>
      </w:r>
      <w:r w:rsidR="00C0723D" w:rsidRPr="00950B48">
        <w:rPr>
          <w:lang w:val="en-US"/>
        </w:rPr>
        <w:t>has</w:t>
      </w:r>
      <w:r w:rsidR="00A62400" w:rsidRPr="00950B48">
        <w:rPr>
          <w:lang w:val="en-US"/>
        </w:rPr>
        <w:t xml:space="preserve"> additional</w:t>
      </w:r>
      <w:r w:rsidR="00C0723D" w:rsidRPr="00950B48">
        <w:rPr>
          <w:lang w:val="en-US"/>
        </w:rPr>
        <w:t xml:space="preserve"> information</w:t>
      </w:r>
      <w:r w:rsidR="00A62400" w:rsidRPr="00950B48">
        <w:rPr>
          <w:lang w:val="en-US"/>
        </w:rPr>
        <w:t xml:space="preserve"> concerning </w:t>
      </w:r>
      <w:r w:rsidR="00041538" w:rsidRPr="00950B48">
        <w:rPr>
          <w:lang w:val="en-US"/>
        </w:rPr>
        <w:t xml:space="preserve">buildings </w:t>
      </w:r>
      <w:r w:rsidR="00B64AEA" w:rsidRPr="00950B48">
        <w:rPr>
          <w:lang w:val="en-US"/>
        </w:rPr>
        <w:t>movements</w:t>
      </w:r>
      <w:r w:rsidR="00041538" w:rsidRPr="00950B48">
        <w:rPr>
          <w:lang w:val="en-US"/>
        </w:rPr>
        <w:t xml:space="preserve"> relevant for NSE design.</w:t>
      </w:r>
    </w:p>
    <w:p w14:paraId="70AF7E66" w14:textId="1B1B8E7C" w:rsidR="000F7CCB" w:rsidRPr="00950B48" w:rsidRDefault="000F7CCB" w:rsidP="00D56CAE">
      <w:pPr>
        <w:pStyle w:val="BodyHeading"/>
        <w:rPr>
          <w:lang w:val="en-US"/>
        </w:rPr>
      </w:pPr>
      <w:r w:rsidRPr="00950B48">
        <w:rPr>
          <w:lang w:val="en-US"/>
        </w:rPr>
        <w:lastRenderedPageBreak/>
        <w:t xml:space="preserve">Primary </w:t>
      </w:r>
      <w:r w:rsidR="00B141B4" w:rsidRPr="00950B48">
        <w:rPr>
          <w:lang w:val="en-US"/>
        </w:rPr>
        <w:t>s</w:t>
      </w:r>
      <w:r w:rsidRPr="00950B48">
        <w:rPr>
          <w:lang w:val="en-US"/>
        </w:rPr>
        <w:t>tructure</w:t>
      </w:r>
      <w:r w:rsidR="00B141B4" w:rsidRPr="00950B48">
        <w:rPr>
          <w:lang w:val="en-US"/>
        </w:rPr>
        <w:t xml:space="preserve"> a</w:t>
      </w:r>
      <w:r w:rsidRPr="00950B48">
        <w:rPr>
          <w:lang w:val="en-US"/>
        </w:rPr>
        <w:t xml:space="preserve">llowances for </w:t>
      </w:r>
      <w:r w:rsidR="00B141B4" w:rsidRPr="00950B48">
        <w:rPr>
          <w:lang w:val="en-US"/>
        </w:rPr>
        <w:t xml:space="preserve">loading imparted by </w:t>
      </w:r>
      <w:r w:rsidRPr="00950B48">
        <w:rPr>
          <w:lang w:val="en-US"/>
        </w:rPr>
        <w:t>NSE</w:t>
      </w:r>
      <w:r w:rsidR="00841495" w:rsidRPr="00950B48">
        <w:rPr>
          <w:lang w:val="en-US"/>
        </w:rPr>
        <w:t>s</w:t>
      </w:r>
    </w:p>
    <w:p w14:paraId="739F357F" w14:textId="7F388BA6" w:rsidR="007E5666" w:rsidRPr="00950B48" w:rsidRDefault="000A37F4" w:rsidP="00666E06">
      <w:pPr>
        <w:rPr>
          <w:lang w:val="en-US"/>
        </w:rPr>
      </w:pPr>
      <w:r w:rsidRPr="00950B48">
        <w:rPr>
          <w:lang w:val="en-US"/>
        </w:rPr>
        <w:t>S</w:t>
      </w:r>
      <w:r w:rsidR="00645ED0" w:rsidRPr="00950B48">
        <w:rPr>
          <w:lang w:val="en-US"/>
        </w:rPr>
        <w:t>tructural loading plan</w:t>
      </w:r>
      <w:r w:rsidR="0018030F" w:rsidRPr="00950B48">
        <w:rPr>
          <w:lang w:val="en-US"/>
        </w:rPr>
        <w:t>s</w:t>
      </w:r>
      <w:r w:rsidR="00CA0523" w:rsidRPr="00950B48">
        <w:rPr>
          <w:lang w:val="en-US"/>
        </w:rPr>
        <w:t xml:space="preserve"> </w:t>
      </w:r>
      <w:r w:rsidR="009114A5" w:rsidRPr="00950B48">
        <w:rPr>
          <w:lang w:val="en-US"/>
        </w:rPr>
        <w:t>should</w:t>
      </w:r>
      <w:r w:rsidR="00CA0523" w:rsidRPr="00950B48">
        <w:rPr>
          <w:lang w:val="en-US"/>
        </w:rPr>
        <w:t xml:space="preserve"> be </w:t>
      </w:r>
      <w:r w:rsidR="00EB228A" w:rsidRPr="00950B48">
        <w:rPr>
          <w:lang w:val="en-US"/>
        </w:rPr>
        <w:t xml:space="preserve">included </w:t>
      </w:r>
      <w:r w:rsidR="00C83A2D" w:rsidRPr="00950B48">
        <w:rPr>
          <w:lang w:val="en-US"/>
        </w:rPr>
        <w:t xml:space="preserve">as </w:t>
      </w:r>
      <w:r w:rsidR="00F61830" w:rsidRPr="00950B48">
        <w:rPr>
          <w:lang w:val="en-US"/>
        </w:rPr>
        <w:t xml:space="preserve">part of </w:t>
      </w:r>
      <w:r w:rsidR="00C83A2D" w:rsidRPr="00950B48">
        <w:rPr>
          <w:lang w:val="en-US"/>
        </w:rPr>
        <w:t xml:space="preserve">2D </w:t>
      </w:r>
      <w:r w:rsidR="00F61830" w:rsidRPr="00950B48">
        <w:rPr>
          <w:lang w:val="en-US"/>
        </w:rPr>
        <w:t>d</w:t>
      </w:r>
      <w:r w:rsidR="000B7665" w:rsidRPr="00950B48">
        <w:rPr>
          <w:lang w:val="en-US"/>
        </w:rPr>
        <w:t>rawing</w:t>
      </w:r>
      <w:r w:rsidR="00F61830" w:rsidRPr="00950B48">
        <w:rPr>
          <w:lang w:val="en-US"/>
        </w:rPr>
        <w:t xml:space="preserve"> documentation deliverables</w:t>
      </w:r>
      <w:r w:rsidR="0018030F" w:rsidRPr="00950B48">
        <w:rPr>
          <w:lang w:val="en-US"/>
        </w:rPr>
        <w:t>—reflect</w:t>
      </w:r>
      <w:r w:rsidRPr="00950B48">
        <w:rPr>
          <w:lang w:val="en-US"/>
        </w:rPr>
        <w:t>ing</w:t>
      </w:r>
      <w:r w:rsidR="0018030F" w:rsidRPr="00950B48">
        <w:rPr>
          <w:lang w:val="en-US"/>
        </w:rPr>
        <w:t xml:space="preserve"> the requirements of the </w:t>
      </w:r>
      <w:r w:rsidR="00965BB4" w:rsidRPr="00950B48">
        <w:rPr>
          <w:lang w:val="en-US"/>
        </w:rPr>
        <w:t xml:space="preserve">Loadings Standard </w:t>
      </w:r>
      <w:r w:rsidR="00897706" w:rsidRPr="00950B48">
        <w:rPr>
          <w:lang w:val="en-US"/>
        </w:rPr>
        <w:t>AS/</w:t>
      </w:r>
      <w:r w:rsidR="00965BB4" w:rsidRPr="00950B48">
        <w:rPr>
          <w:lang w:val="en-US"/>
        </w:rPr>
        <w:t>NZS 1170.1:2002</w:t>
      </w:r>
      <w:r w:rsidR="008645A8" w:rsidRPr="00950B48">
        <w:rPr>
          <w:i/>
          <w:iCs/>
          <w:lang w:val="en-US"/>
        </w:rPr>
        <w:t xml:space="preserve"> Permanent, imposed and other actions</w:t>
      </w:r>
      <w:r w:rsidR="00F61830" w:rsidRPr="00950B48">
        <w:rPr>
          <w:lang w:val="en-US"/>
        </w:rPr>
        <w:t>.</w:t>
      </w:r>
    </w:p>
    <w:p w14:paraId="5B1DC2C6" w14:textId="275119E5" w:rsidR="00841495" w:rsidRPr="00950B48" w:rsidRDefault="00BC0558" w:rsidP="00666E06">
      <w:pPr>
        <w:rPr>
          <w:lang w:val="en-US"/>
        </w:rPr>
      </w:pPr>
      <w:r w:rsidRPr="00950B48">
        <w:rPr>
          <w:lang w:val="en-US"/>
        </w:rPr>
        <w:t>L</w:t>
      </w:r>
      <w:r w:rsidR="000D5533" w:rsidRPr="00950B48">
        <w:rPr>
          <w:lang w:val="en-US"/>
        </w:rPr>
        <w:t xml:space="preserve">oading plans </w:t>
      </w:r>
      <w:r w:rsidR="00901885" w:rsidRPr="00950B48">
        <w:rPr>
          <w:lang w:val="en-US"/>
        </w:rPr>
        <w:t>should</w:t>
      </w:r>
      <w:r w:rsidR="000D5533" w:rsidRPr="00950B48">
        <w:rPr>
          <w:lang w:val="en-US"/>
        </w:rPr>
        <w:t xml:space="preserve"> </w:t>
      </w:r>
      <w:r w:rsidR="006B37EF" w:rsidRPr="00950B48">
        <w:rPr>
          <w:lang w:val="en-US"/>
        </w:rPr>
        <w:t xml:space="preserve">reflect </w:t>
      </w:r>
      <w:r w:rsidR="00780C68" w:rsidRPr="00950B48">
        <w:rPr>
          <w:lang w:val="en-US"/>
        </w:rPr>
        <w:t>allowances</w:t>
      </w:r>
      <w:r w:rsidR="0045447B" w:rsidRPr="00950B48">
        <w:rPr>
          <w:lang w:val="en-US"/>
        </w:rPr>
        <w:t xml:space="preserve"> made</w:t>
      </w:r>
      <w:r w:rsidR="00780C68" w:rsidRPr="00950B48">
        <w:rPr>
          <w:lang w:val="en-US"/>
        </w:rPr>
        <w:t xml:space="preserve"> for </w:t>
      </w:r>
      <w:r w:rsidR="00B61285" w:rsidRPr="00950B48">
        <w:rPr>
          <w:lang w:val="en-US"/>
        </w:rPr>
        <w:t>permanent actions</w:t>
      </w:r>
      <w:r w:rsidR="00780C68" w:rsidRPr="00950B48">
        <w:rPr>
          <w:lang w:val="en-US"/>
        </w:rPr>
        <w:t xml:space="preserve"> </w:t>
      </w:r>
      <w:r w:rsidR="0045447B" w:rsidRPr="00950B48">
        <w:rPr>
          <w:lang w:val="en-US"/>
        </w:rPr>
        <w:t xml:space="preserve">(G) </w:t>
      </w:r>
      <w:r w:rsidR="00901885" w:rsidRPr="00950B48">
        <w:rPr>
          <w:lang w:val="en-US"/>
        </w:rPr>
        <w:t xml:space="preserve">beyond the </w:t>
      </w:r>
      <w:r w:rsidR="001429E6" w:rsidRPr="00950B48">
        <w:rPr>
          <w:lang w:val="en-US"/>
        </w:rPr>
        <w:t>self-weight of documented structure</w:t>
      </w:r>
      <w:r w:rsidR="0052050B" w:rsidRPr="00950B48">
        <w:rPr>
          <w:lang w:val="en-US"/>
        </w:rPr>
        <w:t xml:space="preserve">, usually </w:t>
      </w:r>
      <w:r w:rsidR="00AA5AE7" w:rsidRPr="00950B48">
        <w:rPr>
          <w:lang w:val="en-US"/>
        </w:rPr>
        <w:t>referred to as Super</w:t>
      </w:r>
      <w:r w:rsidR="00066BAB" w:rsidRPr="00950B48">
        <w:rPr>
          <w:lang w:val="en-US"/>
        </w:rPr>
        <w:t>-imposed Dead Load (SDL). This includes</w:t>
      </w:r>
      <w:r w:rsidR="00D771F0" w:rsidRPr="00950B48">
        <w:rPr>
          <w:lang w:val="en-US"/>
        </w:rPr>
        <w:t xml:space="preserve"> </w:t>
      </w:r>
      <w:r w:rsidR="00724906" w:rsidRPr="00950B48">
        <w:rPr>
          <w:lang w:val="en-US"/>
        </w:rPr>
        <w:t xml:space="preserve">non-structural floor finishes, </w:t>
      </w:r>
      <w:r w:rsidR="00D771F0" w:rsidRPr="00950B48">
        <w:rPr>
          <w:lang w:val="en-US"/>
        </w:rPr>
        <w:t xml:space="preserve">screeds </w:t>
      </w:r>
      <w:r w:rsidR="00724906" w:rsidRPr="00950B48">
        <w:rPr>
          <w:lang w:val="en-US"/>
        </w:rPr>
        <w:t xml:space="preserve">and plinths, </w:t>
      </w:r>
      <w:r w:rsidR="00D771F0" w:rsidRPr="00950B48">
        <w:rPr>
          <w:lang w:val="en-US"/>
        </w:rPr>
        <w:t>and permanent fix</w:t>
      </w:r>
      <w:r w:rsidR="00CC3A66" w:rsidRPr="00950B48">
        <w:rPr>
          <w:lang w:val="en-US"/>
        </w:rPr>
        <w:t>tures</w:t>
      </w:r>
      <w:r w:rsidR="007652F7" w:rsidRPr="00950B48">
        <w:rPr>
          <w:lang w:val="en-US"/>
        </w:rPr>
        <w:t xml:space="preserve"> such </w:t>
      </w:r>
      <w:r w:rsidR="18ED3D5E" w:rsidRPr="00950B48">
        <w:rPr>
          <w:lang w:val="en-US"/>
        </w:rPr>
        <w:t xml:space="preserve">as </w:t>
      </w:r>
      <w:r w:rsidR="007652F7" w:rsidRPr="00950B48">
        <w:rPr>
          <w:lang w:val="en-US"/>
        </w:rPr>
        <w:t xml:space="preserve">fixed partitions and fixed </w:t>
      </w:r>
      <w:r w:rsidR="002A4904" w:rsidRPr="00950B48">
        <w:rPr>
          <w:lang w:val="en-US"/>
        </w:rPr>
        <w:t xml:space="preserve">reticulated </w:t>
      </w:r>
      <w:r w:rsidR="007652F7" w:rsidRPr="00950B48">
        <w:rPr>
          <w:lang w:val="en-US"/>
        </w:rPr>
        <w:t>services</w:t>
      </w:r>
      <w:r w:rsidR="007E3A63" w:rsidRPr="00950B48">
        <w:rPr>
          <w:lang w:val="en-US"/>
        </w:rPr>
        <w:t>. T</w:t>
      </w:r>
      <w:r w:rsidR="00816E3D" w:rsidRPr="00950B48">
        <w:rPr>
          <w:lang w:val="en-US"/>
        </w:rPr>
        <w:t xml:space="preserve">he loading plans should preferably provide clarity as to the proportion of SDL assigned </w:t>
      </w:r>
      <w:r w:rsidR="007E3A63" w:rsidRPr="00950B48">
        <w:rPr>
          <w:lang w:val="en-US"/>
        </w:rPr>
        <w:t xml:space="preserve">to </w:t>
      </w:r>
      <w:r w:rsidR="000E2871" w:rsidRPr="00950B48">
        <w:rPr>
          <w:lang w:val="en-US"/>
        </w:rPr>
        <w:t xml:space="preserve">each of </w:t>
      </w:r>
      <w:r w:rsidR="00863DA8" w:rsidRPr="00950B48">
        <w:rPr>
          <w:lang w:val="en-US"/>
        </w:rPr>
        <w:t>these broad categories</w:t>
      </w:r>
      <w:r w:rsidR="00281463" w:rsidRPr="00950B48">
        <w:rPr>
          <w:lang w:val="en-US"/>
        </w:rPr>
        <w:t xml:space="preserve"> (</w:t>
      </w:r>
      <w:r w:rsidR="007E3A63" w:rsidRPr="00950B48">
        <w:rPr>
          <w:lang w:val="en-US"/>
        </w:rPr>
        <w:t>to the extent practical</w:t>
      </w:r>
      <w:r w:rsidR="00281463" w:rsidRPr="00950B48">
        <w:rPr>
          <w:lang w:val="en-US"/>
        </w:rPr>
        <w:t>)</w:t>
      </w:r>
      <w:r w:rsidR="007652F7" w:rsidRPr="00950B48">
        <w:rPr>
          <w:lang w:val="en-US"/>
        </w:rPr>
        <w:t>.</w:t>
      </w:r>
      <w:r w:rsidR="00765B6E" w:rsidRPr="00950B48">
        <w:rPr>
          <w:lang w:val="en-US"/>
        </w:rPr>
        <w:t xml:space="preserve"> </w:t>
      </w:r>
      <w:r w:rsidR="00765B6E" w:rsidRPr="00950B48">
        <w:t>For the avoidance of ambiguity, documentation should clearly convey where part of the Superimposed Dead Load allowance as stated on the structural loading plans applies to components which are already shown on the structural drawings (such as screeds or wear slabs where these are shown on structural documents).</w:t>
      </w:r>
    </w:p>
    <w:p w14:paraId="3F0138D6" w14:textId="6DBDF41B" w:rsidR="00A43311" w:rsidRPr="00950B48" w:rsidRDefault="00281463" w:rsidP="00666E06">
      <w:pPr>
        <w:rPr>
          <w:lang w:val="en-US"/>
        </w:rPr>
      </w:pPr>
      <w:r w:rsidRPr="00950B48">
        <w:rPr>
          <w:lang w:val="en-US"/>
        </w:rPr>
        <w:t xml:space="preserve">Loading plans should also reflect </w:t>
      </w:r>
      <w:r w:rsidR="00BD5A9C" w:rsidRPr="00950B48">
        <w:rPr>
          <w:lang w:val="en-US"/>
        </w:rPr>
        <w:t xml:space="preserve">distributed and concentrated </w:t>
      </w:r>
      <w:r w:rsidRPr="00950B48">
        <w:rPr>
          <w:lang w:val="en-US"/>
        </w:rPr>
        <w:t xml:space="preserve">allowances </w:t>
      </w:r>
      <w:r w:rsidR="00A369F1" w:rsidRPr="00950B48">
        <w:rPr>
          <w:lang w:val="en-US"/>
        </w:rPr>
        <w:t>for Imposed Actions (Q)</w:t>
      </w:r>
      <w:r w:rsidR="00B24BD7" w:rsidRPr="00950B48">
        <w:rPr>
          <w:lang w:val="en-US"/>
        </w:rPr>
        <w:t xml:space="preserve"> in accordance with </w:t>
      </w:r>
      <w:r w:rsidR="00897706" w:rsidRPr="00950B48">
        <w:rPr>
          <w:lang w:val="en-US"/>
        </w:rPr>
        <w:t>AS/</w:t>
      </w:r>
      <w:r w:rsidR="00B24BD7" w:rsidRPr="00950B48">
        <w:rPr>
          <w:lang w:val="en-US"/>
        </w:rPr>
        <w:t>NZS 1170.1:2002</w:t>
      </w:r>
      <w:r w:rsidR="00F0695F" w:rsidRPr="00950B48">
        <w:rPr>
          <w:lang w:val="en-US"/>
        </w:rPr>
        <w:t xml:space="preserve"> including </w:t>
      </w:r>
      <w:r w:rsidR="008C5290" w:rsidRPr="00950B48">
        <w:rPr>
          <w:lang w:val="en-US"/>
        </w:rPr>
        <w:t xml:space="preserve">equipment and plant and including </w:t>
      </w:r>
      <w:r w:rsidR="00F0695F" w:rsidRPr="00950B48">
        <w:rPr>
          <w:lang w:val="en-US"/>
        </w:rPr>
        <w:t>any specifically calculated</w:t>
      </w:r>
      <w:r w:rsidR="004B39E1" w:rsidRPr="00950B48">
        <w:rPr>
          <w:lang w:val="en-US"/>
        </w:rPr>
        <w:t xml:space="preserve"> allowances.</w:t>
      </w:r>
      <w:r w:rsidR="00221D7D" w:rsidRPr="00950B48">
        <w:rPr>
          <w:lang w:val="en-US"/>
        </w:rPr>
        <w:t xml:space="preserve"> </w:t>
      </w:r>
      <w:r w:rsidR="001E39A8" w:rsidRPr="00950B48">
        <w:rPr>
          <w:lang w:val="en-US"/>
        </w:rPr>
        <w:t>They should</w:t>
      </w:r>
      <w:r w:rsidR="00CF693C" w:rsidRPr="00950B48">
        <w:rPr>
          <w:lang w:val="en-US"/>
        </w:rPr>
        <w:t xml:space="preserve"> identify any specifically allocated transport routes for </w:t>
      </w:r>
      <w:r w:rsidR="008A29E7" w:rsidRPr="00950B48">
        <w:rPr>
          <w:lang w:val="en-US"/>
        </w:rPr>
        <w:t xml:space="preserve">installation, maintenance, or removal of </w:t>
      </w:r>
      <w:r w:rsidR="00CF693C" w:rsidRPr="00950B48">
        <w:rPr>
          <w:lang w:val="en-US"/>
        </w:rPr>
        <w:t>heavy equipment.</w:t>
      </w:r>
    </w:p>
    <w:p w14:paraId="4FAE2FDE" w14:textId="68185064" w:rsidR="00EC0BCE" w:rsidRPr="00950B48" w:rsidRDefault="00502F36" w:rsidP="00666E06">
      <w:pPr>
        <w:rPr>
          <w:lang w:val="en-US"/>
        </w:rPr>
      </w:pPr>
      <w:r w:rsidRPr="00950B48">
        <w:rPr>
          <w:lang w:val="en-US"/>
        </w:rPr>
        <w:t>It is important to recogni</w:t>
      </w:r>
      <w:r w:rsidR="009F46D6">
        <w:rPr>
          <w:lang w:val="en-US"/>
        </w:rPr>
        <w:t>s</w:t>
      </w:r>
      <w:r w:rsidRPr="00950B48">
        <w:rPr>
          <w:lang w:val="en-US"/>
        </w:rPr>
        <w:t xml:space="preserve">e that </w:t>
      </w:r>
      <w:r w:rsidR="00D7254D" w:rsidRPr="00950B48">
        <w:rPr>
          <w:lang w:val="en-US"/>
        </w:rPr>
        <w:t xml:space="preserve">the </w:t>
      </w:r>
      <w:r w:rsidR="00C20133" w:rsidRPr="00950B48">
        <w:rPr>
          <w:lang w:val="en-US"/>
        </w:rPr>
        <w:t>AS/</w:t>
      </w:r>
      <w:r w:rsidR="00D7254D" w:rsidRPr="00950B48">
        <w:rPr>
          <w:lang w:val="en-US"/>
        </w:rPr>
        <w:t>NZS 1170.1</w:t>
      </w:r>
      <w:r w:rsidR="008B42B1" w:rsidRPr="00950B48">
        <w:rPr>
          <w:lang w:val="en-US"/>
        </w:rPr>
        <w:t xml:space="preserve"> reference values for Q </w:t>
      </w:r>
      <w:r w:rsidR="00372CA6" w:rsidRPr="00950B48">
        <w:rPr>
          <w:lang w:val="en-US"/>
        </w:rPr>
        <w:t>represent</w:t>
      </w:r>
      <w:r w:rsidR="00650F1E" w:rsidRPr="00950B48">
        <w:rPr>
          <w:lang w:val="en-US"/>
        </w:rPr>
        <w:t xml:space="preserve"> the gravity </w:t>
      </w:r>
      <w:r w:rsidR="005B219F" w:rsidRPr="00950B48">
        <w:rPr>
          <w:lang w:val="en-US"/>
        </w:rPr>
        <w:t>action</w:t>
      </w:r>
      <w:r w:rsidR="00650F1E" w:rsidRPr="00950B48">
        <w:rPr>
          <w:lang w:val="en-US"/>
        </w:rPr>
        <w:t xml:space="preserve"> of </w:t>
      </w:r>
      <w:r w:rsidR="00416904" w:rsidRPr="00950B48">
        <w:rPr>
          <w:lang w:val="en-US"/>
        </w:rPr>
        <w:t>permanent and imposed loading</w:t>
      </w:r>
      <w:r w:rsidR="004E575F" w:rsidRPr="00950B48">
        <w:rPr>
          <w:lang w:val="en-US"/>
        </w:rPr>
        <w:t>—</w:t>
      </w:r>
      <w:r w:rsidR="001C4356" w:rsidRPr="00950B48">
        <w:rPr>
          <w:lang w:val="en-US"/>
        </w:rPr>
        <w:t>which</w:t>
      </w:r>
      <w:r w:rsidR="00F00742" w:rsidRPr="00950B48">
        <w:rPr>
          <w:lang w:val="en-US"/>
        </w:rPr>
        <w:t xml:space="preserve"> is </w:t>
      </w:r>
      <w:r w:rsidR="00D91D49" w:rsidRPr="00950B48">
        <w:rPr>
          <w:lang w:val="en-US"/>
        </w:rPr>
        <w:t>appropriate</w:t>
      </w:r>
      <w:r w:rsidR="00D17ABE" w:rsidRPr="00950B48">
        <w:rPr>
          <w:lang w:val="en-US"/>
        </w:rPr>
        <w:t xml:space="preserve"> for </w:t>
      </w:r>
      <w:r w:rsidR="009C2523" w:rsidRPr="00950B48">
        <w:rPr>
          <w:lang w:val="en-US"/>
        </w:rPr>
        <w:t>traditional documented loading plans</w:t>
      </w:r>
      <w:r w:rsidR="00E728B4" w:rsidRPr="00950B48">
        <w:rPr>
          <w:lang w:val="en-US"/>
        </w:rPr>
        <w:t xml:space="preserve">. </w:t>
      </w:r>
      <w:r w:rsidR="00D91D49" w:rsidRPr="00950B48">
        <w:rPr>
          <w:lang w:val="en-US"/>
        </w:rPr>
        <w:t xml:space="preserve">However, </w:t>
      </w:r>
      <w:r w:rsidR="002F3974" w:rsidRPr="00950B48">
        <w:rPr>
          <w:lang w:val="en-US"/>
        </w:rPr>
        <w:t xml:space="preserve">the allowances within NZS 1170.1 </w:t>
      </w:r>
      <w:r w:rsidR="00E728B4" w:rsidRPr="00950B48">
        <w:rPr>
          <w:lang w:val="en-US"/>
        </w:rPr>
        <w:t>do</w:t>
      </w:r>
      <w:r w:rsidR="00416904" w:rsidRPr="00950B48">
        <w:rPr>
          <w:lang w:val="en-US"/>
        </w:rPr>
        <w:t xml:space="preserve"> not </w:t>
      </w:r>
      <w:r w:rsidR="005F3C2A" w:rsidRPr="00950B48">
        <w:rPr>
          <w:lang w:val="en-US"/>
        </w:rPr>
        <w:t xml:space="preserve">necessarily </w:t>
      </w:r>
      <w:r w:rsidR="00416904" w:rsidRPr="00950B48">
        <w:rPr>
          <w:lang w:val="en-US"/>
        </w:rPr>
        <w:t xml:space="preserve">represent practical allowances </w:t>
      </w:r>
      <w:r w:rsidR="005B5786" w:rsidRPr="00950B48">
        <w:rPr>
          <w:lang w:val="en-US"/>
        </w:rPr>
        <w:t xml:space="preserve">for </w:t>
      </w:r>
      <w:r w:rsidR="001F40F0" w:rsidRPr="00950B48">
        <w:rPr>
          <w:lang w:val="en-US"/>
        </w:rPr>
        <w:t xml:space="preserve">concentrated </w:t>
      </w:r>
      <w:r w:rsidR="005B5786" w:rsidRPr="00950B48">
        <w:rPr>
          <w:lang w:val="en-US"/>
        </w:rPr>
        <w:t xml:space="preserve">loading imparted by the </w:t>
      </w:r>
      <w:r w:rsidR="00F70989" w:rsidRPr="00950B48">
        <w:rPr>
          <w:lang w:val="en-US"/>
        </w:rPr>
        <w:t>NSE restraints under seismic actions</w:t>
      </w:r>
      <w:r w:rsidR="00C97360" w:rsidRPr="00950B48">
        <w:rPr>
          <w:lang w:val="en-US"/>
        </w:rPr>
        <w:t>, especially for larger items</w:t>
      </w:r>
      <w:r w:rsidR="005B5786" w:rsidRPr="00950B48">
        <w:rPr>
          <w:lang w:val="en-US"/>
        </w:rPr>
        <w:t>.</w:t>
      </w:r>
      <w:r w:rsidR="00D91D49" w:rsidRPr="00950B48">
        <w:rPr>
          <w:lang w:val="en-US"/>
        </w:rPr>
        <w:t xml:space="preserve"> </w:t>
      </w:r>
    </w:p>
    <w:p w14:paraId="4EB98637" w14:textId="287EDF11" w:rsidR="005E3D1F" w:rsidRPr="00950B48" w:rsidRDefault="005E3D1F" w:rsidP="00666E06">
      <w:pPr>
        <w:rPr>
          <w:lang w:val="en-US"/>
        </w:rPr>
      </w:pPr>
      <w:r w:rsidRPr="00950B48">
        <w:rPr>
          <w:lang w:val="en-US"/>
        </w:rPr>
        <w:t xml:space="preserve">Section </w:t>
      </w:r>
      <w:r w:rsidR="00FF7CB9" w:rsidRPr="00950B48">
        <w:rPr>
          <w:lang w:val="en-US"/>
        </w:rPr>
        <w:fldChar w:fldCharType="begin"/>
      </w:r>
      <w:r w:rsidR="00FF7CB9" w:rsidRPr="00950B48">
        <w:rPr>
          <w:lang w:val="en-US"/>
        </w:rPr>
        <w:instrText xml:space="preserve"> REF _Ref152568304 \r \h </w:instrText>
      </w:r>
      <w:r w:rsidR="00950B48">
        <w:rPr>
          <w:lang w:val="en-US"/>
        </w:rPr>
        <w:instrText xml:space="preserve"> \* MERGEFORMAT </w:instrText>
      </w:r>
      <w:r w:rsidR="00FF7CB9" w:rsidRPr="00950B48">
        <w:rPr>
          <w:lang w:val="en-US"/>
        </w:rPr>
      </w:r>
      <w:r w:rsidR="00FF7CB9" w:rsidRPr="00950B48">
        <w:rPr>
          <w:lang w:val="en-US"/>
        </w:rPr>
        <w:fldChar w:fldCharType="separate"/>
      </w:r>
      <w:r w:rsidR="000761C1">
        <w:rPr>
          <w:lang w:val="en-US"/>
        </w:rPr>
        <w:t>C4.2.6</w:t>
      </w:r>
      <w:r w:rsidR="00FF7CB9" w:rsidRPr="00950B48">
        <w:rPr>
          <w:lang w:val="en-US"/>
        </w:rPr>
        <w:fldChar w:fldCharType="end"/>
      </w:r>
      <w:r w:rsidR="00FF7CB9" w:rsidRPr="00950B48">
        <w:rPr>
          <w:lang w:val="en-US"/>
        </w:rPr>
        <w:t xml:space="preserve"> </w:t>
      </w:r>
      <w:r w:rsidR="008B4ADA" w:rsidRPr="00950B48">
        <w:rPr>
          <w:lang w:val="en-US"/>
        </w:rPr>
        <w:t>contains</w:t>
      </w:r>
      <w:r w:rsidR="00FF7CB9" w:rsidRPr="00950B48">
        <w:rPr>
          <w:lang w:val="en-US"/>
        </w:rPr>
        <w:t xml:space="preserve"> </w:t>
      </w:r>
      <w:r w:rsidR="00480188" w:rsidRPr="00950B48">
        <w:t>r</w:t>
      </w:r>
      <w:r w:rsidR="007E1FCE" w:rsidRPr="00950B48">
        <w:t>equirement</w:t>
      </w:r>
      <w:r w:rsidR="00480188" w:rsidRPr="00950B48">
        <w:t>s</w:t>
      </w:r>
      <w:r w:rsidR="007E1FCE" w:rsidRPr="00950B48">
        <w:t xml:space="preserve"> </w:t>
      </w:r>
      <w:r w:rsidR="00347118" w:rsidRPr="00950B48">
        <w:t>for</w:t>
      </w:r>
      <w:r w:rsidR="007E1FCE" w:rsidRPr="00950B48">
        <w:t xml:space="preserve"> primary structural horizontal systems </w:t>
      </w:r>
      <w:r w:rsidR="00BD62E2" w:rsidRPr="00950B48">
        <w:t>to be</w:t>
      </w:r>
      <w:r w:rsidR="007E1FCE" w:rsidRPr="00950B48">
        <w:t xml:space="preserve"> sufficiently robust to allow for the direct fixing of well distributed, lighter-weight NSE’s without placing significant constraints on the placement of these NSE elements or their restraints</w:t>
      </w:r>
      <w:r w:rsidR="00007BDB" w:rsidRPr="00950B48">
        <w:t xml:space="preserve">. </w:t>
      </w:r>
      <w:r w:rsidR="00EC137A" w:rsidRPr="00950B48">
        <w:t xml:space="preserve">This includes </w:t>
      </w:r>
      <w:r w:rsidR="00FD2207" w:rsidRPr="00950B48">
        <w:t xml:space="preserve">expectations for a </w:t>
      </w:r>
      <w:r w:rsidR="003E6681" w:rsidRPr="00950B48">
        <w:t>process for more highly loaded areas</w:t>
      </w:r>
      <w:r w:rsidR="001D7B09" w:rsidRPr="00950B48">
        <w:t xml:space="preserve"> to</w:t>
      </w:r>
      <w:r w:rsidRPr="00950B48">
        <w:rPr>
          <w:lang w:val="en-US"/>
        </w:rPr>
        <w:t xml:space="preserve"> resolv</w:t>
      </w:r>
      <w:r w:rsidR="001D7B09" w:rsidRPr="00950B48">
        <w:rPr>
          <w:lang w:val="en-US"/>
        </w:rPr>
        <w:t>e</w:t>
      </w:r>
      <w:r w:rsidRPr="00950B48">
        <w:rPr>
          <w:lang w:val="en-US"/>
        </w:rPr>
        <w:t xml:space="preserve"> restraint actions via more detailed specific calculations</w:t>
      </w:r>
      <w:r w:rsidR="00A43953">
        <w:rPr>
          <w:lang w:val="en-US"/>
        </w:rPr>
        <w:t xml:space="preserve">. </w:t>
      </w:r>
    </w:p>
    <w:p w14:paraId="0AE7A777" w14:textId="78E919F0" w:rsidR="00BF00BE" w:rsidRPr="00950B48" w:rsidRDefault="002475E6" w:rsidP="00666E06">
      <w:pPr>
        <w:rPr>
          <w:lang w:val="en-US"/>
        </w:rPr>
      </w:pPr>
      <w:r w:rsidRPr="00950B48">
        <w:rPr>
          <w:lang w:val="en-US"/>
        </w:rPr>
        <w:t xml:space="preserve">The </w:t>
      </w:r>
      <w:r w:rsidR="00626816" w:rsidRPr="00950B48">
        <w:rPr>
          <w:i/>
          <w:iCs/>
          <w:lang w:val="en-US"/>
        </w:rPr>
        <w:t>Building Movement, Acceleration and Loading Report</w:t>
      </w:r>
      <w:r w:rsidR="001922DF" w:rsidRPr="00950B48">
        <w:rPr>
          <w:i/>
          <w:iCs/>
          <w:lang w:val="en-US"/>
        </w:rPr>
        <w:t xml:space="preserve"> for NSE</w:t>
      </w:r>
      <w:r w:rsidR="007D2039" w:rsidRPr="00950B48">
        <w:rPr>
          <w:lang w:val="en-US"/>
        </w:rPr>
        <w:t xml:space="preserve"> should </w:t>
      </w:r>
      <w:r w:rsidR="00395A7F" w:rsidRPr="00950B48">
        <w:rPr>
          <w:lang w:val="en-US"/>
        </w:rPr>
        <w:t xml:space="preserve">include specific information that records </w:t>
      </w:r>
      <w:r w:rsidR="00D31685" w:rsidRPr="00950B48">
        <w:rPr>
          <w:lang w:val="en-US"/>
        </w:rPr>
        <w:t>the</w:t>
      </w:r>
      <w:r w:rsidR="004E3F39" w:rsidRPr="00950B48">
        <w:rPr>
          <w:lang w:val="en-US"/>
        </w:rPr>
        <w:t xml:space="preserve"> </w:t>
      </w:r>
      <w:r w:rsidR="00D57706" w:rsidRPr="00950B48">
        <w:rPr>
          <w:lang w:val="en-US"/>
        </w:rPr>
        <w:t>generali</w:t>
      </w:r>
      <w:r w:rsidR="009F46D6">
        <w:rPr>
          <w:lang w:val="en-US"/>
        </w:rPr>
        <w:t>s</w:t>
      </w:r>
      <w:r w:rsidR="00D57706" w:rsidRPr="00950B48">
        <w:rPr>
          <w:lang w:val="en-US"/>
        </w:rPr>
        <w:t>ed</w:t>
      </w:r>
      <w:r w:rsidR="00D31685" w:rsidRPr="00950B48">
        <w:rPr>
          <w:lang w:val="en-US"/>
        </w:rPr>
        <w:t xml:space="preserve"> allowances that have been made for the </w:t>
      </w:r>
      <w:r w:rsidR="003275F4" w:rsidRPr="00950B48">
        <w:rPr>
          <w:lang w:val="en-US"/>
        </w:rPr>
        <w:t>elevated concentrated loading from seismic restraint</w:t>
      </w:r>
      <w:r w:rsidR="00BF00BE" w:rsidRPr="00950B48">
        <w:rPr>
          <w:lang w:val="en-US"/>
        </w:rPr>
        <w:t xml:space="preserve"> of NSEs</w:t>
      </w:r>
      <w:r w:rsidR="00242643" w:rsidRPr="00950B48">
        <w:rPr>
          <w:lang w:val="en-US"/>
        </w:rPr>
        <w:t xml:space="preserve"> to floors, soffits and</w:t>
      </w:r>
      <w:r w:rsidR="00E64E0C" w:rsidRPr="00950B48">
        <w:rPr>
          <w:lang w:val="en-US"/>
        </w:rPr>
        <w:t xml:space="preserve"> primary structural framing (where applicable)</w:t>
      </w:r>
      <w:r w:rsidR="00BF00BE" w:rsidRPr="00950B48">
        <w:rPr>
          <w:lang w:val="en-US"/>
        </w:rPr>
        <w:t>.</w:t>
      </w:r>
      <w:r w:rsidR="004E3F39" w:rsidRPr="00950B48">
        <w:rPr>
          <w:lang w:val="en-US"/>
        </w:rPr>
        <w:t xml:space="preserve"> These allowances should reflect </w:t>
      </w:r>
      <w:r w:rsidR="00D77CE8" w:rsidRPr="00950B48">
        <w:rPr>
          <w:lang w:val="en-US"/>
        </w:rPr>
        <w:t>the capacit</w:t>
      </w:r>
      <w:r w:rsidR="0050756D" w:rsidRPr="00950B48">
        <w:rPr>
          <w:lang w:val="en-US"/>
        </w:rPr>
        <w:t>ies</w:t>
      </w:r>
      <w:r w:rsidR="00F46B61" w:rsidRPr="00950B48">
        <w:rPr>
          <w:lang w:val="en-US"/>
        </w:rPr>
        <w:t xml:space="preserve"> that have been </w:t>
      </w:r>
      <w:r w:rsidR="005C37F3" w:rsidRPr="00950B48">
        <w:rPr>
          <w:lang w:val="en-US"/>
        </w:rPr>
        <w:t>coordinated and agree</w:t>
      </w:r>
      <w:r w:rsidR="00687E50" w:rsidRPr="00950B48">
        <w:rPr>
          <w:lang w:val="en-US"/>
        </w:rPr>
        <w:t xml:space="preserve">d as part of the NSE </w:t>
      </w:r>
      <w:r w:rsidR="009A12A3" w:rsidRPr="00950B48">
        <w:rPr>
          <w:lang w:val="en-US"/>
        </w:rPr>
        <w:t>seismic</w:t>
      </w:r>
      <w:r w:rsidR="00687E50" w:rsidRPr="00950B48">
        <w:rPr>
          <w:lang w:val="en-US"/>
        </w:rPr>
        <w:t xml:space="preserve"> design process</w:t>
      </w:r>
      <w:r w:rsidR="000E2D66" w:rsidRPr="00950B48">
        <w:rPr>
          <w:lang w:val="en-US"/>
        </w:rPr>
        <w:t xml:space="preserve">—and should reflect the </w:t>
      </w:r>
      <w:r w:rsidR="001C1A4D" w:rsidRPr="00950B48">
        <w:rPr>
          <w:lang w:val="en-US"/>
        </w:rPr>
        <w:t xml:space="preserve">general capacity of </w:t>
      </w:r>
      <w:r w:rsidR="000149AA" w:rsidRPr="00950B48">
        <w:rPr>
          <w:lang w:val="en-US"/>
        </w:rPr>
        <w:t xml:space="preserve">most common </w:t>
      </w:r>
      <w:r w:rsidR="00B43A5D" w:rsidRPr="00950B48">
        <w:rPr>
          <w:lang w:val="en-US"/>
        </w:rPr>
        <w:t>floor</w:t>
      </w:r>
      <w:r w:rsidR="000149AA" w:rsidRPr="00950B48">
        <w:rPr>
          <w:lang w:val="en-US"/>
        </w:rPr>
        <w:t xml:space="preserve"> types</w:t>
      </w:r>
      <w:r w:rsidR="00B43A5D" w:rsidRPr="00950B48">
        <w:rPr>
          <w:lang w:val="en-US"/>
        </w:rPr>
        <w:t xml:space="preserve"> (for example) to resist significantly higher </w:t>
      </w:r>
      <w:r w:rsidR="000149AA" w:rsidRPr="00950B48">
        <w:rPr>
          <w:lang w:val="en-US"/>
        </w:rPr>
        <w:t xml:space="preserve">points loads than those stipulated by </w:t>
      </w:r>
      <w:r w:rsidR="00C20133" w:rsidRPr="00950B48">
        <w:rPr>
          <w:lang w:val="en-US"/>
        </w:rPr>
        <w:t>AS/</w:t>
      </w:r>
      <w:r w:rsidR="00D82AF3" w:rsidRPr="00950B48">
        <w:rPr>
          <w:lang w:val="en-US"/>
        </w:rPr>
        <w:t>NZS 1170.1:2002.</w:t>
      </w:r>
    </w:p>
    <w:p w14:paraId="3433AD43" w14:textId="0CD3751E" w:rsidR="003D104C" w:rsidRPr="00950B48" w:rsidRDefault="003D104C" w:rsidP="00666E06">
      <w:pPr>
        <w:rPr>
          <w:lang w:val="en-US"/>
        </w:rPr>
      </w:pPr>
      <w:r w:rsidRPr="001B467E">
        <w:rPr>
          <w:b/>
          <w:bCs/>
          <w:lang w:val="en-US"/>
        </w:rPr>
        <w:t xml:space="preserve">Refer to Section </w:t>
      </w:r>
      <w:r w:rsidR="00084F66" w:rsidRPr="001B467E">
        <w:rPr>
          <w:b/>
          <w:bCs/>
          <w:lang w:val="en-US"/>
        </w:rPr>
        <w:fldChar w:fldCharType="begin"/>
      </w:r>
      <w:r w:rsidR="00084F66" w:rsidRPr="001B467E">
        <w:rPr>
          <w:b/>
          <w:bCs/>
          <w:lang w:val="en-US"/>
        </w:rPr>
        <w:instrText xml:space="preserve"> REF _Ref152568304 \r \h </w:instrText>
      </w:r>
      <w:r w:rsidR="00950B48" w:rsidRPr="001B467E">
        <w:rPr>
          <w:b/>
          <w:bCs/>
          <w:lang w:val="en-US"/>
        </w:rPr>
        <w:instrText xml:space="preserve"> \* MERGEFORMAT </w:instrText>
      </w:r>
      <w:r w:rsidR="00084F66" w:rsidRPr="001B467E">
        <w:rPr>
          <w:b/>
          <w:bCs/>
          <w:lang w:val="en-US"/>
        </w:rPr>
      </w:r>
      <w:r w:rsidR="00084F66" w:rsidRPr="001B467E">
        <w:rPr>
          <w:b/>
          <w:bCs/>
          <w:lang w:val="en-US"/>
        </w:rPr>
        <w:fldChar w:fldCharType="separate"/>
      </w:r>
      <w:r w:rsidR="000761C1">
        <w:rPr>
          <w:b/>
          <w:bCs/>
          <w:lang w:val="en-US"/>
        </w:rPr>
        <w:t>C4.2.6</w:t>
      </w:r>
      <w:r w:rsidR="00084F66" w:rsidRPr="001B467E">
        <w:rPr>
          <w:b/>
          <w:bCs/>
          <w:lang w:val="en-US"/>
        </w:rPr>
        <w:fldChar w:fldCharType="end"/>
      </w:r>
      <w:r w:rsidR="00084F66" w:rsidRPr="001B467E">
        <w:rPr>
          <w:b/>
          <w:bCs/>
          <w:lang w:val="en-US"/>
        </w:rPr>
        <w:t xml:space="preserve"> </w:t>
      </w:r>
      <w:r w:rsidR="0016662E" w:rsidRPr="001B467E">
        <w:rPr>
          <w:b/>
          <w:bCs/>
          <w:lang w:val="en-US"/>
        </w:rPr>
        <w:t xml:space="preserve">for further discussion on </w:t>
      </w:r>
      <w:r w:rsidR="00B22A53" w:rsidRPr="001B467E">
        <w:rPr>
          <w:b/>
          <w:bCs/>
          <w:lang w:val="en-US"/>
        </w:rPr>
        <w:t>coordination of the loading interface between</w:t>
      </w:r>
      <w:r w:rsidR="009A12A3" w:rsidRPr="001B467E">
        <w:rPr>
          <w:b/>
          <w:bCs/>
          <w:lang w:val="en-US"/>
        </w:rPr>
        <w:t xml:space="preserve"> the</w:t>
      </w:r>
      <w:r w:rsidR="00B22A53" w:rsidRPr="001B467E">
        <w:rPr>
          <w:b/>
          <w:bCs/>
          <w:lang w:val="en-US"/>
        </w:rPr>
        <w:t xml:space="preserve"> NSE </w:t>
      </w:r>
      <w:r w:rsidR="009A12A3" w:rsidRPr="001B467E">
        <w:rPr>
          <w:b/>
          <w:bCs/>
          <w:lang w:val="en-US"/>
        </w:rPr>
        <w:t>seismic</w:t>
      </w:r>
      <w:r w:rsidR="00B22A53" w:rsidRPr="001B467E">
        <w:rPr>
          <w:b/>
          <w:bCs/>
          <w:lang w:val="en-US"/>
        </w:rPr>
        <w:t xml:space="preserve"> design and </w:t>
      </w:r>
      <w:r w:rsidR="003F5B11" w:rsidRPr="001B467E">
        <w:rPr>
          <w:b/>
          <w:bCs/>
          <w:lang w:val="en-US"/>
        </w:rPr>
        <w:t xml:space="preserve">the </w:t>
      </w:r>
      <w:r w:rsidR="00B22A53" w:rsidRPr="001B467E">
        <w:rPr>
          <w:b/>
          <w:bCs/>
          <w:lang w:val="en-US"/>
        </w:rPr>
        <w:t>primary structure</w:t>
      </w:r>
      <w:r w:rsidR="003F5B11" w:rsidRPr="001B467E">
        <w:rPr>
          <w:b/>
          <w:bCs/>
          <w:lang w:val="en-US"/>
        </w:rPr>
        <w:t xml:space="preserve"> design</w:t>
      </w:r>
      <w:r w:rsidR="00B22A53" w:rsidRPr="00950B48">
        <w:rPr>
          <w:lang w:val="en-US"/>
        </w:rPr>
        <w:t>.</w:t>
      </w:r>
    </w:p>
    <w:p w14:paraId="1F9412FF" w14:textId="70A6129D" w:rsidR="000D1C42" w:rsidRPr="008937E6" w:rsidRDefault="00DD0CEA" w:rsidP="001B467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8937E6">
        <w:rPr>
          <w:lang w:val="en-US"/>
        </w:rPr>
        <w:t xml:space="preserve">The loading allowance summary in this </w:t>
      </w:r>
      <w:r w:rsidR="00D06D52" w:rsidRPr="008937E6">
        <w:rPr>
          <w:lang w:val="en-US"/>
        </w:rPr>
        <w:t>report n</w:t>
      </w:r>
      <w:r w:rsidR="000D1C42" w:rsidRPr="008937E6">
        <w:rPr>
          <w:lang w:val="en-US"/>
        </w:rPr>
        <w:t>eed not include</w:t>
      </w:r>
      <w:r w:rsidR="009728E6" w:rsidRPr="008937E6">
        <w:rPr>
          <w:lang w:val="en-US"/>
        </w:rPr>
        <w:t xml:space="preserve"> </w:t>
      </w:r>
      <w:r w:rsidR="00AC00D4" w:rsidRPr="008937E6">
        <w:rPr>
          <w:lang w:val="en-US"/>
        </w:rPr>
        <w:t xml:space="preserve">all </w:t>
      </w:r>
      <w:r w:rsidR="009728E6" w:rsidRPr="008937E6">
        <w:rPr>
          <w:lang w:val="en-US"/>
        </w:rPr>
        <w:t xml:space="preserve">specifically </w:t>
      </w:r>
      <w:r w:rsidR="004666C0" w:rsidRPr="008937E6">
        <w:rPr>
          <w:lang w:val="en-US"/>
        </w:rPr>
        <w:t>calculated</w:t>
      </w:r>
      <w:r w:rsidR="008D5AC6" w:rsidRPr="008937E6">
        <w:rPr>
          <w:lang w:val="en-US"/>
        </w:rPr>
        <w:t xml:space="preserve"> capacities for </w:t>
      </w:r>
      <w:r w:rsidR="00177ADB" w:rsidRPr="008937E6">
        <w:rPr>
          <w:lang w:val="en-US"/>
        </w:rPr>
        <w:t xml:space="preserve">specific arrangements carried out as part of the </w:t>
      </w:r>
      <w:r w:rsidR="00661E6D" w:rsidRPr="008937E6">
        <w:rPr>
          <w:lang w:val="en-US"/>
        </w:rPr>
        <w:t xml:space="preserve">Primary </w:t>
      </w:r>
      <w:r w:rsidR="00171501" w:rsidRPr="008937E6">
        <w:rPr>
          <w:lang w:val="en-US"/>
        </w:rPr>
        <w:t xml:space="preserve">Structure and NSE </w:t>
      </w:r>
      <w:r w:rsidR="00661E6D" w:rsidRPr="008937E6">
        <w:rPr>
          <w:lang w:val="en-US"/>
        </w:rPr>
        <w:t>seismic</w:t>
      </w:r>
      <w:r w:rsidR="00171501" w:rsidRPr="008937E6">
        <w:rPr>
          <w:lang w:val="en-US"/>
        </w:rPr>
        <w:t xml:space="preserve"> design coordination process</w:t>
      </w:r>
      <w:r w:rsidR="00D06D52" w:rsidRPr="008937E6">
        <w:rPr>
          <w:lang w:val="en-US"/>
        </w:rPr>
        <w:t xml:space="preserve">. It is intended as a </w:t>
      </w:r>
      <w:r w:rsidR="00B22A53" w:rsidRPr="008937E6">
        <w:rPr>
          <w:lang w:val="en-US"/>
        </w:rPr>
        <w:t xml:space="preserve">formal </w:t>
      </w:r>
      <w:r w:rsidR="00D06D52" w:rsidRPr="008937E6">
        <w:rPr>
          <w:lang w:val="en-US"/>
        </w:rPr>
        <w:t xml:space="preserve">record of </w:t>
      </w:r>
      <w:r w:rsidR="00193375" w:rsidRPr="008937E6">
        <w:rPr>
          <w:lang w:val="en-US"/>
        </w:rPr>
        <w:t>generalised</w:t>
      </w:r>
      <w:r w:rsidR="007B0424" w:rsidRPr="008937E6">
        <w:rPr>
          <w:lang w:val="en-US"/>
        </w:rPr>
        <w:t xml:space="preserve"> loading allowances that apply generically to </w:t>
      </w:r>
      <w:r w:rsidR="00DF6EDF" w:rsidRPr="008937E6">
        <w:rPr>
          <w:lang w:val="en-US"/>
        </w:rPr>
        <w:t>broad areas</w:t>
      </w:r>
      <w:r w:rsidR="00A52BDC" w:rsidRPr="008937E6">
        <w:rPr>
          <w:lang w:val="en-US"/>
        </w:rPr>
        <w:t xml:space="preserve">—beyond which </w:t>
      </w:r>
      <w:r w:rsidR="00FA7A6D" w:rsidRPr="008937E6">
        <w:rPr>
          <w:lang w:val="en-US"/>
        </w:rPr>
        <w:t>specific coordination</w:t>
      </w:r>
      <w:r w:rsidR="008D3D04" w:rsidRPr="008937E6">
        <w:rPr>
          <w:lang w:val="en-US"/>
        </w:rPr>
        <w:t xml:space="preserve"> would be required.</w:t>
      </w:r>
    </w:p>
    <w:p w14:paraId="03F7300C" w14:textId="284861F5" w:rsidR="00F9366F" w:rsidRPr="008937E6" w:rsidRDefault="000D71D5" w:rsidP="001B467E">
      <w:pPr>
        <w:pStyle w:val="NumbHeading3"/>
        <w:rPr>
          <w:lang w:val="en-US"/>
        </w:rPr>
      </w:pPr>
      <w:r w:rsidRPr="008937E6">
        <w:rPr>
          <w:lang w:val="en-US"/>
        </w:rPr>
        <w:lastRenderedPageBreak/>
        <w:t>Operations and Maintenance (O&amp;M) Manual Inputs</w:t>
      </w:r>
    </w:p>
    <w:p w14:paraId="72565E70" w14:textId="259C9690" w:rsidR="00566A29" w:rsidRPr="008937E6" w:rsidRDefault="00F0040B" w:rsidP="00666E06">
      <w:pPr>
        <w:rPr>
          <w:lang w:val="en-US"/>
        </w:rPr>
      </w:pPr>
      <w:r w:rsidRPr="008937E6">
        <w:rPr>
          <w:lang w:val="en-US"/>
        </w:rPr>
        <w:t>Items relevant to the ongoing operation and maintenance of the facility should be referenced in the DFR and provided for inclusion in project O&amp;M manuals. The following list contains common items (but is not exhaustive)</w:t>
      </w:r>
      <w:r w:rsidR="00D61F85">
        <w:rPr>
          <w:lang w:val="en-US"/>
        </w:rPr>
        <w:t>:</w:t>
      </w:r>
    </w:p>
    <w:p w14:paraId="2465543A" w14:textId="04409815" w:rsidR="000D71D5" w:rsidRPr="008937E6" w:rsidRDefault="00566A29" w:rsidP="004D55F1">
      <w:pPr>
        <w:pStyle w:val="ListParagraph"/>
        <w:numPr>
          <w:ilvl w:val="0"/>
          <w:numId w:val="60"/>
        </w:numPr>
        <w:rPr>
          <w:lang w:val="en-US"/>
        </w:rPr>
      </w:pPr>
      <w:r w:rsidRPr="008937E6">
        <w:rPr>
          <w:lang w:val="en-US"/>
        </w:rPr>
        <w:t>D</w:t>
      </w:r>
      <w:r w:rsidR="002F3CEB" w:rsidRPr="008937E6">
        <w:rPr>
          <w:lang w:val="en-US"/>
        </w:rPr>
        <w:t>urability mainte</w:t>
      </w:r>
      <w:r w:rsidR="00F0224B" w:rsidRPr="008937E6">
        <w:rPr>
          <w:lang w:val="en-US"/>
        </w:rPr>
        <w:t>nance plan.</w:t>
      </w:r>
    </w:p>
    <w:p w14:paraId="4639FA34" w14:textId="0DB2AD28" w:rsidR="007A3FC0" w:rsidRPr="008937E6" w:rsidRDefault="007A3FC0" w:rsidP="004D55F1">
      <w:pPr>
        <w:pStyle w:val="ListParagraph"/>
        <w:numPr>
          <w:ilvl w:val="0"/>
          <w:numId w:val="60"/>
        </w:numPr>
        <w:rPr>
          <w:lang w:val="en-US"/>
        </w:rPr>
      </w:pPr>
      <w:r w:rsidRPr="008937E6">
        <w:rPr>
          <w:lang w:val="en-US"/>
        </w:rPr>
        <w:t xml:space="preserve">Post-earthquake </w:t>
      </w:r>
      <w:r w:rsidR="00DF75E9" w:rsidRPr="008937E6">
        <w:rPr>
          <w:i/>
          <w:iCs/>
          <w:lang w:val="en-US"/>
        </w:rPr>
        <w:t>Rapid Assessment Plan</w:t>
      </w:r>
      <w:r w:rsidR="00DF75E9" w:rsidRPr="008937E6">
        <w:rPr>
          <w:lang w:val="en-US"/>
        </w:rPr>
        <w:t xml:space="preserve"> (</w:t>
      </w:r>
      <w:r w:rsidRPr="008937E6">
        <w:rPr>
          <w:lang w:val="en-US"/>
        </w:rPr>
        <w:t>RAP</w:t>
      </w:r>
      <w:r w:rsidR="00DF75E9" w:rsidRPr="008937E6">
        <w:rPr>
          <w:lang w:val="en-US"/>
        </w:rPr>
        <w:t>)</w:t>
      </w:r>
      <w:r w:rsidRPr="008937E6">
        <w:rPr>
          <w:lang w:val="en-US"/>
        </w:rPr>
        <w:t xml:space="preserve"> </w:t>
      </w:r>
      <w:r w:rsidR="0072663A" w:rsidRPr="008937E6">
        <w:rPr>
          <w:lang w:val="en-US"/>
        </w:rPr>
        <w:t xml:space="preserve">template </w:t>
      </w:r>
      <w:r w:rsidRPr="008937E6">
        <w:rPr>
          <w:lang w:val="en-US"/>
        </w:rPr>
        <w:t>inputs</w:t>
      </w:r>
      <w:r w:rsidR="00DF75E9" w:rsidRPr="008937E6">
        <w:rPr>
          <w:lang w:val="en-US"/>
        </w:rPr>
        <w:t>, if applicable</w:t>
      </w:r>
      <w:r w:rsidR="001709F0" w:rsidRPr="008937E6">
        <w:rPr>
          <w:lang w:val="en-US"/>
        </w:rPr>
        <w:t xml:space="preserve"> to a hospital’s </w:t>
      </w:r>
      <w:r w:rsidR="001709F0" w:rsidRPr="008937E6">
        <w:rPr>
          <w:i/>
          <w:iCs/>
          <w:lang w:val="en-US"/>
        </w:rPr>
        <w:t>Priority Response Agreement</w:t>
      </w:r>
      <w:r w:rsidR="001709F0" w:rsidRPr="008937E6">
        <w:rPr>
          <w:lang w:val="en-US"/>
        </w:rPr>
        <w:t xml:space="preserve"> (PRA)</w:t>
      </w:r>
      <w:r w:rsidRPr="008937E6">
        <w:rPr>
          <w:lang w:val="en-US"/>
        </w:rPr>
        <w:t>.</w:t>
      </w:r>
    </w:p>
    <w:p w14:paraId="7AD44AD1" w14:textId="2F58CB9A" w:rsidR="007A3FC0" w:rsidRPr="008937E6" w:rsidRDefault="007A3FC0" w:rsidP="004D55F1">
      <w:pPr>
        <w:pStyle w:val="ListParagraph"/>
        <w:numPr>
          <w:ilvl w:val="0"/>
          <w:numId w:val="60"/>
        </w:numPr>
        <w:rPr>
          <w:lang w:val="en-US"/>
        </w:rPr>
      </w:pPr>
      <w:r w:rsidRPr="008937E6">
        <w:rPr>
          <w:lang w:val="en-US"/>
        </w:rPr>
        <w:t xml:space="preserve">Special maintenance requirements for </w:t>
      </w:r>
      <w:r w:rsidR="00D3298F" w:rsidRPr="008937E6">
        <w:rPr>
          <w:lang w:val="en-US"/>
        </w:rPr>
        <w:t>special structural</w:t>
      </w:r>
      <w:r w:rsidRPr="008937E6">
        <w:rPr>
          <w:lang w:val="en-US"/>
        </w:rPr>
        <w:t xml:space="preserve"> devices</w:t>
      </w:r>
      <w:r w:rsidR="00D3298F" w:rsidRPr="008937E6">
        <w:rPr>
          <w:lang w:val="en-US"/>
        </w:rPr>
        <w:t xml:space="preserve"> including anti-seismic devices (isolation bearings, dampers</w:t>
      </w:r>
      <w:r w:rsidR="00046401" w:rsidRPr="008937E6">
        <w:rPr>
          <w:lang w:val="en-US"/>
        </w:rPr>
        <w:t xml:space="preserve"> and the like).</w:t>
      </w:r>
    </w:p>
    <w:p w14:paraId="1A96B036" w14:textId="0D496A0F" w:rsidR="007A3FC0" w:rsidRDefault="00D3298F" w:rsidP="004D55F1">
      <w:pPr>
        <w:pStyle w:val="ListParagraph"/>
        <w:numPr>
          <w:ilvl w:val="0"/>
          <w:numId w:val="60"/>
        </w:numPr>
        <w:rPr>
          <w:lang w:val="en-US"/>
        </w:rPr>
      </w:pPr>
      <w:r w:rsidRPr="008937E6">
        <w:rPr>
          <w:lang w:val="en-US"/>
        </w:rPr>
        <w:t>Inspection and m</w:t>
      </w:r>
      <w:r w:rsidR="007A3FC0" w:rsidRPr="008937E6">
        <w:rPr>
          <w:lang w:val="en-US"/>
        </w:rPr>
        <w:t xml:space="preserve">aintenance of </w:t>
      </w:r>
      <w:r w:rsidRPr="008937E6">
        <w:rPr>
          <w:lang w:val="en-US"/>
        </w:rPr>
        <w:t>structural movement joints.</w:t>
      </w:r>
    </w:p>
    <w:p w14:paraId="24D1AAE3" w14:textId="2B0DA3BE" w:rsidR="005F74B8" w:rsidRPr="008937E6" w:rsidRDefault="005F74B8" w:rsidP="004D55F1">
      <w:pPr>
        <w:pStyle w:val="ListParagraph"/>
        <w:numPr>
          <w:ilvl w:val="0"/>
          <w:numId w:val="60"/>
        </w:numPr>
        <w:rPr>
          <w:lang w:val="en-US"/>
        </w:rPr>
      </w:pPr>
      <w:r>
        <w:rPr>
          <w:lang w:val="en-US"/>
        </w:rPr>
        <w:t xml:space="preserve">Inclusion </w:t>
      </w:r>
      <w:r w:rsidR="000E6415">
        <w:rPr>
          <w:lang w:val="en-US"/>
        </w:rPr>
        <w:t>(</w:t>
      </w:r>
      <w:r>
        <w:rPr>
          <w:lang w:val="en-US"/>
        </w:rPr>
        <w:t>or reference to</w:t>
      </w:r>
      <w:r w:rsidR="000E6415">
        <w:rPr>
          <w:lang w:val="en-US"/>
        </w:rPr>
        <w:t>)</w:t>
      </w:r>
      <w:r>
        <w:rPr>
          <w:lang w:val="en-US"/>
        </w:rPr>
        <w:t xml:space="preserve"> structural loading plans, including </w:t>
      </w:r>
      <w:r w:rsidR="000E6415">
        <w:rPr>
          <w:lang w:val="en-US"/>
        </w:rPr>
        <w:t>identified transport routes for heavy equipment installation, maintenance or replacement.</w:t>
      </w:r>
    </w:p>
    <w:p w14:paraId="1286C9B9" w14:textId="75060F4E" w:rsidR="002573EE" w:rsidRPr="00A53A71" w:rsidRDefault="002573EE" w:rsidP="001B467E">
      <w:pPr>
        <w:pStyle w:val="NumbHeading2"/>
      </w:pPr>
      <w:bookmarkStart w:id="105" w:name="_Ref152139034"/>
      <w:bookmarkStart w:id="106" w:name="_Toc203641941"/>
      <w:r w:rsidRPr="00A53A71">
        <w:t>Non-Structural Element Seismic Design Strategy</w:t>
      </w:r>
      <w:bookmarkEnd w:id="105"/>
      <w:bookmarkEnd w:id="106"/>
    </w:p>
    <w:p w14:paraId="785A2321" w14:textId="477DBC5F" w:rsidR="00681F29" w:rsidRPr="00A53A71" w:rsidRDefault="00226EDF" w:rsidP="00666E06">
      <w:pPr>
        <w:rPr>
          <w:lang w:val="en-US"/>
        </w:rPr>
      </w:pPr>
      <w:r w:rsidRPr="00A53A71">
        <w:t>The design of non-structural elements to meet the seismic performance requirements requires a coordinated, holistic, design approach.</w:t>
      </w:r>
      <w:r w:rsidR="001B2572" w:rsidRPr="00A53A71">
        <w:t xml:space="preserve"> </w:t>
      </w:r>
      <w:r w:rsidRPr="00A53A71">
        <w:t xml:space="preserve">This approach shall be captured in a </w:t>
      </w:r>
      <w:r w:rsidRPr="00A53A71">
        <w:rPr>
          <w:i/>
          <w:iCs/>
          <w:lang w:val="en-US"/>
        </w:rPr>
        <w:t>Non-Structural Element</w:t>
      </w:r>
      <w:r w:rsidR="008A6A68" w:rsidRPr="00A53A71">
        <w:rPr>
          <w:i/>
          <w:iCs/>
          <w:lang w:val="en-US"/>
        </w:rPr>
        <w:t xml:space="preserve"> (NSE)</w:t>
      </w:r>
      <w:r w:rsidRPr="00A53A71">
        <w:rPr>
          <w:i/>
          <w:iCs/>
          <w:lang w:val="en-US"/>
        </w:rPr>
        <w:t xml:space="preserve"> Seismic Design Strategy</w:t>
      </w:r>
      <w:r w:rsidR="00A43953">
        <w:rPr>
          <w:lang w:val="en-US"/>
        </w:rPr>
        <w:t xml:space="preserve">. </w:t>
      </w:r>
    </w:p>
    <w:p w14:paraId="56158BB7" w14:textId="48B7BADB" w:rsidR="00B40689" w:rsidRPr="00A53A71" w:rsidRDefault="007D5C79" w:rsidP="00666E06">
      <w:pPr>
        <w:pStyle w:val="Requirement"/>
      </w:pPr>
      <w:r w:rsidRPr="00B219C9">
        <w:rPr>
          <w:b/>
          <w:bCs/>
          <w:color w:val="0C818F" w:themeColor="accent3"/>
        </w:rPr>
        <w:t xml:space="preserve">Health NZ </w:t>
      </w:r>
      <w:r w:rsidR="00B40689" w:rsidRPr="00B219C9">
        <w:rPr>
          <w:b/>
          <w:bCs/>
          <w:color w:val="0C818F" w:themeColor="accent3"/>
        </w:rPr>
        <w:t>Requirement:</w:t>
      </w:r>
      <w:r w:rsidR="00B40689" w:rsidRPr="00A53A71">
        <w:t xml:space="preserve"> A </w:t>
      </w:r>
      <w:r w:rsidR="00B40689" w:rsidRPr="00A53A71">
        <w:rPr>
          <w:i/>
          <w:iCs/>
          <w:lang w:val="en-US"/>
        </w:rPr>
        <w:t>Non-Structural Element</w:t>
      </w:r>
      <w:r w:rsidR="00C16B5B" w:rsidRPr="00A53A71">
        <w:rPr>
          <w:i/>
          <w:iCs/>
          <w:lang w:val="en-US"/>
        </w:rPr>
        <w:t xml:space="preserve"> (NSE)</w:t>
      </w:r>
      <w:r w:rsidR="00B40689" w:rsidRPr="00A53A71">
        <w:rPr>
          <w:i/>
          <w:iCs/>
          <w:lang w:val="en-US"/>
        </w:rPr>
        <w:t xml:space="preserve"> Seismic Design Strategy</w:t>
      </w:r>
      <w:r w:rsidR="00B40689" w:rsidRPr="00A53A71">
        <w:rPr>
          <w:lang w:val="en-US"/>
        </w:rPr>
        <w:t xml:space="preserve"> </w:t>
      </w:r>
      <w:r w:rsidR="00B40689" w:rsidRPr="00A53A71">
        <w:t xml:space="preserve">shall be prepared by the NSE </w:t>
      </w:r>
      <w:r w:rsidR="00712CB5" w:rsidRPr="00A53A71">
        <w:t>Seismic</w:t>
      </w:r>
      <w:r w:rsidR="00B40689" w:rsidRPr="00A53A71">
        <w:t xml:space="preserve"> Designer, updated at each design phase milestone.</w:t>
      </w:r>
    </w:p>
    <w:p w14:paraId="0A9D51BE" w14:textId="6926DBAB" w:rsidR="00226EDF" w:rsidRPr="00A53A71" w:rsidRDefault="00226EDF" w:rsidP="00666E06">
      <w:pPr>
        <w:rPr>
          <w:lang w:val="en-US"/>
        </w:rPr>
      </w:pPr>
      <w:r w:rsidRPr="00A53A71">
        <w:rPr>
          <w:lang w:val="en-US"/>
        </w:rPr>
        <w:t>Responsibilities for this document are as follows</w:t>
      </w:r>
      <w:r w:rsidR="001D6099" w:rsidRPr="00A53A71">
        <w:rPr>
          <w:lang w:val="en-US"/>
        </w:rPr>
        <w:t>:</w:t>
      </w:r>
    </w:p>
    <w:p w14:paraId="5055ACC1" w14:textId="1148A60E" w:rsidR="00226EDF" w:rsidRPr="00A53A71" w:rsidRDefault="002F4F99" w:rsidP="004D55F1">
      <w:pPr>
        <w:pStyle w:val="ListParagraph"/>
        <w:numPr>
          <w:ilvl w:val="0"/>
          <w:numId w:val="15"/>
        </w:numPr>
        <w:rPr>
          <w:lang w:val="en-US"/>
        </w:rPr>
      </w:pPr>
      <w:r w:rsidRPr="00A53A71">
        <w:rPr>
          <w:lang w:val="en-US"/>
        </w:rPr>
        <w:t xml:space="preserve">The </w:t>
      </w:r>
      <w:r w:rsidRPr="00EA14B6">
        <w:rPr>
          <w:i/>
          <w:iCs/>
          <w:lang w:val="en-US"/>
        </w:rPr>
        <w:t xml:space="preserve">NSE </w:t>
      </w:r>
      <w:r w:rsidR="00712CB5" w:rsidRPr="00EA14B6">
        <w:rPr>
          <w:i/>
          <w:iCs/>
          <w:lang w:val="en-US"/>
        </w:rPr>
        <w:t>Seismic</w:t>
      </w:r>
      <w:r w:rsidR="00226EDF" w:rsidRPr="00EA14B6">
        <w:rPr>
          <w:i/>
          <w:iCs/>
          <w:lang w:val="en-US"/>
        </w:rPr>
        <w:t xml:space="preserve"> Designer</w:t>
      </w:r>
      <w:r w:rsidR="00226EDF" w:rsidRPr="00A53A71">
        <w:rPr>
          <w:lang w:val="en-US"/>
        </w:rPr>
        <w:t xml:space="preserve"> </w:t>
      </w:r>
      <w:r w:rsidR="00102773" w:rsidRPr="00A53A71">
        <w:rPr>
          <w:lang w:val="en-US"/>
        </w:rPr>
        <w:t>should</w:t>
      </w:r>
      <w:r w:rsidR="00226EDF" w:rsidRPr="00A53A71">
        <w:rPr>
          <w:lang w:val="en-US"/>
        </w:rPr>
        <w:t xml:space="preserve"> lead the development of this document in </w:t>
      </w:r>
      <w:r w:rsidR="00137A5D" w:rsidRPr="00A53A71">
        <w:rPr>
          <w:lang w:val="en-US"/>
        </w:rPr>
        <w:t>C</w:t>
      </w:r>
      <w:r w:rsidR="00226EDF" w:rsidRPr="00A53A71">
        <w:rPr>
          <w:lang w:val="en-US"/>
        </w:rPr>
        <w:t>oncept</w:t>
      </w:r>
      <w:r w:rsidR="00137A5D" w:rsidRPr="00A53A71">
        <w:rPr>
          <w:lang w:val="en-US"/>
        </w:rPr>
        <w:t xml:space="preserve"> and P</w:t>
      </w:r>
      <w:r w:rsidR="00226EDF" w:rsidRPr="00A53A71">
        <w:rPr>
          <w:lang w:val="en-US"/>
        </w:rPr>
        <w:t xml:space="preserve">reliminary </w:t>
      </w:r>
      <w:r w:rsidR="00137A5D" w:rsidRPr="00A53A71">
        <w:rPr>
          <w:lang w:val="en-US"/>
        </w:rPr>
        <w:t>D</w:t>
      </w:r>
      <w:r w:rsidR="00226EDF" w:rsidRPr="00A53A71">
        <w:rPr>
          <w:lang w:val="en-US"/>
        </w:rPr>
        <w:t>esign</w:t>
      </w:r>
      <w:r w:rsidR="00263742" w:rsidRPr="00A53A71">
        <w:rPr>
          <w:lang w:val="en-US"/>
        </w:rPr>
        <w:t>, updated as necessary</w:t>
      </w:r>
      <w:r w:rsidR="00137A5D" w:rsidRPr="00A53A71">
        <w:rPr>
          <w:lang w:val="en-US"/>
        </w:rPr>
        <w:t xml:space="preserve"> in Developed and Detailed design</w:t>
      </w:r>
      <w:r w:rsidR="00226EDF" w:rsidRPr="00A53A71">
        <w:rPr>
          <w:lang w:val="en-US"/>
        </w:rPr>
        <w:t>.</w:t>
      </w:r>
    </w:p>
    <w:p w14:paraId="01D153F0" w14:textId="4C1B785D" w:rsidR="00226EDF" w:rsidRPr="00A53A71" w:rsidRDefault="00226EDF" w:rsidP="004D55F1">
      <w:pPr>
        <w:pStyle w:val="ListParagraph"/>
        <w:numPr>
          <w:ilvl w:val="0"/>
          <w:numId w:val="15"/>
        </w:numPr>
        <w:rPr>
          <w:lang w:val="en-US"/>
        </w:rPr>
      </w:pPr>
      <w:r w:rsidRPr="00A53A71">
        <w:rPr>
          <w:lang w:val="en-US"/>
        </w:rPr>
        <w:t xml:space="preserve">The Structural Engineer </w:t>
      </w:r>
      <w:r w:rsidR="006470F8" w:rsidRPr="00A53A71">
        <w:rPr>
          <w:lang w:val="en-US"/>
        </w:rPr>
        <w:t xml:space="preserve">should </w:t>
      </w:r>
      <w:r w:rsidRPr="00A53A71">
        <w:rPr>
          <w:lang w:val="en-US"/>
        </w:rPr>
        <w:t>provide overall building movements and accelerations (which should be captured in the Structural Design Features Report</w:t>
      </w:r>
      <w:r w:rsidR="00137A5D" w:rsidRPr="00A53A71">
        <w:rPr>
          <w:lang w:val="en-US"/>
        </w:rPr>
        <w:t>).</w:t>
      </w:r>
    </w:p>
    <w:p w14:paraId="568DE046" w14:textId="399273BC" w:rsidR="00226EDF" w:rsidRPr="00A53A71" w:rsidRDefault="00226EDF" w:rsidP="004D55F1">
      <w:pPr>
        <w:pStyle w:val="ListParagraph"/>
        <w:numPr>
          <w:ilvl w:val="0"/>
          <w:numId w:val="15"/>
        </w:numPr>
        <w:rPr>
          <w:lang w:val="en-US"/>
        </w:rPr>
      </w:pPr>
      <w:r w:rsidRPr="00A53A71">
        <w:rPr>
          <w:lang w:val="en-US"/>
        </w:rPr>
        <w:t xml:space="preserve">The Architect will need to understand the implication of the strategy on detailing of architectural elements, especially partitional and ceilings, </w:t>
      </w:r>
      <w:r w:rsidR="00ED0A09" w:rsidRPr="00A53A71">
        <w:rPr>
          <w:lang w:val="en-US"/>
        </w:rPr>
        <w:t>in order</w:t>
      </w:r>
      <w:r w:rsidRPr="00A53A71">
        <w:rPr>
          <w:lang w:val="en-US"/>
        </w:rPr>
        <w:t xml:space="preserve"> to document these detailing requirements. </w:t>
      </w:r>
    </w:p>
    <w:p w14:paraId="1BE1BF37" w14:textId="335AB799" w:rsidR="00226EDF" w:rsidRPr="00A53A71" w:rsidRDefault="00226EDF" w:rsidP="004D55F1">
      <w:pPr>
        <w:pStyle w:val="ListParagraph"/>
        <w:numPr>
          <w:ilvl w:val="0"/>
          <w:numId w:val="15"/>
        </w:numPr>
        <w:rPr>
          <w:lang w:val="en-US"/>
        </w:rPr>
      </w:pPr>
      <w:r w:rsidRPr="00A53A71">
        <w:rPr>
          <w:lang w:val="en-US"/>
        </w:rPr>
        <w:t xml:space="preserve">The Building Services Engineer will need to understand the implication of the strategy on detailing of services, </w:t>
      </w:r>
      <w:r w:rsidR="00ED0A09" w:rsidRPr="00A53A71">
        <w:rPr>
          <w:lang w:val="en-US"/>
        </w:rPr>
        <w:t>in order</w:t>
      </w:r>
      <w:r w:rsidRPr="00A53A71">
        <w:rPr>
          <w:lang w:val="en-US"/>
        </w:rPr>
        <w:t xml:space="preserve"> to document these detailing requirements. </w:t>
      </w:r>
    </w:p>
    <w:p w14:paraId="28E318BF" w14:textId="30332577" w:rsidR="002573EE" w:rsidRPr="00A53A71" w:rsidRDefault="00226EDF" w:rsidP="00666E06">
      <w:pPr>
        <w:rPr>
          <w:lang w:val="en-US"/>
        </w:rPr>
      </w:pPr>
      <w:r w:rsidRPr="00A53A71">
        <w:rPr>
          <w:lang w:val="en-US"/>
        </w:rPr>
        <w:t xml:space="preserve">It is </w:t>
      </w:r>
      <w:r w:rsidR="006167EE" w:rsidRPr="00A53A71">
        <w:rPr>
          <w:lang w:val="en-US"/>
        </w:rPr>
        <w:t>common for</w:t>
      </w:r>
      <w:r w:rsidRPr="00A53A71">
        <w:rPr>
          <w:lang w:val="en-US"/>
        </w:rPr>
        <w:t xml:space="preserve"> the </w:t>
      </w:r>
      <w:r w:rsidR="00C16B5B" w:rsidRPr="00A53A71">
        <w:rPr>
          <w:i/>
          <w:iCs/>
          <w:lang w:val="en-US"/>
        </w:rPr>
        <w:t>NSE</w:t>
      </w:r>
      <w:r w:rsidRPr="00A53A71">
        <w:rPr>
          <w:i/>
          <w:iCs/>
          <w:lang w:val="en-US"/>
        </w:rPr>
        <w:t xml:space="preserve"> Seismic Design Strategy</w:t>
      </w:r>
      <w:r w:rsidRPr="00A53A71">
        <w:rPr>
          <w:lang w:val="en-US"/>
        </w:rPr>
        <w:t xml:space="preserve"> </w:t>
      </w:r>
      <w:r w:rsidR="006167EE" w:rsidRPr="00A53A71">
        <w:rPr>
          <w:lang w:val="en-US"/>
        </w:rPr>
        <w:t>to have</w:t>
      </w:r>
      <w:r w:rsidRPr="00A53A71">
        <w:rPr>
          <w:lang w:val="en-US"/>
        </w:rPr>
        <w:t xml:space="preserve"> </w:t>
      </w:r>
      <w:r w:rsidR="006167EE" w:rsidRPr="00A53A71">
        <w:rPr>
          <w:lang w:val="en-US"/>
        </w:rPr>
        <w:t>impacts on</w:t>
      </w:r>
      <w:r w:rsidRPr="00A53A71">
        <w:rPr>
          <w:lang w:val="en-US"/>
        </w:rPr>
        <w:t xml:space="preserve"> detailing decisions </w:t>
      </w:r>
      <w:r w:rsidR="006167EE" w:rsidRPr="00A53A71">
        <w:rPr>
          <w:lang w:val="en-US"/>
        </w:rPr>
        <w:t>with</w:t>
      </w:r>
      <w:r w:rsidRPr="00A53A71">
        <w:rPr>
          <w:lang w:val="en-US"/>
        </w:rPr>
        <w:t xml:space="preserve"> important cost or buildability implications</w:t>
      </w:r>
      <w:r w:rsidR="00A43953">
        <w:rPr>
          <w:lang w:val="en-US"/>
        </w:rPr>
        <w:t xml:space="preserve">. </w:t>
      </w:r>
      <w:r w:rsidRPr="00A53A71">
        <w:rPr>
          <w:lang w:val="en-US"/>
        </w:rPr>
        <w:t>The Cost Consultant and ECI contractor (</w:t>
      </w:r>
      <w:r w:rsidR="00224AD3" w:rsidRPr="00A53A71">
        <w:rPr>
          <w:lang w:val="en-US"/>
        </w:rPr>
        <w:t>where available</w:t>
      </w:r>
      <w:r w:rsidRPr="00A53A71">
        <w:rPr>
          <w:lang w:val="en-US"/>
        </w:rPr>
        <w:t xml:space="preserve">) will need to </w:t>
      </w:r>
      <w:r w:rsidR="00015C85" w:rsidRPr="00A53A71">
        <w:rPr>
          <w:lang w:val="en-US"/>
        </w:rPr>
        <w:t xml:space="preserve">be informed of these </w:t>
      </w:r>
      <w:r w:rsidR="00313F64" w:rsidRPr="00A53A71">
        <w:rPr>
          <w:lang w:val="en-US"/>
        </w:rPr>
        <w:t>in order to provide appropriate design inputs—part of which will be through the review of this document</w:t>
      </w:r>
      <w:r w:rsidRPr="00A53A71">
        <w:rPr>
          <w:lang w:val="en-US"/>
        </w:rPr>
        <w:t>.</w:t>
      </w:r>
    </w:p>
    <w:p w14:paraId="63D7D82F" w14:textId="7E651408" w:rsidR="00E27049" w:rsidRPr="00A53A71" w:rsidRDefault="00D6206C" w:rsidP="00666E06">
      <w:pPr>
        <w:rPr>
          <w:lang w:val="en-US"/>
        </w:rPr>
      </w:pPr>
      <w:r w:rsidRPr="00A53A71">
        <w:t>The NSE Seismic Design Strategy should include:</w:t>
      </w:r>
    </w:p>
    <w:p w14:paraId="7C6C7D9A" w14:textId="77777777" w:rsidR="00E27049" w:rsidRPr="00A53A71" w:rsidRDefault="00E27049" w:rsidP="004D55F1">
      <w:pPr>
        <w:pStyle w:val="ListParagraph"/>
        <w:numPr>
          <w:ilvl w:val="0"/>
          <w:numId w:val="14"/>
        </w:numPr>
        <w:rPr>
          <w:lang w:val="en-US"/>
        </w:rPr>
      </w:pPr>
      <w:r w:rsidRPr="00A53A71">
        <w:rPr>
          <w:lang w:val="en-US"/>
        </w:rPr>
        <w:t>General structural/services spatial coordination strategies for reticulated services, whilst narrowing in on structural member sizing—tested against other design constraints.</w:t>
      </w:r>
    </w:p>
    <w:p w14:paraId="691B74AE" w14:textId="77777777" w:rsidR="00E27049" w:rsidRPr="00A53A71" w:rsidRDefault="00E27049" w:rsidP="004D55F1">
      <w:pPr>
        <w:pStyle w:val="ListParagraph"/>
        <w:numPr>
          <w:ilvl w:val="0"/>
          <w:numId w:val="14"/>
        </w:numPr>
        <w:rPr>
          <w:lang w:val="en-US"/>
        </w:rPr>
      </w:pPr>
      <w:r w:rsidRPr="00A53A71">
        <w:rPr>
          <w:lang w:val="en-US"/>
        </w:rPr>
        <w:lastRenderedPageBreak/>
        <w:t>Delineation of the building into regions where simple proprietary or trapeze type systems can be used, and regions where specifically engineered subframes might be more appropriate.</w:t>
      </w:r>
    </w:p>
    <w:p w14:paraId="5D581B3D" w14:textId="77777777" w:rsidR="00E27049" w:rsidRPr="00A53A71" w:rsidRDefault="00E27049" w:rsidP="004D55F1">
      <w:pPr>
        <w:pStyle w:val="ListParagraph"/>
        <w:numPr>
          <w:ilvl w:val="0"/>
          <w:numId w:val="14"/>
        </w:numPr>
        <w:rPr>
          <w:lang w:val="en-US"/>
        </w:rPr>
      </w:pPr>
      <w:r w:rsidRPr="00A53A71">
        <w:rPr>
          <w:lang w:val="en-US"/>
        </w:rPr>
        <w:t>Indicative solutions for each region, including general spatial requirements (e.g. depth requirements for frames/trapezes).</w:t>
      </w:r>
    </w:p>
    <w:p w14:paraId="1819DFCF" w14:textId="77777777" w:rsidR="00E27049" w:rsidRPr="00A53A71" w:rsidRDefault="00E27049" w:rsidP="004D55F1">
      <w:pPr>
        <w:pStyle w:val="ListParagraph"/>
        <w:numPr>
          <w:ilvl w:val="0"/>
          <w:numId w:val="14"/>
        </w:numPr>
        <w:rPr>
          <w:lang w:val="en-US"/>
        </w:rPr>
      </w:pPr>
      <w:r w:rsidRPr="00A53A71">
        <w:rPr>
          <w:lang w:val="en-US"/>
        </w:rPr>
        <w:t>Determination of a strategy specific to plant rooms.</w:t>
      </w:r>
    </w:p>
    <w:p w14:paraId="33ABCA36" w14:textId="71E52C29" w:rsidR="00E27049" w:rsidRPr="00A53A71" w:rsidRDefault="00E27049" w:rsidP="004D55F1">
      <w:pPr>
        <w:pStyle w:val="ListParagraph"/>
        <w:numPr>
          <w:ilvl w:val="0"/>
          <w:numId w:val="14"/>
        </w:numPr>
        <w:rPr>
          <w:lang w:val="en-US"/>
        </w:rPr>
      </w:pPr>
      <w:r w:rsidRPr="00A53A71">
        <w:rPr>
          <w:lang w:val="en-US"/>
        </w:rPr>
        <w:t xml:space="preserve">Articulation of how NSE will accommodate building movements. </w:t>
      </w:r>
    </w:p>
    <w:p w14:paraId="6079546E" w14:textId="77777777" w:rsidR="00E27049" w:rsidRPr="00A53A71" w:rsidRDefault="00E27049" w:rsidP="004D55F1">
      <w:pPr>
        <w:pStyle w:val="ListParagraph"/>
        <w:numPr>
          <w:ilvl w:val="0"/>
          <w:numId w:val="14"/>
        </w:numPr>
        <w:rPr>
          <w:lang w:val="en-US"/>
        </w:rPr>
      </w:pPr>
      <w:r w:rsidRPr="00A53A71">
        <w:rPr>
          <w:lang w:val="en-US"/>
        </w:rPr>
        <w:t>General NSE coordination strategy, including how support/restraint for architectural elements (ceilings/partitions) will interface with building services elements.</w:t>
      </w:r>
    </w:p>
    <w:p w14:paraId="68376BE8" w14:textId="421324B5" w:rsidR="00094B7A" w:rsidRPr="00A53A71" w:rsidRDefault="00094B7A" w:rsidP="004D55F1">
      <w:pPr>
        <w:pStyle w:val="ListParagraph"/>
        <w:numPr>
          <w:ilvl w:val="0"/>
          <w:numId w:val="14"/>
        </w:numPr>
        <w:rPr>
          <w:lang w:val="en-US"/>
        </w:rPr>
      </w:pPr>
      <w:r w:rsidRPr="00A53A71">
        <w:rPr>
          <w:lang w:val="en-US"/>
        </w:rPr>
        <w:t xml:space="preserve">Consideration of where </w:t>
      </w:r>
      <w:r w:rsidR="006F1F54" w:rsidRPr="00A53A71">
        <w:rPr>
          <w:lang w:val="en-US"/>
        </w:rPr>
        <w:t xml:space="preserve">special attention to </w:t>
      </w:r>
      <w:r w:rsidR="00DA24F3" w:rsidRPr="00A53A71">
        <w:rPr>
          <w:lang w:val="en-US"/>
        </w:rPr>
        <w:t>access</w:t>
      </w:r>
      <w:r w:rsidR="006F1F54" w:rsidRPr="00A53A71">
        <w:rPr>
          <w:lang w:val="en-US"/>
        </w:rPr>
        <w:t>ibility</w:t>
      </w:r>
      <w:r w:rsidR="00DA24F3" w:rsidRPr="00A53A71">
        <w:rPr>
          <w:lang w:val="en-US"/>
        </w:rPr>
        <w:t xml:space="preserve"> for </w:t>
      </w:r>
      <w:r w:rsidR="008D6ED7" w:rsidRPr="00A53A71">
        <w:rPr>
          <w:lang w:val="en-US"/>
        </w:rPr>
        <w:t xml:space="preserve">inspection and/or </w:t>
      </w:r>
      <w:r w:rsidR="00DA24F3" w:rsidRPr="00A53A71">
        <w:rPr>
          <w:lang w:val="en-US"/>
        </w:rPr>
        <w:t>repair</w:t>
      </w:r>
      <w:r w:rsidR="006F1F54" w:rsidRPr="00A53A71">
        <w:rPr>
          <w:lang w:val="en-US"/>
        </w:rPr>
        <w:t xml:space="preserve"> may be relevant</w:t>
      </w:r>
      <w:r w:rsidR="00CC53B3" w:rsidRPr="00A53A71">
        <w:rPr>
          <w:lang w:val="en-US"/>
        </w:rPr>
        <w:t xml:space="preserve"> (in conjunction with </w:t>
      </w:r>
      <w:r w:rsidR="0006693B" w:rsidRPr="00A53A71">
        <w:rPr>
          <w:lang w:val="en-US"/>
        </w:rPr>
        <w:t>other disciplines</w:t>
      </w:r>
      <w:r w:rsidR="00CC53B3" w:rsidRPr="00A53A71">
        <w:rPr>
          <w:lang w:val="en-US"/>
        </w:rPr>
        <w:t xml:space="preserve"> input</w:t>
      </w:r>
      <w:r w:rsidR="008D6ED7" w:rsidRPr="00A53A71">
        <w:rPr>
          <w:lang w:val="en-US"/>
        </w:rPr>
        <w:t>s on operation and maintenance</w:t>
      </w:r>
      <w:r w:rsidR="00CC53B3" w:rsidRPr="00A53A71">
        <w:rPr>
          <w:lang w:val="en-US"/>
        </w:rPr>
        <w:t>)</w:t>
      </w:r>
      <w:r w:rsidR="00DA24F3" w:rsidRPr="00A53A71">
        <w:rPr>
          <w:lang w:val="en-US"/>
        </w:rPr>
        <w:t>.</w:t>
      </w:r>
    </w:p>
    <w:p w14:paraId="29A8DF7F" w14:textId="77777777" w:rsidR="00E27049" w:rsidRPr="00A53A71" w:rsidRDefault="00E27049" w:rsidP="004D55F1">
      <w:pPr>
        <w:pStyle w:val="ListParagraph"/>
        <w:numPr>
          <w:ilvl w:val="0"/>
          <w:numId w:val="14"/>
        </w:numPr>
        <w:rPr>
          <w:lang w:val="en-US"/>
        </w:rPr>
      </w:pPr>
      <w:r w:rsidRPr="00A53A71">
        <w:rPr>
          <w:lang w:val="en-US"/>
        </w:rPr>
        <w:t>NSE buildability strategy (in conjunction with ECI Contractor if available).</w:t>
      </w:r>
    </w:p>
    <w:p w14:paraId="4E92D551" w14:textId="77777777" w:rsidR="00E27049" w:rsidRPr="00A53A71" w:rsidRDefault="00E27049" w:rsidP="004D55F1">
      <w:pPr>
        <w:pStyle w:val="ListParagraph"/>
        <w:numPr>
          <w:ilvl w:val="0"/>
          <w:numId w:val="14"/>
        </w:numPr>
        <w:rPr>
          <w:lang w:val="en-US"/>
        </w:rPr>
      </w:pPr>
      <w:r w:rsidRPr="00A53A71">
        <w:rPr>
          <w:lang w:val="en-US"/>
        </w:rPr>
        <w:t>Determination of holistic restraint design requirements, and requirements for certain elements to restraint others (e.g., if partitions are to be designed to carry ceiling loads, etc.).</w:t>
      </w:r>
    </w:p>
    <w:p w14:paraId="09E77DFF" w14:textId="2024E304" w:rsidR="003963A7" w:rsidRPr="00924D66" w:rsidRDefault="003963A7" w:rsidP="004D55F1">
      <w:pPr>
        <w:pStyle w:val="ListParagraph"/>
        <w:numPr>
          <w:ilvl w:val="0"/>
          <w:numId w:val="14"/>
        </w:numPr>
        <w:rPr>
          <w:lang w:val="en-US"/>
        </w:rPr>
      </w:pPr>
      <w:r w:rsidRPr="00924D66">
        <w:rPr>
          <w:lang w:val="en-US"/>
        </w:rPr>
        <w:t>The overall procurement approach, which will be influenced by these and other issues</w:t>
      </w:r>
      <w:r w:rsidR="00CE5F9F" w:rsidRPr="00924D66">
        <w:rPr>
          <w:lang w:val="en-US"/>
        </w:rPr>
        <w:t>.</w:t>
      </w:r>
    </w:p>
    <w:p w14:paraId="6FB76540" w14:textId="7684CEAF" w:rsidR="00E424B1" w:rsidRPr="00A53A71" w:rsidRDefault="00223E79" w:rsidP="00666E06">
      <w:r>
        <w:t>See</w:t>
      </w:r>
      <w:r w:rsidR="00867473" w:rsidRPr="00A53A71">
        <w:t xml:space="preserve"> Section </w:t>
      </w:r>
      <w:r w:rsidR="00D347DE" w:rsidRPr="00A53A71">
        <w:fldChar w:fldCharType="begin"/>
      </w:r>
      <w:r w:rsidR="00D347DE" w:rsidRPr="00A53A71">
        <w:instrText xml:space="preserve"> REF _Ref152940422 \r \h </w:instrText>
      </w:r>
      <w:r w:rsidR="00A53A71">
        <w:instrText xml:space="preserve"> \* MERGEFORMAT </w:instrText>
      </w:r>
      <w:r w:rsidR="00D347DE" w:rsidRPr="00A53A71">
        <w:fldChar w:fldCharType="separate"/>
      </w:r>
      <w:r w:rsidR="000761C1">
        <w:t>C4.2</w:t>
      </w:r>
      <w:r w:rsidR="00D347DE" w:rsidRPr="00A53A71">
        <w:fldChar w:fldCharType="end"/>
      </w:r>
      <w:r w:rsidR="0006693B" w:rsidRPr="00A53A71">
        <w:t xml:space="preserve"> </w:t>
      </w:r>
      <w:r w:rsidR="00867473" w:rsidRPr="00A53A71">
        <w:t xml:space="preserve">for </w:t>
      </w:r>
      <w:r w:rsidR="002B5DFC" w:rsidRPr="00A53A71">
        <w:t xml:space="preserve">more </w:t>
      </w:r>
      <w:r w:rsidR="001D1B55">
        <w:t>specific</w:t>
      </w:r>
      <w:r w:rsidR="001D1B55" w:rsidRPr="00A53A71">
        <w:t xml:space="preserve"> </w:t>
      </w:r>
      <w:r w:rsidR="002B5DFC" w:rsidRPr="00A53A71">
        <w:t xml:space="preserve">information on NSE </w:t>
      </w:r>
      <w:r w:rsidR="00EF1D2B" w:rsidRPr="00A53A71">
        <w:t>documentation and BIM deliverables.</w:t>
      </w:r>
    </w:p>
    <w:p w14:paraId="5DD68DB4" w14:textId="1864FCD6" w:rsidR="002E146E" w:rsidRPr="00A53A71" w:rsidRDefault="002E146E" w:rsidP="00A36B0F">
      <w:pPr>
        <w:pStyle w:val="NumbHeading3"/>
      </w:pPr>
      <w:r w:rsidRPr="00A53A71">
        <w:t>Fa</w:t>
      </w:r>
      <w:r w:rsidRPr="00B73957">
        <w:t>ç</w:t>
      </w:r>
      <w:r w:rsidRPr="00A53A71">
        <w:t>ade Seismic Design Strategy</w:t>
      </w:r>
    </w:p>
    <w:p w14:paraId="7C195EE5" w14:textId="3990F9BC" w:rsidR="00E424B1" w:rsidRPr="00A53A71" w:rsidRDefault="00E424B1" w:rsidP="00666E06">
      <w:pPr>
        <w:rPr>
          <w:lang w:val="en-US"/>
        </w:rPr>
      </w:pPr>
      <w:r w:rsidRPr="00A53A71">
        <w:t>The design of most exterior facades is complex and bespoke. In a similar manner to other NSE, they also require a coordinated, holistic, design approach</w:t>
      </w:r>
      <w:r w:rsidR="00B631F9" w:rsidRPr="00A53A71">
        <w:t>, though there are typically other parties involved in fa</w:t>
      </w:r>
      <w:r w:rsidR="00B631F9" w:rsidRPr="00B73957">
        <w:t>ça</w:t>
      </w:r>
      <w:r w:rsidR="00B631F9" w:rsidRPr="00A53A71">
        <w:t>de design</w:t>
      </w:r>
      <w:r w:rsidR="00A43953">
        <w:t xml:space="preserve">. </w:t>
      </w:r>
      <w:r w:rsidRPr="00A53A71">
        <w:t xml:space="preserve">An overall project façade movement strategy should be adopted, similar to the </w:t>
      </w:r>
      <w:r w:rsidRPr="00A53A71">
        <w:rPr>
          <w:i/>
          <w:iCs/>
          <w:lang w:val="en-US"/>
        </w:rPr>
        <w:t>Non-Structural Element (NSE) Seismic Design Strategy</w:t>
      </w:r>
      <w:r w:rsidR="00C87BC4" w:rsidRPr="00A53A71">
        <w:rPr>
          <w:lang w:val="en-US"/>
        </w:rPr>
        <w:t>.</w:t>
      </w:r>
    </w:p>
    <w:p w14:paraId="745A5EAA" w14:textId="44D92187" w:rsidR="00E424B1" w:rsidRPr="00A53A71" w:rsidRDefault="007D5C79" w:rsidP="00666E06">
      <w:pPr>
        <w:pStyle w:val="Requirement"/>
      </w:pPr>
      <w:r>
        <w:rPr>
          <w:b/>
          <w:bCs/>
        </w:rPr>
        <w:t xml:space="preserve">Health NZ </w:t>
      </w:r>
      <w:r w:rsidR="00E424B1" w:rsidRPr="00A53A71">
        <w:rPr>
          <w:b/>
          <w:bCs/>
        </w:rPr>
        <w:t>Recommendation:</w:t>
      </w:r>
      <w:r w:rsidR="00E424B1" w:rsidRPr="00A53A71">
        <w:t xml:space="preserve"> A </w:t>
      </w:r>
      <w:r w:rsidR="00E424B1" w:rsidRPr="00A53A71">
        <w:rPr>
          <w:i/>
          <w:iCs/>
          <w:lang w:val="en-US"/>
        </w:rPr>
        <w:t>Facade Seismic Design Strategy</w:t>
      </w:r>
      <w:r w:rsidR="00E424B1" w:rsidRPr="00A53A71">
        <w:rPr>
          <w:lang w:val="en-US"/>
        </w:rPr>
        <w:t xml:space="preserve"> </w:t>
      </w:r>
      <w:r w:rsidR="00E424B1" w:rsidRPr="00A53A71">
        <w:t>should be prepared by the Façade Designer, updated at each design phase milestone.</w:t>
      </w:r>
    </w:p>
    <w:p w14:paraId="36EEE33E" w14:textId="16955E8B" w:rsidR="00C87BC4" w:rsidRPr="00A53A71" w:rsidRDefault="00C87BC4" w:rsidP="00666E06">
      <w:r w:rsidRPr="00A53A71">
        <w:t xml:space="preserve">Refer to Section </w:t>
      </w:r>
      <w:r w:rsidR="002E146E" w:rsidRPr="00A53A71">
        <w:fldChar w:fldCharType="begin"/>
      </w:r>
      <w:r w:rsidR="002E146E" w:rsidRPr="00A53A71">
        <w:instrText xml:space="preserve"> REF _Ref167700417 \r \h </w:instrText>
      </w:r>
      <w:r w:rsidR="00A53A71">
        <w:instrText xml:space="preserve"> \* MERGEFORMAT </w:instrText>
      </w:r>
      <w:r w:rsidR="002E146E" w:rsidRPr="00A53A71">
        <w:fldChar w:fldCharType="separate"/>
      </w:r>
      <w:r w:rsidR="000761C1">
        <w:t>C4.4</w:t>
      </w:r>
      <w:r w:rsidR="002E146E" w:rsidRPr="00A53A71">
        <w:fldChar w:fldCharType="end"/>
      </w:r>
      <w:r w:rsidRPr="00A53A71">
        <w:t xml:space="preserve"> for more detailed information on </w:t>
      </w:r>
      <w:r w:rsidR="002E146E" w:rsidRPr="00A53A71">
        <w:t>façade design.</w:t>
      </w:r>
    </w:p>
    <w:p w14:paraId="5554F8F7" w14:textId="15709604" w:rsidR="00E133D0" w:rsidRPr="00B453CA" w:rsidRDefault="00D83639" w:rsidP="000E311C">
      <w:pPr>
        <w:pStyle w:val="NumbHeading2"/>
      </w:pPr>
      <w:bookmarkStart w:id="107" w:name="_Toc147899129"/>
      <w:bookmarkStart w:id="108" w:name="_Ref149645216"/>
      <w:bookmarkStart w:id="109" w:name="_Ref151533619"/>
      <w:bookmarkStart w:id="110" w:name="_Ref157144164"/>
      <w:bookmarkStart w:id="111" w:name="_Ref157144168"/>
      <w:bookmarkStart w:id="112" w:name="_Ref157144177"/>
      <w:bookmarkStart w:id="113" w:name="_Ref157149034"/>
      <w:bookmarkStart w:id="114" w:name="_Ref157160386"/>
      <w:bookmarkStart w:id="115" w:name="_Toc203641942"/>
      <w:r w:rsidRPr="00B453CA">
        <w:t xml:space="preserve">Embodied </w:t>
      </w:r>
      <w:r w:rsidR="00E133D0" w:rsidRPr="00B453CA">
        <w:t xml:space="preserve">Carbon </w:t>
      </w:r>
      <w:r w:rsidR="000B4D04" w:rsidRPr="00B453CA">
        <w:t xml:space="preserve">and </w:t>
      </w:r>
      <w:r w:rsidR="00E133D0" w:rsidRPr="00B453CA">
        <w:t>LCA Reporting</w:t>
      </w:r>
      <w:bookmarkEnd w:id="107"/>
      <w:bookmarkEnd w:id="108"/>
      <w:bookmarkEnd w:id="109"/>
      <w:bookmarkEnd w:id="110"/>
      <w:bookmarkEnd w:id="111"/>
      <w:bookmarkEnd w:id="112"/>
      <w:bookmarkEnd w:id="113"/>
      <w:bookmarkEnd w:id="114"/>
      <w:bookmarkEnd w:id="115"/>
    </w:p>
    <w:p w14:paraId="30C1A5B0" w14:textId="1664409F" w:rsidR="009C3435" w:rsidRPr="00B453CA" w:rsidRDefault="00BA68AD" w:rsidP="00666E06">
      <w:r w:rsidRPr="00B453CA">
        <w:t xml:space="preserve">Calculation and reporting of </w:t>
      </w:r>
      <w:r w:rsidRPr="00B453CA">
        <w:rPr>
          <w:i/>
          <w:iCs/>
        </w:rPr>
        <w:t>Up-front Carbon</w:t>
      </w:r>
      <w:r w:rsidR="00016493" w:rsidRPr="00B453CA">
        <w:rPr>
          <w:rStyle w:val="FootnoteReference"/>
        </w:rPr>
        <w:footnoteReference w:id="6"/>
      </w:r>
      <w:r w:rsidRPr="00B453CA">
        <w:t xml:space="preserve"> </w:t>
      </w:r>
      <w:r w:rsidR="00FC1167" w:rsidRPr="00B453CA">
        <w:t xml:space="preserve">is required as </w:t>
      </w:r>
      <w:r w:rsidR="00A17600" w:rsidRPr="00B453CA">
        <w:t xml:space="preserve">an integral </w:t>
      </w:r>
      <w:r w:rsidR="00FC1167" w:rsidRPr="00B453CA">
        <w:t xml:space="preserve">part of Concept and Preliminary Design </w:t>
      </w:r>
      <w:r w:rsidR="009C3435" w:rsidRPr="00B453CA">
        <w:t xml:space="preserve">processes and </w:t>
      </w:r>
      <w:r w:rsidR="00FC1167" w:rsidRPr="00B453CA">
        <w:t>deliverables</w:t>
      </w:r>
      <w:r w:rsidR="00C01DDF">
        <w:t xml:space="preserve"> </w:t>
      </w:r>
      <w:r w:rsidR="000E245F" w:rsidRPr="00B453CA">
        <w:t>and should continue to be updated in Developed and Detailed Design phases alongside</w:t>
      </w:r>
      <w:r w:rsidR="00DB7B58" w:rsidRPr="00B453CA">
        <w:t xml:space="preserve"> </w:t>
      </w:r>
      <w:r w:rsidR="000E245F" w:rsidRPr="00B453CA">
        <w:t>complete LCA</w:t>
      </w:r>
      <w:r w:rsidR="00C30F70" w:rsidRPr="00B453CA">
        <w:t xml:space="preserve"> (where applicable)</w:t>
      </w:r>
      <w:r w:rsidR="002021A2" w:rsidRPr="00B453CA">
        <w:t xml:space="preserve">. </w:t>
      </w:r>
      <w:r w:rsidR="009C3435" w:rsidRPr="00B453CA">
        <w:t xml:space="preserve">Refer to Section </w:t>
      </w:r>
      <w:r w:rsidR="00055192" w:rsidRPr="00B453CA">
        <w:fldChar w:fldCharType="begin"/>
      </w:r>
      <w:r w:rsidR="00055192" w:rsidRPr="00B453CA">
        <w:instrText xml:space="preserve"> REF _Ref157169629 \r \h </w:instrText>
      </w:r>
      <w:r w:rsidR="00B453CA">
        <w:instrText xml:space="preserve"> \* MERGEFORMAT </w:instrText>
      </w:r>
      <w:r w:rsidR="00055192" w:rsidRPr="00B453CA">
        <w:fldChar w:fldCharType="separate"/>
      </w:r>
      <w:r w:rsidR="000761C1">
        <w:t>A2.2</w:t>
      </w:r>
      <w:r w:rsidR="00055192" w:rsidRPr="00B453CA">
        <w:fldChar w:fldCharType="end"/>
      </w:r>
      <w:r w:rsidR="009C3435" w:rsidRPr="00B453CA">
        <w:t xml:space="preserve"> for expanded commentary </w:t>
      </w:r>
      <w:r w:rsidR="00374752" w:rsidRPr="00B453CA">
        <w:t xml:space="preserve">on </w:t>
      </w:r>
      <w:r w:rsidR="00374752" w:rsidRPr="00B453CA">
        <w:rPr>
          <w:i/>
          <w:iCs/>
        </w:rPr>
        <w:t>Up-front Carbon</w:t>
      </w:r>
      <w:r w:rsidR="005A36CA" w:rsidRPr="00B453CA">
        <w:t xml:space="preserve"> measurement and requirements for presentation</w:t>
      </w:r>
      <w:r w:rsidR="009C3435" w:rsidRPr="00B453CA">
        <w:t>, presented in the context of the design process.</w:t>
      </w:r>
    </w:p>
    <w:p w14:paraId="1F67E55F" w14:textId="5BCECBFF" w:rsidR="00BA68AD" w:rsidRPr="00B453CA" w:rsidRDefault="003001B0" w:rsidP="00666E06">
      <w:r w:rsidRPr="00B453CA">
        <w:t>For</w:t>
      </w:r>
      <w:r w:rsidR="00627FD4" w:rsidRPr="00B453CA">
        <w:t xml:space="preserve"> structural and geotechnical disciplines</w:t>
      </w:r>
      <w:r w:rsidR="001740E6" w:rsidRPr="00B453CA">
        <w:t>, measures</w:t>
      </w:r>
      <w:r w:rsidR="00627FD4" w:rsidRPr="00B453CA">
        <w:t xml:space="preserve"> </w:t>
      </w:r>
      <w:r w:rsidR="00FC1167" w:rsidRPr="00B453CA">
        <w:t xml:space="preserve">should be included in </w:t>
      </w:r>
      <w:r w:rsidR="00C53076" w:rsidRPr="00B453CA">
        <w:t xml:space="preserve">the </w:t>
      </w:r>
      <w:r w:rsidR="00861431" w:rsidRPr="00B453CA">
        <w:t xml:space="preserve">Structural </w:t>
      </w:r>
      <w:r w:rsidR="00C53076" w:rsidRPr="00B453CA">
        <w:t>Design Features Report</w:t>
      </w:r>
      <w:r w:rsidR="00830F91" w:rsidRPr="00B453CA">
        <w:t xml:space="preserve"> alongside summaries of the </w:t>
      </w:r>
      <w:r w:rsidR="00657707" w:rsidRPr="00B453CA">
        <w:t>kg-CO</w:t>
      </w:r>
      <w:r w:rsidR="00657707" w:rsidRPr="00B453CA">
        <w:rPr>
          <w:vertAlign w:val="subscript"/>
        </w:rPr>
        <w:t>2</w:t>
      </w:r>
      <w:r w:rsidR="00657707" w:rsidRPr="00B453CA">
        <w:t xml:space="preserve">-eq </w:t>
      </w:r>
      <w:r w:rsidR="003E5993" w:rsidRPr="00B453CA">
        <w:t xml:space="preserve">unit values </w:t>
      </w:r>
      <w:r w:rsidR="004B5404" w:rsidRPr="00B453CA">
        <w:t xml:space="preserve">that have been </w:t>
      </w:r>
      <w:r w:rsidR="00657707" w:rsidRPr="00B453CA">
        <w:lastRenderedPageBreak/>
        <w:t xml:space="preserve">applied </w:t>
      </w:r>
      <w:r w:rsidR="00E740F1" w:rsidRPr="00B453CA">
        <w:t xml:space="preserve">to measured quantities, </w:t>
      </w:r>
      <w:r w:rsidR="00657707" w:rsidRPr="00B453CA">
        <w:t>and the information source</w:t>
      </w:r>
      <w:r w:rsidR="00A5763F" w:rsidRPr="00B453CA">
        <w:t>.</w:t>
      </w:r>
      <w:r w:rsidR="001151C2" w:rsidRPr="00B453CA">
        <w:t xml:space="preserve"> </w:t>
      </w:r>
      <w:r w:rsidR="00A5763F" w:rsidRPr="00B453CA">
        <w:t xml:space="preserve">They should be </w:t>
      </w:r>
      <w:r w:rsidR="001151C2" w:rsidRPr="00B453CA">
        <w:t xml:space="preserve">updated for each milestone </w:t>
      </w:r>
      <w:r w:rsidR="006354E4" w:rsidRPr="00B453CA">
        <w:t xml:space="preserve">phase </w:t>
      </w:r>
      <w:r w:rsidR="001151C2" w:rsidRPr="00B453CA">
        <w:t>deliverable</w:t>
      </w:r>
      <w:r w:rsidR="00A5763F" w:rsidRPr="00B453CA">
        <w:t xml:space="preserve">, retaining </w:t>
      </w:r>
      <w:r w:rsidR="00221067" w:rsidRPr="00B453CA">
        <w:t>summaries from prior phases</w:t>
      </w:r>
      <w:r w:rsidR="000D7E5C" w:rsidRPr="00B453CA">
        <w:t xml:space="preserve"> for tracking purposes</w:t>
      </w:r>
      <w:r w:rsidR="00C53076" w:rsidRPr="00B453CA">
        <w:t>.</w:t>
      </w:r>
    </w:p>
    <w:p w14:paraId="18A3BA7D" w14:textId="3B2D42E7" w:rsidR="00E571EE" w:rsidRPr="00B453CA" w:rsidRDefault="007D5C79" w:rsidP="00F63881">
      <w:pPr>
        <w:ind w:left="567"/>
      </w:pPr>
      <w:r w:rsidRPr="00B219C9">
        <w:rPr>
          <w:b/>
          <w:bCs/>
          <w:color w:val="0C818F" w:themeColor="accent3"/>
        </w:rPr>
        <w:t xml:space="preserve">Health NZ </w:t>
      </w:r>
      <w:r w:rsidR="00E571EE" w:rsidRPr="00B219C9">
        <w:rPr>
          <w:b/>
          <w:bCs/>
          <w:color w:val="0C818F" w:themeColor="accent3"/>
        </w:rPr>
        <w:t>Requirement:</w:t>
      </w:r>
      <w:r w:rsidR="00E571EE" w:rsidRPr="00B453CA">
        <w:t xml:space="preserve"> Calculation and reporting of </w:t>
      </w:r>
      <w:r w:rsidR="00E571EE" w:rsidRPr="00B453CA">
        <w:rPr>
          <w:i/>
          <w:iCs/>
        </w:rPr>
        <w:t>Up-Front Carbon</w:t>
      </w:r>
      <w:r w:rsidR="00E571EE" w:rsidRPr="00B453CA">
        <w:t xml:space="preserve"> for structural and geotechnical disciplines is a requirement </w:t>
      </w:r>
      <w:r w:rsidR="00043EA6" w:rsidRPr="00B453CA">
        <w:t>for</w:t>
      </w:r>
      <w:r w:rsidR="00E571EE" w:rsidRPr="00B453CA">
        <w:t xml:space="preserve"> all design phase deliverables.</w:t>
      </w:r>
      <w:r w:rsidR="00CC21D9" w:rsidRPr="00B453CA">
        <w:t xml:space="preserve"> </w:t>
      </w:r>
      <w:r w:rsidR="00CC21D9" w:rsidRPr="00B453CA">
        <w:rPr>
          <w:i/>
          <w:iCs/>
        </w:rPr>
        <w:t>Up-front Carbon</w:t>
      </w:r>
      <w:r w:rsidR="00CC21D9" w:rsidRPr="00B453CA">
        <w:t xml:space="preserve"> reporting for final phase deliverables shall comply with the methodolog</w:t>
      </w:r>
      <w:r w:rsidR="002536F0" w:rsidRPr="00B453CA">
        <w:t xml:space="preserve">ies referenced in Section </w:t>
      </w:r>
      <w:r w:rsidR="002536F0" w:rsidRPr="00B453CA">
        <w:fldChar w:fldCharType="begin"/>
      </w:r>
      <w:r w:rsidR="002536F0" w:rsidRPr="00B453CA">
        <w:instrText xml:space="preserve"> REF _Ref149646191 \r \h </w:instrText>
      </w:r>
      <w:r w:rsidR="00B453CA">
        <w:instrText xml:space="preserve"> \* MERGEFORMAT </w:instrText>
      </w:r>
      <w:r w:rsidR="002536F0" w:rsidRPr="00B453CA">
        <w:fldChar w:fldCharType="separate"/>
      </w:r>
      <w:r w:rsidR="000761C1">
        <w:t>B4.2</w:t>
      </w:r>
      <w:r w:rsidR="002536F0" w:rsidRPr="00B453CA">
        <w:fldChar w:fldCharType="end"/>
      </w:r>
      <w:r w:rsidR="002536F0" w:rsidRPr="00B453CA">
        <w:t>.</w:t>
      </w:r>
    </w:p>
    <w:p w14:paraId="48FDDDF9" w14:textId="23A5C48D" w:rsidR="00B13344" w:rsidRPr="00B453CA" w:rsidRDefault="007D5C79" w:rsidP="00666E06">
      <w:r>
        <w:t xml:space="preserve">Health NZ </w:t>
      </w:r>
      <w:r w:rsidR="00E12646" w:rsidRPr="00B453CA">
        <w:t>require a verified</w:t>
      </w:r>
      <w:r w:rsidR="00D20AE0" w:rsidRPr="00B453CA">
        <w:t xml:space="preserve"> </w:t>
      </w:r>
      <w:r w:rsidR="001F3EEC" w:rsidRPr="00B453CA">
        <w:t xml:space="preserve">full </w:t>
      </w:r>
      <w:r w:rsidR="00637C8A" w:rsidRPr="00B453CA">
        <w:t>Life Cycle Assessment (</w:t>
      </w:r>
      <w:r w:rsidR="00D20AE0" w:rsidRPr="00B453CA">
        <w:t>LCA</w:t>
      </w:r>
      <w:r w:rsidR="00637C8A" w:rsidRPr="00B453CA">
        <w:t>)</w:t>
      </w:r>
      <w:r w:rsidR="00D20AE0" w:rsidRPr="00B453CA">
        <w:t xml:space="preserve"> </w:t>
      </w:r>
      <w:r w:rsidR="00F526BF" w:rsidRPr="00B453CA">
        <w:t>at the completion of design</w:t>
      </w:r>
      <w:r w:rsidR="00972F3A" w:rsidRPr="00B453CA">
        <w:t xml:space="preserve">, carried out by a </w:t>
      </w:r>
      <w:bookmarkStart w:id="116" w:name="_Ref149644281"/>
      <w:r w:rsidR="00BB63C8" w:rsidRPr="00B453CA">
        <w:t>Competent LCA Practitioner</w:t>
      </w:r>
      <w:bookmarkStart w:id="117" w:name="_Ref166335741"/>
      <w:r w:rsidR="00972F3A" w:rsidRPr="00B453CA">
        <w:rPr>
          <w:rStyle w:val="FootnoteReference"/>
        </w:rPr>
        <w:footnoteReference w:id="7"/>
      </w:r>
      <w:bookmarkEnd w:id="116"/>
      <w:bookmarkEnd w:id="117"/>
      <w:r w:rsidR="00C4293E" w:rsidRPr="00B453CA">
        <w:t>.</w:t>
      </w:r>
      <w:r w:rsidR="00F217A7" w:rsidRPr="00B453CA">
        <w:t xml:space="preserve"> </w:t>
      </w:r>
      <w:r w:rsidR="00C4293E" w:rsidRPr="00B453CA">
        <w:t>F</w:t>
      </w:r>
      <w:r w:rsidR="00100160" w:rsidRPr="00B453CA">
        <w:t>or the purposes of this guideline,</w:t>
      </w:r>
      <w:r w:rsidR="00F217A7" w:rsidRPr="00B453CA">
        <w:t xml:space="preserve"> </w:t>
      </w:r>
      <w:r w:rsidR="00F74882" w:rsidRPr="00B453CA">
        <w:t xml:space="preserve">preparation of the project LCA </w:t>
      </w:r>
      <w:r w:rsidR="00F217A7" w:rsidRPr="00B453CA">
        <w:t xml:space="preserve">is the responsibility of the </w:t>
      </w:r>
      <w:r w:rsidR="00A53AC9" w:rsidRPr="00B453CA">
        <w:t>ESD C</w:t>
      </w:r>
      <w:r w:rsidR="00DF7183" w:rsidRPr="00B453CA">
        <w:t>onsultant</w:t>
      </w:r>
      <w:r w:rsidR="00D20AE0" w:rsidRPr="00B453CA">
        <w:t>.</w:t>
      </w:r>
      <w:r w:rsidR="000D7E5C" w:rsidRPr="00B453CA">
        <w:t xml:space="preserve"> </w:t>
      </w:r>
      <w:r w:rsidR="00F217A7" w:rsidRPr="00B453CA">
        <w:t>The LCA will require inputs from the respective design disciplines</w:t>
      </w:r>
      <w:r w:rsidR="00C01DDF">
        <w:t xml:space="preserve"> - </w:t>
      </w:r>
      <w:r w:rsidR="00F217A7" w:rsidRPr="00B453CA">
        <w:t>r</w:t>
      </w:r>
      <w:r w:rsidR="000D7E5C" w:rsidRPr="00B453CA">
        <w:t xml:space="preserve">efer to Section </w:t>
      </w:r>
      <w:r w:rsidR="000D7E5C" w:rsidRPr="00B453CA">
        <w:fldChar w:fldCharType="begin"/>
      </w:r>
      <w:r w:rsidR="000D7E5C" w:rsidRPr="00B453CA">
        <w:instrText xml:space="preserve"> REF _Ref149634916 \r \h </w:instrText>
      </w:r>
      <w:r w:rsidR="00B453CA">
        <w:instrText xml:space="preserve"> \* MERGEFORMAT </w:instrText>
      </w:r>
      <w:r w:rsidR="000D7E5C" w:rsidRPr="00B453CA">
        <w:fldChar w:fldCharType="separate"/>
      </w:r>
      <w:r w:rsidR="000761C1">
        <w:t>B4</w:t>
      </w:r>
      <w:r w:rsidR="000D7E5C" w:rsidRPr="00B453CA">
        <w:fldChar w:fldCharType="end"/>
      </w:r>
      <w:r w:rsidR="000D7E5C" w:rsidRPr="00B453CA">
        <w:t xml:space="preserve"> for </w:t>
      </w:r>
      <w:r w:rsidR="00614137" w:rsidRPr="00B453CA">
        <w:t>requirements.</w:t>
      </w:r>
    </w:p>
    <w:p w14:paraId="568845A5" w14:textId="318EA933" w:rsidR="00D83639" w:rsidRPr="00B453CA" w:rsidRDefault="00221067" w:rsidP="00666E06">
      <w:r w:rsidRPr="00B453CA">
        <w:t>As noted above, t</w:t>
      </w:r>
      <w:r w:rsidR="00E35474" w:rsidRPr="00B453CA">
        <w:t xml:space="preserve">he </w:t>
      </w:r>
      <w:r w:rsidR="00C1038A" w:rsidRPr="00B453CA">
        <w:t xml:space="preserve">Structural Design Features Report should continue </w:t>
      </w:r>
      <w:r w:rsidR="004E18F3" w:rsidRPr="00B453CA">
        <w:t xml:space="preserve">to </w:t>
      </w:r>
      <w:r w:rsidR="00B411B6" w:rsidRPr="00B453CA">
        <w:t xml:space="preserve">report </w:t>
      </w:r>
      <w:r w:rsidR="0002180C" w:rsidRPr="00B453CA">
        <w:t xml:space="preserve">updated </w:t>
      </w:r>
      <w:r w:rsidR="00B411B6" w:rsidRPr="00B453CA">
        <w:rPr>
          <w:i/>
          <w:iCs/>
        </w:rPr>
        <w:t>Up-front Carbon</w:t>
      </w:r>
      <w:r w:rsidR="00B411B6" w:rsidRPr="00B453CA">
        <w:t xml:space="preserve"> summaries for </w:t>
      </w:r>
      <w:r w:rsidR="00063E00" w:rsidRPr="00B453CA">
        <w:t xml:space="preserve">structural and geotechnical disciplines (alongside </w:t>
      </w:r>
      <w:r w:rsidR="003F6DA9" w:rsidRPr="00B453CA">
        <w:t xml:space="preserve">inputs into </w:t>
      </w:r>
      <w:r w:rsidR="00063E00" w:rsidRPr="00B453CA">
        <w:t xml:space="preserve">the </w:t>
      </w:r>
      <w:r w:rsidR="00925A5B" w:rsidRPr="00B453CA">
        <w:t xml:space="preserve">detailed </w:t>
      </w:r>
      <w:r w:rsidR="00063E00" w:rsidRPr="00B453CA">
        <w:t>project LCA)</w:t>
      </w:r>
      <w:r w:rsidR="00B13344" w:rsidRPr="00B453CA">
        <w:t xml:space="preserve">. This is for </w:t>
      </w:r>
      <w:r w:rsidR="00B411B6" w:rsidRPr="00B453CA">
        <w:t xml:space="preserve">ease of tracking </w:t>
      </w:r>
      <w:r w:rsidR="0002180C" w:rsidRPr="00B453CA">
        <w:t xml:space="preserve">progress through design, </w:t>
      </w:r>
      <w:r w:rsidR="00B411B6" w:rsidRPr="00B453CA">
        <w:t xml:space="preserve">and </w:t>
      </w:r>
      <w:r w:rsidR="0002180C" w:rsidRPr="00B453CA">
        <w:t xml:space="preserve">for </w:t>
      </w:r>
      <w:r w:rsidR="00B411B6" w:rsidRPr="00B453CA">
        <w:t>data-collection purposes.</w:t>
      </w:r>
    </w:p>
    <w:p w14:paraId="6E81A9D6" w14:textId="175A05FA" w:rsidR="00B13344" w:rsidRPr="00B453CA" w:rsidRDefault="007D5C79" w:rsidP="00F63881">
      <w:pPr>
        <w:ind w:left="567"/>
      </w:pPr>
      <w:r w:rsidRPr="00B219C9">
        <w:rPr>
          <w:rStyle w:val="Strong"/>
          <w:color w:val="0C818F" w:themeColor="accent3"/>
        </w:rPr>
        <w:t xml:space="preserve">Health NZ </w:t>
      </w:r>
      <w:r w:rsidR="007C1F68" w:rsidRPr="00B219C9">
        <w:rPr>
          <w:rStyle w:val="Strong"/>
          <w:color w:val="0C818F" w:themeColor="accent3"/>
        </w:rPr>
        <w:t>Requirement:</w:t>
      </w:r>
      <w:r w:rsidR="007C1F68" w:rsidRPr="00B453CA">
        <w:t xml:space="preserve"> </w:t>
      </w:r>
      <w:r w:rsidR="00585D39" w:rsidRPr="00B453CA">
        <w:t>A v</w:t>
      </w:r>
      <w:r w:rsidR="007C1F68" w:rsidRPr="00B453CA">
        <w:t xml:space="preserve">erified project </w:t>
      </w:r>
      <w:r w:rsidR="007C1F68" w:rsidRPr="00B453CA">
        <w:rPr>
          <w:i/>
          <w:iCs/>
        </w:rPr>
        <w:t>Life Cycle Assessment</w:t>
      </w:r>
      <w:r w:rsidR="007C1F68" w:rsidRPr="00B453CA">
        <w:t xml:space="preserve"> </w:t>
      </w:r>
      <w:r w:rsidR="003536EE" w:rsidRPr="00B453CA">
        <w:t xml:space="preserve">(LCA) </w:t>
      </w:r>
      <w:r w:rsidR="007C1F68" w:rsidRPr="00B453CA">
        <w:t xml:space="preserve">shall be carried out by a </w:t>
      </w:r>
      <w:r w:rsidR="00BB63C8" w:rsidRPr="00B453CA">
        <w:t>Competent LCA Practitioner</w:t>
      </w:r>
      <w:r w:rsidR="00866F17" w:rsidRPr="00B453CA">
        <w:rPr>
          <w:vertAlign w:val="superscript"/>
        </w:rPr>
        <w:fldChar w:fldCharType="begin"/>
      </w:r>
      <w:r w:rsidR="00866F17" w:rsidRPr="00B453CA">
        <w:rPr>
          <w:vertAlign w:val="superscript"/>
        </w:rPr>
        <w:instrText xml:space="preserve"> NOTEREF _Ref166335741 \h  \* MERGEFORMAT </w:instrText>
      </w:r>
      <w:r w:rsidR="00866F17" w:rsidRPr="00B453CA">
        <w:rPr>
          <w:vertAlign w:val="superscript"/>
        </w:rPr>
      </w:r>
      <w:r w:rsidR="00866F17" w:rsidRPr="00B453CA">
        <w:rPr>
          <w:vertAlign w:val="superscript"/>
        </w:rPr>
        <w:fldChar w:fldCharType="separate"/>
      </w:r>
      <w:r w:rsidR="000761C1">
        <w:rPr>
          <w:vertAlign w:val="superscript"/>
        </w:rPr>
        <w:t>1</w:t>
      </w:r>
      <w:r w:rsidR="00866F17" w:rsidRPr="00B453CA">
        <w:rPr>
          <w:vertAlign w:val="superscript"/>
        </w:rPr>
        <w:fldChar w:fldCharType="end"/>
      </w:r>
      <w:r w:rsidR="007C1F68" w:rsidRPr="00B453CA">
        <w:t xml:space="preserve"> with inputs supplied by the relevant disciplines as appropriate.</w:t>
      </w:r>
    </w:p>
    <w:p w14:paraId="6B72118E" w14:textId="7014CAF4" w:rsidR="001D1C83" w:rsidRPr="00B453CA" w:rsidRDefault="001D1C83" w:rsidP="00D56CAE">
      <w:pPr>
        <w:pStyle w:val="BodyHeading"/>
      </w:pPr>
      <w:r w:rsidRPr="00B453CA">
        <w:t>Reporting Methods</w:t>
      </w:r>
    </w:p>
    <w:p w14:paraId="27F83B96" w14:textId="773C89A3" w:rsidR="00B726EF" w:rsidRPr="00B453CA" w:rsidRDefault="002027AB" w:rsidP="00666E06">
      <w:r w:rsidRPr="00B453CA">
        <w:t>Reporting methods</w:t>
      </w:r>
      <w:r w:rsidR="00037986" w:rsidRPr="00B453CA">
        <w:t xml:space="preserve"> for final</w:t>
      </w:r>
      <w:r w:rsidR="003536EE" w:rsidRPr="00B453CA">
        <w:t>ised</w:t>
      </w:r>
      <w:r w:rsidR="00037986" w:rsidRPr="00B453CA">
        <w:t xml:space="preserve"> </w:t>
      </w:r>
      <w:r w:rsidR="003536EE" w:rsidRPr="00B453CA">
        <w:t xml:space="preserve">project </w:t>
      </w:r>
      <w:r w:rsidR="005A6450" w:rsidRPr="00B453CA">
        <w:t>e</w:t>
      </w:r>
      <w:r w:rsidR="00B726EF" w:rsidRPr="00B453CA">
        <w:t xml:space="preserve">mbodied </w:t>
      </w:r>
      <w:r w:rsidR="005A6450" w:rsidRPr="00B453CA">
        <w:t>c</w:t>
      </w:r>
      <w:r w:rsidR="00B726EF" w:rsidRPr="00B453CA">
        <w:t>arbon calculations and LCAs</w:t>
      </w:r>
      <w:r w:rsidRPr="00B453CA">
        <w:t xml:space="preserve"> should follow the</w:t>
      </w:r>
      <w:r w:rsidR="00D97003" w:rsidRPr="00B453CA">
        <w:t xml:space="preserve"> requirements of the</w:t>
      </w:r>
      <w:r w:rsidRPr="00B453CA">
        <w:t xml:space="preserve"> </w:t>
      </w:r>
      <w:r w:rsidR="00FD5F51" w:rsidRPr="00B453CA">
        <w:t xml:space="preserve">NZGBC </w:t>
      </w:r>
      <w:r w:rsidRPr="00B453CA">
        <w:t>methodolog</w:t>
      </w:r>
      <w:r w:rsidR="00B726EF" w:rsidRPr="00B453CA">
        <w:t>ies</w:t>
      </w:r>
      <w:r w:rsidRPr="00B453CA">
        <w:t xml:space="preserve"> referenced in Section </w:t>
      </w:r>
      <w:r w:rsidRPr="00B453CA">
        <w:fldChar w:fldCharType="begin"/>
      </w:r>
      <w:r w:rsidRPr="00B453CA">
        <w:instrText xml:space="preserve"> REF _Ref151386872 \r \h </w:instrText>
      </w:r>
      <w:r w:rsidR="00B453CA">
        <w:instrText xml:space="preserve"> \* MERGEFORMAT </w:instrText>
      </w:r>
      <w:r w:rsidRPr="00B453CA">
        <w:fldChar w:fldCharType="separate"/>
      </w:r>
      <w:r w:rsidR="000761C1">
        <w:t>B4</w:t>
      </w:r>
      <w:r w:rsidRPr="00B453CA">
        <w:fldChar w:fldCharType="end"/>
      </w:r>
      <w:r w:rsidR="00AD1897" w:rsidRPr="00B453CA">
        <w:t xml:space="preserve"> </w:t>
      </w:r>
      <w:sdt>
        <w:sdtPr>
          <w:id w:val="943578581"/>
          <w:citation/>
        </w:sdtPr>
        <w:sdtEndPr/>
        <w:sdtContent>
          <w:r w:rsidR="00AD1897" w:rsidRPr="00B453CA">
            <w:fldChar w:fldCharType="begin"/>
          </w:r>
          <w:r w:rsidR="00A66688">
            <w:rPr>
              <w:lang w:val="en-US"/>
            </w:rPr>
            <w:instrText xml:space="preserve">CITATION NZG23 \l 1033 </w:instrText>
          </w:r>
          <w:r w:rsidR="00AD1897" w:rsidRPr="00B453CA">
            <w:fldChar w:fldCharType="separate"/>
          </w:r>
          <w:r w:rsidR="00222D65">
            <w:rPr>
              <w:noProof/>
              <w:lang w:val="en-US"/>
            </w:rPr>
            <w:t>(NZGBC, 2024)</w:t>
          </w:r>
          <w:r w:rsidR="00AD1897" w:rsidRPr="00B453CA">
            <w:fldChar w:fldCharType="end"/>
          </w:r>
        </w:sdtContent>
      </w:sdt>
      <w:r w:rsidR="00AD1897" w:rsidRPr="00B453CA">
        <w:t>.</w:t>
      </w:r>
    </w:p>
    <w:p w14:paraId="719B3CA2" w14:textId="240596E2" w:rsidR="001D1C83" w:rsidRPr="00B453CA" w:rsidRDefault="00AD1897" w:rsidP="00666E06">
      <w:r w:rsidRPr="00B453CA">
        <w:t>Projects are</w:t>
      </w:r>
      <w:r w:rsidR="00D97003" w:rsidRPr="00B453CA">
        <w:t xml:space="preserve"> additionally</w:t>
      </w:r>
      <w:r w:rsidRPr="00B453CA">
        <w:t xml:space="preserve"> encouraged to </w:t>
      </w:r>
      <w:r w:rsidR="003536EE" w:rsidRPr="00B453CA">
        <w:t xml:space="preserve">maintain </w:t>
      </w:r>
      <w:r w:rsidRPr="00B453CA">
        <w:t>report</w:t>
      </w:r>
      <w:r w:rsidR="003536EE" w:rsidRPr="00B453CA">
        <w:t>ing</w:t>
      </w:r>
      <w:r w:rsidRPr="00B453CA">
        <w:t xml:space="preserve"> in alignment with MBIE’s Building for Climate Change Methodology</w:t>
      </w:r>
      <w:sdt>
        <w:sdtPr>
          <w:id w:val="768819437"/>
          <w:citation/>
        </w:sdtPr>
        <w:sdtEndPr/>
        <w:sdtContent>
          <w:r w:rsidR="002C68EA" w:rsidRPr="00B453CA">
            <w:fldChar w:fldCharType="begin"/>
          </w:r>
          <w:r w:rsidR="002C68EA" w:rsidRPr="00B453CA">
            <w:rPr>
              <w:lang w:val="en-US"/>
            </w:rPr>
            <w:instrText xml:space="preserve"> CITATION MBI20 \l 1033 </w:instrText>
          </w:r>
          <w:r w:rsidR="002C68EA" w:rsidRPr="00B453CA">
            <w:fldChar w:fldCharType="separate"/>
          </w:r>
          <w:r w:rsidR="00222D65">
            <w:rPr>
              <w:noProof/>
              <w:lang w:val="en-US"/>
            </w:rPr>
            <w:t xml:space="preserve"> (MBIE, 2020)</w:t>
          </w:r>
          <w:r w:rsidR="002C68EA" w:rsidRPr="00B453CA">
            <w:fldChar w:fldCharType="end"/>
          </w:r>
        </w:sdtContent>
      </w:sdt>
      <w:r w:rsidR="00203CC0">
        <w:t xml:space="preserve"> and the government</w:t>
      </w:r>
      <w:r w:rsidR="00DE543A">
        <w:t>’</w:t>
      </w:r>
      <w:r w:rsidR="00203CC0">
        <w:t>s Emissions Reduction Plan</w:t>
      </w:r>
      <w:r w:rsidR="00D97003" w:rsidRPr="00B453CA">
        <w:t xml:space="preserve"> as </w:t>
      </w:r>
      <w:r w:rsidR="00776EA1" w:rsidRPr="00B453CA">
        <w:t>th</w:t>
      </w:r>
      <w:r w:rsidR="003536EE" w:rsidRPr="00B453CA">
        <w:t>at</w:t>
      </w:r>
      <w:r w:rsidR="00776EA1" w:rsidRPr="00B453CA">
        <w:t xml:space="preserve"> programme </w:t>
      </w:r>
      <w:r w:rsidR="00037986" w:rsidRPr="00B453CA">
        <w:t xml:space="preserve">and requirements for reporting on </w:t>
      </w:r>
      <w:r w:rsidR="00037986" w:rsidRPr="00B453CA">
        <w:rPr>
          <w:i/>
          <w:iCs/>
        </w:rPr>
        <w:t xml:space="preserve">Up-Front </w:t>
      </w:r>
      <w:r w:rsidR="001F02E7" w:rsidRPr="00B453CA">
        <w:rPr>
          <w:i/>
          <w:iCs/>
        </w:rPr>
        <w:t>C</w:t>
      </w:r>
      <w:r w:rsidR="00037986" w:rsidRPr="00B453CA">
        <w:rPr>
          <w:i/>
          <w:iCs/>
        </w:rPr>
        <w:t>arbon</w:t>
      </w:r>
      <w:r w:rsidR="00037986" w:rsidRPr="00B453CA">
        <w:t xml:space="preserve">, </w:t>
      </w:r>
      <w:r w:rsidR="00037986" w:rsidRPr="00B453CA">
        <w:rPr>
          <w:i/>
          <w:iCs/>
        </w:rPr>
        <w:t>Whole-of-Life Embodied Carbon</w:t>
      </w:r>
      <w:r w:rsidR="00037986" w:rsidRPr="00B453CA">
        <w:t xml:space="preserve"> and </w:t>
      </w:r>
      <w:r w:rsidR="00037986" w:rsidRPr="00B453CA">
        <w:rPr>
          <w:i/>
          <w:iCs/>
        </w:rPr>
        <w:t xml:space="preserve">Operational </w:t>
      </w:r>
      <w:r w:rsidR="00FF08C1" w:rsidRPr="00B453CA">
        <w:rPr>
          <w:i/>
          <w:iCs/>
        </w:rPr>
        <w:t>Carbon</w:t>
      </w:r>
      <w:r w:rsidR="00FF08C1" w:rsidRPr="00B453CA">
        <w:t xml:space="preserve"> emissions</w:t>
      </w:r>
      <w:r w:rsidR="00037986" w:rsidRPr="00B453CA">
        <w:t xml:space="preserve"> </w:t>
      </w:r>
      <w:r w:rsidR="00776EA1" w:rsidRPr="00B453CA">
        <w:t xml:space="preserve">continues to </w:t>
      </w:r>
      <w:r w:rsidR="00037986" w:rsidRPr="00B453CA">
        <w:t>evolve</w:t>
      </w:r>
      <w:r w:rsidR="00776EA1" w:rsidRPr="00B453CA">
        <w:t>.</w:t>
      </w:r>
    </w:p>
    <w:p w14:paraId="492C3695" w14:textId="155BE444" w:rsidR="00314D25" w:rsidRPr="00B453CA" w:rsidRDefault="00314D25" w:rsidP="00D56CAE">
      <w:pPr>
        <w:pStyle w:val="BodyHeading"/>
      </w:pPr>
      <w:r w:rsidRPr="00B453CA">
        <w:t xml:space="preserve">Form of </w:t>
      </w:r>
      <w:r w:rsidR="005F10EA" w:rsidRPr="00B453CA">
        <w:t>Up-front Carbon Summary Reporting</w:t>
      </w:r>
      <w:r w:rsidR="00B726EF" w:rsidRPr="00B453CA">
        <w:t xml:space="preserve"> during Design</w:t>
      </w:r>
    </w:p>
    <w:p w14:paraId="051EF311" w14:textId="3CA3D7BE" w:rsidR="0018405A" w:rsidRPr="00B453CA" w:rsidRDefault="00225511" w:rsidP="00666E06">
      <w:r w:rsidRPr="00092FDE">
        <w:fldChar w:fldCharType="begin"/>
      </w:r>
      <w:r w:rsidRPr="00092FDE">
        <w:instrText xml:space="preserve"> REF _Ref149635573 \h </w:instrText>
      </w:r>
      <w:r w:rsidR="00092FDE">
        <w:instrText xml:space="preserve"> \* MERGEFORMAT </w:instrText>
      </w:r>
      <w:r w:rsidRPr="00092FDE">
        <w:fldChar w:fldCharType="separate"/>
      </w:r>
      <w:r w:rsidR="00092FDE" w:rsidRPr="00092FDE">
        <w:t xml:space="preserve">Figure </w:t>
      </w:r>
      <w:r w:rsidR="00092FDE" w:rsidRPr="00092FDE">
        <w:rPr>
          <w:noProof/>
        </w:rPr>
        <w:t>3</w:t>
      </w:r>
      <w:r w:rsidRPr="00092FDE">
        <w:fldChar w:fldCharType="end"/>
      </w:r>
      <w:r w:rsidR="00634C9B" w:rsidRPr="00B453CA">
        <w:t xml:space="preserve"> </w:t>
      </w:r>
      <w:r w:rsidR="003A6DFE" w:rsidRPr="00B453CA">
        <w:t>provides</w:t>
      </w:r>
      <w:r w:rsidR="00F22A71" w:rsidRPr="00B453CA">
        <w:t xml:space="preserve"> </w:t>
      </w:r>
      <w:r w:rsidR="00A41286" w:rsidRPr="00B453CA">
        <w:t xml:space="preserve">an </w:t>
      </w:r>
      <w:r w:rsidR="00F22A71" w:rsidRPr="00B453CA">
        <w:t>example format of presentation</w:t>
      </w:r>
      <w:r w:rsidR="002C6102" w:rsidRPr="00B453CA">
        <w:t xml:space="preserve"> for breaking down emissions contributions from structural and geotechnical disciplines</w:t>
      </w:r>
      <w:r w:rsidR="007F4E39" w:rsidRPr="00B453CA">
        <w:t>.</w:t>
      </w:r>
      <w:r w:rsidR="00F22A71" w:rsidRPr="00B453CA">
        <w:t xml:space="preserve"> </w:t>
      </w:r>
      <w:r w:rsidR="00C35A50" w:rsidRPr="00B453CA">
        <w:t xml:space="preserve">The level of detail given </w:t>
      </w:r>
      <w:r w:rsidR="00BC6416" w:rsidRPr="00B453CA">
        <w:t xml:space="preserve">is considered generally appropriate for </w:t>
      </w:r>
      <w:r w:rsidR="0002267E" w:rsidRPr="00B453CA">
        <w:t xml:space="preserve">informing </w:t>
      </w:r>
      <w:r w:rsidR="00BC6416" w:rsidRPr="00B453CA">
        <w:t>Concept to Developed Design phases</w:t>
      </w:r>
      <w:r w:rsidR="00C01DDF">
        <w:t xml:space="preserve"> </w:t>
      </w:r>
      <w:r w:rsidR="0018405A" w:rsidRPr="00B453CA">
        <w:t>enabling easy visual interpretation of the significant sources of emissions</w:t>
      </w:r>
      <w:r w:rsidR="009E314B" w:rsidRPr="00B453CA">
        <w:t>.</w:t>
      </w:r>
      <w:r w:rsidR="00EB646B" w:rsidRPr="00B453CA">
        <w:t xml:space="preserve"> Other examples are available</w:t>
      </w:r>
      <w:r w:rsidR="007B7258" w:rsidRPr="00B453CA">
        <w:t xml:space="preserve">, including </w:t>
      </w:r>
      <w:r w:rsidR="00432105" w:rsidRPr="00B453CA">
        <w:t>within</w:t>
      </w:r>
      <w:r w:rsidR="00B956F7" w:rsidRPr="00B453CA">
        <w:t xml:space="preserve"> SESOCs </w:t>
      </w:r>
      <w:r w:rsidR="00B956F7" w:rsidRPr="00B453CA">
        <w:rPr>
          <w:i/>
          <w:iCs/>
        </w:rPr>
        <w:t>Top Tips for Low Carbon Design</w:t>
      </w:r>
      <w:r w:rsidR="00432105" w:rsidRPr="00B453CA">
        <w:t xml:space="preserve"> </w:t>
      </w:r>
      <w:sdt>
        <w:sdtPr>
          <w:id w:val="1592578072"/>
          <w:citation/>
        </w:sdtPr>
        <w:sdtEndPr/>
        <w:sdtContent>
          <w:r w:rsidR="00432105" w:rsidRPr="00B453CA">
            <w:fldChar w:fldCharType="begin"/>
          </w:r>
          <w:r w:rsidR="00432105" w:rsidRPr="00B453CA">
            <w:rPr>
              <w:lang w:val="en-US"/>
            </w:rPr>
            <w:instrText xml:space="preserve"> CITATION SES24 \l 1033 </w:instrText>
          </w:r>
          <w:r w:rsidR="00432105" w:rsidRPr="00B453CA">
            <w:fldChar w:fldCharType="separate"/>
          </w:r>
          <w:r w:rsidR="00222D65">
            <w:rPr>
              <w:noProof/>
              <w:lang w:val="en-US"/>
            </w:rPr>
            <w:t>(SESOC, 2024)</w:t>
          </w:r>
          <w:r w:rsidR="00432105" w:rsidRPr="00B453CA">
            <w:fldChar w:fldCharType="end"/>
          </w:r>
        </w:sdtContent>
      </w:sdt>
      <w:r w:rsidR="00B956F7" w:rsidRPr="00B453CA">
        <w:t xml:space="preserve">, </w:t>
      </w:r>
      <w:r w:rsidR="00547C4D" w:rsidRPr="00B453CA">
        <w:t xml:space="preserve">and </w:t>
      </w:r>
      <w:r w:rsidR="000D3CA9" w:rsidRPr="00B453CA">
        <w:t xml:space="preserve">various </w:t>
      </w:r>
      <w:r w:rsidR="00432105" w:rsidRPr="00B453CA">
        <w:t>resource</w:t>
      </w:r>
      <w:r w:rsidR="008517C0" w:rsidRPr="00B453CA">
        <w:t xml:space="preserve">s </w:t>
      </w:r>
      <w:r w:rsidR="00547C4D" w:rsidRPr="00B453CA">
        <w:t xml:space="preserve">or calculation tool outputs </w:t>
      </w:r>
      <w:r w:rsidR="008517C0" w:rsidRPr="00B453CA">
        <w:t>referenced</w:t>
      </w:r>
      <w:r w:rsidR="00505A12" w:rsidRPr="00B453CA">
        <w:t xml:space="preserve"> in SESOCs </w:t>
      </w:r>
      <w:r w:rsidR="00505A12" w:rsidRPr="00B453CA">
        <w:rPr>
          <w:i/>
          <w:iCs/>
        </w:rPr>
        <w:t>Low Carbon Design Resource Map</w:t>
      </w:r>
      <w:r w:rsidR="00547C4D" w:rsidRPr="00B453CA">
        <w:rPr>
          <w:i/>
          <w:iCs/>
        </w:rPr>
        <w:t xml:space="preserve"> </w:t>
      </w:r>
      <w:sdt>
        <w:sdtPr>
          <w:rPr>
            <w:i/>
            <w:iCs/>
          </w:rPr>
          <w:id w:val="1996064201"/>
          <w:citation/>
        </w:sdtPr>
        <w:sdtEndPr/>
        <w:sdtContent>
          <w:r w:rsidR="007F26D4" w:rsidRPr="00B453CA">
            <w:rPr>
              <w:i/>
              <w:iCs/>
            </w:rPr>
            <w:fldChar w:fldCharType="begin"/>
          </w:r>
          <w:r w:rsidR="007F26D4" w:rsidRPr="00B453CA">
            <w:rPr>
              <w:i/>
              <w:iCs/>
              <w:lang w:val="en-US"/>
            </w:rPr>
            <w:instrText xml:space="preserve"> CITATION SES241 \l 1033 </w:instrText>
          </w:r>
          <w:r w:rsidR="007F26D4" w:rsidRPr="00B453CA">
            <w:rPr>
              <w:i/>
              <w:iCs/>
            </w:rPr>
            <w:fldChar w:fldCharType="separate"/>
          </w:r>
          <w:r w:rsidR="00222D65">
            <w:rPr>
              <w:noProof/>
              <w:lang w:val="en-US"/>
            </w:rPr>
            <w:t>(SESOC, 2024)</w:t>
          </w:r>
          <w:r w:rsidR="007F26D4" w:rsidRPr="00B453CA">
            <w:rPr>
              <w:i/>
              <w:iCs/>
            </w:rPr>
            <w:fldChar w:fldCharType="end"/>
          </w:r>
        </w:sdtContent>
      </w:sdt>
      <w:r w:rsidR="005273FD">
        <w:rPr>
          <w:i/>
          <w:iCs/>
        </w:rPr>
        <w:t xml:space="preserve"> </w:t>
      </w:r>
      <w:r w:rsidR="000D3CA9" w:rsidRPr="00B453CA">
        <w:t>f</w:t>
      </w:r>
      <w:r w:rsidR="0014712E" w:rsidRPr="00B453CA">
        <w:t xml:space="preserve">ollow these links to the </w:t>
      </w:r>
      <w:hyperlink r:id="rId31" w:history="1">
        <w:r w:rsidR="0014712E" w:rsidRPr="00B453CA">
          <w:rPr>
            <w:rStyle w:val="Hyperlink"/>
            <w:color w:val="0070C0"/>
          </w:rPr>
          <w:t>hyperlinked/printable version</w:t>
        </w:r>
      </w:hyperlink>
      <w:r w:rsidR="0014712E" w:rsidRPr="00B453CA">
        <w:t xml:space="preserve"> or the </w:t>
      </w:r>
      <w:hyperlink r:id="rId32" w:history="1">
        <w:r w:rsidR="0014712E" w:rsidRPr="00B453CA">
          <w:rPr>
            <w:rStyle w:val="Hyperlink"/>
            <w:color w:val="0070C0"/>
          </w:rPr>
          <w:t>online interactive version</w:t>
        </w:r>
      </w:hyperlink>
      <w:r w:rsidR="0014712E" w:rsidRPr="00B453CA">
        <w:t>.</w:t>
      </w:r>
    </w:p>
    <w:p w14:paraId="09DBC75B" w14:textId="6EC3349D" w:rsidR="005F10EA" w:rsidRPr="00B453CA" w:rsidRDefault="005243C3" w:rsidP="00666E06">
      <w:r w:rsidRPr="00B453CA">
        <w:t xml:space="preserve">A more </w:t>
      </w:r>
      <w:r w:rsidR="00E2688B" w:rsidRPr="00B453CA">
        <w:t>complete</w:t>
      </w:r>
      <w:r w:rsidRPr="00B453CA">
        <w:t xml:space="preserve"> list </w:t>
      </w:r>
      <w:r w:rsidR="00556D7C" w:rsidRPr="00B453CA">
        <w:t xml:space="preserve">of </w:t>
      </w:r>
      <w:r w:rsidR="00AF2AE0" w:rsidRPr="00B453CA">
        <w:t xml:space="preserve">the assigned </w:t>
      </w:r>
      <w:r w:rsidR="00556D7C" w:rsidRPr="00B453CA">
        <w:t>kg</w:t>
      </w:r>
      <w:r w:rsidR="0058435F" w:rsidRPr="00B453CA">
        <w:t>-</w:t>
      </w:r>
      <w:r w:rsidR="00556D7C" w:rsidRPr="00B453CA">
        <w:t>C0</w:t>
      </w:r>
      <w:r w:rsidR="00556D7C" w:rsidRPr="00B453CA">
        <w:rPr>
          <w:vertAlign w:val="subscript"/>
        </w:rPr>
        <w:t>2</w:t>
      </w:r>
      <w:r w:rsidR="0058435F" w:rsidRPr="00B453CA">
        <w:t>-</w:t>
      </w:r>
      <w:r w:rsidR="00556D7C" w:rsidRPr="00B453CA">
        <w:t xml:space="preserve">eq/kg </w:t>
      </w:r>
      <w:r w:rsidR="00776783" w:rsidRPr="00B453CA">
        <w:t>EPD unit values</w:t>
      </w:r>
      <w:r w:rsidR="00AF2AE0" w:rsidRPr="00B453CA">
        <w:t xml:space="preserve"> that underly the calculations </w:t>
      </w:r>
      <w:r w:rsidR="00556D7C" w:rsidRPr="00B453CA">
        <w:t xml:space="preserve">would be required in latter phases and for input into </w:t>
      </w:r>
      <w:r w:rsidR="007D4124" w:rsidRPr="00B453CA">
        <w:t xml:space="preserve">final </w:t>
      </w:r>
      <w:r w:rsidR="007D4124" w:rsidRPr="00B453CA">
        <w:rPr>
          <w:i/>
          <w:iCs/>
        </w:rPr>
        <w:t>Up-Front Carbon</w:t>
      </w:r>
      <w:r w:rsidR="007D4124" w:rsidRPr="00B453CA">
        <w:t xml:space="preserve"> </w:t>
      </w:r>
      <w:r w:rsidR="007D4124" w:rsidRPr="00B453CA">
        <w:lastRenderedPageBreak/>
        <w:t xml:space="preserve">measurements and </w:t>
      </w:r>
      <w:r w:rsidR="00995AA0" w:rsidRPr="00B453CA">
        <w:t>full LCA</w:t>
      </w:r>
      <w:r w:rsidR="00C01DDF">
        <w:t xml:space="preserve"> </w:t>
      </w:r>
      <w:r w:rsidR="009B6AB6" w:rsidRPr="00B453CA">
        <w:t>and may need to be appended</w:t>
      </w:r>
      <w:r w:rsidR="00E845F9" w:rsidRPr="00B453CA">
        <w:t xml:space="preserve"> to reporting or calculations</w:t>
      </w:r>
      <w:r w:rsidR="0058435F" w:rsidRPr="00B453CA">
        <w:t>. However,</w:t>
      </w:r>
      <w:r w:rsidR="00995AA0" w:rsidRPr="00B453CA">
        <w:t xml:space="preserve"> it should be possible to summarise the </w:t>
      </w:r>
      <w:r w:rsidR="00E845F9" w:rsidRPr="00B453CA">
        <w:t>most relevant unit values for presentation purposes</w:t>
      </w:r>
      <w:r w:rsidR="00995AA0" w:rsidRPr="00B453CA">
        <w:t>.</w:t>
      </w:r>
    </w:p>
    <w:p w14:paraId="0BC5FF54" w14:textId="2CC2D378" w:rsidR="005246BB" w:rsidRDefault="005246BB" w:rsidP="00666E06">
      <w:r>
        <w:rPr>
          <w:noProof/>
        </w:rPr>
        <w:drawing>
          <wp:inline distT="0" distB="0" distL="0" distR="0" wp14:anchorId="3486F7A7" wp14:editId="237029A5">
            <wp:extent cx="5723907" cy="3673801"/>
            <wp:effectExtent l="0" t="0" r="0" b="3175"/>
            <wp:docPr id="1034275648" name="Picture 1034275648"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2756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913" cy="3680223"/>
                    </a:xfrm>
                    <a:prstGeom prst="rect">
                      <a:avLst/>
                    </a:prstGeom>
                  </pic:spPr>
                </pic:pic>
              </a:graphicData>
            </a:graphic>
          </wp:inline>
        </w:drawing>
      </w:r>
    </w:p>
    <w:p w14:paraId="79065FD5" w14:textId="2264B0E3" w:rsidR="00463EE6" w:rsidRPr="00092FDE" w:rsidRDefault="005246BB" w:rsidP="00BD1621">
      <w:pPr>
        <w:pStyle w:val="Figure"/>
        <w:rPr>
          <w:sz w:val="20"/>
          <w:szCs w:val="20"/>
        </w:rPr>
      </w:pPr>
      <w:bookmarkStart w:id="118" w:name="_Ref149635573"/>
      <w:r w:rsidRPr="00092FDE">
        <w:rPr>
          <w:sz w:val="20"/>
          <w:szCs w:val="20"/>
        </w:rPr>
        <w:t xml:space="preserve">Figure </w:t>
      </w:r>
      <w:r w:rsidRPr="00092FDE">
        <w:rPr>
          <w:sz w:val="20"/>
          <w:szCs w:val="20"/>
        </w:rPr>
        <w:fldChar w:fldCharType="begin"/>
      </w:r>
      <w:r w:rsidRPr="00092FDE">
        <w:rPr>
          <w:sz w:val="20"/>
          <w:szCs w:val="20"/>
        </w:rPr>
        <w:instrText>SEQ Figure \* ARABIC</w:instrText>
      </w:r>
      <w:r w:rsidRPr="00092FDE">
        <w:rPr>
          <w:sz w:val="20"/>
          <w:szCs w:val="20"/>
        </w:rPr>
        <w:fldChar w:fldCharType="separate"/>
      </w:r>
      <w:r w:rsidR="00092FDE">
        <w:rPr>
          <w:noProof/>
          <w:sz w:val="20"/>
          <w:szCs w:val="20"/>
        </w:rPr>
        <w:t>3</w:t>
      </w:r>
      <w:r w:rsidRPr="00092FDE">
        <w:rPr>
          <w:sz w:val="20"/>
          <w:szCs w:val="20"/>
        </w:rPr>
        <w:fldChar w:fldCharType="end"/>
      </w:r>
      <w:bookmarkEnd w:id="118"/>
      <w:r w:rsidRPr="00092FDE">
        <w:rPr>
          <w:sz w:val="20"/>
          <w:szCs w:val="20"/>
        </w:rPr>
        <w:t xml:space="preserve">: </w:t>
      </w:r>
      <w:r w:rsidR="007F4E39" w:rsidRPr="00092FDE">
        <w:rPr>
          <w:sz w:val="20"/>
          <w:szCs w:val="20"/>
        </w:rPr>
        <w:t>Example format of presentation</w:t>
      </w:r>
      <w:r w:rsidR="006A18FD" w:rsidRPr="00092FDE">
        <w:rPr>
          <w:sz w:val="20"/>
          <w:szCs w:val="20"/>
        </w:rPr>
        <w:t xml:space="preserve"> for </w:t>
      </w:r>
      <w:r w:rsidR="00BB584F" w:rsidRPr="00092FDE">
        <w:rPr>
          <w:sz w:val="20"/>
          <w:szCs w:val="20"/>
        </w:rPr>
        <w:t>Stru</w:t>
      </w:r>
      <w:r w:rsidR="00AD54CC" w:rsidRPr="00092FDE">
        <w:rPr>
          <w:sz w:val="20"/>
          <w:szCs w:val="20"/>
        </w:rPr>
        <w:t>c</w:t>
      </w:r>
      <w:r w:rsidR="00BB584F" w:rsidRPr="00092FDE">
        <w:rPr>
          <w:sz w:val="20"/>
          <w:szCs w:val="20"/>
        </w:rPr>
        <w:t xml:space="preserve">tural Embodied Carbon </w:t>
      </w:r>
      <w:r w:rsidR="006A18FD" w:rsidRPr="00092FDE">
        <w:rPr>
          <w:sz w:val="20"/>
          <w:szCs w:val="20"/>
        </w:rPr>
        <w:t>Modules A1-A3</w:t>
      </w:r>
      <w:r w:rsidR="00A17600" w:rsidRPr="00092FDE">
        <w:rPr>
          <w:sz w:val="20"/>
          <w:szCs w:val="20"/>
        </w:rPr>
        <w:t xml:space="preserve"> (excluding </w:t>
      </w:r>
      <w:r w:rsidR="00465305" w:rsidRPr="00092FDE">
        <w:rPr>
          <w:sz w:val="20"/>
          <w:szCs w:val="20"/>
        </w:rPr>
        <w:t>“removals” or</w:t>
      </w:r>
      <w:r w:rsidR="00A17600" w:rsidRPr="00092FDE">
        <w:rPr>
          <w:sz w:val="20"/>
          <w:szCs w:val="20"/>
        </w:rPr>
        <w:t xml:space="preserve"> GWP-stored), </w:t>
      </w:r>
      <w:r w:rsidR="00BB584F" w:rsidRPr="00092FDE">
        <w:rPr>
          <w:sz w:val="20"/>
          <w:szCs w:val="20"/>
        </w:rPr>
        <w:t xml:space="preserve">representing the general level of detail </w:t>
      </w:r>
      <w:r w:rsidR="001B3C72" w:rsidRPr="00092FDE">
        <w:rPr>
          <w:sz w:val="20"/>
          <w:szCs w:val="20"/>
        </w:rPr>
        <w:t xml:space="preserve">considered </w:t>
      </w:r>
      <w:r w:rsidR="00BB584F" w:rsidRPr="00092FDE">
        <w:rPr>
          <w:sz w:val="20"/>
          <w:szCs w:val="20"/>
        </w:rPr>
        <w:t>appropriate for Concept through Developed Design</w:t>
      </w:r>
      <w:r w:rsidR="006A18FD" w:rsidRPr="00092FDE">
        <w:rPr>
          <w:sz w:val="20"/>
          <w:szCs w:val="20"/>
        </w:rPr>
        <w:t>.</w:t>
      </w:r>
    </w:p>
    <w:p w14:paraId="34CF29A9" w14:textId="427E1D91" w:rsidR="0089268E" w:rsidRPr="00B453CA" w:rsidRDefault="00E133D0" w:rsidP="00EF3F6E">
      <w:pPr>
        <w:pStyle w:val="NumbHeading2"/>
      </w:pPr>
      <w:bookmarkStart w:id="119" w:name="_Toc147899130"/>
      <w:bookmarkStart w:id="120" w:name="_Ref150752924"/>
      <w:bookmarkStart w:id="121" w:name="_Toc203641943"/>
      <w:r w:rsidRPr="00B453CA">
        <w:t>Geotechnical Reporting</w:t>
      </w:r>
      <w:bookmarkEnd w:id="119"/>
      <w:bookmarkEnd w:id="120"/>
      <w:bookmarkEnd w:id="121"/>
    </w:p>
    <w:p w14:paraId="44774361" w14:textId="2F53AF41" w:rsidR="002F7BD4" w:rsidRPr="00B453CA" w:rsidRDefault="00961E17" w:rsidP="00666E06">
      <w:r w:rsidRPr="00B453CA">
        <w:t xml:space="preserve">The design team should ensure that a comprehensive Geotechnical Report appropriate to the project </w:t>
      </w:r>
      <w:r w:rsidR="001463FF" w:rsidRPr="00B453CA">
        <w:t xml:space="preserve">design </w:t>
      </w:r>
      <w:r w:rsidRPr="00B453CA">
        <w:t xml:space="preserve">phase is provided </w:t>
      </w:r>
      <w:r w:rsidR="00CF4382" w:rsidRPr="00B453CA">
        <w:t xml:space="preserve">prior to the commencement </w:t>
      </w:r>
      <w:r w:rsidRPr="00B453CA">
        <w:t>of planning and design work for that phase.</w:t>
      </w:r>
      <w:r w:rsidR="009F6008">
        <w:t xml:space="preserve"> </w:t>
      </w:r>
      <w:r w:rsidR="00997497" w:rsidRPr="00B453CA">
        <w:t xml:space="preserve">Reference is made to </w:t>
      </w:r>
      <w:r w:rsidR="002F7BD4" w:rsidRPr="00B453CA">
        <w:t>Earthquake Geotechnical Practice Guidelines</w:t>
      </w:r>
      <w:r w:rsidR="00997497" w:rsidRPr="00B453CA">
        <w:t>,</w:t>
      </w:r>
      <w:r w:rsidR="002F7BD4" w:rsidRPr="00B453CA">
        <w:t xml:space="preserve"> Module 2</w:t>
      </w:r>
      <w:r w:rsidR="00900BA8" w:rsidRPr="00B453CA">
        <w:t xml:space="preserve">: </w:t>
      </w:r>
      <w:r w:rsidR="00900BA8" w:rsidRPr="00B453CA">
        <w:rPr>
          <w:i/>
          <w:iCs/>
        </w:rPr>
        <w:t>Geotechnical Investigations for Earthquake Engineering</w:t>
      </w:r>
      <w:r w:rsidR="00997497" w:rsidRPr="00B453CA">
        <w:t xml:space="preserve"> </w:t>
      </w:r>
      <w:r w:rsidR="0021008E" w:rsidRPr="00B453CA">
        <w:t>(</w:t>
      </w:r>
      <w:r w:rsidR="00693B40" w:rsidRPr="00B453CA">
        <w:t>2021 or most recent version</w:t>
      </w:r>
      <w:r w:rsidR="0021008E" w:rsidRPr="00B453CA">
        <w:t>)</w:t>
      </w:r>
      <w:r w:rsidR="00997497" w:rsidRPr="00B453CA">
        <w:t xml:space="preserve"> which </w:t>
      </w:r>
      <w:r w:rsidR="00667373" w:rsidRPr="00B453CA">
        <w:t>contains guidance on the preparation of geotechnical reports</w:t>
      </w:r>
      <w:r w:rsidR="19139518" w:rsidRPr="00B453CA">
        <w:t>.</w:t>
      </w:r>
    </w:p>
    <w:p w14:paraId="063CD0FE" w14:textId="74097131" w:rsidR="09D16DD1" w:rsidRPr="00B453CA" w:rsidRDefault="00C950B4" w:rsidP="00666E06">
      <w:r w:rsidRPr="00B453CA">
        <w:t>E</w:t>
      </w:r>
      <w:r w:rsidR="3C80E4CF" w:rsidRPr="00B453CA">
        <w:t xml:space="preserve">arly geotechnical reporting should be updated with any additional </w:t>
      </w:r>
      <w:r w:rsidR="008D0156" w:rsidRPr="00B453CA">
        <w:t>stages</w:t>
      </w:r>
      <w:r w:rsidR="3C80E4CF" w:rsidRPr="00B453CA">
        <w:t xml:space="preserve"> of investigation</w:t>
      </w:r>
      <w:r w:rsidR="008D0156" w:rsidRPr="00B453CA">
        <w:t>, modelling</w:t>
      </w:r>
      <w:r w:rsidR="008F3F04" w:rsidRPr="00B453CA">
        <w:t>/calculation or advice that are carrying out in the course of design,</w:t>
      </w:r>
      <w:r w:rsidR="3C80E4CF" w:rsidRPr="00B453CA">
        <w:t xml:space="preserve"> so that a fully comprehensive, stand-alone geotechnical report is available for each </w:t>
      </w:r>
      <w:r w:rsidR="00675B89" w:rsidRPr="00B453CA">
        <w:t>phase</w:t>
      </w:r>
      <w:r w:rsidR="3C80E4CF" w:rsidRPr="00B453CA">
        <w:t xml:space="preserve"> of planning and design. Addendum reports, memos and letters are not acceptable in this regard as they complicate project documentation and compromise project archiving for future reference purposes.</w:t>
      </w:r>
    </w:p>
    <w:p w14:paraId="3DD709D1" w14:textId="682F00B1" w:rsidR="00D14BDA" w:rsidRPr="00B453CA" w:rsidRDefault="00D03D1F" w:rsidP="00666E06">
      <w:r w:rsidRPr="00B453CA">
        <w:t xml:space="preserve">Further to that guidance, </w:t>
      </w:r>
      <w:r w:rsidR="007D5C79">
        <w:t xml:space="preserve">Health NZ </w:t>
      </w:r>
      <w:r w:rsidRPr="00B453CA">
        <w:t>requires the provision of a combined ‘interpretive’ and ‘factual’ geotechnical report (i.e. more than a ‘summary’ or ‘memo’).</w:t>
      </w:r>
    </w:p>
    <w:p w14:paraId="037086EF" w14:textId="55BB0EF4" w:rsidR="00396E28" w:rsidRPr="00B453CA" w:rsidRDefault="00396E28" w:rsidP="00D56CAE">
      <w:pPr>
        <w:pStyle w:val="BodyHeading"/>
      </w:pPr>
      <w:r w:rsidRPr="00B453CA">
        <w:lastRenderedPageBreak/>
        <w:t xml:space="preserve">Investigative </w:t>
      </w:r>
      <w:r w:rsidR="009441E5" w:rsidRPr="00B453CA">
        <w:t>r</w:t>
      </w:r>
      <w:r w:rsidRPr="00B453CA">
        <w:t>eporting</w:t>
      </w:r>
      <w:r w:rsidR="009441E5" w:rsidRPr="00B453CA">
        <w:t xml:space="preserve"> and interpretation</w:t>
      </w:r>
    </w:p>
    <w:p w14:paraId="57E28165" w14:textId="20C7E6DD" w:rsidR="00D07723" w:rsidRPr="00B453CA" w:rsidRDefault="00D07723" w:rsidP="00666E06">
      <w:r w:rsidRPr="00B453CA">
        <w:t>A site plan showing the location of all investigation data points is essential, and where possible this should also depict the location of any proposed buildings. Where appropriate, site geotechnical cross-sections, and site hazard zonation plans (e.g. for Master</w:t>
      </w:r>
      <w:r w:rsidR="00E821A9">
        <w:t>p</w:t>
      </w:r>
      <w:r w:rsidRPr="00B453CA">
        <w:t xml:space="preserve">lanning purposes) are to be appended to the geotechnical report. </w:t>
      </w:r>
    </w:p>
    <w:p w14:paraId="16911BC1" w14:textId="658727AE" w:rsidR="00D07723" w:rsidRPr="00B453CA" w:rsidRDefault="00D07723" w:rsidP="00666E06">
      <w:r w:rsidRPr="00B453CA">
        <w:t>All borelogs, CPT traces, V</w:t>
      </w:r>
      <w:r w:rsidR="4EE7B713" w:rsidRPr="00B453CA">
        <w:rPr>
          <w:vertAlign w:val="subscript"/>
        </w:rPr>
        <w:t>s</w:t>
      </w:r>
      <w:r w:rsidRPr="00B453CA">
        <w:t xml:space="preserve"> profiles, </w:t>
      </w:r>
      <w:r w:rsidR="009828BB" w:rsidRPr="00B453CA">
        <w:t xml:space="preserve">representative </w:t>
      </w:r>
      <w:r w:rsidRPr="00B453CA">
        <w:t xml:space="preserve">liquefaction analysis outputs (showing the location within the soil profile of the liquefiable layers, and their contribution to the hazard), and the like are to be appended to the geotechnical report. </w:t>
      </w:r>
    </w:p>
    <w:p w14:paraId="4DB53EFC" w14:textId="7DE7584A" w:rsidR="00396E28" w:rsidRPr="00B453CA" w:rsidRDefault="008E3709" w:rsidP="00D56CAE">
      <w:pPr>
        <w:pStyle w:val="BodyHeading"/>
      </w:pPr>
      <w:r w:rsidRPr="00B453CA">
        <w:t>Geotechnical Engineering Advice</w:t>
      </w:r>
    </w:p>
    <w:p w14:paraId="2778C8DB" w14:textId="132C4C61" w:rsidR="00FB75FE" w:rsidRPr="00B453CA" w:rsidRDefault="00FB75FE" w:rsidP="00666E06">
      <w:r w:rsidRPr="00B453CA">
        <w:t xml:space="preserve">Geotechnical reporting at every project stage </w:t>
      </w:r>
      <w:r w:rsidR="1B0A88E1" w:rsidRPr="00B453CA">
        <w:t>or phase</w:t>
      </w:r>
      <w:r w:rsidRPr="00B453CA">
        <w:t xml:space="preserve"> </w:t>
      </w:r>
      <w:r w:rsidR="00150B3C" w:rsidRPr="00B453CA">
        <w:t>should</w:t>
      </w:r>
      <w:r w:rsidRPr="00B453CA">
        <w:t xml:space="preserve"> provide comprehensive and technically justified advice</w:t>
      </w:r>
      <w:r w:rsidR="00A43953">
        <w:t xml:space="preserve">. </w:t>
      </w:r>
      <w:r w:rsidR="677466A2" w:rsidRPr="00B453CA">
        <w:t>The report should comment</w:t>
      </w:r>
      <w:r w:rsidRPr="00B453CA">
        <w:t xml:space="preserve"> on </w:t>
      </w:r>
      <w:r w:rsidR="298573C2" w:rsidRPr="00B453CA">
        <w:t xml:space="preserve">geomorphology, </w:t>
      </w:r>
      <w:r w:rsidRPr="00B453CA">
        <w:t xml:space="preserve">soil/rock types and depths, </w:t>
      </w:r>
      <w:r w:rsidR="0027FCFF" w:rsidRPr="00B453CA">
        <w:t>and groundwater</w:t>
      </w:r>
      <w:r w:rsidR="77C05F64" w:rsidRPr="00B453CA">
        <w:t>.</w:t>
      </w:r>
      <w:r w:rsidR="0027FCFF" w:rsidRPr="00B453CA">
        <w:t xml:space="preserve"> </w:t>
      </w:r>
      <w:r w:rsidR="5E86889C" w:rsidRPr="00B453CA">
        <w:t>A</w:t>
      </w:r>
      <w:r w:rsidR="0AC961EC" w:rsidRPr="00B453CA">
        <w:t xml:space="preserve">dvice </w:t>
      </w:r>
      <w:r w:rsidR="384BE157" w:rsidRPr="00B453CA">
        <w:t>must also</w:t>
      </w:r>
      <w:r w:rsidR="290BF76D" w:rsidRPr="00B453CA">
        <w:t xml:space="preserve"> be provided</w:t>
      </w:r>
      <w:r w:rsidR="0AC961EC" w:rsidRPr="00B453CA">
        <w:t xml:space="preserve"> on</w:t>
      </w:r>
      <w:r w:rsidR="24A21EE6" w:rsidRPr="00B453CA">
        <w:t xml:space="preserve"> </w:t>
      </w:r>
      <w:r w:rsidRPr="00B453CA">
        <w:t xml:space="preserve">appropriate foundation types, </w:t>
      </w:r>
      <w:r w:rsidR="554907BA" w:rsidRPr="00B453CA">
        <w:t>with</w:t>
      </w:r>
      <w:r w:rsidRPr="00B453CA">
        <w:t xml:space="preserve"> specific design data </w:t>
      </w:r>
      <w:r w:rsidR="0A9A0F7B" w:rsidRPr="00B453CA">
        <w:t xml:space="preserve">for the selection and sizing of foundations appropriate to the stage of design. </w:t>
      </w:r>
      <w:r w:rsidR="4A4DB8EC" w:rsidRPr="00B453CA">
        <w:t>Typical g</w:t>
      </w:r>
      <w:r w:rsidR="0D875688" w:rsidRPr="00B453CA">
        <w:t>eotechnical d</w:t>
      </w:r>
      <w:r w:rsidR="0A9A0F7B" w:rsidRPr="00B453CA">
        <w:t xml:space="preserve">esign data </w:t>
      </w:r>
      <w:r w:rsidR="71CB974F" w:rsidRPr="00B453CA">
        <w:t xml:space="preserve">and advice </w:t>
      </w:r>
      <w:r w:rsidR="0A9A0F7B" w:rsidRPr="00B453CA">
        <w:t>include</w:t>
      </w:r>
      <w:r w:rsidR="2696605C" w:rsidRPr="00B453CA">
        <w:t>s (but is not limited to)</w:t>
      </w:r>
      <w:r w:rsidR="64FD202E" w:rsidRPr="00B453CA">
        <w:t xml:space="preserve"> the following examples</w:t>
      </w:r>
      <w:r w:rsidR="2696605C" w:rsidRPr="00B453CA">
        <w:t>:</w:t>
      </w:r>
    </w:p>
    <w:p w14:paraId="75249CDE" w14:textId="1B6CEF5C" w:rsidR="00FB75FE" w:rsidRPr="00B453CA" w:rsidRDefault="55F28CBA" w:rsidP="004D55F1">
      <w:pPr>
        <w:pStyle w:val="ListParagraph"/>
        <w:numPr>
          <w:ilvl w:val="0"/>
          <w:numId w:val="9"/>
        </w:numPr>
      </w:pPr>
      <w:r w:rsidRPr="00B453CA">
        <w:t xml:space="preserve">Foundation </w:t>
      </w:r>
      <w:r w:rsidR="00FB75FE" w:rsidRPr="00B453CA">
        <w:t>capacities</w:t>
      </w:r>
      <w:r w:rsidR="517BE754" w:rsidRPr="00B453CA">
        <w:t xml:space="preserve"> and depths (for both shallow and deep foundations</w:t>
      </w:r>
      <w:r w:rsidR="7BFDF62A" w:rsidRPr="00B453CA">
        <w:t>)</w:t>
      </w:r>
      <w:r w:rsidR="61AE6945" w:rsidRPr="00B453CA">
        <w:t>,</w:t>
      </w:r>
    </w:p>
    <w:p w14:paraId="3FEC4F9A" w14:textId="20E57B83" w:rsidR="00FB75FE" w:rsidRPr="00B453CA" w:rsidRDefault="6090CE7A" w:rsidP="004D55F1">
      <w:pPr>
        <w:pStyle w:val="ListParagraph"/>
        <w:numPr>
          <w:ilvl w:val="0"/>
          <w:numId w:val="9"/>
        </w:numPr>
      </w:pPr>
      <w:r w:rsidRPr="00B453CA">
        <w:t>Settlements</w:t>
      </w:r>
      <w:r w:rsidR="6D99C705" w:rsidRPr="00B453CA">
        <w:t>,</w:t>
      </w:r>
    </w:p>
    <w:p w14:paraId="61794CC0" w14:textId="6402CA25" w:rsidR="00FB75FE" w:rsidRPr="00B453CA" w:rsidRDefault="6090CE7A" w:rsidP="004D55F1">
      <w:pPr>
        <w:pStyle w:val="ListParagraph"/>
        <w:numPr>
          <w:ilvl w:val="0"/>
          <w:numId w:val="9"/>
        </w:numPr>
      </w:pPr>
      <w:r w:rsidRPr="00B453CA">
        <w:t>Spring</w:t>
      </w:r>
      <w:r w:rsidR="00FB75FE" w:rsidRPr="00B453CA">
        <w:t xml:space="preserve"> stiffnesses</w:t>
      </w:r>
      <w:r w:rsidR="7BBE589E" w:rsidRPr="00B453CA">
        <w:t>,</w:t>
      </w:r>
      <w:r w:rsidRPr="00B453CA">
        <w:t xml:space="preserve"> </w:t>
      </w:r>
    </w:p>
    <w:p w14:paraId="22B79BC8" w14:textId="64AACE10" w:rsidR="00FB75FE" w:rsidRPr="00B453CA" w:rsidRDefault="6090CE7A" w:rsidP="004D55F1">
      <w:pPr>
        <w:pStyle w:val="ListParagraph"/>
        <w:numPr>
          <w:ilvl w:val="0"/>
          <w:numId w:val="9"/>
        </w:numPr>
      </w:pPr>
      <w:r w:rsidRPr="00B453CA">
        <w:t>Liquefaction</w:t>
      </w:r>
      <w:r w:rsidR="00FB75FE" w:rsidRPr="00B453CA">
        <w:t xml:space="preserve"> deformations</w:t>
      </w:r>
      <w:r w:rsidR="7BBE589E" w:rsidRPr="00B453CA">
        <w:t>,</w:t>
      </w:r>
    </w:p>
    <w:p w14:paraId="76333356" w14:textId="7DBE570E" w:rsidR="4F4B495D" w:rsidRPr="00B453CA" w:rsidRDefault="4F4B495D" w:rsidP="004D55F1">
      <w:pPr>
        <w:pStyle w:val="ListParagraph"/>
        <w:numPr>
          <w:ilvl w:val="0"/>
          <w:numId w:val="9"/>
        </w:numPr>
      </w:pPr>
      <w:r w:rsidRPr="00B453CA">
        <w:t>Other seismic deformations</w:t>
      </w:r>
      <w:r w:rsidR="4BFD5BDC" w:rsidRPr="00B453CA">
        <w:t>,</w:t>
      </w:r>
    </w:p>
    <w:p w14:paraId="14ADC41A" w14:textId="5803D59F" w:rsidR="23D5E9A4" w:rsidRPr="00B453CA" w:rsidRDefault="23D5E9A4" w:rsidP="004D55F1">
      <w:pPr>
        <w:pStyle w:val="ListParagraph"/>
        <w:numPr>
          <w:ilvl w:val="0"/>
          <w:numId w:val="9"/>
        </w:numPr>
      </w:pPr>
      <w:r w:rsidRPr="00B453CA">
        <w:t>Seismic site class</w:t>
      </w:r>
      <w:r w:rsidR="7F78B4CB" w:rsidRPr="00B453CA">
        <w:t>,</w:t>
      </w:r>
    </w:p>
    <w:p w14:paraId="1B891C3B" w14:textId="3A95D4D4" w:rsidR="00FB75FE" w:rsidRPr="00B453CA" w:rsidRDefault="6090CE7A" w:rsidP="004D55F1">
      <w:pPr>
        <w:pStyle w:val="ListParagraph"/>
        <w:numPr>
          <w:ilvl w:val="0"/>
          <w:numId w:val="9"/>
        </w:numPr>
      </w:pPr>
      <w:r w:rsidRPr="00B453CA">
        <w:t>Expansive soil properties</w:t>
      </w:r>
      <w:r w:rsidR="2574DD5D" w:rsidRPr="00B453CA">
        <w:t>,</w:t>
      </w:r>
    </w:p>
    <w:p w14:paraId="7CE039DB" w14:textId="091FE3C4" w:rsidR="4BD3E0A5" w:rsidRPr="00B453CA" w:rsidRDefault="4BD3E0A5" w:rsidP="004D55F1">
      <w:pPr>
        <w:pStyle w:val="ListParagraph"/>
        <w:numPr>
          <w:ilvl w:val="0"/>
          <w:numId w:val="9"/>
        </w:numPr>
      </w:pPr>
      <w:r w:rsidRPr="00B453CA">
        <w:t>Slope stability and erosion,</w:t>
      </w:r>
    </w:p>
    <w:p w14:paraId="701F5839" w14:textId="1B6CCA0D" w:rsidR="00FB75FE" w:rsidRPr="00B453CA" w:rsidRDefault="6090CE7A" w:rsidP="004D55F1">
      <w:pPr>
        <w:pStyle w:val="ListParagraph"/>
        <w:numPr>
          <w:ilvl w:val="0"/>
          <w:numId w:val="9"/>
        </w:numPr>
      </w:pPr>
      <w:r w:rsidRPr="00B453CA">
        <w:t>Retaining</w:t>
      </w:r>
      <w:r w:rsidR="00FB75FE" w:rsidRPr="00B453CA">
        <w:t xml:space="preserve"> wall design parameters</w:t>
      </w:r>
      <w:r w:rsidR="01163B59" w:rsidRPr="00B453CA">
        <w:t>,</w:t>
      </w:r>
    </w:p>
    <w:p w14:paraId="12123BFB" w14:textId="7026AFE3" w:rsidR="00FB75FE" w:rsidRPr="00B453CA" w:rsidRDefault="01163B59" w:rsidP="004D55F1">
      <w:pPr>
        <w:pStyle w:val="ListParagraph"/>
        <w:numPr>
          <w:ilvl w:val="0"/>
          <w:numId w:val="9"/>
        </w:numPr>
      </w:pPr>
      <w:r w:rsidRPr="00B453CA">
        <w:t xml:space="preserve">Ground improvement, </w:t>
      </w:r>
    </w:p>
    <w:p w14:paraId="165A6DB4" w14:textId="2E19043B" w:rsidR="00FB75FE" w:rsidRPr="00B453CA" w:rsidRDefault="5E84811C" w:rsidP="004D55F1">
      <w:pPr>
        <w:pStyle w:val="ListParagraph"/>
        <w:numPr>
          <w:ilvl w:val="0"/>
          <w:numId w:val="9"/>
        </w:numPr>
      </w:pPr>
      <w:r w:rsidRPr="00B453CA">
        <w:t>G</w:t>
      </w:r>
      <w:r w:rsidR="01163B59" w:rsidRPr="00B453CA">
        <w:t>eothermal</w:t>
      </w:r>
      <w:r w:rsidR="66892299" w:rsidRPr="00B453CA">
        <w:t xml:space="preserve"> </w:t>
      </w:r>
      <w:r w:rsidRPr="00B453CA">
        <w:t>considerations</w:t>
      </w:r>
      <w:r w:rsidR="16A9645B" w:rsidRPr="00B453CA">
        <w:t>.</w:t>
      </w:r>
      <w:r w:rsidR="66892299" w:rsidRPr="00B453CA">
        <w:t xml:space="preserve"> </w:t>
      </w:r>
    </w:p>
    <w:p w14:paraId="3A0DFB92" w14:textId="75FB0916" w:rsidR="66892299" w:rsidRPr="00B453CA" w:rsidRDefault="5E84811C" w:rsidP="00666E06">
      <w:r w:rsidRPr="00B453CA">
        <w:t xml:space="preserve">This list is not necessarily comprehensive </w:t>
      </w:r>
      <w:r w:rsidR="67E81B07" w:rsidRPr="00B453CA">
        <w:t xml:space="preserve">– </w:t>
      </w:r>
      <w:r w:rsidR="5B8960D2" w:rsidRPr="00B453CA">
        <w:t>engineering</w:t>
      </w:r>
      <w:r w:rsidR="67E81B07" w:rsidRPr="00B453CA">
        <w:t xml:space="preserve"> advice on</w:t>
      </w:r>
      <w:r w:rsidRPr="00B453CA">
        <w:t xml:space="preserve"> </w:t>
      </w:r>
      <w:r w:rsidR="66892299" w:rsidRPr="00B453CA">
        <w:t xml:space="preserve">any other </w:t>
      </w:r>
      <w:r w:rsidR="6E42ED42" w:rsidRPr="00B453CA">
        <w:t xml:space="preserve">pertinent </w:t>
      </w:r>
      <w:r w:rsidR="006E4C2B" w:rsidRPr="00B453CA">
        <w:t xml:space="preserve">geotechnical </w:t>
      </w:r>
      <w:r w:rsidR="66892299" w:rsidRPr="00B453CA">
        <w:t xml:space="preserve">issues relating to the site or project </w:t>
      </w:r>
      <w:r w:rsidR="4A0E0941" w:rsidRPr="00B453CA">
        <w:t xml:space="preserve">should be </w:t>
      </w:r>
      <w:r w:rsidR="72B992A8" w:rsidRPr="00B453CA">
        <w:t>included in the</w:t>
      </w:r>
      <w:r w:rsidR="4A0E0941" w:rsidRPr="00B453CA">
        <w:t xml:space="preserve"> </w:t>
      </w:r>
      <w:r w:rsidR="72B992A8" w:rsidRPr="00B453CA">
        <w:t>reporting.</w:t>
      </w:r>
      <w:r w:rsidR="4ECED27A" w:rsidRPr="00B453CA">
        <w:t xml:space="preserve"> Conversely, not all of these issues are p</w:t>
      </w:r>
      <w:r w:rsidR="595B5F6E" w:rsidRPr="00B453CA">
        <w:t>ertinent for</w:t>
      </w:r>
      <w:r w:rsidR="4ECED27A" w:rsidRPr="00B453CA">
        <w:t xml:space="preserve"> every site</w:t>
      </w:r>
      <w:r w:rsidR="00A43953">
        <w:t xml:space="preserve">. </w:t>
      </w:r>
    </w:p>
    <w:p w14:paraId="380D0605" w14:textId="55248199" w:rsidR="00FB75FE" w:rsidRPr="00B453CA" w:rsidRDefault="007D5C79" w:rsidP="00666E06">
      <w:r>
        <w:t xml:space="preserve">Health NZ </w:t>
      </w:r>
      <w:r w:rsidR="60E467C6" w:rsidRPr="00B453CA">
        <w:t xml:space="preserve">expects this design data </w:t>
      </w:r>
      <w:r w:rsidR="13DBE209" w:rsidRPr="00B453CA">
        <w:t>a</w:t>
      </w:r>
      <w:r w:rsidR="3DED095B" w:rsidRPr="00B453CA">
        <w:t xml:space="preserve">nd advice </w:t>
      </w:r>
      <w:r w:rsidR="60E467C6" w:rsidRPr="00B453CA">
        <w:t>to be provided e</w:t>
      </w:r>
      <w:r w:rsidR="00FB75FE" w:rsidRPr="00B453CA">
        <w:t>ven for the early stages of planning (for example Master Planning)</w:t>
      </w:r>
      <w:r w:rsidR="5AA481A4" w:rsidRPr="00B453CA">
        <w:t>,</w:t>
      </w:r>
      <w:r w:rsidR="00FB75FE" w:rsidRPr="00B453CA">
        <w:t xml:space="preserve"> accepting that it may be preliminary and subject to more detailed investigations.</w:t>
      </w:r>
    </w:p>
    <w:p w14:paraId="09CBC8F6" w14:textId="03F32116" w:rsidR="2D2F51BB" w:rsidRPr="00B453CA" w:rsidRDefault="007D5C79" w:rsidP="00666E06">
      <w:pPr>
        <w:pStyle w:val="Requirement"/>
      </w:pPr>
      <w:r>
        <w:rPr>
          <w:rStyle w:val="Strong"/>
        </w:rPr>
        <w:t xml:space="preserve">Health NZ </w:t>
      </w:r>
      <w:r w:rsidR="2D2F51BB" w:rsidRPr="00B453CA">
        <w:rPr>
          <w:rStyle w:val="Strong"/>
        </w:rPr>
        <w:t xml:space="preserve">Recommendation: </w:t>
      </w:r>
      <w:r>
        <w:t xml:space="preserve">Health NZ </w:t>
      </w:r>
      <w:r w:rsidR="2D2F51BB" w:rsidRPr="00B453CA">
        <w:t>recommends that geotechnical investigations and primary recommendations are completed by the end of the Preliminary Design Phase.</w:t>
      </w:r>
    </w:p>
    <w:p w14:paraId="66ACCEFF" w14:textId="720BE16F" w:rsidR="00FB75FE" w:rsidRPr="00B453CA" w:rsidRDefault="00A52CAC" w:rsidP="00666E06">
      <w:r w:rsidRPr="00B453CA">
        <w:t xml:space="preserve">With reference to </w:t>
      </w:r>
      <w:r w:rsidRPr="009F6008">
        <w:t xml:space="preserve">Section </w:t>
      </w:r>
      <w:r w:rsidRPr="009F6008">
        <w:fldChar w:fldCharType="begin"/>
      </w:r>
      <w:r w:rsidRPr="009F6008">
        <w:instrText xml:space="preserve"> REF _Ref170396667 \r \h </w:instrText>
      </w:r>
      <w:r w:rsidR="00B453CA" w:rsidRPr="009F6008">
        <w:instrText xml:space="preserve"> \* MERGEFORMAT </w:instrText>
      </w:r>
      <w:r w:rsidRPr="009F6008">
        <w:fldChar w:fldCharType="separate"/>
      </w:r>
      <w:r w:rsidR="000761C1">
        <w:t>C2</w:t>
      </w:r>
      <w:r w:rsidRPr="009F6008">
        <w:fldChar w:fldCharType="end"/>
      </w:r>
      <w:r w:rsidRPr="009F6008">
        <w:t xml:space="preserve"> (</w:t>
      </w:r>
      <w:r w:rsidRPr="009F6008">
        <w:fldChar w:fldCharType="begin"/>
      </w:r>
      <w:r w:rsidRPr="009F6008">
        <w:instrText xml:space="preserve"> REF _Ref170396669 \h </w:instrText>
      </w:r>
      <w:r w:rsidR="00B453CA" w:rsidRPr="009F6008">
        <w:instrText xml:space="preserve"> \* MERGEFORMAT </w:instrText>
      </w:r>
      <w:r w:rsidRPr="009F6008">
        <w:fldChar w:fldCharType="separate"/>
      </w:r>
      <w:r w:rsidR="000761C1" w:rsidRPr="00A9001D">
        <w:t>Geotechnical Considerations and Building Foundations</w:t>
      </w:r>
      <w:r w:rsidRPr="009F6008">
        <w:fldChar w:fldCharType="end"/>
      </w:r>
      <w:r w:rsidRPr="009F6008">
        <w:t>), a</w:t>
      </w:r>
      <w:r w:rsidR="00FB75FE" w:rsidRPr="009F6008">
        <w:t>dvice</w:t>
      </w:r>
      <w:r w:rsidR="00FB75FE" w:rsidRPr="00B453CA">
        <w:t xml:space="preserve"> is to be provided on all potentially feasible foundation solutions, and shallow foundations must be considered in all cases. </w:t>
      </w:r>
      <w:r w:rsidR="007D5C79">
        <w:t xml:space="preserve">Health NZ </w:t>
      </w:r>
      <w:r w:rsidR="00FB75FE" w:rsidRPr="00B453CA">
        <w:t xml:space="preserve">expects engineers to take a well-considered, professional approach to foundation assessment and building design, unconstrained by arbitrary limits or concepts in ‘deemed to comply’ documents such as NZS 3604 or B1/VM4. In this regard, it is important to assess ground deformations across </w:t>
      </w:r>
      <w:r w:rsidR="00FB75FE" w:rsidRPr="00B453CA">
        <w:lastRenderedPageBreak/>
        <w:t>a range of loading cases and consider how a building could be designed to cope appropriately with such deformations, while still complying with the requirements of the Building Act</w:t>
      </w:r>
      <w:r w:rsidR="1007F6B6" w:rsidRPr="00B453CA">
        <w:t xml:space="preserve"> and also the performance requirements outlined in this document</w:t>
      </w:r>
      <w:r w:rsidR="00FB75FE" w:rsidRPr="00B453CA">
        <w:t>.</w:t>
      </w:r>
    </w:p>
    <w:p w14:paraId="0B2048C8" w14:textId="19986230" w:rsidR="00C522A2" w:rsidRPr="00B453CA" w:rsidRDefault="681B3F18" w:rsidP="00D56CAE">
      <w:pPr>
        <w:pStyle w:val="BodyHeading"/>
      </w:pPr>
      <w:r w:rsidRPr="00B453CA">
        <w:t>S</w:t>
      </w:r>
      <w:r w:rsidR="00C522A2" w:rsidRPr="00B453CA">
        <w:t xml:space="preserve">eismic </w:t>
      </w:r>
      <w:r w:rsidR="00A609C5" w:rsidRPr="00B453CA">
        <w:t>d</w:t>
      </w:r>
      <w:r w:rsidR="00C522A2" w:rsidRPr="00B453CA">
        <w:t xml:space="preserve">esign </w:t>
      </w:r>
      <w:r w:rsidR="00A609C5" w:rsidRPr="00B453CA">
        <w:t>c</w:t>
      </w:r>
      <w:r w:rsidR="00C522A2" w:rsidRPr="00B453CA">
        <w:t>onsiderations</w:t>
      </w:r>
    </w:p>
    <w:p w14:paraId="3095EBC3" w14:textId="0A812E72" w:rsidR="00D07723" w:rsidRPr="00B453CA" w:rsidRDefault="28AA9BD1" w:rsidP="00666E06">
      <w:pPr>
        <w:rPr>
          <w:rFonts w:eastAsia="Arial" w:cs="Arial"/>
        </w:rPr>
      </w:pPr>
      <w:r w:rsidRPr="00B453CA">
        <w:t xml:space="preserve">With reference to Section </w:t>
      </w:r>
      <w:r w:rsidR="00E32576" w:rsidRPr="00B453CA">
        <w:fldChar w:fldCharType="begin"/>
      </w:r>
      <w:r w:rsidR="00E32576" w:rsidRPr="00B453CA">
        <w:instrText xml:space="preserve"> REF _Ref157173730 \r \h </w:instrText>
      </w:r>
      <w:r w:rsidR="00C04409" w:rsidRPr="00B453CA">
        <w:instrText xml:space="preserve"> \* MERGEFORMAT </w:instrText>
      </w:r>
      <w:r w:rsidR="00E32576" w:rsidRPr="00B453CA">
        <w:fldChar w:fldCharType="separate"/>
      </w:r>
      <w:r w:rsidR="000761C1">
        <w:t>C1.3.4</w:t>
      </w:r>
      <w:r w:rsidR="00E32576" w:rsidRPr="00B453CA">
        <w:fldChar w:fldCharType="end"/>
      </w:r>
      <w:r w:rsidRPr="00B453CA">
        <w:t xml:space="preserve">, </w:t>
      </w:r>
      <w:r w:rsidR="2982AC37" w:rsidRPr="00B453CA">
        <w:t>s</w:t>
      </w:r>
      <w:r w:rsidR="59128D7D" w:rsidRPr="00B453CA">
        <w:t>eismicity</w:t>
      </w:r>
      <w:r w:rsidR="00D07723" w:rsidRPr="00B453CA">
        <w:t xml:space="preserve"> in accordance with MBIE/NZGS Module 1</w:t>
      </w:r>
      <w:r w:rsidR="00303852" w:rsidRPr="00B453CA">
        <w:t>:</w:t>
      </w:r>
      <w:r w:rsidR="00D07723" w:rsidRPr="00B453CA">
        <w:t xml:space="preserve"> </w:t>
      </w:r>
      <w:r w:rsidR="00D07723" w:rsidRPr="00B453CA">
        <w:rPr>
          <w:i/>
          <w:iCs/>
        </w:rPr>
        <w:t>Overview of the Guidelines</w:t>
      </w:r>
      <w:r w:rsidR="00D07723" w:rsidRPr="00B453CA">
        <w:t xml:space="preserve"> </w:t>
      </w:r>
      <w:r w:rsidR="499A2E92" w:rsidRPr="00B453CA">
        <w:t>(</w:t>
      </w:r>
      <w:r w:rsidR="00E21506" w:rsidRPr="00B453CA">
        <w:t>2021 or most recent version</w:t>
      </w:r>
      <w:r w:rsidR="499A2E92" w:rsidRPr="00B453CA">
        <w:t xml:space="preserve">) </w:t>
      </w:r>
      <w:r w:rsidR="00524ECB" w:rsidRPr="00B453CA">
        <w:t>should</w:t>
      </w:r>
      <w:r w:rsidR="00D07723" w:rsidRPr="00B453CA">
        <w:t xml:space="preserve"> be considered for all sites anywhere in New Zealand, and a check for the presence of active faults (from the Active Fault Database</w:t>
      </w:r>
      <w:r w:rsidR="4AC10A2D" w:rsidRPr="00B453CA">
        <w:rPr>
          <w:rFonts w:eastAsiaTheme="minorEastAsia"/>
        </w:rPr>
        <w:t xml:space="preserve"> as well more local / recent information, e.g., fault study commissioned by the local council, if available</w:t>
      </w:r>
      <w:r w:rsidR="00D07723" w:rsidRPr="00B453CA">
        <w:rPr>
          <w:rFonts w:eastAsiaTheme="minorEastAsia"/>
        </w:rPr>
        <w:t xml:space="preserve">) </w:t>
      </w:r>
      <w:r w:rsidR="00D07723" w:rsidRPr="00B453CA">
        <w:t>is to be made for each project site.</w:t>
      </w:r>
      <w:r w:rsidR="290C7BAE" w:rsidRPr="00B453CA">
        <w:t xml:space="preserve"> </w:t>
      </w:r>
    </w:p>
    <w:p w14:paraId="0E8DFD08" w14:textId="0AD313CF" w:rsidR="00FB75FE" w:rsidRPr="00B453CA" w:rsidRDefault="00FB75FE" w:rsidP="00666E06">
      <w:r w:rsidRPr="00B453CA">
        <w:t>SLS2 analysis cases are to be included in assessment and reporting, including advice on shaking levels where significant ground deformations begin to occur for liquefiable sites, or other ‘step change’ behaviour (e.g. seismically induced sloped deformations)</w:t>
      </w:r>
      <w:r w:rsidR="00A43953">
        <w:t xml:space="preserve">. </w:t>
      </w:r>
      <w:r w:rsidRPr="00B453CA">
        <w:t>For buildings on potentially liquefiable soils the SLS2 return period should be regarded as ‘indicative’, given that in some cases triggering of liquefaction within a significant portion of the soil column (and which is expected to result in non-trivial building deformation), or other step-change behaviour, may occur at a return period other than 1 in 100/250 years.</w:t>
      </w:r>
    </w:p>
    <w:p w14:paraId="2D4427C1" w14:textId="4248152A" w:rsidR="00A609C5" w:rsidRPr="00B119C0" w:rsidRDefault="009441E5" w:rsidP="00D56CAE">
      <w:pPr>
        <w:pStyle w:val="BodyHeading"/>
      </w:pPr>
      <w:r w:rsidRPr="00B119C0">
        <w:t xml:space="preserve">Consideration of </w:t>
      </w:r>
      <w:r w:rsidR="1D51E87D" w:rsidRPr="00B119C0">
        <w:t>geotechnical</w:t>
      </w:r>
      <w:r w:rsidRPr="00B119C0">
        <w:t xml:space="preserve"> hazards</w:t>
      </w:r>
    </w:p>
    <w:p w14:paraId="7830E110" w14:textId="4D978121" w:rsidR="00FB75FE" w:rsidRPr="00B119C0" w:rsidRDefault="00FB75FE" w:rsidP="00666E06">
      <w:r w:rsidRPr="00B119C0">
        <w:t>All other geotechnically-related hazards that could potentially affect the site also are to be addressed in the geotechnical report</w:t>
      </w:r>
      <w:r w:rsidR="3D343BD4" w:rsidRPr="00B119C0">
        <w:t>, for example</w:t>
      </w:r>
      <w:r w:rsidRPr="00B119C0">
        <w:t xml:space="preserve"> slope stability, soil creep, rockfall, erosion, tomos, volcanism, geothermal activity. </w:t>
      </w:r>
    </w:p>
    <w:p w14:paraId="76668514" w14:textId="73CF882D" w:rsidR="00C522A2" w:rsidRPr="00B119C0" w:rsidRDefault="00BD215E" w:rsidP="00D56CAE">
      <w:pPr>
        <w:pStyle w:val="BodyHeading"/>
      </w:pPr>
      <w:r w:rsidRPr="00B119C0">
        <w:t>Accessible s</w:t>
      </w:r>
      <w:r w:rsidR="00C522A2" w:rsidRPr="00B119C0">
        <w:t xml:space="preserve">ummary Information </w:t>
      </w:r>
      <w:r w:rsidR="002F013E" w:rsidRPr="00B119C0">
        <w:t>should</w:t>
      </w:r>
      <w:r w:rsidR="00C522A2" w:rsidRPr="00B119C0">
        <w:t xml:space="preserve"> be provided</w:t>
      </w:r>
    </w:p>
    <w:p w14:paraId="7E2DA136" w14:textId="6260D3F5" w:rsidR="00D14BDA" w:rsidRPr="00B119C0" w:rsidRDefault="00FB75FE" w:rsidP="00666E06">
      <w:r w:rsidRPr="00B119C0">
        <w:t>A foreword or tabulated summary of key geotechnical aspects of the site, and foundation advice, is to be provided at the beginning of the geotechnical report.</w:t>
      </w:r>
    </w:p>
    <w:p w14:paraId="2483C33B" w14:textId="2884E2AE" w:rsidR="00E133D0" w:rsidRPr="00C75769" w:rsidRDefault="00E133D0" w:rsidP="00EF3F6E">
      <w:pPr>
        <w:pStyle w:val="NumbHeading3"/>
      </w:pPr>
      <w:bookmarkStart w:id="122" w:name="_Ref149568440"/>
      <w:r w:rsidRPr="00C75769">
        <w:t>The New Zealand Geotechnical Database</w:t>
      </w:r>
      <w:bookmarkEnd w:id="122"/>
    </w:p>
    <w:p w14:paraId="70E6D6A3" w14:textId="778433C0" w:rsidR="002677E8" w:rsidRPr="00C75769" w:rsidRDefault="3CB0AFF2" w:rsidP="00666E06">
      <w:r w:rsidRPr="00C75769">
        <w:t>A</w:t>
      </w:r>
      <w:r w:rsidR="41A354B8" w:rsidRPr="00C75769">
        <w:t>ll</w:t>
      </w:r>
      <w:r w:rsidR="002677E8" w:rsidRPr="00C75769">
        <w:t xml:space="preserve"> geotechnical factual data collected for a site </w:t>
      </w:r>
      <w:r w:rsidR="001C08A1" w:rsidRPr="00C75769">
        <w:t>shall</w:t>
      </w:r>
      <w:r w:rsidR="35B8844E" w:rsidRPr="00C75769">
        <w:t xml:space="preserve"> be</w:t>
      </w:r>
      <w:r w:rsidR="41A354B8" w:rsidRPr="00C75769">
        <w:t xml:space="preserve"> </w:t>
      </w:r>
      <w:r w:rsidR="002677E8" w:rsidRPr="00C75769">
        <w:t>uploaded to the New Zealand Geotechnical Database (NZGD) as soon as practicable after its collection</w:t>
      </w:r>
      <w:r w:rsidR="00A43953">
        <w:t xml:space="preserve">. </w:t>
      </w:r>
      <w:r w:rsidR="41A354B8" w:rsidRPr="00C75769">
        <w:t xml:space="preserve">This </w:t>
      </w:r>
      <w:r w:rsidR="45507A2F" w:rsidRPr="00C75769">
        <w:t>should include any historical</w:t>
      </w:r>
      <w:r w:rsidR="002677E8" w:rsidRPr="00C75769">
        <w:t xml:space="preserve"> data </w:t>
      </w:r>
      <w:r w:rsidR="45507A2F" w:rsidRPr="00C75769">
        <w:t>which</w:t>
      </w:r>
      <w:r w:rsidR="002677E8" w:rsidRPr="00C75769">
        <w:t xml:space="preserve"> has been referred to</w:t>
      </w:r>
      <w:r w:rsidR="5E00C831" w:rsidRPr="00C75769">
        <w:t>, for example,</w:t>
      </w:r>
      <w:r w:rsidR="002677E8" w:rsidRPr="00C75769">
        <w:t xml:space="preserve"> from investigations carried out for </w:t>
      </w:r>
      <w:r w:rsidR="007D5C79">
        <w:t xml:space="preserve">Health NZ </w:t>
      </w:r>
      <w:r w:rsidR="2B405FF4" w:rsidRPr="00C75769">
        <w:t>on</w:t>
      </w:r>
      <w:r w:rsidR="002677E8" w:rsidRPr="00C75769">
        <w:t xml:space="preserve"> previous </w:t>
      </w:r>
      <w:r w:rsidR="2B405FF4" w:rsidRPr="00C75769">
        <w:t>projects</w:t>
      </w:r>
      <w:r w:rsidR="7BF745B7" w:rsidRPr="00C75769">
        <w:t>.</w:t>
      </w:r>
      <w:r w:rsidR="003B07B5" w:rsidRPr="00C75769">
        <w:t xml:space="preserve"> A</w:t>
      </w:r>
      <w:r w:rsidR="002677E8" w:rsidRPr="00C75769">
        <w:t xml:space="preserve">ll such data is the property of </w:t>
      </w:r>
      <w:r w:rsidR="007D5C79">
        <w:t xml:space="preserve">Health NZ </w:t>
      </w:r>
      <w:r w:rsidR="002677E8" w:rsidRPr="00C75769">
        <w:t>and therefore there is no barrier to it being uploaded</w:t>
      </w:r>
      <w:r w:rsidR="003B07B5" w:rsidRPr="00C75769">
        <w:t xml:space="preserve">. </w:t>
      </w:r>
      <w:r w:rsidR="007D5C79">
        <w:t xml:space="preserve">Health NZ </w:t>
      </w:r>
      <w:r w:rsidR="002677E8" w:rsidRPr="00C75769">
        <w:t xml:space="preserve">wishes to avoid the loss of valuable data as a result of design team changes, or the passage of time, and requires that the data is available on the NZGD for any future potential developments. </w:t>
      </w:r>
    </w:p>
    <w:p w14:paraId="634C654C" w14:textId="2AA29ADC" w:rsidR="00A12922" w:rsidRDefault="007D5C79" w:rsidP="00A0602E">
      <w:pPr>
        <w:pStyle w:val="Requirement"/>
      </w:pPr>
      <w:r w:rsidRPr="00B219C9">
        <w:rPr>
          <w:b/>
          <w:bCs/>
          <w:color w:val="0C818F" w:themeColor="accent3"/>
        </w:rPr>
        <w:t xml:space="preserve">Health NZ </w:t>
      </w:r>
      <w:r w:rsidR="00C47F4B" w:rsidRPr="00B219C9">
        <w:rPr>
          <w:b/>
          <w:bCs/>
          <w:color w:val="0C818F" w:themeColor="accent3"/>
        </w:rPr>
        <w:t>Requirement:</w:t>
      </w:r>
      <w:r w:rsidR="00C47F4B" w:rsidRPr="00C75769">
        <w:t xml:space="preserve"> </w:t>
      </w:r>
      <w:r w:rsidR="00D02117" w:rsidRPr="00C75769">
        <w:t>All geotechnical factual data collected</w:t>
      </w:r>
      <w:r w:rsidR="2D515467" w:rsidRPr="00C75769">
        <w:t>, or referred to</w:t>
      </w:r>
      <w:r w:rsidR="00D02117" w:rsidRPr="00C75769">
        <w:t xml:space="preserve"> for a site</w:t>
      </w:r>
      <w:r w:rsidR="00255758" w:rsidRPr="00C75769">
        <w:t xml:space="preserve"> as part of </w:t>
      </w:r>
      <w:r>
        <w:t xml:space="preserve">Health NZ </w:t>
      </w:r>
      <w:r w:rsidR="00255758" w:rsidRPr="00C75769">
        <w:t>projects</w:t>
      </w:r>
      <w:r w:rsidR="00D02117" w:rsidRPr="00C75769">
        <w:t xml:space="preserve"> shall be uploaded to the New Zealand Geotechnical Database (NZGD) as soon as practicable after its collection. Data upload is a pre-requisite for design reviews.</w:t>
      </w:r>
    </w:p>
    <w:p w14:paraId="7D58FCF2" w14:textId="77777777" w:rsidR="002B7B31" w:rsidRDefault="00063BB2">
      <w:pPr>
        <w:sectPr w:rsidR="002B7B31" w:rsidSect="00DB28BF">
          <w:footnotePr>
            <w:numRestart w:val="eachPage"/>
          </w:footnotePr>
          <w:pgSz w:w="11906" w:h="16838" w:code="187"/>
          <w:pgMar w:top="1560" w:right="1134" w:bottom="1418" w:left="1134" w:header="709" w:footer="709" w:gutter="0"/>
          <w:cols w:space="708"/>
          <w:titlePg/>
          <w:docGrid w:linePitch="360"/>
        </w:sectPr>
      </w:pPr>
      <w:r>
        <w:br w:type="page"/>
      </w:r>
    </w:p>
    <w:p w14:paraId="583B750A" w14:textId="08D0A6D8" w:rsidR="00063BB2" w:rsidRPr="00D32639" w:rsidRDefault="003808B1" w:rsidP="00F5680E">
      <w:pPr>
        <w:pStyle w:val="Dividerheading"/>
        <w:ind w:left="0"/>
        <w:rPr>
          <w:color w:val="0C818E"/>
        </w:rPr>
      </w:pPr>
      <w:bookmarkStart w:id="123" w:name="_Toc203641944"/>
      <w:r w:rsidRPr="00D32639">
        <w:rPr>
          <w:noProof/>
          <w:color w:val="0C818E"/>
        </w:rPr>
        <w:lastRenderedPageBreak/>
        <w:drawing>
          <wp:anchor distT="0" distB="0" distL="114300" distR="114300" simplePos="0" relativeHeight="251658242" behindDoc="1" locked="0" layoutInCell="1" allowOverlap="1" wp14:anchorId="048517BC" wp14:editId="05BDA9DC">
            <wp:simplePos x="0" y="0"/>
            <wp:positionH relativeFrom="column">
              <wp:posOffset>-711200</wp:posOffset>
            </wp:positionH>
            <wp:positionV relativeFrom="paragraph">
              <wp:posOffset>-984250</wp:posOffset>
            </wp:positionV>
            <wp:extent cx="7559040" cy="9749155"/>
            <wp:effectExtent l="0" t="0" r="3810" b="4445"/>
            <wp:wrapNone/>
            <wp:docPr id="159697465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74659" name="Picture 4">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rcRect l="779" r="779"/>
                    <a:stretch>
                      <a:fillRect/>
                    </a:stretch>
                  </pic:blipFill>
                  <pic:spPr bwMode="auto">
                    <a:xfrm>
                      <a:off x="0" y="0"/>
                      <a:ext cx="7559040" cy="9749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79D" w:rsidRPr="00D32639">
        <w:rPr>
          <w:noProof/>
          <w:color w:val="0C818E"/>
        </w:rPr>
        <w:t xml:space="preserve">Part B. </w:t>
      </w:r>
      <w:r w:rsidR="005F59E1" w:rsidRPr="00D32639">
        <w:rPr>
          <w:noProof/>
          <w:color w:val="0C818E"/>
        </w:rPr>
        <w:t>Performance Requirements for Hospital Buildings</w:t>
      </w:r>
      <w:bookmarkEnd w:id="123"/>
    </w:p>
    <w:p w14:paraId="3455A921" w14:textId="6F2CAE37" w:rsidR="00063BB2" w:rsidRDefault="00063BB2">
      <w:pPr>
        <w:rPr>
          <w:rFonts w:eastAsiaTheme="majorEastAsia" w:cs="Arial"/>
          <w:b/>
          <w:color w:val="15284C" w:themeColor="text2"/>
          <w:sz w:val="52"/>
          <w:szCs w:val="32"/>
        </w:rPr>
      </w:pPr>
      <w:r>
        <w:br w:type="page"/>
      </w:r>
    </w:p>
    <w:p w14:paraId="18FA2281" w14:textId="53433F55" w:rsidR="00835562" w:rsidRPr="009F14BC" w:rsidRDefault="00F72998" w:rsidP="009D6238">
      <w:pPr>
        <w:pStyle w:val="Section2Heading1"/>
      </w:pPr>
      <w:bookmarkStart w:id="124" w:name="_Ref162338794"/>
      <w:bookmarkStart w:id="125" w:name="_Ref162338797"/>
      <w:bookmarkStart w:id="126" w:name="_Toc203641945"/>
      <w:r w:rsidRPr="009F14BC">
        <w:lastRenderedPageBreak/>
        <w:t xml:space="preserve">Classifying </w:t>
      </w:r>
      <w:r w:rsidRPr="009D6238">
        <w:t>Hospital</w:t>
      </w:r>
      <w:r w:rsidRPr="009F14BC">
        <w:t xml:space="preserve"> Building Functions and Importance Levels</w:t>
      </w:r>
      <w:bookmarkEnd w:id="124"/>
      <w:bookmarkEnd w:id="125"/>
      <w:bookmarkEnd w:id="126"/>
    </w:p>
    <w:p w14:paraId="4629D7F7" w14:textId="56DF3107" w:rsidR="00F72998" w:rsidRPr="002B0C69" w:rsidRDefault="00F72998" w:rsidP="009D6238">
      <w:pPr>
        <w:pStyle w:val="Section2Heading2"/>
      </w:pPr>
      <w:bookmarkStart w:id="127" w:name="_Toc203641946"/>
      <w:bookmarkStart w:id="128" w:name="_Toc147899139"/>
      <w:bookmarkStart w:id="129" w:name="_Ref150077013"/>
      <w:r w:rsidRPr="002B0C69">
        <w:t>Background to Importance Levels for Hospital Buildings</w:t>
      </w:r>
      <w:bookmarkEnd w:id="127"/>
    </w:p>
    <w:p w14:paraId="28E31D1D" w14:textId="77777777" w:rsidR="008D53B9" w:rsidRPr="00C75769" w:rsidRDefault="00D017EE" w:rsidP="00666E06">
      <w:r w:rsidRPr="00C75769">
        <w:t>Building Importance Levels appear in two separate places within the building regulatory system:</w:t>
      </w:r>
    </w:p>
    <w:p w14:paraId="0EB60704" w14:textId="25BA5EDB" w:rsidR="008D53B9" w:rsidRPr="00C75769" w:rsidRDefault="00D017EE" w:rsidP="00666E06">
      <w:pPr>
        <w:pStyle w:val="ListBullet"/>
      </w:pPr>
      <w:r w:rsidRPr="00C75769">
        <w:t>For fire design purposes - in Building Code clause A3</w:t>
      </w:r>
      <w:r w:rsidR="004B71DC" w:rsidRPr="00C75769">
        <w:t>,</w:t>
      </w:r>
    </w:p>
    <w:p w14:paraId="4295FFCA" w14:textId="79D5AFC0" w:rsidR="008D53B9" w:rsidRPr="00C75769" w:rsidRDefault="00D017EE" w:rsidP="00666E06">
      <w:pPr>
        <w:pStyle w:val="ListBullet"/>
      </w:pPr>
      <w:r w:rsidRPr="00C75769">
        <w:t>For structural design purposes - in the structural loadings standard AS/NZS1170 Part 0</w:t>
      </w:r>
      <w:r w:rsidR="004B71DC" w:rsidRPr="00C75769">
        <w:t>.</w:t>
      </w:r>
    </w:p>
    <w:p w14:paraId="2E76DA0B" w14:textId="4724B56A" w:rsidR="00D017EE" w:rsidRPr="00C75769" w:rsidRDefault="00D017EE" w:rsidP="00666E06">
      <w:r w:rsidRPr="00C75769">
        <w:t>Although fundamentally the same provisions, there is minor variation between the versions. For structural purposes, Importance Levels apply to Wind and Snow loadings as well as Earthquake.</w:t>
      </w:r>
    </w:p>
    <w:p w14:paraId="73D3AFD6" w14:textId="2AD55564" w:rsidR="00D017EE" w:rsidRPr="00C75769" w:rsidRDefault="00D017EE" w:rsidP="00666E06">
      <w:r w:rsidRPr="00C75769">
        <w:t>Importance Levels are described in only high-level terms in both A3 and AS/NZS1170</w:t>
      </w:r>
      <w:r w:rsidR="00A43953">
        <w:t xml:space="preserve">. </w:t>
      </w:r>
      <w:r w:rsidRPr="00C75769">
        <w:t xml:space="preserve">Many of the categories such as </w:t>
      </w:r>
      <w:r w:rsidRPr="00C75769">
        <w:rPr>
          <w:i/>
          <w:iCs/>
        </w:rPr>
        <w:t>special post-disaster functions</w:t>
      </w:r>
      <w:r w:rsidRPr="00C75769">
        <w:t xml:space="preserve"> are defined by examples, the listings of which are very brief, particularly with respect to health facilities.</w:t>
      </w:r>
      <w:r w:rsidR="00BC3643" w:rsidRPr="00C75769">
        <w:t xml:space="preserve"> </w:t>
      </w:r>
      <w:r w:rsidRPr="00C75769">
        <w:t xml:space="preserve">Furthermore, key terms such as </w:t>
      </w:r>
      <w:r w:rsidRPr="00C75769">
        <w:rPr>
          <w:i/>
          <w:iCs/>
        </w:rPr>
        <w:t>medical emergency</w:t>
      </w:r>
      <w:r w:rsidRPr="00C75769">
        <w:t xml:space="preserve">, </w:t>
      </w:r>
      <w:r w:rsidRPr="00C75769">
        <w:rPr>
          <w:i/>
          <w:iCs/>
        </w:rPr>
        <w:t>surgery</w:t>
      </w:r>
      <w:r w:rsidRPr="00C75769">
        <w:t xml:space="preserve">, and </w:t>
      </w:r>
      <w:r w:rsidRPr="00C75769">
        <w:rPr>
          <w:i/>
          <w:iCs/>
        </w:rPr>
        <w:t>emergency treatment services</w:t>
      </w:r>
      <w:r w:rsidRPr="00C75769">
        <w:t xml:space="preserve"> are not defined. For example, </w:t>
      </w:r>
      <w:r w:rsidRPr="00C75769">
        <w:rPr>
          <w:i/>
          <w:iCs/>
        </w:rPr>
        <w:t>surgery</w:t>
      </w:r>
      <w:r w:rsidRPr="00C75769">
        <w:t xml:space="preserve"> has a wider interpretation and application than just in the public hospital system.</w:t>
      </w:r>
    </w:p>
    <w:p w14:paraId="1B0DA878" w14:textId="491E4FB4" w:rsidR="00D017EE" w:rsidRPr="00C75769" w:rsidRDefault="00D017EE" w:rsidP="00666E06">
      <w:r w:rsidRPr="00C75769">
        <w:t>The underlying principle behind Importance Levels is the consequence of failure. This consideration can lead to some buildings not requiring the higher categorisation if it can be shown that there would not be an overall loss of functionality to the community if an individual building was unusable.</w:t>
      </w:r>
    </w:p>
    <w:p w14:paraId="7604C3A8" w14:textId="2655772B" w:rsidR="00D017EE" w:rsidRPr="00C75769" w:rsidRDefault="00D017EE" w:rsidP="00666E06">
      <w:r w:rsidRPr="00C75769">
        <w:t xml:space="preserve">A strict interpretation of </w:t>
      </w:r>
      <w:r w:rsidRPr="00C75769">
        <w:rPr>
          <w:i/>
          <w:iCs/>
        </w:rPr>
        <w:t>special post-disaster [medical] functions</w:t>
      </w:r>
      <w:r w:rsidRPr="00C75769">
        <w:t xml:space="preserve"> in relation to IL4 is therefore to deal with the medical consequences of the disaster event</w:t>
      </w:r>
      <w:r w:rsidR="008D53B9" w:rsidRPr="00C75769">
        <w:t>—</w:t>
      </w:r>
      <w:r w:rsidRPr="00C75769">
        <w:t>for example, dealing with the influx of serious physical injuries and medical trauma of those brought to the hospital (mass casualties comprising fractures, crush injuries, burns, inhalation of dust and harmful substances).</w:t>
      </w:r>
    </w:p>
    <w:p w14:paraId="2FD2E97C" w14:textId="4EDF1681" w:rsidR="00D017EE" w:rsidRPr="00C75769" w:rsidRDefault="00D017EE" w:rsidP="00666E06">
      <w:r w:rsidRPr="00C75769">
        <w:t xml:space="preserve">The requirement for a hospital to continue to deliver services to people </w:t>
      </w:r>
      <w:r w:rsidRPr="00C75769">
        <w:rPr>
          <w:i/>
          <w:iCs/>
        </w:rPr>
        <w:t>already in the hospital at the time of the disaster event</w:t>
      </w:r>
      <w:r w:rsidRPr="00C75769">
        <w:t xml:space="preserve"> (in addition to the event-driven </w:t>
      </w:r>
      <w:r w:rsidRPr="00C75769">
        <w:rPr>
          <w:i/>
          <w:iCs/>
        </w:rPr>
        <w:t>special post-disaster functions</w:t>
      </w:r>
      <w:r w:rsidRPr="00C75769">
        <w:t>) can be regarded as more of a service continuity imperative that requires campus-wide resilience thinking and implementation across buildings, infrastructure and other operational aspects</w:t>
      </w:r>
      <w:r w:rsidR="0097296A" w:rsidRPr="00C75769">
        <w:t>.</w:t>
      </w:r>
    </w:p>
    <w:p w14:paraId="495411CA" w14:textId="48286B71" w:rsidR="00D017EE" w:rsidRPr="00C75769" w:rsidRDefault="00D017EE" w:rsidP="00666E06">
      <w:r w:rsidRPr="00C75769">
        <w:t>Part of this wider resilience consideration relates to non-deferrable medical services and functions that cannot be readily displaced or relocated without endangering the health of patients, all at a time of very high surge demand</w:t>
      </w:r>
      <w:r w:rsidR="00A43953">
        <w:t xml:space="preserve">. </w:t>
      </w:r>
      <w:r w:rsidRPr="00C75769">
        <w:t>Inpatients with a range of medical conditions and mobility states will continue to need treatment prior to discharge or with no ability to be discharged</w:t>
      </w:r>
      <w:r w:rsidR="00A43953">
        <w:t xml:space="preserve">. </w:t>
      </w:r>
    </w:p>
    <w:p w14:paraId="31302C2B" w14:textId="7F68E49E" w:rsidR="00D017EE" w:rsidRPr="00C75769" w:rsidRDefault="00D017EE" w:rsidP="00666E06">
      <w:r w:rsidRPr="00C75769">
        <w:lastRenderedPageBreak/>
        <w:t>The heightened difficulty of evacuating large numbers of mobility-impaired or service-dependent patients is another important consideration, and one that needs to be taken into account</w:t>
      </w:r>
      <w:r w:rsidR="00A43953">
        <w:t xml:space="preserve">. </w:t>
      </w:r>
      <w:r w:rsidRPr="00C75769">
        <w:t>The undesirability of having to relocate many of these people at a very challenging time if the ward buildings are damaged beyond a usable state strongly supports the ideal of having robust buildings to enable the delivery of these services to be maintained</w:t>
      </w:r>
      <w:r w:rsidR="00A43953">
        <w:t xml:space="preserve">. </w:t>
      </w:r>
      <w:r w:rsidRPr="00C75769">
        <w:t xml:space="preserve">This requires going beyond the scope of event-focused </w:t>
      </w:r>
      <w:r w:rsidRPr="00C75769">
        <w:rPr>
          <w:i/>
          <w:iCs/>
        </w:rPr>
        <w:t>special post-disaster</w:t>
      </w:r>
      <w:r w:rsidRPr="00C75769">
        <w:t xml:space="preserve"> functions intended under the Building Code to ensure more appropriate campus-wide resilience.</w:t>
      </w:r>
    </w:p>
    <w:p w14:paraId="633AAE96" w14:textId="520DD73F" w:rsidR="00F72998" w:rsidRPr="00C75769" w:rsidRDefault="00D017EE" w:rsidP="00666E06">
      <w:r w:rsidRPr="00C75769">
        <w:t xml:space="preserve">The following sub-section </w:t>
      </w:r>
      <w:r w:rsidR="00EB011A" w:rsidRPr="00C75769">
        <w:fldChar w:fldCharType="begin"/>
      </w:r>
      <w:r w:rsidR="00EB011A" w:rsidRPr="00C75769">
        <w:instrText xml:space="preserve"> REF _Ref160007872 \r \h </w:instrText>
      </w:r>
      <w:r w:rsidR="00C75769">
        <w:instrText xml:space="preserve"> \* MERGEFORMAT </w:instrText>
      </w:r>
      <w:r w:rsidR="00EB011A" w:rsidRPr="00C75769">
        <w:fldChar w:fldCharType="separate"/>
      </w:r>
      <w:r w:rsidR="000761C1">
        <w:t>B1.2</w:t>
      </w:r>
      <w:r w:rsidR="00EB011A" w:rsidRPr="00C75769">
        <w:fldChar w:fldCharType="end"/>
      </w:r>
      <w:r w:rsidR="00EB011A" w:rsidRPr="00C75769">
        <w:t xml:space="preserve"> </w:t>
      </w:r>
      <w:r w:rsidRPr="00C75769">
        <w:t>provides guidance on the distinction between buildings housing special post-disaster functions and other functions.</w:t>
      </w:r>
    </w:p>
    <w:p w14:paraId="74D0875F" w14:textId="1CBE66D0" w:rsidR="00AF2919" w:rsidRPr="00C75769" w:rsidRDefault="00C3441C" w:rsidP="00D04F8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75769">
        <w:t>Further commentary on Importance Levels in the hospital context can be found in Section 6.3 of the Interim Health New Zealand Health Infrastructure Unit Report</w:t>
      </w:r>
      <w:r w:rsidR="00CD4B6A">
        <w:t>:</w:t>
      </w:r>
      <w:r w:rsidRPr="00C75769">
        <w:t xml:space="preserve"> Understanding and Improving the </w:t>
      </w:r>
      <w:r w:rsidRPr="00C75769">
        <w:rPr>
          <w:iCs/>
        </w:rPr>
        <w:t>Seismic Resilience of Hospital Buildings – Technical Report</w:t>
      </w:r>
      <w:r w:rsidRPr="00C75769">
        <w:t xml:space="preserve"> </w:t>
      </w:r>
      <w:sdt>
        <w:sdtPr>
          <w:id w:val="245313710"/>
          <w:citation/>
        </w:sdtPr>
        <w:sdtEndPr/>
        <w:sdtContent>
          <w:r w:rsidRPr="00C75769">
            <w:fldChar w:fldCharType="begin"/>
          </w:r>
          <w:r w:rsidRPr="00C75769">
            <w:rPr>
              <w:lang w:val="en-US"/>
            </w:rPr>
            <w:instrText xml:space="preserve"> CITATION Kes22 \l 1033 </w:instrText>
          </w:r>
          <w:r w:rsidRPr="00C75769">
            <w:fldChar w:fldCharType="separate"/>
          </w:r>
          <w:r w:rsidR="00222D65">
            <w:rPr>
              <w:noProof/>
              <w:lang w:val="en-US"/>
            </w:rPr>
            <w:t>(Kestrel Group, 2022)</w:t>
          </w:r>
          <w:r w:rsidRPr="00C75769">
            <w:fldChar w:fldCharType="end"/>
          </w:r>
        </w:sdtContent>
      </w:sdt>
      <w:r w:rsidRPr="00C75769">
        <w:t>.</w:t>
      </w:r>
    </w:p>
    <w:p w14:paraId="4F0A5B4C" w14:textId="353D9EEA" w:rsidR="00835562" w:rsidRPr="00C75769" w:rsidRDefault="00E1671D" w:rsidP="00D04F87">
      <w:pPr>
        <w:pStyle w:val="Section2Heading2"/>
      </w:pPr>
      <w:bookmarkStart w:id="130" w:name="_Ref160007872"/>
      <w:bookmarkStart w:id="131" w:name="_Ref160119552"/>
      <w:bookmarkStart w:id="132" w:name="_Ref169073569"/>
      <w:bookmarkStart w:id="133" w:name="_Toc203641947"/>
      <w:bookmarkEnd w:id="128"/>
      <w:bookmarkEnd w:id="129"/>
      <w:r w:rsidRPr="00C75769">
        <w:t>Medical Service Categories</w:t>
      </w:r>
      <w:bookmarkEnd w:id="130"/>
      <w:bookmarkEnd w:id="131"/>
      <w:r w:rsidR="009B1569" w:rsidRPr="00C75769">
        <w:t xml:space="preserve"> and Importance Levels</w:t>
      </w:r>
      <w:bookmarkEnd w:id="132"/>
      <w:bookmarkEnd w:id="133"/>
    </w:p>
    <w:p w14:paraId="62A9F58E" w14:textId="5DCD08D6" w:rsidR="00F872D3" w:rsidRPr="00C75769" w:rsidRDefault="00C61C6E" w:rsidP="00666E06">
      <w:r w:rsidRPr="00C75769">
        <w:t>The medical services and functions delivered in hospital buildings can be divided into the following three categories:</w:t>
      </w:r>
    </w:p>
    <w:p w14:paraId="2D3E3336" w14:textId="31077974" w:rsidR="00F872D3" w:rsidRPr="00C75769" w:rsidRDefault="00F872D3" w:rsidP="004D55F1">
      <w:pPr>
        <w:pStyle w:val="ListParagraph"/>
        <w:numPr>
          <w:ilvl w:val="0"/>
          <w:numId w:val="6"/>
        </w:numPr>
      </w:pPr>
      <w:r w:rsidRPr="00C75769">
        <w:rPr>
          <w:b/>
          <w:bCs/>
        </w:rPr>
        <w:t>Acute Services</w:t>
      </w:r>
      <w:r w:rsidR="002F18E5" w:rsidRPr="00C75769">
        <w:t>:</w:t>
      </w:r>
      <w:r w:rsidRPr="00C75769">
        <w:t xml:space="preserve"> Hospitals provide service to the community to deal with the medical consequence of a disaster event. The areas of a hospital having </w:t>
      </w:r>
      <w:r w:rsidRPr="00C75769">
        <w:rPr>
          <w:i/>
          <w:iCs/>
        </w:rPr>
        <w:t>special post disaster function</w:t>
      </w:r>
      <w:r w:rsidRPr="00C75769">
        <w:t xml:space="preserve"> </w:t>
      </w:r>
      <w:r w:rsidR="000A7878">
        <w:t>are a subset of</w:t>
      </w:r>
      <w:r w:rsidR="00417461">
        <w:t xml:space="preserve"> a</w:t>
      </w:r>
      <w:r w:rsidR="00AC4C7E">
        <w:t xml:space="preserve">cute </w:t>
      </w:r>
      <w:r w:rsidR="00417461">
        <w:t>s</w:t>
      </w:r>
      <w:r w:rsidR="00AC4C7E">
        <w:t>ervices</w:t>
      </w:r>
      <w:r w:rsidR="00417461">
        <w:t xml:space="preserve"> (the broader medical classification)</w:t>
      </w:r>
      <w:r w:rsidR="00AC4C7E">
        <w:t xml:space="preserve">, and </w:t>
      </w:r>
      <w:r w:rsidRPr="00C75769">
        <w:t xml:space="preserve">can be split into four </w:t>
      </w:r>
      <w:r w:rsidR="00173E18" w:rsidRPr="00C75769">
        <w:t>sub-</w:t>
      </w:r>
      <w:r w:rsidRPr="00C75769">
        <w:t>categories</w:t>
      </w:r>
      <w:r w:rsidR="0020568D" w:rsidRPr="00C75769">
        <w:t>:</w:t>
      </w:r>
    </w:p>
    <w:p w14:paraId="463F644D" w14:textId="5F8F1170" w:rsidR="00F872D3" w:rsidRPr="00C75769" w:rsidRDefault="00F872D3" w:rsidP="004D55F1">
      <w:pPr>
        <w:pStyle w:val="ListParagraph"/>
        <w:numPr>
          <w:ilvl w:val="1"/>
          <w:numId w:val="6"/>
        </w:numPr>
      </w:pPr>
      <w:r w:rsidRPr="00C75769">
        <w:t xml:space="preserve">Key </w:t>
      </w:r>
      <w:r w:rsidR="008974B9">
        <w:t>c</w:t>
      </w:r>
      <w:r w:rsidR="008974B9" w:rsidRPr="00C75769">
        <w:t xml:space="preserve">linical </w:t>
      </w:r>
      <w:r w:rsidR="008974B9">
        <w:t>a</w:t>
      </w:r>
      <w:r w:rsidR="008974B9" w:rsidRPr="00C75769">
        <w:t xml:space="preserve">reas </w:t>
      </w:r>
    </w:p>
    <w:p w14:paraId="08F7B4F8" w14:textId="10347C93" w:rsidR="00F872D3" w:rsidRPr="00C75769" w:rsidRDefault="00F872D3" w:rsidP="004D55F1">
      <w:pPr>
        <w:pStyle w:val="ListParagraph"/>
        <w:numPr>
          <w:ilvl w:val="1"/>
          <w:numId w:val="6"/>
        </w:numPr>
      </w:pPr>
      <w:r w:rsidRPr="00C75769">
        <w:t xml:space="preserve">Critical </w:t>
      </w:r>
      <w:r w:rsidR="008974B9">
        <w:t>c</w:t>
      </w:r>
      <w:r w:rsidR="008974B9" w:rsidRPr="00C75769">
        <w:t xml:space="preserve">linical </w:t>
      </w:r>
      <w:r w:rsidR="008974B9">
        <w:t>s</w:t>
      </w:r>
      <w:r w:rsidR="008974B9" w:rsidRPr="00C75769">
        <w:t xml:space="preserve">upport </w:t>
      </w:r>
      <w:r w:rsidR="008974B9">
        <w:t>f</w:t>
      </w:r>
      <w:r w:rsidRPr="00C75769">
        <w:t>unctions</w:t>
      </w:r>
    </w:p>
    <w:p w14:paraId="21E63D27" w14:textId="1AD05B6C" w:rsidR="00F872D3" w:rsidRPr="00C75769" w:rsidRDefault="00F872D3" w:rsidP="004D55F1">
      <w:pPr>
        <w:pStyle w:val="ListParagraph"/>
        <w:numPr>
          <w:ilvl w:val="1"/>
          <w:numId w:val="6"/>
        </w:numPr>
      </w:pPr>
      <w:r w:rsidRPr="00C75769">
        <w:t xml:space="preserve">Other </w:t>
      </w:r>
      <w:r w:rsidR="008974B9">
        <w:t>s</w:t>
      </w:r>
      <w:r w:rsidR="008974B9" w:rsidRPr="00C75769">
        <w:t xml:space="preserve">pecialist </w:t>
      </w:r>
      <w:r w:rsidR="008974B9">
        <w:t>f</w:t>
      </w:r>
      <w:r w:rsidR="008974B9" w:rsidRPr="00C75769">
        <w:t xml:space="preserve">unctions </w:t>
      </w:r>
      <w:r w:rsidRPr="00C75769">
        <w:t>or services</w:t>
      </w:r>
    </w:p>
    <w:p w14:paraId="6355611B" w14:textId="468C7D54" w:rsidR="002F524D" w:rsidRDefault="00F872D3" w:rsidP="004D55F1">
      <w:pPr>
        <w:pStyle w:val="ListParagraph"/>
        <w:numPr>
          <w:ilvl w:val="1"/>
          <w:numId w:val="6"/>
        </w:numPr>
      </w:pPr>
      <w:r w:rsidRPr="00C75769">
        <w:t xml:space="preserve">Infrastructure and </w:t>
      </w:r>
      <w:r w:rsidR="00467270">
        <w:t>s</w:t>
      </w:r>
      <w:r w:rsidR="00467270" w:rsidRPr="00C75769">
        <w:t>upplies</w:t>
      </w:r>
    </w:p>
    <w:p w14:paraId="1185750B" w14:textId="77777777" w:rsidR="002F524D" w:rsidRDefault="002F524D" w:rsidP="00666E06">
      <w:pPr>
        <w:pStyle w:val="ListParagraph"/>
      </w:pPr>
    </w:p>
    <w:p w14:paraId="1FEFAE8F" w14:textId="128715A0" w:rsidR="005C1A6E" w:rsidRPr="00C75769" w:rsidRDefault="0020568D" w:rsidP="001835D8">
      <w:pPr>
        <w:pStyle w:val="ListParagraph"/>
        <w:ind w:left="357"/>
        <w:contextualSpacing w:val="0"/>
      </w:pPr>
      <w:r w:rsidRPr="00C75769">
        <w:t xml:space="preserve">This is an explicit requirement within </w:t>
      </w:r>
      <w:r w:rsidR="004864A4">
        <w:t xml:space="preserve">both </w:t>
      </w:r>
      <w:r w:rsidRPr="00C75769">
        <w:t xml:space="preserve">the NZ Building Code and </w:t>
      </w:r>
      <w:r w:rsidR="00352ED8" w:rsidRPr="00C75769">
        <w:t>AS/</w:t>
      </w:r>
      <w:r w:rsidRPr="00C75769">
        <w:t>NZS1170.</w:t>
      </w:r>
      <w:r w:rsidR="00352ED8" w:rsidRPr="00C75769">
        <w:t>0</w:t>
      </w:r>
      <w:r w:rsidRPr="00C75769">
        <w:t xml:space="preserve"> and correlates to </w:t>
      </w:r>
      <w:r w:rsidRPr="00C75769">
        <w:rPr>
          <w:b/>
          <w:bCs/>
        </w:rPr>
        <w:t>Importance Level 4</w:t>
      </w:r>
      <w:r w:rsidR="00A43953">
        <w:t>.</w:t>
      </w:r>
    </w:p>
    <w:p w14:paraId="14B149BB" w14:textId="12FE6C8F" w:rsidR="000D17C5" w:rsidRDefault="00A7513D" w:rsidP="004D55F1">
      <w:pPr>
        <w:pStyle w:val="ListParagraph"/>
        <w:numPr>
          <w:ilvl w:val="0"/>
          <w:numId w:val="6"/>
        </w:numPr>
        <w:ind w:left="357"/>
        <w:contextualSpacing w:val="0"/>
      </w:pPr>
      <w:r w:rsidRPr="0073378E">
        <w:rPr>
          <w:b/>
          <w:bCs/>
        </w:rPr>
        <w:t>Other Inpatient Facilities</w:t>
      </w:r>
      <w:r w:rsidR="002F18E5" w:rsidRPr="0073378E">
        <w:rPr>
          <w:rStyle w:val="CommentReference"/>
          <w:sz w:val="22"/>
          <w:szCs w:val="22"/>
        </w:rPr>
        <w:t xml:space="preserve">: </w:t>
      </w:r>
      <w:r w:rsidR="00F872D3" w:rsidRPr="00C75769">
        <w:t xml:space="preserve">Hospitals will also be required to continue to deliver services to people already in </w:t>
      </w:r>
      <w:r w:rsidR="001B1C9B" w:rsidRPr="00C75769">
        <w:t>ward facilities</w:t>
      </w:r>
      <w:r w:rsidR="00F872D3" w:rsidRPr="00C75769">
        <w:t xml:space="preserve"> at the time of the disaster event, and the wider community after the event, with </w:t>
      </w:r>
      <w:r w:rsidR="004864A4">
        <w:t xml:space="preserve">a </w:t>
      </w:r>
      <w:r w:rsidR="00F872D3" w:rsidRPr="00C75769">
        <w:t>focus on services which practically cannot be provided immediately elsewhere in the local community.</w:t>
      </w:r>
      <w:r w:rsidR="0039522F">
        <w:t xml:space="preserve"> </w:t>
      </w:r>
      <w:r w:rsidR="00CE7888">
        <w:t xml:space="preserve">This may also include </w:t>
      </w:r>
      <w:r w:rsidR="00284671">
        <w:t xml:space="preserve">some services broadly classified under </w:t>
      </w:r>
      <w:r w:rsidR="007B3AC1">
        <w:t>‘a</w:t>
      </w:r>
      <w:r w:rsidR="00284671">
        <w:t xml:space="preserve">cute </w:t>
      </w:r>
      <w:r w:rsidR="007B3AC1">
        <w:t>c</w:t>
      </w:r>
      <w:r w:rsidR="00284671">
        <w:t>are</w:t>
      </w:r>
      <w:r w:rsidR="007B3AC1">
        <w:t>’</w:t>
      </w:r>
      <w:r w:rsidR="00284671">
        <w:t xml:space="preserve">, but which </w:t>
      </w:r>
      <w:r w:rsidR="00C062AA">
        <w:t>are no</w:t>
      </w:r>
      <w:r w:rsidR="0041456C">
        <w:t xml:space="preserve">n-emergency and not </w:t>
      </w:r>
      <w:r w:rsidR="00E82320">
        <w:t xml:space="preserve">considered to have a </w:t>
      </w:r>
      <w:r w:rsidR="00E82320" w:rsidRPr="0073378E">
        <w:rPr>
          <w:i/>
          <w:iCs/>
        </w:rPr>
        <w:t>special post</w:t>
      </w:r>
      <w:r w:rsidR="00312AEA" w:rsidRPr="0073378E">
        <w:rPr>
          <w:i/>
          <w:iCs/>
        </w:rPr>
        <w:t xml:space="preserve"> </w:t>
      </w:r>
      <w:r w:rsidR="00E82320" w:rsidRPr="0073378E">
        <w:rPr>
          <w:i/>
          <w:iCs/>
        </w:rPr>
        <w:t>disaster function</w:t>
      </w:r>
      <w:r w:rsidR="00284671">
        <w:t>.</w:t>
      </w:r>
    </w:p>
    <w:p w14:paraId="2A8C6C2D" w14:textId="791FA05F" w:rsidR="005C1A6E" w:rsidRPr="00C75769" w:rsidRDefault="00F872D3" w:rsidP="0039522F">
      <w:pPr>
        <w:pStyle w:val="ListParagraph"/>
        <w:ind w:left="357"/>
        <w:contextualSpacing w:val="0"/>
      </w:pPr>
      <w:r w:rsidRPr="00C75769">
        <w:t xml:space="preserve">Within the </w:t>
      </w:r>
      <w:r w:rsidR="004864A4">
        <w:t>b</w:t>
      </w:r>
      <w:r w:rsidRPr="00C75769">
        <w:t xml:space="preserve">uilding </w:t>
      </w:r>
      <w:r w:rsidR="004864A4">
        <w:t>regulatory</w:t>
      </w:r>
      <w:r w:rsidR="00791BAC">
        <w:t xml:space="preserve"> fr</w:t>
      </w:r>
      <w:r w:rsidRPr="00C75769">
        <w:t xml:space="preserve">amework these areas </w:t>
      </w:r>
      <w:r w:rsidR="00352ED8" w:rsidRPr="00C75769">
        <w:t>are</w:t>
      </w:r>
      <w:r w:rsidRPr="00C75769">
        <w:t xml:space="preserve"> considered </w:t>
      </w:r>
      <w:r w:rsidRPr="007B3AC1">
        <w:rPr>
          <w:b/>
          <w:bCs/>
        </w:rPr>
        <w:t>Importance Level 3</w:t>
      </w:r>
      <w:r w:rsidRPr="00C75769">
        <w:t>.</w:t>
      </w:r>
    </w:p>
    <w:p w14:paraId="03A6177E" w14:textId="244B382C" w:rsidR="00F872D3" w:rsidRPr="00C75769" w:rsidRDefault="41F46CC4" w:rsidP="004D55F1">
      <w:pPr>
        <w:pStyle w:val="ListParagraph"/>
        <w:numPr>
          <w:ilvl w:val="0"/>
          <w:numId w:val="6"/>
        </w:numPr>
      </w:pPr>
      <w:r w:rsidRPr="00C75769">
        <w:rPr>
          <w:b/>
          <w:bCs/>
        </w:rPr>
        <w:t xml:space="preserve">Other Services – Medical &amp; </w:t>
      </w:r>
      <w:r w:rsidR="00F872D3" w:rsidRPr="00C75769">
        <w:rPr>
          <w:b/>
          <w:bCs/>
        </w:rPr>
        <w:t>Support</w:t>
      </w:r>
      <w:r w:rsidR="002F18E5" w:rsidRPr="00C75769">
        <w:t>:</w:t>
      </w:r>
      <w:r w:rsidR="00F872D3" w:rsidRPr="00C75769">
        <w:t xml:space="preserve"> Areas which do not fall within the above categories.</w:t>
      </w:r>
      <w:r w:rsidR="001B1C9B" w:rsidRPr="00C75769">
        <w:t xml:space="preserve"> </w:t>
      </w:r>
      <w:r w:rsidR="00F872D3" w:rsidRPr="00C75769">
        <w:t xml:space="preserve">Within the </w:t>
      </w:r>
      <w:r w:rsidR="00791BAC">
        <w:t>b</w:t>
      </w:r>
      <w:r w:rsidR="00F872D3" w:rsidRPr="00C75769">
        <w:t xml:space="preserve">uilding </w:t>
      </w:r>
      <w:r w:rsidR="00791BAC">
        <w:t>regulatory</w:t>
      </w:r>
      <w:r w:rsidR="00F872D3" w:rsidRPr="00C75769">
        <w:t xml:space="preserve"> framework these areas </w:t>
      </w:r>
      <w:r w:rsidR="001B1C9B" w:rsidRPr="00C75769">
        <w:t>are</w:t>
      </w:r>
      <w:r w:rsidR="00F872D3" w:rsidRPr="00C75769">
        <w:t xml:space="preserve"> considered </w:t>
      </w:r>
      <w:r w:rsidR="00F872D3" w:rsidRPr="002F524D">
        <w:rPr>
          <w:b/>
          <w:bCs/>
        </w:rPr>
        <w:t>Importance Level 2</w:t>
      </w:r>
      <w:r w:rsidR="00F872D3" w:rsidRPr="00C75769">
        <w:t>.</w:t>
      </w:r>
    </w:p>
    <w:p w14:paraId="0E72C1EC" w14:textId="35A339C2" w:rsidR="00F872D3" w:rsidRDefault="00F872D3" w:rsidP="00666E06">
      <w:pPr>
        <w:rPr>
          <w:i/>
          <w:iCs/>
        </w:rPr>
      </w:pPr>
      <w:r w:rsidRPr="00C75769">
        <w:lastRenderedPageBreak/>
        <w:t>The following table provides information on service areas and where they relate to the categories above</w:t>
      </w:r>
      <w:r w:rsidR="00A43953">
        <w:t xml:space="preserve">. </w:t>
      </w:r>
      <w:r w:rsidR="00B12946" w:rsidRPr="00C75769">
        <w:t xml:space="preserve">The design team should confirm via the brief which agreed areas are to be designated as </w:t>
      </w:r>
      <w:r w:rsidR="767B6321" w:rsidRPr="00C75769">
        <w:rPr>
          <w:i/>
          <w:iCs/>
        </w:rPr>
        <w:t>Acute Services, Other Inpatient Facilities,</w:t>
      </w:r>
      <w:r w:rsidR="003E4619" w:rsidRPr="00C75769">
        <w:rPr>
          <w:i/>
          <w:iCs/>
        </w:rPr>
        <w:t xml:space="preserve"> </w:t>
      </w:r>
      <w:r w:rsidR="003E4619" w:rsidRPr="00CD4B6A">
        <w:t>and</w:t>
      </w:r>
      <w:r w:rsidR="767B6321" w:rsidRPr="00C75769">
        <w:rPr>
          <w:i/>
          <w:iCs/>
        </w:rPr>
        <w:t xml:space="preserve"> Other services </w:t>
      </w:r>
      <w:r w:rsidR="003E4619" w:rsidRPr="00C75769">
        <w:rPr>
          <w:i/>
          <w:iCs/>
        </w:rPr>
        <w:t>- M</w:t>
      </w:r>
      <w:r w:rsidR="767B6321" w:rsidRPr="00C75769">
        <w:rPr>
          <w:i/>
          <w:iCs/>
        </w:rPr>
        <w:t>edical</w:t>
      </w:r>
      <w:r w:rsidR="00B12946" w:rsidRPr="00C75769">
        <w:rPr>
          <w:i/>
        </w:rPr>
        <w:t xml:space="preserve"> </w:t>
      </w:r>
      <w:r w:rsidR="00CD4B6A">
        <w:t>or</w:t>
      </w:r>
      <w:r w:rsidR="00B12946" w:rsidRPr="00C75769">
        <w:rPr>
          <w:i/>
        </w:rPr>
        <w:t xml:space="preserve"> </w:t>
      </w:r>
      <w:r w:rsidR="003E4619" w:rsidRPr="00C75769">
        <w:rPr>
          <w:i/>
        </w:rPr>
        <w:t>S</w:t>
      </w:r>
      <w:r w:rsidR="767B6321" w:rsidRPr="00C75769">
        <w:rPr>
          <w:i/>
          <w:iCs/>
        </w:rPr>
        <w:t>upport.</w:t>
      </w:r>
    </w:p>
    <w:p w14:paraId="518D5C2D" w14:textId="77777777" w:rsidR="00EA5EEE" w:rsidRPr="00DA1892" w:rsidRDefault="00EA5EEE" w:rsidP="0039522F">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A1892">
        <w:t>Aligning Importance Levels and Building Services Categories</w:t>
      </w:r>
    </w:p>
    <w:p w14:paraId="1724981E" w14:textId="369DC14D" w:rsidR="003B0D42" w:rsidRDefault="00EA5EEE" w:rsidP="0039522F">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Seismic design makes use of Importance Levels (IL4, IL3, IL2) and SLS criteria when designing for post-earthquake functionality</w:t>
      </w:r>
      <w:r w:rsidR="0073378E">
        <w:t>,</w:t>
      </w:r>
      <w:r>
        <w:t xml:space="preserve"> reflected in the Seismic and Structural DGN. Building services design makes use of Building Services Categories (1, 2, 3)</w:t>
      </w:r>
      <w:r w:rsidR="0073378E">
        <w:t>,</w:t>
      </w:r>
      <w:r>
        <w:t xml:space="preserve"> reflected in the Building Services Engineering Guide. These are intended to align across guidelines, but where a discrepancy is found, the more onerous condition applies.</w:t>
      </w:r>
    </w:p>
    <w:p w14:paraId="66A6C4AD" w14:textId="77777777" w:rsidR="0051042B" w:rsidRDefault="0051042B" w:rsidP="00BD1621">
      <w:pPr>
        <w:pStyle w:val="Figure"/>
      </w:pPr>
      <w:bookmarkStart w:id="134" w:name="_Ref150076187"/>
    </w:p>
    <w:p w14:paraId="67E891AE" w14:textId="557814D4" w:rsidR="00970497" w:rsidRPr="00DF106E" w:rsidRDefault="00970497" w:rsidP="00DF106E">
      <w:pPr>
        <w:pStyle w:val="Figure"/>
        <w:rPr>
          <w:sz w:val="20"/>
          <w:szCs w:val="20"/>
        </w:rPr>
      </w:pPr>
      <w:r w:rsidRPr="00DF106E">
        <w:rPr>
          <w:sz w:val="20"/>
          <w:szCs w:val="20"/>
        </w:rPr>
        <w:t xml:space="preserve">Table </w:t>
      </w:r>
      <w:r w:rsidRPr="00DF106E">
        <w:rPr>
          <w:sz w:val="20"/>
          <w:szCs w:val="20"/>
        </w:rPr>
        <w:fldChar w:fldCharType="begin"/>
      </w:r>
      <w:r w:rsidRPr="00DF106E">
        <w:rPr>
          <w:sz w:val="20"/>
          <w:szCs w:val="20"/>
        </w:rPr>
        <w:instrText>SEQ Table \* ARABIC</w:instrText>
      </w:r>
      <w:r w:rsidRPr="00DF106E">
        <w:rPr>
          <w:sz w:val="20"/>
          <w:szCs w:val="20"/>
        </w:rPr>
        <w:fldChar w:fldCharType="separate"/>
      </w:r>
      <w:r w:rsidR="000761C1">
        <w:rPr>
          <w:noProof/>
          <w:sz w:val="20"/>
          <w:szCs w:val="20"/>
        </w:rPr>
        <w:t>2</w:t>
      </w:r>
      <w:r w:rsidRPr="00DF106E">
        <w:rPr>
          <w:sz w:val="20"/>
          <w:szCs w:val="20"/>
        </w:rPr>
        <w:fldChar w:fldCharType="end"/>
      </w:r>
      <w:bookmarkEnd w:id="134"/>
      <w:r w:rsidRPr="00DF106E">
        <w:rPr>
          <w:sz w:val="20"/>
          <w:szCs w:val="20"/>
        </w:rPr>
        <w:t>: Categorisation of Clinical areas</w:t>
      </w:r>
      <w:r w:rsidR="00F562C5" w:rsidRPr="00DF106E">
        <w:rPr>
          <w:sz w:val="20"/>
          <w:szCs w:val="20"/>
        </w:rPr>
        <w:t xml:space="preserve"> in accordance with the New Zealand Building Code</w:t>
      </w:r>
    </w:p>
    <w:tbl>
      <w:tblPr>
        <w:tblStyle w:val="TableGrid"/>
        <w:tblW w:w="9923" w:type="dxa"/>
        <w:tblBorders>
          <w:top w:val="single" w:sz="4" w:space="0" w:color="15284C" w:themeColor="text1"/>
          <w:left w:val="single" w:sz="4" w:space="0" w:color="15284C" w:themeColor="text1"/>
          <w:bottom w:val="single" w:sz="4" w:space="0" w:color="15284C" w:themeColor="text1"/>
          <w:right w:val="single" w:sz="4" w:space="0" w:color="15284C" w:themeColor="text1"/>
          <w:insideH w:val="single" w:sz="4" w:space="0" w:color="15284C" w:themeColor="text1"/>
          <w:insideV w:val="single" w:sz="4" w:space="0" w:color="15284C" w:themeColor="text1"/>
        </w:tblBorders>
        <w:tblLook w:val="04A0" w:firstRow="1" w:lastRow="0" w:firstColumn="1" w:lastColumn="0" w:noHBand="0" w:noVBand="1"/>
      </w:tblPr>
      <w:tblGrid>
        <w:gridCol w:w="1276"/>
        <w:gridCol w:w="1806"/>
        <w:gridCol w:w="2231"/>
        <w:gridCol w:w="4610"/>
      </w:tblGrid>
      <w:tr w:rsidR="00A97A24" w:rsidRPr="00B61BED" w14:paraId="16539BD0" w14:textId="77777777" w:rsidTr="00DF106E">
        <w:trPr>
          <w:cantSplit/>
          <w:tblHeader/>
        </w:trPr>
        <w:tc>
          <w:tcPr>
            <w:tcW w:w="1276" w:type="dxa"/>
            <w:tcBorders>
              <w:top w:val="single" w:sz="12" w:space="0" w:color="003399" w:themeColor="accent2"/>
              <w:left w:val="nil"/>
              <w:bottom w:val="single" w:sz="12" w:space="0" w:color="003399" w:themeColor="accent2"/>
              <w:right w:val="single" w:sz="8" w:space="0" w:color="BFBFBF"/>
            </w:tcBorders>
            <w:shd w:val="clear" w:color="auto" w:fill="F6F4EC"/>
            <w:vAlign w:val="center"/>
          </w:tcPr>
          <w:p w14:paraId="2F98E8EB" w14:textId="48A019F9" w:rsidR="00F872D3" w:rsidRPr="00B61BED" w:rsidRDefault="007D1533" w:rsidP="00DF106E">
            <w:pPr>
              <w:pStyle w:val="Tableheading0"/>
              <w:spacing w:before="60"/>
              <w:rPr>
                <w:sz w:val="20"/>
                <w:szCs w:val="20"/>
              </w:rPr>
            </w:pPr>
            <w:r w:rsidRPr="00B61BED">
              <w:rPr>
                <w:sz w:val="20"/>
                <w:szCs w:val="20"/>
              </w:rPr>
              <w:t>Hospital Medical</w:t>
            </w:r>
            <w:r w:rsidR="00A97A24" w:rsidRPr="00B61BED">
              <w:rPr>
                <w:sz w:val="20"/>
                <w:szCs w:val="20"/>
              </w:rPr>
              <w:t xml:space="preserve"> Service </w:t>
            </w:r>
            <w:r w:rsidR="00F872D3" w:rsidRPr="00B61BED">
              <w:rPr>
                <w:sz w:val="20"/>
                <w:szCs w:val="20"/>
              </w:rPr>
              <w:t>Category</w:t>
            </w:r>
          </w:p>
        </w:tc>
        <w:tc>
          <w:tcPr>
            <w:tcW w:w="1806"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vAlign w:val="center"/>
          </w:tcPr>
          <w:p w14:paraId="182C425C" w14:textId="77777777" w:rsidR="00F872D3" w:rsidRPr="00B61BED" w:rsidRDefault="00F872D3" w:rsidP="00DF106E">
            <w:pPr>
              <w:pStyle w:val="Tableheading0"/>
              <w:spacing w:before="60"/>
              <w:rPr>
                <w:sz w:val="20"/>
                <w:szCs w:val="20"/>
              </w:rPr>
            </w:pPr>
            <w:r w:rsidRPr="00B61BED">
              <w:rPr>
                <w:sz w:val="20"/>
                <w:szCs w:val="20"/>
              </w:rPr>
              <w:t>Sub-Category</w:t>
            </w:r>
          </w:p>
        </w:tc>
        <w:tc>
          <w:tcPr>
            <w:tcW w:w="2231"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vAlign w:val="center"/>
          </w:tcPr>
          <w:p w14:paraId="74FA85BB" w14:textId="77777777" w:rsidR="00F872D3" w:rsidRPr="00B61BED" w:rsidRDefault="00F872D3" w:rsidP="00DF106E">
            <w:pPr>
              <w:pStyle w:val="Tableheading0"/>
              <w:spacing w:before="60"/>
              <w:rPr>
                <w:sz w:val="20"/>
                <w:szCs w:val="20"/>
              </w:rPr>
            </w:pPr>
            <w:r w:rsidRPr="00B61BED">
              <w:rPr>
                <w:sz w:val="20"/>
                <w:szCs w:val="20"/>
              </w:rPr>
              <w:t>Service or Function</w:t>
            </w:r>
          </w:p>
        </w:tc>
        <w:tc>
          <w:tcPr>
            <w:tcW w:w="4610" w:type="dxa"/>
            <w:tcBorders>
              <w:top w:val="single" w:sz="12" w:space="0" w:color="003399" w:themeColor="accent2"/>
              <w:left w:val="single" w:sz="8" w:space="0" w:color="BFBFBF"/>
              <w:bottom w:val="single" w:sz="12" w:space="0" w:color="003399" w:themeColor="accent2"/>
              <w:right w:val="nil"/>
            </w:tcBorders>
            <w:shd w:val="clear" w:color="auto" w:fill="F6F4EC"/>
            <w:vAlign w:val="center"/>
          </w:tcPr>
          <w:p w14:paraId="024E6376" w14:textId="77777777" w:rsidR="00F872D3" w:rsidRPr="00B61BED" w:rsidRDefault="00F872D3" w:rsidP="00DF106E">
            <w:pPr>
              <w:pStyle w:val="Tableheading0"/>
              <w:spacing w:before="60"/>
              <w:rPr>
                <w:sz w:val="20"/>
                <w:szCs w:val="20"/>
              </w:rPr>
            </w:pPr>
            <w:r w:rsidRPr="00B61BED">
              <w:rPr>
                <w:sz w:val="20"/>
                <w:szCs w:val="20"/>
              </w:rPr>
              <w:t>Scope/Comments</w:t>
            </w:r>
          </w:p>
          <w:p w14:paraId="49E94D9F" w14:textId="0A10F24C" w:rsidR="00F6277A" w:rsidRPr="00B61BED" w:rsidRDefault="00F6277A" w:rsidP="00DF106E">
            <w:pPr>
              <w:pStyle w:val="Tableheading0"/>
              <w:spacing w:before="60"/>
              <w:rPr>
                <w:sz w:val="20"/>
                <w:szCs w:val="20"/>
              </w:rPr>
            </w:pPr>
            <w:r w:rsidRPr="00B61BED">
              <w:rPr>
                <w:sz w:val="20"/>
                <w:szCs w:val="20"/>
              </w:rPr>
              <w:t>Specific Hospital Locations (where applicable)</w:t>
            </w:r>
          </w:p>
        </w:tc>
      </w:tr>
      <w:tr w:rsidR="00C4731D" w:rsidRPr="00B61BED" w14:paraId="144CA70D" w14:textId="77777777" w:rsidTr="00DF106E">
        <w:trPr>
          <w:cantSplit/>
        </w:trPr>
        <w:tc>
          <w:tcPr>
            <w:tcW w:w="1276" w:type="dxa"/>
            <w:vMerge w:val="restart"/>
            <w:tcBorders>
              <w:top w:val="single" w:sz="12" w:space="0" w:color="003399" w:themeColor="accent2"/>
              <w:left w:val="nil"/>
              <w:bottom w:val="single" w:sz="8" w:space="0" w:color="BFBFBF"/>
              <w:right w:val="single" w:sz="8" w:space="0" w:color="BFBFBF"/>
            </w:tcBorders>
            <w:shd w:val="clear" w:color="auto" w:fill="F6F4EC"/>
            <w:vAlign w:val="center"/>
          </w:tcPr>
          <w:p w14:paraId="3B8D8B58" w14:textId="77777777" w:rsidR="00C4731D" w:rsidRPr="00B61BED" w:rsidRDefault="00C4731D" w:rsidP="00DF106E">
            <w:pPr>
              <w:spacing w:before="60"/>
              <w:rPr>
                <w:rFonts w:cs="Arial"/>
                <w:sz w:val="20"/>
                <w:szCs w:val="20"/>
              </w:rPr>
            </w:pPr>
            <w:r w:rsidRPr="00B61BED">
              <w:rPr>
                <w:rFonts w:cs="Arial"/>
                <w:b/>
                <w:bCs/>
                <w:sz w:val="20"/>
                <w:szCs w:val="20"/>
              </w:rPr>
              <w:t xml:space="preserve">Acute Services </w:t>
            </w:r>
            <w:r w:rsidRPr="00B61BED">
              <w:rPr>
                <w:rFonts w:cs="Arial"/>
                <w:b/>
                <w:bCs/>
                <w:sz w:val="20"/>
                <w:szCs w:val="20"/>
              </w:rPr>
              <w:br/>
            </w:r>
            <w:r w:rsidRPr="00B61BED">
              <w:rPr>
                <w:rFonts w:cs="Arial"/>
                <w:sz w:val="20"/>
                <w:szCs w:val="20"/>
              </w:rPr>
              <w:t>and essential support services</w:t>
            </w:r>
          </w:p>
          <w:p w14:paraId="59B2B67A" w14:textId="71D2B598" w:rsidR="00C4731D" w:rsidRPr="00B61BED" w:rsidRDefault="00C4731D" w:rsidP="00DF106E">
            <w:pPr>
              <w:spacing w:before="60"/>
              <w:rPr>
                <w:rFonts w:cs="Arial"/>
                <w:sz w:val="20"/>
                <w:szCs w:val="20"/>
              </w:rPr>
            </w:pPr>
            <w:r w:rsidRPr="00B61BED">
              <w:rPr>
                <w:rFonts w:cs="Arial"/>
                <w:sz w:val="20"/>
                <w:szCs w:val="20"/>
              </w:rPr>
              <w:t>(special post-disaster functions)</w:t>
            </w:r>
          </w:p>
          <w:p w14:paraId="208D463E" w14:textId="74AE702E" w:rsidR="00C4731D" w:rsidRPr="00B61BED" w:rsidRDefault="00C4731D" w:rsidP="00DF106E">
            <w:pPr>
              <w:spacing w:before="60"/>
              <w:rPr>
                <w:rFonts w:cs="Arial"/>
                <w:sz w:val="20"/>
                <w:szCs w:val="20"/>
              </w:rPr>
            </w:pPr>
            <w:r w:rsidRPr="00B61BED">
              <w:rPr>
                <w:rFonts w:cs="Arial"/>
                <w:sz w:val="20"/>
                <w:szCs w:val="20"/>
              </w:rPr>
              <w:t>Importance Level 4</w:t>
            </w:r>
          </w:p>
        </w:tc>
        <w:tc>
          <w:tcPr>
            <w:tcW w:w="1806" w:type="dxa"/>
            <w:vMerge w:val="restart"/>
            <w:tcBorders>
              <w:top w:val="single" w:sz="12" w:space="0" w:color="003399" w:themeColor="accent2"/>
              <w:left w:val="single" w:sz="8" w:space="0" w:color="BFBFBF"/>
              <w:right w:val="single" w:sz="8" w:space="0" w:color="BFBFBF"/>
            </w:tcBorders>
            <w:vAlign w:val="center"/>
          </w:tcPr>
          <w:p w14:paraId="66CC7D88" w14:textId="2F0E8B63" w:rsidR="00C4731D" w:rsidRPr="00B61BED" w:rsidRDefault="00C4731D" w:rsidP="00DF106E">
            <w:pPr>
              <w:spacing w:before="60"/>
              <w:rPr>
                <w:rFonts w:cs="Arial"/>
                <w:sz w:val="20"/>
                <w:szCs w:val="20"/>
              </w:rPr>
            </w:pPr>
            <w:r w:rsidRPr="00B61BED">
              <w:rPr>
                <w:rFonts w:cs="Arial"/>
                <w:sz w:val="20"/>
                <w:szCs w:val="20"/>
              </w:rPr>
              <w:t>Key Clinical Operational Areas</w:t>
            </w:r>
            <w:r w:rsidR="00A76AAD" w:rsidRPr="00B61BED">
              <w:rPr>
                <w:rFonts w:cs="Arial"/>
                <w:sz w:val="20"/>
                <w:szCs w:val="20"/>
              </w:rPr>
              <w:t xml:space="preserve"> </w:t>
            </w:r>
            <w:r w:rsidR="005F3E7C" w:rsidRPr="00B61BED">
              <w:rPr>
                <w:rFonts w:cs="Arial"/>
                <w:sz w:val="20"/>
                <w:szCs w:val="20"/>
              </w:rPr>
              <w:t>(</w:t>
            </w:r>
            <w:r w:rsidR="00A76AAD" w:rsidRPr="00B61BED">
              <w:rPr>
                <w:rFonts w:cs="Arial"/>
                <w:sz w:val="20"/>
                <w:szCs w:val="20"/>
              </w:rPr>
              <w:t>with a dedicated post</w:t>
            </w:r>
            <w:r w:rsidR="005F3E7C" w:rsidRPr="00B61BED">
              <w:rPr>
                <w:rFonts w:cs="Arial"/>
                <w:sz w:val="20"/>
                <w:szCs w:val="20"/>
              </w:rPr>
              <w:t>-d</w:t>
            </w:r>
            <w:r w:rsidR="00A76AAD" w:rsidRPr="00B61BED">
              <w:rPr>
                <w:rFonts w:cs="Arial"/>
                <w:sz w:val="20"/>
                <w:szCs w:val="20"/>
              </w:rPr>
              <w:t>isaster function</w:t>
            </w:r>
            <w:r w:rsidR="005F3E7C" w:rsidRPr="00B61BED">
              <w:rPr>
                <w:rFonts w:cs="Arial"/>
                <w:sz w:val="20"/>
                <w:szCs w:val="20"/>
              </w:rPr>
              <w:t>)</w:t>
            </w:r>
          </w:p>
        </w:tc>
        <w:tc>
          <w:tcPr>
            <w:tcW w:w="2231" w:type="dxa"/>
            <w:tcBorders>
              <w:top w:val="single" w:sz="12" w:space="0" w:color="003399" w:themeColor="accent2"/>
              <w:left w:val="single" w:sz="8" w:space="0" w:color="BFBFBF"/>
              <w:bottom w:val="single" w:sz="8" w:space="0" w:color="BFBFBF"/>
              <w:right w:val="single" w:sz="8" w:space="0" w:color="BFBFBF"/>
            </w:tcBorders>
          </w:tcPr>
          <w:p w14:paraId="4DF8AF69" w14:textId="0BD7D8A9" w:rsidR="00C4731D" w:rsidRPr="00B61BED" w:rsidRDefault="00C4731D" w:rsidP="00DF106E">
            <w:pPr>
              <w:spacing w:before="60"/>
              <w:rPr>
                <w:rFonts w:cs="Arial"/>
                <w:sz w:val="20"/>
                <w:szCs w:val="20"/>
              </w:rPr>
            </w:pPr>
            <w:r w:rsidRPr="00B61BED">
              <w:rPr>
                <w:rFonts w:cs="Arial"/>
                <w:sz w:val="20"/>
                <w:szCs w:val="20"/>
              </w:rPr>
              <w:t xml:space="preserve">Emergency </w:t>
            </w:r>
            <w:r w:rsidR="00AB06F6" w:rsidRPr="00B61BED">
              <w:rPr>
                <w:rFonts w:cs="Arial"/>
                <w:sz w:val="20"/>
                <w:szCs w:val="20"/>
              </w:rPr>
              <w:t>Dept.</w:t>
            </w:r>
          </w:p>
        </w:tc>
        <w:tc>
          <w:tcPr>
            <w:tcW w:w="4610" w:type="dxa"/>
            <w:tcBorders>
              <w:top w:val="single" w:sz="12" w:space="0" w:color="003399" w:themeColor="accent2"/>
              <w:left w:val="single" w:sz="8" w:space="0" w:color="BFBFBF"/>
              <w:bottom w:val="single" w:sz="8" w:space="0" w:color="BFBFBF"/>
              <w:right w:val="nil"/>
            </w:tcBorders>
          </w:tcPr>
          <w:p w14:paraId="586E234A" w14:textId="48FADBF9" w:rsidR="00C4731D" w:rsidRPr="00B61BED" w:rsidRDefault="00C4731D" w:rsidP="00DF106E">
            <w:pPr>
              <w:spacing w:before="60"/>
              <w:rPr>
                <w:rFonts w:cs="Arial"/>
                <w:sz w:val="20"/>
                <w:szCs w:val="20"/>
              </w:rPr>
            </w:pPr>
          </w:p>
        </w:tc>
      </w:tr>
      <w:tr w:rsidR="00C4731D" w:rsidRPr="00B61BED" w14:paraId="60A4BD1D"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5BB1570B" w14:textId="77777777" w:rsidR="00C4731D" w:rsidRPr="00B61BED" w:rsidRDefault="00C4731D" w:rsidP="00DF106E">
            <w:pPr>
              <w:spacing w:before="60"/>
              <w:rPr>
                <w:rFonts w:cs="Arial"/>
                <w:sz w:val="20"/>
                <w:szCs w:val="20"/>
              </w:rPr>
            </w:pPr>
          </w:p>
        </w:tc>
        <w:tc>
          <w:tcPr>
            <w:tcW w:w="1806" w:type="dxa"/>
            <w:vMerge/>
            <w:tcBorders>
              <w:left w:val="single" w:sz="8" w:space="0" w:color="BFBFBF"/>
              <w:right w:val="single" w:sz="8" w:space="0" w:color="BFBFBF"/>
            </w:tcBorders>
            <w:vAlign w:val="center"/>
          </w:tcPr>
          <w:p w14:paraId="3D65191D"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6A813863" w14:textId="77777777" w:rsidR="00C4731D" w:rsidRPr="00B61BED" w:rsidRDefault="00C4731D" w:rsidP="00DF106E">
            <w:pPr>
              <w:spacing w:before="60"/>
              <w:rPr>
                <w:rFonts w:cs="Arial"/>
                <w:sz w:val="20"/>
                <w:szCs w:val="20"/>
              </w:rPr>
            </w:pPr>
            <w:r w:rsidRPr="00B61BED">
              <w:rPr>
                <w:rFonts w:cs="Arial"/>
                <w:sz w:val="20"/>
                <w:szCs w:val="20"/>
              </w:rPr>
              <w:t xml:space="preserve">Operating Theatres </w:t>
            </w:r>
          </w:p>
        </w:tc>
        <w:tc>
          <w:tcPr>
            <w:tcW w:w="4610" w:type="dxa"/>
            <w:tcBorders>
              <w:top w:val="single" w:sz="8" w:space="0" w:color="BFBFBF"/>
              <w:left w:val="single" w:sz="8" w:space="0" w:color="BFBFBF"/>
              <w:bottom w:val="single" w:sz="8" w:space="0" w:color="BFBFBF"/>
              <w:right w:val="nil"/>
            </w:tcBorders>
          </w:tcPr>
          <w:p w14:paraId="7A5D1969" w14:textId="01FEBE53" w:rsidR="00C4731D" w:rsidRPr="00B61BED" w:rsidRDefault="00C4731D" w:rsidP="00DF106E">
            <w:pPr>
              <w:spacing w:before="60"/>
              <w:rPr>
                <w:rFonts w:cs="Arial"/>
                <w:sz w:val="20"/>
                <w:szCs w:val="20"/>
              </w:rPr>
            </w:pPr>
            <w:r w:rsidRPr="00B61BED">
              <w:rPr>
                <w:rFonts w:cs="Arial"/>
                <w:sz w:val="20"/>
                <w:szCs w:val="20"/>
              </w:rPr>
              <w:t xml:space="preserve">Major </w:t>
            </w:r>
            <w:r w:rsidR="009B75D4" w:rsidRPr="00B61BED">
              <w:rPr>
                <w:rFonts w:cs="Arial"/>
                <w:sz w:val="20"/>
                <w:szCs w:val="20"/>
              </w:rPr>
              <w:t xml:space="preserve">acute </w:t>
            </w:r>
            <w:r w:rsidRPr="00B61BED">
              <w:rPr>
                <w:rFonts w:cs="Arial"/>
                <w:sz w:val="20"/>
                <w:szCs w:val="20"/>
              </w:rPr>
              <w:t>surgery involving a range of supporting services and facilities</w:t>
            </w:r>
          </w:p>
        </w:tc>
      </w:tr>
      <w:tr w:rsidR="00C4731D" w:rsidRPr="00B61BED" w14:paraId="6DF36707" w14:textId="77777777" w:rsidTr="00DF106E">
        <w:tc>
          <w:tcPr>
            <w:tcW w:w="1276" w:type="dxa"/>
            <w:vMerge/>
            <w:tcBorders>
              <w:top w:val="single" w:sz="8" w:space="0" w:color="BFBFBF"/>
              <w:left w:val="nil"/>
              <w:bottom w:val="single" w:sz="8" w:space="0" w:color="BFBFBF"/>
              <w:right w:val="single" w:sz="8" w:space="0" w:color="BFBFBF"/>
            </w:tcBorders>
            <w:shd w:val="clear" w:color="auto" w:fill="F6F4EC"/>
          </w:tcPr>
          <w:p w14:paraId="2AF7F800" w14:textId="77777777" w:rsidR="00C4731D" w:rsidRPr="00B61BED" w:rsidRDefault="00C4731D" w:rsidP="00DF106E">
            <w:pPr>
              <w:spacing w:before="60"/>
              <w:rPr>
                <w:rFonts w:cs="Arial"/>
                <w:sz w:val="20"/>
                <w:szCs w:val="20"/>
              </w:rPr>
            </w:pPr>
          </w:p>
        </w:tc>
        <w:tc>
          <w:tcPr>
            <w:tcW w:w="1806" w:type="dxa"/>
            <w:vMerge/>
            <w:tcBorders>
              <w:left w:val="single" w:sz="8" w:space="0" w:color="BFBFBF"/>
              <w:bottom w:val="single" w:sz="8" w:space="0" w:color="BFBFBF"/>
              <w:right w:val="single" w:sz="8" w:space="0" w:color="BFBFBF"/>
            </w:tcBorders>
            <w:vAlign w:val="center"/>
          </w:tcPr>
          <w:p w14:paraId="05F1D226"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2917AD7C" w14:textId="77777777" w:rsidR="00C4731D" w:rsidRPr="00B61BED" w:rsidRDefault="00C4731D" w:rsidP="00DF106E">
            <w:pPr>
              <w:spacing w:before="60"/>
              <w:rPr>
                <w:rFonts w:cs="Arial"/>
                <w:sz w:val="20"/>
                <w:szCs w:val="20"/>
              </w:rPr>
            </w:pPr>
            <w:r w:rsidRPr="00B61BED">
              <w:rPr>
                <w:rFonts w:cs="Arial"/>
                <w:sz w:val="20"/>
                <w:szCs w:val="20"/>
              </w:rPr>
              <w:t xml:space="preserve">Intensive Care Unit </w:t>
            </w:r>
          </w:p>
        </w:tc>
        <w:tc>
          <w:tcPr>
            <w:tcW w:w="4610" w:type="dxa"/>
            <w:tcBorders>
              <w:top w:val="single" w:sz="8" w:space="0" w:color="BFBFBF"/>
              <w:left w:val="single" w:sz="8" w:space="0" w:color="BFBFBF"/>
              <w:bottom w:val="single" w:sz="8" w:space="0" w:color="BFBFBF"/>
              <w:right w:val="nil"/>
            </w:tcBorders>
          </w:tcPr>
          <w:p w14:paraId="0C6731EF" w14:textId="09882BC6" w:rsidR="00C4731D" w:rsidRPr="00B61BED" w:rsidRDefault="00C4731D" w:rsidP="00DF106E">
            <w:pPr>
              <w:spacing w:before="60"/>
              <w:rPr>
                <w:rFonts w:cs="Arial"/>
                <w:sz w:val="20"/>
                <w:szCs w:val="20"/>
              </w:rPr>
            </w:pPr>
          </w:p>
        </w:tc>
      </w:tr>
      <w:tr w:rsidR="00C4731D" w:rsidRPr="00B61BED" w14:paraId="212A156E"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2DC46324" w14:textId="77777777" w:rsidR="00C4731D" w:rsidRPr="00B61BED" w:rsidRDefault="00C4731D" w:rsidP="00DF106E">
            <w:pPr>
              <w:spacing w:before="60"/>
              <w:rPr>
                <w:rFonts w:cs="Arial"/>
                <w:sz w:val="20"/>
                <w:szCs w:val="20"/>
              </w:rPr>
            </w:pPr>
          </w:p>
        </w:tc>
        <w:tc>
          <w:tcPr>
            <w:tcW w:w="1806" w:type="dxa"/>
            <w:vMerge w:val="restart"/>
            <w:tcBorders>
              <w:top w:val="single" w:sz="8" w:space="0" w:color="BFBFBF"/>
              <w:left w:val="single" w:sz="8" w:space="0" w:color="BFBFBF"/>
              <w:bottom w:val="single" w:sz="8" w:space="0" w:color="BFBFBF"/>
              <w:right w:val="single" w:sz="8" w:space="0" w:color="BFBFBF"/>
            </w:tcBorders>
            <w:vAlign w:val="center"/>
          </w:tcPr>
          <w:p w14:paraId="621C2F9F" w14:textId="77777777" w:rsidR="00C4731D" w:rsidRPr="00B61BED" w:rsidRDefault="00C4731D" w:rsidP="00DF106E">
            <w:pPr>
              <w:spacing w:before="60"/>
              <w:rPr>
                <w:rFonts w:cs="Arial"/>
                <w:sz w:val="20"/>
                <w:szCs w:val="20"/>
              </w:rPr>
            </w:pPr>
            <w:r w:rsidRPr="00B61BED">
              <w:rPr>
                <w:rFonts w:cs="Arial"/>
                <w:sz w:val="20"/>
                <w:szCs w:val="20"/>
              </w:rPr>
              <w:t>Critical Clinical Support Functions</w:t>
            </w:r>
          </w:p>
        </w:tc>
        <w:tc>
          <w:tcPr>
            <w:tcW w:w="2231" w:type="dxa"/>
            <w:tcBorders>
              <w:top w:val="single" w:sz="8" w:space="0" w:color="BFBFBF"/>
              <w:left w:val="single" w:sz="8" w:space="0" w:color="BFBFBF"/>
              <w:bottom w:val="single" w:sz="8" w:space="0" w:color="BFBFBF"/>
              <w:right w:val="single" w:sz="8" w:space="0" w:color="BFBFBF"/>
            </w:tcBorders>
          </w:tcPr>
          <w:p w14:paraId="5403A292" w14:textId="6D0AD053" w:rsidR="00C4731D" w:rsidRPr="00B61BED" w:rsidRDefault="00C4731D" w:rsidP="00DF106E">
            <w:pPr>
              <w:spacing w:before="60"/>
              <w:rPr>
                <w:rFonts w:cs="Arial"/>
                <w:sz w:val="20"/>
                <w:szCs w:val="20"/>
              </w:rPr>
            </w:pPr>
            <w:r w:rsidRPr="00B61BED">
              <w:rPr>
                <w:rFonts w:cs="Arial"/>
                <w:sz w:val="20"/>
                <w:szCs w:val="20"/>
              </w:rPr>
              <w:t xml:space="preserve">Radiology </w:t>
            </w:r>
          </w:p>
        </w:tc>
        <w:tc>
          <w:tcPr>
            <w:tcW w:w="4610" w:type="dxa"/>
            <w:tcBorders>
              <w:top w:val="single" w:sz="8" w:space="0" w:color="BFBFBF"/>
              <w:left w:val="single" w:sz="8" w:space="0" w:color="BFBFBF"/>
              <w:bottom w:val="single" w:sz="8" w:space="0" w:color="BFBFBF"/>
              <w:right w:val="nil"/>
            </w:tcBorders>
          </w:tcPr>
          <w:p w14:paraId="2A80903C" w14:textId="729F805E" w:rsidR="00C4731D" w:rsidRPr="00B61BED" w:rsidRDefault="00C4731D" w:rsidP="00DF106E">
            <w:pPr>
              <w:spacing w:before="60"/>
              <w:rPr>
                <w:rFonts w:cs="Arial"/>
                <w:sz w:val="20"/>
                <w:szCs w:val="20"/>
              </w:rPr>
            </w:pPr>
            <w:r w:rsidRPr="00B61BED">
              <w:rPr>
                <w:rFonts w:cs="Arial"/>
                <w:sz w:val="20"/>
                <w:szCs w:val="20"/>
              </w:rPr>
              <w:t xml:space="preserve">Medical imaging in support of ED, </w:t>
            </w:r>
            <w:r w:rsidR="009B75D4" w:rsidRPr="00B61BED">
              <w:rPr>
                <w:rFonts w:cs="Arial"/>
                <w:sz w:val="20"/>
                <w:szCs w:val="20"/>
              </w:rPr>
              <w:t xml:space="preserve">Acute </w:t>
            </w:r>
            <w:r w:rsidRPr="00B61BED">
              <w:rPr>
                <w:rFonts w:cs="Arial"/>
                <w:sz w:val="20"/>
                <w:szCs w:val="20"/>
              </w:rPr>
              <w:t xml:space="preserve">Operating </w:t>
            </w:r>
            <w:r w:rsidR="009B75D4" w:rsidRPr="00B61BED">
              <w:rPr>
                <w:rFonts w:cs="Arial"/>
                <w:sz w:val="20"/>
                <w:szCs w:val="20"/>
              </w:rPr>
              <w:t>T</w:t>
            </w:r>
            <w:r w:rsidRPr="00B61BED">
              <w:rPr>
                <w:rFonts w:cs="Arial"/>
                <w:sz w:val="20"/>
                <w:szCs w:val="20"/>
              </w:rPr>
              <w:t>heatres and ICU</w:t>
            </w:r>
          </w:p>
        </w:tc>
      </w:tr>
      <w:tr w:rsidR="00C4731D" w:rsidRPr="00B61BED" w14:paraId="2136D8A5"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6684E950"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vAlign w:val="center"/>
          </w:tcPr>
          <w:p w14:paraId="13F77F6D"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18E03884" w14:textId="6AEC99D3" w:rsidR="00C4731D" w:rsidRPr="00B61BED" w:rsidRDefault="00C4731D" w:rsidP="00DF106E">
            <w:pPr>
              <w:spacing w:before="60"/>
              <w:rPr>
                <w:rFonts w:cs="Arial"/>
                <w:sz w:val="20"/>
                <w:szCs w:val="20"/>
              </w:rPr>
            </w:pPr>
            <w:r w:rsidRPr="00B61BED">
              <w:rPr>
                <w:rFonts w:cs="Arial"/>
                <w:sz w:val="20"/>
                <w:szCs w:val="20"/>
              </w:rPr>
              <w:t>Pathology (laboratories)</w:t>
            </w:r>
          </w:p>
        </w:tc>
        <w:tc>
          <w:tcPr>
            <w:tcW w:w="4610" w:type="dxa"/>
            <w:tcBorders>
              <w:top w:val="single" w:sz="8" w:space="0" w:color="BFBFBF"/>
              <w:left w:val="single" w:sz="8" w:space="0" w:color="BFBFBF"/>
              <w:bottom w:val="single" w:sz="8" w:space="0" w:color="BFBFBF"/>
              <w:right w:val="nil"/>
            </w:tcBorders>
          </w:tcPr>
          <w:p w14:paraId="6CE4D11B" w14:textId="7960EE39" w:rsidR="00C4731D" w:rsidRPr="00B61BED" w:rsidRDefault="00C4731D" w:rsidP="00DF106E">
            <w:pPr>
              <w:spacing w:before="60"/>
              <w:rPr>
                <w:rFonts w:cs="Arial"/>
                <w:sz w:val="20"/>
                <w:szCs w:val="20"/>
              </w:rPr>
            </w:pPr>
            <w:r w:rsidRPr="00B61BED">
              <w:rPr>
                <w:rFonts w:cs="Arial"/>
                <w:sz w:val="20"/>
                <w:szCs w:val="20"/>
              </w:rPr>
              <w:t xml:space="preserve">Services in support of ED, Operating </w:t>
            </w:r>
            <w:r w:rsidR="009B01F4" w:rsidRPr="00B61BED">
              <w:rPr>
                <w:rFonts w:cs="Arial"/>
                <w:sz w:val="20"/>
                <w:szCs w:val="20"/>
              </w:rPr>
              <w:t>T</w:t>
            </w:r>
            <w:r w:rsidRPr="00B61BED">
              <w:rPr>
                <w:rFonts w:cs="Arial"/>
                <w:sz w:val="20"/>
                <w:szCs w:val="20"/>
              </w:rPr>
              <w:t>heatres and ICU incl. blood bank</w:t>
            </w:r>
          </w:p>
        </w:tc>
      </w:tr>
      <w:tr w:rsidR="00C4731D" w:rsidRPr="00B61BED" w14:paraId="5938A091"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5021F1B4"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vAlign w:val="center"/>
          </w:tcPr>
          <w:p w14:paraId="41427655"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2DC282F5" w14:textId="28936E7B" w:rsidR="00C4731D" w:rsidRPr="00B61BED" w:rsidRDefault="00C4731D" w:rsidP="00DF106E">
            <w:pPr>
              <w:spacing w:before="60"/>
              <w:rPr>
                <w:rFonts w:cs="Arial"/>
                <w:sz w:val="20"/>
                <w:szCs w:val="20"/>
              </w:rPr>
            </w:pPr>
            <w:r w:rsidRPr="00B61BED">
              <w:rPr>
                <w:rFonts w:cs="Arial"/>
                <w:sz w:val="20"/>
                <w:szCs w:val="20"/>
              </w:rPr>
              <w:t>Sterilisation</w:t>
            </w:r>
          </w:p>
        </w:tc>
        <w:tc>
          <w:tcPr>
            <w:tcW w:w="4610" w:type="dxa"/>
            <w:tcBorders>
              <w:top w:val="single" w:sz="8" w:space="0" w:color="BFBFBF"/>
              <w:left w:val="single" w:sz="8" w:space="0" w:color="BFBFBF"/>
              <w:bottom w:val="single" w:sz="8" w:space="0" w:color="BFBFBF"/>
              <w:right w:val="nil"/>
            </w:tcBorders>
          </w:tcPr>
          <w:p w14:paraId="1A26AFF2" w14:textId="2EF2F688" w:rsidR="00C4731D" w:rsidRPr="00B61BED" w:rsidRDefault="00C4731D" w:rsidP="00DF106E">
            <w:pPr>
              <w:spacing w:before="60"/>
              <w:rPr>
                <w:rFonts w:cs="Arial"/>
                <w:sz w:val="20"/>
                <w:szCs w:val="20"/>
              </w:rPr>
            </w:pPr>
            <w:r w:rsidRPr="00B61BED">
              <w:rPr>
                <w:rFonts w:cs="Arial"/>
                <w:sz w:val="20"/>
                <w:szCs w:val="20"/>
              </w:rPr>
              <w:t>CSSD (central sterilising services unit), or SSU (sterile services unit)</w:t>
            </w:r>
          </w:p>
        </w:tc>
      </w:tr>
      <w:tr w:rsidR="00C4731D" w:rsidRPr="00B61BED" w14:paraId="14D149C8"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6C74C9B8"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vAlign w:val="center"/>
          </w:tcPr>
          <w:p w14:paraId="576B7906"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510ECBA5" w14:textId="369B12ED" w:rsidR="00C4731D" w:rsidRPr="00B61BED" w:rsidRDefault="007E6E1E" w:rsidP="00DF106E">
            <w:pPr>
              <w:spacing w:before="60"/>
              <w:rPr>
                <w:rFonts w:cs="Arial"/>
                <w:sz w:val="20"/>
                <w:szCs w:val="20"/>
              </w:rPr>
            </w:pPr>
            <w:r w:rsidRPr="00B61BED">
              <w:rPr>
                <w:rFonts w:cs="Arial"/>
                <w:sz w:val="20"/>
                <w:szCs w:val="20"/>
              </w:rPr>
              <w:t>Bed capacity supporting</w:t>
            </w:r>
            <w:r w:rsidR="00C4731D" w:rsidRPr="00B61BED">
              <w:rPr>
                <w:rFonts w:cs="Arial"/>
                <w:sz w:val="20"/>
                <w:szCs w:val="20"/>
              </w:rPr>
              <w:t xml:space="preserve"> post-disaster clinical operational facilities </w:t>
            </w:r>
          </w:p>
        </w:tc>
        <w:tc>
          <w:tcPr>
            <w:tcW w:w="4610" w:type="dxa"/>
            <w:tcBorders>
              <w:top w:val="single" w:sz="8" w:space="0" w:color="BFBFBF"/>
              <w:left w:val="single" w:sz="8" w:space="0" w:color="BFBFBF"/>
              <w:bottom w:val="single" w:sz="8" w:space="0" w:color="BFBFBF"/>
              <w:right w:val="nil"/>
            </w:tcBorders>
          </w:tcPr>
          <w:p w14:paraId="3A18B983" w14:textId="14F2BD1D" w:rsidR="003A1326" w:rsidRPr="00B61BED" w:rsidRDefault="00134359" w:rsidP="00DF106E">
            <w:pPr>
              <w:spacing w:before="60"/>
              <w:rPr>
                <w:rFonts w:cs="Arial"/>
                <w:sz w:val="20"/>
                <w:szCs w:val="20"/>
              </w:rPr>
            </w:pPr>
            <w:r w:rsidRPr="00B61BED">
              <w:rPr>
                <w:rFonts w:cs="Arial"/>
                <w:sz w:val="20"/>
                <w:szCs w:val="20"/>
              </w:rPr>
              <w:t>Generally,</w:t>
            </w:r>
            <w:r w:rsidR="00AF44D2" w:rsidRPr="00B61BED">
              <w:rPr>
                <w:rFonts w:cs="Arial"/>
                <w:sz w:val="20"/>
                <w:szCs w:val="20"/>
              </w:rPr>
              <w:t xml:space="preserve"> i</w:t>
            </w:r>
            <w:r w:rsidR="003A1326" w:rsidRPr="00B61BED">
              <w:rPr>
                <w:rFonts w:cs="Arial"/>
                <w:sz w:val="20"/>
                <w:szCs w:val="20"/>
              </w:rPr>
              <w:t>nclud</w:t>
            </w:r>
            <w:r w:rsidR="00AF44D2" w:rsidRPr="00B61BED">
              <w:rPr>
                <w:rFonts w:cs="Arial"/>
                <w:sz w:val="20"/>
                <w:szCs w:val="20"/>
              </w:rPr>
              <w:t>es</w:t>
            </w:r>
            <w:r w:rsidR="003A1326" w:rsidRPr="00B61BED">
              <w:rPr>
                <w:rFonts w:cs="Arial"/>
                <w:sz w:val="20"/>
                <w:szCs w:val="20"/>
              </w:rPr>
              <w:t xml:space="preserve"> </w:t>
            </w:r>
            <w:r w:rsidR="005D387F" w:rsidRPr="00B61BED">
              <w:rPr>
                <w:rFonts w:cs="Arial"/>
                <w:sz w:val="20"/>
                <w:szCs w:val="20"/>
              </w:rPr>
              <w:t>critical care (</w:t>
            </w:r>
            <w:r w:rsidR="003A1326" w:rsidRPr="00B61BED">
              <w:rPr>
                <w:rFonts w:cs="Arial"/>
                <w:sz w:val="20"/>
                <w:szCs w:val="20"/>
              </w:rPr>
              <w:t>HDU</w:t>
            </w:r>
            <w:r w:rsidR="005D387F" w:rsidRPr="00B61BED">
              <w:rPr>
                <w:rFonts w:cs="Arial"/>
                <w:sz w:val="20"/>
                <w:szCs w:val="20"/>
              </w:rPr>
              <w:t>)</w:t>
            </w:r>
            <w:r w:rsidR="003A1326" w:rsidRPr="00B61BED">
              <w:rPr>
                <w:rFonts w:cs="Arial"/>
                <w:sz w:val="20"/>
                <w:szCs w:val="20"/>
              </w:rPr>
              <w:t xml:space="preserve">, </w:t>
            </w:r>
            <w:r w:rsidR="005D387F" w:rsidRPr="00B61BED">
              <w:rPr>
                <w:rFonts w:cs="Arial"/>
                <w:sz w:val="20"/>
                <w:szCs w:val="20"/>
              </w:rPr>
              <w:t>recovery</w:t>
            </w:r>
            <w:r w:rsidR="00B76D41" w:rsidRPr="00B61BED">
              <w:rPr>
                <w:rFonts w:cs="Arial"/>
                <w:sz w:val="20"/>
                <w:szCs w:val="20"/>
              </w:rPr>
              <w:t xml:space="preserve"> and </w:t>
            </w:r>
            <w:r w:rsidR="00651B29" w:rsidRPr="00B61BED">
              <w:rPr>
                <w:rFonts w:cs="Arial"/>
                <w:sz w:val="20"/>
                <w:szCs w:val="20"/>
              </w:rPr>
              <w:t xml:space="preserve">immediate post-operative care, and any additional </w:t>
            </w:r>
            <w:r w:rsidRPr="00B61BED">
              <w:rPr>
                <w:rFonts w:cs="Arial"/>
                <w:sz w:val="20"/>
                <w:szCs w:val="20"/>
              </w:rPr>
              <w:t xml:space="preserve">bed </w:t>
            </w:r>
            <w:r w:rsidR="00651B29" w:rsidRPr="00B61BED">
              <w:rPr>
                <w:rFonts w:cs="Arial"/>
                <w:sz w:val="20"/>
                <w:szCs w:val="20"/>
              </w:rPr>
              <w:t>capacity deemed necessary by hospital</w:t>
            </w:r>
            <w:r w:rsidR="00CF4601" w:rsidRPr="00B61BED">
              <w:rPr>
                <w:rFonts w:cs="Arial"/>
                <w:sz w:val="20"/>
                <w:szCs w:val="20"/>
              </w:rPr>
              <w:t xml:space="preserve"> </w:t>
            </w:r>
            <w:r w:rsidR="000D1167" w:rsidRPr="00B61BED">
              <w:rPr>
                <w:rFonts w:cs="Arial"/>
                <w:sz w:val="20"/>
                <w:szCs w:val="20"/>
              </w:rPr>
              <w:t>planners</w:t>
            </w:r>
            <w:r w:rsidR="007F5B02" w:rsidRPr="00B61BED">
              <w:rPr>
                <w:rFonts w:cs="Arial"/>
                <w:sz w:val="20"/>
                <w:szCs w:val="20"/>
              </w:rPr>
              <w:t xml:space="preserve"> </w:t>
            </w:r>
            <w:r w:rsidR="00CF4601" w:rsidRPr="00B61BED">
              <w:rPr>
                <w:rFonts w:cs="Arial"/>
                <w:sz w:val="20"/>
                <w:szCs w:val="20"/>
              </w:rPr>
              <w:t xml:space="preserve">to maintain flow through </w:t>
            </w:r>
            <w:r w:rsidR="001B1534" w:rsidRPr="00B61BED">
              <w:rPr>
                <w:rFonts w:cs="Arial"/>
                <w:sz w:val="20"/>
                <w:szCs w:val="20"/>
              </w:rPr>
              <w:t xml:space="preserve">OT and </w:t>
            </w:r>
            <w:r w:rsidR="00223999" w:rsidRPr="00B61BED">
              <w:rPr>
                <w:rFonts w:cs="Arial"/>
                <w:sz w:val="20"/>
                <w:szCs w:val="20"/>
              </w:rPr>
              <w:t>ED before discharge or transfer to wards</w:t>
            </w:r>
            <w:r w:rsidR="00147799" w:rsidRPr="00B61BED">
              <w:rPr>
                <w:rFonts w:cs="Arial"/>
                <w:sz w:val="20"/>
                <w:szCs w:val="20"/>
              </w:rPr>
              <w:t xml:space="preserve"> </w:t>
            </w:r>
            <w:r w:rsidR="00F104F3" w:rsidRPr="00B61BED">
              <w:rPr>
                <w:rFonts w:cs="Arial"/>
                <w:sz w:val="20"/>
                <w:szCs w:val="20"/>
              </w:rPr>
              <w:t>(</w:t>
            </w:r>
            <w:r w:rsidR="00147799" w:rsidRPr="00B61BED">
              <w:rPr>
                <w:rFonts w:cs="Arial"/>
                <w:sz w:val="20"/>
                <w:szCs w:val="20"/>
              </w:rPr>
              <w:t>or lower acuity medical assessment units</w:t>
            </w:r>
            <w:r w:rsidR="00F104F3" w:rsidRPr="00B61BED">
              <w:rPr>
                <w:rFonts w:cs="Arial"/>
                <w:sz w:val="20"/>
                <w:szCs w:val="20"/>
              </w:rPr>
              <w:t>)</w:t>
            </w:r>
            <w:r w:rsidR="00147799" w:rsidRPr="00B61BED">
              <w:rPr>
                <w:rFonts w:cs="Arial"/>
                <w:sz w:val="20"/>
                <w:szCs w:val="20"/>
              </w:rPr>
              <w:t>.</w:t>
            </w:r>
          </w:p>
          <w:p w14:paraId="3FA76B6F" w14:textId="4E9D7823" w:rsidR="00C4731D" w:rsidRPr="00B61BED" w:rsidRDefault="00C4731D" w:rsidP="00DF106E">
            <w:pPr>
              <w:spacing w:before="60"/>
              <w:rPr>
                <w:rFonts w:cs="Arial"/>
                <w:i/>
                <w:iCs/>
                <w:sz w:val="20"/>
                <w:szCs w:val="20"/>
              </w:rPr>
            </w:pPr>
            <w:r w:rsidRPr="00B61BED">
              <w:rPr>
                <w:rFonts w:cs="Arial"/>
                <w:sz w:val="20"/>
                <w:szCs w:val="20"/>
              </w:rPr>
              <w:t>Incl. capacity for positive and negative pressure environments, and ventilators</w:t>
            </w:r>
            <w:r w:rsidR="000D055F" w:rsidRPr="00B61BED">
              <w:rPr>
                <w:rFonts w:cs="Arial"/>
                <w:sz w:val="20"/>
                <w:szCs w:val="20"/>
              </w:rPr>
              <w:t>.</w:t>
            </w:r>
          </w:p>
        </w:tc>
      </w:tr>
      <w:tr w:rsidR="00C4731D" w:rsidRPr="00B61BED" w14:paraId="185DCB63"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3C0849EF" w14:textId="77777777" w:rsidR="00C4731D" w:rsidRPr="00B61BED" w:rsidRDefault="00C4731D" w:rsidP="00DF106E">
            <w:pPr>
              <w:spacing w:before="60"/>
              <w:rPr>
                <w:rFonts w:cs="Arial"/>
                <w:sz w:val="20"/>
                <w:szCs w:val="20"/>
              </w:rPr>
            </w:pPr>
          </w:p>
        </w:tc>
        <w:tc>
          <w:tcPr>
            <w:tcW w:w="1806" w:type="dxa"/>
            <w:vMerge w:val="restart"/>
            <w:tcBorders>
              <w:top w:val="single" w:sz="8" w:space="0" w:color="BFBFBF"/>
              <w:left w:val="single" w:sz="8" w:space="0" w:color="BFBFBF"/>
              <w:bottom w:val="single" w:sz="8" w:space="0" w:color="BFBFBF"/>
              <w:right w:val="single" w:sz="8" w:space="0" w:color="BFBFBF"/>
            </w:tcBorders>
            <w:vAlign w:val="center"/>
          </w:tcPr>
          <w:p w14:paraId="25092C38" w14:textId="77777777" w:rsidR="00C4731D" w:rsidRPr="00B61BED" w:rsidRDefault="00C4731D" w:rsidP="00DF106E">
            <w:pPr>
              <w:spacing w:before="60"/>
              <w:rPr>
                <w:rFonts w:cs="Arial"/>
                <w:sz w:val="20"/>
                <w:szCs w:val="20"/>
              </w:rPr>
            </w:pPr>
            <w:r w:rsidRPr="00B61BED">
              <w:rPr>
                <w:rFonts w:cs="Arial"/>
                <w:sz w:val="20"/>
                <w:szCs w:val="20"/>
              </w:rPr>
              <w:t>Other Specialist Functions or Services</w:t>
            </w:r>
          </w:p>
        </w:tc>
        <w:tc>
          <w:tcPr>
            <w:tcW w:w="2231" w:type="dxa"/>
            <w:tcBorders>
              <w:top w:val="single" w:sz="8" w:space="0" w:color="BFBFBF"/>
              <w:left w:val="single" w:sz="8" w:space="0" w:color="BFBFBF"/>
              <w:bottom w:val="single" w:sz="8" w:space="0" w:color="BFBFBF"/>
              <w:right w:val="single" w:sz="8" w:space="0" w:color="BFBFBF"/>
            </w:tcBorders>
          </w:tcPr>
          <w:p w14:paraId="436A7461" w14:textId="35A870F9" w:rsidR="00C4731D" w:rsidRPr="00B61BED" w:rsidRDefault="00C4731D" w:rsidP="00DF106E">
            <w:pPr>
              <w:spacing w:before="60"/>
              <w:rPr>
                <w:rFonts w:cs="Arial"/>
                <w:sz w:val="20"/>
                <w:szCs w:val="20"/>
              </w:rPr>
            </w:pPr>
            <w:r w:rsidRPr="00B61BED">
              <w:rPr>
                <w:rFonts w:cs="Arial"/>
                <w:sz w:val="20"/>
                <w:szCs w:val="20"/>
              </w:rPr>
              <w:t>High acuity</w:t>
            </w:r>
            <w:r w:rsidRPr="00B61BED">
              <w:rPr>
                <w:rStyle w:val="FootnoteReference"/>
                <w:rFonts w:cs="Arial"/>
                <w:sz w:val="20"/>
                <w:szCs w:val="20"/>
              </w:rPr>
              <w:footnoteReference w:id="8"/>
            </w:r>
            <w:r w:rsidRPr="00B61BED">
              <w:rPr>
                <w:rFonts w:cs="Arial"/>
                <w:sz w:val="20"/>
                <w:szCs w:val="20"/>
              </w:rPr>
              <w:t xml:space="preserve"> maternity and special care for babies</w:t>
            </w:r>
          </w:p>
        </w:tc>
        <w:tc>
          <w:tcPr>
            <w:tcW w:w="4610" w:type="dxa"/>
            <w:tcBorders>
              <w:top w:val="single" w:sz="8" w:space="0" w:color="BFBFBF"/>
              <w:left w:val="single" w:sz="8" w:space="0" w:color="BFBFBF"/>
              <w:bottom w:val="single" w:sz="8" w:space="0" w:color="BFBFBF"/>
              <w:right w:val="nil"/>
            </w:tcBorders>
          </w:tcPr>
          <w:p w14:paraId="118D6C3C" w14:textId="038B7D16" w:rsidR="00C4731D" w:rsidRPr="00B61BED" w:rsidRDefault="00C4731D" w:rsidP="00DF106E">
            <w:pPr>
              <w:spacing w:before="60"/>
              <w:rPr>
                <w:rFonts w:cs="Arial"/>
                <w:sz w:val="20"/>
                <w:szCs w:val="20"/>
              </w:rPr>
            </w:pPr>
            <w:r w:rsidRPr="00B61BED">
              <w:rPr>
                <w:rFonts w:cs="Arial"/>
                <w:sz w:val="20"/>
                <w:szCs w:val="20"/>
              </w:rPr>
              <w:t xml:space="preserve">NICU, and birthing/delivery suites located in </w:t>
            </w:r>
            <w:r w:rsidR="001543AD" w:rsidRPr="00B61BED">
              <w:rPr>
                <w:rFonts w:cs="Arial"/>
                <w:sz w:val="20"/>
                <w:szCs w:val="20"/>
              </w:rPr>
              <w:t>intentional</w:t>
            </w:r>
            <w:r w:rsidRPr="00B61BED">
              <w:rPr>
                <w:rFonts w:cs="Arial"/>
                <w:sz w:val="20"/>
                <w:szCs w:val="20"/>
              </w:rPr>
              <w:t xml:space="preserve"> proximity to operating suites.</w:t>
            </w:r>
          </w:p>
          <w:p w14:paraId="65FF90AB" w14:textId="7A3E2A20" w:rsidR="00C4731D" w:rsidRPr="00B61BED" w:rsidRDefault="00C4731D" w:rsidP="00DF106E">
            <w:pPr>
              <w:spacing w:before="60"/>
              <w:rPr>
                <w:rFonts w:cs="Arial"/>
                <w:sz w:val="20"/>
                <w:szCs w:val="20"/>
              </w:rPr>
            </w:pPr>
            <w:r w:rsidRPr="00B61BED">
              <w:rPr>
                <w:rFonts w:cs="Arial"/>
                <w:sz w:val="20"/>
                <w:szCs w:val="20"/>
              </w:rPr>
              <w:t>Otherwise, refer ‘general maternity’.</w:t>
            </w:r>
          </w:p>
        </w:tc>
      </w:tr>
      <w:tr w:rsidR="00C4731D" w:rsidRPr="00B61BED" w14:paraId="674B8CF8"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61505195"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vAlign w:val="center"/>
          </w:tcPr>
          <w:p w14:paraId="615698F1"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52365142" w14:textId="77777777" w:rsidR="00C4731D" w:rsidRPr="00B61BED" w:rsidRDefault="00C4731D" w:rsidP="00DF106E">
            <w:pPr>
              <w:spacing w:before="60"/>
              <w:rPr>
                <w:rFonts w:cs="Arial"/>
                <w:sz w:val="20"/>
                <w:szCs w:val="20"/>
              </w:rPr>
            </w:pPr>
            <w:r w:rsidRPr="00B61BED">
              <w:rPr>
                <w:rFonts w:cs="Arial"/>
                <w:sz w:val="20"/>
                <w:szCs w:val="20"/>
              </w:rPr>
              <w:t xml:space="preserve">Burns units </w:t>
            </w:r>
          </w:p>
        </w:tc>
        <w:tc>
          <w:tcPr>
            <w:tcW w:w="4610" w:type="dxa"/>
            <w:tcBorders>
              <w:top w:val="single" w:sz="8" w:space="0" w:color="BFBFBF"/>
              <w:left w:val="single" w:sz="8" w:space="0" w:color="BFBFBF"/>
              <w:bottom w:val="single" w:sz="8" w:space="0" w:color="BFBFBF"/>
              <w:right w:val="nil"/>
            </w:tcBorders>
          </w:tcPr>
          <w:p w14:paraId="08D8268C" w14:textId="77777777" w:rsidR="00C4731D" w:rsidRPr="00B61BED" w:rsidRDefault="00C4731D" w:rsidP="00DF106E">
            <w:pPr>
              <w:spacing w:before="60"/>
              <w:rPr>
                <w:rFonts w:cs="Arial"/>
                <w:sz w:val="20"/>
                <w:szCs w:val="20"/>
              </w:rPr>
            </w:pPr>
            <w:r w:rsidRPr="00B61BED">
              <w:rPr>
                <w:rFonts w:cs="Arial"/>
                <w:sz w:val="20"/>
                <w:szCs w:val="20"/>
              </w:rPr>
              <w:t>Middlemore, Waikato, Hutt and Burwood</w:t>
            </w:r>
          </w:p>
        </w:tc>
      </w:tr>
      <w:tr w:rsidR="00C4731D" w:rsidRPr="00B61BED" w14:paraId="73E4AEEE"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586BE434"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vAlign w:val="center"/>
          </w:tcPr>
          <w:p w14:paraId="3E1E7E20"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59362ED3" w14:textId="79C9CAB4" w:rsidR="00C4731D" w:rsidRPr="00B61BED" w:rsidRDefault="00C4731D" w:rsidP="00DF106E">
            <w:pPr>
              <w:spacing w:before="60"/>
              <w:rPr>
                <w:rFonts w:cs="Arial"/>
                <w:sz w:val="20"/>
                <w:szCs w:val="20"/>
              </w:rPr>
            </w:pPr>
            <w:r w:rsidRPr="00B61BED">
              <w:rPr>
                <w:rFonts w:cs="Arial"/>
                <w:sz w:val="20"/>
                <w:szCs w:val="20"/>
              </w:rPr>
              <w:t xml:space="preserve">Paediatrics </w:t>
            </w:r>
          </w:p>
        </w:tc>
        <w:tc>
          <w:tcPr>
            <w:tcW w:w="4610" w:type="dxa"/>
            <w:tcBorders>
              <w:top w:val="single" w:sz="8" w:space="0" w:color="BFBFBF"/>
              <w:left w:val="single" w:sz="8" w:space="0" w:color="BFBFBF"/>
              <w:bottom w:val="single" w:sz="8" w:space="0" w:color="BFBFBF"/>
              <w:right w:val="nil"/>
            </w:tcBorders>
          </w:tcPr>
          <w:p w14:paraId="0EAF3DDB" w14:textId="25CD78B2" w:rsidR="00C4731D" w:rsidRPr="00B61BED" w:rsidRDefault="00C4731D" w:rsidP="00DF106E">
            <w:pPr>
              <w:spacing w:before="60"/>
              <w:rPr>
                <w:rFonts w:cs="Arial"/>
                <w:sz w:val="20"/>
                <w:szCs w:val="20"/>
              </w:rPr>
            </w:pPr>
            <w:r w:rsidRPr="00B61BED">
              <w:rPr>
                <w:rFonts w:cs="Arial"/>
                <w:sz w:val="20"/>
                <w:szCs w:val="20"/>
              </w:rPr>
              <w:t>High end paediatric specialist services provided at Starship (Auckland)</w:t>
            </w:r>
          </w:p>
        </w:tc>
      </w:tr>
      <w:tr w:rsidR="00C4731D" w:rsidRPr="00B61BED" w14:paraId="2AEF96EA"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786FDC08" w14:textId="77777777" w:rsidR="00C4731D" w:rsidRPr="00B61BED" w:rsidRDefault="00C4731D" w:rsidP="00DF106E">
            <w:pPr>
              <w:spacing w:before="60"/>
              <w:rPr>
                <w:rFonts w:cs="Arial"/>
                <w:sz w:val="20"/>
                <w:szCs w:val="20"/>
              </w:rPr>
            </w:pPr>
          </w:p>
        </w:tc>
        <w:tc>
          <w:tcPr>
            <w:tcW w:w="1806" w:type="dxa"/>
            <w:vMerge w:val="restart"/>
            <w:tcBorders>
              <w:top w:val="single" w:sz="8" w:space="0" w:color="BFBFBF"/>
              <w:left w:val="single" w:sz="8" w:space="0" w:color="BFBFBF"/>
              <w:bottom w:val="single" w:sz="8" w:space="0" w:color="BFBFBF"/>
              <w:right w:val="single" w:sz="8" w:space="0" w:color="BFBFBF"/>
            </w:tcBorders>
            <w:vAlign w:val="center"/>
          </w:tcPr>
          <w:p w14:paraId="765915F7" w14:textId="22F5345E" w:rsidR="00C4731D" w:rsidRPr="00B61BED" w:rsidRDefault="00C4731D" w:rsidP="00DF106E">
            <w:pPr>
              <w:spacing w:before="60"/>
              <w:rPr>
                <w:rFonts w:cs="Arial"/>
                <w:sz w:val="20"/>
                <w:szCs w:val="20"/>
              </w:rPr>
            </w:pPr>
            <w:r w:rsidRPr="00B61BED">
              <w:rPr>
                <w:rFonts w:cs="Arial"/>
                <w:sz w:val="20"/>
                <w:szCs w:val="20"/>
              </w:rPr>
              <w:t>Buildings housing Infrastructure and Supplies supporting Acute Services delivery</w:t>
            </w:r>
          </w:p>
        </w:tc>
        <w:tc>
          <w:tcPr>
            <w:tcW w:w="2231" w:type="dxa"/>
            <w:tcBorders>
              <w:top w:val="single" w:sz="8" w:space="0" w:color="BFBFBF"/>
              <w:left w:val="single" w:sz="8" w:space="0" w:color="BFBFBF"/>
              <w:bottom w:val="single" w:sz="8" w:space="0" w:color="BFBFBF"/>
              <w:right w:val="single" w:sz="8" w:space="0" w:color="BFBFBF"/>
            </w:tcBorders>
          </w:tcPr>
          <w:p w14:paraId="52AC96B2" w14:textId="77777777" w:rsidR="00C4731D" w:rsidRPr="00B61BED" w:rsidRDefault="00C4731D" w:rsidP="00DF106E">
            <w:pPr>
              <w:spacing w:before="60"/>
              <w:rPr>
                <w:rFonts w:cs="Arial"/>
                <w:sz w:val="20"/>
                <w:szCs w:val="20"/>
              </w:rPr>
            </w:pPr>
            <w:r w:rsidRPr="00B61BED">
              <w:rPr>
                <w:rFonts w:cs="Arial"/>
                <w:sz w:val="20"/>
                <w:szCs w:val="20"/>
              </w:rPr>
              <w:t>Water, wastewater, power, data and voice communications</w:t>
            </w:r>
          </w:p>
        </w:tc>
        <w:tc>
          <w:tcPr>
            <w:tcW w:w="4610" w:type="dxa"/>
            <w:vMerge w:val="restart"/>
            <w:tcBorders>
              <w:top w:val="single" w:sz="8" w:space="0" w:color="BFBFBF"/>
              <w:left w:val="single" w:sz="8" w:space="0" w:color="BFBFBF"/>
              <w:bottom w:val="single" w:sz="8" w:space="0" w:color="BFBFBF"/>
              <w:right w:val="nil"/>
            </w:tcBorders>
          </w:tcPr>
          <w:p w14:paraId="7FB29087" w14:textId="59937AAA" w:rsidR="00C4731D" w:rsidRPr="00B61BED" w:rsidRDefault="00C4731D" w:rsidP="00DF106E">
            <w:pPr>
              <w:spacing w:before="60"/>
              <w:rPr>
                <w:rFonts w:cs="Arial"/>
                <w:sz w:val="20"/>
                <w:szCs w:val="20"/>
              </w:rPr>
            </w:pPr>
            <w:r w:rsidRPr="00B61BED">
              <w:rPr>
                <w:rFonts w:cs="Arial"/>
                <w:sz w:val="20"/>
                <w:szCs w:val="20"/>
              </w:rPr>
              <w:t>Buildings housing infrastructure services required to support key clinical operation areas (e.g. central plant - boiler room/ energy centre).</w:t>
            </w:r>
          </w:p>
          <w:p w14:paraId="75070FA1" w14:textId="6CECBE76" w:rsidR="00C4731D" w:rsidRPr="00B61BED" w:rsidRDefault="00C85D99" w:rsidP="00DF106E">
            <w:pPr>
              <w:spacing w:before="60"/>
              <w:rPr>
                <w:rFonts w:cs="Arial"/>
                <w:sz w:val="20"/>
                <w:szCs w:val="20"/>
              </w:rPr>
            </w:pPr>
            <w:r w:rsidRPr="00B61BED">
              <w:rPr>
                <w:rFonts w:cs="Arial"/>
                <w:sz w:val="20"/>
                <w:szCs w:val="20"/>
              </w:rPr>
              <w:t>Reticulated (trunk) services need to maintain their function at the applicable limit state over their full route.  If they pass through other non-IL4 buildings, the critical trunk services should have a low probability of losing function at the appropriate limit state</w:t>
            </w:r>
            <w:r w:rsidR="00356124" w:rsidRPr="00B61BED">
              <w:rPr>
                <w:rFonts w:cs="Arial"/>
                <w:sz w:val="20"/>
                <w:szCs w:val="20"/>
              </w:rPr>
              <w:t>,</w:t>
            </w:r>
            <w:r w:rsidRPr="00B61BED">
              <w:rPr>
                <w:rFonts w:cs="Arial"/>
                <w:sz w:val="20"/>
                <w:szCs w:val="20"/>
              </w:rPr>
              <w:t xml:space="preserve"> i.e. </w:t>
            </w:r>
            <w:r w:rsidR="00356124" w:rsidRPr="00B61BED">
              <w:rPr>
                <w:rFonts w:cs="Arial"/>
                <w:sz w:val="20"/>
                <w:szCs w:val="20"/>
              </w:rPr>
              <w:t>SLS2 (1/500 APoE) for critical services generally, or ULS (1/2500 APoE) for earthquake evacuation and life support systems only</w:t>
            </w:r>
            <w:r w:rsidRPr="00B61BED">
              <w:rPr>
                <w:rFonts w:cs="Arial"/>
                <w:sz w:val="20"/>
                <w:szCs w:val="20"/>
              </w:rPr>
              <w:t>. This does not require those buildings to be categorised as IL4</w:t>
            </w:r>
            <w:r w:rsidR="00C4731D" w:rsidRPr="00B61BED">
              <w:rPr>
                <w:rFonts w:cs="Arial"/>
                <w:sz w:val="20"/>
                <w:szCs w:val="20"/>
              </w:rPr>
              <w:t>.</w:t>
            </w:r>
            <w:r w:rsidR="00C4731D" w:rsidRPr="00B61BED">
              <w:rPr>
                <w:rStyle w:val="FootnoteReference"/>
                <w:rFonts w:cs="Arial"/>
                <w:sz w:val="20"/>
                <w:szCs w:val="20"/>
              </w:rPr>
              <w:footnoteReference w:id="9"/>
            </w:r>
            <w:r w:rsidR="00C4731D" w:rsidRPr="00B61BED">
              <w:rPr>
                <w:rStyle w:val="cf01"/>
                <w:rFonts w:ascii="Arial" w:hAnsi="Arial" w:cs="Arial"/>
                <w:i/>
                <w:iCs/>
                <w:sz w:val="20"/>
                <w:szCs w:val="20"/>
              </w:rPr>
              <w:t xml:space="preserve"> </w:t>
            </w:r>
          </w:p>
        </w:tc>
      </w:tr>
      <w:tr w:rsidR="00C4731D" w:rsidRPr="00B61BED" w14:paraId="175A9796"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447D5990"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tcPr>
          <w:p w14:paraId="17E1B8E4"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497EB28F" w14:textId="77777777" w:rsidR="00C4731D" w:rsidRPr="00B61BED" w:rsidRDefault="00C4731D" w:rsidP="00DF106E">
            <w:pPr>
              <w:spacing w:before="60"/>
              <w:rPr>
                <w:rFonts w:cs="Arial"/>
                <w:sz w:val="20"/>
                <w:szCs w:val="20"/>
              </w:rPr>
            </w:pPr>
            <w:r w:rsidRPr="00B61BED">
              <w:rPr>
                <w:rFonts w:cs="Arial"/>
                <w:sz w:val="20"/>
                <w:szCs w:val="20"/>
              </w:rPr>
              <w:t>Medical gases and steam</w:t>
            </w:r>
          </w:p>
        </w:tc>
        <w:tc>
          <w:tcPr>
            <w:tcW w:w="4610" w:type="dxa"/>
            <w:vMerge/>
            <w:tcBorders>
              <w:top w:val="single" w:sz="8" w:space="0" w:color="BFBFBF"/>
              <w:left w:val="single" w:sz="8" w:space="0" w:color="BFBFBF"/>
              <w:bottom w:val="single" w:sz="8" w:space="0" w:color="BFBFBF"/>
              <w:right w:val="nil"/>
            </w:tcBorders>
          </w:tcPr>
          <w:p w14:paraId="1C94E67A" w14:textId="77777777" w:rsidR="00C4731D" w:rsidRPr="00B61BED" w:rsidRDefault="00C4731D" w:rsidP="00DF106E">
            <w:pPr>
              <w:spacing w:before="60"/>
              <w:rPr>
                <w:rFonts w:cs="Arial"/>
                <w:sz w:val="20"/>
                <w:szCs w:val="20"/>
              </w:rPr>
            </w:pPr>
          </w:p>
        </w:tc>
      </w:tr>
      <w:tr w:rsidR="00C4731D" w:rsidRPr="00B61BED" w14:paraId="77876DA5" w14:textId="77777777" w:rsidTr="00DF106E">
        <w:trPr>
          <w:cantSplit/>
          <w:trHeight w:val="620"/>
        </w:trPr>
        <w:tc>
          <w:tcPr>
            <w:tcW w:w="1276" w:type="dxa"/>
            <w:vMerge/>
            <w:tcBorders>
              <w:top w:val="single" w:sz="8" w:space="0" w:color="BFBFBF"/>
              <w:left w:val="nil"/>
              <w:bottom w:val="single" w:sz="8" w:space="0" w:color="BFBFBF"/>
              <w:right w:val="single" w:sz="8" w:space="0" w:color="BFBFBF"/>
            </w:tcBorders>
            <w:shd w:val="clear" w:color="auto" w:fill="F6F4EC"/>
          </w:tcPr>
          <w:p w14:paraId="097610FD"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tcPr>
          <w:p w14:paraId="117675EE"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0896F1E6" w14:textId="77777777" w:rsidR="00C4731D" w:rsidRPr="00B61BED" w:rsidRDefault="00C4731D" w:rsidP="00DF106E">
            <w:pPr>
              <w:spacing w:before="60"/>
              <w:rPr>
                <w:rFonts w:cs="Arial"/>
                <w:sz w:val="20"/>
                <w:szCs w:val="20"/>
              </w:rPr>
            </w:pPr>
            <w:r w:rsidRPr="00B61BED">
              <w:rPr>
                <w:rFonts w:cs="Arial"/>
                <w:sz w:val="20"/>
                <w:szCs w:val="20"/>
              </w:rPr>
              <w:t>Heating, ventilation and air conditioning (HVAC)</w:t>
            </w:r>
          </w:p>
        </w:tc>
        <w:tc>
          <w:tcPr>
            <w:tcW w:w="4610" w:type="dxa"/>
            <w:vMerge/>
            <w:tcBorders>
              <w:top w:val="single" w:sz="8" w:space="0" w:color="BFBFBF"/>
              <w:left w:val="single" w:sz="8" w:space="0" w:color="BFBFBF"/>
              <w:bottom w:val="single" w:sz="8" w:space="0" w:color="BFBFBF"/>
              <w:right w:val="nil"/>
            </w:tcBorders>
          </w:tcPr>
          <w:p w14:paraId="21CAAE24" w14:textId="77777777" w:rsidR="00C4731D" w:rsidRPr="00B61BED" w:rsidRDefault="00C4731D" w:rsidP="00DF106E">
            <w:pPr>
              <w:spacing w:before="60"/>
              <w:rPr>
                <w:rFonts w:cs="Arial"/>
                <w:sz w:val="20"/>
                <w:szCs w:val="20"/>
              </w:rPr>
            </w:pPr>
          </w:p>
        </w:tc>
      </w:tr>
      <w:tr w:rsidR="00C4731D" w:rsidRPr="00B61BED" w14:paraId="180CD5F5" w14:textId="77777777" w:rsidTr="00DF106E">
        <w:trPr>
          <w:cantSplit/>
          <w:trHeight w:val="619"/>
        </w:trPr>
        <w:tc>
          <w:tcPr>
            <w:tcW w:w="1276" w:type="dxa"/>
            <w:vMerge/>
            <w:tcBorders>
              <w:top w:val="single" w:sz="8" w:space="0" w:color="BFBFBF"/>
              <w:left w:val="nil"/>
              <w:bottom w:val="single" w:sz="8" w:space="0" w:color="BFBFBF"/>
              <w:right w:val="single" w:sz="8" w:space="0" w:color="BFBFBF"/>
            </w:tcBorders>
            <w:shd w:val="clear" w:color="auto" w:fill="F6F4EC"/>
          </w:tcPr>
          <w:p w14:paraId="4620690B"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tcPr>
          <w:p w14:paraId="646A93E6"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67B8D4A4" w14:textId="07589F7A" w:rsidR="00C4731D" w:rsidRPr="00B61BED" w:rsidRDefault="00C4731D" w:rsidP="00DF106E">
            <w:pPr>
              <w:spacing w:before="60"/>
              <w:rPr>
                <w:rFonts w:cs="Arial"/>
                <w:sz w:val="20"/>
                <w:szCs w:val="20"/>
              </w:rPr>
            </w:pPr>
            <w:r w:rsidRPr="00B61BED">
              <w:rPr>
                <w:rFonts w:cs="Arial"/>
                <w:sz w:val="20"/>
                <w:szCs w:val="20"/>
              </w:rPr>
              <w:t xml:space="preserve">Fire </w:t>
            </w:r>
            <w:r w:rsidR="00A37AA0" w:rsidRPr="00B61BED">
              <w:rPr>
                <w:rFonts w:cs="Arial"/>
                <w:sz w:val="20"/>
                <w:szCs w:val="20"/>
              </w:rPr>
              <w:t>protection</w:t>
            </w:r>
            <w:r w:rsidRPr="00B61BED">
              <w:rPr>
                <w:rFonts w:cs="Arial"/>
                <w:sz w:val="20"/>
                <w:szCs w:val="20"/>
              </w:rPr>
              <w:t xml:space="preserve"> systems</w:t>
            </w:r>
            <w:r w:rsidR="00A37AA0" w:rsidRPr="00B61BED">
              <w:rPr>
                <w:rFonts w:cs="Arial"/>
                <w:sz w:val="20"/>
                <w:szCs w:val="20"/>
              </w:rPr>
              <w:t xml:space="preserve"> (independently located fire water tanks)</w:t>
            </w:r>
          </w:p>
        </w:tc>
        <w:tc>
          <w:tcPr>
            <w:tcW w:w="4610" w:type="dxa"/>
            <w:vMerge/>
            <w:tcBorders>
              <w:top w:val="single" w:sz="8" w:space="0" w:color="BFBFBF"/>
              <w:left w:val="single" w:sz="8" w:space="0" w:color="BFBFBF"/>
              <w:bottom w:val="single" w:sz="8" w:space="0" w:color="BFBFBF"/>
              <w:right w:val="nil"/>
            </w:tcBorders>
          </w:tcPr>
          <w:p w14:paraId="38C27B9C" w14:textId="77777777" w:rsidR="00C4731D" w:rsidRPr="00B61BED" w:rsidRDefault="00C4731D" w:rsidP="00DF106E">
            <w:pPr>
              <w:spacing w:before="60"/>
              <w:rPr>
                <w:rFonts w:cs="Arial"/>
                <w:sz w:val="20"/>
                <w:szCs w:val="20"/>
              </w:rPr>
            </w:pPr>
          </w:p>
        </w:tc>
      </w:tr>
      <w:tr w:rsidR="00C4731D" w:rsidRPr="00B61BED" w14:paraId="36E6BCD8"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21865997"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single" w:sz="8" w:space="0" w:color="BFBFBF"/>
              <w:right w:val="single" w:sz="8" w:space="0" w:color="BFBFBF"/>
            </w:tcBorders>
          </w:tcPr>
          <w:p w14:paraId="3A27B911"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single" w:sz="8" w:space="0" w:color="BFBFBF"/>
              <w:right w:val="single" w:sz="8" w:space="0" w:color="BFBFBF"/>
            </w:tcBorders>
          </w:tcPr>
          <w:p w14:paraId="20F39865" w14:textId="77777777" w:rsidR="00C4731D" w:rsidRPr="00B61BED" w:rsidRDefault="00C4731D" w:rsidP="00DF106E">
            <w:pPr>
              <w:spacing w:before="60"/>
              <w:rPr>
                <w:rFonts w:cs="Arial"/>
                <w:sz w:val="20"/>
                <w:szCs w:val="20"/>
              </w:rPr>
            </w:pPr>
            <w:r w:rsidRPr="00B61BED">
              <w:rPr>
                <w:rFonts w:cs="Arial"/>
                <w:sz w:val="20"/>
                <w:szCs w:val="20"/>
              </w:rPr>
              <w:t>Clinical supplies</w:t>
            </w:r>
          </w:p>
        </w:tc>
        <w:tc>
          <w:tcPr>
            <w:tcW w:w="4610" w:type="dxa"/>
            <w:tcBorders>
              <w:top w:val="single" w:sz="8" w:space="0" w:color="BFBFBF"/>
              <w:left w:val="single" w:sz="8" w:space="0" w:color="BFBFBF"/>
              <w:bottom w:val="single" w:sz="8" w:space="0" w:color="BFBFBF"/>
              <w:right w:val="nil"/>
            </w:tcBorders>
          </w:tcPr>
          <w:p w14:paraId="3C2A1EA7" w14:textId="3DFD6D06" w:rsidR="00C4731D" w:rsidRPr="00B61BED" w:rsidRDefault="00C4731D" w:rsidP="00DF106E">
            <w:pPr>
              <w:spacing w:before="60"/>
              <w:rPr>
                <w:rFonts w:cs="Arial"/>
                <w:sz w:val="20"/>
                <w:szCs w:val="20"/>
              </w:rPr>
            </w:pPr>
            <w:r w:rsidRPr="00B61BED">
              <w:rPr>
                <w:rFonts w:cs="Arial"/>
                <w:sz w:val="20"/>
                <w:szCs w:val="20"/>
              </w:rPr>
              <w:t>Incl</w:t>
            </w:r>
            <w:r w:rsidR="00B76D41" w:rsidRPr="00B61BED">
              <w:rPr>
                <w:rFonts w:cs="Arial"/>
                <w:sz w:val="20"/>
                <w:szCs w:val="20"/>
              </w:rPr>
              <w:t>.</w:t>
            </w:r>
            <w:r w:rsidRPr="00B61BED">
              <w:rPr>
                <w:rFonts w:cs="Arial"/>
                <w:sz w:val="20"/>
                <w:szCs w:val="20"/>
              </w:rPr>
              <w:t xml:space="preserve"> </w:t>
            </w:r>
            <w:r w:rsidR="00AB06F6" w:rsidRPr="00B61BED">
              <w:rPr>
                <w:rFonts w:cs="Arial"/>
                <w:sz w:val="20"/>
                <w:szCs w:val="20"/>
              </w:rPr>
              <w:t>p</w:t>
            </w:r>
            <w:r w:rsidRPr="00B61BED">
              <w:rPr>
                <w:rFonts w:cs="Arial"/>
                <w:sz w:val="20"/>
                <w:szCs w:val="20"/>
              </w:rPr>
              <w:t>harmacy (storage, not dispensing)</w:t>
            </w:r>
          </w:p>
        </w:tc>
      </w:tr>
      <w:tr w:rsidR="00C4731D" w:rsidRPr="00B61BED" w14:paraId="1D9D7C6E" w14:textId="77777777" w:rsidTr="00DF106E">
        <w:trPr>
          <w:cantSplit/>
        </w:trPr>
        <w:tc>
          <w:tcPr>
            <w:tcW w:w="1276" w:type="dxa"/>
            <w:vMerge/>
            <w:tcBorders>
              <w:top w:val="single" w:sz="8" w:space="0" w:color="BFBFBF"/>
              <w:left w:val="nil"/>
              <w:bottom w:val="double" w:sz="6" w:space="0" w:color="BFBFBF"/>
              <w:right w:val="single" w:sz="8" w:space="0" w:color="BFBFBF"/>
            </w:tcBorders>
            <w:shd w:val="clear" w:color="auto" w:fill="F6F4EC"/>
          </w:tcPr>
          <w:p w14:paraId="4CE76B95" w14:textId="77777777" w:rsidR="00C4731D" w:rsidRPr="00B61BED" w:rsidRDefault="00C4731D" w:rsidP="00DF106E">
            <w:pPr>
              <w:spacing w:before="60"/>
              <w:rPr>
                <w:rFonts w:cs="Arial"/>
                <w:sz w:val="20"/>
                <w:szCs w:val="20"/>
              </w:rPr>
            </w:pPr>
          </w:p>
        </w:tc>
        <w:tc>
          <w:tcPr>
            <w:tcW w:w="1806" w:type="dxa"/>
            <w:vMerge/>
            <w:tcBorders>
              <w:top w:val="single" w:sz="8" w:space="0" w:color="BFBFBF"/>
              <w:left w:val="single" w:sz="8" w:space="0" w:color="BFBFBF"/>
              <w:bottom w:val="double" w:sz="6" w:space="0" w:color="BFBFBF"/>
              <w:right w:val="single" w:sz="8" w:space="0" w:color="BFBFBF"/>
            </w:tcBorders>
          </w:tcPr>
          <w:p w14:paraId="6517070C" w14:textId="77777777" w:rsidR="00C4731D" w:rsidRPr="00B61BED" w:rsidRDefault="00C4731D" w:rsidP="00DF106E">
            <w:pPr>
              <w:spacing w:before="60"/>
              <w:rPr>
                <w:rFonts w:cs="Arial"/>
                <w:sz w:val="20"/>
                <w:szCs w:val="20"/>
              </w:rPr>
            </w:pPr>
          </w:p>
        </w:tc>
        <w:tc>
          <w:tcPr>
            <w:tcW w:w="2231" w:type="dxa"/>
            <w:tcBorders>
              <w:top w:val="single" w:sz="8" w:space="0" w:color="BFBFBF"/>
              <w:left w:val="single" w:sz="8" w:space="0" w:color="BFBFBF"/>
              <w:bottom w:val="double" w:sz="6" w:space="0" w:color="BFBFBF"/>
              <w:right w:val="single" w:sz="8" w:space="0" w:color="BFBFBF"/>
            </w:tcBorders>
          </w:tcPr>
          <w:p w14:paraId="3F7641FC" w14:textId="77777777" w:rsidR="00C4731D" w:rsidRPr="00B61BED" w:rsidRDefault="00C4731D" w:rsidP="00DF106E">
            <w:pPr>
              <w:spacing w:before="60"/>
              <w:rPr>
                <w:rFonts w:cs="Arial"/>
                <w:sz w:val="20"/>
                <w:szCs w:val="20"/>
              </w:rPr>
            </w:pPr>
            <w:r w:rsidRPr="00B61BED">
              <w:rPr>
                <w:rFonts w:cs="Arial"/>
                <w:sz w:val="20"/>
                <w:szCs w:val="20"/>
              </w:rPr>
              <w:t>Solid waste disposal</w:t>
            </w:r>
          </w:p>
        </w:tc>
        <w:tc>
          <w:tcPr>
            <w:tcW w:w="4610" w:type="dxa"/>
            <w:tcBorders>
              <w:top w:val="single" w:sz="8" w:space="0" w:color="BFBFBF"/>
              <w:left w:val="single" w:sz="8" w:space="0" w:color="BFBFBF"/>
              <w:bottom w:val="double" w:sz="6" w:space="0" w:color="BFBFBF"/>
              <w:right w:val="nil"/>
            </w:tcBorders>
          </w:tcPr>
          <w:p w14:paraId="36CE263B" w14:textId="5E4FEEC3" w:rsidR="00C4731D" w:rsidRPr="00B61BED" w:rsidRDefault="00C4731D" w:rsidP="00DF106E">
            <w:pPr>
              <w:spacing w:before="60"/>
              <w:rPr>
                <w:rFonts w:cs="Arial"/>
                <w:sz w:val="20"/>
                <w:szCs w:val="20"/>
              </w:rPr>
            </w:pPr>
          </w:p>
        </w:tc>
      </w:tr>
      <w:tr w:rsidR="004C343D" w:rsidRPr="00B61BED" w14:paraId="7A08425D" w14:textId="77777777" w:rsidTr="00DF106E">
        <w:trPr>
          <w:cantSplit/>
          <w:trHeight w:val="1153"/>
        </w:trPr>
        <w:tc>
          <w:tcPr>
            <w:tcW w:w="1276" w:type="dxa"/>
            <w:vMerge w:val="restart"/>
            <w:tcBorders>
              <w:top w:val="double" w:sz="6" w:space="0" w:color="BFBFBF"/>
              <w:left w:val="nil"/>
              <w:bottom w:val="single" w:sz="8" w:space="0" w:color="BFBFBF"/>
              <w:right w:val="single" w:sz="8" w:space="0" w:color="BFBFBF"/>
            </w:tcBorders>
            <w:shd w:val="clear" w:color="auto" w:fill="F6F4EC"/>
            <w:vAlign w:val="center"/>
          </w:tcPr>
          <w:p w14:paraId="1D4D7C6C" w14:textId="344C1406" w:rsidR="004C343D" w:rsidRPr="00B61BED" w:rsidRDefault="004C343D" w:rsidP="00DF106E">
            <w:pPr>
              <w:spacing w:before="60"/>
              <w:rPr>
                <w:rFonts w:cs="Arial"/>
                <w:b/>
                <w:bCs/>
                <w:sz w:val="20"/>
                <w:szCs w:val="20"/>
              </w:rPr>
            </w:pPr>
            <w:r w:rsidRPr="00B61BED">
              <w:rPr>
                <w:rFonts w:cs="Arial"/>
                <w:b/>
                <w:bCs/>
                <w:sz w:val="20"/>
                <w:szCs w:val="20"/>
              </w:rPr>
              <w:t>Other Inpatient Facilities</w:t>
            </w:r>
          </w:p>
          <w:p w14:paraId="3DBB3704" w14:textId="63127F8F" w:rsidR="004C343D" w:rsidRPr="00B61BED" w:rsidRDefault="004C343D" w:rsidP="00DF106E">
            <w:pPr>
              <w:spacing w:before="60"/>
              <w:rPr>
                <w:rFonts w:cs="Arial"/>
                <w:sz w:val="20"/>
                <w:szCs w:val="20"/>
              </w:rPr>
            </w:pPr>
            <w:r w:rsidRPr="00B61BED">
              <w:rPr>
                <w:rFonts w:cs="Arial"/>
                <w:sz w:val="20"/>
                <w:szCs w:val="20"/>
              </w:rPr>
              <w:t>Importance Level 3</w:t>
            </w:r>
          </w:p>
        </w:tc>
        <w:tc>
          <w:tcPr>
            <w:tcW w:w="1806" w:type="dxa"/>
            <w:tcBorders>
              <w:top w:val="double" w:sz="6" w:space="0" w:color="BFBFBF"/>
              <w:left w:val="single" w:sz="8" w:space="0" w:color="BFBFBF"/>
              <w:bottom w:val="single" w:sz="8" w:space="0" w:color="BFBFBF"/>
              <w:right w:val="single" w:sz="8" w:space="0" w:color="BFBFBF"/>
            </w:tcBorders>
            <w:vAlign w:val="center"/>
          </w:tcPr>
          <w:p w14:paraId="523A70FD" w14:textId="3DE2F4F4" w:rsidR="004C343D" w:rsidRPr="00B61BED" w:rsidRDefault="004C343D" w:rsidP="00DF106E">
            <w:pPr>
              <w:spacing w:before="60"/>
              <w:rPr>
                <w:rFonts w:cs="Arial"/>
                <w:sz w:val="20"/>
                <w:szCs w:val="20"/>
              </w:rPr>
            </w:pPr>
            <w:r w:rsidRPr="00B61BED">
              <w:rPr>
                <w:rFonts w:cs="Arial"/>
                <w:sz w:val="20"/>
                <w:szCs w:val="20"/>
              </w:rPr>
              <w:t xml:space="preserve">General wards </w:t>
            </w:r>
            <w:r w:rsidR="00FF4876" w:rsidRPr="00B61BED">
              <w:rPr>
                <w:rFonts w:cs="Arial"/>
                <w:sz w:val="20"/>
                <w:szCs w:val="20"/>
              </w:rPr>
              <w:t xml:space="preserve">including </w:t>
            </w:r>
            <w:r w:rsidRPr="00B61BED">
              <w:rPr>
                <w:rFonts w:cs="Arial"/>
                <w:sz w:val="20"/>
                <w:szCs w:val="20"/>
              </w:rPr>
              <w:t>children’s wards</w:t>
            </w:r>
            <w:r w:rsidR="00E62C84" w:rsidRPr="00B61BED">
              <w:rPr>
                <w:rFonts w:cs="Arial"/>
                <w:sz w:val="20"/>
                <w:szCs w:val="20"/>
              </w:rPr>
              <w:t xml:space="preserve">, </w:t>
            </w:r>
            <w:r w:rsidR="006920D8" w:rsidRPr="00B61BED">
              <w:rPr>
                <w:rFonts w:cs="Arial"/>
                <w:sz w:val="20"/>
                <w:szCs w:val="20"/>
              </w:rPr>
              <w:t>general maternity</w:t>
            </w:r>
            <w:r w:rsidR="00D1672A" w:rsidRPr="00B61BED">
              <w:rPr>
                <w:rFonts w:cs="Arial"/>
                <w:sz w:val="20"/>
                <w:szCs w:val="20"/>
              </w:rPr>
              <w:t>/birthing</w:t>
            </w:r>
            <w:r w:rsidR="008554EF" w:rsidRPr="00B61BED">
              <w:rPr>
                <w:rFonts w:cs="Arial"/>
                <w:sz w:val="20"/>
                <w:szCs w:val="20"/>
              </w:rPr>
              <w:t>.</w:t>
            </w:r>
          </w:p>
        </w:tc>
        <w:tc>
          <w:tcPr>
            <w:tcW w:w="2231" w:type="dxa"/>
            <w:tcBorders>
              <w:top w:val="double" w:sz="6" w:space="0" w:color="BFBFBF"/>
              <w:left w:val="single" w:sz="8" w:space="0" w:color="BFBFBF"/>
              <w:bottom w:val="single" w:sz="8" w:space="0" w:color="BFBFBF"/>
              <w:right w:val="single" w:sz="8" w:space="0" w:color="BFBFBF"/>
            </w:tcBorders>
          </w:tcPr>
          <w:p w14:paraId="270D8044" w14:textId="65926848" w:rsidR="004C343D" w:rsidRPr="00B61BED" w:rsidRDefault="004C343D" w:rsidP="00DF106E">
            <w:pPr>
              <w:spacing w:before="60"/>
              <w:rPr>
                <w:rFonts w:cs="Arial"/>
                <w:sz w:val="20"/>
                <w:szCs w:val="20"/>
              </w:rPr>
            </w:pPr>
            <w:r w:rsidRPr="00B61BED">
              <w:rPr>
                <w:rFonts w:cs="Arial"/>
                <w:sz w:val="20"/>
                <w:szCs w:val="20"/>
              </w:rPr>
              <w:t>General and/or post-operative medical treatment, monitoring and recovery</w:t>
            </w:r>
            <w:r w:rsidR="005A3C3C" w:rsidRPr="00B61BED">
              <w:rPr>
                <w:rFonts w:cs="Arial"/>
                <w:sz w:val="20"/>
                <w:szCs w:val="20"/>
              </w:rPr>
              <w:t>.</w:t>
            </w:r>
            <w:r w:rsidR="008554EF" w:rsidRPr="00B61BED">
              <w:rPr>
                <w:rFonts w:cs="Arial"/>
                <w:sz w:val="20"/>
                <w:szCs w:val="20"/>
              </w:rPr>
              <w:t xml:space="preserve"> Non-emergency acute assessment units.</w:t>
            </w:r>
          </w:p>
        </w:tc>
        <w:tc>
          <w:tcPr>
            <w:tcW w:w="4610" w:type="dxa"/>
            <w:tcBorders>
              <w:top w:val="double" w:sz="6" w:space="0" w:color="BFBFBF"/>
              <w:left w:val="single" w:sz="8" w:space="0" w:color="BFBFBF"/>
              <w:bottom w:val="single" w:sz="8" w:space="0" w:color="BFBFBF"/>
              <w:right w:val="nil"/>
            </w:tcBorders>
          </w:tcPr>
          <w:p w14:paraId="6031DC64" w14:textId="53E334DD" w:rsidR="004C343D" w:rsidRPr="00B61BED" w:rsidRDefault="004C343D" w:rsidP="00DF106E">
            <w:pPr>
              <w:spacing w:before="60"/>
              <w:rPr>
                <w:rFonts w:cs="Arial"/>
                <w:sz w:val="20"/>
                <w:szCs w:val="20"/>
              </w:rPr>
            </w:pPr>
            <w:r w:rsidRPr="00B61BED">
              <w:rPr>
                <w:rFonts w:cs="Arial"/>
                <w:sz w:val="20"/>
                <w:szCs w:val="20"/>
              </w:rPr>
              <w:t>Hospital buildings with a capacity for more than 50 people overnight.</w:t>
            </w:r>
          </w:p>
          <w:p w14:paraId="4BFE68D3" w14:textId="02ABC1A8" w:rsidR="00267B4E" w:rsidRPr="00B61BED" w:rsidRDefault="00866BE2" w:rsidP="00DF106E">
            <w:pPr>
              <w:spacing w:before="60"/>
              <w:rPr>
                <w:rFonts w:cs="Arial"/>
                <w:sz w:val="20"/>
                <w:szCs w:val="20"/>
              </w:rPr>
            </w:pPr>
            <w:r w:rsidRPr="00B61BED">
              <w:rPr>
                <w:rFonts w:cs="Arial"/>
                <w:sz w:val="20"/>
                <w:szCs w:val="20"/>
              </w:rPr>
              <w:t xml:space="preserve">Includes SCN (special care nursing) </w:t>
            </w:r>
            <w:r w:rsidR="005D714F" w:rsidRPr="00B61BED">
              <w:rPr>
                <w:rFonts w:cs="Arial"/>
                <w:sz w:val="20"/>
                <w:szCs w:val="20"/>
              </w:rPr>
              <w:t>for babies</w:t>
            </w:r>
            <w:r w:rsidRPr="00B61BED">
              <w:rPr>
                <w:rFonts w:cs="Arial"/>
                <w:sz w:val="20"/>
                <w:szCs w:val="20"/>
              </w:rPr>
              <w:t xml:space="preserve"> and secondary maternity facilities</w:t>
            </w:r>
            <w:r w:rsidR="00D1672A" w:rsidRPr="00B61BED">
              <w:rPr>
                <w:rFonts w:cs="Arial"/>
                <w:sz w:val="20"/>
                <w:szCs w:val="20"/>
              </w:rPr>
              <w:t xml:space="preserve"> and </w:t>
            </w:r>
            <w:r w:rsidR="005773A8" w:rsidRPr="00B61BED">
              <w:rPr>
                <w:rFonts w:cs="Arial"/>
                <w:sz w:val="20"/>
                <w:szCs w:val="20"/>
              </w:rPr>
              <w:t>birthing suites</w:t>
            </w:r>
            <w:r w:rsidR="00953B56" w:rsidRPr="00B61BED">
              <w:rPr>
                <w:rFonts w:cs="Arial"/>
                <w:sz w:val="20"/>
                <w:szCs w:val="20"/>
              </w:rPr>
              <w:t xml:space="preserve"> not considered ‘high acuity’</w:t>
            </w:r>
            <w:r w:rsidR="005773A8" w:rsidRPr="00B61BED">
              <w:rPr>
                <w:rFonts w:cs="Arial"/>
                <w:sz w:val="20"/>
                <w:szCs w:val="20"/>
              </w:rPr>
              <w:t>.</w:t>
            </w:r>
          </w:p>
        </w:tc>
      </w:tr>
      <w:tr w:rsidR="004C343D" w:rsidRPr="00B61BED" w14:paraId="16F72F9F" w14:textId="77777777" w:rsidTr="00DF106E">
        <w:trPr>
          <w:cantSplit/>
          <w:trHeight w:val="547"/>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391A923C" w14:textId="77777777" w:rsidR="004C343D" w:rsidRPr="00B61BED" w:rsidRDefault="004C343D"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4B68DD24" w14:textId="7556219A" w:rsidR="004C343D" w:rsidRPr="00B61BED" w:rsidRDefault="004C343D" w:rsidP="00DF106E">
            <w:pPr>
              <w:spacing w:before="60"/>
              <w:rPr>
                <w:rFonts w:cs="Arial"/>
                <w:sz w:val="20"/>
                <w:szCs w:val="20"/>
              </w:rPr>
            </w:pPr>
            <w:r w:rsidRPr="00B61BED">
              <w:rPr>
                <w:rFonts w:cs="Arial"/>
                <w:sz w:val="20"/>
                <w:szCs w:val="20"/>
              </w:rPr>
              <w:t>Forensic and Acute Mental Health Wards</w:t>
            </w:r>
          </w:p>
        </w:tc>
        <w:tc>
          <w:tcPr>
            <w:tcW w:w="2231" w:type="dxa"/>
            <w:tcBorders>
              <w:top w:val="single" w:sz="8" w:space="0" w:color="BFBFBF"/>
              <w:left w:val="single" w:sz="8" w:space="0" w:color="BFBFBF"/>
              <w:bottom w:val="single" w:sz="8" w:space="0" w:color="BFBFBF"/>
              <w:right w:val="single" w:sz="8" w:space="0" w:color="BFBFBF"/>
            </w:tcBorders>
          </w:tcPr>
          <w:p w14:paraId="10F883A6" w14:textId="46DBFAB3" w:rsidR="004C343D" w:rsidRPr="00B61BED" w:rsidRDefault="004C343D" w:rsidP="00DF106E">
            <w:pPr>
              <w:spacing w:before="60"/>
              <w:rPr>
                <w:rFonts w:cs="Arial"/>
                <w:sz w:val="20"/>
                <w:szCs w:val="20"/>
              </w:rPr>
            </w:pPr>
            <w:r w:rsidRPr="00B61BED">
              <w:rPr>
                <w:rFonts w:cs="Arial"/>
                <w:sz w:val="20"/>
                <w:szCs w:val="20"/>
              </w:rPr>
              <w:t xml:space="preserve">Secure </w:t>
            </w:r>
            <w:r w:rsidR="001522E9" w:rsidRPr="00B61BED">
              <w:rPr>
                <w:rFonts w:cs="Arial"/>
                <w:sz w:val="20"/>
                <w:szCs w:val="20"/>
              </w:rPr>
              <w:t xml:space="preserve">inpatient and </w:t>
            </w:r>
            <w:r w:rsidR="00174EA4" w:rsidRPr="00B61BED">
              <w:rPr>
                <w:rFonts w:cs="Arial"/>
                <w:sz w:val="20"/>
                <w:szCs w:val="20"/>
              </w:rPr>
              <w:t xml:space="preserve">medical </w:t>
            </w:r>
            <w:r w:rsidR="001522E9" w:rsidRPr="00B61BED">
              <w:rPr>
                <w:rFonts w:cs="Arial"/>
                <w:sz w:val="20"/>
                <w:szCs w:val="20"/>
              </w:rPr>
              <w:t xml:space="preserve">treatment </w:t>
            </w:r>
            <w:r w:rsidRPr="00B61BED">
              <w:rPr>
                <w:rFonts w:cs="Arial"/>
                <w:sz w:val="20"/>
                <w:szCs w:val="20"/>
              </w:rPr>
              <w:t>facilities</w:t>
            </w:r>
          </w:p>
        </w:tc>
        <w:tc>
          <w:tcPr>
            <w:tcW w:w="4610" w:type="dxa"/>
            <w:tcBorders>
              <w:top w:val="single" w:sz="8" w:space="0" w:color="BFBFBF"/>
              <w:left w:val="single" w:sz="8" w:space="0" w:color="BFBFBF"/>
              <w:bottom w:val="single" w:sz="8" w:space="0" w:color="BFBFBF"/>
              <w:right w:val="nil"/>
            </w:tcBorders>
          </w:tcPr>
          <w:p w14:paraId="28DF3B6B" w14:textId="77777777" w:rsidR="004C343D" w:rsidRPr="00B61BED" w:rsidRDefault="004C343D" w:rsidP="00DF106E">
            <w:pPr>
              <w:spacing w:before="60"/>
              <w:rPr>
                <w:rFonts w:cs="Arial"/>
                <w:sz w:val="20"/>
                <w:szCs w:val="20"/>
              </w:rPr>
            </w:pPr>
          </w:p>
        </w:tc>
      </w:tr>
      <w:tr w:rsidR="004C343D" w:rsidRPr="00B61BED" w14:paraId="608F0BA1" w14:textId="77777777" w:rsidTr="00DF106E">
        <w:trPr>
          <w:cantSplit/>
          <w:trHeight w:val="547"/>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39FDFACA" w14:textId="77777777" w:rsidR="004C343D" w:rsidRPr="00B61BED" w:rsidRDefault="004C343D"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5F8AF7D0" w14:textId="3913EDF1" w:rsidR="004C343D" w:rsidRPr="00B61BED" w:rsidRDefault="004C343D" w:rsidP="00DF106E">
            <w:pPr>
              <w:spacing w:before="60"/>
              <w:rPr>
                <w:rFonts w:cs="Arial"/>
                <w:sz w:val="20"/>
                <w:szCs w:val="20"/>
              </w:rPr>
            </w:pPr>
            <w:r w:rsidRPr="00B61BED">
              <w:rPr>
                <w:rFonts w:cs="Arial"/>
                <w:sz w:val="20"/>
                <w:szCs w:val="20"/>
              </w:rPr>
              <w:t>Other Specialist Functions or Services</w:t>
            </w:r>
          </w:p>
        </w:tc>
        <w:tc>
          <w:tcPr>
            <w:tcW w:w="2231" w:type="dxa"/>
            <w:tcBorders>
              <w:top w:val="single" w:sz="8" w:space="0" w:color="BFBFBF"/>
              <w:left w:val="single" w:sz="8" w:space="0" w:color="BFBFBF"/>
              <w:bottom w:val="single" w:sz="8" w:space="0" w:color="BFBFBF"/>
              <w:right w:val="single" w:sz="8" w:space="0" w:color="BFBFBF"/>
            </w:tcBorders>
          </w:tcPr>
          <w:p w14:paraId="7151DDFF" w14:textId="5FFE2A26" w:rsidR="004C343D" w:rsidRPr="00B61BED" w:rsidRDefault="004C343D" w:rsidP="00DF106E">
            <w:pPr>
              <w:spacing w:before="60"/>
              <w:rPr>
                <w:rFonts w:cs="Arial"/>
                <w:sz w:val="20"/>
                <w:szCs w:val="20"/>
              </w:rPr>
            </w:pPr>
            <w:r w:rsidRPr="00B61BED">
              <w:rPr>
                <w:rFonts w:cs="Arial"/>
                <w:sz w:val="20"/>
                <w:szCs w:val="20"/>
              </w:rPr>
              <w:t xml:space="preserve">Spinal </w:t>
            </w:r>
            <w:r w:rsidR="00461674" w:rsidRPr="00B61BED">
              <w:rPr>
                <w:rFonts w:cs="Arial"/>
                <w:sz w:val="20"/>
                <w:szCs w:val="20"/>
              </w:rPr>
              <w:t>unit</w:t>
            </w:r>
          </w:p>
        </w:tc>
        <w:tc>
          <w:tcPr>
            <w:tcW w:w="4610" w:type="dxa"/>
            <w:tcBorders>
              <w:top w:val="single" w:sz="8" w:space="0" w:color="BFBFBF"/>
              <w:left w:val="single" w:sz="8" w:space="0" w:color="BFBFBF"/>
              <w:bottom w:val="single" w:sz="8" w:space="0" w:color="BFBFBF"/>
              <w:right w:val="nil"/>
            </w:tcBorders>
          </w:tcPr>
          <w:p w14:paraId="6CBE6E01" w14:textId="3DC95B4D" w:rsidR="004C343D" w:rsidRPr="00B61BED" w:rsidRDefault="004C343D" w:rsidP="00DF106E">
            <w:pPr>
              <w:spacing w:before="60"/>
              <w:rPr>
                <w:rFonts w:cs="Arial"/>
                <w:sz w:val="20"/>
                <w:szCs w:val="20"/>
              </w:rPr>
            </w:pPr>
            <w:r w:rsidRPr="00B61BED">
              <w:rPr>
                <w:rFonts w:cs="Arial"/>
                <w:sz w:val="20"/>
                <w:szCs w:val="20"/>
              </w:rPr>
              <w:t>Units at Middlemore (Otara) and Burwood</w:t>
            </w:r>
          </w:p>
        </w:tc>
      </w:tr>
      <w:tr w:rsidR="0057561C" w:rsidRPr="00B61BED" w14:paraId="00E2F309" w14:textId="77777777" w:rsidTr="00DF106E">
        <w:trPr>
          <w:cantSplit/>
          <w:trHeight w:val="1861"/>
        </w:trPr>
        <w:tc>
          <w:tcPr>
            <w:tcW w:w="1276" w:type="dxa"/>
            <w:vMerge w:val="restart"/>
            <w:tcBorders>
              <w:top w:val="single" w:sz="8" w:space="0" w:color="BFBFBF"/>
              <w:left w:val="nil"/>
              <w:bottom w:val="single" w:sz="8" w:space="0" w:color="BFBFBF"/>
              <w:right w:val="single" w:sz="8" w:space="0" w:color="BFBFBF"/>
            </w:tcBorders>
            <w:shd w:val="clear" w:color="auto" w:fill="F6F4EC"/>
            <w:vAlign w:val="center"/>
          </w:tcPr>
          <w:p w14:paraId="13DBC81E" w14:textId="4949A795" w:rsidR="0057561C" w:rsidRPr="00B61BED" w:rsidRDefault="0057561C" w:rsidP="00DF106E">
            <w:pPr>
              <w:spacing w:before="60"/>
              <w:rPr>
                <w:rFonts w:cs="Arial"/>
                <w:b/>
                <w:bCs/>
                <w:sz w:val="20"/>
                <w:szCs w:val="20"/>
              </w:rPr>
            </w:pPr>
            <w:r w:rsidRPr="00B61BED">
              <w:rPr>
                <w:rFonts w:cs="Arial"/>
                <w:b/>
                <w:bCs/>
                <w:sz w:val="20"/>
                <w:szCs w:val="20"/>
              </w:rPr>
              <w:t>Other</w:t>
            </w:r>
            <w:r w:rsidR="00D415D5" w:rsidRPr="00B61BED">
              <w:rPr>
                <w:rFonts w:cs="Arial"/>
                <w:b/>
                <w:bCs/>
                <w:sz w:val="20"/>
                <w:szCs w:val="20"/>
              </w:rPr>
              <w:t xml:space="preserve"> </w:t>
            </w:r>
            <w:r w:rsidRPr="00B61BED">
              <w:rPr>
                <w:rFonts w:cs="Arial"/>
                <w:b/>
                <w:bCs/>
                <w:sz w:val="20"/>
                <w:szCs w:val="20"/>
              </w:rPr>
              <w:t>Services - Medical</w:t>
            </w:r>
          </w:p>
          <w:p w14:paraId="6A675AA3" w14:textId="3F941781" w:rsidR="0057561C" w:rsidRPr="00B61BED" w:rsidRDefault="0057561C" w:rsidP="00DF106E">
            <w:pPr>
              <w:spacing w:before="60"/>
              <w:rPr>
                <w:rFonts w:cs="Arial"/>
                <w:sz w:val="20"/>
                <w:szCs w:val="20"/>
              </w:rPr>
            </w:pPr>
            <w:r w:rsidRPr="00B61BED">
              <w:rPr>
                <w:rFonts w:cs="Arial"/>
                <w:sz w:val="20"/>
                <w:szCs w:val="20"/>
              </w:rPr>
              <w:t>Importance Level 2</w:t>
            </w:r>
          </w:p>
          <w:p w14:paraId="0A5D8803" w14:textId="265FDA9B" w:rsidR="0057561C" w:rsidRPr="00B61BED" w:rsidRDefault="0057561C"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72BFDD09" w14:textId="0B9B0FB5" w:rsidR="0057561C" w:rsidRPr="00B61BED" w:rsidRDefault="0057561C" w:rsidP="00DF106E">
            <w:pPr>
              <w:spacing w:before="60"/>
              <w:rPr>
                <w:rFonts w:cs="Arial"/>
                <w:sz w:val="20"/>
                <w:szCs w:val="20"/>
              </w:rPr>
            </w:pPr>
            <w:r w:rsidRPr="00B61BED">
              <w:rPr>
                <w:rFonts w:cs="Arial"/>
                <w:sz w:val="20"/>
                <w:szCs w:val="20"/>
              </w:rPr>
              <w:t>Medical and other surgery</w:t>
            </w:r>
          </w:p>
        </w:tc>
        <w:tc>
          <w:tcPr>
            <w:tcW w:w="2231" w:type="dxa"/>
            <w:tcBorders>
              <w:top w:val="single" w:sz="8" w:space="0" w:color="BFBFBF"/>
              <w:left w:val="single" w:sz="8" w:space="0" w:color="BFBFBF"/>
              <w:bottom w:val="single" w:sz="8" w:space="0" w:color="BFBFBF"/>
              <w:right w:val="single" w:sz="8" w:space="0" w:color="BFBFBF"/>
            </w:tcBorders>
          </w:tcPr>
          <w:p w14:paraId="430B32F3" w14:textId="7BEFB7FD" w:rsidR="0057561C" w:rsidRPr="00B61BED" w:rsidRDefault="0057561C" w:rsidP="00DF106E">
            <w:pPr>
              <w:spacing w:before="60"/>
              <w:rPr>
                <w:rFonts w:cs="Arial"/>
                <w:sz w:val="20"/>
                <w:szCs w:val="20"/>
              </w:rPr>
            </w:pPr>
            <w:r w:rsidRPr="00B61BED">
              <w:rPr>
                <w:rFonts w:cs="Arial"/>
                <w:sz w:val="20"/>
                <w:szCs w:val="20"/>
              </w:rPr>
              <w:t>Includes cardiology, oncology, gastroenterology, respiratory, endocrine.</w:t>
            </w:r>
          </w:p>
          <w:p w14:paraId="5A09B46F" w14:textId="77777777" w:rsidR="0057561C" w:rsidRPr="00B61BED" w:rsidRDefault="0057561C" w:rsidP="00DF106E">
            <w:pPr>
              <w:spacing w:before="60"/>
              <w:rPr>
                <w:rFonts w:cs="Arial"/>
                <w:sz w:val="20"/>
                <w:szCs w:val="20"/>
              </w:rPr>
            </w:pPr>
            <w:r w:rsidRPr="00B61BED">
              <w:rPr>
                <w:rFonts w:cs="Arial"/>
                <w:sz w:val="20"/>
                <w:szCs w:val="20"/>
              </w:rPr>
              <w:t>Vascular, plastic surgery, dental, ENT, ophthalmology.</w:t>
            </w:r>
          </w:p>
          <w:p w14:paraId="249915C8" w14:textId="5C7C4E09" w:rsidR="0057561C" w:rsidRPr="00B61BED" w:rsidRDefault="0057561C" w:rsidP="00DF106E">
            <w:pPr>
              <w:spacing w:before="60"/>
              <w:rPr>
                <w:rFonts w:cs="Arial"/>
                <w:sz w:val="20"/>
                <w:szCs w:val="20"/>
              </w:rPr>
            </w:pPr>
            <w:r w:rsidRPr="00B61BED">
              <w:rPr>
                <w:rFonts w:cs="Arial"/>
                <w:sz w:val="20"/>
                <w:szCs w:val="20"/>
              </w:rPr>
              <w:t>Low occupancy wards.</w:t>
            </w:r>
          </w:p>
        </w:tc>
        <w:tc>
          <w:tcPr>
            <w:tcW w:w="4610" w:type="dxa"/>
            <w:tcBorders>
              <w:top w:val="single" w:sz="8" w:space="0" w:color="BFBFBF"/>
              <w:left w:val="single" w:sz="8" w:space="0" w:color="BFBFBF"/>
              <w:bottom w:val="single" w:sz="8" w:space="0" w:color="BFBFBF"/>
              <w:right w:val="nil"/>
            </w:tcBorders>
          </w:tcPr>
          <w:p w14:paraId="6D17C603" w14:textId="36EE9E16" w:rsidR="0057561C" w:rsidRPr="00B61BED" w:rsidRDefault="0057561C" w:rsidP="00DF106E">
            <w:pPr>
              <w:spacing w:before="60"/>
              <w:rPr>
                <w:rFonts w:cs="Arial"/>
                <w:sz w:val="20"/>
                <w:szCs w:val="20"/>
              </w:rPr>
            </w:pPr>
            <w:r w:rsidRPr="00B61BED">
              <w:rPr>
                <w:rFonts w:cs="Arial"/>
                <w:sz w:val="20"/>
                <w:szCs w:val="20"/>
              </w:rPr>
              <w:t xml:space="preserve">Non-emergency or elective surgery undertaken in medical facilities </w:t>
            </w:r>
            <w:r w:rsidRPr="00B61BED">
              <w:rPr>
                <w:rFonts w:cs="Arial"/>
                <w:i/>
                <w:iCs/>
                <w:sz w:val="20"/>
                <w:szCs w:val="20"/>
              </w:rPr>
              <w:t>other than</w:t>
            </w:r>
            <w:r w:rsidRPr="00B61BED">
              <w:rPr>
                <w:rFonts w:cs="Arial"/>
                <w:sz w:val="20"/>
                <w:szCs w:val="20"/>
              </w:rPr>
              <w:t xml:space="preserve"> main operating theatres that are included under IL4</w:t>
            </w:r>
            <w:r w:rsidR="00343AF0" w:rsidRPr="00B61BED">
              <w:rPr>
                <w:rStyle w:val="FootnoteReference"/>
                <w:rFonts w:cs="Arial"/>
                <w:sz w:val="20"/>
                <w:szCs w:val="20"/>
              </w:rPr>
              <w:footnoteReference w:id="10"/>
            </w:r>
            <w:r w:rsidR="00343AF0" w:rsidRPr="00B61BED">
              <w:rPr>
                <w:rFonts w:cs="Arial"/>
                <w:sz w:val="20"/>
                <w:szCs w:val="20"/>
              </w:rPr>
              <w:t>.</w:t>
            </w:r>
          </w:p>
          <w:p w14:paraId="09105AD1" w14:textId="378BF9C6" w:rsidR="0057561C" w:rsidRPr="00B61BED" w:rsidRDefault="0057561C" w:rsidP="00DF106E">
            <w:pPr>
              <w:spacing w:before="60"/>
              <w:rPr>
                <w:rFonts w:cs="Arial"/>
                <w:sz w:val="20"/>
                <w:szCs w:val="20"/>
              </w:rPr>
            </w:pPr>
            <w:r w:rsidRPr="00B61BED">
              <w:rPr>
                <w:rFonts w:cs="Arial"/>
                <w:sz w:val="20"/>
                <w:szCs w:val="20"/>
              </w:rPr>
              <w:t>General wards in hospital buildings (including general maternity/birthing/SCN</w:t>
            </w:r>
            <w:r w:rsidR="003625AE" w:rsidRPr="00B61BED">
              <w:rPr>
                <w:rFonts w:cs="Arial"/>
                <w:sz w:val="20"/>
                <w:szCs w:val="20"/>
              </w:rPr>
              <w:t>/</w:t>
            </w:r>
            <w:r w:rsidR="00F23C69" w:rsidRPr="00B61BED">
              <w:rPr>
                <w:rFonts w:cs="Arial"/>
                <w:sz w:val="20"/>
                <w:szCs w:val="20"/>
              </w:rPr>
              <w:t xml:space="preserve"> </w:t>
            </w:r>
            <w:r w:rsidR="003625AE" w:rsidRPr="00B61BED">
              <w:rPr>
                <w:rFonts w:cs="Arial"/>
                <w:sz w:val="20"/>
                <w:szCs w:val="20"/>
              </w:rPr>
              <w:t>non-emergency acute assessment</w:t>
            </w:r>
            <w:r w:rsidRPr="00B61BED">
              <w:rPr>
                <w:rFonts w:cs="Arial"/>
                <w:sz w:val="20"/>
                <w:szCs w:val="20"/>
              </w:rPr>
              <w:t>) with overall inpatient capacity less than 50 people overnight and not classified as Importance Level 3 or 4.</w:t>
            </w:r>
          </w:p>
        </w:tc>
      </w:tr>
      <w:tr w:rsidR="0057561C" w:rsidRPr="00B61BED" w14:paraId="73CA4575" w14:textId="77777777" w:rsidTr="00DF106E">
        <w:trPr>
          <w:cantSplit/>
          <w:trHeight w:val="300"/>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0AD01482" w14:textId="77777777" w:rsidR="0057561C" w:rsidRPr="00B61BED" w:rsidRDefault="0057561C"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5190FD05" w14:textId="7AC3A051" w:rsidR="0057561C" w:rsidRPr="00B61BED" w:rsidRDefault="0057561C" w:rsidP="00DF106E">
            <w:pPr>
              <w:spacing w:before="60"/>
              <w:rPr>
                <w:rFonts w:cs="Arial"/>
                <w:sz w:val="20"/>
                <w:szCs w:val="20"/>
              </w:rPr>
            </w:pPr>
            <w:r w:rsidRPr="00B61BED">
              <w:rPr>
                <w:rFonts w:cs="Arial"/>
                <w:sz w:val="20"/>
                <w:szCs w:val="20"/>
              </w:rPr>
              <w:t>Outpatients Clinic</w:t>
            </w:r>
          </w:p>
        </w:tc>
        <w:tc>
          <w:tcPr>
            <w:tcW w:w="2231" w:type="dxa"/>
            <w:tcBorders>
              <w:top w:val="single" w:sz="8" w:space="0" w:color="BFBFBF"/>
              <w:left w:val="single" w:sz="8" w:space="0" w:color="BFBFBF"/>
              <w:bottom w:val="single" w:sz="8" w:space="0" w:color="BFBFBF"/>
              <w:right w:val="single" w:sz="8" w:space="0" w:color="BFBFBF"/>
            </w:tcBorders>
          </w:tcPr>
          <w:p w14:paraId="7A74912E" w14:textId="593725EE" w:rsidR="0057561C" w:rsidRPr="00B61BED" w:rsidRDefault="00E77BA7" w:rsidP="00DF106E">
            <w:pPr>
              <w:spacing w:before="60"/>
              <w:rPr>
                <w:rFonts w:cs="Arial"/>
                <w:sz w:val="20"/>
                <w:szCs w:val="20"/>
              </w:rPr>
            </w:pPr>
            <w:r w:rsidRPr="00B61BED">
              <w:rPr>
                <w:rFonts w:cs="Arial"/>
                <w:sz w:val="20"/>
                <w:szCs w:val="20"/>
              </w:rPr>
              <w:t xml:space="preserve">Incl. </w:t>
            </w:r>
            <w:r w:rsidR="0057561C" w:rsidRPr="00B61BED">
              <w:rPr>
                <w:rFonts w:cs="Arial"/>
                <w:sz w:val="20"/>
                <w:szCs w:val="20"/>
              </w:rPr>
              <w:t xml:space="preserve">procedure suites, dialysis, physiotherapy </w:t>
            </w:r>
          </w:p>
        </w:tc>
        <w:tc>
          <w:tcPr>
            <w:tcW w:w="4610" w:type="dxa"/>
            <w:tcBorders>
              <w:top w:val="single" w:sz="8" w:space="0" w:color="BFBFBF"/>
              <w:left w:val="single" w:sz="8" w:space="0" w:color="BFBFBF"/>
              <w:bottom w:val="single" w:sz="8" w:space="0" w:color="BFBFBF"/>
              <w:right w:val="nil"/>
            </w:tcBorders>
          </w:tcPr>
          <w:p w14:paraId="0D3B1D97" w14:textId="7A0CE8BE" w:rsidR="0057561C" w:rsidRPr="00B61BED" w:rsidRDefault="0057561C" w:rsidP="00DF106E">
            <w:pPr>
              <w:spacing w:before="60"/>
              <w:rPr>
                <w:rFonts w:cs="Arial"/>
                <w:sz w:val="20"/>
                <w:szCs w:val="20"/>
              </w:rPr>
            </w:pPr>
          </w:p>
        </w:tc>
      </w:tr>
      <w:tr w:rsidR="00F211CA" w:rsidRPr="00B61BED" w14:paraId="39C9820A" w14:textId="77777777" w:rsidTr="00DF106E">
        <w:trPr>
          <w:cantSplit/>
          <w:trHeight w:val="300"/>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29627838"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41AABE5B" w14:textId="1F7F15FF" w:rsidR="00F211CA" w:rsidRPr="00B61BED" w:rsidRDefault="00F211CA" w:rsidP="00DF106E">
            <w:pPr>
              <w:spacing w:before="60"/>
              <w:rPr>
                <w:rFonts w:cs="Arial"/>
                <w:sz w:val="20"/>
                <w:szCs w:val="20"/>
              </w:rPr>
            </w:pPr>
            <w:r w:rsidRPr="00B61BED">
              <w:rPr>
                <w:rFonts w:cs="Arial"/>
                <w:sz w:val="20"/>
                <w:szCs w:val="20"/>
              </w:rPr>
              <w:t>Radiology</w:t>
            </w:r>
          </w:p>
        </w:tc>
        <w:tc>
          <w:tcPr>
            <w:tcW w:w="2231" w:type="dxa"/>
            <w:tcBorders>
              <w:top w:val="single" w:sz="8" w:space="0" w:color="BFBFBF"/>
              <w:left w:val="single" w:sz="8" w:space="0" w:color="BFBFBF"/>
              <w:bottom w:val="single" w:sz="8" w:space="0" w:color="BFBFBF"/>
              <w:right w:val="single" w:sz="8" w:space="0" w:color="BFBFBF"/>
            </w:tcBorders>
          </w:tcPr>
          <w:p w14:paraId="4E5583DF" w14:textId="697B8EDB" w:rsidR="00F211CA" w:rsidRPr="00B61BED" w:rsidRDefault="00F211CA" w:rsidP="00DF106E">
            <w:pPr>
              <w:spacing w:before="60"/>
              <w:rPr>
                <w:rFonts w:cs="Arial"/>
                <w:sz w:val="20"/>
                <w:szCs w:val="20"/>
              </w:rPr>
            </w:pPr>
            <w:r w:rsidRPr="00B61BED">
              <w:rPr>
                <w:rFonts w:cs="Arial"/>
                <w:sz w:val="20"/>
                <w:szCs w:val="20"/>
              </w:rPr>
              <w:t>Elective or low-acuity imaging and radiology</w:t>
            </w:r>
          </w:p>
        </w:tc>
        <w:tc>
          <w:tcPr>
            <w:tcW w:w="4610" w:type="dxa"/>
            <w:tcBorders>
              <w:top w:val="single" w:sz="8" w:space="0" w:color="BFBFBF"/>
              <w:left w:val="single" w:sz="8" w:space="0" w:color="BFBFBF"/>
              <w:bottom w:val="single" w:sz="8" w:space="0" w:color="BFBFBF"/>
              <w:right w:val="nil"/>
            </w:tcBorders>
          </w:tcPr>
          <w:p w14:paraId="41B0E18C" w14:textId="442462BE" w:rsidR="00F211CA" w:rsidRPr="00B61BED" w:rsidRDefault="00F211CA" w:rsidP="00DF106E">
            <w:pPr>
              <w:spacing w:before="60"/>
              <w:rPr>
                <w:rFonts w:cs="Arial"/>
                <w:sz w:val="20"/>
                <w:szCs w:val="20"/>
              </w:rPr>
            </w:pPr>
            <w:r w:rsidRPr="00B61BED">
              <w:rPr>
                <w:rFonts w:cs="Arial"/>
                <w:sz w:val="20"/>
                <w:szCs w:val="20"/>
              </w:rPr>
              <w:t xml:space="preserve">General radiology and imaging services </w:t>
            </w:r>
            <w:r w:rsidRPr="00B61BED">
              <w:rPr>
                <w:rFonts w:cs="Arial"/>
                <w:i/>
                <w:iCs/>
                <w:sz w:val="20"/>
                <w:szCs w:val="20"/>
              </w:rPr>
              <w:t>other than</w:t>
            </w:r>
            <w:r w:rsidRPr="00B61BED">
              <w:rPr>
                <w:rFonts w:cs="Arial"/>
                <w:sz w:val="20"/>
                <w:szCs w:val="20"/>
              </w:rPr>
              <w:t xml:space="preserve"> those included under IL4.</w:t>
            </w:r>
          </w:p>
        </w:tc>
      </w:tr>
      <w:tr w:rsidR="00F211CA" w:rsidRPr="00B61BED" w14:paraId="02F2B98E" w14:textId="77777777" w:rsidTr="00DF106E">
        <w:trPr>
          <w:cantSplit/>
          <w:trHeight w:val="657"/>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6A4A2C1E"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15689D78" w14:textId="12DC0261" w:rsidR="00F211CA" w:rsidRPr="00B61BED" w:rsidRDefault="00F211CA" w:rsidP="00DF106E">
            <w:pPr>
              <w:spacing w:before="60"/>
              <w:rPr>
                <w:rFonts w:cs="Arial"/>
                <w:sz w:val="20"/>
                <w:szCs w:val="20"/>
              </w:rPr>
            </w:pPr>
            <w:r w:rsidRPr="00B61BED">
              <w:rPr>
                <w:rFonts w:cs="Arial"/>
                <w:sz w:val="20"/>
                <w:szCs w:val="20"/>
              </w:rPr>
              <w:t>Laboratories</w:t>
            </w:r>
          </w:p>
        </w:tc>
        <w:tc>
          <w:tcPr>
            <w:tcW w:w="2231" w:type="dxa"/>
            <w:tcBorders>
              <w:top w:val="single" w:sz="8" w:space="0" w:color="BFBFBF"/>
              <w:left w:val="single" w:sz="8" w:space="0" w:color="BFBFBF"/>
              <w:bottom w:val="single" w:sz="8" w:space="0" w:color="BFBFBF"/>
              <w:right w:val="single" w:sz="8" w:space="0" w:color="BFBFBF"/>
            </w:tcBorders>
          </w:tcPr>
          <w:p w14:paraId="3E65B362" w14:textId="465DA292" w:rsidR="00F211CA" w:rsidRPr="00B61BED" w:rsidRDefault="00F211CA" w:rsidP="00DF106E">
            <w:pPr>
              <w:spacing w:before="60"/>
              <w:rPr>
                <w:rFonts w:cs="Arial"/>
                <w:sz w:val="20"/>
                <w:szCs w:val="20"/>
              </w:rPr>
            </w:pPr>
            <w:r w:rsidRPr="00B61BED">
              <w:rPr>
                <w:rFonts w:cs="Arial"/>
                <w:sz w:val="20"/>
                <w:szCs w:val="20"/>
              </w:rPr>
              <w:t>Routine testing</w:t>
            </w:r>
          </w:p>
        </w:tc>
        <w:tc>
          <w:tcPr>
            <w:tcW w:w="4610" w:type="dxa"/>
            <w:tcBorders>
              <w:top w:val="single" w:sz="8" w:space="0" w:color="BFBFBF"/>
              <w:left w:val="single" w:sz="8" w:space="0" w:color="BFBFBF"/>
              <w:bottom w:val="single" w:sz="8" w:space="0" w:color="BFBFBF"/>
              <w:right w:val="nil"/>
            </w:tcBorders>
          </w:tcPr>
          <w:p w14:paraId="68B81B91" w14:textId="7979BCBE" w:rsidR="00F211CA" w:rsidRPr="00B61BED" w:rsidRDefault="00F211CA" w:rsidP="00DF106E">
            <w:pPr>
              <w:spacing w:before="60"/>
              <w:rPr>
                <w:rFonts w:cs="Arial"/>
                <w:sz w:val="20"/>
                <w:szCs w:val="20"/>
              </w:rPr>
            </w:pPr>
            <w:r w:rsidRPr="00B61BED">
              <w:rPr>
                <w:rFonts w:cs="Arial"/>
                <w:sz w:val="20"/>
                <w:szCs w:val="20"/>
              </w:rPr>
              <w:t>Incl. Haematology services other than blood bank.</w:t>
            </w:r>
          </w:p>
        </w:tc>
      </w:tr>
      <w:tr w:rsidR="00F211CA" w:rsidRPr="00B61BED" w14:paraId="5BDC67BB" w14:textId="77777777" w:rsidTr="00DF106E">
        <w:trPr>
          <w:cantSplit/>
          <w:trHeight w:val="657"/>
        </w:trPr>
        <w:tc>
          <w:tcPr>
            <w:tcW w:w="1276" w:type="dxa"/>
            <w:vMerge/>
            <w:tcBorders>
              <w:top w:val="single" w:sz="8" w:space="0" w:color="BFBFBF"/>
              <w:left w:val="nil"/>
              <w:bottom w:val="single" w:sz="8" w:space="0" w:color="BFBFBF"/>
              <w:right w:val="single" w:sz="8" w:space="0" w:color="BFBFBF"/>
            </w:tcBorders>
            <w:shd w:val="clear" w:color="auto" w:fill="F6F4EC"/>
            <w:vAlign w:val="center"/>
          </w:tcPr>
          <w:p w14:paraId="53AD024B"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2F3DE698" w14:textId="19509F93" w:rsidR="00F211CA" w:rsidRPr="00B61BED" w:rsidRDefault="00F211CA" w:rsidP="00DF106E">
            <w:pPr>
              <w:spacing w:before="60"/>
              <w:rPr>
                <w:rFonts w:cs="Arial"/>
                <w:sz w:val="20"/>
                <w:szCs w:val="20"/>
              </w:rPr>
            </w:pPr>
            <w:r w:rsidRPr="00B61BED">
              <w:rPr>
                <w:rFonts w:cs="Arial"/>
                <w:sz w:val="20"/>
                <w:szCs w:val="20"/>
              </w:rPr>
              <w:t>Mortuary</w:t>
            </w:r>
          </w:p>
        </w:tc>
        <w:tc>
          <w:tcPr>
            <w:tcW w:w="2231" w:type="dxa"/>
            <w:tcBorders>
              <w:top w:val="single" w:sz="8" w:space="0" w:color="BFBFBF"/>
              <w:left w:val="single" w:sz="8" w:space="0" w:color="BFBFBF"/>
              <w:bottom w:val="single" w:sz="8" w:space="0" w:color="BFBFBF"/>
              <w:right w:val="single" w:sz="8" w:space="0" w:color="BFBFBF"/>
            </w:tcBorders>
          </w:tcPr>
          <w:p w14:paraId="74C41C8C" w14:textId="45068991" w:rsidR="00F211CA" w:rsidRPr="00B61BED" w:rsidRDefault="00F211CA" w:rsidP="00DF106E">
            <w:pPr>
              <w:spacing w:before="60"/>
              <w:rPr>
                <w:rFonts w:cs="Arial"/>
                <w:sz w:val="20"/>
                <w:szCs w:val="20"/>
              </w:rPr>
            </w:pPr>
            <w:r w:rsidRPr="00B61BED">
              <w:rPr>
                <w:rFonts w:cs="Arial"/>
                <w:sz w:val="20"/>
                <w:szCs w:val="20"/>
              </w:rPr>
              <w:t>Body hold</w:t>
            </w:r>
          </w:p>
        </w:tc>
        <w:tc>
          <w:tcPr>
            <w:tcW w:w="4610" w:type="dxa"/>
            <w:tcBorders>
              <w:top w:val="single" w:sz="8" w:space="0" w:color="BFBFBF"/>
              <w:left w:val="single" w:sz="8" w:space="0" w:color="BFBFBF"/>
              <w:bottom w:val="single" w:sz="8" w:space="0" w:color="BFBFBF"/>
              <w:right w:val="nil"/>
            </w:tcBorders>
          </w:tcPr>
          <w:p w14:paraId="22882411" w14:textId="6F2D19A6" w:rsidR="00F211CA" w:rsidRPr="00B61BED" w:rsidRDefault="00F211CA" w:rsidP="00DF106E">
            <w:pPr>
              <w:spacing w:before="60"/>
              <w:rPr>
                <w:rFonts w:cs="Arial"/>
                <w:sz w:val="20"/>
                <w:szCs w:val="20"/>
              </w:rPr>
            </w:pPr>
            <w:r w:rsidRPr="00B61BED">
              <w:rPr>
                <w:rFonts w:cs="Arial"/>
                <w:sz w:val="20"/>
                <w:szCs w:val="20"/>
              </w:rPr>
              <w:t xml:space="preserve">Alternative arrangements in place for post-disaster situations. </w:t>
            </w:r>
          </w:p>
        </w:tc>
      </w:tr>
      <w:tr w:rsidR="00F211CA" w:rsidRPr="00B61BED" w14:paraId="7CDB1130" w14:textId="77777777" w:rsidTr="00DF106E">
        <w:trPr>
          <w:cantSplit/>
          <w:trHeight w:val="657"/>
        </w:trPr>
        <w:tc>
          <w:tcPr>
            <w:tcW w:w="1276" w:type="dxa"/>
            <w:vMerge/>
            <w:tcBorders>
              <w:top w:val="single" w:sz="8" w:space="0" w:color="BFBFBF"/>
              <w:left w:val="nil"/>
              <w:bottom w:val="double" w:sz="6" w:space="0" w:color="BFBFBF"/>
              <w:right w:val="single" w:sz="8" w:space="0" w:color="BFBFBF"/>
            </w:tcBorders>
            <w:shd w:val="clear" w:color="auto" w:fill="F6F4EC"/>
            <w:vAlign w:val="center"/>
          </w:tcPr>
          <w:p w14:paraId="3B4CB372"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double" w:sz="6" w:space="0" w:color="BFBFBF"/>
              <w:right w:val="single" w:sz="8" w:space="0" w:color="BFBFBF"/>
            </w:tcBorders>
            <w:vAlign w:val="center"/>
          </w:tcPr>
          <w:p w14:paraId="088CE3E6" w14:textId="59DAC88B" w:rsidR="00F211CA" w:rsidRPr="00B61BED" w:rsidRDefault="00F211CA" w:rsidP="00DF106E">
            <w:pPr>
              <w:spacing w:before="60"/>
              <w:rPr>
                <w:rFonts w:cs="Arial"/>
                <w:sz w:val="20"/>
                <w:szCs w:val="20"/>
              </w:rPr>
            </w:pPr>
            <w:r w:rsidRPr="00B61BED">
              <w:rPr>
                <w:rFonts w:cs="Arial"/>
                <w:sz w:val="20"/>
                <w:szCs w:val="20"/>
              </w:rPr>
              <w:t>Buildings housing Engineering Infrastructure supporting non-Acute (IL2 / IL3) Medical Services</w:t>
            </w:r>
          </w:p>
        </w:tc>
        <w:tc>
          <w:tcPr>
            <w:tcW w:w="2231" w:type="dxa"/>
            <w:tcBorders>
              <w:top w:val="single" w:sz="8" w:space="0" w:color="BFBFBF"/>
              <w:left w:val="single" w:sz="8" w:space="0" w:color="BFBFBF"/>
              <w:bottom w:val="double" w:sz="6" w:space="0" w:color="BFBFBF"/>
              <w:right w:val="single" w:sz="8" w:space="0" w:color="BFBFBF"/>
            </w:tcBorders>
          </w:tcPr>
          <w:p w14:paraId="200FACF9" w14:textId="69F2916D" w:rsidR="00F211CA" w:rsidRPr="00B61BED" w:rsidRDefault="00F211CA" w:rsidP="00DF106E">
            <w:pPr>
              <w:spacing w:before="60"/>
              <w:rPr>
                <w:rFonts w:cs="Arial"/>
                <w:sz w:val="20"/>
                <w:szCs w:val="20"/>
              </w:rPr>
            </w:pPr>
            <w:r w:rsidRPr="00B61BED">
              <w:rPr>
                <w:rFonts w:cs="Arial"/>
                <w:sz w:val="20"/>
                <w:szCs w:val="20"/>
              </w:rPr>
              <w:t>Water, wastewater, fire protection systems and engineering systems required for basic functionality.</w:t>
            </w:r>
          </w:p>
        </w:tc>
        <w:tc>
          <w:tcPr>
            <w:tcW w:w="4610" w:type="dxa"/>
            <w:tcBorders>
              <w:top w:val="single" w:sz="8" w:space="0" w:color="BFBFBF"/>
              <w:left w:val="single" w:sz="8" w:space="0" w:color="BFBFBF"/>
              <w:bottom w:val="double" w:sz="6" w:space="0" w:color="BFBFBF"/>
              <w:right w:val="nil"/>
            </w:tcBorders>
          </w:tcPr>
          <w:p w14:paraId="146B8BB3" w14:textId="41FF67F8" w:rsidR="00F211CA" w:rsidRPr="00B61BED" w:rsidRDefault="00F211CA" w:rsidP="00DF106E">
            <w:pPr>
              <w:spacing w:before="60"/>
              <w:rPr>
                <w:rFonts w:cs="Arial"/>
                <w:sz w:val="20"/>
                <w:szCs w:val="20"/>
              </w:rPr>
            </w:pPr>
            <w:r w:rsidRPr="00B61BED">
              <w:rPr>
                <w:rFonts w:cs="Arial"/>
                <w:sz w:val="20"/>
                <w:szCs w:val="20"/>
              </w:rPr>
              <w:t>Plant/infrastructure and reticulated (trunk) services need to support basic functionality for the buildings they serve at the SLS2 limit state (1 / 250 APoE) over their full route.</w:t>
            </w:r>
          </w:p>
        </w:tc>
      </w:tr>
      <w:tr w:rsidR="00F211CA" w:rsidRPr="00B61BED" w14:paraId="4F490A84" w14:textId="77777777" w:rsidTr="00DF106E">
        <w:trPr>
          <w:cantSplit/>
          <w:trHeight w:val="1124"/>
        </w:trPr>
        <w:tc>
          <w:tcPr>
            <w:tcW w:w="1276" w:type="dxa"/>
            <w:vMerge w:val="restart"/>
            <w:tcBorders>
              <w:top w:val="double" w:sz="6" w:space="0" w:color="BFBFBF"/>
              <w:left w:val="nil"/>
              <w:bottom w:val="single" w:sz="8" w:space="0" w:color="BFBFBF"/>
              <w:right w:val="single" w:sz="8" w:space="0" w:color="BFBFBF"/>
            </w:tcBorders>
            <w:shd w:val="clear" w:color="auto" w:fill="F6F4EC"/>
            <w:vAlign w:val="center"/>
          </w:tcPr>
          <w:p w14:paraId="1A2C7D8E" w14:textId="4D4CAEA3" w:rsidR="00F211CA" w:rsidRPr="00B61BED" w:rsidRDefault="00F211CA" w:rsidP="00DF106E">
            <w:pPr>
              <w:spacing w:before="60"/>
              <w:rPr>
                <w:rFonts w:cs="Arial"/>
                <w:b/>
                <w:bCs/>
                <w:sz w:val="20"/>
                <w:szCs w:val="20"/>
              </w:rPr>
            </w:pPr>
            <w:r w:rsidRPr="00B61BED">
              <w:rPr>
                <w:rFonts w:cs="Arial"/>
                <w:b/>
                <w:bCs/>
                <w:sz w:val="20"/>
                <w:szCs w:val="20"/>
              </w:rPr>
              <w:t>Other Services - Support</w:t>
            </w:r>
          </w:p>
          <w:p w14:paraId="6B006FE7" w14:textId="57B46BB0" w:rsidR="00F211CA" w:rsidRPr="00B61BED" w:rsidRDefault="00F211CA" w:rsidP="00DF106E">
            <w:pPr>
              <w:spacing w:before="60"/>
              <w:rPr>
                <w:rFonts w:cs="Arial"/>
                <w:sz w:val="20"/>
                <w:szCs w:val="20"/>
              </w:rPr>
            </w:pPr>
            <w:r w:rsidRPr="00B61BED">
              <w:rPr>
                <w:rFonts w:cs="Arial"/>
                <w:sz w:val="20"/>
                <w:szCs w:val="20"/>
              </w:rPr>
              <w:t>Importance Level 2</w:t>
            </w:r>
          </w:p>
          <w:p w14:paraId="29E6D037" w14:textId="138206CC" w:rsidR="00F211CA" w:rsidRPr="00B61BED" w:rsidRDefault="00F211CA" w:rsidP="00DF106E">
            <w:pPr>
              <w:spacing w:before="60"/>
              <w:rPr>
                <w:rFonts w:cs="Arial"/>
                <w:sz w:val="20"/>
                <w:szCs w:val="20"/>
              </w:rPr>
            </w:pPr>
          </w:p>
        </w:tc>
        <w:tc>
          <w:tcPr>
            <w:tcW w:w="1806" w:type="dxa"/>
            <w:tcBorders>
              <w:top w:val="double" w:sz="6" w:space="0" w:color="BFBFBF"/>
              <w:left w:val="single" w:sz="8" w:space="0" w:color="BFBFBF"/>
              <w:bottom w:val="single" w:sz="8" w:space="0" w:color="BFBFBF"/>
              <w:right w:val="single" w:sz="8" w:space="0" w:color="BFBFBF"/>
            </w:tcBorders>
            <w:vAlign w:val="center"/>
          </w:tcPr>
          <w:p w14:paraId="5FD345B2" w14:textId="42669DE9" w:rsidR="00F211CA" w:rsidRPr="00B61BED" w:rsidRDefault="00F211CA" w:rsidP="00DF106E">
            <w:pPr>
              <w:spacing w:before="60"/>
              <w:rPr>
                <w:rFonts w:cs="Arial"/>
                <w:sz w:val="20"/>
                <w:szCs w:val="20"/>
              </w:rPr>
            </w:pPr>
            <w:r w:rsidRPr="00B61BED">
              <w:rPr>
                <w:rFonts w:cs="Arial"/>
                <w:sz w:val="20"/>
                <w:szCs w:val="20"/>
              </w:rPr>
              <w:t>Kitchen</w:t>
            </w:r>
          </w:p>
        </w:tc>
        <w:tc>
          <w:tcPr>
            <w:tcW w:w="2231" w:type="dxa"/>
            <w:tcBorders>
              <w:top w:val="double" w:sz="6" w:space="0" w:color="BFBFBF"/>
              <w:left w:val="single" w:sz="8" w:space="0" w:color="BFBFBF"/>
              <w:bottom w:val="single" w:sz="8" w:space="0" w:color="BFBFBF"/>
              <w:right w:val="single" w:sz="8" w:space="0" w:color="BFBFBF"/>
            </w:tcBorders>
          </w:tcPr>
          <w:p w14:paraId="204ABEE4" w14:textId="01731EB0" w:rsidR="00F211CA" w:rsidRPr="00B61BED" w:rsidRDefault="00F211CA" w:rsidP="00DF106E">
            <w:pPr>
              <w:spacing w:before="60"/>
              <w:rPr>
                <w:rFonts w:cs="Arial"/>
                <w:sz w:val="20"/>
                <w:szCs w:val="20"/>
              </w:rPr>
            </w:pPr>
            <w:r w:rsidRPr="00B61BED">
              <w:rPr>
                <w:rFonts w:cs="Arial"/>
                <w:sz w:val="20"/>
                <w:szCs w:val="20"/>
              </w:rPr>
              <w:t>Catering for inpatients and staff</w:t>
            </w:r>
          </w:p>
        </w:tc>
        <w:tc>
          <w:tcPr>
            <w:tcW w:w="4610" w:type="dxa"/>
            <w:vMerge w:val="restart"/>
            <w:tcBorders>
              <w:top w:val="double" w:sz="6" w:space="0" w:color="BFBFBF"/>
              <w:left w:val="single" w:sz="8" w:space="0" w:color="BFBFBF"/>
              <w:bottom w:val="single" w:sz="8" w:space="0" w:color="BFBFBF"/>
              <w:right w:val="nil"/>
            </w:tcBorders>
          </w:tcPr>
          <w:p w14:paraId="5830C21C" w14:textId="396FE103" w:rsidR="00F211CA" w:rsidRPr="00B61BED" w:rsidRDefault="00F211CA" w:rsidP="00DF106E">
            <w:pPr>
              <w:spacing w:before="60"/>
              <w:rPr>
                <w:rFonts w:cs="Arial"/>
                <w:sz w:val="20"/>
                <w:szCs w:val="20"/>
              </w:rPr>
            </w:pPr>
            <w:r w:rsidRPr="00B61BED">
              <w:rPr>
                <w:rFonts w:cs="Arial"/>
                <w:sz w:val="20"/>
                <w:szCs w:val="20"/>
              </w:rPr>
              <w:t>While kitchen and laundry facilities are key functions at hospitals, it is generally considered that alternative arrangements can be put in place for emergency situations</w:t>
            </w:r>
          </w:p>
        </w:tc>
      </w:tr>
      <w:tr w:rsidR="00F211CA" w:rsidRPr="00B61BED" w14:paraId="5F9B762F" w14:textId="77777777" w:rsidTr="00DF106E">
        <w:trPr>
          <w:cantSplit/>
        </w:trPr>
        <w:tc>
          <w:tcPr>
            <w:tcW w:w="1276" w:type="dxa"/>
            <w:vMerge/>
            <w:tcBorders>
              <w:top w:val="single" w:sz="8" w:space="0" w:color="BFBFBF"/>
              <w:left w:val="nil"/>
              <w:bottom w:val="single" w:sz="8" w:space="0" w:color="BFBFBF"/>
              <w:right w:val="single" w:sz="8" w:space="0" w:color="BFBFBF"/>
            </w:tcBorders>
            <w:shd w:val="clear" w:color="auto" w:fill="F6F4EC"/>
          </w:tcPr>
          <w:p w14:paraId="6A7594CA"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3BD9EFF6" w14:textId="6CA1B342" w:rsidR="00F211CA" w:rsidRPr="00B61BED" w:rsidRDefault="00F211CA" w:rsidP="00DF106E">
            <w:pPr>
              <w:spacing w:before="60"/>
              <w:rPr>
                <w:rFonts w:cs="Arial"/>
                <w:sz w:val="20"/>
                <w:szCs w:val="20"/>
              </w:rPr>
            </w:pPr>
            <w:r w:rsidRPr="00B61BED">
              <w:rPr>
                <w:rFonts w:cs="Arial"/>
                <w:sz w:val="20"/>
                <w:szCs w:val="20"/>
              </w:rPr>
              <w:t>Laundry</w:t>
            </w:r>
          </w:p>
        </w:tc>
        <w:tc>
          <w:tcPr>
            <w:tcW w:w="2231" w:type="dxa"/>
            <w:tcBorders>
              <w:top w:val="single" w:sz="8" w:space="0" w:color="BFBFBF"/>
              <w:left w:val="single" w:sz="8" w:space="0" w:color="BFBFBF"/>
              <w:bottom w:val="single" w:sz="8" w:space="0" w:color="BFBFBF"/>
              <w:right w:val="single" w:sz="8" w:space="0" w:color="BFBFBF"/>
            </w:tcBorders>
          </w:tcPr>
          <w:p w14:paraId="32D77D65" w14:textId="7ED68D6F" w:rsidR="00F211CA" w:rsidRPr="00B61BED" w:rsidRDefault="00F211CA" w:rsidP="00DF106E">
            <w:pPr>
              <w:spacing w:before="60"/>
              <w:rPr>
                <w:rFonts w:cs="Arial"/>
                <w:sz w:val="20"/>
                <w:szCs w:val="20"/>
              </w:rPr>
            </w:pPr>
            <w:r w:rsidRPr="00B61BED">
              <w:rPr>
                <w:rFonts w:cs="Arial"/>
                <w:sz w:val="20"/>
                <w:szCs w:val="20"/>
              </w:rPr>
              <w:t>Cleaning of laundry required for operating, clinical and ward facilities</w:t>
            </w:r>
          </w:p>
        </w:tc>
        <w:tc>
          <w:tcPr>
            <w:tcW w:w="4610" w:type="dxa"/>
            <w:vMerge/>
            <w:tcBorders>
              <w:top w:val="single" w:sz="8" w:space="0" w:color="BFBFBF"/>
              <w:left w:val="single" w:sz="8" w:space="0" w:color="BFBFBF"/>
              <w:bottom w:val="single" w:sz="8" w:space="0" w:color="BFBFBF"/>
              <w:right w:val="nil"/>
            </w:tcBorders>
          </w:tcPr>
          <w:p w14:paraId="0FF25B0B" w14:textId="77777777" w:rsidR="00F211CA" w:rsidRPr="00B61BED" w:rsidRDefault="00F211CA" w:rsidP="00DF106E">
            <w:pPr>
              <w:spacing w:before="60"/>
              <w:rPr>
                <w:rFonts w:cs="Arial"/>
                <w:sz w:val="20"/>
                <w:szCs w:val="20"/>
              </w:rPr>
            </w:pPr>
          </w:p>
        </w:tc>
      </w:tr>
      <w:tr w:rsidR="00F211CA" w:rsidRPr="00B61BED" w14:paraId="209A3D16" w14:textId="77777777" w:rsidTr="00DF106E">
        <w:trPr>
          <w:cantSplit/>
          <w:trHeight w:val="848"/>
        </w:trPr>
        <w:tc>
          <w:tcPr>
            <w:tcW w:w="1276" w:type="dxa"/>
            <w:vMerge/>
            <w:tcBorders>
              <w:top w:val="single" w:sz="8" w:space="0" w:color="BFBFBF"/>
              <w:left w:val="nil"/>
              <w:bottom w:val="single" w:sz="8" w:space="0" w:color="BFBFBF"/>
              <w:right w:val="single" w:sz="8" w:space="0" w:color="BFBFBF"/>
            </w:tcBorders>
            <w:shd w:val="clear" w:color="auto" w:fill="F6F4EC"/>
          </w:tcPr>
          <w:p w14:paraId="75BB47B9" w14:textId="53EEC30D"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0385594E" w14:textId="428A7518" w:rsidR="00F211CA" w:rsidRPr="00B61BED" w:rsidRDefault="00F211CA" w:rsidP="00DF106E">
            <w:pPr>
              <w:spacing w:before="60"/>
              <w:rPr>
                <w:rFonts w:cs="Arial"/>
                <w:sz w:val="20"/>
                <w:szCs w:val="20"/>
              </w:rPr>
            </w:pPr>
            <w:r w:rsidRPr="00B61BED">
              <w:rPr>
                <w:rFonts w:cs="Arial"/>
                <w:sz w:val="20"/>
                <w:szCs w:val="20"/>
              </w:rPr>
              <w:t>Storage</w:t>
            </w:r>
          </w:p>
        </w:tc>
        <w:tc>
          <w:tcPr>
            <w:tcW w:w="2231" w:type="dxa"/>
            <w:tcBorders>
              <w:top w:val="single" w:sz="8" w:space="0" w:color="BFBFBF"/>
              <w:left w:val="single" w:sz="8" w:space="0" w:color="BFBFBF"/>
              <w:bottom w:val="single" w:sz="8" w:space="0" w:color="BFBFBF"/>
              <w:right w:val="single" w:sz="8" w:space="0" w:color="BFBFBF"/>
            </w:tcBorders>
          </w:tcPr>
          <w:p w14:paraId="2B7A24DC" w14:textId="2F12860C" w:rsidR="00F211CA" w:rsidRPr="00B61BED" w:rsidRDefault="00F211CA" w:rsidP="00DF106E">
            <w:pPr>
              <w:spacing w:before="60"/>
              <w:rPr>
                <w:rFonts w:cs="Arial"/>
                <w:sz w:val="20"/>
                <w:szCs w:val="20"/>
              </w:rPr>
            </w:pPr>
            <w:r w:rsidRPr="00B61BED">
              <w:rPr>
                <w:rFonts w:cs="Arial"/>
                <w:sz w:val="20"/>
                <w:szCs w:val="20"/>
              </w:rPr>
              <w:t>Medical supplies and disposable material</w:t>
            </w:r>
          </w:p>
        </w:tc>
        <w:tc>
          <w:tcPr>
            <w:tcW w:w="4610" w:type="dxa"/>
            <w:tcBorders>
              <w:top w:val="single" w:sz="8" w:space="0" w:color="BFBFBF"/>
              <w:left w:val="single" w:sz="8" w:space="0" w:color="BFBFBF"/>
              <w:bottom w:val="single" w:sz="8" w:space="0" w:color="BFBFBF"/>
              <w:right w:val="nil"/>
            </w:tcBorders>
          </w:tcPr>
          <w:p w14:paraId="72604676" w14:textId="3FC8DD1D" w:rsidR="00F211CA" w:rsidRPr="00B61BED" w:rsidRDefault="00F211CA" w:rsidP="00DF106E">
            <w:pPr>
              <w:spacing w:before="60"/>
              <w:rPr>
                <w:rFonts w:cs="Arial"/>
                <w:sz w:val="20"/>
                <w:szCs w:val="20"/>
              </w:rPr>
            </w:pPr>
            <w:r w:rsidRPr="00B61BED">
              <w:rPr>
                <w:rFonts w:cs="Arial"/>
                <w:sz w:val="20"/>
                <w:szCs w:val="20"/>
              </w:rPr>
              <w:t>Other than supplies required in support of key clinical operational areas</w:t>
            </w:r>
          </w:p>
        </w:tc>
      </w:tr>
      <w:tr w:rsidR="00F211CA" w:rsidRPr="00B61BED" w14:paraId="5FA17DF0" w14:textId="77777777" w:rsidTr="00DF106E">
        <w:trPr>
          <w:cantSplit/>
          <w:trHeight w:val="300"/>
        </w:trPr>
        <w:tc>
          <w:tcPr>
            <w:tcW w:w="1276" w:type="dxa"/>
            <w:vMerge w:val="restart"/>
            <w:tcBorders>
              <w:top w:val="single" w:sz="8" w:space="0" w:color="BFBFBF"/>
              <w:left w:val="nil"/>
              <w:bottom w:val="single" w:sz="8" w:space="0" w:color="BFBFBF"/>
              <w:right w:val="single" w:sz="8" w:space="0" w:color="BFBFBF"/>
            </w:tcBorders>
            <w:shd w:val="clear" w:color="auto" w:fill="F6F4EC"/>
            <w:vAlign w:val="center"/>
          </w:tcPr>
          <w:p w14:paraId="5CAD24A9" w14:textId="77777777" w:rsidR="004D55F1" w:rsidRPr="00B61BED" w:rsidRDefault="004D55F1" w:rsidP="00DF106E">
            <w:pPr>
              <w:spacing w:before="60"/>
              <w:rPr>
                <w:rFonts w:cs="Arial"/>
                <w:b/>
                <w:bCs/>
                <w:sz w:val="20"/>
                <w:szCs w:val="20"/>
              </w:rPr>
            </w:pPr>
          </w:p>
          <w:p w14:paraId="1701E2A5" w14:textId="77777777" w:rsidR="004D55F1" w:rsidRPr="00B61BED" w:rsidRDefault="004D55F1" w:rsidP="00DF106E">
            <w:pPr>
              <w:spacing w:before="60"/>
              <w:rPr>
                <w:rFonts w:cs="Arial"/>
                <w:b/>
                <w:bCs/>
                <w:sz w:val="20"/>
                <w:szCs w:val="20"/>
              </w:rPr>
            </w:pPr>
          </w:p>
          <w:p w14:paraId="173AF0ED" w14:textId="77777777" w:rsidR="004D55F1" w:rsidRPr="00B61BED" w:rsidRDefault="004D55F1" w:rsidP="00DF106E">
            <w:pPr>
              <w:spacing w:before="60"/>
              <w:rPr>
                <w:rFonts w:cs="Arial"/>
                <w:b/>
                <w:bCs/>
                <w:sz w:val="20"/>
                <w:szCs w:val="20"/>
              </w:rPr>
            </w:pPr>
          </w:p>
          <w:p w14:paraId="76D0E6D8" w14:textId="77777777" w:rsidR="004D55F1" w:rsidRPr="00B61BED" w:rsidRDefault="004D55F1" w:rsidP="00DF106E">
            <w:pPr>
              <w:spacing w:before="60"/>
              <w:rPr>
                <w:rFonts w:cs="Arial"/>
                <w:b/>
                <w:bCs/>
                <w:sz w:val="20"/>
                <w:szCs w:val="20"/>
              </w:rPr>
            </w:pPr>
          </w:p>
          <w:p w14:paraId="52BEE75F" w14:textId="77777777" w:rsidR="004D55F1" w:rsidRPr="00B61BED" w:rsidRDefault="004D55F1" w:rsidP="00DF106E">
            <w:pPr>
              <w:spacing w:before="60"/>
              <w:rPr>
                <w:rFonts w:cs="Arial"/>
                <w:b/>
                <w:bCs/>
                <w:sz w:val="20"/>
                <w:szCs w:val="20"/>
              </w:rPr>
            </w:pPr>
          </w:p>
          <w:p w14:paraId="3B0846D7" w14:textId="77777777" w:rsidR="004D55F1" w:rsidRPr="00B61BED" w:rsidRDefault="004D55F1" w:rsidP="00DF106E">
            <w:pPr>
              <w:spacing w:before="60"/>
              <w:rPr>
                <w:rFonts w:cs="Arial"/>
                <w:b/>
                <w:bCs/>
                <w:sz w:val="20"/>
                <w:szCs w:val="20"/>
              </w:rPr>
            </w:pPr>
          </w:p>
          <w:p w14:paraId="5B9394EB" w14:textId="77777777" w:rsidR="004D55F1" w:rsidRPr="00B61BED" w:rsidRDefault="004D55F1" w:rsidP="00DF106E">
            <w:pPr>
              <w:spacing w:before="60"/>
              <w:rPr>
                <w:rFonts w:cs="Arial"/>
                <w:b/>
                <w:bCs/>
                <w:sz w:val="20"/>
                <w:szCs w:val="20"/>
              </w:rPr>
            </w:pPr>
          </w:p>
          <w:p w14:paraId="666ABC52" w14:textId="77777777" w:rsidR="004D55F1" w:rsidRPr="00B61BED" w:rsidRDefault="004D55F1" w:rsidP="00DF106E">
            <w:pPr>
              <w:spacing w:before="60"/>
              <w:rPr>
                <w:rFonts w:cs="Arial"/>
                <w:b/>
                <w:bCs/>
                <w:sz w:val="20"/>
                <w:szCs w:val="20"/>
              </w:rPr>
            </w:pPr>
          </w:p>
          <w:p w14:paraId="2B4B6B8E" w14:textId="77777777" w:rsidR="004D55F1" w:rsidRPr="00B61BED" w:rsidRDefault="004D55F1" w:rsidP="00DF106E">
            <w:pPr>
              <w:spacing w:before="60"/>
              <w:rPr>
                <w:rFonts w:cs="Arial"/>
                <w:b/>
                <w:bCs/>
                <w:sz w:val="20"/>
                <w:szCs w:val="20"/>
              </w:rPr>
            </w:pPr>
          </w:p>
          <w:p w14:paraId="070139E5" w14:textId="77777777" w:rsidR="004D55F1" w:rsidRPr="00B61BED" w:rsidRDefault="004D55F1" w:rsidP="00DF106E">
            <w:pPr>
              <w:spacing w:before="60"/>
              <w:rPr>
                <w:rFonts w:cs="Arial"/>
                <w:b/>
                <w:bCs/>
                <w:sz w:val="20"/>
                <w:szCs w:val="20"/>
              </w:rPr>
            </w:pPr>
          </w:p>
          <w:p w14:paraId="2E56A1F5" w14:textId="0769F5A4" w:rsidR="00F211CA" w:rsidRPr="00B61BED" w:rsidRDefault="00F211CA" w:rsidP="00DF106E">
            <w:pPr>
              <w:spacing w:before="60"/>
              <w:rPr>
                <w:rFonts w:cs="Arial"/>
                <w:b/>
                <w:bCs/>
                <w:sz w:val="20"/>
                <w:szCs w:val="20"/>
              </w:rPr>
            </w:pPr>
            <w:r w:rsidRPr="00B61BED">
              <w:rPr>
                <w:rFonts w:cs="Arial"/>
                <w:b/>
                <w:bCs/>
                <w:sz w:val="20"/>
                <w:szCs w:val="20"/>
              </w:rPr>
              <w:t>Other Services - Support</w:t>
            </w:r>
          </w:p>
          <w:p w14:paraId="4C8FFA36" w14:textId="77777777" w:rsidR="00F211CA" w:rsidRPr="00B61BED" w:rsidRDefault="00F211CA" w:rsidP="00DF106E">
            <w:pPr>
              <w:spacing w:before="60"/>
              <w:rPr>
                <w:rFonts w:cs="Arial"/>
                <w:sz w:val="20"/>
                <w:szCs w:val="20"/>
              </w:rPr>
            </w:pPr>
            <w:r w:rsidRPr="00B61BED">
              <w:rPr>
                <w:rFonts w:cs="Arial"/>
                <w:sz w:val="20"/>
                <w:szCs w:val="20"/>
              </w:rPr>
              <w:t>Importance Level 2</w:t>
            </w:r>
          </w:p>
          <w:p w14:paraId="7569F190" w14:textId="77777777" w:rsidR="00F211CA" w:rsidRPr="00B61BED" w:rsidRDefault="00F211CA" w:rsidP="00DF106E">
            <w:pPr>
              <w:spacing w:before="60"/>
              <w:rPr>
                <w:rFonts w:cs="Arial"/>
                <w:sz w:val="20"/>
                <w:szCs w:val="20"/>
              </w:rPr>
            </w:pPr>
          </w:p>
          <w:p w14:paraId="74ECFB36" w14:textId="138BAFB2" w:rsidR="00F211CA" w:rsidRPr="00B61BED" w:rsidRDefault="00F211CA" w:rsidP="00DF106E">
            <w:pPr>
              <w:spacing w:before="60"/>
              <w:rPr>
                <w:rFonts w:cs="Arial"/>
                <w:sz w:val="20"/>
                <w:szCs w:val="20"/>
              </w:rPr>
            </w:pPr>
            <w:r w:rsidRPr="00B61BED">
              <w:rPr>
                <w:rFonts w:cs="Arial"/>
                <w:sz w:val="20"/>
                <w:szCs w:val="20"/>
              </w:rPr>
              <w:t>cont’d…</w:t>
            </w:r>
          </w:p>
        </w:tc>
        <w:tc>
          <w:tcPr>
            <w:tcW w:w="1806" w:type="dxa"/>
            <w:tcBorders>
              <w:top w:val="single" w:sz="8" w:space="0" w:color="BFBFBF"/>
              <w:left w:val="single" w:sz="8" w:space="0" w:color="BFBFBF"/>
              <w:bottom w:val="single" w:sz="8" w:space="0" w:color="BFBFBF"/>
              <w:right w:val="single" w:sz="8" w:space="0" w:color="BFBFBF"/>
            </w:tcBorders>
            <w:vAlign w:val="center"/>
          </w:tcPr>
          <w:p w14:paraId="62F0C8BB" w14:textId="30EA3C33" w:rsidR="00F211CA" w:rsidRPr="00B61BED" w:rsidRDefault="00F211CA" w:rsidP="00DF106E">
            <w:pPr>
              <w:spacing w:before="60"/>
              <w:rPr>
                <w:rFonts w:cs="Arial"/>
                <w:sz w:val="20"/>
                <w:szCs w:val="20"/>
              </w:rPr>
            </w:pPr>
            <w:r w:rsidRPr="00B61BED">
              <w:rPr>
                <w:rFonts w:cs="Arial"/>
                <w:sz w:val="20"/>
                <w:szCs w:val="20"/>
              </w:rPr>
              <w:t>Community Health</w:t>
            </w:r>
          </w:p>
        </w:tc>
        <w:tc>
          <w:tcPr>
            <w:tcW w:w="2231" w:type="dxa"/>
            <w:tcBorders>
              <w:top w:val="single" w:sz="8" w:space="0" w:color="BFBFBF"/>
              <w:left w:val="single" w:sz="8" w:space="0" w:color="BFBFBF"/>
              <w:bottom w:val="single" w:sz="8" w:space="0" w:color="BFBFBF"/>
              <w:right w:val="single" w:sz="8" w:space="0" w:color="BFBFBF"/>
            </w:tcBorders>
          </w:tcPr>
          <w:p w14:paraId="2FEBBACD" w14:textId="195C23B5" w:rsidR="00F211CA" w:rsidRPr="00B61BED" w:rsidRDefault="00F211CA" w:rsidP="00DF106E">
            <w:pPr>
              <w:spacing w:before="60"/>
              <w:rPr>
                <w:rFonts w:cs="Arial"/>
                <w:sz w:val="20"/>
                <w:szCs w:val="20"/>
              </w:rPr>
            </w:pPr>
            <w:r w:rsidRPr="00B61BED">
              <w:rPr>
                <w:rFonts w:cs="Arial"/>
                <w:sz w:val="20"/>
                <w:szCs w:val="20"/>
              </w:rPr>
              <w:t>Administration</w:t>
            </w:r>
          </w:p>
        </w:tc>
        <w:tc>
          <w:tcPr>
            <w:tcW w:w="4610" w:type="dxa"/>
            <w:tcBorders>
              <w:top w:val="single" w:sz="8" w:space="0" w:color="BFBFBF"/>
              <w:left w:val="single" w:sz="8" w:space="0" w:color="BFBFBF"/>
              <w:bottom w:val="single" w:sz="8" w:space="0" w:color="BFBFBF"/>
              <w:right w:val="nil"/>
            </w:tcBorders>
          </w:tcPr>
          <w:p w14:paraId="3AC7371F" w14:textId="5A4A33C9" w:rsidR="00F211CA" w:rsidRPr="00B61BED" w:rsidRDefault="00F211CA" w:rsidP="00DF106E">
            <w:pPr>
              <w:spacing w:before="60"/>
              <w:rPr>
                <w:rFonts w:cs="Arial"/>
                <w:sz w:val="20"/>
                <w:szCs w:val="20"/>
              </w:rPr>
            </w:pPr>
          </w:p>
        </w:tc>
      </w:tr>
      <w:tr w:rsidR="00F211CA" w:rsidRPr="00B61BED" w14:paraId="036B1390" w14:textId="77777777" w:rsidTr="00DF106E">
        <w:trPr>
          <w:cantSplit/>
          <w:trHeight w:val="300"/>
        </w:trPr>
        <w:tc>
          <w:tcPr>
            <w:tcW w:w="1276" w:type="dxa"/>
            <w:vMerge/>
            <w:tcBorders>
              <w:top w:val="nil"/>
              <w:left w:val="nil"/>
              <w:bottom w:val="single" w:sz="8" w:space="0" w:color="BFBFBF"/>
              <w:right w:val="single" w:sz="8" w:space="0" w:color="BFBFBF"/>
            </w:tcBorders>
            <w:shd w:val="clear" w:color="auto" w:fill="F6F4EC"/>
          </w:tcPr>
          <w:p w14:paraId="14FE9BD3" w14:textId="65E491E5"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797B5FA3" w14:textId="1CE6D8C7" w:rsidR="00F211CA" w:rsidRPr="00B61BED" w:rsidRDefault="00F211CA" w:rsidP="00DF106E">
            <w:pPr>
              <w:spacing w:before="60"/>
              <w:rPr>
                <w:rFonts w:cs="Arial"/>
                <w:sz w:val="20"/>
                <w:szCs w:val="20"/>
              </w:rPr>
            </w:pPr>
            <w:r w:rsidRPr="00B61BED">
              <w:rPr>
                <w:rFonts w:cs="Arial"/>
                <w:sz w:val="20"/>
                <w:szCs w:val="20"/>
              </w:rPr>
              <w:t>Hospital Management</w:t>
            </w:r>
          </w:p>
        </w:tc>
        <w:tc>
          <w:tcPr>
            <w:tcW w:w="2231" w:type="dxa"/>
            <w:tcBorders>
              <w:top w:val="single" w:sz="8" w:space="0" w:color="BFBFBF"/>
              <w:left w:val="single" w:sz="8" w:space="0" w:color="BFBFBF"/>
              <w:bottom w:val="single" w:sz="8" w:space="0" w:color="BFBFBF"/>
              <w:right w:val="single" w:sz="8" w:space="0" w:color="BFBFBF"/>
            </w:tcBorders>
          </w:tcPr>
          <w:p w14:paraId="011692EF" w14:textId="014F9D2E" w:rsidR="00F211CA" w:rsidRPr="00B61BED" w:rsidRDefault="00F211CA" w:rsidP="00DF106E">
            <w:pPr>
              <w:spacing w:before="60"/>
              <w:rPr>
                <w:rFonts w:cs="Arial"/>
                <w:sz w:val="20"/>
                <w:szCs w:val="20"/>
              </w:rPr>
            </w:pPr>
            <w:r w:rsidRPr="00B61BED">
              <w:rPr>
                <w:rFonts w:cs="Arial"/>
                <w:sz w:val="20"/>
                <w:szCs w:val="20"/>
              </w:rPr>
              <w:t>Administration</w:t>
            </w:r>
          </w:p>
        </w:tc>
        <w:tc>
          <w:tcPr>
            <w:tcW w:w="4610" w:type="dxa"/>
            <w:tcBorders>
              <w:top w:val="single" w:sz="8" w:space="0" w:color="BFBFBF"/>
              <w:left w:val="single" w:sz="8" w:space="0" w:color="BFBFBF"/>
              <w:bottom w:val="single" w:sz="8" w:space="0" w:color="BFBFBF"/>
              <w:right w:val="nil"/>
            </w:tcBorders>
          </w:tcPr>
          <w:p w14:paraId="2D74B32F" w14:textId="162EC488" w:rsidR="00F211CA" w:rsidRPr="00B61BED" w:rsidRDefault="00F211CA" w:rsidP="00DF106E">
            <w:pPr>
              <w:spacing w:before="60"/>
              <w:rPr>
                <w:rFonts w:cs="Arial"/>
                <w:sz w:val="20"/>
                <w:szCs w:val="20"/>
              </w:rPr>
            </w:pPr>
            <w:r w:rsidRPr="00B61BED">
              <w:rPr>
                <w:rFonts w:cs="Arial"/>
                <w:sz w:val="20"/>
                <w:szCs w:val="20"/>
              </w:rPr>
              <w:t xml:space="preserve"> </w:t>
            </w:r>
          </w:p>
        </w:tc>
      </w:tr>
      <w:tr w:rsidR="00F211CA" w:rsidRPr="00B61BED" w14:paraId="0C0DB726" w14:textId="77777777" w:rsidTr="00DF106E">
        <w:trPr>
          <w:cantSplit/>
          <w:trHeight w:val="300"/>
        </w:trPr>
        <w:tc>
          <w:tcPr>
            <w:tcW w:w="1276" w:type="dxa"/>
            <w:vMerge/>
            <w:tcBorders>
              <w:top w:val="nil"/>
              <w:left w:val="nil"/>
              <w:bottom w:val="single" w:sz="8" w:space="0" w:color="BFBFBF"/>
              <w:right w:val="single" w:sz="8" w:space="0" w:color="BFBFBF"/>
            </w:tcBorders>
            <w:shd w:val="clear" w:color="auto" w:fill="F6F4EC"/>
          </w:tcPr>
          <w:p w14:paraId="0E1F9792" w14:textId="54F5CFAE"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6776E55C" w14:textId="652374DD" w:rsidR="00F211CA" w:rsidRPr="00B61BED" w:rsidRDefault="00F211CA" w:rsidP="00DF106E">
            <w:pPr>
              <w:spacing w:before="60"/>
              <w:rPr>
                <w:rFonts w:cs="Arial"/>
                <w:sz w:val="20"/>
                <w:szCs w:val="20"/>
              </w:rPr>
            </w:pPr>
            <w:r w:rsidRPr="00B61BED">
              <w:rPr>
                <w:rFonts w:cs="Arial"/>
                <w:sz w:val="20"/>
                <w:szCs w:val="20"/>
              </w:rPr>
              <w:t>Hospital Emergency Operations Centre</w:t>
            </w:r>
          </w:p>
        </w:tc>
        <w:tc>
          <w:tcPr>
            <w:tcW w:w="2231" w:type="dxa"/>
            <w:tcBorders>
              <w:top w:val="single" w:sz="8" w:space="0" w:color="BFBFBF"/>
              <w:left w:val="single" w:sz="8" w:space="0" w:color="BFBFBF"/>
              <w:bottom w:val="single" w:sz="8" w:space="0" w:color="BFBFBF"/>
              <w:right w:val="single" w:sz="8" w:space="0" w:color="BFBFBF"/>
            </w:tcBorders>
          </w:tcPr>
          <w:p w14:paraId="3084E493" w14:textId="7D516F02" w:rsidR="00F211CA" w:rsidRPr="00B61BED" w:rsidRDefault="00F211CA" w:rsidP="00DF106E">
            <w:pPr>
              <w:spacing w:before="60"/>
              <w:rPr>
                <w:rFonts w:cs="Arial"/>
                <w:sz w:val="20"/>
                <w:szCs w:val="20"/>
              </w:rPr>
            </w:pPr>
            <w:r w:rsidRPr="00B61BED">
              <w:rPr>
                <w:rFonts w:cs="Arial"/>
                <w:sz w:val="20"/>
                <w:szCs w:val="20"/>
              </w:rPr>
              <w:t>Base for the Incident Management Team</w:t>
            </w:r>
          </w:p>
        </w:tc>
        <w:tc>
          <w:tcPr>
            <w:tcW w:w="4610" w:type="dxa"/>
            <w:tcBorders>
              <w:top w:val="single" w:sz="8" w:space="0" w:color="BFBFBF"/>
              <w:left w:val="single" w:sz="8" w:space="0" w:color="BFBFBF"/>
              <w:bottom w:val="single" w:sz="8" w:space="0" w:color="BFBFBF"/>
              <w:right w:val="nil"/>
            </w:tcBorders>
          </w:tcPr>
          <w:p w14:paraId="4419A94F" w14:textId="287B29DF" w:rsidR="00F211CA" w:rsidRPr="00B61BED" w:rsidRDefault="00F211CA" w:rsidP="00DF106E">
            <w:pPr>
              <w:spacing w:before="60"/>
              <w:rPr>
                <w:rFonts w:cs="Arial"/>
                <w:sz w:val="20"/>
                <w:szCs w:val="20"/>
              </w:rPr>
            </w:pPr>
            <w:r w:rsidRPr="00B61BED">
              <w:rPr>
                <w:rFonts w:cs="Arial"/>
                <w:sz w:val="20"/>
                <w:szCs w:val="20"/>
              </w:rPr>
              <w:t xml:space="preserve">The Hospital Emergency Operations Centre is not in itself a </w:t>
            </w:r>
            <w:r w:rsidRPr="00B61BED">
              <w:rPr>
                <w:rFonts w:cs="Arial"/>
                <w:i/>
                <w:iCs/>
                <w:sz w:val="20"/>
                <w:szCs w:val="20"/>
              </w:rPr>
              <w:t>special post disaster function</w:t>
            </w:r>
            <w:r w:rsidRPr="00B61BED">
              <w:rPr>
                <w:rFonts w:cs="Arial"/>
                <w:sz w:val="20"/>
                <w:szCs w:val="20"/>
              </w:rPr>
              <w:t xml:space="preserve"> (unlike a local or regional EOC serving the community). While it is desirable for the primary EOC location to be in a building with a good level of resilience, all hospital EOCs are required to have functioning alternative facilities, and most co-ordination activities can typically be carried out in such locations.</w:t>
            </w:r>
          </w:p>
        </w:tc>
      </w:tr>
      <w:tr w:rsidR="00F211CA" w:rsidRPr="00B61BED" w14:paraId="0C558C34" w14:textId="77777777" w:rsidTr="00DF106E">
        <w:trPr>
          <w:cantSplit/>
          <w:trHeight w:val="300"/>
        </w:trPr>
        <w:tc>
          <w:tcPr>
            <w:tcW w:w="1276" w:type="dxa"/>
            <w:vMerge/>
            <w:tcBorders>
              <w:top w:val="nil"/>
              <w:left w:val="nil"/>
              <w:bottom w:val="single" w:sz="8" w:space="0" w:color="BFBFBF"/>
              <w:right w:val="single" w:sz="8" w:space="0" w:color="BFBFBF"/>
            </w:tcBorders>
            <w:shd w:val="clear" w:color="auto" w:fill="F6F4EC"/>
          </w:tcPr>
          <w:p w14:paraId="1EC3FF8D"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602F9020" w14:textId="5D2A534B" w:rsidR="00F211CA" w:rsidRPr="00B61BED" w:rsidRDefault="00F211CA" w:rsidP="00DF106E">
            <w:pPr>
              <w:spacing w:before="60"/>
              <w:rPr>
                <w:rFonts w:cs="Arial"/>
                <w:sz w:val="20"/>
                <w:szCs w:val="20"/>
              </w:rPr>
            </w:pPr>
            <w:r w:rsidRPr="00B61BED">
              <w:rPr>
                <w:rFonts w:cs="Arial"/>
                <w:sz w:val="20"/>
                <w:szCs w:val="20"/>
              </w:rPr>
              <w:t>Car parking</w:t>
            </w:r>
          </w:p>
        </w:tc>
        <w:tc>
          <w:tcPr>
            <w:tcW w:w="2231" w:type="dxa"/>
            <w:tcBorders>
              <w:top w:val="single" w:sz="8" w:space="0" w:color="BFBFBF"/>
              <w:left w:val="single" w:sz="8" w:space="0" w:color="BFBFBF"/>
              <w:bottom w:val="single" w:sz="8" w:space="0" w:color="BFBFBF"/>
              <w:right w:val="single" w:sz="8" w:space="0" w:color="BFBFBF"/>
            </w:tcBorders>
          </w:tcPr>
          <w:p w14:paraId="1BB8F58B" w14:textId="2BB7A542" w:rsidR="00F211CA" w:rsidRPr="00B61BED" w:rsidRDefault="00F211CA" w:rsidP="00DF106E">
            <w:pPr>
              <w:spacing w:before="60"/>
              <w:rPr>
                <w:rFonts w:cs="Arial"/>
                <w:sz w:val="20"/>
                <w:szCs w:val="20"/>
              </w:rPr>
            </w:pPr>
            <w:r w:rsidRPr="00B61BED">
              <w:rPr>
                <w:rFonts w:cs="Arial"/>
                <w:sz w:val="20"/>
                <w:szCs w:val="20"/>
              </w:rPr>
              <w:t>Car parking structures</w:t>
            </w:r>
          </w:p>
        </w:tc>
        <w:tc>
          <w:tcPr>
            <w:tcW w:w="4610" w:type="dxa"/>
            <w:tcBorders>
              <w:top w:val="single" w:sz="8" w:space="0" w:color="BFBFBF"/>
              <w:left w:val="single" w:sz="8" w:space="0" w:color="BFBFBF"/>
              <w:bottom w:val="single" w:sz="8" w:space="0" w:color="BFBFBF"/>
              <w:right w:val="nil"/>
            </w:tcBorders>
          </w:tcPr>
          <w:p w14:paraId="21B087C6" w14:textId="6454A5B5" w:rsidR="00F211CA" w:rsidRPr="00B61BED" w:rsidRDefault="00F211CA" w:rsidP="00DF106E">
            <w:pPr>
              <w:spacing w:before="60"/>
              <w:rPr>
                <w:rFonts w:cs="Arial"/>
                <w:sz w:val="20"/>
                <w:szCs w:val="20"/>
              </w:rPr>
            </w:pPr>
            <w:r w:rsidRPr="00B61BED">
              <w:rPr>
                <w:rFonts w:cs="Arial"/>
                <w:sz w:val="20"/>
                <w:szCs w:val="20"/>
              </w:rPr>
              <w:t>Excludes structures providing access for emergency services to IL4 facilities</w:t>
            </w:r>
          </w:p>
        </w:tc>
      </w:tr>
      <w:tr w:rsidR="00F211CA" w:rsidRPr="00B61BED" w14:paraId="36827014" w14:textId="77777777" w:rsidTr="00DF106E">
        <w:trPr>
          <w:cantSplit/>
          <w:trHeight w:val="300"/>
        </w:trPr>
        <w:tc>
          <w:tcPr>
            <w:tcW w:w="1276" w:type="dxa"/>
            <w:vMerge/>
            <w:tcBorders>
              <w:top w:val="nil"/>
              <w:left w:val="nil"/>
              <w:bottom w:val="single" w:sz="8" w:space="0" w:color="BFBFBF"/>
              <w:right w:val="single" w:sz="8" w:space="0" w:color="BFBFBF"/>
            </w:tcBorders>
            <w:shd w:val="clear" w:color="auto" w:fill="F6F4EC"/>
          </w:tcPr>
          <w:p w14:paraId="43528BB2"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single" w:sz="8" w:space="0" w:color="BFBFBF"/>
              <w:right w:val="single" w:sz="8" w:space="0" w:color="BFBFBF"/>
            </w:tcBorders>
            <w:vAlign w:val="center"/>
          </w:tcPr>
          <w:p w14:paraId="50C5F41E" w14:textId="4D6A78B0" w:rsidR="00F211CA" w:rsidRPr="00B61BED" w:rsidRDefault="00F211CA" w:rsidP="00DF106E">
            <w:pPr>
              <w:spacing w:before="60"/>
              <w:rPr>
                <w:rFonts w:cs="Arial"/>
                <w:sz w:val="20"/>
                <w:szCs w:val="20"/>
              </w:rPr>
            </w:pPr>
            <w:r w:rsidRPr="00B61BED">
              <w:rPr>
                <w:rFonts w:cs="Arial"/>
                <w:sz w:val="20"/>
                <w:szCs w:val="20"/>
              </w:rPr>
              <w:t>Helidecks</w:t>
            </w:r>
          </w:p>
        </w:tc>
        <w:tc>
          <w:tcPr>
            <w:tcW w:w="2231" w:type="dxa"/>
            <w:tcBorders>
              <w:top w:val="single" w:sz="8" w:space="0" w:color="BFBFBF"/>
              <w:left w:val="single" w:sz="8" w:space="0" w:color="BFBFBF"/>
              <w:bottom w:val="single" w:sz="8" w:space="0" w:color="BFBFBF"/>
              <w:right w:val="single" w:sz="8" w:space="0" w:color="BFBFBF"/>
            </w:tcBorders>
          </w:tcPr>
          <w:p w14:paraId="5533158A" w14:textId="30CFFBF2" w:rsidR="00F211CA" w:rsidRPr="00B61BED" w:rsidRDefault="00F211CA" w:rsidP="00DF106E">
            <w:pPr>
              <w:spacing w:before="60"/>
              <w:rPr>
                <w:rFonts w:cs="Arial"/>
                <w:sz w:val="20"/>
                <w:szCs w:val="20"/>
              </w:rPr>
            </w:pPr>
            <w:r w:rsidRPr="00B61BED">
              <w:rPr>
                <w:rFonts w:cs="Arial"/>
                <w:sz w:val="20"/>
                <w:szCs w:val="20"/>
              </w:rPr>
              <w:t>Elevated (e.g. rooftop) helidecks and patient holding bays</w:t>
            </w:r>
          </w:p>
        </w:tc>
        <w:tc>
          <w:tcPr>
            <w:tcW w:w="4610" w:type="dxa"/>
            <w:tcBorders>
              <w:top w:val="single" w:sz="8" w:space="0" w:color="BFBFBF"/>
              <w:left w:val="single" w:sz="8" w:space="0" w:color="BFBFBF"/>
              <w:bottom w:val="single" w:sz="8" w:space="0" w:color="BFBFBF"/>
              <w:right w:val="nil"/>
            </w:tcBorders>
          </w:tcPr>
          <w:p w14:paraId="6E5736AF" w14:textId="77777777" w:rsidR="00F211CA" w:rsidRPr="00B61BED" w:rsidRDefault="00F211CA" w:rsidP="00DF106E">
            <w:pPr>
              <w:spacing w:before="60"/>
              <w:rPr>
                <w:rFonts w:cs="Arial"/>
                <w:sz w:val="20"/>
                <w:szCs w:val="20"/>
              </w:rPr>
            </w:pPr>
            <w:r w:rsidRPr="00B61BED">
              <w:rPr>
                <w:rFonts w:cs="Arial"/>
                <w:sz w:val="20"/>
                <w:szCs w:val="20"/>
              </w:rPr>
              <w:t>Close adjacency benefits day-to-day outcomes. However, alternative arrangements/landing sites are generally available in a post-disaster context</w:t>
            </w:r>
            <w:r w:rsidRPr="00B61BED">
              <w:rPr>
                <w:rStyle w:val="FootnoteReference"/>
                <w:rFonts w:cs="Arial"/>
                <w:sz w:val="20"/>
                <w:szCs w:val="20"/>
              </w:rPr>
              <w:footnoteReference w:id="11"/>
            </w:r>
            <w:r w:rsidRPr="00B61BED">
              <w:rPr>
                <w:rFonts w:cs="Arial"/>
                <w:sz w:val="20"/>
                <w:szCs w:val="20"/>
              </w:rPr>
              <w:t xml:space="preserve"> therefore no </w:t>
            </w:r>
            <w:r w:rsidRPr="00B61BED">
              <w:rPr>
                <w:rFonts w:cs="Arial"/>
                <w:i/>
                <w:iCs/>
                <w:sz w:val="20"/>
                <w:szCs w:val="20"/>
              </w:rPr>
              <w:t>special post disaster function</w:t>
            </w:r>
            <w:r w:rsidRPr="00B61BED">
              <w:rPr>
                <w:rFonts w:cs="Arial"/>
                <w:sz w:val="20"/>
                <w:szCs w:val="20"/>
              </w:rPr>
              <w:t>.</w:t>
            </w:r>
          </w:p>
          <w:p w14:paraId="23CE2587" w14:textId="4BB7C18B" w:rsidR="00F211CA" w:rsidRPr="00B61BED" w:rsidRDefault="00F211CA" w:rsidP="00DF106E">
            <w:pPr>
              <w:spacing w:before="60"/>
              <w:rPr>
                <w:rFonts w:cs="Arial"/>
                <w:sz w:val="20"/>
                <w:szCs w:val="20"/>
              </w:rPr>
            </w:pPr>
            <w:r w:rsidRPr="00B61BED">
              <w:rPr>
                <w:rFonts w:cs="Arial"/>
                <w:sz w:val="20"/>
                <w:szCs w:val="20"/>
              </w:rPr>
              <w:t>Importance Level for helideck design should be at least equivalent to the building supporting the helideck.</w:t>
            </w:r>
          </w:p>
        </w:tc>
      </w:tr>
      <w:tr w:rsidR="00F211CA" w:rsidRPr="00B61BED" w14:paraId="7406BF72" w14:textId="77777777" w:rsidTr="00DF106E">
        <w:trPr>
          <w:cantSplit/>
          <w:trHeight w:val="300"/>
        </w:trPr>
        <w:tc>
          <w:tcPr>
            <w:tcW w:w="1276" w:type="dxa"/>
            <w:tcBorders>
              <w:top w:val="single" w:sz="8" w:space="0" w:color="BFBFBF"/>
              <w:left w:val="nil"/>
              <w:bottom w:val="nil"/>
              <w:right w:val="single" w:sz="8" w:space="0" w:color="BFBFBF"/>
            </w:tcBorders>
            <w:shd w:val="clear" w:color="auto" w:fill="F6F4EC"/>
          </w:tcPr>
          <w:p w14:paraId="7BFE3D3A" w14:textId="77777777" w:rsidR="00F211CA" w:rsidRPr="00B61BED" w:rsidRDefault="00F211CA" w:rsidP="00DF106E">
            <w:pPr>
              <w:spacing w:before="60"/>
              <w:rPr>
                <w:rFonts w:cs="Arial"/>
                <w:sz w:val="20"/>
                <w:szCs w:val="20"/>
              </w:rPr>
            </w:pPr>
          </w:p>
        </w:tc>
        <w:tc>
          <w:tcPr>
            <w:tcW w:w="1806" w:type="dxa"/>
            <w:tcBorders>
              <w:top w:val="single" w:sz="8" w:space="0" w:color="BFBFBF"/>
              <w:left w:val="single" w:sz="8" w:space="0" w:color="BFBFBF"/>
              <w:bottom w:val="nil"/>
              <w:right w:val="single" w:sz="8" w:space="0" w:color="BFBFBF"/>
            </w:tcBorders>
            <w:vAlign w:val="center"/>
          </w:tcPr>
          <w:p w14:paraId="637FC750" w14:textId="2BEBB071" w:rsidR="00F211CA" w:rsidRPr="00B61BED" w:rsidRDefault="00F211CA" w:rsidP="00DF106E">
            <w:pPr>
              <w:spacing w:before="60"/>
              <w:rPr>
                <w:rFonts w:cs="Arial"/>
                <w:sz w:val="20"/>
                <w:szCs w:val="20"/>
              </w:rPr>
            </w:pPr>
            <w:r w:rsidRPr="00B61BED">
              <w:rPr>
                <w:rFonts w:cs="Arial"/>
                <w:sz w:val="20"/>
                <w:szCs w:val="20"/>
              </w:rPr>
              <w:t xml:space="preserve">Other buildings housing Infrastructure for </w:t>
            </w:r>
            <w:r w:rsidRPr="00B61BED">
              <w:rPr>
                <w:rFonts w:cs="Arial"/>
                <w:i/>
                <w:iCs/>
                <w:sz w:val="20"/>
                <w:szCs w:val="20"/>
              </w:rPr>
              <w:t>Other Services-Support</w:t>
            </w:r>
            <w:r w:rsidRPr="00B61BED">
              <w:rPr>
                <w:rFonts w:cs="Arial"/>
                <w:sz w:val="20"/>
                <w:szCs w:val="20"/>
              </w:rPr>
              <w:t xml:space="preserve"> only.</w:t>
            </w:r>
          </w:p>
        </w:tc>
        <w:tc>
          <w:tcPr>
            <w:tcW w:w="2231" w:type="dxa"/>
            <w:tcBorders>
              <w:top w:val="single" w:sz="8" w:space="0" w:color="BFBFBF"/>
              <w:left w:val="single" w:sz="8" w:space="0" w:color="BFBFBF"/>
              <w:bottom w:val="nil"/>
              <w:right w:val="single" w:sz="8" w:space="0" w:color="BFBFBF"/>
            </w:tcBorders>
          </w:tcPr>
          <w:p w14:paraId="380E41F9" w14:textId="533C2706" w:rsidR="00F211CA" w:rsidRPr="00B61BED" w:rsidRDefault="00F211CA" w:rsidP="00DF106E">
            <w:pPr>
              <w:spacing w:before="60"/>
              <w:rPr>
                <w:rFonts w:cs="Arial"/>
                <w:sz w:val="20"/>
                <w:szCs w:val="20"/>
              </w:rPr>
            </w:pPr>
            <w:r w:rsidRPr="00B61BED">
              <w:rPr>
                <w:rFonts w:cs="Arial"/>
                <w:sz w:val="20"/>
                <w:szCs w:val="20"/>
              </w:rPr>
              <w:t>General plant</w:t>
            </w:r>
          </w:p>
        </w:tc>
        <w:tc>
          <w:tcPr>
            <w:tcW w:w="4610" w:type="dxa"/>
            <w:tcBorders>
              <w:top w:val="single" w:sz="8" w:space="0" w:color="BFBFBF"/>
              <w:left w:val="single" w:sz="8" w:space="0" w:color="BFBFBF"/>
              <w:bottom w:val="nil"/>
              <w:right w:val="nil"/>
            </w:tcBorders>
          </w:tcPr>
          <w:p w14:paraId="1605B53E" w14:textId="12FBE009" w:rsidR="00F211CA" w:rsidRPr="00B61BED" w:rsidRDefault="00F211CA" w:rsidP="00DF106E">
            <w:pPr>
              <w:spacing w:before="60"/>
              <w:rPr>
                <w:rFonts w:cs="Arial"/>
                <w:sz w:val="20"/>
                <w:szCs w:val="20"/>
              </w:rPr>
            </w:pPr>
            <w:r w:rsidRPr="00B61BED">
              <w:rPr>
                <w:rFonts w:cs="Arial"/>
                <w:sz w:val="20"/>
                <w:szCs w:val="20"/>
              </w:rPr>
              <w:t>Not applicable to central plant buildings also supporting medical services.</w:t>
            </w:r>
          </w:p>
        </w:tc>
      </w:tr>
    </w:tbl>
    <w:p w14:paraId="4B719052" w14:textId="77777777" w:rsidR="00B356E6" w:rsidRDefault="00B356E6" w:rsidP="00666E06"/>
    <w:p w14:paraId="69D93540" w14:textId="77777777" w:rsidR="005304B8" w:rsidRPr="00DD1C0A" w:rsidRDefault="005304B8" w:rsidP="00D56CAE">
      <w:pPr>
        <w:pStyle w:val="BodyHeading"/>
        <w:rPr>
          <w:color w:val="0C818E"/>
        </w:rPr>
      </w:pPr>
      <w:r w:rsidRPr="00DD1C0A">
        <w:rPr>
          <w:color w:val="0C818E"/>
        </w:rPr>
        <w:t>Classifying maternity and special care for babies</w:t>
      </w:r>
    </w:p>
    <w:p w14:paraId="4CDCB922" w14:textId="1737100C" w:rsidR="005304B8" w:rsidRDefault="00E719D7" w:rsidP="00EE5D67">
      <w:r>
        <w:t>T</w:t>
      </w:r>
      <w:r w:rsidR="005304B8">
        <w:t xml:space="preserve">he term ‘higher acuity’ </w:t>
      </w:r>
      <w:r w:rsidR="00F72DA0">
        <w:t>is used in</w:t>
      </w:r>
      <w:r w:rsidR="003241AE">
        <w:t xml:space="preserve"> </w:t>
      </w:r>
      <w:r w:rsidR="00F72DA0">
        <w:fldChar w:fldCharType="begin"/>
      </w:r>
      <w:r w:rsidR="00F72DA0">
        <w:instrText xml:space="preserve"> REF _Ref150076187 \h </w:instrText>
      </w:r>
      <w:r w:rsidR="00EE5D67">
        <w:instrText xml:space="preserve"> \* MERGEFORMAT </w:instrText>
      </w:r>
      <w:r w:rsidR="00F72DA0">
        <w:fldChar w:fldCharType="separate"/>
      </w:r>
      <w:r w:rsidR="000761C1" w:rsidRPr="000761C1">
        <w:t xml:space="preserve">Table </w:t>
      </w:r>
      <w:r w:rsidR="000761C1" w:rsidRPr="000761C1">
        <w:rPr>
          <w:noProof/>
        </w:rPr>
        <w:t>2</w:t>
      </w:r>
      <w:r w:rsidR="00F72DA0">
        <w:fldChar w:fldCharType="end"/>
      </w:r>
      <w:r w:rsidR="00F72DA0">
        <w:t xml:space="preserve"> </w:t>
      </w:r>
      <w:r w:rsidR="005304B8">
        <w:t>to differentiate between services which are considered to have a higher post disaster criticality, and those which are less critical on the basis that the service is reasonably relocatable.</w:t>
      </w:r>
    </w:p>
    <w:p w14:paraId="4AB721DF" w14:textId="5E3D24C9" w:rsidR="005304B8" w:rsidRDefault="005304B8" w:rsidP="00666E06">
      <w:r>
        <w:t xml:space="preserve">This document recommends that birthing suites attached to Acute Services facilities (with </w:t>
      </w:r>
      <w:r w:rsidR="00F6464F">
        <w:t>intentional</w:t>
      </w:r>
      <w:r>
        <w:t xml:space="preserve"> proximity to operating suites) be classified as Acute Services</w:t>
      </w:r>
      <w:r w:rsidR="000D4D87">
        <w:t xml:space="preserve"> (Importance Level 4)</w:t>
      </w:r>
      <w:r>
        <w:t xml:space="preserve">. Continuity of this service as a birthing choice and to manage higher </w:t>
      </w:r>
      <w:r w:rsidR="00961FD0">
        <w:t xml:space="preserve">clinical </w:t>
      </w:r>
      <w:r>
        <w:t xml:space="preserve">risk indications, and maintenance of this adjacency for emergency transfer, is considered appropriate (if not critical) in a post-disaster context. Therefore, </w:t>
      </w:r>
      <w:r w:rsidR="00837FA1">
        <w:t>this service is</w:t>
      </w:r>
      <w:r>
        <w:t xml:space="preserve"> considered to have a </w:t>
      </w:r>
      <w:r w:rsidRPr="00BF26F8">
        <w:rPr>
          <w:i/>
          <w:iCs/>
        </w:rPr>
        <w:t>critical post disaster function</w:t>
      </w:r>
      <w:r>
        <w:t>.</w:t>
      </w:r>
    </w:p>
    <w:p w14:paraId="6E9B3DA7" w14:textId="7506DA4D" w:rsidR="005304B8" w:rsidRDefault="005304B8" w:rsidP="00666E06">
      <w:r>
        <w:t>Ultimately, it shall be to the judgement of hospital clinical staff in conjunction with Health NZ as to the appropriate classification for birthing suites in Acute Services facilities. This might include more careful consideration of the campus context, the clinical importance of adjacency to operating theatre suites, and therefore whether the service could be considered relocatable if the building was rendered unoccupiable. This</w:t>
      </w:r>
      <w:r w:rsidR="00A251F7">
        <w:t xml:space="preserve"> ‘high acuity’</w:t>
      </w:r>
      <w:r>
        <w:t xml:space="preserve"> classification need not apply to birthing suites in a </w:t>
      </w:r>
      <w:r w:rsidR="00EE6380">
        <w:t>primary/</w:t>
      </w:r>
      <w:r>
        <w:t>secondary care setting, nor to general maternity wards.</w:t>
      </w:r>
    </w:p>
    <w:p w14:paraId="130685B2" w14:textId="504E4207" w:rsidR="005304B8" w:rsidRDefault="005304B8" w:rsidP="00666E06">
      <w:r>
        <w:t xml:space="preserve">For special care babies units (SCBU), neo-natal intensive care (NICU) is considered to have a </w:t>
      </w:r>
      <w:r w:rsidRPr="00BF26F8">
        <w:rPr>
          <w:i/>
          <w:iCs/>
        </w:rPr>
        <w:t>critical post disaster function</w:t>
      </w:r>
      <w:r>
        <w:t>. Special care nursing (SCN) can be considered to have lower criticality</w:t>
      </w:r>
      <w:r w:rsidR="00263611">
        <w:t xml:space="preserve"> (and is more practically relocatable)</w:t>
      </w:r>
      <w:r>
        <w:t xml:space="preserve"> and may be categorised as Importance Level 2 or 3 accordingly, similar to maternity wards. The distinctions may be less important where maternity, SCBU (SCN and NICU) and birthing are co-located.</w:t>
      </w:r>
    </w:p>
    <w:p w14:paraId="0C179ED3" w14:textId="3F614E52" w:rsidR="00591471" w:rsidRPr="00DD1C0A" w:rsidRDefault="00591471" w:rsidP="00D56CAE">
      <w:pPr>
        <w:pStyle w:val="BodyHeading"/>
        <w:rPr>
          <w:color w:val="0C818E"/>
        </w:rPr>
      </w:pPr>
      <w:r w:rsidRPr="00DD1C0A">
        <w:rPr>
          <w:color w:val="0C818E"/>
        </w:rPr>
        <w:t xml:space="preserve">Applying the </w:t>
      </w:r>
      <w:r w:rsidR="00BC07CD" w:rsidRPr="00DD1C0A">
        <w:rPr>
          <w:color w:val="0C818E"/>
        </w:rPr>
        <w:t xml:space="preserve">service-based </w:t>
      </w:r>
      <w:r w:rsidRPr="00DD1C0A">
        <w:rPr>
          <w:color w:val="0C818E"/>
        </w:rPr>
        <w:t>classifications to buildings</w:t>
      </w:r>
    </w:p>
    <w:p w14:paraId="3E9F02E1" w14:textId="77777777" w:rsidR="00C06BF9" w:rsidRPr="00C75769" w:rsidRDefault="00591471" w:rsidP="00666E06">
      <w:r w:rsidRPr="00C75769">
        <w:t xml:space="preserve">For structural design, Importance Levels normally apply to entire buildings and their parts. This classification would be based on the most critical service delivered from the building. From a structural and geotechnical perspective, this is normally straightforward—with some exceptions for </w:t>
      </w:r>
      <w:r w:rsidR="00996376" w:rsidRPr="00C75769">
        <w:t xml:space="preserve">partially </w:t>
      </w:r>
      <w:r w:rsidRPr="00C75769">
        <w:t>adjoined structures</w:t>
      </w:r>
      <w:r w:rsidRPr="00C75769">
        <w:rPr>
          <w:rStyle w:val="FootnoteReference"/>
        </w:rPr>
        <w:footnoteReference w:id="12"/>
      </w:r>
      <w:r w:rsidRPr="00C75769">
        <w:t>.</w:t>
      </w:r>
    </w:p>
    <w:p w14:paraId="4DC20153" w14:textId="0F3EEEE5" w:rsidR="001162B7" w:rsidRPr="00C75769" w:rsidRDefault="00591471" w:rsidP="00666E06">
      <w:r w:rsidRPr="00C75769">
        <w:t xml:space="preserve">In principle it may be possible to delineate areas of the building that contain less critical services—and apply reduced performance criteria to non-structural elements and contents </w:t>
      </w:r>
      <w:r w:rsidRPr="00C75769">
        <w:lastRenderedPageBreak/>
        <w:t>correspondingly</w:t>
      </w:r>
      <w:r w:rsidR="001162B7" w:rsidRPr="00C75769">
        <w:t>.</w:t>
      </w:r>
      <w:r w:rsidR="00C06BF9" w:rsidRPr="00C75769">
        <w:t xml:space="preserve"> </w:t>
      </w:r>
      <w:r w:rsidRPr="00C75769">
        <w:t>However, it is often impractical (and possibly uneconomical) to separate critical areas of a hospital building from non-critical areas without risking compromise in holistic performance.</w:t>
      </w:r>
    </w:p>
    <w:p w14:paraId="2027EC37" w14:textId="1A4EB417" w:rsidR="00605325" w:rsidRPr="00274645" w:rsidRDefault="00221357" w:rsidP="00F66A9F">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right="-1"/>
        <w:rPr>
          <w:iCs/>
        </w:rPr>
      </w:pPr>
      <w:r w:rsidRPr="00274645">
        <w:rPr>
          <w:b/>
          <w:bCs/>
          <w:iCs/>
        </w:rPr>
        <w:t xml:space="preserve">For </w:t>
      </w:r>
      <w:r w:rsidR="007E047F" w:rsidRPr="00274645">
        <w:rPr>
          <w:b/>
          <w:bCs/>
        </w:rPr>
        <w:t>Engineers</w:t>
      </w:r>
      <w:r w:rsidRPr="00274645">
        <w:rPr>
          <w:b/>
          <w:bCs/>
        </w:rPr>
        <w:t>:</w:t>
      </w:r>
      <w:r w:rsidRPr="00274645">
        <w:rPr>
          <w:iCs/>
        </w:rPr>
        <w:t xml:space="preserve"> </w:t>
      </w:r>
      <w:r w:rsidR="00472183" w:rsidRPr="00274645">
        <w:t xml:space="preserve">This means that within a building, it will normally be appropriate to set the Annual </w:t>
      </w:r>
      <w:r w:rsidR="00A30255" w:rsidRPr="00274645">
        <w:t xml:space="preserve">Probabilities of </w:t>
      </w:r>
      <w:r w:rsidR="00472183" w:rsidRPr="00274645">
        <w:t xml:space="preserve">Exceedance associated with a given design limit state (Section </w:t>
      </w:r>
      <w:r w:rsidR="00472183" w:rsidRPr="00274645">
        <w:fldChar w:fldCharType="begin"/>
      </w:r>
      <w:r w:rsidR="00472183" w:rsidRPr="00274645">
        <w:instrText xml:space="preserve"> REF _Ref150756251 \r \h </w:instrText>
      </w:r>
      <w:r w:rsidR="00C75769" w:rsidRPr="00274645">
        <w:instrText xml:space="preserve"> \* MERGEFORMAT </w:instrText>
      </w:r>
      <w:r w:rsidR="00472183" w:rsidRPr="00274645">
        <w:fldChar w:fldCharType="separate"/>
      </w:r>
      <w:r w:rsidR="000761C1" w:rsidRPr="00274645">
        <w:t>B2.3.1</w:t>
      </w:r>
      <w:r w:rsidR="00472183" w:rsidRPr="00274645">
        <w:fldChar w:fldCharType="end"/>
      </w:r>
      <w:r w:rsidR="00472183" w:rsidRPr="00274645">
        <w:t xml:space="preserve">, </w:t>
      </w:r>
      <w:r w:rsidR="00472183" w:rsidRPr="00274645">
        <w:fldChar w:fldCharType="begin"/>
      </w:r>
      <w:r w:rsidR="00472183" w:rsidRPr="00274645">
        <w:instrText xml:space="preserve"> REF _Ref150196492 \h </w:instrText>
      </w:r>
      <w:r w:rsidR="00C75769" w:rsidRPr="00274645">
        <w:instrText xml:space="preserve"> \* MERGEFORMAT </w:instrText>
      </w:r>
      <w:r w:rsidR="00472183" w:rsidRPr="00274645">
        <w:fldChar w:fldCharType="separate"/>
      </w:r>
      <w:r w:rsidR="000761C1" w:rsidRPr="00274645">
        <w:t>Table 6</w:t>
      </w:r>
      <w:r w:rsidR="00472183" w:rsidRPr="00274645">
        <w:fldChar w:fldCharType="end"/>
      </w:r>
      <w:r w:rsidR="00472183" w:rsidRPr="00274645">
        <w:t>) to match the classification for the building as a whole. This ensures that co-functioning building design elements, such as building fire safety systems and trunk services are not compromised by an inconsistent approach.</w:t>
      </w:r>
    </w:p>
    <w:p w14:paraId="102E9603" w14:textId="77777777" w:rsidR="00605325" w:rsidRDefault="00472183" w:rsidP="00F66A9F">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right="-1"/>
        <w:rPr>
          <w:b/>
        </w:rPr>
      </w:pPr>
      <w:r w:rsidRPr="00F66A9F">
        <w:rPr>
          <w:iCs/>
        </w:rPr>
        <w:t>The physical state descriptions provide the appropriate recognition for a higher tolerance to damage in less critical areas.</w:t>
      </w:r>
    </w:p>
    <w:p w14:paraId="3D0189CC" w14:textId="77777777" w:rsidR="00F66A9F" w:rsidRPr="00F66A9F" w:rsidRDefault="00523B68" w:rsidP="00F66A9F">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right="-1"/>
        <w:rPr>
          <w:iCs/>
        </w:rPr>
      </w:pPr>
      <w:r w:rsidRPr="00F66A9F">
        <w:rPr>
          <w:b/>
          <w:bCs/>
          <w:iCs/>
        </w:rPr>
        <w:t>For Health Planners:</w:t>
      </w:r>
      <w:r w:rsidRPr="00F66A9F">
        <w:rPr>
          <w:iCs/>
        </w:rPr>
        <w:t xml:space="preserve"> Notwithstanding the </w:t>
      </w:r>
      <w:r w:rsidR="00B7788F" w:rsidRPr="00F66A9F">
        <w:rPr>
          <w:iCs/>
        </w:rPr>
        <w:t>above categorisation</w:t>
      </w:r>
      <w:r w:rsidRPr="00F66A9F">
        <w:rPr>
          <w:iCs/>
        </w:rPr>
        <w:t xml:space="preserve"> of services</w:t>
      </w:r>
      <w:r w:rsidR="00424FD9" w:rsidRPr="00F66A9F">
        <w:rPr>
          <w:iCs/>
        </w:rPr>
        <w:t xml:space="preserve"> for engineering and disaster resilience purposes</w:t>
      </w:r>
      <w:r w:rsidRPr="00F66A9F">
        <w:rPr>
          <w:iCs/>
        </w:rPr>
        <w:t xml:space="preserve">, </w:t>
      </w:r>
      <w:r w:rsidR="008C6BB3" w:rsidRPr="00F66A9F">
        <w:rPr>
          <w:iCs/>
        </w:rPr>
        <w:t xml:space="preserve">the following approach is recommended </w:t>
      </w:r>
      <w:r w:rsidRPr="00F66A9F">
        <w:rPr>
          <w:iCs/>
        </w:rPr>
        <w:t xml:space="preserve">regarding </w:t>
      </w:r>
      <w:r w:rsidR="00307C20" w:rsidRPr="00F66A9F">
        <w:rPr>
          <w:iCs/>
        </w:rPr>
        <w:t xml:space="preserve">the </w:t>
      </w:r>
      <w:r w:rsidRPr="00F66A9F">
        <w:rPr>
          <w:iCs/>
        </w:rPr>
        <w:t xml:space="preserve">location and adjacency of </w:t>
      </w:r>
      <w:r w:rsidR="00307C20" w:rsidRPr="00F66A9F">
        <w:rPr>
          <w:iCs/>
        </w:rPr>
        <w:t xml:space="preserve">health </w:t>
      </w:r>
      <w:r w:rsidRPr="00F66A9F">
        <w:rPr>
          <w:iCs/>
        </w:rPr>
        <w:t>services (</w:t>
      </w:r>
      <w:r w:rsidR="00307C20" w:rsidRPr="00F66A9F">
        <w:rPr>
          <w:iCs/>
        </w:rPr>
        <w:t>informing</w:t>
      </w:r>
      <w:r w:rsidR="00281748" w:rsidRPr="00F66A9F">
        <w:rPr>
          <w:iCs/>
        </w:rPr>
        <w:t xml:space="preserve"> </w:t>
      </w:r>
      <w:r w:rsidR="00B03C00" w:rsidRPr="00F66A9F">
        <w:rPr>
          <w:iCs/>
        </w:rPr>
        <w:t xml:space="preserve">masterplan </w:t>
      </w:r>
      <w:r w:rsidR="00281748" w:rsidRPr="00F66A9F">
        <w:rPr>
          <w:iCs/>
        </w:rPr>
        <w:t>options for new buildings</w:t>
      </w:r>
      <w:r w:rsidR="00307C20" w:rsidRPr="00F66A9F">
        <w:rPr>
          <w:iCs/>
        </w:rPr>
        <w:t xml:space="preserve"> and for</w:t>
      </w:r>
      <w:r w:rsidR="00281748" w:rsidRPr="00F66A9F">
        <w:rPr>
          <w:iCs/>
        </w:rPr>
        <w:t xml:space="preserve"> and </w:t>
      </w:r>
      <w:r w:rsidR="000F4E20" w:rsidRPr="00F66A9F">
        <w:rPr>
          <w:iCs/>
        </w:rPr>
        <w:t>continued use or repurposing of existing buildings</w:t>
      </w:r>
      <w:r w:rsidRPr="00F66A9F">
        <w:rPr>
          <w:iCs/>
        </w:rPr>
        <w:t>):</w:t>
      </w:r>
      <w:r w:rsidR="00F66A9F" w:rsidRPr="00F66A9F">
        <w:rPr>
          <w:iCs/>
        </w:rPr>
        <w:t xml:space="preserve"> </w:t>
      </w:r>
    </w:p>
    <w:p w14:paraId="7BCA86DA" w14:textId="10F25DB4" w:rsidR="00523B68" w:rsidRPr="00F66A9F" w:rsidRDefault="00523B68" w:rsidP="00F66A9F">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57" w:right="-1" w:hanging="357"/>
        <w:rPr>
          <w:iCs/>
        </w:rPr>
      </w:pPr>
      <w:r w:rsidRPr="00F66A9F">
        <w:rPr>
          <w:iCs/>
        </w:rPr>
        <w:t>In the first instance, plan based on health planning requirements</w:t>
      </w:r>
      <w:r w:rsidR="00E167B7" w:rsidRPr="00F66A9F">
        <w:rPr>
          <w:iCs/>
        </w:rPr>
        <w:t>, capacity demand,</w:t>
      </w:r>
      <w:r w:rsidRPr="00F66A9F">
        <w:rPr>
          <w:iCs/>
        </w:rPr>
        <w:t xml:space="preserve"> and achieving optimal clinical service delivery</w:t>
      </w:r>
      <w:r w:rsidR="008F339B" w:rsidRPr="00F66A9F">
        <w:rPr>
          <w:iCs/>
        </w:rPr>
        <w:t xml:space="preserve"> (clinical outcomes and operational expenditure)</w:t>
      </w:r>
      <w:r w:rsidR="00377F97" w:rsidRPr="00F66A9F">
        <w:rPr>
          <w:iCs/>
        </w:rPr>
        <w:t>. These should be the primary drivers</w:t>
      </w:r>
      <w:r w:rsidRPr="00F66A9F">
        <w:rPr>
          <w:iCs/>
        </w:rPr>
        <w:t>.</w:t>
      </w:r>
    </w:p>
    <w:p w14:paraId="5D4A97F6" w14:textId="66F7D95E" w:rsidR="00523B68" w:rsidRPr="00B577D8" w:rsidRDefault="00346F6A" w:rsidP="00F66A9F">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57" w:right="-1" w:hanging="357"/>
        <w:rPr>
          <w:iCs/>
        </w:rPr>
      </w:pPr>
      <w:r w:rsidRPr="00B577D8">
        <w:rPr>
          <w:iCs/>
        </w:rPr>
        <w:t>R</w:t>
      </w:r>
      <w:r w:rsidR="00523B68" w:rsidRPr="00B577D8">
        <w:rPr>
          <w:iCs/>
        </w:rPr>
        <w:t xml:space="preserve">eview against </w:t>
      </w:r>
      <w:r w:rsidR="00B81C8E" w:rsidRPr="00B577D8">
        <w:rPr>
          <w:iCs/>
        </w:rPr>
        <w:t xml:space="preserve">the engineering </w:t>
      </w:r>
      <w:r w:rsidR="00523B68" w:rsidRPr="00B577D8">
        <w:rPr>
          <w:iCs/>
        </w:rPr>
        <w:t>Service Categories</w:t>
      </w:r>
      <w:r w:rsidR="00B81C8E" w:rsidRPr="00B577D8">
        <w:rPr>
          <w:iCs/>
        </w:rPr>
        <w:t xml:space="preserve"> (and Importance Levels)</w:t>
      </w:r>
      <w:r w:rsidR="00523B68" w:rsidRPr="00B577D8">
        <w:rPr>
          <w:iCs/>
        </w:rPr>
        <w:t xml:space="preserve">, and test how </w:t>
      </w:r>
      <w:r w:rsidR="00805A05" w:rsidRPr="00B577D8">
        <w:rPr>
          <w:iCs/>
        </w:rPr>
        <w:t>this</w:t>
      </w:r>
      <w:r w:rsidR="00266A24" w:rsidRPr="00B577D8">
        <w:rPr>
          <w:iCs/>
        </w:rPr>
        <w:t xml:space="preserve"> impact</w:t>
      </w:r>
      <w:r w:rsidR="00805A05" w:rsidRPr="00B577D8">
        <w:rPr>
          <w:iCs/>
        </w:rPr>
        <w:t>s</w:t>
      </w:r>
      <w:r w:rsidR="00523B68" w:rsidRPr="00B577D8">
        <w:rPr>
          <w:iCs/>
        </w:rPr>
        <w:t xml:space="preserve"> </w:t>
      </w:r>
      <w:r w:rsidR="00616199" w:rsidRPr="00B577D8">
        <w:rPr>
          <w:iCs/>
        </w:rPr>
        <w:t>preferred or alternative</w:t>
      </w:r>
      <w:r w:rsidR="00523B68" w:rsidRPr="00B577D8">
        <w:rPr>
          <w:iCs/>
        </w:rPr>
        <w:t xml:space="preserve"> options for building massing, block</w:t>
      </w:r>
      <w:r w:rsidR="00805A05" w:rsidRPr="00B577D8">
        <w:rPr>
          <w:iCs/>
        </w:rPr>
        <w:t xml:space="preserve"> and</w:t>
      </w:r>
      <w:r w:rsidR="00523B68" w:rsidRPr="00B577D8">
        <w:rPr>
          <w:iCs/>
        </w:rPr>
        <w:t xml:space="preserve"> stack</w:t>
      </w:r>
      <w:r w:rsidR="00805A05" w:rsidRPr="00B577D8">
        <w:rPr>
          <w:iCs/>
        </w:rPr>
        <w:t>,</w:t>
      </w:r>
      <w:r w:rsidR="00523B68" w:rsidRPr="00B577D8">
        <w:rPr>
          <w:iCs/>
        </w:rPr>
        <w:t xml:space="preserve"> and building adjacencies. Consider how </w:t>
      </w:r>
      <w:r w:rsidR="00266A24" w:rsidRPr="00B577D8">
        <w:rPr>
          <w:iCs/>
        </w:rPr>
        <w:t xml:space="preserve">the </w:t>
      </w:r>
      <w:r w:rsidR="00EE2E03" w:rsidRPr="00B577D8">
        <w:rPr>
          <w:iCs/>
        </w:rPr>
        <w:t xml:space="preserve">continued </w:t>
      </w:r>
      <w:r w:rsidR="00266A24" w:rsidRPr="00B577D8">
        <w:rPr>
          <w:iCs/>
        </w:rPr>
        <w:t>use</w:t>
      </w:r>
      <w:r w:rsidR="00EE2E03" w:rsidRPr="00B577D8">
        <w:rPr>
          <w:iCs/>
        </w:rPr>
        <w:t xml:space="preserve"> or repurposing</w:t>
      </w:r>
      <w:r w:rsidR="00266A24" w:rsidRPr="00B577D8">
        <w:rPr>
          <w:iCs/>
        </w:rPr>
        <w:t xml:space="preserve"> of existing assets and infrastructure</w:t>
      </w:r>
      <w:r w:rsidR="00523B68" w:rsidRPr="00B577D8">
        <w:rPr>
          <w:iCs/>
        </w:rPr>
        <w:t xml:space="preserve"> impacts sitewide resilience, and the path towards Health NZ’s medium to long term </w:t>
      </w:r>
      <w:r w:rsidR="004E2FCA" w:rsidRPr="00B577D8">
        <w:rPr>
          <w:iCs/>
        </w:rPr>
        <w:t xml:space="preserve">seismic </w:t>
      </w:r>
      <w:r w:rsidR="00523B68" w:rsidRPr="00B577D8">
        <w:rPr>
          <w:iCs/>
        </w:rPr>
        <w:t xml:space="preserve">resilience aspirations as set out in Section </w:t>
      </w:r>
      <w:r w:rsidR="00605325" w:rsidRPr="00B577D8">
        <w:rPr>
          <w:iCs/>
        </w:rPr>
        <w:fldChar w:fldCharType="begin"/>
      </w:r>
      <w:r w:rsidR="00605325" w:rsidRPr="00B577D8">
        <w:rPr>
          <w:iCs/>
        </w:rPr>
        <w:instrText xml:space="preserve"> REF _Ref203129407 \r \h </w:instrText>
      </w:r>
      <w:r w:rsidR="00C301F2" w:rsidRPr="00B577D8">
        <w:rPr>
          <w:iCs/>
        </w:rPr>
        <w:instrText xml:space="preserve"> \* MERGEFORMAT </w:instrText>
      </w:r>
      <w:r w:rsidR="00605325" w:rsidRPr="00B577D8">
        <w:rPr>
          <w:iCs/>
        </w:rPr>
      </w:r>
      <w:r w:rsidR="00605325" w:rsidRPr="00B577D8">
        <w:rPr>
          <w:iCs/>
        </w:rPr>
        <w:fldChar w:fldCharType="separate"/>
      </w:r>
      <w:r w:rsidR="000761C1">
        <w:rPr>
          <w:iCs/>
        </w:rPr>
        <w:t>B8</w:t>
      </w:r>
      <w:r w:rsidR="00605325" w:rsidRPr="00B577D8">
        <w:rPr>
          <w:iCs/>
        </w:rPr>
        <w:fldChar w:fldCharType="end"/>
      </w:r>
      <w:r w:rsidR="00523B68" w:rsidRPr="00B577D8">
        <w:rPr>
          <w:iCs/>
        </w:rPr>
        <w:t xml:space="preserve"> (and </w:t>
      </w:r>
      <w:r w:rsidR="00BD4C89" w:rsidRPr="00B577D8">
        <w:rPr>
          <w:iCs/>
        </w:rPr>
        <w:t>Health NZ</w:t>
      </w:r>
      <w:r w:rsidR="009C1D37" w:rsidRPr="00B577D8">
        <w:rPr>
          <w:iCs/>
        </w:rPr>
        <w:t>’</w:t>
      </w:r>
      <w:r w:rsidR="00BD4C89" w:rsidRPr="00B577D8">
        <w:rPr>
          <w:iCs/>
        </w:rPr>
        <w:t xml:space="preserve">s accountabilities for </w:t>
      </w:r>
      <w:r w:rsidR="00523B68" w:rsidRPr="00B577D8">
        <w:rPr>
          <w:iCs/>
        </w:rPr>
        <w:t>health emergency planning for earthquake).</w:t>
      </w:r>
    </w:p>
    <w:p w14:paraId="56A7772C" w14:textId="0FD75775" w:rsidR="0097206A" w:rsidRPr="00FF7C31" w:rsidRDefault="00E17285" w:rsidP="005121D8">
      <w:pPr>
        <w:pStyle w:val="Section2Heading2"/>
      </w:pPr>
      <w:bookmarkStart w:id="135" w:name="_Ref162097247"/>
      <w:bookmarkStart w:id="136" w:name="_Toc203641948"/>
      <w:r w:rsidRPr="00FF7C31">
        <w:t>Classifying</w:t>
      </w:r>
      <w:r w:rsidR="000C29DC" w:rsidRPr="00FF7C31">
        <w:t xml:space="preserve"> Link Structures</w:t>
      </w:r>
      <w:r w:rsidR="009B1537" w:rsidRPr="00FF7C31">
        <w:t xml:space="preserve"> and </w:t>
      </w:r>
      <w:r w:rsidR="00FC63E2" w:rsidRPr="00FF7C31">
        <w:t>Independently Located Infrastructure</w:t>
      </w:r>
      <w:bookmarkEnd w:id="135"/>
      <w:bookmarkEnd w:id="136"/>
    </w:p>
    <w:p w14:paraId="0CBD141D" w14:textId="30AA3701" w:rsidR="00D55EEB" w:rsidRPr="00DD1C0A" w:rsidRDefault="00E17285" w:rsidP="0051042B">
      <w:pPr>
        <w:pStyle w:val="BodyHeading"/>
        <w:rPr>
          <w:color w:val="0C818E"/>
        </w:rPr>
      </w:pPr>
      <w:r w:rsidRPr="00DD1C0A">
        <w:rPr>
          <w:color w:val="0C818E"/>
        </w:rPr>
        <w:t>L</w:t>
      </w:r>
      <w:r w:rsidR="00D55EEB" w:rsidRPr="00DD1C0A">
        <w:rPr>
          <w:color w:val="0C818E"/>
        </w:rPr>
        <w:t xml:space="preserve">ink </w:t>
      </w:r>
      <w:r w:rsidRPr="00DD1C0A">
        <w:rPr>
          <w:color w:val="0C818E"/>
        </w:rPr>
        <w:t>S</w:t>
      </w:r>
      <w:r w:rsidR="00D55EEB" w:rsidRPr="00DD1C0A">
        <w:rPr>
          <w:color w:val="0C818E"/>
        </w:rPr>
        <w:t>tructures</w:t>
      </w:r>
    </w:p>
    <w:p w14:paraId="4CB95EEC" w14:textId="2B2212C5" w:rsidR="00D55EEB" w:rsidRPr="00FF7C31" w:rsidRDefault="00D55EEB" w:rsidP="00666E06">
      <w:r w:rsidRPr="00FF7C31">
        <w:t>Structurally integral link structures should be assigned the same Importance Level as the building they are connected to.</w:t>
      </w:r>
    </w:p>
    <w:p w14:paraId="7E7B5B06" w14:textId="0CB22476" w:rsidR="00D55EEB" w:rsidRPr="00FF7C31" w:rsidRDefault="00D55EEB" w:rsidP="00666E06">
      <w:r w:rsidRPr="00FF7C31">
        <w:t xml:space="preserve">For Building Code compliance, structurally independent link structures can be assigned an Importance Level independently of the structures that the link serves. However, </w:t>
      </w:r>
      <w:r w:rsidR="007D5C79">
        <w:t xml:space="preserve">Health NZ </w:t>
      </w:r>
      <w:r w:rsidRPr="00FF7C31">
        <w:t xml:space="preserve">recommended that new link structures are designed to </w:t>
      </w:r>
      <w:r w:rsidR="005B5F9A" w:rsidRPr="00FF7C31">
        <w:t xml:space="preserve">meet </w:t>
      </w:r>
      <w:r w:rsidR="00881235" w:rsidRPr="00FF7C31">
        <w:t xml:space="preserve">Continued Functionality </w:t>
      </w:r>
      <w:r w:rsidR="005B5F9A" w:rsidRPr="00FF7C31">
        <w:t>requirements</w:t>
      </w:r>
      <w:r w:rsidR="00E45A42" w:rsidRPr="00FF7C31">
        <w:t xml:space="preserve"> </w:t>
      </w:r>
      <w:r w:rsidR="005B5F9A" w:rsidRPr="00FF7C31">
        <w:t xml:space="preserve">of this document </w:t>
      </w:r>
      <w:r w:rsidR="00031CC8" w:rsidRPr="00FF7C31">
        <w:t>(SLS2) at</w:t>
      </w:r>
      <w:r w:rsidR="00F81051" w:rsidRPr="00FF7C31">
        <w:t xml:space="preserve"> </w:t>
      </w:r>
      <w:r w:rsidR="00A538F3" w:rsidRPr="00FF7C31">
        <w:t>1</w:t>
      </w:r>
      <w:r w:rsidR="008C61D5" w:rsidRPr="00FF7C31">
        <w:t xml:space="preserve"> / 500 APoE levels of shaking</w:t>
      </w:r>
      <w:r w:rsidR="00D26655" w:rsidRPr="00FF7C31">
        <w:t xml:space="preserve">, unless the link </w:t>
      </w:r>
      <w:r w:rsidR="00756D0D" w:rsidRPr="00FF7C31">
        <w:t>(and any trunk services it contains) are only serving structures of a lesser Importance Level</w:t>
      </w:r>
      <w:r w:rsidR="0087114A" w:rsidRPr="00FF7C31">
        <w:t xml:space="preserve"> and </w:t>
      </w:r>
      <w:r w:rsidR="00AF712E" w:rsidRPr="00FF7C31">
        <w:rPr>
          <w:i/>
          <w:iCs/>
        </w:rPr>
        <w:t>Service Category</w:t>
      </w:r>
      <w:r w:rsidR="00B51609" w:rsidRPr="00FF7C31">
        <w:t xml:space="preserve"> (in which case</w:t>
      </w:r>
      <w:r w:rsidR="008872C2" w:rsidRPr="00FF7C31">
        <w:t xml:space="preserve"> the APoE can be reduced </w:t>
      </w:r>
      <w:r w:rsidR="00C05EE3" w:rsidRPr="00FF7C31">
        <w:t>accordingly)</w:t>
      </w:r>
      <w:r w:rsidR="009A5556" w:rsidRPr="00FF7C31">
        <w:t xml:space="preserve">. This </w:t>
      </w:r>
      <w:r w:rsidRPr="00FF7C31">
        <w:t>maintain</w:t>
      </w:r>
      <w:r w:rsidR="009A5556" w:rsidRPr="00FF7C31">
        <w:t>s</w:t>
      </w:r>
      <w:r w:rsidRPr="00FF7C31">
        <w:t xml:space="preserve"> </w:t>
      </w:r>
      <w:r w:rsidR="00D26655" w:rsidRPr="00FF7C31">
        <w:t>appropriate</w:t>
      </w:r>
      <w:r w:rsidRPr="00FF7C31">
        <w:t xml:space="preserve"> overall reliability for continued functionality</w:t>
      </w:r>
      <w:r w:rsidR="009A5556" w:rsidRPr="00FF7C31">
        <w:t xml:space="preserve"> </w:t>
      </w:r>
      <w:r w:rsidR="00D26655" w:rsidRPr="00FF7C31">
        <w:t>at a campus level</w:t>
      </w:r>
      <w:r w:rsidRPr="00FF7C31">
        <w:t>. Refer also to</w:t>
      </w:r>
      <w:r w:rsidR="0072615E">
        <w:t xml:space="preserve"> </w:t>
      </w:r>
      <w:r w:rsidR="0072615E">
        <w:fldChar w:fldCharType="begin"/>
      </w:r>
      <w:r w:rsidR="0072615E">
        <w:instrText xml:space="preserve"> REF Appendix_1 \h </w:instrText>
      </w:r>
      <w:r w:rsidR="0072615E">
        <w:fldChar w:fldCharType="separate"/>
      </w:r>
      <w:r w:rsidR="000761C1" w:rsidRPr="00F301A3">
        <w:t>Appendix 1</w:t>
      </w:r>
      <w:r w:rsidR="0072615E">
        <w:fldChar w:fldCharType="end"/>
      </w:r>
      <w:r w:rsidR="00902CDD">
        <w:t xml:space="preserve">, </w:t>
      </w:r>
      <w:r w:rsidRPr="00FF7C31">
        <w:t>Section</w:t>
      </w:r>
      <w:r w:rsidR="00902CDD">
        <w:t xml:space="preserve"> </w:t>
      </w:r>
      <w:r w:rsidR="00902CDD">
        <w:fldChar w:fldCharType="begin"/>
      </w:r>
      <w:r w:rsidR="00902CDD">
        <w:instrText xml:space="preserve"> REF _Ref179555824 \r \h </w:instrText>
      </w:r>
      <w:r w:rsidR="00902CDD">
        <w:fldChar w:fldCharType="separate"/>
      </w:r>
      <w:r w:rsidR="000761C1">
        <w:t>1.3</w:t>
      </w:r>
      <w:r w:rsidR="00902CDD">
        <w:fldChar w:fldCharType="end"/>
      </w:r>
      <w:r w:rsidR="00C12413">
        <w:t>:</w:t>
      </w:r>
      <w:r w:rsidRPr="00FF7C31">
        <w:t xml:space="preserve"> Dependencies.</w:t>
      </w:r>
    </w:p>
    <w:p w14:paraId="5D5FE678" w14:textId="4CFD73F2" w:rsidR="00D55EEB" w:rsidRPr="00FF7C31" w:rsidRDefault="007D5C79" w:rsidP="00666E06">
      <w:pPr>
        <w:pStyle w:val="Requirement"/>
      </w:pPr>
      <w:r>
        <w:rPr>
          <w:b/>
          <w:bCs/>
        </w:rPr>
        <w:lastRenderedPageBreak/>
        <w:t xml:space="preserve">Health NZ </w:t>
      </w:r>
      <w:r w:rsidR="00D55EEB" w:rsidRPr="00FF7C31">
        <w:rPr>
          <w:b/>
          <w:bCs/>
        </w:rPr>
        <w:t>Recommendation</w:t>
      </w:r>
      <w:r w:rsidR="00D55EEB" w:rsidRPr="00FF7C31">
        <w:t xml:space="preserve">: Assign new structurally independent link structures </w:t>
      </w:r>
      <w:r w:rsidR="00400F0F" w:rsidRPr="00FF7C31">
        <w:t>their own</w:t>
      </w:r>
      <w:r w:rsidR="007573EC" w:rsidRPr="00FF7C31">
        <w:t xml:space="preserve"> </w:t>
      </w:r>
      <w:r w:rsidR="00D55EEB" w:rsidRPr="00FF7C31">
        <w:t>Importance Level</w:t>
      </w:r>
      <w:r w:rsidR="00400F0F" w:rsidRPr="00FF7C31">
        <w:t>, independently</w:t>
      </w:r>
      <w:r w:rsidR="00E45A42" w:rsidRPr="00FF7C31">
        <w:t xml:space="preserve"> </w:t>
      </w:r>
      <w:r w:rsidR="00D55EEB" w:rsidRPr="00FF7C31">
        <w:t>of structures served.</w:t>
      </w:r>
      <w:r w:rsidR="00F81051" w:rsidRPr="00FF7C31">
        <w:t xml:space="preserve"> </w:t>
      </w:r>
      <w:r w:rsidR="00AC1CB1" w:rsidRPr="00FF7C31">
        <w:t>Consider</w:t>
      </w:r>
      <w:r w:rsidR="00F81051" w:rsidRPr="00FF7C31">
        <w:t xml:space="preserve"> SLS2 at a 1 / 500 APoE (unless </w:t>
      </w:r>
      <w:r w:rsidR="0048432F" w:rsidRPr="00FF7C31">
        <w:t>only structures</w:t>
      </w:r>
      <w:r w:rsidR="005C6DE5" w:rsidRPr="00FF7C31">
        <w:t xml:space="preserve"> of lesser Importance Level and </w:t>
      </w:r>
      <w:r w:rsidR="00AF712E" w:rsidRPr="00FF7C31">
        <w:rPr>
          <w:i/>
          <w:iCs/>
        </w:rPr>
        <w:t>Service Category</w:t>
      </w:r>
      <w:r w:rsidR="005C6DE5" w:rsidRPr="00FF7C31">
        <w:t xml:space="preserve"> are </w:t>
      </w:r>
      <w:r w:rsidR="00B37771" w:rsidRPr="00FF7C31">
        <w:t xml:space="preserve">intended to be </w:t>
      </w:r>
      <w:r w:rsidR="00452DD4" w:rsidRPr="00FF7C31">
        <w:t>served by the link and services it contains</w:t>
      </w:r>
      <w:r w:rsidR="006B064E" w:rsidRPr="00FF7C31">
        <w:t xml:space="preserve">, </w:t>
      </w:r>
      <w:r w:rsidR="00BA349C" w:rsidRPr="00FF7C31">
        <w:t xml:space="preserve">in present </w:t>
      </w:r>
      <w:r w:rsidR="004E2D0B" w:rsidRPr="00FF7C31">
        <w:t>and</w:t>
      </w:r>
      <w:r w:rsidR="00BA349C" w:rsidRPr="00FF7C31">
        <w:t xml:space="preserve"> reasonably</w:t>
      </w:r>
      <w:r w:rsidR="006B064E" w:rsidRPr="00FF7C31">
        <w:t xml:space="preserve"> foreseeable</w:t>
      </w:r>
      <w:r w:rsidR="00BA349C" w:rsidRPr="00FF7C31">
        <w:t xml:space="preserve"> future states</w:t>
      </w:r>
      <w:r w:rsidR="00452DD4" w:rsidRPr="00FF7C31">
        <w:t>).</w:t>
      </w:r>
    </w:p>
    <w:p w14:paraId="2F95E5E3" w14:textId="1DC04DBB" w:rsidR="003B0FA3" w:rsidRPr="00FF7C31" w:rsidRDefault="003B0FA3" w:rsidP="0051042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FF7C31">
        <w:t xml:space="preserve">SLS2 criteria for link structures </w:t>
      </w:r>
      <w:r w:rsidR="00400698" w:rsidRPr="00FF7C31">
        <w:t xml:space="preserve">can </w:t>
      </w:r>
      <w:r w:rsidR="00E64F5C" w:rsidRPr="00FF7C31">
        <w:t xml:space="preserve">generally </w:t>
      </w:r>
      <w:r w:rsidR="00400698" w:rsidRPr="00FF7C31">
        <w:t>reflect</w:t>
      </w:r>
      <w:r w:rsidR="00F879DC" w:rsidRPr="00FF7C31">
        <w:t xml:space="preserve"> a higher </w:t>
      </w:r>
      <w:r w:rsidR="00E64F5C" w:rsidRPr="00FF7C31">
        <w:t xml:space="preserve">tolerance to </w:t>
      </w:r>
      <w:r w:rsidR="0056505D" w:rsidRPr="00FF7C31">
        <w:t xml:space="preserve">some drift induced superficial damage (to </w:t>
      </w:r>
      <w:r w:rsidR="00021BF7" w:rsidRPr="00FF7C31">
        <w:t>interior wall linings</w:t>
      </w:r>
      <w:r w:rsidR="00E30295" w:rsidRPr="00FF7C31">
        <w:t xml:space="preserve"> that are not fire or smoke separations</w:t>
      </w:r>
      <w:r w:rsidR="00021BF7" w:rsidRPr="00FF7C31">
        <w:t xml:space="preserve">, for example). </w:t>
      </w:r>
      <w:r w:rsidR="006C5E21" w:rsidRPr="00FF7C31">
        <w:t>However,</w:t>
      </w:r>
      <w:r w:rsidR="00021BF7" w:rsidRPr="00FF7C31">
        <w:t xml:space="preserve"> </w:t>
      </w:r>
      <w:r w:rsidR="001A13E1" w:rsidRPr="00FF7C31">
        <w:t xml:space="preserve">the link </w:t>
      </w:r>
      <w:r w:rsidR="00BA455F">
        <w:t>should be able to</w:t>
      </w:r>
      <w:r w:rsidR="001A13E1" w:rsidRPr="00FF7C31">
        <w:t xml:space="preserve"> function safely</w:t>
      </w:r>
      <w:r w:rsidR="0062065D" w:rsidRPr="00FF7C31">
        <w:t xml:space="preserve"> </w:t>
      </w:r>
      <w:r w:rsidR="00A06C1D" w:rsidRPr="00FF7C31">
        <w:t xml:space="preserve">after SLS2 shaking </w:t>
      </w:r>
      <w:r w:rsidR="0062065D" w:rsidRPr="00FF7C31">
        <w:t xml:space="preserve">and </w:t>
      </w:r>
      <w:r w:rsidR="00FE4FCE" w:rsidRPr="00FF7C31">
        <w:t>remain</w:t>
      </w:r>
      <w:r w:rsidR="0062065D" w:rsidRPr="00FF7C31">
        <w:t xml:space="preserve"> clear of obstructions</w:t>
      </w:r>
      <w:r w:rsidR="00FE4FCE" w:rsidRPr="00FF7C31">
        <w:t xml:space="preserve"> and hazards</w:t>
      </w:r>
      <w:r w:rsidR="0062065D" w:rsidRPr="00FF7C31">
        <w:t>, especially</w:t>
      </w:r>
      <w:r w:rsidR="00A06C1D" w:rsidRPr="00FF7C31">
        <w:t xml:space="preserve"> if it </w:t>
      </w:r>
      <w:r w:rsidR="006C5E21" w:rsidRPr="00FF7C31">
        <w:t>functions as</w:t>
      </w:r>
      <w:r w:rsidR="00A06C1D" w:rsidRPr="00FF7C31">
        <w:t xml:space="preserve"> a primary egress route.</w:t>
      </w:r>
    </w:p>
    <w:p w14:paraId="163252FE" w14:textId="639DA827" w:rsidR="00E17285" w:rsidRPr="00DD1C0A" w:rsidRDefault="00E17285" w:rsidP="00D56CAE">
      <w:pPr>
        <w:pStyle w:val="BodyHeading"/>
        <w:rPr>
          <w:color w:val="0C818E"/>
        </w:rPr>
      </w:pPr>
      <w:r w:rsidRPr="00DD1C0A">
        <w:rPr>
          <w:color w:val="0C818E"/>
        </w:rPr>
        <w:t>Independently Located Infrastructure/Plant/Utilities</w:t>
      </w:r>
    </w:p>
    <w:p w14:paraId="24028220" w14:textId="32BDC0D8" w:rsidR="00002F8B" w:rsidRPr="00161F2D" w:rsidRDefault="00837519" w:rsidP="00161F2D">
      <w:pPr>
        <w:pStyle w:val="Figure"/>
        <w:rPr>
          <w:b w:val="0"/>
          <w:bCs/>
          <w:noProof/>
          <w:sz w:val="24"/>
          <w:szCs w:val="24"/>
        </w:rPr>
      </w:pPr>
      <w:r w:rsidRPr="00161F2D">
        <w:rPr>
          <w:b w:val="0"/>
          <w:bCs/>
          <w:sz w:val="24"/>
          <w:szCs w:val="24"/>
        </w:rPr>
        <w:t>B</w:t>
      </w:r>
      <w:r w:rsidR="007645A8" w:rsidRPr="00161F2D">
        <w:rPr>
          <w:b w:val="0"/>
          <w:bCs/>
          <w:sz w:val="24"/>
          <w:szCs w:val="24"/>
        </w:rPr>
        <w:t>uildings</w:t>
      </w:r>
      <w:r w:rsidR="00580FC3" w:rsidRPr="00161F2D">
        <w:rPr>
          <w:b w:val="0"/>
          <w:bCs/>
          <w:sz w:val="24"/>
          <w:szCs w:val="24"/>
        </w:rPr>
        <w:t xml:space="preserve"> </w:t>
      </w:r>
      <w:r w:rsidRPr="00161F2D">
        <w:rPr>
          <w:b w:val="0"/>
          <w:bCs/>
          <w:sz w:val="24"/>
          <w:szCs w:val="24"/>
        </w:rPr>
        <w:t xml:space="preserve">housing </w:t>
      </w:r>
      <w:r w:rsidR="001B57F9" w:rsidRPr="00161F2D">
        <w:rPr>
          <w:b w:val="0"/>
          <w:bCs/>
          <w:sz w:val="24"/>
          <w:szCs w:val="24"/>
        </w:rPr>
        <w:t xml:space="preserve">plant and utility services </w:t>
      </w:r>
      <w:r w:rsidR="00580FC3" w:rsidRPr="00161F2D">
        <w:rPr>
          <w:b w:val="0"/>
          <w:bCs/>
          <w:sz w:val="24"/>
          <w:szCs w:val="24"/>
        </w:rPr>
        <w:t xml:space="preserve">servicing hospital buildings are classified to NZS 1170.0, and are included </w:t>
      </w:r>
      <w:r w:rsidR="002B4AEE" w:rsidRPr="00161F2D">
        <w:rPr>
          <w:b w:val="0"/>
          <w:bCs/>
          <w:sz w:val="24"/>
          <w:szCs w:val="24"/>
        </w:rPr>
        <w:t xml:space="preserve">in the </w:t>
      </w:r>
      <w:r w:rsidR="00AF712E" w:rsidRPr="00161F2D">
        <w:rPr>
          <w:b w:val="0"/>
          <w:bCs/>
          <w:i/>
          <w:iCs/>
          <w:sz w:val="24"/>
          <w:szCs w:val="24"/>
        </w:rPr>
        <w:t>Service Category</w:t>
      </w:r>
      <w:r w:rsidR="002B4AEE" w:rsidRPr="00161F2D">
        <w:rPr>
          <w:b w:val="0"/>
          <w:bCs/>
          <w:sz w:val="24"/>
          <w:szCs w:val="24"/>
        </w:rPr>
        <w:t xml:space="preserve"> and Importance Level clarifications </w:t>
      </w:r>
      <w:r w:rsidR="00580FC3" w:rsidRPr="00161F2D">
        <w:rPr>
          <w:b w:val="0"/>
          <w:bCs/>
          <w:sz w:val="24"/>
          <w:szCs w:val="24"/>
        </w:rPr>
        <w:t xml:space="preserve">in </w:t>
      </w:r>
      <w:r w:rsidR="002B4AEE" w:rsidRPr="00161F2D">
        <w:rPr>
          <w:b w:val="0"/>
          <w:bCs/>
          <w:sz w:val="24"/>
          <w:szCs w:val="24"/>
        </w:rPr>
        <w:t xml:space="preserve">Section </w:t>
      </w:r>
      <w:r w:rsidR="002B4AEE" w:rsidRPr="00161F2D">
        <w:rPr>
          <w:b w:val="0"/>
          <w:bCs/>
          <w:sz w:val="24"/>
          <w:szCs w:val="24"/>
        </w:rPr>
        <w:fldChar w:fldCharType="begin"/>
      </w:r>
      <w:r w:rsidR="002B4AEE" w:rsidRPr="00161F2D">
        <w:rPr>
          <w:b w:val="0"/>
          <w:bCs/>
          <w:sz w:val="24"/>
          <w:szCs w:val="24"/>
        </w:rPr>
        <w:instrText xml:space="preserve"> REF _Ref169073569 \r \h </w:instrText>
      </w:r>
      <w:r w:rsidR="00FF7C31" w:rsidRPr="00161F2D">
        <w:rPr>
          <w:b w:val="0"/>
          <w:bCs/>
          <w:sz w:val="24"/>
          <w:szCs w:val="24"/>
        </w:rPr>
        <w:instrText xml:space="preserve"> \* MERGEFORMAT </w:instrText>
      </w:r>
      <w:r w:rsidR="002B4AEE" w:rsidRPr="00161F2D">
        <w:rPr>
          <w:b w:val="0"/>
          <w:bCs/>
          <w:sz w:val="24"/>
          <w:szCs w:val="24"/>
        </w:rPr>
      </w:r>
      <w:r w:rsidR="002B4AEE" w:rsidRPr="00161F2D">
        <w:rPr>
          <w:b w:val="0"/>
          <w:bCs/>
          <w:sz w:val="24"/>
          <w:szCs w:val="24"/>
        </w:rPr>
        <w:fldChar w:fldCharType="separate"/>
      </w:r>
      <w:r w:rsidR="000761C1">
        <w:rPr>
          <w:b w:val="0"/>
          <w:bCs/>
          <w:sz w:val="24"/>
          <w:szCs w:val="24"/>
        </w:rPr>
        <w:t>B1.2</w:t>
      </w:r>
      <w:r w:rsidR="002B4AEE" w:rsidRPr="00161F2D">
        <w:rPr>
          <w:b w:val="0"/>
          <w:bCs/>
          <w:sz w:val="24"/>
          <w:szCs w:val="24"/>
        </w:rPr>
        <w:fldChar w:fldCharType="end"/>
      </w:r>
      <w:r w:rsidR="002B4AEE" w:rsidRPr="00161F2D">
        <w:rPr>
          <w:b w:val="0"/>
          <w:bCs/>
          <w:sz w:val="24"/>
          <w:szCs w:val="24"/>
        </w:rPr>
        <w:t xml:space="preserve">, </w:t>
      </w:r>
      <w:r w:rsidR="002B4AEE" w:rsidRPr="003241AE">
        <w:rPr>
          <w:b w:val="0"/>
          <w:bCs/>
          <w:sz w:val="24"/>
          <w:szCs w:val="24"/>
        </w:rPr>
        <w:fldChar w:fldCharType="begin"/>
      </w:r>
      <w:r w:rsidR="002B4AEE" w:rsidRPr="003241AE">
        <w:rPr>
          <w:b w:val="0"/>
          <w:bCs/>
          <w:sz w:val="24"/>
          <w:szCs w:val="24"/>
        </w:rPr>
        <w:instrText xml:space="preserve"> REF _Ref150076187 \h </w:instrText>
      </w:r>
      <w:r w:rsidR="00FF7C31" w:rsidRPr="003241AE">
        <w:rPr>
          <w:b w:val="0"/>
          <w:bCs/>
          <w:sz w:val="24"/>
          <w:szCs w:val="24"/>
        </w:rPr>
        <w:instrText xml:space="preserve"> \* MERGEFORMAT </w:instrText>
      </w:r>
      <w:r w:rsidR="002B4AEE" w:rsidRPr="003241AE">
        <w:rPr>
          <w:b w:val="0"/>
          <w:bCs/>
          <w:sz w:val="24"/>
          <w:szCs w:val="24"/>
        </w:rPr>
      </w:r>
      <w:r w:rsidR="002B4AEE" w:rsidRPr="003241AE">
        <w:rPr>
          <w:b w:val="0"/>
          <w:bCs/>
          <w:sz w:val="24"/>
          <w:szCs w:val="24"/>
        </w:rPr>
        <w:fldChar w:fldCharType="separate"/>
      </w:r>
      <w:r w:rsidR="000761C1" w:rsidRPr="003241AE">
        <w:rPr>
          <w:b w:val="0"/>
          <w:bCs/>
          <w:noProof/>
          <w:sz w:val="24"/>
          <w:szCs w:val="24"/>
        </w:rPr>
        <w:t>Table 2</w:t>
      </w:r>
      <w:r w:rsidR="002B4AEE" w:rsidRPr="003241AE">
        <w:rPr>
          <w:b w:val="0"/>
          <w:bCs/>
          <w:sz w:val="24"/>
          <w:szCs w:val="24"/>
        </w:rPr>
        <w:fldChar w:fldCharType="end"/>
      </w:r>
      <w:r w:rsidR="002B4AEE" w:rsidRPr="003241AE">
        <w:rPr>
          <w:b w:val="0"/>
          <w:bCs/>
          <w:sz w:val="24"/>
          <w:szCs w:val="24"/>
        </w:rPr>
        <w:t xml:space="preserve"> </w:t>
      </w:r>
      <w:r w:rsidR="002B4AEE" w:rsidRPr="00161F2D">
        <w:rPr>
          <w:b w:val="0"/>
          <w:bCs/>
          <w:sz w:val="24"/>
          <w:szCs w:val="24"/>
        </w:rPr>
        <w:t>above.</w:t>
      </w:r>
    </w:p>
    <w:p w14:paraId="35EAF50E" w14:textId="3F97220F" w:rsidR="001775F0" w:rsidRPr="00FF7C31" w:rsidRDefault="00A71E80" w:rsidP="00666E06">
      <w:r w:rsidRPr="00FF7C31">
        <w:t xml:space="preserve">Information on the </w:t>
      </w:r>
      <w:r w:rsidR="00F073F8" w:rsidRPr="00FF7C31">
        <w:t xml:space="preserve">classification and </w:t>
      </w:r>
      <w:r w:rsidR="00A36AD3" w:rsidRPr="00FF7C31">
        <w:t>s</w:t>
      </w:r>
      <w:r w:rsidRPr="00FF7C31">
        <w:t xml:space="preserve">eismic </w:t>
      </w:r>
      <w:r w:rsidR="00A36AD3" w:rsidRPr="00FF7C31">
        <w:t>d</w:t>
      </w:r>
      <w:r w:rsidRPr="00FF7C31">
        <w:t xml:space="preserve">esign of </w:t>
      </w:r>
      <w:r w:rsidR="00A36AD3" w:rsidRPr="00FF7C31">
        <w:t>p</w:t>
      </w:r>
      <w:r w:rsidRPr="00FF7C31">
        <w:t xml:space="preserve">ressure </w:t>
      </w:r>
      <w:r w:rsidR="00A36AD3" w:rsidRPr="00FF7C31">
        <w:t>e</w:t>
      </w:r>
      <w:r w:rsidRPr="00FF7C31">
        <w:t>quipment</w:t>
      </w:r>
      <w:r w:rsidR="00A36AD3" w:rsidRPr="00FF7C31">
        <w:t xml:space="preserve"> (pressure vessels) and their supporting structures (including standalone structures)</w:t>
      </w:r>
      <w:r w:rsidR="008C3C2D" w:rsidRPr="00FF7C31">
        <w:t xml:space="preserve"> can be found in</w:t>
      </w:r>
      <w:r w:rsidR="001775F0" w:rsidRPr="00FF7C31">
        <w:t>:</w:t>
      </w:r>
    </w:p>
    <w:p w14:paraId="4E1455B6" w14:textId="26650E2A" w:rsidR="002B4AEE" w:rsidRPr="00FF7C31" w:rsidRDefault="008C3C2D" w:rsidP="004D55F1">
      <w:pPr>
        <w:pStyle w:val="ListParagraph"/>
        <w:numPr>
          <w:ilvl w:val="0"/>
          <w:numId w:val="92"/>
        </w:numPr>
      </w:pPr>
      <w:r w:rsidRPr="00FF7C31">
        <w:t>Engineering NZ Practice Note 19:</w:t>
      </w:r>
      <w:r w:rsidRPr="00FF7C31">
        <w:rPr>
          <w:i/>
          <w:iCs/>
        </w:rPr>
        <w:t xml:space="preserve"> Seismic Resistance of Pressure Equipment and its Supports</w:t>
      </w:r>
      <w:r w:rsidRPr="00FF7C31">
        <w:t xml:space="preserve"> </w:t>
      </w:r>
      <w:sdt>
        <w:sdtPr>
          <w:id w:val="-293981337"/>
          <w:citation/>
        </w:sdtPr>
        <w:sdtEndPr/>
        <w:sdtContent>
          <w:r w:rsidR="001775F0" w:rsidRPr="00FF7C31">
            <w:fldChar w:fldCharType="begin"/>
          </w:r>
          <w:r w:rsidR="001775F0" w:rsidRPr="00FF7C31">
            <w:rPr>
              <w:lang w:val="en-US"/>
            </w:rPr>
            <w:instrText xml:space="preserve"> CITATION ENZ19 \l 1033 </w:instrText>
          </w:r>
          <w:r w:rsidR="001775F0" w:rsidRPr="00FF7C31">
            <w:fldChar w:fldCharType="separate"/>
          </w:r>
          <w:r w:rsidR="00222D65">
            <w:rPr>
              <w:noProof/>
              <w:lang w:val="en-US"/>
            </w:rPr>
            <w:t>(ENZ, 2019)</w:t>
          </w:r>
          <w:r w:rsidR="001775F0" w:rsidRPr="00FF7C31">
            <w:fldChar w:fldCharType="end"/>
          </w:r>
        </w:sdtContent>
      </w:sdt>
      <w:r w:rsidRPr="00FF7C31">
        <w:t>.</w:t>
      </w:r>
    </w:p>
    <w:p w14:paraId="602B0536" w14:textId="0F120ABA" w:rsidR="007413A0" w:rsidRPr="00FF7C31" w:rsidRDefault="007413A0" w:rsidP="004D55F1">
      <w:pPr>
        <w:pStyle w:val="ListParagraph"/>
        <w:numPr>
          <w:ilvl w:val="0"/>
          <w:numId w:val="92"/>
        </w:numPr>
      </w:pPr>
      <w:r w:rsidRPr="00FF7C31">
        <w:t xml:space="preserve">Report prepared for Ministry of Health: </w:t>
      </w:r>
      <w:r w:rsidRPr="00FF7C31">
        <w:rPr>
          <w:i/>
          <w:iCs/>
        </w:rPr>
        <w:t>Seismic Design Basis Guidance Summary for Storage Tanks-vessels</w:t>
      </w:r>
      <w:r w:rsidR="00F073F8" w:rsidRPr="00FF7C31">
        <w:t xml:space="preserve"> </w:t>
      </w:r>
      <w:sdt>
        <w:sdtPr>
          <w:id w:val="-1525778739"/>
          <w:citation/>
        </w:sdtPr>
        <w:sdtEndPr/>
        <w:sdtContent>
          <w:r w:rsidR="002E4A11" w:rsidRPr="00FF7C31">
            <w:fldChar w:fldCharType="begin"/>
          </w:r>
          <w:r w:rsidR="002E4A11" w:rsidRPr="00FF7C31">
            <w:rPr>
              <w:lang w:val="en-US"/>
            </w:rPr>
            <w:instrText xml:space="preserve">CITATION Bec22 \l 1033 </w:instrText>
          </w:r>
          <w:r w:rsidR="002E4A11" w:rsidRPr="00FF7C31">
            <w:fldChar w:fldCharType="separate"/>
          </w:r>
          <w:r w:rsidR="00222D65">
            <w:rPr>
              <w:noProof/>
              <w:lang w:val="en-US"/>
            </w:rPr>
            <w:t>(Beca, 2022)</w:t>
          </w:r>
          <w:r w:rsidR="002E4A11" w:rsidRPr="00FF7C31">
            <w:fldChar w:fldCharType="end"/>
          </w:r>
        </w:sdtContent>
      </w:sdt>
      <w:r w:rsidR="00F073F8" w:rsidRPr="00FF7C31">
        <w:t>.</w:t>
      </w:r>
    </w:p>
    <w:p w14:paraId="011A2409" w14:textId="56CEEC81" w:rsidR="00547304" w:rsidRPr="00FF7C31" w:rsidRDefault="00AE3E7C" w:rsidP="00666E06">
      <w:r w:rsidRPr="00FF7C31">
        <w:t xml:space="preserve">Refer to Section </w:t>
      </w:r>
      <w:r w:rsidRPr="00FF7C31">
        <w:fldChar w:fldCharType="begin"/>
      </w:r>
      <w:r w:rsidRPr="00FF7C31">
        <w:instrText xml:space="preserve"> REF _Ref161737292 \r \h </w:instrText>
      </w:r>
      <w:r w:rsidR="00FF7C31">
        <w:instrText xml:space="preserve"> \* MERGEFORMAT </w:instrText>
      </w:r>
      <w:r w:rsidRPr="00FF7C31">
        <w:fldChar w:fldCharType="separate"/>
      </w:r>
      <w:r w:rsidR="000761C1">
        <w:t>C1.1.1</w:t>
      </w:r>
      <w:r w:rsidRPr="00FF7C31">
        <w:fldChar w:fldCharType="end"/>
      </w:r>
      <w:r w:rsidRPr="00FF7C31">
        <w:t xml:space="preserve"> regarding</w:t>
      </w:r>
      <w:r w:rsidR="00953571" w:rsidRPr="00FF7C31">
        <w:t xml:space="preserve"> selection of</w:t>
      </w:r>
      <w:r w:rsidRPr="00FF7C31">
        <w:t xml:space="preserve"> </w:t>
      </w:r>
      <w:r w:rsidRPr="00FF7C31">
        <w:rPr>
          <w:i/>
          <w:iCs/>
        </w:rPr>
        <w:t>Design Working Life</w:t>
      </w:r>
      <w:r w:rsidRPr="00FF7C31">
        <w:t xml:space="preserve"> for seismic loads.</w:t>
      </w:r>
    </w:p>
    <w:p w14:paraId="669B1C38" w14:textId="38DD2DAD" w:rsidR="004F2C35" w:rsidRPr="004F2C35" w:rsidRDefault="004F2C35" w:rsidP="00666E06"/>
    <w:p w14:paraId="69F66FAF" w14:textId="41EA5ABA" w:rsidR="00835562" w:rsidRPr="0012327E" w:rsidRDefault="00835562" w:rsidP="00666E06">
      <w:pPr>
        <w:pStyle w:val="Requirement"/>
      </w:pPr>
      <w:r w:rsidRPr="0012327E">
        <w:br w:type="page"/>
      </w:r>
    </w:p>
    <w:p w14:paraId="23A41C76" w14:textId="17F992BD" w:rsidR="00835562" w:rsidRPr="00A9001D" w:rsidRDefault="00835562" w:rsidP="0051042B">
      <w:pPr>
        <w:pStyle w:val="Section2Heading1"/>
      </w:pPr>
      <w:bookmarkStart w:id="137" w:name="_Toc147899140"/>
      <w:bookmarkStart w:id="138" w:name="_Ref151007349"/>
      <w:bookmarkStart w:id="139" w:name="_Ref152824068"/>
      <w:bookmarkStart w:id="140" w:name="_Ref166523901"/>
      <w:bookmarkStart w:id="141" w:name="_Toc203641949"/>
      <w:r w:rsidRPr="00A9001D">
        <w:lastRenderedPageBreak/>
        <w:t>Seismic Performance Requirements</w:t>
      </w:r>
      <w:bookmarkEnd w:id="137"/>
      <w:bookmarkEnd w:id="138"/>
      <w:bookmarkEnd w:id="139"/>
      <w:bookmarkEnd w:id="140"/>
      <w:bookmarkEnd w:id="141"/>
    </w:p>
    <w:p w14:paraId="17622880" w14:textId="42F21FFB" w:rsidR="00D16A50" w:rsidRPr="00FF7C31" w:rsidRDefault="00D16A50" w:rsidP="00666E06">
      <w:r w:rsidRPr="00FF7C31">
        <w:t>The seismic performance framework sets the minimum seismic performance</w:t>
      </w:r>
      <w:r w:rsidR="00106D1F" w:rsidRPr="00FF7C31">
        <w:t xml:space="preserve"> </w:t>
      </w:r>
      <w:r w:rsidRPr="00FF7C31">
        <w:t xml:space="preserve">standards required by </w:t>
      </w:r>
      <w:r w:rsidR="007D5C79">
        <w:t xml:space="preserve">Health NZ </w:t>
      </w:r>
      <w:r w:rsidRPr="00FF7C31">
        <w:t xml:space="preserve">for </w:t>
      </w:r>
      <w:r w:rsidR="00106D1F" w:rsidRPr="00FF7C31">
        <w:t>public hospital buildings</w:t>
      </w:r>
      <w:r w:rsidRPr="00FF7C31">
        <w:t>—which will also meet, as a minimum, New Zealand Building Code requirements</w:t>
      </w:r>
      <w:r w:rsidR="00106D1F" w:rsidRPr="00FF7C31">
        <w:t>.</w:t>
      </w:r>
    </w:p>
    <w:p w14:paraId="40A8B02C" w14:textId="0A208F34" w:rsidR="00412902" w:rsidRPr="00FF7C31" w:rsidRDefault="00E01E12" w:rsidP="0051042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FF7C31">
        <w:rPr>
          <w:b/>
          <w:bCs/>
        </w:rPr>
        <w:t>Definition of Terms:</w:t>
      </w:r>
      <w:r w:rsidRPr="00FF7C31">
        <w:t xml:space="preserve"> </w:t>
      </w:r>
      <w:r w:rsidR="00412902" w:rsidRPr="00FF7C31">
        <w:t xml:space="preserve">This guideline uses </w:t>
      </w:r>
      <w:r w:rsidR="00EE35D0" w:rsidRPr="00FF7C31">
        <w:t>language and terms related to earthquakes and functional recovery</w:t>
      </w:r>
      <w:r w:rsidR="00CF24BB" w:rsidRPr="00FF7C31">
        <w:t xml:space="preserve"> that </w:t>
      </w:r>
      <w:r w:rsidR="008E38CD" w:rsidRPr="00FF7C31">
        <w:t>align</w:t>
      </w:r>
      <w:r w:rsidR="00EE35D0" w:rsidRPr="00FF7C31">
        <w:t xml:space="preserve"> with </w:t>
      </w:r>
      <w:r w:rsidR="008E38CD" w:rsidRPr="00FF7C31">
        <w:t xml:space="preserve">the ongoing development of functional recovery methodologies </w:t>
      </w:r>
      <w:r w:rsidR="009E0B4E" w:rsidRPr="00FF7C31">
        <w:t xml:space="preserve">in North America </w:t>
      </w:r>
      <w:r w:rsidR="00F24406" w:rsidRPr="00FF7C31">
        <w:t>as part of the</w:t>
      </w:r>
      <w:r w:rsidR="008E38CD" w:rsidRPr="00FF7C31">
        <w:t xml:space="preserve"> 2026 NEHRP Provisions Update </w:t>
      </w:r>
      <w:r w:rsidR="00F24406" w:rsidRPr="00FF7C31">
        <w:t>cycle</w:t>
      </w:r>
      <w:r w:rsidR="00B52994" w:rsidRPr="00FF7C31">
        <w:t xml:space="preserve"> </w:t>
      </w:r>
      <w:r w:rsidR="0009286E" w:rsidRPr="00FF7C31">
        <w:t>(</w:t>
      </w:r>
      <w:hyperlink r:id="rId35" w:anchor="puc" w:history="1">
        <w:r w:rsidR="00B52994" w:rsidRPr="00FF7C31">
          <w:rPr>
            <w:rStyle w:val="Hyperlink"/>
            <w:color w:val="0070C0"/>
          </w:rPr>
          <w:t>https://www.nibs.org/bssc#puc</w:t>
        </w:r>
      </w:hyperlink>
      <w:r w:rsidR="00B52994" w:rsidRPr="00FF7C31">
        <w:t>).</w:t>
      </w:r>
      <w:r w:rsidR="00120231" w:rsidRPr="00FF7C31">
        <w:t xml:space="preserve"> This builds on the terms and concepts </w:t>
      </w:r>
      <w:r w:rsidR="00DB2BBE" w:rsidRPr="00FF7C31">
        <w:t>summarised</w:t>
      </w:r>
      <w:r w:rsidR="00120231" w:rsidRPr="00FF7C31">
        <w:t xml:space="preserve"> in </w:t>
      </w:r>
      <w:r w:rsidR="002C7CDB" w:rsidRPr="00FF7C31">
        <w:t xml:space="preserve">the functional recovery options report </w:t>
      </w:r>
      <w:r w:rsidR="00120231" w:rsidRPr="00FF7C31">
        <w:t xml:space="preserve">FEMA P-2090 </w:t>
      </w:r>
      <w:sdt>
        <w:sdtPr>
          <w:id w:val="482203941"/>
          <w:citation/>
        </w:sdtPr>
        <w:sdtEndPr/>
        <w:sdtContent>
          <w:r w:rsidR="00120231" w:rsidRPr="00FF7C31">
            <w:fldChar w:fldCharType="begin"/>
          </w:r>
          <w:r w:rsidR="00120231" w:rsidRPr="00FF7C31">
            <w:rPr>
              <w:lang w:val="en-US"/>
            </w:rPr>
            <w:instrText xml:space="preserve"> CITATION FEM21 \l 1033 </w:instrText>
          </w:r>
          <w:r w:rsidR="00120231" w:rsidRPr="00FF7C31">
            <w:fldChar w:fldCharType="separate"/>
          </w:r>
          <w:r w:rsidR="00222D65">
            <w:rPr>
              <w:noProof/>
              <w:lang w:val="en-US"/>
            </w:rPr>
            <w:t>(FEMA, NIST, 2021)</w:t>
          </w:r>
          <w:r w:rsidR="00120231" w:rsidRPr="00FF7C31">
            <w:fldChar w:fldCharType="end"/>
          </w:r>
        </w:sdtContent>
      </w:sdt>
      <w:r w:rsidR="00120231" w:rsidRPr="00FF7C31">
        <w:t>.</w:t>
      </w:r>
      <w:r w:rsidR="00F24406" w:rsidRPr="00FF7C31">
        <w:t xml:space="preserve"> Refer to the </w:t>
      </w:r>
      <w:r w:rsidR="00FF3119" w:rsidRPr="00FF7C31">
        <w:t>G</w:t>
      </w:r>
      <w:r w:rsidR="00F24406" w:rsidRPr="00FF7C31">
        <w:t xml:space="preserve">lossary of </w:t>
      </w:r>
      <w:r w:rsidR="00FF3119" w:rsidRPr="00FF7C31">
        <w:t>T</w:t>
      </w:r>
      <w:r w:rsidR="00F24406" w:rsidRPr="00FF7C31">
        <w:t>erms</w:t>
      </w:r>
      <w:r w:rsidR="007B0DED" w:rsidRPr="00FF7C31">
        <w:t xml:space="preserve"> for definitions</w:t>
      </w:r>
      <w:r w:rsidR="00F24406" w:rsidRPr="00FF7C31">
        <w:t>.</w:t>
      </w:r>
    </w:p>
    <w:p w14:paraId="02C65259" w14:textId="3C009613" w:rsidR="00835562" w:rsidRPr="002765A1" w:rsidRDefault="0009611E" w:rsidP="0051042B">
      <w:pPr>
        <w:pStyle w:val="Section2Heading2"/>
      </w:pPr>
      <w:bookmarkStart w:id="142" w:name="_Toc147899141"/>
      <w:bookmarkStart w:id="143" w:name="_Ref180323396"/>
      <w:bookmarkStart w:id="144" w:name="_Ref180404912"/>
      <w:bookmarkStart w:id="145" w:name="_Toc203641950"/>
      <w:r w:rsidRPr="002765A1">
        <w:t>The</w:t>
      </w:r>
      <w:r w:rsidR="00835562" w:rsidRPr="002765A1">
        <w:t xml:space="preserve"> Seismic Performance Framework</w:t>
      </w:r>
      <w:bookmarkEnd w:id="142"/>
      <w:bookmarkEnd w:id="143"/>
      <w:bookmarkEnd w:id="144"/>
      <w:bookmarkEnd w:id="145"/>
    </w:p>
    <w:p w14:paraId="539F86A4" w14:textId="655E5AA5" w:rsidR="009B002A" w:rsidRPr="002765A1" w:rsidRDefault="004762F7" w:rsidP="00666E06">
      <w:r w:rsidRPr="002765A1">
        <w:t xml:space="preserve">The seismic performance framework provides a pathway starting at broad statements intended to outline what </w:t>
      </w:r>
      <w:r w:rsidR="009351A6" w:rsidRPr="002765A1">
        <w:t>healthcare</w:t>
      </w:r>
      <w:r w:rsidR="00A40EC5" w:rsidRPr="002765A1">
        <w:t xml:space="preserve"> staff and communities need from hospitals</w:t>
      </w:r>
      <w:r w:rsidR="009351A6" w:rsidRPr="002765A1">
        <w:t xml:space="preserve"> after a major earthquake</w:t>
      </w:r>
      <w:r w:rsidR="00C62A1E" w:rsidRPr="002765A1">
        <w:t xml:space="preserve">, </w:t>
      </w:r>
      <w:r w:rsidRPr="002765A1">
        <w:t xml:space="preserve">and ending with specific engineering design criteria </w:t>
      </w:r>
      <w:r w:rsidR="003406D1" w:rsidRPr="002765A1">
        <w:t>to enable</w:t>
      </w:r>
      <w:r w:rsidRPr="002765A1">
        <w:t xml:space="preserve"> design teams </w:t>
      </w:r>
      <w:r w:rsidR="003406D1" w:rsidRPr="002765A1">
        <w:t>to deliver facilities that meet these requirements</w:t>
      </w:r>
      <w:r w:rsidRPr="002765A1">
        <w:t>.</w:t>
      </w:r>
    </w:p>
    <w:p w14:paraId="4F9D4743" w14:textId="51DC07B9" w:rsidR="009B002A" w:rsidRPr="002765A1" w:rsidRDefault="003E648C" w:rsidP="00666E06">
      <w:r>
        <w:rPr>
          <w:noProof/>
        </w:rPr>
        <w:drawing>
          <wp:anchor distT="0" distB="0" distL="114300" distR="114300" simplePos="0" relativeHeight="251658248" behindDoc="0" locked="0" layoutInCell="1" allowOverlap="1" wp14:anchorId="3EB8EF55" wp14:editId="1D3BFA75">
            <wp:simplePos x="0" y="0"/>
            <wp:positionH relativeFrom="column">
              <wp:posOffset>1062990</wp:posOffset>
            </wp:positionH>
            <wp:positionV relativeFrom="paragraph">
              <wp:posOffset>292100</wp:posOffset>
            </wp:positionV>
            <wp:extent cx="3341370" cy="3627120"/>
            <wp:effectExtent l="0" t="0" r="11430" b="49530"/>
            <wp:wrapSquare wrapText="bothSides"/>
            <wp:docPr id="1665520536" name="Diagram 16655205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r w:rsidR="004762F7" w:rsidRPr="002765A1">
        <w:t>The framework components</w:t>
      </w:r>
      <w:r w:rsidR="006A0030" w:rsidRPr="002765A1">
        <w:t xml:space="preserve"> (and levels)</w:t>
      </w:r>
      <w:r w:rsidR="004762F7" w:rsidRPr="002765A1">
        <w:t xml:space="preserve"> </w:t>
      </w:r>
      <w:r w:rsidR="006A0030" w:rsidRPr="002765A1">
        <w:t>are</w:t>
      </w:r>
      <w:r w:rsidR="004762F7" w:rsidRPr="002765A1">
        <w:t xml:space="preserve"> indicated in</w:t>
      </w:r>
      <w:r w:rsidR="00DF0A4B" w:rsidRPr="002765A1">
        <w:t xml:space="preserve"> </w:t>
      </w:r>
      <w:r w:rsidR="00DF0A4B" w:rsidRPr="002765A1">
        <w:fldChar w:fldCharType="begin"/>
      </w:r>
      <w:r w:rsidR="00DF0A4B" w:rsidRPr="002765A1">
        <w:instrText xml:space="preserve"> REF _Ref166336293 \h </w:instrText>
      </w:r>
      <w:r w:rsidR="002765A1">
        <w:instrText xml:space="preserve"> \* MERGEFORMAT </w:instrText>
      </w:r>
      <w:r w:rsidR="00DF0A4B" w:rsidRPr="002765A1">
        <w:fldChar w:fldCharType="separate"/>
      </w:r>
      <w:r w:rsidR="00FA5DCC" w:rsidRPr="00FA5DCC">
        <w:t xml:space="preserve">Figure </w:t>
      </w:r>
      <w:r w:rsidR="00FA5DCC" w:rsidRPr="00FA5DCC">
        <w:rPr>
          <w:noProof/>
        </w:rPr>
        <w:t>4</w:t>
      </w:r>
      <w:r w:rsidR="00DF0A4B" w:rsidRPr="002765A1">
        <w:fldChar w:fldCharType="end"/>
      </w:r>
      <w:r w:rsidR="009B002A" w:rsidRPr="002765A1">
        <w:t>.</w:t>
      </w:r>
    </w:p>
    <w:p w14:paraId="6D14CDE7" w14:textId="27E2BA2A" w:rsidR="00DF0A4B" w:rsidRPr="00FA5DCC" w:rsidRDefault="008A648D" w:rsidP="00BD1621">
      <w:pPr>
        <w:pStyle w:val="Figure"/>
        <w:rPr>
          <w:sz w:val="20"/>
          <w:szCs w:val="20"/>
        </w:rPr>
      </w:pPr>
      <w:r>
        <w:br w:type="textWrapping" w:clear="all"/>
      </w:r>
      <w:bookmarkStart w:id="146" w:name="_Ref149660894"/>
      <w:bookmarkStart w:id="147" w:name="_Ref166336293"/>
      <w:r w:rsidR="004762F7" w:rsidRPr="00FA5DCC">
        <w:rPr>
          <w:sz w:val="20"/>
          <w:szCs w:val="20"/>
        </w:rPr>
        <w:t xml:space="preserve">Figure </w:t>
      </w:r>
      <w:r w:rsidR="004762F7" w:rsidRPr="00FA5DCC">
        <w:rPr>
          <w:sz w:val="20"/>
          <w:szCs w:val="20"/>
        </w:rPr>
        <w:fldChar w:fldCharType="begin"/>
      </w:r>
      <w:r w:rsidR="004762F7" w:rsidRPr="00FA5DCC">
        <w:rPr>
          <w:sz w:val="20"/>
          <w:szCs w:val="20"/>
        </w:rPr>
        <w:instrText>SEQ Figure \* ARABIC</w:instrText>
      </w:r>
      <w:r w:rsidR="004762F7" w:rsidRPr="00FA5DCC">
        <w:rPr>
          <w:sz w:val="20"/>
          <w:szCs w:val="20"/>
        </w:rPr>
        <w:fldChar w:fldCharType="separate"/>
      </w:r>
      <w:r w:rsidR="00FA5DCC" w:rsidRPr="00FA5DCC">
        <w:rPr>
          <w:noProof/>
          <w:sz w:val="20"/>
          <w:szCs w:val="20"/>
        </w:rPr>
        <w:t>4</w:t>
      </w:r>
      <w:r w:rsidR="004762F7" w:rsidRPr="00FA5DCC">
        <w:rPr>
          <w:sz w:val="20"/>
          <w:szCs w:val="20"/>
        </w:rPr>
        <w:fldChar w:fldCharType="end"/>
      </w:r>
      <w:bookmarkEnd w:id="146"/>
      <w:bookmarkEnd w:id="147"/>
      <w:r w:rsidR="004762F7" w:rsidRPr="00FA5DCC">
        <w:rPr>
          <w:sz w:val="20"/>
          <w:szCs w:val="20"/>
        </w:rPr>
        <w:t xml:space="preserve">: </w:t>
      </w:r>
      <w:r w:rsidR="00ED5A70" w:rsidRPr="00FA5DCC">
        <w:rPr>
          <w:sz w:val="20"/>
          <w:szCs w:val="20"/>
        </w:rPr>
        <w:t>Seismic Performance Framework Hierarchy</w:t>
      </w:r>
    </w:p>
    <w:p w14:paraId="58B51DF9" w14:textId="77777777" w:rsidR="008B4746" w:rsidRDefault="008B4746" w:rsidP="00D56CAE">
      <w:pPr>
        <w:pStyle w:val="BodyHeading"/>
        <w:rPr>
          <w:color w:val="0C818E"/>
        </w:rPr>
      </w:pPr>
    </w:p>
    <w:p w14:paraId="7355531C" w14:textId="339AE7A3" w:rsidR="00C12413" w:rsidRPr="00C67B0C" w:rsidRDefault="00C12413" w:rsidP="00D56CAE">
      <w:pPr>
        <w:pStyle w:val="BodyHeading"/>
        <w:rPr>
          <w:color w:val="0C818E"/>
          <w:sz w:val="24"/>
          <w:szCs w:val="24"/>
        </w:rPr>
      </w:pPr>
      <w:r w:rsidRPr="00C67B0C">
        <w:rPr>
          <w:color w:val="0C818E"/>
          <w:sz w:val="24"/>
          <w:szCs w:val="24"/>
        </w:rPr>
        <w:t>How designers use the framework</w:t>
      </w:r>
    </w:p>
    <w:p w14:paraId="7248D548" w14:textId="67EA2F86" w:rsidR="001D4A68" w:rsidRPr="00C67B0C" w:rsidRDefault="00C12413" w:rsidP="00666E06">
      <w:r w:rsidRPr="00C67B0C">
        <w:t xml:space="preserve">The higher levels of the framework are general and expressed in end-user terms (not design requirements). For designers, meeting the requirements of </w:t>
      </w:r>
      <w:r w:rsidR="001C2819" w:rsidRPr="00C67B0C">
        <w:t xml:space="preserve">this </w:t>
      </w:r>
      <w:r w:rsidR="004B6C44" w:rsidRPr="00C67B0C">
        <w:t>performance framework</w:t>
      </w:r>
      <w:r w:rsidR="001C2819" w:rsidRPr="00C67B0C">
        <w:t xml:space="preserve"> is measured by compliance with the engineering design criteria</w:t>
      </w:r>
      <w:r w:rsidR="004B6C44" w:rsidRPr="00C67B0C">
        <w:t xml:space="preserve"> in Part C, applied alongside the design limit states</w:t>
      </w:r>
      <w:r w:rsidR="00C63696" w:rsidRPr="00C67B0C">
        <w:t xml:space="preserve"> that are defined in Section </w:t>
      </w:r>
      <w:r w:rsidR="00C63696" w:rsidRPr="00C67B0C">
        <w:fldChar w:fldCharType="begin"/>
      </w:r>
      <w:r w:rsidR="00C63696" w:rsidRPr="00C67B0C">
        <w:instrText xml:space="preserve"> REF _Ref150756251 \r \h </w:instrText>
      </w:r>
      <w:r w:rsidR="00C67B0C" w:rsidRPr="00C67B0C">
        <w:instrText xml:space="preserve"> \* MERGEFORMAT </w:instrText>
      </w:r>
      <w:r w:rsidR="00C63696" w:rsidRPr="00C67B0C">
        <w:fldChar w:fldCharType="separate"/>
      </w:r>
      <w:r w:rsidR="000761C1">
        <w:t>B2.3.1</w:t>
      </w:r>
      <w:r w:rsidR="00C63696" w:rsidRPr="00C67B0C">
        <w:fldChar w:fldCharType="end"/>
      </w:r>
      <w:r w:rsidR="001C2819" w:rsidRPr="00C67B0C">
        <w:t>.</w:t>
      </w:r>
    </w:p>
    <w:p w14:paraId="2A15AC94" w14:textId="3AFDDEF8" w:rsidR="00E72903" w:rsidRDefault="00E72903" w:rsidP="004773D3">
      <w:pPr>
        <w:pStyle w:val="Figure"/>
        <w:rPr>
          <w:b w:val="0"/>
          <w:bCs/>
          <w:sz w:val="24"/>
          <w:szCs w:val="24"/>
        </w:rPr>
      </w:pPr>
      <w:r w:rsidRPr="00C67B0C">
        <w:rPr>
          <w:b w:val="0"/>
          <w:bCs/>
          <w:sz w:val="24"/>
          <w:szCs w:val="24"/>
        </w:rPr>
        <w:t xml:space="preserve">The purpose of </w:t>
      </w:r>
      <w:r w:rsidRPr="003241AE">
        <w:rPr>
          <w:b w:val="0"/>
          <w:sz w:val="24"/>
          <w:szCs w:val="24"/>
        </w:rPr>
        <w:fldChar w:fldCharType="begin"/>
      </w:r>
      <w:r w:rsidRPr="003241AE">
        <w:rPr>
          <w:b w:val="0"/>
          <w:sz w:val="24"/>
          <w:szCs w:val="24"/>
        </w:rPr>
        <w:instrText xml:space="preserve"> REF _Ref180306670 \h </w:instrText>
      </w:r>
      <w:r w:rsidR="004773D3" w:rsidRPr="003241AE">
        <w:rPr>
          <w:b w:val="0"/>
          <w:sz w:val="24"/>
          <w:szCs w:val="24"/>
        </w:rPr>
        <w:instrText xml:space="preserve"> \* MERGEFORMAT </w:instrText>
      </w:r>
      <w:r w:rsidRPr="003241AE">
        <w:rPr>
          <w:b w:val="0"/>
          <w:sz w:val="24"/>
          <w:szCs w:val="24"/>
        </w:rPr>
      </w:r>
      <w:r w:rsidRPr="003241AE">
        <w:rPr>
          <w:b w:val="0"/>
          <w:sz w:val="24"/>
          <w:szCs w:val="24"/>
        </w:rPr>
        <w:fldChar w:fldCharType="separate"/>
      </w:r>
      <w:r w:rsidR="000761C1" w:rsidRPr="003241AE">
        <w:rPr>
          <w:b w:val="0"/>
          <w:noProof/>
          <w:sz w:val="24"/>
          <w:szCs w:val="24"/>
        </w:rPr>
        <w:t>Table</w:t>
      </w:r>
      <w:r w:rsidR="000761C1" w:rsidRPr="003241AE">
        <w:rPr>
          <w:b w:val="0"/>
          <w:sz w:val="24"/>
          <w:szCs w:val="24"/>
        </w:rPr>
        <w:t xml:space="preserve"> </w:t>
      </w:r>
      <w:r w:rsidR="000761C1" w:rsidRPr="003241AE">
        <w:rPr>
          <w:b w:val="0"/>
          <w:noProof/>
          <w:sz w:val="24"/>
          <w:szCs w:val="24"/>
        </w:rPr>
        <w:t>3</w:t>
      </w:r>
      <w:r w:rsidRPr="003241AE">
        <w:rPr>
          <w:b w:val="0"/>
          <w:sz w:val="24"/>
          <w:szCs w:val="24"/>
        </w:rPr>
        <w:fldChar w:fldCharType="end"/>
      </w:r>
      <w:r w:rsidRPr="003241AE">
        <w:rPr>
          <w:b w:val="0"/>
          <w:sz w:val="24"/>
          <w:szCs w:val="24"/>
        </w:rPr>
        <w:t xml:space="preserve"> </w:t>
      </w:r>
      <w:r w:rsidRPr="00C67B0C">
        <w:rPr>
          <w:b w:val="0"/>
          <w:bCs/>
          <w:sz w:val="24"/>
          <w:szCs w:val="24"/>
        </w:rPr>
        <w:t xml:space="preserve">is to help designers understand </w:t>
      </w:r>
      <w:r w:rsidR="00903AB0" w:rsidRPr="00C67B0C">
        <w:rPr>
          <w:b w:val="0"/>
          <w:bCs/>
          <w:sz w:val="24"/>
          <w:szCs w:val="24"/>
        </w:rPr>
        <w:t>what parts of the seismic performance framework design compliance will be measured against</w:t>
      </w:r>
      <w:r w:rsidR="00AB0790" w:rsidRPr="00C67B0C">
        <w:rPr>
          <w:b w:val="0"/>
          <w:bCs/>
          <w:sz w:val="24"/>
          <w:szCs w:val="24"/>
        </w:rPr>
        <w:t>.</w:t>
      </w:r>
    </w:p>
    <w:p w14:paraId="564BF71F" w14:textId="10BC6599" w:rsidR="009420F6" w:rsidRPr="00DF106E" w:rsidRDefault="009420F6" w:rsidP="00BD1621">
      <w:pPr>
        <w:pStyle w:val="Figure"/>
        <w:rPr>
          <w:sz w:val="20"/>
          <w:szCs w:val="20"/>
        </w:rPr>
      </w:pPr>
      <w:bookmarkStart w:id="148" w:name="_Ref180306670"/>
      <w:r w:rsidRPr="00DF106E">
        <w:rPr>
          <w:sz w:val="20"/>
          <w:szCs w:val="20"/>
        </w:rPr>
        <w:t xml:space="preserve">Table </w:t>
      </w:r>
      <w:r w:rsidR="0062088B" w:rsidRPr="00DF106E">
        <w:rPr>
          <w:sz w:val="20"/>
          <w:szCs w:val="20"/>
        </w:rPr>
        <w:fldChar w:fldCharType="begin"/>
      </w:r>
      <w:r w:rsidR="0062088B" w:rsidRPr="00DF106E">
        <w:rPr>
          <w:sz w:val="20"/>
          <w:szCs w:val="20"/>
        </w:rPr>
        <w:instrText xml:space="preserve"> SEQ Table \* ARABIC </w:instrText>
      </w:r>
      <w:r w:rsidR="0062088B" w:rsidRPr="00DF106E">
        <w:rPr>
          <w:sz w:val="20"/>
          <w:szCs w:val="20"/>
        </w:rPr>
        <w:fldChar w:fldCharType="separate"/>
      </w:r>
      <w:r w:rsidR="000761C1">
        <w:rPr>
          <w:noProof/>
          <w:sz w:val="20"/>
          <w:szCs w:val="20"/>
        </w:rPr>
        <w:t>3</w:t>
      </w:r>
      <w:r w:rsidR="0062088B" w:rsidRPr="00DF106E">
        <w:rPr>
          <w:noProof/>
          <w:sz w:val="20"/>
          <w:szCs w:val="20"/>
        </w:rPr>
        <w:fldChar w:fldCharType="end"/>
      </w:r>
      <w:bookmarkEnd w:id="148"/>
      <w:r w:rsidRPr="00DF106E">
        <w:rPr>
          <w:sz w:val="20"/>
          <w:szCs w:val="20"/>
        </w:rPr>
        <w:t xml:space="preserve">: </w:t>
      </w:r>
      <w:r w:rsidR="00D8428E" w:rsidRPr="00DF106E">
        <w:rPr>
          <w:sz w:val="20"/>
          <w:szCs w:val="20"/>
        </w:rPr>
        <w:t>What structural and geotechnical engineers need to do</w:t>
      </w:r>
      <w:r w:rsidR="006E6FE6" w:rsidRPr="00DF106E">
        <w:rPr>
          <w:sz w:val="20"/>
          <w:szCs w:val="20"/>
        </w:rPr>
        <w:t>,</w:t>
      </w:r>
      <w:r w:rsidR="00D8428E" w:rsidRPr="00DF106E">
        <w:rPr>
          <w:sz w:val="20"/>
          <w:szCs w:val="20"/>
        </w:rPr>
        <w:t xml:space="preserve"> to comply with the </w:t>
      </w:r>
      <w:r w:rsidR="00CF60A2" w:rsidRPr="00DF106E">
        <w:rPr>
          <w:sz w:val="20"/>
          <w:szCs w:val="20"/>
        </w:rPr>
        <w:t xml:space="preserve">seismic </w:t>
      </w:r>
      <w:r w:rsidR="00D8428E" w:rsidRPr="00DF106E">
        <w:rPr>
          <w:sz w:val="20"/>
          <w:szCs w:val="20"/>
        </w:rPr>
        <w:t>performance framework</w:t>
      </w:r>
      <w:r w:rsidR="00BD5AA2" w:rsidRPr="00DF106E">
        <w:rPr>
          <w:sz w:val="20"/>
          <w:szCs w:val="20"/>
        </w:rPr>
        <w:t xml:space="preserve"> in this document</w:t>
      </w:r>
      <w:r w:rsidR="00D8428E" w:rsidRPr="00DF106E">
        <w:rPr>
          <w:sz w:val="20"/>
          <w:szCs w:val="20"/>
        </w:rPr>
        <w:t>.</w:t>
      </w:r>
    </w:p>
    <w:tbl>
      <w:tblPr>
        <w:tblStyle w:val="TeWhatuOra"/>
        <w:tblW w:w="9916"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CellMar>
          <w:top w:w="57" w:type="dxa"/>
          <w:left w:w="57" w:type="dxa"/>
          <w:bottom w:w="57" w:type="dxa"/>
          <w:right w:w="57" w:type="dxa"/>
        </w:tblCellMar>
        <w:tblLook w:val="0620" w:firstRow="1" w:lastRow="0" w:firstColumn="0" w:lastColumn="0" w:noHBand="1" w:noVBand="1"/>
      </w:tblPr>
      <w:tblGrid>
        <w:gridCol w:w="846"/>
        <w:gridCol w:w="1417"/>
        <w:gridCol w:w="708"/>
        <w:gridCol w:w="2708"/>
        <w:gridCol w:w="4237"/>
      </w:tblGrid>
      <w:tr w:rsidR="00246CFF" w:rsidRPr="00DF106E" w14:paraId="78998D36" w14:textId="77777777" w:rsidTr="00157302">
        <w:trPr>
          <w:cnfStyle w:val="100000000000" w:firstRow="1" w:lastRow="0" w:firstColumn="0" w:lastColumn="0" w:oddVBand="0" w:evenVBand="0" w:oddHBand="0" w:evenHBand="0" w:firstRowFirstColumn="0" w:firstRowLastColumn="0" w:lastRowFirstColumn="0" w:lastRowLastColumn="0"/>
          <w:cantSplit/>
          <w:tblHeader/>
        </w:trPr>
        <w:tc>
          <w:tcPr>
            <w:tcW w:w="2263" w:type="dxa"/>
            <w:gridSpan w:val="2"/>
            <w:tcBorders>
              <w:top w:val="single" w:sz="12" w:space="0" w:color="003399" w:themeColor="accent2"/>
              <w:left w:val="nil"/>
              <w:bottom w:val="single" w:sz="12" w:space="0" w:color="003399" w:themeColor="accent2"/>
              <w:right w:val="single" w:sz="8" w:space="0" w:color="BFBFBF"/>
            </w:tcBorders>
            <w:shd w:val="clear" w:color="auto" w:fill="F6F4EC"/>
          </w:tcPr>
          <w:p w14:paraId="5436C723" w14:textId="1AA33BF0" w:rsidR="00933204" w:rsidRPr="00DF106E" w:rsidRDefault="00933204" w:rsidP="00157302">
            <w:pPr>
              <w:pStyle w:val="Tableheading0"/>
              <w:spacing w:beforeAutospacing="0" w:afterAutospacing="0"/>
              <w:rPr>
                <w:b/>
                <w:bCs w:val="0"/>
                <w:sz w:val="20"/>
                <w:szCs w:val="20"/>
              </w:rPr>
            </w:pPr>
            <w:r w:rsidRPr="00DF106E">
              <w:rPr>
                <w:b/>
                <w:bCs w:val="0"/>
                <w:sz w:val="20"/>
                <w:szCs w:val="20"/>
              </w:rPr>
              <w:t>Framework Level</w:t>
            </w:r>
          </w:p>
        </w:tc>
        <w:tc>
          <w:tcPr>
            <w:tcW w:w="3416" w:type="dxa"/>
            <w:gridSpan w:val="2"/>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6822CF42" w14:textId="4909F3EE" w:rsidR="00933204" w:rsidRPr="00DF106E" w:rsidRDefault="00933204" w:rsidP="00157302">
            <w:pPr>
              <w:pStyle w:val="Tableheading0"/>
              <w:spacing w:beforeAutospacing="0" w:afterAutospacing="0"/>
              <w:rPr>
                <w:b/>
                <w:bCs w:val="0"/>
                <w:sz w:val="20"/>
                <w:szCs w:val="20"/>
              </w:rPr>
            </w:pPr>
            <w:r w:rsidRPr="00DF106E">
              <w:rPr>
                <w:b/>
                <w:bCs w:val="0"/>
                <w:sz w:val="20"/>
                <w:szCs w:val="20"/>
              </w:rPr>
              <w:t>What designers need to do to comply</w:t>
            </w:r>
          </w:p>
        </w:tc>
        <w:tc>
          <w:tcPr>
            <w:tcW w:w="4237" w:type="dxa"/>
            <w:tcBorders>
              <w:top w:val="single" w:sz="12" w:space="0" w:color="003399" w:themeColor="accent2"/>
              <w:left w:val="single" w:sz="8" w:space="0" w:color="BFBFBF"/>
              <w:bottom w:val="single" w:sz="12" w:space="0" w:color="003399" w:themeColor="accent2"/>
              <w:right w:val="nil"/>
            </w:tcBorders>
            <w:shd w:val="clear" w:color="auto" w:fill="F6F4EC"/>
          </w:tcPr>
          <w:p w14:paraId="1A760E31" w14:textId="7C6132C9" w:rsidR="00933204" w:rsidRPr="00DF106E" w:rsidRDefault="00933204" w:rsidP="00157302">
            <w:pPr>
              <w:pStyle w:val="Tableheading0"/>
              <w:spacing w:beforeAutospacing="0" w:afterAutospacing="0"/>
              <w:rPr>
                <w:b/>
                <w:bCs w:val="0"/>
                <w:sz w:val="20"/>
                <w:szCs w:val="20"/>
              </w:rPr>
            </w:pPr>
            <w:r w:rsidRPr="00DF106E">
              <w:rPr>
                <w:b/>
                <w:bCs w:val="0"/>
                <w:sz w:val="20"/>
                <w:szCs w:val="20"/>
              </w:rPr>
              <w:t>Comment</w:t>
            </w:r>
          </w:p>
        </w:tc>
      </w:tr>
      <w:tr w:rsidR="00AC70CD" w:rsidRPr="00DF106E" w14:paraId="092F5700" w14:textId="77777777" w:rsidTr="00157302">
        <w:trPr>
          <w:cantSplit/>
        </w:trPr>
        <w:tc>
          <w:tcPr>
            <w:tcW w:w="846" w:type="dxa"/>
            <w:tcBorders>
              <w:top w:val="single" w:sz="12" w:space="0" w:color="003399" w:themeColor="accent2"/>
              <w:left w:val="nil"/>
              <w:bottom w:val="single" w:sz="8" w:space="0" w:color="BFBFBF"/>
              <w:right w:val="single" w:sz="8" w:space="0" w:color="BFBFBF"/>
            </w:tcBorders>
            <w:shd w:val="clear" w:color="auto" w:fill="F6F4EC"/>
            <w:vAlign w:val="center"/>
          </w:tcPr>
          <w:p w14:paraId="4BFA131C" w14:textId="4F0A2D9E" w:rsidR="00933204" w:rsidRPr="00DF106E" w:rsidRDefault="00933204" w:rsidP="00157302">
            <w:pPr>
              <w:pStyle w:val="TableText"/>
              <w:spacing w:before="0" w:beforeAutospacing="0" w:afterAutospacing="0" w:line="240" w:lineRule="auto"/>
              <w:rPr>
                <w:sz w:val="20"/>
                <w:szCs w:val="20"/>
              </w:rPr>
            </w:pPr>
            <w:r w:rsidRPr="00DF106E">
              <w:rPr>
                <w:sz w:val="20"/>
                <w:szCs w:val="20"/>
              </w:rPr>
              <w:fldChar w:fldCharType="begin"/>
            </w:r>
            <w:r w:rsidRPr="00DF106E">
              <w:rPr>
                <w:sz w:val="20"/>
                <w:szCs w:val="20"/>
              </w:rPr>
              <w:instrText xml:space="preserve"> REF _Ref150413409 \r \h  \* MERGEFORMAT </w:instrText>
            </w:r>
            <w:r w:rsidRPr="00DF106E">
              <w:rPr>
                <w:sz w:val="20"/>
                <w:szCs w:val="20"/>
              </w:rPr>
            </w:r>
            <w:r w:rsidRPr="00DF106E">
              <w:rPr>
                <w:sz w:val="20"/>
                <w:szCs w:val="20"/>
              </w:rPr>
              <w:fldChar w:fldCharType="separate"/>
            </w:r>
            <w:r w:rsidR="000761C1">
              <w:rPr>
                <w:sz w:val="20"/>
                <w:szCs w:val="20"/>
              </w:rPr>
              <w:t>B2.2</w:t>
            </w:r>
            <w:r w:rsidRPr="00DF106E">
              <w:rPr>
                <w:sz w:val="20"/>
                <w:szCs w:val="20"/>
              </w:rPr>
              <w:fldChar w:fldCharType="end"/>
            </w:r>
          </w:p>
        </w:tc>
        <w:tc>
          <w:tcPr>
            <w:tcW w:w="1417" w:type="dxa"/>
            <w:tcBorders>
              <w:top w:val="single" w:sz="12" w:space="0" w:color="003399" w:themeColor="accent2"/>
              <w:left w:val="single" w:sz="8" w:space="0" w:color="BFBFBF"/>
              <w:bottom w:val="single" w:sz="8" w:space="0" w:color="BFBFBF"/>
              <w:right w:val="single" w:sz="4" w:space="0" w:color="F6F4EC" w:themeColor="background1"/>
            </w:tcBorders>
            <w:shd w:val="clear" w:color="auto" w:fill="F6F4EC"/>
            <w:vAlign w:val="center"/>
          </w:tcPr>
          <w:p w14:paraId="123F8C70" w14:textId="10D58348" w:rsidR="00933204" w:rsidRPr="00DF106E" w:rsidRDefault="00933204" w:rsidP="00157302">
            <w:pPr>
              <w:pStyle w:val="TableText"/>
              <w:spacing w:before="0" w:beforeAutospacing="0" w:afterAutospacing="0" w:line="240" w:lineRule="auto"/>
              <w:rPr>
                <w:sz w:val="20"/>
                <w:szCs w:val="20"/>
              </w:rPr>
            </w:pPr>
            <w:r w:rsidRPr="00DF106E">
              <w:rPr>
                <w:sz w:val="20"/>
                <w:szCs w:val="20"/>
              </w:rPr>
              <w:t>Outcome Objectives</w:t>
            </w:r>
          </w:p>
        </w:tc>
        <w:tc>
          <w:tcPr>
            <w:tcW w:w="708" w:type="dxa"/>
            <w:vMerge w:val="restart"/>
            <w:tcBorders>
              <w:top w:val="single" w:sz="12" w:space="0" w:color="003399" w:themeColor="accent2"/>
              <w:left w:val="single" w:sz="4" w:space="0" w:color="F6F4EC" w:themeColor="background1"/>
              <w:bottom w:val="single" w:sz="4" w:space="0" w:color="F6F4EC" w:themeColor="background1"/>
              <w:right w:val="single" w:sz="4" w:space="0" w:color="F6F4EC" w:themeColor="background1"/>
            </w:tcBorders>
            <w:shd w:val="clear" w:color="auto" w:fill="0C818E"/>
            <w:textDirection w:val="btLr"/>
            <w:vAlign w:val="center"/>
          </w:tcPr>
          <w:p w14:paraId="7609746A" w14:textId="2E563D8E" w:rsidR="00933204" w:rsidRPr="00DF106E" w:rsidRDefault="00933204" w:rsidP="00157302">
            <w:pPr>
              <w:pStyle w:val="TableText"/>
              <w:spacing w:before="0" w:beforeAutospacing="0" w:afterAutospacing="0" w:line="240" w:lineRule="auto"/>
              <w:jc w:val="center"/>
              <w:rPr>
                <w:sz w:val="20"/>
                <w:szCs w:val="20"/>
              </w:rPr>
            </w:pPr>
            <w:r w:rsidRPr="00DF106E">
              <w:rPr>
                <w:color w:val="F6F4EC" w:themeColor="background1"/>
                <w:sz w:val="20"/>
                <w:szCs w:val="20"/>
              </w:rPr>
              <w:t>Guidance</w:t>
            </w:r>
            <w:r w:rsidR="007A6494" w:rsidRPr="00DF106E">
              <w:rPr>
                <w:rStyle w:val="FootnoteReference"/>
                <w:b/>
                <w:bCs/>
                <w:color w:val="F6F4EC" w:themeColor="background1"/>
                <w:sz w:val="20"/>
                <w:szCs w:val="20"/>
              </w:rPr>
              <w:footnoteReference w:id="13"/>
            </w:r>
          </w:p>
        </w:tc>
        <w:tc>
          <w:tcPr>
            <w:tcW w:w="2708" w:type="dxa"/>
            <w:tcBorders>
              <w:top w:val="single" w:sz="12" w:space="0" w:color="003399" w:themeColor="accent2"/>
              <w:left w:val="single" w:sz="4" w:space="0" w:color="F6F4EC" w:themeColor="background1"/>
              <w:bottom w:val="single" w:sz="8" w:space="0" w:color="BFBFBF"/>
              <w:right w:val="single" w:sz="8" w:space="0" w:color="BFBFBF"/>
            </w:tcBorders>
            <w:vAlign w:val="center"/>
          </w:tcPr>
          <w:p w14:paraId="53BC072A" w14:textId="3DFEE0F9" w:rsidR="00933204" w:rsidRPr="00DF106E" w:rsidRDefault="00933204" w:rsidP="00157302">
            <w:pPr>
              <w:pStyle w:val="TableText"/>
              <w:spacing w:before="0" w:beforeAutospacing="0" w:afterAutospacing="0" w:line="240" w:lineRule="auto"/>
              <w:jc w:val="center"/>
              <w:rPr>
                <w:sz w:val="20"/>
                <w:szCs w:val="20"/>
              </w:rPr>
            </w:pPr>
            <w:r w:rsidRPr="00DF106E">
              <w:rPr>
                <w:sz w:val="20"/>
                <w:szCs w:val="20"/>
              </w:rPr>
              <w:t>-</w:t>
            </w:r>
          </w:p>
        </w:tc>
        <w:tc>
          <w:tcPr>
            <w:tcW w:w="4237" w:type="dxa"/>
            <w:tcBorders>
              <w:top w:val="single" w:sz="12" w:space="0" w:color="003399" w:themeColor="accent2"/>
              <w:left w:val="single" w:sz="8" w:space="0" w:color="BFBFBF"/>
              <w:bottom w:val="single" w:sz="8" w:space="0" w:color="BFBFBF"/>
              <w:right w:val="nil"/>
            </w:tcBorders>
          </w:tcPr>
          <w:p w14:paraId="245B360E" w14:textId="77777777" w:rsidR="00933204" w:rsidRPr="00DF106E" w:rsidRDefault="00933204" w:rsidP="00157302">
            <w:pPr>
              <w:pStyle w:val="TableText"/>
              <w:spacing w:before="0" w:beforeAutospacing="0" w:afterAutospacing="0" w:line="240" w:lineRule="auto"/>
              <w:rPr>
                <w:sz w:val="20"/>
                <w:szCs w:val="20"/>
              </w:rPr>
            </w:pPr>
            <w:r w:rsidRPr="00DF106E">
              <w:rPr>
                <w:sz w:val="20"/>
                <w:szCs w:val="20"/>
              </w:rPr>
              <w:t>Use for communication with stakeholders and clinical staff.</w:t>
            </w:r>
          </w:p>
          <w:p w14:paraId="6F6BC8F8" w14:textId="7D7EDE83" w:rsidR="00933204" w:rsidRPr="00DF106E" w:rsidRDefault="00933204" w:rsidP="00157302">
            <w:pPr>
              <w:pStyle w:val="TableText"/>
              <w:spacing w:before="0" w:beforeAutospacing="0" w:afterAutospacing="0" w:line="240" w:lineRule="auto"/>
              <w:rPr>
                <w:sz w:val="20"/>
                <w:szCs w:val="20"/>
              </w:rPr>
            </w:pPr>
            <w:r w:rsidRPr="00DF106E">
              <w:rPr>
                <w:sz w:val="20"/>
                <w:szCs w:val="20"/>
              </w:rPr>
              <w:t>Design compliance on a project basis is not measured against the outcome objectives.</w:t>
            </w:r>
          </w:p>
        </w:tc>
      </w:tr>
      <w:tr w:rsidR="005F3913" w:rsidRPr="00DF106E" w14:paraId="096E6DA8" w14:textId="77777777" w:rsidTr="00157302">
        <w:trPr>
          <w:cantSplit/>
        </w:trPr>
        <w:tc>
          <w:tcPr>
            <w:tcW w:w="846" w:type="dxa"/>
            <w:tcBorders>
              <w:top w:val="single" w:sz="8" w:space="0" w:color="BFBFBF"/>
              <w:left w:val="nil"/>
              <w:bottom w:val="single" w:sz="8" w:space="0" w:color="BFBFBF"/>
              <w:right w:val="single" w:sz="8" w:space="0" w:color="BFBFBF"/>
            </w:tcBorders>
            <w:shd w:val="clear" w:color="auto" w:fill="F6F4EC"/>
            <w:vAlign w:val="center"/>
          </w:tcPr>
          <w:p w14:paraId="0AD0E308" w14:textId="06D82125" w:rsidR="00933204" w:rsidRPr="00DF106E" w:rsidRDefault="00933204" w:rsidP="00157302">
            <w:pPr>
              <w:pStyle w:val="TableText"/>
              <w:spacing w:before="0" w:beforeAutospacing="0" w:afterAutospacing="0" w:line="240" w:lineRule="auto"/>
              <w:rPr>
                <w:sz w:val="20"/>
                <w:szCs w:val="20"/>
              </w:rPr>
            </w:pPr>
            <w:r w:rsidRPr="00DF106E">
              <w:rPr>
                <w:sz w:val="20"/>
                <w:szCs w:val="20"/>
              </w:rPr>
              <w:fldChar w:fldCharType="begin"/>
            </w:r>
            <w:r w:rsidRPr="00DF106E">
              <w:rPr>
                <w:sz w:val="20"/>
                <w:szCs w:val="20"/>
              </w:rPr>
              <w:instrText xml:space="preserve"> REF _Ref157204226 \r \h  \* MERGEFORMAT </w:instrText>
            </w:r>
            <w:r w:rsidRPr="00DF106E">
              <w:rPr>
                <w:sz w:val="20"/>
                <w:szCs w:val="20"/>
              </w:rPr>
            </w:r>
            <w:r w:rsidRPr="00DF106E">
              <w:rPr>
                <w:sz w:val="20"/>
                <w:szCs w:val="20"/>
              </w:rPr>
              <w:fldChar w:fldCharType="separate"/>
            </w:r>
            <w:r w:rsidR="000761C1">
              <w:rPr>
                <w:sz w:val="20"/>
                <w:szCs w:val="20"/>
              </w:rPr>
              <w:t>B2.3</w:t>
            </w:r>
            <w:r w:rsidRPr="00DF106E">
              <w:rPr>
                <w:sz w:val="20"/>
                <w:szCs w:val="20"/>
              </w:rPr>
              <w:fldChar w:fldCharType="end"/>
            </w:r>
          </w:p>
        </w:tc>
        <w:tc>
          <w:tcPr>
            <w:tcW w:w="1417" w:type="dxa"/>
            <w:tcBorders>
              <w:top w:val="single" w:sz="8" w:space="0" w:color="BFBFBF"/>
              <w:left w:val="single" w:sz="8" w:space="0" w:color="BFBFBF"/>
              <w:bottom w:val="single" w:sz="8" w:space="0" w:color="BFBFBF"/>
              <w:right w:val="single" w:sz="4" w:space="0" w:color="F6F4EC" w:themeColor="background1"/>
            </w:tcBorders>
            <w:shd w:val="clear" w:color="auto" w:fill="F6F4EC"/>
            <w:vAlign w:val="center"/>
          </w:tcPr>
          <w:p w14:paraId="3DB28D58" w14:textId="2A104EEC" w:rsidR="00933204" w:rsidRPr="00DF106E" w:rsidRDefault="00933204" w:rsidP="00157302">
            <w:pPr>
              <w:pStyle w:val="TableText"/>
              <w:spacing w:before="0" w:beforeAutospacing="0" w:afterAutospacing="0" w:line="240" w:lineRule="auto"/>
              <w:rPr>
                <w:sz w:val="20"/>
                <w:szCs w:val="20"/>
              </w:rPr>
            </w:pPr>
            <w:r w:rsidRPr="00DF106E">
              <w:rPr>
                <w:sz w:val="20"/>
                <w:szCs w:val="20"/>
              </w:rPr>
              <w:t>Performance Goals for Buildings</w:t>
            </w:r>
          </w:p>
        </w:tc>
        <w:tc>
          <w:tcPr>
            <w:tcW w:w="708" w:type="dxa"/>
            <w:vMerge/>
            <w:tcBorders>
              <w:top w:val="single" w:sz="4" w:space="0" w:color="F6F4EC" w:themeColor="background1"/>
              <w:left w:val="single" w:sz="4" w:space="0" w:color="F6F4EC" w:themeColor="background1"/>
              <w:bottom w:val="single" w:sz="4" w:space="0" w:color="F6F4EC" w:themeColor="background1"/>
              <w:right w:val="single" w:sz="4" w:space="0" w:color="F6F4EC" w:themeColor="background1"/>
            </w:tcBorders>
            <w:shd w:val="clear" w:color="auto" w:fill="0C818E"/>
            <w:textDirection w:val="btLr"/>
            <w:vAlign w:val="center"/>
          </w:tcPr>
          <w:p w14:paraId="3159F6EE" w14:textId="77777777" w:rsidR="00933204" w:rsidRPr="00DF106E" w:rsidRDefault="00933204" w:rsidP="00157302">
            <w:pPr>
              <w:pStyle w:val="TableText"/>
              <w:spacing w:before="0" w:beforeAutospacing="0" w:afterAutospacing="0" w:line="240" w:lineRule="auto"/>
              <w:jc w:val="center"/>
              <w:rPr>
                <w:sz w:val="20"/>
                <w:szCs w:val="20"/>
              </w:rPr>
            </w:pPr>
          </w:p>
        </w:tc>
        <w:tc>
          <w:tcPr>
            <w:tcW w:w="2708" w:type="dxa"/>
            <w:tcBorders>
              <w:top w:val="single" w:sz="8" w:space="0" w:color="BFBFBF"/>
              <w:left w:val="single" w:sz="4" w:space="0" w:color="F6F4EC" w:themeColor="background1"/>
              <w:bottom w:val="single" w:sz="8" w:space="0" w:color="BFBFBF"/>
              <w:right w:val="single" w:sz="8" w:space="0" w:color="BFBFBF"/>
            </w:tcBorders>
          </w:tcPr>
          <w:p w14:paraId="0AA25631" w14:textId="32E01164" w:rsidR="00933204" w:rsidRPr="00DF106E" w:rsidRDefault="00933204" w:rsidP="00157302">
            <w:pPr>
              <w:pStyle w:val="TableText"/>
              <w:spacing w:before="0" w:beforeAutospacing="0" w:afterAutospacing="0" w:line="240" w:lineRule="auto"/>
              <w:rPr>
                <w:sz w:val="20"/>
                <w:szCs w:val="20"/>
              </w:rPr>
            </w:pPr>
            <w:r w:rsidRPr="00DF106E">
              <w:rPr>
                <w:sz w:val="20"/>
                <w:szCs w:val="20"/>
              </w:rPr>
              <w:t xml:space="preserve">The engineering limit states are defined in this section (section </w:t>
            </w:r>
            <w:r w:rsidRPr="00DF106E">
              <w:rPr>
                <w:sz w:val="20"/>
                <w:szCs w:val="20"/>
              </w:rPr>
              <w:fldChar w:fldCharType="begin"/>
            </w:r>
            <w:r w:rsidRPr="00DF106E">
              <w:rPr>
                <w:sz w:val="20"/>
                <w:szCs w:val="20"/>
              </w:rPr>
              <w:instrText xml:space="preserve"> REF _Ref150756251 \r \h  \* MERGEFORMAT </w:instrText>
            </w:r>
            <w:r w:rsidRPr="00DF106E">
              <w:rPr>
                <w:sz w:val="20"/>
                <w:szCs w:val="20"/>
              </w:rPr>
            </w:r>
            <w:r w:rsidRPr="00DF106E">
              <w:rPr>
                <w:sz w:val="20"/>
                <w:szCs w:val="20"/>
              </w:rPr>
              <w:fldChar w:fldCharType="separate"/>
            </w:r>
            <w:r w:rsidR="000761C1">
              <w:rPr>
                <w:sz w:val="20"/>
                <w:szCs w:val="20"/>
              </w:rPr>
              <w:t>B2.3.1</w:t>
            </w:r>
            <w:r w:rsidRPr="00DF106E">
              <w:rPr>
                <w:sz w:val="20"/>
                <w:szCs w:val="20"/>
              </w:rPr>
              <w:fldChar w:fldCharType="end"/>
            </w:r>
            <w:r w:rsidRPr="00DF106E">
              <w:rPr>
                <w:sz w:val="20"/>
                <w:szCs w:val="20"/>
              </w:rPr>
              <w:t>), alongside the corresponding earthquake hazard levels for each limit state.</w:t>
            </w:r>
          </w:p>
        </w:tc>
        <w:tc>
          <w:tcPr>
            <w:tcW w:w="4237" w:type="dxa"/>
            <w:tcBorders>
              <w:top w:val="single" w:sz="8" w:space="0" w:color="BFBFBF"/>
              <w:left w:val="single" w:sz="8" w:space="0" w:color="BFBFBF"/>
              <w:bottom w:val="single" w:sz="8" w:space="0" w:color="BFBFBF"/>
              <w:right w:val="nil"/>
            </w:tcBorders>
          </w:tcPr>
          <w:p w14:paraId="50201AA2" w14:textId="44DFCDB5" w:rsidR="00933204" w:rsidRPr="00DF106E" w:rsidRDefault="00933204" w:rsidP="00157302">
            <w:pPr>
              <w:pStyle w:val="TableText"/>
              <w:spacing w:before="0" w:beforeAutospacing="0" w:afterAutospacing="0" w:line="240" w:lineRule="auto"/>
              <w:rPr>
                <w:sz w:val="20"/>
                <w:szCs w:val="20"/>
              </w:rPr>
            </w:pPr>
            <w:r w:rsidRPr="00DF106E">
              <w:rPr>
                <w:sz w:val="20"/>
                <w:szCs w:val="20"/>
              </w:rPr>
              <w:t>Design compliance is not generally measured against the performance goal descriptions.</w:t>
            </w:r>
          </w:p>
          <w:p w14:paraId="10D156B1" w14:textId="31A27BC7" w:rsidR="00933204" w:rsidRPr="00DF106E" w:rsidRDefault="00933204" w:rsidP="00157302">
            <w:pPr>
              <w:pStyle w:val="TableText"/>
              <w:spacing w:before="0" w:beforeAutospacing="0" w:afterAutospacing="0" w:line="240" w:lineRule="auto"/>
              <w:rPr>
                <w:sz w:val="20"/>
                <w:szCs w:val="20"/>
              </w:rPr>
            </w:pPr>
            <w:r w:rsidRPr="00DF106E">
              <w:rPr>
                <w:sz w:val="20"/>
                <w:szCs w:val="20"/>
              </w:rPr>
              <w:t>For the DCLS, target loss levels are indicated, but no loss assessment is not required. The requirements are deemed to be met if the detailed design criteria are followed</w:t>
            </w:r>
            <w:r w:rsidRPr="00DF106E">
              <w:rPr>
                <w:rStyle w:val="FootnoteReference"/>
                <w:sz w:val="20"/>
                <w:szCs w:val="20"/>
              </w:rPr>
              <w:footnoteReference w:id="14"/>
            </w:r>
            <w:r w:rsidRPr="00DF106E">
              <w:rPr>
                <w:sz w:val="20"/>
                <w:szCs w:val="20"/>
              </w:rPr>
              <w:t>.</w:t>
            </w:r>
          </w:p>
        </w:tc>
      </w:tr>
      <w:tr w:rsidR="005F3913" w:rsidRPr="00DF106E" w14:paraId="409F70C2" w14:textId="77777777" w:rsidTr="00157302">
        <w:trPr>
          <w:cantSplit/>
        </w:trPr>
        <w:tc>
          <w:tcPr>
            <w:tcW w:w="846" w:type="dxa"/>
            <w:tcBorders>
              <w:top w:val="single" w:sz="8" w:space="0" w:color="BFBFBF"/>
              <w:left w:val="nil"/>
              <w:bottom w:val="single" w:sz="8" w:space="0" w:color="BFBFBF"/>
              <w:right w:val="single" w:sz="8" w:space="0" w:color="BFBFBF"/>
            </w:tcBorders>
            <w:shd w:val="clear" w:color="auto" w:fill="F6F4EC"/>
            <w:vAlign w:val="center"/>
          </w:tcPr>
          <w:p w14:paraId="2F076B82" w14:textId="23AD9773" w:rsidR="00933204" w:rsidRPr="00DF106E" w:rsidRDefault="00933204" w:rsidP="00157302">
            <w:pPr>
              <w:pStyle w:val="TableText"/>
              <w:spacing w:before="0" w:beforeAutospacing="0" w:afterAutospacing="0" w:line="240" w:lineRule="auto"/>
              <w:rPr>
                <w:sz w:val="20"/>
                <w:szCs w:val="20"/>
              </w:rPr>
            </w:pPr>
            <w:r w:rsidRPr="00DF106E">
              <w:rPr>
                <w:sz w:val="20"/>
                <w:szCs w:val="20"/>
              </w:rPr>
              <w:fldChar w:fldCharType="begin"/>
            </w:r>
            <w:r w:rsidRPr="00DF106E">
              <w:rPr>
                <w:sz w:val="20"/>
                <w:szCs w:val="20"/>
              </w:rPr>
              <w:instrText xml:space="preserve"> REF _Ref150180900 \r \h  \* MERGEFORMAT </w:instrText>
            </w:r>
            <w:r w:rsidRPr="00DF106E">
              <w:rPr>
                <w:sz w:val="20"/>
                <w:szCs w:val="20"/>
              </w:rPr>
            </w:r>
            <w:r w:rsidRPr="00DF106E">
              <w:rPr>
                <w:sz w:val="20"/>
                <w:szCs w:val="20"/>
              </w:rPr>
              <w:fldChar w:fldCharType="separate"/>
            </w:r>
            <w:r w:rsidR="000761C1">
              <w:rPr>
                <w:sz w:val="20"/>
                <w:szCs w:val="20"/>
              </w:rPr>
              <w:t>B2.5</w:t>
            </w:r>
            <w:r w:rsidRPr="00DF106E">
              <w:rPr>
                <w:sz w:val="20"/>
                <w:szCs w:val="20"/>
              </w:rPr>
              <w:fldChar w:fldCharType="end"/>
            </w:r>
          </w:p>
        </w:tc>
        <w:tc>
          <w:tcPr>
            <w:tcW w:w="1417" w:type="dxa"/>
            <w:tcBorders>
              <w:top w:val="single" w:sz="8" w:space="0" w:color="BFBFBF"/>
              <w:left w:val="single" w:sz="8" w:space="0" w:color="BFBFBF"/>
              <w:bottom w:val="single" w:sz="8" w:space="0" w:color="BFBFBF"/>
              <w:right w:val="single" w:sz="4" w:space="0" w:color="F6F4EC" w:themeColor="background1"/>
            </w:tcBorders>
            <w:shd w:val="clear" w:color="auto" w:fill="F6F4EC"/>
            <w:vAlign w:val="center"/>
          </w:tcPr>
          <w:p w14:paraId="4AB42874" w14:textId="2795C8D9" w:rsidR="00933204" w:rsidRPr="00DF106E" w:rsidRDefault="00933204" w:rsidP="00157302">
            <w:pPr>
              <w:pStyle w:val="TableText"/>
              <w:spacing w:before="0" w:beforeAutospacing="0" w:afterAutospacing="0" w:line="240" w:lineRule="auto"/>
              <w:rPr>
                <w:sz w:val="20"/>
                <w:szCs w:val="20"/>
              </w:rPr>
            </w:pPr>
            <w:r w:rsidRPr="00DF106E">
              <w:rPr>
                <w:sz w:val="20"/>
                <w:szCs w:val="20"/>
              </w:rPr>
              <w:t>Descriptions of Physical States at DLCS and SLS2</w:t>
            </w:r>
          </w:p>
        </w:tc>
        <w:tc>
          <w:tcPr>
            <w:tcW w:w="708" w:type="dxa"/>
            <w:vMerge/>
            <w:tcBorders>
              <w:top w:val="single" w:sz="4" w:space="0" w:color="F6F4EC" w:themeColor="background1"/>
              <w:left w:val="single" w:sz="4" w:space="0" w:color="F6F4EC" w:themeColor="background1"/>
              <w:bottom w:val="single" w:sz="4" w:space="0" w:color="F6F4EC" w:themeColor="background1"/>
              <w:right w:val="single" w:sz="4" w:space="0" w:color="F6F4EC" w:themeColor="background1"/>
            </w:tcBorders>
            <w:shd w:val="clear" w:color="auto" w:fill="0C818E"/>
            <w:textDirection w:val="btLr"/>
            <w:vAlign w:val="center"/>
          </w:tcPr>
          <w:p w14:paraId="389BF04E" w14:textId="77777777" w:rsidR="00933204" w:rsidRPr="00DF106E" w:rsidRDefault="00933204" w:rsidP="00157302">
            <w:pPr>
              <w:pStyle w:val="TableText"/>
              <w:spacing w:before="0" w:beforeAutospacing="0" w:afterAutospacing="0" w:line="240" w:lineRule="auto"/>
              <w:jc w:val="center"/>
              <w:rPr>
                <w:sz w:val="20"/>
                <w:szCs w:val="20"/>
              </w:rPr>
            </w:pPr>
          </w:p>
        </w:tc>
        <w:tc>
          <w:tcPr>
            <w:tcW w:w="2708" w:type="dxa"/>
            <w:tcBorders>
              <w:top w:val="single" w:sz="8" w:space="0" w:color="BFBFBF"/>
              <w:left w:val="single" w:sz="4" w:space="0" w:color="F6F4EC" w:themeColor="background1"/>
              <w:bottom w:val="single" w:sz="8" w:space="0" w:color="BFBFBF"/>
              <w:right w:val="single" w:sz="8" w:space="0" w:color="BFBFBF"/>
            </w:tcBorders>
          </w:tcPr>
          <w:p w14:paraId="6F632B7A" w14:textId="195AD1FC" w:rsidR="00933204" w:rsidRPr="00DF106E" w:rsidRDefault="00933204" w:rsidP="00157302">
            <w:pPr>
              <w:pStyle w:val="TableText"/>
              <w:spacing w:before="0" w:beforeAutospacing="0" w:afterAutospacing="0" w:line="240" w:lineRule="auto"/>
              <w:rPr>
                <w:sz w:val="20"/>
                <w:szCs w:val="20"/>
              </w:rPr>
            </w:pPr>
            <w:r w:rsidRPr="00DF106E">
              <w:rPr>
                <w:sz w:val="20"/>
                <w:szCs w:val="20"/>
              </w:rPr>
              <w:t xml:space="preserve">Use the information to make </w:t>
            </w:r>
            <w:r w:rsidR="00BB11D0" w:rsidRPr="00DF106E">
              <w:rPr>
                <w:sz w:val="20"/>
                <w:szCs w:val="20"/>
              </w:rPr>
              <w:t xml:space="preserve">appropriate </w:t>
            </w:r>
            <w:r w:rsidRPr="00DF106E">
              <w:rPr>
                <w:sz w:val="20"/>
                <w:szCs w:val="20"/>
              </w:rPr>
              <w:t>professional judgements if detailed design criteria are not available.</w:t>
            </w:r>
          </w:p>
          <w:p w14:paraId="7C80B5E4" w14:textId="63088591" w:rsidR="00933204" w:rsidRPr="00DF106E" w:rsidRDefault="00933204" w:rsidP="00157302">
            <w:pPr>
              <w:pStyle w:val="TableText"/>
              <w:spacing w:before="0" w:beforeAutospacing="0" w:afterAutospacing="0" w:line="240" w:lineRule="auto"/>
              <w:rPr>
                <w:color w:val="FF0000"/>
                <w:sz w:val="20"/>
                <w:szCs w:val="20"/>
              </w:rPr>
            </w:pPr>
            <w:r w:rsidRPr="00DF106E">
              <w:rPr>
                <w:sz w:val="20"/>
                <w:szCs w:val="20"/>
              </w:rPr>
              <w:t>Consider reviewer inputs and keep Health NZ project teams appraised</w:t>
            </w:r>
            <w:r w:rsidR="00910338" w:rsidRPr="00DF106E">
              <w:rPr>
                <w:sz w:val="20"/>
                <w:szCs w:val="20"/>
              </w:rPr>
              <w:t xml:space="preserve"> of any decisions with potentially significant </w:t>
            </w:r>
            <w:r w:rsidR="00284212" w:rsidRPr="00DF106E">
              <w:rPr>
                <w:sz w:val="20"/>
                <w:szCs w:val="20"/>
              </w:rPr>
              <w:t>cost or performance impacts</w:t>
            </w:r>
            <w:r w:rsidRPr="00DF106E">
              <w:rPr>
                <w:sz w:val="20"/>
                <w:szCs w:val="20"/>
              </w:rPr>
              <w:t>.</w:t>
            </w:r>
          </w:p>
        </w:tc>
        <w:tc>
          <w:tcPr>
            <w:tcW w:w="4237" w:type="dxa"/>
            <w:tcBorders>
              <w:top w:val="single" w:sz="8" w:space="0" w:color="BFBFBF"/>
              <w:left w:val="single" w:sz="8" w:space="0" w:color="BFBFBF"/>
              <w:bottom w:val="single" w:sz="8" w:space="0" w:color="BFBFBF"/>
              <w:right w:val="nil"/>
            </w:tcBorders>
          </w:tcPr>
          <w:p w14:paraId="50C11C6B" w14:textId="1DF56877" w:rsidR="00933204" w:rsidRPr="00DF106E" w:rsidRDefault="00933204" w:rsidP="00157302">
            <w:pPr>
              <w:pStyle w:val="TableText"/>
              <w:spacing w:before="0" w:beforeAutospacing="0" w:afterAutospacing="0" w:line="240" w:lineRule="auto"/>
              <w:rPr>
                <w:sz w:val="20"/>
                <w:szCs w:val="20"/>
              </w:rPr>
            </w:pPr>
            <w:r w:rsidRPr="00DF106E">
              <w:rPr>
                <w:sz w:val="20"/>
                <w:szCs w:val="20"/>
              </w:rPr>
              <w:t>This information is guidance</w:t>
            </w:r>
            <w:r w:rsidR="00083064" w:rsidRPr="00DF106E">
              <w:rPr>
                <w:sz w:val="20"/>
                <w:szCs w:val="20"/>
              </w:rPr>
              <w:t>, provid</w:t>
            </w:r>
            <w:r w:rsidR="00912CC4" w:rsidRPr="00DF106E">
              <w:rPr>
                <w:sz w:val="20"/>
                <w:szCs w:val="20"/>
              </w:rPr>
              <w:t>ing</w:t>
            </w:r>
            <w:r w:rsidR="00083064" w:rsidRPr="00DF106E">
              <w:rPr>
                <w:sz w:val="20"/>
                <w:szCs w:val="20"/>
              </w:rPr>
              <w:t xml:space="preserve"> clear statements of intent</w:t>
            </w:r>
            <w:r w:rsidRPr="00DF106E">
              <w:rPr>
                <w:sz w:val="20"/>
                <w:szCs w:val="20"/>
              </w:rPr>
              <w:t>. Compliance is not strictly measured against this section.</w:t>
            </w:r>
          </w:p>
          <w:p w14:paraId="67F608BE" w14:textId="5E5CD4F5" w:rsidR="00346376" w:rsidRPr="00DF106E" w:rsidRDefault="00933204" w:rsidP="00157302">
            <w:pPr>
              <w:pStyle w:val="TableText"/>
              <w:spacing w:before="0" w:beforeAutospacing="0" w:afterAutospacing="0" w:line="240" w:lineRule="auto"/>
              <w:rPr>
                <w:sz w:val="20"/>
                <w:szCs w:val="20"/>
              </w:rPr>
            </w:pPr>
            <w:r w:rsidRPr="00DF106E">
              <w:rPr>
                <w:sz w:val="20"/>
                <w:szCs w:val="20"/>
              </w:rPr>
              <w:t>Where detailed design criteria related to the descriptions (implicit or explicit) aren’t available</w:t>
            </w:r>
            <w:r w:rsidR="00460DEE" w:rsidRPr="00DF106E">
              <w:rPr>
                <w:sz w:val="20"/>
                <w:szCs w:val="20"/>
              </w:rPr>
              <w:t xml:space="preserve"> in Part C</w:t>
            </w:r>
            <w:r w:rsidR="00581F6F" w:rsidRPr="00DF106E">
              <w:rPr>
                <w:sz w:val="20"/>
                <w:szCs w:val="20"/>
              </w:rPr>
              <w:t xml:space="preserve"> or its references</w:t>
            </w:r>
            <w:r w:rsidRPr="00DF106E">
              <w:rPr>
                <w:sz w:val="20"/>
                <w:szCs w:val="20"/>
              </w:rPr>
              <w:t xml:space="preserve">, then interpretation </w:t>
            </w:r>
            <w:r w:rsidR="00AF39C9" w:rsidRPr="00DF106E">
              <w:rPr>
                <w:sz w:val="20"/>
                <w:szCs w:val="20"/>
              </w:rPr>
              <w:t>should</w:t>
            </w:r>
            <w:r w:rsidRPr="00DF106E">
              <w:rPr>
                <w:sz w:val="20"/>
                <w:szCs w:val="20"/>
              </w:rPr>
              <w:t xml:space="preserve"> be </w:t>
            </w:r>
            <w:r w:rsidR="00E90FEF" w:rsidRPr="00DF106E">
              <w:rPr>
                <w:sz w:val="20"/>
                <w:szCs w:val="20"/>
              </w:rPr>
              <w:t>at</w:t>
            </w:r>
            <w:r w:rsidRPr="00DF106E">
              <w:rPr>
                <w:sz w:val="20"/>
                <w:szCs w:val="20"/>
              </w:rPr>
              <w:t xml:space="preserve"> the discretion of the designer</w:t>
            </w:r>
            <w:r w:rsidR="0098238B" w:rsidRPr="00DF106E">
              <w:rPr>
                <w:sz w:val="20"/>
                <w:szCs w:val="20"/>
              </w:rPr>
              <w:t>,</w:t>
            </w:r>
            <w:r w:rsidRPr="00DF106E">
              <w:rPr>
                <w:sz w:val="20"/>
                <w:szCs w:val="20"/>
              </w:rPr>
              <w:t xml:space="preserve"> considering any </w:t>
            </w:r>
            <w:r w:rsidR="00E90FEF" w:rsidRPr="00DF106E">
              <w:rPr>
                <w:sz w:val="20"/>
                <w:szCs w:val="20"/>
              </w:rPr>
              <w:t xml:space="preserve">inputs made by </w:t>
            </w:r>
            <w:r w:rsidRPr="00DF106E">
              <w:rPr>
                <w:sz w:val="20"/>
                <w:szCs w:val="20"/>
              </w:rPr>
              <w:t>reviewers</w:t>
            </w:r>
            <w:r w:rsidR="002F1790" w:rsidRPr="00DF106E">
              <w:rPr>
                <w:sz w:val="20"/>
                <w:szCs w:val="20"/>
              </w:rPr>
              <w:t>.</w:t>
            </w:r>
            <w:r w:rsidRPr="00DF106E">
              <w:rPr>
                <w:sz w:val="20"/>
                <w:szCs w:val="20"/>
              </w:rPr>
              <w:t xml:space="preserve"> </w:t>
            </w:r>
            <w:r w:rsidR="002F1790" w:rsidRPr="00DF106E">
              <w:rPr>
                <w:sz w:val="20"/>
                <w:szCs w:val="20"/>
              </w:rPr>
              <w:t>Decisions</w:t>
            </w:r>
            <w:r w:rsidRPr="00DF106E">
              <w:rPr>
                <w:sz w:val="20"/>
                <w:szCs w:val="20"/>
              </w:rPr>
              <w:t xml:space="preserve"> </w:t>
            </w:r>
            <w:r w:rsidR="002F1790" w:rsidRPr="00DF106E">
              <w:rPr>
                <w:sz w:val="20"/>
                <w:szCs w:val="20"/>
              </w:rPr>
              <w:t>should</w:t>
            </w:r>
            <w:r w:rsidRPr="00DF106E">
              <w:rPr>
                <w:sz w:val="20"/>
                <w:szCs w:val="20"/>
              </w:rPr>
              <w:t xml:space="preserve"> be recorded</w:t>
            </w:r>
            <w:r w:rsidR="008B03D8" w:rsidRPr="00DF106E">
              <w:rPr>
                <w:sz w:val="20"/>
                <w:szCs w:val="20"/>
              </w:rPr>
              <w:t xml:space="preserve"> </w:t>
            </w:r>
            <w:r w:rsidR="002F1790" w:rsidRPr="00DF106E">
              <w:rPr>
                <w:sz w:val="20"/>
                <w:szCs w:val="20"/>
              </w:rPr>
              <w:t xml:space="preserve">with </w:t>
            </w:r>
            <w:r w:rsidR="008B03D8" w:rsidRPr="00DF106E">
              <w:rPr>
                <w:sz w:val="20"/>
                <w:szCs w:val="20"/>
              </w:rPr>
              <w:t>a simple record of the reasoning</w:t>
            </w:r>
            <w:r w:rsidR="005D2171" w:rsidRPr="00DF106E">
              <w:rPr>
                <w:rStyle w:val="FootnoteReference"/>
                <w:sz w:val="20"/>
                <w:szCs w:val="20"/>
              </w:rPr>
              <w:footnoteReference w:id="15"/>
            </w:r>
            <w:r w:rsidR="00502748" w:rsidRPr="00DF106E">
              <w:rPr>
                <w:sz w:val="20"/>
                <w:szCs w:val="20"/>
              </w:rPr>
              <w:t>.</w:t>
            </w:r>
          </w:p>
          <w:p w14:paraId="70CEDE2B" w14:textId="0B9624E6" w:rsidR="00933204" w:rsidRPr="00DF106E" w:rsidRDefault="008416DB" w:rsidP="00157302">
            <w:pPr>
              <w:pStyle w:val="TableText"/>
              <w:spacing w:before="0" w:beforeAutospacing="0" w:afterAutospacing="0" w:line="240" w:lineRule="auto"/>
              <w:rPr>
                <w:color w:val="FF0000"/>
                <w:sz w:val="20"/>
                <w:szCs w:val="20"/>
              </w:rPr>
            </w:pPr>
            <w:r w:rsidRPr="00DF106E">
              <w:rPr>
                <w:sz w:val="20"/>
                <w:szCs w:val="20"/>
              </w:rPr>
              <w:t xml:space="preserve">Health NZ are in the best position to </w:t>
            </w:r>
            <w:r w:rsidR="000532B9" w:rsidRPr="00DF106E">
              <w:rPr>
                <w:sz w:val="20"/>
                <w:szCs w:val="20"/>
              </w:rPr>
              <w:t>help designers reach</w:t>
            </w:r>
            <w:r w:rsidRPr="00DF106E">
              <w:rPr>
                <w:sz w:val="20"/>
                <w:szCs w:val="20"/>
              </w:rPr>
              <w:t xml:space="preserve"> decisions</w:t>
            </w:r>
            <w:r w:rsidR="007368CC" w:rsidRPr="00DF106E">
              <w:rPr>
                <w:sz w:val="20"/>
                <w:szCs w:val="20"/>
              </w:rPr>
              <w:t xml:space="preserve"> where there are significant cost/clinical/performance impacts</w:t>
            </w:r>
            <w:r w:rsidR="000532B9" w:rsidRPr="00DF106E">
              <w:rPr>
                <w:sz w:val="20"/>
                <w:szCs w:val="20"/>
              </w:rPr>
              <w:t>.</w:t>
            </w:r>
          </w:p>
        </w:tc>
      </w:tr>
      <w:tr w:rsidR="005F3913" w:rsidRPr="00DF106E" w14:paraId="0A731047" w14:textId="77777777" w:rsidTr="00157302">
        <w:trPr>
          <w:cantSplit/>
        </w:trPr>
        <w:tc>
          <w:tcPr>
            <w:tcW w:w="846" w:type="dxa"/>
            <w:tcBorders>
              <w:top w:val="single" w:sz="8" w:space="0" w:color="BFBFBF"/>
              <w:left w:val="nil"/>
              <w:bottom w:val="single" w:sz="8" w:space="0" w:color="BFBFBF"/>
              <w:right w:val="single" w:sz="8" w:space="0" w:color="BFBFBF"/>
            </w:tcBorders>
            <w:shd w:val="clear" w:color="auto" w:fill="F6F4EC"/>
            <w:vAlign w:val="center"/>
          </w:tcPr>
          <w:p w14:paraId="41824270" w14:textId="3ECEC7E7" w:rsidR="006E567B" w:rsidRPr="00DF106E" w:rsidRDefault="006E567B" w:rsidP="00157302">
            <w:pPr>
              <w:pStyle w:val="TableText"/>
              <w:spacing w:before="0" w:beforeAutospacing="0" w:afterAutospacing="0" w:line="240" w:lineRule="auto"/>
              <w:rPr>
                <w:sz w:val="20"/>
                <w:szCs w:val="20"/>
              </w:rPr>
            </w:pPr>
            <w:r w:rsidRPr="00DF106E">
              <w:rPr>
                <w:sz w:val="20"/>
                <w:szCs w:val="20"/>
              </w:rPr>
              <w:fldChar w:fldCharType="begin"/>
            </w:r>
            <w:r w:rsidRPr="00DF106E">
              <w:rPr>
                <w:sz w:val="20"/>
                <w:szCs w:val="20"/>
              </w:rPr>
              <w:instrText xml:space="preserve"> REF _Ref152313887 \r \h  \* MERGEFORMAT </w:instrText>
            </w:r>
            <w:r w:rsidRPr="00DF106E">
              <w:rPr>
                <w:sz w:val="20"/>
                <w:szCs w:val="20"/>
              </w:rPr>
            </w:r>
            <w:r w:rsidRPr="00DF106E">
              <w:rPr>
                <w:sz w:val="20"/>
                <w:szCs w:val="20"/>
              </w:rPr>
              <w:fldChar w:fldCharType="separate"/>
            </w:r>
            <w:r w:rsidR="000761C1">
              <w:rPr>
                <w:sz w:val="20"/>
                <w:szCs w:val="20"/>
              </w:rPr>
              <w:t>B2.4</w:t>
            </w:r>
            <w:r w:rsidRPr="00DF106E">
              <w:rPr>
                <w:sz w:val="20"/>
                <w:szCs w:val="20"/>
              </w:rPr>
              <w:fldChar w:fldCharType="end"/>
            </w:r>
          </w:p>
        </w:tc>
        <w:tc>
          <w:tcPr>
            <w:tcW w:w="1417" w:type="dxa"/>
            <w:tcBorders>
              <w:top w:val="single" w:sz="8" w:space="0" w:color="BFBFBF"/>
              <w:left w:val="single" w:sz="8" w:space="0" w:color="BFBFBF"/>
              <w:bottom w:val="single" w:sz="8" w:space="0" w:color="BFBFBF"/>
              <w:right w:val="single" w:sz="4" w:space="0" w:color="F6F4EC" w:themeColor="background1"/>
            </w:tcBorders>
            <w:shd w:val="clear" w:color="auto" w:fill="F6F4EC"/>
            <w:vAlign w:val="center"/>
          </w:tcPr>
          <w:p w14:paraId="3D3BA991" w14:textId="27541F4F" w:rsidR="006E567B" w:rsidRPr="00DF106E" w:rsidRDefault="006E567B" w:rsidP="00157302">
            <w:pPr>
              <w:pStyle w:val="TableText"/>
              <w:spacing w:before="0" w:beforeAutospacing="0" w:afterAutospacing="0" w:line="240" w:lineRule="auto"/>
              <w:rPr>
                <w:sz w:val="20"/>
                <w:szCs w:val="20"/>
              </w:rPr>
            </w:pPr>
            <w:r w:rsidRPr="00DF106E">
              <w:rPr>
                <w:sz w:val="20"/>
                <w:szCs w:val="20"/>
              </w:rPr>
              <w:t>Robustness requirements at ULS</w:t>
            </w:r>
          </w:p>
        </w:tc>
        <w:tc>
          <w:tcPr>
            <w:tcW w:w="708" w:type="dxa"/>
            <w:vMerge w:val="restart"/>
            <w:tcBorders>
              <w:top w:val="single" w:sz="4" w:space="0" w:color="F6F4EC" w:themeColor="background1"/>
              <w:left w:val="single" w:sz="4" w:space="0" w:color="F6F4EC" w:themeColor="background1"/>
              <w:bottom w:val="single" w:sz="4" w:space="0" w:color="F6F4EC" w:themeColor="background1"/>
              <w:right w:val="single" w:sz="4" w:space="0" w:color="F6F4EC" w:themeColor="background1"/>
            </w:tcBorders>
            <w:shd w:val="clear" w:color="auto" w:fill="003399"/>
            <w:textDirection w:val="btLr"/>
            <w:vAlign w:val="center"/>
          </w:tcPr>
          <w:p w14:paraId="18EA3157" w14:textId="099D329C" w:rsidR="006E567B" w:rsidRPr="00DF106E" w:rsidRDefault="006E567B" w:rsidP="00157302">
            <w:pPr>
              <w:pStyle w:val="TableText"/>
              <w:spacing w:before="0" w:beforeAutospacing="0" w:afterAutospacing="0" w:line="240" w:lineRule="auto"/>
              <w:jc w:val="center"/>
              <w:rPr>
                <w:sz w:val="20"/>
                <w:szCs w:val="20"/>
              </w:rPr>
            </w:pPr>
            <w:r w:rsidRPr="00DF106E">
              <w:rPr>
                <w:sz w:val="20"/>
                <w:szCs w:val="20"/>
              </w:rPr>
              <w:t>Compl</w:t>
            </w:r>
            <w:r w:rsidRPr="00DF106E">
              <w:rPr>
                <w:sz w:val="20"/>
                <w:szCs w:val="20"/>
                <w:shd w:val="clear" w:color="auto" w:fill="003399"/>
              </w:rPr>
              <w:t>y</w:t>
            </w:r>
          </w:p>
        </w:tc>
        <w:tc>
          <w:tcPr>
            <w:tcW w:w="2708" w:type="dxa"/>
            <w:tcBorders>
              <w:top w:val="single" w:sz="8" w:space="0" w:color="BFBFBF"/>
              <w:left w:val="single" w:sz="4" w:space="0" w:color="F6F4EC" w:themeColor="background1"/>
              <w:bottom w:val="single" w:sz="8" w:space="0" w:color="BFBFBF"/>
              <w:right w:val="single" w:sz="8" w:space="0" w:color="BFBFBF"/>
            </w:tcBorders>
          </w:tcPr>
          <w:p w14:paraId="34E4E237" w14:textId="0D6FE67E" w:rsidR="006E567B" w:rsidRPr="00DF106E" w:rsidRDefault="006E567B" w:rsidP="00157302">
            <w:pPr>
              <w:pStyle w:val="TableText"/>
              <w:spacing w:before="0" w:beforeAutospacing="0" w:afterAutospacing="0" w:line="240" w:lineRule="auto"/>
              <w:rPr>
                <w:sz w:val="20"/>
                <w:szCs w:val="20"/>
              </w:rPr>
            </w:pPr>
            <w:r w:rsidRPr="00DF106E">
              <w:rPr>
                <w:sz w:val="20"/>
                <w:szCs w:val="20"/>
              </w:rPr>
              <w:t>Designers should comply with the referenced criteria/design guidance.</w:t>
            </w:r>
          </w:p>
        </w:tc>
        <w:tc>
          <w:tcPr>
            <w:tcW w:w="4237" w:type="dxa"/>
            <w:vMerge w:val="restart"/>
            <w:tcBorders>
              <w:top w:val="single" w:sz="8" w:space="0" w:color="BFBFBF"/>
              <w:left w:val="single" w:sz="8" w:space="0" w:color="BFBFBF"/>
              <w:right w:val="nil"/>
            </w:tcBorders>
          </w:tcPr>
          <w:p w14:paraId="4BC716D8" w14:textId="771E37C0" w:rsidR="006E567B" w:rsidRPr="00DF106E" w:rsidRDefault="006E567B" w:rsidP="00157302">
            <w:pPr>
              <w:pStyle w:val="TableText"/>
              <w:spacing w:before="0" w:beforeAutospacing="0" w:afterAutospacing="0" w:line="240" w:lineRule="auto"/>
              <w:rPr>
                <w:sz w:val="20"/>
                <w:szCs w:val="20"/>
              </w:rPr>
            </w:pPr>
            <w:r w:rsidRPr="00DF106E">
              <w:rPr>
                <w:sz w:val="20"/>
                <w:szCs w:val="20"/>
              </w:rPr>
              <w:t xml:space="preserve">Designers can submit for a departure (Section </w:t>
            </w:r>
            <w:r w:rsidRPr="00DF106E">
              <w:rPr>
                <w:sz w:val="20"/>
                <w:szCs w:val="20"/>
              </w:rPr>
              <w:fldChar w:fldCharType="begin"/>
            </w:r>
            <w:r w:rsidRPr="00DF106E">
              <w:rPr>
                <w:sz w:val="20"/>
                <w:szCs w:val="20"/>
              </w:rPr>
              <w:instrText xml:space="preserve"> REF _Ref180313876 \r \h  \* MERGEFORMAT </w:instrText>
            </w:r>
            <w:r w:rsidRPr="00DF106E">
              <w:rPr>
                <w:sz w:val="20"/>
                <w:szCs w:val="20"/>
              </w:rPr>
            </w:r>
            <w:r w:rsidRPr="00DF106E">
              <w:rPr>
                <w:sz w:val="20"/>
                <w:szCs w:val="20"/>
              </w:rPr>
              <w:fldChar w:fldCharType="separate"/>
            </w:r>
            <w:r w:rsidR="000761C1">
              <w:rPr>
                <w:sz w:val="20"/>
                <w:szCs w:val="20"/>
              </w:rPr>
              <w:t>A1.6.2</w:t>
            </w:r>
            <w:r w:rsidRPr="00DF106E">
              <w:rPr>
                <w:sz w:val="20"/>
                <w:szCs w:val="20"/>
              </w:rPr>
              <w:fldChar w:fldCharType="end"/>
            </w:r>
            <w:r w:rsidRPr="00DF106E">
              <w:rPr>
                <w:sz w:val="20"/>
                <w:szCs w:val="20"/>
              </w:rPr>
              <w:t>), if it is considered that the design criteria are inadequate or unnecessary and the outcome objectives (as clarified by the performance goals and physical state descriptions) can still be met by a different approach.</w:t>
            </w:r>
          </w:p>
        </w:tc>
      </w:tr>
      <w:tr w:rsidR="005F3913" w:rsidRPr="00DF106E" w14:paraId="40BB33A8" w14:textId="77777777" w:rsidTr="00157302">
        <w:trPr>
          <w:cantSplit/>
        </w:trPr>
        <w:tc>
          <w:tcPr>
            <w:tcW w:w="846" w:type="dxa"/>
            <w:tcBorders>
              <w:top w:val="single" w:sz="8" w:space="0" w:color="BFBFBF"/>
              <w:left w:val="nil"/>
              <w:bottom w:val="nil"/>
              <w:right w:val="single" w:sz="8" w:space="0" w:color="BFBFBF"/>
            </w:tcBorders>
            <w:shd w:val="clear" w:color="auto" w:fill="F6F4EC"/>
            <w:vAlign w:val="center"/>
          </w:tcPr>
          <w:p w14:paraId="11624684" w14:textId="3BF5786A" w:rsidR="006E567B" w:rsidRPr="00DF106E" w:rsidRDefault="006E567B" w:rsidP="00157302">
            <w:pPr>
              <w:pStyle w:val="TableText"/>
              <w:spacing w:before="0" w:beforeAutospacing="0" w:afterAutospacing="0" w:line="240" w:lineRule="auto"/>
              <w:rPr>
                <w:sz w:val="20"/>
                <w:szCs w:val="20"/>
              </w:rPr>
            </w:pPr>
            <w:r w:rsidRPr="00DF106E">
              <w:rPr>
                <w:sz w:val="20"/>
                <w:szCs w:val="20"/>
              </w:rPr>
              <w:t>Part C</w:t>
            </w:r>
          </w:p>
        </w:tc>
        <w:tc>
          <w:tcPr>
            <w:tcW w:w="1417" w:type="dxa"/>
            <w:tcBorders>
              <w:top w:val="single" w:sz="8" w:space="0" w:color="BFBFBF"/>
              <w:left w:val="single" w:sz="8" w:space="0" w:color="BFBFBF"/>
              <w:bottom w:val="nil"/>
              <w:right w:val="single" w:sz="4" w:space="0" w:color="F6F4EC" w:themeColor="background1"/>
            </w:tcBorders>
            <w:shd w:val="clear" w:color="auto" w:fill="F6F4EC"/>
            <w:vAlign w:val="center"/>
          </w:tcPr>
          <w:p w14:paraId="2725C920" w14:textId="321CF9F2" w:rsidR="006E567B" w:rsidRPr="00DF106E" w:rsidRDefault="006E567B" w:rsidP="00157302">
            <w:pPr>
              <w:pStyle w:val="TableText"/>
              <w:spacing w:before="0" w:beforeAutospacing="0" w:afterAutospacing="0" w:line="240" w:lineRule="auto"/>
              <w:rPr>
                <w:sz w:val="20"/>
                <w:szCs w:val="20"/>
              </w:rPr>
            </w:pPr>
            <w:r w:rsidRPr="00DF106E">
              <w:rPr>
                <w:sz w:val="20"/>
                <w:szCs w:val="20"/>
              </w:rPr>
              <w:t>Detailed Design Criteria</w:t>
            </w:r>
          </w:p>
        </w:tc>
        <w:tc>
          <w:tcPr>
            <w:tcW w:w="708" w:type="dxa"/>
            <w:vMerge/>
            <w:tcBorders>
              <w:top w:val="single" w:sz="4" w:space="0" w:color="F6F4EC" w:themeColor="background1"/>
              <w:left w:val="single" w:sz="4" w:space="0" w:color="F6F4EC" w:themeColor="background1"/>
              <w:bottom w:val="nil"/>
              <w:right w:val="single" w:sz="4" w:space="0" w:color="F6F4EC" w:themeColor="background1"/>
            </w:tcBorders>
            <w:shd w:val="clear" w:color="auto" w:fill="003399"/>
          </w:tcPr>
          <w:p w14:paraId="11CADF31" w14:textId="77777777" w:rsidR="006E567B" w:rsidRPr="00DF106E" w:rsidRDefault="006E567B" w:rsidP="00157302">
            <w:pPr>
              <w:pStyle w:val="TableText"/>
              <w:spacing w:before="0" w:beforeAutospacing="0" w:afterAutospacing="0" w:line="240" w:lineRule="auto"/>
              <w:rPr>
                <w:sz w:val="20"/>
                <w:szCs w:val="20"/>
              </w:rPr>
            </w:pPr>
          </w:p>
        </w:tc>
        <w:tc>
          <w:tcPr>
            <w:tcW w:w="2708" w:type="dxa"/>
            <w:tcBorders>
              <w:top w:val="single" w:sz="8" w:space="0" w:color="BFBFBF"/>
              <w:left w:val="single" w:sz="4" w:space="0" w:color="F6F4EC" w:themeColor="background1"/>
              <w:bottom w:val="nil"/>
              <w:right w:val="single" w:sz="8" w:space="0" w:color="BFBFBF"/>
            </w:tcBorders>
          </w:tcPr>
          <w:p w14:paraId="0237EDC7" w14:textId="797DBE38" w:rsidR="006E567B" w:rsidRPr="00DF106E" w:rsidRDefault="006E567B" w:rsidP="00157302">
            <w:pPr>
              <w:pStyle w:val="TableText"/>
              <w:spacing w:before="0" w:beforeAutospacing="0" w:afterAutospacing="0" w:line="240" w:lineRule="auto"/>
              <w:rPr>
                <w:sz w:val="20"/>
                <w:szCs w:val="20"/>
              </w:rPr>
            </w:pPr>
            <w:r w:rsidRPr="00DF106E">
              <w:rPr>
                <w:sz w:val="20"/>
                <w:szCs w:val="20"/>
              </w:rPr>
              <w:t>Designers should comply with the detailed design criteria</w:t>
            </w:r>
            <w:r w:rsidR="00174D5C" w:rsidRPr="00DF106E">
              <w:rPr>
                <w:sz w:val="20"/>
                <w:szCs w:val="20"/>
              </w:rPr>
              <w:t>/</w:t>
            </w:r>
            <w:r w:rsidR="00AA4108" w:rsidRPr="00DF106E">
              <w:rPr>
                <w:sz w:val="20"/>
                <w:szCs w:val="20"/>
              </w:rPr>
              <w:t>reference</w:t>
            </w:r>
            <w:r w:rsidR="00174D5C" w:rsidRPr="00DF106E">
              <w:rPr>
                <w:sz w:val="20"/>
                <w:szCs w:val="20"/>
              </w:rPr>
              <w:t>s</w:t>
            </w:r>
            <w:r w:rsidRPr="00DF106E">
              <w:rPr>
                <w:sz w:val="20"/>
                <w:szCs w:val="20"/>
              </w:rPr>
              <w:t>, at the corresponding limit states.</w:t>
            </w:r>
          </w:p>
        </w:tc>
        <w:tc>
          <w:tcPr>
            <w:tcW w:w="4237" w:type="dxa"/>
            <w:vMerge/>
            <w:tcBorders>
              <w:left w:val="single" w:sz="8" w:space="0" w:color="BFBFBF"/>
              <w:bottom w:val="nil"/>
              <w:right w:val="nil"/>
            </w:tcBorders>
            <w:vAlign w:val="center"/>
          </w:tcPr>
          <w:p w14:paraId="36A9AB22" w14:textId="29D623E3" w:rsidR="006E567B" w:rsidRPr="00DF106E" w:rsidRDefault="006E567B" w:rsidP="00157302">
            <w:pPr>
              <w:pStyle w:val="TableText"/>
              <w:spacing w:before="0" w:beforeAutospacing="0" w:afterAutospacing="0" w:line="240" w:lineRule="auto"/>
              <w:rPr>
                <w:sz w:val="20"/>
                <w:szCs w:val="20"/>
              </w:rPr>
            </w:pPr>
          </w:p>
        </w:tc>
      </w:tr>
    </w:tbl>
    <w:p w14:paraId="2DAEBB23" w14:textId="6C27F6C1" w:rsidR="00835562" w:rsidRPr="00DD2F5E" w:rsidRDefault="00835562" w:rsidP="00814BE6">
      <w:pPr>
        <w:pStyle w:val="Section2Heading2"/>
      </w:pPr>
      <w:bookmarkStart w:id="149" w:name="_Toc147899142"/>
      <w:bookmarkStart w:id="150" w:name="_Ref150413409"/>
      <w:bookmarkStart w:id="151" w:name="_Toc203641951"/>
      <w:r w:rsidRPr="00DD2F5E">
        <w:lastRenderedPageBreak/>
        <w:t>Outcome Objectives</w:t>
      </w:r>
      <w:bookmarkEnd w:id="149"/>
      <w:r w:rsidR="0026594F" w:rsidRPr="00DD2F5E">
        <w:t xml:space="preserve"> for Seismic Performance</w:t>
      </w:r>
      <w:bookmarkEnd w:id="150"/>
      <w:bookmarkEnd w:id="151"/>
    </w:p>
    <w:p w14:paraId="25C8586A" w14:textId="32F1A3FB" w:rsidR="00015253" w:rsidRPr="00DD1C0A" w:rsidRDefault="00015253" w:rsidP="00D56CAE">
      <w:pPr>
        <w:pStyle w:val="BodyHeading"/>
        <w:rPr>
          <w:color w:val="0C818E"/>
        </w:rPr>
      </w:pPr>
      <w:r w:rsidRPr="00DD1C0A">
        <w:rPr>
          <w:color w:val="0C818E"/>
        </w:rPr>
        <w:t xml:space="preserve">What </w:t>
      </w:r>
      <w:r w:rsidR="00C06BF9" w:rsidRPr="00DD1C0A">
        <w:rPr>
          <w:color w:val="0C818E"/>
        </w:rPr>
        <w:t>is a</w:t>
      </w:r>
      <w:r w:rsidRPr="00DD1C0A">
        <w:rPr>
          <w:color w:val="0C818E"/>
        </w:rPr>
        <w:t xml:space="preserve"> success</w:t>
      </w:r>
      <w:r w:rsidR="00C06BF9" w:rsidRPr="00DD1C0A">
        <w:rPr>
          <w:color w:val="0C818E"/>
        </w:rPr>
        <w:t>ful</w:t>
      </w:r>
      <w:r w:rsidRPr="00DD1C0A">
        <w:rPr>
          <w:color w:val="0C818E"/>
        </w:rPr>
        <w:t xml:space="preserve"> </w:t>
      </w:r>
      <w:r w:rsidR="00C06BF9" w:rsidRPr="00DD1C0A">
        <w:rPr>
          <w:color w:val="0C818E"/>
        </w:rPr>
        <w:t xml:space="preserve">outcome following </w:t>
      </w:r>
      <w:r w:rsidR="009D618C" w:rsidRPr="00DD1C0A">
        <w:rPr>
          <w:color w:val="0C818E"/>
        </w:rPr>
        <w:t>earthquake?</w:t>
      </w:r>
    </w:p>
    <w:p w14:paraId="04FBE406" w14:textId="4EC87C15" w:rsidR="00BC0685" w:rsidRPr="00DD2F5E" w:rsidRDefault="009A5489" w:rsidP="00666E06">
      <w:r w:rsidRPr="00DD2F5E">
        <w:t>Outcome objectives describe the problem definition and success criteria</w:t>
      </w:r>
      <w:r w:rsidR="00A30274" w:rsidRPr="00DD2F5E">
        <w:t xml:space="preserve">. </w:t>
      </w:r>
      <w:r w:rsidR="00BC0685" w:rsidRPr="00DD2F5E">
        <w:t xml:space="preserve">Outcome objectives </w:t>
      </w:r>
      <w:r w:rsidR="00A30274" w:rsidRPr="00DD2F5E">
        <w:t>are</w:t>
      </w:r>
      <w:r w:rsidR="00BC0685" w:rsidRPr="00DD2F5E">
        <w:t xml:space="preserve"> user-focussed</w:t>
      </w:r>
      <w:r w:rsidR="002F3714" w:rsidRPr="00DD2F5E">
        <w:t xml:space="preserve">. They </w:t>
      </w:r>
      <w:r w:rsidR="00A30274" w:rsidRPr="00DD2F5E">
        <w:t xml:space="preserve">should be </w:t>
      </w:r>
      <w:r w:rsidR="00B21585" w:rsidRPr="00DD2F5E">
        <w:t xml:space="preserve">presented from the point of view of </w:t>
      </w:r>
      <w:r w:rsidR="00537203" w:rsidRPr="00DD2F5E">
        <w:t>those that use the facilit</w:t>
      </w:r>
      <w:r w:rsidR="002F3714" w:rsidRPr="00DD2F5E">
        <w:t>ies</w:t>
      </w:r>
      <w:r w:rsidR="00537203" w:rsidRPr="00DD2F5E">
        <w:t xml:space="preserve">—clinicians, support staff and </w:t>
      </w:r>
      <w:r w:rsidR="006F488B" w:rsidRPr="00DD2F5E">
        <w:t>health service users</w:t>
      </w:r>
      <w:r w:rsidR="00A059A6" w:rsidRPr="00DD2F5E">
        <w:t>. T</w:t>
      </w:r>
      <w:r w:rsidR="002F3714" w:rsidRPr="00DD2F5E">
        <w:t>hey don’t use engineering language</w:t>
      </w:r>
      <w:r w:rsidR="00BC0685" w:rsidRPr="00DD2F5E">
        <w:t>.</w:t>
      </w:r>
    </w:p>
    <w:p w14:paraId="2ED5D7A8" w14:textId="13EDA74A" w:rsidR="000633E8" w:rsidRPr="0072158E" w:rsidRDefault="00CC5859" w:rsidP="0072158E">
      <w:pPr>
        <w:pStyle w:val="Figure"/>
        <w:rPr>
          <w:b w:val="0"/>
          <w:bCs/>
          <w:noProof/>
          <w:sz w:val="24"/>
          <w:szCs w:val="24"/>
        </w:rPr>
      </w:pPr>
      <w:r w:rsidRPr="0072158E">
        <w:rPr>
          <w:b w:val="0"/>
          <w:bCs/>
          <w:sz w:val="24"/>
          <w:szCs w:val="24"/>
        </w:rPr>
        <w:t>The</w:t>
      </w:r>
      <w:r w:rsidR="00F523CA" w:rsidRPr="0072158E">
        <w:rPr>
          <w:b w:val="0"/>
          <w:bCs/>
          <w:sz w:val="24"/>
          <w:szCs w:val="24"/>
        </w:rPr>
        <w:t xml:space="preserve"> basic </w:t>
      </w:r>
      <w:r w:rsidR="00F523CA" w:rsidRPr="0072158E">
        <w:rPr>
          <w:sz w:val="24"/>
          <w:szCs w:val="24"/>
        </w:rPr>
        <w:t>life safety</w:t>
      </w:r>
      <w:r w:rsidR="00F523CA" w:rsidRPr="0072158E">
        <w:rPr>
          <w:b w:val="0"/>
          <w:bCs/>
          <w:sz w:val="24"/>
          <w:szCs w:val="24"/>
        </w:rPr>
        <w:t xml:space="preserve"> objective </w:t>
      </w:r>
      <w:r w:rsidRPr="0072158E">
        <w:rPr>
          <w:b w:val="0"/>
          <w:bCs/>
          <w:sz w:val="24"/>
          <w:szCs w:val="24"/>
        </w:rPr>
        <w:t xml:space="preserve">during </w:t>
      </w:r>
      <w:r w:rsidR="00FF691D" w:rsidRPr="0072158E">
        <w:rPr>
          <w:b w:val="0"/>
          <w:bCs/>
          <w:sz w:val="24"/>
          <w:szCs w:val="24"/>
        </w:rPr>
        <w:t>the</w:t>
      </w:r>
      <w:r w:rsidRPr="0072158E">
        <w:rPr>
          <w:b w:val="0"/>
          <w:bCs/>
          <w:sz w:val="24"/>
          <w:szCs w:val="24"/>
        </w:rPr>
        <w:t xml:space="preserve"> </w:t>
      </w:r>
      <w:r w:rsidR="00FF691D" w:rsidRPr="0072158E">
        <w:rPr>
          <w:b w:val="0"/>
          <w:bCs/>
          <w:sz w:val="24"/>
          <w:szCs w:val="24"/>
        </w:rPr>
        <w:t>earthquake</w:t>
      </w:r>
      <w:r w:rsidRPr="0072158E">
        <w:rPr>
          <w:b w:val="0"/>
          <w:bCs/>
          <w:sz w:val="24"/>
          <w:szCs w:val="24"/>
        </w:rPr>
        <w:t xml:space="preserve"> </w:t>
      </w:r>
      <w:r w:rsidR="00FF691D" w:rsidRPr="0072158E">
        <w:rPr>
          <w:b w:val="0"/>
          <w:bCs/>
          <w:sz w:val="24"/>
          <w:szCs w:val="24"/>
        </w:rPr>
        <w:t xml:space="preserve">event </w:t>
      </w:r>
      <w:r w:rsidRPr="0072158E">
        <w:rPr>
          <w:b w:val="0"/>
          <w:bCs/>
          <w:sz w:val="24"/>
          <w:szCs w:val="24"/>
        </w:rPr>
        <w:t>itself</w:t>
      </w:r>
      <w:r w:rsidR="00193D64" w:rsidRPr="0072158E">
        <w:rPr>
          <w:b w:val="0"/>
          <w:bCs/>
          <w:sz w:val="24"/>
          <w:szCs w:val="24"/>
        </w:rPr>
        <w:t xml:space="preserve"> </w:t>
      </w:r>
      <w:r w:rsidR="0074278E" w:rsidRPr="0072158E">
        <w:rPr>
          <w:b w:val="0"/>
          <w:bCs/>
          <w:sz w:val="24"/>
          <w:szCs w:val="24"/>
        </w:rPr>
        <w:t>would be</w:t>
      </w:r>
      <w:r w:rsidR="00193D64" w:rsidRPr="0072158E">
        <w:rPr>
          <w:b w:val="0"/>
          <w:bCs/>
          <w:sz w:val="24"/>
          <w:szCs w:val="24"/>
        </w:rPr>
        <w:t xml:space="preserve"> </w:t>
      </w:r>
      <w:r w:rsidR="0074278E" w:rsidRPr="0072158E">
        <w:rPr>
          <w:b w:val="0"/>
          <w:bCs/>
          <w:sz w:val="24"/>
          <w:szCs w:val="24"/>
        </w:rPr>
        <w:t xml:space="preserve">considered by most as a </w:t>
      </w:r>
      <w:r w:rsidR="00193D64" w:rsidRPr="0072158E">
        <w:rPr>
          <w:b w:val="0"/>
          <w:bCs/>
          <w:sz w:val="24"/>
          <w:szCs w:val="24"/>
        </w:rPr>
        <w:t xml:space="preserve">non-negotiable </w:t>
      </w:r>
      <w:r w:rsidR="0074278E" w:rsidRPr="0072158E">
        <w:rPr>
          <w:b w:val="0"/>
          <w:bCs/>
          <w:sz w:val="24"/>
          <w:szCs w:val="24"/>
        </w:rPr>
        <w:t xml:space="preserve">basic </w:t>
      </w:r>
      <w:r w:rsidR="00193D64" w:rsidRPr="0072158E">
        <w:rPr>
          <w:b w:val="0"/>
          <w:bCs/>
          <w:sz w:val="24"/>
          <w:szCs w:val="24"/>
        </w:rPr>
        <w:t>objective</w:t>
      </w:r>
      <w:r w:rsidR="009C4D4A" w:rsidRPr="0072158E">
        <w:rPr>
          <w:b w:val="0"/>
          <w:bCs/>
          <w:sz w:val="24"/>
          <w:szCs w:val="24"/>
        </w:rPr>
        <w:t>—</w:t>
      </w:r>
      <w:r w:rsidR="003E3AF8" w:rsidRPr="0072158E">
        <w:rPr>
          <w:b w:val="0"/>
          <w:bCs/>
          <w:sz w:val="24"/>
          <w:szCs w:val="24"/>
        </w:rPr>
        <w:t>even in severe (</w:t>
      </w:r>
      <w:r w:rsidR="008B571C" w:rsidRPr="0072158E">
        <w:rPr>
          <w:b w:val="0"/>
          <w:bCs/>
          <w:sz w:val="24"/>
          <w:szCs w:val="24"/>
        </w:rPr>
        <w:t xml:space="preserve">very </w:t>
      </w:r>
      <w:r w:rsidR="003E3AF8" w:rsidRPr="0072158E">
        <w:rPr>
          <w:b w:val="0"/>
          <w:bCs/>
          <w:sz w:val="24"/>
          <w:szCs w:val="24"/>
        </w:rPr>
        <w:t>rare) earthquakes</w:t>
      </w:r>
      <w:r w:rsidR="00193D64" w:rsidRPr="0072158E">
        <w:rPr>
          <w:b w:val="0"/>
          <w:bCs/>
          <w:sz w:val="24"/>
          <w:szCs w:val="24"/>
        </w:rPr>
        <w:t>. However, it</w:t>
      </w:r>
      <w:r w:rsidRPr="0072158E">
        <w:rPr>
          <w:b w:val="0"/>
          <w:bCs/>
          <w:sz w:val="24"/>
          <w:szCs w:val="24"/>
        </w:rPr>
        <w:t xml:space="preserve"> is </w:t>
      </w:r>
      <w:r w:rsidR="5AA0FF00" w:rsidRPr="0072158E">
        <w:rPr>
          <w:b w:val="0"/>
          <w:bCs/>
          <w:sz w:val="24"/>
          <w:szCs w:val="24"/>
        </w:rPr>
        <w:t>accepted</w:t>
      </w:r>
      <w:r w:rsidRPr="0072158E">
        <w:rPr>
          <w:b w:val="0"/>
          <w:bCs/>
          <w:sz w:val="24"/>
          <w:szCs w:val="24"/>
        </w:rPr>
        <w:t xml:space="preserve"> </w:t>
      </w:r>
      <w:r w:rsidR="00F523CA" w:rsidRPr="0072158E">
        <w:rPr>
          <w:b w:val="0"/>
          <w:bCs/>
          <w:sz w:val="24"/>
          <w:szCs w:val="24"/>
        </w:rPr>
        <w:t xml:space="preserve">as </w:t>
      </w:r>
      <w:r w:rsidR="5AA0FF00" w:rsidRPr="0072158E">
        <w:rPr>
          <w:b w:val="0"/>
          <w:bCs/>
          <w:sz w:val="24"/>
          <w:szCs w:val="24"/>
        </w:rPr>
        <w:t xml:space="preserve">achieved through proper </w:t>
      </w:r>
      <w:r w:rsidR="00C5592D" w:rsidRPr="0072158E">
        <w:rPr>
          <w:b w:val="0"/>
          <w:bCs/>
          <w:sz w:val="24"/>
          <w:szCs w:val="24"/>
        </w:rPr>
        <w:t xml:space="preserve">application of ordinary </w:t>
      </w:r>
      <w:r w:rsidR="5AA0FF00" w:rsidRPr="0072158E">
        <w:rPr>
          <w:b w:val="0"/>
          <w:bCs/>
          <w:sz w:val="24"/>
          <w:szCs w:val="24"/>
        </w:rPr>
        <w:t>design provisions</w:t>
      </w:r>
      <w:r w:rsidR="00714649" w:rsidRPr="0072158E">
        <w:rPr>
          <w:b w:val="0"/>
          <w:bCs/>
          <w:sz w:val="24"/>
          <w:szCs w:val="24"/>
        </w:rPr>
        <w:t xml:space="preserve"> and principles of robust design</w:t>
      </w:r>
      <w:r w:rsidRPr="0072158E">
        <w:rPr>
          <w:b w:val="0"/>
          <w:bCs/>
          <w:sz w:val="24"/>
          <w:szCs w:val="24"/>
        </w:rPr>
        <w:t xml:space="preserve">. </w:t>
      </w:r>
      <w:r w:rsidR="00CD5C97" w:rsidRPr="0072158E">
        <w:rPr>
          <w:b w:val="0"/>
          <w:bCs/>
          <w:sz w:val="24"/>
          <w:szCs w:val="24"/>
        </w:rPr>
        <w:t>T</w:t>
      </w:r>
      <w:r w:rsidRPr="0072158E">
        <w:rPr>
          <w:b w:val="0"/>
          <w:bCs/>
          <w:sz w:val="24"/>
          <w:szCs w:val="24"/>
        </w:rPr>
        <w:t>herefore</w:t>
      </w:r>
      <w:r w:rsidR="00CD5C97" w:rsidRPr="0072158E">
        <w:rPr>
          <w:b w:val="0"/>
          <w:bCs/>
          <w:sz w:val="24"/>
          <w:szCs w:val="24"/>
        </w:rPr>
        <w:t>,</w:t>
      </w:r>
      <w:r w:rsidR="00F523CA" w:rsidRPr="0072158E">
        <w:rPr>
          <w:b w:val="0"/>
          <w:bCs/>
          <w:sz w:val="24"/>
          <w:szCs w:val="24"/>
        </w:rPr>
        <w:t xml:space="preserve"> o</w:t>
      </w:r>
      <w:r w:rsidR="00EB18C6" w:rsidRPr="0072158E">
        <w:rPr>
          <w:b w:val="0"/>
          <w:bCs/>
          <w:sz w:val="24"/>
          <w:szCs w:val="24"/>
        </w:rPr>
        <w:t xml:space="preserve">utcome objectives for </w:t>
      </w:r>
      <w:r w:rsidR="00BA0D0A" w:rsidRPr="0072158E">
        <w:rPr>
          <w:b w:val="0"/>
          <w:bCs/>
          <w:sz w:val="24"/>
          <w:szCs w:val="24"/>
        </w:rPr>
        <w:t xml:space="preserve">most </w:t>
      </w:r>
      <w:r w:rsidR="00EB18C6" w:rsidRPr="0072158E">
        <w:rPr>
          <w:b w:val="0"/>
          <w:bCs/>
          <w:sz w:val="24"/>
          <w:szCs w:val="24"/>
        </w:rPr>
        <w:t>hospital buildings</w:t>
      </w:r>
      <w:r w:rsidRPr="0072158E">
        <w:rPr>
          <w:b w:val="0"/>
          <w:bCs/>
          <w:sz w:val="24"/>
          <w:szCs w:val="24"/>
        </w:rPr>
        <w:t xml:space="preserve"> are </w:t>
      </w:r>
      <w:r w:rsidR="005F6FF7" w:rsidRPr="0072158E">
        <w:rPr>
          <w:b w:val="0"/>
          <w:bCs/>
          <w:sz w:val="24"/>
          <w:szCs w:val="24"/>
        </w:rPr>
        <w:t xml:space="preserve">primarily </w:t>
      </w:r>
      <w:r w:rsidRPr="0072158E">
        <w:rPr>
          <w:b w:val="0"/>
          <w:bCs/>
          <w:sz w:val="24"/>
          <w:szCs w:val="24"/>
        </w:rPr>
        <w:t xml:space="preserve">focused on </w:t>
      </w:r>
      <w:r w:rsidR="000633E8" w:rsidRPr="0072158E">
        <w:rPr>
          <w:sz w:val="24"/>
          <w:szCs w:val="24"/>
        </w:rPr>
        <w:t>functional continuity of service</w:t>
      </w:r>
      <w:r w:rsidR="00E32617" w:rsidRPr="0072158E">
        <w:rPr>
          <w:b w:val="0"/>
          <w:bCs/>
          <w:sz w:val="24"/>
          <w:szCs w:val="24"/>
        </w:rPr>
        <w:t>—</w:t>
      </w:r>
      <w:r w:rsidR="00BA0D0A" w:rsidRPr="0072158E">
        <w:rPr>
          <w:b w:val="0"/>
          <w:bCs/>
          <w:sz w:val="24"/>
          <w:szCs w:val="24"/>
        </w:rPr>
        <w:t>especially</w:t>
      </w:r>
      <w:r w:rsidR="007C72EF" w:rsidRPr="0072158E">
        <w:rPr>
          <w:b w:val="0"/>
          <w:bCs/>
          <w:sz w:val="24"/>
          <w:szCs w:val="24"/>
        </w:rPr>
        <w:t xml:space="preserve"> those containing </w:t>
      </w:r>
      <w:r w:rsidR="00A1186B" w:rsidRPr="0072158E">
        <w:rPr>
          <w:b w:val="0"/>
          <w:bCs/>
          <w:sz w:val="24"/>
          <w:szCs w:val="24"/>
        </w:rPr>
        <w:t xml:space="preserve">important </w:t>
      </w:r>
      <w:r w:rsidR="007C72EF" w:rsidRPr="0072158E">
        <w:rPr>
          <w:b w:val="0"/>
          <w:bCs/>
          <w:sz w:val="24"/>
          <w:szCs w:val="24"/>
        </w:rPr>
        <w:t xml:space="preserve">services which </w:t>
      </w:r>
      <w:r w:rsidR="00B90818" w:rsidRPr="0072158E">
        <w:rPr>
          <w:b w:val="0"/>
          <w:bCs/>
          <w:sz w:val="24"/>
          <w:szCs w:val="24"/>
        </w:rPr>
        <w:t xml:space="preserve">classify </w:t>
      </w:r>
      <w:r w:rsidR="007C72EF" w:rsidRPr="0072158E">
        <w:rPr>
          <w:b w:val="0"/>
          <w:bCs/>
          <w:sz w:val="24"/>
          <w:szCs w:val="24"/>
        </w:rPr>
        <w:t>them as Importance Levels 3 or 4</w:t>
      </w:r>
      <w:r w:rsidR="00B90818" w:rsidRPr="0072158E">
        <w:rPr>
          <w:b w:val="0"/>
          <w:bCs/>
          <w:sz w:val="24"/>
          <w:szCs w:val="24"/>
        </w:rPr>
        <w:t xml:space="preserve"> (</w:t>
      </w:r>
      <w:r w:rsidR="000E6EEB" w:rsidRPr="0072158E">
        <w:rPr>
          <w:b w:val="0"/>
          <w:bCs/>
          <w:sz w:val="24"/>
          <w:szCs w:val="24"/>
        </w:rPr>
        <w:t xml:space="preserve">with </w:t>
      </w:r>
      <w:r w:rsidR="00B90818" w:rsidRPr="0072158E">
        <w:rPr>
          <w:b w:val="0"/>
          <w:bCs/>
          <w:sz w:val="24"/>
          <w:szCs w:val="24"/>
        </w:rPr>
        <w:t>refer</w:t>
      </w:r>
      <w:r w:rsidR="000E6EEB" w:rsidRPr="0072158E">
        <w:rPr>
          <w:b w:val="0"/>
          <w:bCs/>
          <w:sz w:val="24"/>
          <w:szCs w:val="24"/>
        </w:rPr>
        <w:t>ence</w:t>
      </w:r>
      <w:r w:rsidR="00B90818" w:rsidRPr="0072158E">
        <w:rPr>
          <w:b w:val="0"/>
          <w:bCs/>
          <w:sz w:val="24"/>
          <w:szCs w:val="24"/>
        </w:rPr>
        <w:t xml:space="preserve"> to </w:t>
      </w:r>
      <w:r w:rsidR="00B90818" w:rsidRPr="003241AE">
        <w:rPr>
          <w:b w:val="0"/>
          <w:bCs/>
          <w:sz w:val="24"/>
          <w:szCs w:val="24"/>
        </w:rPr>
        <w:fldChar w:fldCharType="begin"/>
      </w:r>
      <w:r w:rsidR="00B90818" w:rsidRPr="003241AE">
        <w:rPr>
          <w:b w:val="0"/>
          <w:bCs/>
          <w:sz w:val="24"/>
          <w:szCs w:val="24"/>
        </w:rPr>
        <w:instrText xml:space="preserve"> REF _Ref150076187 \h </w:instrText>
      </w:r>
      <w:r w:rsidR="00DD2F5E" w:rsidRPr="003241AE">
        <w:rPr>
          <w:b w:val="0"/>
          <w:bCs/>
          <w:sz w:val="24"/>
          <w:szCs w:val="24"/>
        </w:rPr>
        <w:instrText xml:space="preserve"> \* MERGEFORMAT </w:instrText>
      </w:r>
      <w:r w:rsidR="00B90818" w:rsidRPr="003241AE">
        <w:rPr>
          <w:b w:val="0"/>
          <w:bCs/>
          <w:sz w:val="24"/>
          <w:szCs w:val="24"/>
        </w:rPr>
      </w:r>
      <w:r w:rsidR="00B90818" w:rsidRPr="003241AE">
        <w:rPr>
          <w:b w:val="0"/>
          <w:bCs/>
          <w:sz w:val="24"/>
          <w:szCs w:val="24"/>
        </w:rPr>
        <w:fldChar w:fldCharType="separate"/>
      </w:r>
      <w:r w:rsidR="000761C1" w:rsidRPr="003241AE">
        <w:rPr>
          <w:b w:val="0"/>
          <w:bCs/>
          <w:noProof/>
          <w:sz w:val="24"/>
          <w:szCs w:val="24"/>
        </w:rPr>
        <w:t>Table 2</w:t>
      </w:r>
      <w:r w:rsidR="00B90818" w:rsidRPr="003241AE">
        <w:rPr>
          <w:b w:val="0"/>
          <w:bCs/>
          <w:sz w:val="24"/>
          <w:szCs w:val="24"/>
        </w:rPr>
        <w:fldChar w:fldCharType="end"/>
      </w:r>
      <w:r w:rsidR="000E6EEB" w:rsidRPr="00055FAE">
        <w:rPr>
          <w:b w:val="0"/>
          <w:bCs/>
          <w:sz w:val="24"/>
          <w:szCs w:val="24"/>
        </w:rPr>
        <w:t xml:space="preserve"> </w:t>
      </w:r>
      <w:r w:rsidR="000E6EEB" w:rsidRPr="0072158E">
        <w:rPr>
          <w:b w:val="0"/>
          <w:bCs/>
          <w:sz w:val="24"/>
          <w:szCs w:val="24"/>
        </w:rPr>
        <w:t xml:space="preserve">in Section </w:t>
      </w:r>
      <w:r w:rsidR="000E6EEB" w:rsidRPr="0072158E">
        <w:rPr>
          <w:b w:val="0"/>
          <w:bCs/>
          <w:sz w:val="24"/>
          <w:szCs w:val="24"/>
        </w:rPr>
        <w:fldChar w:fldCharType="begin"/>
      </w:r>
      <w:r w:rsidR="000E6EEB" w:rsidRPr="0072158E">
        <w:rPr>
          <w:b w:val="0"/>
          <w:bCs/>
          <w:sz w:val="24"/>
          <w:szCs w:val="24"/>
        </w:rPr>
        <w:instrText xml:space="preserve"> REF _Ref150077013 \r \h </w:instrText>
      </w:r>
      <w:r w:rsidR="00DD2F5E" w:rsidRPr="0072158E">
        <w:rPr>
          <w:b w:val="0"/>
          <w:bCs/>
          <w:sz w:val="24"/>
          <w:szCs w:val="24"/>
        </w:rPr>
        <w:instrText xml:space="preserve"> \* MERGEFORMAT </w:instrText>
      </w:r>
      <w:r w:rsidR="000E6EEB" w:rsidRPr="0072158E">
        <w:rPr>
          <w:b w:val="0"/>
          <w:bCs/>
          <w:sz w:val="24"/>
          <w:szCs w:val="24"/>
        </w:rPr>
      </w:r>
      <w:r w:rsidR="000E6EEB" w:rsidRPr="0072158E">
        <w:rPr>
          <w:b w:val="0"/>
          <w:bCs/>
          <w:sz w:val="24"/>
          <w:szCs w:val="24"/>
        </w:rPr>
        <w:fldChar w:fldCharType="separate"/>
      </w:r>
      <w:r w:rsidR="000761C1">
        <w:rPr>
          <w:b w:val="0"/>
          <w:bCs/>
          <w:sz w:val="24"/>
          <w:szCs w:val="24"/>
        </w:rPr>
        <w:t>B1.1</w:t>
      </w:r>
      <w:r w:rsidR="000E6EEB" w:rsidRPr="0072158E">
        <w:rPr>
          <w:b w:val="0"/>
          <w:bCs/>
          <w:sz w:val="24"/>
          <w:szCs w:val="24"/>
        </w:rPr>
        <w:fldChar w:fldCharType="end"/>
      </w:r>
      <w:r w:rsidR="00B90818" w:rsidRPr="0072158E">
        <w:rPr>
          <w:b w:val="0"/>
          <w:bCs/>
          <w:sz w:val="24"/>
          <w:szCs w:val="24"/>
        </w:rPr>
        <w:t>)</w:t>
      </w:r>
      <w:r w:rsidR="00EB18C6" w:rsidRPr="0072158E">
        <w:rPr>
          <w:b w:val="0"/>
          <w:bCs/>
          <w:sz w:val="24"/>
          <w:szCs w:val="24"/>
        </w:rPr>
        <w:t>.</w:t>
      </w:r>
    </w:p>
    <w:p w14:paraId="28BF62E7" w14:textId="42E3B301" w:rsidR="003F3180" w:rsidRPr="00DD2F5E" w:rsidRDefault="000633E8" w:rsidP="00666E06">
      <w:r w:rsidRPr="00DD2F5E">
        <w:t>After</w:t>
      </w:r>
      <w:r w:rsidR="00EB18C6" w:rsidRPr="00DD2F5E">
        <w:t xml:space="preserve"> a </w:t>
      </w:r>
      <w:r w:rsidR="008162A0">
        <w:t>significant</w:t>
      </w:r>
      <w:r w:rsidR="008162A0" w:rsidRPr="00DD2F5E">
        <w:t xml:space="preserve"> </w:t>
      </w:r>
      <w:r w:rsidR="00EB18C6" w:rsidRPr="00DD2F5E">
        <w:t xml:space="preserve">earthquake, it is </w:t>
      </w:r>
      <w:r w:rsidR="00CB20CB" w:rsidRPr="00DD2F5E">
        <w:t xml:space="preserve">a </w:t>
      </w:r>
      <w:r w:rsidR="00245979" w:rsidRPr="00DD2F5E">
        <w:t xml:space="preserve">practical and </w:t>
      </w:r>
      <w:r w:rsidR="00CB20CB" w:rsidRPr="00DD2F5E">
        <w:t xml:space="preserve">tolerable </w:t>
      </w:r>
      <w:r w:rsidR="00AF279D" w:rsidRPr="00DD2F5E">
        <w:t>reality</w:t>
      </w:r>
      <w:r w:rsidR="00EB18C6" w:rsidRPr="00DD2F5E">
        <w:t xml:space="preserve"> </w:t>
      </w:r>
      <w:r w:rsidR="00AF279D" w:rsidRPr="00DD2F5E">
        <w:t xml:space="preserve">for </w:t>
      </w:r>
      <w:r w:rsidR="00163E8E" w:rsidRPr="00DD2F5E">
        <w:t xml:space="preserve">facilities </w:t>
      </w:r>
      <w:r w:rsidR="00AF279D" w:rsidRPr="00DD2F5E">
        <w:t xml:space="preserve">to </w:t>
      </w:r>
      <w:r w:rsidR="00EB18C6" w:rsidRPr="00DD2F5E">
        <w:t xml:space="preserve">be in a state of </w:t>
      </w:r>
      <w:r w:rsidR="00EB18C6" w:rsidRPr="00DD2F5E">
        <w:rPr>
          <w:u w:val="single"/>
        </w:rPr>
        <w:t>reduced</w:t>
      </w:r>
      <w:r w:rsidR="00EB18C6" w:rsidRPr="00DD2F5E">
        <w:t xml:space="preserve"> functionality</w:t>
      </w:r>
      <w:r w:rsidR="00163E8E" w:rsidRPr="00DD2F5E">
        <w:t>. H</w:t>
      </w:r>
      <w:r w:rsidR="00EB18C6" w:rsidRPr="00DD2F5E">
        <w:t>owever</w:t>
      </w:r>
      <w:r w:rsidR="00163E8E" w:rsidRPr="00DD2F5E">
        <w:t>,</w:t>
      </w:r>
      <w:r w:rsidR="00EB18C6" w:rsidRPr="00DD2F5E">
        <w:t xml:space="preserve"> they </w:t>
      </w:r>
      <w:r w:rsidR="00163E8E" w:rsidRPr="00DD2F5E">
        <w:t xml:space="preserve">should </w:t>
      </w:r>
      <w:r w:rsidR="00EB18C6" w:rsidRPr="00DD2F5E">
        <w:t xml:space="preserve">not have functionality </w:t>
      </w:r>
      <w:r w:rsidR="00EB18C6" w:rsidRPr="00DD2F5E">
        <w:rPr>
          <w:u w:val="single"/>
        </w:rPr>
        <w:t>interrupted</w:t>
      </w:r>
      <w:r w:rsidR="00EB18C6" w:rsidRPr="00DD2F5E">
        <w:t>.</w:t>
      </w:r>
      <w:r w:rsidR="009E5BE2" w:rsidRPr="00DD2F5E">
        <w:t xml:space="preserve"> </w:t>
      </w:r>
      <w:r w:rsidR="00BB0FB3" w:rsidRPr="00DD2F5E">
        <w:t xml:space="preserve">This concept is illustrated in </w:t>
      </w:r>
      <w:r w:rsidR="00C61976" w:rsidRPr="00DD2F5E">
        <w:fldChar w:fldCharType="begin"/>
      </w:r>
      <w:r w:rsidR="00C61976" w:rsidRPr="00DD2F5E">
        <w:instrText xml:space="preserve"> REF _Ref150492127 \h </w:instrText>
      </w:r>
      <w:r w:rsidR="00DD2F5E">
        <w:instrText xml:space="preserve"> \* MERGEFORMAT </w:instrText>
      </w:r>
      <w:r w:rsidR="00C61976" w:rsidRPr="00DD2F5E">
        <w:fldChar w:fldCharType="separate"/>
      </w:r>
      <w:r w:rsidR="005B0151" w:rsidRPr="005B0151">
        <w:t xml:space="preserve">Figure </w:t>
      </w:r>
      <w:r w:rsidR="005B0151" w:rsidRPr="005B0151">
        <w:rPr>
          <w:noProof/>
        </w:rPr>
        <w:t>5</w:t>
      </w:r>
      <w:r w:rsidR="00C61976" w:rsidRPr="00DD2F5E">
        <w:fldChar w:fldCharType="end"/>
      </w:r>
      <w:r w:rsidR="00BB0FB3" w:rsidRPr="00DD2F5E">
        <w:t>.</w:t>
      </w:r>
    </w:p>
    <w:p w14:paraId="41FBDF78" w14:textId="77777777" w:rsidR="003F3180" w:rsidRDefault="003F3180" w:rsidP="00931804">
      <w:pPr>
        <w:jc w:val="center"/>
      </w:pPr>
      <w:r w:rsidRPr="00A705C3">
        <w:rPr>
          <w:noProof/>
        </w:rPr>
        <w:drawing>
          <wp:inline distT="0" distB="0" distL="0" distR="0" wp14:anchorId="2D3701C8" wp14:editId="5A969099">
            <wp:extent cx="4679287" cy="1911873"/>
            <wp:effectExtent l="0" t="0" r="7620" b="0"/>
            <wp:docPr id="15069478" name="Picture 15069478" descr="A diagram of earthquake and earthqu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earthquake and earthquake&#10;&#10;Description automatically generated"/>
                    <pic:cNvPicPr/>
                  </pic:nvPicPr>
                  <pic:blipFill rotWithShape="1">
                    <a:blip r:embed="rId41"/>
                    <a:srcRect l="2143" t="2936" r="2131" b="5221"/>
                    <a:stretch/>
                  </pic:blipFill>
                  <pic:spPr bwMode="auto">
                    <a:xfrm>
                      <a:off x="0" y="0"/>
                      <a:ext cx="4679287" cy="1911873"/>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B8DE59" w14:textId="1CACBCB4" w:rsidR="003F3180" w:rsidRPr="005B0151" w:rsidRDefault="003F3180" w:rsidP="00BD1621">
      <w:pPr>
        <w:pStyle w:val="Figure"/>
        <w:rPr>
          <w:sz w:val="20"/>
          <w:szCs w:val="20"/>
        </w:rPr>
      </w:pPr>
      <w:bookmarkStart w:id="152" w:name="_Ref150492127"/>
      <w:r w:rsidRPr="005B0151">
        <w:rPr>
          <w:sz w:val="20"/>
          <w:szCs w:val="20"/>
        </w:rPr>
        <w:t xml:space="preserve">Figure </w:t>
      </w:r>
      <w:r w:rsidRPr="005B0151">
        <w:rPr>
          <w:sz w:val="20"/>
          <w:szCs w:val="20"/>
        </w:rPr>
        <w:fldChar w:fldCharType="begin"/>
      </w:r>
      <w:r w:rsidRPr="005B0151">
        <w:rPr>
          <w:sz w:val="20"/>
          <w:szCs w:val="20"/>
        </w:rPr>
        <w:instrText>SEQ Figure \* ARABIC</w:instrText>
      </w:r>
      <w:r w:rsidRPr="005B0151">
        <w:rPr>
          <w:sz w:val="20"/>
          <w:szCs w:val="20"/>
        </w:rPr>
        <w:fldChar w:fldCharType="separate"/>
      </w:r>
      <w:r w:rsidR="005B0151">
        <w:rPr>
          <w:noProof/>
          <w:sz w:val="20"/>
          <w:szCs w:val="20"/>
        </w:rPr>
        <w:t>5</w:t>
      </w:r>
      <w:r w:rsidRPr="005B0151">
        <w:rPr>
          <w:sz w:val="20"/>
          <w:szCs w:val="20"/>
        </w:rPr>
        <w:fldChar w:fldCharType="end"/>
      </w:r>
      <w:bookmarkEnd w:id="152"/>
      <w:r w:rsidRPr="005B0151">
        <w:rPr>
          <w:sz w:val="20"/>
          <w:szCs w:val="20"/>
        </w:rPr>
        <w:t>: Recovery following a significant earthquake</w:t>
      </w:r>
      <w:r w:rsidR="00A1186B" w:rsidRPr="005B0151">
        <w:rPr>
          <w:sz w:val="20"/>
          <w:szCs w:val="20"/>
        </w:rPr>
        <w:t>, and the concept of reduced but not interrupted functionality</w:t>
      </w:r>
      <w:r w:rsidR="0021242D" w:rsidRPr="005B0151">
        <w:rPr>
          <w:sz w:val="20"/>
          <w:szCs w:val="20"/>
        </w:rPr>
        <w:t>.</w:t>
      </w:r>
    </w:p>
    <w:p w14:paraId="451BDFAD" w14:textId="13D6258F" w:rsidR="008F26D9" w:rsidRPr="00EC4C0D" w:rsidRDefault="004E40FB" w:rsidP="00C34842">
      <w:pPr>
        <w:pStyle w:val="Figure"/>
        <w:rPr>
          <w:b w:val="0"/>
          <w:bCs/>
          <w:sz w:val="24"/>
          <w:szCs w:val="24"/>
        </w:rPr>
      </w:pPr>
      <w:r w:rsidRPr="00EC4C0D">
        <w:rPr>
          <w:b w:val="0"/>
          <w:bCs/>
          <w:sz w:val="24"/>
          <w:szCs w:val="24"/>
        </w:rPr>
        <w:t xml:space="preserve">With reference to the </w:t>
      </w:r>
      <w:r w:rsidR="003D3370" w:rsidRPr="00EC4C0D">
        <w:rPr>
          <w:b w:val="0"/>
          <w:bCs/>
          <w:sz w:val="24"/>
          <w:szCs w:val="24"/>
        </w:rPr>
        <w:t>Hospital Medical</w:t>
      </w:r>
      <w:r w:rsidR="00BC36E3" w:rsidRPr="00EC4C0D">
        <w:rPr>
          <w:b w:val="0"/>
          <w:bCs/>
          <w:sz w:val="24"/>
          <w:szCs w:val="24"/>
        </w:rPr>
        <w:t xml:space="preserve"> </w:t>
      </w:r>
      <w:r w:rsidR="003D3370" w:rsidRPr="00EC4C0D">
        <w:rPr>
          <w:b w:val="0"/>
          <w:bCs/>
          <w:i/>
          <w:iCs/>
          <w:sz w:val="24"/>
          <w:szCs w:val="24"/>
        </w:rPr>
        <w:t>S</w:t>
      </w:r>
      <w:r w:rsidR="00BB0FB3" w:rsidRPr="00EC4C0D">
        <w:rPr>
          <w:b w:val="0"/>
          <w:bCs/>
          <w:i/>
          <w:iCs/>
          <w:sz w:val="24"/>
          <w:szCs w:val="24"/>
        </w:rPr>
        <w:t xml:space="preserve">ervice </w:t>
      </w:r>
      <w:r w:rsidR="003D3370" w:rsidRPr="00EC4C0D">
        <w:rPr>
          <w:b w:val="0"/>
          <w:bCs/>
          <w:i/>
          <w:iCs/>
          <w:sz w:val="24"/>
          <w:szCs w:val="24"/>
        </w:rPr>
        <w:t>Categories</w:t>
      </w:r>
      <w:r w:rsidR="00BB0FB3" w:rsidRPr="00EC4C0D">
        <w:rPr>
          <w:b w:val="0"/>
          <w:bCs/>
          <w:sz w:val="24"/>
          <w:szCs w:val="24"/>
        </w:rPr>
        <w:t xml:space="preserve"> in </w:t>
      </w:r>
      <w:r w:rsidR="002A45E8" w:rsidRPr="00EC4C0D">
        <w:rPr>
          <w:b w:val="0"/>
          <w:bCs/>
          <w:sz w:val="24"/>
          <w:szCs w:val="24"/>
        </w:rPr>
        <w:t xml:space="preserve">Section </w:t>
      </w:r>
      <w:r w:rsidR="002A45E8" w:rsidRPr="00EC4C0D">
        <w:rPr>
          <w:b w:val="0"/>
          <w:bCs/>
          <w:sz w:val="24"/>
          <w:szCs w:val="24"/>
        </w:rPr>
        <w:fldChar w:fldCharType="begin"/>
      </w:r>
      <w:r w:rsidR="002A45E8" w:rsidRPr="00EC4C0D">
        <w:rPr>
          <w:b w:val="0"/>
          <w:bCs/>
          <w:sz w:val="24"/>
          <w:szCs w:val="24"/>
        </w:rPr>
        <w:instrText xml:space="preserve"> REF _Ref150077013 \r \h </w:instrText>
      </w:r>
      <w:r w:rsidR="00DD2F5E" w:rsidRPr="00EC4C0D">
        <w:rPr>
          <w:b w:val="0"/>
          <w:bCs/>
          <w:sz w:val="24"/>
          <w:szCs w:val="24"/>
        </w:rPr>
        <w:instrText xml:space="preserve"> \* MERGEFORMAT </w:instrText>
      </w:r>
      <w:r w:rsidR="002A45E8" w:rsidRPr="00EC4C0D">
        <w:rPr>
          <w:b w:val="0"/>
          <w:bCs/>
          <w:sz w:val="24"/>
          <w:szCs w:val="24"/>
        </w:rPr>
      </w:r>
      <w:r w:rsidR="002A45E8" w:rsidRPr="00EC4C0D">
        <w:rPr>
          <w:b w:val="0"/>
          <w:bCs/>
          <w:sz w:val="24"/>
          <w:szCs w:val="24"/>
        </w:rPr>
        <w:fldChar w:fldCharType="separate"/>
      </w:r>
      <w:r w:rsidR="000761C1">
        <w:rPr>
          <w:b w:val="0"/>
          <w:bCs/>
          <w:sz w:val="24"/>
          <w:szCs w:val="24"/>
        </w:rPr>
        <w:t>B1.1</w:t>
      </w:r>
      <w:r w:rsidR="002A45E8" w:rsidRPr="00EC4C0D">
        <w:rPr>
          <w:b w:val="0"/>
          <w:bCs/>
          <w:sz w:val="24"/>
          <w:szCs w:val="24"/>
        </w:rPr>
        <w:fldChar w:fldCharType="end"/>
      </w:r>
      <w:r w:rsidR="00BB0FB3" w:rsidRPr="00EC4C0D">
        <w:rPr>
          <w:b w:val="0"/>
          <w:bCs/>
          <w:sz w:val="24"/>
          <w:szCs w:val="24"/>
        </w:rPr>
        <w:t xml:space="preserve">, </w:t>
      </w:r>
      <w:r w:rsidR="00E43CDF" w:rsidRPr="00EC4C0D">
        <w:rPr>
          <w:b w:val="0"/>
          <w:bCs/>
          <w:sz w:val="24"/>
          <w:szCs w:val="24"/>
        </w:rPr>
        <w:t>some hospital services</w:t>
      </w:r>
      <w:r w:rsidR="00C757E0" w:rsidRPr="00EC4C0D">
        <w:rPr>
          <w:b w:val="0"/>
          <w:bCs/>
          <w:sz w:val="24"/>
          <w:szCs w:val="24"/>
        </w:rPr>
        <w:t xml:space="preserve"> (broadly classified as </w:t>
      </w:r>
      <w:r w:rsidR="004D3085" w:rsidRPr="00EC4C0D">
        <w:rPr>
          <w:b w:val="0"/>
          <w:bCs/>
          <w:i/>
          <w:iCs/>
          <w:sz w:val="24"/>
          <w:szCs w:val="24"/>
        </w:rPr>
        <w:t>Acute Services</w:t>
      </w:r>
      <w:r w:rsidR="00C757E0" w:rsidRPr="00EC4C0D">
        <w:rPr>
          <w:b w:val="0"/>
          <w:bCs/>
          <w:sz w:val="24"/>
          <w:szCs w:val="24"/>
        </w:rPr>
        <w:t>)</w:t>
      </w:r>
      <w:r w:rsidR="00E43CDF" w:rsidRPr="00EC4C0D">
        <w:rPr>
          <w:b w:val="0"/>
          <w:bCs/>
          <w:sz w:val="24"/>
          <w:szCs w:val="24"/>
        </w:rPr>
        <w:t xml:space="preserve"> have a specific role in dealing with the medical consequences of the event itself</w:t>
      </w:r>
      <w:r w:rsidR="00BF00FA" w:rsidRPr="00EC4C0D">
        <w:rPr>
          <w:b w:val="0"/>
          <w:bCs/>
          <w:sz w:val="24"/>
          <w:szCs w:val="24"/>
        </w:rPr>
        <w:t>. B</w:t>
      </w:r>
      <w:r w:rsidR="00E43CDF" w:rsidRPr="00EC4C0D">
        <w:rPr>
          <w:b w:val="0"/>
          <w:bCs/>
          <w:sz w:val="24"/>
          <w:szCs w:val="24"/>
        </w:rPr>
        <w:t>eing able to deliver this service</w:t>
      </w:r>
      <w:r w:rsidR="002640BA" w:rsidRPr="00EC4C0D">
        <w:rPr>
          <w:b w:val="0"/>
          <w:bCs/>
          <w:sz w:val="24"/>
          <w:szCs w:val="24"/>
        </w:rPr>
        <w:t xml:space="preserve"> immediately following an event</w:t>
      </w:r>
      <w:r w:rsidR="00E43CDF" w:rsidRPr="00EC4C0D">
        <w:rPr>
          <w:b w:val="0"/>
          <w:bCs/>
          <w:sz w:val="24"/>
          <w:szCs w:val="24"/>
        </w:rPr>
        <w:t xml:space="preserve"> is crucial.</w:t>
      </w:r>
    </w:p>
    <w:p w14:paraId="0760B515" w14:textId="70142FD9" w:rsidR="003F3180" w:rsidRDefault="00E43CDF" w:rsidP="00666E06">
      <w:r w:rsidRPr="00DD2F5E">
        <w:t>Mos</w:t>
      </w:r>
      <w:r w:rsidR="00947C26" w:rsidRPr="00DD2F5E">
        <w:t xml:space="preserve">t </w:t>
      </w:r>
      <w:r w:rsidR="00B767DA" w:rsidRPr="00DD2F5E">
        <w:t>hospitals</w:t>
      </w:r>
      <w:r w:rsidR="009253ED" w:rsidRPr="00DD2F5E">
        <w:t xml:space="preserve"> </w:t>
      </w:r>
      <w:r w:rsidR="00947C26" w:rsidRPr="00DD2F5E">
        <w:t>will</w:t>
      </w:r>
      <w:r w:rsidRPr="00DD2F5E">
        <w:t xml:space="preserve"> also</w:t>
      </w:r>
      <w:r w:rsidR="00BB0FB3" w:rsidRPr="00DD2F5E">
        <w:t xml:space="preserve"> </w:t>
      </w:r>
      <w:r w:rsidR="0038478F" w:rsidRPr="00DD2F5E">
        <w:t xml:space="preserve">need to continue to deliver basic services to </w:t>
      </w:r>
      <w:r w:rsidR="00947C26" w:rsidRPr="00DD2F5E">
        <w:t>in-patients</w:t>
      </w:r>
      <w:r w:rsidR="0038478F" w:rsidRPr="00DD2F5E">
        <w:t xml:space="preserve"> </w:t>
      </w:r>
      <w:r w:rsidRPr="00DD2F5E">
        <w:t xml:space="preserve">who are </w:t>
      </w:r>
      <w:r w:rsidR="0038478F" w:rsidRPr="00DD2F5E">
        <w:t>in hospital at the time of the event.</w:t>
      </w:r>
      <w:r w:rsidR="00DB7456" w:rsidRPr="00DD2F5E">
        <w:t xml:space="preserve"> Transferring patients can be</w:t>
      </w:r>
      <w:r w:rsidR="00614869" w:rsidRPr="00DD2F5E">
        <w:t xml:space="preserve"> detrimental to healthcare outcomes</w:t>
      </w:r>
      <w:r w:rsidR="00DB7456" w:rsidRPr="00DD2F5E">
        <w:t xml:space="preserve"> </w:t>
      </w:r>
      <w:r w:rsidR="00614869" w:rsidRPr="00DD2F5E">
        <w:t xml:space="preserve">(in some cases, life threatening)—and it can also be impractical </w:t>
      </w:r>
      <w:r w:rsidR="001A79A5" w:rsidRPr="00DD2F5E">
        <w:t xml:space="preserve">due to the </w:t>
      </w:r>
      <w:r w:rsidR="005B30AB" w:rsidRPr="00DD2F5E">
        <w:t>regional</w:t>
      </w:r>
      <w:r w:rsidR="001A79A5" w:rsidRPr="00DD2F5E">
        <w:t xml:space="preserve"> emergency response situation and wider capacity constraints.</w:t>
      </w:r>
    </w:p>
    <w:p w14:paraId="386460C0" w14:textId="77777777" w:rsidR="00BA4CA9" w:rsidRDefault="00BA4CA9" w:rsidP="00666E06"/>
    <w:p w14:paraId="2929B7F9" w14:textId="77777777" w:rsidR="00BA4CA9" w:rsidRPr="00DD2F5E" w:rsidRDefault="00BA4CA9" w:rsidP="00666E06"/>
    <w:p w14:paraId="2064DE2C" w14:textId="77777777" w:rsidR="00B25706" w:rsidRPr="00DD2F5E" w:rsidRDefault="00B25706" w:rsidP="00DD1C0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D2F5E">
        <w:lastRenderedPageBreak/>
        <w:t>In principle, the life safety objective would be common and consistent across all clinical services and building uses. However, the condition of people inhabiting the building has some relevance.</w:t>
      </w:r>
    </w:p>
    <w:p w14:paraId="25301513" w14:textId="4F6FC96D" w:rsidR="00B25706" w:rsidRPr="00DD2F5E" w:rsidRDefault="00B25706" w:rsidP="00DD1C0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D2F5E">
        <w:t>The functionality objective, on the other hand, will have different criteria depending on the type of services being delivered out of the facility.</w:t>
      </w:r>
    </w:p>
    <w:p w14:paraId="667BF04A" w14:textId="43AF389C" w:rsidR="00AA6057" w:rsidRPr="00DD2F5E" w:rsidRDefault="007D5C79" w:rsidP="00666E06">
      <w:r>
        <w:t xml:space="preserve">Health NZ </w:t>
      </w:r>
      <w:r w:rsidR="00942BE2" w:rsidRPr="00DD2F5E">
        <w:t>and the New Zealand Government</w:t>
      </w:r>
      <w:r w:rsidR="233215A9" w:rsidRPr="00DD2F5E">
        <w:t>,</w:t>
      </w:r>
      <w:r w:rsidR="00942BE2" w:rsidRPr="00DD2F5E">
        <w:t xml:space="preserve"> </w:t>
      </w:r>
      <w:r w:rsidR="00AA6057" w:rsidRPr="00DD2F5E">
        <w:t xml:space="preserve">as a </w:t>
      </w:r>
      <w:r w:rsidR="0014101A" w:rsidRPr="00DD2F5E">
        <w:t>near-</w:t>
      </w:r>
      <w:r w:rsidR="00AA6057" w:rsidRPr="00DD2F5E">
        <w:t>perpetual portfolio holder</w:t>
      </w:r>
      <w:r w:rsidR="2E36F49E" w:rsidRPr="00DD2F5E">
        <w:t>,</w:t>
      </w:r>
      <w:r w:rsidR="00AA6057" w:rsidRPr="00DD2F5E">
        <w:t xml:space="preserve"> also have an interest in </w:t>
      </w:r>
      <w:r w:rsidR="00AA6057" w:rsidRPr="00DD2F5E">
        <w:rPr>
          <w:b/>
          <w:bCs/>
        </w:rPr>
        <w:t>minimising disproportionate economic losses</w:t>
      </w:r>
      <w:r w:rsidR="00AA6057" w:rsidRPr="00DD2F5E">
        <w:t xml:space="preserve"> </w:t>
      </w:r>
      <w:r w:rsidR="004E0973" w:rsidRPr="00DD2F5E">
        <w:t xml:space="preserve">to healthcare infrastructure </w:t>
      </w:r>
      <w:r w:rsidR="00AA6057" w:rsidRPr="00DD2F5E">
        <w:t>following earthquake</w:t>
      </w:r>
      <w:r w:rsidR="00F31194" w:rsidRPr="00DD2F5E">
        <w:t>s</w:t>
      </w:r>
      <w:r w:rsidR="00AA6057" w:rsidRPr="00DD2F5E">
        <w:t xml:space="preserve">. This is good </w:t>
      </w:r>
      <w:r w:rsidR="004E0973" w:rsidRPr="00DD2F5E">
        <w:t xml:space="preserve">infrastructure </w:t>
      </w:r>
      <w:r w:rsidR="00AA6057" w:rsidRPr="00DD2F5E">
        <w:t>asset management practice</w:t>
      </w:r>
      <w:r w:rsidR="00D95C9B" w:rsidRPr="00DD2F5E">
        <w:t xml:space="preserve">. </w:t>
      </w:r>
      <w:r w:rsidR="402F2B01" w:rsidRPr="00DD2F5E">
        <w:t>I</w:t>
      </w:r>
      <w:r w:rsidR="4AA64BC9" w:rsidRPr="00DD2F5E">
        <w:t>t</w:t>
      </w:r>
      <w:r w:rsidR="00D95C9B" w:rsidRPr="00DD2F5E">
        <w:t xml:space="preserve"> is a</w:t>
      </w:r>
      <w:r w:rsidR="00AA6057" w:rsidRPr="00DD2F5E">
        <w:t xml:space="preserve">lso simply because </w:t>
      </w:r>
      <w:r w:rsidR="00D95C9B" w:rsidRPr="00DD2F5E">
        <w:t xml:space="preserve">carrying out </w:t>
      </w:r>
      <w:r w:rsidR="00AA6057" w:rsidRPr="00DD2F5E">
        <w:t xml:space="preserve">significant repairs or </w:t>
      </w:r>
      <w:r w:rsidR="00D95C9B" w:rsidRPr="00DD2F5E">
        <w:t xml:space="preserve">developing </w:t>
      </w:r>
      <w:r w:rsidR="00AA6057" w:rsidRPr="00DD2F5E">
        <w:t xml:space="preserve">replacement facilities </w:t>
      </w:r>
      <w:r w:rsidR="002624E8" w:rsidRPr="00DD2F5E">
        <w:t>is</w:t>
      </w:r>
      <w:r w:rsidR="00AA6057" w:rsidRPr="00DD2F5E">
        <w:t xml:space="preserve"> </w:t>
      </w:r>
      <w:r w:rsidR="00D95C9B" w:rsidRPr="00DD2F5E">
        <w:t>often</w:t>
      </w:r>
      <w:r w:rsidR="00AA6057" w:rsidRPr="00DD2F5E">
        <w:t xml:space="preserve"> extremely disruptive to healthcare delivery and wellbeing </w:t>
      </w:r>
      <w:r w:rsidR="005E021A" w:rsidRPr="00DD2F5E">
        <w:t xml:space="preserve">of staff and users </w:t>
      </w:r>
      <w:r w:rsidR="00AA6057" w:rsidRPr="00DD2F5E">
        <w:t xml:space="preserve">in the context of the longer-term </w:t>
      </w:r>
      <w:r w:rsidR="008C58CD" w:rsidRPr="00DD2F5E">
        <w:t xml:space="preserve">regional </w:t>
      </w:r>
      <w:r w:rsidR="00AA6057" w:rsidRPr="00DD2F5E">
        <w:t>recovery</w:t>
      </w:r>
      <w:r w:rsidR="00A04D03" w:rsidRPr="00DD2F5E">
        <w:t xml:space="preserve">. The cost </w:t>
      </w:r>
      <w:r w:rsidR="005F613A" w:rsidRPr="00DD2F5E">
        <w:t>of this work</w:t>
      </w:r>
      <w:r w:rsidR="002A2306" w:rsidRPr="00DD2F5E">
        <w:t xml:space="preserve"> </w:t>
      </w:r>
      <w:r w:rsidR="003763DD" w:rsidRPr="00DD2F5E">
        <w:t>appl</w:t>
      </w:r>
      <w:r w:rsidR="008C58CD" w:rsidRPr="00DD2F5E">
        <w:t>ies</w:t>
      </w:r>
      <w:r w:rsidR="003763DD" w:rsidRPr="00DD2F5E">
        <w:t xml:space="preserve"> challenging competition to the </w:t>
      </w:r>
      <w:r w:rsidR="008C58CD" w:rsidRPr="00DD2F5E">
        <w:t xml:space="preserve">nationwide </w:t>
      </w:r>
      <w:r w:rsidR="003763DD" w:rsidRPr="00DD2F5E">
        <w:t>infrastructure budget</w:t>
      </w:r>
      <w:r w:rsidR="00702CF6" w:rsidRPr="00DD2F5E">
        <w:t>. I</w:t>
      </w:r>
      <w:r w:rsidR="00992F33" w:rsidRPr="00DD2F5E">
        <w:t xml:space="preserve">n real world terms </w:t>
      </w:r>
      <w:r w:rsidR="008E01E4" w:rsidRPr="00DD2F5E">
        <w:t xml:space="preserve">this </w:t>
      </w:r>
      <w:r w:rsidR="007E1E6A" w:rsidRPr="00DD2F5E">
        <w:t xml:space="preserve">competition </w:t>
      </w:r>
      <w:r w:rsidR="00CD505B" w:rsidRPr="00DD2F5E">
        <w:t>compromises</w:t>
      </w:r>
      <w:r w:rsidR="00BB41F8" w:rsidRPr="00DD2F5E">
        <w:t xml:space="preserve"> the ability to deliver</w:t>
      </w:r>
      <w:r w:rsidR="005E3D10" w:rsidRPr="00DD2F5E">
        <w:t xml:space="preserve"> </w:t>
      </w:r>
      <w:r w:rsidR="006766E8" w:rsidRPr="00DD2F5E">
        <w:t xml:space="preserve">and maintain </w:t>
      </w:r>
      <w:r w:rsidR="005E3D10" w:rsidRPr="00DD2F5E">
        <w:t>facilities</w:t>
      </w:r>
      <w:r w:rsidR="006766E8" w:rsidRPr="00DD2F5E">
        <w:t xml:space="preserve"> to meet </w:t>
      </w:r>
      <w:r w:rsidR="00CD505B" w:rsidRPr="00DD2F5E">
        <w:t xml:space="preserve">population </w:t>
      </w:r>
      <w:r w:rsidR="006766E8" w:rsidRPr="00DD2F5E">
        <w:t>service demand</w:t>
      </w:r>
      <w:r w:rsidR="00AA6057" w:rsidRPr="00DD2F5E">
        <w:t>.</w:t>
      </w:r>
    </w:p>
    <w:p w14:paraId="21E67908" w14:textId="2FF36542" w:rsidR="00D7760B" w:rsidRPr="00DD2F5E" w:rsidRDefault="21487EE5" w:rsidP="00666E06">
      <w:r w:rsidRPr="00DD2F5E">
        <w:t xml:space="preserve">For </w:t>
      </w:r>
      <w:r w:rsidRPr="00DD2F5E">
        <w:rPr>
          <w:i/>
          <w:iCs/>
        </w:rPr>
        <w:t>Acute</w:t>
      </w:r>
      <w:r w:rsidR="005C6ABA" w:rsidRPr="00DD2F5E">
        <w:rPr>
          <w:i/>
          <w:iCs/>
        </w:rPr>
        <w:t xml:space="preserve"> Services</w:t>
      </w:r>
      <w:r w:rsidRPr="00DD2F5E">
        <w:t xml:space="preserve"> and </w:t>
      </w:r>
      <w:r w:rsidR="4658162C" w:rsidRPr="00DD2F5E">
        <w:rPr>
          <w:i/>
          <w:iCs/>
        </w:rPr>
        <w:t>Other Inpatient Facilities</w:t>
      </w:r>
      <w:r w:rsidR="00D7760B" w:rsidRPr="00DD2F5E">
        <w:t xml:space="preserve"> (Importance Level 3 and 4 facilities), the </w:t>
      </w:r>
      <w:r w:rsidR="0044496A" w:rsidRPr="00DD2F5E">
        <w:t>a</w:t>
      </w:r>
      <w:r w:rsidR="00D7760B" w:rsidRPr="00DD2F5E">
        <w:t xml:space="preserve">sset </w:t>
      </w:r>
      <w:r w:rsidR="0044496A" w:rsidRPr="00DD2F5E">
        <w:t>p</w:t>
      </w:r>
      <w:r w:rsidR="00D7760B" w:rsidRPr="00DD2F5E">
        <w:t>rotection objective requires any repairs needed for a full return to normal operations in the longer term to be not just economical, but also practical in the context of continuing normal hospital operations. This makes any specific objective to minimise economic losses somewhat redundant</w:t>
      </w:r>
      <w:r w:rsidR="00350C19">
        <w:t xml:space="preserve"> </w:t>
      </w:r>
      <w:r w:rsidR="00D7760B" w:rsidRPr="00DD2F5E">
        <w:t>as it becomes implicit in the continued functionality objective.</w:t>
      </w:r>
    </w:p>
    <w:p w14:paraId="49744AE3" w14:textId="38B4B438" w:rsidR="00B869CC" w:rsidRPr="00DD2F5E" w:rsidRDefault="00B869CC" w:rsidP="00666E06">
      <w:r w:rsidRPr="00DD2F5E">
        <w:t>For all buildings, ongoing disruption to clinical areas for repair work, and significant disruption or compromise in support services and support facilities (even access to basic facilities such as carparking) are significant consequential stressors in a wider earthquake recovery context. There can be wide ranging impacts on wellbeing and effectiveness of service delivery in the longer term.</w:t>
      </w:r>
    </w:p>
    <w:p w14:paraId="68BE3E11" w14:textId="129DDF58" w:rsidR="00C64EFE" w:rsidRPr="00DD2F5E" w:rsidRDefault="007F1698" w:rsidP="00DD1C0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D2F5E">
        <w:t xml:space="preserve">Minimising </w:t>
      </w:r>
      <w:r w:rsidR="00927AD4" w:rsidRPr="00DD2F5E">
        <w:t>losses</w:t>
      </w:r>
      <w:r w:rsidR="00B97D26" w:rsidRPr="00DD2F5E">
        <w:t xml:space="preserve"> (</w:t>
      </w:r>
      <w:r w:rsidR="0044496A" w:rsidRPr="00DD2F5E">
        <w:t>a</w:t>
      </w:r>
      <w:r w:rsidR="00B97D26" w:rsidRPr="00DD2F5E">
        <w:t xml:space="preserve">sset </w:t>
      </w:r>
      <w:r w:rsidR="0044496A" w:rsidRPr="00DD2F5E">
        <w:t>p</w:t>
      </w:r>
      <w:r w:rsidR="00B97D26" w:rsidRPr="00DD2F5E">
        <w:t>rotection)</w:t>
      </w:r>
      <w:r w:rsidR="00927AD4" w:rsidRPr="00DD2F5E">
        <w:t xml:space="preserve"> and</w:t>
      </w:r>
      <w:r w:rsidRPr="00DD2F5E">
        <w:t xml:space="preserve"> ensuring functional continuity of service are </w:t>
      </w:r>
      <w:r w:rsidR="00AA4B56" w:rsidRPr="00DD2F5E">
        <w:t>deliberately</w:t>
      </w:r>
      <w:r w:rsidR="003160BA" w:rsidRPr="00DD2F5E">
        <w:t xml:space="preserve"> </w:t>
      </w:r>
      <w:r w:rsidR="00387E3F" w:rsidRPr="00DD2F5E">
        <w:t xml:space="preserve">set </w:t>
      </w:r>
      <w:r w:rsidR="003160BA" w:rsidRPr="00DD2F5E">
        <w:t xml:space="preserve">apart as two </w:t>
      </w:r>
      <w:r w:rsidR="00AA4B56" w:rsidRPr="00DD2F5E">
        <w:t>distinct</w:t>
      </w:r>
      <w:r w:rsidR="003160BA" w:rsidRPr="00DD2F5E">
        <w:t xml:space="preserve"> objectives</w:t>
      </w:r>
      <w:r w:rsidR="004F7B09">
        <w:t xml:space="preserve">, </w:t>
      </w:r>
      <w:r w:rsidR="003160BA" w:rsidRPr="00DD2F5E">
        <w:t xml:space="preserve">but </w:t>
      </w:r>
      <w:r w:rsidR="00E36F20" w:rsidRPr="00DD2F5E">
        <w:t xml:space="preserve">as the above commentary shows, </w:t>
      </w:r>
      <w:r w:rsidR="003160BA" w:rsidRPr="00DD2F5E">
        <w:t xml:space="preserve">there are </w:t>
      </w:r>
      <w:r w:rsidR="00F00BFB" w:rsidRPr="00DD2F5E">
        <w:t xml:space="preserve">some </w:t>
      </w:r>
      <w:r w:rsidR="00942BE2" w:rsidRPr="00DD2F5E">
        <w:t>clear</w:t>
      </w:r>
      <w:r w:rsidR="006A7195" w:rsidRPr="00DD2F5E">
        <w:t xml:space="preserve"> linkages between the</w:t>
      </w:r>
      <w:r w:rsidR="00AA4B56" w:rsidRPr="00DD2F5E">
        <w:t>m</w:t>
      </w:r>
      <w:r w:rsidR="006A7195" w:rsidRPr="00DD2F5E">
        <w:t>.</w:t>
      </w:r>
    </w:p>
    <w:p w14:paraId="594D5281" w14:textId="36A6565F" w:rsidR="0087128D" w:rsidRPr="00DD1C0A" w:rsidRDefault="00AA6057" w:rsidP="00D56CAE">
      <w:pPr>
        <w:pStyle w:val="BodyHeading"/>
        <w:rPr>
          <w:color w:val="0C818E"/>
        </w:rPr>
      </w:pPr>
      <w:r w:rsidRPr="00DD1C0A">
        <w:rPr>
          <w:color w:val="0C818E"/>
        </w:rPr>
        <w:t>Summarising the outcome objectives</w:t>
      </w:r>
    </w:p>
    <w:p w14:paraId="6DB9CA14" w14:textId="7BE6504E" w:rsidR="00EB18C6" w:rsidRPr="00DD2F5E" w:rsidRDefault="005C6D88" w:rsidP="00666E06">
      <w:r w:rsidRPr="00DD2F5E">
        <w:t>In the context of earthquake, t</w:t>
      </w:r>
      <w:r w:rsidR="00EB18C6" w:rsidRPr="00DD2F5E">
        <w:t>here are two primary objectives to be considered as follows</w:t>
      </w:r>
      <w:r w:rsidR="004F0AD0" w:rsidRPr="00DD2F5E">
        <w:t>:</w:t>
      </w:r>
    </w:p>
    <w:p w14:paraId="0B8A5E2D" w14:textId="1E4C3DD0" w:rsidR="00EB18C6" w:rsidRPr="00DD2F5E" w:rsidRDefault="00EB18C6" w:rsidP="004D55F1">
      <w:pPr>
        <w:pStyle w:val="ListParagraph"/>
        <w:numPr>
          <w:ilvl w:val="0"/>
          <w:numId w:val="7"/>
        </w:numPr>
      </w:pPr>
      <w:r w:rsidRPr="00DD2F5E">
        <w:rPr>
          <w:b/>
          <w:bCs/>
        </w:rPr>
        <w:t>Life Safety</w:t>
      </w:r>
      <w:r w:rsidRPr="00DD2F5E">
        <w:t xml:space="preserve"> – </w:t>
      </w:r>
      <w:r w:rsidR="00456070" w:rsidRPr="00DD2F5E">
        <w:t>P</w:t>
      </w:r>
      <w:r w:rsidR="001E3AF5" w:rsidRPr="00DD2F5E">
        <w:t xml:space="preserve">rotection </w:t>
      </w:r>
      <w:r w:rsidR="00456070" w:rsidRPr="00DD2F5E">
        <w:t>against loss of</w:t>
      </w:r>
      <w:r w:rsidRPr="00DD2F5E">
        <w:t xml:space="preserve"> life or </w:t>
      </w:r>
      <w:r w:rsidR="00E21672">
        <w:t>serious</w:t>
      </w:r>
      <w:r w:rsidR="00E21672" w:rsidRPr="00DD2F5E">
        <w:t xml:space="preserve"> </w:t>
      </w:r>
      <w:r w:rsidRPr="00DD2F5E">
        <w:t>injur</w:t>
      </w:r>
      <w:r w:rsidR="00E21672">
        <w:t>y</w:t>
      </w:r>
      <w:r w:rsidR="00130C28">
        <w:t>, even in severe (very rare) earthquakes</w:t>
      </w:r>
      <w:r w:rsidR="003C17EE">
        <w:t>.</w:t>
      </w:r>
    </w:p>
    <w:p w14:paraId="564B9008" w14:textId="08320B8D" w:rsidR="00EB18C6" w:rsidRPr="00DD2F5E" w:rsidRDefault="00EB18C6" w:rsidP="004D55F1">
      <w:pPr>
        <w:pStyle w:val="ListParagraph"/>
        <w:numPr>
          <w:ilvl w:val="0"/>
          <w:numId w:val="7"/>
        </w:numPr>
      </w:pPr>
      <w:r w:rsidRPr="00DD2F5E">
        <w:rPr>
          <w:b/>
          <w:bCs/>
        </w:rPr>
        <w:t>Functional Continuity</w:t>
      </w:r>
      <w:r w:rsidRPr="00DD2F5E">
        <w:t xml:space="preserve"> – </w:t>
      </w:r>
      <w:r w:rsidR="00D8455C" w:rsidRPr="00DD2F5E">
        <w:t>The a</w:t>
      </w:r>
      <w:r w:rsidRPr="00DD2F5E">
        <w:t xml:space="preserve">bility to continue to provide </w:t>
      </w:r>
      <w:r w:rsidR="00456070" w:rsidRPr="00DD2F5E">
        <w:t xml:space="preserve">the </w:t>
      </w:r>
      <w:r w:rsidRPr="00DD2F5E">
        <w:t>services</w:t>
      </w:r>
      <w:r w:rsidR="00456070" w:rsidRPr="00DD2F5E">
        <w:t xml:space="preserve"> for which the building is intended</w:t>
      </w:r>
      <w:r w:rsidR="00130C28" w:rsidRPr="00130C28">
        <w:t xml:space="preserve"> </w:t>
      </w:r>
      <w:r w:rsidR="00130C28">
        <w:t>after a significant earthquake</w:t>
      </w:r>
      <w:r w:rsidRPr="00DD2F5E">
        <w:t>.</w:t>
      </w:r>
    </w:p>
    <w:p w14:paraId="661BD228" w14:textId="01E018C3" w:rsidR="00133E68" w:rsidRPr="00DD2F5E" w:rsidRDefault="00CF6EE5" w:rsidP="00666E06">
      <w:r w:rsidRPr="00DD2F5E">
        <w:t>There is a secondary objective</w:t>
      </w:r>
      <w:r w:rsidR="00133E68" w:rsidRPr="00DD2F5E">
        <w:t xml:space="preserve"> to be considered as follows:</w:t>
      </w:r>
    </w:p>
    <w:p w14:paraId="226075F0" w14:textId="32D8EEB6" w:rsidR="00CF6EE5" w:rsidRDefault="00305DC9" w:rsidP="004D55F1">
      <w:pPr>
        <w:pStyle w:val="ListParagraph"/>
        <w:numPr>
          <w:ilvl w:val="0"/>
          <w:numId w:val="8"/>
        </w:numPr>
      </w:pPr>
      <w:r w:rsidRPr="00DD2F5E">
        <w:rPr>
          <w:b/>
          <w:bCs/>
        </w:rPr>
        <w:t>Asset Protection</w:t>
      </w:r>
      <w:r w:rsidR="001D16B1" w:rsidRPr="00DD2F5E">
        <w:t xml:space="preserve"> – minimise disproportionate economic losses </w:t>
      </w:r>
      <w:r w:rsidR="00C50E36">
        <w:t xml:space="preserve">resulting from earthquake, </w:t>
      </w:r>
      <w:r w:rsidR="00C90850" w:rsidRPr="00DD2F5E">
        <w:t xml:space="preserve">from </w:t>
      </w:r>
      <w:r w:rsidR="00C22FF2" w:rsidRPr="00DD2F5E">
        <w:t>the</w:t>
      </w:r>
      <w:r w:rsidR="00EC1E60" w:rsidRPr="00DD2F5E">
        <w:t xml:space="preserve"> </w:t>
      </w:r>
      <w:r w:rsidR="00C90850" w:rsidRPr="00DD2F5E">
        <w:t xml:space="preserve">overall </w:t>
      </w:r>
      <w:r w:rsidR="00EC1E60" w:rsidRPr="00DD2F5E">
        <w:t xml:space="preserve">perspective of </w:t>
      </w:r>
      <w:r w:rsidR="00C22FF2" w:rsidRPr="00DD2F5E">
        <w:t xml:space="preserve">nationwide </w:t>
      </w:r>
      <w:r w:rsidR="00C90850" w:rsidRPr="00DD2F5E">
        <w:t>infrastructure budget management.</w:t>
      </w:r>
    </w:p>
    <w:p w14:paraId="5A9435CD" w14:textId="606E2BBB" w:rsidR="005863F4" w:rsidRDefault="00041DE2" w:rsidP="00666E06">
      <w:r w:rsidRPr="00041DE2">
        <w:t xml:space="preserve">See </w:t>
      </w:r>
      <w:r w:rsidRPr="00041DE2">
        <w:fldChar w:fldCharType="begin"/>
      </w:r>
      <w:r w:rsidRPr="00041DE2">
        <w:instrText xml:space="preserve"> REF _Ref203552008 \h  \* MERGEFORMAT </w:instrText>
      </w:r>
      <w:r w:rsidRPr="00041DE2">
        <w:fldChar w:fldCharType="separate"/>
      </w:r>
      <w:r w:rsidRPr="00041DE2">
        <w:t xml:space="preserve">Table </w:t>
      </w:r>
      <w:r w:rsidRPr="00041DE2">
        <w:rPr>
          <w:noProof/>
        </w:rPr>
        <w:t>4</w:t>
      </w:r>
      <w:r w:rsidRPr="00041DE2">
        <w:fldChar w:fldCharType="end"/>
      </w:r>
      <w:r w:rsidRPr="00041DE2">
        <w:t xml:space="preserve"> for a summary of outcome objectives.</w:t>
      </w:r>
    </w:p>
    <w:p w14:paraId="4EA92D4F" w14:textId="77777777" w:rsidR="005863F4" w:rsidRDefault="005863F4" w:rsidP="00666E06">
      <w:pPr>
        <w:sectPr w:rsidR="005863F4" w:rsidSect="00DB28BF">
          <w:headerReference w:type="default" r:id="rId42"/>
          <w:footerReference w:type="default" r:id="rId43"/>
          <w:footerReference w:type="first" r:id="rId44"/>
          <w:footnotePr>
            <w:numRestart w:val="eachPage"/>
          </w:footnotePr>
          <w:pgSz w:w="11906" w:h="16838" w:code="187"/>
          <w:pgMar w:top="1560" w:right="1134" w:bottom="1418" w:left="1134" w:header="709" w:footer="709" w:gutter="0"/>
          <w:cols w:space="708"/>
          <w:titlePg/>
          <w:docGrid w:linePitch="360"/>
        </w:sectPr>
      </w:pPr>
    </w:p>
    <w:p w14:paraId="2C00F19B" w14:textId="74122430" w:rsidR="002C2E15" w:rsidRPr="00DF106E" w:rsidRDefault="002C2E15" w:rsidP="00BD1621">
      <w:pPr>
        <w:pStyle w:val="Figure"/>
        <w:rPr>
          <w:sz w:val="20"/>
          <w:szCs w:val="20"/>
        </w:rPr>
      </w:pPr>
      <w:bookmarkStart w:id="153" w:name="_Ref203552008"/>
      <w:r w:rsidRPr="00DF106E">
        <w:rPr>
          <w:sz w:val="20"/>
          <w:szCs w:val="20"/>
        </w:rPr>
        <w:lastRenderedPageBreak/>
        <w:t xml:space="preserve">Table </w:t>
      </w:r>
      <w:r w:rsidRPr="00DF106E">
        <w:rPr>
          <w:sz w:val="20"/>
          <w:szCs w:val="20"/>
        </w:rPr>
        <w:fldChar w:fldCharType="begin"/>
      </w:r>
      <w:r w:rsidRPr="00DF106E">
        <w:rPr>
          <w:sz w:val="20"/>
          <w:szCs w:val="20"/>
        </w:rPr>
        <w:instrText>SEQ Table \* ARABIC</w:instrText>
      </w:r>
      <w:r w:rsidRPr="00DF106E">
        <w:rPr>
          <w:sz w:val="20"/>
          <w:szCs w:val="20"/>
        </w:rPr>
        <w:fldChar w:fldCharType="separate"/>
      </w:r>
      <w:r w:rsidR="000761C1">
        <w:rPr>
          <w:noProof/>
          <w:sz w:val="20"/>
          <w:szCs w:val="20"/>
        </w:rPr>
        <w:t>4</w:t>
      </w:r>
      <w:r w:rsidRPr="00DF106E">
        <w:rPr>
          <w:sz w:val="20"/>
          <w:szCs w:val="20"/>
        </w:rPr>
        <w:fldChar w:fldCharType="end"/>
      </w:r>
      <w:bookmarkEnd w:id="153"/>
      <w:r w:rsidRPr="00DF106E">
        <w:rPr>
          <w:sz w:val="20"/>
          <w:szCs w:val="20"/>
        </w:rPr>
        <w:t>: Summary of outcome objectives</w:t>
      </w:r>
      <w:r w:rsidR="00892A98" w:rsidRPr="00DF106E">
        <w:rPr>
          <w:sz w:val="20"/>
          <w:szCs w:val="20"/>
        </w:rPr>
        <w:t xml:space="preserve"> </w:t>
      </w:r>
      <w:r w:rsidR="00C90EFC" w:rsidRPr="00DF106E">
        <w:rPr>
          <w:sz w:val="20"/>
          <w:szCs w:val="20"/>
        </w:rPr>
        <w:t>in the context of</w:t>
      </w:r>
      <w:r w:rsidR="00892A98" w:rsidRPr="00DF106E">
        <w:rPr>
          <w:sz w:val="20"/>
          <w:szCs w:val="20"/>
        </w:rPr>
        <w:t xml:space="preserve"> earthquake</w:t>
      </w:r>
    </w:p>
    <w:tbl>
      <w:tblPr>
        <w:tblStyle w:val="TableGrid"/>
        <w:tblW w:w="14884" w:type="dxa"/>
        <w:tblLook w:val="04A0" w:firstRow="1" w:lastRow="0" w:firstColumn="1" w:lastColumn="0" w:noHBand="0" w:noVBand="1"/>
      </w:tblPr>
      <w:tblGrid>
        <w:gridCol w:w="1560"/>
        <w:gridCol w:w="4251"/>
        <w:gridCol w:w="3057"/>
        <w:gridCol w:w="3039"/>
        <w:gridCol w:w="2977"/>
      </w:tblGrid>
      <w:tr w:rsidR="00BF2C40" w:rsidRPr="00DF106E" w14:paraId="47D9C0EE" w14:textId="77777777" w:rsidTr="001B2AC9">
        <w:trPr>
          <w:tblHeader/>
        </w:trPr>
        <w:tc>
          <w:tcPr>
            <w:tcW w:w="1560" w:type="dxa"/>
            <w:vMerge w:val="restart"/>
            <w:tcBorders>
              <w:top w:val="single" w:sz="12" w:space="0" w:color="003399" w:themeColor="accent2"/>
              <w:left w:val="nil"/>
              <w:bottom w:val="single" w:sz="8" w:space="0" w:color="BFBFBF"/>
              <w:right w:val="single" w:sz="8" w:space="0" w:color="BFBFBF"/>
            </w:tcBorders>
            <w:shd w:val="clear" w:color="auto" w:fill="F6F4EC"/>
            <w:vAlign w:val="center"/>
          </w:tcPr>
          <w:p w14:paraId="78A9A895" w14:textId="4AFD30C0" w:rsidR="00BF2C40" w:rsidRPr="00DF106E" w:rsidRDefault="00BF2C40" w:rsidP="001B2AC9">
            <w:pPr>
              <w:spacing w:before="60"/>
              <w:rPr>
                <w:b/>
                <w:bCs/>
                <w:sz w:val="20"/>
                <w:szCs w:val="20"/>
              </w:rPr>
            </w:pPr>
            <w:r w:rsidRPr="00DF106E">
              <w:rPr>
                <w:b/>
                <w:bCs/>
                <w:sz w:val="20"/>
                <w:szCs w:val="20"/>
              </w:rPr>
              <w:t>Objectives</w:t>
            </w:r>
          </w:p>
        </w:tc>
        <w:tc>
          <w:tcPr>
            <w:tcW w:w="4251" w:type="dxa"/>
            <w:tcBorders>
              <w:top w:val="single" w:sz="12" w:space="0" w:color="003399" w:themeColor="accent2"/>
              <w:left w:val="single" w:sz="8" w:space="0" w:color="BFBFBF"/>
              <w:bottom w:val="single" w:sz="8" w:space="0" w:color="BFBFBF"/>
              <w:right w:val="single" w:sz="8" w:space="0" w:color="BFBFBF"/>
            </w:tcBorders>
            <w:shd w:val="clear" w:color="auto" w:fill="F6F4EC"/>
            <w:vAlign w:val="center"/>
          </w:tcPr>
          <w:p w14:paraId="1FB54914" w14:textId="77777777" w:rsidR="00BF2C40" w:rsidRPr="00DF106E" w:rsidRDefault="00BF2C40" w:rsidP="001B2AC9">
            <w:pPr>
              <w:spacing w:before="60"/>
              <w:rPr>
                <w:b/>
                <w:bCs/>
                <w:sz w:val="20"/>
                <w:szCs w:val="20"/>
              </w:rPr>
            </w:pPr>
            <w:r w:rsidRPr="00DF106E">
              <w:rPr>
                <w:b/>
                <w:bCs/>
                <w:sz w:val="20"/>
                <w:szCs w:val="20"/>
              </w:rPr>
              <w:t>Acute Services</w:t>
            </w:r>
          </w:p>
        </w:tc>
        <w:tc>
          <w:tcPr>
            <w:tcW w:w="3057" w:type="dxa"/>
            <w:tcBorders>
              <w:top w:val="single" w:sz="12" w:space="0" w:color="003399" w:themeColor="accent2"/>
              <w:left w:val="single" w:sz="8" w:space="0" w:color="BFBFBF"/>
              <w:bottom w:val="single" w:sz="8" w:space="0" w:color="BFBFBF"/>
              <w:right w:val="single" w:sz="8" w:space="0" w:color="BFBFBF"/>
            </w:tcBorders>
            <w:shd w:val="clear" w:color="auto" w:fill="F6F4EC"/>
            <w:vAlign w:val="center"/>
          </w:tcPr>
          <w:p w14:paraId="08C13BF1" w14:textId="7E208148" w:rsidR="00BF2C40" w:rsidRPr="00DF106E" w:rsidRDefault="00F61952" w:rsidP="001B2AC9">
            <w:pPr>
              <w:spacing w:before="60"/>
              <w:rPr>
                <w:b/>
                <w:bCs/>
                <w:sz w:val="20"/>
                <w:szCs w:val="20"/>
              </w:rPr>
            </w:pPr>
            <w:r w:rsidRPr="00DF106E">
              <w:rPr>
                <w:b/>
                <w:bCs/>
                <w:sz w:val="20"/>
                <w:szCs w:val="20"/>
              </w:rPr>
              <w:t xml:space="preserve">Other </w:t>
            </w:r>
            <w:r w:rsidR="00BF2C40" w:rsidRPr="00DF106E">
              <w:rPr>
                <w:b/>
                <w:bCs/>
                <w:sz w:val="20"/>
                <w:szCs w:val="20"/>
              </w:rPr>
              <w:t xml:space="preserve">Inpatient </w:t>
            </w:r>
            <w:r w:rsidRPr="00DF106E">
              <w:rPr>
                <w:b/>
                <w:bCs/>
                <w:sz w:val="20"/>
                <w:szCs w:val="20"/>
              </w:rPr>
              <w:t>Facilities</w:t>
            </w:r>
          </w:p>
        </w:tc>
        <w:tc>
          <w:tcPr>
            <w:tcW w:w="3039" w:type="dxa"/>
            <w:tcBorders>
              <w:top w:val="single" w:sz="12" w:space="0" w:color="003399" w:themeColor="accent2"/>
              <w:left w:val="single" w:sz="8" w:space="0" w:color="BFBFBF"/>
              <w:bottom w:val="single" w:sz="8" w:space="0" w:color="BFBFBF"/>
              <w:right w:val="single" w:sz="8" w:space="0" w:color="BFBFBF"/>
            </w:tcBorders>
            <w:shd w:val="clear" w:color="auto" w:fill="F6F4EC"/>
            <w:vAlign w:val="center"/>
          </w:tcPr>
          <w:p w14:paraId="136CA0BA" w14:textId="3DD79F11" w:rsidR="00BF2C40" w:rsidRPr="00DF106E" w:rsidRDefault="00BA1BAB" w:rsidP="001B2AC9">
            <w:pPr>
              <w:spacing w:before="60"/>
              <w:rPr>
                <w:b/>
                <w:bCs/>
                <w:sz w:val="20"/>
                <w:szCs w:val="20"/>
              </w:rPr>
            </w:pPr>
            <w:r w:rsidRPr="00DF106E">
              <w:rPr>
                <w:b/>
                <w:bCs/>
                <w:sz w:val="20"/>
                <w:szCs w:val="20"/>
              </w:rPr>
              <w:t>Other</w:t>
            </w:r>
            <w:r w:rsidR="002464B2" w:rsidRPr="00DF106E">
              <w:rPr>
                <w:b/>
                <w:bCs/>
                <w:sz w:val="20"/>
                <w:szCs w:val="20"/>
              </w:rPr>
              <w:t xml:space="preserve"> Services </w:t>
            </w:r>
            <w:r w:rsidR="000559FB" w:rsidRPr="00DF106E">
              <w:rPr>
                <w:b/>
                <w:bCs/>
                <w:sz w:val="20"/>
                <w:szCs w:val="20"/>
              </w:rPr>
              <w:t>-</w:t>
            </w:r>
            <w:r w:rsidR="002464B2" w:rsidRPr="00DF106E">
              <w:rPr>
                <w:b/>
                <w:bCs/>
                <w:sz w:val="20"/>
                <w:szCs w:val="20"/>
              </w:rPr>
              <w:t xml:space="preserve"> </w:t>
            </w:r>
            <w:r w:rsidRPr="00DF106E">
              <w:rPr>
                <w:b/>
                <w:bCs/>
                <w:sz w:val="20"/>
                <w:szCs w:val="20"/>
              </w:rPr>
              <w:t>Medical</w:t>
            </w:r>
          </w:p>
        </w:tc>
        <w:tc>
          <w:tcPr>
            <w:tcW w:w="2977" w:type="dxa"/>
            <w:tcBorders>
              <w:top w:val="single" w:sz="12" w:space="0" w:color="003399" w:themeColor="accent2"/>
              <w:left w:val="single" w:sz="8" w:space="0" w:color="BFBFBF"/>
              <w:bottom w:val="single" w:sz="8" w:space="0" w:color="BFBFBF"/>
              <w:right w:val="nil"/>
            </w:tcBorders>
            <w:shd w:val="clear" w:color="auto" w:fill="F6F4EC"/>
            <w:vAlign w:val="center"/>
          </w:tcPr>
          <w:p w14:paraId="78253E73" w14:textId="0C5AACAA" w:rsidR="00BF2C40" w:rsidRPr="00DF106E" w:rsidRDefault="00BF2C40" w:rsidP="001B2AC9">
            <w:pPr>
              <w:spacing w:before="60"/>
              <w:rPr>
                <w:b/>
                <w:bCs/>
                <w:sz w:val="20"/>
                <w:szCs w:val="20"/>
              </w:rPr>
            </w:pPr>
            <w:r w:rsidRPr="00DF106E">
              <w:rPr>
                <w:b/>
                <w:bCs/>
                <w:sz w:val="20"/>
                <w:szCs w:val="20"/>
              </w:rPr>
              <w:t xml:space="preserve">Other </w:t>
            </w:r>
            <w:r w:rsidR="002464B2" w:rsidRPr="00DF106E">
              <w:rPr>
                <w:b/>
                <w:bCs/>
                <w:sz w:val="20"/>
                <w:szCs w:val="20"/>
              </w:rPr>
              <w:t xml:space="preserve">Services - </w:t>
            </w:r>
            <w:r w:rsidR="00BA1BAB" w:rsidRPr="00DF106E">
              <w:rPr>
                <w:b/>
                <w:bCs/>
                <w:sz w:val="20"/>
                <w:szCs w:val="20"/>
              </w:rPr>
              <w:t>Support</w:t>
            </w:r>
          </w:p>
        </w:tc>
      </w:tr>
      <w:tr w:rsidR="00853C77" w:rsidRPr="00DF106E" w14:paraId="115C4F6C" w14:textId="77777777" w:rsidTr="001B2AC9">
        <w:trPr>
          <w:tblHeader/>
        </w:trPr>
        <w:tc>
          <w:tcPr>
            <w:tcW w:w="1560" w:type="dxa"/>
            <w:vMerge/>
            <w:tcBorders>
              <w:top w:val="single" w:sz="8" w:space="0" w:color="BFBFBF"/>
              <w:left w:val="nil"/>
              <w:bottom w:val="single" w:sz="12" w:space="0" w:color="003399" w:themeColor="accent2"/>
              <w:right w:val="single" w:sz="8" w:space="0" w:color="BFBFBF"/>
            </w:tcBorders>
            <w:shd w:val="clear" w:color="auto" w:fill="F6F4EC"/>
            <w:vAlign w:val="center"/>
          </w:tcPr>
          <w:p w14:paraId="3C19F720" w14:textId="77777777" w:rsidR="00853C77" w:rsidRPr="00DF106E" w:rsidRDefault="00853C77" w:rsidP="001B2AC9">
            <w:pPr>
              <w:spacing w:before="60"/>
              <w:rPr>
                <w:b/>
                <w:bCs/>
                <w:sz w:val="20"/>
                <w:szCs w:val="20"/>
              </w:rPr>
            </w:pPr>
          </w:p>
        </w:tc>
        <w:tc>
          <w:tcPr>
            <w:tcW w:w="4251"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4B2A5826" w14:textId="6A83ED72" w:rsidR="00853C77" w:rsidRPr="00DF106E" w:rsidRDefault="00853C77" w:rsidP="001B2AC9">
            <w:pPr>
              <w:spacing w:before="60"/>
              <w:rPr>
                <w:b/>
                <w:bCs/>
                <w:sz w:val="20"/>
                <w:szCs w:val="20"/>
              </w:rPr>
            </w:pPr>
            <w:r w:rsidRPr="00DF106E">
              <w:rPr>
                <w:b/>
                <w:bCs/>
                <w:sz w:val="20"/>
                <w:szCs w:val="20"/>
              </w:rPr>
              <w:t>Importance Level 4</w:t>
            </w:r>
          </w:p>
        </w:tc>
        <w:tc>
          <w:tcPr>
            <w:tcW w:w="3057"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32847542" w14:textId="73D1DA70" w:rsidR="00853C77" w:rsidRPr="00DF106E" w:rsidRDefault="00853C77" w:rsidP="001B2AC9">
            <w:pPr>
              <w:spacing w:before="60"/>
              <w:rPr>
                <w:b/>
                <w:bCs/>
                <w:sz w:val="20"/>
                <w:szCs w:val="20"/>
              </w:rPr>
            </w:pPr>
            <w:r w:rsidRPr="00DF106E">
              <w:rPr>
                <w:b/>
                <w:bCs/>
                <w:sz w:val="20"/>
                <w:szCs w:val="20"/>
              </w:rPr>
              <w:t>Importance Level 3</w:t>
            </w:r>
          </w:p>
        </w:tc>
        <w:tc>
          <w:tcPr>
            <w:tcW w:w="6016" w:type="dxa"/>
            <w:gridSpan w:val="2"/>
            <w:tcBorders>
              <w:top w:val="single" w:sz="8" w:space="0" w:color="BFBFBF"/>
              <w:left w:val="single" w:sz="8" w:space="0" w:color="BFBFBF"/>
              <w:bottom w:val="single" w:sz="12" w:space="0" w:color="003399" w:themeColor="accent2"/>
              <w:right w:val="nil"/>
            </w:tcBorders>
            <w:shd w:val="clear" w:color="auto" w:fill="F6F4EC"/>
            <w:vAlign w:val="center"/>
          </w:tcPr>
          <w:p w14:paraId="1E933B72" w14:textId="528DF078" w:rsidR="00853C77" w:rsidRPr="00DF106E" w:rsidRDefault="00853C77" w:rsidP="001B2AC9">
            <w:pPr>
              <w:spacing w:before="60"/>
              <w:jc w:val="center"/>
              <w:rPr>
                <w:b/>
                <w:bCs/>
                <w:sz w:val="20"/>
                <w:szCs w:val="20"/>
              </w:rPr>
            </w:pPr>
            <w:r w:rsidRPr="00DF106E">
              <w:rPr>
                <w:b/>
                <w:bCs/>
                <w:sz w:val="20"/>
                <w:szCs w:val="20"/>
              </w:rPr>
              <w:t>Importance Level 2</w:t>
            </w:r>
          </w:p>
        </w:tc>
      </w:tr>
      <w:tr w:rsidR="00BF2C40" w:rsidRPr="00DF106E" w14:paraId="710C0D0D" w14:textId="77777777" w:rsidTr="00F42916">
        <w:tc>
          <w:tcPr>
            <w:tcW w:w="1560" w:type="dxa"/>
            <w:tcBorders>
              <w:top w:val="single" w:sz="12" w:space="0" w:color="003399" w:themeColor="accent2"/>
              <w:left w:val="nil"/>
              <w:bottom w:val="single" w:sz="8" w:space="0" w:color="BFBFBF"/>
              <w:right w:val="single" w:sz="8" w:space="0" w:color="BFBFBF"/>
            </w:tcBorders>
            <w:shd w:val="clear" w:color="auto" w:fill="F6F4EC"/>
            <w:vAlign w:val="center"/>
          </w:tcPr>
          <w:p w14:paraId="07CB4DBF" w14:textId="77777777" w:rsidR="00BF2C40" w:rsidRPr="00DF106E" w:rsidRDefault="00BF2C40" w:rsidP="00F42916">
            <w:pPr>
              <w:spacing w:before="60"/>
              <w:rPr>
                <w:b/>
                <w:bCs/>
                <w:sz w:val="20"/>
                <w:szCs w:val="20"/>
              </w:rPr>
            </w:pPr>
            <w:r w:rsidRPr="00DF106E">
              <w:rPr>
                <w:b/>
                <w:bCs/>
                <w:sz w:val="20"/>
                <w:szCs w:val="20"/>
              </w:rPr>
              <w:t>Life Safety</w:t>
            </w:r>
          </w:p>
        </w:tc>
        <w:tc>
          <w:tcPr>
            <w:tcW w:w="4251" w:type="dxa"/>
            <w:tcBorders>
              <w:top w:val="single" w:sz="12" w:space="0" w:color="003399" w:themeColor="accent2"/>
              <w:left w:val="single" w:sz="8" w:space="0" w:color="BFBFBF"/>
              <w:bottom w:val="single" w:sz="8" w:space="0" w:color="BFBFBF"/>
              <w:right w:val="single" w:sz="8" w:space="0" w:color="BFBFBF"/>
            </w:tcBorders>
            <w:vAlign w:val="center"/>
          </w:tcPr>
          <w:p w14:paraId="1D723F5A" w14:textId="742E7281" w:rsidR="00BF2C40" w:rsidRPr="00DF106E" w:rsidRDefault="00BF2C40" w:rsidP="00F42916">
            <w:pPr>
              <w:spacing w:before="60"/>
              <w:rPr>
                <w:sz w:val="20"/>
                <w:szCs w:val="20"/>
              </w:rPr>
            </w:pPr>
            <w:r w:rsidRPr="00DF106E">
              <w:rPr>
                <w:sz w:val="20"/>
                <w:szCs w:val="20"/>
              </w:rPr>
              <w:t xml:space="preserve">Low probability of loss of life or </w:t>
            </w:r>
            <w:r w:rsidR="007B677A" w:rsidRPr="00DF106E">
              <w:rPr>
                <w:sz w:val="20"/>
                <w:szCs w:val="20"/>
              </w:rPr>
              <w:t xml:space="preserve">serious </w:t>
            </w:r>
            <w:r w:rsidRPr="00DF106E">
              <w:rPr>
                <w:sz w:val="20"/>
                <w:szCs w:val="20"/>
              </w:rPr>
              <w:t>injury—including to those with a high dependence on medical assistance (care or equipment) for life support.</w:t>
            </w:r>
          </w:p>
        </w:tc>
        <w:tc>
          <w:tcPr>
            <w:tcW w:w="3057" w:type="dxa"/>
            <w:tcBorders>
              <w:top w:val="single" w:sz="12" w:space="0" w:color="003399" w:themeColor="accent2"/>
              <w:left w:val="single" w:sz="8" w:space="0" w:color="BFBFBF"/>
              <w:bottom w:val="single" w:sz="8" w:space="0" w:color="BFBFBF"/>
              <w:right w:val="single" w:sz="8" w:space="0" w:color="BFBFBF"/>
            </w:tcBorders>
            <w:vAlign w:val="center"/>
          </w:tcPr>
          <w:p w14:paraId="42F5248E" w14:textId="34EBA4FE" w:rsidR="00BF2C40" w:rsidRPr="00DF106E" w:rsidRDefault="00BF2C40" w:rsidP="00F42916">
            <w:pPr>
              <w:spacing w:before="60"/>
              <w:rPr>
                <w:sz w:val="20"/>
                <w:szCs w:val="20"/>
              </w:rPr>
            </w:pPr>
            <w:r w:rsidRPr="00DF106E">
              <w:rPr>
                <w:sz w:val="20"/>
                <w:szCs w:val="20"/>
              </w:rPr>
              <w:t xml:space="preserve">Low probability of loss of life or </w:t>
            </w:r>
            <w:r w:rsidR="00070FA3" w:rsidRPr="00DF106E">
              <w:rPr>
                <w:sz w:val="20"/>
                <w:szCs w:val="20"/>
              </w:rPr>
              <w:t xml:space="preserve">serious </w:t>
            </w:r>
            <w:r w:rsidRPr="00DF106E">
              <w:rPr>
                <w:sz w:val="20"/>
                <w:szCs w:val="20"/>
              </w:rPr>
              <w:t>injury.</w:t>
            </w:r>
          </w:p>
        </w:tc>
        <w:tc>
          <w:tcPr>
            <w:tcW w:w="3039" w:type="dxa"/>
            <w:tcBorders>
              <w:top w:val="single" w:sz="12" w:space="0" w:color="003399" w:themeColor="accent2"/>
              <w:left w:val="single" w:sz="8" w:space="0" w:color="BFBFBF"/>
              <w:bottom w:val="single" w:sz="8" w:space="0" w:color="BFBFBF"/>
              <w:right w:val="single" w:sz="8" w:space="0" w:color="BFBFBF"/>
            </w:tcBorders>
            <w:vAlign w:val="center"/>
          </w:tcPr>
          <w:p w14:paraId="110570C8" w14:textId="4F256DED" w:rsidR="00BF2C40" w:rsidRPr="00DF106E" w:rsidRDefault="00755685" w:rsidP="00F42916">
            <w:pPr>
              <w:spacing w:before="60"/>
              <w:rPr>
                <w:sz w:val="20"/>
                <w:szCs w:val="20"/>
              </w:rPr>
            </w:pPr>
            <w:r w:rsidRPr="00DF106E">
              <w:rPr>
                <w:sz w:val="20"/>
                <w:szCs w:val="20"/>
              </w:rPr>
              <w:t>L</w:t>
            </w:r>
            <w:r w:rsidR="00853C77" w:rsidRPr="00DF106E">
              <w:rPr>
                <w:sz w:val="20"/>
                <w:szCs w:val="20"/>
              </w:rPr>
              <w:t xml:space="preserve">ow probability of loss of life or </w:t>
            </w:r>
            <w:r w:rsidR="00070FA3" w:rsidRPr="00DF106E">
              <w:rPr>
                <w:sz w:val="20"/>
                <w:szCs w:val="20"/>
              </w:rPr>
              <w:t xml:space="preserve">serious </w:t>
            </w:r>
            <w:r w:rsidR="00853C77" w:rsidRPr="00DF106E">
              <w:rPr>
                <w:sz w:val="20"/>
                <w:szCs w:val="20"/>
              </w:rPr>
              <w:t>injury</w:t>
            </w:r>
            <w:r w:rsidR="008F796B" w:rsidRPr="00DF106E">
              <w:rPr>
                <w:sz w:val="20"/>
                <w:szCs w:val="20"/>
              </w:rPr>
              <w:t>.</w:t>
            </w:r>
          </w:p>
        </w:tc>
        <w:tc>
          <w:tcPr>
            <w:tcW w:w="2977" w:type="dxa"/>
            <w:tcBorders>
              <w:top w:val="single" w:sz="12" w:space="0" w:color="003399" w:themeColor="accent2"/>
              <w:left w:val="single" w:sz="8" w:space="0" w:color="BFBFBF"/>
              <w:bottom w:val="single" w:sz="8" w:space="0" w:color="BFBFBF"/>
              <w:right w:val="nil"/>
            </w:tcBorders>
            <w:vAlign w:val="center"/>
          </w:tcPr>
          <w:p w14:paraId="518832A7" w14:textId="69F70C24" w:rsidR="00BF2C40" w:rsidRPr="00DF106E" w:rsidRDefault="00BF2C40" w:rsidP="00F42916">
            <w:pPr>
              <w:spacing w:before="60"/>
              <w:rPr>
                <w:sz w:val="20"/>
                <w:szCs w:val="20"/>
              </w:rPr>
            </w:pPr>
            <w:r w:rsidRPr="00DF106E">
              <w:rPr>
                <w:sz w:val="20"/>
                <w:szCs w:val="20"/>
              </w:rPr>
              <w:t xml:space="preserve">Low probability of loss of life or </w:t>
            </w:r>
            <w:r w:rsidR="00070FA3" w:rsidRPr="00DF106E">
              <w:rPr>
                <w:sz w:val="20"/>
                <w:szCs w:val="20"/>
              </w:rPr>
              <w:t xml:space="preserve">serious </w:t>
            </w:r>
            <w:r w:rsidRPr="00DF106E">
              <w:rPr>
                <w:sz w:val="20"/>
                <w:szCs w:val="20"/>
              </w:rPr>
              <w:t>injury.</w:t>
            </w:r>
          </w:p>
        </w:tc>
      </w:tr>
      <w:tr w:rsidR="00BF2C40" w:rsidRPr="00DF106E" w14:paraId="7F80947E" w14:textId="77777777" w:rsidTr="00F42916">
        <w:tc>
          <w:tcPr>
            <w:tcW w:w="1560" w:type="dxa"/>
            <w:tcBorders>
              <w:top w:val="single" w:sz="8" w:space="0" w:color="BFBFBF"/>
              <w:left w:val="nil"/>
              <w:bottom w:val="single" w:sz="8" w:space="0" w:color="BFBFBF"/>
              <w:right w:val="single" w:sz="8" w:space="0" w:color="BFBFBF"/>
            </w:tcBorders>
            <w:shd w:val="clear" w:color="auto" w:fill="F6F4EC"/>
            <w:vAlign w:val="center"/>
          </w:tcPr>
          <w:p w14:paraId="765DAA80" w14:textId="198CF23F" w:rsidR="00BF2C40" w:rsidRPr="00DF106E" w:rsidRDefault="00BF2C40" w:rsidP="00F42916">
            <w:pPr>
              <w:spacing w:before="60"/>
              <w:rPr>
                <w:b/>
                <w:bCs/>
                <w:sz w:val="20"/>
                <w:szCs w:val="20"/>
              </w:rPr>
            </w:pPr>
            <w:r w:rsidRPr="00DF106E">
              <w:rPr>
                <w:b/>
                <w:bCs/>
                <w:sz w:val="20"/>
                <w:szCs w:val="20"/>
              </w:rPr>
              <w:t>Functional Continuity</w:t>
            </w:r>
          </w:p>
        </w:tc>
        <w:tc>
          <w:tcPr>
            <w:tcW w:w="4251" w:type="dxa"/>
            <w:tcBorders>
              <w:top w:val="single" w:sz="8" w:space="0" w:color="BFBFBF"/>
              <w:left w:val="single" w:sz="8" w:space="0" w:color="BFBFBF"/>
              <w:bottom w:val="single" w:sz="8" w:space="0" w:color="BFBFBF"/>
              <w:right w:val="single" w:sz="8" w:space="0" w:color="BFBFBF"/>
            </w:tcBorders>
            <w:vAlign w:val="center"/>
          </w:tcPr>
          <w:p w14:paraId="0262D73B" w14:textId="68EE6AA7" w:rsidR="00BF2C40" w:rsidRPr="00DF106E" w:rsidRDefault="00BF2C40" w:rsidP="00F42916">
            <w:pPr>
              <w:spacing w:before="60"/>
              <w:rPr>
                <w:sz w:val="20"/>
                <w:szCs w:val="20"/>
              </w:rPr>
            </w:pPr>
            <w:r w:rsidRPr="00DF106E">
              <w:rPr>
                <w:sz w:val="20"/>
                <w:szCs w:val="20"/>
              </w:rPr>
              <w:t>No requirement to evacuate.</w:t>
            </w:r>
          </w:p>
          <w:p w14:paraId="24E7A71C" w14:textId="549E4C77" w:rsidR="00BF2C40" w:rsidRPr="00DF106E" w:rsidRDefault="00BF2C40" w:rsidP="00F42916">
            <w:pPr>
              <w:spacing w:before="60"/>
              <w:rPr>
                <w:sz w:val="20"/>
                <w:szCs w:val="20"/>
              </w:rPr>
            </w:pPr>
            <w:r w:rsidRPr="00DF106E">
              <w:rPr>
                <w:sz w:val="20"/>
                <w:szCs w:val="20"/>
              </w:rPr>
              <w:t xml:space="preserve">Basic functionality </w:t>
            </w:r>
            <w:r w:rsidR="00327F88" w:rsidRPr="00DF106E">
              <w:rPr>
                <w:sz w:val="20"/>
                <w:szCs w:val="20"/>
              </w:rPr>
              <w:t xml:space="preserve">and life support </w:t>
            </w:r>
            <w:r w:rsidRPr="00DF106E">
              <w:rPr>
                <w:sz w:val="20"/>
                <w:szCs w:val="20"/>
              </w:rPr>
              <w:t>continuously maintained.</w:t>
            </w:r>
          </w:p>
          <w:p w14:paraId="6602AB3F" w14:textId="055E25AC" w:rsidR="00BF2C40" w:rsidRPr="00DF106E" w:rsidRDefault="00BF2C40" w:rsidP="00F42916">
            <w:pPr>
              <w:spacing w:before="60"/>
              <w:rPr>
                <w:sz w:val="20"/>
                <w:szCs w:val="20"/>
              </w:rPr>
            </w:pPr>
            <w:r w:rsidRPr="00DF106E">
              <w:rPr>
                <w:sz w:val="20"/>
                <w:szCs w:val="20"/>
              </w:rPr>
              <w:t>Full functionality</w:t>
            </w:r>
            <w:r w:rsidR="00873915" w:rsidRPr="00DF106E">
              <w:rPr>
                <w:rStyle w:val="FootnoteReference"/>
                <w:sz w:val="20"/>
                <w:szCs w:val="20"/>
              </w:rPr>
              <w:footnoteReference w:id="16"/>
            </w:r>
            <w:r w:rsidRPr="00DF106E">
              <w:rPr>
                <w:sz w:val="20"/>
                <w:szCs w:val="20"/>
              </w:rPr>
              <w:t xml:space="preserve"> returned within hours</w:t>
            </w:r>
            <w:r w:rsidR="00327F88" w:rsidRPr="00DF106E">
              <w:rPr>
                <w:sz w:val="20"/>
                <w:szCs w:val="20"/>
              </w:rPr>
              <w:t>.</w:t>
            </w:r>
          </w:p>
        </w:tc>
        <w:tc>
          <w:tcPr>
            <w:tcW w:w="3057" w:type="dxa"/>
            <w:tcBorders>
              <w:top w:val="single" w:sz="8" w:space="0" w:color="BFBFBF"/>
              <w:left w:val="single" w:sz="8" w:space="0" w:color="BFBFBF"/>
              <w:bottom w:val="single" w:sz="8" w:space="0" w:color="BFBFBF"/>
              <w:right w:val="single" w:sz="8" w:space="0" w:color="BFBFBF"/>
            </w:tcBorders>
            <w:vAlign w:val="center"/>
          </w:tcPr>
          <w:p w14:paraId="0F708B12" w14:textId="1D7828E7" w:rsidR="00BF2C40" w:rsidRPr="00DF106E" w:rsidRDefault="00BF2C40" w:rsidP="00F42916">
            <w:pPr>
              <w:spacing w:before="60"/>
              <w:rPr>
                <w:sz w:val="20"/>
                <w:szCs w:val="20"/>
              </w:rPr>
            </w:pPr>
            <w:r w:rsidRPr="00DF106E">
              <w:rPr>
                <w:sz w:val="20"/>
                <w:szCs w:val="20"/>
              </w:rPr>
              <w:t xml:space="preserve">Very unlikely to require </w:t>
            </w:r>
            <w:r w:rsidR="0057764B" w:rsidRPr="00DF106E">
              <w:rPr>
                <w:sz w:val="20"/>
                <w:szCs w:val="20"/>
              </w:rPr>
              <w:t xml:space="preserve">emergency </w:t>
            </w:r>
            <w:r w:rsidRPr="00DF106E">
              <w:rPr>
                <w:sz w:val="20"/>
                <w:szCs w:val="20"/>
              </w:rPr>
              <w:t>evacuation</w:t>
            </w:r>
            <w:r w:rsidR="002B400A" w:rsidRPr="00DF106E">
              <w:rPr>
                <w:sz w:val="20"/>
                <w:szCs w:val="20"/>
              </w:rPr>
              <w:t xml:space="preserve"> (for structural safety reasons)</w:t>
            </w:r>
            <w:r w:rsidRPr="00DF106E">
              <w:rPr>
                <w:sz w:val="20"/>
                <w:szCs w:val="20"/>
              </w:rPr>
              <w:t>.</w:t>
            </w:r>
          </w:p>
          <w:p w14:paraId="715A8B3E" w14:textId="3A0A9CC6" w:rsidR="00BF2C40" w:rsidRPr="00DF106E" w:rsidRDefault="00BF2C40" w:rsidP="00F42916">
            <w:pPr>
              <w:spacing w:before="60"/>
              <w:rPr>
                <w:sz w:val="20"/>
                <w:szCs w:val="20"/>
              </w:rPr>
            </w:pPr>
            <w:r w:rsidRPr="00DF106E">
              <w:rPr>
                <w:sz w:val="20"/>
                <w:szCs w:val="20"/>
              </w:rPr>
              <w:t>Basic</w:t>
            </w:r>
            <w:r w:rsidR="00F01098" w:rsidRPr="00DF106E">
              <w:rPr>
                <w:sz w:val="20"/>
                <w:szCs w:val="20"/>
              </w:rPr>
              <w:t>/partial</w:t>
            </w:r>
            <w:r w:rsidRPr="00DF106E">
              <w:rPr>
                <w:sz w:val="20"/>
                <w:szCs w:val="20"/>
              </w:rPr>
              <w:t xml:space="preserve"> functionality restored within minutes to hours.</w:t>
            </w:r>
          </w:p>
          <w:p w14:paraId="6B93FCB1" w14:textId="5B724955" w:rsidR="00BF2C40" w:rsidRPr="00DF106E" w:rsidRDefault="00BF2C40" w:rsidP="00F42916">
            <w:pPr>
              <w:spacing w:before="60"/>
              <w:rPr>
                <w:sz w:val="20"/>
                <w:szCs w:val="20"/>
              </w:rPr>
            </w:pPr>
            <w:r w:rsidRPr="00DF106E">
              <w:rPr>
                <w:sz w:val="20"/>
                <w:szCs w:val="20"/>
              </w:rPr>
              <w:t>Full functionality within weeks.</w:t>
            </w:r>
          </w:p>
        </w:tc>
        <w:tc>
          <w:tcPr>
            <w:tcW w:w="3039" w:type="dxa"/>
            <w:tcBorders>
              <w:top w:val="single" w:sz="8" w:space="0" w:color="BFBFBF"/>
              <w:left w:val="single" w:sz="8" w:space="0" w:color="BFBFBF"/>
              <w:bottom w:val="single" w:sz="8" w:space="0" w:color="BFBFBF"/>
              <w:right w:val="single" w:sz="8" w:space="0" w:color="BFBFBF"/>
            </w:tcBorders>
            <w:vAlign w:val="center"/>
          </w:tcPr>
          <w:p w14:paraId="5D679C41" w14:textId="594AC426" w:rsidR="00BA1BAB" w:rsidRPr="00DF106E" w:rsidRDefault="00BA1BAB" w:rsidP="00F42916">
            <w:pPr>
              <w:spacing w:before="60"/>
              <w:rPr>
                <w:sz w:val="20"/>
                <w:szCs w:val="20"/>
              </w:rPr>
            </w:pPr>
            <w:r w:rsidRPr="00DF106E">
              <w:rPr>
                <w:sz w:val="20"/>
                <w:szCs w:val="20"/>
              </w:rPr>
              <w:t xml:space="preserve">Very unlikely to </w:t>
            </w:r>
            <w:r w:rsidR="0057764B" w:rsidRPr="00DF106E">
              <w:rPr>
                <w:sz w:val="20"/>
                <w:szCs w:val="20"/>
              </w:rPr>
              <w:t xml:space="preserve">require emergency </w:t>
            </w:r>
            <w:r w:rsidRPr="00DF106E">
              <w:rPr>
                <w:sz w:val="20"/>
                <w:szCs w:val="20"/>
              </w:rPr>
              <w:t>evacuation</w:t>
            </w:r>
            <w:r w:rsidR="002B400A" w:rsidRPr="00DF106E">
              <w:rPr>
                <w:sz w:val="20"/>
                <w:szCs w:val="20"/>
              </w:rPr>
              <w:t xml:space="preserve"> (for structural safety reasons)</w:t>
            </w:r>
            <w:r w:rsidRPr="00DF106E">
              <w:rPr>
                <w:sz w:val="20"/>
                <w:szCs w:val="20"/>
              </w:rPr>
              <w:t>.</w:t>
            </w:r>
          </w:p>
          <w:p w14:paraId="6AE24BB1" w14:textId="049EA733" w:rsidR="00BA1BAB" w:rsidRPr="00DF106E" w:rsidRDefault="00BA1BAB" w:rsidP="00F42916">
            <w:pPr>
              <w:spacing w:before="60"/>
              <w:rPr>
                <w:sz w:val="20"/>
                <w:szCs w:val="20"/>
              </w:rPr>
            </w:pPr>
            <w:r w:rsidRPr="00DF106E">
              <w:rPr>
                <w:sz w:val="20"/>
                <w:szCs w:val="20"/>
              </w:rPr>
              <w:t>Basic</w:t>
            </w:r>
            <w:r w:rsidR="00F01098" w:rsidRPr="00DF106E">
              <w:rPr>
                <w:sz w:val="20"/>
                <w:szCs w:val="20"/>
              </w:rPr>
              <w:t>/partial</w:t>
            </w:r>
            <w:r w:rsidR="00B336C8" w:rsidRPr="00DF106E">
              <w:rPr>
                <w:rStyle w:val="FootnoteReference"/>
                <w:sz w:val="20"/>
                <w:szCs w:val="20"/>
              </w:rPr>
              <w:footnoteReference w:id="17"/>
            </w:r>
            <w:r w:rsidRPr="00DF106E">
              <w:rPr>
                <w:sz w:val="20"/>
                <w:szCs w:val="20"/>
              </w:rPr>
              <w:t xml:space="preserve"> functionality restored within </w:t>
            </w:r>
            <w:r w:rsidR="000B7DAA" w:rsidRPr="00DF106E">
              <w:rPr>
                <w:sz w:val="20"/>
                <w:szCs w:val="20"/>
              </w:rPr>
              <w:t>days</w:t>
            </w:r>
            <w:r w:rsidRPr="00DF106E">
              <w:rPr>
                <w:sz w:val="20"/>
                <w:szCs w:val="20"/>
              </w:rPr>
              <w:t xml:space="preserve"> to </w:t>
            </w:r>
            <w:r w:rsidR="000B7DAA" w:rsidRPr="00DF106E">
              <w:rPr>
                <w:sz w:val="20"/>
                <w:szCs w:val="20"/>
              </w:rPr>
              <w:t>weeks</w:t>
            </w:r>
            <w:r w:rsidRPr="00DF106E">
              <w:rPr>
                <w:sz w:val="20"/>
                <w:szCs w:val="20"/>
              </w:rPr>
              <w:t>.</w:t>
            </w:r>
          </w:p>
          <w:p w14:paraId="69975AB2" w14:textId="2D7186CD" w:rsidR="00BF2C40" w:rsidRPr="00DF106E" w:rsidRDefault="00BA1BAB" w:rsidP="00F42916">
            <w:pPr>
              <w:spacing w:before="60"/>
              <w:rPr>
                <w:sz w:val="20"/>
                <w:szCs w:val="20"/>
              </w:rPr>
            </w:pPr>
            <w:r w:rsidRPr="00DF106E">
              <w:rPr>
                <w:sz w:val="20"/>
                <w:szCs w:val="20"/>
              </w:rPr>
              <w:t>Full functionality within weeks to months.</w:t>
            </w:r>
          </w:p>
        </w:tc>
        <w:tc>
          <w:tcPr>
            <w:tcW w:w="2977" w:type="dxa"/>
            <w:tcBorders>
              <w:top w:val="single" w:sz="8" w:space="0" w:color="BFBFBF"/>
              <w:left w:val="single" w:sz="8" w:space="0" w:color="BFBFBF"/>
              <w:bottom w:val="single" w:sz="8" w:space="0" w:color="BFBFBF"/>
              <w:right w:val="nil"/>
            </w:tcBorders>
            <w:vAlign w:val="center"/>
          </w:tcPr>
          <w:p w14:paraId="3552B680" w14:textId="52B0F442" w:rsidR="00BF2C40" w:rsidRPr="00DF106E" w:rsidRDefault="00BF2C40" w:rsidP="00F42916">
            <w:pPr>
              <w:spacing w:before="60"/>
              <w:rPr>
                <w:sz w:val="20"/>
                <w:szCs w:val="20"/>
              </w:rPr>
            </w:pPr>
            <w:r w:rsidRPr="00DF106E">
              <w:rPr>
                <w:sz w:val="20"/>
                <w:szCs w:val="20"/>
              </w:rPr>
              <w:t>Evacuation tolerable (including where resulting from a higher threshold of caution</w:t>
            </w:r>
            <w:r w:rsidRPr="00DF106E">
              <w:rPr>
                <w:rStyle w:val="FootnoteReference"/>
                <w:sz w:val="20"/>
                <w:szCs w:val="20"/>
              </w:rPr>
              <w:footnoteReference w:id="18"/>
            </w:r>
            <w:r w:rsidRPr="00DF106E">
              <w:rPr>
                <w:sz w:val="20"/>
                <w:szCs w:val="20"/>
              </w:rPr>
              <w:t>).</w:t>
            </w:r>
          </w:p>
          <w:p w14:paraId="12D4B530" w14:textId="35BD6F03" w:rsidR="00BF2C40" w:rsidRPr="00DF106E" w:rsidRDefault="00BF2C40" w:rsidP="00F42916">
            <w:pPr>
              <w:spacing w:before="60"/>
              <w:rPr>
                <w:sz w:val="20"/>
                <w:szCs w:val="20"/>
              </w:rPr>
            </w:pPr>
            <w:r w:rsidRPr="00DF106E">
              <w:rPr>
                <w:sz w:val="20"/>
                <w:szCs w:val="20"/>
              </w:rPr>
              <w:t xml:space="preserve">High likelihood of a return to basic functionality within weeks to months (or days to weeks for </w:t>
            </w:r>
            <w:r w:rsidR="000974A6" w:rsidRPr="00DF106E">
              <w:rPr>
                <w:sz w:val="20"/>
                <w:szCs w:val="20"/>
              </w:rPr>
              <w:t>residences</w:t>
            </w:r>
            <w:r w:rsidRPr="00DF106E">
              <w:rPr>
                <w:sz w:val="20"/>
                <w:szCs w:val="20"/>
              </w:rPr>
              <w:t>).</w:t>
            </w:r>
          </w:p>
          <w:p w14:paraId="0DEE069E" w14:textId="299F8E34" w:rsidR="00EF1779" w:rsidRPr="00DF106E" w:rsidRDefault="00EF1779" w:rsidP="00F42916">
            <w:pPr>
              <w:spacing w:before="60"/>
              <w:rPr>
                <w:sz w:val="20"/>
                <w:szCs w:val="20"/>
              </w:rPr>
            </w:pPr>
            <w:r w:rsidRPr="00DF106E">
              <w:rPr>
                <w:sz w:val="20"/>
                <w:szCs w:val="20"/>
              </w:rPr>
              <w:t>Shelter in place</w:t>
            </w:r>
            <w:r w:rsidR="00DF350F" w:rsidRPr="00DF106E">
              <w:rPr>
                <w:rStyle w:val="FootnoteReference"/>
                <w:sz w:val="20"/>
                <w:szCs w:val="20"/>
              </w:rPr>
              <w:footnoteReference w:id="19"/>
            </w:r>
            <w:r w:rsidRPr="00DF106E">
              <w:rPr>
                <w:sz w:val="20"/>
                <w:szCs w:val="20"/>
              </w:rPr>
              <w:t xml:space="preserve"> (residences).</w:t>
            </w:r>
          </w:p>
        </w:tc>
      </w:tr>
      <w:tr w:rsidR="00AF2BE7" w:rsidRPr="00DF106E" w14:paraId="62A1F3F3" w14:textId="77777777" w:rsidTr="00F42916">
        <w:tc>
          <w:tcPr>
            <w:tcW w:w="1560" w:type="dxa"/>
            <w:tcBorders>
              <w:top w:val="single" w:sz="8" w:space="0" w:color="BFBFBF"/>
              <w:left w:val="nil"/>
              <w:bottom w:val="nil"/>
              <w:right w:val="single" w:sz="8" w:space="0" w:color="BFBFBF"/>
            </w:tcBorders>
            <w:shd w:val="clear" w:color="auto" w:fill="F6F4EC"/>
            <w:vAlign w:val="center"/>
          </w:tcPr>
          <w:p w14:paraId="02CD8F5A" w14:textId="161CBD83" w:rsidR="00AF2BE7" w:rsidRPr="00DF106E" w:rsidRDefault="00AF2BE7" w:rsidP="00F42916">
            <w:pPr>
              <w:spacing w:before="60"/>
              <w:rPr>
                <w:b/>
                <w:bCs/>
                <w:sz w:val="20"/>
                <w:szCs w:val="20"/>
              </w:rPr>
            </w:pPr>
            <w:r w:rsidRPr="00DF106E">
              <w:rPr>
                <w:b/>
                <w:bCs/>
                <w:sz w:val="20"/>
                <w:szCs w:val="20"/>
              </w:rPr>
              <w:t>Asset Protection</w:t>
            </w:r>
          </w:p>
        </w:tc>
        <w:tc>
          <w:tcPr>
            <w:tcW w:w="4251" w:type="dxa"/>
            <w:tcBorders>
              <w:top w:val="single" w:sz="8" w:space="0" w:color="BFBFBF"/>
              <w:left w:val="single" w:sz="8" w:space="0" w:color="BFBFBF"/>
              <w:bottom w:val="nil"/>
              <w:right w:val="single" w:sz="8" w:space="0" w:color="BFBFBF"/>
            </w:tcBorders>
            <w:vAlign w:val="center"/>
          </w:tcPr>
          <w:p w14:paraId="7D4D650D" w14:textId="270351E0" w:rsidR="00AF2BE7" w:rsidRPr="00DF106E" w:rsidRDefault="00AF2BE7" w:rsidP="00F42916">
            <w:pPr>
              <w:spacing w:before="60"/>
              <w:rPr>
                <w:sz w:val="20"/>
                <w:szCs w:val="20"/>
              </w:rPr>
            </w:pPr>
            <w:r w:rsidRPr="00DF106E">
              <w:rPr>
                <w:sz w:val="20"/>
                <w:szCs w:val="20"/>
              </w:rPr>
              <w:t>Avoid damage that would be unreasonably expensive or disruptive to repair, in the context of the ongoing functional requirements that must remain uninterrupted.</w:t>
            </w:r>
            <w:r w:rsidR="009C55EB" w:rsidRPr="00DF106E">
              <w:rPr>
                <w:sz w:val="20"/>
                <w:szCs w:val="20"/>
              </w:rPr>
              <w:t xml:space="preserve"> </w:t>
            </w:r>
            <w:r w:rsidR="00FB22B7" w:rsidRPr="00DF106E">
              <w:rPr>
                <w:sz w:val="20"/>
                <w:szCs w:val="20"/>
              </w:rPr>
              <w:t>D</w:t>
            </w:r>
            <w:r w:rsidRPr="00DF106E">
              <w:rPr>
                <w:sz w:val="20"/>
                <w:szCs w:val="20"/>
              </w:rPr>
              <w:t>ecanting of departments not required.</w:t>
            </w:r>
          </w:p>
        </w:tc>
        <w:tc>
          <w:tcPr>
            <w:tcW w:w="6096" w:type="dxa"/>
            <w:gridSpan w:val="2"/>
            <w:tcBorders>
              <w:top w:val="single" w:sz="8" w:space="0" w:color="BFBFBF"/>
              <w:left w:val="single" w:sz="8" w:space="0" w:color="BFBFBF"/>
              <w:bottom w:val="nil"/>
              <w:right w:val="single" w:sz="8" w:space="0" w:color="BFBFBF"/>
            </w:tcBorders>
            <w:vAlign w:val="center"/>
          </w:tcPr>
          <w:p w14:paraId="37F3979E" w14:textId="77777777" w:rsidR="00AF2BE7" w:rsidRPr="00DF106E" w:rsidRDefault="00AF2BE7" w:rsidP="00F42916">
            <w:pPr>
              <w:spacing w:before="60"/>
              <w:rPr>
                <w:sz w:val="20"/>
                <w:szCs w:val="20"/>
              </w:rPr>
            </w:pPr>
            <w:r w:rsidRPr="00DF106E">
              <w:rPr>
                <w:sz w:val="20"/>
                <w:szCs w:val="20"/>
              </w:rPr>
              <w:t>Avoid damage that would be unreasonably expensive or disruptive to repair, in the context of the ongoing basic functional requirements that must remain uninterrupted.</w:t>
            </w:r>
          </w:p>
          <w:p w14:paraId="023C1505" w14:textId="6631A524" w:rsidR="00AF2BE7" w:rsidRPr="00DF106E" w:rsidRDefault="00AF2BE7" w:rsidP="00F42916">
            <w:pPr>
              <w:spacing w:before="60"/>
              <w:rPr>
                <w:sz w:val="20"/>
                <w:szCs w:val="20"/>
              </w:rPr>
            </w:pPr>
            <w:r w:rsidRPr="00DF106E">
              <w:rPr>
                <w:sz w:val="20"/>
                <w:szCs w:val="20"/>
              </w:rPr>
              <w:t>Decanting of departments not required—minor capacity impacts tolerable.</w:t>
            </w:r>
          </w:p>
        </w:tc>
        <w:tc>
          <w:tcPr>
            <w:tcW w:w="2977" w:type="dxa"/>
            <w:tcBorders>
              <w:top w:val="single" w:sz="8" w:space="0" w:color="BFBFBF"/>
              <w:left w:val="single" w:sz="8" w:space="0" w:color="BFBFBF"/>
              <w:bottom w:val="nil"/>
              <w:right w:val="nil"/>
            </w:tcBorders>
            <w:vAlign w:val="center"/>
          </w:tcPr>
          <w:p w14:paraId="2C79645D" w14:textId="5C7EA991" w:rsidR="00AF2BE7" w:rsidRPr="00DF106E" w:rsidRDefault="00AF2BE7" w:rsidP="00F42916">
            <w:pPr>
              <w:spacing w:before="60"/>
              <w:rPr>
                <w:sz w:val="20"/>
                <w:szCs w:val="20"/>
              </w:rPr>
            </w:pPr>
            <w:r w:rsidRPr="00DF106E">
              <w:rPr>
                <w:sz w:val="20"/>
                <w:szCs w:val="20"/>
              </w:rPr>
              <w:t>Low likelihood of a total loss.</w:t>
            </w:r>
          </w:p>
          <w:p w14:paraId="2202DB40" w14:textId="25AD4967" w:rsidR="00AF2BE7" w:rsidRPr="00DF106E" w:rsidRDefault="00AF2BE7" w:rsidP="00F42916">
            <w:pPr>
              <w:spacing w:before="60"/>
              <w:rPr>
                <w:sz w:val="20"/>
                <w:szCs w:val="20"/>
              </w:rPr>
            </w:pPr>
            <w:r w:rsidRPr="00DF106E">
              <w:rPr>
                <w:sz w:val="20"/>
                <w:szCs w:val="20"/>
              </w:rPr>
              <w:t>Damage economic and practical to repair without full decant (partial decant tolerable).</w:t>
            </w:r>
          </w:p>
        </w:tc>
      </w:tr>
    </w:tbl>
    <w:p w14:paraId="7068F687" w14:textId="1244CFDC" w:rsidR="00457F33" w:rsidRDefault="00457F33" w:rsidP="00666E06">
      <w:pPr>
        <w:sectPr w:rsidR="00457F33" w:rsidSect="008830C8">
          <w:headerReference w:type="default" r:id="rId45"/>
          <w:footerReference w:type="default" r:id="rId46"/>
          <w:headerReference w:type="first" r:id="rId47"/>
          <w:footerReference w:type="first" r:id="rId48"/>
          <w:footnotePr>
            <w:numRestart w:val="eachPage"/>
          </w:footnotePr>
          <w:pgSz w:w="16838" w:h="11906" w:orient="landscape" w:code="187"/>
          <w:pgMar w:top="1135" w:right="1134" w:bottom="1134" w:left="1134" w:header="709" w:footer="709" w:gutter="0"/>
          <w:cols w:space="708"/>
          <w:docGrid w:linePitch="360"/>
        </w:sectPr>
      </w:pPr>
      <w:bookmarkStart w:id="154" w:name="_Toc150431041"/>
      <w:bookmarkStart w:id="155" w:name="_Toc150754473"/>
      <w:bookmarkStart w:id="156" w:name="_Toc147899144"/>
      <w:bookmarkEnd w:id="154"/>
      <w:bookmarkEnd w:id="155"/>
    </w:p>
    <w:p w14:paraId="1B31FC4B" w14:textId="0B9844AB" w:rsidR="00835562" w:rsidRPr="004F3731" w:rsidRDefault="00835562" w:rsidP="001B2AC9">
      <w:pPr>
        <w:pStyle w:val="Section2Heading2"/>
      </w:pPr>
      <w:bookmarkStart w:id="157" w:name="_Ref157204226"/>
      <w:bookmarkStart w:id="158" w:name="_Toc203641952"/>
      <w:r w:rsidRPr="004F3731">
        <w:lastRenderedPageBreak/>
        <w:t>Seismic Performance Goals</w:t>
      </w:r>
      <w:bookmarkEnd w:id="156"/>
      <w:r w:rsidR="00EB6850" w:rsidRPr="004F3731">
        <w:t xml:space="preserve"> and Limit States</w:t>
      </w:r>
      <w:r w:rsidR="00E319C7" w:rsidRPr="004F3731">
        <w:t xml:space="preserve"> for Design</w:t>
      </w:r>
      <w:bookmarkEnd w:id="157"/>
      <w:bookmarkEnd w:id="158"/>
    </w:p>
    <w:p w14:paraId="3FFF73AF" w14:textId="15904409" w:rsidR="00B6518E" w:rsidRPr="001B2AC9" w:rsidRDefault="00CD707B" w:rsidP="00D56CAE">
      <w:pPr>
        <w:pStyle w:val="BodyHeading"/>
        <w:rPr>
          <w:color w:val="0C818E"/>
        </w:rPr>
      </w:pPr>
      <w:r w:rsidRPr="001B2AC9">
        <w:rPr>
          <w:color w:val="0C818E"/>
        </w:rPr>
        <w:t xml:space="preserve">How should </w:t>
      </w:r>
      <w:r w:rsidR="00525A5D" w:rsidRPr="001B2AC9">
        <w:rPr>
          <w:color w:val="0C818E"/>
        </w:rPr>
        <w:t xml:space="preserve">our </w:t>
      </w:r>
      <w:r w:rsidRPr="001B2AC9">
        <w:rPr>
          <w:color w:val="0C818E"/>
        </w:rPr>
        <w:t>facilities perform, to meet these outcome objectives?</w:t>
      </w:r>
    </w:p>
    <w:p w14:paraId="52275F6B" w14:textId="5620EF8A" w:rsidR="002C2E15" w:rsidRPr="004F3731" w:rsidRDefault="00400A08" w:rsidP="00666E06">
      <w:r w:rsidRPr="004F3731">
        <w:t xml:space="preserve">Performance goals transcribe </w:t>
      </w:r>
      <w:r w:rsidR="007E39E8" w:rsidRPr="004F3731">
        <w:t>the overarching outcome objectives into requirements for buildings</w:t>
      </w:r>
      <w:r w:rsidR="001F5187" w:rsidRPr="004F3731">
        <w:t xml:space="preserve">—with more specificity on how </w:t>
      </w:r>
      <w:r w:rsidR="009D4406">
        <w:t>buildings</w:t>
      </w:r>
      <w:r w:rsidR="009D4406" w:rsidRPr="004F3731">
        <w:t xml:space="preserve"> </w:t>
      </w:r>
      <w:r w:rsidR="001F5187" w:rsidRPr="004F3731">
        <w:t xml:space="preserve">need to perform under given scenarios. This </w:t>
      </w:r>
      <w:r w:rsidR="001A3BEE" w:rsidRPr="004F3731">
        <w:t xml:space="preserve">is used to define engineering design limit states. </w:t>
      </w:r>
      <w:r w:rsidR="002C2E15" w:rsidRPr="004F3731">
        <w:t>Performance goals should be considered relative to the categories of services in each area.</w:t>
      </w:r>
    </w:p>
    <w:p w14:paraId="2E2DBF5D" w14:textId="27E04D37" w:rsidR="00F15A10" w:rsidRPr="004F3731" w:rsidRDefault="0096411D" w:rsidP="00666E06">
      <w:r w:rsidRPr="004F3731">
        <w:fldChar w:fldCharType="begin"/>
      </w:r>
      <w:r w:rsidRPr="004F3731">
        <w:instrText xml:space="preserve"> REF _Ref157087771 \h </w:instrText>
      </w:r>
      <w:r w:rsidR="004F3731">
        <w:instrText xml:space="preserve"> \* MERGEFORMAT </w:instrText>
      </w:r>
      <w:r w:rsidRPr="004F3731">
        <w:fldChar w:fldCharType="separate"/>
      </w:r>
      <w:r w:rsidR="000761C1" w:rsidRPr="000761C1">
        <w:t xml:space="preserve">Table </w:t>
      </w:r>
      <w:r w:rsidR="000761C1" w:rsidRPr="000761C1">
        <w:rPr>
          <w:noProof/>
        </w:rPr>
        <w:t>5</w:t>
      </w:r>
      <w:r w:rsidRPr="004F3731">
        <w:fldChar w:fldCharType="end"/>
      </w:r>
      <w:r w:rsidR="002F2FB9">
        <w:t xml:space="preserve"> </w:t>
      </w:r>
      <w:r w:rsidR="00F15A10" w:rsidRPr="004F3731">
        <w:t>describe</w:t>
      </w:r>
      <w:r w:rsidRPr="004F3731">
        <w:t>s</w:t>
      </w:r>
      <w:r w:rsidR="00F15A10" w:rsidRPr="004F3731">
        <w:t xml:space="preserve"> the performance goals for each of the service classifications.</w:t>
      </w:r>
      <w:r w:rsidR="00F02592" w:rsidRPr="004F3731">
        <w:t xml:space="preserve"> </w:t>
      </w:r>
      <w:r w:rsidR="001A284A" w:rsidRPr="004F3731">
        <w:t xml:space="preserve">It </w:t>
      </w:r>
      <w:r w:rsidR="002D30AC" w:rsidRPr="004F3731">
        <w:t>refers to the following</w:t>
      </w:r>
      <w:r w:rsidR="001A284A" w:rsidRPr="004F3731">
        <w:t xml:space="preserve"> o</w:t>
      </w:r>
      <w:r w:rsidR="00F02592" w:rsidRPr="004F3731">
        <w:t xml:space="preserve">perational states </w:t>
      </w:r>
      <w:r w:rsidR="002D30AC" w:rsidRPr="004F3731">
        <w:t>listed below (</w:t>
      </w:r>
      <w:r w:rsidR="00A875D0" w:rsidRPr="004F3731">
        <w:t xml:space="preserve">defined in the Glossary of </w:t>
      </w:r>
      <w:r w:rsidR="00027010" w:rsidRPr="004F3731">
        <w:t>T</w:t>
      </w:r>
      <w:r w:rsidR="00A875D0" w:rsidRPr="004F3731">
        <w:t xml:space="preserve">erms </w:t>
      </w:r>
      <w:r w:rsidR="002D30AC" w:rsidRPr="004F3731">
        <w:t xml:space="preserve">and </w:t>
      </w:r>
      <w:r w:rsidR="00A875D0" w:rsidRPr="004F3731">
        <w:t>shown diagrammatically</w:t>
      </w:r>
      <w:r w:rsidR="002D30AC" w:rsidRPr="004F3731">
        <w:t xml:space="preserve"> in</w:t>
      </w:r>
      <w:r w:rsidR="008D0730" w:rsidRPr="004F3731">
        <w:t xml:space="preserve"> </w:t>
      </w:r>
      <w:r w:rsidR="004B436F" w:rsidRPr="003B67C8">
        <w:fldChar w:fldCharType="begin"/>
      </w:r>
      <w:r w:rsidR="004B436F" w:rsidRPr="003B67C8">
        <w:instrText xml:space="preserve"> REF _Ref151968348 \h </w:instrText>
      </w:r>
      <w:r w:rsidR="003B67C8">
        <w:instrText xml:space="preserve"> \* MERGEFORMAT </w:instrText>
      </w:r>
      <w:r w:rsidR="004B436F" w:rsidRPr="003B67C8">
        <w:fldChar w:fldCharType="separate"/>
      </w:r>
      <w:r w:rsidR="003B67C8" w:rsidRPr="003B67C8">
        <w:t xml:space="preserve">Figure </w:t>
      </w:r>
      <w:r w:rsidR="003B67C8" w:rsidRPr="003B67C8">
        <w:rPr>
          <w:noProof/>
        </w:rPr>
        <w:t>6</w:t>
      </w:r>
      <w:r w:rsidR="004B436F" w:rsidRPr="003B67C8">
        <w:fldChar w:fldCharType="end"/>
      </w:r>
      <w:r w:rsidR="002D30AC" w:rsidRPr="004F3731">
        <w:t>).</w:t>
      </w:r>
    </w:p>
    <w:p w14:paraId="4D5BF5B3" w14:textId="77F0B7B7" w:rsidR="006A0C57" w:rsidRPr="004F3731" w:rsidRDefault="006A0C57" w:rsidP="004D55F1">
      <w:pPr>
        <w:pStyle w:val="ListParagraph"/>
        <w:numPr>
          <w:ilvl w:val="0"/>
          <w:numId w:val="8"/>
        </w:numPr>
      </w:pPr>
      <w:r w:rsidRPr="004F3731">
        <w:t>Normal operations</w:t>
      </w:r>
      <w:r w:rsidR="00A875D0" w:rsidRPr="004F3731">
        <w:t xml:space="preserve"> (pre-earthquake condition)</w:t>
      </w:r>
    </w:p>
    <w:p w14:paraId="3EBB6D3C" w14:textId="261724B9" w:rsidR="006A0C57" w:rsidRPr="004F3731" w:rsidRDefault="006A0C57" w:rsidP="004D55F1">
      <w:pPr>
        <w:pStyle w:val="ListParagraph"/>
        <w:numPr>
          <w:ilvl w:val="0"/>
          <w:numId w:val="8"/>
        </w:numPr>
      </w:pPr>
      <w:r w:rsidRPr="004F3731">
        <w:t>Full functionality</w:t>
      </w:r>
      <w:r w:rsidR="00617AEE" w:rsidRPr="004F3731">
        <w:rPr>
          <w:rStyle w:val="FootnoteReference"/>
        </w:rPr>
        <w:footnoteReference w:id="20"/>
      </w:r>
    </w:p>
    <w:p w14:paraId="0A499B35" w14:textId="2BA7CA82" w:rsidR="006A0C57" w:rsidRPr="004F3731" w:rsidRDefault="004D087F" w:rsidP="004D55F1">
      <w:pPr>
        <w:pStyle w:val="ListParagraph"/>
        <w:numPr>
          <w:ilvl w:val="0"/>
          <w:numId w:val="8"/>
        </w:numPr>
      </w:pPr>
      <w:r w:rsidRPr="004F3731">
        <w:t>Partial (b</w:t>
      </w:r>
      <w:r w:rsidR="006A0C57" w:rsidRPr="004F3731">
        <w:t>asic</w:t>
      </w:r>
      <w:r w:rsidRPr="004F3731">
        <w:t>)</w:t>
      </w:r>
      <w:r w:rsidR="006A0C57" w:rsidRPr="004F3731">
        <w:t xml:space="preserve"> functionality</w:t>
      </w:r>
    </w:p>
    <w:p w14:paraId="1A309131" w14:textId="4908178A" w:rsidR="00040DA8" w:rsidRPr="004F3731" w:rsidRDefault="00040DA8" w:rsidP="004D55F1">
      <w:pPr>
        <w:pStyle w:val="ListParagraph"/>
        <w:numPr>
          <w:ilvl w:val="0"/>
          <w:numId w:val="8"/>
        </w:numPr>
      </w:pPr>
      <w:r w:rsidRPr="004F3731">
        <w:t>Shelter in place</w:t>
      </w:r>
    </w:p>
    <w:p w14:paraId="57EC5AF8" w14:textId="19FB6053" w:rsidR="00040DA8" w:rsidRPr="004F3731" w:rsidRDefault="00040DA8" w:rsidP="004D55F1">
      <w:pPr>
        <w:pStyle w:val="ListParagraph"/>
        <w:numPr>
          <w:ilvl w:val="0"/>
          <w:numId w:val="8"/>
        </w:numPr>
      </w:pPr>
      <w:r w:rsidRPr="004F3731">
        <w:t>Not occupiable</w:t>
      </w:r>
    </w:p>
    <w:p w14:paraId="6FD554E4" w14:textId="590EBC00" w:rsidR="009B341A" w:rsidRDefault="00075319" w:rsidP="00666E06">
      <w:r>
        <w:rPr>
          <w:noProof/>
        </w:rPr>
        <w:drawing>
          <wp:inline distT="0" distB="0" distL="0" distR="0" wp14:anchorId="254F44B6" wp14:editId="73DD28FE">
            <wp:extent cx="6120130" cy="3359150"/>
            <wp:effectExtent l="0" t="0" r="0" b="0"/>
            <wp:docPr id="430142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2983" name=""/>
                    <pic:cNvPicPr/>
                  </pic:nvPicPr>
                  <pic:blipFill>
                    <a:blip r:embed="rId49"/>
                    <a:stretch>
                      <a:fillRect/>
                    </a:stretch>
                  </pic:blipFill>
                  <pic:spPr>
                    <a:xfrm>
                      <a:off x="0" y="0"/>
                      <a:ext cx="6120130" cy="3359150"/>
                    </a:xfrm>
                    <a:prstGeom prst="rect">
                      <a:avLst/>
                    </a:prstGeom>
                  </pic:spPr>
                </pic:pic>
              </a:graphicData>
            </a:graphic>
          </wp:inline>
        </w:drawing>
      </w:r>
    </w:p>
    <w:p w14:paraId="74E4E65A" w14:textId="36BB6392" w:rsidR="00D74EF6" w:rsidRPr="003B67C8" w:rsidRDefault="00D74EF6" w:rsidP="00BD1621">
      <w:pPr>
        <w:pStyle w:val="Figure"/>
        <w:rPr>
          <w:sz w:val="20"/>
          <w:szCs w:val="20"/>
        </w:rPr>
      </w:pPr>
      <w:bookmarkStart w:id="159" w:name="_Ref151968348"/>
      <w:r w:rsidRPr="003B67C8">
        <w:rPr>
          <w:sz w:val="20"/>
          <w:szCs w:val="20"/>
        </w:rPr>
        <w:t xml:space="preserve">Figure </w:t>
      </w:r>
      <w:r w:rsidRPr="003B67C8">
        <w:rPr>
          <w:sz w:val="20"/>
          <w:szCs w:val="20"/>
        </w:rPr>
        <w:fldChar w:fldCharType="begin"/>
      </w:r>
      <w:r w:rsidRPr="003B67C8">
        <w:rPr>
          <w:sz w:val="20"/>
          <w:szCs w:val="20"/>
        </w:rPr>
        <w:instrText>SEQ Figure \* ARABIC</w:instrText>
      </w:r>
      <w:r w:rsidRPr="003B67C8">
        <w:rPr>
          <w:sz w:val="20"/>
          <w:szCs w:val="20"/>
        </w:rPr>
        <w:fldChar w:fldCharType="separate"/>
      </w:r>
      <w:r w:rsidR="00C921D6">
        <w:rPr>
          <w:noProof/>
          <w:sz w:val="20"/>
          <w:szCs w:val="20"/>
        </w:rPr>
        <w:t>6</w:t>
      </w:r>
      <w:r w:rsidRPr="003B67C8">
        <w:rPr>
          <w:sz w:val="20"/>
          <w:szCs w:val="20"/>
        </w:rPr>
        <w:fldChar w:fldCharType="end"/>
      </w:r>
      <w:bookmarkEnd w:id="159"/>
      <w:r w:rsidRPr="003B67C8">
        <w:rPr>
          <w:sz w:val="20"/>
          <w:szCs w:val="20"/>
        </w:rPr>
        <w:t>: Tolerable reductions in functionality</w:t>
      </w:r>
      <w:r w:rsidR="0026234B" w:rsidRPr="003B67C8">
        <w:rPr>
          <w:sz w:val="20"/>
          <w:szCs w:val="20"/>
        </w:rPr>
        <w:t xml:space="preserve"> for </w:t>
      </w:r>
      <w:r w:rsidR="007D5C79" w:rsidRPr="003B67C8">
        <w:rPr>
          <w:sz w:val="20"/>
          <w:szCs w:val="20"/>
        </w:rPr>
        <w:t xml:space="preserve">Health NZ </w:t>
      </w:r>
      <w:r w:rsidR="00E46A23" w:rsidRPr="003B67C8">
        <w:rPr>
          <w:sz w:val="20"/>
          <w:szCs w:val="20"/>
        </w:rPr>
        <w:t>assets</w:t>
      </w:r>
      <w:r w:rsidR="00104A9C" w:rsidRPr="003B67C8">
        <w:rPr>
          <w:sz w:val="20"/>
          <w:szCs w:val="20"/>
        </w:rPr>
        <w:t xml:space="preserve"> following a significant earthquake</w:t>
      </w:r>
      <w:r w:rsidRPr="003B67C8">
        <w:rPr>
          <w:sz w:val="20"/>
          <w:szCs w:val="20"/>
        </w:rPr>
        <w:t xml:space="preserve">, and timeframes to full recovery, indicated in graphical form for different </w:t>
      </w:r>
      <w:r w:rsidR="00E46A23" w:rsidRPr="003B67C8">
        <w:rPr>
          <w:sz w:val="20"/>
          <w:szCs w:val="20"/>
        </w:rPr>
        <w:t>asset types (health service categories)</w:t>
      </w:r>
      <w:r w:rsidRPr="003B67C8">
        <w:rPr>
          <w:sz w:val="20"/>
          <w:szCs w:val="20"/>
        </w:rPr>
        <w:t>.</w:t>
      </w:r>
    </w:p>
    <w:p w14:paraId="2EA9C5CA" w14:textId="2F14F96B" w:rsidR="001D035F" w:rsidRPr="00941817" w:rsidRDefault="001D035F" w:rsidP="00C17550">
      <w:pPr>
        <w:pStyle w:val="Figure"/>
        <w:keepNext/>
        <w:rPr>
          <w:sz w:val="20"/>
          <w:szCs w:val="20"/>
        </w:rPr>
      </w:pPr>
      <w:bookmarkStart w:id="160" w:name="_Ref157087771"/>
      <w:r w:rsidRPr="00941817">
        <w:rPr>
          <w:sz w:val="20"/>
          <w:szCs w:val="20"/>
        </w:rPr>
        <w:lastRenderedPageBreak/>
        <w:t xml:space="preserve">Table </w:t>
      </w:r>
      <w:r w:rsidRPr="00941817">
        <w:rPr>
          <w:sz w:val="20"/>
          <w:szCs w:val="20"/>
        </w:rPr>
        <w:fldChar w:fldCharType="begin"/>
      </w:r>
      <w:r w:rsidRPr="00941817">
        <w:rPr>
          <w:sz w:val="20"/>
          <w:szCs w:val="20"/>
        </w:rPr>
        <w:instrText>SEQ Table \* ARABIC</w:instrText>
      </w:r>
      <w:r w:rsidRPr="00941817">
        <w:rPr>
          <w:sz w:val="20"/>
          <w:szCs w:val="20"/>
        </w:rPr>
        <w:fldChar w:fldCharType="separate"/>
      </w:r>
      <w:r w:rsidR="000761C1">
        <w:rPr>
          <w:noProof/>
          <w:sz w:val="20"/>
          <w:szCs w:val="20"/>
        </w:rPr>
        <w:t>5</w:t>
      </w:r>
      <w:r w:rsidRPr="00941817">
        <w:rPr>
          <w:sz w:val="20"/>
          <w:szCs w:val="20"/>
        </w:rPr>
        <w:fldChar w:fldCharType="end"/>
      </w:r>
      <w:bookmarkEnd w:id="160"/>
      <w:r w:rsidRPr="00941817">
        <w:rPr>
          <w:sz w:val="20"/>
          <w:szCs w:val="20"/>
        </w:rPr>
        <w:t>: Summary of seismic performance goals</w:t>
      </w:r>
      <w:r w:rsidR="007F6D3A" w:rsidRPr="00941817">
        <w:rPr>
          <w:sz w:val="20"/>
          <w:szCs w:val="20"/>
        </w:rPr>
        <w:t xml:space="preserve"> for hospital buildings</w:t>
      </w:r>
    </w:p>
    <w:tbl>
      <w:tblPr>
        <w:tblStyle w:val="GridTable4"/>
        <w:tblW w:w="9630"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ayout w:type="fixed"/>
        <w:tblLook w:val="06A0" w:firstRow="1" w:lastRow="0" w:firstColumn="1" w:lastColumn="0" w:noHBand="1" w:noVBand="1"/>
      </w:tblPr>
      <w:tblGrid>
        <w:gridCol w:w="1605"/>
        <w:gridCol w:w="1650"/>
        <w:gridCol w:w="3975"/>
        <w:gridCol w:w="2400"/>
      </w:tblGrid>
      <w:tr w:rsidR="0D4BF8B0" w:rsidRPr="00941817" w14:paraId="0DE594C0" w14:textId="77777777" w:rsidTr="002F2FB9">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605" w:type="dxa"/>
            <w:vMerge w:val="restart"/>
            <w:tcBorders>
              <w:top w:val="single" w:sz="12" w:space="0" w:color="003399" w:themeColor="accent2"/>
              <w:left w:val="nil"/>
              <w:bottom w:val="single" w:sz="8" w:space="0" w:color="BFBFBF"/>
              <w:right w:val="single" w:sz="8" w:space="0" w:color="BFBFBF"/>
            </w:tcBorders>
            <w:shd w:val="clear" w:color="auto" w:fill="F6F4EC"/>
            <w:vAlign w:val="center"/>
          </w:tcPr>
          <w:p w14:paraId="4F0AD8F1" w14:textId="398D7493" w:rsidR="0D4BF8B0" w:rsidRPr="00941817" w:rsidRDefault="0D4BF8B0" w:rsidP="008947D7">
            <w:pPr>
              <w:pStyle w:val="Tableheading0"/>
              <w:rPr>
                <w:b/>
                <w:bCs/>
                <w:sz w:val="20"/>
                <w:szCs w:val="20"/>
              </w:rPr>
            </w:pPr>
            <w:r w:rsidRPr="00941817">
              <w:rPr>
                <w:b/>
                <w:bCs/>
                <w:sz w:val="20"/>
                <w:szCs w:val="20"/>
              </w:rPr>
              <w:t>Building Category</w:t>
            </w:r>
          </w:p>
        </w:tc>
        <w:tc>
          <w:tcPr>
            <w:tcW w:w="8025" w:type="dxa"/>
            <w:gridSpan w:val="3"/>
            <w:tcBorders>
              <w:top w:val="single" w:sz="12" w:space="0" w:color="003399" w:themeColor="accent2"/>
              <w:left w:val="single" w:sz="8" w:space="0" w:color="BFBFBF"/>
              <w:bottom w:val="single" w:sz="8" w:space="0" w:color="BFBFBF"/>
              <w:right w:val="nil"/>
            </w:tcBorders>
            <w:shd w:val="clear" w:color="auto" w:fill="F6F4EC"/>
          </w:tcPr>
          <w:p w14:paraId="1FD7FDD0" w14:textId="183782CA" w:rsidR="0D4BF8B0" w:rsidRPr="00941817" w:rsidRDefault="0D4BF8B0" w:rsidP="009275DD">
            <w:pPr>
              <w:pStyle w:val="Tableheading0"/>
              <w:jc w:val="center"/>
              <w:cnfStyle w:val="100000000000" w:firstRow="1" w:lastRow="0" w:firstColumn="0" w:lastColumn="0" w:oddVBand="0" w:evenVBand="0" w:oddHBand="0" w:evenHBand="0" w:firstRowFirstColumn="0" w:firstRowLastColumn="0" w:lastRowFirstColumn="0" w:lastRowLastColumn="0"/>
              <w:rPr>
                <w:b/>
                <w:bCs/>
                <w:sz w:val="20"/>
                <w:szCs w:val="20"/>
              </w:rPr>
            </w:pPr>
            <w:r w:rsidRPr="00941817">
              <w:rPr>
                <w:b/>
                <w:bCs/>
                <w:sz w:val="20"/>
                <w:szCs w:val="20"/>
              </w:rPr>
              <w:t>Building Performance Goal</w:t>
            </w:r>
          </w:p>
        </w:tc>
      </w:tr>
      <w:tr w:rsidR="0D4BF8B0" w:rsidRPr="00941817" w14:paraId="074E3FA6" w14:textId="77777777" w:rsidTr="002F2FB9">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605" w:type="dxa"/>
            <w:vMerge/>
            <w:tcBorders>
              <w:top w:val="single" w:sz="8" w:space="0" w:color="BFBFBF"/>
              <w:left w:val="nil"/>
              <w:bottom w:val="single" w:sz="12" w:space="0" w:color="003399" w:themeColor="accent2"/>
              <w:right w:val="single" w:sz="8" w:space="0" w:color="BFBFBF"/>
            </w:tcBorders>
            <w:shd w:val="clear" w:color="auto" w:fill="F6F4EC"/>
            <w:vAlign w:val="center"/>
          </w:tcPr>
          <w:p w14:paraId="35C0D6A4" w14:textId="77777777" w:rsidR="00AE1814" w:rsidRPr="00941817" w:rsidRDefault="00AE1814" w:rsidP="008947D7">
            <w:pPr>
              <w:pStyle w:val="Tableheading0"/>
              <w:rPr>
                <w:b/>
                <w:bCs/>
                <w:sz w:val="20"/>
                <w:szCs w:val="20"/>
              </w:rPr>
            </w:pPr>
          </w:p>
        </w:tc>
        <w:tc>
          <w:tcPr>
            <w:tcW w:w="1650" w:type="dxa"/>
            <w:tcBorders>
              <w:top w:val="single" w:sz="8" w:space="0" w:color="BFBFBF"/>
              <w:left w:val="single" w:sz="8" w:space="0" w:color="BFBFBF"/>
              <w:bottom w:val="single" w:sz="12" w:space="0" w:color="003399" w:themeColor="accent2"/>
              <w:right w:val="single" w:sz="8" w:space="0" w:color="BFBFBF"/>
            </w:tcBorders>
            <w:shd w:val="clear" w:color="auto" w:fill="F6F4EC"/>
          </w:tcPr>
          <w:p w14:paraId="71916B35" w14:textId="6B63096A" w:rsidR="0D4BF8B0" w:rsidRPr="00941817" w:rsidRDefault="0D4BF8B0" w:rsidP="008947D7">
            <w:pPr>
              <w:pStyle w:val="Tableheading0"/>
              <w:cnfStyle w:val="100000000000" w:firstRow="1" w:lastRow="0" w:firstColumn="0" w:lastColumn="0" w:oddVBand="0" w:evenVBand="0" w:oddHBand="0" w:evenHBand="0" w:firstRowFirstColumn="0" w:firstRowLastColumn="0" w:lastRowFirstColumn="0" w:lastRowLastColumn="0"/>
              <w:rPr>
                <w:b/>
                <w:bCs/>
                <w:sz w:val="20"/>
                <w:szCs w:val="20"/>
              </w:rPr>
            </w:pPr>
            <w:r w:rsidRPr="00941817">
              <w:rPr>
                <w:b/>
                <w:bCs/>
                <w:sz w:val="20"/>
                <w:szCs w:val="20"/>
              </w:rPr>
              <w:t>Life Safety</w:t>
            </w:r>
          </w:p>
        </w:tc>
        <w:tc>
          <w:tcPr>
            <w:tcW w:w="3975" w:type="dxa"/>
            <w:tcBorders>
              <w:top w:val="single" w:sz="8" w:space="0" w:color="BFBFBF"/>
              <w:left w:val="single" w:sz="8" w:space="0" w:color="BFBFBF"/>
              <w:bottom w:val="single" w:sz="12" w:space="0" w:color="003399" w:themeColor="accent2"/>
              <w:right w:val="single" w:sz="8" w:space="0" w:color="BFBFBF"/>
            </w:tcBorders>
            <w:shd w:val="clear" w:color="auto" w:fill="F6F4EC"/>
          </w:tcPr>
          <w:p w14:paraId="417E6403" w14:textId="49A1689E" w:rsidR="0D4BF8B0" w:rsidRPr="00941817" w:rsidRDefault="0D4BF8B0" w:rsidP="008947D7">
            <w:pPr>
              <w:pStyle w:val="Tableheading0"/>
              <w:cnfStyle w:val="100000000000" w:firstRow="1" w:lastRow="0" w:firstColumn="0" w:lastColumn="0" w:oddVBand="0" w:evenVBand="0" w:oddHBand="0" w:evenHBand="0" w:firstRowFirstColumn="0" w:firstRowLastColumn="0" w:lastRowFirstColumn="0" w:lastRowLastColumn="0"/>
              <w:rPr>
                <w:b/>
                <w:bCs/>
                <w:sz w:val="20"/>
                <w:szCs w:val="20"/>
              </w:rPr>
            </w:pPr>
            <w:r w:rsidRPr="00941817">
              <w:rPr>
                <w:b/>
                <w:bCs/>
                <w:sz w:val="20"/>
                <w:szCs w:val="20"/>
              </w:rPr>
              <w:t>Functional Continuity</w:t>
            </w:r>
          </w:p>
        </w:tc>
        <w:tc>
          <w:tcPr>
            <w:tcW w:w="2400" w:type="dxa"/>
            <w:tcBorders>
              <w:top w:val="single" w:sz="8" w:space="0" w:color="BFBFBF"/>
              <w:left w:val="single" w:sz="8" w:space="0" w:color="BFBFBF"/>
              <w:bottom w:val="single" w:sz="12" w:space="0" w:color="003399" w:themeColor="accent2"/>
              <w:right w:val="nil"/>
            </w:tcBorders>
            <w:shd w:val="clear" w:color="auto" w:fill="F6F4EC"/>
          </w:tcPr>
          <w:p w14:paraId="5089416B" w14:textId="2F6759C0" w:rsidR="0D4BF8B0" w:rsidRPr="00941817" w:rsidRDefault="0D4BF8B0" w:rsidP="008947D7">
            <w:pPr>
              <w:pStyle w:val="Tableheading0"/>
              <w:cnfStyle w:val="100000000000" w:firstRow="1" w:lastRow="0" w:firstColumn="0" w:lastColumn="0" w:oddVBand="0" w:evenVBand="0" w:oddHBand="0" w:evenHBand="0" w:firstRowFirstColumn="0" w:firstRowLastColumn="0" w:lastRowFirstColumn="0" w:lastRowLastColumn="0"/>
              <w:rPr>
                <w:b/>
                <w:bCs/>
                <w:sz w:val="20"/>
                <w:szCs w:val="20"/>
              </w:rPr>
            </w:pPr>
            <w:r w:rsidRPr="00941817">
              <w:rPr>
                <w:b/>
                <w:bCs/>
                <w:sz w:val="20"/>
                <w:szCs w:val="20"/>
              </w:rPr>
              <w:t>Asset Protection</w:t>
            </w:r>
          </w:p>
        </w:tc>
      </w:tr>
      <w:tr w:rsidR="0D4BF8B0" w:rsidRPr="00941817" w14:paraId="08DBD805" w14:textId="77777777" w:rsidTr="002F2FB9">
        <w:trPr>
          <w:trHeight w:val="300"/>
        </w:trPr>
        <w:tc>
          <w:tcPr>
            <w:cnfStyle w:val="001000000000" w:firstRow="0" w:lastRow="0" w:firstColumn="1" w:lastColumn="0" w:oddVBand="0" w:evenVBand="0" w:oddHBand="0" w:evenHBand="0" w:firstRowFirstColumn="0" w:firstRowLastColumn="0" w:lastRowFirstColumn="0" w:lastRowLastColumn="0"/>
            <w:tcW w:w="1605" w:type="dxa"/>
            <w:tcBorders>
              <w:top w:val="single" w:sz="12" w:space="0" w:color="003399" w:themeColor="accent2"/>
              <w:left w:val="nil"/>
              <w:bottom w:val="single" w:sz="8" w:space="0" w:color="BFBFBF"/>
              <w:right w:val="single" w:sz="8" w:space="0" w:color="BFBFBF"/>
            </w:tcBorders>
            <w:shd w:val="clear" w:color="auto" w:fill="F6F4EC"/>
            <w:vAlign w:val="center"/>
          </w:tcPr>
          <w:p w14:paraId="741DC0EC" w14:textId="0607EDDB" w:rsidR="0D4BF8B0" w:rsidRPr="00941817" w:rsidRDefault="0D4BF8B0" w:rsidP="00666E06">
            <w:pPr>
              <w:rPr>
                <w:rFonts w:cs="Arial"/>
                <w:sz w:val="20"/>
                <w:szCs w:val="20"/>
              </w:rPr>
            </w:pPr>
            <w:r w:rsidRPr="00941817">
              <w:rPr>
                <w:rFonts w:cs="Arial"/>
                <w:sz w:val="20"/>
                <w:szCs w:val="20"/>
              </w:rPr>
              <w:t>Acute Services</w:t>
            </w:r>
          </w:p>
          <w:p w14:paraId="08C723D2" w14:textId="53ADC277" w:rsidR="0D4BF8B0" w:rsidRPr="00941817" w:rsidRDefault="78F1E537" w:rsidP="00666E06">
            <w:pPr>
              <w:rPr>
                <w:rFonts w:cs="Arial"/>
                <w:sz w:val="20"/>
                <w:szCs w:val="20"/>
              </w:rPr>
            </w:pPr>
            <w:r w:rsidRPr="00941817">
              <w:rPr>
                <w:rFonts w:cs="Arial"/>
                <w:sz w:val="20"/>
                <w:szCs w:val="20"/>
              </w:rPr>
              <w:t>Importance Level 4</w:t>
            </w:r>
          </w:p>
        </w:tc>
        <w:tc>
          <w:tcPr>
            <w:tcW w:w="1650" w:type="dxa"/>
            <w:tcBorders>
              <w:top w:val="single" w:sz="12" w:space="0" w:color="003399" w:themeColor="accent2"/>
              <w:left w:val="single" w:sz="8" w:space="0" w:color="BFBFBF"/>
              <w:bottom w:val="single" w:sz="8" w:space="0" w:color="BFBFBF"/>
              <w:right w:val="single" w:sz="8" w:space="0" w:color="BFBFBF"/>
            </w:tcBorders>
          </w:tcPr>
          <w:p w14:paraId="4BB4A07A" w14:textId="29BD536E"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For structure, and structural support of non-structural elements, as defined by B1/VM1</w:t>
            </w:r>
            <w:r w:rsidR="0073171D" w:rsidRPr="00941817">
              <w:rPr>
                <w:rFonts w:cs="Arial"/>
                <w:sz w:val="20"/>
                <w:szCs w:val="20"/>
              </w:rPr>
              <w:t xml:space="preserve">. </w:t>
            </w:r>
            <w:r w:rsidR="0073171D" w:rsidRPr="00941817">
              <w:rPr>
                <w:rFonts w:cs="Arial"/>
                <w:sz w:val="20"/>
                <w:szCs w:val="20"/>
                <w:vertAlign w:val="superscript"/>
              </w:rPr>
              <w:t>(Note 1)</w:t>
            </w:r>
          </w:p>
          <w:p w14:paraId="275CE829" w14:textId="760F4781"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Containment of hazardous substances, and function of basic life support services for in-patients with high medical dependency. </w:t>
            </w:r>
          </w:p>
        </w:tc>
        <w:tc>
          <w:tcPr>
            <w:tcW w:w="3975" w:type="dxa"/>
            <w:tcBorders>
              <w:top w:val="single" w:sz="12" w:space="0" w:color="003399" w:themeColor="accent2"/>
              <w:left w:val="single" w:sz="8" w:space="0" w:color="BFBFBF"/>
              <w:bottom w:val="single" w:sz="8" w:space="0" w:color="BFBFBF"/>
              <w:right w:val="single" w:sz="8" w:space="0" w:color="BFBFBF"/>
            </w:tcBorders>
          </w:tcPr>
          <w:p w14:paraId="01F31317" w14:textId="4599A243"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To remain functional immediately following a </w:t>
            </w:r>
            <w:r w:rsidR="0091057A" w:rsidRPr="00941817">
              <w:rPr>
                <w:rFonts w:cs="Arial"/>
                <w:sz w:val="20"/>
                <w:szCs w:val="20"/>
              </w:rPr>
              <w:t xml:space="preserve">significant </w:t>
            </w:r>
            <w:r w:rsidRPr="00941817">
              <w:rPr>
                <w:rFonts w:cs="Arial"/>
                <w:sz w:val="20"/>
                <w:szCs w:val="20"/>
              </w:rPr>
              <w:t>earthquake—reduced but not interrupted.</w:t>
            </w:r>
          </w:p>
          <w:p w14:paraId="172E5CD7" w14:textId="77061895"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Basic life support function continuously operational.</w:t>
            </w:r>
          </w:p>
          <w:p w14:paraId="5F94D7B0" w14:textId="2A602CD0"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Full clinical post-disaster function able to continue within minutes to hours.</w:t>
            </w:r>
          </w:p>
          <w:p w14:paraId="5B08A14D" w14:textId="62D38C74"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Building systems (e.g. services) uninterrupted or reduced operation consistent with clinical objectives.</w:t>
            </w:r>
          </w:p>
          <w:p w14:paraId="6E711A79" w14:textId="69217DEC"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Building maintains overall weathertightness, localised manageable exceptions.</w:t>
            </w:r>
          </w:p>
          <w:p w14:paraId="1E3D108F" w14:textId="32B75BAA"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Fire and evacuation systems to be largely functional (some damage </w:t>
            </w:r>
            <w:r w:rsidR="009707FD" w:rsidRPr="00941817">
              <w:rPr>
                <w:rFonts w:cs="Arial"/>
                <w:sz w:val="20"/>
                <w:szCs w:val="20"/>
              </w:rPr>
              <w:t xml:space="preserve">is </w:t>
            </w:r>
            <w:r w:rsidRPr="00941817">
              <w:rPr>
                <w:rFonts w:cs="Arial"/>
                <w:sz w:val="20"/>
                <w:szCs w:val="20"/>
              </w:rPr>
              <w:t>tolerable, provided that in conjunction with appropriate elevated management strategies, risk can be managed).</w:t>
            </w:r>
          </w:p>
          <w:p w14:paraId="7E41E468" w14:textId="58797E14" w:rsidR="0092330D" w:rsidRPr="00941817" w:rsidRDefault="0092330D"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Finishes damaged. Localised repairable damage tolerable. Should not incite concern that could lead to unnecessary evacuation</w:t>
            </w:r>
            <w:r w:rsidRPr="00941817">
              <w:rPr>
                <w:rFonts w:eastAsia="Arial" w:cs="Arial"/>
                <w:sz w:val="20"/>
                <w:szCs w:val="20"/>
                <w:vertAlign w:val="superscript"/>
              </w:rPr>
              <w:t>(Note 9).</w:t>
            </w:r>
          </w:p>
          <w:p w14:paraId="6A699FA4" w14:textId="43943B2D" w:rsidR="0D4BF8B0" w:rsidRPr="00941817" w:rsidRDefault="009D1F37"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Return to normal operations within an appropriate timeframe </w:t>
            </w:r>
            <w:r w:rsidRPr="00941817">
              <w:rPr>
                <w:rFonts w:cs="Arial"/>
                <w:sz w:val="20"/>
                <w:szCs w:val="20"/>
                <w:vertAlign w:val="superscript"/>
              </w:rPr>
              <w:t>(Note 2, 3 &amp; 4).</w:t>
            </w:r>
          </w:p>
        </w:tc>
        <w:tc>
          <w:tcPr>
            <w:tcW w:w="2400" w:type="dxa"/>
            <w:tcBorders>
              <w:top w:val="single" w:sz="12" w:space="0" w:color="003399" w:themeColor="accent2"/>
              <w:left w:val="single" w:sz="8" w:space="0" w:color="BFBFBF"/>
              <w:bottom w:val="single" w:sz="8" w:space="0" w:color="BFBFBF"/>
              <w:right w:val="nil"/>
            </w:tcBorders>
          </w:tcPr>
          <w:p w14:paraId="779DF0DE" w14:textId="0311D099"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Very low likelihood of total economic loss in a severe earthquake.</w:t>
            </w:r>
          </w:p>
          <w:p w14:paraId="4F2D1468" w14:textId="0FB79E1C"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Very low likelihood of losses from earthquake exceeding 5% of the building replacement cost</w:t>
            </w:r>
            <w:r w:rsidR="00A41620" w:rsidRPr="00941817">
              <w:rPr>
                <w:rFonts w:cs="Arial"/>
                <w:sz w:val="20"/>
                <w:szCs w:val="20"/>
              </w:rPr>
              <w:t>s</w:t>
            </w:r>
            <w:r w:rsidRPr="00941817">
              <w:rPr>
                <w:rFonts w:cs="Arial"/>
                <w:sz w:val="20"/>
                <w:szCs w:val="20"/>
              </w:rPr>
              <w:t xml:space="preserve"> in a 10-year period.</w:t>
            </w:r>
          </w:p>
          <w:p w14:paraId="7C8A2845" w14:textId="39EA041D" w:rsidR="0D4BF8B0" w:rsidRPr="00941817" w:rsidRDefault="5EB6171F"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Containment of wet services.</w:t>
            </w:r>
          </w:p>
          <w:p w14:paraId="40939487" w14:textId="3AD053BE"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Repair practical in context of continuing function.</w:t>
            </w:r>
          </w:p>
          <w:p w14:paraId="14E4AE72" w14:textId="18907C64" w:rsidR="0D4BF8B0" w:rsidRPr="00941817" w:rsidRDefault="5EB6171F"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vertAlign w:val="superscript"/>
              </w:rPr>
              <w:t>(Note 5)</w:t>
            </w:r>
          </w:p>
          <w:p w14:paraId="601E3684" w14:textId="25D0042D"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D4BF8B0" w:rsidRPr="00941817" w14:paraId="61483BDD" w14:textId="77777777" w:rsidTr="002F2FB9">
        <w:trPr>
          <w:trHeight w:val="300"/>
        </w:trPr>
        <w:tc>
          <w:tcPr>
            <w:cnfStyle w:val="001000000000" w:firstRow="0" w:lastRow="0" w:firstColumn="1" w:lastColumn="0" w:oddVBand="0" w:evenVBand="0" w:oddHBand="0" w:evenHBand="0" w:firstRowFirstColumn="0" w:firstRowLastColumn="0" w:lastRowFirstColumn="0" w:lastRowLastColumn="0"/>
            <w:tcW w:w="1605" w:type="dxa"/>
            <w:tcBorders>
              <w:top w:val="single" w:sz="8" w:space="0" w:color="BFBFBF"/>
              <w:left w:val="nil"/>
              <w:bottom w:val="single" w:sz="8" w:space="0" w:color="BFBFBF"/>
              <w:right w:val="single" w:sz="8" w:space="0" w:color="BFBFBF"/>
            </w:tcBorders>
            <w:shd w:val="clear" w:color="auto" w:fill="F6F4EC"/>
            <w:vAlign w:val="center"/>
          </w:tcPr>
          <w:p w14:paraId="6FF49ECC" w14:textId="77777777" w:rsidR="00F61952" w:rsidRPr="00941817" w:rsidRDefault="00F61952" w:rsidP="00666E06">
            <w:pPr>
              <w:rPr>
                <w:rFonts w:cs="Arial"/>
                <w:b w:val="0"/>
                <w:bCs w:val="0"/>
                <w:sz w:val="20"/>
                <w:szCs w:val="20"/>
              </w:rPr>
            </w:pPr>
            <w:r w:rsidRPr="00941817">
              <w:rPr>
                <w:rFonts w:cs="Arial"/>
                <w:sz w:val="20"/>
                <w:szCs w:val="20"/>
              </w:rPr>
              <w:t xml:space="preserve">Other </w:t>
            </w:r>
            <w:r w:rsidR="0D4BF8B0" w:rsidRPr="00941817">
              <w:rPr>
                <w:rFonts w:cs="Arial"/>
                <w:sz w:val="20"/>
                <w:szCs w:val="20"/>
              </w:rPr>
              <w:t xml:space="preserve">Inpatient </w:t>
            </w:r>
            <w:r w:rsidRPr="00941817">
              <w:rPr>
                <w:rFonts w:cs="Arial"/>
                <w:sz w:val="20"/>
                <w:szCs w:val="20"/>
              </w:rPr>
              <w:t>Facilities</w:t>
            </w:r>
          </w:p>
          <w:p w14:paraId="77955972" w14:textId="3F62EBDB" w:rsidR="0D4BF8B0" w:rsidRPr="00941817" w:rsidRDefault="0D4BF8B0" w:rsidP="00666E06">
            <w:pPr>
              <w:rPr>
                <w:rFonts w:cs="Arial"/>
                <w:sz w:val="20"/>
                <w:szCs w:val="20"/>
              </w:rPr>
            </w:pPr>
            <w:r w:rsidRPr="00941817">
              <w:rPr>
                <w:rFonts w:cs="Arial"/>
                <w:sz w:val="20"/>
                <w:szCs w:val="20"/>
              </w:rPr>
              <w:t>Importance Level 3</w:t>
            </w:r>
          </w:p>
        </w:tc>
        <w:tc>
          <w:tcPr>
            <w:tcW w:w="1650" w:type="dxa"/>
            <w:tcBorders>
              <w:top w:val="single" w:sz="8" w:space="0" w:color="BFBFBF"/>
              <w:left w:val="single" w:sz="8" w:space="0" w:color="BFBFBF"/>
              <w:bottom w:val="single" w:sz="8" w:space="0" w:color="BFBFBF"/>
              <w:right w:val="single" w:sz="8" w:space="0" w:color="BFBFBF"/>
            </w:tcBorders>
          </w:tcPr>
          <w:p w14:paraId="481655FD" w14:textId="6EC93763"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For structure, and structural support of non-structural elements, as defined by B1/VM1. </w:t>
            </w:r>
            <w:r w:rsidRPr="00941817">
              <w:rPr>
                <w:rFonts w:cs="Arial"/>
                <w:sz w:val="20"/>
                <w:szCs w:val="20"/>
                <w:vertAlign w:val="superscript"/>
              </w:rPr>
              <w:t>(Note 1)</w:t>
            </w:r>
          </w:p>
          <w:p w14:paraId="7A7C4291" w14:textId="0CD9E17D"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Containment of hazardous substances.</w:t>
            </w:r>
          </w:p>
        </w:tc>
        <w:tc>
          <w:tcPr>
            <w:tcW w:w="3975" w:type="dxa"/>
            <w:tcBorders>
              <w:top w:val="single" w:sz="8" w:space="0" w:color="BFBFBF"/>
              <w:left w:val="single" w:sz="8" w:space="0" w:color="BFBFBF"/>
              <w:bottom w:val="single" w:sz="8" w:space="0" w:color="BFBFBF"/>
              <w:right w:val="single" w:sz="8" w:space="0" w:color="BFBFBF"/>
            </w:tcBorders>
          </w:tcPr>
          <w:p w14:paraId="37F891AB" w14:textId="461837AC"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To </w:t>
            </w:r>
            <w:r w:rsidR="00200368" w:rsidRPr="00941817">
              <w:rPr>
                <w:rFonts w:cs="Arial"/>
                <w:sz w:val="20"/>
                <w:szCs w:val="20"/>
              </w:rPr>
              <w:t xml:space="preserve">retain basic function </w:t>
            </w:r>
            <w:r w:rsidRPr="00941817">
              <w:rPr>
                <w:rFonts w:cs="Arial"/>
                <w:sz w:val="20"/>
                <w:szCs w:val="20"/>
              </w:rPr>
              <w:t xml:space="preserve">following a </w:t>
            </w:r>
            <w:r w:rsidR="00D11BAD" w:rsidRPr="00941817">
              <w:rPr>
                <w:rFonts w:cs="Arial"/>
                <w:sz w:val="20"/>
                <w:szCs w:val="20"/>
              </w:rPr>
              <w:t>significant</w:t>
            </w:r>
            <w:r w:rsidRPr="00941817">
              <w:rPr>
                <w:rFonts w:cs="Arial"/>
                <w:sz w:val="20"/>
                <w:szCs w:val="20"/>
              </w:rPr>
              <w:t xml:space="preserve"> earthquake—reduced but not interrupted.</w:t>
            </w:r>
          </w:p>
          <w:p w14:paraId="6E131FEF" w14:textId="10C4791D"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Basic function able to continue within minutes to hours.</w:t>
            </w:r>
          </w:p>
          <w:p w14:paraId="452746DC" w14:textId="21CCD51B"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Fully functional within weeks.</w:t>
            </w:r>
          </w:p>
          <w:p w14:paraId="57FC59C6" w14:textId="6B686B3C"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Building systems (e.g. services) uninterrupted or reduced operation consistent with clinical objectives and timeframes to restore function.</w:t>
            </w:r>
          </w:p>
          <w:p w14:paraId="08715058" w14:textId="56CAEBC9"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Building maintains overall weathertightness, localised manageable exceptions.</w:t>
            </w:r>
          </w:p>
          <w:p w14:paraId="7081472A" w14:textId="77777777" w:rsidR="00AD3836"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Fire and evacuation systems to be largely functional (some damage tolerable, provided that in conjunction with appropriate elevated management strategies, risk can be managed).</w:t>
            </w:r>
          </w:p>
          <w:p w14:paraId="47D13D30" w14:textId="4C18DA73" w:rsidR="0D4BF8B0" w:rsidRPr="00941817" w:rsidRDefault="0D4BF8B0" w:rsidP="004D55F1">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Finishes damage. Localised repairable damage tolerable. Should not incite concern that could lead to unnecessary evacuation</w:t>
            </w:r>
            <w:r w:rsidR="7B498C99" w:rsidRPr="00941817">
              <w:rPr>
                <w:rFonts w:cs="Arial"/>
                <w:sz w:val="20"/>
                <w:szCs w:val="20"/>
              </w:rPr>
              <w:t>.</w:t>
            </w:r>
            <w:r w:rsidR="3B3E954E" w:rsidRPr="00941817">
              <w:rPr>
                <w:rFonts w:cs="Arial"/>
                <w:sz w:val="20"/>
                <w:szCs w:val="20"/>
              </w:rPr>
              <w:t xml:space="preserve"> </w:t>
            </w:r>
            <w:r w:rsidR="3B3E954E" w:rsidRPr="00941817">
              <w:rPr>
                <w:rFonts w:eastAsia="Arial" w:cs="Arial"/>
                <w:sz w:val="20"/>
                <w:szCs w:val="20"/>
                <w:vertAlign w:val="superscript"/>
              </w:rPr>
              <w:t>(Note 9)</w:t>
            </w:r>
          </w:p>
          <w:p w14:paraId="6769467C" w14:textId="63292163"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Return to normal operations within an appropriate timeframe.</w:t>
            </w:r>
            <w:r w:rsidR="3B4C332A" w:rsidRPr="00941817">
              <w:rPr>
                <w:rFonts w:cs="Arial"/>
                <w:sz w:val="20"/>
                <w:szCs w:val="20"/>
              </w:rPr>
              <w:t xml:space="preserve"> </w:t>
            </w:r>
            <w:r w:rsidR="3B4C332A" w:rsidRPr="00941817">
              <w:rPr>
                <w:rFonts w:cs="Arial"/>
                <w:sz w:val="20"/>
                <w:szCs w:val="20"/>
                <w:vertAlign w:val="superscript"/>
              </w:rPr>
              <w:t>(Note 2 &amp; 3)</w:t>
            </w:r>
          </w:p>
        </w:tc>
        <w:tc>
          <w:tcPr>
            <w:tcW w:w="2400" w:type="dxa"/>
            <w:tcBorders>
              <w:top w:val="single" w:sz="8" w:space="0" w:color="BFBFBF"/>
              <w:left w:val="single" w:sz="8" w:space="0" w:color="BFBFBF"/>
              <w:bottom w:val="single" w:sz="8" w:space="0" w:color="BFBFBF"/>
              <w:right w:val="nil"/>
            </w:tcBorders>
          </w:tcPr>
          <w:p w14:paraId="2F4BFF28" w14:textId="2A1C8E10" w:rsidR="0D4BF8B0" w:rsidRPr="00941817" w:rsidRDefault="00BE2775"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L</w:t>
            </w:r>
            <w:r w:rsidR="0D4BF8B0" w:rsidRPr="00941817">
              <w:rPr>
                <w:rFonts w:cs="Arial"/>
                <w:sz w:val="20"/>
                <w:szCs w:val="20"/>
              </w:rPr>
              <w:t>ow likelihood of total economic loss in a severe earthquake.</w:t>
            </w:r>
          </w:p>
          <w:p w14:paraId="4A190036" w14:textId="23BAA855" w:rsidR="0D4BF8B0" w:rsidRPr="00941817" w:rsidRDefault="000F2139"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L</w:t>
            </w:r>
            <w:r w:rsidR="0D4BF8B0" w:rsidRPr="00941817">
              <w:rPr>
                <w:rFonts w:cs="Arial"/>
                <w:sz w:val="20"/>
                <w:szCs w:val="20"/>
              </w:rPr>
              <w:t>ow likelihood of losses from earthquake exceeding 5% of the building replacement cost</w:t>
            </w:r>
            <w:r w:rsidR="00A41620" w:rsidRPr="00941817">
              <w:rPr>
                <w:rFonts w:cs="Arial"/>
                <w:sz w:val="20"/>
                <w:szCs w:val="20"/>
              </w:rPr>
              <w:t>s</w:t>
            </w:r>
            <w:r w:rsidR="0D4BF8B0" w:rsidRPr="00941817">
              <w:rPr>
                <w:rFonts w:cs="Arial"/>
                <w:sz w:val="20"/>
                <w:szCs w:val="20"/>
              </w:rPr>
              <w:t xml:space="preserve"> in a 10-year period.</w:t>
            </w:r>
          </w:p>
          <w:p w14:paraId="775FD828" w14:textId="48E58774"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Repair practical in context of continuing function.</w:t>
            </w:r>
          </w:p>
          <w:p w14:paraId="0AA27353" w14:textId="48E58774" w:rsidR="0D4BF8B0" w:rsidRPr="00941817" w:rsidRDefault="38154FC9"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vertAlign w:val="superscript"/>
              </w:rPr>
              <w:t>(</w:t>
            </w:r>
            <w:r w:rsidR="098C73A4" w:rsidRPr="00941817">
              <w:rPr>
                <w:rFonts w:cs="Arial"/>
                <w:sz w:val="20"/>
                <w:szCs w:val="20"/>
                <w:vertAlign w:val="superscript"/>
              </w:rPr>
              <w:t>Note 6)</w:t>
            </w:r>
          </w:p>
        </w:tc>
      </w:tr>
      <w:tr w:rsidR="0D4BF8B0" w:rsidRPr="00941817" w14:paraId="330CDFB5" w14:textId="77777777" w:rsidTr="002F2FB9">
        <w:trPr>
          <w:cantSplit/>
          <w:trHeight w:val="300"/>
        </w:trPr>
        <w:tc>
          <w:tcPr>
            <w:cnfStyle w:val="001000000000" w:firstRow="0" w:lastRow="0" w:firstColumn="1" w:lastColumn="0" w:oddVBand="0" w:evenVBand="0" w:oddHBand="0" w:evenHBand="0" w:firstRowFirstColumn="0" w:firstRowLastColumn="0" w:lastRowFirstColumn="0" w:lastRowLastColumn="0"/>
            <w:tcW w:w="1605" w:type="dxa"/>
            <w:tcBorders>
              <w:top w:val="single" w:sz="8" w:space="0" w:color="BFBFBF"/>
              <w:left w:val="nil"/>
              <w:bottom w:val="nil"/>
              <w:right w:val="single" w:sz="8" w:space="0" w:color="BFBFBF"/>
            </w:tcBorders>
            <w:shd w:val="clear" w:color="auto" w:fill="F6F4EC"/>
            <w:vAlign w:val="center"/>
          </w:tcPr>
          <w:p w14:paraId="4D4C44AC" w14:textId="34523A41" w:rsidR="0D4BF8B0" w:rsidRPr="00941817" w:rsidRDefault="0D4BF8B0" w:rsidP="00666E06">
            <w:pPr>
              <w:rPr>
                <w:rFonts w:cs="Arial"/>
                <w:b w:val="0"/>
                <w:sz w:val="20"/>
                <w:szCs w:val="20"/>
              </w:rPr>
            </w:pPr>
            <w:r w:rsidRPr="00941817">
              <w:rPr>
                <w:rFonts w:cs="Arial"/>
                <w:sz w:val="20"/>
                <w:szCs w:val="20"/>
              </w:rPr>
              <w:lastRenderedPageBreak/>
              <w:t xml:space="preserve">Other </w:t>
            </w:r>
            <w:r w:rsidR="00A34496" w:rsidRPr="00941817">
              <w:rPr>
                <w:rFonts w:cs="Arial"/>
                <w:sz w:val="20"/>
                <w:szCs w:val="20"/>
              </w:rPr>
              <w:t xml:space="preserve">Services - </w:t>
            </w:r>
            <w:r w:rsidR="00F61952" w:rsidRPr="00941817">
              <w:rPr>
                <w:rFonts w:cs="Arial"/>
                <w:sz w:val="20"/>
                <w:szCs w:val="20"/>
              </w:rPr>
              <w:t>Medical and Support</w:t>
            </w:r>
          </w:p>
          <w:p w14:paraId="46DC8000" w14:textId="60F736FA" w:rsidR="0D4BF8B0" w:rsidRPr="00941817" w:rsidRDefault="435EC134" w:rsidP="00666E06">
            <w:pPr>
              <w:rPr>
                <w:rFonts w:cs="Arial"/>
                <w:sz w:val="20"/>
                <w:szCs w:val="20"/>
              </w:rPr>
            </w:pPr>
            <w:r w:rsidRPr="00941817">
              <w:rPr>
                <w:rFonts w:cs="Arial"/>
                <w:sz w:val="20"/>
                <w:szCs w:val="20"/>
              </w:rPr>
              <w:t>Importance Level 2</w:t>
            </w:r>
          </w:p>
        </w:tc>
        <w:tc>
          <w:tcPr>
            <w:tcW w:w="1650" w:type="dxa"/>
            <w:tcBorders>
              <w:top w:val="single" w:sz="8" w:space="0" w:color="BFBFBF"/>
              <w:left w:val="single" w:sz="8" w:space="0" w:color="BFBFBF"/>
              <w:bottom w:val="nil"/>
              <w:right w:val="single" w:sz="8" w:space="0" w:color="BFBFBF"/>
            </w:tcBorders>
          </w:tcPr>
          <w:p w14:paraId="4ADC1F76" w14:textId="427153F9"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For structure, and structural support of non-structural elements, as defined by B1/VM1.</w:t>
            </w:r>
            <w:r w:rsidR="58E3A792" w:rsidRPr="00941817">
              <w:rPr>
                <w:rFonts w:cs="Arial"/>
                <w:sz w:val="20"/>
                <w:szCs w:val="20"/>
              </w:rPr>
              <w:t xml:space="preserve"> </w:t>
            </w:r>
            <w:r w:rsidR="58E3A792" w:rsidRPr="00941817">
              <w:rPr>
                <w:rFonts w:cs="Arial"/>
                <w:sz w:val="20"/>
                <w:szCs w:val="20"/>
                <w:vertAlign w:val="superscript"/>
              </w:rPr>
              <w:t>(Note 1)</w:t>
            </w:r>
          </w:p>
        </w:tc>
        <w:tc>
          <w:tcPr>
            <w:tcW w:w="3975" w:type="dxa"/>
            <w:tcBorders>
              <w:top w:val="single" w:sz="8" w:space="0" w:color="BFBFBF"/>
              <w:left w:val="single" w:sz="8" w:space="0" w:color="BFBFBF"/>
              <w:bottom w:val="nil"/>
              <w:right w:val="single" w:sz="8" w:space="0" w:color="BFBFBF"/>
            </w:tcBorders>
          </w:tcPr>
          <w:p w14:paraId="56964195" w14:textId="4EC9907D" w:rsidR="0D4BF8B0"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 xml:space="preserve">Return to basic function within </w:t>
            </w:r>
            <w:r w:rsidR="00834F14" w:rsidRPr="00941817">
              <w:rPr>
                <w:rFonts w:cs="Arial"/>
                <w:sz w:val="20"/>
                <w:szCs w:val="20"/>
              </w:rPr>
              <w:t xml:space="preserve">days to weeks (medical services); or </w:t>
            </w:r>
            <w:r w:rsidRPr="00941817">
              <w:rPr>
                <w:rFonts w:cs="Arial"/>
                <w:sz w:val="20"/>
                <w:szCs w:val="20"/>
              </w:rPr>
              <w:t>weeks to months</w:t>
            </w:r>
            <w:r w:rsidR="00834F14" w:rsidRPr="00941817">
              <w:rPr>
                <w:rFonts w:cs="Arial"/>
                <w:sz w:val="20"/>
                <w:szCs w:val="20"/>
              </w:rPr>
              <w:t xml:space="preserve"> (other support services</w:t>
            </w:r>
            <w:r w:rsidR="00307AE1" w:rsidRPr="00941817">
              <w:rPr>
                <w:rFonts w:cs="Arial"/>
                <w:sz w:val="20"/>
                <w:szCs w:val="20"/>
              </w:rPr>
              <w:t>)</w:t>
            </w:r>
            <w:r w:rsidRPr="00941817">
              <w:rPr>
                <w:rFonts w:cs="Arial"/>
                <w:sz w:val="20"/>
                <w:szCs w:val="20"/>
              </w:rPr>
              <w:t>.</w:t>
            </w:r>
            <w:r w:rsidR="156E1AB9" w:rsidRPr="00941817">
              <w:rPr>
                <w:rFonts w:cs="Arial"/>
                <w:sz w:val="20"/>
                <w:szCs w:val="20"/>
              </w:rPr>
              <w:t xml:space="preserve"> </w:t>
            </w:r>
            <w:r w:rsidR="156E1AB9" w:rsidRPr="00941817">
              <w:rPr>
                <w:rFonts w:cs="Arial"/>
                <w:sz w:val="20"/>
                <w:szCs w:val="20"/>
                <w:vertAlign w:val="superscript"/>
              </w:rPr>
              <w:t>(Note 7)</w:t>
            </w:r>
          </w:p>
        </w:tc>
        <w:tc>
          <w:tcPr>
            <w:tcW w:w="2400" w:type="dxa"/>
            <w:tcBorders>
              <w:top w:val="single" w:sz="8" w:space="0" w:color="BFBFBF"/>
              <w:left w:val="single" w:sz="8" w:space="0" w:color="BFBFBF"/>
              <w:bottom w:val="nil"/>
              <w:right w:val="nil"/>
            </w:tcBorders>
          </w:tcPr>
          <w:p w14:paraId="0ACD60C4" w14:textId="77777777" w:rsidR="00954FE1" w:rsidRPr="00941817" w:rsidRDefault="0D4BF8B0" w:rsidP="00666E06">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941817">
              <w:rPr>
                <w:rFonts w:cs="Arial"/>
                <w:sz w:val="20"/>
                <w:szCs w:val="20"/>
              </w:rPr>
              <w:t>Low likelihood of total economic loss in a severe earthquake</w:t>
            </w:r>
            <w:r w:rsidR="3ECAD5CA" w:rsidRPr="00941817">
              <w:rPr>
                <w:rFonts w:cs="Arial"/>
                <w:sz w:val="20"/>
                <w:szCs w:val="20"/>
              </w:rPr>
              <w:t>.</w:t>
            </w:r>
          </w:p>
          <w:p w14:paraId="37574844" w14:textId="20623635" w:rsidR="0D4BF8B0" w:rsidRPr="00941817" w:rsidRDefault="004B11FD" w:rsidP="00666E06">
            <w:pPr>
              <w:cnfStyle w:val="000000000000" w:firstRow="0" w:lastRow="0" w:firstColumn="0" w:lastColumn="0" w:oddVBand="0" w:evenVBand="0" w:oddHBand="0" w:evenHBand="0" w:firstRowFirstColumn="0" w:firstRowLastColumn="0" w:lastRowFirstColumn="0" w:lastRowLastColumn="0"/>
              <w:rPr>
                <w:rFonts w:cs="Arial"/>
                <w:sz w:val="20"/>
                <w:szCs w:val="20"/>
                <w:vertAlign w:val="superscript"/>
              </w:rPr>
            </w:pPr>
            <w:r w:rsidRPr="00941817">
              <w:rPr>
                <w:rFonts w:cs="Arial"/>
                <w:sz w:val="20"/>
                <w:szCs w:val="20"/>
              </w:rPr>
              <w:t>Low likelihood of losses from earthquake exceeding 5% of the building replacement cost in a 10-year period.</w:t>
            </w:r>
            <w:r w:rsidRPr="00941817">
              <w:rPr>
                <w:rFonts w:cs="Arial"/>
                <w:sz w:val="20"/>
                <w:szCs w:val="20"/>
                <w:vertAlign w:val="superscript"/>
              </w:rPr>
              <w:t xml:space="preserve"> </w:t>
            </w:r>
            <w:r w:rsidR="5C2EEE88" w:rsidRPr="00941817">
              <w:rPr>
                <w:rFonts w:cs="Arial"/>
                <w:sz w:val="20"/>
                <w:szCs w:val="20"/>
                <w:vertAlign w:val="superscript"/>
              </w:rPr>
              <w:t>(</w:t>
            </w:r>
            <w:r w:rsidR="2A98AD5E" w:rsidRPr="00941817">
              <w:rPr>
                <w:rFonts w:cs="Arial"/>
                <w:sz w:val="20"/>
                <w:szCs w:val="20"/>
                <w:vertAlign w:val="superscript"/>
              </w:rPr>
              <w:t>Note 8)</w:t>
            </w:r>
          </w:p>
        </w:tc>
      </w:tr>
    </w:tbl>
    <w:p w14:paraId="1878A7FC" w14:textId="77777777" w:rsidR="00B41345" w:rsidRDefault="00B41345" w:rsidP="00666E06">
      <w:pPr>
        <w:rPr>
          <w:sz w:val="20"/>
          <w:szCs w:val="20"/>
        </w:rPr>
      </w:pPr>
    </w:p>
    <w:p w14:paraId="3BB46590" w14:textId="2C42C47D" w:rsidR="7D2DE480" w:rsidRPr="00B41345" w:rsidRDefault="301936FC" w:rsidP="00666E06">
      <w:pPr>
        <w:rPr>
          <w:sz w:val="20"/>
          <w:szCs w:val="20"/>
        </w:rPr>
      </w:pPr>
      <w:r w:rsidRPr="00B41345">
        <w:rPr>
          <w:sz w:val="20"/>
          <w:szCs w:val="20"/>
        </w:rPr>
        <w:t>Notes</w:t>
      </w:r>
      <w:r w:rsidR="00845B58" w:rsidRPr="00B41345">
        <w:rPr>
          <w:sz w:val="20"/>
          <w:szCs w:val="20"/>
        </w:rPr>
        <w:t>:</w:t>
      </w:r>
    </w:p>
    <w:p w14:paraId="0B187583" w14:textId="5705B250" w:rsidR="301936FC" w:rsidRPr="00B41345" w:rsidRDefault="301936FC" w:rsidP="00C17550">
      <w:pPr>
        <w:ind w:left="357" w:hanging="357"/>
        <w:rPr>
          <w:rFonts w:eastAsia="Arial" w:cs="Arial"/>
          <w:sz w:val="20"/>
          <w:szCs w:val="20"/>
        </w:rPr>
      </w:pPr>
      <w:r w:rsidRPr="00B41345">
        <w:rPr>
          <w:sz w:val="20"/>
          <w:szCs w:val="20"/>
        </w:rPr>
        <w:t>[1]</w:t>
      </w:r>
      <w:r w:rsidR="00D17BD1" w:rsidRPr="00B41345">
        <w:rPr>
          <w:sz w:val="20"/>
          <w:szCs w:val="20"/>
        </w:rPr>
        <w:tab/>
      </w:r>
      <w:r w:rsidRPr="00B41345">
        <w:rPr>
          <w:sz w:val="20"/>
          <w:szCs w:val="20"/>
        </w:rPr>
        <w:t>Principles of robust design should also be applied to help ensure enduring designs which manage uncertainty in seismic design.</w:t>
      </w:r>
    </w:p>
    <w:p w14:paraId="2A159B53" w14:textId="1B1E7526" w:rsidR="301936FC" w:rsidRPr="00B41345" w:rsidRDefault="301936FC" w:rsidP="00C17550">
      <w:pPr>
        <w:ind w:left="357" w:hanging="357"/>
        <w:rPr>
          <w:rFonts w:eastAsia="Arial" w:cs="Arial"/>
          <w:sz w:val="20"/>
          <w:szCs w:val="20"/>
        </w:rPr>
      </w:pPr>
      <w:r w:rsidRPr="00B41345">
        <w:rPr>
          <w:sz w:val="20"/>
          <w:szCs w:val="20"/>
        </w:rPr>
        <w:t>[2]</w:t>
      </w:r>
      <w:r w:rsidR="00D17BD1" w:rsidRPr="00B41345">
        <w:rPr>
          <w:sz w:val="20"/>
          <w:szCs w:val="20"/>
        </w:rPr>
        <w:tab/>
      </w:r>
      <w:r w:rsidRPr="00B41345">
        <w:rPr>
          <w:sz w:val="20"/>
          <w:szCs w:val="20"/>
        </w:rPr>
        <w:t>Full functionality in an earthquake recovery context does not mean pre-quake functionality. Reduced functionality is expected or a slight compromise in working conditions, with the focus being on adequate functionality to fulfil post-disaster function.</w:t>
      </w:r>
    </w:p>
    <w:p w14:paraId="295559E7" w14:textId="58A91B70" w:rsidR="301936FC" w:rsidRPr="00B41345" w:rsidRDefault="301936FC" w:rsidP="00C17550">
      <w:pPr>
        <w:ind w:left="357" w:hanging="357"/>
        <w:rPr>
          <w:rFonts w:eastAsia="Arial" w:cs="Arial"/>
          <w:sz w:val="20"/>
          <w:szCs w:val="20"/>
        </w:rPr>
      </w:pPr>
      <w:r w:rsidRPr="00B41345">
        <w:rPr>
          <w:sz w:val="20"/>
          <w:szCs w:val="20"/>
        </w:rPr>
        <w:t>[3]</w:t>
      </w:r>
      <w:r w:rsidR="00D17BD1" w:rsidRPr="00B41345">
        <w:rPr>
          <w:sz w:val="20"/>
          <w:szCs w:val="20"/>
        </w:rPr>
        <w:tab/>
      </w:r>
      <w:r w:rsidRPr="00B41345">
        <w:rPr>
          <w:sz w:val="20"/>
          <w:szCs w:val="20"/>
        </w:rPr>
        <w:t>Full functionality does not imply code compliance</w:t>
      </w:r>
      <w:r w:rsidR="00A43953" w:rsidRPr="00B41345">
        <w:rPr>
          <w:sz w:val="20"/>
          <w:szCs w:val="20"/>
        </w:rPr>
        <w:t xml:space="preserve">. </w:t>
      </w:r>
      <w:r w:rsidRPr="00B41345">
        <w:rPr>
          <w:sz w:val="20"/>
          <w:szCs w:val="20"/>
        </w:rPr>
        <w:t xml:space="preserve">It is expected that some systems will not be code compliant after a large earthquake, however they are expected to maintain </w:t>
      </w:r>
      <w:r w:rsidR="00C1222C" w:rsidRPr="00B41345">
        <w:rPr>
          <w:sz w:val="20"/>
          <w:szCs w:val="20"/>
        </w:rPr>
        <w:t>minimally</w:t>
      </w:r>
      <w:r w:rsidRPr="00B41345">
        <w:rPr>
          <w:sz w:val="20"/>
          <w:szCs w:val="20"/>
        </w:rPr>
        <w:t xml:space="preserve"> adequate performance—this may mean operating under slightly elevated levels of risk which are tolerable for a time under the circumstances, and which might be mitigated by additional management strategies (to mitigate any compromise to parts of fire safety systems, for example). Return to normal operations describes the resolution of these compromises as part of the medium to longer term recovery</w:t>
      </w:r>
      <w:r w:rsidR="00A43953" w:rsidRPr="00B41345">
        <w:rPr>
          <w:sz w:val="20"/>
          <w:szCs w:val="20"/>
        </w:rPr>
        <w:t xml:space="preserve">. </w:t>
      </w:r>
      <w:r w:rsidRPr="00B41345">
        <w:rPr>
          <w:sz w:val="20"/>
          <w:szCs w:val="20"/>
        </w:rPr>
        <w:t>Note that in large earthquakes, disruption and return to full function can often be controlled by aspects beyond the building envelope, such as cordons, utility outages, and labour shortages.</w:t>
      </w:r>
    </w:p>
    <w:p w14:paraId="72741C9F" w14:textId="0550C8D6" w:rsidR="301936FC" w:rsidRPr="00B41345" w:rsidRDefault="301936FC" w:rsidP="00C17550">
      <w:pPr>
        <w:ind w:left="357" w:hanging="357"/>
        <w:rPr>
          <w:sz w:val="20"/>
          <w:szCs w:val="20"/>
        </w:rPr>
      </w:pPr>
      <w:r w:rsidRPr="00B41345">
        <w:rPr>
          <w:sz w:val="20"/>
          <w:szCs w:val="20"/>
        </w:rPr>
        <w:t>[4]</w:t>
      </w:r>
      <w:r w:rsidR="00D17BD1" w:rsidRPr="00B41345">
        <w:rPr>
          <w:sz w:val="20"/>
          <w:szCs w:val="20"/>
        </w:rPr>
        <w:tab/>
      </w:r>
      <w:r w:rsidRPr="00B41345">
        <w:rPr>
          <w:sz w:val="20"/>
          <w:szCs w:val="20"/>
        </w:rPr>
        <w:t>For a building with special post-disaster function, functionality must consider potential loss of function due to building performance, external physical factors, and external organisational</w:t>
      </w:r>
    </w:p>
    <w:p w14:paraId="5F22203D" w14:textId="27051685" w:rsidR="7BAF595F" w:rsidRPr="00B41345" w:rsidRDefault="301936FC" w:rsidP="00C17550">
      <w:pPr>
        <w:ind w:left="357" w:hanging="357"/>
        <w:rPr>
          <w:sz w:val="20"/>
          <w:szCs w:val="20"/>
        </w:rPr>
      </w:pPr>
      <w:r w:rsidRPr="00B41345">
        <w:rPr>
          <w:sz w:val="20"/>
          <w:szCs w:val="20"/>
        </w:rPr>
        <w:t>[5]</w:t>
      </w:r>
      <w:r w:rsidR="00D17BD1" w:rsidRPr="00B41345">
        <w:rPr>
          <w:sz w:val="20"/>
          <w:szCs w:val="20"/>
        </w:rPr>
        <w:tab/>
      </w:r>
      <w:r w:rsidRPr="00B41345">
        <w:rPr>
          <w:sz w:val="20"/>
          <w:szCs w:val="20"/>
        </w:rPr>
        <w:t>Repair work should not require full decant of departments. Minor intermittent capacity restrictions tolerable.</w:t>
      </w:r>
    </w:p>
    <w:p w14:paraId="39E6D7C0" w14:textId="1D69F1F0" w:rsidR="7BAF595F" w:rsidRPr="00B41345" w:rsidRDefault="301936FC" w:rsidP="00C17550">
      <w:pPr>
        <w:ind w:left="357" w:hanging="357"/>
        <w:rPr>
          <w:sz w:val="20"/>
          <w:szCs w:val="20"/>
        </w:rPr>
      </w:pPr>
      <w:r w:rsidRPr="00B41345">
        <w:rPr>
          <w:sz w:val="20"/>
          <w:szCs w:val="20"/>
        </w:rPr>
        <w:t>[6]</w:t>
      </w:r>
      <w:r w:rsidR="00D17BD1" w:rsidRPr="00B41345">
        <w:rPr>
          <w:sz w:val="20"/>
          <w:szCs w:val="20"/>
        </w:rPr>
        <w:tab/>
      </w:r>
      <w:r w:rsidRPr="00B41345">
        <w:rPr>
          <w:sz w:val="20"/>
          <w:szCs w:val="20"/>
        </w:rPr>
        <w:t>Repair work should not require full decant of departments. Short periods (days to weeks) of reduced capacity tolerable for carrying out repairs.</w:t>
      </w:r>
    </w:p>
    <w:p w14:paraId="66CA282C" w14:textId="449DD47C" w:rsidR="7BAF595F" w:rsidRPr="00B41345" w:rsidRDefault="301936FC" w:rsidP="00C17550">
      <w:pPr>
        <w:ind w:left="357" w:hanging="357"/>
        <w:rPr>
          <w:sz w:val="20"/>
          <w:szCs w:val="20"/>
        </w:rPr>
      </w:pPr>
      <w:r w:rsidRPr="00B41345">
        <w:rPr>
          <w:sz w:val="20"/>
          <w:szCs w:val="20"/>
        </w:rPr>
        <w:t>[7]</w:t>
      </w:r>
      <w:r w:rsidR="00D17BD1" w:rsidRPr="00B41345">
        <w:rPr>
          <w:sz w:val="20"/>
          <w:szCs w:val="20"/>
        </w:rPr>
        <w:tab/>
      </w:r>
      <w:r w:rsidRPr="00B41345">
        <w:rPr>
          <w:sz w:val="20"/>
          <w:szCs w:val="20"/>
        </w:rPr>
        <w:t>Reduced rather than interrupted basic functionality is desirable. However, some interruption tolerable.</w:t>
      </w:r>
    </w:p>
    <w:p w14:paraId="704B95F6" w14:textId="22A4B08E" w:rsidR="7BAF595F" w:rsidRPr="00B41345" w:rsidRDefault="301936FC" w:rsidP="00C17550">
      <w:pPr>
        <w:ind w:left="357" w:hanging="357"/>
        <w:rPr>
          <w:sz w:val="20"/>
          <w:szCs w:val="20"/>
        </w:rPr>
      </w:pPr>
      <w:r w:rsidRPr="009C55CF">
        <w:rPr>
          <w:sz w:val="20"/>
          <w:szCs w:val="20"/>
        </w:rPr>
        <w:t>[8]</w:t>
      </w:r>
      <w:r w:rsidR="00D17BD1" w:rsidRPr="009C55CF">
        <w:rPr>
          <w:sz w:val="20"/>
          <w:szCs w:val="20"/>
        </w:rPr>
        <w:tab/>
      </w:r>
      <w:r w:rsidRPr="009C55CF">
        <w:rPr>
          <w:sz w:val="20"/>
          <w:szCs w:val="20"/>
        </w:rPr>
        <w:t>Partial</w:t>
      </w:r>
      <w:r w:rsidRPr="00B41345">
        <w:rPr>
          <w:sz w:val="20"/>
          <w:szCs w:val="20"/>
        </w:rPr>
        <w:t xml:space="preserve"> decant of </w:t>
      </w:r>
      <w:r w:rsidR="00902C8C" w:rsidRPr="00B41345">
        <w:rPr>
          <w:sz w:val="20"/>
          <w:szCs w:val="20"/>
        </w:rPr>
        <w:t xml:space="preserve">buildings </w:t>
      </w:r>
      <w:r w:rsidR="00636715" w:rsidRPr="00B41345">
        <w:rPr>
          <w:sz w:val="20"/>
          <w:szCs w:val="20"/>
        </w:rPr>
        <w:t>in this category</w:t>
      </w:r>
      <w:r w:rsidR="00902C8C" w:rsidRPr="00B41345">
        <w:rPr>
          <w:sz w:val="20"/>
          <w:szCs w:val="20"/>
        </w:rPr>
        <w:t xml:space="preserve"> </w:t>
      </w:r>
      <w:r w:rsidR="00E96AA9" w:rsidRPr="00B41345">
        <w:rPr>
          <w:sz w:val="20"/>
          <w:szCs w:val="20"/>
        </w:rPr>
        <w:t xml:space="preserve">for carrying out repair work </w:t>
      </w:r>
      <w:r w:rsidR="00902C8C" w:rsidRPr="00B41345">
        <w:rPr>
          <w:sz w:val="20"/>
          <w:szCs w:val="20"/>
        </w:rPr>
        <w:t>is</w:t>
      </w:r>
      <w:r w:rsidRPr="00B41345">
        <w:rPr>
          <w:sz w:val="20"/>
          <w:szCs w:val="20"/>
        </w:rPr>
        <w:t xml:space="preserve"> </w:t>
      </w:r>
      <w:r w:rsidR="00E96AA9" w:rsidRPr="00B41345">
        <w:rPr>
          <w:sz w:val="20"/>
          <w:szCs w:val="20"/>
        </w:rPr>
        <w:t xml:space="preserve">a </w:t>
      </w:r>
      <w:r w:rsidRPr="00B41345">
        <w:rPr>
          <w:sz w:val="20"/>
          <w:szCs w:val="20"/>
        </w:rPr>
        <w:t>tolerable</w:t>
      </w:r>
      <w:r w:rsidR="00E96AA9" w:rsidRPr="00B41345">
        <w:rPr>
          <w:sz w:val="20"/>
          <w:szCs w:val="20"/>
        </w:rPr>
        <w:t xml:space="preserve"> outcome</w:t>
      </w:r>
      <w:r w:rsidRPr="00B41345">
        <w:rPr>
          <w:sz w:val="20"/>
          <w:szCs w:val="20"/>
        </w:rPr>
        <w:t>.</w:t>
      </w:r>
    </w:p>
    <w:p w14:paraId="1E270E52" w14:textId="2407ACF9" w:rsidR="301936FC" w:rsidRPr="00B41345" w:rsidRDefault="301936FC" w:rsidP="00C17550">
      <w:pPr>
        <w:ind w:left="357" w:hanging="357"/>
        <w:rPr>
          <w:sz w:val="20"/>
          <w:szCs w:val="20"/>
          <w:lang w:val="en-US"/>
        </w:rPr>
      </w:pPr>
      <w:r w:rsidRPr="00B41345">
        <w:rPr>
          <w:sz w:val="20"/>
          <w:szCs w:val="20"/>
        </w:rPr>
        <w:t>[9]</w:t>
      </w:r>
      <w:r w:rsidR="00D17BD1" w:rsidRPr="00B41345">
        <w:rPr>
          <w:sz w:val="20"/>
          <w:szCs w:val="20"/>
        </w:rPr>
        <w:tab/>
      </w:r>
      <w:r w:rsidR="007D5C79" w:rsidRPr="00B41345">
        <w:rPr>
          <w:sz w:val="20"/>
          <w:szCs w:val="20"/>
        </w:rPr>
        <w:t xml:space="preserve">Health NZ </w:t>
      </w:r>
      <w:r w:rsidRPr="00B41345">
        <w:rPr>
          <w:sz w:val="20"/>
          <w:szCs w:val="20"/>
        </w:rPr>
        <w:t>establish Priority Response Agreements for major Acute Services facilities between facilities staff and local engineers, to facilitate rapid post-earthquake reviews which help</w:t>
      </w:r>
      <w:r w:rsidRPr="00B41345">
        <w:rPr>
          <w:sz w:val="20"/>
          <w:szCs w:val="20"/>
          <w:lang w:val="en-US"/>
        </w:rPr>
        <w:t xml:space="preserve"> maintain confidence to continue to occupy and deliver services out of the facility.</w:t>
      </w:r>
    </w:p>
    <w:p w14:paraId="2717EF32" w14:textId="563491A6" w:rsidR="00535889" w:rsidRPr="00BE1640" w:rsidRDefault="00535889" w:rsidP="00BE1640">
      <w:pPr>
        <w:pStyle w:val="Section2heading3"/>
      </w:pPr>
      <w:bookmarkStart w:id="161" w:name="_Ref150756251"/>
      <w:r w:rsidRPr="00BE1640">
        <w:t xml:space="preserve">Limit States and </w:t>
      </w:r>
      <w:r w:rsidR="00B15797" w:rsidRPr="00BE1640">
        <w:t>Hazard Return Periods</w:t>
      </w:r>
      <w:bookmarkEnd w:id="161"/>
    </w:p>
    <w:p w14:paraId="71D35A6E" w14:textId="136DD773" w:rsidR="00C71EAD" w:rsidRPr="00BE1640" w:rsidRDefault="00C71EAD" w:rsidP="00D56CAE">
      <w:pPr>
        <w:pStyle w:val="BodyHeading"/>
        <w:rPr>
          <w:color w:val="0C818E"/>
        </w:rPr>
      </w:pPr>
      <w:r w:rsidRPr="00BE1640">
        <w:rPr>
          <w:color w:val="0C818E"/>
        </w:rPr>
        <w:t xml:space="preserve">How do we </w:t>
      </w:r>
      <w:r w:rsidR="00B05092" w:rsidRPr="00BE1640">
        <w:rPr>
          <w:color w:val="0C818E"/>
        </w:rPr>
        <w:t>link</w:t>
      </w:r>
      <w:r w:rsidRPr="00BE1640">
        <w:rPr>
          <w:color w:val="0C818E"/>
        </w:rPr>
        <w:t xml:space="preserve"> these performance goals into design criteria</w:t>
      </w:r>
      <w:r w:rsidR="00B05092" w:rsidRPr="00BE1640">
        <w:rPr>
          <w:color w:val="0C818E"/>
        </w:rPr>
        <w:t>?</w:t>
      </w:r>
    </w:p>
    <w:p w14:paraId="73935D1B" w14:textId="30E0F8D4" w:rsidR="0098156E" w:rsidRPr="00B975B2" w:rsidRDefault="002E1AC1" w:rsidP="00666E06">
      <w:r w:rsidRPr="00B975B2">
        <w:t xml:space="preserve">To </w:t>
      </w:r>
      <w:r w:rsidR="0015699B" w:rsidRPr="00B975B2">
        <w:t>achieve</w:t>
      </w:r>
      <w:r w:rsidRPr="00B975B2">
        <w:t xml:space="preserve"> the </w:t>
      </w:r>
      <w:r w:rsidR="0015699B" w:rsidRPr="00B975B2">
        <w:t xml:space="preserve">reliability </w:t>
      </w:r>
      <w:r w:rsidR="0007355C" w:rsidRPr="00B975B2">
        <w:t>of</w:t>
      </w:r>
      <w:r w:rsidR="0015699B" w:rsidRPr="00B975B2">
        <w:t xml:space="preserve"> performance described </w:t>
      </w:r>
      <w:r w:rsidR="005E0894" w:rsidRPr="00B975B2">
        <w:t>under</w:t>
      </w:r>
      <w:r w:rsidR="0015699B" w:rsidRPr="00B975B2">
        <w:t xml:space="preserve"> the performance goals,</w:t>
      </w:r>
      <w:r w:rsidR="00633B32" w:rsidRPr="00B975B2">
        <w:t xml:space="preserve"> this guideline</w:t>
      </w:r>
      <w:r w:rsidR="00E343ED" w:rsidRPr="00B975B2">
        <w:t xml:space="preserve"> translates </w:t>
      </w:r>
      <w:r w:rsidR="00E36D9A" w:rsidRPr="00B975B2">
        <w:t>them into a set of design limit states</w:t>
      </w:r>
      <w:r w:rsidR="0064390F" w:rsidRPr="00B975B2">
        <w:t xml:space="preserve"> for </w:t>
      </w:r>
      <w:r w:rsidR="008A0748" w:rsidRPr="00B975B2">
        <w:t xml:space="preserve">engineering </w:t>
      </w:r>
      <w:r w:rsidR="0064390F" w:rsidRPr="00B975B2">
        <w:t>design</w:t>
      </w:r>
      <w:r w:rsidR="0015699B" w:rsidRPr="00B975B2">
        <w:t>.</w:t>
      </w:r>
      <w:r w:rsidR="00E36D9A" w:rsidRPr="00B975B2">
        <w:t xml:space="preserve"> If the</w:t>
      </w:r>
      <w:r w:rsidR="0098156E" w:rsidRPr="00B975B2">
        <w:t xml:space="preserve"> design </w:t>
      </w:r>
      <w:r w:rsidR="006B5444" w:rsidRPr="00B975B2">
        <w:t>meets</w:t>
      </w:r>
      <w:r w:rsidR="0098156E" w:rsidRPr="00B975B2">
        <w:t xml:space="preserve"> </w:t>
      </w:r>
      <w:r w:rsidR="000E75E4" w:rsidRPr="00B975B2">
        <w:t xml:space="preserve">the </w:t>
      </w:r>
      <w:r w:rsidR="00FE0719">
        <w:t xml:space="preserve">required design criteria </w:t>
      </w:r>
      <w:r w:rsidR="00E2793E">
        <w:t>applicable to each</w:t>
      </w:r>
      <w:r w:rsidR="00FE0719">
        <w:t xml:space="preserve"> </w:t>
      </w:r>
      <w:r w:rsidR="00E36D9A" w:rsidRPr="00B975B2">
        <w:t>limit states</w:t>
      </w:r>
      <w:r w:rsidR="00E2793E">
        <w:t xml:space="preserve"> at the prescribed </w:t>
      </w:r>
      <w:r w:rsidR="00E2793E">
        <w:lastRenderedPageBreak/>
        <w:t>annual probability of exceedance (APoE)</w:t>
      </w:r>
      <w:r w:rsidR="006B5444" w:rsidRPr="00B975B2">
        <w:t>,</w:t>
      </w:r>
      <w:r w:rsidR="00E36D9A" w:rsidRPr="00B975B2">
        <w:t xml:space="preserve"> then the performance goals </w:t>
      </w:r>
      <w:r w:rsidR="0098156E" w:rsidRPr="00B975B2">
        <w:t>are deemed to</w:t>
      </w:r>
      <w:r w:rsidR="00E36D9A" w:rsidRPr="00B975B2">
        <w:t xml:space="preserve"> be met</w:t>
      </w:r>
      <w:r w:rsidR="00314D38">
        <w:rPr>
          <w:rStyle w:val="FootnoteReference"/>
        </w:rPr>
        <w:footnoteReference w:id="21"/>
      </w:r>
      <w:r w:rsidR="00E36D9A" w:rsidRPr="00B975B2">
        <w:t>.</w:t>
      </w:r>
    </w:p>
    <w:p w14:paraId="234B9070" w14:textId="02B86CCE" w:rsidR="00335245" w:rsidRPr="00B975B2" w:rsidRDefault="00A449C4" w:rsidP="00666E06">
      <w:r w:rsidRPr="00B975B2">
        <w:t xml:space="preserve">This does not </w:t>
      </w:r>
      <w:r w:rsidR="00CD738A" w:rsidRPr="00B975B2">
        <w:t xml:space="preserve">necessarily </w:t>
      </w:r>
      <w:r w:rsidRPr="00B975B2">
        <w:t>preclude designers from following a</w:t>
      </w:r>
      <w:r w:rsidR="007F6D3A">
        <w:t>n alternative</w:t>
      </w:r>
      <w:r w:rsidRPr="00B975B2">
        <w:t xml:space="preserve"> performance pathway</w:t>
      </w:r>
      <w:r w:rsidR="00165328" w:rsidRPr="00B975B2">
        <w:t xml:space="preserve"> to demonstrate</w:t>
      </w:r>
      <w:r w:rsidR="001A016B" w:rsidRPr="00B975B2">
        <w:t xml:space="preserve"> that the performance goals </w:t>
      </w:r>
      <w:r w:rsidR="007F6D3A">
        <w:t xml:space="preserve">set out in </w:t>
      </w:r>
      <w:r w:rsidR="007F6D3A" w:rsidRPr="00780C44">
        <w:fldChar w:fldCharType="begin"/>
      </w:r>
      <w:r w:rsidR="007F6D3A" w:rsidRPr="00780C44">
        <w:instrText xml:space="preserve"> REF _Ref157087771 \h </w:instrText>
      </w:r>
      <w:r w:rsidR="00780C44">
        <w:instrText xml:space="preserve"> \* MERGEFORMAT </w:instrText>
      </w:r>
      <w:r w:rsidR="007F6D3A" w:rsidRPr="00780C44">
        <w:fldChar w:fldCharType="separate"/>
      </w:r>
      <w:r w:rsidR="000761C1" w:rsidRPr="00780C44">
        <w:t xml:space="preserve">Table </w:t>
      </w:r>
      <w:r w:rsidR="000761C1" w:rsidRPr="00780C44">
        <w:rPr>
          <w:noProof/>
        </w:rPr>
        <w:t>5</w:t>
      </w:r>
      <w:r w:rsidR="007F6D3A" w:rsidRPr="00780C44">
        <w:fldChar w:fldCharType="end"/>
      </w:r>
      <w:r w:rsidR="007F6D3A">
        <w:t xml:space="preserve"> </w:t>
      </w:r>
      <w:r w:rsidR="001A016B" w:rsidRPr="00B975B2">
        <w:t>can be met—however</w:t>
      </w:r>
      <w:r w:rsidR="002626C0" w:rsidRPr="00B975B2">
        <w:t xml:space="preserve"> </w:t>
      </w:r>
      <w:r w:rsidR="001A016B" w:rsidRPr="00B975B2">
        <w:t>such an approach is usually impractical</w:t>
      </w:r>
      <w:r w:rsidR="00165328" w:rsidRPr="00B975B2">
        <w:t>.</w:t>
      </w:r>
      <w:r w:rsidR="0015699B" w:rsidRPr="00B975B2">
        <w:t xml:space="preserve"> </w:t>
      </w:r>
      <w:r w:rsidR="00CD738A" w:rsidRPr="00B975B2">
        <w:t>The use of a</w:t>
      </w:r>
      <w:r w:rsidR="00891701" w:rsidRPr="00B975B2">
        <w:t>n alternative</w:t>
      </w:r>
      <w:r w:rsidR="00CD738A" w:rsidRPr="00B975B2">
        <w:t xml:space="preserve"> performance-based design pathway </w:t>
      </w:r>
      <w:r w:rsidR="00C46C2C" w:rsidRPr="00B975B2">
        <w:t xml:space="preserve">should be treated as a </w:t>
      </w:r>
      <w:r w:rsidR="00C46C2C" w:rsidRPr="00B975B2">
        <w:rPr>
          <w:i/>
          <w:iCs/>
        </w:rPr>
        <w:t>Departure</w:t>
      </w:r>
      <w:r w:rsidR="00C46C2C" w:rsidRPr="00B975B2">
        <w:t xml:space="preserve"> to these guidelines in accordance with Section </w:t>
      </w:r>
      <w:r w:rsidR="00C46C2C" w:rsidRPr="00B975B2">
        <w:fldChar w:fldCharType="begin"/>
      </w:r>
      <w:r w:rsidR="00C46C2C" w:rsidRPr="00B975B2">
        <w:instrText xml:space="preserve"> REF _Ref150178103 \r \h </w:instrText>
      </w:r>
      <w:r w:rsidR="00B975B2">
        <w:instrText xml:space="preserve"> \* MERGEFORMAT </w:instrText>
      </w:r>
      <w:r w:rsidR="00C46C2C" w:rsidRPr="00B975B2">
        <w:fldChar w:fldCharType="separate"/>
      </w:r>
      <w:r w:rsidR="000761C1">
        <w:t>A1.6.2</w:t>
      </w:r>
      <w:r w:rsidR="00C46C2C" w:rsidRPr="00B975B2">
        <w:fldChar w:fldCharType="end"/>
      </w:r>
      <w:r w:rsidR="00C46C2C" w:rsidRPr="00B975B2">
        <w:t>.</w:t>
      </w:r>
    </w:p>
    <w:p w14:paraId="5FB8E275" w14:textId="366EC7C6" w:rsidR="000B4CBE" w:rsidRPr="00B272AA" w:rsidRDefault="00274EF5" w:rsidP="00D56CAE">
      <w:pPr>
        <w:pStyle w:val="BodyHeading"/>
        <w:rPr>
          <w:color w:val="0C818E"/>
        </w:rPr>
      </w:pPr>
      <w:r w:rsidRPr="00B272AA">
        <w:rPr>
          <w:color w:val="0C818E"/>
        </w:rPr>
        <w:t>Definition of Limit States, and how these relate to the performance goals</w:t>
      </w:r>
    </w:p>
    <w:p w14:paraId="7C7A3E48" w14:textId="32CC8E9B" w:rsidR="008F7740" w:rsidRPr="00B975B2" w:rsidRDefault="008F7740" w:rsidP="00666E06">
      <w:r w:rsidRPr="00B975B2">
        <w:t>Design limit states are de</w:t>
      </w:r>
      <w:r w:rsidR="00F31A77" w:rsidRPr="00B975B2">
        <w:t xml:space="preserve">fined </w:t>
      </w:r>
      <w:r w:rsidR="009322A7" w:rsidRPr="00B975B2">
        <w:t xml:space="preserve">to </w:t>
      </w:r>
      <w:r w:rsidR="00667BB3" w:rsidRPr="00B975B2">
        <w:t>allow specific</w:t>
      </w:r>
      <w:r w:rsidR="009322A7" w:rsidRPr="00B975B2">
        <w:t xml:space="preserve"> engineering design checks with the building performance goals</w:t>
      </w:r>
      <w:r w:rsidR="00667BB3" w:rsidRPr="00B975B2">
        <w:t>.</w:t>
      </w:r>
      <w:r w:rsidR="00135DF2" w:rsidRPr="00B975B2">
        <w:t xml:space="preserve"> These include the </w:t>
      </w:r>
      <w:r w:rsidR="00B05502" w:rsidRPr="00B975B2">
        <w:t>ULS, SLS1 and SLS2</w:t>
      </w:r>
      <w:r w:rsidR="00135DF2" w:rsidRPr="00B975B2">
        <w:t xml:space="preserve"> limit states already required by the </w:t>
      </w:r>
      <w:r w:rsidR="00877DED" w:rsidRPr="00B975B2">
        <w:t>B</w:t>
      </w:r>
      <w:r w:rsidR="00135DF2" w:rsidRPr="00B975B2">
        <w:t xml:space="preserve">uilding </w:t>
      </w:r>
      <w:r w:rsidR="00877DED" w:rsidRPr="00B975B2">
        <w:t>C</w:t>
      </w:r>
      <w:r w:rsidR="00135DF2" w:rsidRPr="00B975B2">
        <w:t xml:space="preserve">ode, </w:t>
      </w:r>
      <w:r w:rsidR="00E24591" w:rsidRPr="00B975B2">
        <w:t xml:space="preserve">but </w:t>
      </w:r>
      <w:r w:rsidR="00877DED" w:rsidRPr="00B975B2">
        <w:t>with</w:t>
      </w:r>
      <w:r w:rsidR="00135DF2" w:rsidRPr="00B975B2">
        <w:t xml:space="preserve"> clearer definition of the SLS2 limit state. The</w:t>
      </w:r>
      <w:r w:rsidR="00877DED" w:rsidRPr="00B975B2">
        <w:t>se guidelines</w:t>
      </w:r>
      <w:r w:rsidR="00135DF2" w:rsidRPr="00B975B2">
        <w:t xml:space="preserve"> </w:t>
      </w:r>
      <w:r w:rsidR="00407800" w:rsidRPr="00B975B2">
        <w:t>extend the SLS2</w:t>
      </w:r>
      <w:r w:rsidR="00487027" w:rsidRPr="00B975B2">
        <w:t xml:space="preserve"> </w:t>
      </w:r>
      <w:r w:rsidR="00877DED" w:rsidRPr="00B975B2">
        <w:t>considerations to all medical services</w:t>
      </w:r>
      <w:r w:rsidR="00B05502" w:rsidRPr="00B975B2">
        <w:t xml:space="preserve"> (not only Importance Level 4 facilities)</w:t>
      </w:r>
      <w:r w:rsidR="000D3593" w:rsidRPr="00B975B2">
        <w:t xml:space="preserve"> and </w:t>
      </w:r>
      <w:r w:rsidR="00135DF2" w:rsidRPr="00B975B2">
        <w:t xml:space="preserve">introduce </w:t>
      </w:r>
      <w:r w:rsidR="00F02254" w:rsidRPr="00B975B2">
        <w:t>a Damage Control Limit State</w:t>
      </w:r>
      <w:r w:rsidR="000D3593" w:rsidRPr="00B975B2">
        <w:t xml:space="preserve"> (DCLS)</w:t>
      </w:r>
      <w:r w:rsidR="00877DED" w:rsidRPr="00B975B2">
        <w:t xml:space="preserve"> for all </w:t>
      </w:r>
      <w:r w:rsidR="007D5C79">
        <w:t xml:space="preserve">Health NZ </w:t>
      </w:r>
      <w:r w:rsidR="00877DED" w:rsidRPr="00B975B2">
        <w:t>facilities</w:t>
      </w:r>
      <w:r w:rsidR="00293EB1" w:rsidRPr="00B975B2">
        <w:t xml:space="preserve"> of all Importance Levels</w:t>
      </w:r>
      <w:r w:rsidR="00877DED" w:rsidRPr="00B975B2">
        <w:t>.</w:t>
      </w:r>
    </w:p>
    <w:p w14:paraId="31BB9E75" w14:textId="77777777" w:rsidR="00577572" w:rsidRPr="00B272AA" w:rsidRDefault="00242EB5" w:rsidP="00666E06">
      <w:pPr>
        <w:pStyle w:val="EmphasisHeading"/>
        <w:rPr>
          <w:color w:val="0C818E"/>
        </w:rPr>
      </w:pPr>
      <w:r w:rsidRPr="00B272AA">
        <w:rPr>
          <w:color w:val="0C818E"/>
        </w:rPr>
        <w:t>Serviceability Limit State 1</w:t>
      </w:r>
      <w:r w:rsidR="00640D98" w:rsidRPr="00B272AA">
        <w:rPr>
          <w:color w:val="0C818E"/>
        </w:rPr>
        <w:t xml:space="preserve"> (SLS1)</w:t>
      </w:r>
    </w:p>
    <w:p w14:paraId="0C655FF4" w14:textId="05BAC1FA" w:rsidR="00BA7FF7" w:rsidRPr="00B975B2" w:rsidRDefault="004256AF" w:rsidP="00666E06">
      <w:r w:rsidRPr="00B975B2">
        <w:t>Th</w:t>
      </w:r>
      <w:r w:rsidR="00421A98" w:rsidRPr="00B975B2">
        <w:t>is</w:t>
      </w:r>
      <w:r w:rsidRPr="00B975B2">
        <w:t xml:space="preserve"> serviceability limit state </w:t>
      </w:r>
      <w:r w:rsidR="00421A98" w:rsidRPr="00B975B2">
        <w:t xml:space="preserve">in </w:t>
      </w:r>
      <w:r w:rsidR="00082BAB" w:rsidRPr="00B975B2">
        <w:t>AS/NZS 1170.0 is defined around maintaining amenity (function)</w:t>
      </w:r>
      <w:r w:rsidR="00D21639" w:rsidRPr="00B975B2">
        <w:t xml:space="preserve">. </w:t>
      </w:r>
      <w:r w:rsidR="0023588F" w:rsidRPr="00B975B2">
        <w:t>For</w:t>
      </w:r>
      <w:r w:rsidR="00082BAB" w:rsidRPr="00B975B2">
        <w:t xml:space="preserve"> seismic design </w:t>
      </w:r>
      <w:r w:rsidR="004557AC" w:rsidRPr="00B975B2">
        <w:t>it</w:t>
      </w:r>
      <w:r w:rsidR="00A8633B" w:rsidRPr="00B975B2">
        <w:t xml:space="preserve"> is</w:t>
      </w:r>
      <w:r w:rsidR="00715231" w:rsidRPr="00B975B2">
        <w:t xml:space="preserve"> predominantly </w:t>
      </w:r>
      <w:r w:rsidR="00A8633B" w:rsidRPr="00B975B2">
        <w:t xml:space="preserve">concerned </w:t>
      </w:r>
      <w:r w:rsidR="00715231" w:rsidRPr="00B975B2">
        <w:t xml:space="preserve">with </w:t>
      </w:r>
      <w:r w:rsidR="00A8633B" w:rsidRPr="00B975B2">
        <w:t xml:space="preserve">avoiding disproportionate </w:t>
      </w:r>
      <w:r w:rsidR="009651BA" w:rsidRPr="00B975B2">
        <w:t>damage</w:t>
      </w:r>
      <w:r w:rsidR="00403C10" w:rsidRPr="00B975B2">
        <w:t xml:space="preserve"> in</w:t>
      </w:r>
      <w:r w:rsidR="00715231" w:rsidRPr="00B975B2">
        <w:t xml:space="preserve"> </w:t>
      </w:r>
      <w:r w:rsidR="00403C10" w:rsidRPr="00B975B2">
        <w:t xml:space="preserve">less strong and more commonly occurring earthquake </w:t>
      </w:r>
      <w:r w:rsidR="00715231" w:rsidRPr="00B975B2">
        <w:t>events</w:t>
      </w:r>
      <w:r w:rsidR="0023588F" w:rsidRPr="00B975B2">
        <w:rPr>
          <w:rFonts w:cstheme="minorHAnsi"/>
        </w:rPr>
        <w:t>—</w:t>
      </w:r>
      <w:r w:rsidR="003C7B49" w:rsidRPr="00B975B2">
        <w:t>and the high cost of repairs when aggregated across a population</w:t>
      </w:r>
      <w:r w:rsidR="00D20708" w:rsidRPr="00B975B2">
        <w:t xml:space="preserve"> and the frequency of these smaller events</w:t>
      </w:r>
      <w:r w:rsidR="00403C10" w:rsidRPr="00B975B2">
        <w:t xml:space="preserve">. </w:t>
      </w:r>
      <w:r w:rsidR="00CB1B42" w:rsidRPr="00B975B2">
        <w:t>Thus,</w:t>
      </w:r>
      <w:r w:rsidR="004577F8" w:rsidRPr="00B975B2">
        <w:t xml:space="preserve"> </w:t>
      </w:r>
      <w:r w:rsidR="00FA2F05" w:rsidRPr="00B975B2">
        <w:t>many consider it to be a</w:t>
      </w:r>
      <w:r w:rsidR="004577F8" w:rsidRPr="00B975B2">
        <w:t xml:space="preserve"> minimal</w:t>
      </w:r>
      <w:r w:rsidR="00526AB6" w:rsidRPr="00B975B2">
        <w:t xml:space="preserve"> </w:t>
      </w:r>
      <w:r w:rsidR="004577F8" w:rsidRPr="00B975B2">
        <w:t>response to an asset protection objective</w:t>
      </w:r>
      <w:r w:rsidR="00526AB6" w:rsidRPr="00B975B2">
        <w:t xml:space="preserve"> </w:t>
      </w:r>
      <w:r w:rsidR="004577F8" w:rsidRPr="00B975B2">
        <w:t xml:space="preserve">under </w:t>
      </w:r>
      <w:r w:rsidR="00526AB6" w:rsidRPr="00B975B2">
        <w:t>small earthquakes</w:t>
      </w:r>
      <w:r w:rsidR="00C73EF5" w:rsidRPr="00B975B2">
        <w:t>. It intends to</w:t>
      </w:r>
      <w:r w:rsidR="004577F8" w:rsidRPr="00B975B2">
        <w:t xml:space="preserve"> </w:t>
      </w:r>
      <w:r w:rsidR="00741B4C" w:rsidRPr="00B975B2">
        <w:t>avoid disproportionate economic losses</w:t>
      </w:r>
      <w:r w:rsidR="00C73EF5" w:rsidRPr="00B975B2">
        <w:t>, albeit setting a relatively low bar</w:t>
      </w:r>
      <w:r w:rsidR="00526AB6" w:rsidRPr="00B975B2">
        <w:t>.</w:t>
      </w:r>
    </w:p>
    <w:p w14:paraId="6D565422" w14:textId="1B3001D4" w:rsidR="003959D6" w:rsidRPr="00B975B2" w:rsidRDefault="003959D6" w:rsidP="00666E06">
      <w:r w:rsidRPr="00B975B2">
        <w:t xml:space="preserve">This guide </w:t>
      </w:r>
      <w:r w:rsidR="00242EB5" w:rsidRPr="00B975B2">
        <w:t>does not deal with SLS1 any further</w:t>
      </w:r>
      <w:r w:rsidR="007D46FF" w:rsidRPr="00B975B2">
        <w:t>. D</w:t>
      </w:r>
      <w:r w:rsidR="00242EB5" w:rsidRPr="00B975B2">
        <w:t xml:space="preserve">esigners </w:t>
      </w:r>
      <w:r w:rsidR="00C0251E" w:rsidRPr="00B975B2">
        <w:t>are still required</w:t>
      </w:r>
      <w:r w:rsidR="00242EB5" w:rsidRPr="00B975B2">
        <w:t xml:space="preserve"> to </w:t>
      </w:r>
      <w:r w:rsidR="00C0251E" w:rsidRPr="00B975B2">
        <w:t xml:space="preserve">check and </w:t>
      </w:r>
      <w:r w:rsidR="00242EB5" w:rsidRPr="00B975B2">
        <w:t xml:space="preserve">meet </w:t>
      </w:r>
      <w:r w:rsidR="00C646A0" w:rsidRPr="00B975B2">
        <w:t xml:space="preserve">the </w:t>
      </w:r>
      <w:r w:rsidR="00242EB5" w:rsidRPr="00B975B2">
        <w:t>requirement</w:t>
      </w:r>
      <w:r w:rsidR="00C646A0" w:rsidRPr="00B975B2">
        <w:t>s of this limit state</w:t>
      </w:r>
      <w:r w:rsidR="00242EB5" w:rsidRPr="00B975B2">
        <w:t xml:space="preserve"> under the </w:t>
      </w:r>
      <w:r w:rsidR="00C0251E" w:rsidRPr="00B975B2">
        <w:t>B</w:t>
      </w:r>
      <w:r w:rsidR="00242EB5" w:rsidRPr="00B975B2">
        <w:t xml:space="preserve">uilding </w:t>
      </w:r>
      <w:r w:rsidR="00C0251E" w:rsidRPr="00B975B2">
        <w:t>C</w:t>
      </w:r>
      <w:r w:rsidR="00242EB5" w:rsidRPr="00B975B2">
        <w:t>ode.</w:t>
      </w:r>
    </w:p>
    <w:p w14:paraId="4FABA943" w14:textId="77777777" w:rsidR="00577572" w:rsidRPr="00F84274" w:rsidRDefault="00242EB5" w:rsidP="00666E06">
      <w:pPr>
        <w:pStyle w:val="EmphasisHeading"/>
        <w:rPr>
          <w:color w:val="0C818E"/>
        </w:rPr>
      </w:pPr>
      <w:r w:rsidRPr="00F84274">
        <w:rPr>
          <w:color w:val="0C818E"/>
        </w:rPr>
        <w:t>Serviceability Limit State 2</w:t>
      </w:r>
      <w:r w:rsidR="00640D98" w:rsidRPr="00F84274">
        <w:rPr>
          <w:color w:val="0C818E"/>
        </w:rPr>
        <w:t xml:space="preserve"> (SLS2)</w:t>
      </w:r>
    </w:p>
    <w:p w14:paraId="03B69A48" w14:textId="080E37A7" w:rsidR="00285A89" w:rsidRPr="00B975B2" w:rsidRDefault="007D46FF" w:rsidP="00666E06">
      <w:r w:rsidRPr="00B975B2">
        <w:t xml:space="preserve">This limit state is </w:t>
      </w:r>
      <w:r w:rsidR="002635C0" w:rsidRPr="00B975B2">
        <w:t>defined around maintaining</w:t>
      </w:r>
      <w:r w:rsidR="00E1540E" w:rsidRPr="00B975B2">
        <w:t xml:space="preserve"> </w:t>
      </w:r>
      <w:r w:rsidR="007F21C7" w:rsidRPr="00B975B2">
        <w:rPr>
          <w:b/>
          <w:bCs/>
        </w:rPr>
        <w:t>C</w:t>
      </w:r>
      <w:r w:rsidR="00285A89" w:rsidRPr="00B975B2">
        <w:rPr>
          <w:b/>
          <w:bCs/>
        </w:rPr>
        <w:t>ontinued</w:t>
      </w:r>
      <w:r w:rsidR="00715231" w:rsidRPr="00B975B2">
        <w:rPr>
          <w:b/>
          <w:bCs/>
        </w:rPr>
        <w:t xml:space="preserve"> </w:t>
      </w:r>
      <w:r w:rsidR="007F21C7" w:rsidRPr="00B975B2">
        <w:rPr>
          <w:b/>
          <w:bCs/>
        </w:rPr>
        <w:t>Functionality</w:t>
      </w:r>
      <w:r w:rsidR="007F21C7" w:rsidRPr="00B975B2">
        <w:t xml:space="preserve"> </w:t>
      </w:r>
      <w:r w:rsidR="0013688A" w:rsidRPr="00B975B2">
        <w:t xml:space="preserve">after a significant </w:t>
      </w:r>
      <w:r w:rsidR="00095B26" w:rsidRPr="00B975B2">
        <w:t>earthquake</w:t>
      </w:r>
      <w:r w:rsidR="00526AB6" w:rsidRPr="00B975B2">
        <w:t>.</w:t>
      </w:r>
      <w:r w:rsidR="002635C0" w:rsidRPr="00B975B2">
        <w:t xml:space="preserve"> The Building Code </w:t>
      </w:r>
      <w:r w:rsidR="00F121D5" w:rsidRPr="00B975B2">
        <w:t xml:space="preserve">verification methods </w:t>
      </w:r>
      <w:r w:rsidR="001A2F1B" w:rsidRPr="00B975B2">
        <w:t xml:space="preserve">apply </w:t>
      </w:r>
      <w:r w:rsidR="00D647A5" w:rsidRPr="00B975B2">
        <w:t>this limit state</w:t>
      </w:r>
      <w:r w:rsidR="00F121D5" w:rsidRPr="00B975B2">
        <w:t xml:space="preserve"> to Importance Level 4 facilities</w:t>
      </w:r>
      <w:r w:rsidR="00EF33A2" w:rsidRPr="00B975B2">
        <w:t xml:space="preserve"> with </w:t>
      </w:r>
      <w:r w:rsidR="00781AF8" w:rsidRPr="00B975B2">
        <w:t>specific post-disaster functions</w:t>
      </w:r>
      <w:r w:rsidR="00F121D5" w:rsidRPr="00B975B2">
        <w:t xml:space="preserve">. </w:t>
      </w:r>
      <w:r w:rsidR="00EA5EB0" w:rsidRPr="00B975B2">
        <w:t>However,</w:t>
      </w:r>
      <w:r w:rsidR="00F121D5" w:rsidRPr="00B975B2">
        <w:t xml:space="preserve"> </w:t>
      </w:r>
      <w:r w:rsidR="007D5C79">
        <w:t xml:space="preserve">Health NZ </w:t>
      </w:r>
      <w:r w:rsidR="00F121D5" w:rsidRPr="00B975B2">
        <w:t>(</w:t>
      </w:r>
      <w:r w:rsidR="00AD14E9" w:rsidRPr="00B975B2">
        <w:t xml:space="preserve">and </w:t>
      </w:r>
      <w:r w:rsidR="00F121D5" w:rsidRPr="00B975B2">
        <w:t>this guideline) require</w:t>
      </w:r>
      <w:r w:rsidR="00F55CBC" w:rsidRPr="00B975B2">
        <w:t xml:space="preserve"> it to be applied</w:t>
      </w:r>
      <w:r w:rsidR="001A2F1B" w:rsidRPr="00B975B2">
        <w:t xml:space="preserve"> to </w:t>
      </w:r>
      <w:r w:rsidR="00A76876" w:rsidRPr="00B975B2">
        <w:t>all</w:t>
      </w:r>
      <w:r w:rsidR="001A2F1B" w:rsidRPr="00B975B2">
        <w:t xml:space="preserve"> their facilities</w:t>
      </w:r>
      <w:r w:rsidR="00781AF8" w:rsidRPr="00B975B2">
        <w:t xml:space="preserve"> </w:t>
      </w:r>
      <w:r w:rsidR="007305D0" w:rsidRPr="00B975B2">
        <w:t>to</w:t>
      </w:r>
      <w:r w:rsidR="00781AF8" w:rsidRPr="00B975B2">
        <w:t xml:space="preserve"> meet the </w:t>
      </w:r>
      <w:r w:rsidR="006168C3" w:rsidRPr="00B975B2">
        <w:t xml:space="preserve">outcome </w:t>
      </w:r>
      <w:r w:rsidR="00781AF8" w:rsidRPr="00B975B2">
        <w:t>objectives set out</w:t>
      </w:r>
      <w:r w:rsidR="006168C3" w:rsidRPr="00B975B2">
        <w:t xml:space="preserve"> in Section </w:t>
      </w:r>
      <w:r w:rsidR="006168C3" w:rsidRPr="00B975B2">
        <w:fldChar w:fldCharType="begin"/>
      </w:r>
      <w:r w:rsidR="006168C3" w:rsidRPr="00B975B2">
        <w:instrText xml:space="preserve"> REF _Ref150413409 \r \h </w:instrText>
      </w:r>
      <w:r w:rsidR="00B975B2">
        <w:instrText xml:space="preserve"> \* MERGEFORMAT </w:instrText>
      </w:r>
      <w:r w:rsidR="006168C3" w:rsidRPr="00B975B2">
        <w:fldChar w:fldCharType="separate"/>
      </w:r>
      <w:r w:rsidR="000761C1">
        <w:t>B2.2</w:t>
      </w:r>
      <w:r w:rsidR="006168C3" w:rsidRPr="00B975B2">
        <w:fldChar w:fldCharType="end"/>
      </w:r>
      <w:r w:rsidR="00F55CBC" w:rsidRPr="00B975B2">
        <w:t>.</w:t>
      </w:r>
    </w:p>
    <w:p w14:paraId="5043D76D" w14:textId="77777777" w:rsidR="00577572" w:rsidRPr="00F84274" w:rsidRDefault="008B2495" w:rsidP="00666E06">
      <w:pPr>
        <w:pStyle w:val="EmphasisHeading"/>
        <w:rPr>
          <w:color w:val="0C818E"/>
        </w:rPr>
      </w:pPr>
      <w:r w:rsidRPr="00F84274">
        <w:rPr>
          <w:color w:val="0C818E"/>
        </w:rPr>
        <w:t>Damage Control Limit State</w:t>
      </w:r>
      <w:r w:rsidR="00640D98" w:rsidRPr="00F84274">
        <w:rPr>
          <w:color w:val="0C818E"/>
        </w:rPr>
        <w:t xml:space="preserve"> (DCLS</w:t>
      </w:r>
      <w:r w:rsidR="00135DF2" w:rsidRPr="00F84274">
        <w:rPr>
          <w:color w:val="0C818E"/>
        </w:rPr>
        <w:t>)</w:t>
      </w:r>
    </w:p>
    <w:p w14:paraId="399CE402" w14:textId="29273616" w:rsidR="004C01CF" w:rsidRPr="00B975B2" w:rsidRDefault="00783C95" w:rsidP="00666E06">
      <w:r w:rsidRPr="00B975B2">
        <w:t xml:space="preserve">This limit state is introduced to meet the </w:t>
      </w:r>
      <w:r w:rsidR="007F21C7" w:rsidRPr="00B975B2">
        <w:rPr>
          <w:b/>
          <w:bCs/>
        </w:rPr>
        <w:t>A</w:t>
      </w:r>
      <w:r w:rsidR="008B2495" w:rsidRPr="00B975B2">
        <w:rPr>
          <w:b/>
          <w:bCs/>
        </w:rPr>
        <w:t xml:space="preserve">sset </w:t>
      </w:r>
      <w:r w:rsidRPr="00B975B2">
        <w:rPr>
          <w:b/>
          <w:bCs/>
        </w:rPr>
        <w:t>P</w:t>
      </w:r>
      <w:r w:rsidR="008B2495" w:rsidRPr="00B975B2">
        <w:rPr>
          <w:b/>
          <w:bCs/>
        </w:rPr>
        <w:t>rotection</w:t>
      </w:r>
      <w:r w:rsidRPr="00B975B2">
        <w:t xml:space="preserve"> objective.</w:t>
      </w:r>
      <w:r w:rsidR="008B2495" w:rsidRPr="00B975B2">
        <w:t xml:space="preserve"> </w:t>
      </w:r>
      <w:r w:rsidR="00111087" w:rsidRPr="00B975B2">
        <w:t>Meeting</w:t>
      </w:r>
      <w:r w:rsidR="00993FEB" w:rsidRPr="00B975B2">
        <w:t xml:space="preserve"> this limit does not mean no damage</w:t>
      </w:r>
      <w:r w:rsidR="00E228D2">
        <w:t xml:space="preserve"> at this shaking level</w:t>
      </w:r>
      <w:r w:rsidR="003E09DC" w:rsidRPr="00B975B2">
        <w:t xml:space="preserve">—but </w:t>
      </w:r>
      <w:r w:rsidR="00DD1763" w:rsidRPr="00B975B2">
        <w:t>it does require</w:t>
      </w:r>
      <w:r w:rsidR="00766881" w:rsidRPr="00B975B2">
        <w:t xml:space="preserve"> damage to be</w:t>
      </w:r>
      <w:r w:rsidR="003E09DC" w:rsidRPr="00B975B2">
        <w:t xml:space="preserve"> limited and </w:t>
      </w:r>
      <w:r w:rsidR="00766881" w:rsidRPr="00B975B2">
        <w:t xml:space="preserve">economically </w:t>
      </w:r>
      <w:r w:rsidR="003E09DC" w:rsidRPr="00B975B2">
        <w:t>repairable</w:t>
      </w:r>
      <w:r w:rsidR="008B2495" w:rsidRPr="00B975B2">
        <w:t>.</w:t>
      </w:r>
      <w:r w:rsidR="00C05765" w:rsidRPr="00B975B2">
        <w:t xml:space="preserve"> The </w:t>
      </w:r>
      <w:r w:rsidR="000552F9" w:rsidRPr="00B975B2">
        <w:t xml:space="preserve">higher-level </w:t>
      </w:r>
      <w:r w:rsidR="007E0735" w:rsidRPr="00B975B2">
        <w:t xml:space="preserve">engineering </w:t>
      </w:r>
      <w:r w:rsidR="00C05765" w:rsidRPr="00B975B2">
        <w:t xml:space="preserve">objective </w:t>
      </w:r>
      <w:r w:rsidR="00ED05E1" w:rsidRPr="00B975B2">
        <w:t xml:space="preserve">is usually </w:t>
      </w:r>
      <w:r w:rsidR="003E09DC" w:rsidRPr="00B975B2">
        <w:t>quantified</w:t>
      </w:r>
      <w:r w:rsidR="000552F9" w:rsidRPr="00B975B2">
        <w:t xml:space="preserve"> in </w:t>
      </w:r>
      <w:r w:rsidR="007E0735" w:rsidRPr="00B975B2">
        <w:t>t</w:t>
      </w:r>
      <w:r w:rsidR="000552F9" w:rsidRPr="00B975B2">
        <w:t>erms</w:t>
      </w:r>
      <w:r w:rsidR="007E0735" w:rsidRPr="00B975B2">
        <w:t xml:space="preserve"> of </w:t>
      </w:r>
      <w:r w:rsidR="007A08DB" w:rsidRPr="00B975B2">
        <w:t>m</w:t>
      </w:r>
      <w:r w:rsidR="005516D2" w:rsidRPr="00B975B2">
        <w:t>aximum acceptable Estimated Annual Losses</w:t>
      </w:r>
      <w:r w:rsidR="008F616C" w:rsidRPr="00B975B2">
        <w:t xml:space="preserve"> (EAL)</w:t>
      </w:r>
      <w:r w:rsidR="005516D2" w:rsidRPr="00B975B2">
        <w:t xml:space="preserve"> for the building and its </w:t>
      </w:r>
      <w:r w:rsidR="008F616C" w:rsidRPr="00B975B2">
        <w:lastRenderedPageBreak/>
        <w:t xml:space="preserve">elements. For example, </w:t>
      </w:r>
      <w:r w:rsidR="00471AC4" w:rsidRPr="00B975B2">
        <w:t>assuring</w:t>
      </w:r>
      <w:r w:rsidR="007E0735" w:rsidRPr="00B975B2">
        <w:t xml:space="preserve"> a low chance (say </w:t>
      </w:r>
      <w:r w:rsidR="008C5F52" w:rsidRPr="00B975B2">
        <w:t>1</w:t>
      </w:r>
      <w:r w:rsidR="008B6A4C" w:rsidRPr="00B975B2">
        <w:t>-</w:t>
      </w:r>
      <w:r w:rsidR="007E0735" w:rsidRPr="00B975B2">
        <w:t>10%)</w:t>
      </w:r>
      <w:r w:rsidR="00DF5B15" w:rsidRPr="00B975B2">
        <w:t xml:space="preserve"> o</w:t>
      </w:r>
      <w:r w:rsidR="007F073C" w:rsidRPr="00B975B2">
        <w:t xml:space="preserve">f </w:t>
      </w:r>
      <w:r w:rsidR="00D46800" w:rsidRPr="00B975B2">
        <w:t xml:space="preserve">losses from earthquake </w:t>
      </w:r>
      <w:r w:rsidR="00095B26" w:rsidRPr="00B975B2">
        <w:t xml:space="preserve">damage </w:t>
      </w:r>
      <w:r w:rsidR="00D46800" w:rsidRPr="00B975B2">
        <w:t xml:space="preserve">exceeding </w:t>
      </w:r>
      <w:r w:rsidR="008B6A4C" w:rsidRPr="00B975B2">
        <w:t xml:space="preserve">5% of </w:t>
      </w:r>
      <w:r w:rsidR="003B63A8" w:rsidRPr="00B975B2">
        <w:t xml:space="preserve">the </w:t>
      </w:r>
      <w:r w:rsidR="00471AC4" w:rsidRPr="00B975B2">
        <w:t>building</w:t>
      </w:r>
      <w:r w:rsidR="003B63A8" w:rsidRPr="00B975B2">
        <w:t xml:space="preserve"> replacement cost</w:t>
      </w:r>
      <w:r w:rsidR="008B1811" w:rsidRPr="00B975B2">
        <w:t xml:space="preserve"> in a </w:t>
      </w:r>
      <w:r w:rsidR="00471AC4" w:rsidRPr="00B975B2">
        <w:t>10-year</w:t>
      </w:r>
      <w:r w:rsidR="008B1811" w:rsidRPr="00B975B2">
        <w:t xml:space="preserve"> period</w:t>
      </w:r>
      <w:r w:rsidR="003B63A8" w:rsidRPr="00B975B2">
        <w:t>.</w:t>
      </w:r>
    </w:p>
    <w:p w14:paraId="6F7DCEEF" w14:textId="306A7EBC" w:rsidR="008B2495" w:rsidRPr="00B975B2" w:rsidRDefault="008F616C" w:rsidP="00666E06">
      <w:r w:rsidRPr="00B975B2">
        <w:t xml:space="preserve">The </w:t>
      </w:r>
      <w:r w:rsidR="00951D78" w:rsidRPr="00B975B2">
        <w:t xml:space="preserve">hazard level and physical state descriptions </w:t>
      </w:r>
      <w:r w:rsidR="00FA127E" w:rsidRPr="00B975B2">
        <w:t>aligned to this limit state</w:t>
      </w:r>
      <w:r w:rsidR="00C47E44">
        <w:t>, along</w:t>
      </w:r>
      <w:r w:rsidR="00A70A4C">
        <w:t>side</w:t>
      </w:r>
      <w:r w:rsidR="00C47E44">
        <w:t xml:space="preserve"> </w:t>
      </w:r>
      <w:r w:rsidR="00BA05BE">
        <w:t xml:space="preserve">the </w:t>
      </w:r>
      <w:r w:rsidR="00A70A4C">
        <w:t xml:space="preserve">ULS robustness </w:t>
      </w:r>
      <w:r w:rsidR="00C62A87">
        <w:t xml:space="preserve">and detailing </w:t>
      </w:r>
      <w:r w:rsidR="00A70A4C">
        <w:t>requirements,</w:t>
      </w:r>
      <w:r w:rsidR="00FA127E" w:rsidRPr="00B975B2">
        <w:t xml:space="preserve"> </w:t>
      </w:r>
      <w:r w:rsidR="004C01CF" w:rsidRPr="00B975B2">
        <w:t xml:space="preserve">are deemed to </w:t>
      </w:r>
      <w:r w:rsidR="00F578E5" w:rsidRPr="00B975B2">
        <w:t xml:space="preserve">meet </w:t>
      </w:r>
      <w:r w:rsidR="167BBF25" w:rsidRPr="00B975B2">
        <w:t xml:space="preserve">the </w:t>
      </w:r>
      <w:r w:rsidR="007D5C79">
        <w:t xml:space="preserve">Health NZ </w:t>
      </w:r>
      <w:r w:rsidR="004C01CF" w:rsidRPr="00B975B2">
        <w:t>requirement</w:t>
      </w:r>
      <w:r w:rsidR="00C42A5F" w:rsidRPr="00B975B2">
        <w:t>s for an appropriate level of asset protection</w:t>
      </w:r>
      <w:r w:rsidR="009B6A5E" w:rsidRPr="00B975B2">
        <w:t>—</w:t>
      </w:r>
      <w:r w:rsidR="00D744D7" w:rsidRPr="00B975B2">
        <w:t>helping ensure the financial burden of earthquake recovery does not apply undue pressure to the nationwide infrastructure budget</w:t>
      </w:r>
      <w:r w:rsidR="0062173D" w:rsidRPr="00B975B2">
        <w:t xml:space="preserve"> to the detriment of health service</w:t>
      </w:r>
      <w:r w:rsidR="008C5F52" w:rsidRPr="00B975B2">
        <w:t xml:space="preserve"> delivery</w:t>
      </w:r>
      <w:r w:rsidR="00105570" w:rsidRPr="00B975B2">
        <w:t>.</w:t>
      </w:r>
    </w:p>
    <w:p w14:paraId="594CB6F4" w14:textId="77777777" w:rsidR="00577572" w:rsidRPr="00F84274" w:rsidRDefault="00242EB5" w:rsidP="00666E06">
      <w:pPr>
        <w:pStyle w:val="EmphasisHeading"/>
        <w:rPr>
          <w:color w:val="0C818E"/>
        </w:rPr>
      </w:pPr>
      <w:r w:rsidRPr="00F84274">
        <w:rPr>
          <w:color w:val="0C818E"/>
        </w:rPr>
        <w:t>Ultimate Limit State</w:t>
      </w:r>
      <w:r w:rsidR="00640D98" w:rsidRPr="00F84274">
        <w:rPr>
          <w:color w:val="0C818E"/>
        </w:rPr>
        <w:t xml:space="preserve"> (ULS)</w:t>
      </w:r>
    </w:p>
    <w:p w14:paraId="33951E64" w14:textId="70CD4E60" w:rsidR="003C4459" w:rsidRPr="009E31F1" w:rsidRDefault="00242EB5" w:rsidP="00666E06">
      <w:r w:rsidRPr="00B975B2">
        <w:t>This deals with</w:t>
      </w:r>
      <w:r w:rsidR="0028270D" w:rsidRPr="00B975B2">
        <w:t xml:space="preserve"> the </w:t>
      </w:r>
      <w:r w:rsidR="0028270D" w:rsidRPr="00B975B2">
        <w:rPr>
          <w:b/>
          <w:bCs/>
        </w:rPr>
        <w:t>Life Safety</w:t>
      </w:r>
      <w:r w:rsidR="0028270D" w:rsidRPr="00B975B2">
        <w:t xml:space="preserve"> objective</w:t>
      </w:r>
      <w:r w:rsidRPr="00B975B2">
        <w:t xml:space="preserve"> by compliance with the </w:t>
      </w:r>
      <w:r w:rsidR="00F669C6" w:rsidRPr="00B975B2">
        <w:t>B</w:t>
      </w:r>
      <w:r w:rsidRPr="00B975B2">
        <w:t xml:space="preserve">uilding </w:t>
      </w:r>
      <w:r w:rsidR="00F669C6" w:rsidRPr="00B975B2">
        <w:t>C</w:t>
      </w:r>
      <w:r w:rsidRPr="00B975B2">
        <w:t>ode</w:t>
      </w:r>
      <w:r w:rsidR="00740C6C" w:rsidRPr="00B975B2">
        <w:t>.</w:t>
      </w:r>
      <w:r w:rsidR="00346B9A" w:rsidRPr="00B975B2">
        <w:t xml:space="preserve"> </w:t>
      </w:r>
      <w:r w:rsidR="007D5C79">
        <w:t xml:space="preserve">Health NZ </w:t>
      </w:r>
      <w:r w:rsidR="00346B9A" w:rsidRPr="00B975B2">
        <w:t>also require</w:t>
      </w:r>
      <w:r w:rsidRPr="00B975B2">
        <w:t xml:space="preserve"> principles</w:t>
      </w:r>
      <w:r w:rsidR="00C06275" w:rsidRPr="00B975B2">
        <w:t xml:space="preserve"> of robust design to be incorporated, generally following the principles outlined in</w:t>
      </w:r>
      <w:r w:rsidR="005B3EC8" w:rsidRPr="00B975B2">
        <w:t xml:space="preserve"> </w:t>
      </w:r>
      <w:hyperlink r:id="rId50" w:history="1">
        <w:r w:rsidR="00FE6060" w:rsidRPr="00B975B2">
          <w:rPr>
            <w:rStyle w:val="Hyperlink"/>
            <w:color w:val="0070C0"/>
          </w:rPr>
          <w:t>Earthquake Design for Uncertainty</w:t>
        </w:r>
      </w:hyperlink>
      <w:r w:rsidR="00FE6060" w:rsidRPr="00B975B2">
        <w:t xml:space="preserve"> document</w:t>
      </w:r>
      <w:r w:rsidR="00297A74" w:rsidRPr="00B975B2">
        <w:t xml:space="preserve"> </w:t>
      </w:r>
      <w:sdt>
        <w:sdtPr>
          <w:id w:val="1274982470"/>
          <w:citation/>
        </w:sdtPr>
        <w:sdtEndPr/>
        <w:sdtContent>
          <w:r w:rsidR="00297A74" w:rsidRPr="00B975B2">
            <w:fldChar w:fldCharType="begin"/>
          </w:r>
          <w:r w:rsidR="00297A74" w:rsidRPr="00B975B2">
            <w:rPr>
              <w:lang w:val="en-US"/>
            </w:rPr>
            <w:instrText xml:space="preserve"> CITATION NZS22 \l 1033 </w:instrText>
          </w:r>
          <w:r w:rsidR="00297A74" w:rsidRPr="00B975B2">
            <w:fldChar w:fldCharType="separate"/>
          </w:r>
          <w:r w:rsidR="00222D65">
            <w:rPr>
              <w:noProof/>
              <w:lang w:val="en-US"/>
            </w:rPr>
            <w:t>(NZSEE, SESOC, NZGS, 2022)</w:t>
          </w:r>
          <w:r w:rsidR="00297A74" w:rsidRPr="00B975B2">
            <w:fldChar w:fldCharType="end"/>
          </w:r>
        </w:sdtContent>
      </w:sdt>
      <w:r w:rsidR="00C06275" w:rsidRPr="00B975B2">
        <w:t>.</w:t>
      </w:r>
      <w:r w:rsidRPr="00B975B2">
        <w:t xml:space="preserve"> </w:t>
      </w:r>
      <w:r w:rsidR="00420201" w:rsidRPr="00B975B2">
        <w:t xml:space="preserve">This </w:t>
      </w:r>
      <w:r w:rsidR="00CC4783" w:rsidRPr="00B975B2">
        <w:t>is best seismic design practice and</w:t>
      </w:r>
      <w:r w:rsidR="00455F0A" w:rsidRPr="00B975B2">
        <w:t xml:space="preserve"> helps </w:t>
      </w:r>
      <w:r w:rsidR="00EA3576" w:rsidRPr="00B975B2">
        <w:t>increase</w:t>
      </w:r>
      <w:r w:rsidR="00455F0A" w:rsidRPr="00B975B2">
        <w:t xml:space="preserve"> confidence in enduring design safety </w:t>
      </w:r>
      <w:r w:rsidR="00EA3576" w:rsidRPr="00B975B2">
        <w:t>whilst</w:t>
      </w:r>
      <w:r w:rsidR="00455F0A" w:rsidRPr="00B975B2">
        <w:t xml:space="preserve"> </w:t>
      </w:r>
      <w:r w:rsidR="00EA3576" w:rsidRPr="00B975B2">
        <w:t>geological and earthquake</w:t>
      </w:r>
      <w:r w:rsidR="00934923" w:rsidRPr="00B975B2">
        <w:t xml:space="preserve"> science</w:t>
      </w:r>
      <w:r w:rsidR="00EA3576" w:rsidRPr="00B975B2">
        <w:t>s</w:t>
      </w:r>
      <w:r w:rsidR="00934923" w:rsidRPr="00B975B2">
        <w:t xml:space="preserve"> continue to </w:t>
      </w:r>
      <w:r w:rsidR="00934923" w:rsidRPr="009E31F1">
        <w:t>evolve</w:t>
      </w:r>
      <w:r w:rsidR="00455F0A" w:rsidRPr="009E31F1">
        <w:t>.</w:t>
      </w:r>
      <w:r w:rsidR="00BA05BE" w:rsidRPr="009E31F1">
        <w:t xml:space="preserve"> It also helps </w:t>
      </w:r>
      <w:r w:rsidR="009E31F1" w:rsidRPr="009E31F1">
        <w:t>achieve</w:t>
      </w:r>
      <w:r w:rsidR="00BA05BE" w:rsidRPr="009E31F1">
        <w:t xml:space="preserve"> the Asset Protection objective</w:t>
      </w:r>
      <w:r w:rsidR="005A449C">
        <w:t xml:space="preserve"> by reducing the likelihood of total economic loss </w:t>
      </w:r>
      <w:r w:rsidR="0081588A">
        <w:t>rare</w:t>
      </w:r>
      <w:r w:rsidR="00E80A9E">
        <w:t xml:space="preserve"> events</w:t>
      </w:r>
      <w:r w:rsidR="00BA05BE" w:rsidRPr="009E31F1">
        <w:t>.</w:t>
      </w:r>
    </w:p>
    <w:p w14:paraId="4F06B387" w14:textId="70ED6077" w:rsidR="003D444A" w:rsidRPr="008048BB" w:rsidRDefault="007D6EBD" w:rsidP="001B7A42">
      <w:pPr>
        <w:pStyle w:val="Figure"/>
      </w:pPr>
      <w:r w:rsidRPr="001B7A42">
        <w:rPr>
          <w:b w:val="0"/>
          <w:bCs/>
          <w:sz w:val="24"/>
          <w:szCs w:val="24"/>
        </w:rPr>
        <w:t>Impli</w:t>
      </w:r>
      <w:r w:rsidR="00EE562E" w:rsidRPr="001B7A42">
        <w:rPr>
          <w:b w:val="0"/>
          <w:bCs/>
          <w:sz w:val="24"/>
          <w:szCs w:val="24"/>
        </w:rPr>
        <w:t>cit in the Ultimate Limit State is the consideration of higher levels of shaking</w:t>
      </w:r>
      <w:r w:rsidR="002F29CF" w:rsidRPr="001B7A42">
        <w:rPr>
          <w:b w:val="0"/>
          <w:bCs/>
          <w:sz w:val="24"/>
          <w:szCs w:val="24"/>
        </w:rPr>
        <w:t xml:space="preserve"> than </w:t>
      </w:r>
      <w:r w:rsidR="008E6357" w:rsidRPr="001B7A42">
        <w:rPr>
          <w:b w:val="0"/>
          <w:bCs/>
          <w:sz w:val="24"/>
          <w:szCs w:val="24"/>
        </w:rPr>
        <w:t xml:space="preserve">the </w:t>
      </w:r>
      <w:r w:rsidR="007279F4" w:rsidRPr="001B7A42">
        <w:rPr>
          <w:b w:val="0"/>
          <w:bCs/>
          <w:sz w:val="24"/>
          <w:szCs w:val="24"/>
        </w:rPr>
        <w:t>ULS</w:t>
      </w:r>
      <w:r w:rsidR="008E6357" w:rsidRPr="001B7A42">
        <w:rPr>
          <w:b w:val="0"/>
          <w:bCs/>
          <w:sz w:val="24"/>
          <w:szCs w:val="24"/>
        </w:rPr>
        <w:t xml:space="preserve"> hazard </w:t>
      </w:r>
      <w:r w:rsidR="00245826" w:rsidRPr="001B7A42">
        <w:rPr>
          <w:b w:val="0"/>
          <w:bCs/>
          <w:sz w:val="24"/>
          <w:szCs w:val="24"/>
        </w:rPr>
        <w:t>Annual Probabilities of Exceedance</w:t>
      </w:r>
      <w:r w:rsidR="008E6357" w:rsidRPr="001B7A42">
        <w:rPr>
          <w:b w:val="0"/>
          <w:bCs/>
          <w:sz w:val="24"/>
          <w:szCs w:val="24"/>
        </w:rPr>
        <w:t xml:space="preserve"> </w:t>
      </w:r>
      <w:r w:rsidR="002F29CF" w:rsidRPr="001B7A42">
        <w:rPr>
          <w:b w:val="0"/>
          <w:bCs/>
          <w:sz w:val="24"/>
          <w:szCs w:val="24"/>
        </w:rPr>
        <w:t xml:space="preserve">set out in </w:t>
      </w:r>
      <w:r w:rsidR="002F29CF" w:rsidRPr="008048BB">
        <w:rPr>
          <w:b w:val="0"/>
          <w:bCs/>
          <w:sz w:val="24"/>
          <w:szCs w:val="24"/>
        </w:rPr>
        <w:fldChar w:fldCharType="begin"/>
      </w:r>
      <w:r w:rsidR="002F29CF" w:rsidRPr="008048BB">
        <w:rPr>
          <w:b w:val="0"/>
          <w:bCs/>
          <w:sz w:val="24"/>
          <w:szCs w:val="24"/>
        </w:rPr>
        <w:instrText xml:space="preserve"> REF _Ref150196492 \h </w:instrText>
      </w:r>
      <w:r w:rsidR="00B975B2" w:rsidRPr="008048BB">
        <w:rPr>
          <w:b w:val="0"/>
          <w:bCs/>
          <w:sz w:val="24"/>
          <w:szCs w:val="24"/>
        </w:rPr>
        <w:instrText xml:space="preserve"> \* MERGEFORMAT </w:instrText>
      </w:r>
      <w:r w:rsidR="002F29CF" w:rsidRPr="008048BB">
        <w:rPr>
          <w:b w:val="0"/>
          <w:bCs/>
          <w:sz w:val="24"/>
          <w:szCs w:val="24"/>
        </w:rPr>
      </w:r>
      <w:r w:rsidR="002F29CF" w:rsidRPr="008048BB">
        <w:rPr>
          <w:b w:val="0"/>
          <w:bCs/>
          <w:sz w:val="24"/>
          <w:szCs w:val="24"/>
        </w:rPr>
        <w:fldChar w:fldCharType="separate"/>
      </w:r>
      <w:r w:rsidR="000761C1" w:rsidRPr="000761C1">
        <w:rPr>
          <w:b w:val="0"/>
          <w:bCs/>
          <w:sz w:val="24"/>
          <w:szCs w:val="24"/>
        </w:rPr>
        <w:t xml:space="preserve">Table </w:t>
      </w:r>
      <w:r w:rsidR="000761C1" w:rsidRPr="000761C1">
        <w:rPr>
          <w:b w:val="0"/>
          <w:bCs/>
          <w:noProof/>
          <w:sz w:val="24"/>
          <w:szCs w:val="24"/>
        </w:rPr>
        <w:t>6</w:t>
      </w:r>
      <w:r w:rsidR="002F29CF" w:rsidRPr="008048BB">
        <w:rPr>
          <w:b w:val="0"/>
          <w:bCs/>
          <w:sz w:val="24"/>
          <w:szCs w:val="24"/>
        </w:rPr>
        <w:fldChar w:fldCharType="end"/>
      </w:r>
      <w:r w:rsidR="002F29CF" w:rsidRPr="008048BB">
        <w:rPr>
          <w:b w:val="0"/>
          <w:bCs/>
          <w:sz w:val="24"/>
          <w:szCs w:val="24"/>
        </w:rPr>
        <w:t>.</w:t>
      </w:r>
      <w:r w:rsidR="002F29CF" w:rsidRPr="001B7A42">
        <w:rPr>
          <w:b w:val="0"/>
          <w:bCs/>
          <w:sz w:val="24"/>
          <w:szCs w:val="24"/>
        </w:rPr>
        <w:t xml:space="preserve"> This is s</w:t>
      </w:r>
      <w:r w:rsidR="00EE562E" w:rsidRPr="001B7A42">
        <w:rPr>
          <w:b w:val="0"/>
          <w:bCs/>
          <w:sz w:val="24"/>
          <w:szCs w:val="24"/>
        </w:rPr>
        <w:t>ometimes explicitly considered</w:t>
      </w:r>
      <w:r w:rsidR="00577850" w:rsidRPr="001B7A42">
        <w:rPr>
          <w:b w:val="0"/>
          <w:bCs/>
          <w:sz w:val="24"/>
          <w:szCs w:val="24"/>
        </w:rPr>
        <w:t xml:space="preserve"> through concepts </w:t>
      </w:r>
      <w:r w:rsidR="00787A3C" w:rsidRPr="001B7A42">
        <w:rPr>
          <w:b w:val="0"/>
          <w:bCs/>
          <w:sz w:val="24"/>
          <w:szCs w:val="24"/>
        </w:rPr>
        <w:t>such as</w:t>
      </w:r>
      <w:r w:rsidR="00577850" w:rsidRPr="001B7A42">
        <w:rPr>
          <w:b w:val="0"/>
          <w:bCs/>
          <w:sz w:val="24"/>
          <w:szCs w:val="24"/>
        </w:rPr>
        <w:t xml:space="preserve"> a Collapse Avoidance Limit State or Maximum Considered Earthquake</w:t>
      </w:r>
      <w:r w:rsidR="002F29CF" w:rsidRPr="001B7A42">
        <w:rPr>
          <w:b w:val="0"/>
          <w:bCs/>
          <w:sz w:val="24"/>
          <w:szCs w:val="24"/>
        </w:rPr>
        <w:t xml:space="preserve"> (for specific design elements or </w:t>
      </w:r>
      <w:r w:rsidR="00787A3C" w:rsidRPr="001B7A42">
        <w:rPr>
          <w:b w:val="0"/>
          <w:bCs/>
          <w:sz w:val="24"/>
          <w:szCs w:val="24"/>
        </w:rPr>
        <w:t>where special anti-seismic devices are used)</w:t>
      </w:r>
      <w:r w:rsidR="00577850" w:rsidRPr="001B7A42">
        <w:rPr>
          <w:b w:val="0"/>
          <w:bCs/>
          <w:sz w:val="24"/>
          <w:szCs w:val="24"/>
        </w:rPr>
        <w:t xml:space="preserve">. This guideline </w:t>
      </w:r>
      <w:r w:rsidR="00202C31" w:rsidRPr="001B7A42">
        <w:rPr>
          <w:b w:val="0"/>
          <w:bCs/>
          <w:sz w:val="24"/>
          <w:szCs w:val="24"/>
        </w:rPr>
        <w:t xml:space="preserve">provides no further definition here, but designers are expected to make </w:t>
      </w:r>
      <w:r w:rsidR="002E6561" w:rsidRPr="001B7A42">
        <w:rPr>
          <w:b w:val="0"/>
          <w:bCs/>
          <w:sz w:val="24"/>
          <w:szCs w:val="24"/>
        </w:rPr>
        <w:t xml:space="preserve">all necessary considerations </w:t>
      </w:r>
      <w:r w:rsidR="00202C31" w:rsidRPr="001B7A42">
        <w:rPr>
          <w:b w:val="0"/>
          <w:bCs/>
          <w:sz w:val="24"/>
          <w:szCs w:val="24"/>
        </w:rPr>
        <w:t xml:space="preserve">following the </w:t>
      </w:r>
      <w:r w:rsidR="00787A3C" w:rsidRPr="001B7A42">
        <w:rPr>
          <w:b w:val="0"/>
          <w:bCs/>
          <w:sz w:val="24"/>
          <w:szCs w:val="24"/>
        </w:rPr>
        <w:t>applicable</w:t>
      </w:r>
      <w:r w:rsidR="00202C31" w:rsidRPr="001B7A42">
        <w:rPr>
          <w:b w:val="0"/>
          <w:bCs/>
          <w:sz w:val="24"/>
          <w:szCs w:val="24"/>
        </w:rPr>
        <w:t xml:space="preserve"> guidelines and standards.</w:t>
      </w:r>
    </w:p>
    <w:p w14:paraId="25789158" w14:textId="1D5280A1" w:rsidR="00E25E04" w:rsidRPr="009275DD" w:rsidRDefault="00E25E04" w:rsidP="00BD1621">
      <w:pPr>
        <w:pStyle w:val="Figure"/>
        <w:rPr>
          <w:sz w:val="20"/>
          <w:szCs w:val="20"/>
        </w:rPr>
      </w:pPr>
      <w:bookmarkStart w:id="162" w:name="_Ref150196492"/>
      <w:bookmarkStart w:id="163" w:name="_Ref203124314"/>
      <w:r w:rsidRPr="009275DD">
        <w:rPr>
          <w:sz w:val="20"/>
          <w:szCs w:val="20"/>
        </w:rPr>
        <w:t xml:space="preserve">Table </w:t>
      </w:r>
      <w:r w:rsidRPr="009275DD">
        <w:rPr>
          <w:sz w:val="20"/>
          <w:szCs w:val="20"/>
        </w:rPr>
        <w:fldChar w:fldCharType="begin"/>
      </w:r>
      <w:r w:rsidRPr="009275DD">
        <w:rPr>
          <w:sz w:val="20"/>
          <w:szCs w:val="20"/>
        </w:rPr>
        <w:instrText>SEQ Table \* ARABIC</w:instrText>
      </w:r>
      <w:r w:rsidRPr="009275DD">
        <w:rPr>
          <w:sz w:val="20"/>
          <w:szCs w:val="20"/>
        </w:rPr>
        <w:fldChar w:fldCharType="separate"/>
      </w:r>
      <w:r w:rsidR="000761C1">
        <w:rPr>
          <w:noProof/>
          <w:sz w:val="20"/>
          <w:szCs w:val="20"/>
        </w:rPr>
        <w:t>6</w:t>
      </w:r>
      <w:r w:rsidRPr="009275DD">
        <w:rPr>
          <w:sz w:val="20"/>
          <w:szCs w:val="20"/>
        </w:rPr>
        <w:fldChar w:fldCharType="end"/>
      </w:r>
      <w:bookmarkEnd w:id="162"/>
      <w:bookmarkEnd w:id="163"/>
      <w:r w:rsidRPr="009275DD">
        <w:rPr>
          <w:sz w:val="20"/>
          <w:szCs w:val="20"/>
        </w:rPr>
        <w:t xml:space="preserve">: </w:t>
      </w:r>
      <w:r w:rsidR="000F0171" w:rsidRPr="009275DD">
        <w:rPr>
          <w:sz w:val="20"/>
          <w:szCs w:val="20"/>
        </w:rPr>
        <w:t xml:space="preserve">Design limit states and return periods, defining the criteria for meeting </w:t>
      </w:r>
      <w:r w:rsidR="00861D81" w:rsidRPr="009275DD">
        <w:rPr>
          <w:sz w:val="20"/>
          <w:szCs w:val="20"/>
        </w:rPr>
        <w:t>Seismic Performance Goals.</w:t>
      </w:r>
    </w:p>
    <w:tbl>
      <w:tblPr>
        <w:tblStyle w:val="TableGrid"/>
        <w:tblW w:w="9593"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ayout w:type="fixed"/>
        <w:tblLook w:val="04A0" w:firstRow="1" w:lastRow="0" w:firstColumn="1" w:lastColumn="0" w:noHBand="0" w:noVBand="1"/>
      </w:tblPr>
      <w:tblGrid>
        <w:gridCol w:w="1843"/>
        <w:gridCol w:w="1255"/>
        <w:gridCol w:w="1896"/>
        <w:gridCol w:w="1481"/>
        <w:gridCol w:w="1701"/>
        <w:gridCol w:w="1417"/>
      </w:tblGrid>
      <w:tr w:rsidR="008F1C61" w:rsidRPr="00420AFA" w14:paraId="75510BC0" w14:textId="77777777" w:rsidTr="009C55CF">
        <w:tc>
          <w:tcPr>
            <w:tcW w:w="1843" w:type="dxa"/>
            <w:vMerge w:val="restart"/>
            <w:tcBorders>
              <w:top w:val="single" w:sz="12" w:space="0" w:color="003399" w:themeColor="accent2"/>
              <w:left w:val="nil"/>
              <w:bottom w:val="single" w:sz="8" w:space="0" w:color="BFBFBF"/>
              <w:right w:val="single" w:sz="8" w:space="0" w:color="BFBFBF"/>
            </w:tcBorders>
            <w:shd w:val="clear" w:color="auto" w:fill="F6F4EC"/>
            <w:vAlign w:val="center"/>
          </w:tcPr>
          <w:p w14:paraId="69F763AA" w14:textId="7C656B41" w:rsidR="008F1C61" w:rsidRPr="00420AFA" w:rsidRDefault="00A97A24" w:rsidP="00AF0644">
            <w:pPr>
              <w:rPr>
                <w:b/>
                <w:bCs/>
                <w:sz w:val="20"/>
                <w:szCs w:val="20"/>
              </w:rPr>
            </w:pPr>
            <w:r w:rsidRPr="00420AFA">
              <w:rPr>
                <w:b/>
                <w:bCs/>
                <w:sz w:val="20"/>
                <w:szCs w:val="20"/>
              </w:rPr>
              <w:t xml:space="preserve">Health Service </w:t>
            </w:r>
            <w:r w:rsidR="008F1C61" w:rsidRPr="00420AFA">
              <w:rPr>
                <w:b/>
                <w:bCs/>
                <w:sz w:val="20"/>
                <w:szCs w:val="20"/>
              </w:rPr>
              <w:t>Category</w:t>
            </w:r>
          </w:p>
        </w:tc>
        <w:tc>
          <w:tcPr>
            <w:tcW w:w="1255" w:type="dxa"/>
            <w:vMerge w:val="restart"/>
            <w:tcBorders>
              <w:top w:val="single" w:sz="12" w:space="0" w:color="003399" w:themeColor="accent2"/>
              <w:left w:val="single" w:sz="8" w:space="0" w:color="BFBFBF"/>
              <w:bottom w:val="single" w:sz="8" w:space="0" w:color="BFBFBF"/>
              <w:right w:val="single" w:sz="8" w:space="0" w:color="BFBFBF"/>
            </w:tcBorders>
            <w:shd w:val="clear" w:color="auto" w:fill="F6F4EC"/>
            <w:vAlign w:val="center"/>
          </w:tcPr>
          <w:p w14:paraId="52B76A4A" w14:textId="77777777" w:rsidR="008F1C61" w:rsidRPr="00420AFA" w:rsidRDefault="008F1C61" w:rsidP="00AF0644">
            <w:pPr>
              <w:rPr>
                <w:b/>
                <w:bCs/>
                <w:sz w:val="20"/>
                <w:szCs w:val="20"/>
              </w:rPr>
            </w:pPr>
            <w:r w:rsidRPr="00420AFA">
              <w:rPr>
                <w:b/>
                <w:bCs/>
                <w:sz w:val="20"/>
                <w:szCs w:val="20"/>
              </w:rPr>
              <w:t>Importance Level</w:t>
            </w:r>
          </w:p>
        </w:tc>
        <w:tc>
          <w:tcPr>
            <w:tcW w:w="6495" w:type="dxa"/>
            <w:gridSpan w:val="4"/>
            <w:tcBorders>
              <w:top w:val="single" w:sz="12" w:space="0" w:color="003399" w:themeColor="accent2"/>
              <w:left w:val="single" w:sz="8" w:space="0" w:color="BFBFBF"/>
              <w:bottom w:val="single" w:sz="8" w:space="0" w:color="BFBFBF"/>
              <w:right w:val="nil"/>
            </w:tcBorders>
            <w:shd w:val="clear" w:color="auto" w:fill="F6F4EC"/>
          </w:tcPr>
          <w:p w14:paraId="61758A8C" w14:textId="0BDEC873" w:rsidR="008F1C61" w:rsidRPr="00420AFA" w:rsidRDefault="00245826" w:rsidP="00AF0644">
            <w:pPr>
              <w:rPr>
                <w:b/>
                <w:bCs/>
                <w:sz w:val="20"/>
                <w:szCs w:val="20"/>
              </w:rPr>
            </w:pPr>
            <w:r w:rsidRPr="00420AFA">
              <w:rPr>
                <w:b/>
                <w:bCs/>
                <w:sz w:val="20"/>
                <w:szCs w:val="20"/>
              </w:rPr>
              <w:t>Annual Probability of Exceedance</w:t>
            </w:r>
            <w:r w:rsidR="009D09BE" w:rsidRPr="00420AFA">
              <w:rPr>
                <w:b/>
                <w:bCs/>
                <w:sz w:val="20"/>
                <w:szCs w:val="20"/>
              </w:rPr>
              <w:t xml:space="preserve"> (APoE)</w:t>
            </w:r>
            <w:r w:rsidR="005B563E" w:rsidRPr="00420AFA">
              <w:rPr>
                <w:b/>
                <w:bCs/>
                <w:sz w:val="20"/>
                <w:szCs w:val="20"/>
              </w:rPr>
              <w:t xml:space="preserve"> for</w:t>
            </w:r>
            <w:r w:rsidR="008F1C61" w:rsidRPr="00420AFA">
              <w:rPr>
                <w:b/>
                <w:bCs/>
                <w:sz w:val="20"/>
                <w:szCs w:val="20"/>
              </w:rPr>
              <w:t xml:space="preserve"> Seismic Hazard</w:t>
            </w:r>
          </w:p>
        </w:tc>
      </w:tr>
      <w:tr w:rsidR="008E50FC" w:rsidRPr="00420AFA" w14:paraId="0AB18DA3" w14:textId="77777777" w:rsidTr="009C55CF">
        <w:trPr>
          <w:trHeight w:val="623"/>
        </w:trPr>
        <w:tc>
          <w:tcPr>
            <w:tcW w:w="1843" w:type="dxa"/>
            <w:vMerge/>
            <w:tcBorders>
              <w:top w:val="single" w:sz="8" w:space="0" w:color="BFBFBF"/>
              <w:left w:val="nil"/>
              <w:bottom w:val="single" w:sz="8" w:space="0" w:color="BFBFBF"/>
              <w:right w:val="single" w:sz="8" w:space="0" w:color="BFBFBF"/>
            </w:tcBorders>
            <w:shd w:val="clear" w:color="auto" w:fill="F6F4EC"/>
            <w:vAlign w:val="center"/>
          </w:tcPr>
          <w:p w14:paraId="413CBE5C" w14:textId="77777777" w:rsidR="00DC64A4" w:rsidRPr="00420AFA" w:rsidRDefault="00DC64A4" w:rsidP="00666E06">
            <w:pPr>
              <w:rPr>
                <w:b/>
                <w:bCs/>
                <w:sz w:val="20"/>
                <w:szCs w:val="20"/>
              </w:rPr>
            </w:pPr>
          </w:p>
        </w:tc>
        <w:tc>
          <w:tcPr>
            <w:tcW w:w="1255" w:type="dxa"/>
            <w:vMerge/>
            <w:tcBorders>
              <w:top w:val="single" w:sz="8" w:space="0" w:color="BFBFBF"/>
              <w:left w:val="single" w:sz="8" w:space="0" w:color="BFBFBF"/>
              <w:bottom w:val="single" w:sz="8" w:space="0" w:color="BFBFBF"/>
              <w:right w:val="single" w:sz="8" w:space="0" w:color="BFBFBF"/>
            </w:tcBorders>
            <w:shd w:val="clear" w:color="auto" w:fill="F6F4EC"/>
            <w:vAlign w:val="center"/>
          </w:tcPr>
          <w:p w14:paraId="525FA1C4" w14:textId="77777777" w:rsidR="00DC64A4" w:rsidRPr="00420AFA" w:rsidRDefault="00DC64A4" w:rsidP="00666E06">
            <w:pPr>
              <w:rPr>
                <w:b/>
                <w:bCs/>
                <w:sz w:val="20"/>
                <w:szCs w:val="20"/>
              </w:rPr>
            </w:pPr>
          </w:p>
        </w:tc>
        <w:tc>
          <w:tcPr>
            <w:tcW w:w="1896" w:type="dxa"/>
            <w:tcBorders>
              <w:top w:val="single" w:sz="8" w:space="0" w:color="BFBFBF"/>
              <w:left w:val="single" w:sz="8" w:space="0" w:color="BFBFBF"/>
              <w:bottom w:val="single" w:sz="8" w:space="0" w:color="BFBFBF"/>
              <w:right w:val="single" w:sz="8" w:space="0" w:color="BFBFBF"/>
            </w:tcBorders>
            <w:shd w:val="clear" w:color="auto" w:fill="F6F4EC"/>
          </w:tcPr>
          <w:p w14:paraId="28D4598C" w14:textId="21EDB6EB" w:rsidR="00DC64A4" w:rsidRPr="00420AFA" w:rsidRDefault="005C1E19" w:rsidP="00666E06">
            <w:pPr>
              <w:rPr>
                <w:b/>
                <w:bCs/>
                <w:sz w:val="20"/>
                <w:szCs w:val="20"/>
              </w:rPr>
            </w:pPr>
            <w:r w:rsidRPr="00420AFA">
              <w:rPr>
                <w:b/>
                <w:bCs/>
                <w:sz w:val="20"/>
                <w:szCs w:val="20"/>
              </w:rPr>
              <w:t>Damage</w:t>
            </w:r>
            <w:r w:rsidR="00D5202F" w:rsidRPr="00420AFA">
              <w:rPr>
                <w:b/>
                <w:bCs/>
                <w:sz w:val="20"/>
                <w:szCs w:val="20"/>
              </w:rPr>
              <w:t xml:space="preserve"> </w:t>
            </w:r>
            <w:r w:rsidRPr="00420AFA">
              <w:rPr>
                <w:b/>
                <w:bCs/>
                <w:sz w:val="20"/>
                <w:szCs w:val="20"/>
              </w:rPr>
              <w:t>avoidance (also implying unimpeded continued use)</w:t>
            </w:r>
          </w:p>
        </w:tc>
        <w:tc>
          <w:tcPr>
            <w:tcW w:w="1481" w:type="dxa"/>
            <w:tcBorders>
              <w:top w:val="single" w:sz="8" w:space="0" w:color="BFBFBF"/>
              <w:left w:val="single" w:sz="8" w:space="0" w:color="BFBFBF"/>
              <w:bottom w:val="single" w:sz="8" w:space="0" w:color="BFBFBF"/>
              <w:right w:val="single" w:sz="8" w:space="0" w:color="BFBFBF"/>
            </w:tcBorders>
            <w:shd w:val="clear" w:color="auto" w:fill="F6F4EC"/>
            <w:vAlign w:val="center"/>
          </w:tcPr>
          <w:p w14:paraId="11604009" w14:textId="0A3B65FE" w:rsidR="00DC64A4" w:rsidRPr="00420AFA" w:rsidRDefault="008E50FC" w:rsidP="00666E06">
            <w:pPr>
              <w:rPr>
                <w:b/>
                <w:bCs/>
                <w:sz w:val="20"/>
                <w:szCs w:val="20"/>
              </w:rPr>
            </w:pPr>
            <w:r w:rsidRPr="00420AFA">
              <w:rPr>
                <w:b/>
                <w:bCs/>
                <w:sz w:val="20"/>
                <w:szCs w:val="20"/>
              </w:rPr>
              <w:t>Asset protection</w:t>
            </w:r>
            <w:r w:rsidR="00DC64A4" w:rsidRPr="00420AFA">
              <w:rPr>
                <w:b/>
                <w:bCs/>
                <w:sz w:val="20"/>
                <w:szCs w:val="20"/>
              </w:rPr>
              <w:t xml:space="preserve"> objective</w:t>
            </w:r>
          </w:p>
        </w:tc>
        <w:tc>
          <w:tcPr>
            <w:tcW w:w="1701" w:type="dxa"/>
            <w:tcBorders>
              <w:top w:val="single" w:sz="8" w:space="0" w:color="BFBFBF"/>
              <w:left w:val="single" w:sz="8" w:space="0" w:color="BFBFBF"/>
              <w:bottom w:val="single" w:sz="8" w:space="0" w:color="BFBFBF"/>
              <w:right w:val="single" w:sz="8" w:space="0" w:color="BFBFBF"/>
            </w:tcBorders>
            <w:shd w:val="clear" w:color="auto" w:fill="F6F4EC"/>
            <w:vAlign w:val="center"/>
          </w:tcPr>
          <w:p w14:paraId="3045CCA1" w14:textId="206D3A9E" w:rsidR="00DC64A4" w:rsidRPr="00420AFA" w:rsidRDefault="00DC64A4" w:rsidP="00666E06">
            <w:pPr>
              <w:rPr>
                <w:b/>
                <w:bCs/>
                <w:sz w:val="20"/>
                <w:szCs w:val="20"/>
              </w:rPr>
            </w:pPr>
            <w:r w:rsidRPr="00420AFA">
              <w:rPr>
                <w:b/>
                <w:bCs/>
                <w:sz w:val="20"/>
                <w:szCs w:val="20"/>
              </w:rPr>
              <w:t>Continued Functionality objective</w:t>
            </w:r>
          </w:p>
        </w:tc>
        <w:tc>
          <w:tcPr>
            <w:tcW w:w="1417" w:type="dxa"/>
            <w:tcBorders>
              <w:top w:val="single" w:sz="8" w:space="0" w:color="BFBFBF"/>
              <w:left w:val="single" w:sz="8" w:space="0" w:color="BFBFBF"/>
              <w:bottom w:val="single" w:sz="8" w:space="0" w:color="BFBFBF"/>
              <w:right w:val="nil"/>
            </w:tcBorders>
            <w:shd w:val="clear" w:color="auto" w:fill="F6F4EC"/>
            <w:vAlign w:val="center"/>
          </w:tcPr>
          <w:p w14:paraId="27628C6A" w14:textId="7124EA84" w:rsidR="00DC64A4" w:rsidRPr="00420AFA" w:rsidRDefault="00DC64A4" w:rsidP="00666E06">
            <w:pPr>
              <w:rPr>
                <w:b/>
                <w:bCs/>
                <w:sz w:val="20"/>
                <w:szCs w:val="20"/>
              </w:rPr>
            </w:pPr>
            <w:r w:rsidRPr="00420AFA">
              <w:rPr>
                <w:b/>
                <w:bCs/>
                <w:sz w:val="20"/>
                <w:szCs w:val="20"/>
              </w:rPr>
              <w:t>Life Safety objective</w:t>
            </w:r>
          </w:p>
        </w:tc>
      </w:tr>
      <w:tr w:rsidR="008E50FC" w:rsidRPr="00420AFA" w14:paraId="2E567FB6" w14:textId="77777777" w:rsidTr="009C55CF">
        <w:trPr>
          <w:trHeight w:val="471"/>
        </w:trPr>
        <w:tc>
          <w:tcPr>
            <w:tcW w:w="1843" w:type="dxa"/>
            <w:vMerge/>
            <w:tcBorders>
              <w:top w:val="single" w:sz="8" w:space="0" w:color="BFBFBF"/>
              <w:left w:val="nil"/>
              <w:bottom w:val="single" w:sz="12" w:space="0" w:color="003399" w:themeColor="accent2"/>
              <w:right w:val="single" w:sz="8" w:space="0" w:color="BFBFBF"/>
            </w:tcBorders>
            <w:shd w:val="clear" w:color="auto" w:fill="F6F4EC"/>
            <w:vAlign w:val="center"/>
          </w:tcPr>
          <w:p w14:paraId="29472E0B" w14:textId="77777777" w:rsidR="00DC64A4" w:rsidRPr="00420AFA" w:rsidRDefault="00DC64A4" w:rsidP="00666E06">
            <w:pPr>
              <w:rPr>
                <w:b/>
                <w:bCs/>
                <w:sz w:val="20"/>
                <w:szCs w:val="20"/>
              </w:rPr>
            </w:pPr>
          </w:p>
        </w:tc>
        <w:tc>
          <w:tcPr>
            <w:tcW w:w="1255" w:type="dxa"/>
            <w:vMerge/>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2ABE1671" w14:textId="77777777" w:rsidR="00DC64A4" w:rsidRPr="00420AFA" w:rsidRDefault="00DC64A4" w:rsidP="00666E06">
            <w:pPr>
              <w:rPr>
                <w:b/>
                <w:bCs/>
                <w:sz w:val="20"/>
                <w:szCs w:val="20"/>
              </w:rPr>
            </w:pPr>
          </w:p>
        </w:tc>
        <w:tc>
          <w:tcPr>
            <w:tcW w:w="1896"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571383E9" w14:textId="69B69B8E" w:rsidR="00DC64A4" w:rsidRPr="00420AFA" w:rsidRDefault="00DC64A4" w:rsidP="00666E06">
            <w:pPr>
              <w:rPr>
                <w:b/>
                <w:bCs/>
                <w:sz w:val="20"/>
                <w:szCs w:val="20"/>
              </w:rPr>
            </w:pPr>
            <w:r w:rsidRPr="00420AFA">
              <w:rPr>
                <w:b/>
                <w:bCs/>
                <w:sz w:val="20"/>
                <w:szCs w:val="20"/>
              </w:rPr>
              <w:t>SLS1</w:t>
            </w:r>
          </w:p>
        </w:tc>
        <w:tc>
          <w:tcPr>
            <w:tcW w:w="1481"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0893F1AF" w14:textId="43776968" w:rsidR="00DC64A4" w:rsidRPr="00420AFA" w:rsidRDefault="00DC64A4" w:rsidP="00666E06">
            <w:pPr>
              <w:rPr>
                <w:b/>
                <w:bCs/>
                <w:sz w:val="20"/>
                <w:szCs w:val="20"/>
              </w:rPr>
            </w:pPr>
            <w:r w:rsidRPr="00420AFA">
              <w:rPr>
                <w:b/>
                <w:bCs/>
                <w:sz w:val="20"/>
                <w:szCs w:val="20"/>
              </w:rPr>
              <w:t>DCLS</w:t>
            </w:r>
          </w:p>
        </w:tc>
        <w:tc>
          <w:tcPr>
            <w:tcW w:w="1701"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2EAB7E79" w14:textId="3E43BCB4" w:rsidR="00DC64A4" w:rsidRPr="00420AFA" w:rsidRDefault="00DC64A4" w:rsidP="00666E06">
            <w:pPr>
              <w:rPr>
                <w:b/>
                <w:bCs/>
                <w:sz w:val="20"/>
                <w:szCs w:val="20"/>
              </w:rPr>
            </w:pPr>
            <w:r w:rsidRPr="00420AFA">
              <w:rPr>
                <w:b/>
                <w:bCs/>
                <w:sz w:val="20"/>
                <w:szCs w:val="20"/>
              </w:rPr>
              <w:t>SLS2</w:t>
            </w:r>
          </w:p>
        </w:tc>
        <w:tc>
          <w:tcPr>
            <w:tcW w:w="1417" w:type="dxa"/>
            <w:tcBorders>
              <w:top w:val="single" w:sz="8" w:space="0" w:color="BFBFBF"/>
              <w:left w:val="single" w:sz="8" w:space="0" w:color="BFBFBF"/>
              <w:bottom w:val="single" w:sz="12" w:space="0" w:color="003399" w:themeColor="accent2"/>
              <w:right w:val="nil"/>
            </w:tcBorders>
            <w:shd w:val="clear" w:color="auto" w:fill="F6F4EC"/>
            <w:vAlign w:val="center"/>
          </w:tcPr>
          <w:p w14:paraId="596FBA9A" w14:textId="6B2C97F1" w:rsidR="00DC64A4" w:rsidRPr="00420AFA" w:rsidRDefault="00DC64A4" w:rsidP="00666E06">
            <w:pPr>
              <w:rPr>
                <w:b/>
                <w:bCs/>
                <w:sz w:val="20"/>
                <w:szCs w:val="20"/>
              </w:rPr>
            </w:pPr>
            <w:r w:rsidRPr="00420AFA">
              <w:rPr>
                <w:b/>
                <w:bCs/>
                <w:sz w:val="20"/>
                <w:szCs w:val="20"/>
              </w:rPr>
              <w:t>ULS</w:t>
            </w:r>
          </w:p>
        </w:tc>
      </w:tr>
      <w:tr w:rsidR="00DC64A4" w:rsidRPr="00420AFA" w14:paraId="6405FBC7" w14:textId="77777777" w:rsidTr="009C55CF">
        <w:tc>
          <w:tcPr>
            <w:tcW w:w="1843" w:type="dxa"/>
            <w:tcBorders>
              <w:top w:val="single" w:sz="12" w:space="0" w:color="003399" w:themeColor="accent2"/>
              <w:left w:val="nil"/>
              <w:bottom w:val="single" w:sz="8" w:space="0" w:color="BFBFBF"/>
              <w:right w:val="single" w:sz="8" w:space="0" w:color="BFBFBF"/>
            </w:tcBorders>
            <w:shd w:val="clear" w:color="auto" w:fill="F6F4EC"/>
          </w:tcPr>
          <w:p w14:paraId="5893527F" w14:textId="77777777" w:rsidR="00DC64A4" w:rsidRPr="00420AFA" w:rsidRDefault="00DC64A4" w:rsidP="00666E06">
            <w:pPr>
              <w:rPr>
                <w:b/>
                <w:bCs/>
                <w:sz w:val="20"/>
                <w:szCs w:val="20"/>
              </w:rPr>
            </w:pPr>
            <w:r w:rsidRPr="00420AFA">
              <w:rPr>
                <w:b/>
                <w:bCs/>
                <w:sz w:val="20"/>
                <w:szCs w:val="20"/>
              </w:rPr>
              <w:t>Acute Services</w:t>
            </w:r>
          </w:p>
        </w:tc>
        <w:tc>
          <w:tcPr>
            <w:tcW w:w="1255" w:type="dxa"/>
            <w:tcBorders>
              <w:top w:val="single" w:sz="12" w:space="0" w:color="003399" w:themeColor="accent2"/>
              <w:left w:val="single" w:sz="8" w:space="0" w:color="BFBFBF"/>
              <w:bottom w:val="single" w:sz="8" w:space="0" w:color="BFBFBF"/>
              <w:right w:val="single" w:sz="8" w:space="0" w:color="BFBFBF"/>
            </w:tcBorders>
            <w:vAlign w:val="center"/>
          </w:tcPr>
          <w:p w14:paraId="26D0B964" w14:textId="77777777" w:rsidR="00DC64A4" w:rsidRPr="00420AFA" w:rsidRDefault="00DC64A4" w:rsidP="00F2311C">
            <w:pPr>
              <w:jc w:val="center"/>
              <w:rPr>
                <w:sz w:val="20"/>
                <w:szCs w:val="20"/>
              </w:rPr>
            </w:pPr>
            <w:r w:rsidRPr="00420AFA">
              <w:rPr>
                <w:sz w:val="20"/>
                <w:szCs w:val="20"/>
              </w:rPr>
              <w:t>IL4</w:t>
            </w:r>
          </w:p>
        </w:tc>
        <w:tc>
          <w:tcPr>
            <w:tcW w:w="1896" w:type="dxa"/>
            <w:tcBorders>
              <w:top w:val="single" w:sz="12" w:space="0" w:color="003399" w:themeColor="accent2"/>
              <w:left w:val="single" w:sz="8" w:space="0" w:color="BFBFBF"/>
              <w:bottom w:val="single" w:sz="8" w:space="0" w:color="BFBFBF"/>
              <w:right w:val="single" w:sz="8" w:space="0" w:color="BFBFBF"/>
            </w:tcBorders>
            <w:vAlign w:val="center"/>
          </w:tcPr>
          <w:p w14:paraId="1D610239" w14:textId="23C47679" w:rsidR="00DC64A4" w:rsidRPr="00420AFA" w:rsidRDefault="00DC64A4" w:rsidP="00F2311C">
            <w:pPr>
              <w:jc w:val="center"/>
              <w:rPr>
                <w:sz w:val="20"/>
                <w:szCs w:val="20"/>
              </w:rPr>
            </w:pPr>
            <w:r w:rsidRPr="00420AFA">
              <w:rPr>
                <w:sz w:val="20"/>
                <w:szCs w:val="20"/>
              </w:rPr>
              <w:t>1</w:t>
            </w:r>
            <w:r w:rsidR="00BF5231" w:rsidRPr="00420AFA">
              <w:rPr>
                <w:sz w:val="20"/>
                <w:szCs w:val="20"/>
              </w:rPr>
              <w:t xml:space="preserve"> </w:t>
            </w:r>
            <w:r w:rsidR="005B563E" w:rsidRPr="00420AFA">
              <w:rPr>
                <w:sz w:val="20"/>
                <w:szCs w:val="20"/>
              </w:rPr>
              <w:t>/</w:t>
            </w:r>
            <w:r w:rsidR="00BF5231" w:rsidRPr="00420AFA">
              <w:rPr>
                <w:sz w:val="20"/>
                <w:szCs w:val="20"/>
              </w:rPr>
              <w:t xml:space="preserve"> </w:t>
            </w:r>
            <w:r w:rsidRPr="00420AFA">
              <w:rPr>
                <w:sz w:val="20"/>
                <w:szCs w:val="20"/>
              </w:rPr>
              <w:t>25</w:t>
            </w:r>
          </w:p>
        </w:tc>
        <w:tc>
          <w:tcPr>
            <w:tcW w:w="3182" w:type="dxa"/>
            <w:gridSpan w:val="2"/>
            <w:tcBorders>
              <w:top w:val="single" w:sz="12" w:space="0" w:color="003399" w:themeColor="accent2"/>
              <w:left w:val="single" w:sz="8" w:space="0" w:color="BFBFBF"/>
              <w:bottom w:val="single" w:sz="8" w:space="0" w:color="BFBFBF"/>
              <w:right w:val="single" w:sz="8" w:space="0" w:color="BFBFBF"/>
            </w:tcBorders>
            <w:vAlign w:val="center"/>
          </w:tcPr>
          <w:p w14:paraId="3064F058" w14:textId="4301D873" w:rsidR="00DC64A4" w:rsidRPr="00420AFA" w:rsidRDefault="00DC64A4" w:rsidP="00F2311C">
            <w:pPr>
              <w:jc w:val="center"/>
              <w:rPr>
                <w:sz w:val="20"/>
                <w:szCs w:val="20"/>
              </w:rPr>
            </w:pPr>
            <w:r w:rsidRPr="00420AFA">
              <w:rPr>
                <w:sz w:val="20"/>
                <w:szCs w:val="20"/>
              </w:rPr>
              <w:t>1</w:t>
            </w:r>
            <w:r w:rsidR="005B563E" w:rsidRPr="00420AFA">
              <w:rPr>
                <w:sz w:val="20"/>
                <w:szCs w:val="20"/>
              </w:rPr>
              <w:t xml:space="preserve"> / </w:t>
            </w:r>
            <w:r w:rsidRPr="00420AFA">
              <w:rPr>
                <w:sz w:val="20"/>
                <w:szCs w:val="20"/>
              </w:rPr>
              <w:t>500</w:t>
            </w:r>
          </w:p>
        </w:tc>
        <w:tc>
          <w:tcPr>
            <w:tcW w:w="1417" w:type="dxa"/>
            <w:tcBorders>
              <w:top w:val="single" w:sz="12" w:space="0" w:color="003399" w:themeColor="accent2"/>
              <w:left w:val="single" w:sz="8" w:space="0" w:color="BFBFBF"/>
              <w:bottom w:val="single" w:sz="8" w:space="0" w:color="BFBFBF"/>
              <w:right w:val="nil"/>
            </w:tcBorders>
            <w:vAlign w:val="center"/>
          </w:tcPr>
          <w:p w14:paraId="2B653098" w14:textId="0A54B804" w:rsidR="00DC64A4" w:rsidRPr="00420AFA" w:rsidRDefault="00DC64A4" w:rsidP="00F2311C">
            <w:pPr>
              <w:jc w:val="center"/>
              <w:rPr>
                <w:sz w:val="20"/>
                <w:szCs w:val="20"/>
              </w:rPr>
            </w:pPr>
            <w:r w:rsidRPr="00420AFA">
              <w:rPr>
                <w:sz w:val="20"/>
                <w:szCs w:val="20"/>
              </w:rPr>
              <w:t>1</w:t>
            </w:r>
            <w:r w:rsidR="005B563E" w:rsidRPr="00420AFA">
              <w:rPr>
                <w:sz w:val="20"/>
                <w:szCs w:val="20"/>
              </w:rPr>
              <w:t xml:space="preserve"> / </w:t>
            </w:r>
            <w:r w:rsidRPr="00420AFA">
              <w:rPr>
                <w:sz w:val="20"/>
                <w:szCs w:val="20"/>
              </w:rPr>
              <w:t>2500</w:t>
            </w:r>
          </w:p>
        </w:tc>
      </w:tr>
      <w:tr w:rsidR="00DC64A4" w:rsidRPr="00420AFA" w14:paraId="01408A77" w14:textId="77777777" w:rsidTr="008F1F58">
        <w:tc>
          <w:tcPr>
            <w:tcW w:w="1843" w:type="dxa"/>
            <w:tcBorders>
              <w:top w:val="single" w:sz="8" w:space="0" w:color="BFBFBF"/>
              <w:left w:val="nil"/>
              <w:bottom w:val="single" w:sz="8" w:space="0" w:color="BFBFBF"/>
              <w:right w:val="single" w:sz="8" w:space="0" w:color="BFBFBF"/>
            </w:tcBorders>
            <w:shd w:val="clear" w:color="auto" w:fill="F6F4EC"/>
          </w:tcPr>
          <w:p w14:paraId="5498E2D9" w14:textId="50DACE1D" w:rsidR="00DC64A4" w:rsidRPr="00420AFA" w:rsidRDefault="1525B44E" w:rsidP="00666E06">
            <w:pPr>
              <w:rPr>
                <w:b/>
                <w:bCs/>
                <w:sz w:val="20"/>
                <w:szCs w:val="20"/>
              </w:rPr>
            </w:pPr>
            <w:r w:rsidRPr="00420AFA">
              <w:rPr>
                <w:b/>
                <w:bCs/>
                <w:sz w:val="20"/>
                <w:szCs w:val="20"/>
              </w:rPr>
              <w:t>Inpatient Wards</w:t>
            </w:r>
          </w:p>
        </w:tc>
        <w:tc>
          <w:tcPr>
            <w:tcW w:w="1255" w:type="dxa"/>
            <w:tcBorders>
              <w:top w:val="single" w:sz="8" w:space="0" w:color="BFBFBF"/>
              <w:left w:val="single" w:sz="8" w:space="0" w:color="BFBFBF"/>
              <w:bottom w:val="single" w:sz="8" w:space="0" w:color="BFBFBF"/>
              <w:right w:val="single" w:sz="8" w:space="0" w:color="BFBFBF"/>
            </w:tcBorders>
            <w:vAlign w:val="center"/>
          </w:tcPr>
          <w:p w14:paraId="08438BB5" w14:textId="77777777" w:rsidR="00DC64A4" w:rsidRPr="00420AFA" w:rsidRDefault="00DC64A4" w:rsidP="00F2311C">
            <w:pPr>
              <w:jc w:val="center"/>
              <w:rPr>
                <w:sz w:val="20"/>
                <w:szCs w:val="20"/>
              </w:rPr>
            </w:pPr>
            <w:r w:rsidRPr="00420AFA">
              <w:rPr>
                <w:sz w:val="20"/>
                <w:szCs w:val="20"/>
              </w:rPr>
              <w:t>IL3</w:t>
            </w:r>
          </w:p>
        </w:tc>
        <w:tc>
          <w:tcPr>
            <w:tcW w:w="1896" w:type="dxa"/>
            <w:tcBorders>
              <w:top w:val="single" w:sz="8" w:space="0" w:color="BFBFBF"/>
              <w:left w:val="single" w:sz="8" w:space="0" w:color="BFBFBF"/>
              <w:bottom w:val="single" w:sz="8" w:space="0" w:color="BFBFBF"/>
              <w:right w:val="single" w:sz="8" w:space="0" w:color="BFBFBF"/>
            </w:tcBorders>
            <w:vAlign w:val="center"/>
          </w:tcPr>
          <w:p w14:paraId="6A1C3781" w14:textId="6F2438EF" w:rsidR="00DC64A4" w:rsidRPr="00420AFA" w:rsidRDefault="00DC64A4" w:rsidP="00F2311C">
            <w:pPr>
              <w:jc w:val="center"/>
              <w:rPr>
                <w:sz w:val="20"/>
                <w:szCs w:val="20"/>
              </w:rPr>
            </w:pPr>
            <w:r w:rsidRPr="00420AFA">
              <w:rPr>
                <w:sz w:val="20"/>
                <w:szCs w:val="20"/>
              </w:rPr>
              <w:t>1</w:t>
            </w:r>
            <w:r w:rsidR="00BF5231" w:rsidRPr="00420AFA">
              <w:rPr>
                <w:sz w:val="20"/>
                <w:szCs w:val="20"/>
              </w:rPr>
              <w:t xml:space="preserve"> </w:t>
            </w:r>
            <w:r w:rsidR="005B563E" w:rsidRPr="00420AFA">
              <w:rPr>
                <w:sz w:val="20"/>
                <w:szCs w:val="20"/>
              </w:rPr>
              <w:t>/</w:t>
            </w:r>
            <w:r w:rsidR="00BF5231" w:rsidRPr="00420AFA">
              <w:rPr>
                <w:sz w:val="20"/>
                <w:szCs w:val="20"/>
              </w:rPr>
              <w:t xml:space="preserve"> </w:t>
            </w:r>
            <w:r w:rsidRPr="00420AFA">
              <w:rPr>
                <w:sz w:val="20"/>
                <w:szCs w:val="20"/>
              </w:rPr>
              <w:t>25</w:t>
            </w:r>
          </w:p>
        </w:tc>
        <w:tc>
          <w:tcPr>
            <w:tcW w:w="3182" w:type="dxa"/>
            <w:gridSpan w:val="2"/>
            <w:tcBorders>
              <w:top w:val="single" w:sz="8" w:space="0" w:color="BFBFBF"/>
              <w:left w:val="single" w:sz="8" w:space="0" w:color="BFBFBF"/>
              <w:bottom w:val="single" w:sz="8" w:space="0" w:color="BFBFBF"/>
              <w:right w:val="single" w:sz="8" w:space="0" w:color="BFBFBF"/>
            </w:tcBorders>
            <w:vAlign w:val="center"/>
          </w:tcPr>
          <w:p w14:paraId="22534F4F" w14:textId="5BA90D9A" w:rsidR="00DC64A4" w:rsidRPr="00420AFA" w:rsidRDefault="00DC64A4" w:rsidP="00F2311C">
            <w:pPr>
              <w:jc w:val="center"/>
              <w:rPr>
                <w:sz w:val="20"/>
                <w:szCs w:val="20"/>
              </w:rPr>
            </w:pPr>
            <w:r w:rsidRPr="00420AFA">
              <w:rPr>
                <w:sz w:val="20"/>
                <w:szCs w:val="20"/>
              </w:rPr>
              <w:t>1</w:t>
            </w:r>
            <w:r w:rsidR="005B563E" w:rsidRPr="00420AFA">
              <w:rPr>
                <w:sz w:val="20"/>
                <w:szCs w:val="20"/>
              </w:rPr>
              <w:t xml:space="preserve"> / </w:t>
            </w:r>
            <w:r w:rsidRPr="00420AFA">
              <w:rPr>
                <w:sz w:val="20"/>
                <w:szCs w:val="20"/>
              </w:rPr>
              <w:t>250</w:t>
            </w:r>
          </w:p>
        </w:tc>
        <w:tc>
          <w:tcPr>
            <w:tcW w:w="1417" w:type="dxa"/>
            <w:tcBorders>
              <w:top w:val="single" w:sz="8" w:space="0" w:color="BFBFBF"/>
              <w:left w:val="single" w:sz="8" w:space="0" w:color="BFBFBF"/>
              <w:bottom w:val="single" w:sz="8" w:space="0" w:color="BFBFBF"/>
              <w:right w:val="nil"/>
            </w:tcBorders>
            <w:vAlign w:val="center"/>
          </w:tcPr>
          <w:p w14:paraId="71165825" w14:textId="47806A42" w:rsidR="00DC64A4" w:rsidRPr="00420AFA" w:rsidRDefault="00DC64A4" w:rsidP="00F2311C">
            <w:pPr>
              <w:jc w:val="center"/>
              <w:rPr>
                <w:sz w:val="20"/>
                <w:szCs w:val="20"/>
              </w:rPr>
            </w:pPr>
            <w:r w:rsidRPr="00420AFA">
              <w:rPr>
                <w:sz w:val="20"/>
                <w:szCs w:val="20"/>
              </w:rPr>
              <w:t>1</w:t>
            </w:r>
            <w:r w:rsidR="005B563E" w:rsidRPr="00420AFA">
              <w:rPr>
                <w:sz w:val="20"/>
                <w:szCs w:val="20"/>
              </w:rPr>
              <w:t xml:space="preserve"> / </w:t>
            </w:r>
            <w:r w:rsidRPr="00420AFA">
              <w:rPr>
                <w:sz w:val="20"/>
                <w:szCs w:val="20"/>
              </w:rPr>
              <w:t>1000</w:t>
            </w:r>
          </w:p>
        </w:tc>
      </w:tr>
      <w:tr w:rsidR="00D765C5" w:rsidRPr="00420AFA" w14:paraId="0A3C4D93" w14:textId="77777777" w:rsidTr="008F1F58">
        <w:tc>
          <w:tcPr>
            <w:tcW w:w="1843" w:type="dxa"/>
            <w:tcBorders>
              <w:top w:val="single" w:sz="8" w:space="0" w:color="BFBFBF"/>
              <w:left w:val="nil"/>
              <w:bottom w:val="single" w:sz="8" w:space="0" w:color="BFBFBF"/>
              <w:right w:val="single" w:sz="8" w:space="0" w:color="BFBFBF"/>
            </w:tcBorders>
            <w:shd w:val="clear" w:color="auto" w:fill="F6F4EC"/>
          </w:tcPr>
          <w:p w14:paraId="21D01130" w14:textId="7678134C" w:rsidR="00D765C5" w:rsidRPr="00420AFA" w:rsidRDefault="00D765C5" w:rsidP="00666E06">
            <w:pPr>
              <w:rPr>
                <w:b/>
                <w:bCs/>
                <w:sz w:val="20"/>
                <w:szCs w:val="20"/>
              </w:rPr>
            </w:pPr>
            <w:r w:rsidRPr="00420AFA">
              <w:rPr>
                <w:b/>
                <w:bCs/>
                <w:sz w:val="20"/>
                <w:szCs w:val="20"/>
              </w:rPr>
              <w:t>Other Services</w:t>
            </w:r>
            <w:r w:rsidR="0095531E" w:rsidRPr="00420AFA">
              <w:rPr>
                <w:b/>
                <w:bCs/>
                <w:sz w:val="20"/>
                <w:szCs w:val="20"/>
              </w:rPr>
              <w:t xml:space="preserve"> </w:t>
            </w:r>
            <w:r w:rsidR="00A816A6" w:rsidRPr="00420AFA">
              <w:rPr>
                <w:b/>
                <w:bCs/>
                <w:sz w:val="20"/>
                <w:szCs w:val="20"/>
              </w:rPr>
              <w:t xml:space="preserve">- Medical </w:t>
            </w:r>
          </w:p>
        </w:tc>
        <w:tc>
          <w:tcPr>
            <w:tcW w:w="1255" w:type="dxa"/>
            <w:tcBorders>
              <w:top w:val="single" w:sz="8" w:space="0" w:color="BFBFBF"/>
              <w:left w:val="single" w:sz="8" w:space="0" w:color="BFBFBF"/>
              <w:bottom w:val="single" w:sz="8" w:space="0" w:color="BFBFBF"/>
              <w:right w:val="single" w:sz="8" w:space="0" w:color="BFBFBF"/>
            </w:tcBorders>
            <w:vAlign w:val="center"/>
          </w:tcPr>
          <w:p w14:paraId="463010DD" w14:textId="56D2740C" w:rsidR="00D765C5" w:rsidRPr="00420AFA" w:rsidRDefault="00D765C5" w:rsidP="00F2311C">
            <w:pPr>
              <w:jc w:val="center"/>
              <w:rPr>
                <w:sz w:val="20"/>
                <w:szCs w:val="20"/>
              </w:rPr>
            </w:pPr>
            <w:r w:rsidRPr="00420AFA">
              <w:rPr>
                <w:sz w:val="20"/>
                <w:szCs w:val="20"/>
              </w:rPr>
              <w:t>IL2</w:t>
            </w:r>
          </w:p>
        </w:tc>
        <w:tc>
          <w:tcPr>
            <w:tcW w:w="1896" w:type="dxa"/>
            <w:tcBorders>
              <w:top w:val="single" w:sz="8" w:space="0" w:color="BFBFBF"/>
              <w:left w:val="single" w:sz="8" w:space="0" w:color="BFBFBF"/>
              <w:bottom w:val="single" w:sz="8" w:space="0" w:color="BFBFBF"/>
              <w:right w:val="single" w:sz="8" w:space="0" w:color="BFBFBF"/>
            </w:tcBorders>
            <w:vAlign w:val="center"/>
          </w:tcPr>
          <w:p w14:paraId="3D03D17E" w14:textId="50571BE2" w:rsidR="00D765C5" w:rsidRPr="00420AFA" w:rsidRDefault="00D765C5" w:rsidP="00F2311C">
            <w:pPr>
              <w:jc w:val="center"/>
              <w:rPr>
                <w:sz w:val="20"/>
                <w:szCs w:val="20"/>
              </w:rPr>
            </w:pPr>
            <w:r w:rsidRPr="00420AFA">
              <w:rPr>
                <w:sz w:val="20"/>
                <w:szCs w:val="20"/>
              </w:rPr>
              <w:t>1 / 25</w:t>
            </w:r>
          </w:p>
        </w:tc>
        <w:tc>
          <w:tcPr>
            <w:tcW w:w="3182" w:type="dxa"/>
            <w:gridSpan w:val="2"/>
            <w:tcBorders>
              <w:top w:val="single" w:sz="8" w:space="0" w:color="BFBFBF"/>
              <w:left w:val="single" w:sz="8" w:space="0" w:color="BFBFBF"/>
              <w:bottom w:val="single" w:sz="8" w:space="0" w:color="BFBFBF"/>
              <w:right w:val="single" w:sz="8" w:space="0" w:color="BFBFBF"/>
            </w:tcBorders>
            <w:vAlign w:val="center"/>
          </w:tcPr>
          <w:p w14:paraId="56889521" w14:textId="5F79D661" w:rsidR="00D765C5" w:rsidRPr="00420AFA" w:rsidRDefault="00D765C5" w:rsidP="00F2311C">
            <w:pPr>
              <w:jc w:val="center"/>
              <w:rPr>
                <w:sz w:val="20"/>
                <w:szCs w:val="20"/>
              </w:rPr>
            </w:pPr>
            <w:r w:rsidRPr="00420AFA">
              <w:rPr>
                <w:sz w:val="20"/>
                <w:szCs w:val="20"/>
              </w:rPr>
              <w:t>1 / 250</w:t>
            </w:r>
          </w:p>
        </w:tc>
        <w:tc>
          <w:tcPr>
            <w:tcW w:w="1417" w:type="dxa"/>
            <w:tcBorders>
              <w:top w:val="single" w:sz="8" w:space="0" w:color="BFBFBF"/>
              <w:left w:val="single" w:sz="8" w:space="0" w:color="BFBFBF"/>
              <w:bottom w:val="single" w:sz="8" w:space="0" w:color="BFBFBF"/>
              <w:right w:val="nil"/>
            </w:tcBorders>
            <w:vAlign w:val="center"/>
          </w:tcPr>
          <w:p w14:paraId="50CE0255" w14:textId="311E8966" w:rsidR="00D765C5" w:rsidRPr="00420AFA" w:rsidRDefault="00D765C5" w:rsidP="00F2311C">
            <w:pPr>
              <w:jc w:val="center"/>
              <w:rPr>
                <w:sz w:val="20"/>
                <w:szCs w:val="20"/>
              </w:rPr>
            </w:pPr>
            <w:r w:rsidRPr="00420AFA">
              <w:rPr>
                <w:sz w:val="20"/>
                <w:szCs w:val="20"/>
              </w:rPr>
              <w:t>1 / 500</w:t>
            </w:r>
          </w:p>
        </w:tc>
      </w:tr>
      <w:tr w:rsidR="008F1F58" w:rsidRPr="00420AFA" w14:paraId="2EBCF633" w14:textId="77777777" w:rsidTr="008F1F58">
        <w:trPr>
          <w:trHeight w:val="75"/>
        </w:trPr>
        <w:tc>
          <w:tcPr>
            <w:tcW w:w="1843" w:type="dxa"/>
            <w:tcBorders>
              <w:top w:val="single" w:sz="8" w:space="0" w:color="BFBFBF"/>
              <w:left w:val="nil"/>
              <w:bottom w:val="nil"/>
              <w:right w:val="single" w:sz="8" w:space="0" w:color="BFBFBF"/>
            </w:tcBorders>
            <w:shd w:val="clear" w:color="auto" w:fill="F6F4EC"/>
            <w:vAlign w:val="center"/>
          </w:tcPr>
          <w:p w14:paraId="240CB6FF" w14:textId="7171698C" w:rsidR="008F1F58" w:rsidRPr="00420AFA" w:rsidRDefault="008F1F58" w:rsidP="008F1F58">
            <w:pPr>
              <w:rPr>
                <w:b/>
                <w:bCs/>
                <w:sz w:val="20"/>
                <w:szCs w:val="20"/>
              </w:rPr>
            </w:pPr>
            <w:r w:rsidRPr="00420AFA">
              <w:rPr>
                <w:b/>
                <w:bCs/>
                <w:sz w:val="20"/>
                <w:szCs w:val="20"/>
              </w:rPr>
              <w:t>Other Services - Support</w:t>
            </w:r>
          </w:p>
        </w:tc>
        <w:tc>
          <w:tcPr>
            <w:tcW w:w="1255" w:type="dxa"/>
            <w:tcBorders>
              <w:top w:val="single" w:sz="8" w:space="0" w:color="BFBFBF"/>
              <w:left w:val="single" w:sz="8" w:space="0" w:color="BFBFBF"/>
              <w:bottom w:val="nil"/>
              <w:right w:val="single" w:sz="8" w:space="0" w:color="BFBFBF"/>
            </w:tcBorders>
            <w:vAlign w:val="center"/>
          </w:tcPr>
          <w:p w14:paraId="16D51E38" w14:textId="33E5C3EF" w:rsidR="008F1F58" w:rsidRPr="00420AFA" w:rsidRDefault="008F1F58" w:rsidP="008F1F58">
            <w:pPr>
              <w:jc w:val="center"/>
              <w:rPr>
                <w:sz w:val="20"/>
                <w:szCs w:val="20"/>
              </w:rPr>
            </w:pPr>
            <w:r w:rsidRPr="00420AFA">
              <w:rPr>
                <w:sz w:val="20"/>
                <w:szCs w:val="20"/>
              </w:rPr>
              <w:t>IL2</w:t>
            </w:r>
          </w:p>
        </w:tc>
        <w:tc>
          <w:tcPr>
            <w:tcW w:w="1896" w:type="dxa"/>
            <w:tcBorders>
              <w:top w:val="single" w:sz="8" w:space="0" w:color="BFBFBF"/>
              <w:left w:val="single" w:sz="8" w:space="0" w:color="BFBFBF"/>
              <w:bottom w:val="nil"/>
              <w:right w:val="single" w:sz="8" w:space="0" w:color="BFBFBF"/>
            </w:tcBorders>
            <w:vAlign w:val="center"/>
          </w:tcPr>
          <w:p w14:paraId="6E0C3E08" w14:textId="109A8976" w:rsidR="008F1F58" w:rsidRPr="00420AFA" w:rsidRDefault="008F1F58" w:rsidP="008F1F58">
            <w:pPr>
              <w:jc w:val="center"/>
              <w:rPr>
                <w:sz w:val="20"/>
                <w:szCs w:val="20"/>
              </w:rPr>
            </w:pPr>
            <w:r w:rsidRPr="00420AFA">
              <w:rPr>
                <w:sz w:val="20"/>
                <w:szCs w:val="20"/>
              </w:rPr>
              <w:t>1 / 25</w:t>
            </w:r>
          </w:p>
        </w:tc>
        <w:tc>
          <w:tcPr>
            <w:tcW w:w="1481" w:type="dxa"/>
            <w:tcBorders>
              <w:top w:val="single" w:sz="8" w:space="0" w:color="BFBFBF"/>
              <w:left w:val="single" w:sz="8" w:space="0" w:color="BFBFBF"/>
              <w:bottom w:val="nil"/>
              <w:right w:val="single" w:sz="8" w:space="0" w:color="BFBFBF"/>
            </w:tcBorders>
            <w:vAlign w:val="center"/>
          </w:tcPr>
          <w:p w14:paraId="69B842C5" w14:textId="1DC5C4C5" w:rsidR="008F1F58" w:rsidRPr="00420AFA" w:rsidRDefault="008F1F58" w:rsidP="008F1F58">
            <w:pPr>
              <w:jc w:val="center"/>
              <w:rPr>
                <w:sz w:val="20"/>
                <w:szCs w:val="20"/>
              </w:rPr>
            </w:pPr>
            <w:r w:rsidRPr="00420AFA">
              <w:rPr>
                <w:sz w:val="20"/>
                <w:szCs w:val="20"/>
              </w:rPr>
              <w:t xml:space="preserve">1 / 250 </w:t>
            </w:r>
            <w:r w:rsidRPr="00420AFA">
              <w:rPr>
                <w:sz w:val="20"/>
                <w:szCs w:val="20"/>
                <w:vertAlign w:val="superscript"/>
              </w:rPr>
              <w:t>(Note 1)</w:t>
            </w:r>
          </w:p>
        </w:tc>
        <w:tc>
          <w:tcPr>
            <w:tcW w:w="1701" w:type="dxa"/>
            <w:tcBorders>
              <w:top w:val="single" w:sz="8" w:space="0" w:color="BFBFBF"/>
              <w:left w:val="single" w:sz="8" w:space="0" w:color="BFBFBF"/>
              <w:bottom w:val="nil"/>
              <w:right w:val="single" w:sz="8" w:space="0" w:color="BFBFBF"/>
            </w:tcBorders>
            <w:vAlign w:val="center"/>
          </w:tcPr>
          <w:p w14:paraId="08F51790" w14:textId="32DFF1BC" w:rsidR="008F1F58" w:rsidRPr="00420AFA" w:rsidRDefault="008F1F58" w:rsidP="008F1F58">
            <w:pPr>
              <w:jc w:val="center"/>
              <w:rPr>
                <w:sz w:val="20"/>
                <w:szCs w:val="20"/>
              </w:rPr>
            </w:pPr>
            <w:r w:rsidRPr="00420AFA">
              <w:rPr>
                <w:sz w:val="20"/>
                <w:szCs w:val="20"/>
              </w:rPr>
              <w:t>n/a</w:t>
            </w:r>
          </w:p>
        </w:tc>
        <w:tc>
          <w:tcPr>
            <w:tcW w:w="1417" w:type="dxa"/>
            <w:tcBorders>
              <w:top w:val="single" w:sz="8" w:space="0" w:color="BFBFBF"/>
              <w:left w:val="single" w:sz="8" w:space="0" w:color="BFBFBF"/>
              <w:bottom w:val="nil"/>
              <w:right w:val="nil"/>
            </w:tcBorders>
            <w:vAlign w:val="center"/>
          </w:tcPr>
          <w:p w14:paraId="3D95968A" w14:textId="180095DA" w:rsidR="008F1F58" w:rsidRPr="00420AFA" w:rsidRDefault="008F1F58" w:rsidP="008F1F58">
            <w:pPr>
              <w:rPr>
                <w:sz w:val="20"/>
                <w:szCs w:val="20"/>
              </w:rPr>
            </w:pPr>
            <w:r w:rsidRPr="00420AFA">
              <w:rPr>
                <w:sz w:val="20"/>
                <w:szCs w:val="20"/>
              </w:rPr>
              <w:t>1 / 500</w:t>
            </w:r>
          </w:p>
        </w:tc>
      </w:tr>
    </w:tbl>
    <w:p w14:paraId="33C4ADCC" w14:textId="77777777" w:rsidR="00F84274" w:rsidRDefault="00F84274" w:rsidP="00666E06"/>
    <w:p w14:paraId="1FD6ED70" w14:textId="14AFB523" w:rsidR="00EB3570" w:rsidRPr="009C55CF" w:rsidRDefault="00EB3570" w:rsidP="00666E06">
      <w:pPr>
        <w:rPr>
          <w:sz w:val="20"/>
          <w:szCs w:val="20"/>
        </w:rPr>
      </w:pPr>
      <w:r w:rsidRPr="009C55CF">
        <w:rPr>
          <w:sz w:val="20"/>
          <w:szCs w:val="20"/>
        </w:rPr>
        <w:t>Notes:</w:t>
      </w:r>
    </w:p>
    <w:p w14:paraId="135F952B" w14:textId="7BA562B3" w:rsidR="00EB3570" w:rsidRPr="009C55CF" w:rsidRDefault="00EB3570" w:rsidP="001B3464">
      <w:pPr>
        <w:ind w:left="357" w:hanging="357"/>
        <w:rPr>
          <w:rFonts w:eastAsia="Arial" w:cs="Arial"/>
          <w:sz w:val="20"/>
          <w:szCs w:val="20"/>
        </w:rPr>
      </w:pPr>
      <w:r w:rsidRPr="009C55CF">
        <w:rPr>
          <w:sz w:val="20"/>
          <w:szCs w:val="20"/>
        </w:rPr>
        <w:t>[1]</w:t>
      </w:r>
      <w:r w:rsidRPr="009C55CF">
        <w:rPr>
          <w:sz w:val="20"/>
          <w:szCs w:val="20"/>
        </w:rPr>
        <w:tab/>
      </w:r>
      <w:r w:rsidR="00493654" w:rsidRPr="009C55CF">
        <w:rPr>
          <w:sz w:val="20"/>
          <w:szCs w:val="20"/>
        </w:rPr>
        <w:t>F</w:t>
      </w:r>
      <w:r w:rsidR="00951449" w:rsidRPr="009C55CF">
        <w:rPr>
          <w:sz w:val="20"/>
          <w:szCs w:val="20"/>
        </w:rPr>
        <w:t xml:space="preserve">or carparking structures or for other minor structures </w:t>
      </w:r>
      <w:r w:rsidR="00684099" w:rsidRPr="009C55CF">
        <w:rPr>
          <w:sz w:val="20"/>
          <w:szCs w:val="20"/>
        </w:rPr>
        <w:t xml:space="preserve">as specifically identified in the Health NZ project brief, the </w:t>
      </w:r>
      <w:r w:rsidR="0076407F" w:rsidRPr="009C55CF">
        <w:rPr>
          <w:sz w:val="20"/>
          <w:szCs w:val="20"/>
        </w:rPr>
        <w:t xml:space="preserve">non-quantified </w:t>
      </w:r>
      <w:r w:rsidR="00C66CC9" w:rsidRPr="009C55CF">
        <w:rPr>
          <w:sz w:val="20"/>
          <w:szCs w:val="20"/>
        </w:rPr>
        <w:t xml:space="preserve">‘Level 1’ </w:t>
      </w:r>
      <w:r w:rsidR="00C66CC9" w:rsidRPr="009C55CF">
        <w:rPr>
          <w:i/>
          <w:iCs/>
          <w:sz w:val="20"/>
          <w:szCs w:val="20"/>
        </w:rPr>
        <w:t>Low Damage Seismic Design</w:t>
      </w:r>
      <w:r w:rsidR="00C66CC9" w:rsidRPr="009C55CF">
        <w:rPr>
          <w:sz w:val="20"/>
          <w:szCs w:val="20"/>
        </w:rPr>
        <w:t xml:space="preserve"> </w:t>
      </w:r>
      <w:r w:rsidR="00177401" w:rsidRPr="009C55CF">
        <w:rPr>
          <w:sz w:val="20"/>
          <w:szCs w:val="20"/>
        </w:rPr>
        <w:t xml:space="preserve">guidelines </w:t>
      </w:r>
      <w:r w:rsidR="00A04CBF" w:rsidRPr="009C55CF">
        <w:rPr>
          <w:sz w:val="20"/>
          <w:szCs w:val="20"/>
        </w:rPr>
        <w:t>pathway</w:t>
      </w:r>
      <w:r w:rsidR="00C66CC9" w:rsidRPr="009C55CF">
        <w:rPr>
          <w:sz w:val="20"/>
          <w:szCs w:val="20"/>
        </w:rPr>
        <w:t xml:space="preserve"> can be followed</w:t>
      </w:r>
      <w:r w:rsidR="00177401" w:rsidRPr="009C55CF">
        <w:rPr>
          <w:sz w:val="20"/>
          <w:szCs w:val="20"/>
        </w:rPr>
        <w:t xml:space="preserve"> </w:t>
      </w:r>
      <w:r w:rsidR="00DC38C6" w:rsidRPr="009C55CF">
        <w:rPr>
          <w:sz w:val="20"/>
          <w:szCs w:val="20"/>
        </w:rPr>
        <w:t xml:space="preserve">as an alternative </w:t>
      </w:r>
      <w:r w:rsidR="00177401" w:rsidRPr="009C55CF">
        <w:rPr>
          <w:sz w:val="20"/>
          <w:szCs w:val="20"/>
        </w:rPr>
        <w:t>(once published)</w:t>
      </w:r>
      <w:r w:rsidR="00DC38C6" w:rsidRPr="009C55CF">
        <w:rPr>
          <w:sz w:val="20"/>
          <w:szCs w:val="20"/>
        </w:rPr>
        <w:t xml:space="preserve">. In such cases, </w:t>
      </w:r>
      <w:r w:rsidR="009F3186" w:rsidRPr="009C55CF">
        <w:rPr>
          <w:sz w:val="20"/>
          <w:szCs w:val="20"/>
        </w:rPr>
        <w:t xml:space="preserve">there </w:t>
      </w:r>
      <w:r w:rsidR="00DC38C6" w:rsidRPr="009C55CF">
        <w:rPr>
          <w:sz w:val="20"/>
          <w:szCs w:val="20"/>
        </w:rPr>
        <w:t>is</w:t>
      </w:r>
      <w:r w:rsidR="009F3186" w:rsidRPr="009C55CF">
        <w:rPr>
          <w:sz w:val="20"/>
          <w:szCs w:val="20"/>
        </w:rPr>
        <w:t xml:space="preserve"> no specific requirement to consider the DCLS</w:t>
      </w:r>
      <w:r w:rsidRPr="009C55CF">
        <w:rPr>
          <w:sz w:val="20"/>
          <w:szCs w:val="20"/>
        </w:rPr>
        <w:t>.</w:t>
      </w:r>
    </w:p>
    <w:p w14:paraId="708B6036" w14:textId="77777777" w:rsidR="009275DD" w:rsidRDefault="009275DD" w:rsidP="00F84274">
      <w:pPr>
        <w:ind w:left="567"/>
        <w:rPr>
          <w:b/>
          <w:bCs/>
        </w:rPr>
      </w:pPr>
    </w:p>
    <w:p w14:paraId="37259D92" w14:textId="111E4CDF" w:rsidR="00E9408B" w:rsidRPr="00B975B2" w:rsidRDefault="00E9408B" w:rsidP="00F84274">
      <w:pPr>
        <w:ind w:left="567"/>
      </w:pPr>
      <w:r w:rsidRPr="00B975B2">
        <w:rPr>
          <w:b/>
          <w:bCs/>
        </w:rPr>
        <w:lastRenderedPageBreak/>
        <w:t>NZBC Requirement (B1/VM1):</w:t>
      </w:r>
      <w:r w:rsidRPr="00B975B2">
        <w:t xml:space="preserve"> The ULS and SLS1 limit states apply to all facilities. Further to this, the minimum requirements of B1/VM1 apply the SLS2 limit state to Importance Level 4 facilities. Performance at the SLS2 should be aligned with the descriptions of physical states in Section </w:t>
      </w:r>
      <w:r w:rsidRPr="00B975B2">
        <w:fldChar w:fldCharType="begin"/>
      </w:r>
      <w:r w:rsidRPr="00B975B2">
        <w:instrText xml:space="preserve"> REF _Ref150410917 \r \h </w:instrText>
      </w:r>
      <w:r w:rsidR="00B975B2">
        <w:instrText xml:space="preserve"> \* MERGEFORMAT </w:instrText>
      </w:r>
      <w:r w:rsidRPr="00B975B2">
        <w:fldChar w:fldCharType="separate"/>
      </w:r>
      <w:r w:rsidR="000761C1">
        <w:t>B2.5</w:t>
      </w:r>
      <w:r w:rsidRPr="00B975B2">
        <w:fldChar w:fldCharType="end"/>
      </w:r>
      <w:r w:rsidR="00AB5FD6" w:rsidRPr="00B975B2">
        <w:t xml:space="preserve"> of this guideline</w:t>
      </w:r>
      <w:r w:rsidRPr="00B975B2">
        <w:t>, which provides improved clarity.</w:t>
      </w:r>
    </w:p>
    <w:p w14:paraId="59734651" w14:textId="0BD0FBC6" w:rsidR="008307DE" w:rsidRPr="003241AE" w:rsidRDefault="007D5C79" w:rsidP="003241AE">
      <w:pPr>
        <w:pStyle w:val="Figure"/>
        <w:ind w:left="567"/>
        <w:rPr>
          <w:b w:val="0"/>
          <w:bCs/>
          <w:sz w:val="24"/>
          <w:szCs w:val="24"/>
        </w:rPr>
      </w:pPr>
      <w:r w:rsidRPr="001B7A42">
        <w:rPr>
          <w:color w:val="0C818F" w:themeColor="accent3"/>
          <w:sz w:val="24"/>
          <w:szCs w:val="24"/>
        </w:rPr>
        <w:t xml:space="preserve">Health NZ </w:t>
      </w:r>
      <w:r w:rsidR="00E9408B" w:rsidRPr="001B7A42">
        <w:rPr>
          <w:color w:val="0C818F" w:themeColor="accent3"/>
          <w:sz w:val="24"/>
          <w:szCs w:val="24"/>
        </w:rPr>
        <w:t xml:space="preserve">Requirement: </w:t>
      </w:r>
      <w:r w:rsidR="00E9408B" w:rsidRPr="001B7A42">
        <w:rPr>
          <w:b w:val="0"/>
          <w:bCs/>
          <w:sz w:val="24"/>
          <w:szCs w:val="24"/>
        </w:rPr>
        <w:t xml:space="preserve">All limit states shown in </w:t>
      </w:r>
      <w:r w:rsidR="00E9408B" w:rsidRPr="00FC76EF">
        <w:rPr>
          <w:b w:val="0"/>
          <w:bCs/>
          <w:sz w:val="24"/>
          <w:szCs w:val="24"/>
        </w:rPr>
        <w:fldChar w:fldCharType="begin"/>
      </w:r>
      <w:r w:rsidR="00E9408B" w:rsidRPr="00FC76EF">
        <w:rPr>
          <w:b w:val="0"/>
          <w:bCs/>
          <w:sz w:val="24"/>
          <w:szCs w:val="24"/>
        </w:rPr>
        <w:instrText xml:space="preserve"> REF _Ref150196492 \h </w:instrText>
      </w:r>
      <w:r w:rsidR="00B975B2" w:rsidRPr="00FC76EF">
        <w:rPr>
          <w:b w:val="0"/>
          <w:bCs/>
          <w:sz w:val="24"/>
          <w:szCs w:val="24"/>
        </w:rPr>
        <w:instrText xml:space="preserve"> \* MERGEFORMAT </w:instrText>
      </w:r>
      <w:r w:rsidR="00E9408B" w:rsidRPr="00FC76EF">
        <w:rPr>
          <w:b w:val="0"/>
          <w:bCs/>
          <w:sz w:val="24"/>
          <w:szCs w:val="24"/>
        </w:rPr>
      </w:r>
      <w:r w:rsidR="00E9408B" w:rsidRPr="00FC76EF">
        <w:rPr>
          <w:b w:val="0"/>
          <w:bCs/>
          <w:sz w:val="24"/>
          <w:szCs w:val="24"/>
        </w:rPr>
        <w:fldChar w:fldCharType="separate"/>
      </w:r>
      <w:r w:rsidR="000761C1" w:rsidRPr="000761C1">
        <w:rPr>
          <w:b w:val="0"/>
          <w:bCs/>
          <w:sz w:val="24"/>
          <w:szCs w:val="24"/>
        </w:rPr>
        <w:t xml:space="preserve">Table </w:t>
      </w:r>
      <w:r w:rsidR="000761C1" w:rsidRPr="000761C1">
        <w:rPr>
          <w:b w:val="0"/>
          <w:bCs/>
          <w:noProof/>
          <w:sz w:val="24"/>
          <w:szCs w:val="24"/>
        </w:rPr>
        <w:t>6</w:t>
      </w:r>
      <w:r w:rsidR="00E9408B" w:rsidRPr="00FC76EF">
        <w:rPr>
          <w:b w:val="0"/>
          <w:bCs/>
          <w:sz w:val="24"/>
          <w:szCs w:val="24"/>
        </w:rPr>
        <w:fldChar w:fldCharType="end"/>
      </w:r>
      <w:r w:rsidR="00E9408B" w:rsidRPr="001B7A42">
        <w:rPr>
          <w:b w:val="0"/>
          <w:bCs/>
          <w:sz w:val="24"/>
          <w:szCs w:val="24"/>
        </w:rPr>
        <w:t xml:space="preserve"> shall be considered. Performance at the SLS2 and DCLS shall be aligned with the descriptions of physical states in Section </w:t>
      </w:r>
      <w:r w:rsidR="00E9408B" w:rsidRPr="001B7A42">
        <w:rPr>
          <w:b w:val="0"/>
          <w:bCs/>
          <w:sz w:val="24"/>
          <w:szCs w:val="24"/>
        </w:rPr>
        <w:fldChar w:fldCharType="begin"/>
      </w:r>
      <w:r w:rsidR="00E9408B" w:rsidRPr="001B7A42">
        <w:rPr>
          <w:b w:val="0"/>
          <w:bCs/>
          <w:sz w:val="24"/>
          <w:szCs w:val="24"/>
        </w:rPr>
        <w:instrText xml:space="preserve"> REF _Ref150410917 \r \h </w:instrText>
      </w:r>
      <w:r w:rsidR="00B975B2" w:rsidRPr="001B7A42">
        <w:rPr>
          <w:b w:val="0"/>
          <w:bCs/>
          <w:sz w:val="24"/>
          <w:szCs w:val="24"/>
        </w:rPr>
        <w:instrText xml:space="preserve"> \* MERGEFORMAT </w:instrText>
      </w:r>
      <w:r w:rsidR="00E9408B" w:rsidRPr="001B7A42">
        <w:rPr>
          <w:b w:val="0"/>
          <w:bCs/>
          <w:sz w:val="24"/>
          <w:szCs w:val="24"/>
        </w:rPr>
      </w:r>
      <w:r w:rsidR="00E9408B" w:rsidRPr="001B7A42">
        <w:rPr>
          <w:b w:val="0"/>
          <w:bCs/>
          <w:sz w:val="24"/>
          <w:szCs w:val="24"/>
        </w:rPr>
        <w:fldChar w:fldCharType="separate"/>
      </w:r>
      <w:r w:rsidR="000761C1">
        <w:rPr>
          <w:b w:val="0"/>
          <w:bCs/>
          <w:sz w:val="24"/>
          <w:szCs w:val="24"/>
        </w:rPr>
        <w:t>B2.5</w:t>
      </w:r>
      <w:r w:rsidR="00E9408B" w:rsidRPr="001B7A42">
        <w:rPr>
          <w:b w:val="0"/>
          <w:bCs/>
          <w:sz w:val="24"/>
          <w:szCs w:val="24"/>
        </w:rPr>
        <w:fldChar w:fldCharType="end"/>
      </w:r>
      <w:r w:rsidR="001F156F" w:rsidRPr="001B7A42">
        <w:rPr>
          <w:b w:val="0"/>
          <w:bCs/>
          <w:sz w:val="24"/>
          <w:szCs w:val="24"/>
        </w:rPr>
        <w:t xml:space="preserve"> (</w:t>
      </w:r>
      <w:r w:rsidR="0075260F" w:rsidRPr="001B7A42">
        <w:rPr>
          <w:b w:val="0"/>
          <w:bCs/>
          <w:sz w:val="24"/>
          <w:szCs w:val="24"/>
        </w:rPr>
        <w:t xml:space="preserve">except where the </w:t>
      </w:r>
      <w:r w:rsidR="00B90825" w:rsidRPr="001B7A42">
        <w:rPr>
          <w:b w:val="0"/>
          <w:bCs/>
          <w:sz w:val="24"/>
          <w:szCs w:val="24"/>
        </w:rPr>
        <w:t xml:space="preserve">non-quantified </w:t>
      </w:r>
      <w:r w:rsidR="001F156F" w:rsidRPr="001B7A42">
        <w:rPr>
          <w:b w:val="0"/>
          <w:bCs/>
          <w:sz w:val="24"/>
          <w:szCs w:val="24"/>
        </w:rPr>
        <w:t xml:space="preserve">LDSD level 1 pathway </w:t>
      </w:r>
      <w:r w:rsidR="007928EC" w:rsidRPr="001B7A42">
        <w:rPr>
          <w:b w:val="0"/>
          <w:bCs/>
          <w:sz w:val="24"/>
          <w:szCs w:val="24"/>
        </w:rPr>
        <w:t>is permitted</w:t>
      </w:r>
      <w:r w:rsidR="007D3BD8" w:rsidRPr="001B7A42">
        <w:rPr>
          <w:b w:val="0"/>
          <w:bCs/>
          <w:sz w:val="24"/>
          <w:szCs w:val="24"/>
        </w:rPr>
        <w:t>)</w:t>
      </w:r>
      <w:r w:rsidR="00E9408B" w:rsidRPr="001B7A42">
        <w:rPr>
          <w:b w:val="0"/>
          <w:bCs/>
          <w:sz w:val="24"/>
          <w:szCs w:val="24"/>
        </w:rPr>
        <w:t>.</w:t>
      </w:r>
      <w:r w:rsidR="007F31A5" w:rsidRPr="001B7A42">
        <w:rPr>
          <w:b w:val="0"/>
          <w:bCs/>
          <w:sz w:val="24"/>
          <w:szCs w:val="24"/>
        </w:rPr>
        <w:t xml:space="preserve"> </w:t>
      </w:r>
      <w:r w:rsidR="00DC6BE9" w:rsidRPr="00A33FD4">
        <w:rPr>
          <w:b w:val="0"/>
          <w:bCs/>
          <w:sz w:val="24"/>
          <w:szCs w:val="24"/>
        </w:rPr>
        <w:fldChar w:fldCharType="begin"/>
      </w:r>
      <w:r w:rsidR="00DC6BE9" w:rsidRPr="00A33FD4">
        <w:rPr>
          <w:b w:val="0"/>
          <w:bCs/>
          <w:sz w:val="24"/>
          <w:szCs w:val="24"/>
        </w:rPr>
        <w:instrText xml:space="preserve"> REF _Ref180306670 \h </w:instrText>
      </w:r>
      <w:r w:rsidR="001B7A42" w:rsidRPr="00A33FD4">
        <w:rPr>
          <w:b w:val="0"/>
          <w:bCs/>
          <w:sz w:val="24"/>
          <w:szCs w:val="24"/>
        </w:rPr>
        <w:instrText xml:space="preserve"> \* MERGEFORMAT </w:instrText>
      </w:r>
      <w:r w:rsidR="00DC6BE9" w:rsidRPr="00A33FD4">
        <w:rPr>
          <w:b w:val="0"/>
          <w:bCs/>
          <w:sz w:val="24"/>
          <w:szCs w:val="24"/>
        </w:rPr>
      </w:r>
      <w:r w:rsidR="00DC6BE9" w:rsidRPr="00A33FD4">
        <w:rPr>
          <w:b w:val="0"/>
          <w:bCs/>
          <w:sz w:val="24"/>
          <w:szCs w:val="24"/>
        </w:rPr>
        <w:fldChar w:fldCharType="separate"/>
      </w:r>
      <w:r w:rsidR="000761C1" w:rsidRPr="00A33FD4">
        <w:rPr>
          <w:b w:val="0"/>
          <w:bCs/>
          <w:noProof/>
          <w:sz w:val="24"/>
          <w:szCs w:val="24"/>
        </w:rPr>
        <w:t>Table</w:t>
      </w:r>
      <w:r w:rsidR="000761C1" w:rsidRPr="00A33FD4">
        <w:rPr>
          <w:b w:val="0"/>
          <w:bCs/>
          <w:sz w:val="24"/>
          <w:szCs w:val="24"/>
        </w:rPr>
        <w:t xml:space="preserve"> </w:t>
      </w:r>
      <w:r w:rsidR="000761C1" w:rsidRPr="00A33FD4">
        <w:rPr>
          <w:b w:val="0"/>
          <w:bCs/>
          <w:noProof/>
          <w:sz w:val="24"/>
          <w:szCs w:val="24"/>
        </w:rPr>
        <w:t>3</w:t>
      </w:r>
      <w:r w:rsidR="00DC6BE9" w:rsidRPr="00A33FD4">
        <w:rPr>
          <w:b w:val="0"/>
          <w:bCs/>
          <w:sz w:val="24"/>
          <w:szCs w:val="24"/>
        </w:rPr>
        <w:fldChar w:fldCharType="end"/>
      </w:r>
      <w:r w:rsidR="00DC6BE9" w:rsidRPr="00A33FD4">
        <w:rPr>
          <w:b w:val="0"/>
          <w:bCs/>
          <w:sz w:val="24"/>
          <w:szCs w:val="24"/>
        </w:rPr>
        <w:t xml:space="preserve"> (Section </w:t>
      </w:r>
      <w:r w:rsidR="00724C65" w:rsidRPr="00A33FD4">
        <w:rPr>
          <w:b w:val="0"/>
          <w:bCs/>
          <w:sz w:val="24"/>
          <w:szCs w:val="24"/>
        </w:rPr>
        <w:fldChar w:fldCharType="begin"/>
      </w:r>
      <w:r w:rsidR="00724C65" w:rsidRPr="00A33FD4">
        <w:rPr>
          <w:b w:val="0"/>
          <w:bCs/>
          <w:sz w:val="24"/>
          <w:szCs w:val="24"/>
        </w:rPr>
        <w:instrText xml:space="preserve"> REF _Ref180323396 \r \h </w:instrText>
      </w:r>
      <w:r w:rsidR="00A4099E" w:rsidRPr="00A33FD4">
        <w:rPr>
          <w:b w:val="0"/>
          <w:bCs/>
          <w:sz w:val="24"/>
          <w:szCs w:val="24"/>
        </w:rPr>
        <w:instrText xml:space="preserve"> \* MERGEFORMAT </w:instrText>
      </w:r>
      <w:r w:rsidR="00724C65" w:rsidRPr="00A33FD4">
        <w:rPr>
          <w:b w:val="0"/>
          <w:bCs/>
          <w:sz w:val="24"/>
          <w:szCs w:val="24"/>
        </w:rPr>
      </w:r>
      <w:r w:rsidR="00724C65" w:rsidRPr="00A33FD4">
        <w:rPr>
          <w:b w:val="0"/>
          <w:bCs/>
          <w:sz w:val="24"/>
          <w:szCs w:val="24"/>
        </w:rPr>
        <w:fldChar w:fldCharType="separate"/>
      </w:r>
      <w:r w:rsidR="000761C1" w:rsidRPr="00A33FD4">
        <w:rPr>
          <w:b w:val="0"/>
          <w:bCs/>
          <w:sz w:val="24"/>
          <w:szCs w:val="24"/>
        </w:rPr>
        <w:t>B2.1</w:t>
      </w:r>
      <w:r w:rsidR="00724C65" w:rsidRPr="00A33FD4">
        <w:rPr>
          <w:b w:val="0"/>
          <w:bCs/>
          <w:sz w:val="24"/>
          <w:szCs w:val="24"/>
        </w:rPr>
        <w:fldChar w:fldCharType="end"/>
      </w:r>
      <w:r w:rsidR="00724C65" w:rsidRPr="00A33FD4">
        <w:rPr>
          <w:b w:val="0"/>
          <w:bCs/>
          <w:sz w:val="24"/>
          <w:szCs w:val="24"/>
        </w:rPr>
        <w:t xml:space="preserve">) clarifies </w:t>
      </w:r>
      <w:r w:rsidR="00295CA0" w:rsidRPr="00A33FD4">
        <w:rPr>
          <w:b w:val="0"/>
          <w:bCs/>
          <w:sz w:val="24"/>
          <w:szCs w:val="24"/>
        </w:rPr>
        <w:t xml:space="preserve">how designers </w:t>
      </w:r>
      <w:r w:rsidR="001D516E" w:rsidRPr="00A33FD4">
        <w:rPr>
          <w:b w:val="0"/>
          <w:bCs/>
          <w:sz w:val="24"/>
          <w:szCs w:val="24"/>
        </w:rPr>
        <w:t xml:space="preserve">can </w:t>
      </w:r>
      <w:r w:rsidR="00295CA0" w:rsidRPr="00A33FD4">
        <w:rPr>
          <w:b w:val="0"/>
          <w:bCs/>
          <w:sz w:val="24"/>
          <w:szCs w:val="24"/>
        </w:rPr>
        <w:t>meet this requirement.</w:t>
      </w:r>
    </w:p>
    <w:p w14:paraId="3A5D09E4" w14:textId="349B5AE2" w:rsidR="00D01C57" w:rsidRDefault="008307DE" w:rsidP="00D01C57">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pPr>
      <w:r w:rsidRPr="00B975B2">
        <w:t xml:space="preserve">When defining limit states, it is important that the hazard level for demand is defined as well as the type of </w:t>
      </w:r>
      <w:r w:rsidR="00D85F3D" w:rsidRPr="00B975B2">
        <w:t xml:space="preserve">capacity </w:t>
      </w:r>
      <w:r w:rsidRPr="00B975B2">
        <w:t xml:space="preserve">limit </w:t>
      </w:r>
      <w:r w:rsidR="00431FEA" w:rsidRPr="00B975B2">
        <w:t>(</w:t>
      </w:r>
      <w:r w:rsidR="0002357C" w:rsidRPr="00B975B2">
        <w:t>the</w:t>
      </w:r>
      <w:r w:rsidRPr="00B975B2">
        <w:t xml:space="preserve"> reliability in that limit</w:t>
      </w:r>
      <w:r w:rsidR="00431FEA" w:rsidRPr="00B975B2">
        <w:t>)</w:t>
      </w:r>
      <w:r w:rsidRPr="00B975B2">
        <w:t xml:space="preserve"> that is paired against </w:t>
      </w:r>
      <w:r w:rsidR="0002357C" w:rsidRPr="00B975B2">
        <w:t>it</w:t>
      </w:r>
      <w:r w:rsidRPr="00B975B2">
        <w:t>. The two sides of the equation work together to provide the required level of reliability.</w:t>
      </w:r>
      <w:r w:rsidR="00A479CB">
        <w:t xml:space="preserve"> </w:t>
      </w:r>
      <w:r w:rsidRPr="00B975B2">
        <w:t>AS/NZS 1170.0 defines this information for the Ultimate Limit State</w:t>
      </w:r>
      <w:r w:rsidR="008B6B2E">
        <w:t xml:space="preserve"> </w:t>
      </w:r>
      <w:r w:rsidRPr="00B975B2">
        <w:t xml:space="preserve">for the life safety objective. This guideline provides additional clarification on the types of </w:t>
      </w:r>
      <w:r w:rsidR="002E26CC" w:rsidRPr="00B975B2">
        <w:t xml:space="preserve">serviceability </w:t>
      </w:r>
      <w:r w:rsidRPr="00B975B2">
        <w:t xml:space="preserve">limit </w:t>
      </w:r>
      <w:r w:rsidRPr="00B975B2">
        <w:rPr>
          <w:rFonts w:ascii="Symbol" w:hAnsi="Symbol"/>
          <w:iCs/>
        </w:rPr>
        <w:t>d</w:t>
      </w:r>
      <w:r w:rsidRPr="00B975B2">
        <w:rPr>
          <w:iCs/>
          <w:vertAlign w:val="subscript"/>
        </w:rPr>
        <w:t>l</w:t>
      </w:r>
      <w:r w:rsidRPr="00B975B2">
        <w:t xml:space="preserve"> (and the reliability level that should be used to set the limit) for the Serviceability and Damage Control Limit States. This is done via the Descriptions of Physical States set out in Section </w:t>
      </w:r>
      <w:r w:rsidRPr="00B975B2">
        <w:fldChar w:fldCharType="begin"/>
      </w:r>
      <w:r w:rsidRPr="00B975B2">
        <w:instrText xml:space="preserve"> REF _Ref150180900 \r \h </w:instrText>
      </w:r>
      <w:r w:rsidR="00B975B2">
        <w:instrText xml:space="preserve"> \* MERGEFORMAT </w:instrText>
      </w:r>
      <w:r w:rsidRPr="00B975B2">
        <w:fldChar w:fldCharType="separate"/>
      </w:r>
      <w:r w:rsidR="000761C1">
        <w:t>B2.5</w:t>
      </w:r>
      <w:r w:rsidRPr="00B975B2">
        <w:fldChar w:fldCharType="end"/>
      </w:r>
      <w:r w:rsidR="00FF5275" w:rsidRPr="00B975B2">
        <w:t xml:space="preserve"> and the </w:t>
      </w:r>
      <w:r w:rsidR="009230D1" w:rsidRPr="00B975B2">
        <w:t>recommended design criteria in Part C</w:t>
      </w:r>
      <w:r w:rsidRPr="00B975B2">
        <w:t>.</w:t>
      </w:r>
    </w:p>
    <w:p w14:paraId="3F231A70" w14:textId="1DD58523" w:rsidR="00F84274" w:rsidRDefault="00D26C89" w:rsidP="00055FAE">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pPr>
      <w:r>
        <w:t>T</w:t>
      </w:r>
      <w:r w:rsidR="00F354E0" w:rsidRPr="006D427E">
        <w:t>he</w:t>
      </w:r>
      <w:r w:rsidR="00B36FEB" w:rsidRPr="006D427E">
        <w:t xml:space="preserve"> A</w:t>
      </w:r>
      <w:r w:rsidR="00D253C0" w:rsidRPr="006D427E">
        <w:t xml:space="preserve">PoEs </w:t>
      </w:r>
      <w:r w:rsidR="00AE0706">
        <w:t xml:space="preserve">for earthquake hazard </w:t>
      </w:r>
      <w:r>
        <w:t>assigned</w:t>
      </w:r>
      <w:r w:rsidRPr="006D427E">
        <w:t xml:space="preserve"> </w:t>
      </w:r>
      <w:r w:rsidR="00D253C0" w:rsidRPr="006D427E">
        <w:t xml:space="preserve">to </w:t>
      </w:r>
      <w:r w:rsidR="00B65428">
        <w:t>the DCLS</w:t>
      </w:r>
      <w:r w:rsidR="009D09BE">
        <w:t xml:space="preserve"> in </w:t>
      </w:r>
      <w:r w:rsidR="00F820ED">
        <w:fldChar w:fldCharType="begin"/>
      </w:r>
      <w:r w:rsidR="00F820ED">
        <w:instrText xml:space="preserve"> REF _Ref150196492 \h </w:instrText>
      </w:r>
      <w:r w:rsidR="00F84274">
        <w:instrText xml:space="preserve"> \* MERGEFORMAT </w:instrText>
      </w:r>
      <w:r w:rsidR="00F820ED">
        <w:fldChar w:fldCharType="separate"/>
      </w:r>
      <w:r w:rsidR="000761C1" w:rsidRPr="000761C1">
        <w:t xml:space="preserve">Table </w:t>
      </w:r>
      <w:r w:rsidR="000761C1" w:rsidRPr="000761C1">
        <w:rPr>
          <w:noProof/>
        </w:rPr>
        <w:t>6</w:t>
      </w:r>
      <w:r w:rsidR="00F820ED">
        <w:fldChar w:fldCharType="end"/>
      </w:r>
      <w:r w:rsidR="00BD7BEF" w:rsidRPr="006D427E">
        <w:t xml:space="preserve"> are consistent with the Low Damage Seismic Design</w:t>
      </w:r>
      <w:r w:rsidR="006D427E">
        <w:t xml:space="preserve"> (LDSD)</w:t>
      </w:r>
      <w:r w:rsidR="00BD7BEF" w:rsidRPr="006D427E">
        <w:t xml:space="preserve"> </w:t>
      </w:r>
      <w:r w:rsidR="006D427E">
        <w:t xml:space="preserve">Guidelines </w:t>
      </w:r>
      <w:r w:rsidR="00BD7BEF" w:rsidRPr="006D427E">
        <w:t>framework</w:t>
      </w:r>
      <w:r w:rsidR="00D253C0" w:rsidRPr="006D427E">
        <w:t>.</w:t>
      </w:r>
      <w:r w:rsidR="0095563A" w:rsidRPr="006D427E">
        <w:t xml:space="preserve"> Acute Services</w:t>
      </w:r>
      <w:r w:rsidR="006D427E" w:rsidRPr="006D427E">
        <w:t xml:space="preserve"> are comparable to LDSD Level 3</w:t>
      </w:r>
      <w:r w:rsidR="00E76946" w:rsidRPr="006D427E">
        <w:t>.</w:t>
      </w:r>
      <w:r w:rsidR="0095563A" w:rsidRPr="006D427E">
        <w:t xml:space="preserve"> </w:t>
      </w:r>
      <w:r w:rsidR="00A20516" w:rsidRPr="006D427E">
        <w:t>All other medical services</w:t>
      </w:r>
      <w:r w:rsidR="006D427E" w:rsidRPr="006D427E">
        <w:t xml:space="preserve"> (including inpatient </w:t>
      </w:r>
      <w:r w:rsidR="006D427E">
        <w:t>wards) are comparable to LDSD Level 2.</w:t>
      </w:r>
      <w:r w:rsidR="00F354E0">
        <w:t xml:space="preserve"> </w:t>
      </w:r>
      <w:r w:rsidR="00926EE3">
        <w:t>The</w:t>
      </w:r>
      <w:r w:rsidR="00341878">
        <w:t xml:space="preserve"> Low Damage Seismic Design framework is </w:t>
      </w:r>
      <w:r w:rsidR="005C33AA">
        <w:t>focussed primarily on damage, with functionality as a secondary objective. For hospital infrastructure,</w:t>
      </w:r>
      <w:r w:rsidR="00926EE3">
        <w:t xml:space="preserve"> on the other hand,</w:t>
      </w:r>
      <w:r w:rsidR="005C33AA">
        <w:t xml:space="preserve"> the primary focus is functionality</w:t>
      </w:r>
      <w:r w:rsidR="00B65428">
        <w:t xml:space="preserve"> (SLS2)</w:t>
      </w:r>
      <w:r w:rsidR="005C33AA">
        <w:t>.</w:t>
      </w:r>
      <w:r w:rsidR="003E5227">
        <w:t xml:space="preserve"> The</w:t>
      </w:r>
      <w:r w:rsidR="00926EE3">
        <w:t xml:space="preserve">refore, </w:t>
      </w:r>
      <w:r w:rsidR="0062620D">
        <w:t>this document contains</w:t>
      </w:r>
      <w:r w:rsidR="00926EE3">
        <w:t xml:space="preserve"> some</w:t>
      </w:r>
      <w:r w:rsidR="00246CFF">
        <w:t xml:space="preserve"> differences in the physical state descriptions</w:t>
      </w:r>
      <w:r w:rsidR="00926EE3">
        <w:t xml:space="preserve"> and associated design </w:t>
      </w:r>
      <w:r w:rsidR="007257F2">
        <w:t>criteria</w:t>
      </w:r>
      <w:r w:rsidR="0062620D">
        <w:t xml:space="preserve"> (relative to the LDSD Guidelines)</w:t>
      </w:r>
      <w:r w:rsidR="00246CFF">
        <w:t>.</w:t>
      </w:r>
    </w:p>
    <w:p w14:paraId="7A4D2912" w14:textId="7D468769" w:rsidR="00E41E29" w:rsidRPr="00B975B2" w:rsidRDefault="00E41E29" w:rsidP="00F84274">
      <w:pPr>
        <w:pStyle w:val="Section2Heading2"/>
        <w:rPr>
          <w:lang w:val="en-GB"/>
        </w:rPr>
      </w:pPr>
      <w:bookmarkStart w:id="164" w:name="_Toc147899146"/>
      <w:bookmarkStart w:id="165" w:name="_Ref152313887"/>
      <w:bookmarkStart w:id="166" w:name="_Toc203641953"/>
      <w:r w:rsidRPr="00B975B2">
        <w:rPr>
          <w:lang w:val="en-GB"/>
        </w:rPr>
        <w:t>Structural Robustness Requirements</w:t>
      </w:r>
      <w:bookmarkEnd w:id="164"/>
      <w:r w:rsidR="00B05092" w:rsidRPr="00B975B2">
        <w:rPr>
          <w:lang w:val="en-GB"/>
        </w:rPr>
        <w:t xml:space="preserve"> for the ULS </w:t>
      </w:r>
      <w:r w:rsidR="00334D2F" w:rsidRPr="00B975B2">
        <w:rPr>
          <w:lang w:val="en-GB"/>
        </w:rPr>
        <w:t xml:space="preserve">Design </w:t>
      </w:r>
      <w:r w:rsidR="00B05092" w:rsidRPr="00B975B2">
        <w:rPr>
          <w:lang w:val="en-GB"/>
        </w:rPr>
        <w:t>Limit State</w:t>
      </w:r>
      <w:bookmarkEnd w:id="165"/>
      <w:bookmarkEnd w:id="166"/>
    </w:p>
    <w:p w14:paraId="519EA8C8" w14:textId="679A669B" w:rsidR="005B5EE4" w:rsidRPr="00B975B2" w:rsidRDefault="000B4359" w:rsidP="00666E06">
      <w:pPr>
        <w:rPr>
          <w:lang w:val="en-GB"/>
        </w:rPr>
      </w:pPr>
      <w:r w:rsidRPr="00B975B2">
        <w:rPr>
          <w:lang w:val="en-GB"/>
        </w:rPr>
        <w:t xml:space="preserve">All </w:t>
      </w:r>
      <w:r w:rsidR="00750A47" w:rsidRPr="00B975B2">
        <w:rPr>
          <w:lang w:val="en-GB"/>
        </w:rPr>
        <w:t xml:space="preserve">structures are required to comply with the </w:t>
      </w:r>
      <w:r w:rsidR="00F93416" w:rsidRPr="00B975B2">
        <w:rPr>
          <w:lang w:val="en-GB"/>
        </w:rPr>
        <w:t>Ultimate Limit State</w:t>
      </w:r>
      <w:r w:rsidR="009430B1" w:rsidRPr="00B975B2">
        <w:rPr>
          <w:lang w:val="en-GB"/>
        </w:rPr>
        <w:t xml:space="preserve"> requirements of the </w:t>
      </w:r>
      <w:r w:rsidR="00AC339A" w:rsidRPr="00B975B2">
        <w:rPr>
          <w:lang w:val="en-GB"/>
        </w:rPr>
        <w:t xml:space="preserve">Building Code Verification Methods and </w:t>
      </w:r>
      <w:r w:rsidR="00CC28A6" w:rsidRPr="00B975B2">
        <w:rPr>
          <w:lang w:val="en-GB"/>
        </w:rPr>
        <w:t>cited standards</w:t>
      </w:r>
      <w:r w:rsidR="00621D83" w:rsidRPr="00B975B2">
        <w:rPr>
          <w:lang w:val="en-GB"/>
        </w:rPr>
        <w:t>.</w:t>
      </w:r>
      <w:r w:rsidR="004171FA" w:rsidRPr="00B975B2">
        <w:rPr>
          <w:lang w:val="en-GB"/>
        </w:rPr>
        <w:t xml:space="preserve"> </w:t>
      </w:r>
      <w:r w:rsidR="001A3F0A" w:rsidRPr="00B975B2">
        <w:rPr>
          <w:lang w:val="en-GB"/>
        </w:rPr>
        <w:t>This includes the implicit or explicit consideration of higher levels of shaking</w:t>
      </w:r>
      <w:r w:rsidR="00B01EE0" w:rsidRPr="00B975B2">
        <w:rPr>
          <w:lang w:val="en-GB"/>
        </w:rPr>
        <w:t xml:space="preserve"> that is </w:t>
      </w:r>
      <w:r w:rsidR="00C860A5" w:rsidRPr="00B975B2">
        <w:rPr>
          <w:lang w:val="en-GB"/>
        </w:rPr>
        <w:t xml:space="preserve">an integral </w:t>
      </w:r>
      <w:r w:rsidR="00B01EE0" w:rsidRPr="00B975B2">
        <w:rPr>
          <w:lang w:val="en-GB"/>
        </w:rPr>
        <w:t xml:space="preserve">part of </w:t>
      </w:r>
      <w:r w:rsidR="00C860A5" w:rsidRPr="00B975B2">
        <w:rPr>
          <w:lang w:val="en-GB"/>
        </w:rPr>
        <w:t xml:space="preserve">the </w:t>
      </w:r>
      <w:r w:rsidR="00B01EE0" w:rsidRPr="00B975B2">
        <w:rPr>
          <w:lang w:val="en-GB"/>
        </w:rPr>
        <w:t xml:space="preserve">Ultimate </w:t>
      </w:r>
      <w:r w:rsidR="000D13D4" w:rsidRPr="00B975B2">
        <w:rPr>
          <w:lang w:val="en-GB"/>
        </w:rPr>
        <w:t>Limit State design</w:t>
      </w:r>
      <w:r w:rsidR="00C860A5" w:rsidRPr="00B975B2">
        <w:rPr>
          <w:lang w:val="en-GB"/>
        </w:rPr>
        <w:t xml:space="preserve"> process</w:t>
      </w:r>
      <w:r w:rsidR="00681378" w:rsidRPr="00B975B2">
        <w:rPr>
          <w:lang w:val="en-GB"/>
        </w:rPr>
        <w:t>—</w:t>
      </w:r>
      <w:r w:rsidR="000D13D4" w:rsidRPr="00B975B2">
        <w:rPr>
          <w:lang w:val="en-GB"/>
        </w:rPr>
        <w:t xml:space="preserve">as described in the </w:t>
      </w:r>
      <w:r w:rsidR="00501DB5" w:rsidRPr="00B975B2">
        <w:rPr>
          <w:lang w:val="en-GB"/>
        </w:rPr>
        <w:t xml:space="preserve">limit state </w:t>
      </w:r>
      <w:r w:rsidR="000D13D4" w:rsidRPr="00B975B2">
        <w:rPr>
          <w:lang w:val="en-GB"/>
        </w:rPr>
        <w:t>definitions</w:t>
      </w:r>
      <w:r w:rsidR="00501DB5" w:rsidRPr="00B975B2">
        <w:rPr>
          <w:lang w:val="en-GB"/>
        </w:rPr>
        <w:t xml:space="preserve"> given in Section </w:t>
      </w:r>
      <w:r w:rsidR="00501DB5" w:rsidRPr="00B975B2">
        <w:rPr>
          <w:lang w:val="en-GB"/>
        </w:rPr>
        <w:fldChar w:fldCharType="begin"/>
      </w:r>
      <w:r w:rsidR="00501DB5" w:rsidRPr="00B975B2">
        <w:rPr>
          <w:lang w:val="en-GB"/>
        </w:rPr>
        <w:instrText xml:space="preserve"> REF _Ref150756251 \r \h </w:instrText>
      </w:r>
      <w:r w:rsidR="00B975B2">
        <w:rPr>
          <w:lang w:val="en-GB"/>
        </w:rPr>
        <w:instrText xml:space="preserve"> \* MERGEFORMAT </w:instrText>
      </w:r>
      <w:r w:rsidR="00501DB5" w:rsidRPr="00B975B2">
        <w:rPr>
          <w:lang w:val="en-GB"/>
        </w:rPr>
      </w:r>
      <w:r w:rsidR="00501DB5" w:rsidRPr="00B975B2">
        <w:rPr>
          <w:lang w:val="en-GB"/>
        </w:rPr>
        <w:fldChar w:fldCharType="separate"/>
      </w:r>
      <w:r w:rsidR="000761C1">
        <w:rPr>
          <w:lang w:val="en-GB"/>
        </w:rPr>
        <w:t>B2.3.1</w:t>
      </w:r>
      <w:r w:rsidR="00501DB5" w:rsidRPr="00B975B2">
        <w:rPr>
          <w:lang w:val="en-GB"/>
        </w:rPr>
        <w:fldChar w:fldCharType="end"/>
      </w:r>
      <w:r w:rsidR="00501DB5" w:rsidRPr="00B975B2">
        <w:rPr>
          <w:lang w:val="en-GB"/>
        </w:rPr>
        <w:t>.</w:t>
      </w:r>
      <w:r w:rsidR="00C860A5" w:rsidRPr="00B975B2">
        <w:rPr>
          <w:lang w:val="en-GB"/>
        </w:rPr>
        <w:t xml:space="preserve"> </w:t>
      </w:r>
      <w:r w:rsidR="0032145C" w:rsidRPr="00B975B2">
        <w:rPr>
          <w:lang w:val="en-GB"/>
        </w:rPr>
        <w:t xml:space="preserve">This is a basic </w:t>
      </w:r>
      <w:r w:rsidR="000D5F16" w:rsidRPr="00B975B2">
        <w:rPr>
          <w:lang w:val="en-GB"/>
        </w:rPr>
        <w:t xml:space="preserve">code </w:t>
      </w:r>
      <w:r w:rsidR="0032145C" w:rsidRPr="00B975B2">
        <w:rPr>
          <w:lang w:val="en-GB"/>
        </w:rPr>
        <w:t xml:space="preserve">requirement to achieving the Life Safety objectives of the Building Code and this guideline. </w:t>
      </w:r>
      <w:r w:rsidR="00C860A5" w:rsidRPr="00B975B2">
        <w:rPr>
          <w:lang w:val="en-GB"/>
        </w:rPr>
        <w:t xml:space="preserve">The same intent </w:t>
      </w:r>
      <w:r w:rsidR="002B0E11" w:rsidRPr="00B975B2">
        <w:rPr>
          <w:lang w:val="en-GB"/>
        </w:rPr>
        <w:t>must be</w:t>
      </w:r>
      <w:r w:rsidR="00C860A5" w:rsidRPr="00B975B2">
        <w:rPr>
          <w:lang w:val="en-GB"/>
        </w:rPr>
        <w:t xml:space="preserve"> carried </w:t>
      </w:r>
      <w:r w:rsidR="002B0E11" w:rsidRPr="00B975B2">
        <w:rPr>
          <w:lang w:val="en-GB"/>
        </w:rPr>
        <w:t>through</w:t>
      </w:r>
      <w:r w:rsidR="00C860A5" w:rsidRPr="00B975B2">
        <w:rPr>
          <w:lang w:val="en-GB"/>
        </w:rPr>
        <w:t xml:space="preserve"> the </w:t>
      </w:r>
      <w:r w:rsidR="00613FA8" w:rsidRPr="00B975B2">
        <w:rPr>
          <w:lang w:val="en-GB"/>
        </w:rPr>
        <w:t>application</w:t>
      </w:r>
      <w:r w:rsidR="00C860A5" w:rsidRPr="00B975B2">
        <w:rPr>
          <w:lang w:val="en-GB"/>
        </w:rPr>
        <w:t xml:space="preserve"> of Alternative Solution</w:t>
      </w:r>
      <w:r w:rsidR="00613FA8" w:rsidRPr="00B975B2">
        <w:rPr>
          <w:lang w:val="en-GB"/>
        </w:rPr>
        <w:t>s</w:t>
      </w:r>
      <w:r w:rsidR="00C860A5" w:rsidRPr="00B975B2">
        <w:rPr>
          <w:lang w:val="en-GB"/>
        </w:rPr>
        <w:t>.</w:t>
      </w:r>
    </w:p>
    <w:p w14:paraId="7F0AE0C9" w14:textId="7AC0755E" w:rsidR="008A0092" w:rsidRDefault="007D5C79" w:rsidP="00666E06">
      <w:pPr>
        <w:rPr>
          <w:lang w:val="en-GB"/>
        </w:rPr>
      </w:pPr>
      <w:r>
        <w:rPr>
          <w:lang w:val="en-GB"/>
        </w:rPr>
        <w:t xml:space="preserve">Health NZ </w:t>
      </w:r>
      <w:r w:rsidR="004171FA" w:rsidRPr="00B975B2">
        <w:rPr>
          <w:lang w:val="en-GB"/>
        </w:rPr>
        <w:t>require</w:t>
      </w:r>
      <w:r w:rsidR="000D5F16" w:rsidRPr="00B975B2">
        <w:rPr>
          <w:lang w:val="en-GB"/>
        </w:rPr>
        <w:t xml:space="preserve"> robust design principles to be applied</w:t>
      </w:r>
      <w:r w:rsidR="00532432" w:rsidRPr="00B975B2">
        <w:rPr>
          <w:lang w:val="en-GB"/>
        </w:rPr>
        <w:t>. R</w:t>
      </w:r>
      <w:r w:rsidR="001F587B" w:rsidRPr="00B975B2">
        <w:rPr>
          <w:lang w:val="en-GB"/>
        </w:rPr>
        <w:t xml:space="preserve">eference is made to the principles and </w:t>
      </w:r>
      <w:r w:rsidR="00205133" w:rsidRPr="00B975B2">
        <w:rPr>
          <w:lang w:val="en-GB"/>
        </w:rPr>
        <w:t xml:space="preserve">recommendations given in the </w:t>
      </w:r>
      <w:hyperlink r:id="rId51" w:history="1">
        <w:r w:rsidR="00C526F6" w:rsidRPr="00B975B2">
          <w:rPr>
            <w:rStyle w:val="Hyperlink"/>
            <w:color w:val="0070C0"/>
            <w:lang w:val="en-GB"/>
          </w:rPr>
          <w:t xml:space="preserve">Earthquake </w:t>
        </w:r>
        <w:r w:rsidR="00205133" w:rsidRPr="00B975B2">
          <w:rPr>
            <w:rStyle w:val="Hyperlink"/>
            <w:color w:val="0070C0"/>
            <w:lang w:val="en-GB"/>
          </w:rPr>
          <w:t>Design for Uncertainty</w:t>
        </w:r>
      </w:hyperlink>
      <w:r w:rsidR="00205133" w:rsidRPr="00B975B2">
        <w:rPr>
          <w:color w:val="0070C0"/>
          <w:lang w:val="en-GB"/>
        </w:rPr>
        <w:t xml:space="preserve"> </w:t>
      </w:r>
      <w:r w:rsidR="00205133" w:rsidRPr="00B975B2">
        <w:rPr>
          <w:lang w:val="en-GB"/>
        </w:rPr>
        <w:t>Advisory</w:t>
      </w:r>
      <w:r w:rsidR="00DF6DF4" w:rsidRPr="00B975B2">
        <w:rPr>
          <w:lang w:val="en-GB"/>
        </w:rPr>
        <w:t xml:space="preserve"> </w:t>
      </w:r>
      <w:sdt>
        <w:sdtPr>
          <w:rPr>
            <w:lang w:val="en-GB"/>
          </w:rPr>
          <w:id w:val="93825949"/>
          <w:citation/>
        </w:sdtPr>
        <w:sdtEndPr/>
        <w:sdtContent>
          <w:r w:rsidR="008029E0" w:rsidRPr="00B975B2">
            <w:rPr>
              <w:lang w:val="en-GB"/>
            </w:rPr>
            <w:fldChar w:fldCharType="begin"/>
          </w:r>
          <w:r w:rsidR="008029E0" w:rsidRPr="00B975B2">
            <w:rPr>
              <w:lang w:val="en-US"/>
            </w:rPr>
            <w:instrText xml:space="preserve"> CITATION NZS22 \l 1033 </w:instrText>
          </w:r>
          <w:r w:rsidR="008029E0" w:rsidRPr="00B975B2">
            <w:rPr>
              <w:lang w:val="en-GB"/>
            </w:rPr>
            <w:fldChar w:fldCharType="separate"/>
          </w:r>
          <w:r w:rsidR="00222D65">
            <w:rPr>
              <w:noProof/>
              <w:lang w:val="en-US"/>
            </w:rPr>
            <w:t>(NZSEE, SESOC, NZGS, 2022)</w:t>
          </w:r>
          <w:r w:rsidR="008029E0" w:rsidRPr="00B975B2">
            <w:rPr>
              <w:lang w:val="en-GB"/>
            </w:rPr>
            <w:fldChar w:fldCharType="end"/>
          </w:r>
        </w:sdtContent>
      </w:sdt>
      <w:r w:rsidR="00532432" w:rsidRPr="00B975B2">
        <w:rPr>
          <w:lang w:val="en-GB"/>
        </w:rPr>
        <w:t>, and the supporting (and more detailed) recommendations</w:t>
      </w:r>
      <w:r w:rsidR="00E2353A" w:rsidRPr="00B975B2">
        <w:rPr>
          <w:lang w:val="en-GB"/>
        </w:rPr>
        <w:t xml:space="preserve"> in the SESOC Interim Design Guidance v11 </w:t>
      </w:r>
      <w:sdt>
        <w:sdtPr>
          <w:rPr>
            <w:lang w:val="en-GB"/>
          </w:rPr>
          <w:id w:val="1927231958"/>
          <w:citation/>
        </w:sdtPr>
        <w:sdtEndPr/>
        <w:sdtContent>
          <w:r w:rsidR="00E2353A" w:rsidRPr="00B975B2">
            <w:rPr>
              <w:lang w:val="en-GB"/>
            </w:rPr>
            <w:fldChar w:fldCharType="begin"/>
          </w:r>
          <w:r w:rsidR="00E2353A" w:rsidRPr="00B975B2">
            <w:rPr>
              <w:lang w:val="en-US"/>
            </w:rPr>
            <w:instrText xml:space="preserve"> CITATION SES221 \l 1033 </w:instrText>
          </w:r>
          <w:r w:rsidR="00E2353A" w:rsidRPr="00B975B2">
            <w:rPr>
              <w:lang w:val="en-GB"/>
            </w:rPr>
            <w:fldChar w:fldCharType="separate"/>
          </w:r>
          <w:r w:rsidR="00222D65">
            <w:rPr>
              <w:noProof/>
              <w:lang w:val="en-US"/>
            </w:rPr>
            <w:t>(SESOC, 2022)</w:t>
          </w:r>
          <w:r w:rsidR="00E2353A" w:rsidRPr="00B975B2">
            <w:rPr>
              <w:lang w:val="en-GB"/>
            </w:rPr>
            <w:fldChar w:fldCharType="end"/>
          </w:r>
        </w:sdtContent>
      </w:sdt>
      <w:r w:rsidR="000D5F16" w:rsidRPr="00B975B2">
        <w:rPr>
          <w:lang w:val="en-GB"/>
        </w:rPr>
        <w:t>.</w:t>
      </w:r>
      <w:r w:rsidR="00381AA3" w:rsidRPr="00B975B2">
        <w:rPr>
          <w:lang w:val="en-GB"/>
        </w:rPr>
        <w:t xml:space="preserve"> </w:t>
      </w:r>
      <w:r w:rsidR="001026D7" w:rsidRPr="00B975B2">
        <w:rPr>
          <w:lang w:val="en-GB"/>
        </w:rPr>
        <w:t>Robust design recognises</w:t>
      </w:r>
      <w:r w:rsidR="00C70EA3" w:rsidRPr="00B975B2">
        <w:rPr>
          <w:lang w:val="en-GB"/>
        </w:rPr>
        <w:t xml:space="preserve"> the benefits of </w:t>
      </w:r>
      <w:r w:rsidR="008A0092" w:rsidRPr="00B975B2">
        <w:rPr>
          <w:lang w:val="en-GB"/>
        </w:rPr>
        <w:t xml:space="preserve">the following key indicators of good performance from evidence in past </w:t>
      </w:r>
      <w:r w:rsidR="00454D0F" w:rsidRPr="00B975B2">
        <w:rPr>
          <w:lang w:val="en-GB"/>
        </w:rPr>
        <w:t xml:space="preserve">significant </w:t>
      </w:r>
      <w:r w:rsidR="008A0092" w:rsidRPr="00B975B2">
        <w:rPr>
          <w:lang w:val="en-GB"/>
        </w:rPr>
        <w:t>earthquakes:</w:t>
      </w:r>
    </w:p>
    <w:p w14:paraId="06CD83A6" w14:textId="77777777" w:rsidR="00FC3F0E" w:rsidRPr="00B975B2" w:rsidRDefault="00FC3F0E" w:rsidP="00666E06">
      <w:pPr>
        <w:rPr>
          <w:lang w:val="en-GB"/>
        </w:rPr>
      </w:pPr>
    </w:p>
    <w:p w14:paraId="31AAE1E1" w14:textId="72D9889C" w:rsidR="008A0092" w:rsidRPr="00B975B2" w:rsidRDefault="003462D0" w:rsidP="004D55F1">
      <w:pPr>
        <w:pStyle w:val="ListParagraph"/>
        <w:numPr>
          <w:ilvl w:val="0"/>
          <w:numId w:val="18"/>
        </w:numPr>
        <w:rPr>
          <w:lang w:val="en-GB"/>
        </w:rPr>
      </w:pPr>
      <w:r w:rsidRPr="00B975B2">
        <w:rPr>
          <w:lang w:val="en-GB"/>
        </w:rPr>
        <w:lastRenderedPageBreak/>
        <w:t>R</w:t>
      </w:r>
      <w:r w:rsidR="00C70EA3" w:rsidRPr="00B975B2">
        <w:rPr>
          <w:lang w:val="en-GB"/>
        </w:rPr>
        <w:t xml:space="preserve">egularly configured </w:t>
      </w:r>
      <w:r w:rsidRPr="00B975B2">
        <w:rPr>
          <w:lang w:val="en-GB"/>
        </w:rPr>
        <w:t>design.</w:t>
      </w:r>
    </w:p>
    <w:p w14:paraId="66EE4002" w14:textId="1BFB8993" w:rsidR="00B1481C" w:rsidRPr="00B975B2" w:rsidRDefault="003462D0" w:rsidP="004D55F1">
      <w:pPr>
        <w:pStyle w:val="ListParagraph"/>
        <w:numPr>
          <w:ilvl w:val="0"/>
          <w:numId w:val="18"/>
        </w:numPr>
        <w:rPr>
          <w:lang w:val="en-GB"/>
        </w:rPr>
      </w:pPr>
      <w:r w:rsidRPr="00B975B2">
        <w:rPr>
          <w:lang w:val="en-GB"/>
        </w:rPr>
        <w:t>D</w:t>
      </w:r>
      <w:r w:rsidR="00C70EA3" w:rsidRPr="00B975B2">
        <w:rPr>
          <w:lang w:val="en-GB"/>
        </w:rPr>
        <w:t xml:space="preserve">uctile </w:t>
      </w:r>
      <w:r w:rsidRPr="00B975B2">
        <w:rPr>
          <w:lang w:val="en-GB"/>
        </w:rPr>
        <w:t>detailing.</w:t>
      </w:r>
    </w:p>
    <w:p w14:paraId="40DAF0AD" w14:textId="015C544E" w:rsidR="00CF3D17" w:rsidRPr="00B975B2" w:rsidRDefault="003462D0" w:rsidP="004D55F1">
      <w:pPr>
        <w:pStyle w:val="ListParagraph"/>
        <w:numPr>
          <w:ilvl w:val="0"/>
          <w:numId w:val="18"/>
        </w:numPr>
        <w:rPr>
          <w:lang w:val="en-GB"/>
        </w:rPr>
      </w:pPr>
      <w:r w:rsidRPr="00B975B2">
        <w:rPr>
          <w:lang w:val="en-GB"/>
        </w:rPr>
        <w:t>C</w:t>
      </w:r>
      <w:r w:rsidR="00EE7E69" w:rsidRPr="00B975B2">
        <w:rPr>
          <w:lang w:val="en-GB"/>
        </w:rPr>
        <w:t>areful consideration of deformation compatibility</w:t>
      </w:r>
      <w:r w:rsidR="00B1481C" w:rsidRPr="00B975B2">
        <w:rPr>
          <w:lang w:val="en-GB"/>
        </w:rPr>
        <w:t xml:space="preserve"> </w:t>
      </w:r>
      <w:r w:rsidR="00826EE4" w:rsidRPr="00B975B2">
        <w:rPr>
          <w:lang w:val="en-GB"/>
        </w:rPr>
        <w:t>and tying</w:t>
      </w:r>
      <w:r w:rsidR="00CF3D17" w:rsidRPr="00B975B2">
        <w:rPr>
          <w:lang w:val="en-GB"/>
        </w:rPr>
        <w:t xml:space="preserve"> of </w:t>
      </w:r>
      <w:r w:rsidRPr="00B975B2">
        <w:rPr>
          <w:lang w:val="en-GB"/>
        </w:rPr>
        <w:t>components.</w:t>
      </w:r>
    </w:p>
    <w:p w14:paraId="092933CC" w14:textId="769866A0" w:rsidR="006925EB" w:rsidRPr="00B975B2" w:rsidRDefault="003462D0" w:rsidP="004D55F1">
      <w:pPr>
        <w:pStyle w:val="ListParagraph"/>
        <w:numPr>
          <w:ilvl w:val="0"/>
          <w:numId w:val="18"/>
        </w:numPr>
        <w:rPr>
          <w:lang w:val="en-GB"/>
        </w:rPr>
      </w:pPr>
      <w:r w:rsidRPr="00B975B2">
        <w:rPr>
          <w:lang w:val="en-GB"/>
        </w:rPr>
        <w:t>C</w:t>
      </w:r>
      <w:r w:rsidR="00826EE4" w:rsidRPr="00B975B2">
        <w:rPr>
          <w:lang w:val="en-GB"/>
        </w:rPr>
        <w:t>ontinuity</w:t>
      </w:r>
      <w:r w:rsidRPr="00B975B2">
        <w:rPr>
          <w:lang w:val="en-GB"/>
        </w:rPr>
        <w:t>, completeness,</w:t>
      </w:r>
      <w:r w:rsidR="00826EE4" w:rsidRPr="00B975B2">
        <w:rPr>
          <w:lang w:val="en-GB"/>
        </w:rPr>
        <w:t xml:space="preserve"> </w:t>
      </w:r>
      <w:r w:rsidR="00CF3D17" w:rsidRPr="00B975B2">
        <w:rPr>
          <w:lang w:val="en-GB"/>
        </w:rPr>
        <w:t>and proportionality of load paths</w:t>
      </w:r>
      <w:r w:rsidRPr="00B975B2">
        <w:rPr>
          <w:lang w:val="en-GB"/>
        </w:rPr>
        <w:t>.</w:t>
      </w:r>
    </w:p>
    <w:p w14:paraId="4E21C98B" w14:textId="56FCD942" w:rsidR="00C526F6" w:rsidRPr="00B975B2" w:rsidRDefault="00687DB2" w:rsidP="00666E06">
      <w:pPr>
        <w:rPr>
          <w:lang w:val="en-GB"/>
        </w:rPr>
      </w:pPr>
      <w:r w:rsidRPr="00B975B2">
        <w:rPr>
          <w:lang w:val="en-GB"/>
        </w:rPr>
        <w:t>T</w:t>
      </w:r>
      <w:r w:rsidR="00381AA3" w:rsidRPr="00B975B2">
        <w:rPr>
          <w:lang w:val="en-GB"/>
        </w:rPr>
        <w:t xml:space="preserve">he application of the standards and </w:t>
      </w:r>
      <w:r w:rsidR="00715747" w:rsidRPr="00B975B2">
        <w:rPr>
          <w:lang w:val="en-GB"/>
        </w:rPr>
        <w:t xml:space="preserve">approaches to building configuration and detailing </w:t>
      </w:r>
      <w:r w:rsidR="006925EB" w:rsidRPr="00B975B2">
        <w:rPr>
          <w:lang w:val="en-GB"/>
        </w:rPr>
        <w:t>should</w:t>
      </w:r>
      <w:r w:rsidR="00156A96" w:rsidRPr="00B975B2">
        <w:rPr>
          <w:lang w:val="en-GB"/>
        </w:rPr>
        <w:t xml:space="preserve"> </w:t>
      </w:r>
      <w:r w:rsidR="00715747" w:rsidRPr="00B975B2">
        <w:rPr>
          <w:lang w:val="en-GB"/>
        </w:rPr>
        <w:t xml:space="preserve">be done in a way that </w:t>
      </w:r>
      <w:r w:rsidR="00164877" w:rsidRPr="00B975B2">
        <w:rPr>
          <w:lang w:val="en-GB"/>
        </w:rPr>
        <w:t xml:space="preserve">ensures </w:t>
      </w:r>
      <w:r w:rsidR="007B2F97" w:rsidRPr="00B975B2">
        <w:rPr>
          <w:lang w:val="en-GB"/>
        </w:rPr>
        <w:t xml:space="preserve">robust construction is </w:t>
      </w:r>
      <w:r w:rsidR="009D4779" w:rsidRPr="00B975B2">
        <w:rPr>
          <w:lang w:val="en-GB"/>
        </w:rPr>
        <w:t>achieved.</w:t>
      </w:r>
      <w:r w:rsidR="006925EB" w:rsidRPr="00B975B2">
        <w:rPr>
          <w:lang w:val="en-GB"/>
        </w:rPr>
        <w:t xml:space="preserve"> </w:t>
      </w:r>
      <w:r w:rsidR="00257EF6" w:rsidRPr="00B975B2">
        <w:rPr>
          <w:lang w:val="en-GB"/>
        </w:rPr>
        <w:t xml:space="preserve">Reference to </w:t>
      </w:r>
      <w:r w:rsidR="00564BD7" w:rsidRPr="00B975B2">
        <w:rPr>
          <w:lang w:val="en-GB"/>
        </w:rPr>
        <w:t xml:space="preserve">each of </w:t>
      </w:r>
      <w:r w:rsidR="00257EF6" w:rsidRPr="00B975B2">
        <w:rPr>
          <w:lang w:val="en-GB"/>
        </w:rPr>
        <w:t>the key</w:t>
      </w:r>
      <w:r w:rsidR="00D8035D" w:rsidRPr="00B975B2">
        <w:rPr>
          <w:lang w:val="en-GB"/>
        </w:rPr>
        <w:t xml:space="preserve"> recommendations of the </w:t>
      </w:r>
      <w:r w:rsidR="00D8035D" w:rsidRPr="00B975B2">
        <w:rPr>
          <w:i/>
          <w:iCs/>
          <w:lang w:val="en-GB"/>
        </w:rPr>
        <w:t>Earthquake Design for Uncertainty Advisory</w:t>
      </w:r>
      <w:r w:rsidR="00D8035D" w:rsidRPr="00B975B2">
        <w:rPr>
          <w:lang w:val="en-GB"/>
        </w:rPr>
        <w:t xml:space="preserve"> </w:t>
      </w:r>
      <w:r w:rsidR="00564BD7" w:rsidRPr="00B975B2">
        <w:rPr>
          <w:lang w:val="en-GB"/>
        </w:rPr>
        <w:t xml:space="preserve">is given in </w:t>
      </w:r>
      <w:r w:rsidR="00445F64" w:rsidRPr="0028476D">
        <w:rPr>
          <w:lang w:val="en-GB"/>
        </w:rPr>
        <w:fldChar w:fldCharType="begin"/>
      </w:r>
      <w:r w:rsidR="00445F64" w:rsidRPr="0028476D">
        <w:rPr>
          <w:lang w:val="en-GB"/>
        </w:rPr>
        <w:instrText xml:space="preserve"> REF _Ref203124051 \h </w:instrText>
      </w:r>
      <w:r w:rsidR="0028476D">
        <w:rPr>
          <w:lang w:val="en-GB"/>
        </w:rPr>
        <w:instrText xml:space="preserve"> \* MERGEFORMAT </w:instrText>
      </w:r>
      <w:r w:rsidR="00445F64" w:rsidRPr="0028476D">
        <w:rPr>
          <w:lang w:val="en-GB"/>
        </w:rPr>
      </w:r>
      <w:r w:rsidR="00445F64" w:rsidRPr="0028476D">
        <w:rPr>
          <w:lang w:val="en-GB"/>
        </w:rPr>
        <w:fldChar w:fldCharType="separate"/>
      </w:r>
      <w:r w:rsidR="000761C1" w:rsidRPr="0028476D">
        <w:t xml:space="preserve">Table </w:t>
      </w:r>
      <w:r w:rsidR="000761C1" w:rsidRPr="0028476D">
        <w:rPr>
          <w:noProof/>
        </w:rPr>
        <w:t>7</w:t>
      </w:r>
      <w:r w:rsidR="00445F64" w:rsidRPr="0028476D">
        <w:rPr>
          <w:lang w:val="en-GB"/>
        </w:rPr>
        <w:fldChar w:fldCharType="end"/>
      </w:r>
      <w:r w:rsidR="000A1EFD" w:rsidRPr="0028476D">
        <w:rPr>
          <w:lang w:val="en-GB"/>
        </w:rPr>
        <w:t>,</w:t>
      </w:r>
      <w:r w:rsidR="000A1EFD" w:rsidRPr="00B975B2">
        <w:rPr>
          <w:lang w:val="en-GB"/>
        </w:rPr>
        <w:t xml:space="preserve"> with additional commentary</w:t>
      </w:r>
      <w:r w:rsidR="00192FDB" w:rsidRPr="00B975B2">
        <w:rPr>
          <w:lang w:val="en-GB"/>
        </w:rPr>
        <w:t xml:space="preserve"> on how the recommendations should be applied to </w:t>
      </w:r>
      <w:r w:rsidR="007D5C79">
        <w:rPr>
          <w:lang w:val="en-GB"/>
        </w:rPr>
        <w:t xml:space="preserve">Health NZ </w:t>
      </w:r>
      <w:r w:rsidR="00192FDB" w:rsidRPr="00B975B2">
        <w:rPr>
          <w:lang w:val="en-GB"/>
        </w:rPr>
        <w:t>projects.</w:t>
      </w:r>
    </w:p>
    <w:p w14:paraId="5F3ABEEB" w14:textId="1B3F7656" w:rsidR="00A11A9B" w:rsidRPr="00D01C57" w:rsidRDefault="007D5C79" w:rsidP="00D01C57">
      <w:pPr>
        <w:pStyle w:val="Figure"/>
        <w:rPr>
          <w:b w:val="0"/>
          <w:bCs/>
          <w:sz w:val="24"/>
          <w:szCs w:val="24"/>
        </w:rPr>
      </w:pPr>
      <w:r w:rsidRPr="00D01C57">
        <w:rPr>
          <w:color w:val="0C818F" w:themeColor="accent3"/>
          <w:sz w:val="24"/>
          <w:szCs w:val="24"/>
          <w:lang w:val="en-GB"/>
        </w:rPr>
        <w:t xml:space="preserve">Health NZ </w:t>
      </w:r>
      <w:r w:rsidR="00021908" w:rsidRPr="00D01C57">
        <w:rPr>
          <w:color w:val="0C818F" w:themeColor="accent3"/>
          <w:sz w:val="24"/>
          <w:szCs w:val="24"/>
          <w:lang w:val="en-GB"/>
        </w:rPr>
        <w:t>Requirement:</w:t>
      </w:r>
      <w:r w:rsidR="00021908" w:rsidRPr="00D01C57">
        <w:rPr>
          <w:b w:val="0"/>
          <w:bCs/>
          <w:sz w:val="24"/>
          <w:szCs w:val="24"/>
          <w:lang w:val="en-GB"/>
        </w:rPr>
        <w:t xml:space="preserve"> </w:t>
      </w:r>
      <w:r w:rsidR="000D2066" w:rsidRPr="00D01C57">
        <w:rPr>
          <w:b w:val="0"/>
          <w:bCs/>
          <w:sz w:val="24"/>
          <w:szCs w:val="24"/>
          <w:lang w:val="en-GB"/>
        </w:rPr>
        <w:t>The good practice</w:t>
      </w:r>
      <w:r w:rsidR="00E951BD" w:rsidRPr="00D01C57">
        <w:rPr>
          <w:b w:val="0"/>
          <w:bCs/>
          <w:sz w:val="24"/>
          <w:szCs w:val="24"/>
          <w:lang w:val="en-GB"/>
        </w:rPr>
        <w:t xml:space="preserve"> recommendations of the SESOC Interim Design Guidance </w:t>
      </w:r>
      <w:sdt>
        <w:sdtPr>
          <w:rPr>
            <w:b w:val="0"/>
            <w:bCs/>
            <w:sz w:val="24"/>
            <w:szCs w:val="24"/>
            <w:lang w:val="en-GB"/>
          </w:rPr>
          <w:id w:val="-2000339292"/>
          <w:citation/>
        </w:sdtPr>
        <w:sdtEndPr/>
        <w:sdtContent>
          <w:r w:rsidR="00E951BD" w:rsidRPr="00D01C57">
            <w:rPr>
              <w:b w:val="0"/>
              <w:bCs/>
              <w:sz w:val="24"/>
              <w:szCs w:val="24"/>
              <w:lang w:val="en-GB"/>
            </w:rPr>
            <w:fldChar w:fldCharType="begin"/>
          </w:r>
          <w:r w:rsidR="00E951BD" w:rsidRPr="00D01C57">
            <w:rPr>
              <w:b w:val="0"/>
              <w:bCs/>
              <w:sz w:val="24"/>
              <w:szCs w:val="24"/>
              <w:lang w:val="en-US"/>
            </w:rPr>
            <w:instrText xml:space="preserve"> CITATION SES221 \l 1033 </w:instrText>
          </w:r>
          <w:r w:rsidR="00E951BD" w:rsidRPr="00D01C57">
            <w:rPr>
              <w:b w:val="0"/>
              <w:bCs/>
              <w:sz w:val="24"/>
              <w:szCs w:val="24"/>
              <w:lang w:val="en-GB"/>
            </w:rPr>
            <w:fldChar w:fldCharType="separate"/>
          </w:r>
          <w:r w:rsidR="00222D65" w:rsidRPr="00222D65">
            <w:rPr>
              <w:noProof/>
              <w:sz w:val="24"/>
              <w:szCs w:val="24"/>
              <w:lang w:val="en-US"/>
            </w:rPr>
            <w:t>(SESOC, 2022)</w:t>
          </w:r>
          <w:r w:rsidR="00E951BD" w:rsidRPr="00D01C57">
            <w:rPr>
              <w:b w:val="0"/>
              <w:bCs/>
              <w:sz w:val="24"/>
              <w:szCs w:val="24"/>
              <w:lang w:val="en-GB"/>
            </w:rPr>
            <w:fldChar w:fldCharType="end"/>
          </w:r>
        </w:sdtContent>
      </w:sdt>
      <w:r w:rsidR="000D2066" w:rsidRPr="00D01C57">
        <w:rPr>
          <w:b w:val="0"/>
          <w:bCs/>
          <w:sz w:val="24"/>
          <w:szCs w:val="24"/>
          <w:lang w:val="en-GB"/>
        </w:rPr>
        <w:t xml:space="preserve"> </w:t>
      </w:r>
      <w:r w:rsidR="00E951BD" w:rsidRPr="00D01C57">
        <w:rPr>
          <w:b w:val="0"/>
          <w:bCs/>
          <w:sz w:val="24"/>
          <w:szCs w:val="24"/>
          <w:lang w:val="en-GB"/>
        </w:rPr>
        <w:t xml:space="preserve">should be followed. </w:t>
      </w:r>
      <w:r w:rsidR="00FA4350" w:rsidRPr="00D01C57">
        <w:rPr>
          <w:b w:val="0"/>
          <w:bCs/>
          <w:sz w:val="24"/>
          <w:szCs w:val="24"/>
          <w:lang w:val="en-GB"/>
        </w:rPr>
        <w:t>P</w:t>
      </w:r>
      <w:r w:rsidR="00E1751A" w:rsidRPr="00D01C57">
        <w:rPr>
          <w:b w:val="0"/>
          <w:bCs/>
          <w:sz w:val="24"/>
          <w:szCs w:val="24"/>
          <w:lang w:val="en-GB"/>
        </w:rPr>
        <w:t xml:space="preserve">rinciples of robust design and ductile hierarchy </w:t>
      </w:r>
      <w:r w:rsidR="00FA4350" w:rsidRPr="00D01C57">
        <w:rPr>
          <w:b w:val="0"/>
          <w:bCs/>
          <w:sz w:val="24"/>
          <w:szCs w:val="24"/>
          <w:lang w:val="en-GB"/>
        </w:rPr>
        <w:t>shall be applied that align with the Earthquake Design for Uncertainty advisory</w:t>
      </w:r>
      <w:r w:rsidR="00E951BD" w:rsidRPr="00D01C57">
        <w:rPr>
          <w:b w:val="0"/>
          <w:bCs/>
          <w:sz w:val="24"/>
          <w:szCs w:val="24"/>
          <w:lang w:val="en-GB"/>
        </w:rPr>
        <w:t xml:space="preserve"> </w:t>
      </w:r>
      <w:sdt>
        <w:sdtPr>
          <w:rPr>
            <w:b w:val="0"/>
            <w:bCs/>
            <w:sz w:val="24"/>
            <w:szCs w:val="24"/>
            <w:lang w:val="en-GB"/>
          </w:rPr>
          <w:id w:val="-374390276"/>
          <w:citation/>
        </w:sdtPr>
        <w:sdtEndPr/>
        <w:sdtContent>
          <w:r w:rsidR="00E951BD" w:rsidRPr="00D01C57">
            <w:rPr>
              <w:b w:val="0"/>
              <w:bCs/>
              <w:sz w:val="24"/>
              <w:szCs w:val="24"/>
              <w:lang w:val="en-GB"/>
            </w:rPr>
            <w:fldChar w:fldCharType="begin"/>
          </w:r>
          <w:r w:rsidR="00E951BD" w:rsidRPr="00D01C57">
            <w:rPr>
              <w:b w:val="0"/>
              <w:bCs/>
              <w:sz w:val="24"/>
              <w:szCs w:val="24"/>
              <w:lang w:val="en-US"/>
            </w:rPr>
            <w:instrText xml:space="preserve"> CITATION NZS22 \l 1033 </w:instrText>
          </w:r>
          <w:r w:rsidR="00E951BD" w:rsidRPr="00D01C57">
            <w:rPr>
              <w:b w:val="0"/>
              <w:bCs/>
              <w:sz w:val="24"/>
              <w:szCs w:val="24"/>
              <w:lang w:val="en-GB"/>
            </w:rPr>
            <w:fldChar w:fldCharType="separate"/>
          </w:r>
          <w:r w:rsidR="00222D65" w:rsidRPr="00222D65">
            <w:rPr>
              <w:noProof/>
              <w:sz w:val="24"/>
              <w:szCs w:val="24"/>
              <w:lang w:val="en-US"/>
            </w:rPr>
            <w:t>(NZSEE, SESOC, NZGS, 2022)</w:t>
          </w:r>
          <w:r w:rsidR="00E951BD" w:rsidRPr="00D01C57">
            <w:rPr>
              <w:b w:val="0"/>
              <w:bCs/>
              <w:sz w:val="24"/>
              <w:szCs w:val="24"/>
              <w:lang w:val="en-GB"/>
            </w:rPr>
            <w:fldChar w:fldCharType="end"/>
          </w:r>
        </w:sdtContent>
      </w:sdt>
      <w:r w:rsidR="00FA4350" w:rsidRPr="00D01C57">
        <w:rPr>
          <w:b w:val="0"/>
          <w:bCs/>
          <w:sz w:val="24"/>
          <w:szCs w:val="24"/>
          <w:lang w:val="en-GB"/>
        </w:rPr>
        <w:t xml:space="preserve"> </w:t>
      </w:r>
      <w:r w:rsidR="00E1751A" w:rsidRPr="00D01C57">
        <w:rPr>
          <w:b w:val="0"/>
          <w:bCs/>
          <w:sz w:val="24"/>
          <w:szCs w:val="24"/>
          <w:lang w:val="en-GB"/>
        </w:rPr>
        <w:t xml:space="preserve">as set out in </w:t>
      </w:r>
      <w:r w:rsidR="00E1751A" w:rsidRPr="00D01C57">
        <w:rPr>
          <w:b w:val="0"/>
          <w:bCs/>
          <w:sz w:val="24"/>
          <w:szCs w:val="24"/>
          <w:lang w:val="en-GB"/>
        </w:rPr>
        <w:fldChar w:fldCharType="begin"/>
      </w:r>
      <w:r w:rsidR="00E1751A" w:rsidRPr="00D01C57">
        <w:rPr>
          <w:b w:val="0"/>
          <w:bCs/>
          <w:sz w:val="24"/>
          <w:szCs w:val="24"/>
          <w:lang w:val="en-GB"/>
        </w:rPr>
        <w:instrText xml:space="preserve"> REF _Ref152326014 \h </w:instrText>
      </w:r>
      <w:r w:rsidR="00B975B2" w:rsidRPr="00D01C57">
        <w:rPr>
          <w:b w:val="0"/>
          <w:bCs/>
          <w:sz w:val="24"/>
          <w:szCs w:val="24"/>
          <w:lang w:val="en-GB"/>
        </w:rPr>
        <w:instrText xml:space="preserve"> \* MERGEFORMAT </w:instrText>
      </w:r>
      <w:r w:rsidR="00E1751A" w:rsidRPr="00D01C57">
        <w:rPr>
          <w:b w:val="0"/>
          <w:bCs/>
          <w:sz w:val="24"/>
          <w:szCs w:val="24"/>
          <w:lang w:val="en-GB"/>
        </w:rPr>
      </w:r>
      <w:r w:rsidR="00E1751A" w:rsidRPr="00D01C57">
        <w:rPr>
          <w:b w:val="0"/>
          <w:bCs/>
          <w:sz w:val="24"/>
          <w:szCs w:val="24"/>
          <w:lang w:val="en-GB"/>
        </w:rPr>
        <w:fldChar w:fldCharType="separate"/>
      </w:r>
      <w:r w:rsidR="000761C1" w:rsidRPr="000761C1">
        <w:rPr>
          <w:b w:val="0"/>
          <w:bCs/>
          <w:sz w:val="24"/>
          <w:szCs w:val="24"/>
        </w:rPr>
        <w:t xml:space="preserve">Table </w:t>
      </w:r>
      <w:r w:rsidR="000761C1" w:rsidRPr="000761C1">
        <w:rPr>
          <w:b w:val="0"/>
          <w:bCs/>
          <w:noProof/>
          <w:sz w:val="24"/>
          <w:szCs w:val="24"/>
        </w:rPr>
        <w:t>7</w:t>
      </w:r>
      <w:r w:rsidR="00E1751A" w:rsidRPr="00D01C57">
        <w:rPr>
          <w:b w:val="0"/>
          <w:bCs/>
          <w:sz w:val="24"/>
          <w:szCs w:val="24"/>
          <w:lang w:val="en-GB"/>
        </w:rPr>
        <w:fldChar w:fldCharType="end"/>
      </w:r>
      <w:r w:rsidR="00FA4350" w:rsidRPr="00D01C57">
        <w:rPr>
          <w:b w:val="0"/>
          <w:bCs/>
          <w:sz w:val="24"/>
          <w:szCs w:val="24"/>
          <w:lang w:val="en-GB"/>
        </w:rPr>
        <w:t>.</w:t>
      </w:r>
    </w:p>
    <w:p w14:paraId="6B57137A" w14:textId="37F16AA8" w:rsidR="00236DCF" w:rsidRPr="009275DD" w:rsidRDefault="00236DCF" w:rsidP="001B3464">
      <w:pPr>
        <w:pStyle w:val="Figure"/>
        <w:keepNext/>
        <w:rPr>
          <w:sz w:val="20"/>
          <w:szCs w:val="20"/>
        </w:rPr>
      </w:pPr>
      <w:bookmarkStart w:id="167" w:name="_Ref152326014"/>
      <w:bookmarkStart w:id="168" w:name="_Ref203124051"/>
      <w:r w:rsidRPr="009275DD">
        <w:rPr>
          <w:sz w:val="20"/>
          <w:szCs w:val="20"/>
        </w:rPr>
        <w:t xml:space="preserve">Table </w:t>
      </w:r>
      <w:r w:rsidRPr="009275DD">
        <w:rPr>
          <w:sz w:val="20"/>
          <w:szCs w:val="20"/>
        </w:rPr>
        <w:fldChar w:fldCharType="begin"/>
      </w:r>
      <w:r w:rsidRPr="009275DD">
        <w:rPr>
          <w:sz w:val="20"/>
          <w:szCs w:val="20"/>
        </w:rPr>
        <w:instrText>SEQ Table \* ARABIC</w:instrText>
      </w:r>
      <w:r w:rsidRPr="009275DD">
        <w:rPr>
          <w:sz w:val="20"/>
          <w:szCs w:val="20"/>
        </w:rPr>
        <w:fldChar w:fldCharType="separate"/>
      </w:r>
      <w:r w:rsidR="000761C1">
        <w:rPr>
          <w:noProof/>
          <w:sz w:val="20"/>
          <w:szCs w:val="20"/>
        </w:rPr>
        <w:t>7</w:t>
      </w:r>
      <w:r w:rsidRPr="009275DD">
        <w:rPr>
          <w:sz w:val="20"/>
          <w:szCs w:val="20"/>
        </w:rPr>
        <w:fldChar w:fldCharType="end"/>
      </w:r>
      <w:bookmarkEnd w:id="167"/>
      <w:bookmarkEnd w:id="168"/>
      <w:r w:rsidRPr="009275DD">
        <w:rPr>
          <w:sz w:val="20"/>
          <w:szCs w:val="20"/>
        </w:rPr>
        <w:t xml:space="preserve">: Commentary on the application of the Design for Uncertainty Advisory </w:t>
      </w:r>
      <w:sdt>
        <w:sdtPr>
          <w:rPr>
            <w:sz w:val="20"/>
            <w:szCs w:val="20"/>
          </w:rPr>
          <w:id w:val="-2050291092"/>
          <w:citation/>
        </w:sdtPr>
        <w:sdtEndPr/>
        <w:sdtContent>
          <w:r w:rsidRPr="009275DD">
            <w:rPr>
              <w:sz w:val="20"/>
              <w:szCs w:val="20"/>
            </w:rPr>
            <w:fldChar w:fldCharType="begin"/>
          </w:r>
          <w:r w:rsidRPr="009275DD">
            <w:rPr>
              <w:sz w:val="20"/>
              <w:szCs w:val="20"/>
            </w:rPr>
            <w:instrText xml:space="preserve"> CITATION NZS22 \l 1033 </w:instrText>
          </w:r>
          <w:r w:rsidRPr="009275DD">
            <w:rPr>
              <w:sz w:val="20"/>
              <w:szCs w:val="20"/>
            </w:rPr>
            <w:fldChar w:fldCharType="separate"/>
          </w:r>
          <w:r w:rsidR="00222D65" w:rsidRPr="009275DD">
            <w:rPr>
              <w:noProof/>
              <w:sz w:val="20"/>
              <w:szCs w:val="20"/>
            </w:rPr>
            <w:t>(NZSEE, SESOC, NZGS, 2022)</w:t>
          </w:r>
          <w:r w:rsidRPr="009275DD">
            <w:rPr>
              <w:sz w:val="20"/>
              <w:szCs w:val="20"/>
            </w:rPr>
            <w:fldChar w:fldCharType="end"/>
          </w:r>
        </w:sdtContent>
      </w:sdt>
      <w:r w:rsidRPr="009275DD">
        <w:rPr>
          <w:sz w:val="20"/>
          <w:szCs w:val="20"/>
        </w:rPr>
        <w:t xml:space="preserve"> recommendations for robust design.</w:t>
      </w:r>
    </w:p>
    <w:tbl>
      <w:tblPr>
        <w:tblStyle w:val="TeWhatuOra"/>
        <w:tblW w:w="9781"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CellMar>
          <w:top w:w="57" w:type="dxa"/>
          <w:left w:w="57" w:type="dxa"/>
          <w:bottom w:w="57" w:type="dxa"/>
          <w:right w:w="57" w:type="dxa"/>
        </w:tblCellMar>
        <w:tblLook w:val="0620" w:firstRow="1" w:lastRow="0" w:firstColumn="0" w:lastColumn="0" w:noHBand="1" w:noVBand="1"/>
      </w:tblPr>
      <w:tblGrid>
        <w:gridCol w:w="1540"/>
        <w:gridCol w:w="2429"/>
        <w:gridCol w:w="5812"/>
      </w:tblGrid>
      <w:tr w:rsidR="00236DCF" w:rsidRPr="009275DD" w14:paraId="323A9E11" w14:textId="77777777" w:rsidTr="00BA2610">
        <w:trPr>
          <w:cnfStyle w:val="100000000000" w:firstRow="1" w:lastRow="0" w:firstColumn="0" w:lastColumn="0" w:oddVBand="0" w:evenVBand="0" w:oddHBand="0" w:evenHBand="0" w:firstRowFirstColumn="0" w:firstRowLastColumn="0" w:lastRowFirstColumn="0" w:lastRowLastColumn="0"/>
          <w:cantSplit/>
          <w:tblHeader/>
        </w:trPr>
        <w:tc>
          <w:tcPr>
            <w:tcW w:w="1540" w:type="dxa"/>
            <w:tcBorders>
              <w:top w:val="single" w:sz="12" w:space="0" w:color="003399" w:themeColor="accent2"/>
              <w:left w:val="nil"/>
              <w:bottom w:val="single" w:sz="12" w:space="0" w:color="003399" w:themeColor="accent2"/>
              <w:right w:val="single" w:sz="8" w:space="0" w:color="BFBFBF"/>
            </w:tcBorders>
            <w:shd w:val="clear" w:color="auto" w:fill="F6F4EC"/>
          </w:tcPr>
          <w:p w14:paraId="06932B68"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Reference</w:t>
            </w:r>
          </w:p>
        </w:tc>
        <w:tc>
          <w:tcPr>
            <w:tcW w:w="2429"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56F4E077"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Design for Uncertainty Recommendation</w:t>
            </w:r>
          </w:p>
        </w:tc>
        <w:tc>
          <w:tcPr>
            <w:tcW w:w="5812" w:type="dxa"/>
            <w:tcBorders>
              <w:top w:val="single" w:sz="12" w:space="0" w:color="003399" w:themeColor="accent2"/>
              <w:left w:val="single" w:sz="8" w:space="0" w:color="BFBFBF"/>
              <w:bottom w:val="single" w:sz="12" w:space="0" w:color="003399" w:themeColor="accent2"/>
              <w:right w:val="nil"/>
            </w:tcBorders>
            <w:shd w:val="clear" w:color="auto" w:fill="F6F4EC"/>
          </w:tcPr>
          <w:p w14:paraId="0B540B1A"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Comment</w:t>
            </w:r>
          </w:p>
        </w:tc>
      </w:tr>
      <w:tr w:rsidR="00236DCF" w:rsidRPr="009275DD" w14:paraId="684F46A0" w14:textId="77777777" w:rsidTr="00BA2610">
        <w:trPr>
          <w:cantSplit/>
        </w:trPr>
        <w:tc>
          <w:tcPr>
            <w:tcW w:w="1540" w:type="dxa"/>
            <w:tcBorders>
              <w:top w:val="single" w:sz="12" w:space="0" w:color="003399" w:themeColor="accent2"/>
              <w:left w:val="nil"/>
              <w:bottom w:val="single" w:sz="8" w:space="0" w:color="BFBFBF"/>
              <w:right w:val="single" w:sz="8" w:space="0" w:color="BFBFBF"/>
            </w:tcBorders>
          </w:tcPr>
          <w:p w14:paraId="0DCEBFCE"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1</w:t>
            </w:r>
          </w:p>
        </w:tc>
        <w:tc>
          <w:tcPr>
            <w:tcW w:w="2429" w:type="dxa"/>
            <w:tcBorders>
              <w:top w:val="single" w:sz="12" w:space="0" w:color="003399" w:themeColor="accent2"/>
              <w:left w:val="single" w:sz="8" w:space="0" w:color="BFBFBF"/>
              <w:bottom w:val="single" w:sz="8" w:space="0" w:color="BFBFBF"/>
              <w:right w:val="single" w:sz="8" w:space="0" w:color="BFBFBF"/>
            </w:tcBorders>
          </w:tcPr>
          <w:p w14:paraId="4FA0FC34"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Peer Review</w:t>
            </w:r>
          </w:p>
        </w:tc>
        <w:tc>
          <w:tcPr>
            <w:tcW w:w="5812" w:type="dxa"/>
            <w:tcBorders>
              <w:top w:val="single" w:sz="12" w:space="0" w:color="003399" w:themeColor="accent2"/>
              <w:left w:val="single" w:sz="8" w:space="0" w:color="BFBFBF"/>
              <w:bottom w:val="single" w:sz="8" w:space="0" w:color="BFBFBF"/>
              <w:right w:val="nil"/>
            </w:tcBorders>
          </w:tcPr>
          <w:p w14:paraId="6DF843D5" w14:textId="0C4FBE7D" w:rsidR="00236DCF" w:rsidRPr="009275DD" w:rsidRDefault="00236DCF" w:rsidP="009275DD">
            <w:pPr>
              <w:pStyle w:val="TableText"/>
              <w:spacing w:beforeAutospacing="0" w:afterAutospacing="0" w:line="240" w:lineRule="auto"/>
              <w:rPr>
                <w:sz w:val="20"/>
                <w:szCs w:val="20"/>
              </w:rPr>
            </w:pPr>
            <w:r w:rsidRPr="009275DD">
              <w:rPr>
                <w:sz w:val="20"/>
                <w:szCs w:val="20"/>
              </w:rPr>
              <w:t>Requirements are outlined in Part A</w:t>
            </w:r>
            <w:r w:rsidR="00CB6A17" w:rsidRPr="009275DD">
              <w:rPr>
                <w:sz w:val="20"/>
                <w:szCs w:val="20"/>
              </w:rPr>
              <w:t xml:space="preserve"> (</w:t>
            </w:r>
            <w:r w:rsidR="00CB6A17" w:rsidRPr="009275DD">
              <w:rPr>
                <w:sz w:val="20"/>
                <w:szCs w:val="20"/>
              </w:rPr>
              <w:fldChar w:fldCharType="begin"/>
            </w:r>
            <w:r w:rsidR="00CB6A17" w:rsidRPr="009275DD">
              <w:rPr>
                <w:sz w:val="20"/>
                <w:szCs w:val="20"/>
              </w:rPr>
              <w:instrText xml:space="preserve"> REF _Ref157521778 \r \h </w:instrText>
            </w:r>
            <w:r w:rsidR="00B975B2" w:rsidRPr="009275DD">
              <w:rPr>
                <w:sz w:val="20"/>
                <w:szCs w:val="20"/>
              </w:rPr>
              <w:instrText xml:space="preserve"> \* MERGEFORMAT </w:instrText>
            </w:r>
            <w:r w:rsidR="00CB6A17" w:rsidRPr="009275DD">
              <w:rPr>
                <w:sz w:val="20"/>
                <w:szCs w:val="20"/>
              </w:rPr>
            </w:r>
            <w:r w:rsidR="00CB6A17" w:rsidRPr="009275DD">
              <w:rPr>
                <w:sz w:val="20"/>
                <w:szCs w:val="20"/>
              </w:rPr>
              <w:fldChar w:fldCharType="separate"/>
            </w:r>
            <w:r w:rsidR="000761C1">
              <w:rPr>
                <w:sz w:val="20"/>
                <w:szCs w:val="20"/>
              </w:rPr>
              <w:t>A2.4</w:t>
            </w:r>
            <w:r w:rsidR="00CB6A17" w:rsidRPr="009275DD">
              <w:rPr>
                <w:sz w:val="20"/>
                <w:szCs w:val="20"/>
              </w:rPr>
              <w:fldChar w:fldCharType="end"/>
            </w:r>
            <w:r w:rsidR="00CB6A17" w:rsidRPr="009275DD">
              <w:rPr>
                <w:sz w:val="20"/>
                <w:szCs w:val="20"/>
              </w:rPr>
              <w:t>)</w:t>
            </w:r>
          </w:p>
        </w:tc>
      </w:tr>
      <w:tr w:rsidR="00236DCF" w:rsidRPr="009275DD" w14:paraId="2B2D5B79" w14:textId="77777777" w:rsidTr="00BA2610">
        <w:trPr>
          <w:cantSplit/>
        </w:trPr>
        <w:tc>
          <w:tcPr>
            <w:tcW w:w="1540" w:type="dxa"/>
            <w:vMerge w:val="restart"/>
            <w:tcBorders>
              <w:top w:val="single" w:sz="8" w:space="0" w:color="BFBFBF"/>
              <w:left w:val="nil"/>
              <w:bottom w:val="single" w:sz="8" w:space="0" w:color="BFBFBF"/>
              <w:right w:val="single" w:sz="8" w:space="0" w:color="BFBFBF"/>
            </w:tcBorders>
          </w:tcPr>
          <w:p w14:paraId="445558E4"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2</w:t>
            </w:r>
          </w:p>
        </w:tc>
        <w:tc>
          <w:tcPr>
            <w:tcW w:w="2429" w:type="dxa"/>
            <w:tcBorders>
              <w:top w:val="single" w:sz="8" w:space="0" w:color="BFBFBF"/>
              <w:left w:val="single" w:sz="8" w:space="0" w:color="BFBFBF"/>
              <w:bottom w:val="single" w:sz="8" w:space="0" w:color="BFBFBF"/>
              <w:right w:val="single" w:sz="8" w:space="0" w:color="BFBFBF"/>
            </w:tcBorders>
          </w:tcPr>
          <w:p w14:paraId="19400AD5"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Structural Regularity</w:t>
            </w:r>
          </w:p>
        </w:tc>
        <w:tc>
          <w:tcPr>
            <w:tcW w:w="5812" w:type="dxa"/>
            <w:tcBorders>
              <w:top w:val="single" w:sz="8" w:space="0" w:color="BFBFBF"/>
              <w:left w:val="single" w:sz="8" w:space="0" w:color="BFBFBF"/>
              <w:bottom w:val="single" w:sz="8" w:space="0" w:color="BFBFBF"/>
              <w:right w:val="nil"/>
            </w:tcBorders>
          </w:tcPr>
          <w:p w14:paraId="48EC455A" w14:textId="60439835" w:rsidR="00236DCF" w:rsidRPr="009275DD" w:rsidRDefault="00236DCF" w:rsidP="009275DD">
            <w:pPr>
              <w:pStyle w:val="TableText"/>
              <w:spacing w:beforeAutospacing="0" w:afterAutospacing="0" w:line="240" w:lineRule="auto"/>
              <w:rPr>
                <w:sz w:val="20"/>
                <w:szCs w:val="20"/>
              </w:rPr>
            </w:pPr>
            <w:r w:rsidRPr="009275DD">
              <w:rPr>
                <w:sz w:val="20"/>
                <w:szCs w:val="20"/>
              </w:rPr>
              <w:t xml:space="preserve">Design teams should prioritise the provision of structural regularity given the project constraints in accordance with the </w:t>
            </w:r>
            <w:r w:rsidR="00A70F9D" w:rsidRPr="009275DD">
              <w:rPr>
                <w:sz w:val="20"/>
                <w:szCs w:val="20"/>
              </w:rPr>
              <w:t>a</w:t>
            </w:r>
            <w:r w:rsidRPr="009275DD">
              <w:rPr>
                <w:sz w:val="20"/>
                <w:szCs w:val="20"/>
              </w:rPr>
              <w:t>dvisory recommendations.</w:t>
            </w:r>
          </w:p>
        </w:tc>
      </w:tr>
      <w:tr w:rsidR="00236DCF" w:rsidRPr="009275DD" w14:paraId="07868224" w14:textId="77777777" w:rsidTr="00BA2610">
        <w:trPr>
          <w:cantSplit/>
        </w:trPr>
        <w:tc>
          <w:tcPr>
            <w:tcW w:w="1540" w:type="dxa"/>
            <w:vMerge/>
            <w:tcBorders>
              <w:top w:val="single" w:sz="8" w:space="0" w:color="BFBFBF"/>
              <w:left w:val="nil"/>
              <w:bottom w:val="single" w:sz="8" w:space="0" w:color="BFBFBF"/>
              <w:right w:val="single" w:sz="8" w:space="0" w:color="BFBFBF"/>
            </w:tcBorders>
          </w:tcPr>
          <w:p w14:paraId="061AF944" w14:textId="77777777" w:rsidR="00236DCF" w:rsidRPr="009275DD" w:rsidRDefault="00236DCF" w:rsidP="009275DD">
            <w:pPr>
              <w:pStyle w:val="TableText"/>
              <w:spacing w:beforeAutospacing="0" w:afterAutospacing="0" w:line="240" w:lineRule="auto"/>
              <w:rPr>
                <w:sz w:val="20"/>
                <w:szCs w:val="20"/>
              </w:rPr>
            </w:pPr>
          </w:p>
        </w:tc>
        <w:tc>
          <w:tcPr>
            <w:tcW w:w="2429" w:type="dxa"/>
            <w:vMerge w:val="restart"/>
            <w:tcBorders>
              <w:top w:val="single" w:sz="8" w:space="0" w:color="BFBFBF"/>
              <w:left w:val="single" w:sz="8" w:space="0" w:color="BFBFBF"/>
              <w:bottom w:val="single" w:sz="8" w:space="0" w:color="BFBFBF"/>
              <w:right w:val="single" w:sz="8" w:space="0" w:color="BFBFBF"/>
            </w:tcBorders>
          </w:tcPr>
          <w:p w14:paraId="53D9640B"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Structural redundancy</w:t>
            </w:r>
          </w:p>
        </w:tc>
        <w:tc>
          <w:tcPr>
            <w:tcW w:w="5812" w:type="dxa"/>
            <w:tcBorders>
              <w:top w:val="single" w:sz="8" w:space="0" w:color="BFBFBF"/>
              <w:left w:val="single" w:sz="8" w:space="0" w:color="BFBFBF"/>
              <w:bottom w:val="single" w:sz="8" w:space="0" w:color="BFBFBF"/>
              <w:right w:val="nil"/>
            </w:tcBorders>
          </w:tcPr>
          <w:p w14:paraId="55DFD8A1"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Multistorey buildings of heavy construction should maintain load paths for lateral resistance in both orthogonal directions as well as global torsional stability in the event of unexpected failure of components of a structural bracing bay.</w:t>
            </w:r>
          </w:p>
        </w:tc>
      </w:tr>
      <w:tr w:rsidR="00236DCF" w:rsidRPr="009275DD" w14:paraId="2828F423" w14:textId="77777777" w:rsidTr="00BA2610">
        <w:trPr>
          <w:cantSplit/>
        </w:trPr>
        <w:tc>
          <w:tcPr>
            <w:tcW w:w="1540" w:type="dxa"/>
            <w:vMerge/>
            <w:tcBorders>
              <w:top w:val="single" w:sz="8" w:space="0" w:color="BFBFBF"/>
              <w:left w:val="nil"/>
              <w:bottom w:val="single" w:sz="8" w:space="0" w:color="BFBFBF"/>
              <w:right w:val="single" w:sz="8" w:space="0" w:color="BFBFBF"/>
            </w:tcBorders>
          </w:tcPr>
          <w:p w14:paraId="4E3B56E6" w14:textId="77777777" w:rsidR="00236DCF" w:rsidRPr="009275DD" w:rsidRDefault="00236DCF" w:rsidP="009275DD">
            <w:pPr>
              <w:pStyle w:val="TableText"/>
              <w:spacing w:beforeAutospacing="0" w:afterAutospacing="0" w:line="240" w:lineRule="auto"/>
              <w:rPr>
                <w:sz w:val="20"/>
                <w:szCs w:val="20"/>
              </w:rPr>
            </w:pPr>
          </w:p>
        </w:tc>
        <w:tc>
          <w:tcPr>
            <w:tcW w:w="2429" w:type="dxa"/>
            <w:vMerge/>
            <w:tcBorders>
              <w:top w:val="single" w:sz="8" w:space="0" w:color="BFBFBF"/>
              <w:left w:val="single" w:sz="8" w:space="0" w:color="BFBFBF"/>
              <w:bottom w:val="single" w:sz="8" w:space="0" w:color="BFBFBF"/>
              <w:right w:val="single" w:sz="8" w:space="0" w:color="BFBFBF"/>
            </w:tcBorders>
          </w:tcPr>
          <w:p w14:paraId="55819BC2" w14:textId="77777777" w:rsidR="00236DCF" w:rsidRPr="009275DD" w:rsidRDefault="00236DCF" w:rsidP="009275DD">
            <w:pPr>
              <w:pStyle w:val="TableText"/>
              <w:spacing w:beforeAutospacing="0" w:afterAutospacing="0" w:line="240" w:lineRule="auto"/>
              <w:rPr>
                <w:sz w:val="20"/>
                <w:szCs w:val="20"/>
              </w:rPr>
            </w:pPr>
          </w:p>
        </w:tc>
        <w:tc>
          <w:tcPr>
            <w:tcW w:w="5812" w:type="dxa"/>
            <w:tcBorders>
              <w:top w:val="single" w:sz="8" w:space="0" w:color="BFBFBF"/>
              <w:left w:val="single" w:sz="8" w:space="0" w:color="BFBFBF"/>
              <w:bottom w:val="single" w:sz="8" w:space="0" w:color="BFBFBF"/>
              <w:right w:val="nil"/>
            </w:tcBorders>
          </w:tcPr>
          <w:p w14:paraId="68413206" w14:textId="0D43D9C8" w:rsidR="00236DCF" w:rsidRPr="009275DD" w:rsidRDefault="00236DCF" w:rsidP="009275DD">
            <w:pPr>
              <w:pStyle w:val="TableText"/>
              <w:spacing w:beforeAutospacing="0" w:afterAutospacing="0" w:line="240" w:lineRule="auto"/>
              <w:rPr>
                <w:sz w:val="20"/>
                <w:szCs w:val="20"/>
              </w:rPr>
            </w:pPr>
            <w:r w:rsidRPr="009275DD">
              <w:rPr>
                <w:sz w:val="20"/>
                <w:szCs w:val="20"/>
              </w:rPr>
              <w:t>The importance of column continuity in multistorey construction should be considered (to all primary columns including those not intended to act as part of a primary lateral load resisting system)</w:t>
            </w:r>
            <w:r w:rsidR="00ED2B11" w:rsidRPr="009275DD">
              <w:rPr>
                <w:sz w:val="20"/>
                <w:szCs w:val="20"/>
              </w:rPr>
              <w:t xml:space="preserve"> </w:t>
            </w:r>
            <w:r w:rsidRPr="009275DD">
              <w:rPr>
                <w:sz w:val="20"/>
                <w:szCs w:val="20"/>
              </w:rPr>
              <w:t xml:space="preserve">especially in braced frame systems. </w:t>
            </w:r>
          </w:p>
        </w:tc>
      </w:tr>
      <w:tr w:rsidR="00236DCF" w:rsidRPr="009275DD" w14:paraId="19D4F2AC" w14:textId="77777777" w:rsidTr="00BA2610">
        <w:trPr>
          <w:cantSplit/>
        </w:trPr>
        <w:tc>
          <w:tcPr>
            <w:tcW w:w="1540" w:type="dxa"/>
            <w:vMerge w:val="restart"/>
            <w:tcBorders>
              <w:top w:val="single" w:sz="8" w:space="0" w:color="BFBFBF"/>
              <w:left w:val="nil"/>
              <w:bottom w:val="single" w:sz="8" w:space="0" w:color="BFBFBF"/>
              <w:right w:val="single" w:sz="8" w:space="0" w:color="BFBFBF"/>
            </w:tcBorders>
          </w:tcPr>
          <w:p w14:paraId="462AA207"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3</w:t>
            </w:r>
          </w:p>
        </w:tc>
        <w:tc>
          <w:tcPr>
            <w:tcW w:w="2429" w:type="dxa"/>
            <w:tcBorders>
              <w:top w:val="single" w:sz="8" w:space="0" w:color="BFBFBF"/>
              <w:left w:val="single" w:sz="8" w:space="0" w:color="BFBFBF"/>
              <w:bottom w:val="single" w:sz="8" w:space="0" w:color="BFBFBF"/>
              <w:right w:val="single" w:sz="8" w:space="0" w:color="BFBFBF"/>
            </w:tcBorders>
          </w:tcPr>
          <w:p w14:paraId="6C96D309"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Ductile Behaviour and Capacity Protected Hierarchy</w:t>
            </w:r>
          </w:p>
        </w:tc>
        <w:tc>
          <w:tcPr>
            <w:tcW w:w="5812" w:type="dxa"/>
            <w:tcBorders>
              <w:top w:val="single" w:sz="8" w:space="0" w:color="BFBFBF"/>
              <w:left w:val="single" w:sz="8" w:space="0" w:color="BFBFBF"/>
              <w:bottom w:val="single" w:sz="8" w:space="0" w:color="BFBFBF"/>
              <w:right w:val="nil"/>
            </w:tcBorders>
          </w:tcPr>
          <w:p w14:paraId="712B0112" w14:textId="5C902C12" w:rsidR="00236DCF" w:rsidRPr="009275DD" w:rsidRDefault="00236DCF" w:rsidP="009275DD">
            <w:pPr>
              <w:pStyle w:val="TableText"/>
              <w:spacing w:beforeAutospacing="0" w:afterAutospacing="0" w:line="240" w:lineRule="auto"/>
              <w:rPr>
                <w:sz w:val="20"/>
                <w:szCs w:val="20"/>
              </w:rPr>
            </w:pPr>
            <w:r w:rsidRPr="009275DD">
              <w:rPr>
                <w:sz w:val="20"/>
                <w:szCs w:val="20"/>
              </w:rPr>
              <w:t>Detailing for limited ductility</w:t>
            </w:r>
            <w:r w:rsidR="001D5378" w:rsidRPr="009275DD">
              <w:rPr>
                <w:sz w:val="20"/>
                <w:szCs w:val="20"/>
              </w:rPr>
              <w:t xml:space="preserve"> (as a minimum)</w:t>
            </w:r>
            <w:r w:rsidRPr="009275DD">
              <w:rPr>
                <w:sz w:val="20"/>
                <w:szCs w:val="20"/>
              </w:rPr>
              <w:t xml:space="preserve"> is recommended to primary structure intersections, </w:t>
            </w:r>
            <w:r w:rsidR="00351483" w:rsidRPr="009275DD">
              <w:rPr>
                <w:sz w:val="20"/>
                <w:szCs w:val="20"/>
              </w:rPr>
              <w:t>connections,</w:t>
            </w:r>
            <w:r w:rsidRPr="009275DD">
              <w:rPr>
                <w:sz w:val="20"/>
                <w:szCs w:val="20"/>
              </w:rPr>
              <w:t xml:space="preserve"> and stability of potential plastic regions.</w:t>
            </w:r>
            <w:r w:rsidRPr="009275DD">
              <w:rPr>
                <w:sz w:val="20"/>
                <w:szCs w:val="20"/>
              </w:rPr>
              <w:br/>
              <w:t>The recommendations of the SESOC Interim Design Guidance v11 for conventional systems should be followed (generally described under the “Detailing for Resilience” subheadings).</w:t>
            </w:r>
          </w:p>
        </w:tc>
      </w:tr>
      <w:tr w:rsidR="00236DCF" w:rsidRPr="009275DD" w14:paraId="0EE17FDA" w14:textId="77777777" w:rsidTr="00BA2610">
        <w:trPr>
          <w:cantSplit/>
        </w:trPr>
        <w:tc>
          <w:tcPr>
            <w:tcW w:w="1540" w:type="dxa"/>
            <w:vMerge/>
            <w:tcBorders>
              <w:top w:val="single" w:sz="8" w:space="0" w:color="BFBFBF"/>
              <w:left w:val="nil"/>
              <w:bottom w:val="single" w:sz="8" w:space="0" w:color="BFBFBF"/>
              <w:right w:val="single" w:sz="8" w:space="0" w:color="BFBFBF"/>
            </w:tcBorders>
          </w:tcPr>
          <w:p w14:paraId="196E6FF4" w14:textId="77777777" w:rsidR="00236DCF" w:rsidRPr="009275DD" w:rsidRDefault="00236DCF" w:rsidP="009275DD">
            <w:pPr>
              <w:pStyle w:val="TableText"/>
              <w:spacing w:beforeAutospacing="0" w:afterAutospacing="0" w:line="240" w:lineRule="auto"/>
              <w:rPr>
                <w:sz w:val="20"/>
                <w:szCs w:val="20"/>
              </w:rPr>
            </w:pPr>
          </w:p>
        </w:tc>
        <w:tc>
          <w:tcPr>
            <w:tcW w:w="2429" w:type="dxa"/>
            <w:tcBorders>
              <w:top w:val="single" w:sz="8" w:space="0" w:color="BFBFBF"/>
              <w:left w:val="single" w:sz="8" w:space="0" w:color="BFBFBF"/>
              <w:bottom w:val="single" w:sz="8" w:space="0" w:color="BFBFBF"/>
              <w:right w:val="single" w:sz="8" w:space="0" w:color="BFBFBF"/>
            </w:tcBorders>
          </w:tcPr>
          <w:p w14:paraId="3CC99159"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Ductility Demand</w:t>
            </w:r>
          </w:p>
        </w:tc>
        <w:tc>
          <w:tcPr>
            <w:tcW w:w="5812" w:type="dxa"/>
            <w:tcBorders>
              <w:top w:val="single" w:sz="8" w:space="0" w:color="BFBFBF"/>
              <w:left w:val="single" w:sz="8" w:space="0" w:color="BFBFBF"/>
              <w:bottom w:val="single" w:sz="8" w:space="0" w:color="BFBFBF"/>
              <w:right w:val="nil"/>
            </w:tcBorders>
          </w:tcPr>
          <w:p w14:paraId="1BD9D588" w14:textId="6C42F4F6" w:rsidR="00236DCF" w:rsidRPr="009275DD" w:rsidRDefault="00236DCF" w:rsidP="009275DD">
            <w:pPr>
              <w:pStyle w:val="TableText"/>
              <w:spacing w:beforeAutospacing="0" w:afterAutospacing="0" w:line="240" w:lineRule="auto"/>
              <w:rPr>
                <w:sz w:val="20"/>
                <w:szCs w:val="20"/>
              </w:rPr>
            </w:pPr>
            <w:r w:rsidRPr="009275DD">
              <w:rPr>
                <w:sz w:val="20"/>
                <w:szCs w:val="20"/>
              </w:rPr>
              <w:t xml:space="preserve">Achieved through the requirements of Section </w:t>
            </w:r>
            <w:r w:rsidRPr="009275DD">
              <w:rPr>
                <w:sz w:val="20"/>
                <w:szCs w:val="20"/>
              </w:rPr>
              <w:fldChar w:fldCharType="begin"/>
            </w:r>
            <w:r w:rsidRPr="009275DD">
              <w:rPr>
                <w:sz w:val="20"/>
                <w:szCs w:val="20"/>
              </w:rPr>
              <w:instrText xml:space="preserve"> REF _Ref152326122 \r \h </w:instrText>
            </w:r>
            <w:r w:rsidR="00B975B2" w:rsidRPr="009275DD">
              <w:rPr>
                <w:sz w:val="20"/>
                <w:szCs w:val="20"/>
              </w:rPr>
              <w:instrText xml:space="preserve"> \* MERGEFORMAT </w:instrText>
            </w:r>
            <w:r w:rsidRPr="009275DD">
              <w:rPr>
                <w:sz w:val="20"/>
                <w:szCs w:val="20"/>
              </w:rPr>
            </w:r>
            <w:r w:rsidRPr="009275DD">
              <w:rPr>
                <w:sz w:val="20"/>
                <w:szCs w:val="20"/>
              </w:rPr>
              <w:fldChar w:fldCharType="separate"/>
            </w:r>
            <w:r w:rsidR="000761C1">
              <w:rPr>
                <w:sz w:val="20"/>
                <w:szCs w:val="20"/>
              </w:rPr>
              <w:t>C3.1</w:t>
            </w:r>
            <w:r w:rsidRPr="009275DD">
              <w:rPr>
                <w:sz w:val="20"/>
                <w:szCs w:val="20"/>
              </w:rPr>
              <w:fldChar w:fldCharType="end"/>
            </w:r>
            <w:r w:rsidRPr="009275DD">
              <w:rPr>
                <w:sz w:val="20"/>
                <w:szCs w:val="20"/>
              </w:rPr>
              <w:t>.</w:t>
            </w:r>
          </w:p>
        </w:tc>
      </w:tr>
      <w:tr w:rsidR="00236DCF" w:rsidRPr="009275DD" w14:paraId="4BA91E06" w14:textId="77777777" w:rsidTr="00BA2610">
        <w:trPr>
          <w:cantSplit/>
        </w:trPr>
        <w:tc>
          <w:tcPr>
            <w:tcW w:w="1540" w:type="dxa"/>
            <w:tcBorders>
              <w:top w:val="single" w:sz="8" w:space="0" w:color="BFBFBF"/>
              <w:left w:val="nil"/>
              <w:bottom w:val="single" w:sz="8" w:space="0" w:color="BFBFBF"/>
              <w:right w:val="single" w:sz="8" w:space="0" w:color="BFBFBF"/>
            </w:tcBorders>
          </w:tcPr>
          <w:p w14:paraId="7BF27F92"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4</w:t>
            </w:r>
          </w:p>
        </w:tc>
        <w:tc>
          <w:tcPr>
            <w:tcW w:w="2429" w:type="dxa"/>
            <w:tcBorders>
              <w:top w:val="single" w:sz="8" w:space="0" w:color="BFBFBF"/>
              <w:left w:val="single" w:sz="8" w:space="0" w:color="BFBFBF"/>
              <w:bottom w:val="single" w:sz="8" w:space="0" w:color="BFBFBF"/>
              <w:right w:val="single" w:sz="8" w:space="0" w:color="BFBFBF"/>
            </w:tcBorders>
          </w:tcPr>
          <w:p w14:paraId="2114F8C8"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Deformation Compatibility and Tying</w:t>
            </w:r>
          </w:p>
        </w:tc>
        <w:tc>
          <w:tcPr>
            <w:tcW w:w="5812" w:type="dxa"/>
            <w:tcBorders>
              <w:top w:val="single" w:sz="8" w:space="0" w:color="BFBFBF"/>
              <w:left w:val="single" w:sz="8" w:space="0" w:color="BFBFBF"/>
              <w:bottom w:val="single" w:sz="8" w:space="0" w:color="BFBFBF"/>
              <w:right w:val="nil"/>
            </w:tcBorders>
          </w:tcPr>
          <w:p w14:paraId="3C98C422" w14:textId="21846440" w:rsidR="00236DCF" w:rsidRPr="009275DD" w:rsidRDefault="00236DCF" w:rsidP="009275DD">
            <w:pPr>
              <w:pStyle w:val="TableText"/>
              <w:spacing w:beforeAutospacing="0" w:afterAutospacing="0" w:line="240" w:lineRule="auto"/>
              <w:rPr>
                <w:sz w:val="20"/>
                <w:szCs w:val="20"/>
              </w:rPr>
            </w:pPr>
            <w:r w:rsidRPr="009275DD">
              <w:rPr>
                <w:sz w:val="20"/>
                <w:szCs w:val="20"/>
              </w:rPr>
              <w:t>The recommendations of the SESOC Interim Design Guidance v11 for conventional systems should be followed</w:t>
            </w:r>
            <w:r w:rsidR="009A6627" w:rsidRPr="009275DD">
              <w:rPr>
                <w:sz w:val="20"/>
                <w:szCs w:val="20"/>
              </w:rPr>
              <w:t>.</w:t>
            </w:r>
          </w:p>
        </w:tc>
      </w:tr>
      <w:tr w:rsidR="00236DCF" w:rsidRPr="009275DD" w14:paraId="17EE807C" w14:textId="77777777" w:rsidTr="00BA2610">
        <w:trPr>
          <w:cantSplit/>
        </w:trPr>
        <w:tc>
          <w:tcPr>
            <w:tcW w:w="1540" w:type="dxa"/>
            <w:tcBorders>
              <w:top w:val="single" w:sz="8" w:space="0" w:color="BFBFBF"/>
              <w:left w:val="nil"/>
              <w:bottom w:val="single" w:sz="8" w:space="0" w:color="BFBFBF"/>
              <w:right w:val="single" w:sz="8" w:space="0" w:color="BFBFBF"/>
            </w:tcBorders>
          </w:tcPr>
          <w:p w14:paraId="31F1A592"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5</w:t>
            </w:r>
          </w:p>
        </w:tc>
        <w:tc>
          <w:tcPr>
            <w:tcW w:w="2429" w:type="dxa"/>
            <w:tcBorders>
              <w:top w:val="single" w:sz="8" w:space="0" w:color="BFBFBF"/>
              <w:left w:val="single" w:sz="8" w:space="0" w:color="BFBFBF"/>
              <w:bottom w:val="single" w:sz="8" w:space="0" w:color="BFBFBF"/>
              <w:right w:val="single" w:sz="8" w:space="0" w:color="BFBFBF"/>
            </w:tcBorders>
          </w:tcPr>
          <w:p w14:paraId="1E69A044" w14:textId="0BFB25CB" w:rsidR="00236DCF" w:rsidRPr="009275DD" w:rsidRDefault="00236DCF" w:rsidP="009275DD">
            <w:pPr>
              <w:pStyle w:val="TableText"/>
              <w:spacing w:beforeAutospacing="0" w:afterAutospacing="0" w:line="240" w:lineRule="auto"/>
              <w:rPr>
                <w:sz w:val="20"/>
                <w:szCs w:val="20"/>
              </w:rPr>
            </w:pPr>
            <w:r w:rsidRPr="009275DD">
              <w:rPr>
                <w:sz w:val="20"/>
                <w:szCs w:val="20"/>
              </w:rPr>
              <w:t xml:space="preserve">Robustness, </w:t>
            </w:r>
            <w:r w:rsidR="00314949" w:rsidRPr="009275DD">
              <w:rPr>
                <w:sz w:val="20"/>
                <w:szCs w:val="20"/>
              </w:rPr>
              <w:t>continuity,</w:t>
            </w:r>
            <w:r w:rsidRPr="009275DD">
              <w:rPr>
                <w:sz w:val="20"/>
                <w:szCs w:val="20"/>
              </w:rPr>
              <w:t xml:space="preserve"> and proportionality of load paths</w:t>
            </w:r>
          </w:p>
        </w:tc>
        <w:tc>
          <w:tcPr>
            <w:tcW w:w="5812" w:type="dxa"/>
            <w:tcBorders>
              <w:top w:val="single" w:sz="8" w:space="0" w:color="BFBFBF"/>
              <w:left w:val="single" w:sz="8" w:space="0" w:color="BFBFBF"/>
              <w:bottom w:val="single" w:sz="8" w:space="0" w:color="BFBFBF"/>
              <w:right w:val="nil"/>
            </w:tcBorders>
          </w:tcPr>
          <w:p w14:paraId="55361C74" w14:textId="6F06AC5C" w:rsidR="00236DCF" w:rsidRPr="009275DD" w:rsidRDefault="00236DCF" w:rsidP="009275DD">
            <w:pPr>
              <w:pStyle w:val="TableText"/>
              <w:spacing w:beforeAutospacing="0" w:afterAutospacing="0" w:line="240" w:lineRule="auto"/>
              <w:rPr>
                <w:sz w:val="20"/>
                <w:szCs w:val="20"/>
              </w:rPr>
            </w:pPr>
            <w:r w:rsidRPr="009275DD">
              <w:rPr>
                <w:sz w:val="20"/>
                <w:szCs w:val="20"/>
              </w:rPr>
              <w:t>The recommendations of the SESOC Interim Design Guidance v11 for conventional systems should be followed</w:t>
            </w:r>
            <w:r w:rsidR="009A6627" w:rsidRPr="009275DD">
              <w:rPr>
                <w:sz w:val="20"/>
                <w:szCs w:val="20"/>
              </w:rPr>
              <w:t>.</w:t>
            </w:r>
          </w:p>
        </w:tc>
      </w:tr>
      <w:tr w:rsidR="00236DCF" w:rsidRPr="009275DD" w14:paraId="1220495B" w14:textId="77777777" w:rsidTr="00BA2610">
        <w:trPr>
          <w:cantSplit/>
        </w:trPr>
        <w:tc>
          <w:tcPr>
            <w:tcW w:w="1540" w:type="dxa"/>
            <w:tcBorders>
              <w:top w:val="single" w:sz="8" w:space="0" w:color="BFBFBF"/>
              <w:left w:val="nil"/>
              <w:bottom w:val="single" w:sz="8" w:space="0" w:color="BFBFBF"/>
              <w:right w:val="single" w:sz="8" w:space="0" w:color="BFBFBF"/>
            </w:tcBorders>
          </w:tcPr>
          <w:p w14:paraId="33C3CF91"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lastRenderedPageBreak/>
              <w:t xml:space="preserve">6 </w:t>
            </w:r>
          </w:p>
        </w:tc>
        <w:tc>
          <w:tcPr>
            <w:tcW w:w="2429" w:type="dxa"/>
            <w:tcBorders>
              <w:top w:val="single" w:sz="8" w:space="0" w:color="BFBFBF"/>
              <w:left w:val="single" w:sz="8" w:space="0" w:color="BFBFBF"/>
              <w:bottom w:val="single" w:sz="8" w:space="0" w:color="BFBFBF"/>
              <w:right w:val="single" w:sz="8" w:space="0" w:color="BFBFBF"/>
            </w:tcBorders>
          </w:tcPr>
          <w:p w14:paraId="79FEC231"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Limiting drift and displacement sensitivity</w:t>
            </w:r>
          </w:p>
        </w:tc>
        <w:tc>
          <w:tcPr>
            <w:tcW w:w="5812" w:type="dxa"/>
            <w:tcBorders>
              <w:top w:val="single" w:sz="8" w:space="0" w:color="BFBFBF"/>
              <w:left w:val="single" w:sz="8" w:space="0" w:color="BFBFBF"/>
              <w:bottom w:val="single" w:sz="8" w:space="0" w:color="BFBFBF"/>
              <w:right w:val="nil"/>
            </w:tcBorders>
          </w:tcPr>
          <w:p w14:paraId="3D6CCDCF" w14:textId="0298BD4F" w:rsidR="00236DCF" w:rsidRPr="009275DD" w:rsidRDefault="00236DCF" w:rsidP="009275DD">
            <w:pPr>
              <w:pStyle w:val="TableText"/>
              <w:spacing w:beforeAutospacing="0" w:afterAutospacing="0" w:line="240" w:lineRule="auto"/>
              <w:rPr>
                <w:sz w:val="20"/>
                <w:szCs w:val="20"/>
              </w:rPr>
            </w:pPr>
            <w:r w:rsidRPr="009275DD">
              <w:rPr>
                <w:sz w:val="20"/>
                <w:szCs w:val="20"/>
              </w:rPr>
              <w:t xml:space="preserve">Achieved through the requirements of Section </w:t>
            </w:r>
            <w:r w:rsidRPr="009275DD">
              <w:rPr>
                <w:sz w:val="20"/>
                <w:szCs w:val="20"/>
              </w:rPr>
              <w:fldChar w:fldCharType="begin"/>
            </w:r>
            <w:r w:rsidRPr="009275DD">
              <w:rPr>
                <w:sz w:val="20"/>
                <w:szCs w:val="20"/>
              </w:rPr>
              <w:instrText xml:space="preserve"> REF _Ref152326122 \r \h </w:instrText>
            </w:r>
            <w:r w:rsidR="00B975B2" w:rsidRPr="009275DD">
              <w:rPr>
                <w:sz w:val="20"/>
                <w:szCs w:val="20"/>
              </w:rPr>
              <w:instrText xml:space="preserve"> \* MERGEFORMAT </w:instrText>
            </w:r>
            <w:r w:rsidRPr="009275DD">
              <w:rPr>
                <w:sz w:val="20"/>
                <w:szCs w:val="20"/>
              </w:rPr>
            </w:r>
            <w:r w:rsidRPr="009275DD">
              <w:rPr>
                <w:sz w:val="20"/>
                <w:szCs w:val="20"/>
              </w:rPr>
              <w:fldChar w:fldCharType="separate"/>
            </w:r>
            <w:r w:rsidR="000761C1">
              <w:rPr>
                <w:sz w:val="20"/>
                <w:szCs w:val="20"/>
              </w:rPr>
              <w:t>C3.1</w:t>
            </w:r>
            <w:r w:rsidRPr="009275DD">
              <w:rPr>
                <w:sz w:val="20"/>
                <w:szCs w:val="20"/>
              </w:rPr>
              <w:fldChar w:fldCharType="end"/>
            </w:r>
            <w:r w:rsidRPr="009275DD">
              <w:rPr>
                <w:sz w:val="20"/>
                <w:szCs w:val="20"/>
              </w:rPr>
              <w:t>,</w:t>
            </w:r>
            <w:r w:rsidR="0052015D" w:rsidRPr="009275DD">
              <w:rPr>
                <w:sz w:val="20"/>
                <w:szCs w:val="20"/>
              </w:rPr>
              <w:t xml:space="preserve"> and</w:t>
            </w:r>
            <w:r w:rsidRPr="009275DD">
              <w:rPr>
                <w:sz w:val="20"/>
                <w:szCs w:val="20"/>
              </w:rPr>
              <w:t xml:space="preserve"> the recommendations of Section </w:t>
            </w:r>
            <w:r w:rsidRPr="009275DD">
              <w:rPr>
                <w:sz w:val="20"/>
                <w:szCs w:val="20"/>
              </w:rPr>
              <w:fldChar w:fldCharType="begin"/>
            </w:r>
            <w:r w:rsidRPr="009275DD">
              <w:rPr>
                <w:sz w:val="20"/>
                <w:szCs w:val="20"/>
              </w:rPr>
              <w:instrText xml:space="preserve"> REF _Ref149544426 \r \h  \* MERGEFORMAT </w:instrText>
            </w:r>
            <w:r w:rsidRPr="009275DD">
              <w:rPr>
                <w:sz w:val="20"/>
                <w:szCs w:val="20"/>
              </w:rPr>
            </w:r>
            <w:r w:rsidRPr="009275DD">
              <w:rPr>
                <w:sz w:val="20"/>
                <w:szCs w:val="20"/>
              </w:rPr>
              <w:fldChar w:fldCharType="separate"/>
            </w:r>
            <w:r w:rsidR="000761C1">
              <w:rPr>
                <w:sz w:val="20"/>
                <w:szCs w:val="20"/>
              </w:rPr>
              <w:t>C1.3</w:t>
            </w:r>
            <w:r w:rsidRPr="009275DD">
              <w:rPr>
                <w:sz w:val="20"/>
                <w:szCs w:val="20"/>
              </w:rPr>
              <w:fldChar w:fldCharType="end"/>
            </w:r>
            <w:r w:rsidRPr="009275DD">
              <w:rPr>
                <w:sz w:val="20"/>
                <w:szCs w:val="20"/>
              </w:rPr>
              <w:t xml:space="preserve"> regarding the application of TS 1170.5.</w:t>
            </w:r>
            <w:r w:rsidRPr="009275DD">
              <w:rPr>
                <w:sz w:val="20"/>
                <w:szCs w:val="20"/>
              </w:rPr>
              <w:br/>
              <w:t>Designers are encouraged to consider the benefits of post yield stiffness.</w:t>
            </w:r>
          </w:p>
        </w:tc>
      </w:tr>
      <w:tr w:rsidR="00236DCF" w:rsidRPr="009275DD" w14:paraId="53463069" w14:textId="77777777" w:rsidTr="00BA2610">
        <w:trPr>
          <w:cantSplit/>
        </w:trPr>
        <w:tc>
          <w:tcPr>
            <w:tcW w:w="1540" w:type="dxa"/>
            <w:tcBorders>
              <w:top w:val="single" w:sz="8" w:space="0" w:color="BFBFBF"/>
              <w:left w:val="nil"/>
              <w:bottom w:val="single" w:sz="8" w:space="0" w:color="BFBFBF"/>
              <w:right w:val="single" w:sz="8" w:space="0" w:color="BFBFBF"/>
            </w:tcBorders>
          </w:tcPr>
          <w:p w14:paraId="7BAAE2A6"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7</w:t>
            </w:r>
          </w:p>
        </w:tc>
        <w:tc>
          <w:tcPr>
            <w:tcW w:w="2429" w:type="dxa"/>
            <w:tcBorders>
              <w:top w:val="single" w:sz="8" w:space="0" w:color="BFBFBF"/>
              <w:left w:val="single" w:sz="8" w:space="0" w:color="BFBFBF"/>
              <w:bottom w:val="single" w:sz="8" w:space="0" w:color="BFBFBF"/>
              <w:right w:val="single" w:sz="8" w:space="0" w:color="BFBFBF"/>
            </w:tcBorders>
          </w:tcPr>
          <w:p w14:paraId="65C5FC27"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Soil structure interactions</w:t>
            </w:r>
          </w:p>
        </w:tc>
        <w:tc>
          <w:tcPr>
            <w:tcW w:w="5812" w:type="dxa"/>
            <w:tcBorders>
              <w:top w:val="single" w:sz="8" w:space="0" w:color="BFBFBF"/>
              <w:left w:val="single" w:sz="8" w:space="0" w:color="BFBFBF"/>
              <w:bottom w:val="single" w:sz="8" w:space="0" w:color="BFBFBF"/>
              <w:right w:val="nil"/>
            </w:tcBorders>
          </w:tcPr>
          <w:p w14:paraId="77675C20"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The Earthquake Geotechnical Practice Modules should be followed, alongside the recommendations of the SESOC Interim Design Guidance v11.</w:t>
            </w:r>
          </w:p>
        </w:tc>
      </w:tr>
      <w:tr w:rsidR="00236DCF" w:rsidRPr="009275DD" w14:paraId="116AE540" w14:textId="77777777" w:rsidTr="00BA2610">
        <w:trPr>
          <w:cantSplit/>
        </w:trPr>
        <w:tc>
          <w:tcPr>
            <w:tcW w:w="1540" w:type="dxa"/>
            <w:tcBorders>
              <w:top w:val="single" w:sz="8" w:space="0" w:color="BFBFBF"/>
              <w:left w:val="nil"/>
              <w:bottom w:val="nil"/>
              <w:right w:val="single" w:sz="8" w:space="0" w:color="BFBFBF"/>
            </w:tcBorders>
          </w:tcPr>
          <w:p w14:paraId="46BBFE7E" w14:textId="77777777" w:rsidR="00236DCF" w:rsidRPr="009275DD" w:rsidRDefault="00236DCF" w:rsidP="009275DD">
            <w:pPr>
              <w:pStyle w:val="TableText"/>
              <w:spacing w:beforeAutospacing="0" w:afterAutospacing="0" w:line="240" w:lineRule="auto"/>
              <w:rPr>
                <w:sz w:val="20"/>
                <w:szCs w:val="20"/>
              </w:rPr>
            </w:pPr>
            <w:r w:rsidRPr="009275DD">
              <w:rPr>
                <w:sz w:val="20"/>
                <w:szCs w:val="20"/>
              </w:rPr>
              <w:t>8</w:t>
            </w:r>
          </w:p>
        </w:tc>
        <w:tc>
          <w:tcPr>
            <w:tcW w:w="2429" w:type="dxa"/>
            <w:tcBorders>
              <w:top w:val="single" w:sz="8" w:space="0" w:color="BFBFBF"/>
              <w:left w:val="single" w:sz="8" w:space="0" w:color="BFBFBF"/>
              <w:bottom w:val="nil"/>
              <w:right w:val="single" w:sz="8" w:space="0" w:color="BFBFBF"/>
            </w:tcBorders>
          </w:tcPr>
          <w:p w14:paraId="351EF327" w14:textId="7162AE24" w:rsidR="00236DCF" w:rsidRPr="009275DD" w:rsidRDefault="00F82FAA" w:rsidP="009275DD">
            <w:pPr>
              <w:pStyle w:val="TableText"/>
              <w:spacing w:beforeAutospacing="0" w:afterAutospacing="0" w:line="240" w:lineRule="auto"/>
              <w:rPr>
                <w:sz w:val="20"/>
                <w:szCs w:val="20"/>
              </w:rPr>
            </w:pPr>
            <w:r w:rsidRPr="009275DD">
              <w:rPr>
                <w:sz w:val="20"/>
                <w:szCs w:val="20"/>
              </w:rPr>
              <w:t>Site S</w:t>
            </w:r>
            <w:r w:rsidR="00236DCF" w:rsidRPr="009275DD">
              <w:rPr>
                <w:sz w:val="20"/>
                <w:szCs w:val="20"/>
              </w:rPr>
              <w:t>pecific Hazard Studies</w:t>
            </w:r>
          </w:p>
        </w:tc>
        <w:tc>
          <w:tcPr>
            <w:tcW w:w="5812" w:type="dxa"/>
            <w:tcBorders>
              <w:top w:val="single" w:sz="8" w:space="0" w:color="BFBFBF"/>
              <w:left w:val="single" w:sz="8" w:space="0" w:color="BFBFBF"/>
              <w:bottom w:val="nil"/>
              <w:right w:val="nil"/>
            </w:tcBorders>
          </w:tcPr>
          <w:p w14:paraId="7F62EEAA" w14:textId="061729E7" w:rsidR="00236DCF" w:rsidRPr="009275DD" w:rsidRDefault="00236DCF" w:rsidP="009275DD">
            <w:pPr>
              <w:pStyle w:val="TableText"/>
              <w:spacing w:beforeAutospacing="0" w:afterAutospacing="0" w:line="240" w:lineRule="auto"/>
              <w:rPr>
                <w:sz w:val="20"/>
                <w:szCs w:val="20"/>
              </w:rPr>
            </w:pPr>
            <w:r w:rsidRPr="009275DD">
              <w:rPr>
                <w:sz w:val="20"/>
                <w:szCs w:val="20"/>
              </w:rPr>
              <w:t xml:space="preserve">Refer to Section </w:t>
            </w:r>
            <w:r w:rsidRPr="009275DD">
              <w:rPr>
                <w:sz w:val="20"/>
                <w:szCs w:val="20"/>
              </w:rPr>
              <w:fldChar w:fldCharType="begin"/>
            </w:r>
            <w:r w:rsidRPr="009275DD">
              <w:rPr>
                <w:sz w:val="20"/>
                <w:szCs w:val="20"/>
              </w:rPr>
              <w:instrText xml:space="preserve"> REF _Ref149544426 \r \h  \* MERGEFORMAT </w:instrText>
            </w:r>
            <w:r w:rsidRPr="009275DD">
              <w:rPr>
                <w:sz w:val="20"/>
                <w:szCs w:val="20"/>
              </w:rPr>
            </w:r>
            <w:r w:rsidRPr="009275DD">
              <w:rPr>
                <w:sz w:val="20"/>
                <w:szCs w:val="20"/>
              </w:rPr>
              <w:fldChar w:fldCharType="separate"/>
            </w:r>
            <w:r w:rsidR="000761C1">
              <w:rPr>
                <w:sz w:val="20"/>
                <w:szCs w:val="20"/>
              </w:rPr>
              <w:t>C1.3</w:t>
            </w:r>
            <w:r w:rsidRPr="009275DD">
              <w:rPr>
                <w:sz w:val="20"/>
                <w:szCs w:val="20"/>
              </w:rPr>
              <w:fldChar w:fldCharType="end"/>
            </w:r>
            <w:r w:rsidRPr="009275DD">
              <w:rPr>
                <w:sz w:val="20"/>
                <w:szCs w:val="20"/>
              </w:rPr>
              <w:t xml:space="preserve"> </w:t>
            </w:r>
            <w:r w:rsidRPr="009275DD">
              <w:rPr>
                <w:sz w:val="20"/>
                <w:szCs w:val="20"/>
              </w:rPr>
              <w:fldChar w:fldCharType="begin"/>
            </w:r>
            <w:r w:rsidRPr="009275DD">
              <w:rPr>
                <w:sz w:val="20"/>
                <w:szCs w:val="20"/>
              </w:rPr>
              <w:instrText xml:space="preserve"> REF _Ref149544426 \h  \* MERGEFORMAT </w:instrText>
            </w:r>
            <w:r w:rsidRPr="009275DD">
              <w:rPr>
                <w:sz w:val="20"/>
                <w:szCs w:val="20"/>
              </w:rPr>
            </w:r>
            <w:r w:rsidRPr="009275DD">
              <w:rPr>
                <w:sz w:val="20"/>
                <w:szCs w:val="20"/>
              </w:rPr>
              <w:fldChar w:fldCharType="separate"/>
            </w:r>
            <w:r w:rsidR="000761C1" w:rsidRPr="000761C1">
              <w:rPr>
                <w:sz w:val="20"/>
                <w:szCs w:val="20"/>
              </w:rPr>
              <w:t>Seismic Loading</w:t>
            </w:r>
            <w:r w:rsidRPr="009275DD">
              <w:rPr>
                <w:sz w:val="20"/>
                <w:szCs w:val="20"/>
              </w:rPr>
              <w:fldChar w:fldCharType="end"/>
            </w:r>
            <w:r w:rsidR="009A6627" w:rsidRPr="009275DD">
              <w:rPr>
                <w:sz w:val="20"/>
                <w:szCs w:val="20"/>
              </w:rPr>
              <w:t>.</w:t>
            </w:r>
          </w:p>
        </w:tc>
      </w:tr>
      <w:tr w:rsidR="00875C5B" w:rsidRPr="009275DD" w14:paraId="1E8EA642" w14:textId="77777777" w:rsidTr="00BA2610">
        <w:trPr>
          <w:cantSplit/>
        </w:trPr>
        <w:tc>
          <w:tcPr>
            <w:tcW w:w="1540" w:type="dxa"/>
            <w:tcBorders>
              <w:top w:val="nil"/>
              <w:left w:val="nil"/>
              <w:bottom w:val="nil"/>
              <w:right w:val="nil"/>
            </w:tcBorders>
          </w:tcPr>
          <w:p w14:paraId="089FBBA6" w14:textId="77777777" w:rsidR="00875C5B" w:rsidRPr="009275DD" w:rsidRDefault="00875C5B" w:rsidP="009275DD">
            <w:pPr>
              <w:pStyle w:val="TableText"/>
              <w:spacing w:beforeAutospacing="0" w:afterAutospacing="0" w:line="240" w:lineRule="auto"/>
              <w:rPr>
                <w:sz w:val="20"/>
                <w:szCs w:val="20"/>
              </w:rPr>
            </w:pPr>
          </w:p>
        </w:tc>
        <w:tc>
          <w:tcPr>
            <w:tcW w:w="2429" w:type="dxa"/>
            <w:tcBorders>
              <w:top w:val="nil"/>
              <w:left w:val="nil"/>
              <w:bottom w:val="nil"/>
              <w:right w:val="nil"/>
            </w:tcBorders>
          </w:tcPr>
          <w:p w14:paraId="72EE9309" w14:textId="77777777" w:rsidR="00875C5B" w:rsidRPr="009275DD" w:rsidRDefault="00875C5B" w:rsidP="009275DD">
            <w:pPr>
              <w:pStyle w:val="TableText"/>
              <w:spacing w:beforeAutospacing="0" w:afterAutospacing="0" w:line="240" w:lineRule="auto"/>
              <w:rPr>
                <w:sz w:val="20"/>
                <w:szCs w:val="20"/>
              </w:rPr>
            </w:pPr>
          </w:p>
        </w:tc>
        <w:tc>
          <w:tcPr>
            <w:tcW w:w="5812" w:type="dxa"/>
            <w:tcBorders>
              <w:top w:val="nil"/>
              <w:left w:val="nil"/>
              <w:bottom w:val="nil"/>
              <w:right w:val="nil"/>
            </w:tcBorders>
          </w:tcPr>
          <w:p w14:paraId="458BC844" w14:textId="77777777" w:rsidR="00875C5B" w:rsidRPr="009275DD" w:rsidRDefault="00875C5B" w:rsidP="009275DD">
            <w:pPr>
              <w:pStyle w:val="TableText"/>
              <w:spacing w:beforeAutospacing="0" w:afterAutospacing="0" w:line="240" w:lineRule="auto"/>
              <w:rPr>
                <w:sz w:val="20"/>
                <w:szCs w:val="20"/>
              </w:rPr>
            </w:pPr>
          </w:p>
        </w:tc>
      </w:tr>
    </w:tbl>
    <w:p w14:paraId="58A81F62" w14:textId="77777777" w:rsidR="00875C5B" w:rsidRDefault="00875C5B" w:rsidP="00933380">
      <w:pPr>
        <w:pStyle w:val="HiddenEditorialCommentary"/>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p>
    <w:p w14:paraId="22BAEEB9" w14:textId="77777777" w:rsidR="004D3F94" w:rsidRPr="00B975B2" w:rsidRDefault="004D3F94" w:rsidP="00933380">
      <w:pPr>
        <w:pStyle w:val="HiddenEditorialCommentary"/>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p>
    <w:p w14:paraId="504BA71E" w14:textId="5BA80996" w:rsidR="00C92C49" w:rsidRPr="00B975B2" w:rsidRDefault="00775292" w:rsidP="00BA2610">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spacing w:after="100"/>
        <w:rPr>
          <w:lang w:val="en-GB"/>
        </w:rPr>
      </w:pPr>
      <w:r w:rsidRPr="00B975B2">
        <w:rPr>
          <w:lang w:val="en-GB"/>
        </w:rPr>
        <w:t>The purpose of applying these principles is to ensure</w:t>
      </w:r>
      <w:r w:rsidR="006B0231" w:rsidRPr="00B975B2">
        <w:rPr>
          <w:lang w:val="en-GB"/>
        </w:rPr>
        <w:t xml:space="preserve"> </w:t>
      </w:r>
      <w:r w:rsidR="008F427B" w:rsidRPr="00B975B2">
        <w:rPr>
          <w:lang w:val="en-GB"/>
        </w:rPr>
        <w:t xml:space="preserve">that </w:t>
      </w:r>
      <w:r w:rsidR="007D5C79">
        <w:rPr>
          <w:lang w:val="en-GB"/>
        </w:rPr>
        <w:t xml:space="preserve">Health NZ </w:t>
      </w:r>
      <w:r w:rsidR="008F427B" w:rsidRPr="00B975B2">
        <w:rPr>
          <w:lang w:val="en-GB"/>
        </w:rPr>
        <w:t xml:space="preserve">as a </w:t>
      </w:r>
      <w:r w:rsidR="00C610E9" w:rsidRPr="00B975B2">
        <w:rPr>
          <w:lang w:val="en-GB"/>
        </w:rPr>
        <w:t>near-</w:t>
      </w:r>
      <w:r w:rsidR="008F427B" w:rsidRPr="00B975B2">
        <w:rPr>
          <w:lang w:val="en-GB"/>
        </w:rPr>
        <w:t xml:space="preserve">perpetual </w:t>
      </w:r>
      <w:r w:rsidR="00CA5669" w:rsidRPr="00B975B2">
        <w:rPr>
          <w:lang w:val="en-GB"/>
        </w:rPr>
        <w:t>asset</w:t>
      </w:r>
      <w:r w:rsidR="008F427B" w:rsidRPr="00B975B2">
        <w:rPr>
          <w:lang w:val="en-GB"/>
        </w:rPr>
        <w:t xml:space="preserve"> owner </w:t>
      </w:r>
      <w:r w:rsidR="003A3B13" w:rsidRPr="00B975B2">
        <w:rPr>
          <w:lang w:val="en-GB"/>
        </w:rPr>
        <w:t xml:space="preserve">develop </w:t>
      </w:r>
      <w:r w:rsidR="006B0231" w:rsidRPr="00B975B2">
        <w:rPr>
          <w:lang w:val="en-GB"/>
        </w:rPr>
        <w:t>safe</w:t>
      </w:r>
      <w:r w:rsidR="00AE0784" w:rsidRPr="00B975B2">
        <w:rPr>
          <w:lang w:val="en-GB"/>
        </w:rPr>
        <w:t xml:space="preserve"> and</w:t>
      </w:r>
      <w:r w:rsidR="006B0231" w:rsidRPr="00B975B2">
        <w:rPr>
          <w:lang w:val="en-GB"/>
        </w:rPr>
        <w:t xml:space="preserve"> </w:t>
      </w:r>
      <w:r w:rsidR="00AE0784" w:rsidRPr="00B975B2">
        <w:rPr>
          <w:lang w:val="en-GB"/>
        </w:rPr>
        <w:t xml:space="preserve">enduring </w:t>
      </w:r>
      <w:r w:rsidR="006B0231" w:rsidRPr="00B975B2">
        <w:rPr>
          <w:lang w:val="en-GB"/>
        </w:rPr>
        <w:t>designs that</w:t>
      </w:r>
      <w:r w:rsidR="00755DE2" w:rsidRPr="00B975B2">
        <w:rPr>
          <w:lang w:val="en-GB"/>
        </w:rPr>
        <w:t>,</w:t>
      </w:r>
      <w:r w:rsidR="006B0231" w:rsidRPr="00B975B2">
        <w:rPr>
          <w:lang w:val="en-GB"/>
        </w:rPr>
        <w:t xml:space="preserve"> </w:t>
      </w:r>
      <w:r w:rsidR="00F6364F" w:rsidRPr="00B975B2">
        <w:rPr>
          <w:lang w:val="en-GB"/>
        </w:rPr>
        <w:t>because of the way they are configured and constructed</w:t>
      </w:r>
      <w:r w:rsidR="008F3A50" w:rsidRPr="00B975B2">
        <w:rPr>
          <w:lang w:val="en-GB"/>
        </w:rPr>
        <w:t>,</w:t>
      </w:r>
      <w:r w:rsidR="00F6364F" w:rsidRPr="00B975B2">
        <w:rPr>
          <w:lang w:val="en-GB"/>
        </w:rPr>
        <w:t xml:space="preserve"> </w:t>
      </w:r>
      <w:r w:rsidR="006B0231" w:rsidRPr="00B975B2">
        <w:rPr>
          <w:lang w:val="en-GB"/>
        </w:rPr>
        <w:t xml:space="preserve">are </w:t>
      </w:r>
      <w:r w:rsidR="004D3E59" w:rsidRPr="00B975B2">
        <w:rPr>
          <w:lang w:val="en-GB"/>
        </w:rPr>
        <w:t xml:space="preserve">largely insensitive </w:t>
      </w:r>
      <w:r w:rsidR="007128DC" w:rsidRPr="00B975B2">
        <w:rPr>
          <w:lang w:val="en-GB"/>
        </w:rPr>
        <w:t xml:space="preserve">to </w:t>
      </w:r>
      <w:r w:rsidR="00C92C49" w:rsidRPr="00B975B2">
        <w:rPr>
          <w:lang w:val="en-GB"/>
        </w:rPr>
        <w:t>aspects such as</w:t>
      </w:r>
      <w:r w:rsidR="00767DF6" w:rsidRPr="00B975B2">
        <w:rPr>
          <w:lang w:val="en-GB"/>
        </w:rPr>
        <w:t>:</w:t>
      </w:r>
    </w:p>
    <w:p w14:paraId="4A9F3CAD" w14:textId="6EAD8726" w:rsidR="00C92C49" w:rsidRPr="00B975B2" w:rsidRDefault="00767DF6" w:rsidP="00BA2610">
      <w:pPr>
        <w:pStyle w:val="Box"/>
        <w:numPr>
          <w:ilvl w:val="0"/>
          <w:numId w:val="17"/>
        </w:numPr>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spacing w:after="100"/>
        <w:rPr>
          <w:lang w:val="en-GB"/>
        </w:rPr>
      </w:pPr>
      <w:r w:rsidRPr="00B975B2">
        <w:rPr>
          <w:lang w:val="en-GB"/>
        </w:rPr>
        <w:t xml:space="preserve">Continually </w:t>
      </w:r>
      <w:r w:rsidR="006E53C1" w:rsidRPr="00B975B2">
        <w:rPr>
          <w:lang w:val="en-GB"/>
        </w:rPr>
        <w:t>developing understanding of earthquake hazards over time</w:t>
      </w:r>
      <w:r w:rsidR="00B362C5" w:rsidRPr="00B975B2">
        <w:rPr>
          <w:lang w:val="en-GB"/>
        </w:rPr>
        <w:t>.</w:t>
      </w:r>
    </w:p>
    <w:p w14:paraId="25D4F547" w14:textId="7178DB21" w:rsidR="00A12E6A" w:rsidRPr="00B975B2" w:rsidRDefault="00A439C2" w:rsidP="00BA2610">
      <w:pPr>
        <w:pStyle w:val="Box"/>
        <w:numPr>
          <w:ilvl w:val="0"/>
          <w:numId w:val="17"/>
        </w:numPr>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spacing w:after="100"/>
        <w:rPr>
          <w:lang w:val="en-GB"/>
        </w:rPr>
      </w:pPr>
      <w:r w:rsidRPr="00B975B2">
        <w:rPr>
          <w:lang w:val="en-GB"/>
        </w:rPr>
        <w:t>Future decisions about use</w:t>
      </w:r>
      <w:r w:rsidR="002D1737" w:rsidRPr="00B975B2">
        <w:rPr>
          <w:lang w:val="en-GB"/>
        </w:rPr>
        <w:t xml:space="preserve"> (particularly for </w:t>
      </w:r>
      <w:r w:rsidR="006B5DA4" w:rsidRPr="00B975B2">
        <w:rPr>
          <w:lang w:val="en-GB"/>
        </w:rPr>
        <w:t xml:space="preserve">buildings with </w:t>
      </w:r>
      <w:r w:rsidR="002D1737" w:rsidRPr="00B975B2">
        <w:rPr>
          <w:lang w:val="en-GB"/>
        </w:rPr>
        <w:t xml:space="preserve">lower </w:t>
      </w:r>
      <w:r w:rsidR="006B5DA4" w:rsidRPr="00B975B2">
        <w:rPr>
          <w:lang w:val="en-GB"/>
        </w:rPr>
        <w:t>Importance Levels in their proposed use)</w:t>
      </w:r>
      <w:r w:rsidR="00B362C5" w:rsidRPr="00B975B2">
        <w:rPr>
          <w:lang w:val="en-GB"/>
        </w:rPr>
        <w:t>.</w:t>
      </w:r>
    </w:p>
    <w:p w14:paraId="4ED44565" w14:textId="4E3547DC" w:rsidR="006E53C1" w:rsidRPr="00B975B2" w:rsidRDefault="00BA4A04" w:rsidP="00BA2610">
      <w:pPr>
        <w:pStyle w:val="Box"/>
        <w:numPr>
          <w:ilvl w:val="0"/>
          <w:numId w:val="17"/>
        </w:numPr>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spacing w:after="100"/>
        <w:rPr>
          <w:lang w:val="en-GB"/>
        </w:rPr>
      </w:pPr>
      <w:r w:rsidRPr="00B975B2">
        <w:rPr>
          <w:lang w:val="en-GB"/>
        </w:rPr>
        <w:t xml:space="preserve">Tolerance to foundation movements, </w:t>
      </w:r>
      <w:r w:rsidR="00FC09F0" w:rsidRPr="00B975B2">
        <w:rPr>
          <w:lang w:val="en-GB"/>
        </w:rPr>
        <w:t>geotechnical</w:t>
      </w:r>
      <w:r w:rsidR="0056660B" w:rsidRPr="00B975B2">
        <w:rPr>
          <w:lang w:val="en-GB"/>
        </w:rPr>
        <w:t xml:space="preserve"> interaction</w:t>
      </w:r>
      <w:r w:rsidR="00FC09F0" w:rsidRPr="00B975B2">
        <w:rPr>
          <w:lang w:val="en-GB"/>
        </w:rPr>
        <w:t xml:space="preserve"> and ground behaviour </w:t>
      </w:r>
      <w:r w:rsidRPr="00B975B2">
        <w:rPr>
          <w:lang w:val="en-GB"/>
        </w:rPr>
        <w:t>uncertainties</w:t>
      </w:r>
      <w:r w:rsidR="00B362C5" w:rsidRPr="00B975B2">
        <w:rPr>
          <w:lang w:val="en-GB"/>
        </w:rPr>
        <w:t>.</w:t>
      </w:r>
    </w:p>
    <w:p w14:paraId="7E9D527E" w14:textId="42EEBCD1" w:rsidR="00A3262B" w:rsidRPr="00B975B2" w:rsidRDefault="00A3262B" w:rsidP="004D55F1">
      <w:pPr>
        <w:pStyle w:val="Box"/>
        <w:numPr>
          <w:ilvl w:val="0"/>
          <w:numId w:val="17"/>
        </w:numPr>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r w:rsidRPr="00B975B2">
        <w:rPr>
          <w:lang w:val="en-GB"/>
        </w:rPr>
        <w:t>The inherent uncertainties of earthquakes</w:t>
      </w:r>
      <w:r w:rsidR="003E67CF" w:rsidRPr="00B975B2">
        <w:rPr>
          <w:lang w:val="en-GB"/>
        </w:rPr>
        <w:t xml:space="preserve"> and their </w:t>
      </w:r>
      <w:r w:rsidR="004504FD" w:rsidRPr="00B975B2">
        <w:rPr>
          <w:lang w:val="en-GB"/>
        </w:rPr>
        <w:t xml:space="preserve">effects on </w:t>
      </w:r>
      <w:r w:rsidR="006B4A5C" w:rsidRPr="00B975B2">
        <w:rPr>
          <w:lang w:val="en-GB"/>
        </w:rPr>
        <w:t xml:space="preserve">the way </w:t>
      </w:r>
      <w:r w:rsidR="00305AA4" w:rsidRPr="00B975B2">
        <w:rPr>
          <w:lang w:val="en-GB"/>
        </w:rPr>
        <w:t>structures and soils</w:t>
      </w:r>
      <w:r w:rsidR="006B4A5C" w:rsidRPr="00B975B2">
        <w:rPr>
          <w:lang w:val="en-GB"/>
        </w:rPr>
        <w:t xml:space="preserve"> respond</w:t>
      </w:r>
      <w:r w:rsidR="00B362C5" w:rsidRPr="00B975B2">
        <w:rPr>
          <w:lang w:val="en-GB"/>
        </w:rPr>
        <w:t>.</w:t>
      </w:r>
    </w:p>
    <w:p w14:paraId="6BF3538A" w14:textId="38F6571E" w:rsidR="0045601D" w:rsidRPr="00B975B2" w:rsidRDefault="00CA7668" w:rsidP="00933380">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r w:rsidRPr="00B975B2">
        <w:rPr>
          <w:lang w:val="en-GB"/>
        </w:rPr>
        <w:t>This document links</w:t>
      </w:r>
      <w:r w:rsidR="00CA1B31" w:rsidRPr="00B975B2">
        <w:rPr>
          <w:lang w:val="en-GB"/>
        </w:rPr>
        <w:t xml:space="preserve"> these requirements most strongly to</w:t>
      </w:r>
      <w:r w:rsidR="0008007C" w:rsidRPr="00B975B2">
        <w:rPr>
          <w:lang w:val="en-GB"/>
        </w:rPr>
        <w:t xml:space="preserve"> Ultimate Limit</w:t>
      </w:r>
      <w:r w:rsidR="00B90397" w:rsidRPr="00B975B2">
        <w:rPr>
          <w:lang w:val="en-GB"/>
        </w:rPr>
        <w:t xml:space="preserve"> State considerations</w:t>
      </w:r>
      <w:r w:rsidR="00CA1B31" w:rsidRPr="00B975B2">
        <w:rPr>
          <w:lang w:val="en-GB"/>
        </w:rPr>
        <w:t xml:space="preserve">. </w:t>
      </w:r>
      <w:r w:rsidR="00080039" w:rsidRPr="00B975B2">
        <w:rPr>
          <w:lang w:val="en-GB"/>
        </w:rPr>
        <w:t>However,</w:t>
      </w:r>
      <w:r w:rsidR="00CA1B31" w:rsidRPr="00B975B2">
        <w:rPr>
          <w:lang w:val="en-GB"/>
        </w:rPr>
        <w:t xml:space="preserve"> many of the requirements are in common with those that give far improved expectations of continued functionality and minimisation of damage</w:t>
      </w:r>
      <w:r w:rsidR="00ED2B11">
        <w:rPr>
          <w:lang w:val="en-GB"/>
        </w:rPr>
        <w:t xml:space="preserve"> </w:t>
      </w:r>
      <w:r w:rsidR="00CA1B31" w:rsidRPr="00B975B2">
        <w:rPr>
          <w:lang w:val="en-GB"/>
        </w:rPr>
        <w:t>across a range of earthquake shaking levels.</w:t>
      </w:r>
    </w:p>
    <w:p w14:paraId="55C98AB5" w14:textId="751F05D8" w:rsidR="009E2E58" w:rsidRPr="00B975B2" w:rsidRDefault="009B0039" w:rsidP="00933380">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r w:rsidRPr="00B975B2">
        <w:rPr>
          <w:lang w:val="en-GB"/>
        </w:rPr>
        <w:t xml:space="preserve">Whilst </w:t>
      </w:r>
      <w:r w:rsidR="00121DA6" w:rsidRPr="00B975B2">
        <w:rPr>
          <w:lang w:val="en-GB"/>
        </w:rPr>
        <w:t>design shaking levels are an important part of any structural design process</w:t>
      </w:r>
      <w:r w:rsidR="00DB7F4B" w:rsidRPr="00B975B2">
        <w:rPr>
          <w:lang w:val="en-GB"/>
        </w:rPr>
        <w:t>—</w:t>
      </w:r>
      <w:r w:rsidR="00042E17" w:rsidRPr="00B975B2">
        <w:rPr>
          <w:lang w:val="en-GB"/>
        </w:rPr>
        <w:t xml:space="preserve">the catalogue </w:t>
      </w:r>
      <w:r w:rsidR="004E4A6F" w:rsidRPr="00B975B2">
        <w:rPr>
          <w:lang w:val="en-GB"/>
        </w:rPr>
        <w:t>of building collapses</w:t>
      </w:r>
      <w:r w:rsidR="00FF4BBA" w:rsidRPr="00B975B2">
        <w:rPr>
          <w:lang w:val="en-GB"/>
        </w:rPr>
        <w:t xml:space="preserve"> shows us that</w:t>
      </w:r>
      <w:r w:rsidR="004E4A6F" w:rsidRPr="00B975B2">
        <w:rPr>
          <w:lang w:val="en-GB"/>
        </w:rPr>
        <w:t xml:space="preserve"> </w:t>
      </w:r>
      <w:r w:rsidR="00083B09" w:rsidRPr="00B975B2">
        <w:rPr>
          <w:lang w:val="en-GB"/>
        </w:rPr>
        <w:t xml:space="preserve">robust and ductile design principles </w:t>
      </w:r>
      <w:r w:rsidR="005D1025" w:rsidRPr="00B975B2">
        <w:rPr>
          <w:lang w:val="en-GB"/>
        </w:rPr>
        <w:t xml:space="preserve">have a </w:t>
      </w:r>
      <w:r w:rsidR="00FF4BBA" w:rsidRPr="00B975B2">
        <w:rPr>
          <w:lang w:val="en-GB"/>
        </w:rPr>
        <w:t>greater</w:t>
      </w:r>
      <w:r w:rsidR="005E7F8B" w:rsidRPr="00B975B2">
        <w:rPr>
          <w:lang w:val="en-GB"/>
        </w:rPr>
        <w:t xml:space="preserve"> influence</w:t>
      </w:r>
      <w:r w:rsidR="00FF4BBA" w:rsidRPr="00B975B2">
        <w:rPr>
          <w:lang w:val="en-GB"/>
        </w:rPr>
        <w:t xml:space="preserve"> on safety</w:t>
      </w:r>
      <w:r w:rsidR="001672B3" w:rsidRPr="00B975B2">
        <w:rPr>
          <w:lang w:val="en-GB"/>
        </w:rPr>
        <w:t xml:space="preserve"> and performance</w:t>
      </w:r>
      <w:r w:rsidR="00DB7F4B" w:rsidRPr="00B975B2">
        <w:rPr>
          <w:lang w:val="en-GB"/>
        </w:rPr>
        <w:t>.</w:t>
      </w:r>
    </w:p>
    <w:p w14:paraId="51308595" w14:textId="75664DBB" w:rsidR="00F970B8" w:rsidRPr="00B975B2" w:rsidRDefault="009E2E58" w:rsidP="00933380">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rPr>
          <w:lang w:val="en-GB"/>
        </w:rPr>
      </w:pPr>
      <w:r w:rsidRPr="00B975B2">
        <w:rPr>
          <w:lang w:val="en-GB"/>
        </w:rPr>
        <w:t>Thus, i</w:t>
      </w:r>
      <w:r w:rsidR="0031402D" w:rsidRPr="00B975B2">
        <w:rPr>
          <w:lang w:val="en-GB"/>
        </w:rPr>
        <w:t xml:space="preserve">n projects constrained by cost and </w:t>
      </w:r>
      <w:r w:rsidR="003F4287" w:rsidRPr="00B975B2">
        <w:rPr>
          <w:lang w:val="en-GB"/>
        </w:rPr>
        <w:t xml:space="preserve">imperatives to minimise </w:t>
      </w:r>
      <w:r w:rsidR="006F1DB7" w:rsidRPr="00B975B2">
        <w:rPr>
          <w:lang w:val="en-GB"/>
        </w:rPr>
        <w:t>emissions</w:t>
      </w:r>
      <w:r w:rsidR="00ED2B11">
        <w:rPr>
          <w:lang w:val="en-GB"/>
        </w:rPr>
        <w:t xml:space="preserve">, </w:t>
      </w:r>
      <w:r w:rsidR="002427ED" w:rsidRPr="00B975B2">
        <w:rPr>
          <w:lang w:val="en-GB"/>
        </w:rPr>
        <w:t xml:space="preserve">it </w:t>
      </w:r>
      <w:r w:rsidR="00A71435" w:rsidRPr="00B975B2">
        <w:rPr>
          <w:lang w:val="en-GB"/>
        </w:rPr>
        <w:t xml:space="preserve">is </w:t>
      </w:r>
      <w:r w:rsidR="002427ED" w:rsidRPr="00B975B2">
        <w:rPr>
          <w:lang w:val="en-GB"/>
        </w:rPr>
        <w:t xml:space="preserve">more important to put material and detailing </w:t>
      </w:r>
      <w:r w:rsidR="00894CB5" w:rsidRPr="00B975B2">
        <w:rPr>
          <w:lang w:val="en-GB"/>
        </w:rPr>
        <w:t xml:space="preserve">effort into </w:t>
      </w:r>
      <w:r w:rsidR="00A17E45" w:rsidRPr="00B975B2">
        <w:rPr>
          <w:lang w:val="en-GB"/>
        </w:rPr>
        <w:t>ductile hierarchy</w:t>
      </w:r>
      <w:r w:rsidR="004403B3" w:rsidRPr="00B975B2">
        <w:rPr>
          <w:lang w:val="en-GB"/>
        </w:rPr>
        <w:t xml:space="preserve"> (most importantly connections, and potentially columns, for example)</w:t>
      </w:r>
      <w:r w:rsidR="002145BE" w:rsidRPr="00B975B2">
        <w:rPr>
          <w:lang w:val="en-GB"/>
        </w:rPr>
        <w:t xml:space="preserve"> than it is </w:t>
      </w:r>
      <w:r w:rsidR="00F0092F" w:rsidRPr="00B975B2">
        <w:rPr>
          <w:lang w:val="en-GB"/>
        </w:rPr>
        <w:t xml:space="preserve">to put that material into </w:t>
      </w:r>
      <w:r w:rsidR="00D247E2" w:rsidRPr="00B975B2">
        <w:rPr>
          <w:lang w:val="en-GB"/>
        </w:rPr>
        <w:t>additional</w:t>
      </w:r>
      <w:r w:rsidR="00F0092F" w:rsidRPr="00B975B2">
        <w:rPr>
          <w:lang w:val="en-GB"/>
        </w:rPr>
        <w:t xml:space="preserve"> building strength</w:t>
      </w:r>
      <w:r w:rsidR="00BB491B" w:rsidRPr="00B975B2">
        <w:rPr>
          <w:lang w:val="en-GB"/>
        </w:rPr>
        <w:t>. The latter</w:t>
      </w:r>
      <w:r w:rsidR="009061AE" w:rsidRPr="00B975B2">
        <w:rPr>
          <w:lang w:val="en-GB"/>
        </w:rPr>
        <w:t xml:space="preserve"> increases the difficulty</w:t>
      </w:r>
      <w:r w:rsidR="00F970B8" w:rsidRPr="00B975B2">
        <w:rPr>
          <w:lang w:val="en-GB"/>
        </w:rPr>
        <w:t xml:space="preserve"> an</w:t>
      </w:r>
      <w:r w:rsidR="00BB491B" w:rsidRPr="00B975B2">
        <w:rPr>
          <w:lang w:val="en-GB"/>
        </w:rPr>
        <w:t>d</w:t>
      </w:r>
      <w:r w:rsidR="00F970B8" w:rsidRPr="00B975B2">
        <w:rPr>
          <w:lang w:val="en-GB"/>
        </w:rPr>
        <w:t xml:space="preserve"> expense</w:t>
      </w:r>
      <w:r w:rsidR="009061AE" w:rsidRPr="00B975B2">
        <w:rPr>
          <w:lang w:val="en-GB"/>
        </w:rPr>
        <w:t xml:space="preserve"> in </w:t>
      </w:r>
      <w:r w:rsidR="00F970B8" w:rsidRPr="00B975B2">
        <w:rPr>
          <w:lang w:val="en-GB"/>
        </w:rPr>
        <w:t>maintaining robust hierarch</w:t>
      </w:r>
      <w:r w:rsidR="00BB491B" w:rsidRPr="00B975B2">
        <w:rPr>
          <w:lang w:val="en-GB"/>
        </w:rPr>
        <w:t>ies</w:t>
      </w:r>
      <w:r w:rsidRPr="00B975B2">
        <w:rPr>
          <w:lang w:val="en-GB"/>
        </w:rPr>
        <w:t xml:space="preserve"> of structural behaviour</w:t>
      </w:r>
      <w:r w:rsidR="007B797F" w:rsidRPr="00B975B2">
        <w:rPr>
          <w:lang w:val="en-GB"/>
        </w:rPr>
        <w:t>.</w:t>
      </w:r>
      <w:r w:rsidR="00266D0F" w:rsidRPr="00B975B2">
        <w:rPr>
          <w:lang w:val="en-GB"/>
        </w:rPr>
        <w:t xml:space="preserve"> It</w:t>
      </w:r>
      <w:r w:rsidR="004A449E" w:rsidRPr="00B975B2">
        <w:rPr>
          <w:lang w:val="en-GB"/>
        </w:rPr>
        <w:t xml:space="preserve"> may</w:t>
      </w:r>
      <w:r w:rsidR="00EE4005" w:rsidRPr="00B975B2">
        <w:rPr>
          <w:lang w:val="en-GB"/>
        </w:rPr>
        <w:t xml:space="preserve"> be appropriate </w:t>
      </w:r>
      <w:r w:rsidR="00724C96" w:rsidRPr="00B975B2">
        <w:rPr>
          <w:lang w:val="en-GB"/>
        </w:rPr>
        <w:t xml:space="preserve">to </w:t>
      </w:r>
      <w:r w:rsidR="00DD5DE4" w:rsidRPr="00B975B2">
        <w:rPr>
          <w:lang w:val="en-GB"/>
        </w:rPr>
        <w:t>consider</w:t>
      </w:r>
      <w:r w:rsidR="00724C96" w:rsidRPr="00B975B2">
        <w:rPr>
          <w:lang w:val="en-GB"/>
        </w:rPr>
        <w:t xml:space="preserve"> increased building strength and/or </w:t>
      </w:r>
      <w:r w:rsidR="00A84923" w:rsidRPr="00B975B2">
        <w:rPr>
          <w:lang w:val="en-GB"/>
        </w:rPr>
        <w:t xml:space="preserve">stiffness as part of a holistic approach </w:t>
      </w:r>
      <w:r w:rsidR="00C87276" w:rsidRPr="00B975B2">
        <w:rPr>
          <w:lang w:val="en-GB"/>
        </w:rPr>
        <w:t>for meeting DCLS/SLS2 objectives</w:t>
      </w:r>
      <w:r w:rsidR="00F4090F" w:rsidRPr="00B975B2">
        <w:rPr>
          <w:lang w:val="en-GB"/>
        </w:rPr>
        <w:t xml:space="preserve">. However, </w:t>
      </w:r>
      <w:r w:rsidR="007B110C" w:rsidRPr="00B975B2">
        <w:rPr>
          <w:lang w:val="en-GB"/>
        </w:rPr>
        <w:t>this approach is</w:t>
      </w:r>
      <w:r w:rsidR="00DC44AE" w:rsidRPr="00B975B2">
        <w:rPr>
          <w:lang w:val="en-GB"/>
        </w:rPr>
        <w:t xml:space="preserve"> discouraged </w:t>
      </w:r>
      <w:r w:rsidR="00DA1C30" w:rsidRPr="00B975B2">
        <w:rPr>
          <w:lang w:val="en-GB"/>
        </w:rPr>
        <w:t>at the ULS</w:t>
      </w:r>
      <w:r w:rsidR="00F348D3" w:rsidRPr="00B975B2">
        <w:rPr>
          <w:lang w:val="en-GB"/>
        </w:rPr>
        <w:t>. P</w:t>
      </w:r>
      <w:r w:rsidR="002A7A6D" w:rsidRPr="00B975B2">
        <w:rPr>
          <w:lang w:val="en-GB"/>
        </w:rPr>
        <w:t>rovid</w:t>
      </w:r>
      <w:r w:rsidR="00F4090F" w:rsidRPr="00B975B2">
        <w:rPr>
          <w:lang w:val="en-GB"/>
        </w:rPr>
        <w:t>ed the</w:t>
      </w:r>
      <w:r w:rsidR="00E01092" w:rsidRPr="00B975B2">
        <w:rPr>
          <w:lang w:val="en-GB"/>
        </w:rPr>
        <w:t xml:space="preserve"> relevant</w:t>
      </w:r>
      <w:r w:rsidR="00F4090F" w:rsidRPr="00B975B2">
        <w:rPr>
          <w:lang w:val="en-GB"/>
        </w:rPr>
        <w:t xml:space="preserve"> </w:t>
      </w:r>
      <w:r w:rsidR="00E01092" w:rsidRPr="00B975B2">
        <w:rPr>
          <w:lang w:val="en-GB"/>
        </w:rPr>
        <w:t>l</w:t>
      </w:r>
      <w:r w:rsidR="002E7850" w:rsidRPr="00B975B2">
        <w:rPr>
          <w:lang w:val="en-GB"/>
        </w:rPr>
        <w:t xml:space="preserve">oading and </w:t>
      </w:r>
      <w:r w:rsidR="00E01092" w:rsidRPr="00B975B2">
        <w:rPr>
          <w:lang w:val="en-GB"/>
        </w:rPr>
        <w:t>material standards are complied with, detailing, strength hierarchy and behaviour is more important than overall building strength itself.</w:t>
      </w:r>
    </w:p>
    <w:p w14:paraId="16E8D8B1" w14:textId="77777777" w:rsidR="00933380" w:rsidRDefault="007B797F" w:rsidP="00933380">
      <w:pPr>
        <w:pStyle w:val="Box"/>
        <w:pBdr>
          <w:top w:val="single" w:sz="8" w:space="1" w:color="15284C" w:themeColor="text1"/>
          <w:left w:val="single" w:sz="8" w:space="4" w:color="15284C" w:themeColor="text1"/>
          <w:bottom w:val="single" w:sz="8" w:space="1" w:color="15284C" w:themeColor="text1"/>
          <w:right w:val="single" w:sz="8" w:space="4" w:color="15284C" w:themeColor="text1"/>
        </w:pBdr>
        <w:shd w:val="clear" w:color="auto" w:fill="F6F4EC"/>
      </w:pPr>
      <w:r w:rsidRPr="00B975B2">
        <w:t xml:space="preserve">This </w:t>
      </w:r>
      <w:r w:rsidR="00F348D3" w:rsidRPr="00B975B2">
        <w:t xml:space="preserve">is also </w:t>
      </w:r>
      <w:r w:rsidRPr="00B975B2">
        <w:t xml:space="preserve">an important </w:t>
      </w:r>
      <w:r w:rsidR="00F348D3" w:rsidRPr="00B975B2">
        <w:t>message</w:t>
      </w:r>
      <w:r w:rsidRPr="00B975B2">
        <w:t xml:space="preserve"> in conversations </w:t>
      </w:r>
      <w:r w:rsidR="00F970B8" w:rsidRPr="00B975B2">
        <w:t>around adaptability for future use</w:t>
      </w:r>
      <w:r w:rsidR="008A28AE" w:rsidRPr="00B975B2">
        <w:t>, especially where the Life Safety objective is concerned</w:t>
      </w:r>
      <w:r w:rsidR="00F970B8" w:rsidRPr="00B975B2">
        <w:t>.</w:t>
      </w:r>
      <w:r w:rsidR="00ED0107" w:rsidRPr="00B975B2">
        <w:t xml:space="preserve"> </w:t>
      </w:r>
      <w:r w:rsidR="000609C3" w:rsidRPr="00B975B2">
        <w:t xml:space="preserve">Design for now, </w:t>
      </w:r>
      <w:r w:rsidR="004C4811" w:rsidRPr="00B975B2">
        <w:t>strengthen if use changes</w:t>
      </w:r>
      <w:r w:rsidR="00434E5B" w:rsidRPr="00B975B2">
        <w:t xml:space="preserve"> (or demonstrate</w:t>
      </w:r>
      <w:r w:rsidR="00E03176" w:rsidRPr="00B975B2">
        <w:t xml:space="preserve"> </w:t>
      </w:r>
      <w:r w:rsidR="0000203E" w:rsidRPr="00B975B2">
        <w:t>that the detailing</w:t>
      </w:r>
      <w:r w:rsidR="0020163C" w:rsidRPr="00B975B2">
        <w:t xml:space="preserve"> </w:t>
      </w:r>
      <w:r w:rsidR="000D3D17" w:rsidRPr="00B975B2">
        <w:t>obviates the need to</w:t>
      </w:r>
      <w:r w:rsidR="006D3DE2" w:rsidRPr="00B975B2">
        <w:t>).</w:t>
      </w:r>
    </w:p>
    <w:p w14:paraId="4E5E08F0" w14:textId="3651345D" w:rsidR="00262F7E" w:rsidRPr="00B975B2" w:rsidRDefault="00835562" w:rsidP="00933380">
      <w:pPr>
        <w:pStyle w:val="Section2Heading2"/>
      </w:pPr>
      <w:bookmarkStart w:id="169" w:name="_Toc147899145"/>
      <w:bookmarkStart w:id="170" w:name="_Ref150180900"/>
      <w:bookmarkStart w:id="171" w:name="_Ref150410917"/>
      <w:bookmarkStart w:id="172" w:name="_Toc203641954"/>
      <w:r w:rsidRPr="00B975B2">
        <w:lastRenderedPageBreak/>
        <w:t>Descriptions of Physical States</w:t>
      </w:r>
      <w:bookmarkEnd w:id="169"/>
      <w:r w:rsidRPr="00B975B2">
        <w:t xml:space="preserve"> for the SLS2 and DCLS </w:t>
      </w:r>
      <w:r w:rsidR="00DD2CC4" w:rsidRPr="00B975B2">
        <w:t>Limit States</w:t>
      </w:r>
      <w:bookmarkEnd w:id="170"/>
      <w:bookmarkEnd w:id="171"/>
      <w:bookmarkEnd w:id="172"/>
    </w:p>
    <w:p w14:paraId="24DAA955" w14:textId="2343853B" w:rsidR="00262F7E" w:rsidRPr="00B975B2" w:rsidRDefault="00262F7E" w:rsidP="00666E06">
      <w:r w:rsidRPr="00B975B2">
        <w:t xml:space="preserve">The physical state description is the link between the performance </w:t>
      </w:r>
      <w:r w:rsidR="006B6819" w:rsidRPr="00B975B2">
        <w:t>goals</w:t>
      </w:r>
      <w:r w:rsidRPr="00B975B2">
        <w:t xml:space="preserve"> and the engineering design criteria</w:t>
      </w:r>
      <w:r w:rsidR="004D3B76" w:rsidRPr="00B975B2">
        <w:t>.</w:t>
      </w:r>
      <w:r w:rsidR="002E330C" w:rsidRPr="00B975B2">
        <w:t xml:space="preserve"> It </w:t>
      </w:r>
      <w:r w:rsidRPr="00B975B2">
        <w:t>describ</w:t>
      </w:r>
      <w:r w:rsidR="002E330C" w:rsidRPr="00B975B2">
        <w:t>es</w:t>
      </w:r>
      <w:r w:rsidRPr="00B975B2">
        <w:t xml:space="preserve"> the expected state of each system </w:t>
      </w:r>
      <w:r w:rsidR="00C747E6" w:rsidRPr="00B975B2">
        <w:t xml:space="preserve">at </w:t>
      </w:r>
      <w:r w:rsidR="002E330C" w:rsidRPr="00B975B2">
        <w:t xml:space="preserve">a given limit state </w:t>
      </w:r>
      <w:r w:rsidR="00686DAC" w:rsidRPr="00B975B2">
        <w:t>that would</w:t>
      </w:r>
      <w:r w:rsidRPr="00B975B2">
        <w:t xml:space="preserve"> achieve the performance goals.</w:t>
      </w:r>
    </w:p>
    <w:p w14:paraId="43039415" w14:textId="11F6E2C7" w:rsidR="00C62A32" w:rsidRPr="00B975B2" w:rsidRDefault="00C62A32" w:rsidP="00666E06">
      <w:r w:rsidRPr="00B975B2">
        <w:t>This section and tabulated physical state descriptions</w:t>
      </w:r>
      <w:r w:rsidR="006D0A28">
        <w:t xml:space="preserve"> (</w:t>
      </w:r>
      <w:r w:rsidR="005F2D0B" w:rsidRPr="0028476D">
        <w:fldChar w:fldCharType="begin"/>
      </w:r>
      <w:r w:rsidR="005F2D0B" w:rsidRPr="0028476D">
        <w:instrText xml:space="preserve"> REF _Ref173913879 \h </w:instrText>
      </w:r>
      <w:r w:rsidR="0028476D">
        <w:instrText xml:space="preserve"> \* MERGEFORMAT </w:instrText>
      </w:r>
      <w:r w:rsidR="005F2D0B" w:rsidRPr="0028476D">
        <w:fldChar w:fldCharType="separate"/>
      </w:r>
      <w:r w:rsidR="000761C1" w:rsidRPr="0028476D">
        <w:t xml:space="preserve">Table </w:t>
      </w:r>
      <w:r w:rsidR="000761C1" w:rsidRPr="0028476D">
        <w:rPr>
          <w:noProof/>
        </w:rPr>
        <w:t>8</w:t>
      </w:r>
      <w:r w:rsidR="005F2D0B" w:rsidRPr="0028476D">
        <w:fldChar w:fldCharType="end"/>
      </w:r>
      <w:r w:rsidR="006D0A28" w:rsidRPr="0028476D">
        <w:t>)</w:t>
      </w:r>
      <w:r w:rsidRPr="00B975B2">
        <w:t xml:space="preserve"> apply </w:t>
      </w:r>
      <w:r w:rsidR="005D3C19" w:rsidRPr="00B975B2">
        <w:t xml:space="preserve">predominantly </w:t>
      </w:r>
      <w:r w:rsidRPr="00B975B2">
        <w:t xml:space="preserve">to the </w:t>
      </w:r>
      <w:r w:rsidR="005D3C19" w:rsidRPr="00B975B2">
        <w:t>SLS2 and DCLS limit states.</w:t>
      </w:r>
      <w:r w:rsidR="009D63C0" w:rsidRPr="00B975B2">
        <w:t xml:space="preserve"> In most cases, </w:t>
      </w:r>
      <w:r w:rsidR="009F17B2" w:rsidRPr="00B975B2">
        <w:t xml:space="preserve">it is the continued functionality objective (SLS2) that is dominating the </w:t>
      </w:r>
      <w:r w:rsidR="00B303C0" w:rsidRPr="00B975B2">
        <w:t xml:space="preserve">described </w:t>
      </w:r>
      <w:r w:rsidR="009F17B2" w:rsidRPr="00B975B2">
        <w:t>requirement</w:t>
      </w:r>
      <w:r w:rsidR="0006067D" w:rsidRPr="00B975B2">
        <w:t>, and the asset protection objective (DCLS) will be automatically met</w:t>
      </w:r>
      <w:r w:rsidR="009F17B2" w:rsidRPr="00B975B2">
        <w:t xml:space="preserve">. </w:t>
      </w:r>
      <w:r w:rsidR="009670B9" w:rsidRPr="00B975B2">
        <w:t>However, there are some exceptions where the asset protection objective has increased relevance</w:t>
      </w:r>
      <w:r w:rsidR="0089033A">
        <w:t xml:space="preserve">, </w:t>
      </w:r>
      <w:r w:rsidR="009670B9" w:rsidRPr="00B975B2">
        <w:t>for example</w:t>
      </w:r>
      <w:r w:rsidR="00987965" w:rsidRPr="00B975B2">
        <w:t>,</w:t>
      </w:r>
      <w:r w:rsidR="009670B9" w:rsidRPr="00B975B2">
        <w:t xml:space="preserve"> some Importance Level 2 support services that tolerate a level of interrupted functionality</w:t>
      </w:r>
      <w:r w:rsidR="0051168C" w:rsidRPr="00B975B2">
        <w:t>.</w:t>
      </w:r>
    </w:p>
    <w:p w14:paraId="2F8CA91F" w14:textId="43C4E6CE" w:rsidR="004D2204" w:rsidRPr="00B975B2" w:rsidRDefault="004D2204" w:rsidP="00666E06">
      <w:r w:rsidRPr="00B975B2">
        <w:t>T</w:t>
      </w:r>
      <w:r w:rsidR="0075010D" w:rsidRPr="00B975B2">
        <w:t>his table does include some state descriptions which exist to avoid direct life s</w:t>
      </w:r>
      <w:r w:rsidR="001844A0" w:rsidRPr="00B975B2">
        <w:t>afety risks (such as containment</w:t>
      </w:r>
      <w:bookmarkStart w:id="173" w:name="_Ref180394208"/>
      <w:r w:rsidR="004A7CEC" w:rsidRPr="00B975B2">
        <w:rPr>
          <w:rStyle w:val="FootnoteReference"/>
        </w:rPr>
        <w:footnoteReference w:id="22"/>
      </w:r>
      <w:bookmarkEnd w:id="173"/>
      <w:r w:rsidR="001844A0" w:rsidRPr="00B975B2">
        <w:t xml:space="preserve"> of steam at high pressures).</w:t>
      </w:r>
      <w:r w:rsidR="006C1317" w:rsidRPr="00B975B2">
        <w:t xml:space="preserve"> These are clearly marked</w:t>
      </w:r>
      <w:r w:rsidR="00FE61AF" w:rsidRPr="00B975B2">
        <w:t xml:space="preserve"> within the tables</w:t>
      </w:r>
      <w:r w:rsidR="006C1317" w:rsidRPr="00B975B2">
        <w:t xml:space="preserve"> and should be met at the ULS design </w:t>
      </w:r>
      <w:r w:rsidR="00FE61AF" w:rsidRPr="00B975B2">
        <w:t xml:space="preserve">Annual </w:t>
      </w:r>
      <w:r w:rsidR="00A30255" w:rsidRPr="00B975B2">
        <w:t xml:space="preserve">Probabilities of </w:t>
      </w:r>
      <w:r w:rsidR="00FE61AF" w:rsidRPr="00B975B2">
        <w:t>Exceedance (</w:t>
      </w:r>
      <w:r w:rsidR="00B12F49" w:rsidRPr="00B975B2">
        <w:t>APoE</w:t>
      </w:r>
      <w:r w:rsidR="00FE61AF" w:rsidRPr="00B975B2">
        <w:t xml:space="preserve">s). </w:t>
      </w:r>
      <w:r w:rsidR="006B1B4F" w:rsidRPr="00B975B2">
        <w:t>In all other cases,</w:t>
      </w:r>
      <w:r w:rsidR="00FE61AF" w:rsidRPr="00B975B2">
        <w:t xml:space="preserve"> the SLS2/DCLS </w:t>
      </w:r>
      <w:r w:rsidR="00B12F49" w:rsidRPr="00B975B2">
        <w:t>APoE</w:t>
      </w:r>
      <w:r w:rsidR="00FE61AF" w:rsidRPr="00B975B2">
        <w:t>s apply.</w:t>
      </w:r>
    </w:p>
    <w:p w14:paraId="015FFB2A" w14:textId="632845AC" w:rsidR="00605B29" w:rsidRPr="00933380" w:rsidRDefault="00605B29" w:rsidP="00D56CAE">
      <w:pPr>
        <w:pStyle w:val="BodyHeading"/>
        <w:rPr>
          <w:color w:val="0C818E"/>
        </w:rPr>
      </w:pPr>
      <w:r w:rsidRPr="00933380">
        <w:rPr>
          <w:color w:val="0C818E"/>
        </w:rPr>
        <w:t>Managing the influence of externalities</w:t>
      </w:r>
      <w:r w:rsidR="0089033A" w:rsidRPr="00933380">
        <w:rPr>
          <w:color w:val="0C818E"/>
        </w:rPr>
        <w:t xml:space="preserve"> - </w:t>
      </w:r>
      <w:r w:rsidRPr="00933380">
        <w:rPr>
          <w:color w:val="0C818E"/>
        </w:rPr>
        <w:t>beyond the project boundary</w:t>
      </w:r>
    </w:p>
    <w:p w14:paraId="236962A8" w14:textId="2A9FFBEA" w:rsidR="003730B2" w:rsidRPr="00C52E54" w:rsidRDefault="00262F7E" w:rsidP="00666E06">
      <w:r w:rsidRPr="00C52E54">
        <w:t xml:space="preserve">It is acknowledged that </w:t>
      </w:r>
      <w:r w:rsidR="00D52EE5" w:rsidRPr="00C52E54">
        <w:t xml:space="preserve">the requirements for </w:t>
      </w:r>
      <w:r w:rsidRPr="00C52E54">
        <w:t xml:space="preserve">some systems </w:t>
      </w:r>
      <w:r w:rsidR="00C70171" w:rsidRPr="00C52E54">
        <w:t>extend</w:t>
      </w:r>
      <w:r w:rsidRPr="00C52E54">
        <w:t xml:space="preserve"> beyond the </w:t>
      </w:r>
      <w:r w:rsidR="00D52EE5" w:rsidRPr="00C52E54">
        <w:t xml:space="preserve">project boundary and thus the </w:t>
      </w:r>
      <w:r w:rsidRPr="00C52E54">
        <w:t>control of the design team</w:t>
      </w:r>
      <w:r w:rsidR="00B9320F" w:rsidRPr="00C52E54">
        <w:t xml:space="preserve">. This </w:t>
      </w:r>
      <w:r w:rsidR="0048603F" w:rsidRPr="00C52E54">
        <w:t xml:space="preserve">includes matters such as </w:t>
      </w:r>
      <w:r w:rsidR="008F6528" w:rsidRPr="00C52E54">
        <w:t xml:space="preserve">site selection (Section </w:t>
      </w:r>
      <w:r w:rsidR="008F6528" w:rsidRPr="00C52E54">
        <w:fldChar w:fldCharType="begin"/>
      </w:r>
      <w:r w:rsidR="008F6528" w:rsidRPr="00C52E54">
        <w:instrText xml:space="preserve"> REF _Ref168979434 \r \h </w:instrText>
      </w:r>
      <w:r w:rsidR="00C52E54">
        <w:instrText xml:space="preserve"> \* MERGEFORMAT </w:instrText>
      </w:r>
      <w:r w:rsidR="008F6528" w:rsidRPr="00C52E54">
        <w:fldChar w:fldCharType="separate"/>
      </w:r>
      <w:r w:rsidR="000761C1">
        <w:t>A1.7.2</w:t>
      </w:r>
      <w:r w:rsidR="008F6528" w:rsidRPr="00C52E54">
        <w:fldChar w:fldCharType="end"/>
      </w:r>
      <w:r w:rsidR="008F6528" w:rsidRPr="00C52E54">
        <w:t>),</w:t>
      </w:r>
      <w:r w:rsidR="0059434A" w:rsidRPr="00C52E54">
        <w:t xml:space="preserve"> </w:t>
      </w:r>
      <w:r w:rsidRPr="00C52E54">
        <w:t>proximity to neighbouring building</w:t>
      </w:r>
      <w:r w:rsidR="00B9320F" w:rsidRPr="00C52E54">
        <w:t>s</w:t>
      </w:r>
      <w:r w:rsidRPr="00C52E54">
        <w:t xml:space="preserve"> </w:t>
      </w:r>
      <w:r w:rsidR="008F6528" w:rsidRPr="00C52E54">
        <w:t>(</w:t>
      </w:r>
      <w:r w:rsidR="00231748">
        <w:t xml:space="preserve">Appendix </w:t>
      </w:r>
      <w:r w:rsidR="00CD05CF">
        <w:fldChar w:fldCharType="begin"/>
      </w:r>
      <w:r w:rsidR="00CD05CF">
        <w:instrText xml:space="preserve"> REF _Ref180130876 \r \h </w:instrText>
      </w:r>
      <w:r w:rsidR="00CD05CF">
        <w:fldChar w:fldCharType="separate"/>
      </w:r>
      <w:r w:rsidR="000761C1">
        <w:t>1.2</w:t>
      </w:r>
      <w:r w:rsidR="00CD05CF">
        <w:fldChar w:fldCharType="end"/>
      </w:r>
      <w:r w:rsidR="008F6528" w:rsidRPr="00C52E54">
        <w:t xml:space="preserve">), and </w:t>
      </w:r>
      <w:r w:rsidR="003B2922" w:rsidRPr="00C52E54">
        <w:t xml:space="preserve">public </w:t>
      </w:r>
      <w:r w:rsidR="00C70171" w:rsidRPr="00C52E54">
        <w:t xml:space="preserve">utilities </w:t>
      </w:r>
      <w:r w:rsidRPr="00C52E54">
        <w:t xml:space="preserve">or site </w:t>
      </w:r>
      <w:r w:rsidR="003B2922" w:rsidRPr="00C52E54">
        <w:t xml:space="preserve">trunk services </w:t>
      </w:r>
      <w:r w:rsidR="0059434A" w:rsidRPr="00C52E54">
        <w:t>dependency</w:t>
      </w:r>
      <w:r w:rsidR="00DC5EDB" w:rsidRPr="00C52E54">
        <w:t xml:space="preserve"> (</w:t>
      </w:r>
      <w:r w:rsidR="00231748">
        <w:t xml:space="preserve">Appendix </w:t>
      </w:r>
      <w:r w:rsidR="00231748">
        <w:fldChar w:fldCharType="begin"/>
      </w:r>
      <w:r w:rsidR="00231748">
        <w:instrText xml:space="preserve"> REF _Ref179555824 \r \h </w:instrText>
      </w:r>
      <w:r w:rsidR="00231748">
        <w:fldChar w:fldCharType="separate"/>
      </w:r>
      <w:r w:rsidR="000761C1">
        <w:t>1.3</w:t>
      </w:r>
      <w:r w:rsidR="00231748">
        <w:fldChar w:fldCharType="end"/>
      </w:r>
      <w:r w:rsidR="003B2922" w:rsidRPr="00C52E54">
        <w:t>)</w:t>
      </w:r>
      <w:r w:rsidRPr="00C52E54">
        <w:t>.</w:t>
      </w:r>
      <w:r w:rsidR="0059434A" w:rsidRPr="00C52E54">
        <w:t xml:space="preserve"> </w:t>
      </w:r>
      <w:r w:rsidR="00872661" w:rsidRPr="00C52E54">
        <w:t>All</w:t>
      </w:r>
      <w:r w:rsidR="00FD6CC7" w:rsidRPr="00C52E54">
        <w:t xml:space="preserve"> have direct relevance to site master planning and business case development.</w:t>
      </w:r>
      <w:r w:rsidRPr="00C52E54">
        <w:t xml:space="preserve"> </w:t>
      </w:r>
      <w:r w:rsidR="00872661" w:rsidRPr="00C52E54">
        <w:t xml:space="preserve">Risks posed by some of these externalities may be able to be </w:t>
      </w:r>
      <w:r w:rsidR="004B474E" w:rsidRPr="00C52E54">
        <w:t>mitigated</w:t>
      </w:r>
      <w:r w:rsidR="00383E18">
        <w:t xml:space="preserve"> </w:t>
      </w:r>
      <w:r w:rsidR="006D79F8" w:rsidRPr="00C52E54">
        <w:t>at least to some extent</w:t>
      </w:r>
      <w:r w:rsidR="00383E18">
        <w:t xml:space="preserve">, </w:t>
      </w:r>
      <w:r w:rsidR="00A62D00" w:rsidRPr="00C52E54">
        <w:t xml:space="preserve">and </w:t>
      </w:r>
      <w:r w:rsidR="003730B2" w:rsidRPr="00C52E54">
        <w:t>the level to which residual risk is man</w:t>
      </w:r>
      <w:r w:rsidR="0035514E" w:rsidRPr="00C52E54">
        <w:t>a</w:t>
      </w:r>
      <w:r w:rsidR="003730B2" w:rsidRPr="00C52E54">
        <w:t>ged or tolerated will</w:t>
      </w:r>
      <w:r w:rsidR="00A62D00" w:rsidRPr="00C52E54">
        <w:t xml:space="preserve"> influence </w:t>
      </w:r>
      <w:r w:rsidR="003730B2" w:rsidRPr="00C52E54">
        <w:t>emergency planning</w:t>
      </w:r>
      <w:r w:rsidR="006D79F8" w:rsidRPr="00C52E54">
        <w:t>.</w:t>
      </w:r>
    </w:p>
    <w:p w14:paraId="7724B7F0" w14:textId="6CE3FD8D" w:rsidR="00510D86" w:rsidRPr="00C52E54" w:rsidRDefault="006D79F8" w:rsidP="00666E06">
      <w:pPr>
        <w:rPr>
          <w:lang w:val="en-GB"/>
        </w:rPr>
      </w:pPr>
      <w:r w:rsidRPr="00C52E54">
        <w:t>A</w:t>
      </w:r>
      <w:r w:rsidR="00262F7E" w:rsidRPr="00C52E54">
        <w:t>ll system</w:t>
      </w:r>
      <w:r w:rsidRPr="00C52E54">
        <w:t xml:space="preserve"> </w:t>
      </w:r>
      <w:r w:rsidR="00262F7E" w:rsidRPr="00C52E54">
        <w:t>requirements should be considered</w:t>
      </w:r>
      <w:r w:rsidR="003730B2" w:rsidRPr="00C52E54">
        <w:t xml:space="preserve"> by project teams</w:t>
      </w:r>
      <w:r w:rsidRPr="00C52E54">
        <w:t xml:space="preserve"> (including externalities). I</w:t>
      </w:r>
      <w:r w:rsidR="00262F7E" w:rsidRPr="00C52E54">
        <w:t xml:space="preserve">tems beyond </w:t>
      </w:r>
      <w:r w:rsidR="003730B2" w:rsidRPr="00C52E54">
        <w:t xml:space="preserve">the team’s </w:t>
      </w:r>
      <w:r w:rsidR="00262F7E" w:rsidRPr="00C52E54">
        <w:t xml:space="preserve">control </w:t>
      </w:r>
      <w:r w:rsidR="0043470D" w:rsidRPr="00C52E54">
        <w:t xml:space="preserve">should be captured </w:t>
      </w:r>
      <w:r w:rsidR="00262F7E" w:rsidRPr="00C52E54">
        <w:t xml:space="preserve">in </w:t>
      </w:r>
      <w:r w:rsidR="00F86E2C" w:rsidRPr="00C52E54">
        <w:t>project</w:t>
      </w:r>
      <w:r w:rsidR="00262F7E" w:rsidRPr="00C52E54">
        <w:t xml:space="preserve"> risk register</w:t>
      </w:r>
      <w:r w:rsidR="00F86E2C" w:rsidRPr="00C52E54">
        <w:t>s</w:t>
      </w:r>
      <w:r w:rsidR="000361D9" w:rsidRPr="00C52E54">
        <w:t xml:space="preserve"> so that residual risk </w:t>
      </w:r>
      <w:r w:rsidR="00632E7E" w:rsidRPr="00C52E54">
        <w:t>can be managed</w:t>
      </w:r>
      <w:r w:rsidR="003730B2" w:rsidRPr="00C52E54">
        <w:t xml:space="preserve"> by </w:t>
      </w:r>
      <w:r w:rsidR="007D5C79">
        <w:t xml:space="preserve">Health NZ </w:t>
      </w:r>
      <w:r w:rsidR="00AC70B1" w:rsidRPr="00C52E54">
        <w:t>and facilities users</w:t>
      </w:r>
      <w:r w:rsidR="000A6FBB" w:rsidRPr="00C52E54">
        <w:t xml:space="preserve"> as part of readiness planning</w:t>
      </w:r>
      <w:r w:rsidR="0059019C" w:rsidRPr="00C52E54">
        <w:t xml:space="preserve"> (refer </w:t>
      </w:r>
      <w:r w:rsidR="00660B8C" w:rsidRPr="00C52E54">
        <w:t xml:space="preserve">footnote </w:t>
      </w:r>
      <w:r w:rsidR="0059019C" w:rsidRPr="00C52E54">
        <w:t xml:space="preserve">to </w:t>
      </w:r>
      <w:r w:rsidR="00660B8C" w:rsidRPr="00C52E54">
        <w:t xml:space="preserve">Structural </w:t>
      </w:r>
      <w:r w:rsidR="0059019C" w:rsidRPr="00C52E54">
        <w:t xml:space="preserve">Design Features Report </w:t>
      </w:r>
      <w:r w:rsidR="00660B8C" w:rsidRPr="00C52E54">
        <w:t xml:space="preserve">Section </w:t>
      </w:r>
      <w:r w:rsidR="00660B8C" w:rsidRPr="00C52E54">
        <w:fldChar w:fldCharType="begin"/>
      </w:r>
      <w:r w:rsidR="00660B8C" w:rsidRPr="00C52E54">
        <w:instrText xml:space="preserve"> REF _Ref170138674 \r \h </w:instrText>
      </w:r>
      <w:r w:rsidR="00C52E54">
        <w:instrText xml:space="preserve"> \* MERGEFORMAT </w:instrText>
      </w:r>
      <w:r w:rsidR="00660B8C" w:rsidRPr="00C52E54">
        <w:fldChar w:fldCharType="separate"/>
      </w:r>
      <w:r w:rsidR="000761C1">
        <w:t>A3.1</w:t>
      </w:r>
      <w:r w:rsidR="00660B8C" w:rsidRPr="00C52E54">
        <w:fldChar w:fldCharType="end"/>
      </w:r>
      <w:r w:rsidR="0059019C" w:rsidRPr="00C52E54">
        <w:t>)</w:t>
      </w:r>
      <w:r w:rsidR="00262F7E" w:rsidRPr="00C52E54">
        <w:t>.</w:t>
      </w:r>
    </w:p>
    <w:p w14:paraId="62274346" w14:textId="77777777" w:rsidR="00510D86" w:rsidRPr="001C70A7" w:rsidRDefault="00510D86" w:rsidP="00666E06">
      <w:pPr>
        <w:pStyle w:val="Caption"/>
        <w:sectPr w:rsidR="00510D86" w:rsidRPr="001C70A7" w:rsidSect="00D45548">
          <w:headerReference w:type="default" r:id="rId52"/>
          <w:footerReference w:type="default" r:id="rId53"/>
          <w:footnotePr>
            <w:numRestart w:val="eachPage"/>
          </w:footnotePr>
          <w:pgSz w:w="11906" w:h="16838" w:code="187"/>
          <w:pgMar w:top="1560" w:right="1134" w:bottom="1418" w:left="1134" w:header="709" w:footer="709" w:gutter="0"/>
          <w:cols w:space="708"/>
          <w:docGrid w:linePitch="360"/>
        </w:sectPr>
      </w:pPr>
    </w:p>
    <w:p w14:paraId="461C76CD" w14:textId="5B1150C5" w:rsidR="005F2D0B" w:rsidRPr="00352375" w:rsidRDefault="005F2D0B" w:rsidP="00BD1621">
      <w:pPr>
        <w:pStyle w:val="Figure"/>
        <w:rPr>
          <w:sz w:val="20"/>
          <w:szCs w:val="20"/>
        </w:rPr>
      </w:pPr>
      <w:bookmarkStart w:id="175" w:name="_Ref173913879"/>
      <w:r w:rsidRPr="00352375">
        <w:rPr>
          <w:sz w:val="20"/>
          <w:szCs w:val="20"/>
        </w:rPr>
        <w:lastRenderedPageBreak/>
        <w:t xml:space="preserve">Table </w:t>
      </w:r>
      <w:r w:rsidR="0062088B" w:rsidRPr="00352375">
        <w:rPr>
          <w:sz w:val="20"/>
          <w:szCs w:val="20"/>
        </w:rPr>
        <w:fldChar w:fldCharType="begin"/>
      </w:r>
      <w:r w:rsidR="0062088B" w:rsidRPr="00352375">
        <w:rPr>
          <w:sz w:val="20"/>
          <w:szCs w:val="20"/>
        </w:rPr>
        <w:instrText xml:space="preserve"> SEQ Table \* ARABIC </w:instrText>
      </w:r>
      <w:r w:rsidR="0062088B" w:rsidRPr="00352375">
        <w:rPr>
          <w:sz w:val="20"/>
          <w:szCs w:val="20"/>
        </w:rPr>
        <w:fldChar w:fldCharType="separate"/>
      </w:r>
      <w:r w:rsidR="000761C1">
        <w:rPr>
          <w:noProof/>
          <w:sz w:val="20"/>
          <w:szCs w:val="20"/>
        </w:rPr>
        <w:t>8</w:t>
      </w:r>
      <w:r w:rsidR="0062088B" w:rsidRPr="00352375">
        <w:rPr>
          <w:noProof/>
          <w:sz w:val="20"/>
          <w:szCs w:val="20"/>
        </w:rPr>
        <w:fldChar w:fldCharType="end"/>
      </w:r>
      <w:bookmarkEnd w:id="175"/>
      <w:r w:rsidRPr="00352375">
        <w:rPr>
          <w:sz w:val="20"/>
          <w:szCs w:val="20"/>
        </w:rPr>
        <w:t>: Expected Physical States / Requirements</w:t>
      </w:r>
    </w:p>
    <w:tbl>
      <w:tblPr>
        <w:tblStyle w:val="TableGrid"/>
        <w:tblW w:w="14596"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ayout w:type="fixed"/>
        <w:tblLook w:val="04A0" w:firstRow="1" w:lastRow="0" w:firstColumn="1" w:lastColumn="0" w:noHBand="0" w:noVBand="1"/>
      </w:tblPr>
      <w:tblGrid>
        <w:gridCol w:w="1833"/>
        <w:gridCol w:w="3792"/>
        <w:gridCol w:w="2308"/>
        <w:gridCol w:w="2127"/>
        <w:gridCol w:w="1984"/>
        <w:gridCol w:w="2552"/>
      </w:tblGrid>
      <w:tr w:rsidR="007A7CB7" w:rsidRPr="00352375" w14:paraId="176ABCA9" w14:textId="77777777" w:rsidTr="00D4195D">
        <w:trPr>
          <w:trHeight w:val="300"/>
          <w:tblHeader/>
        </w:trPr>
        <w:tc>
          <w:tcPr>
            <w:tcW w:w="1833" w:type="dxa"/>
            <w:vMerge w:val="restart"/>
            <w:tcBorders>
              <w:top w:val="single" w:sz="12" w:space="0" w:color="003399" w:themeColor="accent2"/>
              <w:left w:val="nil"/>
              <w:bottom w:val="single" w:sz="8" w:space="0" w:color="BFBFBF"/>
              <w:right w:val="single" w:sz="8" w:space="0" w:color="BFBFBF"/>
            </w:tcBorders>
            <w:shd w:val="clear" w:color="auto" w:fill="F6F4EC"/>
            <w:vAlign w:val="center"/>
          </w:tcPr>
          <w:p w14:paraId="542AE69D" w14:textId="312EED71" w:rsidR="007A7CB7" w:rsidRPr="00352375" w:rsidRDefault="007A7CB7" w:rsidP="0084215E">
            <w:pPr>
              <w:rPr>
                <w:rFonts w:cs="Arial"/>
                <w:b/>
                <w:bCs/>
                <w:sz w:val="20"/>
                <w:szCs w:val="20"/>
              </w:rPr>
            </w:pPr>
            <w:r w:rsidRPr="00352375">
              <w:rPr>
                <w:rFonts w:cs="Arial"/>
                <w:b/>
                <w:bCs/>
                <w:sz w:val="20"/>
                <w:szCs w:val="20"/>
              </w:rPr>
              <w:t>Building Element</w:t>
            </w:r>
          </w:p>
        </w:tc>
        <w:tc>
          <w:tcPr>
            <w:tcW w:w="3792" w:type="dxa"/>
            <w:vMerge w:val="restart"/>
            <w:tcBorders>
              <w:top w:val="single" w:sz="12" w:space="0" w:color="003399" w:themeColor="accent2"/>
              <w:left w:val="single" w:sz="8" w:space="0" w:color="BFBFBF"/>
              <w:bottom w:val="single" w:sz="8" w:space="0" w:color="BFBFBF"/>
              <w:right w:val="single" w:sz="8" w:space="0" w:color="BFBFBF"/>
            </w:tcBorders>
            <w:shd w:val="clear" w:color="auto" w:fill="F6F4EC"/>
            <w:vAlign w:val="center"/>
          </w:tcPr>
          <w:p w14:paraId="1128AD64" w14:textId="071ED1E2" w:rsidR="007A7CB7" w:rsidRPr="00352375" w:rsidRDefault="007A7CB7" w:rsidP="0084215E">
            <w:pPr>
              <w:rPr>
                <w:rFonts w:cs="Arial"/>
                <w:b/>
                <w:bCs/>
                <w:sz w:val="20"/>
                <w:szCs w:val="20"/>
              </w:rPr>
            </w:pPr>
            <w:r w:rsidRPr="00352375">
              <w:rPr>
                <w:rFonts w:cs="Arial"/>
                <w:b/>
                <w:bCs/>
                <w:sz w:val="20"/>
                <w:szCs w:val="20"/>
              </w:rPr>
              <w:t>Sub-component</w:t>
            </w:r>
          </w:p>
        </w:tc>
        <w:tc>
          <w:tcPr>
            <w:tcW w:w="8971" w:type="dxa"/>
            <w:gridSpan w:val="4"/>
            <w:tcBorders>
              <w:top w:val="single" w:sz="12" w:space="0" w:color="003399" w:themeColor="accent2"/>
              <w:left w:val="single" w:sz="8" w:space="0" w:color="BFBFBF"/>
              <w:bottom w:val="single" w:sz="8" w:space="0" w:color="BFBFBF"/>
              <w:right w:val="nil"/>
            </w:tcBorders>
            <w:shd w:val="clear" w:color="auto" w:fill="F6F4EC"/>
          </w:tcPr>
          <w:p w14:paraId="40047EE6" w14:textId="78919E8B" w:rsidR="007A7CB7" w:rsidRPr="00352375" w:rsidRDefault="007A7CB7" w:rsidP="0084215E">
            <w:pPr>
              <w:jc w:val="center"/>
              <w:rPr>
                <w:rFonts w:cs="Arial"/>
                <w:b/>
                <w:bCs/>
                <w:sz w:val="20"/>
                <w:szCs w:val="20"/>
                <w:lang w:val="en-GB"/>
              </w:rPr>
            </w:pPr>
            <w:r w:rsidRPr="00352375">
              <w:rPr>
                <w:rFonts w:cs="Arial"/>
                <w:b/>
                <w:bCs/>
                <w:sz w:val="20"/>
                <w:szCs w:val="20"/>
              </w:rPr>
              <w:t>Expected Physical States/ Requirements</w:t>
            </w:r>
          </w:p>
          <w:p w14:paraId="5DCAD455" w14:textId="6A3DC724" w:rsidR="007A7CB7" w:rsidRPr="00352375" w:rsidRDefault="007A7CB7" w:rsidP="0084215E">
            <w:pPr>
              <w:jc w:val="center"/>
              <w:rPr>
                <w:rFonts w:cs="Arial"/>
                <w:b/>
                <w:bCs/>
                <w:sz w:val="20"/>
                <w:szCs w:val="20"/>
                <w:lang w:val="en-GB"/>
              </w:rPr>
            </w:pPr>
            <w:r w:rsidRPr="00352375">
              <w:rPr>
                <w:rFonts w:cs="Arial"/>
                <w:b/>
                <w:bCs/>
                <w:sz w:val="20"/>
                <w:szCs w:val="20"/>
              </w:rPr>
              <w:t>(SLS2 or DCLS unless noted otherwise)</w:t>
            </w:r>
          </w:p>
        </w:tc>
      </w:tr>
      <w:tr w:rsidR="007A7CB7" w:rsidRPr="00352375" w14:paraId="23DEBF13" w14:textId="77777777" w:rsidTr="00DA3030">
        <w:trPr>
          <w:trHeight w:val="622"/>
          <w:tblHeader/>
        </w:trPr>
        <w:tc>
          <w:tcPr>
            <w:tcW w:w="1833" w:type="dxa"/>
            <w:vMerge/>
            <w:tcBorders>
              <w:top w:val="single" w:sz="8" w:space="0" w:color="BFBFBF"/>
              <w:left w:val="nil"/>
              <w:bottom w:val="single" w:sz="12" w:space="0" w:color="003399" w:themeColor="accent2"/>
              <w:right w:val="single" w:sz="8" w:space="0" w:color="BFBFBF"/>
            </w:tcBorders>
            <w:shd w:val="clear" w:color="auto" w:fill="F6F4EC"/>
          </w:tcPr>
          <w:p w14:paraId="67902369" w14:textId="77777777" w:rsidR="007A7CB7" w:rsidRPr="00352375" w:rsidRDefault="007A7CB7" w:rsidP="00666E06">
            <w:pPr>
              <w:rPr>
                <w:rFonts w:cs="Arial"/>
                <w:b/>
                <w:bCs/>
                <w:sz w:val="20"/>
                <w:szCs w:val="20"/>
              </w:rPr>
            </w:pPr>
          </w:p>
        </w:tc>
        <w:tc>
          <w:tcPr>
            <w:tcW w:w="3792" w:type="dxa"/>
            <w:vMerge/>
            <w:tcBorders>
              <w:top w:val="single" w:sz="8" w:space="0" w:color="BFBFBF"/>
              <w:left w:val="single" w:sz="8" w:space="0" w:color="BFBFBF"/>
              <w:bottom w:val="single" w:sz="12" w:space="0" w:color="003399" w:themeColor="accent2"/>
              <w:right w:val="single" w:sz="8" w:space="0" w:color="BFBFBF"/>
            </w:tcBorders>
            <w:shd w:val="clear" w:color="auto" w:fill="F6F4EC"/>
          </w:tcPr>
          <w:p w14:paraId="45A8D248" w14:textId="77777777" w:rsidR="007A7CB7" w:rsidRPr="00352375" w:rsidRDefault="007A7CB7" w:rsidP="00666E06">
            <w:pPr>
              <w:rPr>
                <w:rFonts w:cs="Arial"/>
                <w:b/>
                <w:bCs/>
                <w:sz w:val="20"/>
                <w:szCs w:val="20"/>
              </w:rPr>
            </w:pPr>
          </w:p>
        </w:tc>
        <w:tc>
          <w:tcPr>
            <w:tcW w:w="2308" w:type="dxa"/>
            <w:tcBorders>
              <w:top w:val="single" w:sz="8" w:space="0" w:color="BFBFBF"/>
              <w:left w:val="single" w:sz="8" w:space="0" w:color="BFBFBF"/>
              <w:bottom w:val="single" w:sz="12" w:space="0" w:color="003399" w:themeColor="accent2"/>
              <w:right w:val="single" w:sz="8" w:space="0" w:color="BFBFBF"/>
            </w:tcBorders>
            <w:shd w:val="clear" w:color="auto" w:fill="F6F4EC"/>
          </w:tcPr>
          <w:p w14:paraId="23D394F3" w14:textId="06892FA9" w:rsidR="007A7CB7" w:rsidRPr="00352375" w:rsidRDefault="007A7CB7" w:rsidP="00DA3030">
            <w:pPr>
              <w:rPr>
                <w:rFonts w:cs="Arial"/>
                <w:b/>
                <w:bCs/>
                <w:sz w:val="20"/>
                <w:szCs w:val="20"/>
              </w:rPr>
            </w:pPr>
            <w:r w:rsidRPr="00352375">
              <w:rPr>
                <w:rFonts w:cs="Arial"/>
                <w:b/>
                <w:bCs/>
                <w:sz w:val="20"/>
                <w:szCs w:val="20"/>
              </w:rPr>
              <w:t>Acute Services (IL4)</w:t>
            </w:r>
          </w:p>
        </w:tc>
        <w:tc>
          <w:tcPr>
            <w:tcW w:w="2127" w:type="dxa"/>
            <w:tcBorders>
              <w:top w:val="single" w:sz="8" w:space="0" w:color="BFBFBF"/>
              <w:left w:val="single" w:sz="8" w:space="0" w:color="BFBFBF"/>
              <w:bottom w:val="single" w:sz="12" w:space="0" w:color="003399" w:themeColor="accent2"/>
              <w:right w:val="single" w:sz="8" w:space="0" w:color="BFBFBF"/>
            </w:tcBorders>
            <w:shd w:val="clear" w:color="auto" w:fill="F6F4EC"/>
          </w:tcPr>
          <w:p w14:paraId="0E5DE28A" w14:textId="3C1055AD" w:rsidR="007A7CB7" w:rsidRPr="00352375" w:rsidRDefault="007A7CB7" w:rsidP="00DA3030">
            <w:pPr>
              <w:rPr>
                <w:rFonts w:cs="Arial"/>
                <w:b/>
                <w:bCs/>
                <w:sz w:val="20"/>
                <w:szCs w:val="20"/>
              </w:rPr>
            </w:pPr>
            <w:r w:rsidRPr="00352375">
              <w:rPr>
                <w:rFonts w:cs="Arial"/>
                <w:b/>
                <w:bCs/>
                <w:sz w:val="20"/>
                <w:szCs w:val="20"/>
              </w:rPr>
              <w:t>Other Inpatient Facilities (IL3)</w:t>
            </w:r>
          </w:p>
        </w:tc>
        <w:tc>
          <w:tcPr>
            <w:tcW w:w="1984" w:type="dxa"/>
            <w:tcBorders>
              <w:top w:val="single" w:sz="8" w:space="0" w:color="BFBFBF"/>
              <w:left w:val="single" w:sz="8" w:space="0" w:color="BFBFBF"/>
              <w:bottom w:val="single" w:sz="12" w:space="0" w:color="003399" w:themeColor="accent2"/>
              <w:right w:val="single" w:sz="8" w:space="0" w:color="BFBFBF"/>
            </w:tcBorders>
            <w:shd w:val="clear" w:color="auto" w:fill="F6F4EC"/>
          </w:tcPr>
          <w:p w14:paraId="26AD1C3D" w14:textId="45E0C78C" w:rsidR="007A7CB7" w:rsidRPr="00352375" w:rsidRDefault="007A7CB7" w:rsidP="00DA3030">
            <w:pPr>
              <w:rPr>
                <w:rFonts w:cs="Arial"/>
                <w:b/>
                <w:bCs/>
                <w:sz w:val="20"/>
                <w:szCs w:val="20"/>
              </w:rPr>
            </w:pPr>
            <w:r w:rsidRPr="00352375">
              <w:rPr>
                <w:rFonts w:cs="Arial"/>
                <w:b/>
                <w:bCs/>
                <w:sz w:val="20"/>
                <w:szCs w:val="20"/>
              </w:rPr>
              <w:t>Other Services – Medical (IL2)</w:t>
            </w:r>
          </w:p>
        </w:tc>
        <w:tc>
          <w:tcPr>
            <w:tcW w:w="2552" w:type="dxa"/>
            <w:tcBorders>
              <w:top w:val="single" w:sz="8" w:space="0" w:color="BFBFBF"/>
              <w:left w:val="single" w:sz="8" w:space="0" w:color="BFBFBF"/>
              <w:bottom w:val="single" w:sz="12" w:space="0" w:color="003399" w:themeColor="accent2"/>
              <w:right w:val="nil"/>
            </w:tcBorders>
            <w:shd w:val="clear" w:color="auto" w:fill="F6F4EC"/>
          </w:tcPr>
          <w:p w14:paraId="04ADA59F" w14:textId="58945E50" w:rsidR="007A7CB7" w:rsidRPr="00352375" w:rsidRDefault="007A7CB7" w:rsidP="00DA3030">
            <w:pPr>
              <w:rPr>
                <w:rFonts w:cs="Arial"/>
                <w:b/>
                <w:bCs/>
                <w:sz w:val="20"/>
                <w:szCs w:val="20"/>
              </w:rPr>
            </w:pPr>
            <w:r w:rsidRPr="00352375">
              <w:rPr>
                <w:rFonts w:cs="Arial"/>
                <w:b/>
                <w:bCs/>
                <w:sz w:val="20"/>
                <w:szCs w:val="20"/>
              </w:rPr>
              <w:t>Other Services – Support (IL2)</w:t>
            </w:r>
          </w:p>
        </w:tc>
      </w:tr>
      <w:tr w:rsidR="007A7CB7" w:rsidRPr="00352375" w14:paraId="5B7BFEF1" w14:textId="77777777" w:rsidTr="00DA3030">
        <w:trPr>
          <w:trHeight w:val="300"/>
        </w:trPr>
        <w:tc>
          <w:tcPr>
            <w:tcW w:w="1833" w:type="dxa"/>
            <w:tcBorders>
              <w:top w:val="single" w:sz="12" w:space="0" w:color="003399" w:themeColor="accent2"/>
              <w:left w:val="nil"/>
              <w:bottom w:val="single" w:sz="8" w:space="0" w:color="BFBFBF"/>
              <w:right w:val="single" w:sz="8" w:space="0" w:color="BFBFBF"/>
            </w:tcBorders>
            <w:vAlign w:val="center"/>
          </w:tcPr>
          <w:p w14:paraId="060ADA17" w14:textId="24360D83" w:rsidR="007A7CB7" w:rsidRPr="00352375" w:rsidRDefault="007A7CB7" w:rsidP="00666E06">
            <w:pPr>
              <w:rPr>
                <w:rFonts w:cs="Arial"/>
                <w:sz w:val="20"/>
                <w:szCs w:val="20"/>
              </w:rPr>
            </w:pPr>
            <w:r w:rsidRPr="00352375">
              <w:rPr>
                <w:rFonts w:cs="Arial"/>
                <w:sz w:val="20"/>
                <w:szCs w:val="20"/>
              </w:rPr>
              <w:t>Surrounding environment</w:t>
            </w:r>
          </w:p>
        </w:tc>
        <w:tc>
          <w:tcPr>
            <w:tcW w:w="3792" w:type="dxa"/>
            <w:tcBorders>
              <w:top w:val="single" w:sz="12" w:space="0" w:color="003399" w:themeColor="accent2"/>
              <w:left w:val="single" w:sz="8" w:space="0" w:color="BFBFBF"/>
              <w:bottom w:val="single" w:sz="8" w:space="0" w:color="BFBFBF"/>
              <w:right w:val="single" w:sz="8" w:space="0" w:color="BFBFBF"/>
            </w:tcBorders>
            <w:vAlign w:val="center"/>
          </w:tcPr>
          <w:p w14:paraId="05B7FED4" w14:textId="16C4090B" w:rsidR="007A7CB7" w:rsidRPr="00352375" w:rsidRDefault="007A7CB7" w:rsidP="00666E06">
            <w:pPr>
              <w:rPr>
                <w:rFonts w:cs="Arial"/>
                <w:sz w:val="20"/>
                <w:szCs w:val="20"/>
              </w:rPr>
            </w:pPr>
            <w:r w:rsidRPr="00352375">
              <w:rPr>
                <w:rFonts w:cs="Arial"/>
                <w:sz w:val="20"/>
                <w:szCs w:val="20"/>
              </w:rPr>
              <w:t>Access to building</w:t>
            </w:r>
          </w:p>
        </w:tc>
        <w:tc>
          <w:tcPr>
            <w:tcW w:w="4435" w:type="dxa"/>
            <w:gridSpan w:val="2"/>
            <w:tcBorders>
              <w:top w:val="single" w:sz="12" w:space="0" w:color="003399" w:themeColor="accent2"/>
              <w:left w:val="single" w:sz="8" w:space="0" w:color="BFBFBF"/>
              <w:bottom w:val="single" w:sz="8" w:space="0" w:color="BFBFBF"/>
              <w:right w:val="single" w:sz="8" w:space="0" w:color="BFBFBF"/>
            </w:tcBorders>
          </w:tcPr>
          <w:p w14:paraId="2D176761" w14:textId="1DEA97EC" w:rsidR="007A7CB7" w:rsidRPr="00352375" w:rsidRDefault="007A7CB7" w:rsidP="00666E06">
            <w:pPr>
              <w:rPr>
                <w:rFonts w:cs="Arial"/>
                <w:sz w:val="20"/>
                <w:szCs w:val="20"/>
              </w:rPr>
            </w:pPr>
            <w:r w:rsidRPr="00352375">
              <w:rPr>
                <w:rFonts w:cs="Arial"/>
                <w:sz w:val="20"/>
                <w:szCs w:val="20"/>
              </w:rPr>
              <w:t>Largely unimpeded access from damage to other buildings, roadway failure</w:t>
            </w:r>
            <w:r w:rsidR="00D01C90" w:rsidRPr="00352375">
              <w:rPr>
                <w:rFonts w:cs="Arial"/>
                <w:sz w:val="20"/>
                <w:szCs w:val="20"/>
              </w:rPr>
              <w:t xml:space="preserve"> due to landslip above or below</w:t>
            </w:r>
            <w:r w:rsidRPr="00352375">
              <w:rPr>
                <w:rFonts w:cs="Arial"/>
                <w:sz w:val="20"/>
                <w:szCs w:val="20"/>
              </w:rPr>
              <w:t xml:space="preserve"> (or lack of road network redundancy), etc.</w:t>
            </w:r>
          </w:p>
        </w:tc>
        <w:tc>
          <w:tcPr>
            <w:tcW w:w="4536" w:type="dxa"/>
            <w:gridSpan w:val="2"/>
            <w:tcBorders>
              <w:top w:val="single" w:sz="12" w:space="0" w:color="003399" w:themeColor="accent2"/>
              <w:left w:val="single" w:sz="8" w:space="0" w:color="BFBFBF"/>
              <w:bottom w:val="single" w:sz="8" w:space="0" w:color="BFBFBF"/>
              <w:right w:val="nil"/>
            </w:tcBorders>
          </w:tcPr>
          <w:p w14:paraId="2487D0CA" w14:textId="675360AB" w:rsidR="007A7CB7" w:rsidRPr="00352375" w:rsidRDefault="007A7CB7" w:rsidP="00666E06">
            <w:pPr>
              <w:rPr>
                <w:rFonts w:cs="Arial"/>
                <w:sz w:val="20"/>
                <w:szCs w:val="20"/>
              </w:rPr>
            </w:pPr>
            <w:r w:rsidRPr="00352375">
              <w:rPr>
                <w:rFonts w:cs="Arial"/>
                <w:sz w:val="20"/>
                <w:szCs w:val="20"/>
              </w:rPr>
              <w:t>No special requirements.</w:t>
            </w:r>
          </w:p>
        </w:tc>
      </w:tr>
      <w:tr w:rsidR="007A7CB7" w:rsidRPr="00352375" w14:paraId="65411AFB" w14:textId="77777777" w:rsidTr="00D4195D">
        <w:trPr>
          <w:trHeight w:val="300"/>
        </w:trPr>
        <w:tc>
          <w:tcPr>
            <w:tcW w:w="1833" w:type="dxa"/>
            <w:tcBorders>
              <w:top w:val="single" w:sz="8" w:space="0" w:color="BFBFBF"/>
              <w:left w:val="nil"/>
              <w:bottom w:val="single" w:sz="8" w:space="0" w:color="BFBFBF"/>
              <w:right w:val="single" w:sz="8" w:space="0" w:color="BFBFBF"/>
            </w:tcBorders>
            <w:vAlign w:val="center"/>
          </w:tcPr>
          <w:p w14:paraId="3C5F8C6B" w14:textId="0799E013" w:rsidR="007A7CB7" w:rsidRPr="00352375" w:rsidRDefault="007A7CB7" w:rsidP="00666E06">
            <w:pPr>
              <w:rPr>
                <w:rFonts w:cs="Arial"/>
                <w:sz w:val="20"/>
                <w:szCs w:val="20"/>
              </w:rPr>
            </w:pPr>
            <w:r w:rsidRPr="00352375">
              <w:rPr>
                <w:rFonts w:cs="Arial"/>
                <w:sz w:val="20"/>
                <w:szCs w:val="20"/>
              </w:rPr>
              <w:t>Supply of incoming services</w:t>
            </w:r>
          </w:p>
        </w:tc>
        <w:tc>
          <w:tcPr>
            <w:tcW w:w="3792" w:type="dxa"/>
            <w:tcBorders>
              <w:top w:val="single" w:sz="8" w:space="0" w:color="BFBFBF"/>
              <w:left w:val="single" w:sz="8" w:space="0" w:color="BFBFBF"/>
              <w:bottom w:val="single" w:sz="8" w:space="0" w:color="BFBFBF"/>
              <w:right w:val="single" w:sz="8" w:space="0" w:color="BFBFBF"/>
            </w:tcBorders>
            <w:vAlign w:val="center"/>
          </w:tcPr>
          <w:p w14:paraId="3025DCBF" w14:textId="7822C742" w:rsidR="007A7CB7" w:rsidRPr="00352375" w:rsidRDefault="007A7CB7" w:rsidP="00666E06">
            <w:pPr>
              <w:rPr>
                <w:rFonts w:cs="Arial"/>
                <w:sz w:val="20"/>
                <w:szCs w:val="20"/>
              </w:rPr>
            </w:pPr>
            <w:r w:rsidRPr="00352375">
              <w:rPr>
                <w:rFonts w:cs="Arial"/>
                <w:sz w:val="20"/>
                <w:szCs w:val="20"/>
              </w:rPr>
              <w:t>Network/site infrastructure, and emergency backup utilities</w:t>
            </w:r>
          </w:p>
        </w:tc>
        <w:tc>
          <w:tcPr>
            <w:tcW w:w="8971" w:type="dxa"/>
            <w:gridSpan w:val="4"/>
            <w:tcBorders>
              <w:top w:val="single" w:sz="8" w:space="0" w:color="BFBFBF"/>
              <w:left w:val="single" w:sz="8" w:space="0" w:color="BFBFBF"/>
              <w:bottom w:val="single" w:sz="8" w:space="0" w:color="BFBFBF"/>
              <w:right w:val="nil"/>
            </w:tcBorders>
          </w:tcPr>
          <w:p w14:paraId="50A5A15D" w14:textId="381E53D5" w:rsidR="007A7CB7" w:rsidRPr="00352375" w:rsidRDefault="007A7CB7" w:rsidP="00666E06">
            <w:pPr>
              <w:rPr>
                <w:rFonts w:cs="Arial"/>
                <w:sz w:val="20"/>
                <w:szCs w:val="20"/>
              </w:rPr>
            </w:pPr>
            <w:r w:rsidRPr="00352375">
              <w:rPr>
                <w:rFonts w:cs="Arial"/>
                <w:sz w:val="20"/>
                <w:szCs w:val="20"/>
              </w:rPr>
              <w:t>Refer to Building Services Systems (below) for specific requirements related to connection to public utilities</w:t>
            </w:r>
            <w:bookmarkStart w:id="176" w:name="_Ref151958450"/>
            <w:r w:rsidRPr="00352375">
              <w:rPr>
                <w:rStyle w:val="FootnoteReference"/>
                <w:rFonts w:eastAsia="Calibri" w:cs="Arial"/>
                <w:sz w:val="20"/>
                <w:szCs w:val="20"/>
              </w:rPr>
              <w:footnoteReference w:id="23"/>
            </w:r>
            <w:bookmarkEnd w:id="176"/>
            <w:r w:rsidR="00A43953" w:rsidRPr="00352375">
              <w:rPr>
                <w:rFonts w:cs="Arial"/>
                <w:sz w:val="20"/>
                <w:szCs w:val="20"/>
              </w:rPr>
              <w:t xml:space="preserve">. </w:t>
            </w:r>
          </w:p>
        </w:tc>
      </w:tr>
      <w:tr w:rsidR="007A7CB7" w:rsidRPr="00352375" w14:paraId="7C4620AB" w14:textId="77777777" w:rsidTr="00855228">
        <w:trPr>
          <w:trHeight w:val="300"/>
        </w:trPr>
        <w:tc>
          <w:tcPr>
            <w:tcW w:w="1833" w:type="dxa"/>
            <w:tcBorders>
              <w:top w:val="single" w:sz="8" w:space="0" w:color="BFBFBF"/>
              <w:left w:val="nil"/>
              <w:bottom w:val="single" w:sz="8" w:space="0" w:color="BFBFBF"/>
              <w:right w:val="single" w:sz="8" w:space="0" w:color="BFBFBF"/>
            </w:tcBorders>
            <w:vAlign w:val="center"/>
          </w:tcPr>
          <w:p w14:paraId="7E1AE488" w14:textId="32CE8DE3" w:rsidR="007A7CB7" w:rsidRPr="00352375" w:rsidRDefault="007A7CB7" w:rsidP="00666E06">
            <w:pPr>
              <w:rPr>
                <w:rFonts w:cs="Arial"/>
                <w:sz w:val="20"/>
                <w:szCs w:val="20"/>
              </w:rPr>
            </w:pPr>
            <w:r w:rsidRPr="00352375">
              <w:rPr>
                <w:rFonts w:cs="Arial"/>
                <w:sz w:val="20"/>
                <w:szCs w:val="20"/>
              </w:rPr>
              <w:t>Discharge of outgoing services</w:t>
            </w:r>
          </w:p>
        </w:tc>
        <w:tc>
          <w:tcPr>
            <w:tcW w:w="3792" w:type="dxa"/>
            <w:tcBorders>
              <w:top w:val="single" w:sz="8" w:space="0" w:color="BFBFBF"/>
              <w:left w:val="single" w:sz="8" w:space="0" w:color="BFBFBF"/>
              <w:bottom w:val="single" w:sz="8" w:space="0" w:color="BFBFBF"/>
              <w:right w:val="single" w:sz="8" w:space="0" w:color="BFBFBF"/>
            </w:tcBorders>
            <w:vAlign w:val="center"/>
          </w:tcPr>
          <w:p w14:paraId="68BE3681" w14:textId="5379E00D" w:rsidR="007A7CB7" w:rsidRPr="00352375" w:rsidRDefault="007A7CB7" w:rsidP="00666E06">
            <w:pPr>
              <w:rPr>
                <w:rFonts w:cs="Arial"/>
                <w:sz w:val="20"/>
                <w:szCs w:val="20"/>
              </w:rPr>
            </w:pPr>
            <w:r w:rsidRPr="00352375">
              <w:rPr>
                <w:rFonts w:cs="Arial"/>
                <w:sz w:val="20"/>
                <w:szCs w:val="20"/>
              </w:rPr>
              <w:t>Building to public network</w:t>
            </w:r>
          </w:p>
        </w:tc>
        <w:tc>
          <w:tcPr>
            <w:tcW w:w="8971" w:type="dxa"/>
            <w:gridSpan w:val="4"/>
            <w:tcBorders>
              <w:top w:val="single" w:sz="8" w:space="0" w:color="BFBFBF"/>
              <w:left w:val="single" w:sz="8" w:space="0" w:color="BFBFBF"/>
              <w:bottom w:val="single" w:sz="8" w:space="0" w:color="BFBFBF"/>
              <w:right w:val="nil"/>
            </w:tcBorders>
          </w:tcPr>
          <w:p w14:paraId="1F863FB1" w14:textId="20B6B819" w:rsidR="007A7CB7" w:rsidRPr="00352375" w:rsidRDefault="007A7CB7" w:rsidP="00666E06">
            <w:pPr>
              <w:rPr>
                <w:rFonts w:cs="Arial"/>
                <w:sz w:val="20"/>
                <w:szCs w:val="20"/>
              </w:rPr>
            </w:pPr>
            <w:r w:rsidRPr="00352375">
              <w:rPr>
                <w:rFonts w:cs="Arial"/>
                <w:sz w:val="20"/>
                <w:szCs w:val="20"/>
              </w:rPr>
              <w:t>Refer to Building Services Systems (below) for specific requirements related to outgoing services.</w:t>
            </w:r>
          </w:p>
        </w:tc>
      </w:tr>
      <w:tr w:rsidR="007A7CB7" w:rsidRPr="00352375" w14:paraId="1D3331F7" w14:textId="77777777" w:rsidTr="00855228">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0D82321F" w14:textId="06AD222D" w:rsidR="007A7CB7" w:rsidRPr="00352375" w:rsidRDefault="007A7CB7" w:rsidP="00666E06">
            <w:pPr>
              <w:rPr>
                <w:rFonts w:eastAsia="Arial" w:cs="Arial"/>
                <w:sz w:val="20"/>
                <w:szCs w:val="20"/>
              </w:rPr>
            </w:pPr>
            <w:r w:rsidRPr="00352375">
              <w:rPr>
                <w:rFonts w:cs="Arial"/>
                <w:sz w:val="20"/>
                <w:szCs w:val="20"/>
              </w:rPr>
              <w:t>Primary Structure</w:t>
            </w:r>
          </w:p>
        </w:tc>
        <w:tc>
          <w:tcPr>
            <w:tcW w:w="3792" w:type="dxa"/>
            <w:tcBorders>
              <w:top w:val="single" w:sz="8" w:space="0" w:color="BFBFBF"/>
              <w:left w:val="single" w:sz="8" w:space="0" w:color="BFBFBF"/>
              <w:bottom w:val="single" w:sz="8" w:space="0" w:color="BFBFBF"/>
              <w:right w:val="single" w:sz="8" w:space="0" w:color="BFBFBF"/>
            </w:tcBorders>
            <w:vAlign w:val="center"/>
          </w:tcPr>
          <w:p w14:paraId="2BF643A9" w14:textId="00F30B07" w:rsidR="007A7CB7" w:rsidRPr="00352375" w:rsidRDefault="007A7CB7" w:rsidP="00666E06">
            <w:pPr>
              <w:rPr>
                <w:rFonts w:cs="Arial"/>
                <w:sz w:val="20"/>
                <w:szCs w:val="20"/>
              </w:rPr>
            </w:pPr>
            <w:r w:rsidRPr="00352375">
              <w:rPr>
                <w:rFonts w:cs="Arial"/>
                <w:sz w:val="20"/>
                <w:szCs w:val="20"/>
                <w:lang w:val="en-US"/>
              </w:rPr>
              <w:t>Foundations</w:t>
            </w:r>
          </w:p>
        </w:tc>
        <w:tc>
          <w:tcPr>
            <w:tcW w:w="6419" w:type="dxa"/>
            <w:gridSpan w:val="3"/>
            <w:tcBorders>
              <w:top w:val="single" w:sz="8" w:space="0" w:color="BFBFBF"/>
              <w:left w:val="single" w:sz="8" w:space="0" w:color="BFBFBF"/>
              <w:bottom w:val="single" w:sz="8" w:space="0" w:color="BFBFBF"/>
              <w:right w:val="single" w:sz="8" w:space="0" w:color="BFBFBF"/>
            </w:tcBorders>
          </w:tcPr>
          <w:p w14:paraId="0668118C" w14:textId="04B9C248" w:rsidR="007A7CB7" w:rsidRPr="00352375" w:rsidRDefault="007A7CB7" w:rsidP="00666E06">
            <w:pPr>
              <w:rPr>
                <w:rFonts w:cs="Arial"/>
                <w:sz w:val="20"/>
                <w:szCs w:val="20"/>
                <w:lang w:val="en-US"/>
              </w:rPr>
            </w:pPr>
            <w:r w:rsidRPr="00352375">
              <w:rPr>
                <w:rFonts w:cs="Arial"/>
                <w:sz w:val="20"/>
                <w:szCs w:val="20"/>
                <w:lang w:val="en-US"/>
              </w:rPr>
              <w:t xml:space="preserve">Manageable absolute settlement relative to surrounding ground, meaning not requiring immediate foundation relevelling nor significantly affecting </w:t>
            </w:r>
            <w:r w:rsidR="003C1E2F" w:rsidRPr="00352375">
              <w:rPr>
                <w:rFonts w:cs="Arial"/>
                <w:sz w:val="20"/>
                <w:szCs w:val="20"/>
                <w:lang w:val="en-US"/>
              </w:rPr>
              <w:t xml:space="preserve">potential for flooding from </w:t>
            </w:r>
            <w:r w:rsidRPr="00352375">
              <w:rPr>
                <w:rFonts w:cs="Arial"/>
                <w:sz w:val="20"/>
                <w:szCs w:val="20"/>
                <w:lang w:val="en-US"/>
              </w:rPr>
              <w:t>overland flow.</w:t>
            </w:r>
          </w:p>
          <w:p w14:paraId="528BB7D3" w14:textId="7CA1F50F" w:rsidR="007A7CB7" w:rsidRPr="00352375" w:rsidRDefault="007A7CB7" w:rsidP="00666E06">
            <w:pPr>
              <w:rPr>
                <w:rFonts w:cs="Arial"/>
                <w:sz w:val="20"/>
                <w:szCs w:val="20"/>
                <w:lang w:val="en-US"/>
              </w:rPr>
            </w:pPr>
            <w:r w:rsidRPr="00352375">
              <w:rPr>
                <w:rFonts w:cs="Arial"/>
                <w:sz w:val="20"/>
                <w:szCs w:val="20"/>
                <w:lang w:val="en-US"/>
              </w:rPr>
              <w:t>Manageable differential settlement meaning not significantly compromising superstructure capacity (as described in subsequent descriptions), and not requiring immediate foundation relevelling for amenity in a return to normal operations</w:t>
            </w:r>
            <w:r w:rsidR="00A43953" w:rsidRPr="00352375">
              <w:rPr>
                <w:rFonts w:cs="Arial"/>
                <w:sz w:val="20"/>
                <w:szCs w:val="20"/>
                <w:lang w:val="en-US"/>
              </w:rPr>
              <w:t xml:space="preserve">. </w:t>
            </w:r>
            <w:r w:rsidRPr="00352375">
              <w:rPr>
                <w:rFonts w:cs="Arial"/>
                <w:sz w:val="20"/>
                <w:szCs w:val="20"/>
                <w:lang w:val="en-US"/>
              </w:rPr>
              <w:t xml:space="preserve">Minor cracking or </w:t>
            </w:r>
            <w:r w:rsidR="00A97A7B" w:rsidRPr="00352375">
              <w:rPr>
                <w:rFonts w:cs="Arial"/>
                <w:sz w:val="20"/>
                <w:szCs w:val="20"/>
                <w:lang w:val="en-US"/>
              </w:rPr>
              <w:t>yielding</w:t>
            </w:r>
            <w:r w:rsidRPr="00352375">
              <w:rPr>
                <w:rFonts w:cs="Arial"/>
                <w:sz w:val="20"/>
                <w:szCs w:val="20"/>
                <w:lang w:val="en-US"/>
              </w:rPr>
              <w:t xml:space="preserve"> to concrete foundation members not requiring repair (and recognising the difficulty in inspection).</w:t>
            </w:r>
          </w:p>
          <w:p w14:paraId="47E7B52B" w14:textId="58AC8C54" w:rsidR="007A7CB7" w:rsidRPr="00352375" w:rsidRDefault="007A7CB7" w:rsidP="00666E06">
            <w:pPr>
              <w:rPr>
                <w:rFonts w:cs="Arial"/>
                <w:sz w:val="20"/>
                <w:szCs w:val="20"/>
                <w:lang w:val="en-US"/>
              </w:rPr>
            </w:pPr>
            <w:r w:rsidRPr="00352375">
              <w:rPr>
                <w:rFonts w:cs="Arial"/>
                <w:sz w:val="20"/>
                <w:szCs w:val="20"/>
              </w:rPr>
              <w:t xml:space="preserve">All services entering and exiting the building shall have their connections (designed to be appropriately flexible and robust) at easily identifiable and accessible locations such that they may be repaired if damaged, without disproportionate works. </w:t>
            </w:r>
          </w:p>
        </w:tc>
        <w:tc>
          <w:tcPr>
            <w:tcW w:w="2552" w:type="dxa"/>
            <w:tcBorders>
              <w:top w:val="single" w:sz="8" w:space="0" w:color="BFBFBF"/>
              <w:left w:val="single" w:sz="8" w:space="0" w:color="BFBFBF"/>
              <w:bottom w:val="single" w:sz="8" w:space="0" w:color="BFBFBF"/>
              <w:right w:val="nil"/>
            </w:tcBorders>
          </w:tcPr>
          <w:p w14:paraId="14FE1EAB" w14:textId="286AF62A" w:rsidR="007A7CB7" w:rsidRPr="00352375" w:rsidRDefault="007A7CB7" w:rsidP="00666E06">
            <w:pPr>
              <w:rPr>
                <w:rFonts w:cs="Arial"/>
                <w:sz w:val="20"/>
                <w:szCs w:val="20"/>
              </w:rPr>
            </w:pPr>
            <w:r w:rsidRPr="00352375">
              <w:rPr>
                <w:rFonts w:cs="Arial"/>
                <w:sz w:val="20"/>
                <w:szCs w:val="20"/>
              </w:rPr>
              <w:t>Similar, but foundation relevelling tolerable provided it is practical and economical.</w:t>
            </w:r>
          </w:p>
        </w:tc>
      </w:tr>
      <w:tr w:rsidR="007A7CB7" w:rsidRPr="00352375" w14:paraId="180F226B" w14:textId="77777777" w:rsidTr="00855228">
        <w:trPr>
          <w:trHeight w:val="300"/>
        </w:trPr>
        <w:tc>
          <w:tcPr>
            <w:tcW w:w="1833" w:type="dxa"/>
            <w:vMerge/>
            <w:tcBorders>
              <w:top w:val="single" w:sz="8" w:space="0" w:color="BFBFBF"/>
              <w:left w:val="nil"/>
              <w:bottom w:val="single" w:sz="8" w:space="0" w:color="BFBFBF"/>
              <w:right w:val="single" w:sz="8" w:space="0" w:color="BFBFBF"/>
            </w:tcBorders>
            <w:vAlign w:val="center"/>
          </w:tcPr>
          <w:p w14:paraId="2426E939"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205047A1" w14:textId="029E485C" w:rsidR="007A7CB7" w:rsidRPr="00352375" w:rsidRDefault="007A7CB7" w:rsidP="00666E06">
            <w:pPr>
              <w:rPr>
                <w:rFonts w:cs="Arial"/>
                <w:sz w:val="20"/>
                <w:szCs w:val="20"/>
              </w:rPr>
            </w:pPr>
            <w:r w:rsidRPr="00352375">
              <w:rPr>
                <w:rFonts w:cs="Arial"/>
                <w:sz w:val="20"/>
                <w:szCs w:val="20"/>
                <w:lang w:val="en-US"/>
              </w:rPr>
              <w:t>Structural Members</w:t>
            </w:r>
          </w:p>
        </w:tc>
        <w:tc>
          <w:tcPr>
            <w:tcW w:w="6419" w:type="dxa"/>
            <w:gridSpan w:val="3"/>
            <w:tcBorders>
              <w:top w:val="single" w:sz="8" w:space="0" w:color="BFBFBF"/>
              <w:left w:val="single" w:sz="8" w:space="0" w:color="BFBFBF"/>
              <w:bottom w:val="single" w:sz="8" w:space="0" w:color="BFBFBF"/>
              <w:right w:val="single" w:sz="8" w:space="0" w:color="BFBFBF"/>
            </w:tcBorders>
          </w:tcPr>
          <w:p w14:paraId="4A5464F7" w14:textId="31E5ADF1" w:rsidR="007A7CB7" w:rsidRPr="00352375" w:rsidRDefault="007A7CB7" w:rsidP="00666E06">
            <w:pPr>
              <w:rPr>
                <w:rFonts w:cs="Arial"/>
                <w:sz w:val="20"/>
                <w:szCs w:val="20"/>
              </w:rPr>
            </w:pPr>
            <w:r w:rsidRPr="00352375">
              <w:rPr>
                <w:rFonts w:cs="Arial"/>
                <w:sz w:val="20"/>
                <w:szCs w:val="20"/>
                <w:lang w:val="en-US"/>
              </w:rPr>
              <w:t xml:space="preserve">Minor damage or </w:t>
            </w:r>
            <w:r w:rsidR="003B34B5" w:rsidRPr="00352375">
              <w:rPr>
                <w:rFonts w:cs="Arial"/>
                <w:sz w:val="20"/>
                <w:szCs w:val="20"/>
                <w:lang w:val="en-US"/>
              </w:rPr>
              <w:t>yielding</w:t>
            </w:r>
            <w:r w:rsidRPr="00352375">
              <w:rPr>
                <w:rFonts w:cs="Arial"/>
                <w:sz w:val="20"/>
                <w:szCs w:val="20"/>
                <w:lang w:val="en-US"/>
              </w:rPr>
              <w:t xml:space="preserve"> to structural members. No significant reduction in capacity, and tolerable residual drift.</w:t>
            </w:r>
          </w:p>
          <w:p w14:paraId="55300BEA" w14:textId="6BA991B0" w:rsidR="007A7CB7" w:rsidRPr="00352375" w:rsidRDefault="007A7CB7" w:rsidP="00666E06">
            <w:pPr>
              <w:rPr>
                <w:rFonts w:cs="Arial"/>
                <w:sz w:val="20"/>
                <w:szCs w:val="20"/>
              </w:rPr>
            </w:pPr>
            <w:r w:rsidRPr="00352375">
              <w:rPr>
                <w:rFonts w:cs="Arial"/>
                <w:sz w:val="20"/>
                <w:szCs w:val="20"/>
                <w:lang w:val="en-US"/>
              </w:rPr>
              <w:t xml:space="preserve">Practical and economic to repair for return to normal operations. For concrete members this could include minor cracking and isolated spalling of cover concrete—able to be reinstated by practical extents of epoxy injection or mortar repair and not requiring reinforcing </w:t>
            </w:r>
            <w:r w:rsidRPr="00352375">
              <w:rPr>
                <w:rFonts w:cs="Arial"/>
                <w:sz w:val="20"/>
                <w:szCs w:val="20"/>
                <w:lang w:val="en-US"/>
              </w:rPr>
              <w:lastRenderedPageBreak/>
              <w:t>replacement</w:t>
            </w:r>
            <w:r w:rsidR="00A43953" w:rsidRPr="00352375">
              <w:rPr>
                <w:rFonts w:cs="Arial"/>
                <w:sz w:val="20"/>
                <w:szCs w:val="20"/>
                <w:lang w:val="en-US"/>
              </w:rPr>
              <w:t xml:space="preserve">. </w:t>
            </w:r>
            <w:r w:rsidRPr="00352375">
              <w:rPr>
                <w:rFonts w:cs="Arial"/>
                <w:sz w:val="20"/>
                <w:szCs w:val="20"/>
                <w:lang w:val="en-US"/>
              </w:rPr>
              <w:t>For structural steel elements, minor permanent distortion but no buckling of plate elements.</w:t>
            </w:r>
          </w:p>
        </w:tc>
        <w:tc>
          <w:tcPr>
            <w:tcW w:w="2552" w:type="dxa"/>
            <w:tcBorders>
              <w:top w:val="single" w:sz="8" w:space="0" w:color="BFBFBF"/>
              <w:left w:val="single" w:sz="8" w:space="0" w:color="BFBFBF"/>
              <w:bottom w:val="single" w:sz="8" w:space="0" w:color="BFBFBF"/>
              <w:right w:val="nil"/>
            </w:tcBorders>
          </w:tcPr>
          <w:p w14:paraId="2831A28F" w14:textId="3B4F8088" w:rsidR="007A7CB7" w:rsidRPr="00352375" w:rsidRDefault="007A7CB7" w:rsidP="00666E06">
            <w:pPr>
              <w:rPr>
                <w:rFonts w:cs="Arial"/>
                <w:sz w:val="20"/>
                <w:szCs w:val="20"/>
              </w:rPr>
            </w:pPr>
            <w:r w:rsidRPr="00352375">
              <w:rPr>
                <w:rFonts w:cs="Arial"/>
                <w:sz w:val="20"/>
                <w:szCs w:val="20"/>
              </w:rPr>
              <w:lastRenderedPageBreak/>
              <w:t xml:space="preserve">Similar </w:t>
            </w:r>
          </w:p>
        </w:tc>
      </w:tr>
      <w:tr w:rsidR="007A7CB7" w:rsidRPr="00352375" w14:paraId="05F6CC5D" w14:textId="77777777" w:rsidTr="00855228">
        <w:trPr>
          <w:trHeight w:val="300"/>
        </w:trPr>
        <w:tc>
          <w:tcPr>
            <w:tcW w:w="1833" w:type="dxa"/>
            <w:vMerge/>
            <w:tcBorders>
              <w:top w:val="single" w:sz="8" w:space="0" w:color="BFBFBF"/>
              <w:left w:val="nil"/>
              <w:bottom w:val="single" w:sz="8" w:space="0" w:color="BFBFBF"/>
              <w:right w:val="single" w:sz="8" w:space="0" w:color="BFBFBF"/>
            </w:tcBorders>
            <w:vAlign w:val="center"/>
          </w:tcPr>
          <w:p w14:paraId="5869AF7F"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vAlign w:val="center"/>
          </w:tcPr>
          <w:p w14:paraId="697E81DC" w14:textId="77777777" w:rsidR="007A7CB7" w:rsidRPr="00352375" w:rsidRDefault="007A7CB7" w:rsidP="00666E06">
            <w:pPr>
              <w:rPr>
                <w:rFonts w:cs="Arial"/>
                <w:sz w:val="20"/>
                <w:szCs w:val="20"/>
                <w:lang w:val="en-US"/>
              </w:rPr>
            </w:pPr>
          </w:p>
        </w:tc>
        <w:tc>
          <w:tcPr>
            <w:tcW w:w="6419" w:type="dxa"/>
            <w:gridSpan w:val="3"/>
            <w:tcBorders>
              <w:top w:val="single" w:sz="8" w:space="0" w:color="BFBFBF"/>
              <w:left w:val="single" w:sz="8" w:space="0" w:color="BFBFBF"/>
              <w:bottom w:val="single" w:sz="8" w:space="0" w:color="BFBFBF"/>
              <w:right w:val="single" w:sz="8" w:space="0" w:color="BFBFBF"/>
            </w:tcBorders>
          </w:tcPr>
          <w:p w14:paraId="0A5CB75D" w14:textId="356E8B3E" w:rsidR="007A7CB7" w:rsidRPr="00352375" w:rsidRDefault="007A7CB7" w:rsidP="00666E06">
            <w:pPr>
              <w:rPr>
                <w:rFonts w:cs="Arial"/>
                <w:sz w:val="20"/>
                <w:szCs w:val="20"/>
                <w:lang w:val="en-US"/>
              </w:rPr>
            </w:pPr>
            <w:r w:rsidRPr="00352375">
              <w:rPr>
                <w:rFonts w:cs="Arial"/>
                <w:sz w:val="20"/>
                <w:szCs w:val="20"/>
                <w:lang w:val="en-US"/>
              </w:rPr>
              <w:t>Repair work should not require decant of departments. The type and extent of work reasonably anticipated should reflect the difficulty and disruption of repair in operating environments—especially those with in-patient or all-hours clinical functions. Reduced functionality during repair work may be acceptable for short periods (days or weeks)</w:t>
            </w:r>
            <w:r w:rsidR="00A43953" w:rsidRPr="00352375">
              <w:rPr>
                <w:rFonts w:cs="Arial"/>
                <w:sz w:val="20"/>
                <w:szCs w:val="20"/>
                <w:lang w:val="en-US"/>
              </w:rPr>
              <w:t xml:space="preserve">. </w:t>
            </w:r>
          </w:p>
        </w:tc>
        <w:tc>
          <w:tcPr>
            <w:tcW w:w="2552" w:type="dxa"/>
            <w:tcBorders>
              <w:top w:val="single" w:sz="8" w:space="0" w:color="BFBFBF"/>
              <w:left w:val="single" w:sz="8" w:space="0" w:color="BFBFBF"/>
              <w:bottom w:val="single" w:sz="8" w:space="0" w:color="BFBFBF"/>
              <w:right w:val="nil"/>
            </w:tcBorders>
          </w:tcPr>
          <w:p w14:paraId="21F31845" w14:textId="01DE701A" w:rsidR="007A7CB7" w:rsidRPr="00352375" w:rsidRDefault="007A7CB7" w:rsidP="00666E06">
            <w:pPr>
              <w:rPr>
                <w:rFonts w:cs="Arial"/>
                <w:sz w:val="20"/>
                <w:szCs w:val="20"/>
                <w:lang w:val="en-US"/>
              </w:rPr>
            </w:pPr>
            <w:r w:rsidRPr="00352375">
              <w:rPr>
                <w:rFonts w:cs="Arial"/>
                <w:sz w:val="20"/>
                <w:szCs w:val="20"/>
                <w:lang w:val="en-US"/>
              </w:rPr>
              <w:t>Limited decanting acceptable for carrying out repairs tolerable.</w:t>
            </w:r>
          </w:p>
        </w:tc>
      </w:tr>
      <w:tr w:rsidR="007A7CB7" w:rsidRPr="00352375" w14:paraId="0D864769" w14:textId="77777777" w:rsidTr="00855228">
        <w:trPr>
          <w:trHeight w:val="300"/>
        </w:trPr>
        <w:tc>
          <w:tcPr>
            <w:tcW w:w="1833" w:type="dxa"/>
            <w:vMerge/>
            <w:tcBorders>
              <w:top w:val="single" w:sz="8" w:space="0" w:color="BFBFBF"/>
              <w:left w:val="nil"/>
              <w:bottom w:val="single" w:sz="8" w:space="0" w:color="BFBFBF"/>
              <w:right w:val="single" w:sz="8" w:space="0" w:color="BFBFBF"/>
            </w:tcBorders>
            <w:vAlign w:val="center"/>
          </w:tcPr>
          <w:p w14:paraId="17D34E2F"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426DDB7D" w14:textId="5E2F636C" w:rsidR="007A7CB7" w:rsidRPr="00352375" w:rsidRDefault="007A7CB7" w:rsidP="00666E06">
            <w:pPr>
              <w:rPr>
                <w:rFonts w:cs="Arial"/>
                <w:sz w:val="20"/>
                <w:szCs w:val="20"/>
              </w:rPr>
            </w:pPr>
            <w:r w:rsidRPr="00352375">
              <w:rPr>
                <w:rFonts w:cs="Arial"/>
                <w:sz w:val="20"/>
                <w:szCs w:val="20"/>
                <w:lang w:val="en-US"/>
              </w:rPr>
              <w:t>Floors</w:t>
            </w:r>
          </w:p>
        </w:tc>
        <w:tc>
          <w:tcPr>
            <w:tcW w:w="8971" w:type="dxa"/>
            <w:gridSpan w:val="4"/>
            <w:tcBorders>
              <w:top w:val="single" w:sz="8" w:space="0" w:color="BFBFBF"/>
              <w:left w:val="single" w:sz="8" w:space="0" w:color="BFBFBF"/>
              <w:bottom w:val="single" w:sz="8" w:space="0" w:color="BFBFBF"/>
              <w:right w:val="nil"/>
            </w:tcBorders>
          </w:tcPr>
          <w:p w14:paraId="21428CEC" w14:textId="00949C36" w:rsidR="007A7CB7" w:rsidRPr="00352375" w:rsidRDefault="007A7CB7" w:rsidP="00666E06">
            <w:pPr>
              <w:rPr>
                <w:rFonts w:cs="Arial"/>
                <w:sz w:val="20"/>
                <w:szCs w:val="20"/>
              </w:rPr>
            </w:pPr>
            <w:r w:rsidRPr="00352375">
              <w:rPr>
                <w:rFonts w:cs="Arial"/>
                <w:sz w:val="20"/>
                <w:szCs w:val="20"/>
                <w:lang w:val="en-US"/>
              </w:rPr>
              <w:t xml:space="preserve">Minimal damage. </w:t>
            </w:r>
            <w:r w:rsidR="009E7C18" w:rsidRPr="00352375">
              <w:rPr>
                <w:rFonts w:cs="Arial"/>
                <w:sz w:val="20"/>
                <w:szCs w:val="20"/>
                <w:lang w:val="en-US"/>
              </w:rPr>
              <w:t xml:space="preserve">Minor cracking of </w:t>
            </w:r>
            <w:r w:rsidRPr="00352375">
              <w:rPr>
                <w:rFonts w:cs="Arial"/>
                <w:sz w:val="20"/>
                <w:szCs w:val="20"/>
                <w:lang w:val="en-US"/>
              </w:rPr>
              <w:t>concrete slabs</w:t>
            </w:r>
            <w:r w:rsidR="00A43953" w:rsidRPr="00352375">
              <w:rPr>
                <w:rFonts w:cs="Arial"/>
                <w:sz w:val="20"/>
                <w:szCs w:val="20"/>
                <w:lang w:val="en-US"/>
              </w:rPr>
              <w:t xml:space="preserve">. </w:t>
            </w:r>
            <w:r w:rsidRPr="00352375">
              <w:rPr>
                <w:rFonts w:cs="Arial"/>
                <w:sz w:val="20"/>
                <w:szCs w:val="20"/>
                <w:lang w:val="en-US"/>
              </w:rPr>
              <w:t xml:space="preserve">No significant spalling. Otherwise, similar to </w:t>
            </w:r>
            <w:r w:rsidRPr="00352375">
              <w:rPr>
                <w:rFonts w:cs="Arial"/>
                <w:i/>
                <w:iCs/>
                <w:sz w:val="20"/>
                <w:szCs w:val="20"/>
                <w:lang w:val="en-US"/>
              </w:rPr>
              <w:t>Structural Members</w:t>
            </w:r>
            <w:r w:rsidRPr="00352375">
              <w:rPr>
                <w:rFonts w:cs="Arial"/>
                <w:sz w:val="20"/>
                <w:szCs w:val="20"/>
                <w:lang w:val="en-US"/>
              </w:rPr>
              <w:t>.</w:t>
            </w:r>
          </w:p>
        </w:tc>
      </w:tr>
      <w:tr w:rsidR="007A7CB7" w:rsidRPr="00352375" w14:paraId="7B2AB83D" w14:textId="77777777" w:rsidTr="00855228">
        <w:trPr>
          <w:trHeight w:val="300"/>
        </w:trPr>
        <w:tc>
          <w:tcPr>
            <w:tcW w:w="1833" w:type="dxa"/>
            <w:vMerge/>
            <w:tcBorders>
              <w:top w:val="single" w:sz="8" w:space="0" w:color="BFBFBF"/>
              <w:left w:val="nil"/>
              <w:bottom w:val="single" w:sz="8" w:space="0" w:color="BFBFBF"/>
              <w:right w:val="single" w:sz="8" w:space="0" w:color="BFBFBF"/>
            </w:tcBorders>
            <w:vAlign w:val="center"/>
          </w:tcPr>
          <w:p w14:paraId="1075D303"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295928B0" w14:textId="32447281" w:rsidR="007A7CB7" w:rsidRPr="00352375" w:rsidRDefault="007A7CB7" w:rsidP="00666E06">
            <w:pPr>
              <w:rPr>
                <w:rFonts w:cs="Arial"/>
                <w:sz w:val="20"/>
                <w:szCs w:val="20"/>
              </w:rPr>
            </w:pPr>
            <w:r w:rsidRPr="00352375">
              <w:rPr>
                <w:rFonts w:cs="Arial"/>
                <w:sz w:val="20"/>
                <w:szCs w:val="20"/>
                <w:lang w:val="en-US"/>
              </w:rPr>
              <w:t>Roof Framing</w:t>
            </w:r>
          </w:p>
        </w:tc>
        <w:tc>
          <w:tcPr>
            <w:tcW w:w="6419" w:type="dxa"/>
            <w:gridSpan w:val="3"/>
            <w:tcBorders>
              <w:top w:val="single" w:sz="8" w:space="0" w:color="BFBFBF"/>
              <w:left w:val="single" w:sz="8" w:space="0" w:color="BFBFBF"/>
              <w:bottom w:val="single" w:sz="8" w:space="0" w:color="BFBFBF"/>
              <w:right w:val="single" w:sz="8" w:space="0" w:color="BFBFBF"/>
            </w:tcBorders>
          </w:tcPr>
          <w:p w14:paraId="5552A168" w14:textId="716EF8CC" w:rsidR="007A7CB7" w:rsidRPr="00352375" w:rsidRDefault="007A7CB7" w:rsidP="00666E06">
            <w:pPr>
              <w:rPr>
                <w:rFonts w:cs="Arial"/>
                <w:sz w:val="20"/>
                <w:szCs w:val="20"/>
              </w:rPr>
            </w:pPr>
            <w:r w:rsidRPr="00352375">
              <w:rPr>
                <w:rFonts w:cs="Arial"/>
                <w:sz w:val="20"/>
                <w:szCs w:val="20"/>
                <w:lang w:val="en-US"/>
              </w:rPr>
              <w:t xml:space="preserve">Generally similar to </w:t>
            </w:r>
            <w:r w:rsidRPr="00352375">
              <w:rPr>
                <w:rFonts w:cs="Arial"/>
                <w:i/>
                <w:iCs/>
                <w:sz w:val="20"/>
                <w:szCs w:val="20"/>
                <w:lang w:val="en-US"/>
              </w:rPr>
              <w:t>Structural Members</w:t>
            </w:r>
            <w:r w:rsidRPr="00352375">
              <w:rPr>
                <w:rFonts w:cs="Arial"/>
                <w:sz w:val="20"/>
                <w:szCs w:val="20"/>
                <w:lang w:val="en-US"/>
              </w:rPr>
              <w:t>.</w:t>
            </w:r>
          </w:p>
          <w:p w14:paraId="029827B8" w14:textId="4068DF22" w:rsidR="007A7CB7" w:rsidRPr="00352375" w:rsidRDefault="007A7CB7" w:rsidP="00666E06">
            <w:pPr>
              <w:rPr>
                <w:rFonts w:cs="Arial"/>
                <w:sz w:val="20"/>
                <w:szCs w:val="20"/>
                <w:lang w:val="en-US"/>
              </w:rPr>
            </w:pPr>
            <w:r w:rsidRPr="00352375">
              <w:rPr>
                <w:rFonts w:cs="Arial"/>
                <w:sz w:val="20"/>
                <w:szCs w:val="20"/>
                <w:lang w:val="en-US"/>
              </w:rPr>
              <w:t>Structure retains sufficient stiffness to avoid compromising watertightness of roof enclosure.</w:t>
            </w:r>
          </w:p>
        </w:tc>
        <w:tc>
          <w:tcPr>
            <w:tcW w:w="2552" w:type="dxa"/>
            <w:tcBorders>
              <w:top w:val="single" w:sz="8" w:space="0" w:color="BFBFBF"/>
              <w:left w:val="single" w:sz="8" w:space="0" w:color="BFBFBF"/>
              <w:bottom w:val="single" w:sz="8" w:space="0" w:color="BFBFBF"/>
              <w:right w:val="nil"/>
            </w:tcBorders>
          </w:tcPr>
          <w:p w14:paraId="50F3C675" w14:textId="5061B39C" w:rsidR="007A7CB7" w:rsidRPr="00352375" w:rsidRDefault="007A7CB7" w:rsidP="00666E06">
            <w:pPr>
              <w:rPr>
                <w:rFonts w:cs="Arial"/>
                <w:sz w:val="20"/>
                <w:szCs w:val="20"/>
              </w:rPr>
            </w:pPr>
            <w:r w:rsidRPr="00352375">
              <w:rPr>
                <w:rFonts w:cs="Arial"/>
                <w:sz w:val="20"/>
                <w:szCs w:val="20"/>
                <w:lang w:val="en-US"/>
              </w:rPr>
              <w:t>Generally similar, but some modest and practically/economically repairable damage acceptable.</w:t>
            </w:r>
          </w:p>
        </w:tc>
      </w:tr>
      <w:tr w:rsidR="007A7CB7" w:rsidRPr="00352375" w14:paraId="4DB5D27A" w14:textId="77777777" w:rsidTr="00855228">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5ADA955E" w14:textId="1F6BBB17" w:rsidR="007A7CB7" w:rsidRPr="00352375" w:rsidRDefault="007A7CB7" w:rsidP="00666E06">
            <w:pPr>
              <w:rPr>
                <w:rFonts w:eastAsia="Arial" w:cs="Arial"/>
                <w:sz w:val="20"/>
                <w:szCs w:val="20"/>
              </w:rPr>
            </w:pPr>
            <w:r w:rsidRPr="00352375">
              <w:rPr>
                <w:rFonts w:cs="Arial"/>
                <w:sz w:val="20"/>
                <w:szCs w:val="20"/>
              </w:rPr>
              <w:t>Exterior cladding</w:t>
            </w:r>
          </w:p>
          <w:p w14:paraId="0A4CC088" w14:textId="038B28EB"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08C5B6D0" w14:textId="6F0B48BB" w:rsidR="007A7CB7" w:rsidRPr="00352375" w:rsidRDefault="007A7CB7" w:rsidP="00666E06">
            <w:pPr>
              <w:rPr>
                <w:rFonts w:cs="Arial"/>
                <w:sz w:val="20"/>
                <w:szCs w:val="20"/>
              </w:rPr>
            </w:pPr>
            <w:r w:rsidRPr="00352375">
              <w:rPr>
                <w:rFonts w:cs="Arial"/>
                <w:sz w:val="20"/>
                <w:szCs w:val="20"/>
              </w:rPr>
              <w:t>Façade, general</w:t>
            </w:r>
          </w:p>
        </w:tc>
        <w:tc>
          <w:tcPr>
            <w:tcW w:w="6419" w:type="dxa"/>
            <w:gridSpan w:val="3"/>
            <w:tcBorders>
              <w:top w:val="single" w:sz="8" w:space="0" w:color="BFBFBF"/>
              <w:left w:val="single" w:sz="8" w:space="0" w:color="BFBFBF"/>
              <w:bottom w:val="single" w:sz="8" w:space="0" w:color="BFBFBF"/>
              <w:right w:val="single" w:sz="8" w:space="0" w:color="BFBFBF"/>
            </w:tcBorders>
          </w:tcPr>
          <w:p w14:paraId="28D5ACF1" w14:textId="13AFCBB7" w:rsidR="007A7CB7" w:rsidRPr="00352375" w:rsidRDefault="007A7CB7" w:rsidP="00666E06">
            <w:pPr>
              <w:rPr>
                <w:rFonts w:cs="Arial"/>
                <w:sz w:val="20"/>
                <w:szCs w:val="20"/>
                <w:lang w:val="en-US"/>
              </w:rPr>
            </w:pPr>
            <w:r w:rsidRPr="00352375">
              <w:rPr>
                <w:rFonts w:cs="Arial"/>
                <w:sz w:val="20"/>
                <w:szCs w:val="20"/>
                <w:lang w:val="en-US"/>
              </w:rPr>
              <w:t xml:space="preserve">Enclosure overall should retain water shedding ability. </w:t>
            </w:r>
            <w:r w:rsidR="00E57C4C" w:rsidRPr="00352375">
              <w:rPr>
                <w:rFonts w:cs="Arial"/>
                <w:sz w:val="20"/>
                <w:szCs w:val="20"/>
                <w:lang w:val="en-US"/>
              </w:rPr>
              <w:t xml:space="preserve">Minor water ingress acceptable in high wind/ rainfall conditions. </w:t>
            </w:r>
            <w:r w:rsidRPr="00352375">
              <w:rPr>
                <w:rFonts w:cs="Arial"/>
                <w:sz w:val="20"/>
                <w:szCs w:val="20"/>
                <w:lang w:val="en-US"/>
              </w:rPr>
              <w:t>Some reduction in air seal tolerable.</w:t>
            </w:r>
          </w:p>
          <w:p w14:paraId="5900A98A" w14:textId="21716E09" w:rsidR="007A7CB7" w:rsidRPr="00352375" w:rsidRDefault="007A7CB7" w:rsidP="00666E06">
            <w:pPr>
              <w:rPr>
                <w:rFonts w:cs="Arial"/>
                <w:sz w:val="20"/>
                <w:szCs w:val="20"/>
                <w:lang w:val="en-US"/>
              </w:rPr>
            </w:pPr>
            <w:r w:rsidRPr="00352375">
              <w:rPr>
                <w:rFonts w:cs="Arial"/>
                <w:sz w:val="20"/>
                <w:szCs w:val="20"/>
                <w:lang w:val="en-US"/>
              </w:rPr>
              <w:t xml:space="preserve">Minimal damage to façade </w:t>
            </w:r>
            <w:r w:rsidRPr="00352375">
              <w:rPr>
                <w:rFonts w:cs="Arial"/>
                <w:sz w:val="20"/>
                <w:szCs w:val="20"/>
              </w:rPr>
              <w:t>panels</w:t>
            </w:r>
            <w:r w:rsidRPr="00352375">
              <w:rPr>
                <w:rFonts w:cs="Arial"/>
                <w:sz w:val="20"/>
                <w:szCs w:val="20"/>
                <w:lang w:val="en-US"/>
              </w:rPr>
              <w:t xml:space="preserve">, no cracked glass. </w:t>
            </w:r>
            <w:r w:rsidRPr="00352375">
              <w:rPr>
                <w:rFonts w:cs="Arial"/>
                <w:sz w:val="20"/>
                <w:szCs w:val="20"/>
              </w:rPr>
              <w:t>Locali</w:t>
            </w:r>
            <w:r w:rsidR="00CF68AF" w:rsidRPr="00352375">
              <w:rPr>
                <w:rFonts w:cs="Arial"/>
                <w:sz w:val="20"/>
                <w:szCs w:val="20"/>
              </w:rPr>
              <w:t>s</w:t>
            </w:r>
            <w:r w:rsidRPr="00352375">
              <w:rPr>
                <w:rFonts w:cs="Arial"/>
                <w:sz w:val="20"/>
                <w:szCs w:val="20"/>
              </w:rPr>
              <w:t>ed</w:t>
            </w:r>
            <w:r w:rsidRPr="00352375">
              <w:rPr>
                <w:rFonts w:cs="Arial"/>
                <w:sz w:val="20"/>
                <w:szCs w:val="20"/>
                <w:lang w:val="en-US"/>
              </w:rPr>
              <w:t xml:space="preserve"> tearing to sealant joints and minor dislocation or damage to flashings. Readily repairable.</w:t>
            </w:r>
          </w:p>
        </w:tc>
        <w:tc>
          <w:tcPr>
            <w:tcW w:w="2552" w:type="dxa"/>
            <w:tcBorders>
              <w:top w:val="single" w:sz="8" w:space="0" w:color="BFBFBF"/>
              <w:left w:val="single" w:sz="8" w:space="0" w:color="BFBFBF"/>
              <w:bottom w:val="single" w:sz="8" w:space="0" w:color="BFBFBF"/>
              <w:right w:val="nil"/>
            </w:tcBorders>
          </w:tcPr>
          <w:p w14:paraId="4E520D7A" w14:textId="0F70D4CC" w:rsidR="007A7CB7" w:rsidRPr="00352375" w:rsidRDefault="007A7CB7" w:rsidP="00666E06">
            <w:pPr>
              <w:rPr>
                <w:rFonts w:cs="Arial"/>
                <w:sz w:val="20"/>
                <w:szCs w:val="20"/>
                <w:lang w:val="en-US"/>
              </w:rPr>
            </w:pPr>
            <w:r w:rsidRPr="00352375">
              <w:rPr>
                <w:rFonts w:cs="Arial"/>
                <w:sz w:val="20"/>
                <w:szCs w:val="20"/>
                <w:lang w:val="en-US"/>
              </w:rPr>
              <w:t xml:space="preserve">Enclosure overall should retain water shedding ability. </w:t>
            </w:r>
          </w:p>
          <w:p w14:paraId="22D7BDC0" w14:textId="1835DE69" w:rsidR="007A7CB7" w:rsidRPr="00352375" w:rsidRDefault="007A7CB7" w:rsidP="00666E06">
            <w:pPr>
              <w:rPr>
                <w:rFonts w:cs="Arial"/>
                <w:sz w:val="20"/>
                <w:szCs w:val="20"/>
              </w:rPr>
            </w:pPr>
            <w:r w:rsidRPr="00352375">
              <w:rPr>
                <w:rFonts w:cs="Arial"/>
                <w:sz w:val="20"/>
                <w:szCs w:val="20"/>
                <w:lang w:val="en-US"/>
              </w:rPr>
              <w:t>Modest and locali</w:t>
            </w:r>
            <w:r w:rsidR="00E847D3" w:rsidRPr="00352375">
              <w:rPr>
                <w:rFonts w:cs="Arial"/>
                <w:sz w:val="20"/>
                <w:szCs w:val="20"/>
                <w:lang w:val="en-US"/>
              </w:rPr>
              <w:t>s</w:t>
            </w:r>
            <w:r w:rsidRPr="00352375">
              <w:rPr>
                <w:rFonts w:cs="Arial"/>
                <w:sz w:val="20"/>
                <w:szCs w:val="20"/>
                <w:lang w:val="en-US"/>
              </w:rPr>
              <w:t>ed damage to façade systems may occur</w:t>
            </w:r>
            <w:r w:rsidR="00A43953" w:rsidRPr="00352375">
              <w:rPr>
                <w:rFonts w:cs="Arial"/>
                <w:sz w:val="20"/>
                <w:szCs w:val="20"/>
                <w:lang w:val="en-US"/>
              </w:rPr>
              <w:t xml:space="preserve">. </w:t>
            </w:r>
            <w:r w:rsidRPr="00352375">
              <w:rPr>
                <w:rFonts w:cs="Arial"/>
                <w:sz w:val="20"/>
                <w:szCs w:val="20"/>
                <w:lang w:val="en-US"/>
              </w:rPr>
              <w:t>Any damage readily repairable, and not leading to further consequential damage to interior.</w:t>
            </w:r>
          </w:p>
        </w:tc>
      </w:tr>
      <w:tr w:rsidR="007A7CB7" w:rsidRPr="00352375" w14:paraId="352C75A3"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5F22EB64"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442AC3BC" w14:textId="14CB6C90" w:rsidR="007A7CB7" w:rsidRPr="00352375" w:rsidRDefault="007A7CB7" w:rsidP="00666E06">
            <w:pPr>
              <w:rPr>
                <w:rFonts w:cs="Arial"/>
                <w:sz w:val="20"/>
                <w:szCs w:val="20"/>
              </w:rPr>
            </w:pPr>
            <w:r w:rsidRPr="00352375">
              <w:rPr>
                <w:rFonts w:cs="Arial"/>
                <w:sz w:val="20"/>
                <w:szCs w:val="20"/>
              </w:rPr>
              <w:t xml:space="preserve">Façade with air tightness requirements. </w:t>
            </w:r>
          </w:p>
        </w:tc>
        <w:tc>
          <w:tcPr>
            <w:tcW w:w="4435" w:type="dxa"/>
            <w:gridSpan w:val="2"/>
            <w:tcBorders>
              <w:top w:val="single" w:sz="8" w:space="0" w:color="BFBFBF"/>
              <w:left w:val="single" w:sz="8" w:space="0" w:color="BFBFBF"/>
              <w:bottom w:val="single" w:sz="8" w:space="0" w:color="BFBFBF"/>
              <w:right w:val="single" w:sz="8" w:space="0" w:color="BFBFBF"/>
            </w:tcBorders>
          </w:tcPr>
          <w:p w14:paraId="3AAD09C6" w14:textId="75BF5586" w:rsidR="007A7CB7" w:rsidRPr="00352375" w:rsidRDefault="007A7CB7" w:rsidP="00666E06">
            <w:pPr>
              <w:rPr>
                <w:rFonts w:cs="Arial"/>
                <w:sz w:val="20"/>
                <w:szCs w:val="20"/>
                <w:lang w:val="en-US"/>
              </w:rPr>
            </w:pPr>
            <w:r w:rsidRPr="00352375">
              <w:rPr>
                <w:rFonts w:cs="Arial"/>
                <w:sz w:val="20"/>
                <w:szCs w:val="20"/>
                <w:lang w:val="en-US"/>
              </w:rPr>
              <w:t xml:space="preserve">For example, for clinical isolation or medical biocontainment. Refer </w:t>
            </w:r>
            <w:r w:rsidRPr="00352375">
              <w:rPr>
                <w:rFonts w:cs="Arial"/>
                <w:i/>
                <w:iCs/>
                <w:sz w:val="20"/>
                <w:szCs w:val="20"/>
                <w:lang w:val="en-US"/>
              </w:rPr>
              <w:t>Fitout Elements—Partitions.</w:t>
            </w:r>
          </w:p>
        </w:tc>
        <w:tc>
          <w:tcPr>
            <w:tcW w:w="4536" w:type="dxa"/>
            <w:gridSpan w:val="2"/>
            <w:tcBorders>
              <w:top w:val="single" w:sz="8" w:space="0" w:color="BFBFBF"/>
              <w:left w:val="single" w:sz="8" w:space="0" w:color="BFBFBF"/>
              <w:bottom w:val="single" w:sz="8" w:space="0" w:color="BFBFBF"/>
              <w:right w:val="nil"/>
            </w:tcBorders>
          </w:tcPr>
          <w:p w14:paraId="1FD5BB06" w14:textId="1042E002" w:rsidR="007A7CB7" w:rsidRPr="00352375" w:rsidRDefault="007A7CB7" w:rsidP="00666E06">
            <w:pPr>
              <w:rPr>
                <w:rFonts w:cs="Arial"/>
                <w:sz w:val="20"/>
                <w:szCs w:val="20"/>
              </w:rPr>
            </w:pPr>
            <w:r w:rsidRPr="00352375">
              <w:rPr>
                <w:rFonts w:cs="Arial"/>
                <w:sz w:val="20"/>
                <w:szCs w:val="20"/>
                <w:lang w:val="en-US"/>
              </w:rPr>
              <w:t>Generally not applicable.</w:t>
            </w:r>
          </w:p>
        </w:tc>
      </w:tr>
      <w:tr w:rsidR="007A7CB7" w:rsidRPr="00352375" w14:paraId="4F75917C"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39553A04"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001642BA" w14:textId="4EE29A36" w:rsidR="007A7CB7" w:rsidRPr="00352375" w:rsidRDefault="007A7CB7" w:rsidP="00666E06">
            <w:pPr>
              <w:rPr>
                <w:rFonts w:cs="Arial"/>
                <w:sz w:val="20"/>
                <w:szCs w:val="20"/>
              </w:rPr>
            </w:pPr>
            <w:r w:rsidRPr="00352375">
              <w:rPr>
                <w:rFonts w:cs="Arial"/>
                <w:sz w:val="20"/>
                <w:szCs w:val="20"/>
              </w:rPr>
              <w:t>Roof sheeting/ membranes</w:t>
            </w:r>
          </w:p>
        </w:tc>
        <w:tc>
          <w:tcPr>
            <w:tcW w:w="6419" w:type="dxa"/>
            <w:gridSpan w:val="3"/>
            <w:tcBorders>
              <w:top w:val="single" w:sz="8" w:space="0" w:color="BFBFBF"/>
              <w:left w:val="single" w:sz="8" w:space="0" w:color="BFBFBF"/>
              <w:bottom w:val="single" w:sz="8" w:space="0" w:color="BFBFBF"/>
              <w:right w:val="single" w:sz="8" w:space="0" w:color="BFBFBF"/>
            </w:tcBorders>
          </w:tcPr>
          <w:p w14:paraId="44DDBB1E" w14:textId="5D6E9E8E" w:rsidR="007A7CB7" w:rsidRPr="00352375" w:rsidRDefault="007A7CB7" w:rsidP="00666E06">
            <w:pPr>
              <w:rPr>
                <w:rFonts w:cs="Arial"/>
                <w:sz w:val="20"/>
                <w:szCs w:val="20"/>
              </w:rPr>
            </w:pPr>
            <w:r w:rsidRPr="00352375">
              <w:rPr>
                <w:rFonts w:cs="Arial"/>
                <w:sz w:val="20"/>
                <w:szCs w:val="20"/>
              </w:rPr>
              <w:t>Minor movement/ junction damage only. Watertightness generally maintained.</w:t>
            </w:r>
          </w:p>
        </w:tc>
        <w:tc>
          <w:tcPr>
            <w:tcW w:w="2552" w:type="dxa"/>
            <w:tcBorders>
              <w:top w:val="single" w:sz="8" w:space="0" w:color="BFBFBF"/>
              <w:left w:val="single" w:sz="8" w:space="0" w:color="BFBFBF"/>
              <w:bottom w:val="single" w:sz="8" w:space="0" w:color="BFBFBF"/>
              <w:right w:val="nil"/>
            </w:tcBorders>
          </w:tcPr>
          <w:p w14:paraId="71BD6103" w14:textId="18A19627" w:rsidR="007A7CB7" w:rsidRPr="00352375" w:rsidRDefault="007A7CB7" w:rsidP="00666E06">
            <w:pPr>
              <w:rPr>
                <w:rFonts w:cs="Arial"/>
                <w:sz w:val="20"/>
                <w:szCs w:val="20"/>
              </w:rPr>
            </w:pPr>
            <w:r w:rsidRPr="00352375">
              <w:rPr>
                <w:rFonts w:cs="Arial"/>
                <w:sz w:val="20"/>
                <w:szCs w:val="20"/>
              </w:rPr>
              <w:t>Generally similar.</w:t>
            </w:r>
          </w:p>
        </w:tc>
      </w:tr>
      <w:tr w:rsidR="007A7CB7" w:rsidRPr="00352375" w14:paraId="19447F84" w14:textId="77777777" w:rsidTr="00D4195D">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07011FBF" w14:textId="4D326A08" w:rsidR="007A7CB7" w:rsidRPr="00352375" w:rsidRDefault="007A7CB7" w:rsidP="00666E06">
            <w:pPr>
              <w:rPr>
                <w:rFonts w:cs="Arial"/>
                <w:sz w:val="20"/>
                <w:szCs w:val="20"/>
              </w:rPr>
            </w:pPr>
            <w:r w:rsidRPr="00352375">
              <w:rPr>
                <w:rFonts w:cs="Arial"/>
                <w:sz w:val="20"/>
                <w:szCs w:val="20"/>
              </w:rPr>
              <w:t>Building Services</w:t>
            </w:r>
          </w:p>
        </w:tc>
        <w:tc>
          <w:tcPr>
            <w:tcW w:w="3792" w:type="dxa"/>
            <w:tcBorders>
              <w:top w:val="single" w:sz="8" w:space="0" w:color="BFBFBF"/>
              <w:left w:val="single" w:sz="8" w:space="0" w:color="BFBFBF"/>
              <w:bottom w:val="single" w:sz="8" w:space="0" w:color="BFBFBF"/>
              <w:right w:val="single" w:sz="8" w:space="0" w:color="BFBFBF"/>
            </w:tcBorders>
            <w:vAlign w:val="center"/>
          </w:tcPr>
          <w:p w14:paraId="4BD0D152" w14:textId="7FD936C1" w:rsidR="007A7CB7" w:rsidRPr="00352375" w:rsidRDefault="007A7CB7" w:rsidP="00666E06">
            <w:pPr>
              <w:rPr>
                <w:rFonts w:cs="Arial"/>
                <w:sz w:val="20"/>
                <w:szCs w:val="20"/>
              </w:rPr>
            </w:pPr>
            <w:r w:rsidRPr="00352375">
              <w:rPr>
                <w:rFonts w:cs="Arial"/>
                <w:sz w:val="20"/>
                <w:szCs w:val="20"/>
              </w:rPr>
              <w:t>Electrical systems</w:t>
            </w:r>
          </w:p>
        </w:tc>
        <w:tc>
          <w:tcPr>
            <w:tcW w:w="2308" w:type="dxa"/>
            <w:tcBorders>
              <w:top w:val="single" w:sz="8" w:space="0" w:color="BFBFBF"/>
              <w:left w:val="single" w:sz="8" w:space="0" w:color="BFBFBF"/>
              <w:bottom w:val="single" w:sz="8" w:space="0" w:color="BFBFBF"/>
              <w:right w:val="single" w:sz="8" w:space="0" w:color="BFBFBF"/>
            </w:tcBorders>
          </w:tcPr>
          <w:p w14:paraId="7FFDB025" w14:textId="3778CFA0" w:rsidR="007A7CB7" w:rsidRPr="00352375" w:rsidRDefault="007A7CB7" w:rsidP="00666E06">
            <w:pPr>
              <w:rPr>
                <w:rFonts w:cs="Arial"/>
                <w:sz w:val="20"/>
                <w:szCs w:val="20"/>
              </w:rPr>
            </w:pPr>
            <w:r w:rsidRPr="00352375">
              <w:rPr>
                <w:rFonts w:cs="Arial"/>
                <w:sz w:val="20"/>
                <w:szCs w:val="20"/>
              </w:rPr>
              <w:t>Where practical, supply to provide continuous function.</w:t>
            </w:r>
          </w:p>
          <w:p w14:paraId="217E1AA3" w14:textId="1A2F095D" w:rsidR="007A7CB7" w:rsidRPr="00352375" w:rsidRDefault="007A7CB7" w:rsidP="00666E06">
            <w:pPr>
              <w:rPr>
                <w:rFonts w:cs="Arial"/>
                <w:sz w:val="20"/>
                <w:szCs w:val="20"/>
              </w:rPr>
            </w:pPr>
            <w:r w:rsidRPr="00352375">
              <w:rPr>
                <w:rFonts w:cs="Arial"/>
                <w:sz w:val="20"/>
                <w:szCs w:val="20"/>
              </w:rPr>
              <w:t xml:space="preserve">Supply to return to function in accordance with maximum delay </w:t>
            </w:r>
            <w:r w:rsidRPr="00352375">
              <w:rPr>
                <w:rFonts w:cs="Arial"/>
                <w:sz w:val="20"/>
                <w:szCs w:val="20"/>
              </w:rPr>
              <w:lastRenderedPageBreak/>
              <w:t>times defined in AS/NZS 3009.</w:t>
            </w:r>
          </w:p>
        </w:tc>
        <w:tc>
          <w:tcPr>
            <w:tcW w:w="2127" w:type="dxa"/>
            <w:tcBorders>
              <w:top w:val="single" w:sz="8" w:space="0" w:color="BFBFBF"/>
              <w:left w:val="single" w:sz="8" w:space="0" w:color="BFBFBF"/>
              <w:bottom w:val="single" w:sz="8" w:space="0" w:color="BFBFBF"/>
              <w:right w:val="single" w:sz="8" w:space="0" w:color="BFBFBF"/>
            </w:tcBorders>
          </w:tcPr>
          <w:p w14:paraId="15ED4CBB" w14:textId="0AC2047B" w:rsidR="007A7CB7" w:rsidRPr="00352375" w:rsidRDefault="007A7CB7" w:rsidP="00666E06">
            <w:pPr>
              <w:rPr>
                <w:rFonts w:cs="Arial"/>
                <w:sz w:val="20"/>
                <w:szCs w:val="20"/>
              </w:rPr>
            </w:pPr>
            <w:r w:rsidRPr="00352375">
              <w:rPr>
                <w:rFonts w:cs="Arial"/>
                <w:sz w:val="20"/>
                <w:szCs w:val="20"/>
              </w:rPr>
              <w:lastRenderedPageBreak/>
              <w:t>Supply to return to function in accordance with maximum delay times defined in AS/NZS 3009.</w:t>
            </w:r>
          </w:p>
        </w:tc>
        <w:tc>
          <w:tcPr>
            <w:tcW w:w="1984" w:type="dxa"/>
            <w:tcBorders>
              <w:top w:val="single" w:sz="8" w:space="0" w:color="BFBFBF"/>
              <w:left w:val="single" w:sz="8" w:space="0" w:color="BFBFBF"/>
              <w:bottom w:val="single" w:sz="8" w:space="0" w:color="BFBFBF"/>
              <w:right w:val="single" w:sz="8" w:space="0" w:color="BFBFBF"/>
            </w:tcBorders>
          </w:tcPr>
          <w:p w14:paraId="106CE023" w14:textId="50328BF8" w:rsidR="007A7CB7" w:rsidRPr="00352375" w:rsidRDefault="007A7CB7" w:rsidP="00666E06">
            <w:pPr>
              <w:rPr>
                <w:rFonts w:cs="Arial"/>
                <w:sz w:val="20"/>
                <w:szCs w:val="20"/>
              </w:rPr>
            </w:pPr>
            <w:r w:rsidRPr="00352375">
              <w:rPr>
                <w:rFonts w:cs="Arial"/>
                <w:sz w:val="20"/>
                <w:szCs w:val="20"/>
              </w:rPr>
              <w:t>Supply to return to function in accordance with maximum delay times defined in AS/NZS 3009.</w:t>
            </w:r>
          </w:p>
        </w:tc>
        <w:tc>
          <w:tcPr>
            <w:tcW w:w="2552" w:type="dxa"/>
            <w:tcBorders>
              <w:top w:val="single" w:sz="8" w:space="0" w:color="BFBFBF"/>
              <w:left w:val="single" w:sz="8" w:space="0" w:color="BFBFBF"/>
              <w:bottom w:val="single" w:sz="8" w:space="0" w:color="BFBFBF"/>
              <w:right w:val="nil"/>
            </w:tcBorders>
          </w:tcPr>
          <w:p w14:paraId="0440AAD5" w14:textId="6CEB0D5F" w:rsidR="007A7CB7" w:rsidRPr="00352375" w:rsidRDefault="007A7CB7" w:rsidP="00666E06">
            <w:pPr>
              <w:rPr>
                <w:rFonts w:cs="Arial"/>
                <w:sz w:val="20"/>
                <w:szCs w:val="20"/>
              </w:rPr>
            </w:pPr>
            <w:r w:rsidRPr="00352375">
              <w:rPr>
                <w:rFonts w:cs="Arial"/>
                <w:sz w:val="20"/>
                <w:szCs w:val="20"/>
              </w:rPr>
              <w:t>Minimal physical damage to plant and equipment.</w:t>
            </w:r>
          </w:p>
        </w:tc>
      </w:tr>
      <w:tr w:rsidR="007A7CB7" w:rsidRPr="00352375" w14:paraId="19A39C2C"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74A9914E"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2604DB07" w14:textId="61456974" w:rsidR="007A7CB7" w:rsidRPr="00352375" w:rsidRDefault="007A7CB7" w:rsidP="00666E06">
            <w:pPr>
              <w:rPr>
                <w:rFonts w:cs="Arial"/>
                <w:sz w:val="20"/>
                <w:szCs w:val="20"/>
              </w:rPr>
            </w:pPr>
            <w:r w:rsidRPr="00352375">
              <w:rPr>
                <w:rFonts w:cs="Arial"/>
                <w:sz w:val="20"/>
                <w:szCs w:val="20"/>
              </w:rPr>
              <w:t>Data</w:t>
            </w:r>
            <w:r w:rsidR="000C7B25" w:rsidRPr="00352375">
              <w:rPr>
                <w:rFonts w:cs="Arial"/>
                <w:sz w:val="20"/>
                <w:szCs w:val="20"/>
              </w:rPr>
              <w:t xml:space="preserve"> and Communication Systems</w:t>
            </w:r>
          </w:p>
        </w:tc>
        <w:tc>
          <w:tcPr>
            <w:tcW w:w="2308" w:type="dxa"/>
            <w:tcBorders>
              <w:top w:val="single" w:sz="8" w:space="0" w:color="BFBFBF"/>
              <w:left w:val="single" w:sz="8" w:space="0" w:color="BFBFBF"/>
              <w:bottom w:val="single" w:sz="8" w:space="0" w:color="BFBFBF"/>
              <w:right w:val="single" w:sz="8" w:space="0" w:color="BFBFBF"/>
            </w:tcBorders>
          </w:tcPr>
          <w:p w14:paraId="198E950F" w14:textId="18F0063C" w:rsidR="007A7CB7" w:rsidRPr="00352375" w:rsidRDefault="007A7CB7" w:rsidP="00666E06">
            <w:pPr>
              <w:rPr>
                <w:rFonts w:cs="Arial"/>
                <w:sz w:val="20"/>
                <w:szCs w:val="20"/>
              </w:rPr>
            </w:pPr>
            <w:r w:rsidRPr="00352375">
              <w:rPr>
                <w:rFonts w:cs="Arial"/>
                <w:sz w:val="20"/>
                <w:szCs w:val="20"/>
              </w:rPr>
              <w:t>Supply to function continuously</w:t>
            </w:r>
            <w:r w:rsidR="00A43953" w:rsidRPr="00352375">
              <w:rPr>
                <w:rFonts w:cs="Arial"/>
                <w:sz w:val="20"/>
                <w:szCs w:val="20"/>
              </w:rPr>
              <w:t xml:space="preserve">. </w:t>
            </w:r>
          </w:p>
        </w:tc>
        <w:tc>
          <w:tcPr>
            <w:tcW w:w="2127" w:type="dxa"/>
            <w:tcBorders>
              <w:top w:val="single" w:sz="8" w:space="0" w:color="BFBFBF"/>
              <w:left w:val="single" w:sz="8" w:space="0" w:color="BFBFBF"/>
              <w:bottom w:val="single" w:sz="8" w:space="0" w:color="BFBFBF"/>
              <w:right w:val="single" w:sz="8" w:space="0" w:color="BFBFBF"/>
            </w:tcBorders>
          </w:tcPr>
          <w:p w14:paraId="451AA8C3" w14:textId="77777777" w:rsidR="007A7CB7" w:rsidRPr="00352375" w:rsidRDefault="007A7CB7" w:rsidP="00666E06">
            <w:pPr>
              <w:rPr>
                <w:rFonts w:cs="Arial"/>
                <w:sz w:val="20"/>
                <w:szCs w:val="20"/>
              </w:rPr>
            </w:pPr>
            <w:r w:rsidRPr="00352375">
              <w:rPr>
                <w:rFonts w:cs="Arial"/>
                <w:sz w:val="20"/>
                <w:szCs w:val="20"/>
              </w:rPr>
              <w:t>Supply to return to basic function within minutes or hours. Preference for continuous function where practical.</w:t>
            </w:r>
          </w:p>
        </w:tc>
        <w:tc>
          <w:tcPr>
            <w:tcW w:w="4536" w:type="dxa"/>
            <w:gridSpan w:val="2"/>
            <w:tcBorders>
              <w:top w:val="single" w:sz="8" w:space="0" w:color="BFBFBF"/>
              <w:left w:val="single" w:sz="8" w:space="0" w:color="BFBFBF"/>
              <w:bottom w:val="single" w:sz="8" w:space="0" w:color="BFBFBF"/>
              <w:right w:val="nil"/>
            </w:tcBorders>
          </w:tcPr>
          <w:p w14:paraId="4DE2DD26" w14:textId="1A862FAC" w:rsidR="007A7CB7" w:rsidRPr="00352375" w:rsidRDefault="007A7CB7" w:rsidP="00666E06">
            <w:pPr>
              <w:rPr>
                <w:rFonts w:cs="Arial"/>
                <w:sz w:val="20"/>
                <w:szCs w:val="20"/>
              </w:rPr>
            </w:pPr>
            <w:r w:rsidRPr="00352375">
              <w:rPr>
                <w:rFonts w:cs="Arial"/>
                <w:sz w:val="20"/>
                <w:szCs w:val="20"/>
              </w:rPr>
              <w:t>Minimal physical damage to plant and equipment.</w:t>
            </w:r>
          </w:p>
        </w:tc>
      </w:tr>
      <w:tr w:rsidR="007A7CB7" w:rsidRPr="00352375" w14:paraId="795ABFFB"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70FA1A23"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0506A395" w14:textId="6E9E670B" w:rsidR="007A7CB7" w:rsidRPr="00352375" w:rsidRDefault="007A7CB7" w:rsidP="00666E06">
            <w:pPr>
              <w:rPr>
                <w:rFonts w:cs="Arial"/>
                <w:sz w:val="20"/>
                <w:szCs w:val="20"/>
              </w:rPr>
            </w:pPr>
            <w:r w:rsidRPr="00352375">
              <w:rPr>
                <w:rFonts w:cs="Arial"/>
                <w:sz w:val="20"/>
                <w:szCs w:val="20"/>
              </w:rPr>
              <w:t>Medical gases</w:t>
            </w:r>
          </w:p>
        </w:tc>
        <w:tc>
          <w:tcPr>
            <w:tcW w:w="2308" w:type="dxa"/>
            <w:tcBorders>
              <w:top w:val="single" w:sz="8" w:space="0" w:color="BFBFBF"/>
              <w:left w:val="single" w:sz="8" w:space="0" w:color="BFBFBF"/>
              <w:bottom w:val="single" w:sz="8" w:space="0" w:color="BFBFBF"/>
              <w:right w:val="single" w:sz="8" w:space="0" w:color="BFBFBF"/>
            </w:tcBorders>
          </w:tcPr>
          <w:p w14:paraId="39F6F929" w14:textId="6E82E231" w:rsidR="007A7CB7" w:rsidRPr="00352375" w:rsidRDefault="007A7CB7" w:rsidP="00666E06">
            <w:pPr>
              <w:rPr>
                <w:rFonts w:cs="Arial"/>
                <w:sz w:val="20"/>
                <w:szCs w:val="20"/>
              </w:rPr>
            </w:pPr>
            <w:r w:rsidRPr="00352375">
              <w:rPr>
                <w:rFonts w:cs="Arial"/>
                <w:sz w:val="20"/>
                <w:szCs w:val="20"/>
              </w:rPr>
              <w:t>Reticulated supply to function continuously</w:t>
            </w:r>
            <w:r w:rsidR="00A43953" w:rsidRPr="00352375">
              <w:rPr>
                <w:rFonts w:cs="Arial"/>
                <w:sz w:val="20"/>
                <w:szCs w:val="20"/>
              </w:rPr>
              <w:t xml:space="preserve">. </w:t>
            </w:r>
          </w:p>
        </w:tc>
        <w:tc>
          <w:tcPr>
            <w:tcW w:w="2127" w:type="dxa"/>
            <w:tcBorders>
              <w:top w:val="single" w:sz="8" w:space="0" w:color="BFBFBF"/>
              <w:left w:val="single" w:sz="8" w:space="0" w:color="BFBFBF"/>
              <w:bottom w:val="single" w:sz="8" w:space="0" w:color="BFBFBF"/>
              <w:right w:val="single" w:sz="8" w:space="0" w:color="BFBFBF"/>
            </w:tcBorders>
          </w:tcPr>
          <w:p w14:paraId="44FBC9B6" w14:textId="327D785F" w:rsidR="007A7CB7" w:rsidRPr="00352375" w:rsidRDefault="007A7CB7" w:rsidP="00666E06">
            <w:pPr>
              <w:rPr>
                <w:rFonts w:cs="Arial"/>
                <w:sz w:val="20"/>
                <w:szCs w:val="20"/>
              </w:rPr>
            </w:pPr>
            <w:r w:rsidRPr="00352375">
              <w:rPr>
                <w:rFonts w:cs="Arial"/>
                <w:sz w:val="20"/>
                <w:szCs w:val="20"/>
              </w:rPr>
              <w:t xml:space="preserve">Reticulated supply to return to function or alternative supply provided within minutes or hours. </w:t>
            </w:r>
          </w:p>
          <w:p w14:paraId="06C0043C" w14:textId="77777777" w:rsidR="007A7CB7" w:rsidRPr="00352375" w:rsidRDefault="007A7CB7" w:rsidP="00666E06">
            <w:pPr>
              <w:rPr>
                <w:rFonts w:cs="Arial"/>
                <w:sz w:val="20"/>
                <w:szCs w:val="20"/>
              </w:rPr>
            </w:pPr>
            <w:r w:rsidRPr="00352375">
              <w:rPr>
                <w:rFonts w:cs="Arial"/>
                <w:sz w:val="20"/>
                <w:szCs w:val="20"/>
              </w:rPr>
              <w:t>Services required to support preservation of life to have redundancy to allow them to retain basic function.</w:t>
            </w:r>
          </w:p>
        </w:tc>
        <w:tc>
          <w:tcPr>
            <w:tcW w:w="1984" w:type="dxa"/>
            <w:tcBorders>
              <w:top w:val="single" w:sz="8" w:space="0" w:color="BFBFBF"/>
              <w:left w:val="single" w:sz="8" w:space="0" w:color="BFBFBF"/>
              <w:bottom w:val="single" w:sz="8" w:space="0" w:color="BFBFBF"/>
              <w:right w:val="single" w:sz="8" w:space="0" w:color="BFBFBF"/>
            </w:tcBorders>
          </w:tcPr>
          <w:p w14:paraId="2A0FDBAA" w14:textId="5CF6CB82" w:rsidR="007A7CB7" w:rsidRPr="00352375" w:rsidRDefault="007A7CB7" w:rsidP="00666E06">
            <w:pPr>
              <w:rPr>
                <w:rFonts w:cs="Arial"/>
                <w:sz w:val="20"/>
                <w:szCs w:val="20"/>
              </w:rPr>
            </w:pPr>
            <w:r w:rsidRPr="00352375">
              <w:rPr>
                <w:rFonts w:cs="Arial"/>
                <w:sz w:val="20"/>
                <w:szCs w:val="20"/>
              </w:rPr>
              <w:t>Preference for IL3 level of performance where practical.</w:t>
            </w:r>
          </w:p>
        </w:tc>
        <w:tc>
          <w:tcPr>
            <w:tcW w:w="2552" w:type="dxa"/>
            <w:tcBorders>
              <w:top w:val="single" w:sz="8" w:space="0" w:color="BFBFBF"/>
              <w:left w:val="single" w:sz="8" w:space="0" w:color="BFBFBF"/>
              <w:bottom w:val="single" w:sz="8" w:space="0" w:color="BFBFBF"/>
              <w:right w:val="nil"/>
            </w:tcBorders>
          </w:tcPr>
          <w:p w14:paraId="482D08C0" w14:textId="66ADB056" w:rsidR="007A7CB7" w:rsidRPr="00352375" w:rsidRDefault="007A7CB7" w:rsidP="00666E06">
            <w:pPr>
              <w:rPr>
                <w:rFonts w:cs="Arial"/>
                <w:sz w:val="20"/>
                <w:szCs w:val="20"/>
              </w:rPr>
            </w:pPr>
            <w:r w:rsidRPr="00352375">
              <w:rPr>
                <w:rFonts w:cs="Arial"/>
                <w:sz w:val="20"/>
                <w:szCs w:val="20"/>
              </w:rPr>
              <w:t>Generally not applicable.</w:t>
            </w:r>
          </w:p>
          <w:p w14:paraId="250A2B64" w14:textId="627161D0" w:rsidR="007A7CB7" w:rsidRPr="00352375" w:rsidRDefault="007A7CB7" w:rsidP="00666E06">
            <w:pPr>
              <w:rPr>
                <w:rFonts w:cs="Arial"/>
                <w:sz w:val="20"/>
                <w:szCs w:val="20"/>
              </w:rPr>
            </w:pPr>
          </w:p>
        </w:tc>
      </w:tr>
      <w:tr w:rsidR="000F2FED" w:rsidRPr="00352375" w14:paraId="4B677278" w14:textId="696EA39D"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203F5076" w14:textId="77777777" w:rsidR="000F2FED" w:rsidRPr="00352375" w:rsidRDefault="000F2FED"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vAlign w:val="center"/>
          </w:tcPr>
          <w:p w14:paraId="37FE7677" w14:textId="77777777" w:rsidR="000F2FED" w:rsidRPr="00352375" w:rsidRDefault="000F2FED" w:rsidP="00666E06">
            <w:pPr>
              <w:rPr>
                <w:rFonts w:cs="Arial"/>
                <w:sz w:val="20"/>
                <w:szCs w:val="20"/>
              </w:rPr>
            </w:pPr>
          </w:p>
        </w:tc>
        <w:tc>
          <w:tcPr>
            <w:tcW w:w="6419" w:type="dxa"/>
            <w:gridSpan w:val="3"/>
            <w:tcBorders>
              <w:top w:val="single" w:sz="8" w:space="0" w:color="BFBFBF"/>
              <w:left w:val="single" w:sz="8" w:space="0" w:color="BFBFBF"/>
              <w:bottom w:val="single" w:sz="8" w:space="0" w:color="BFBFBF"/>
              <w:right w:val="single" w:sz="8" w:space="0" w:color="BFBFBF"/>
            </w:tcBorders>
            <w:shd w:val="clear" w:color="auto" w:fill="D1EFF2" w:themeFill="background2" w:themeFillTint="33"/>
          </w:tcPr>
          <w:p w14:paraId="1E848F48" w14:textId="621FED13" w:rsidR="006D0279" w:rsidRPr="00352375" w:rsidRDefault="000F2FED" w:rsidP="00666E06">
            <w:pPr>
              <w:rPr>
                <w:rFonts w:cs="Arial"/>
                <w:b/>
                <w:bCs/>
                <w:color w:val="15284C" w:themeColor="text1"/>
                <w:sz w:val="20"/>
                <w:szCs w:val="20"/>
              </w:rPr>
            </w:pPr>
            <w:r w:rsidRPr="00352375">
              <w:rPr>
                <w:rFonts w:cs="Arial"/>
                <w:b/>
                <w:bCs/>
                <w:color w:val="15284C" w:themeColor="text1"/>
                <w:sz w:val="20"/>
                <w:szCs w:val="20"/>
              </w:rPr>
              <w:t xml:space="preserve">ULS Requirement: </w:t>
            </w:r>
            <w:r w:rsidRPr="00352375">
              <w:rPr>
                <w:rFonts w:cs="Arial"/>
                <w:color w:val="15284C" w:themeColor="text1"/>
                <w:sz w:val="20"/>
                <w:szCs w:val="20"/>
              </w:rPr>
              <w:t>Oxygen and medical air to remain available (even if on backup supply) to enable evacuation.</w:t>
            </w:r>
          </w:p>
          <w:p w14:paraId="5FD00BF4" w14:textId="7DD6E4D7" w:rsidR="000F2FED" w:rsidRPr="00352375" w:rsidRDefault="000F2FED" w:rsidP="00666E06">
            <w:pPr>
              <w:rPr>
                <w:rFonts w:cs="Arial"/>
                <w:color w:val="15284C" w:themeColor="text1"/>
                <w:sz w:val="20"/>
                <w:szCs w:val="20"/>
              </w:rPr>
            </w:pPr>
          </w:p>
        </w:tc>
        <w:tc>
          <w:tcPr>
            <w:tcW w:w="2552" w:type="dxa"/>
            <w:tcBorders>
              <w:top w:val="single" w:sz="8" w:space="0" w:color="BFBFBF"/>
              <w:left w:val="single" w:sz="8" w:space="0" w:color="BFBFBF"/>
              <w:bottom w:val="single" w:sz="8" w:space="0" w:color="BFBFBF"/>
              <w:right w:val="nil"/>
            </w:tcBorders>
          </w:tcPr>
          <w:p w14:paraId="5487B578" w14:textId="09F8B070" w:rsidR="000F2FED" w:rsidRPr="00352375" w:rsidRDefault="000F2FED" w:rsidP="00666E06">
            <w:pPr>
              <w:rPr>
                <w:rFonts w:cs="Arial"/>
                <w:sz w:val="20"/>
                <w:szCs w:val="20"/>
              </w:rPr>
            </w:pPr>
            <w:r w:rsidRPr="00352375">
              <w:rPr>
                <w:rFonts w:cs="Arial"/>
                <w:sz w:val="20"/>
                <w:szCs w:val="20"/>
              </w:rPr>
              <w:t>Generally not applicable.</w:t>
            </w:r>
          </w:p>
        </w:tc>
      </w:tr>
      <w:tr w:rsidR="007A7CB7" w:rsidRPr="00352375" w14:paraId="6D76C679" w14:textId="0C59B73D"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1946D7CB"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vAlign w:val="center"/>
          </w:tcPr>
          <w:p w14:paraId="4DD15319" w14:textId="77777777" w:rsidR="007A7CB7" w:rsidRPr="00352375" w:rsidRDefault="007A7CB7" w:rsidP="00666E06">
            <w:pPr>
              <w:rPr>
                <w:rFonts w:cs="Arial"/>
                <w:sz w:val="20"/>
                <w:szCs w:val="20"/>
              </w:rPr>
            </w:pPr>
          </w:p>
        </w:tc>
        <w:tc>
          <w:tcPr>
            <w:tcW w:w="6419" w:type="dxa"/>
            <w:gridSpan w:val="3"/>
            <w:tcBorders>
              <w:top w:val="single" w:sz="8" w:space="0" w:color="BFBFBF"/>
              <w:left w:val="single" w:sz="8" w:space="0" w:color="BFBFBF"/>
              <w:bottom w:val="single" w:sz="8" w:space="0" w:color="BFBFBF"/>
              <w:right w:val="single" w:sz="8" w:space="0" w:color="BFBFBF"/>
            </w:tcBorders>
            <w:shd w:val="clear" w:color="auto" w:fill="D1EFF2" w:themeFill="background2" w:themeFillTint="33"/>
          </w:tcPr>
          <w:p w14:paraId="2ACBF4B0" w14:textId="6832F963" w:rsidR="007A7CB7" w:rsidRPr="00352375" w:rsidRDefault="007A7CB7" w:rsidP="00666E06">
            <w:pPr>
              <w:rPr>
                <w:rFonts w:cs="Arial"/>
                <w:color w:val="15284C" w:themeColor="text1"/>
                <w:sz w:val="20"/>
                <w:szCs w:val="20"/>
              </w:rPr>
            </w:pPr>
            <w:r w:rsidRPr="00352375">
              <w:rPr>
                <w:rFonts w:cs="Arial"/>
                <w:b/>
                <w:bCs/>
                <w:color w:val="15284C" w:themeColor="text1"/>
                <w:sz w:val="20"/>
                <w:szCs w:val="20"/>
              </w:rPr>
              <w:t xml:space="preserve">ULS Requirement: </w:t>
            </w:r>
            <w:r w:rsidRPr="00352375">
              <w:rPr>
                <w:rFonts w:cs="Arial"/>
                <w:color w:val="15284C" w:themeColor="text1"/>
                <w:sz w:val="20"/>
                <w:szCs w:val="20"/>
              </w:rPr>
              <w:t>Containment</w:t>
            </w:r>
            <w:r w:rsidR="006C2C15">
              <w:rPr>
                <w:rFonts w:cs="Arial"/>
                <w:color w:val="15284C" w:themeColor="text1"/>
                <w:sz w:val="20"/>
                <w:szCs w:val="20"/>
              </w:rPr>
              <w:t xml:space="preserve"> </w:t>
            </w:r>
            <w:r w:rsidR="006C2C15">
              <w:rPr>
                <w:rFonts w:cs="Arial"/>
                <w:color w:val="15284C" w:themeColor="text1"/>
                <w:sz w:val="20"/>
                <w:szCs w:val="20"/>
                <w:vertAlign w:val="superscript"/>
              </w:rPr>
              <w:t>(</w:t>
            </w:r>
            <w:r w:rsidR="001A43DB" w:rsidRPr="001A43DB">
              <w:rPr>
                <w:rFonts w:cs="Arial"/>
                <w:color w:val="15284C" w:themeColor="text1"/>
                <w:sz w:val="20"/>
                <w:szCs w:val="20"/>
                <w:vertAlign w:val="superscript"/>
              </w:rPr>
              <w:fldChar w:fldCharType="begin"/>
            </w:r>
            <w:r w:rsidR="001A43DB" w:rsidRPr="001A43DB">
              <w:rPr>
                <w:rFonts w:cs="Arial"/>
                <w:color w:val="15284C" w:themeColor="text1"/>
                <w:sz w:val="20"/>
                <w:szCs w:val="20"/>
                <w:vertAlign w:val="superscript"/>
              </w:rPr>
              <w:instrText xml:space="preserve"> REF Footnote_1_page_67 \h  \* MERGEFORMAT </w:instrText>
            </w:r>
            <w:r w:rsidR="001A43DB" w:rsidRPr="001A43DB">
              <w:rPr>
                <w:rFonts w:cs="Arial"/>
                <w:color w:val="15284C" w:themeColor="text1"/>
                <w:sz w:val="20"/>
                <w:szCs w:val="20"/>
                <w:vertAlign w:val="superscript"/>
              </w:rPr>
            </w:r>
            <w:r w:rsidR="001A43DB" w:rsidRPr="001A43DB">
              <w:rPr>
                <w:rFonts w:cs="Arial"/>
                <w:color w:val="15284C" w:themeColor="text1"/>
                <w:sz w:val="20"/>
                <w:szCs w:val="20"/>
                <w:vertAlign w:val="superscript"/>
              </w:rPr>
              <w:fldChar w:fldCharType="separate"/>
            </w:r>
            <w:r w:rsidR="000761C1">
              <w:rPr>
                <w:rStyle w:val="FootnoteReference"/>
              </w:rPr>
              <w:footnoteRef/>
            </w:r>
            <w:r w:rsidR="001A43DB" w:rsidRPr="001A43DB">
              <w:rPr>
                <w:rFonts w:cs="Arial"/>
                <w:color w:val="15284C" w:themeColor="text1"/>
                <w:sz w:val="20"/>
                <w:szCs w:val="20"/>
                <w:vertAlign w:val="superscript"/>
              </w:rPr>
              <w:fldChar w:fldCharType="end"/>
            </w:r>
            <w:r w:rsidR="006C2C15">
              <w:rPr>
                <w:rFonts w:cs="Arial"/>
                <w:color w:val="15284C" w:themeColor="text1"/>
                <w:sz w:val="20"/>
                <w:szCs w:val="20"/>
                <w:vertAlign w:val="superscript"/>
              </w:rPr>
              <w:t>)</w:t>
            </w:r>
            <w:r w:rsidRPr="00352375">
              <w:rPr>
                <w:rFonts w:cs="Arial"/>
                <w:color w:val="15284C" w:themeColor="text1"/>
                <w:sz w:val="20"/>
                <w:szCs w:val="20"/>
              </w:rPr>
              <w:t xml:space="preserve"> to be maintained at ULS in all areas within the building envelope to avoid direct life safety hazard and fire risk.</w:t>
            </w:r>
          </w:p>
        </w:tc>
        <w:tc>
          <w:tcPr>
            <w:tcW w:w="2552" w:type="dxa"/>
            <w:tcBorders>
              <w:top w:val="single" w:sz="8" w:space="0" w:color="BFBFBF"/>
              <w:left w:val="single" w:sz="8" w:space="0" w:color="BFBFBF"/>
              <w:bottom w:val="single" w:sz="8" w:space="0" w:color="BFBFBF"/>
              <w:right w:val="nil"/>
            </w:tcBorders>
          </w:tcPr>
          <w:p w14:paraId="68D74FDD" w14:textId="428CD8F5" w:rsidR="007A7CB7" w:rsidRPr="00352375" w:rsidRDefault="007A7CB7" w:rsidP="00666E06">
            <w:pPr>
              <w:rPr>
                <w:rFonts w:cs="Arial"/>
                <w:sz w:val="20"/>
                <w:szCs w:val="20"/>
              </w:rPr>
            </w:pPr>
            <w:r w:rsidRPr="00352375">
              <w:rPr>
                <w:rFonts w:cs="Arial"/>
                <w:sz w:val="20"/>
                <w:szCs w:val="20"/>
              </w:rPr>
              <w:t>Generally not applicable.</w:t>
            </w:r>
          </w:p>
        </w:tc>
      </w:tr>
      <w:tr w:rsidR="007A7CB7" w:rsidRPr="00352375" w14:paraId="37657C99"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71B5A1E7"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602C589B" w14:textId="5AD2C972" w:rsidR="007A7CB7" w:rsidRPr="00352375" w:rsidRDefault="007A7CB7" w:rsidP="00666E06">
            <w:pPr>
              <w:rPr>
                <w:rFonts w:cs="Arial"/>
                <w:sz w:val="20"/>
                <w:szCs w:val="20"/>
              </w:rPr>
            </w:pPr>
            <w:r w:rsidRPr="00352375">
              <w:rPr>
                <w:rFonts w:cs="Arial"/>
                <w:sz w:val="20"/>
                <w:szCs w:val="20"/>
              </w:rPr>
              <w:t>HVAC</w:t>
            </w:r>
          </w:p>
        </w:tc>
        <w:tc>
          <w:tcPr>
            <w:tcW w:w="2308" w:type="dxa"/>
            <w:tcBorders>
              <w:top w:val="single" w:sz="8" w:space="0" w:color="BFBFBF"/>
              <w:left w:val="single" w:sz="8" w:space="0" w:color="BFBFBF"/>
              <w:bottom w:val="single" w:sz="8" w:space="0" w:color="BFBFBF"/>
              <w:right w:val="single" w:sz="8" w:space="0" w:color="BFBFBF"/>
            </w:tcBorders>
          </w:tcPr>
          <w:p w14:paraId="2B3071C1" w14:textId="76D85E13" w:rsidR="007A7CB7" w:rsidRPr="00352375" w:rsidRDefault="007A7CB7" w:rsidP="00666E06">
            <w:pPr>
              <w:rPr>
                <w:rFonts w:cs="Arial"/>
                <w:sz w:val="20"/>
                <w:szCs w:val="20"/>
              </w:rPr>
            </w:pPr>
            <w:r w:rsidRPr="00352375">
              <w:rPr>
                <w:rFonts w:cs="Arial"/>
                <w:sz w:val="20"/>
                <w:szCs w:val="20"/>
              </w:rPr>
              <w:t>Supply of systems directly required for post disaster operations or clinical isolation to function continuously.</w:t>
            </w:r>
          </w:p>
          <w:p w14:paraId="6B41DE35" w14:textId="4697F8C8" w:rsidR="007A7CB7" w:rsidRPr="00352375" w:rsidRDefault="007A7CB7" w:rsidP="00666E06">
            <w:pPr>
              <w:rPr>
                <w:rFonts w:cs="Arial"/>
                <w:sz w:val="20"/>
                <w:szCs w:val="20"/>
              </w:rPr>
            </w:pPr>
            <w:r w:rsidRPr="00352375">
              <w:rPr>
                <w:rFonts w:cs="Arial"/>
                <w:sz w:val="20"/>
                <w:szCs w:val="20"/>
              </w:rPr>
              <w:t>Remaining systems to return to full function within minutes or hours.</w:t>
            </w:r>
          </w:p>
        </w:tc>
        <w:tc>
          <w:tcPr>
            <w:tcW w:w="4111" w:type="dxa"/>
            <w:gridSpan w:val="2"/>
            <w:tcBorders>
              <w:top w:val="single" w:sz="8" w:space="0" w:color="BFBFBF"/>
              <w:left w:val="single" w:sz="8" w:space="0" w:color="BFBFBF"/>
              <w:bottom w:val="single" w:sz="8" w:space="0" w:color="BFBFBF"/>
              <w:right w:val="single" w:sz="8" w:space="0" w:color="BFBFBF"/>
            </w:tcBorders>
          </w:tcPr>
          <w:p w14:paraId="63A69F40" w14:textId="14FC7496" w:rsidR="007A7CB7" w:rsidRPr="00352375" w:rsidRDefault="007A7CB7" w:rsidP="00666E06">
            <w:pPr>
              <w:rPr>
                <w:rFonts w:cs="Arial"/>
                <w:sz w:val="20"/>
                <w:szCs w:val="20"/>
              </w:rPr>
            </w:pPr>
            <w:r w:rsidRPr="00352375">
              <w:rPr>
                <w:rFonts w:cs="Arial"/>
                <w:sz w:val="20"/>
                <w:szCs w:val="20"/>
              </w:rPr>
              <w:t>Systems providing pressure differential for clinical isolation continuous basic function (measured pressure differential may be compromised but air flow direction should be maintained).</w:t>
            </w:r>
          </w:p>
          <w:p w14:paraId="73F8C8D8" w14:textId="3BB91559" w:rsidR="007A7CB7" w:rsidRPr="00352375" w:rsidRDefault="007A7CB7" w:rsidP="00666E06">
            <w:pPr>
              <w:rPr>
                <w:rFonts w:cs="Arial"/>
                <w:sz w:val="20"/>
                <w:szCs w:val="20"/>
              </w:rPr>
            </w:pPr>
            <w:r w:rsidRPr="00352375">
              <w:rPr>
                <w:rFonts w:cs="Arial"/>
                <w:sz w:val="20"/>
                <w:szCs w:val="20"/>
              </w:rPr>
              <w:t xml:space="preserve">Remaining systems to return progressively through basic function to full function over the course of days or weeks. (generally prioritising ventilation and air changes over temperature control). </w:t>
            </w:r>
          </w:p>
        </w:tc>
        <w:tc>
          <w:tcPr>
            <w:tcW w:w="2552" w:type="dxa"/>
            <w:tcBorders>
              <w:top w:val="single" w:sz="8" w:space="0" w:color="BFBFBF"/>
              <w:left w:val="single" w:sz="8" w:space="0" w:color="BFBFBF"/>
              <w:bottom w:val="single" w:sz="8" w:space="0" w:color="BFBFBF"/>
              <w:right w:val="nil"/>
            </w:tcBorders>
          </w:tcPr>
          <w:p w14:paraId="2BD6844C" w14:textId="04AB0AB3" w:rsidR="007A7CB7" w:rsidRPr="00352375" w:rsidRDefault="007A7CB7" w:rsidP="00666E06">
            <w:pPr>
              <w:rPr>
                <w:rFonts w:cs="Arial"/>
                <w:sz w:val="20"/>
                <w:szCs w:val="20"/>
              </w:rPr>
            </w:pPr>
            <w:r w:rsidRPr="00352375">
              <w:rPr>
                <w:rFonts w:cs="Arial"/>
                <w:sz w:val="20"/>
                <w:szCs w:val="20"/>
              </w:rPr>
              <w:t>No specific requirements.</w:t>
            </w:r>
          </w:p>
        </w:tc>
      </w:tr>
      <w:tr w:rsidR="007A7CB7" w:rsidRPr="00352375" w14:paraId="492D6950"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25382C7A"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77F73A56" w14:textId="71689C00" w:rsidR="007A7CB7" w:rsidRPr="00352375" w:rsidRDefault="007A7CB7" w:rsidP="00666E06">
            <w:pPr>
              <w:rPr>
                <w:rFonts w:cs="Arial"/>
                <w:sz w:val="20"/>
                <w:szCs w:val="20"/>
              </w:rPr>
            </w:pPr>
            <w:r w:rsidRPr="00352375">
              <w:rPr>
                <w:rFonts w:cs="Arial"/>
                <w:sz w:val="20"/>
                <w:szCs w:val="20"/>
              </w:rPr>
              <w:t>Water</w:t>
            </w:r>
            <w:r w:rsidR="00D54618" w:rsidRPr="00352375">
              <w:rPr>
                <w:rFonts w:cs="Arial"/>
                <w:sz w:val="20"/>
                <w:szCs w:val="20"/>
              </w:rPr>
              <w:t xml:space="preserve"> supply</w:t>
            </w:r>
          </w:p>
        </w:tc>
        <w:tc>
          <w:tcPr>
            <w:tcW w:w="2308" w:type="dxa"/>
            <w:tcBorders>
              <w:top w:val="single" w:sz="8" w:space="0" w:color="BFBFBF"/>
              <w:left w:val="single" w:sz="8" w:space="0" w:color="BFBFBF"/>
              <w:bottom w:val="single" w:sz="8" w:space="0" w:color="BFBFBF"/>
              <w:right w:val="single" w:sz="8" w:space="0" w:color="BFBFBF"/>
            </w:tcBorders>
          </w:tcPr>
          <w:p w14:paraId="6DF897CF" w14:textId="78D3D0E8" w:rsidR="007A7CB7" w:rsidRPr="00352375" w:rsidRDefault="007A7CB7" w:rsidP="00666E06">
            <w:pPr>
              <w:rPr>
                <w:rFonts w:cs="Arial"/>
                <w:sz w:val="20"/>
                <w:szCs w:val="20"/>
              </w:rPr>
            </w:pPr>
            <w:r w:rsidRPr="00352375">
              <w:rPr>
                <w:rFonts w:cs="Arial"/>
                <w:sz w:val="20"/>
                <w:szCs w:val="20"/>
              </w:rPr>
              <w:t>Reticulated supply to continue to function continuously</w:t>
            </w:r>
            <w:r w:rsidR="00A43953" w:rsidRPr="00352375">
              <w:rPr>
                <w:rFonts w:cs="Arial"/>
                <w:sz w:val="20"/>
                <w:szCs w:val="20"/>
              </w:rPr>
              <w:t xml:space="preserve">. </w:t>
            </w:r>
          </w:p>
          <w:p w14:paraId="54995667" w14:textId="74E4DD7A" w:rsidR="007A7CB7" w:rsidRPr="00352375" w:rsidRDefault="007A7CB7" w:rsidP="00666E06">
            <w:pPr>
              <w:rPr>
                <w:rFonts w:cs="Arial"/>
                <w:sz w:val="20"/>
                <w:szCs w:val="20"/>
              </w:rPr>
            </w:pPr>
            <w:r w:rsidRPr="00352375">
              <w:rPr>
                <w:rFonts w:cs="Arial"/>
                <w:sz w:val="20"/>
                <w:szCs w:val="20"/>
              </w:rPr>
              <w:t>Tanked water storage provided equal to or greater than 24 hours.</w:t>
            </w:r>
          </w:p>
          <w:p w14:paraId="180D00E3" w14:textId="4DE17B33" w:rsidR="007A7CB7" w:rsidRPr="00352375" w:rsidRDefault="007A7CB7" w:rsidP="00666E06">
            <w:pPr>
              <w:rPr>
                <w:rFonts w:cs="Arial"/>
                <w:sz w:val="20"/>
                <w:szCs w:val="20"/>
              </w:rPr>
            </w:pPr>
            <w:r w:rsidRPr="00352375">
              <w:rPr>
                <w:rFonts w:cs="Arial"/>
                <w:sz w:val="20"/>
                <w:szCs w:val="20"/>
              </w:rPr>
              <w:t>Containment</w:t>
            </w:r>
            <w:r w:rsidR="009D02C9" w:rsidRPr="00352375">
              <w:rPr>
                <w:rFonts w:cs="Arial"/>
                <w:sz w:val="20"/>
                <w:szCs w:val="20"/>
              </w:rPr>
              <w:t xml:space="preserve"> </w:t>
            </w:r>
            <w:r w:rsidR="009D02C9" w:rsidRPr="00352375">
              <w:rPr>
                <w:rFonts w:cs="Arial"/>
                <w:sz w:val="20"/>
                <w:szCs w:val="20"/>
                <w:vertAlign w:val="superscript"/>
              </w:rPr>
              <w:t>(</w:t>
            </w:r>
            <w:r w:rsidR="00C964C1">
              <w:rPr>
                <w:rFonts w:cs="Arial"/>
                <w:sz w:val="20"/>
                <w:szCs w:val="20"/>
                <w:vertAlign w:val="superscript"/>
              </w:rPr>
              <w:fldChar w:fldCharType="begin"/>
            </w:r>
            <w:r w:rsidR="00C964C1">
              <w:rPr>
                <w:rFonts w:cs="Arial"/>
                <w:sz w:val="20"/>
                <w:szCs w:val="20"/>
                <w:vertAlign w:val="superscript"/>
              </w:rPr>
              <w:instrText xml:space="preserve"> REF Footnote_1_page_67 \h </w:instrText>
            </w:r>
            <w:r w:rsidR="00C964C1">
              <w:rPr>
                <w:rFonts w:cs="Arial"/>
                <w:sz w:val="20"/>
                <w:szCs w:val="20"/>
                <w:vertAlign w:val="superscript"/>
              </w:rPr>
            </w:r>
            <w:r w:rsidR="00C964C1">
              <w:rPr>
                <w:rFonts w:cs="Arial"/>
                <w:sz w:val="20"/>
                <w:szCs w:val="20"/>
                <w:vertAlign w:val="superscript"/>
              </w:rPr>
              <w:fldChar w:fldCharType="separate"/>
            </w:r>
            <w:r w:rsidR="000761C1">
              <w:rPr>
                <w:rStyle w:val="FootnoteReference"/>
              </w:rPr>
              <w:footnoteRef/>
            </w:r>
            <w:r w:rsidR="00C964C1">
              <w:rPr>
                <w:rFonts w:cs="Arial"/>
                <w:sz w:val="20"/>
                <w:szCs w:val="20"/>
                <w:vertAlign w:val="superscript"/>
              </w:rPr>
              <w:fldChar w:fldCharType="end"/>
            </w:r>
            <w:r w:rsidR="009D02C9" w:rsidRPr="00352375">
              <w:rPr>
                <w:rFonts w:cs="Arial"/>
                <w:sz w:val="20"/>
                <w:szCs w:val="20"/>
                <w:vertAlign w:val="superscript"/>
              </w:rPr>
              <w:t>)</w:t>
            </w:r>
            <w:r w:rsidR="009D02C9" w:rsidRPr="00352375">
              <w:rPr>
                <w:rFonts w:cs="Arial"/>
                <w:sz w:val="20"/>
                <w:szCs w:val="20"/>
              </w:rPr>
              <w:t xml:space="preserve"> </w:t>
            </w:r>
            <w:r w:rsidRPr="00352375">
              <w:rPr>
                <w:rFonts w:cs="Arial"/>
                <w:sz w:val="20"/>
                <w:szCs w:val="20"/>
              </w:rPr>
              <w:t>to be maintained (to avoid disruption)</w:t>
            </w:r>
          </w:p>
        </w:tc>
        <w:tc>
          <w:tcPr>
            <w:tcW w:w="2127" w:type="dxa"/>
            <w:tcBorders>
              <w:top w:val="single" w:sz="8" w:space="0" w:color="BFBFBF"/>
              <w:left w:val="single" w:sz="8" w:space="0" w:color="BFBFBF"/>
              <w:bottom w:val="single" w:sz="8" w:space="0" w:color="BFBFBF"/>
              <w:right w:val="single" w:sz="8" w:space="0" w:color="BFBFBF"/>
            </w:tcBorders>
          </w:tcPr>
          <w:p w14:paraId="11EDE874" w14:textId="3844F861" w:rsidR="007A7CB7" w:rsidRPr="00352375" w:rsidRDefault="007A7CB7" w:rsidP="00666E06">
            <w:pPr>
              <w:rPr>
                <w:rFonts w:cs="Arial"/>
                <w:sz w:val="20"/>
                <w:szCs w:val="20"/>
              </w:rPr>
            </w:pPr>
            <w:r w:rsidRPr="00352375">
              <w:rPr>
                <w:rFonts w:cs="Arial"/>
                <w:sz w:val="20"/>
                <w:szCs w:val="20"/>
              </w:rPr>
              <w:t>Reticulated supply to return to basic function within minutes or hours.</w:t>
            </w:r>
          </w:p>
          <w:p w14:paraId="7BE22479" w14:textId="1539EE0E" w:rsidR="007A7CB7" w:rsidRPr="00352375" w:rsidRDefault="007A7CB7" w:rsidP="00666E06">
            <w:pPr>
              <w:rPr>
                <w:rFonts w:cs="Arial"/>
                <w:sz w:val="20"/>
                <w:szCs w:val="20"/>
              </w:rPr>
            </w:pPr>
            <w:r w:rsidRPr="00352375">
              <w:rPr>
                <w:rFonts w:cs="Arial"/>
                <w:sz w:val="20"/>
                <w:szCs w:val="20"/>
              </w:rPr>
              <w:t>Preference for continuous function where practical.</w:t>
            </w:r>
          </w:p>
          <w:p w14:paraId="11DD4102" w14:textId="77777777" w:rsidR="007A7CB7" w:rsidRPr="00352375" w:rsidRDefault="007A7CB7" w:rsidP="00666E06">
            <w:pPr>
              <w:rPr>
                <w:rFonts w:cs="Arial"/>
                <w:sz w:val="20"/>
                <w:szCs w:val="20"/>
              </w:rPr>
            </w:pPr>
            <w:r w:rsidRPr="00352375">
              <w:rPr>
                <w:rFonts w:cs="Arial"/>
                <w:sz w:val="20"/>
                <w:szCs w:val="20"/>
              </w:rPr>
              <w:t>Tanked water storage preferred.</w:t>
            </w:r>
          </w:p>
          <w:p w14:paraId="7927379D" w14:textId="2BC3CEB2" w:rsidR="007A7CB7" w:rsidRPr="00352375" w:rsidRDefault="007A7CB7" w:rsidP="00666E06">
            <w:pPr>
              <w:rPr>
                <w:rFonts w:cs="Arial"/>
                <w:sz w:val="20"/>
                <w:szCs w:val="20"/>
              </w:rPr>
            </w:pPr>
            <w:r w:rsidRPr="00352375">
              <w:rPr>
                <w:rFonts w:cs="Arial"/>
                <w:sz w:val="20"/>
                <w:szCs w:val="20"/>
              </w:rPr>
              <w:t>Containment to be maintained (to avoid disruption)</w:t>
            </w:r>
          </w:p>
        </w:tc>
        <w:tc>
          <w:tcPr>
            <w:tcW w:w="1984" w:type="dxa"/>
            <w:tcBorders>
              <w:top w:val="single" w:sz="8" w:space="0" w:color="BFBFBF"/>
              <w:left w:val="single" w:sz="8" w:space="0" w:color="BFBFBF"/>
              <w:bottom w:val="single" w:sz="8" w:space="0" w:color="BFBFBF"/>
              <w:right w:val="single" w:sz="8" w:space="0" w:color="BFBFBF"/>
            </w:tcBorders>
          </w:tcPr>
          <w:p w14:paraId="48624AC5" w14:textId="119FADE2" w:rsidR="007A7CB7" w:rsidRPr="00352375" w:rsidRDefault="007A7CB7" w:rsidP="00666E06">
            <w:pPr>
              <w:rPr>
                <w:rFonts w:cs="Arial"/>
                <w:sz w:val="20"/>
                <w:szCs w:val="20"/>
              </w:rPr>
            </w:pPr>
            <w:r w:rsidRPr="00352375">
              <w:rPr>
                <w:rFonts w:cs="Arial"/>
                <w:sz w:val="20"/>
                <w:szCs w:val="20"/>
              </w:rPr>
              <w:t>Reticulated supply to return to basic function within days or weeks. Emergency short term supply available.</w:t>
            </w:r>
          </w:p>
          <w:p w14:paraId="7DDB4A52" w14:textId="6A6E5C2F" w:rsidR="007A7CB7" w:rsidRPr="00352375" w:rsidRDefault="007A7CB7" w:rsidP="00666E06">
            <w:pPr>
              <w:rPr>
                <w:rFonts w:cs="Arial"/>
                <w:sz w:val="20"/>
                <w:szCs w:val="20"/>
              </w:rPr>
            </w:pPr>
            <w:r w:rsidRPr="00352375">
              <w:rPr>
                <w:rFonts w:cs="Arial"/>
                <w:sz w:val="20"/>
                <w:szCs w:val="20"/>
              </w:rPr>
              <w:t>Preference for continuous function where practical.</w:t>
            </w:r>
          </w:p>
          <w:p w14:paraId="2367FFEC" w14:textId="60BF1510" w:rsidR="007A7CB7" w:rsidRPr="00352375" w:rsidRDefault="007A7CB7" w:rsidP="00666E06">
            <w:pPr>
              <w:rPr>
                <w:rFonts w:cs="Arial"/>
                <w:sz w:val="20"/>
                <w:szCs w:val="20"/>
              </w:rPr>
            </w:pPr>
            <w:r w:rsidRPr="00352375">
              <w:rPr>
                <w:rFonts w:cs="Arial"/>
                <w:sz w:val="20"/>
                <w:szCs w:val="20"/>
              </w:rPr>
              <w:t>Containment to be maintained (to avoid disruption)</w:t>
            </w:r>
          </w:p>
        </w:tc>
        <w:tc>
          <w:tcPr>
            <w:tcW w:w="2552" w:type="dxa"/>
            <w:tcBorders>
              <w:top w:val="single" w:sz="8" w:space="0" w:color="BFBFBF"/>
              <w:left w:val="single" w:sz="8" w:space="0" w:color="BFBFBF"/>
              <w:bottom w:val="single" w:sz="8" w:space="0" w:color="BFBFBF"/>
              <w:right w:val="nil"/>
            </w:tcBorders>
          </w:tcPr>
          <w:p w14:paraId="7EDA59CC" w14:textId="50580D59" w:rsidR="007A7CB7" w:rsidRPr="00352375" w:rsidRDefault="007A7CB7" w:rsidP="00666E06">
            <w:pPr>
              <w:rPr>
                <w:rFonts w:cs="Arial"/>
                <w:sz w:val="20"/>
                <w:szCs w:val="20"/>
              </w:rPr>
            </w:pPr>
            <w:r w:rsidRPr="00352375">
              <w:rPr>
                <w:rFonts w:cs="Arial"/>
                <w:sz w:val="20"/>
                <w:szCs w:val="20"/>
              </w:rPr>
              <w:t>Loss of containment to be minimised (to avoid disproportionate damage)</w:t>
            </w:r>
          </w:p>
        </w:tc>
      </w:tr>
      <w:tr w:rsidR="007A7CB7" w:rsidRPr="00352375" w14:paraId="13B92FA3" w14:textId="77777777"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3DE0551F"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21BEB47B" w14:textId="36E97D92" w:rsidR="007A7CB7" w:rsidRPr="00352375" w:rsidRDefault="007A7CB7" w:rsidP="00666E06">
            <w:pPr>
              <w:rPr>
                <w:rFonts w:cs="Arial"/>
                <w:sz w:val="20"/>
                <w:szCs w:val="20"/>
              </w:rPr>
            </w:pPr>
            <w:r w:rsidRPr="00352375">
              <w:rPr>
                <w:rFonts w:cs="Arial"/>
                <w:sz w:val="20"/>
                <w:szCs w:val="20"/>
              </w:rPr>
              <w:t>Steam and water &gt;70°C</w:t>
            </w:r>
          </w:p>
        </w:tc>
        <w:tc>
          <w:tcPr>
            <w:tcW w:w="8971" w:type="dxa"/>
            <w:gridSpan w:val="4"/>
            <w:tcBorders>
              <w:top w:val="single" w:sz="8" w:space="0" w:color="BFBFBF"/>
              <w:left w:val="single" w:sz="8" w:space="0" w:color="BFBFBF"/>
              <w:bottom w:val="single" w:sz="8" w:space="0" w:color="BFBFBF"/>
              <w:right w:val="nil"/>
            </w:tcBorders>
            <w:shd w:val="clear" w:color="auto" w:fill="D1EFF2" w:themeFill="background2" w:themeFillTint="33"/>
          </w:tcPr>
          <w:p w14:paraId="26F23201" w14:textId="1F3A3629" w:rsidR="007A7CB7" w:rsidRPr="00352375" w:rsidRDefault="007A7CB7" w:rsidP="00666E06">
            <w:pPr>
              <w:rPr>
                <w:rFonts w:cs="Arial"/>
                <w:color w:val="15284C" w:themeColor="text1"/>
                <w:sz w:val="20"/>
                <w:szCs w:val="20"/>
              </w:rPr>
            </w:pPr>
            <w:r w:rsidRPr="00352375">
              <w:rPr>
                <w:rFonts w:cs="Arial"/>
                <w:b/>
                <w:bCs/>
                <w:color w:val="15284C" w:themeColor="text1"/>
                <w:sz w:val="20"/>
                <w:szCs w:val="20"/>
              </w:rPr>
              <w:t xml:space="preserve">ULS Requirement: </w:t>
            </w:r>
            <w:r w:rsidRPr="00352375">
              <w:rPr>
                <w:rFonts w:cs="Arial"/>
                <w:color w:val="15284C" w:themeColor="text1"/>
                <w:sz w:val="20"/>
                <w:szCs w:val="20"/>
              </w:rPr>
              <w:t>Containment</w:t>
            </w:r>
            <w:r w:rsidR="009D02C9" w:rsidRPr="00352375">
              <w:rPr>
                <w:rFonts w:cs="Arial"/>
                <w:color w:val="15284C" w:themeColor="text1"/>
                <w:sz w:val="20"/>
                <w:szCs w:val="20"/>
              </w:rPr>
              <w:t xml:space="preserve"> </w:t>
            </w:r>
            <w:r w:rsidR="009D02C9" w:rsidRPr="00352375">
              <w:rPr>
                <w:rFonts w:cs="Arial"/>
                <w:color w:val="15284C" w:themeColor="text1"/>
                <w:sz w:val="20"/>
                <w:szCs w:val="20"/>
                <w:vertAlign w:val="superscript"/>
              </w:rPr>
              <w:t>(</w:t>
            </w:r>
            <w:r w:rsidR="00C964C1">
              <w:rPr>
                <w:rFonts w:cs="Arial"/>
                <w:color w:val="15284C" w:themeColor="text1"/>
                <w:sz w:val="20"/>
                <w:szCs w:val="20"/>
                <w:vertAlign w:val="superscript"/>
              </w:rPr>
              <w:fldChar w:fldCharType="begin"/>
            </w:r>
            <w:r w:rsidR="00C964C1">
              <w:rPr>
                <w:rFonts w:cs="Arial"/>
                <w:color w:val="15284C" w:themeColor="text1"/>
                <w:sz w:val="20"/>
                <w:szCs w:val="20"/>
                <w:vertAlign w:val="superscript"/>
              </w:rPr>
              <w:instrText xml:space="preserve"> REF Footnote_1_page_67 \h </w:instrText>
            </w:r>
            <w:r w:rsidR="00C964C1">
              <w:rPr>
                <w:rFonts w:cs="Arial"/>
                <w:color w:val="15284C" w:themeColor="text1"/>
                <w:sz w:val="20"/>
                <w:szCs w:val="20"/>
                <w:vertAlign w:val="superscript"/>
              </w:rPr>
            </w:r>
            <w:r w:rsidR="00C964C1">
              <w:rPr>
                <w:rFonts w:cs="Arial"/>
                <w:color w:val="15284C" w:themeColor="text1"/>
                <w:sz w:val="20"/>
                <w:szCs w:val="20"/>
                <w:vertAlign w:val="superscript"/>
              </w:rPr>
              <w:fldChar w:fldCharType="separate"/>
            </w:r>
            <w:r w:rsidR="000761C1">
              <w:rPr>
                <w:rStyle w:val="FootnoteReference"/>
              </w:rPr>
              <w:footnoteRef/>
            </w:r>
            <w:r w:rsidR="00C964C1">
              <w:rPr>
                <w:rFonts w:cs="Arial"/>
                <w:color w:val="15284C" w:themeColor="text1"/>
                <w:sz w:val="20"/>
                <w:szCs w:val="20"/>
                <w:vertAlign w:val="superscript"/>
              </w:rPr>
              <w:fldChar w:fldCharType="end"/>
            </w:r>
            <w:r w:rsidR="009D02C9" w:rsidRPr="00352375">
              <w:rPr>
                <w:rFonts w:cs="Arial"/>
                <w:color w:val="15284C" w:themeColor="text1"/>
                <w:sz w:val="20"/>
                <w:szCs w:val="20"/>
                <w:vertAlign w:val="superscript"/>
              </w:rPr>
              <w:t>)</w:t>
            </w:r>
            <w:r w:rsidR="009D02C9" w:rsidRPr="00352375">
              <w:rPr>
                <w:rFonts w:cs="Arial"/>
                <w:color w:val="15284C" w:themeColor="text1"/>
                <w:sz w:val="20"/>
                <w:szCs w:val="20"/>
              </w:rPr>
              <w:t xml:space="preserve"> </w:t>
            </w:r>
            <w:r w:rsidRPr="00352375">
              <w:rPr>
                <w:rFonts w:cs="Arial"/>
                <w:color w:val="15284C" w:themeColor="text1"/>
                <w:sz w:val="20"/>
                <w:szCs w:val="20"/>
              </w:rPr>
              <w:t>to be maintained in all areas regularly occupied by people to avoid direct life safety hazard.</w:t>
            </w:r>
          </w:p>
        </w:tc>
      </w:tr>
      <w:tr w:rsidR="007A7CB7" w:rsidRPr="00352375" w14:paraId="692B37BC"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609CD726"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7A57FC49" w14:textId="0975521F" w:rsidR="007A7CB7" w:rsidRPr="00352375" w:rsidRDefault="00454CB7" w:rsidP="00666E06">
            <w:pPr>
              <w:rPr>
                <w:rFonts w:cs="Arial"/>
                <w:sz w:val="20"/>
                <w:szCs w:val="20"/>
              </w:rPr>
            </w:pPr>
            <w:r w:rsidRPr="00352375">
              <w:rPr>
                <w:rFonts w:cs="Arial"/>
                <w:sz w:val="20"/>
                <w:szCs w:val="20"/>
              </w:rPr>
              <w:t>Wastewater</w:t>
            </w:r>
          </w:p>
        </w:tc>
        <w:tc>
          <w:tcPr>
            <w:tcW w:w="4435" w:type="dxa"/>
            <w:gridSpan w:val="2"/>
            <w:tcBorders>
              <w:top w:val="single" w:sz="8" w:space="0" w:color="BFBFBF"/>
              <w:left w:val="single" w:sz="8" w:space="0" w:color="BFBFBF"/>
              <w:bottom w:val="single" w:sz="8" w:space="0" w:color="BFBFBF"/>
              <w:right w:val="single" w:sz="8" w:space="0" w:color="BFBFBF"/>
            </w:tcBorders>
          </w:tcPr>
          <w:p w14:paraId="52D4AE98" w14:textId="6E5DF01E" w:rsidR="007A7CB7" w:rsidRPr="00352375" w:rsidRDefault="007A7CB7" w:rsidP="00666E06">
            <w:pPr>
              <w:rPr>
                <w:rFonts w:cs="Arial"/>
                <w:sz w:val="20"/>
                <w:szCs w:val="20"/>
              </w:rPr>
            </w:pPr>
            <w:r w:rsidRPr="00352375">
              <w:rPr>
                <w:rFonts w:cs="Arial"/>
                <w:sz w:val="20"/>
                <w:szCs w:val="20"/>
              </w:rPr>
              <w:t>Continuously operational. Containment</w:t>
            </w:r>
            <w:r w:rsidR="009D02C9" w:rsidRPr="00352375">
              <w:rPr>
                <w:rFonts w:cs="Arial"/>
                <w:sz w:val="20"/>
                <w:szCs w:val="20"/>
              </w:rPr>
              <w:t xml:space="preserve"> </w:t>
            </w:r>
            <w:r w:rsidR="009D02C9" w:rsidRPr="00352375">
              <w:rPr>
                <w:rFonts w:cs="Arial"/>
                <w:sz w:val="20"/>
                <w:szCs w:val="20"/>
                <w:vertAlign w:val="superscript"/>
              </w:rPr>
              <w:t>(</w:t>
            </w:r>
            <w:r w:rsidR="00C964C1">
              <w:rPr>
                <w:rFonts w:cs="Arial"/>
                <w:sz w:val="20"/>
                <w:szCs w:val="20"/>
                <w:vertAlign w:val="superscript"/>
              </w:rPr>
              <w:fldChar w:fldCharType="begin"/>
            </w:r>
            <w:r w:rsidR="00C964C1">
              <w:rPr>
                <w:rFonts w:cs="Arial"/>
                <w:sz w:val="20"/>
                <w:szCs w:val="20"/>
                <w:vertAlign w:val="superscript"/>
              </w:rPr>
              <w:instrText xml:space="preserve"> REF Footnote_1_page_67 \h </w:instrText>
            </w:r>
            <w:r w:rsidR="00C964C1">
              <w:rPr>
                <w:rFonts w:cs="Arial"/>
                <w:sz w:val="20"/>
                <w:szCs w:val="20"/>
                <w:vertAlign w:val="superscript"/>
              </w:rPr>
            </w:r>
            <w:r w:rsidR="00C964C1">
              <w:rPr>
                <w:rFonts w:cs="Arial"/>
                <w:sz w:val="20"/>
                <w:szCs w:val="20"/>
                <w:vertAlign w:val="superscript"/>
              </w:rPr>
              <w:fldChar w:fldCharType="separate"/>
            </w:r>
            <w:r w:rsidR="000761C1">
              <w:rPr>
                <w:rStyle w:val="FootnoteReference"/>
              </w:rPr>
              <w:footnoteRef/>
            </w:r>
            <w:r w:rsidR="00C964C1">
              <w:rPr>
                <w:rFonts w:cs="Arial"/>
                <w:sz w:val="20"/>
                <w:szCs w:val="20"/>
                <w:vertAlign w:val="superscript"/>
              </w:rPr>
              <w:fldChar w:fldCharType="end"/>
            </w:r>
            <w:r w:rsidR="009D02C9" w:rsidRPr="00352375">
              <w:rPr>
                <w:rFonts w:cs="Arial"/>
                <w:sz w:val="20"/>
                <w:szCs w:val="20"/>
                <w:vertAlign w:val="superscript"/>
              </w:rPr>
              <w:t>)</w:t>
            </w:r>
            <w:r w:rsidR="009D02C9" w:rsidRPr="00352375">
              <w:rPr>
                <w:rFonts w:cs="Arial"/>
                <w:sz w:val="20"/>
                <w:szCs w:val="20"/>
              </w:rPr>
              <w:t xml:space="preserve"> </w:t>
            </w:r>
            <w:r w:rsidRPr="00352375">
              <w:rPr>
                <w:rFonts w:cs="Arial"/>
                <w:sz w:val="20"/>
                <w:szCs w:val="20"/>
              </w:rPr>
              <w:t>to be maintained (to avoid disruption)</w:t>
            </w:r>
            <w:r w:rsidR="00A43953" w:rsidRPr="00352375">
              <w:rPr>
                <w:rFonts w:cs="Arial"/>
                <w:sz w:val="20"/>
                <w:szCs w:val="20"/>
              </w:rPr>
              <w:t xml:space="preserve">. </w:t>
            </w:r>
            <w:r w:rsidRPr="00352375">
              <w:rPr>
                <w:rFonts w:cs="Arial"/>
                <w:sz w:val="20"/>
                <w:szCs w:val="20"/>
              </w:rPr>
              <w:t>No severance from utilities connection</w:t>
            </w:r>
          </w:p>
        </w:tc>
        <w:tc>
          <w:tcPr>
            <w:tcW w:w="4536" w:type="dxa"/>
            <w:gridSpan w:val="2"/>
            <w:tcBorders>
              <w:top w:val="single" w:sz="8" w:space="0" w:color="BFBFBF"/>
              <w:left w:val="single" w:sz="8" w:space="0" w:color="BFBFBF"/>
              <w:bottom w:val="single" w:sz="8" w:space="0" w:color="BFBFBF"/>
              <w:right w:val="nil"/>
            </w:tcBorders>
          </w:tcPr>
          <w:p w14:paraId="2462E5C5" w14:textId="15A7A35E" w:rsidR="007A7CB7" w:rsidRPr="00352375" w:rsidRDefault="007A7CB7" w:rsidP="00666E06">
            <w:pPr>
              <w:rPr>
                <w:rFonts w:cs="Arial"/>
                <w:sz w:val="20"/>
                <w:szCs w:val="20"/>
              </w:rPr>
            </w:pPr>
            <w:r w:rsidRPr="00352375">
              <w:rPr>
                <w:rFonts w:cs="Arial"/>
                <w:sz w:val="20"/>
                <w:szCs w:val="20"/>
              </w:rPr>
              <w:t>Containment to be maintained (to avoid disruption and disproportionate damage).</w:t>
            </w:r>
          </w:p>
          <w:p w14:paraId="01157104" w14:textId="5487E16A" w:rsidR="007A7CB7" w:rsidRPr="00352375" w:rsidRDefault="007A7CB7" w:rsidP="00666E06">
            <w:pPr>
              <w:rPr>
                <w:rFonts w:cs="Arial"/>
                <w:sz w:val="20"/>
                <w:szCs w:val="20"/>
              </w:rPr>
            </w:pPr>
            <w:r w:rsidRPr="00352375">
              <w:rPr>
                <w:rFonts w:cs="Arial"/>
                <w:sz w:val="20"/>
                <w:szCs w:val="20"/>
              </w:rPr>
              <w:t>Passive elements continuously operational. Mechanical systems (such as pump stations) return to full function within days or weeks</w:t>
            </w:r>
            <w:r w:rsidR="00A43953" w:rsidRPr="00352375">
              <w:rPr>
                <w:rFonts w:cs="Arial"/>
                <w:sz w:val="20"/>
                <w:szCs w:val="20"/>
              </w:rPr>
              <w:t xml:space="preserve">. </w:t>
            </w:r>
          </w:p>
          <w:p w14:paraId="4D6F9317" w14:textId="2C7C31BA" w:rsidR="007A7CB7" w:rsidRPr="00352375" w:rsidRDefault="007A7CB7" w:rsidP="00666E06">
            <w:pPr>
              <w:rPr>
                <w:rFonts w:cs="Arial"/>
                <w:sz w:val="20"/>
                <w:szCs w:val="20"/>
              </w:rPr>
            </w:pPr>
            <w:r w:rsidRPr="00352375">
              <w:rPr>
                <w:rFonts w:cs="Arial"/>
                <w:sz w:val="20"/>
                <w:szCs w:val="20"/>
              </w:rPr>
              <w:t>All connections accessible (readily excavatable) and resilient to ground movement.</w:t>
            </w:r>
          </w:p>
        </w:tc>
      </w:tr>
      <w:tr w:rsidR="007A7CB7" w:rsidRPr="00352375" w14:paraId="42BB2787"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3C8A8369"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4B708BE2" w14:textId="348BCB20" w:rsidR="007A7CB7" w:rsidRPr="00352375" w:rsidRDefault="007A7CB7" w:rsidP="00666E06">
            <w:pPr>
              <w:rPr>
                <w:rFonts w:cs="Arial"/>
                <w:sz w:val="20"/>
                <w:szCs w:val="20"/>
              </w:rPr>
            </w:pPr>
            <w:r w:rsidRPr="00352375">
              <w:rPr>
                <w:rFonts w:cs="Arial"/>
                <w:sz w:val="20"/>
                <w:szCs w:val="20"/>
              </w:rPr>
              <w:t>Stormwater</w:t>
            </w:r>
          </w:p>
        </w:tc>
        <w:tc>
          <w:tcPr>
            <w:tcW w:w="6419" w:type="dxa"/>
            <w:gridSpan w:val="3"/>
            <w:tcBorders>
              <w:top w:val="single" w:sz="8" w:space="0" w:color="BFBFBF"/>
              <w:left w:val="single" w:sz="8" w:space="0" w:color="BFBFBF"/>
              <w:bottom w:val="single" w:sz="8" w:space="0" w:color="BFBFBF"/>
              <w:right w:val="single" w:sz="8" w:space="0" w:color="BFBFBF"/>
            </w:tcBorders>
          </w:tcPr>
          <w:p w14:paraId="5EE648BF" w14:textId="35F4973B" w:rsidR="007A7CB7" w:rsidRPr="00352375" w:rsidRDefault="007A7CB7" w:rsidP="00666E06">
            <w:pPr>
              <w:rPr>
                <w:rFonts w:cs="Arial"/>
                <w:sz w:val="20"/>
                <w:szCs w:val="20"/>
              </w:rPr>
            </w:pPr>
            <w:r w:rsidRPr="00352375">
              <w:rPr>
                <w:rFonts w:cs="Arial"/>
                <w:sz w:val="20"/>
                <w:szCs w:val="20"/>
              </w:rPr>
              <w:t>Stormwater severance tolerable only where discharge and flow path cannot enter habitable spaces. All connections with risk of severance accessible (readily excavatable) and resilient to ground movement.</w:t>
            </w:r>
          </w:p>
          <w:p w14:paraId="6F3FBCBC" w14:textId="142C0104" w:rsidR="007A7CB7" w:rsidRPr="00352375" w:rsidRDefault="007A7CB7" w:rsidP="00666E06">
            <w:pPr>
              <w:rPr>
                <w:rFonts w:cs="Arial"/>
                <w:sz w:val="20"/>
                <w:szCs w:val="20"/>
              </w:rPr>
            </w:pPr>
            <w:r w:rsidRPr="00352375">
              <w:rPr>
                <w:rFonts w:cs="Arial"/>
                <w:sz w:val="20"/>
                <w:szCs w:val="20"/>
              </w:rPr>
              <w:t>Preference for avoiding damage if practical.</w:t>
            </w:r>
          </w:p>
        </w:tc>
        <w:tc>
          <w:tcPr>
            <w:tcW w:w="2552" w:type="dxa"/>
            <w:tcBorders>
              <w:top w:val="single" w:sz="8" w:space="0" w:color="BFBFBF"/>
              <w:left w:val="single" w:sz="8" w:space="0" w:color="BFBFBF"/>
              <w:bottom w:val="single" w:sz="8" w:space="0" w:color="BFBFBF"/>
              <w:right w:val="nil"/>
            </w:tcBorders>
          </w:tcPr>
          <w:p w14:paraId="41D64B8D" w14:textId="17DEBBA8" w:rsidR="007A7CB7" w:rsidRPr="00352375" w:rsidRDefault="007A7CB7" w:rsidP="00666E06">
            <w:pPr>
              <w:rPr>
                <w:rFonts w:cs="Arial"/>
                <w:sz w:val="20"/>
                <w:szCs w:val="20"/>
              </w:rPr>
            </w:pPr>
            <w:r w:rsidRPr="00352375">
              <w:rPr>
                <w:rFonts w:cs="Arial"/>
                <w:sz w:val="20"/>
                <w:szCs w:val="20"/>
              </w:rPr>
              <w:t>Generally similar.</w:t>
            </w:r>
          </w:p>
        </w:tc>
      </w:tr>
      <w:tr w:rsidR="007A7CB7" w:rsidRPr="00352375" w14:paraId="18972D40"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4AC5469A"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6B627E4C" w14:textId="61EE605E" w:rsidR="007A7CB7" w:rsidRPr="00352375" w:rsidRDefault="007A7CB7" w:rsidP="00666E06">
            <w:pPr>
              <w:rPr>
                <w:rFonts w:cs="Arial"/>
                <w:sz w:val="20"/>
                <w:szCs w:val="20"/>
              </w:rPr>
            </w:pPr>
            <w:r w:rsidRPr="00352375">
              <w:rPr>
                <w:rFonts w:cs="Arial"/>
                <w:sz w:val="20"/>
                <w:szCs w:val="20"/>
              </w:rPr>
              <w:t>Fire Sprinklers</w:t>
            </w:r>
          </w:p>
        </w:tc>
        <w:tc>
          <w:tcPr>
            <w:tcW w:w="8971" w:type="dxa"/>
            <w:gridSpan w:val="4"/>
            <w:tcBorders>
              <w:top w:val="single" w:sz="8" w:space="0" w:color="BFBFBF"/>
              <w:left w:val="single" w:sz="8" w:space="0" w:color="BFBFBF"/>
              <w:bottom w:val="single" w:sz="8" w:space="0" w:color="BFBFBF"/>
              <w:right w:val="nil"/>
            </w:tcBorders>
            <w:vAlign w:val="center"/>
          </w:tcPr>
          <w:p w14:paraId="2E82DD4D" w14:textId="63471E71" w:rsidR="007A7CB7" w:rsidRPr="00352375" w:rsidRDefault="007A7CB7" w:rsidP="00666E06">
            <w:pPr>
              <w:rPr>
                <w:rFonts w:cs="Arial"/>
                <w:sz w:val="20"/>
                <w:szCs w:val="20"/>
              </w:rPr>
            </w:pPr>
            <w:r w:rsidRPr="00352375">
              <w:rPr>
                <w:rFonts w:cs="Arial"/>
                <w:sz w:val="20"/>
                <w:szCs w:val="20"/>
              </w:rPr>
              <w:t>Refer “Fire Protection”</w:t>
            </w:r>
          </w:p>
        </w:tc>
      </w:tr>
      <w:tr w:rsidR="007A7CB7" w:rsidRPr="00352375" w14:paraId="43AF2B4B" w14:textId="77777777" w:rsidTr="00D4195D">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5A674693" w14:textId="55184B2D" w:rsidR="007A7CB7" w:rsidRPr="00352375" w:rsidRDefault="007A7CB7" w:rsidP="00666E06">
            <w:pPr>
              <w:rPr>
                <w:rFonts w:cs="Arial"/>
                <w:sz w:val="20"/>
                <w:szCs w:val="20"/>
              </w:rPr>
            </w:pPr>
            <w:r w:rsidRPr="00352375">
              <w:rPr>
                <w:rFonts w:cs="Arial"/>
                <w:sz w:val="20"/>
                <w:szCs w:val="20"/>
              </w:rPr>
              <w:t>Plant</w:t>
            </w:r>
          </w:p>
        </w:tc>
        <w:tc>
          <w:tcPr>
            <w:tcW w:w="3792" w:type="dxa"/>
            <w:tcBorders>
              <w:top w:val="single" w:sz="8" w:space="0" w:color="BFBFBF"/>
              <w:left w:val="single" w:sz="8" w:space="0" w:color="BFBFBF"/>
              <w:bottom w:val="single" w:sz="8" w:space="0" w:color="BFBFBF"/>
              <w:right w:val="single" w:sz="8" w:space="0" w:color="BFBFBF"/>
            </w:tcBorders>
            <w:vAlign w:val="center"/>
          </w:tcPr>
          <w:p w14:paraId="6413415D" w14:textId="19C549AF" w:rsidR="007A7CB7" w:rsidRPr="00352375" w:rsidRDefault="007A7CB7" w:rsidP="00666E06">
            <w:pPr>
              <w:rPr>
                <w:rFonts w:cs="Arial"/>
                <w:sz w:val="20"/>
                <w:szCs w:val="20"/>
              </w:rPr>
            </w:pPr>
            <w:r w:rsidRPr="00352375">
              <w:rPr>
                <w:rFonts w:cs="Arial"/>
                <w:sz w:val="20"/>
                <w:szCs w:val="20"/>
                <w:lang w:val="en-US"/>
              </w:rPr>
              <w:t>General plant</w:t>
            </w:r>
          </w:p>
        </w:tc>
        <w:tc>
          <w:tcPr>
            <w:tcW w:w="6419" w:type="dxa"/>
            <w:gridSpan w:val="3"/>
            <w:tcBorders>
              <w:top w:val="single" w:sz="8" w:space="0" w:color="BFBFBF"/>
              <w:left w:val="single" w:sz="8" w:space="0" w:color="BFBFBF"/>
              <w:bottom w:val="single" w:sz="8" w:space="0" w:color="BFBFBF"/>
              <w:right w:val="single" w:sz="8" w:space="0" w:color="BFBFBF"/>
            </w:tcBorders>
          </w:tcPr>
          <w:p w14:paraId="01D89ECF" w14:textId="4FE8E60E" w:rsidR="007A7CB7" w:rsidRPr="00352375" w:rsidRDefault="007A7CB7" w:rsidP="00666E06">
            <w:pPr>
              <w:rPr>
                <w:rFonts w:cs="Arial"/>
                <w:sz w:val="20"/>
                <w:szCs w:val="20"/>
              </w:rPr>
            </w:pPr>
            <w:r w:rsidRPr="00352375">
              <w:rPr>
                <w:rFonts w:cs="Arial"/>
                <w:sz w:val="20"/>
                <w:szCs w:val="20"/>
              </w:rPr>
              <w:t>Supply to meet requirements of associated services. Liquid containment</w:t>
            </w:r>
            <w:r w:rsidR="009D02C9" w:rsidRPr="00352375">
              <w:rPr>
                <w:rFonts w:cs="Arial"/>
                <w:sz w:val="20"/>
                <w:szCs w:val="20"/>
              </w:rPr>
              <w:t xml:space="preserve"> </w:t>
            </w:r>
            <w:r w:rsidR="009D02C9" w:rsidRPr="00352375">
              <w:rPr>
                <w:rFonts w:cs="Arial"/>
                <w:sz w:val="20"/>
                <w:szCs w:val="20"/>
                <w:vertAlign w:val="superscript"/>
              </w:rPr>
              <w:t>(</w:t>
            </w:r>
            <w:r w:rsidR="00C964C1">
              <w:rPr>
                <w:rFonts w:cs="Arial"/>
                <w:sz w:val="20"/>
                <w:szCs w:val="20"/>
                <w:vertAlign w:val="superscript"/>
              </w:rPr>
              <w:fldChar w:fldCharType="begin"/>
            </w:r>
            <w:r w:rsidR="00C964C1">
              <w:rPr>
                <w:rFonts w:cs="Arial"/>
                <w:sz w:val="20"/>
                <w:szCs w:val="20"/>
                <w:vertAlign w:val="superscript"/>
              </w:rPr>
              <w:instrText xml:space="preserve"> REF Footnote_1_page_67 \h </w:instrText>
            </w:r>
            <w:r w:rsidR="00C964C1">
              <w:rPr>
                <w:rFonts w:cs="Arial"/>
                <w:sz w:val="20"/>
                <w:szCs w:val="20"/>
                <w:vertAlign w:val="superscript"/>
              </w:rPr>
            </w:r>
            <w:r w:rsidR="00C964C1">
              <w:rPr>
                <w:rFonts w:cs="Arial"/>
                <w:sz w:val="20"/>
                <w:szCs w:val="20"/>
                <w:vertAlign w:val="superscript"/>
              </w:rPr>
              <w:fldChar w:fldCharType="separate"/>
            </w:r>
            <w:r w:rsidR="000761C1">
              <w:rPr>
                <w:rStyle w:val="FootnoteReference"/>
              </w:rPr>
              <w:footnoteRef/>
            </w:r>
            <w:r w:rsidR="00C964C1">
              <w:rPr>
                <w:rFonts w:cs="Arial"/>
                <w:sz w:val="20"/>
                <w:szCs w:val="20"/>
                <w:vertAlign w:val="superscript"/>
              </w:rPr>
              <w:fldChar w:fldCharType="end"/>
            </w:r>
            <w:r w:rsidR="009D02C9" w:rsidRPr="00352375">
              <w:rPr>
                <w:rFonts w:cs="Arial"/>
                <w:sz w:val="20"/>
                <w:szCs w:val="20"/>
                <w:vertAlign w:val="superscript"/>
              </w:rPr>
              <w:t>)</w:t>
            </w:r>
            <w:r w:rsidR="009D02C9" w:rsidRPr="00352375">
              <w:rPr>
                <w:rFonts w:cs="Arial"/>
                <w:sz w:val="20"/>
                <w:szCs w:val="20"/>
              </w:rPr>
              <w:t xml:space="preserve"> </w:t>
            </w:r>
            <w:r w:rsidRPr="00352375">
              <w:rPr>
                <w:rFonts w:cs="Arial"/>
                <w:sz w:val="20"/>
                <w:szCs w:val="20"/>
              </w:rPr>
              <w:t>to be maintained.</w:t>
            </w:r>
          </w:p>
        </w:tc>
        <w:tc>
          <w:tcPr>
            <w:tcW w:w="2552" w:type="dxa"/>
            <w:tcBorders>
              <w:top w:val="single" w:sz="8" w:space="0" w:color="BFBFBF"/>
              <w:left w:val="single" w:sz="8" w:space="0" w:color="BFBFBF"/>
              <w:bottom w:val="single" w:sz="8" w:space="0" w:color="BFBFBF"/>
              <w:right w:val="nil"/>
            </w:tcBorders>
          </w:tcPr>
          <w:p w14:paraId="02510120" w14:textId="735E4060" w:rsidR="007A7CB7" w:rsidRPr="00352375" w:rsidRDefault="007A7CB7" w:rsidP="00666E06">
            <w:pPr>
              <w:rPr>
                <w:rFonts w:cs="Arial"/>
                <w:sz w:val="20"/>
                <w:szCs w:val="20"/>
              </w:rPr>
            </w:pPr>
            <w:r w:rsidRPr="00352375">
              <w:rPr>
                <w:rFonts w:cs="Arial"/>
                <w:sz w:val="20"/>
                <w:szCs w:val="20"/>
              </w:rPr>
              <w:t>Minimal physical damage to plant and equipment.</w:t>
            </w:r>
          </w:p>
        </w:tc>
      </w:tr>
      <w:tr w:rsidR="00CC67BF" w:rsidRPr="00352375" w14:paraId="68433C8C"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3858B3BB" w14:textId="77777777" w:rsidR="00CC67BF" w:rsidRPr="00352375" w:rsidRDefault="00CC67BF"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2080E424" w14:textId="40BBDB03" w:rsidR="00CC67BF" w:rsidRPr="00352375" w:rsidRDefault="00CC67BF" w:rsidP="00666E06">
            <w:pPr>
              <w:rPr>
                <w:rFonts w:cs="Arial"/>
                <w:sz w:val="20"/>
                <w:szCs w:val="20"/>
              </w:rPr>
            </w:pPr>
            <w:r w:rsidRPr="00352375">
              <w:rPr>
                <w:rFonts w:cs="Arial"/>
                <w:sz w:val="20"/>
                <w:szCs w:val="20"/>
                <w:lang w:val="en-US"/>
              </w:rPr>
              <w:t>Liquid retaining tanks</w:t>
            </w:r>
          </w:p>
        </w:tc>
        <w:tc>
          <w:tcPr>
            <w:tcW w:w="6419" w:type="dxa"/>
            <w:gridSpan w:val="3"/>
            <w:tcBorders>
              <w:top w:val="single" w:sz="8" w:space="0" w:color="BFBFBF"/>
              <w:left w:val="single" w:sz="8" w:space="0" w:color="BFBFBF"/>
              <w:bottom w:val="single" w:sz="8" w:space="0" w:color="BFBFBF"/>
              <w:right w:val="single" w:sz="8" w:space="0" w:color="BFBFBF"/>
            </w:tcBorders>
          </w:tcPr>
          <w:p w14:paraId="288C8291" w14:textId="037DC65B" w:rsidR="00CC67BF" w:rsidRPr="00352375" w:rsidRDefault="00CC67BF" w:rsidP="00666E06">
            <w:pPr>
              <w:rPr>
                <w:rFonts w:cs="Arial"/>
                <w:sz w:val="20"/>
                <w:szCs w:val="20"/>
              </w:rPr>
            </w:pPr>
            <w:r w:rsidRPr="00352375">
              <w:rPr>
                <w:rFonts w:cs="Arial"/>
                <w:sz w:val="20"/>
                <w:szCs w:val="20"/>
              </w:rPr>
              <w:t>Containment</w:t>
            </w:r>
            <w:r w:rsidRPr="00352375">
              <w:rPr>
                <w:rFonts w:cs="Arial"/>
                <w:sz w:val="20"/>
                <w:szCs w:val="20"/>
                <w:vertAlign w:val="superscript"/>
              </w:rPr>
              <w:t>(</w:t>
            </w:r>
            <w:r w:rsidR="00C964C1">
              <w:rPr>
                <w:rFonts w:cs="Arial"/>
                <w:sz w:val="20"/>
                <w:szCs w:val="20"/>
                <w:vertAlign w:val="superscript"/>
              </w:rPr>
              <w:fldChar w:fldCharType="begin"/>
            </w:r>
            <w:r w:rsidR="00C964C1">
              <w:rPr>
                <w:rFonts w:cs="Arial"/>
                <w:sz w:val="20"/>
                <w:szCs w:val="20"/>
                <w:vertAlign w:val="superscript"/>
              </w:rPr>
              <w:instrText xml:space="preserve"> REF Footnote_1_page_67 \h </w:instrText>
            </w:r>
            <w:r w:rsidR="00C964C1">
              <w:rPr>
                <w:rFonts w:cs="Arial"/>
                <w:sz w:val="20"/>
                <w:szCs w:val="20"/>
                <w:vertAlign w:val="superscript"/>
              </w:rPr>
            </w:r>
            <w:r w:rsidR="00C964C1">
              <w:rPr>
                <w:rFonts w:cs="Arial"/>
                <w:sz w:val="20"/>
                <w:szCs w:val="20"/>
                <w:vertAlign w:val="superscript"/>
              </w:rPr>
              <w:fldChar w:fldCharType="separate"/>
            </w:r>
            <w:r w:rsidR="000761C1">
              <w:rPr>
                <w:rStyle w:val="FootnoteReference"/>
              </w:rPr>
              <w:footnoteRef/>
            </w:r>
            <w:r w:rsidR="00C964C1">
              <w:rPr>
                <w:rFonts w:cs="Arial"/>
                <w:sz w:val="20"/>
                <w:szCs w:val="20"/>
                <w:vertAlign w:val="superscript"/>
              </w:rPr>
              <w:fldChar w:fldCharType="end"/>
            </w:r>
            <w:r w:rsidRPr="00352375">
              <w:rPr>
                <w:rFonts w:cs="Arial"/>
                <w:sz w:val="20"/>
                <w:szCs w:val="20"/>
                <w:vertAlign w:val="superscript"/>
              </w:rPr>
              <w:t>)</w:t>
            </w:r>
            <w:r w:rsidRPr="00352375">
              <w:rPr>
                <w:rFonts w:cs="Arial"/>
                <w:sz w:val="20"/>
                <w:szCs w:val="20"/>
              </w:rPr>
              <w:t xml:space="preserve">  of tanks in or over building to be maintained (to avoid disruption or disproportionate damage and maintain function).</w:t>
            </w:r>
          </w:p>
        </w:tc>
        <w:tc>
          <w:tcPr>
            <w:tcW w:w="2552" w:type="dxa"/>
            <w:tcBorders>
              <w:top w:val="single" w:sz="8" w:space="0" w:color="BFBFBF"/>
              <w:left w:val="single" w:sz="8" w:space="0" w:color="BFBFBF"/>
              <w:bottom w:val="single" w:sz="8" w:space="0" w:color="BFBFBF"/>
              <w:right w:val="nil"/>
            </w:tcBorders>
          </w:tcPr>
          <w:p w14:paraId="6E62AE32" w14:textId="672A3E68" w:rsidR="00CC67BF" w:rsidRPr="00352375" w:rsidRDefault="00CC67BF" w:rsidP="00666E06">
            <w:pPr>
              <w:rPr>
                <w:rFonts w:cs="Arial"/>
                <w:sz w:val="20"/>
                <w:szCs w:val="20"/>
              </w:rPr>
            </w:pPr>
            <w:r w:rsidRPr="00352375">
              <w:rPr>
                <w:rFonts w:cs="Arial"/>
                <w:sz w:val="20"/>
                <w:szCs w:val="20"/>
              </w:rPr>
              <w:t>Containment of tanks in or over building to be maintained (to avoid disproportionate damage)</w:t>
            </w:r>
          </w:p>
        </w:tc>
      </w:tr>
      <w:tr w:rsidR="007A7CB7" w:rsidRPr="00352375" w14:paraId="3F7BF4F8"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026046C4"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39AED7AB" w14:textId="246D890B" w:rsidR="007A7CB7" w:rsidRPr="00352375" w:rsidRDefault="007A7CB7" w:rsidP="00666E06">
            <w:pPr>
              <w:rPr>
                <w:rFonts w:cs="Arial"/>
                <w:sz w:val="20"/>
                <w:szCs w:val="20"/>
              </w:rPr>
            </w:pPr>
            <w:r w:rsidRPr="00352375">
              <w:rPr>
                <w:rFonts w:cs="Arial"/>
                <w:sz w:val="20"/>
                <w:szCs w:val="20"/>
                <w:lang w:val="en-US"/>
              </w:rPr>
              <w:t>Generators, on-site potable water supply, UPSs and other plant required in the case of utilities failure.</w:t>
            </w:r>
          </w:p>
        </w:tc>
        <w:tc>
          <w:tcPr>
            <w:tcW w:w="8971" w:type="dxa"/>
            <w:gridSpan w:val="4"/>
            <w:tcBorders>
              <w:top w:val="single" w:sz="8" w:space="0" w:color="BFBFBF"/>
              <w:left w:val="single" w:sz="8" w:space="0" w:color="BFBFBF"/>
              <w:bottom w:val="single" w:sz="8" w:space="0" w:color="BFBFBF"/>
              <w:right w:val="nil"/>
            </w:tcBorders>
          </w:tcPr>
          <w:p w14:paraId="3DBD028D" w14:textId="25EA070E" w:rsidR="007A7CB7" w:rsidRPr="00352375" w:rsidRDefault="007A7CB7" w:rsidP="00666E06">
            <w:pPr>
              <w:rPr>
                <w:rFonts w:cs="Arial"/>
                <w:sz w:val="20"/>
                <w:szCs w:val="20"/>
              </w:rPr>
            </w:pPr>
            <w:r w:rsidRPr="00352375">
              <w:rPr>
                <w:rFonts w:cs="Arial"/>
                <w:sz w:val="20"/>
                <w:szCs w:val="20"/>
              </w:rPr>
              <w:t>Refer to Building Services Systems (above), for specific requirements.</w:t>
            </w:r>
          </w:p>
        </w:tc>
      </w:tr>
      <w:tr w:rsidR="007A7CB7" w:rsidRPr="00352375" w14:paraId="19C54D4B" w14:textId="77777777" w:rsidTr="00D4195D">
        <w:trPr>
          <w:trHeight w:val="458"/>
        </w:trPr>
        <w:tc>
          <w:tcPr>
            <w:tcW w:w="1833" w:type="dxa"/>
            <w:vMerge w:val="restart"/>
            <w:tcBorders>
              <w:top w:val="single" w:sz="8" w:space="0" w:color="BFBFBF"/>
              <w:left w:val="nil"/>
              <w:bottom w:val="single" w:sz="8" w:space="0" w:color="BFBFBF"/>
              <w:right w:val="single" w:sz="8" w:space="0" w:color="BFBFBF"/>
            </w:tcBorders>
            <w:vAlign w:val="center"/>
          </w:tcPr>
          <w:p w14:paraId="142E1840" w14:textId="7D2CA1B3" w:rsidR="007A7CB7" w:rsidRPr="00352375" w:rsidRDefault="007A7CB7" w:rsidP="00666E06">
            <w:pPr>
              <w:rPr>
                <w:rFonts w:eastAsia="Arial" w:cs="Arial"/>
                <w:sz w:val="20"/>
                <w:szCs w:val="20"/>
              </w:rPr>
            </w:pPr>
            <w:r w:rsidRPr="00352375">
              <w:rPr>
                <w:rFonts w:cs="Arial"/>
                <w:sz w:val="20"/>
                <w:szCs w:val="20"/>
              </w:rPr>
              <w:t>Vertical Transportation</w:t>
            </w: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16A210A6" w14:textId="41F1703C" w:rsidR="007A7CB7" w:rsidRPr="00352375" w:rsidRDefault="007A7CB7" w:rsidP="00666E06">
            <w:pPr>
              <w:rPr>
                <w:rFonts w:cs="Arial"/>
                <w:sz w:val="20"/>
                <w:szCs w:val="20"/>
              </w:rPr>
            </w:pPr>
            <w:r w:rsidRPr="00352375">
              <w:rPr>
                <w:rFonts w:cs="Arial"/>
                <w:sz w:val="20"/>
                <w:szCs w:val="20"/>
                <w:lang w:val="en-US"/>
              </w:rPr>
              <w:t>Lifts</w:t>
            </w:r>
          </w:p>
        </w:tc>
        <w:tc>
          <w:tcPr>
            <w:tcW w:w="8971" w:type="dxa"/>
            <w:gridSpan w:val="4"/>
            <w:tcBorders>
              <w:top w:val="single" w:sz="8" w:space="0" w:color="BFBFBF"/>
              <w:left w:val="single" w:sz="8" w:space="0" w:color="BFBFBF"/>
              <w:bottom w:val="single" w:sz="8" w:space="0" w:color="BFBFBF"/>
              <w:right w:val="nil"/>
            </w:tcBorders>
          </w:tcPr>
          <w:p w14:paraId="4349898C" w14:textId="4B0D9129" w:rsidR="007A7CB7" w:rsidRPr="00352375" w:rsidRDefault="007A7CB7" w:rsidP="00666E06">
            <w:pPr>
              <w:rPr>
                <w:rFonts w:cs="Arial"/>
                <w:sz w:val="20"/>
                <w:szCs w:val="20"/>
              </w:rPr>
            </w:pPr>
            <w:r w:rsidRPr="00352375">
              <w:rPr>
                <w:rFonts w:cs="Arial"/>
                <w:sz w:val="20"/>
                <w:szCs w:val="20"/>
                <w:lang w:val="en-US"/>
              </w:rPr>
              <w:t>Negligible damage to lift systems, including guide rails and supporting structure</w:t>
            </w:r>
            <w:r w:rsidR="00A43953" w:rsidRPr="00352375">
              <w:rPr>
                <w:rFonts w:cs="Arial"/>
                <w:sz w:val="20"/>
                <w:szCs w:val="20"/>
                <w:lang w:val="en-US"/>
              </w:rPr>
              <w:t xml:space="preserve">. </w:t>
            </w:r>
            <w:r w:rsidRPr="00352375">
              <w:rPr>
                <w:rFonts w:cs="Arial"/>
                <w:sz w:val="20"/>
                <w:szCs w:val="20"/>
                <w:lang w:val="en-US"/>
              </w:rPr>
              <w:t xml:space="preserve">No residual displacement of car or counterweight. </w:t>
            </w:r>
          </w:p>
        </w:tc>
      </w:tr>
      <w:tr w:rsidR="007A7CB7" w:rsidRPr="00352375" w14:paraId="61D633A8" w14:textId="77777777" w:rsidTr="00D4195D">
        <w:trPr>
          <w:trHeight w:val="899"/>
        </w:trPr>
        <w:tc>
          <w:tcPr>
            <w:tcW w:w="1833" w:type="dxa"/>
            <w:vMerge/>
            <w:tcBorders>
              <w:top w:val="single" w:sz="8" w:space="0" w:color="BFBFBF"/>
              <w:left w:val="nil"/>
              <w:bottom w:val="single" w:sz="8" w:space="0" w:color="BFBFBF"/>
              <w:right w:val="single" w:sz="8" w:space="0" w:color="BFBFBF"/>
            </w:tcBorders>
            <w:vAlign w:val="center"/>
          </w:tcPr>
          <w:p w14:paraId="1ED525E8"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tcPr>
          <w:p w14:paraId="721BFDCF" w14:textId="77777777" w:rsidR="007A7CB7" w:rsidRPr="00352375" w:rsidRDefault="007A7CB7" w:rsidP="00666E06">
            <w:pPr>
              <w:rPr>
                <w:rFonts w:cs="Arial"/>
                <w:sz w:val="20"/>
                <w:szCs w:val="20"/>
                <w:lang w:val="en-US"/>
              </w:rPr>
            </w:pPr>
          </w:p>
        </w:tc>
        <w:tc>
          <w:tcPr>
            <w:tcW w:w="2308" w:type="dxa"/>
            <w:tcBorders>
              <w:top w:val="single" w:sz="8" w:space="0" w:color="BFBFBF"/>
              <w:left w:val="single" w:sz="8" w:space="0" w:color="BFBFBF"/>
              <w:bottom w:val="single" w:sz="8" w:space="0" w:color="BFBFBF"/>
              <w:right w:val="single" w:sz="8" w:space="0" w:color="BFBFBF"/>
            </w:tcBorders>
          </w:tcPr>
          <w:p w14:paraId="71C38FBC" w14:textId="449B2CD1" w:rsidR="007A7CB7" w:rsidRPr="00352375" w:rsidRDefault="007A7CB7" w:rsidP="00666E06">
            <w:pPr>
              <w:rPr>
                <w:rFonts w:cs="Arial"/>
                <w:sz w:val="20"/>
                <w:szCs w:val="20"/>
                <w:lang w:val="en-US"/>
              </w:rPr>
            </w:pPr>
            <w:r w:rsidRPr="00352375">
              <w:rPr>
                <w:rFonts w:cs="Arial"/>
                <w:sz w:val="20"/>
                <w:szCs w:val="20"/>
                <w:lang w:val="en-US"/>
              </w:rPr>
              <w:t>Where practical, lifts to remain continuously operational.</w:t>
            </w:r>
          </w:p>
          <w:p w14:paraId="36E4E7CF" w14:textId="5B1033F2" w:rsidR="007A7CB7" w:rsidRPr="00352375" w:rsidRDefault="007A7CB7" w:rsidP="00666E06">
            <w:pPr>
              <w:rPr>
                <w:rFonts w:cs="Arial"/>
                <w:sz w:val="20"/>
                <w:szCs w:val="20"/>
              </w:rPr>
            </w:pPr>
            <w:r w:rsidRPr="00352375">
              <w:rPr>
                <w:rFonts w:cs="Arial"/>
                <w:sz w:val="20"/>
                <w:szCs w:val="20"/>
                <w:lang w:val="en-US"/>
              </w:rPr>
              <w:t>Where seismic triggers applied, lift reset function to be available within minutes or hours via priority response agreement with lift supplier.</w:t>
            </w:r>
          </w:p>
        </w:tc>
        <w:tc>
          <w:tcPr>
            <w:tcW w:w="4111" w:type="dxa"/>
            <w:gridSpan w:val="2"/>
            <w:tcBorders>
              <w:top w:val="single" w:sz="8" w:space="0" w:color="BFBFBF"/>
              <w:left w:val="single" w:sz="8" w:space="0" w:color="BFBFBF"/>
              <w:bottom w:val="single" w:sz="8" w:space="0" w:color="BFBFBF"/>
              <w:right w:val="single" w:sz="8" w:space="0" w:color="BFBFBF"/>
            </w:tcBorders>
          </w:tcPr>
          <w:p w14:paraId="069DC28D" w14:textId="66C436F2" w:rsidR="007A7CB7" w:rsidRPr="00352375" w:rsidRDefault="007A7CB7" w:rsidP="00666E06">
            <w:pPr>
              <w:rPr>
                <w:rFonts w:cs="Arial"/>
                <w:sz w:val="20"/>
                <w:szCs w:val="20"/>
                <w:lang w:val="en-US"/>
              </w:rPr>
            </w:pPr>
            <w:r w:rsidRPr="00352375">
              <w:rPr>
                <w:rFonts w:cs="Arial"/>
                <w:sz w:val="20"/>
                <w:szCs w:val="20"/>
                <w:lang w:val="en-US"/>
              </w:rPr>
              <w:t>Lift reset function to be available within hours via priority response agreement with lift supplier</w:t>
            </w:r>
            <w:r w:rsidR="00A43953" w:rsidRPr="00352375">
              <w:rPr>
                <w:rFonts w:cs="Arial"/>
                <w:sz w:val="20"/>
                <w:szCs w:val="20"/>
                <w:lang w:val="en-US"/>
              </w:rPr>
              <w:t xml:space="preserve">. </w:t>
            </w:r>
          </w:p>
        </w:tc>
        <w:tc>
          <w:tcPr>
            <w:tcW w:w="2552" w:type="dxa"/>
            <w:tcBorders>
              <w:top w:val="single" w:sz="8" w:space="0" w:color="BFBFBF"/>
              <w:left w:val="single" w:sz="8" w:space="0" w:color="BFBFBF"/>
              <w:bottom w:val="single" w:sz="8" w:space="0" w:color="BFBFBF"/>
              <w:right w:val="nil"/>
            </w:tcBorders>
          </w:tcPr>
          <w:p w14:paraId="6D3D403C" w14:textId="77777777" w:rsidR="007A7CB7" w:rsidRPr="00352375" w:rsidRDefault="007A7CB7" w:rsidP="00666E06">
            <w:pPr>
              <w:rPr>
                <w:rFonts w:cs="Arial"/>
                <w:sz w:val="20"/>
                <w:szCs w:val="20"/>
                <w:lang w:val="en-US"/>
              </w:rPr>
            </w:pPr>
          </w:p>
        </w:tc>
      </w:tr>
      <w:tr w:rsidR="007A7CB7" w:rsidRPr="00352375" w14:paraId="067358B4" w14:textId="77777777" w:rsidTr="00D4195D">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0FEC48B0" w14:textId="7D4AFE85" w:rsidR="007A7CB7" w:rsidRPr="00352375" w:rsidRDefault="007A7CB7" w:rsidP="00666E06">
            <w:pPr>
              <w:rPr>
                <w:rFonts w:eastAsia="Arial" w:cs="Arial"/>
                <w:sz w:val="20"/>
                <w:szCs w:val="20"/>
              </w:rPr>
            </w:pPr>
            <w:r w:rsidRPr="00352375">
              <w:rPr>
                <w:rFonts w:cs="Arial"/>
                <w:sz w:val="20"/>
                <w:szCs w:val="20"/>
              </w:rPr>
              <w:t>Fire Protection</w:t>
            </w:r>
          </w:p>
          <w:p w14:paraId="5078D503" w14:textId="7FB0DD66"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6C8B4BFC" w14:textId="7EF077C5" w:rsidR="007A7CB7" w:rsidRPr="00352375" w:rsidRDefault="007A7CB7" w:rsidP="00666E06">
            <w:pPr>
              <w:rPr>
                <w:rFonts w:cs="Arial"/>
                <w:sz w:val="20"/>
                <w:szCs w:val="20"/>
              </w:rPr>
            </w:pPr>
            <w:r w:rsidRPr="00352375">
              <w:rPr>
                <w:rFonts w:cs="Arial"/>
                <w:sz w:val="20"/>
                <w:szCs w:val="20"/>
              </w:rPr>
              <w:t>Fire sprinkler systems</w:t>
            </w:r>
          </w:p>
        </w:tc>
        <w:tc>
          <w:tcPr>
            <w:tcW w:w="4435" w:type="dxa"/>
            <w:gridSpan w:val="2"/>
            <w:tcBorders>
              <w:top w:val="single" w:sz="8" w:space="0" w:color="BFBFBF"/>
              <w:left w:val="single" w:sz="8" w:space="0" w:color="BFBFBF"/>
              <w:bottom w:val="single" w:sz="8" w:space="0" w:color="BFBFBF"/>
              <w:right w:val="single" w:sz="8" w:space="0" w:color="BFBFBF"/>
            </w:tcBorders>
          </w:tcPr>
          <w:p w14:paraId="3585524F" w14:textId="6F6DB0F3" w:rsidR="007A7CB7" w:rsidRPr="00352375" w:rsidRDefault="007A7CB7" w:rsidP="00666E06">
            <w:pPr>
              <w:rPr>
                <w:rFonts w:cs="Arial"/>
                <w:sz w:val="20"/>
                <w:szCs w:val="20"/>
              </w:rPr>
            </w:pPr>
            <w:r w:rsidRPr="00352375">
              <w:rPr>
                <w:rFonts w:cs="Arial"/>
                <w:sz w:val="20"/>
                <w:szCs w:val="20"/>
              </w:rPr>
              <w:t>Supply to return to function within minutes or hours (preference for continuous function if feasible).</w:t>
            </w:r>
          </w:p>
          <w:p w14:paraId="0332E1E2" w14:textId="13876DB0" w:rsidR="007A7CB7" w:rsidRPr="00352375" w:rsidRDefault="007A7CB7" w:rsidP="00666E06">
            <w:pPr>
              <w:rPr>
                <w:rFonts w:cs="Arial"/>
                <w:sz w:val="20"/>
                <w:szCs w:val="20"/>
              </w:rPr>
            </w:pPr>
            <w:r w:rsidRPr="00352375">
              <w:rPr>
                <w:rFonts w:cs="Arial"/>
                <w:sz w:val="20"/>
                <w:szCs w:val="20"/>
              </w:rPr>
              <w:t>Containment</w:t>
            </w:r>
            <w:r w:rsidR="009D02C9" w:rsidRPr="00352375">
              <w:rPr>
                <w:rFonts w:cs="Arial"/>
                <w:sz w:val="20"/>
                <w:szCs w:val="20"/>
              </w:rPr>
              <w:t xml:space="preserve"> </w:t>
            </w:r>
            <w:r w:rsidR="009D02C9" w:rsidRPr="00352375">
              <w:rPr>
                <w:rFonts w:cs="Arial"/>
                <w:sz w:val="20"/>
                <w:szCs w:val="20"/>
                <w:vertAlign w:val="superscript"/>
              </w:rPr>
              <w:t>(</w:t>
            </w:r>
            <w:r w:rsidR="00C964C1">
              <w:rPr>
                <w:rFonts w:cs="Arial"/>
                <w:sz w:val="20"/>
                <w:szCs w:val="20"/>
                <w:vertAlign w:val="superscript"/>
              </w:rPr>
              <w:fldChar w:fldCharType="begin"/>
            </w:r>
            <w:r w:rsidR="00C964C1">
              <w:rPr>
                <w:rFonts w:cs="Arial"/>
                <w:sz w:val="20"/>
                <w:szCs w:val="20"/>
                <w:vertAlign w:val="superscript"/>
              </w:rPr>
              <w:instrText xml:space="preserve"> REF Footnote_1_page_67 \h </w:instrText>
            </w:r>
            <w:r w:rsidR="00C964C1">
              <w:rPr>
                <w:rFonts w:cs="Arial"/>
                <w:sz w:val="20"/>
                <w:szCs w:val="20"/>
                <w:vertAlign w:val="superscript"/>
              </w:rPr>
            </w:r>
            <w:r w:rsidR="00C964C1">
              <w:rPr>
                <w:rFonts w:cs="Arial"/>
                <w:sz w:val="20"/>
                <w:szCs w:val="20"/>
                <w:vertAlign w:val="superscript"/>
              </w:rPr>
              <w:fldChar w:fldCharType="separate"/>
            </w:r>
            <w:r w:rsidR="000761C1">
              <w:rPr>
                <w:rStyle w:val="FootnoteReference"/>
              </w:rPr>
              <w:footnoteRef/>
            </w:r>
            <w:r w:rsidR="00C964C1">
              <w:rPr>
                <w:rFonts w:cs="Arial"/>
                <w:sz w:val="20"/>
                <w:szCs w:val="20"/>
                <w:vertAlign w:val="superscript"/>
              </w:rPr>
              <w:fldChar w:fldCharType="end"/>
            </w:r>
            <w:r w:rsidR="009D02C9" w:rsidRPr="00352375">
              <w:rPr>
                <w:rFonts w:cs="Arial"/>
                <w:sz w:val="20"/>
                <w:szCs w:val="20"/>
                <w:vertAlign w:val="superscript"/>
              </w:rPr>
              <w:t>)</w:t>
            </w:r>
            <w:r w:rsidR="009D02C9" w:rsidRPr="00352375">
              <w:rPr>
                <w:rFonts w:cs="Arial"/>
                <w:sz w:val="20"/>
                <w:szCs w:val="20"/>
              </w:rPr>
              <w:t xml:space="preserve"> </w:t>
            </w:r>
            <w:r w:rsidRPr="00352375">
              <w:rPr>
                <w:rFonts w:cs="Arial"/>
                <w:sz w:val="20"/>
                <w:szCs w:val="20"/>
              </w:rPr>
              <w:t>(avoiding rupture of tanks or piping, and avoiding sprinkler action as a result of earthquake shaking) to be maintained (to avoid disruption).</w:t>
            </w:r>
          </w:p>
        </w:tc>
        <w:tc>
          <w:tcPr>
            <w:tcW w:w="1984" w:type="dxa"/>
            <w:tcBorders>
              <w:top w:val="single" w:sz="8" w:space="0" w:color="BFBFBF"/>
              <w:left w:val="single" w:sz="8" w:space="0" w:color="BFBFBF"/>
              <w:bottom w:val="single" w:sz="8" w:space="0" w:color="BFBFBF"/>
              <w:right w:val="single" w:sz="8" w:space="0" w:color="BFBFBF"/>
            </w:tcBorders>
          </w:tcPr>
          <w:p w14:paraId="1BA1CDDA" w14:textId="3ECD01AA" w:rsidR="007A7CB7" w:rsidRPr="00352375" w:rsidRDefault="007A7CB7" w:rsidP="00666E06">
            <w:pPr>
              <w:rPr>
                <w:rFonts w:cs="Arial"/>
                <w:sz w:val="20"/>
                <w:szCs w:val="20"/>
              </w:rPr>
            </w:pPr>
            <w:r w:rsidRPr="00352375">
              <w:rPr>
                <w:rFonts w:cs="Arial"/>
                <w:sz w:val="20"/>
                <w:szCs w:val="20"/>
              </w:rPr>
              <w:t>Supply to return to function within days or weeks. Preference for continuous function where practical.</w:t>
            </w:r>
          </w:p>
          <w:p w14:paraId="6FDF8C5D" w14:textId="2B0724D9" w:rsidR="007A7CB7" w:rsidRPr="00352375" w:rsidRDefault="007A7CB7" w:rsidP="00666E06">
            <w:pPr>
              <w:rPr>
                <w:rFonts w:cs="Arial"/>
                <w:sz w:val="20"/>
                <w:szCs w:val="20"/>
              </w:rPr>
            </w:pPr>
            <w:r w:rsidRPr="00352375">
              <w:rPr>
                <w:rFonts w:cs="Arial"/>
                <w:sz w:val="20"/>
                <w:szCs w:val="20"/>
              </w:rPr>
              <w:t>Containment to be maintained (to avoid disruption).</w:t>
            </w:r>
          </w:p>
        </w:tc>
        <w:tc>
          <w:tcPr>
            <w:tcW w:w="2552" w:type="dxa"/>
            <w:tcBorders>
              <w:top w:val="single" w:sz="8" w:space="0" w:color="BFBFBF"/>
              <w:left w:val="single" w:sz="8" w:space="0" w:color="BFBFBF"/>
              <w:bottom w:val="single" w:sz="8" w:space="0" w:color="BFBFBF"/>
              <w:right w:val="nil"/>
            </w:tcBorders>
          </w:tcPr>
          <w:p w14:paraId="0D119C47" w14:textId="4C1D6868" w:rsidR="007A7CB7" w:rsidRPr="00352375" w:rsidRDefault="007A7CB7" w:rsidP="00666E06">
            <w:pPr>
              <w:rPr>
                <w:rFonts w:cs="Arial"/>
                <w:sz w:val="20"/>
                <w:szCs w:val="20"/>
              </w:rPr>
            </w:pPr>
            <w:r w:rsidRPr="00352375">
              <w:rPr>
                <w:rFonts w:cs="Arial"/>
                <w:sz w:val="20"/>
                <w:szCs w:val="20"/>
              </w:rPr>
              <w:t>Containment to be maintained (to avoid disproportionate damage).</w:t>
            </w:r>
          </w:p>
        </w:tc>
      </w:tr>
      <w:tr w:rsidR="007A7CB7" w:rsidRPr="00352375" w14:paraId="4ABDFBE9"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65263D1D"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1FE91837" w14:textId="5645ADCD" w:rsidR="007A7CB7" w:rsidRPr="00352375" w:rsidRDefault="007A7CB7" w:rsidP="00666E06">
            <w:pPr>
              <w:rPr>
                <w:rFonts w:cs="Arial"/>
                <w:sz w:val="20"/>
                <w:szCs w:val="20"/>
              </w:rPr>
            </w:pPr>
            <w:r w:rsidRPr="00352375">
              <w:rPr>
                <w:rFonts w:cs="Arial"/>
                <w:sz w:val="20"/>
                <w:szCs w:val="20"/>
              </w:rPr>
              <w:t>Fire and smoke separations</w:t>
            </w:r>
          </w:p>
        </w:tc>
        <w:tc>
          <w:tcPr>
            <w:tcW w:w="8971" w:type="dxa"/>
            <w:gridSpan w:val="4"/>
            <w:tcBorders>
              <w:top w:val="single" w:sz="8" w:space="0" w:color="BFBFBF"/>
              <w:left w:val="single" w:sz="8" w:space="0" w:color="BFBFBF"/>
              <w:bottom w:val="single" w:sz="8" w:space="0" w:color="BFBFBF"/>
              <w:right w:val="nil"/>
            </w:tcBorders>
          </w:tcPr>
          <w:p w14:paraId="2D34D1C0" w14:textId="3E1D8523" w:rsidR="007A7CB7" w:rsidRPr="00352375" w:rsidRDefault="007A7CB7" w:rsidP="00666E06">
            <w:pPr>
              <w:rPr>
                <w:rFonts w:cs="Arial"/>
                <w:sz w:val="20"/>
                <w:szCs w:val="20"/>
              </w:rPr>
            </w:pPr>
            <w:r w:rsidRPr="00352375">
              <w:rPr>
                <w:rFonts w:cs="Arial"/>
                <w:sz w:val="20"/>
                <w:szCs w:val="20"/>
              </w:rPr>
              <w:t xml:space="preserve">Damage limited to that which can maintain </w:t>
            </w:r>
            <w:r w:rsidRPr="00352375">
              <w:rPr>
                <w:rFonts w:cs="Arial"/>
                <w:i/>
                <w:iCs/>
                <w:sz w:val="20"/>
                <w:szCs w:val="20"/>
              </w:rPr>
              <w:t>reasonably adequate</w:t>
            </w:r>
            <w:r w:rsidRPr="00352375">
              <w:rPr>
                <w:rFonts w:cs="Arial"/>
                <w:sz w:val="20"/>
                <w:szCs w:val="20"/>
              </w:rPr>
              <w:t xml:space="preserve"> passive fire resistance. This means that the level of assurance in the performance of fire safety systems can be reduced compared with newly installed compliant/tested systems. However, there should be reasonable </w:t>
            </w:r>
            <w:r w:rsidRPr="00352375">
              <w:rPr>
                <w:rFonts w:cs="Arial"/>
                <w:sz w:val="20"/>
                <w:szCs w:val="20"/>
              </w:rPr>
              <w:lastRenderedPageBreak/>
              <w:t xml:space="preserve">confidence in the </w:t>
            </w:r>
            <w:r w:rsidRPr="00352375">
              <w:rPr>
                <w:rFonts w:cs="Arial"/>
                <w:i/>
                <w:iCs/>
                <w:sz w:val="20"/>
                <w:szCs w:val="20"/>
              </w:rPr>
              <w:t>expected</w:t>
            </w:r>
            <w:r w:rsidRPr="00352375">
              <w:rPr>
                <w:rFonts w:cs="Arial"/>
                <w:sz w:val="20"/>
                <w:szCs w:val="20"/>
              </w:rPr>
              <w:t xml:space="preserve"> performance of safety systems to provide basic protection in the event of a credible fire scenario—in conjunction with practical enhanced management strategies.</w:t>
            </w:r>
            <w:r w:rsidRPr="00352375">
              <w:rPr>
                <w:rStyle w:val="FootnoteReference"/>
                <w:rFonts w:eastAsia="Calibri" w:cs="Arial"/>
                <w:sz w:val="20"/>
                <w:szCs w:val="20"/>
              </w:rPr>
              <w:footnoteReference w:id="24"/>
            </w:r>
          </w:p>
          <w:p w14:paraId="7FBECE7C" w14:textId="253E9077" w:rsidR="007A7CB7" w:rsidRPr="00352375" w:rsidRDefault="007A7CB7" w:rsidP="00666E06">
            <w:pPr>
              <w:rPr>
                <w:rFonts w:cs="Arial"/>
                <w:sz w:val="20"/>
                <w:szCs w:val="20"/>
              </w:rPr>
            </w:pPr>
            <w:r w:rsidRPr="00352375">
              <w:rPr>
                <w:rFonts w:cs="Arial"/>
                <w:sz w:val="20"/>
                <w:szCs w:val="20"/>
              </w:rPr>
              <w:t xml:space="preserve">This will need to deliver the required level of functional continuity (as defined in the Outcome Objectives and Building Performance Goals) until repairs can be carried out as part of a return to Normal Operations. This is indicated graphically in Section </w:t>
            </w:r>
            <w:r w:rsidRPr="00352375">
              <w:rPr>
                <w:rFonts w:cs="Arial"/>
                <w:sz w:val="20"/>
                <w:szCs w:val="20"/>
              </w:rPr>
              <w:fldChar w:fldCharType="begin"/>
            </w:r>
            <w:r w:rsidRPr="00352375">
              <w:rPr>
                <w:rFonts w:cs="Arial"/>
                <w:sz w:val="20"/>
                <w:szCs w:val="20"/>
              </w:rPr>
              <w:instrText xml:space="preserve"> REF _Ref150413409 \r \h  \* MERGEFORMAT </w:instrText>
            </w:r>
            <w:r w:rsidRPr="00352375">
              <w:rPr>
                <w:rFonts w:cs="Arial"/>
                <w:sz w:val="20"/>
                <w:szCs w:val="20"/>
              </w:rPr>
            </w:r>
            <w:r w:rsidRPr="00352375">
              <w:rPr>
                <w:rFonts w:cs="Arial"/>
                <w:sz w:val="20"/>
                <w:szCs w:val="20"/>
              </w:rPr>
              <w:fldChar w:fldCharType="separate"/>
            </w:r>
            <w:r w:rsidR="000761C1">
              <w:rPr>
                <w:rFonts w:cs="Arial"/>
                <w:sz w:val="20"/>
                <w:szCs w:val="20"/>
              </w:rPr>
              <w:t>B2.2</w:t>
            </w:r>
            <w:r w:rsidRPr="00352375">
              <w:rPr>
                <w:rFonts w:cs="Arial"/>
                <w:sz w:val="20"/>
                <w:szCs w:val="20"/>
              </w:rPr>
              <w:fldChar w:fldCharType="end"/>
            </w:r>
            <w:r w:rsidRPr="00352375">
              <w:rPr>
                <w:rFonts w:cs="Arial"/>
                <w:sz w:val="20"/>
                <w:szCs w:val="20"/>
              </w:rPr>
              <w:t xml:space="preserve">, </w:t>
            </w:r>
            <w:r w:rsidRPr="00352375">
              <w:rPr>
                <w:rFonts w:cs="Arial"/>
                <w:sz w:val="20"/>
                <w:szCs w:val="20"/>
              </w:rPr>
              <w:fldChar w:fldCharType="begin"/>
            </w:r>
            <w:r w:rsidRPr="00352375">
              <w:rPr>
                <w:rFonts w:cs="Arial"/>
                <w:sz w:val="20"/>
                <w:szCs w:val="20"/>
              </w:rPr>
              <w:instrText xml:space="preserve"> REF _Ref151968348 \h  \* MERGEFORMAT </w:instrText>
            </w:r>
            <w:r w:rsidRPr="00352375">
              <w:rPr>
                <w:rFonts w:cs="Arial"/>
                <w:sz w:val="20"/>
                <w:szCs w:val="20"/>
              </w:rPr>
            </w:r>
            <w:r w:rsidRPr="00352375">
              <w:rPr>
                <w:rFonts w:cs="Arial"/>
                <w:sz w:val="20"/>
                <w:szCs w:val="20"/>
              </w:rPr>
              <w:fldChar w:fldCharType="separate"/>
            </w:r>
            <w:r w:rsidR="00CB671B" w:rsidRPr="00CB671B">
              <w:rPr>
                <w:rFonts w:cs="Arial"/>
                <w:sz w:val="20"/>
                <w:szCs w:val="20"/>
              </w:rPr>
              <w:t>Figure 6</w:t>
            </w:r>
            <w:r w:rsidRPr="00352375">
              <w:rPr>
                <w:rFonts w:cs="Arial"/>
                <w:sz w:val="20"/>
                <w:szCs w:val="20"/>
              </w:rPr>
              <w:fldChar w:fldCharType="end"/>
            </w:r>
            <w:r w:rsidRPr="00352375">
              <w:rPr>
                <w:rFonts w:cs="Arial"/>
                <w:sz w:val="20"/>
                <w:szCs w:val="20"/>
              </w:rPr>
              <w:t>.</w:t>
            </w:r>
          </w:p>
          <w:p w14:paraId="242EBB6A" w14:textId="2AC3919A" w:rsidR="007A7CB7" w:rsidRPr="00352375" w:rsidRDefault="007A7CB7" w:rsidP="00666E06">
            <w:pPr>
              <w:rPr>
                <w:rFonts w:cs="Arial"/>
                <w:sz w:val="20"/>
                <w:szCs w:val="20"/>
              </w:rPr>
            </w:pPr>
            <w:r w:rsidRPr="00352375">
              <w:rPr>
                <w:rFonts w:cs="Arial"/>
                <w:sz w:val="20"/>
                <w:szCs w:val="20"/>
              </w:rPr>
              <w:t>Refer also to Fitout Elements—Partitions section.</w:t>
            </w:r>
          </w:p>
        </w:tc>
      </w:tr>
      <w:tr w:rsidR="007A7CB7" w:rsidRPr="00352375" w14:paraId="6390312C"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32AF1E4D"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tcPr>
          <w:p w14:paraId="032A4B50" w14:textId="77777777" w:rsidR="007A7CB7" w:rsidRPr="00352375" w:rsidRDefault="007A7CB7" w:rsidP="00666E06">
            <w:pPr>
              <w:rPr>
                <w:rFonts w:cs="Arial"/>
                <w:sz w:val="20"/>
                <w:szCs w:val="20"/>
              </w:rPr>
            </w:pPr>
          </w:p>
        </w:tc>
        <w:tc>
          <w:tcPr>
            <w:tcW w:w="4435" w:type="dxa"/>
            <w:gridSpan w:val="2"/>
            <w:tcBorders>
              <w:top w:val="single" w:sz="8" w:space="0" w:color="BFBFBF"/>
              <w:left w:val="single" w:sz="8" w:space="0" w:color="BFBFBF"/>
              <w:bottom w:val="single" w:sz="8" w:space="0" w:color="BFBFBF"/>
              <w:right w:val="single" w:sz="8" w:space="0" w:color="BFBFBF"/>
            </w:tcBorders>
          </w:tcPr>
          <w:p w14:paraId="6E6CC573" w14:textId="41E51D92" w:rsidR="007A7CB7" w:rsidRPr="00352375" w:rsidRDefault="007A7CB7" w:rsidP="00666E06">
            <w:pPr>
              <w:rPr>
                <w:rFonts w:cs="Arial"/>
                <w:sz w:val="20"/>
                <w:szCs w:val="20"/>
              </w:rPr>
            </w:pPr>
            <w:r w:rsidRPr="00352375">
              <w:rPr>
                <w:rFonts w:cs="Arial"/>
                <w:sz w:val="20"/>
                <w:szCs w:val="20"/>
              </w:rPr>
              <w:t>Return to normal operations within weeks to months, depending on the severity of the risk compromise.</w:t>
            </w:r>
          </w:p>
        </w:tc>
        <w:tc>
          <w:tcPr>
            <w:tcW w:w="4536" w:type="dxa"/>
            <w:gridSpan w:val="2"/>
            <w:tcBorders>
              <w:top w:val="single" w:sz="8" w:space="0" w:color="BFBFBF"/>
              <w:left w:val="single" w:sz="8" w:space="0" w:color="BFBFBF"/>
              <w:bottom w:val="single" w:sz="8" w:space="0" w:color="BFBFBF"/>
              <w:right w:val="nil"/>
            </w:tcBorders>
          </w:tcPr>
          <w:p w14:paraId="481187B6" w14:textId="47AE003F" w:rsidR="007A7CB7" w:rsidRPr="00352375" w:rsidRDefault="007A7CB7" w:rsidP="00666E06">
            <w:pPr>
              <w:rPr>
                <w:rFonts w:cs="Arial"/>
                <w:sz w:val="20"/>
                <w:szCs w:val="20"/>
              </w:rPr>
            </w:pPr>
            <w:r w:rsidRPr="00352375">
              <w:rPr>
                <w:rFonts w:cs="Arial"/>
                <w:sz w:val="20"/>
                <w:szCs w:val="20"/>
              </w:rPr>
              <w:t>Return to normal operations within weeks to months, depending on the severity of the risk compromise.</w:t>
            </w:r>
          </w:p>
        </w:tc>
      </w:tr>
      <w:tr w:rsidR="007A7CB7" w:rsidRPr="00352375" w14:paraId="71EFCCC6" w14:textId="6ADDB997" w:rsidTr="00D4195D">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515B7FC9" w14:textId="07F63CAE" w:rsidR="007A7CB7" w:rsidRPr="00352375" w:rsidRDefault="007A7CB7" w:rsidP="00666E06">
            <w:pPr>
              <w:rPr>
                <w:rFonts w:eastAsia="Arial" w:cs="Arial"/>
                <w:sz w:val="20"/>
                <w:szCs w:val="20"/>
              </w:rPr>
            </w:pPr>
            <w:r w:rsidRPr="00352375">
              <w:rPr>
                <w:rFonts w:cs="Arial"/>
                <w:sz w:val="20"/>
                <w:szCs w:val="20"/>
              </w:rPr>
              <w:t>Fitout Elements</w:t>
            </w:r>
          </w:p>
          <w:p w14:paraId="26E4C27F" w14:textId="5EF9D432"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158DF039" w14:textId="0E274DF0" w:rsidR="007A7CB7" w:rsidRPr="00352375" w:rsidRDefault="007A7CB7" w:rsidP="00666E06">
            <w:pPr>
              <w:rPr>
                <w:rFonts w:cs="Arial"/>
                <w:sz w:val="20"/>
                <w:szCs w:val="20"/>
              </w:rPr>
            </w:pPr>
            <w:r w:rsidRPr="00352375">
              <w:rPr>
                <w:rFonts w:cs="Arial"/>
                <w:sz w:val="20"/>
                <w:szCs w:val="20"/>
              </w:rPr>
              <w:t>Ceilings</w:t>
            </w:r>
          </w:p>
        </w:tc>
        <w:tc>
          <w:tcPr>
            <w:tcW w:w="6419" w:type="dxa"/>
            <w:gridSpan w:val="3"/>
            <w:tcBorders>
              <w:top w:val="single" w:sz="8" w:space="0" w:color="BFBFBF"/>
              <w:left w:val="single" w:sz="8" w:space="0" w:color="BFBFBF"/>
              <w:bottom w:val="single" w:sz="8" w:space="0" w:color="BFBFBF"/>
              <w:right w:val="single" w:sz="8" w:space="0" w:color="BFBFBF"/>
            </w:tcBorders>
          </w:tcPr>
          <w:p w14:paraId="450ADEA6" w14:textId="087D74F4" w:rsidR="007A7CB7" w:rsidRPr="00352375" w:rsidRDefault="007A7CB7" w:rsidP="00666E06">
            <w:pPr>
              <w:rPr>
                <w:rFonts w:cs="Arial"/>
                <w:sz w:val="20"/>
                <w:szCs w:val="20"/>
              </w:rPr>
            </w:pPr>
            <w:r w:rsidRPr="00352375">
              <w:rPr>
                <w:rFonts w:cs="Arial"/>
                <w:sz w:val="20"/>
                <w:szCs w:val="20"/>
              </w:rPr>
              <w:t xml:space="preserve">No ceiling system collapses. </w:t>
            </w:r>
          </w:p>
          <w:p w14:paraId="3843B79A" w14:textId="13B0F129" w:rsidR="007A7CB7" w:rsidRPr="00352375" w:rsidRDefault="007A7CB7" w:rsidP="00666E06">
            <w:pPr>
              <w:rPr>
                <w:rFonts w:cs="Arial"/>
                <w:sz w:val="20"/>
                <w:szCs w:val="20"/>
              </w:rPr>
            </w:pPr>
            <w:r w:rsidRPr="00352375">
              <w:rPr>
                <w:rFonts w:cs="Arial"/>
                <w:sz w:val="20"/>
                <w:szCs w:val="20"/>
              </w:rPr>
              <w:t>Sporadic local loss of lightweight ceiling tiles—limited to tiles without fittings</w:t>
            </w:r>
            <w:bookmarkStart w:id="177" w:name="_Ref152331381"/>
            <w:r w:rsidRPr="00352375">
              <w:rPr>
                <w:rStyle w:val="FootnoteReference"/>
                <w:rFonts w:eastAsia="Calibri" w:cs="Arial"/>
                <w:sz w:val="20"/>
                <w:szCs w:val="20"/>
              </w:rPr>
              <w:footnoteReference w:id="25"/>
            </w:r>
            <w:bookmarkEnd w:id="177"/>
            <w:r w:rsidRPr="00352375">
              <w:rPr>
                <w:rFonts w:cs="Arial"/>
                <w:sz w:val="20"/>
                <w:szCs w:val="20"/>
              </w:rPr>
              <w:t>. No loss of plasterboard or sheet linings. No loss of ventilation grilles and lights.</w:t>
            </w:r>
          </w:p>
        </w:tc>
        <w:tc>
          <w:tcPr>
            <w:tcW w:w="2552" w:type="dxa"/>
            <w:tcBorders>
              <w:top w:val="single" w:sz="8" w:space="0" w:color="BFBFBF"/>
              <w:left w:val="single" w:sz="8" w:space="0" w:color="BFBFBF"/>
              <w:bottom w:val="single" w:sz="8" w:space="0" w:color="BFBFBF"/>
              <w:right w:val="nil"/>
            </w:tcBorders>
          </w:tcPr>
          <w:p w14:paraId="5A344EE5" w14:textId="77777777" w:rsidR="007A7CB7" w:rsidRPr="00352375" w:rsidRDefault="007A7CB7" w:rsidP="00666E06">
            <w:pPr>
              <w:rPr>
                <w:rFonts w:cs="Arial"/>
                <w:sz w:val="20"/>
                <w:szCs w:val="20"/>
              </w:rPr>
            </w:pPr>
            <w:r w:rsidRPr="00352375">
              <w:rPr>
                <w:rFonts w:cs="Arial"/>
                <w:sz w:val="20"/>
                <w:szCs w:val="20"/>
              </w:rPr>
              <w:t xml:space="preserve">No ceiling system collapses. </w:t>
            </w:r>
          </w:p>
          <w:p w14:paraId="5725C127" w14:textId="3C1314AE" w:rsidR="007A7CB7" w:rsidRPr="00352375" w:rsidRDefault="007A7CB7" w:rsidP="00666E06">
            <w:pPr>
              <w:rPr>
                <w:rFonts w:cs="Arial"/>
                <w:sz w:val="20"/>
                <w:szCs w:val="20"/>
              </w:rPr>
            </w:pPr>
            <w:r w:rsidRPr="00352375">
              <w:rPr>
                <w:rFonts w:cs="Arial"/>
                <w:sz w:val="20"/>
                <w:szCs w:val="20"/>
              </w:rPr>
              <w:t>Some local loss of lightweight ceiling tiles—limited to tiles without sprinklers</w:t>
            </w:r>
            <w:r w:rsidRPr="00352375">
              <w:rPr>
                <w:rFonts w:cs="Arial"/>
                <w:sz w:val="20"/>
                <w:szCs w:val="20"/>
                <w:vertAlign w:val="superscript"/>
              </w:rPr>
              <w:fldChar w:fldCharType="begin"/>
            </w:r>
            <w:r w:rsidRPr="00352375">
              <w:rPr>
                <w:rFonts w:cs="Arial"/>
                <w:sz w:val="20"/>
                <w:szCs w:val="20"/>
                <w:vertAlign w:val="superscript"/>
              </w:rPr>
              <w:instrText xml:space="preserve"> NOTEREF _Ref152331381 \h  \* MERGEFORMAT </w:instrText>
            </w:r>
            <w:r w:rsidRPr="00352375">
              <w:rPr>
                <w:rFonts w:cs="Arial"/>
                <w:sz w:val="20"/>
                <w:szCs w:val="20"/>
                <w:vertAlign w:val="superscript"/>
              </w:rPr>
            </w:r>
            <w:r w:rsidRPr="00352375">
              <w:rPr>
                <w:rFonts w:cs="Arial"/>
                <w:sz w:val="20"/>
                <w:szCs w:val="20"/>
                <w:vertAlign w:val="superscript"/>
              </w:rPr>
              <w:fldChar w:fldCharType="separate"/>
            </w:r>
            <w:r w:rsidR="000761C1">
              <w:rPr>
                <w:rFonts w:cs="Arial"/>
                <w:sz w:val="20"/>
                <w:szCs w:val="20"/>
                <w:vertAlign w:val="superscript"/>
              </w:rPr>
              <w:t>2</w:t>
            </w:r>
            <w:r w:rsidRPr="00352375">
              <w:rPr>
                <w:rFonts w:cs="Arial"/>
                <w:sz w:val="20"/>
                <w:szCs w:val="20"/>
                <w:vertAlign w:val="superscript"/>
              </w:rPr>
              <w:fldChar w:fldCharType="end"/>
            </w:r>
            <w:r w:rsidRPr="00352375">
              <w:rPr>
                <w:rFonts w:cs="Arial"/>
                <w:sz w:val="20"/>
                <w:szCs w:val="20"/>
              </w:rPr>
              <w:t>. No loss of plasterboard or sheet linings, some damage acceptable.</w:t>
            </w:r>
          </w:p>
        </w:tc>
      </w:tr>
      <w:tr w:rsidR="007A7CB7" w:rsidRPr="00352375" w14:paraId="62BB5831" w14:textId="77777777"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07D08A61"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vAlign w:val="center"/>
          </w:tcPr>
          <w:p w14:paraId="665958CB" w14:textId="77777777" w:rsidR="007A7CB7" w:rsidRPr="00352375" w:rsidRDefault="007A7CB7" w:rsidP="00666E06">
            <w:pPr>
              <w:rPr>
                <w:rFonts w:cs="Arial"/>
                <w:sz w:val="20"/>
                <w:szCs w:val="20"/>
              </w:rPr>
            </w:pPr>
          </w:p>
        </w:tc>
        <w:tc>
          <w:tcPr>
            <w:tcW w:w="8971" w:type="dxa"/>
            <w:gridSpan w:val="4"/>
            <w:tcBorders>
              <w:top w:val="single" w:sz="8" w:space="0" w:color="BFBFBF"/>
              <w:left w:val="single" w:sz="8" w:space="0" w:color="BFBFBF"/>
              <w:bottom w:val="single" w:sz="8" w:space="0" w:color="BFBFBF"/>
              <w:right w:val="nil"/>
            </w:tcBorders>
            <w:shd w:val="clear" w:color="auto" w:fill="D1EFF2" w:themeFill="background2" w:themeFillTint="33"/>
          </w:tcPr>
          <w:p w14:paraId="0CB04E5F" w14:textId="065D5FEA" w:rsidR="007A7CB7" w:rsidRPr="00352375" w:rsidRDefault="007A7CB7" w:rsidP="00666E06">
            <w:pPr>
              <w:rPr>
                <w:rFonts w:cs="Arial"/>
                <w:color w:val="15284C" w:themeColor="text1"/>
                <w:sz w:val="20"/>
                <w:szCs w:val="20"/>
              </w:rPr>
            </w:pPr>
            <w:r w:rsidRPr="00352375">
              <w:rPr>
                <w:rFonts w:cs="Arial"/>
                <w:b/>
                <w:bCs/>
                <w:color w:val="15284C" w:themeColor="text1"/>
                <w:sz w:val="20"/>
                <w:szCs w:val="20"/>
              </w:rPr>
              <w:t>ULS Requirement:</w:t>
            </w:r>
            <w:r w:rsidRPr="00352375">
              <w:rPr>
                <w:rFonts w:cs="Arial"/>
                <w:color w:val="15284C" w:themeColor="text1"/>
                <w:sz w:val="20"/>
                <w:szCs w:val="20"/>
              </w:rPr>
              <w:t xml:space="preserve"> No ceiling system collapses. Heavy in ceiling services remain support/tethered.</w:t>
            </w:r>
          </w:p>
        </w:tc>
      </w:tr>
      <w:tr w:rsidR="007A7CB7" w:rsidRPr="00352375" w14:paraId="028212ED"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6F999AEF"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52C55DB3" w14:textId="60E33E74" w:rsidR="007A7CB7" w:rsidRPr="00352375" w:rsidRDefault="007A7CB7" w:rsidP="00666E06">
            <w:pPr>
              <w:rPr>
                <w:rFonts w:cs="Arial"/>
                <w:sz w:val="20"/>
                <w:szCs w:val="20"/>
              </w:rPr>
            </w:pPr>
            <w:r w:rsidRPr="00352375">
              <w:rPr>
                <w:rFonts w:cs="Arial"/>
                <w:sz w:val="20"/>
                <w:szCs w:val="20"/>
              </w:rPr>
              <w:t>Lighting</w:t>
            </w:r>
          </w:p>
        </w:tc>
        <w:tc>
          <w:tcPr>
            <w:tcW w:w="2308" w:type="dxa"/>
            <w:tcBorders>
              <w:top w:val="single" w:sz="8" w:space="0" w:color="BFBFBF"/>
              <w:left w:val="single" w:sz="8" w:space="0" w:color="BFBFBF"/>
              <w:bottom w:val="single" w:sz="8" w:space="0" w:color="BFBFBF"/>
              <w:right w:val="single" w:sz="8" w:space="0" w:color="BFBFBF"/>
            </w:tcBorders>
          </w:tcPr>
          <w:p w14:paraId="20FCE005" w14:textId="1E9191E3" w:rsidR="007A7CB7" w:rsidRPr="00352375" w:rsidRDefault="007A7CB7" w:rsidP="00666E06">
            <w:pPr>
              <w:rPr>
                <w:rFonts w:cs="Arial"/>
                <w:sz w:val="20"/>
                <w:szCs w:val="20"/>
              </w:rPr>
            </w:pPr>
            <w:r w:rsidRPr="00352375">
              <w:rPr>
                <w:rFonts w:cs="Arial"/>
                <w:sz w:val="20"/>
                <w:szCs w:val="20"/>
              </w:rPr>
              <w:t>Supply to continue to function continuously</w:t>
            </w:r>
            <w:r w:rsidR="00A43953" w:rsidRPr="00352375">
              <w:rPr>
                <w:rFonts w:cs="Arial"/>
                <w:sz w:val="20"/>
                <w:szCs w:val="20"/>
              </w:rPr>
              <w:t xml:space="preserve">. </w:t>
            </w:r>
          </w:p>
        </w:tc>
        <w:tc>
          <w:tcPr>
            <w:tcW w:w="2127" w:type="dxa"/>
            <w:tcBorders>
              <w:top w:val="single" w:sz="8" w:space="0" w:color="BFBFBF"/>
              <w:left w:val="single" w:sz="8" w:space="0" w:color="BFBFBF"/>
              <w:bottom w:val="single" w:sz="8" w:space="0" w:color="BFBFBF"/>
              <w:right w:val="single" w:sz="8" w:space="0" w:color="BFBFBF"/>
            </w:tcBorders>
          </w:tcPr>
          <w:p w14:paraId="2B73AD6A" w14:textId="77777777" w:rsidR="007A7CB7" w:rsidRPr="00352375" w:rsidRDefault="007A7CB7" w:rsidP="00666E06">
            <w:pPr>
              <w:rPr>
                <w:rFonts w:cs="Arial"/>
                <w:sz w:val="20"/>
                <w:szCs w:val="20"/>
              </w:rPr>
            </w:pPr>
            <w:r w:rsidRPr="00352375">
              <w:rPr>
                <w:rFonts w:cs="Arial"/>
                <w:sz w:val="20"/>
                <w:szCs w:val="20"/>
              </w:rPr>
              <w:t xml:space="preserve">Supply to return to function within minutes or hours. </w:t>
            </w:r>
          </w:p>
          <w:p w14:paraId="21705BBB" w14:textId="30759F79" w:rsidR="007A7CB7" w:rsidRPr="00352375" w:rsidRDefault="007A7CB7" w:rsidP="00666E06">
            <w:pPr>
              <w:rPr>
                <w:rFonts w:cs="Arial"/>
                <w:sz w:val="20"/>
                <w:szCs w:val="20"/>
              </w:rPr>
            </w:pPr>
            <w:r w:rsidRPr="00352375">
              <w:rPr>
                <w:rFonts w:cs="Arial"/>
                <w:sz w:val="20"/>
                <w:szCs w:val="20"/>
              </w:rPr>
              <w:lastRenderedPageBreak/>
              <w:t>Preference for continuous function where practical</w:t>
            </w:r>
          </w:p>
        </w:tc>
        <w:tc>
          <w:tcPr>
            <w:tcW w:w="1984" w:type="dxa"/>
            <w:tcBorders>
              <w:top w:val="single" w:sz="8" w:space="0" w:color="BFBFBF"/>
              <w:left w:val="single" w:sz="8" w:space="0" w:color="BFBFBF"/>
              <w:bottom w:val="single" w:sz="8" w:space="0" w:color="BFBFBF"/>
              <w:right w:val="single" w:sz="8" w:space="0" w:color="BFBFBF"/>
            </w:tcBorders>
          </w:tcPr>
          <w:p w14:paraId="759CC5A4" w14:textId="4AE975C5" w:rsidR="007A7CB7" w:rsidRPr="00352375" w:rsidRDefault="007A7CB7" w:rsidP="00666E06">
            <w:pPr>
              <w:rPr>
                <w:rFonts w:cs="Arial"/>
                <w:sz w:val="20"/>
                <w:szCs w:val="20"/>
              </w:rPr>
            </w:pPr>
            <w:r w:rsidRPr="00352375">
              <w:rPr>
                <w:rFonts w:cs="Arial"/>
                <w:sz w:val="20"/>
                <w:szCs w:val="20"/>
              </w:rPr>
              <w:lastRenderedPageBreak/>
              <w:t xml:space="preserve">Supply to return to function within days or weeks. </w:t>
            </w:r>
          </w:p>
          <w:p w14:paraId="513C58F6" w14:textId="1A572635" w:rsidR="007A7CB7" w:rsidRPr="00352375" w:rsidRDefault="007A7CB7" w:rsidP="00666E06">
            <w:pPr>
              <w:rPr>
                <w:rFonts w:cs="Arial"/>
                <w:sz w:val="20"/>
                <w:szCs w:val="20"/>
              </w:rPr>
            </w:pPr>
            <w:r w:rsidRPr="00352375">
              <w:rPr>
                <w:rFonts w:cs="Arial"/>
                <w:sz w:val="20"/>
                <w:szCs w:val="20"/>
              </w:rPr>
              <w:lastRenderedPageBreak/>
              <w:t>Preference for continuous function where practical</w:t>
            </w:r>
          </w:p>
        </w:tc>
        <w:tc>
          <w:tcPr>
            <w:tcW w:w="2552" w:type="dxa"/>
            <w:tcBorders>
              <w:top w:val="single" w:sz="8" w:space="0" w:color="BFBFBF"/>
              <w:left w:val="single" w:sz="8" w:space="0" w:color="BFBFBF"/>
              <w:bottom w:val="single" w:sz="8" w:space="0" w:color="BFBFBF"/>
              <w:right w:val="nil"/>
            </w:tcBorders>
          </w:tcPr>
          <w:p w14:paraId="711634D4" w14:textId="51D0C5AD" w:rsidR="007A7CB7" w:rsidRPr="00352375" w:rsidRDefault="007A7CB7" w:rsidP="00666E06">
            <w:pPr>
              <w:rPr>
                <w:rFonts w:cs="Arial"/>
                <w:sz w:val="20"/>
                <w:szCs w:val="20"/>
              </w:rPr>
            </w:pPr>
            <w:r w:rsidRPr="00352375">
              <w:rPr>
                <w:rFonts w:cs="Arial"/>
                <w:sz w:val="20"/>
                <w:szCs w:val="20"/>
              </w:rPr>
              <w:lastRenderedPageBreak/>
              <w:t>Minimal physical damage to plant and equipment.</w:t>
            </w:r>
          </w:p>
        </w:tc>
      </w:tr>
      <w:tr w:rsidR="007A7CB7" w:rsidRPr="00352375" w14:paraId="058C0734"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2C8BC504"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0D99E54E" w14:textId="65C823B6" w:rsidR="007A7CB7" w:rsidRPr="00352375" w:rsidRDefault="007A7CB7" w:rsidP="00666E06">
            <w:pPr>
              <w:rPr>
                <w:rFonts w:cs="Arial"/>
                <w:sz w:val="20"/>
                <w:szCs w:val="20"/>
              </w:rPr>
            </w:pPr>
            <w:r w:rsidRPr="00352375">
              <w:rPr>
                <w:rFonts w:cs="Arial"/>
                <w:sz w:val="20"/>
                <w:szCs w:val="20"/>
              </w:rPr>
              <w:t>Emergency Lighting</w:t>
            </w:r>
          </w:p>
        </w:tc>
        <w:tc>
          <w:tcPr>
            <w:tcW w:w="8971" w:type="dxa"/>
            <w:gridSpan w:val="4"/>
            <w:tcBorders>
              <w:top w:val="single" w:sz="8" w:space="0" w:color="BFBFBF"/>
              <w:left w:val="single" w:sz="8" w:space="0" w:color="BFBFBF"/>
              <w:bottom w:val="single" w:sz="8" w:space="0" w:color="BFBFBF"/>
              <w:right w:val="nil"/>
            </w:tcBorders>
          </w:tcPr>
          <w:p w14:paraId="7E79194D" w14:textId="167D75F6" w:rsidR="007A7CB7" w:rsidRPr="00352375" w:rsidRDefault="007A7CB7" w:rsidP="00666E06">
            <w:pPr>
              <w:rPr>
                <w:rFonts w:cs="Arial"/>
                <w:sz w:val="20"/>
                <w:szCs w:val="20"/>
              </w:rPr>
            </w:pPr>
            <w:r w:rsidRPr="00352375">
              <w:rPr>
                <w:rFonts w:cs="Arial"/>
                <w:sz w:val="20"/>
                <w:szCs w:val="20"/>
              </w:rPr>
              <w:t>Emergency lighting to provide continuous functionality in accordance with NZBC F6/F8.</w:t>
            </w:r>
          </w:p>
        </w:tc>
      </w:tr>
      <w:tr w:rsidR="007A7CB7" w:rsidRPr="00352375" w14:paraId="1458CE59" w14:textId="77777777"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4ADBB558"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vAlign w:val="center"/>
          </w:tcPr>
          <w:p w14:paraId="69C8DD76" w14:textId="77777777" w:rsidR="007A7CB7" w:rsidRPr="00352375" w:rsidRDefault="007A7CB7" w:rsidP="00666E06">
            <w:pPr>
              <w:rPr>
                <w:rFonts w:cs="Arial"/>
                <w:sz w:val="20"/>
                <w:szCs w:val="20"/>
              </w:rPr>
            </w:pPr>
          </w:p>
        </w:tc>
        <w:tc>
          <w:tcPr>
            <w:tcW w:w="8971" w:type="dxa"/>
            <w:gridSpan w:val="4"/>
            <w:tcBorders>
              <w:top w:val="single" w:sz="8" w:space="0" w:color="BFBFBF"/>
              <w:left w:val="single" w:sz="8" w:space="0" w:color="BFBFBF"/>
              <w:bottom w:val="single" w:sz="8" w:space="0" w:color="BFBFBF"/>
              <w:right w:val="nil"/>
            </w:tcBorders>
            <w:shd w:val="clear" w:color="auto" w:fill="D1EFF2" w:themeFill="background2" w:themeFillTint="33"/>
          </w:tcPr>
          <w:p w14:paraId="62ACA592" w14:textId="33261DE4" w:rsidR="007A7CB7" w:rsidRPr="00352375" w:rsidRDefault="007A7CB7" w:rsidP="00666E06">
            <w:pPr>
              <w:rPr>
                <w:rFonts w:cs="Arial"/>
                <w:color w:val="15284C" w:themeColor="text1"/>
                <w:sz w:val="20"/>
                <w:szCs w:val="20"/>
              </w:rPr>
            </w:pPr>
            <w:r w:rsidRPr="00352375">
              <w:rPr>
                <w:rFonts w:cs="Arial"/>
                <w:b/>
                <w:bCs/>
                <w:color w:val="15284C" w:themeColor="text1"/>
                <w:sz w:val="20"/>
                <w:szCs w:val="20"/>
              </w:rPr>
              <w:t>ULS Requirement</w:t>
            </w:r>
            <w:r w:rsidRPr="00352375">
              <w:rPr>
                <w:rFonts w:cs="Arial"/>
                <w:color w:val="15284C" w:themeColor="text1"/>
                <w:sz w:val="20"/>
                <w:szCs w:val="20"/>
              </w:rPr>
              <w:t>: Emergency lighting should have some means of functioning for an appropriate period of time following ULS design levels of shaking—allowing safe egress (can exclude egress signage itself, provided wayfinding generally visible).</w:t>
            </w:r>
          </w:p>
        </w:tc>
      </w:tr>
      <w:tr w:rsidR="007A7CB7" w:rsidRPr="00352375" w14:paraId="2730C6E1"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73A3AFD0"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vAlign w:val="center"/>
          </w:tcPr>
          <w:p w14:paraId="34741724" w14:textId="5FF003D9" w:rsidR="007A7CB7" w:rsidRPr="00352375" w:rsidRDefault="007A7CB7" w:rsidP="00666E06">
            <w:pPr>
              <w:rPr>
                <w:rFonts w:cs="Arial"/>
                <w:sz w:val="20"/>
                <w:szCs w:val="20"/>
              </w:rPr>
            </w:pPr>
            <w:r w:rsidRPr="00352375">
              <w:rPr>
                <w:rFonts w:cs="Arial"/>
                <w:sz w:val="20"/>
                <w:szCs w:val="20"/>
              </w:rPr>
              <w:t>Partitions (general</w:t>
            </w:r>
            <w:r w:rsidR="007A5C7C" w:rsidRPr="00352375">
              <w:rPr>
                <w:rFonts w:cs="Arial"/>
                <w:sz w:val="20"/>
                <w:szCs w:val="20"/>
              </w:rPr>
              <w:t>, including adjacent egress</w:t>
            </w:r>
            <w:r w:rsidR="00EB6189" w:rsidRPr="00352375">
              <w:rPr>
                <w:rFonts w:cs="Arial"/>
                <w:sz w:val="20"/>
                <w:szCs w:val="20"/>
              </w:rPr>
              <w:t xml:space="preserve"> paths</w:t>
            </w:r>
            <w:r w:rsidRPr="00352375">
              <w:rPr>
                <w:rFonts w:cs="Arial"/>
                <w:sz w:val="20"/>
                <w:szCs w:val="20"/>
              </w:rPr>
              <w:t>)</w:t>
            </w:r>
          </w:p>
        </w:tc>
        <w:tc>
          <w:tcPr>
            <w:tcW w:w="8971" w:type="dxa"/>
            <w:gridSpan w:val="4"/>
            <w:tcBorders>
              <w:top w:val="single" w:sz="8" w:space="0" w:color="BFBFBF"/>
              <w:left w:val="single" w:sz="8" w:space="0" w:color="BFBFBF"/>
              <w:bottom w:val="single" w:sz="8" w:space="0" w:color="BFBFBF"/>
              <w:right w:val="nil"/>
            </w:tcBorders>
          </w:tcPr>
          <w:p w14:paraId="28422413" w14:textId="6E1A694C" w:rsidR="007A7CB7" w:rsidRPr="00352375" w:rsidRDefault="007A7CB7" w:rsidP="00666E06">
            <w:pPr>
              <w:rPr>
                <w:rFonts w:cs="Arial"/>
                <w:sz w:val="20"/>
                <w:szCs w:val="20"/>
                <w:lang w:val="en-US"/>
              </w:rPr>
            </w:pPr>
            <w:r w:rsidRPr="00352375">
              <w:rPr>
                <w:rFonts w:cs="Arial"/>
                <w:sz w:val="20"/>
                <w:szCs w:val="20"/>
                <w:lang w:val="en-US"/>
              </w:rPr>
              <w:t>Damage locali</w:t>
            </w:r>
            <w:r w:rsidR="009F46D6" w:rsidRPr="00352375">
              <w:rPr>
                <w:rFonts w:cs="Arial"/>
                <w:sz w:val="20"/>
                <w:szCs w:val="20"/>
                <w:lang w:val="en-US"/>
              </w:rPr>
              <w:t>s</w:t>
            </w:r>
            <w:r w:rsidRPr="00352375">
              <w:rPr>
                <w:rFonts w:cs="Arial"/>
                <w:sz w:val="20"/>
                <w:szCs w:val="20"/>
                <w:lang w:val="en-US"/>
              </w:rPr>
              <w:t>ed, easily repairable and not impacting basic function.</w:t>
            </w:r>
          </w:p>
          <w:p w14:paraId="0C6EAEFE" w14:textId="77777777" w:rsidR="007A7CB7" w:rsidRPr="00352375" w:rsidRDefault="007A7CB7" w:rsidP="00666E06">
            <w:pPr>
              <w:rPr>
                <w:rFonts w:cs="Arial"/>
                <w:sz w:val="20"/>
                <w:szCs w:val="20"/>
              </w:rPr>
            </w:pPr>
            <w:r w:rsidRPr="00352375">
              <w:rPr>
                <w:rFonts w:cs="Arial"/>
                <w:sz w:val="20"/>
                <w:szCs w:val="20"/>
              </w:rPr>
              <w:t>Localised means not all walls should require repair, with most of the damage located around non-standard or stiff wall intersections or areas which are less practical to design for movement tolerance (i.e., the exception rather than the rule).</w:t>
            </w:r>
          </w:p>
          <w:p w14:paraId="33EEBAC9" w14:textId="40B63D09" w:rsidR="007A7CB7" w:rsidRPr="00352375" w:rsidRDefault="007A7CB7" w:rsidP="00666E06">
            <w:pPr>
              <w:rPr>
                <w:rFonts w:cs="Arial"/>
                <w:sz w:val="20"/>
                <w:szCs w:val="20"/>
              </w:rPr>
            </w:pPr>
            <w:r w:rsidRPr="00352375">
              <w:rPr>
                <w:rFonts w:cs="Arial"/>
                <w:sz w:val="20"/>
                <w:szCs w:val="20"/>
                <w:lang w:val="en-US"/>
              </w:rPr>
              <w:t>Easily repairable means mainly limited to cracking in plaster and paint along panel edges, isolated pull through or popping of fasteners. Repair should be predominantly sealant and/or plaster and paint. Repair may require some refixing in a handful of areas but sheet replacement should not be required.</w:t>
            </w:r>
            <w:r w:rsidRPr="00352375">
              <w:rPr>
                <w:rStyle w:val="FootnoteReference"/>
                <w:rFonts w:eastAsia="Calibri" w:cs="Arial"/>
                <w:sz w:val="20"/>
                <w:szCs w:val="20"/>
                <w:lang w:val="en-US"/>
              </w:rPr>
              <w:footnoteReference w:id="26"/>
            </w:r>
          </w:p>
        </w:tc>
      </w:tr>
      <w:tr w:rsidR="007A7CB7" w:rsidRPr="00352375" w14:paraId="507E2586" w14:textId="77777777"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2F282FD7"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tcPr>
          <w:p w14:paraId="33C01F7A" w14:textId="77777777" w:rsidR="007A7CB7" w:rsidRPr="00352375" w:rsidRDefault="007A7CB7" w:rsidP="00666E06">
            <w:pPr>
              <w:rPr>
                <w:rFonts w:cs="Arial"/>
                <w:sz w:val="20"/>
                <w:szCs w:val="20"/>
              </w:rPr>
            </w:pPr>
          </w:p>
        </w:tc>
        <w:tc>
          <w:tcPr>
            <w:tcW w:w="8971" w:type="dxa"/>
            <w:gridSpan w:val="4"/>
            <w:tcBorders>
              <w:top w:val="single" w:sz="8" w:space="0" w:color="BFBFBF"/>
              <w:left w:val="single" w:sz="8" w:space="0" w:color="BFBFBF"/>
              <w:bottom w:val="single" w:sz="8" w:space="0" w:color="BFBFBF"/>
              <w:right w:val="nil"/>
            </w:tcBorders>
            <w:shd w:val="clear" w:color="auto" w:fill="D1EFF2" w:themeFill="background2" w:themeFillTint="33"/>
          </w:tcPr>
          <w:p w14:paraId="2B7206DD" w14:textId="67A9E76D" w:rsidR="007A7CB7" w:rsidRPr="00352375" w:rsidRDefault="007A7CB7" w:rsidP="00666E06">
            <w:pPr>
              <w:rPr>
                <w:rFonts w:cs="Arial"/>
                <w:color w:val="15284C" w:themeColor="text1"/>
                <w:sz w:val="20"/>
                <w:szCs w:val="20"/>
                <w:lang w:val="en-US"/>
              </w:rPr>
            </w:pPr>
            <w:r w:rsidRPr="00352375">
              <w:rPr>
                <w:rFonts w:cs="Arial"/>
                <w:b/>
                <w:bCs/>
                <w:color w:val="15284C" w:themeColor="text1"/>
                <w:sz w:val="20"/>
                <w:szCs w:val="20"/>
              </w:rPr>
              <w:t>ULS Requirement</w:t>
            </w:r>
            <w:r w:rsidRPr="00352375">
              <w:rPr>
                <w:rFonts w:cs="Arial"/>
                <w:color w:val="15284C" w:themeColor="text1"/>
                <w:sz w:val="20"/>
                <w:szCs w:val="20"/>
              </w:rPr>
              <w:t xml:space="preserve">: Doors to </w:t>
            </w:r>
            <w:r w:rsidR="005F5EF5" w:rsidRPr="00352375">
              <w:rPr>
                <w:rFonts w:cs="Arial"/>
                <w:color w:val="15284C" w:themeColor="text1"/>
                <w:sz w:val="20"/>
                <w:szCs w:val="20"/>
              </w:rPr>
              <w:t xml:space="preserve">primary </w:t>
            </w:r>
            <w:r w:rsidRPr="00352375">
              <w:rPr>
                <w:rFonts w:cs="Arial"/>
                <w:color w:val="15284C" w:themeColor="text1"/>
                <w:sz w:val="20"/>
                <w:szCs w:val="20"/>
              </w:rPr>
              <w:t xml:space="preserve">egress routes can be opened. They are not required to be freely operable but must be able to be opened by </w:t>
            </w:r>
            <w:r w:rsidR="002A6B6E" w:rsidRPr="00352375">
              <w:rPr>
                <w:rFonts w:cs="Arial"/>
                <w:color w:val="15284C" w:themeColor="text1"/>
                <w:sz w:val="20"/>
                <w:szCs w:val="20"/>
              </w:rPr>
              <w:t>able</w:t>
            </w:r>
            <w:r w:rsidRPr="00352375">
              <w:rPr>
                <w:rFonts w:cs="Arial"/>
                <w:color w:val="15284C" w:themeColor="text1"/>
                <w:sz w:val="20"/>
                <w:szCs w:val="20"/>
              </w:rPr>
              <w:t xml:space="preserve"> persons manually.</w:t>
            </w:r>
            <w:r w:rsidR="00EB6189" w:rsidRPr="00352375">
              <w:rPr>
                <w:rFonts w:cs="Arial"/>
                <w:color w:val="15284C" w:themeColor="text1"/>
                <w:sz w:val="20"/>
                <w:szCs w:val="20"/>
              </w:rPr>
              <w:t xml:space="preserve"> No collapse of partition</w:t>
            </w:r>
            <w:r w:rsidR="00E3372C" w:rsidRPr="00352375">
              <w:rPr>
                <w:rFonts w:cs="Arial"/>
                <w:color w:val="15284C" w:themeColor="text1"/>
                <w:sz w:val="20"/>
                <w:szCs w:val="20"/>
              </w:rPr>
              <w:t xml:space="preserve"> systems</w:t>
            </w:r>
            <w:r w:rsidR="00EB6189" w:rsidRPr="00352375">
              <w:rPr>
                <w:rFonts w:cs="Arial"/>
                <w:color w:val="15284C" w:themeColor="text1"/>
                <w:sz w:val="20"/>
                <w:szCs w:val="20"/>
              </w:rPr>
              <w:t xml:space="preserve"> adjacent egress paths</w:t>
            </w:r>
            <w:r w:rsidR="0087452B" w:rsidRPr="00352375">
              <w:rPr>
                <w:rFonts w:cs="Arial"/>
                <w:color w:val="15284C" w:themeColor="text1"/>
                <w:sz w:val="20"/>
                <w:szCs w:val="20"/>
              </w:rPr>
              <w:t xml:space="preserve"> (NZS 1170.5</w:t>
            </w:r>
            <w:r w:rsidR="008D1876" w:rsidRPr="00352375">
              <w:rPr>
                <w:rFonts w:cs="Arial"/>
                <w:color w:val="15284C" w:themeColor="text1"/>
                <w:sz w:val="20"/>
                <w:szCs w:val="20"/>
              </w:rPr>
              <w:t xml:space="preserve"> </w:t>
            </w:r>
            <w:r w:rsidR="0087452B" w:rsidRPr="00352375">
              <w:rPr>
                <w:rFonts w:cs="Arial"/>
                <w:color w:val="15284C" w:themeColor="text1"/>
                <w:sz w:val="20"/>
                <w:szCs w:val="20"/>
              </w:rPr>
              <w:t xml:space="preserve">Part </w:t>
            </w:r>
            <w:r w:rsidR="008D1876" w:rsidRPr="00352375">
              <w:rPr>
                <w:rFonts w:cs="Arial"/>
                <w:color w:val="15284C" w:themeColor="text1"/>
                <w:sz w:val="20"/>
                <w:szCs w:val="20"/>
              </w:rPr>
              <w:t>C</w:t>
            </w:r>
            <w:r w:rsidR="0087452B" w:rsidRPr="00352375">
              <w:rPr>
                <w:rFonts w:cs="Arial"/>
                <w:color w:val="15284C" w:themeColor="text1"/>
                <w:sz w:val="20"/>
                <w:szCs w:val="20"/>
              </w:rPr>
              <w:t>ategory P.4)</w:t>
            </w:r>
            <w:r w:rsidR="00E3372C" w:rsidRPr="00352375">
              <w:rPr>
                <w:rFonts w:cs="Arial"/>
                <w:color w:val="15284C" w:themeColor="text1"/>
                <w:sz w:val="20"/>
                <w:szCs w:val="20"/>
              </w:rPr>
              <w:t>, but significant damage tolerable.</w:t>
            </w:r>
          </w:p>
        </w:tc>
      </w:tr>
      <w:tr w:rsidR="007A7CB7" w:rsidRPr="00352375" w14:paraId="00E4FF09"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65120336"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vAlign w:val="center"/>
          </w:tcPr>
          <w:p w14:paraId="7F1222FA" w14:textId="3815FE5F" w:rsidR="007A7CB7" w:rsidRPr="00352375" w:rsidRDefault="007A7CB7" w:rsidP="00666E06">
            <w:pPr>
              <w:rPr>
                <w:rFonts w:cs="Arial"/>
                <w:sz w:val="20"/>
                <w:szCs w:val="20"/>
              </w:rPr>
            </w:pPr>
            <w:r w:rsidRPr="00352375">
              <w:rPr>
                <w:rFonts w:cs="Arial"/>
                <w:sz w:val="20"/>
                <w:szCs w:val="20"/>
              </w:rPr>
              <w:t xml:space="preserve">Partitions in wet areas and partitions providing radiation </w:t>
            </w:r>
            <w:r w:rsidR="004B374E" w:rsidRPr="00352375">
              <w:rPr>
                <w:rFonts w:cs="Arial"/>
                <w:sz w:val="20"/>
                <w:szCs w:val="20"/>
              </w:rPr>
              <w:t>or RF shielding.</w:t>
            </w:r>
          </w:p>
        </w:tc>
        <w:tc>
          <w:tcPr>
            <w:tcW w:w="8971" w:type="dxa"/>
            <w:gridSpan w:val="4"/>
            <w:tcBorders>
              <w:top w:val="single" w:sz="8" w:space="0" w:color="BFBFBF"/>
              <w:left w:val="single" w:sz="8" w:space="0" w:color="BFBFBF"/>
              <w:bottom w:val="single" w:sz="8" w:space="0" w:color="BFBFBF"/>
              <w:right w:val="nil"/>
            </w:tcBorders>
          </w:tcPr>
          <w:p w14:paraId="3A6DAA57" w14:textId="41057A1C" w:rsidR="007A7CB7" w:rsidRPr="00352375" w:rsidRDefault="00475C5E" w:rsidP="00666E06">
            <w:pPr>
              <w:rPr>
                <w:rFonts w:cs="Arial"/>
                <w:sz w:val="20"/>
                <w:szCs w:val="20"/>
              </w:rPr>
            </w:pPr>
            <w:r w:rsidRPr="00352375">
              <w:rPr>
                <w:rFonts w:cs="Arial"/>
                <w:sz w:val="20"/>
                <w:szCs w:val="20"/>
              </w:rPr>
              <w:t>Avoid damage to waterproof membranes</w:t>
            </w:r>
            <w:r w:rsidR="00A92ABC" w:rsidRPr="00352375">
              <w:rPr>
                <w:rFonts w:cs="Arial"/>
                <w:sz w:val="20"/>
                <w:szCs w:val="20"/>
              </w:rPr>
              <w:t xml:space="preserve"> behind finishes/linings</w:t>
            </w:r>
            <w:r w:rsidR="00644AC5" w:rsidRPr="00352375">
              <w:rPr>
                <w:rFonts w:cs="Arial"/>
                <w:sz w:val="20"/>
                <w:szCs w:val="20"/>
              </w:rPr>
              <w:t>. Minimal damage to tiles (where applicable)</w:t>
            </w:r>
            <w:r w:rsidR="00AD2DF3" w:rsidRPr="00352375">
              <w:rPr>
                <w:rFonts w:cs="Arial"/>
                <w:sz w:val="20"/>
                <w:szCs w:val="20"/>
              </w:rPr>
              <w:t>.</w:t>
            </w:r>
          </w:p>
          <w:p w14:paraId="75D4D464" w14:textId="1884F785" w:rsidR="0096471D" w:rsidRPr="00352375" w:rsidRDefault="00552BBD" w:rsidP="00666E06">
            <w:pPr>
              <w:rPr>
                <w:rFonts w:cs="Arial"/>
                <w:sz w:val="20"/>
                <w:szCs w:val="20"/>
              </w:rPr>
            </w:pPr>
            <w:r w:rsidRPr="00352375">
              <w:rPr>
                <w:rFonts w:cs="Arial"/>
                <w:sz w:val="20"/>
                <w:szCs w:val="20"/>
              </w:rPr>
              <w:t>Maintain support</w:t>
            </w:r>
            <w:r w:rsidR="004D44A9" w:rsidRPr="00352375">
              <w:rPr>
                <w:rFonts w:cs="Arial"/>
                <w:sz w:val="20"/>
                <w:szCs w:val="20"/>
              </w:rPr>
              <w:t xml:space="preserve"> and </w:t>
            </w:r>
            <w:r w:rsidRPr="00352375">
              <w:rPr>
                <w:rFonts w:cs="Arial"/>
                <w:sz w:val="20"/>
                <w:szCs w:val="20"/>
              </w:rPr>
              <w:t xml:space="preserve">function of </w:t>
            </w:r>
            <w:r w:rsidR="004D44A9" w:rsidRPr="00352375">
              <w:rPr>
                <w:rFonts w:cs="Arial"/>
                <w:sz w:val="20"/>
                <w:szCs w:val="20"/>
              </w:rPr>
              <w:t>shielding.</w:t>
            </w:r>
          </w:p>
        </w:tc>
      </w:tr>
      <w:tr w:rsidR="007A7CB7" w:rsidRPr="00352375" w14:paraId="736A9F86"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0AEC6786" w14:textId="77777777" w:rsidR="007A7CB7" w:rsidRPr="00352375" w:rsidRDefault="007A7CB7" w:rsidP="00666E06">
            <w:pPr>
              <w:rPr>
                <w:rFonts w:cs="Arial"/>
                <w:sz w:val="20"/>
                <w:szCs w:val="20"/>
              </w:rPr>
            </w:pPr>
          </w:p>
        </w:tc>
        <w:tc>
          <w:tcPr>
            <w:tcW w:w="3792" w:type="dxa"/>
            <w:vMerge w:val="restart"/>
            <w:tcBorders>
              <w:top w:val="single" w:sz="8" w:space="0" w:color="BFBFBF"/>
              <w:left w:val="single" w:sz="8" w:space="0" w:color="BFBFBF"/>
              <w:bottom w:val="single" w:sz="8" w:space="0" w:color="BFBFBF"/>
              <w:right w:val="single" w:sz="8" w:space="0" w:color="BFBFBF"/>
            </w:tcBorders>
          </w:tcPr>
          <w:p w14:paraId="3D672833" w14:textId="73812106" w:rsidR="007A7CB7" w:rsidRPr="00352375" w:rsidRDefault="007A7CB7" w:rsidP="00666E06">
            <w:pPr>
              <w:rPr>
                <w:rFonts w:cs="Arial"/>
                <w:sz w:val="20"/>
                <w:szCs w:val="20"/>
              </w:rPr>
            </w:pPr>
            <w:r w:rsidRPr="00352375">
              <w:rPr>
                <w:rFonts w:cs="Arial"/>
                <w:sz w:val="20"/>
                <w:szCs w:val="20"/>
              </w:rPr>
              <w:t>Partitions requiring air tightness for clinical isolation or biocontainment</w:t>
            </w:r>
            <w:r w:rsidR="007D15A2" w:rsidRPr="00352375">
              <w:rPr>
                <w:rFonts w:cs="Arial"/>
                <w:sz w:val="20"/>
                <w:szCs w:val="20"/>
              </w:rPr>
              <w:t xml:space="preserve"> of potentially airborne hazards</w:t>
            </w:r>
            <w:r w:rsidRPr="00352375">
              <w:rPr>
                <w:rFonts w:cs="Arial"/>
                <w:sz w:val="20"/>
                <w:szCs w:val="20"/>
              </w:rPr>
              <w:t>.</w:t>
            </w:r>
          </w:p>
        </w:tc>
        <w:tc>
          <w:tcPr>
            <w:tcW w:w="4435" w:type="dxa"/>
            <w:gridSpan w:val="2"/>
            <w:tcBorders>
              <w:top w:val="single" w:sz="8" w:space="0" w:color="BFBFBF"/>
              <w:left w:val="single" w:sz="8" w:space="0" w:color="BFBFBF"/>
              <w:bottom w:val="single" w:sz="8" w:space="0" w:color="BFBFBF"/>
              <w:right w:val="single" w:sz="8" w:space="0" w:color="BFBFBF"/>
            </w:tcBorders>
          </w:tcPr>
          <w:p w14:paraId="64425074" w14:textId="605C8124" w:rsidR="007A7CB7" w:rsidRPr="00352375" w:rsidRDefault="007A7CB7" w:rsidP="00666E06">
            <w:pPr>
              <w:rPr>
                <w:rFonts w:cs="Arial"/>
                <w:sz w:val="20"/>
                <w:szCs w:val="20"/>
              </w:rPr>
            </w:pPr>
            <w:r w:rsidRPr="00352375">
              <w:rPr>
                <w:rFonts w:cs="Arial"/>
                <w:sz w:val="20"/>
                <w:szCs w:val="20"/>
                <w:lang w:val="en-US"/>
              </w:rPr>
              <w:t>Essentially undamaged where partitions perform an air tightness function for clinical isolation. However, some compromise may be tolerable if this level of protection is impractical.</w:t>
            </w:r>
            <w:r w:rsidRPr="00352375">
              <w:rPr>
                <w:rStyle w:val="FootnoteReference"/>
                <w:rFonts w:eastAsia="Calibri" w:cs="Arial"/>
                <w:sz w:val="20"/>
                <w:szCs w:val="20"/>
                <w:lang w:val="en-US"/>
              </w:rPr>
              <w:footnoteReference w:id="27"/>
            </w:r>
          </w:p>
        </w:tc>
        <w:tc>
          <w:tcPr>
            <w:tcW w:w="1984" w:type="dxa"/>
            <w:vMerge w:val="restart"/>
            <w:tcBorders>
              <w:top w:val="single" w:sz="8" w:space="0" w:color="BFBFBF"/>
              <w:left w:val="single" w:sz="8" w:space="0" w:color="BFBFBF"/>
              <w:bottom w:val="single" w:sz="8" w:space="0" w:color="BFBFBF"/>
              <w:right w:val="single" w:sz="8" w:space="0" w:color="BFBFBF"/>
            </w:tcBorders>
          </w:tcPr>
          <w:p w14:paraId="04A5163E" w14:textId="0A2A5553" w:rsidR="00761B52" w:rsidRPr="00352375" w:rsidRDefault="00B61A95" w:rsidP="00666E06">
            <w:pPr>
              <w:rPr>
                <w:rFonts w:cs="Arial"/>
                <w:sz w:val="20"/>
                <w:szCs w:val="20"/>
                <w:lang w:val="en-US"/>
              </w:rPr>
            </w:pPr>
            <w:r w:rsidRPr="00352375">
              <w:rPr>
                <w:rFonts w:cs="Arial"/>
                <w:sz w:val="20"/>
                <w:szCs w:val="20"/>
                <w:lang w:val="en-US"/>
              </w:rPr>
              <w:t xml:space="preserve">For </w:t>
            </w:r>
            <w:r w:rsidR="0023129F" w:rsidRPr="00352375">
              <w:rPr>
                <w:rFonts w:cs="Arial"/>
                <w:sz w:val="20"/>
                <w:szCs w:val="20"/>
                <w:lang w:val="en-US"/>
              </w:rPr>
              <w:t xml:space="preserve">negative or positive pressure </w:t>
            </w:r>
            <w:r w:rsidR="009971A3" w:rsidRPr="00352375">
              <w:rPr>
                <w:rFonts w:cs="Arial"/>
                <w:sz w:val="20"/>
                <w:szCs w:val="20"/>
                <w:lang w:val="en-US"/>
              </w:rPr>
              <w:t xml:space="preserve">clinical </w:t>
            </w:r>
            <w:r w:rsidR="0023129F" w:rsidRPr="00352375">
              <w:rPr>
                <w:rFonts w:cs="Arial"/>
                <w:sz w:val="20"/>
                <w:szCs w:val="20"/>
                <w:lang w:val="en-US"/>
              </w:rPr>
              <w:t>isolation in low occupancy wards</w:t>
            </w:r>
            <w:r w:rsidR="00590193" w:rsidRPr="00352375">
              <w:rPr>
                <w:rFonts w:cs="Arial"/>
                <w:sz w:val="20"/>
                <w:szCs w:val="20"/>
                <w:lang w:val="en-US"/>
              </w:rPr>
              <w:t xml:space="preserve"> (IL2)</w:t>
            </w:r>
            <w:r w:rsidR="0023129F" w:rsidRPr="00352375">
              <w:rPr>
                <w:rFonts w:cs="Arial"/>
                <w:sz w:val="20"/>
                <w:szCs w:val="20"/>
                <w:lang w:val="en-US"/>
              </w:rPr>
              <w:t>, n</w:t>
            </w:r>
            <w:r w:rsidR="00584151" w:rsidRPr="00352375">
              <w:rPr>
                <w:rFonts w:cs="Arial"/>
                <w:sz w:val="20"/>
                <w:szCs w:val="20"/>
                <w:lang w:val="en-US"/>
              </w:rPr>
              <w:t xml:space="preserve">o </w:t>
            </w:r>
            <w:r w:rsidR="00584151" w:rsidRPr="00352375">
              <w:rPr>
                <w:rFonts w:cs="Arial"/>
                <w:sz w:val="20"/>
                <w:szCs w:val="20"/>
                <w:lang w:val="en-US"/>
              </w:rPr>
              <w:lastRenderedPageBreak/>
              <w:t>speci</w:t>
            </w:r>
            <w:r w:rsidR="006D3D2B" w:rsidRPr="00352375">
              <w:rPr>
                <w:rFonts w:cs="Arial"/>
                <w:sz w:val="20"/>
                <w:szCs w:val="20"/>
                <w:lang w:val="en-US"/>
              </w:rPr>
              <w:t>f</w:t>
            </w:r>
            <w:r w:rsidR="007D15A2" w:rsidRPr="00352375">
              <w:rPr>
                <w:rFonts w:cs="Arial"/>
                <w:sz w:val="20"/>
                <w:szCs w:val="20"/>
                <w:lang w:val="en-US"/>
              </w:rPr>
              <w:t xml:space="preserve">ic </w:t>
            </w:r>
            <w:r w:rsidR="00584151" w:rsidRPr="00352375">
              <w:rPr>
                <w:rFonts w:cs="Arial"/>
                <w:sz w:val="20"/>
                <w:szCs w:val="20"/>
                <w:lang w:val="en-US"/>
              </w:rPr>
              <w:t>requirement</w:t>
            </w:r>
            <w:r w:rsidR="00801B60" w:rsidRPr="00352375">
              <w:rPr>
                <w:rFonts w:cs="Arial"/>
                <w:sz w:val="20"/>
                <w:szCs w:val="20"/>
                <w:lang w:val="en-US"/>
              </w:rPr>
              <w:t>s</w:t>
            </w:r>
            <w:r w:rsidR="00584151" w:rsidRPr="00352375">
              <w:rPr>
                <w:rFonts w:cs="Arial"/>
                <w:sz w:val="20"/>
                <w:szCs w:val="20"/>
                <w:lang w:val="en-US"/>
              </w:rPr>
              <w:t>.</w:t>
            </w:r>
          </w:p>
          <w:p w14:paraId="4B1373D7" w14:textId="66B084C2" w:rsidR="00B61A95" w:rsidRPr="00352375" w:rsidRDefault="001E2A2B" w:rsidP="00666E06">
            <w:pPr>
              <w:rPr>
                <w:rFonts w:cs="Arial"/>
                <w:sz w:val="20"/>
                <w:szCs w:val="20"/>
                <w:lang w:val="en-US"/>
              </w:rPr>
            </w:pPr>
            <w:r w:rsidRPr="00352375">
              <w:rPr>
                <w:rFonts w:cs="Arial"/>
                <w:sz w:val="20"/>
                <w:szCs w:val="20"/>
                <w:lang w:val="en-US"/>
              </w:rPr>
              <w:t xml:space="preserve">Containment of </w:t>
            </w:r>
            <w:r w:rsidR="004E1550" w:rsidRPr="00352375">
              <w:rPr>
                <w:rFonts w:cs="Arial"/>
                <w:sz w:val="20"/>
                <w:szCs w:val="20"/>
                <w:lang w:val="en-US"/>
              </w:rPr>
              <w:t>high-risk biohazard</w:t>
            </w:r>
            <w:r w:rsidR="00590193" w:rsidRPr="00352375">
              <w:rPr>
                <w:rFonts w:cs="Arial"/>
                <w:sz w:val="20"/>
                <w:szCs w:val="20"/>
                <w:lang w:val="en-US"/>
              </w:rPr>
              <w:t xml:space="preserve"> </w:t>
            </w:r>
            <w:r w:rsidR="0023129F" w:rsidRPr="00352375">
              <w:rPr>
                <w:rFonts w:cs="Arial"/>
                <w:sz w:val="20"/>
                <w:szCs w:val="20"/>
                <w:lang w:val="en-US"/>
              </w:rPr>
              <w:t>g</w:t>
            </w:r>
            <w:r w:rsidR="00B61A95" w:rsidRPr="00352375">
              <w:rPr>
                <w:rFonts w:cs="Arial"/>
                <w:sz w:val="20"/>
                <w:szCs w:val="20"/>
                <w:lang w:val="en-US"/>
              </w:rPr>
              <w:t>enerally not recommended.</w:t>
            </w:r>
          </w:p>
        </w:tc>
        <w:tc>
          <w:tcPr>
            <w:tcW w:w="2552" w:type="dxa"/>
            <w:vMerge w:val="restart"/>
            <w:tcBorders>
              <w:top w:val="single" w:sz="8" w:space="0" w:color="BFBFBF"/>
              <w:left w:val="single" w:sz="8" w:space="0" w:color="BFBFBF"/>
              <w:bottom w:val="single" w:sz="8" w:space="0" w:color="BFBFBF"/>
              <w:right w:val="nil"/>
            </w:tcBorders>
          </w:tcPr>
          <w:p w14:paraId="13718D30" w14:textId="3BA10388" w:rsidR="007A7CB7" w:rsidRPr="00352375" w:rsidRDefault="007A7CB7" w:rsidP="00666E06">
            <w:pPr>
              <w:rPr>
                <w:rFonts w:cs="Arial"/>
                <w:sz w:val="20"/>
                <w:szCs w:val="20"/>
              </w:rPr>
            </w:pPr>
            <w:r w:rsidRPr="00352375">
              <w:rPr>
                <w:rFonts w:cs="Arial"/>
                <w:sz w:val="20"/>
                <w:szCs w:val="20"/>
                <w:lang w:val="en-US"/>
              </w:rPr>
              <w:lastRenderedPageBreak/>
              <w:t>Generally not applicable.</w:t>
            </w:r>
          </w:p>
        </w:tc>
      </w:tr>
      <w:tr w:rsidR="007A7CB7" w:rsidRPr="00352375" w14:paraId="5BDF1B83" w14:textId="77777777" w:rsidTr="00620747">
        <w:trPr>
          <w:trHeight w:val="300"/>
        </w:trPr>
        <w:tc>
          <w:tcPr>
            <w:tcW w:w="1833" w:type="dxa"/>
            <w:vMerge/>
            <w:tcBorders>
              <w:top w:val="single" w:sz="8" w:space="0" w:color="BFBFBF"/>
              <w:left w:val="nil"/>
              <w:bottom w:val="single" w:sz="8" w:space="0" w:color="BFBFBF"/>
              <w:right w:val="single" w:sz="8" w:space="0" w:color="BFBFBF"/>
            </w:tcBorders>
            <w:vAlign w:val="center"/>
          </w:tcPr>
          <w:p w14:paraId="21913083" w14:textId="77777777" w:rsidR="007A7CB7" w:rsidRPr="00352375" w:rsidRDefault="007A7CB7" w:rsidP="00666E06">
            <w:pPr>
              <w:rPr>
                <w:rFonts w:cs="Arial"/>
                <w:sz w:val="20"/>
                <w:szCs w:val="20"/>
              </w:rPr>
            </w:pPr>
          </w:p>
        </w:tc>
        <w:tc>
          <w:tcPr>
            <w:tcW w:w="3792" w:type="dxa"/>
            <w:vMerge/>
            <w:tcBorders>
              <w:top w:val="single" w:sz="8" w:space="0" w:color="BFBFBF"/>
              <w:left w:val="single" w:sz="8" w:space="0" w:color="BFBFBF"/>
              <w:bottom w:val="single" w:sz="8" w:space="0" w:color="BFBFBF"/>
              <w:right w:val="single" w:sz="8" w:space="0" w:color="BFBFBF"/>
            </w:tcBorders>
          </w:tcPr>
          <w:p w14:paraId="59FECB82" w14:textId="77777777" w:rsidR="007A7CB7" w:rsidRPr="00352375" w:rsidRDefault="007A7CB7" w:rsidP="00666E06">
            <w:pPr>
              <w:rPr>
                <w:rFonts w:cs="Arial"/>
                <w:sz w:val="20"/>
                <w:szCs w:val="20"/>
              </w:rPr>
            </w:pPr>
          </w:p>
        </w:tc>
        <w:tc>
          <w:tcPr>
            <w:tcW w:w="4435" w:type="dxa"/>
            <w:gridSpan w:val="2"/>
            <w:tcBorders>
              <w:top w:val="single" w:sz="8" w:space="0" w:color="BFBFBF"/>
              <w:left w:val="single" w:sz="8" w:space="0" w:color="BFBFBF"/>
              <w:bottom w:val="single" w:sz="8" w:space="0" w:color="BFBFBF"/>
              <w:right w:val="single" w:sz="8" w:space="0" w:color="BFBFBF"/>
            </w:tcBorders>
            <w:shd w:val="clear" w:color="auto" w:fill="D1EFF2" w:themeFill="background2" w:themeFillTint="33"/>
          </w:tcPr>
          <w:p w14:paraId="7EB166D1" w14:textId="31E4ADBE" w:rsidR="007A7CB7" w:rsidRPr="00352375" w:rsidRDefault="007A7CB7" w:rsidP="00666E06">
            <w:pPr>
              <w:rPr>
                <w:rFonts w:cs="Arial"/>
                <w:color w:val="15284C" w:themeColor="text1"/>
                <w:sz w:val="20"/>
                <w:szCs w:val="20"/>
                <w:lang w:val="en-US"/>
              </w:rPr>
            </w:pPr>
            <w:r w:rsidRPr="00352375">
              <w:rPr>
                <w:rFonts w:cs="Arial"/>
                <w:b/>
                <w:bCs/>
                <w:color w:val="15284C" w:themeColor="text1"/>
                <w:sz w:val="20"/>
                <w:szCs w:val="20"/>
                <w:lang w:val="en-US"/>
              </w:rPr>
              <w:t>ULS Requirement</w:t>
            </w:r>
            <w:r w:rsidRPr="00352375">
              <w:rPr>
                <w:rFonts w:cs="Arial"/>
                <w:color w:val="15284C" w:themeColor="text1"/>
                <w:sz w:val="20"/>
                <w:szCs w:val="20"/>
                <w:lang w:val="en-US"/>
              </w:rPr>
              <w:t>: For biocontainment of hazardous substances that pose a direct threat to life safety or pose a significant public health threat, consider maintaining an appropriate threshold of airtightness at ULS</w:t>
            </w:r>
            <w:r w:rsidR="002D4967" w:rsidRPr="00352375">
              <w:rPr>
                <w:rFonts w:cs="Arial"/>
                <w:color w:val="15284C" w:themeColor="text1"/>
                <w:sz w:val="20"/>
                <w:szCs w:val="20"/>
                <w:lang w:val="en-US"/>
              </w:rPr>
              <w:t>;</w:t>
            </w:r>
            <w:r w:rsidRPr="00352375">
              <w:rPr>
                <w:rFonts w:cs="Arial"/>
                <w:color w:val="15284C" w:themeColor="text1"/>
                <w:sz w:val="20"/>
                <w:szCs w:val="20"/>
                <w:lang w:val="en-US"/>
              </w:rPr>
              <w:t xml:space="preserve"> </w:t>
            </w:r>
            <w:r w:rsidR="002D4967" w:rsidRPr="00352375">
              <w:rPr>
                <w:rFonts w:cs="Arial"/>
                <w:color w:val="15284C" w:themeColor="text1"/>
                <w:sz w:val="20"/>
                <w:szCs w:val="20"/>
                <w:lang w:val="en-US"/>
              </w:rPr>
              <w:t>c</w:t>
            </w:r>
            <w:r w:rsidRPr="00352375">
              <w:rPr>
                <w:rFonts w:cs="Arial"/>
                <w:color w:val="15284C" w:themeColor="text1"/>
                <w:sz w:val="20"/>
                <w:szCs w:val="20"/>
                <w:lang w:val="en-US"/>
              </w:rPr>
              <w:t>onsult with health planning/engineering and clinical staff.</w:t>
            </w:r>
          </w:p>
        </w:tc>
        <w:tc>
          <w:tcPr>
            <w:tcW w:w="1984" w:type="dxa"/>
            <w:vMerge/>
            <w:tcBorders>
              <w:top w:val="single" w:sz="8" w:space="0" w:color="BFBFBF"/>
              <w:left w:val="single" w:sz="8" w:space="0" w:color="BFBFBF"/>
              <w:bottom w:val="single" w:sz="8" w:space="0" w:color="BFBFBF"/>
              <w:right w:val="single" w:sz="8" w:space="0" w:color="BFBFBF"/>
            </w:tcBorders>
          </w:tcPr>
          <w:p w14:paraId="76C24E5E" w14:textId="33AB73F9" w:rsidR="007A7CB7" w:rsidRPr="00352375" w:rsidRDefault="007A7CB7" w:rsidP="00666E06">
            <w:pPr>
              <w:rPr>
                <w:rFonts w:cs="Arial"/>
                <w:sz w:val="20"/>
                <w:szCs w:val="20"/>
                <w:lang w:val="en-US"/>
              </w:rPr>
            </w:pPr>
          </w:p>
        </w:tc>
        <w:tc>
          <w:tcPr>
            <w:tcW w:w="2552" w:type="dxa"/>
            <w:vMerge/>
            <w:tcBorders>
              <w:top w:val="single" w:sz="8" w:space="0" w:color="BFBFBF"/>
              <w:left w:val="single" w:sz="8" w:space="0" w:color="BFBFBF"/>
              <w:bottom w:val="single" w:sz="8" w:space="0" w:color="BFBFBF"/>
              <w:right w:val="nil"/>
            </w:tcBorders>
          </w:tcPr>
          <w:p w14:paraId="17456277" w14:textId="184C54ED" w:rsidR="007A7CB7" w:rsidRPr="00352375" w:rsidRDefault="007A7CB7" w:rsidP="00666E06">
            <w:pPr>
              <w:rPr>
                <w:rFonts w:cs="Arial"/>
                <w:sz w:val="20"/>
                <w:szCs w:val="20"/>
                <w:lang w:val="en-US"/>
              </w:rPr>
            </w:pPr>
          </w:p>
        </w:tc>
      </w:tr>
      <w:tr w:rsidR="007A7CB7" w:rsidRPr="00352375" w14:paraId="79422A0F" w14:textId="77777777" w:rsidTr="00D4195D">
        <w:trPr>
          <w:trHeight w:val="300"/>
        </w:trPr>
        <w:tc>
          <w:tcPr>
            <w:tcW w:w="1833" w:type="dxa"/>
            <w:vMerge w:val="restart"/>
            <w:tcBorders>
              <w:top w:val="single" w:sz="8" w:space="0" w:color="BFBFBF"/>
              <w:left w:val="nil"/>
              <w:bottom w:val="single" w:sz="8" w:space="0" w:color="BFBFBF"/>
              <w:right w:val="single" w:sz="8" w:space="0" w:color="BFBFBF"/>
            </w:tcBorders>
            <w:vAlign w:val="center"/>
          </w:tcPr>
          <w:p w14:paraId="5B12FE20" w14:textId="18574366" w:rsidR="007A7CB7" w:rsidRPr="00352375" w:rsidRDefault="007A7CB7" w:rsidP="00666E06">
            <w:pPr>
              <w:rPr>
                <w:rFonts w:eastAsia="Arial" w:cs="Arial"/>
                <w:sz w:val="20"/>
                <w:szCs w:val="20"/>
              </w:rPr>
            </w:pPr>
            <w:r w:rsidRPr="00352375">
              <w:rPr>
                <w:rFonts w:cs="Arial"/>
                <w:sz w:val="20"/>
                <w:szCs w:val="20"/>
              </w:rPr>
              <w:t>Building Contents</w:t>
            </w:r>
          </w:p>
        </w:tc>
        <w:tc>
          <w:tcPr>
            <w:tcW w:w="3792" w:type="dxa"/>
            <w:tcBorders>
              <w:top w:val="single" w:sz="8" w:space="0" w:color="BFBFBF"/>
              <w:left w:val="single" w:sz="8" w:space="0" w:color="BFBFBF"/>
              <w:bottom w:val="single" w:sz="8" w:space="0" w:color="BFBFBF"/>
              <w:right w:val="single" w:sz="8" w:space="0" w:color="BFBFBF"/>
            </w:tcBorders>
          </w:tcPr>
          <w:p w14:paraId="099C082D" w14:textId="2F460C1F" w:rsidR="007A7CB7" w:rsidRPr="00352375" w:rsidRDefault="007A7CB7" w:rsidP="00666E06">
            <w:pPr>
              <w:rPr>
                <w:rFonts w:cs="Arial"/>
                <w:sz w:val="20"/>
                <w:szCs w:val="20"/>
              </w:rPr>
            </w:pPr>
            <w:r w:rsidRPr="00352375">
              <w:rPr>
                <w:rFonts w:cs="Arial"/>
                <w:sz w:val="20"/>
                <w:szCs w:val="20"/>
              </w:rPr>
              <w:t>Medical equipment directly used in post disaster function (pendants etc)</w:t>
            </w:r>
          </w:p>
        </w:tc>
        <w:tc>
          <w:tcPr>
            <w:tcW w:w="2308" w:type="dxa"/>
            <w:tcBorders>
              <w:top w:val="single" w:sz="8" w:space="0" w:color="BFBFBF"/>
              <w:left w:val="single" w:sz="8" w:space="0" w:color="BFBFBF"/>
              <w:bottom w:val="single" w:sz="8" w:space="0" w:color="BFBFBF"/>
              <w:right w:val="single" w:sz="8" w:space="0" w:color="BFBFBF"/>
            </w:tcBorders>
          </w:tcPr>
          <w:p w14:paraId="7ADA2FBE" w14:textId="7EDFF970" w:rsidR="007A7CB7" w:rsidRPr="00352375" w:rsidRDefault="007A7CB7" w:rsidP="00666E06">
            <w:pPr>
              <w:rPr>
                <w:rFonts w:cs="Arial"/>
                <w:sz w:val="20"/>
                <w:szCs w:val="20"/>
              </w:rPr>
            </w:pPr>
            <w:r w:rsidRPr="00352375">
              <w:rPr>
                <w:rFonts w:cs="Arial"/>
                <w:sz w:val="20"/>
                <w:szCs w:val="20"/>
              </w:rPr>
              <w:t>Equipment to remain functional.</w:t>
            </w:r>
          </w:p>
        </w:tc>
        <w:tc>
          <w:tcPr>
            <w:tcW w:w="6663" w:type="dxa"/>
            <w:gridSpan w:val="3"/>
            <w:tcBorders>
              <w:top w:val="single" w:sz="8" w:space="0" w:color="BFBFBF"/>
              <w:left w:val="single" w:sz="8" w:space="0" w:color="BFBFBF"/>
              <w:bottom w:val="single" w:sz="8" w:space="0" w:color="BFBFBF"/>
              <w:right w:val="nil"/>
            </w:tcBorders>
          </w:tcPr>
          <w:p w14:paraId="7C64879A" w14:textId="474AEF58" w:rsidR="007A7CB7" w:rsidRPr="00352375" w:rsidRDefault="007A7CB7" w:rsidP="00666E06">
            <w:pPr>
              <w:rPr>
                <w:rFonts w:cs="Arial"/>
                <w:sz w:val="20"/>
                <w:szCs w:val="20"/>
              </w:rPr>
            </w:pPr>
            <w:r w:rsidRPr="00352375">
              <w:rPr>
                <w:rFonts w:cs="Arial"/>
                <w:sz w:val="20"/>
                <w:szCs w:val="20"/>
              </w:rPr>
              <w:t>Generally not applicable.</w:t>
            </w:r>
          </w:p>
        </w:tc>
      </w:tr>
      <w:tr w:rsidR="007A7CB7" w:rsidRPr="00352375" w14:paraId="573FB369"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618DAD71"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tcPr>
          <w:p w14:paraId="6F4B3797" w14:textId="00254FFF" w:rsidR="007A7CB7" w:rsidRPr="00352375" w:rsidRDefault="007A7CB7" w:rsidP="00666E06">
            <w:pPr>
              <w:rPr>
                <w:rFonts w:cs="Arial"/>
                <w:sz w:val="20"/>
                <w:szCs w:val="20"/>
              </w:rPr>
            </w:pPr>
            <w:r w:rsidRPr="00352375">
              <w:rPr>
                <w:rFonts w:cs="Arial"/>
                <w:sz w:val="20"/>
                <w:szCs w:val="20"/>
              </w:rPr>
              <w:t>Medical equipment supporting post disaster function (MRIs etc)</w:t>
            </w:r>
          </w:p>
        </w:tc>
        <w:tc>
          <w:tcPr>
            <w:tcW w:w="2308" w:type="dxa"/>
            <w:tcBorders>
              <w:top w:val="single" w:sz="8" w:space="0" w:color="BFBFBF"/>
              <w:left w:val="single" w:sz="8" w:space="0" w:color="BFBFBF"/>
              <w:bottom w:val="single" w:sz="8" w:space="0" w:color="BFBFBF"/>
              <w:right w:val="single" w:sz="8" w:space="0" w:color="BFBFBF"/>
            </w:tcBorders>
          </w:tcPr>
          <w:p w14:paraId="624B0048" w14:textId="19BD2F49" w:rsidR="007A7CB7" w:rsidRPr="00352375" w:rsidRDefault="007A7CB7" w:rsidP="00666E06">
            <w:pPr>
              <w:rPr>
                <w:rFonts w:cs="Arial"/>
                <w:sz w:val="20"/>
                <w:szCs w:val="20"/>
              </w:rPr>
            </w:pPr>
            <w:r w:rsidRPr="00352375">
              <w:rPr>
                <w:rFonts w:cs="Arial"/>
                <w:sz w:val="20"/>
                <w:szCs w:val="20"/>
              </w:rPr>
              <w:t xml:space="preserve">Equipment </w:t>
            </w:r>
            <w:r w:rsidRPr="00352375">
              <w:rPr>
                <w:rFonts w:cs="Arial"/>
                <w:i/>
                <w:iCs/>
                <w:sz w:val="20"/>
                <w:szCs w:val="20"/>
              </w:rPr>
              <w:t>likely</w:t>
            </w:r>
            <w:r w:rsidRPr="00352375">
              <w:rPr>
                <w:rFonts w:cs="Arial"/>
                <w:sz w:val="20"/>
                <w:szCs w:val="20"/>
              </w:rPr>
              <w:t xml:space="preserve"> to remain functional.</w:t>
            </w:r>
          </w:p>
          <w:p w14:paraId="00107B13" w14:textId="1E62BD7F" w:rsidR="007A7CB7" w:rsidRPr="00352375" w:rsidRDefault="007A7CB7" w:rsidP="00666E06">
            <w:pPr>
              <w:rPr>
                <w:rFonts w:cs="Arial"/>
                <w:sz w:val="20"/>
                <w:szCs w:val="20"/>
              </w:rPr>
            </w:pPr>
            <w:r w:rsidRPr="00352375">
              <w:rPr>
                <w:rFonts w:cs="Arial"/>
                <w:sz w:val="20"/>
                <w:szCs w:val="20"/>
                <w:lang w:val="en-US"/>
              </w:rPr>
              <w:t>Recalibration to be available within minutes or hours via specifically train</w:t>
            </w:r>
            <w:r w:rsidR="005F5EF5" w:rsidRPr="00352375">
              <w:rPr>
                <w:rFonts w:cs="Arial"/>
                <w:sz w:val="20"/>
                <w:szCs w:val="20"/>
                <w:lang w:val="en-US"/>
              </w:rPr>
              <w:t>ed</w:t>
            </w:r>
            <w:r w:rsidRPr="00352375">
              <w:rPr>
                <w:rFonts w:cs="Arial"/>
                <w:sz w:val="20"/>
                <w:szCs w:val="20"/>
                <w:lang w:val="en-US"/>
              </w:rPr>
              <w:t xml:space="preserve"> personnel or priority response agreement with supplier.</w:t>
            </w:r>
          </w:p>
        </w:tc>
        <w:tc>
          <w:tcPr>
            <w:tcW w:w="6663" w:type="dxa"/>
            <w:gridSpan w:val="3"/>
            <w:tcBorders>
              <w:top w:val="single" w:sz="8" w:space="0" w:color="BFBFBF"/>
              <w:left w:val="single" w:sz="8" w:space="0" w:color="BFBFBF"/>
              <w:bottom w:val="single" w:sz="8" w:space="0" w:color="BFBFBF"/>
              <w:right w:val="nil"/>
            </w:tcBorders>
          </w:tcPr>
          <w:p w14:paraId="127604FB" w14:textId="6E46F84E" w:rsidR="007A7CB7" w:rsidRPr="00352375" w:rsidRDefault="007A7CB7" w:rsidP="00666E06">
            <w:pPr>
              <w:rPr>
                <w:rFonts w:cs="Arial"/>
                <w:sz w:val="20"/>
                <w:szCs w:val="20"/>
              </w:rPr>
            </w:pPr>
            <w:r w:rsidRPr="00352375">
              <w:rPr>
                <w:rFonts w:cs="Arial"/>
                <w:sz w:val="20"/>
                <w:szCs w:val="20"/>
              </w:rPr>
              <w:t>Generally not applicable.</w:t>
            </w:r>
          </w:p>
        </w:tc>
      </w:tr>
      <w:tr w:rsidR="007A7CB7" w:rsidRPr="00352375" w14:paraId="41BE7125" w14:textId="77777777" w:rsidTr="00D4195D">
        <w:trPr>
          <w:trHeight w:val="300"/>
        </w:trPr>
        <w:tc>
          <w:tcPr>
            <w:tcW w:w="1833" w:type="dxa"/>
            <w:vMerge/>
            <w:tcBorders>
              <w:top w:val="single" w:sz="8" w:space="0" w:color="BFBFBF"/>
              <w:left w:val="nil"/>
              <w:bottom w:val="single" w:sz="8" w:space="0" w:color="BFBFBF"/>
              <w:right w:val="single" w:sz="8" w:space="0" w:color="BFBFBF"/>
            </w:tcBorders>
            <w:vAlign w:val="center"/>
          </w:tcPr>
          <w:p w14:paraId="0660A185"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tcPr>
          <w:p w14:paraId="6048394B" w14:textId="3EB6A9DB" w:rsidR="007A7CB7" w:rsidRPr="00352375" w:rsidRDefault="007A7CB7" w:rsidP="00666E06">
            <w:pPr>
              <w:rPr>
                <w:rFonts w:cs="Arial"/>
                <w:sz w:val="20"/>
                <w:szCs w:val="20"/>
              </w:rPr>
            </w:pPr>
            <w:r w:rsidRPr="00352375">
              <w:rPr>
                <w:rFonts w:cs="Arial"/>
                <w:sz w:val="20"/>
                <w:szCs w:val="20"/>
              </w:rPr>
              <w:t>Other medical equipment</w:t>
            </w:r>
          </w:p>
        </w:tc>
        <w:tc>
          <w:tcPr>
            <w:tcW w:w="6419" w:type="dxa"/>
            <w:gridSpan w:val="3"/>
            <w:tcBorders>
              <w:top w:val="single" w:sz="8" w:space="0" w:color="BFBFBF"/>
              <w:left w:val="single" w:sz="8" w:space="0" w:color="BFBFBF"/>
              <w:bottom w:val="single" w:sz="8" w:space="0" w:color="BFBFBF"/>
              <w:right w:val="single" w:sz="8" w:space="0" w:color="BFBFBF"/>
            </w:tcBorders>
          </w:tcPr>
          <w:p w14:paraId="14571E76" w14:textId="56661BB4" w:rsidR="007A7CB7" w:rsidRPr="00352375" w:rsidRDefault="007A7CB7" w:rsidP="00666E06">
            <w:pPr>
              <w:rPr>
                <w:rFonts w:cs="Arial"/>
                <w:sz w:val="20"/>
                <w:szCs w:val="20"/>
              </w:rPr>
            </w:pPr>
            <w:r w:rsidRPr="00352375">
              <w:rPr>
                <w:rFonts w:cs="Arial"/>
                <w:sz w:val="20"/>
                <w:szCs w:val="20"/>
              </w:rPr>
              <w:t>Reasonable efforts made to avoid damage</w:t>
            </w:r>
          </w:p>
        </w:tc>
        <w:tc>
          <w:tcPr>
            <w:tcW w:w="2552" w:type="dxa"/>
            <w:tcBorders>
              <w:top w:val="single" w:sz="8" w:space="0" w:color="BFBFBF"/>
              <w:left w:val="single" w:sz="8" w:space="0" w:color="BFBFBF"/>
              <w:bottom w:val="single" w:sz="8" w:space="0" w:color="BFBFBF"/>
              <w:right w:val="nil"/>
            </w:tcBorders>
          </w:tcPr>
          <w:p w14:paraId="628692FA" w14:textId="663DC895" w:rsidR="007A7CB7" w:rsidRPr="00352375" w:rsidRDefault="007A7CB7" w:rsidP="00666E06">
            <w:pPr>
              <w:rPr>
                <w:rFonts w:cs="Arial"/>
                <w:sz w:val="20"/>
                <w:szCs w:val="20"/>
              </w:rPr>
            </w:pPr>
            <w:r w:rsidRPr="00352375">
              <w:rPr>
                <w:rFonts w:cs="Arial"/>
                <w:sz w:val="20"/>
                <w:szCs w:val="20"/>
                <w:lang w:val="en-US"/>
              </w:rPr>
              <w:t>Generally not applicable.</w:t>
            </w:r>
          </w:p>
        </w:tc>
      </w:tr>
      <w:tr w:rsidR="007A7CB7" w:rsidRPr="00352375" w14:paraId="532F965C" w14:textId="77777777" w:rsidTr="00DA3030">
        <w:trPr>
          <w:trHeight w:val="300"/>
        </w:trPr>
        <w:tc>
          <w:tcPr>
            <w:tcW w:w="1833" w:type="dxa"/>
            <w:vMerge/>
            <w:tcBorders>
              <w:top w:val="single" w:sz="8" w:space="0" w:color="BFBFBF"/>
              <w:left w:val="nil"/>
              <w:bottom w:val="single" w:sz="8" w:space="0" w:color="BFBFBF"/>
              <w:right w:val="single" w:sz="8" w:space="0" w:color="BFBFBF"/>
            </w:tcBorders>
            <w:vAlign w:val="center"/>
          </w:tcPr>
          <w:p w14:paraId="58B5AA32" w14:textId="77777777" w:rsidR="007A7CB7" w:rsidRPr="00352375" w:rsidRDefault="007A7CB7" w:rsidP="00666E06">
            <w:pPr>
              <w:rPr>
                <w:rFonts w:cs="Arial"/>
                <w:sz w:val="20"/>
                <w:szCs w:val="20"/>
              </w:rPr>
            </w:pPr>
          </w:p>
        </w:tc>
        <w:tc>
          <w:tcPr>
            <w:tcW w:w="3792" w:type="dxa"/>
            <w:tcBorders>
              <w:top w:val="single" w:sz="8" w:space="0" w:color="BFBFBF"/>
              <w:left w:val="single" w:sz="8" w:space="0" w:color="BFBFBF"/>
              <w:bottom w:val="single" w:sz="8" w:space="0" w:color="BFBFBF"/>
              <w:right w:val="single" w:sz="8" w:space="0" w:color="BFBFBF"/>
            </w:tcBorders>
          </w:tcPr>
          <w:p w14:paraId="54BC2A56" w14:textId="454F4294" w:rsidR="007A7CB7" w:rsidRPr="00352375" w:rsidRDefault="007A7CB7" w:rsidP="00666E06">
            <w:pPr>
              <w:rPr>
                <w:rFonts w:cs="Arial"/>
                <w:sz w:val="20"/>
                <w:szCs w:val="20"/>
              </w:rPr>
            </w:pPr>
            <w:r w:rsidRPr="00352375">
              <w:rPr>
                <w:rFonts w:cs="Arial"/>
                <w:sz w:val="20"/>
                <w:szCs w:val="20"/>
              </w:rPr>
              <w:t>General contents</w:t>
            </w:r>
          </w:p>
        </w:tc>
        <w:tc>
          <w:tcPr>
            <w:tcW w:w="8971" w:type="dxa"/>
            <w:gridSpan w:val="4"/>
            <w:tcBorders>
              <w:top w:val="single" w:sz="8" w:space="0" w:color="BFBFBF"/>
              <w:left w:val="single" w:sz="8" w:space="0" w:color="BFBFBF"/>
              <w:bottom w:val="single" w:sz="8" w:space="0" w:color="BFBFBF"/>
              <w:right w:val="nil"/>
            </w:tcBorders>
          </w:tcPr>
          <w:p w14:paraId="4674A232" w14:textId="2DA9DB2E" w:rsidR="007A7CB7" w:rsidRPr="00352375" w:rsidRDefault="007A7CB7" w:rsidP="00666E06">
            <w:pPr>
              <w:rPr>
                <w:rFonts w:cs="Arial"/>
                <w:sz w:val="20"/>
                <w:szCs w:val="20"/>
              </w:rPr>
            </w:pPr>
            <w:r w:rsidRPr="00352375">
              <w:rPr>
                <w:rFonts w:cs="Arial"/>
                <w:sz w:val="20"/>
                <w:szCs w:val="20"/>
              </w:rPr>
              <w:t>No specific engineered requirements.</w:t>
            </w:r>
          </w:p>
        </w:tc>
      </w:tr>
      <w:tr w:rsidR="00182F51" w:rsidRPr="00352375" w14:paraId="478B88F7" w14:textId="77777777" w:rsidTr="00DA3030">
        <w:trPr>
          <w:trHeight w:val="300"/>
        </w:trPr>
        <w:tc>
          <w:tcPr>
            <w:tcW w:w="1833" w:type="dxa"/>
            <w:tcBorders>
              <w:top w:val="single" w:sz="8" w:space="0" w:color="BFBFBF"/>
              <w:left w:val="nil"/>
              <w:bottom w:val="nil"/>
              <w:right w:val="single" w:sz="8" w:space="0" w:color="BFBFBF"/>
            </w:tcBorders>
            <w:vAlign w:val="center"/>
          </w:tcPr>
          <w:p w14:paraId="4D0099A0" w14:textId="5F0B5CF1" w:rsidR="00182F51" w:rsidRPr="00352375" w:rsidRDefault="00182F51" w:rsidP="00666E06">
            <w:pPr>
              <w:rPr>
                <w:rFonts w:cs="Arial"/>
                <w:sz w:val="20"/>
                <w:szCs w:val="20"/>
              </w:rPr>
            </w:pPr>
            <w:r w:rsidRPr="00352375">
              <w:rPr>
                <w:rFonts w:cs="Arial"/>
                <w:sz w:val="20"/>
                <w:szCs w:val="20"/>
              </w:rPr>
              <w:t>External Service and Landscaping</w:t>
            </w:r>
          </w:p>
        </w:tc>
        <w:tc>
          <w:tcPr>
            <w:tcW w:w="3792" w:type="dxa"/>
            <w:tcBorders>
              <w:top w:val="single" w:sz="8" w:space="0" w:color="BFBFBF"/>
              <w:left w:val="single" w:sz="8" w:space="0" w:color="BFBFBF"/>
              <w:bottom w:val="nil"/>
              <w:right w:val="single" w:sz="8" w:space="0" w:color="BFBFBF"/>
            </w:tcBorders>
          </w:tcPr>
          <w:p w14:paraId="390C313C" w14:textId="45FB7129" w:rsidR="00182F51" w:rsidRPr="00352375" w:rsidRDefault="00182F51" w:rsidP="00666E06">
            <w:pPr>
              <w:rPr>
                <w:rFonts w:cs="Arial"/>
                <w:sz w:val="20"/>
                <w:szCs w:val="20"/>
              </w:rPr>
            </w:pPr>
            <w:r w:rsidRPr="00352375">
              <w:rPr>
                <w:rFonts w:cs="Arial"/>
                <w:sz w:val="20"/>
                <w:szCs w:val="20"/>
              </w:rPr>
              <w:t>Vehicle Access</w:t>
            </w:r>
          </w:p>
        </w:tc>
        <w:tc>
          <w:tcPr>
            <w:tcW w:w="6419" w:type="dxa"/>
            <w:gridSpan w:val="3"/>
            <w:tcBorders>
              <w:top w:val="single" w:sz="8" w:space="0" w:color="BFBFBF"/>
              <w:left w:val="single" w:sz="8" w:space="0" w:color="BFBFBF"/>
              <w:bottom w:val="nil"/>
              <w:right w:val="single" w:sz="8" w:space="0" w:color="BFBFBF"/>
            </w:tcBorders>
          </w:tcPr>
          <w:p w14:paraId="46990597" w14:textId="6ABC1BCA" w:rsidR="00182F51" w:rsidRPr="00352375" w:rsidRDefault="00182F51" w:rsidP="00666E06">
            <w:pPr>
              <w:rPr>
                <w:rFonts w:cs="Arial"/>
                <w:sz w:val="20"/>
                <w:szCs w:val="20"/>
              </w:rPr>
            </w:pPr>
            <w:r w:rsidRPr="00352375">
              <w:rPr>
                <w:rFonts w:cs="Arial"/>
                <w:sz w:val="20"/>
                <w:szCs w:val="20"/>
              </w:rPr>
              <w:t>Reasonable vehicle access for ambulances and supply vehicles maintained.</w:t>
            </w:r>
          </w:p>
        </w:tc>
        <w:tc>
          <w:tcPr>
            <w:tcW w:w="2552" w:type="dxa"/>
            <w:tcBorders>
              <w:top w:val="single" w:sz="8" w:space="0" w:color="BFBFBF"/>
              <w:left w:val="single" w:sz="8" w:space="0" w:color="BFBFBF"/>
              <w:bottom w:val="nil"/>
              <w:right w:val="nil"/>
            </w:tcBorders>
          </w:tcPr>
          <w:p w14:paraId="62B7A0C0" w14:textId="19435177" w:rsidR="00182F51" w:rsidRPr="00352375" w:rsidRDefault="00182F51" w:rsidP="00666E06">
            <w:pPr>
              <w:rPr>
                <w:rFonts w:cs="Arial"/>
                <w:sz w:val="20"/>
                <w:szCs w:val="20"/>
              </w:rPr>
            </w:pPr>
            <w:r w:rsidRPr="00352375">
              <w:rPr>
                <w:rFonts w:cs="Arial"/>
                <w:sz w:val="20"/>
                <w:szCs w:val="20"/>
              </w:rPr>
              <w:t>None</w:t>
            </w:r>
          </w:p>
        </w:tc>
      </w:tr>
    </w:tbl>
    <w:p w14:paraId="7FA3E155" w14:textId="6114D086" w:rsidR="00AA7A95" w:rsidRDefault="00AA7A95" w:rsidP="00666E06">
      <w:pPr>
        <w:rPr>
          <w:lang w:val="en-GB"/>
        </w:rPr>
        <w:sectPr w:rsidR="00AA7A95" w:rsidSect="00A453E8">
          <w:headerReference w:type="default" r:id="rId54"/>
          <w:footerReference w:type="default" r:id="rId55"/>
          <w:footerReference w:type="first" r:id="rId56"/>
          <w:footnotePr>
            <w:numRestart w:val="eachPage"/>
          </w:footnotePr>
          <w:pgSz w:w="16838" w:h="11906" w:orient="landscape" w:code="187"/>
          <w:pgMar w:top="1134" w:right="1134" w:bottom="1134" w:left="1134" w:header="709" w:footer="709" w:gutter="0"/>
          <w:cols w:space="708"/>
          <w:docGrid w:linePitch="360"/>
        </w:sectPr>
      </w:pPr>
    </w:p>
    <w:p w14:paraId="2109CBAA" w14:textId="77777777" w:rsidR="00835562" w:rsidRPr="00A9001D" w:rsidRDefault="00835562" w:rsidP="00BD1621">
      <w:pPr>
        <w:pStyle w:val="Section2Heading1"/>
      </w:pPr>
      <w:bookmarkStart w:id="179" w:name="_Toc147899147"/>
      <w:bookmarkStart w:id="180" w:name="_Ref149579646"/>
      <w:bookmarkStart w:id="181" w:name="_Toc203641955"/>
      <w:r w:rsidRPr="00A9001D">
        <w:lastRenderedPageBreak/>
        <w:t>Durability</w:t>
      </w:r>
      <w:bookmarkEnd w:id="179"/>
      <w:bookmarkEnd w:id="180"/>
      <w:bookmarkEnd w:id="181"/>
    </w:p>
    <w:p w14:paraId="6F8611B2" w14:textId="7AC0C359" w:rsidR="007163AB" w:rsidRPr="002370F9" w:rsidRDefault="007D5C79" w:rsidP="00BD1621">
      <w:pPr>
        <w:pStyle w:val="Section2Heading2"/>
      </w:pPr>
      <w:bookmarkStart w:id="182" w:name="_Ref149720073"/>
      <w:bookmarkStart w:id="183" w:name="_Toc203641956"/>
      <w:r>
        <w:t xml:space="preserve">Health NZ </w:t>
      </w:r>
      <w:r w:rsidR="00F641C0" w:rsidRPr="002370F9">
        <w:t>R</w:t>
      </w:r>
      <w:r w:rsidR="00B44342" w:rsidRPr="002370F9">
        <w:t xml:space="preserve">equirements for </w:t>
      </w:r>
      <w:r w:rsidR="00F641C0" w:rsidRPr="002370F9">
        <w:t>S</w:t>
      </w:r>
      <w:r w:rsidR="00B44342" w:rsidRPr="002370F9">
        <w:t xml:space="preserve">tructural </w:t>
      </w:r>
      <w:r w:rsidR="00F641C0" w:rsidRPr="002370F9">
        <w:t>D</w:t>
      </w:r>
      <w:r w:rsidR="00B44342" w:rsidRPr="002370F9">
        <w:t>urability</w:t>
      </w:r>
      <w:bookmarkEnd w:id="182"/>
      <w:bookmarkEnd w:id="183"/>
    </w:p>
    <w:p w14:paraId="0EA06C8C" w14:textId="5F60646E" w:rsidR="00415D29" w:rsidRPr="002370F9" w:rsidRDefault="1C0C984B" w:rsidP="00666E06">
      <w:r w:rsidRPr="002370F9">
        <w:t xml:space="preserve">The default 50-year design life is intended to be used to define appropriate </w:t>
      </w:r>
      <w:r w:rsidR="001E685F" w:rsidRPr="002370F9">
        <w:t>A</w:t>
      </w:r>
      <w:r w:rsidRPr="002370F9">
        <w:t xml:space="preserve">nnual </w:t>
      </w:r>
      <w:r w:rsidR="001E685F" w:rsidRPr="002370F9">
        <w:t>P</w:t>
      </w:r>
      <w:r w:rsidRPr="002370F9">
        <w:t>robabilit</w:t>
      </w:r>
      <w:r w:rsidR="001E685F" w:rsidRPr="002370F9">
        <w:t>ies</w:t>
      </w:r>
      <w:r w:rsidR="00A30255" w:rsidRPr="002370F9">
        <w:t xml:space="preserve"> of</w:t>
      </w:r>
      <w:r w:rsidR="00A52835" w:rsidRPr="002370F9">
        <w:t xml:space="preserve"> </w:t>
      </w:r>
      <w:r w:rsidR="00A30255" w:rsidRPr="002370F9">
        <w:t xml:space="preserve">Exceedance </w:t>
      </w:r>
      <w:r w:rsidR="00A52835" w:rsidRPr="002370F9">
        <w:t>(</w:t>
      </w:r>
      <w:r w:rsidR="00B12F49" w:rsidRPr="002370F9">
        <w:t>APoE</w:t>
      </w:r>
      <w:r w:rsidR="00A52835" w:rsidRPr="002370F9">
        <w:t>s)</w:t>
      </w:r>
      <w:r w:rsidRPr="002370F9">
        <w:t xml:space="preserve"> </w:t>
      </w:r>
      <w:r w:rsidR="00A52835" w:rsidRPr="002370F9">
        <w:t>for</w:t>
      </w:r>
      <w:r w:rsidRPr="002370F9">
        <w:t xml:space="preserve"> load</w:t>
      </w:r>
      <w:r w:rsidR="00A52835" w:rsidRPr="002370F9">
        <w:t>ing</w:t>
      </w:r>
      <w:r w:rsidRPr="002370F9">
        <w:t xml:space="preserve"> and </w:t>
      </w:r>
      <w:r w:rsidR="00597A9C" w:rsidRPr="002370F9">
        <w:t>should continue</w:t>
      </w:r>
      <w:r w:rsidRPr="002370F9">
        <w:t xml:space="preserve"> to be used for this purpose</w:t>
      </w:r>
      <w:r w:rsidR="00BF5040" w:rsidRPr="002370F9">
        <w:t xml:space="preserve"> (refer </w:t>
      </w:r>
      <w:r w:rsidRPr="002370F9">
        <w:t>Section 9 Design Loadings</w:t>
      </w:r>
      <w:r w:rsidR="00BF5040" w:rsidRPr="002370F9">
        <w:t>)</w:t>
      </w:r>
      <w:r w:rsidRPr="002370F9">
        <w:t xml:space="preserve">. </w:t>
      </w:r>
      <w:r w:rsidR="00597A9C" w:rsidRPr="002370F9">
        <w:t>However</w:t>
      </w:r>
      <w:r w:rsidR="00E24D17" w:rsidRPr="002370F9">
        <w:t>,</w:t>
      </w:r>
      <w:r w:rsidR="00597A9C" w:rsidRPr="002370F9">
        <w:t xml:space="preserve"> </w:t>
      </w:r>
      <w:r w:rsidR="00BF5040" w:rsidRPr="002370F9">
        <w:t xml:space="preserve">where sensible (without imposing significant cost or embodied carbon penalties) </w:t>
      </w:r>
      <w:r w:rsidR="007D5C79">
        <w:t xml:space="preserve">Health NZ </w:t>
      </w:r>
      <w:r w:rsidR="00E24D17" w:rsidRPr="002370F9">
        <w:t xml:space="preserve">want to achieve more durable buildings </w:t>
      </w:r>
      <w:r w:rsidR="0055682F" w:rsidRPr="002370F9">
        <w:t xml:space="preserve">that recognise the </w:t>
      </w:r>
      <w:r w:rsidR="00BF5040" w:rsidRPr="002370F9">
        <w:t xml:space="preserve">realistic lifespan of </w:t>
      </w:r>
      <w:r w:rsidR="00597A9C" w:rsidRPr="002370F9">
        <w:t>h</w:t>
      </w:r>
      <w:r w:rsidRPr="002370F9">
        <w:t>ospital buildings an</w:t>
      </w:r>
      <w:r w:rsidR="00BF5040" w:rsidRPr="002370F9">
        <w:t>d infrastructure</w:t>
      </w:r>
      <w:r w:rsidRPr="002370F9">
        <w:t>.</w:t>
      </w:r>
    </w:p>
    <w:p w14:paraId="321D5C03" w14:textId="17D3111D" w:rsidR="00415D29" w:rsidRPr="002370F9" w:rsidRDefault="1C0C984B" w:rsidP="00666E06">
      <w:r w:rsidRPr="002370F9">
        <w:t xml:space="preserve">For new buildings the </w:t>
      </w:r>
      <w:r w:rsidRPr="002370F9">
        <w:rPr>
          <w:i/>
          <w:iCs/>
        </w:rPr>
        <w:t>Specified Intended Life</w:t>
      </w:r>
      <w:r w:rsidRPr="002370F9">
        <w:t xml:space="preserve"> for durability for the primary structure shall generally be taken as 100 years. The 100-year requirement does not apply to low-corrosion internal environments fully enclosed within the building that have historically been shown to perform adequately. For alterations and extensions to existing buildings, designers shall consider these requirements and propose a durability strategy</w:t>
      </w:r>
      <w:r w:rsidR="004B2BF1" w:rsidRPr="002370F9">
        <w:t xml:space="preserve"> that is</w:t>
      </w:r>
      <w:r w:rsidRPr="002370F9">
        <w:t xml:space="preserve"> consistent with this intent.</w:t>
      </w:r>
    </w:p>
    <w:p w14:paraId="60DA7853" w14:textId="722B137F" w:rsidR="00415D29" w:rsidRPr="002370F9" w:rsidRDefault="1C0C984B" w:rsidP="00666E06">
      <w:pPr>
        <w:rPr>
          <w:rFonts w:eastAsia="Arial" w:cs="Arial"/>
        </w:rPr>
      </w:pPr>
      <w:r w:rsidRPr="002370F9">
        <w:t>Low-corrosion internal environments are defined as an “interior” A1 exposure classification for reinforced concrete structures designed to NZ</w:t>
      </w:r>
      <w:r w:rsidR="30E0738D" w:rsidRPr="002370F9">
        <w:t xml:space="preserve">S 3101 </w:t>
      </w:r>
      <w:sdt>
        <w:sdtPr>
          <w:id w:val="-575970476"/>
          <w:citation/>
        </w:sdtPr>
        <w:sdtEndPr/>
        <w:sdtContent>
          <w:r w:rsidR="00B95504" w:rsidRPr="002370F9">
            <w:rPr>
              <w:lang w:val="en-US"/>
            </w:rPr>
            <w:fldChar w:fldCharType="begin"/>
          </w:r>
          <w:r w:rsidR="00B95504" w:rsidRPr="002370F9">
            <w:rPr>
              <w:lang w:val="en-US"/>
            </w:rPr>
            <w:instrText xml:space="preserve"> CITATION SNZ171 \l 1033 </w:instrText>
          </w:r>
          <w:r w:rsidR="00B95504" w:rsidRPr="002370F9">
            <w:fldChar w:fldCharType="separate"/>
          </w:r>
          <w:r w:rsidR="00222D65">
            <w:rPr>
              <w:noProof/>
              <w:lang w:val="en-US"/>
            </w:rPr>
            <w:t>(SNZ, 2017)</w:t>
          </w:r>
          <w:r w:rsidR="00B95504" w:rsidRPr="002370F9">
            <w:fldChar w:fldCharType="end"/>
          </w:r>
        </w:sdtContent>
      </w:sdt>
      <w:r w:rsidR="00B95504" w:rsidRPr="002370F9">
        <w:t xml:space="preserve"> and C1 for structural steel in accordance with </w:t>
      </w:r>
      <w:r w:rsidR="00932DC5" w:rsidRPr="002370F9">
        <w:t>TS</w:t>
      </w:r>
      <w:r w:rsidR="00B95504" w:rsidRPr="002370F9">
        <w:t xml:space="preserve"> 3404 </w:t>
      </w:r>
      <w:sdt>
        <w:sdtPr>
          <w:id w:val="1878970285"/>
          <w:citation/>
        </w:sdtPr>
        <w:sdtEndPr/>
        <w:sdtContent>
          <w:r w:rsidR="00B95504" w:rsidRPr="002370F9">
            <w:rPr>
              <w:lang w:val="en-US"/>
            </w:rPr>
            <w:fldChar w:fldCharType="begin"/>
          </w:r>
          <w:r w:rsidR="00B95504" w:rsidRPr="002370F9">
            <w:rPr>
              <w:lang w:val="en-US"/>
            </w:rPr>
            <w:instrText xml:space="preserve"> CITATION SNZ18 \l 1033 </w:instrText>
          </w:r>
          <w:r w:rsidR="00B95504" w:rsidRPr="002370F9">
            <w:fldChar w:fldCharType="separate"/>
          </w:r>
          <w:r w:rsidR="00222D65">
            <w:rPr>
              <w:noProof/>
              <w:lang w:val="en-US"/>
            </w:rPr>
            <w:t>(SNZ, 2018)</w:t>
          </w:r>
          <w:r w:rsidR="00B95504" w:rsidRPr="002370F9">
            <w:fldChar w:fldCharType="end"/>
          </w:r>
        </w:sdtContent>
      </w:sdt>
      <w:r w:rsidR="30E0738D" w:rsidRPr="002370F9">
        <w:t>.</w:t>
      </w:r>
      <w:r w:rsidR="1201DCE2" w:rsidRPr="002370F9">
        <w:t xml:space="preserve"> </w:t>
      </w:r>
      <w:r w:rsidR="250BBDE6" w:rsidRPr="002370F9">
        <w:t>Such Interior A1 and C1 environments can continue to use a 50-year specified life for durability purposes where B2/AS1 is being used for compliance with NZ Building Code Clause B2 Durability.</w:t>
      </w:r>
    </w:p>
    <w:p w14:paraId="3D8570AD" w14:textId="22CFD933" w:rsidR="00415D29" w:rsidRPr="002370F9" w:rsidRDefault="007D5C79" w:rsidP="00BD1621">
      <w:pPr>
        <w:ind w:left="567"/>
      </w:pPr>
      <w:r w:rsidRPr="00B219C9">
        <w:rPr>
          <w:b/>
          <w:bCs/>
          <w:color w:val="0C818F" w:themeColor="accent3"/>
        </w:rPr>
        <w:t xml:space="preserve">Health NZ </w:t>
      </w:r>
      <w:r w:rsidR="4EC7DE34" w:rsidRPr="00B219C9">
        <w:rPr>
          <w:b/>
          <w:bCs/>
          <w:color w:val="0C818F" w:themeColor="accent3"/>
        </w:rPr>
        <w:t>Requirement:</w:t>
      </w:r>
      <w:r w:rsidR="4EC7DE34" w:rsidRPr="002370F9">
        <w:t xml:space="preserve"> The </w:t>
      </w:r>
      <w:r w:rsidR="4EC7DE34" w:rsidRPr="002370F9">
        <w:rPr>
          <w:i/>
          <w:iCs/>
        </w:rPr>
        <w:t>Specified Intended Life</w:t>
      </w:r>
      <w:r w:rsidR="4EC7DE34" w:rsidRPr="002370F9">
        <w:t xml:space="preserve"> of hospital buildings shall be 100 years for durability purposes only. </w:t>
      </w:r>
      <w:r w:rsidR="003C6024" w:rsidRPr="002370F9">
        <w:t>Except that l</w:t>
      </w:r>
      <w:r w:rsidR="4EC7DE34" w:rsidRPr="002370F9">
        <w:t xml:space="preserve">ow-corrosion internal environments A1 and C1, defined by B2/AS1 of the NZ Building Code may continue to be designed </w:t>
      </w:r>
      <w:r w:rsidR="003C6024" w:rsidRPr="002370F9">
        <w:t>assuming</w:t>
      </w:r>
      <w:r w:rsidR="4EC7DE34" w:rsidRPr="002370F9">
        <w:t xml:space="preserve"> a </w:t>
      </w:r>
      <w:r w:rsidR="00516E28" w:rsidRPr="002370F9">
        <w:t>50-year</w:t>
      </w:r>
      <w:r w:rsidR="4EC7DE34" w:rsidRPr="002370F9">
        <w:t xml:space="preserve"> design life</w:t>
      </w:r>
      <w:r w:rsidR="009D5165" w:rsidRPr="002370F9">
        <w:t>.</w:t>
      </w:r>
    </w:p>
    <w:p w14:paraId="43E2C182" w14:textId="3A49509B" w:rsidR="00415D29" w:rsidRPr="002370F9" w:rsidRDefault="4EC7DE34" w:rsidP="00666E06">
      <w:r w:rsidRPr="002370F9">
        <w:t xml:space="preserve">For concrete elements, the requirement </w:t>
      </w:r>
      <w:r w:rsidR="00193F70" w:rsidRPr="002370F9">
        <w:t>would usually</w:t>
      </w:r>
      <w:r w:rsidRPr="002370F9">
        <w:t xml:space="preserve"> be met through a combination of covers specified in accordance with NZS 3101, and/or appropriate concrete mix design</w:t>
      </w:r>
      <w:r w:rsidR="00205F9A" w:rsidRPr="002370F9">
        <w:t>.</w:t>
      </w:r>
    </w:p>
    <w:p w14:paraId="44148DFA" w14:textId="50781DD5" w:rsidR="00415D29" w:rsidRPr="002370F9" w:rsidRDefault="4EC7DE34" w:rsidP="00666E06">
      <w:r w:rsidRPr="002370F9">
        <w:t xml:space="preserve">For structural steel elements (other than those used in foundations), the requirement </w:t>
      </w:r>
      <w:r w:rsidR="00193F70" w:rsidRPr="002370F9">
        <w:t>would usually</w:t>
      </w:r>
      <w:r w:rsidRPr="002370F9">
        <w:t xml:space="preserve"> be met through use of protective coatings and a maintenance regime. The selection of design life to first major maintenance of the protective systems should consider whole-of-life costs, up-front costs and practical construction related considerations. </w:t>
      </w:r>
    </w:p>
    <w:p w14:paraId="77D0FB7E" w14:textId="4561DFF8"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The 100-year requirement reflects the realistic life of hospital infrastructure, and the importance of durable design</w:t>
      </w:r>
      <w:r w:rsidR="004717AC">
        <w:t xml:space="preserve"> </w:t>
      </w:r>
      <w:r w:rsidRPr="002370F9">
        <w:t xml:space="preserve">especially in areas which are difficult to inspect, maintain and/or rectify, such as foundations. </w:t>
      </w:r>
    </w:p>
    <w:p w14:paraId="346EBEE5" w14:textId="7A00EB31"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Experience shows that reinforcing steel in reinforced concrete slabs and framing wholly contained in normal environments within the building enclosure (on the warm side of the dew point) are durable</w:t>
      </w:r>
      <w:r w:rsidR="004717AC">
        <w:t xml:space="preserve"> </w:t>
      </w:r>
      <w:r w:rsidRPr="002370F9">
        <w:t xml:space="preserve">even in structures that have been in place significantly longer than the common 50-year specified life even where concrete covers are low. </w:t>
      </w:r>
    </w:p>
    <w:p w14:paraId="24B51026" w14:textId="0A02ADA2"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lastRenderedPageBreak/>
        <w:t>Similarly,</w:t>
      </w:r>
      <w:r w:rsidR="00311289">
        <w:t xml:space="preserve"> for</w:t>
      </w:r>
      <w:r w:rsidRPr="002370F9">
        <w:t xml:space="preserve"> structural steel</w:t>
      </w:r>
      <w:r w:rsidR="00311289">
        <w:t>,</w:t>
      </w:r>
      <w:r w:rsidR="004717AC">
        <w:t xml:space="preserve"> </w:t>
      </w:r>
      <w:r w:rsidRPr="002370F9">
        <w:t>even black uncoated steel</w:t>
      </w:r>
      <w:r w:rsidR="00311289">
        <w:t>work</w:t>
      </w:r>
      <w:r w:rsidRPr="002370F9">
        <w:t xml:space="preserve"> is subject to negligibly low corrosion rates in benign internal environments. Benign internal environments do not include high-risk locations such as where there is a risk of moisture ingress or on the cold side of the dew point and are exposed to repeated cycles of dampness from condensation. </w:t>
      </w:r>
    </w:p>
    <w:p w14:paraId="19526AE6" w14:textId="66A64420"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The exclusion (i.e. the continued use a 50-year specified intended life for these elements) is intended to simplify compliance for areas outside the focus of the 100-year durability requirement. It also avoids the potential for concrete slab thicknesses or section sizes in low-risk environments to be increased solely based on the additional cover requirements prescribed in the Acceptable Solutions.</w:t>
      </w:r>
    </w:p>
    <w:p w14:paraId="765505DE" w14:textId="52B349F4"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For clarity, the exclusion does not apply to surfaces of concrete members in contact with the ground as defined by NZS 3101 (A1, protected by a damp-proof membrane). These are difficult to inspect and are also deemed higher risk</w:t>
      </w:r>
      <w:r w:rsidR="004717AC">
        <w:t xml:space="preserve"> </w:t>
      </w:r>
      <w:r w:rsidRPr="002370F9">
        <w:t>and the 100-year requirement shall continue to comply.</w:t>
      </w:r>
    </w:p>
    <w:p w14:paraId="4B608D72" w14:textId="27312372" w:rsidR="00415D29" w:rsidRPr="002370F9" w:rsidRDefault="007D5C79" w:rsidP="00666E06">
      <w:pPr>
        <w:pStyle w:val="Requirement"/>
      </w:pPr>
      <w:r w:rsidRPr="00B219C9">
        <w:rPr>
          <w:b/>
          <w:bCs/>
          <w:color w:val="0C818F" w:themeColor="accent3"/>
        </w:rPr>
        <w:t xml:space="preserve">Health NZ </w:t>
      </w:r>
      <w:r w:rsidR="4EC7DE34" w:rsidRPr="00B219C9">
        <w:rPr>
          <w:b/>
          <w:bCs/>
          <w:color w:val="0C818F" w:themeColor="accent3"/>
        </w:rPr>
        <w:t>Requirement:</w:t>
      </w:r>
      <w:r w:rsidR="4EC7DE34" w:rsidRPr="002370F9">
        <w:t xml:space="preserve"> For selection of performance criteria for coating systems, </w:t>
      </w:r>
      <w:r w:rsidR="001421DA">
        <w:t>the structural engineer (in consultation with the architect)</w:t>
      </w:r>
      <w:r w:rsidR="00552D98">
        <w:t xml:space="preserve"> shall </w:t>
      </w:r>
      <w:r w:rsidR="008637DF">
        <w:t>compile</w:t>
      </w:r>
      <w:r w:rsidR="00552D98">
        <w:t xml:space="preserve"> information </w:t>
      </w:r>
      <w:r w:rsidR="008637DF">
        <w:t xml:space="preserve">on coating system options </w:t>
      </w:r>
      <w:r w:rsidR="00B91A48">
        <w:t>(consideration likely maintenance periods)</w:t>
      </w:r>
      <w:r w:rsidR="001421DA">
        <w:t xml:space="preserve"> </w:t>
      </w:r>
      <w:r w:rsidR="00410CA3">
        <w:t xml:space="preserve">sufficient to allow </w:t>
      </w:r>
      <w:r w:rsidR="4EC7DE34" w:rsidRPr="002370F9">
        <w:t xml:space="preserve">whole-of-life cost analysis </w:t>
      </w:r>
      <w:r w:rsidR="00552D98">
        <w:t>to</w:t>
      </w:r>
      <w:r w:rsidR="00552D98" w:rsidRPr="002370F9">
        <w:t xml:space="preserve"> </w:t>
      </w:r>
      <w:r w:rsidR="4EC7DE34" w:rsidRPr="002370F9">
        <w:t xml:space="preserve">be completed </w:t>
      </w:r>
      <w:r w:rsidR="00552D98">
        <w:t xml:space="preserve">by the project cost consultant </w:t>
      </w:r>
      <w:r w:rsidR="4EC7DE34" w:rsidRPr="002370F9">
        <w:t xml:space="preserve">and recorded as part of project documentation. </w:t>
      </w:r>
      <w:r w:rsidR="00262871">
        <w:t>C</w:t>
      </w:r>
      <w:r w:rsidR="4EC7DE34" w:rsidRPr="002370F9">
        <w:t xml:space="preserve">ost analysis and decision outcomes shall be referenced in the Structural Design Features Report. </w:t>
      </w:r>
    </w:p>
    <w:p w14:paraId="6D4107BE" w14:textId="65BCCF1B" w:rsidR="00415D29" w:rsidRPr="002370F9" w:rsidRDefault="4EC7DE34" w:rsidP="00666E06">
      <w:r w:rsidRPr="002370F9">
        <w:t xml:space="preserve">Where structural steel components are deemed to be in locations which are practically inaccessible for maintenance, it will rarely be practical to use normal protective coatings. Strategies will need to be developed to ensure that the specified intended life of 100-years can be met. </w:t>
      </w:r>
    </w:p>
    <w:p w14:paraId="3D10734B" w14:textId="712C2ABA"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Specifiers should apply proportionality principles when determining whether an element is inaccessible for maintenance. In the context of a 100-year Specified Intended Life, “difficult” maintenance may still be practical and proportionate</w:t>
      </w:r>
      <w:r w:rsidR="004717AC">
        <w:t xml:space="preserve"> </w:t>
      </w:r>
      <w:r w:rsidRPr="002370F9">
        <w:t xml:space="preserve">as long as the frequency of such work is low and some means of inspection is plausible. </w:t>
      </w:r>
    </w:p>
    <w:p w14:paraId="2525B0FE" w14:textId="039FABFD" w:rsidR="00415D29" w:rsidRPr="002370F9" w:rsidRDefault="4EC7DE34"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2370F9">
        <w:t xml:space="preserve">For example, it is usually practical to expect that lightweight parts of the building enclosure might require replacement over this time period, which would present an opportunity to gain access to parts of primary structure that otherwise remain concealed and are difficult to access. However, it should not require deconstruction of primary structure or heavy cladding, nor disproportionate wastage of material (e.g. cladding material) well before the end of its useful life. </w:t>
      </w:r>
    </w:p>
    <w:p w14:paraId="04353357" w14:textId="77777777" w:rsidR="00037C9D" w:rsidRPr="002370F9" w:rsidRDefault="00037C9D" w:rsidP="00666E06"/>
    <w:p w14:paraId="38EC1562" w14:textId="53FD1F93" w:rsidR="0026594F" w:rsidRDefault="0026594F" w:rsidP="00666E06">
      <w:r>
        <w:br w:type="page"/>
      </w:r>
    </w:p>
    <w:p w14:paraId="164C4CEE" w14:textId="30DBE12C" w:rsidR="00A4513D" w:rsidRPr="00A9001D" w:rsidRDefault="00A4513D" w:rsidP="00BD1621">
      <w:pPr>
        <w:pStyle w:val="Section2Heading1"/>
      </w:pPr>
      <w:bookmarkStart w:id="184" w:name="_Ref151386872"/>
      <w:bookmarkStart w:id="185" w:name="_Ref151529784"/>
      <w:bookmarkStart w:id="186" w:name="_Toc203641957"/>
      <w:bookmarkStart w:id="187" w:name="_Toc147899152"/>
      <w:bookmarkStart w:id="188" w:name="_Ref149631194"/>
      <w:bookmarkStart w:id="189" w:name="_Ref149631197"/>
      <w:bookmarkStart w:id="190" w:name="_Ref149633810"/>
      <w:bookmarkStart w:id="191" w:name="_Ref149634916"/>
      <w:bookmarkStart w:id="192" w:name="_Ref149645333"/>
      <w:r w:rsidRPr="00A9001D">
        <w:lastRenderedPageBreak/>
        <w:t>Sustainable Design</w:t>
      </w:r>
      <w:bookmarkEnd w:id="184"/>
      <w:bookmarkEnd w:id="185"/>
      <w:bookmarkEnd w:id="186"/>
    </w:p>
    <w:p w14:paraId="028BB796" w14:textId="21F3D906" w:rsidR="00AD20E1" w:rsidRPr="002370F9" w:rsidRDefault="007D5C79" w:rsidP="00666E06">
      <w:r w:rsidRPr="0077701F">
        <w:t xml:space="preserve">Health NZ </w:t>
      </w:r>
      <w:r w:rsidR="00EB03F0" w:rsidRPr="00563FB0">
        <w:t>support</w:t>
      </w:r>
      <w:r w:rsidR="005063D1" w:rsidRPr="00563FB0">
        <w:t>s</w:t>
      </w:r>
      <w:r w:rsidR="00EB03F0" w:rsidRPr="00563FB0">
        <w:t xml:space="preserve"> climate change action.</w:t>
      </w:r>
      <w:r w:rsidR="00987731" w:rsidRPr="0077701F">
        <w:t xml:space="preserve"> This includes the design of a nationally consistent framework</w:t>
      </w:r>
      <w:r w:rsidR="000E7ECA" w:rsidRPr="0077701F">
        <w:t xml:space="preserve"> for climate change, service resilience and environmental sustainability</w:t>
      </w:r>
      <w:r w:rsidR="003A7CD3" w:rsidRPr="0077701F">
        <w:t xml:space="preserve"> </w:t>
      </w:r>
      <w:r w:rsidR="00F36D66" w:rsidRPr="0077701F">
        <w:t xml:space="preserve">approaches. It requires the </w:t>
      </w:r>
      <w:r w:rsidR="003A7CD3" w:rsidRPr="0077701F">
        <w:t>implementation of a climate sustainability and response plan across the health sector.</w:t>
      </w:r>
    </w:p>
    <w:p w14:paraId="38F39DAD" w14:textId="75837584" w:rsidR="000A4E7D" w:rsidRPr="002370F9" w:rsidRDefault="00C40E16" w:rsidP="00666E06">
      <w:r w:rsidRPr="002370F9">
        <w:t xml:space="preserve">Work is needed to outline emissions targets and performance indicators on national, </w:t>
      </w:r>
      <w:r w:rsidR="007A1D65" w:rsidRPr="002370F9">
        <w:t>regional,</w:t>
      </w:r>
      <w:r w:rsidRPr="002370F9">
        <w:t xml:space="preserve"> and local levels</w:t>
      </w:r>
      <w:r w:rsidR="004717AC">
        <w:t xml:space="preserve"> </w:t>
      </w:r>
      <w:r w:rsidR="000A4E7D" w:rsidRPr="002370F9">
        <w:t xml:space="preserve">and </w:t>
      </w:r>
      <w:r w:rsidR="00414FDC" w:rsidRPr="002370F9">
        <w:t xml:space="preserve">also </w:t>
      </w:r>
      <w:r w:rsidR="00EA40F5" w:rsidRPr="002370F9">
        <w:t xml:space="preserve">in the building of a database </w:t>
      </w:r>
      <w:r w:rsidR="000A4E7D" w:rsidRPr="002370F9">
        <w:t>to track targets as well as the operational and embodied carbon emissions of the health sector.</w:t>
      </w:r>
    </w:p>
    <w:p w14:paraId="61DFF64D" w14:textId="23B3E196" w:rsidR="006823E2" w:rsidRPr="002370F9" w:rsidRDefault="00E06077" w:rsidP="00666E06">
      <w:r w:rsidRPr="002370F9">
        <w:t xml:space="preserve">MBIE’s </w:t>
      </w:r>
      <w:r w:rsidR="00C16A35" w:rsidRPr="002370F9">
        <w:t xml:space="preserve">Building for Climate Change (BfCC) programme set a framework for </w:t>
      </w:r>
      <w:r w:rsidR="0028612C" w:rsidRPr="002370F9">
        <w:t>achieving net zero carbon emissions by 2050</w:t>
      </w:r>
      <w:r w:rsidR="00CA5CB1" w:rsidRPr="002370F9">
        <w:t xml:space="preserve"> (</w:t>
      </w:r>
      <w:r w:rsidR="00CA5CB1" w:rsidRPr="002370F9">
        <w:fldChar w:fldCharType="begin"/>
      </w:r>
      <w:r w:rsidR="00CA5CB1" w:rsidRPr="002370F9">
        <w:instrText xml:space="preserve"> REF _Ref151392247 \h </w:instrText>
      </w:r>
      <w:r w:rsidR="002370F9">
        <w:instrText xml:space="preserve"> \* MERGEFORMAT </w:instrText>
      </w:r>
      <w:r w:rsidR="00CA5CB1" w:rsidRPr="002370F9">
        <w:fldChar w:fldCharType="separate"/>
      </w:r>
      <w:r w:rsidR="006823E2" w:rsidRPr="006823E2">
        <w:t xml:space="preserve">Figure </w:t>
      </w:r>
      <w:r w:rsidR="006823E2" w:rsidRPr="006823E2">
        <w:rPr>
          <w:noProof/>
        </w:rPr>
        <w:t>7</w:t>
      </w:r>
      <w:r w:rsidR="00CA5CB1" w:rsidRPr="002370F9">
        <w:fldChar w:fldCharType="end"/>
      </w:r>
      <w:r w:rsidR="00CA5CB1" w:rsidRPr="002370F9">
        <w:t>)</w:t>
      </w:r>
      <w:r w:rsidR="0028612C" w:rsidRPr="002370F9">
        <w:t>. Public sector projects</w:t>
      </w:r>
      <w:r w:rsidR="00637C20" w:rsidRPr="002370F9">
        <w:t xml:space="preserve"> </w:t>
      </w:r>
      <w:r w:rsidR="002C661C">
        <w:t>were</w:t>
      </w:r>
      <w:r w:rsidR="004377D3" w:rsidRPr="002370F9">
        <w:t xml:space="preserve"> identified as</w:t>
      </w:r>
      <w:r w:rsidR="00637C20" w:rsidRPr="002370F9">
        <w:t xml:space="preserve"> an opportunity for Government to take the lead in establishing the methods and processes </w:t>
      </w:r>
      <w:r w:rsidR="00F423A8" w:rsidRPr="002370F9">
        <w:t xml:space="preserve">to make the big changes that will be required. It begins with the collection of data </w:t>
      </w:r>
      <w:r w:rsidR="00374552" w:rsidRPr="002370F9">
        <w:t>through reporting on projects</w:t>
      </w:r>
      <w:r w:rsidR="00E27D8B" w:rsidRPr="002370F9">
        <w:t>.</w:t>
      </w:r>
    </w:p>
    <w:p w14:paraId="6ADD69E4" w14:textId="5DCD5429" w:rsidR="00E06077" w:rsidRPr="002370F9" w:rsidRDefault="00E27D8B" w:rsidP="00666E06">
      <w:r w:rsidRPr="002370F9">
        <w:t xml:space="preserve">Irrespective </w:t>
      </w:r>
      <w:r w:rsidR="00693A29" w:rsidRPr="002370F9">
        <w:t xml:space="preserve">of targets or aspirations that apply to </w:t>
      </w:r>
      <w:r w:rsidR="005C6EB8" w:rsidRPr="002370F9">
        <w:t xml:space="preserve">any specific project, this knowledge </w:t>
      </w:r>
      <w:r w:rsidR="00166CDF" w:rsidRPr="002370F9">
        <w:t>enabl</w:t>
      </w:r>
      <w:r w:rsidR="005C6EB8" w:rsidRPr="002370F9">
        <w:t>es</w:t>
      </w:r>
      <w:r w:rsidR="00166CDF" w:rsidRPr="002370F9">
        <w:t xml:space="preserve"> smart design decisions </w:t>
      </w:r>
      <w:r w:rsidR="005C6EB8" w:rsidRPr="002370F9">
        <w:t xml:space="preserve">to be made </w:t>
      </w:r>
      <w:r w:rsidR="004377D3" w:rsidRPr="002370F9">
        <w:t>to</w:t>
      </w:r>
      <w:r w:rsidR="00166CDF" w:rsidRPr="002370F9">
        <w:t xml:space="preserve"> minimis</w:t>
      </w:r>
      <w:r w:rsidR="00675E0E" w:rsidRPr="002370F9">
        <w:t>e</w:t>
      </w:r>
      <w:r w:rsidR="00166CDF" w:rsidRPr="002370F9">
        <w:t xml:space="preserve"> </w:t>
      </w:r>
      <w:r w:rsidR="00CA5CB1" w:rsidRPr="002370F9">
        <w:t>emissions</w:t>
      </w:r>
      <w:r w:rsidR="00AD6FA4" w:rsidRPr="002370F9">
        <w:t>.</w:t>
      </w:r>
    </w:p>
    <w:p w14:paraId="773D9419" w14:textId="77777777" w:rsidR="00E914A4" w:rsidRDefault="00E914A4" w:rsidP="00666E06">
      <w:r>
        <w:rPr>
          <w:noProof/>
        </w:rPr>
        <w:drawing>
          <wp:inline distT="0" distB="0" distL="0" distR="0" wp14:anchorId="6C8F0B93" wp14:editId="46BBF359">
            <wp:extent cx="6120130" cy="3316605"/>
            <wp:effectExtent l="0" t="0" r="0" b="0"/>
            <wp:docPr id="1490145999" name="Picture 1490145999" descr="A step by step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45999" name="Picture 1" descr="A step by step diagram&#10;&#10;Description automatically generated with medium confidence"/>
                    <pic:cNvPicPr/>
                  </pic:nvPicPr>
                  <pic:blipFill>
                    <a:blip r:embed="rId57"/>
                    <a:stretch>
                      <a:fillRect/>
                    </a:stretch>
                  </pic:blipFill>
                  <pic:spPr>
                    <a:xfrm>
                      <a:off x="0" y="0"/>
                      <a:ext cx="6120130" cy="3316605"/>
                    </a:xfrm>
                    <a:prstGeom prst="rect">
                      <a:avLst/>
                    </a:prstGeom>
                  </pic:spPr>
                </pic:pic>
              </a:graphicData>
            </a:graphic>
          </wp:inline>
        </w:drawing>
      </w:r>
    </w:p>
    <w:p w14:paraId="5412FB3F" w14:textId="604B2102" w:rsidR="00E914A4" w:rsidRDefault="00E914A4" w:rsidP="00BD1621">
      <w:pPr>
        <w:pStyle w:val="Figure"/>
        <w:rPr>
          <w:sz w:val="20"/>
          <w:szCs w:val="20"/>
        </w:rPr>
      </w:pPr>
      <w:bookmarkStart w:id="193" w:name="_Ref151392247"/>
      <w:r w:rsidRPr="006823E2">
        <w:rPr>
          <w:sz w:val="20"/>
          <w:szCs w:val="20"/>
        </w:rPr>
        <w:t xml:space="preserve">Figure </w:t>
      </w:r>
      <w:r w:rsidRPr="006823E2">
        <w:rPr>
          <w:sz w:val="20"/>
          <w:szCs w:val="20"/>
        </w:rPr>
        <w:fldChar w:fldCharType="begin"/>
      </w:r>
      <w:r w:rsidRPr="006823E2">
        <w:rPr>
          <w:sz w:val="20"/>
          <w:szCs w:val="20"/>
        </w:rPr>
        <w:instrText>SEQ Figure \* ARABIC</w:instrText>
      </w:r>
      <w:r w:rsidRPr="006823E2">
        <w:rPr>
          <w:sz w:val="20"/>
          <w:szCs w:val="20"/>
        </w:rPr>
        <w:fldChar w:fldCharType="separate"/>
      </w:r>
      <w:r w:rsidR="006823E2" w:rsidRPr="006823E2">
        <w:rPr>
          <w:noProof/>
          <w:sz w:val="20"/>
          <w:szCs w:val="20"/>
        </w:rPr>
        <w:t>7</w:t>
      </w:r>
      <w:r w:rsidRPr="006823E2">
        <w:rPr>
          <w:sz w:val="20"/>
          <w:szCs w:val="20"/>
        </w:rPr>
        <w:fldChar w:fldCharType="end"/>
      </w:r>
      <w:bookmarkEnd w:id="193"/>
      <w:r w:rsidRPr="006823E2">
        <w:rPr>
          <w:sz w:val="20"/>
          <w:szCs w:val="20"/>
        </w:rPr>
        <w:t xml:space="preserve">: Proposed steps for the implementation of embodied carbon reduction strategies, reproduced from the Building for Climate Change Programme Whole-of-Life Embodied Carbon Emissions Reduction Framework </w:t>
      </w:r>
      <w:sdt>
        <w:sdtPr>
          <w:rPr>
            <w:sz w:val="20"/>
            <w:szCs w:val="20"/>
          </w:rPr>
          <w:id w:val="-2017150536"/>
          <w:citation/>
        </w:sdtPr>
        <w:sdtEndPr/>
        <w:sdtContent>
          <w:r w:rsidRPr="006823E2">
            <w:rPr>
              <w:sz w:val="20"/>
              <w:szCs w:val="20"/>
            </w:rPr>
            <w:fldChar w:fldCharType="begin"/>
          </w:r>
          <w:r w:rsidRPr="006823E2">
            <w:rPr>
              <w:sz w:val="20"/>
              <w:szCs w:val="20"/>
            </w:rPr>
            <w:instrText xml:space="preserve"> CITATION MBI20 \l 1033 </w:instrText>
          </w:r>
          <w:r w:rsidRPr="006823E2">
            <w:rPr>
              <w:sz w:val="20"/>
              <w:szCs w:val="20"/>
            </w:rPr>
            <w:fldChar w:fldCharType="separate"/>
          </w:r>
          <w:r w:rsidR="00222D65" w:rsidRPr="006823E2">
            <w:rPr>
              <w:noProof/>
              <w:sz w:val="20"/>
              <w:szCs w:val="20"/>
            </w:rPr>
            <w:t>(MBIE, 2020)</w:t>
          </w:r>
          <w:r w:rsidRPr="006823E2">
            <w:rPr>
              <w:sz w:val="20"/>
              <w:szCs w:val="20"/>
            </w:rPr>
            <w:fldChar w:fldCharType="end"/>
          </w:r>
        </w:sdtContent>
      </w:sdt>
    </w:p>
    <w:p w14:paraId="1D8F0134" w14:textId="77777777" w:rsidR="00FE08E7" w:rsidRPr="006823E2" w:rsidRDefault="00FE08E7" w:rsidP="00BD1621">
      <w:pPr>
        <w:pStyle w:val="Figure"/>
        <w:rPr>
          <w:sz w:val="20"/>
          <w:szCs w:val="20"/>
        </w:rPr>
      </w:pPr>
    </w:p>
    <w:p w14:paraId="6B1CBAED" w14:textId="22F1BE41" w:rsidR="002D33B1" w:rsidRPr="000761EA" w:rsidRDefault="00A414C0" w:rsidP="00BD1621">
      <w:pPr>
        <w:pStyle w:val="Section2Heading2"/>
      </w:pPr>
      <w:bookmarkStart w:id="194" w:name="_Ref157205277"/>
      <w:bookmarkStart w:id="195" w:name="_Toc203641958"/>
      <w:r w:rsidRPr="000761EA">
        <w:lastRenderedPageBreak/>
        <w:t xml:space="preserve">Brief for </w:t>
      </w:r>
      <w:r w:rsidR="00190445" w:rsidRPr="000761EA">
        <w:t>E</w:t>
      </w:r>
      <w:r w:rsidR="00FA4053" w:rsidRPr="000761EA">
        <w:t>missions reduction</w:t>
      </w:r>
      <w:r w:rsidR="00190445" w:rsidRPr="000761EA">
        <w:t xml:space="preserve"> targets</w:t>
      </w:r>
      <w:r w:rsidR="00FA4053" w:rsidRPr="000761EA">
        <w:t xml:space="preserve"> and </w:t>
      </w:r>
      <w:r w:rsidRPr="000761EA">
        <w:t>E</w:t>
      </w:r>
      <w:r w:rsidR="00FA4053" w:rsidRPr="000761EA">
        <w:t xml:space="preserve">nvironmental </w:t>
      </w:r>
      <w:r w:rsidRPr="000761EA">
        <w:t>R</w:t>
      </w:r>
      <w:r w:rsidR="00FA4053" w:rsidRPr="000761EA">
        <w:t xml:space="preserve">ating </w:t>
      </w:r>
      <w:r w:rsidRPr="000761EA">
        <w:t>S</w:t>
      </w:r>
      <w:r w:rsidR="00FA4053" w:rsidRPr="000761EA">
        <w:t>ystems</w:t>
      </w:r>
      <w:bookmarkEnd w:id="194"/>
      <w:bookmarkEnd w:id="195"/>
    </w:p>
    <w:p w14:paraId="56C3EC60" w14:textId="1C1AD06E" w:rsidR="00160B95" w:rsidRPr="000761EA" w:rsidRDefault="00160B95" w:rsidP="00666E06">
      <w:r w:rsidRPr="000761EA">
        <w:t xml:space="preserve">Design teams should refer to the </w:t>
      </w:r>
      <w:r w:rsidR="00CA2A2B" w:rsidRPr="000761EA">
        <w:rPr>
          <w:i/>
          <w:iCs/>
        </w:rPr>
        <w:t>Project Technical Brief</w:t>
      </w:r>
      <w:r w:rsidRPr="000761EA">
        <w:t xml:space="preserve"> for </w:t>
      </w:r>
      <w:r w:rsidR="008702FC" w:rsidRPr="000761EA">
        <w:t>specific project requirements in relation</w:t>
      </w:r>
      <w:r w:rsidR="00C04CFA" w:rsidRPr="000761EA">
        <w:t xml:space="preserve"> to </w:t>
      </w:r>
      <w:r w:rsidR="00E914A4" w:rsidRPr="000761EA">
        <w:t xml:space="preserve">targeted </w:t>
      </w:r>
      <w:r w:rsidR="00C04CFA" w:rsidRPr="000761EA">
        <w:t>Environmental Rating</w:t>
      </w:r>
      <w:r w:rsidR="00E914A4" w:rsidRPr="000761EA">
        <w:t>s</w:t>
      </w:r>
      <w:r w:rsidR="00C04CFA" w:rsidRPr="000761EA">
        <w:t xml:space="preserve"> (such as Greenstar)</w:t>
      </w:r>
      <w:r w:rsidR="00E914A4" w:rsidRPr="000761EA">
        <w:t xml:space="preserve"> </w:t>
      </w:r>
      <w:r w:rsidR="0032664E" w:rsidRPr="000761EA">
        <w:t>and</w:t>
      </w:r>
      <w:r w:rsidR="00E914A4" w:rsidRPr="000761EA">
        <w:t xml:space="preserve"> specific emissions reductions targets.</w:t>
      </w:r>
      <w:r w:rsidR="00ED7386" w:rsidRPr="000761EA">
        <w:t xml:space="preserve"> </w:t>
      </w:r>
      <w:r w:rsidR="00063204" w:rsidRPr="000761EA">
        <w:t>Proposed</w:t>
      </w:r>
      <w:r w:rsidR="00546969" w:rsidRPr="000761EA">
        <w:t xml:space="preserve"> policies</w:t>
      </w:r>
      <w:r w:rsidR="00ED7386" w:rsidRPr="000761EA">
        <w:t xml:space="preserve"> are set out in </w:t>
      </w:r>
      <w:r w:rsidR="00477B40" w:rsidRPr="000761EA">
        <w:t xml:space="preserve">Section </w:t>
      </w:r>
      <w:r w:rsidR="00276739" w:rsidRPr="000761EA">
        <w:t>1.10</w:t>
      </w:r>
      <w:r w:rsidR="00065F39" w:rsidRPr="000761EA">
        <w:t xml:space="preserve"> of the NZ Health Facility </w:t>
      </w:r>
      <w:hyperlink r:id="rId58" w:history="1">
        <w:r w:rsidR="00065F39" w:rsidRPr="000761EA">
          <w:rPr>
            <w:rStyle w:val="Hyperlink"/>
            <w:color w:val="0070C0"/>
          </w:rPr>
          <w:t>Design Guidance Note</w:t>
        </w:r>
      </w:hyperlink>
      <w:r w:rsidR="00065F39" w:rsidRPr="000761EA">
        <w:t xml:space="preserve"> </w:t>
      </w:r>
      <w:sdt>
        <w:sdtPr>
          <w:id w:val="-2137244050"/>
          <w:citation/>
        </w:sdtPr>
        <w:sdtEndPr/>
        <w:sdtContent>
          <w:r w:rsidR="000E6EA7" w:rsidRPr="000761EA">
            <w:fldChar w:fldCharType="begin"/>
          </w:r>
          <w:r w:rsidR="000E6EA7" w:rsidRPr="000761EA">
            <w:rPr>
              <w:lang w:val="en-US"/>
            </w:rPr>
            <w:instrText xml:space="preserve"> CITATION TeW \l 1033 </w:instrText>
          </w:r>
          <w:r w:rsidR="000E6EA7" w:rsidRPr="000761EA">
            <w:fldChar w:fldCharType="separate"/>
          </w:r>
          <w:r w:rsidR="00222D65">
            <w:rPr>
              <w:noProof/>
              <w:lang w:val="en-US"/>
            </w:rPr>
            <w:t>(Te Whatu Ora, 2022)</w:t>
          </w:r>
          <w:r w:rsidR="000E6EA7" w:rsidRPr="000761EA">
            <w:fldChar w:fldCharType="end"/>
          </w:r>
        </w:sdtContent>
      </w:sdt>
      <w:r w:rsidR="00065F39" w:rsidRPr="000761EA">
        <w:t>.</w:t>
      </w:r>
    </w:p>
    <w:p w14:paraId="3238D72B" w14:textId="67341575" w:rsidR="008702FC" w:rsidRPr="000761EA" w:rsidRDefault="008702FC" w:rsidP="00666E06">
      <w:r w:rsidRPr="000761EA">
        <w:t xml:space="preserve">The remainder of the requirements in </w:t>
      </w:r>
      <w:r w:rsidR="00A414C0" w:rsidRPr="000761EA">
        <w:t xml:space="preserve">this document relate to the measurement </w:t>
      </w:r>
      <w:r w:rsidR="0009410C" w:rsidRPr="000761EA">
        <w:t>and reporting</w:t>
      </w:r>
      <w:r w:rsidR="00083539" w:rsidRPr="000761EA">
        <w:t xml:space="preserve"> of </w:t>
      </w:r>
      <w:r w:rsidR="00AA1D21" w:rsidRPr="000761EA">
        <w:t>carbon emissions data</w:t>
      </w:r>
      <w:r w:rsidR="0009410C" w:rsidRPr="000761EA">
        <w:t xml:space="preserve">. </w:t>
      </w:r>
      <w:r w:rsidR="00E15557" w:rsidRPr="000761EA">
        <w:t>This</w:t>
      </w:r>
      <w:r w:rsidR="007D5406" w:rsidRPr="000761EA">
        <w:t xml:space="preserve"> support</w:t>
      </w:r>
      <w:r w:rsidR="00310280" w:rsidRPr="000761EA">
        <w:t xml:space="preserve">s </w:t>
      </w:r>
      <w:r w:rsidR="006B54C9" w:rsidRPr="000761EA">
        <w:t xml:space="preserve">compliance with </w:t>
      </w:r>
      <w:r w:rsidR="007D5406" w:rsidRPr="000761EA">
        <w:t>specific</w:t>
      </w:r>
      <w:r w:rsidR="006B54C9" w:rsidRPr="000761EA">
        <w:t xml:space="preserve"> project</w:t>
      </w:r>
      <w:r w:rsidR="007D5406" w:rsidRPr="000761EA">
        <w:t xml:space="preserve"> brief </w:t>
      </w:r>
      <w:r w:rsidR="00310280" w:rsidRPr="000761EA">
        <w:t>requirements and</w:t>
      </w:r>
      <w:r w:rsidR="00476F3C" w:rsidRPr="000761EA">
        <w:t xml:space="preserve"> </w:t>
      </w:r>
      <w:r w:rsidR="00AA1D21" w:rsidRPr="000761EA">
        <w:t xml:space="preserve">allows clear visibility </w:t>
      </w:r>
      <w:r w:rsidR="00D6054E" w:rsidRPr="000761EA">
        <w:t>of significant emissions sources</w:t>
      </w:r>
      <w:r w:rsidR="00476F3C" w:rsidRPr="000761EA">
        <w:t xml:space="preserve"> to ensure they can be weighed</w:t>
      </w:r>
      <w:r w:rsidR="00EE2E4F" w:rsidRPr="000761EA">
        <w:t xml:space="preserve"> </w:t>
      </w:r>
      <w:r w:rsidR="004E1FEA" w:rsidRPr="000761EA">
        <w:t>as a factor in</w:t>
      </w:r>
      <w:r w:rsidR="00EE2E4F" w:rsidRPr="000761EA">
        <w:t xml:space="preserve"> </w:t>
      </w:r>
      <w:r w:rsidR="004E1FEA" w:rsidRPr="000761EA">
        <w:t>decision making</w:t>
      </w:r>
      <w:r w:rsidR="00083539" w:rsidRPr="000761EA">
        <w:t>.</w:t>
      </w:r>
      <w:r w:rsidR="00D6054E" w:rsidRPr="000761EA">
        <w:t xml:space="preserve"> This allows good project decisions to be made, with or without the presence of mandated </w:t>
      </w:r>
      <w:r w:rsidR="00C30041" w:rsidRPr="000761EA">
        <w:t>emissions reductions targets.</w:t>
      </w:r>
    </w:p>
    <w:p w14:paraId="43002809" w14:textId="46E70FDD" w:rsidR="00604A4F" w:rsidRPr="000761EA" w:rsidRDefault="00604A4F" w:rsidP="00666E06">
      <w:r w:rsidRPr="000761EA">
        <w:t xml:space="preserve">The module framework </w:t>
      </w:r>
      <w:r w:rsidR="004414CA" w:rsidRPr="000761EA">
        <w:t>that defines sources of emissions across a buildings</w:t>
      </w:r>
      <w:r w:rsidRPr="000761EA">
        <w:t xml:space="preserve"> life</w:t>
      </w:r>
      <w:r w:rsidR="004414CA" w:rsidRPr="000761EA">
        <w:t xml:space="preserve"> </w:t>
      </w:r>
      <w:r w:rsidRPr="000761EA">
        <w:t>cycle of buildings</w:t>
      </w:r>
      <w:r w:rsidR="004414CA" w:rsidRPr="000761EA">
        <w:t xml:space="preserve"> is shown in </w:t>
      </w:r>
      <w:r w:rsidR="00BE46A4" w:rsidRPr="000761EA">
        <w:fldChar w:fldCharType="begin"/>
      </w:r>
      <w:r w:rsidR="00BE46A4" w:rsidRPr="000761EA">
        <w:instrText xml:space="preserve"> REF _Ref151451100 \h </w:instrText>
      </w:r>
      <w:r w:rsidR="000761EA">
        <w:instrText xml:space="preserve"> \* MERGEFORMAT </w:instrText>
      </w:r>
      <w:r w:rsidR="00BE46A4" w:rsidRPr="000761EA">
        <w:fldChar w:fldCharType="separate"/>
      </w:r>
      <w:r w:rsidR="00957E01" w:rsidRPr="00BD1621">
        <w:t xml:space="preserve">Figure </w:t>
      </w:r>
      <w:r w:rsidR="00957E01">
        <w:rPr>
          <w:noProof/>
        </w:rPr>
        <w:t>8</w:t>
      </w:r>
      <w:r w:rsidR="00BE46A4" w:rsidRPr="000761EA">
        <w:fldChar w:fldCharType="end"/>
      </w:r>
      <w:r w:rsidR="00BE46A4" w:rsidRPr="000761EA">
        <w:t>.</w:t>
      </w:r>
    </w:p>
    <w:p w14:paraId="5C6D97B7" w14:textId="77777777" w:rsidR="000E2A89" w:rsidRDefault="000E2A89" w:rsidP="009F49A3">
      <w:pPr>
        <w:jc w:val="center"/>
      </w:pPr>
      <w:r>
        <w:rPr>
          <w:noProof/>
        </w:rPr>
        <w:drawing>
          <wp:inline distT="0" distB="0" distL="0" distR="0" wp14:anchorId="17E709FB" wp14:editId="4AF58B46">
            <wp:extent cx="5858539" cy="3401575"/>
            <wp:effectExtent l="0" t="0" r="0" b="8890"/>
            <wp:docPr id="1295587015" name="Picture 129558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87015" name=""/>
                    <pic:cNvPicPr/>
                  </pic:nvPicPr>
                  <pic:blipFill>
                    <a:blip r:embed="rId59"/>
                    <a:stretch>
                      <a:fillRect/>
                    </a:stretch>
                  </pic:blipFill>
                  <pic:spPr>
                    <a:xfrm>
                      <a:off x="0" y="0"/>
                      <a:ext cx="5861929" cy="3403543"/>
                    </a:xfrm>
                    <a:prstGeom prst="rect">
                      <a:avLst/>
                    </a:prstGeom>
                  </pic:spPr>
                </pic:pic>
              </a:graphicData>
            </a:graphic>
          </wp:inline>
        </w:drawing>
      </w:r>
    </w:p>
    <w:p w14:paraId="7FC198E6" w14:textId="60688E43" w:rsidR="000E2A89" w:rsidRPr="00BD1621" w:rsidRDefault="000E2A89" w:rsidP="00BD1621">
      <w:pPr>
        <w:pStyle w:val="Figure"/>
      </w:pPr>
      <w:bookmarkStart w:id="196" w:name="_Ref151451100"/>
      <w:r w:rsidRPr="00BD1621">
        <w:t xml:space="preserve">Figure </w:t>
      </w:r>
      <w:r w:rsidRPr="00BD1621">
        <w:fldChar w:fldCharType="begin"/>
      </w:r>
      <w:r w:rsidRPr="00BD1621">
        <w:instrText>SEQ Figure \* ARABIC</w:instrText>
      </w:r>
      <w:r w:rsidRPr="00BD1621">
        <w:fldChar w:fldCharType="separate"/>
      </w:r>
      <w:r w:rsidR="00957E01">
        <w:rPr>
          <w:noProof/>
        </w:rPr>
        <w:t>8</w:t>
      </w:r>
      <w:r w:rsidRPr="00BD1621">
        <w:fldChar w:fldCharType="end"/>
      </w:r>
      <w:bookmarkEnd w:id="196"/>
      <w:r w:rsidRPr="00BD1621">
        <w:t xml:space="preserve">: Module framework for life cycle assessment of buildings, reproduced from the Building for Climate Change Programme Whole-of-Life Embodied Carbon Emissions Reduction Framework </w:t>
      </w:r>
      <w:sdt>
        <w:sdtPr>
          <w:id w:val="749772154"/>
          <w:citation/>
        </w:sdtPr>
        <w:sdtEndPr/>
        <w:sdtContent>
          <w:r w:rsidRPr="00BD1621">
            <w:fldChar w:fldCharType="begin"/>
          </w:r>
          <w:r w:rsidRPr="00BD1621">
            <w:instrText xml:space="preserve"> CITATION MBI20 \l 1033 </w:instrText>
          </w:r>
          <w:r w:rsidRPr="00BD1621">
            <w:fldChar w:fldCharType="separate"/>
          </w:r>
          <w:r w:rsidR="00222D65" w:rsidRPr="00222D65">
            <w:rPr>
              <w:noProof/>
            </w:rPr>
            <w:t>(MBIE, 2020)</w:t>
          </w:r>
          <w:r w:rsidRPr="00BD1621">
            <w:fldChar w:fldCharType="end"/>
          </w:r>
        </w:sdtContent>
      </w:sdt>
    </w:p>
    <w:p w14:paraId="108F0745" w14:textId="4C11894C" w:rsidR="00D259A1" w:rsidRPr="000761EA" w:rsidRDefault="004C4946" w:rsidP="00BD1621">
      <w:pPr>
        <w:pStyle w:val="Section2Heading2"/>
      </w:pPr>
      <w:bookmarkStart w:id="197" w:name="_Ref149646191"/>
      <w:bookmarkStart w:id="198" w:name="_Toc203641959"/>
      <w:r w:rsidRPr="000761EA">
        <w:t>Structural</w:t>
      </w:r>
      <w:r w:rsidR="00835562" w:rsidRPr="000761EA">
        <w:t xml:space="preserve"> Embodied Carbon Emissions</w:t>
      </w:r>
      <w:bookmarkEnd w:id="187"/>
      <w:bookmarkEnd w:id="188"/>
      <w:bookmarkEnd w:id="189"/>
      <w:bookmarkEnd w:id="190"/>
      <w:bookmarkEnd w:id="191"/>
      <w:bookmarkEnd w:id="192"/>
      <w:bookmarkEnd w:id="197"/>
      <w:bookmarkEnd w:id="198"/>
    </w:p>
    <w:p w14:paraId="407634B1" w14:textId="6171BB18" w:rsidR="003B7C8C" w:rsidRPr="00BD1621" w:rsidRDefault="002853B4" w:rsidP="00D56CAE">
      <w:pPr>
        <w:pStyle w:val="BodyHeading"/>
        <w:rPr>
          <w:color w:val="0C818E"/>
        </w:rPr>
      </w:pPr>
      <w:r w:rsidRPr="00BD1621">
        <w:rPr>
          <w:color w:val="0C818E"/>
        </w:rPr>
        <w:t>Methodology for c</w:t>
      </w:r>
      <w:r w:rsidR="000304B7" w:rsidRPr="00BD1621">
        <w:rPr>
          <w:color w:val="0C818E"/>
        </w:rPr>
        <w:t>alculating emissions (global warming potential)</w:t>
      </w:r>
    </w:p>
    <w:p w14:paraId="5924FFF2" w14:textId="72BB0583" w:rsidR="000304B7" w:rsidRPr="000761EA" w:rsidRDefault="007E5DEE" w:rsidP="00666E06">
      <w:r w:rsidRPr="000761EA">
        <w:t>In general terms, e</w:t>
      </w:r>
      <w:r w:rsidR="00791C8B" w:rsidRPr="000761EA">
        <w:t xml:space="preserve">missions and global warming potential associated with </w:t>
      </w:r>
      <w:r w:rsidR="00CC4898" w:rsidRPr="000761EA">
        <w:t>building structures and foundations</w:t>
      </w:r>
      <w:r w:rsidR="0045614E" w:rsidRPr="000761EA">
        <w:t xml:space="preserve"> should be considered in the context of the entire project</w:t>
      </w:r>
      <w:r w:rsidRPr="000761EA">
        <w:t xml:space="preserve"> boundary</w:t>
      </w:r>
      <w:r w:rsidR="00DF27DC" w:rsidRPr="000761EA">
        <w:t xml:space="preserve"> </w:t>
      </w:r>
      <w:r w:rsidR="00BD2041" w:rsidRPr="000761EA">
        <w:t>over its full lifecycle</w:t>
      </w:r>
      <w:r w:rsidR="00BD2041" w:rsidRPr="000761EA">
        <w:rPr>
          <w:rFonts w:cstheme="minorHAnsi"/>
        </w:rPr>
        <w:t>—</w:t>
      </w:r>
      <w:r w:rsidR="005D6966" w:rsidRPr="000761EA">
        <w:t>including embodied and operational emissions</w:t>
      </w:r>
      <w:r w:rsidR="0045614E" w:rsidRPr="000761EA">
        <w:t>.</w:t>
      </w:r>
      <w:r w:rsidRPr="000761EA">
        <w:t xml:space="preserve"> In practical terms</w:t>
      </w:r>
      <w:r w:rsidR="00DA5A93" w:rsidRPr="000761EA">
        <w:t>, this comprises the following activities</w:t>
      </w:r>
      <w:r w:rsidR="00C35611" w:rsidRPr="000761EA">
        <w:t>:</w:t>
      </w:r>
    </w:p>
    <w:p w14:paraId="7A13F3B8" w14:textId="77777777" w:rsidR="0059003D" w:rsidRPr="000761EA" w:rsidRDefault="0059003D" w:rsidP="004D55F1">
      <w:pPr>
        <w:pStyle w:val="ListParagraph"/>
        <w:numPr>
          <w:ilvl w:val="0"/>
          <w:numId w:val="12"/>
        </w:numPr>
      </w:pPr>
      <w:r w:rsidRPr="000761EA">
        <w:lastRenderedPageBreak/>
        <w:t xml:space="preserve">Calculation of </w:t>
      </w:r>
      <w:r w:rsidRPr="000761EA">
        <w:rPr>
          <w:i/>
        </w:rPr>
        <w:t>Up-front Carbon</w:t>
      </w:r>
      <w:r w:rsidRPr="000761EA">
        <w:t xml:space="preserve"> from construction (Modules A1 – A5)</w:t>
      </w:r>
    </w:p>
    <w:p w14:paraId="6A79C750" w14:textId="77777777" w:rsidR="0059003D" w:rsidRPr="000761EA" w:rsidRDefault="0059003D" w:rsidP="004D55F1">
      <w:pPr>
        <w:pStyle w:val="ListParagraph"/>
        <w:numPr>
          <w:ilvl w:val="0"/>
          <w:numId w:val="12"/>
        </w:numPr>
      </w:pPr>
      <w:r w:rsidRPr="000761EA">
        <w:t xml:space="preserve">Estimating </w:t>
      </w:r>
      <w:r w:rsidRPr="000761EA">
        <w:rPr>
          <w:i/>
        </w:rPr>
        <w:t>Whole-of-Life Embodied Carbon</w:t>
      </w:r>
      <w:r w:rsidRPr="000761EA">
        <w:t xml:space="preserve"> (Modules A to D, excluding B6 and B7)</w:t>
      </w:r>
    </w:p>
    <w:p w14:paraId="5CE03070" w14:textId="77777777" w:rsidR="0059003D" w:rsidRPr="000761EA" w:rsidRDefault="0059003D" w:rsidP="004D55F1">
      <w:pPr>
        <w:pStyle w:val="ListParagraph"/>
        <w:numPr>
          <w:ilvl w:val="0"/>
          <w:numId w:val="12"/>
        </w:numPr>
      </w:pPr>
      <w:r w:rsidRPr="000761EA">
        <w:rPr>
          <w:i/>
        </w:rPr>
        <w:t>Life Cycle Assessment</w:t>
      </w:r>
      <w:r w:rsidRPr="000761EA">
        <w:t xml:space="preserve"> (LCA); (all Modules A to D)</w:t>
      </w:r>
    </w:p>
    <w:p w14:paraId="146C612C" w14:textId="502F36F4" w:rsidR="00710AEF" w:rsidRPr="000761EA" w:rsidRDefault="00710AEF" w:rsidP="00666E06">
      <w:r w:rsidRPr="000761EA">
        <w:t xml:space="preserve">Calculation of </w:t>
      </w:r>
      <w:r w:rsidRPr="000761EA">
        <w:rPr>
          <w:i/>
        </w:rPr>
        <w:t>Up-front Carbon</w:t>
      </w:r>
      <w:r w:rsidRPr="000761EA">
        <w:t xml:space="preserve"> is </w:t>
      </w:r>
      <w:r w:rsidR="00C119E3" w:rsidRPr="000761EA">
        <w:t>straightforward and</w:t>
      </w:r>
      <w:r w:rsidR="005B3388" w:rsidRPr="000761EA">
        <w:t xml:space="preserve"> </w:t>
      </w:r>
      <w:r w:rsidR="005D6B29" w:rsidRPr="000761EA">
        <w:t>has one of the largest impacts on global warming potential</w:t>
      </w:r>
      <w:r w:rsidR="00C02D0A" w:rsidRPr="000761EA">
        <w:t xml:space="preserve"> and the need to reduce emissions now</w:t>
      </w:r>
      <w:r w:rsidR="00AD2D06" w:rsidRPr="000761EA">
        <w:t xml:space="preserve">. </w:t>
      </w:r>
      <w:r w:rsidR="005B3388" w:rsidRPr="000761EA">
        <w:t>Its measurement</w:t>
      </w:r>
      <w:r w:rsidR="00AD2D06" w:rsidRPr="000761EA">
        <w:t xml:space="preserve"> is required for all </w:t>
      </w:r>
      <w:r w:rsidR="007D5C79">
        <w:t xml:space="preserve">Health NZ </w:t>
      </w:r>
      <w:r w:rsidR="00AD2D06" w:rsidRPr="000761EA">
        <w:t>projects</w:t>
      </w:r>
      <w:r w:rsidR="005B3388" w:rsidRPr="000761EA">
        <w:t xml:space="preserve"> (refer to Section </w:t>
      </w:r>
      <w:r w:rsidR="00C62298" w:rsidRPr="000761EA">
        <w:fldChar w:fldCharType="begin"/>
      </w:r>
      <w:r w:rsidR="00C62298" w:rsidRPr="000761EA">
        <w:instrText xml:space="preserve"> REF _Ref157144177 \r \h </w:instrText>
      </w:r>
      <w:r w:rsidR="000761EA">
        <w:instrText xml:space="preserve"> \* MERGEFORMAT </w:instrText>
      </w:r>
      <w:r w:rsidR="00C62298" w:rsidRPr="000761EA">
        <w:fldChar w:fldCharType="separate"/>
      </w:r>
      <w:r w:rsidR="000761C1">
        <w:t>A3.3</w:t>
      </w:r>
      <w:r w:rsidR="00C62298" w:rsidRPr="000761EA">
        <w:fldChar w:fldCharType="end"/>
      </w:r>
      <w:r w:rsidR="005B3388" w:rsidRPr="000761EA">
        <w:t xml:space="preserve"> for requirements)</w:t>
      </w:r>
      <w:r w:rsidR="00E64E0E" w:rsidRPr="000761EA">
        <w:t>.</w:t>
      </w:r>
      <w:r w:rsidR="00AD2D06" w:rsidRPr="000761EA">
        <w:t xml:space="preserve"> </w:t>
      </w:r>
      <w:r w:rsidR="00667C55" w:rsidRPr="000761EA">
        <w:t>This requirement</w:t>
      </w:r>
      <w:r w:rsidR="00AD2D06" w:rsidRPr="000761EA">
        <w:t xml:space="preserve"> aligns with the </w:t>
      </w:r>
      <w:r w:rsidR="00667C55" w:rsidRPr="000761EA">
        <w:t xml:space="preserve">MBIE BfCC framework, and the </w:t>
      </w:r>
      <w:r w:rsidR="00331660" w:rsidRPr="000761EA">
        <w:t xml:space="preserve">boundary of the </w:t>
      </w:r>
      <w:r w:rsidR="00667C55" w:rsidRPr="000761EA">
        <w:t>initial</w:t>
      </w:r>
      <w:r w:rsidR="00E64E0E" w:rsidRPr="000761EA">
        <w:t xml:space="preserve"> mandatory </w:t>
      </w:r>
      <w:r w:rsidR="00667C55" w:rsidRPr="000761EA">
        <w:t xml:space="preserve">reporting </w:t>
      </w:r>
      <w:r w:rsidR="00E64E0E" w:rsidRPr="000761EA">
        <w:t>requirements</w:t>
      </w:r>
      <w:r w:rsidR="00AD2D06" w:rsidRPr="000761EA">
        <w:t xml:space="preserve"> </w:t>
      </w:r>
      <w:r w:rsidR="00E64E0E" w:rsidRPr="000761EA">
        <w:t>that</w:t>
      </w:r>
      <w:r w:rsidR="00AD2D06" w:rsidRPr="000761EA">
        <w:t xml:space="preserve"> </w:t>
      </w:r>
      <w:r w:rsidR="00C17CC4">
        <w:t>were proposed</w:t>
      </w:r>
      <w:r w:rsidR="00AD2D06" w:rsidRPr="000761EA">
        <w:t>.</w:t>
      </w:r>
      <w:r w:rsidR="006E00AF" w:rsidRPr="000761EA">
        <w:t xml:space="preserve"> It also aligns with minimum requirements of </w:t>
      </w:r>
      <w:r w:rsidR="007C3348" w:rsidRPr="000761EA">
        <w:t xml:space="preserve">the NZGBC </w:t>
      </w:r>
      <w:r w:rsidR="006E00AF" w:rsidRPr="000761EA">
        <w:t>Greenstar rating tool.</w:t>
      </w:r>
    </w:p>
    <w:p w14:paraId="40670C66" w14:textId="7373549C" w:rsidR="00BD7E40" w:rsidRPr="000761EA" w:rsidRDefault="00082B96" w:rsidP="00666E06">
      <w:r w:rsidRPr="000761EA">
        <w:rPr>
          <w:i/>
        </w:rPr>
        <w:t xml:space="preserve">Whole-of-Life </w:t>
      </w:r>
      <w:r w:rsidR="00C81CCF" w:rsidRPr="000761EA">
        <w:rPr>
          <w:i/>
          <w:iCs/>
        </w:rPr>
        <w:t>E</w:t>
      </w:r>
      <w:r w:rsidRPr="000761EA">
        <w:rPr>
          <w:i/>
          <w:iCs/>
        </w:rPr>
        <w:t xml:space="preserve">mbodied </w:t>
      </w:r>
      <w:r w:rsidR="00C81CCF" w:rsidRPr="000761EA">
        <w:rPr>
          <w:i/>
          <w:iCs/>
        </w:rPr>
        <w:t>C</w:t>
      </w:r>
      <w:r w:rsidRPr="000761EA">
        <w:rPr>
          <w:i/>
          <w:iCs/>
        </w:rPr>
        <w:t>arbon</w:t>
      </w:r>
      <w:r w:rsidRPr="000761EA">
        <w:t xml:space="preserve"> calculation, and furthermore </w:t>
      </w:r>
      <w:r w:rsidR="008A64A0" w:rsidRPr="000761EA">
        <w:rPr>
          <w:i/>
        </w:rPr>
        <w:t>Life Cycle Assessment</w:t>
      </w:r>
      <w:r w:rsidRPr="000761EA">
        <w:t xml:space="preserve"> (which includes both embodied and operation carbon)</w:t>
      </w:r>
      <w:r w:rsidR="008A64A0" w:rsidRPr="000761EA">
        <w:t xml:space="preserve"> is required for </w:t>
      </w:r>
      <w:r w:rsidR="00210E04" w:rsidRPr="000761EA">
        <w:t>significant</w:t>
      </w:r>
      <w:r w:rsidR="008A64A0" w:rsidRPr="000761EA">
        <w:t xml:space="preserve"> projects</w:t>
      </w:r>
      <w:r w:rsidRPr="000761EA">
        <w:t>.</w:t>
      </w:r>
      <w:r w:rsidR="008A64A0" w:rsidRPr="000761EA">
        <w:t xml:space="preserve"> </w:t>
      </w:r>
      <w:r w:rsidRPr="000761EA">
        <w:t>This</w:t>
      </w:r>
      <w:r w:rsidR="008A64A0" w:rsidRPr="000761EA">
        <w:t xml:space="preserve"> </w:t>
      </w:r>
      <w:r w:rsidRPr="000761EA">
        <w:t>ensure</w:t>
      </w:r>
      <w:r w:rsidR="00854675" w:rsidRPr="000761EA">
        <w:t>s</w:t>
      </w:r>
      <w:r w:rsidR="008A64A0" w:rsidRPr="000761EA">
        <w:t xml:space="preserve"> </w:t>
      </w:r>
      <w:r w:rsidRPr="000761EA">
        <w:t xml:space="preserve">any decisions </w:t>
      </w:r>
      <w:r w:rsidR="00710AEF" w:rsidRPr="000761EA">
        <w:t>related to minimisation of emissions are made in the context of the</w:t>
      </w:r>
      <w:r w:rsidR="008B5E15" w:rsidRPr="000761EA">
        <w:t xml:space="preserve"> whole project</w:t>
      </w:r>
      <w:r w:rsidR="00AF7956" w:rsidRPr="000761EA">
        <w:t xml:space="preserve">, and </w:t>
      </w:r>
      <w:r w:rsidR="00640450" w:rsidRPr="000761EA">
        <w:t>the</w:t>
      </w:r>
      <w:r w:rsidR="00AF7956" w:rsidRPr="000761EA">
        <w:t xml:space="preserve"> whole lifecycle</w:t>
      </w:r>
      <w:r w:rsidR="00710AEF" w:rsidRPr="000761EA">
        <w:t>.</w:t>
      </w:r>
      <w:r w:rsidR="008B5E15" w:rsidRPr="000761EA">
        <w:t xml:space="preserve"> </w:t>
      </w:r>
      <w:r w:rsidR="00E47DFA" w:rsidRPr="000761EA">
        <w:t>The</w:t>
      </w:r>
      <w:r w:rsidR="001E55AB" w:rsidRPr="000761EA">
        <w:t xml:space="preserve"> value </w:t>
      </w:r>
      <w:r w:rsidR="00E47DFA" w:rsidRPr="000761EA">
        <w:t xml:space="preserve">of LCA </w:t>
      </w:r>
      <w:r w:rsidR="001E55AB" w:rsidRPr="000761EA">
        <w:t xml:space="preserve">is </w:t>
      </w:r>
      <w:r w:rsidR="00E47DFA" w:rsidRPr="000761EA">
        <w:t xml:space="preserve">also </w:t>
      </w:r>
      <w:r w:rsidR="001E55AB" w:rsidRPr="000761EA">
        <w:t>recognised under the</w:t>
      </w:r>
      <w:r w:rsidR="006C33AB" w:rsidRPr="000761EA">
        <w:t xml:space="preserve"> NZGBC</w:t>
      </w:r>
      <w:r w:rsidR="001E55AB" w:rsidRPr="000761EA">
        <w:t xml:space="preserve"> Greenstar rating tool.</w:t>
      </w:r>
      <w:r w:rsidR="00F33140" w:rsidRPr="000761EA">
        <w:t xml:space="preserve"> </w:t>
      </w:r>
      <w:r w:rsidR="006C33AB" w:rsidRPr="000761EA">
        <w:t>LCA</w:t>
      </w:r>
      <w:r w:rsidR="00F33140" w:rsidRPr="000761EA">
        <w:t xml:space="preserve"> helps to ensure sensible decision making but </w:t>
      </w:r>
      <w:r w:rsidR="00E47DFA" w:rsidRPr="000761EA">
        <w:t xml:space="preserve">does </w:t>
      </w:r>
      <w:r w:rsidR="00F33140" w:rsidRPr="000761EA">
        <w:t>require assumptions to be made about</w:t>
      </w:r>
      <w:r w:rsidR="002876E0" w:rsidRPr="000761EA">
        <w:t xml:space="preserve"> the</w:t>
      </w:r>
      <w:r w:rsidR="00F33140" w:rsidRPr="000761EA">
        <w:t xml:space="preserve"> latter life cycle </w:t>
      </w:r>
      <w:r w:rsidR="00E47DFA" w:rsidRPr="000761EA">
        <w:t>stage</w:t>
      </w:r>
      <w:r w:rsidR="002876E0" w:rsidRPr="000761EA">
        <w:t>s</w:t>
      </w:r>
      <w:r w:rsidR="00F33140" w:rsidRPr="000761EA">
        <w:t>.</w:t>
      </w:r>
      <w:r w:rsidR="00E47DFA" w:rsidRPr="000761EA">
        <w:t xml:space="preserve"> </w:t>
      </w:r>
      <w:r w:rsidR="00C029D7" w:rsidRPr="000761EA">
        <w:t xml:space="preserve">It is important </w:t>
      </w:r>
      <w:r w:rsidR="0012250A" w:rsidRPr="000761EA">
        <w:t>that consistent assumptions are applied, and these should be guided by use of the following methodologies:</w:t>
      </w:r>
    </w:p>
    <w:p w14:paraId="61F931B2" w14:textId="376CFB20" w:rsidR="00B219C9" w:rsidRDefault="007D5C79" w:rsidP="00666E06">
      <w:pPr>
        <w:pStyle w:val="Requirement"/>
      </w:pPr>
      <w:r w:rsidRPr="00B219C9">
        <w:rPr>
          <w:b/>
          <w:bCs/>
          <w:color w:val="0C818F" w:themeColor="accent3"/>
        </w:rPr>
        <w:t xml:space="preserve">Health NZ </w:t>
      </w:r>
      <w:r w:rsidR="00925E2F" w:rsidRPr="00B219C9">
        <w:rPr>
          <w:b/>
          <w:bCs/>
          <w:color w:val="0C818F" w:themeColor="accent3"/>
        </w:rPr>
        <w:t>Requirement:</w:t>
      </w:r>
      <w:r w:rsidR="00925E2F" w:rsidRPr="000761EA">
        <w:rPr>
          <w:b/>
          <w:bCs/>
        </w:rPr>
        <w:t xml:space="preserve"> </w:t>
      </w:r>
      <w:r w:rsidR="0009350C" w:rsidRPr="000761EA">
        <w:t xml:space="preserve">For embodied carbon calculation, </w:t>
      </w:r>
      <w:r w:rsidR="00BD7E40" w:rsidRPr="000761EA">
        <w:t>apply</w:t>
      </w:r>
      <w:r w:rsidR="0009350C" w:rsidRPr="000761EA">
        <w:t xml:space="preserve"> the </w:t>
      </w:r>
      <w:r w:rsidR="00CD04DA" w:rsidRPr="000761EA">
        <w:t xml:space="preserve">NZGBC </w:t>
      </w:r>
      <w:r w:rsidR="00D36956" w:rsidRPr="000761EA">
        <w:t xml:space="preserve">Embodied Carbon Methodology, Version </w:t>
      </w:r>
      <w:r w:rsidR="00A66688">
        <w:t>2</w:t>
      </w:r>
      <w:r w:rsidR="00D36956" w:rsidRPr="000761EA">
        <w:t xml:space="preserve">.0 - </w:t>
      </w:r>
      <w:r w:rsidR="00A66688">
        <w:t>December</w:t>
      </w:r>
      <w:r w:rsidR="00D36956" w:rsidRPr="000761EA">
        <w:t xml:space="preserve"> 202</w:t>
      </w:r>
      <w:r w:rsidR="00A66688">
        <w:t>4</w:t>
      </w:r>
      <w:sdt>
        <w:sdtPr>
          <w:id w:val="-1927418108"/>
          <w:citation/>
        </w:sdtPr>
        <w:sdtEndPr/>
        <w:sdtContent>
          <w:r w:rsidR="00D36956" w:rsidRPr="000761EA">
            <w:fldChar w:fldCharType="begin"/>
          </w:r>
          <w:r w:rsidR="00A66688">
            <w:rPr>
              <w:lang w:val="en-US"/>
            </w:rPr>
            <w:instrText xml:space="preserve">CITATION NZG23 \l 1033 </w:instrText>
          </w:r>
          <w:r w:rsidR="00D36956" w:rsidRPr="000761EA">
            <w:fldChar w:fldCharType="separate"/>
          </w:r>
          <w:r w:rsidR="00222D65">
            <w:rPr>
              <w:noProof/>
              <w:lang w:val="en-US"/>
            </w:rPr>
            <w:t xml:space="preserve"> (NZGBC, 2024)</w:t>
          </w:r>
          <w:r w:rsidR="00D36956" w:rsidRPr="000761EA">
            <w:fldChar w:fldCharType="end"/>
          </w:r>
        </w:sdtContent>
      </w:sdt>
      <w:r w:rsidR="00531758">
        <w:t>, or most recent version</w:t>
      </w:r>
      <w:r w:rsidR="0009350C" w:rsidRPr="000761EA">
        <w:t>.</w:t>
      </w:r>
      <w:r w:rsidR="007E1F4F">
        <w:t xml:space="preserve"> </w:t>
      </w:r>
      <w:r w:rsidR="0009350C" w:rsidRPr="000761EA">
        <w:t xml:space="preserve">For Life Cycle Assessment, </w:t>
      </w:r>
      <w:r w:rsidR="00BD7E40" w:rsidRPr="000761EA">
        <w:t xml:space="preserve">apply the </w:t>
      </w:r>
      <w:r w:rsidR="00CD04DA" w:rsidRPr="000761EA">
        <w:t>NZGBC Life Cycle Impacts Calculator Guide, Version 1.0 - May 2023</w:t>
      </w:r>
      <w:r w:rsidR="00BD7E40" w:rsidRPr="000761EA">
        <w:t xml:space="preserve"> </w:t>
      </w:r>
      <w:sdt>
        <w:sdtPr>
          <w:id w:val="463551378"/>
          <w:citation/>
        </w:sdtPr>
        <w:sdtEndPr/>
        <w:sdtContent>
          <w:r w:rsidR="00BD7E40" w:rsidRPr="000761EA">
            <w:fldChar w:fldCharType="begin"/>
          </w:r>
          <w:r w:rsidR="00BD7E40" w:rsidRPr="000761EA">
            <w:rPr>
              <w:lang w:val="en-US"/>
            </w:rPr>
            <w:instrText xml:space="preserve"> CITATION NZG231 \l 1033 </w:instrText>
          </w:r>
          <w:r w:rsidR="00BD7E40" w:rsidRPr="000761EA">
            <w:fldChar w:fldCharType="separate"/>
          </w:r>
          <w:r w:rsidR="00222D65">
            <w:rPr>
              <w:noProof/>
              <w:lang w:val="en-US"/>
            </w:rPr>
            <w:t>(NZGBC, 2023)</w:t>
          </w:r>
          <w:r w:rsidR="00BD7E40" w:rsidRPr="000761EA">
            <w:fldChar w:fldCharType="end"/>
          </w:r>
        </w:sdtContent>
      </w:sdt>
      <w:r w:rsidR="009F77D7">
        <w:t>, or most recent version</w:t>
      </w:r>
      <w:r w:rsidR="00BD7E40" w:rsidRPr="000761EA">
        <w:t>.</w:t>
      </w:r>
    </w:p>
    <w:p w14:paraId="3ADFD4B3" w14:textId="009BC087" w:rsidR="00421D5B" w:rsidRPr="000761EA" w:rsidRDefault="00236381"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In lieu of detailed methodolog</w:t>
      </w:r>
      <w:r w:rsidR="0038367E" w:rsidRPr="000761EA">
        <w:t>ies</w:t>
      </w:r>
      <w:r w:rsidRPr="000761EA">
        <w:t xml:space="preserve"> for Up-front Carbon measurement, Whole-of-Life Embodied Carbon or Life Cycle Analysis (LCA) produced under the MBIE Whole-of-Life Embodied Carbon Emissions Reduction Framework </w:t>
      </w:r>
      <w:sdt>
        <w:sdtPr>
          <w:id w:val="61912020"/>
          <w:citation/>
        </w:sdtPr>
        <w:sdtEndPr/>
        <w:sdtContent>
          <w:r w:rsidRPr="000761EA">
            <w:fldChar w:fldCharType="begin"/>
          </w:r>
          <w:r w:rsidRPr="000761EA">
            <w:rPr>
              <w:lang w:val="en-US"/>
            </w:rPr>
            <w:instrText xml:space="preserve"> CITATION MBI20 \l 1033 </w:instrText>
          </w:r>
          <w:r w:rsidRPr="000761EA">
            <w:fldChar w:fldCharType="separate"/>
          </w:r>
          <w:r w:rsidR="00222D65">
            <w:rPr>
              <w:noProof/>
              <w:lang w:val="en-US"/>
            </w:rPr>
            <w:t>(MBIE, 2020)</w:t>
          </w:r>
          <w:r w:rsidRPr="000761EA">
            <w:fldChar w:fldCharType="end"/>
          </w:r>
        </w:sdtContent>
      </w:sdt>
      <w:r w:rsidR="000F4A82">
        <w:t xml:space="preserve"> </w:t>
      </w:r>
      <w:r w:rsidR="004A751A">
        <w:t>or</w:t>
      </w:r>
      <w:r w:rsidR="000F4A82">
        <w:t xml:space="preserve"> the current </w:t>
      </w:r>
      <w:r w:rsidR="003015A3">
        <w:t>E</w:t>
      </w:r>
      <w:r w:rsidR="000F4A82">
        <w:t xml:space="preserve">missions </w:t>
      </w:r>
      <w:r w:rsidR="003015A3">
        <w:t>R</w:t>
      </w:r>
      <w:r w:rsidR="000F4A82">
        <w:t xml:space="preserve">eduction </w:t>
      </w:r>
      <w:r w:rsidR="003015A3">
        <w:t>P</w:t>
      </w:r>
      <w:r w:rsidR="000F4A82">
        <w:t>lan</w:t>
      </w:r>
      <w:r w:rsidRPr="000761EA">
        <w:t xml:space="preserve">, </w:t>
      </w:r>
      <w:r w:rsidR="007D5C79">
        <w:t xml:space="preserve">Health NZ </w:t>
      </w:r>
      <w:r w:rsidRPr="000761EA">
        <w:t xml:space="preserve">recommend the NZGBC methodology be followed </w:t>
      </w:r>
      <w:sdt>
        <w:sdtPr>
          <w:id w:val="-93780813"/>
          <w:citation/>
        </w:sdtPr>
        <w:sdtEndPr/>
        <w:sdtContent>
          <w:r w:rsidRPr="000761EA">
            <w:fldChar w:fldCharType="begin"/>
          </w:r>
          <w:r w:rsidR="00A66688">
            <w:rPr>
              <w:lang w:val="en-US"/>
            </w:rPr>
            <w:instrText xml:space="preserve">CITATION NZG23 \l 1033 </w:instrText>
          </w:r>
          <w:r w:rsidRPr="000761EA">
            <w:fldChar w:fldCharType="separate"/>
          </w:r>
          <w:r w:rsidR="00222D65">
            <w:rPr>
              <w:noProof/>
              <w:lang w:val="en-US"/>
            </w:rPr>
            <w:t>(NZGBC, 2024)</w:t>
          </w:r>
          <w:r w:rsidRPr="000761EA">
            <w:fldChar w:fldCharType="end"/>
          </w:r>
        </w:sdtContent>
      </w:sdt>
      <w:r w:rsidRPr="000761EA">
        <w:t>. This contains detail necessary to guide the application of the methods in practice and select appropriate assumptions</w:t>
      </w:r>
      <w:r w:rsidR="006A6B14" w:rsidRPr="000761EA">
        <w:t xml:space="preserve"> for latter lifecycle stages</w:t>
      </w:r>
      <w:r w:rsidRPr="000761EA">
        <w:t>.</w:t>
      </w:r>
    </w:p>
    <w:p w14:paraId="5D5F1501" w14:textId="2889B598" w:rsidR="00236381" w:rsidRPr="000761EA" w:rsidRDefault="00236381"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In accordance with this methodology, stored Global Warming Potential (GWP-stored) including stored biogenic carbon must be excluded from Up-front Carbon calculations, but can be reported separately</w:t>
      </w:r>
      <w:r w:rsidR="007F1E2F" w:rsidRPr="000761EA">
        <w:t xml:space="preserve">. For example, </w:t>
      </w:r>
      <w:r w:rsidR="00E20EBD" w:rsidRPr="000761EA">
        <w:t xml:space="preserve">timber sequestration </w:t>
      </w:r>
      <w:r w:rsidR="007D1FA8" w:rsidRPr="000761EA">
        <w:t xml:space="preserve">benefits </w:t>
      </w:r>
      <w:r w:rsidR="00E20EBD" w:rsidRPr="000761EA">
        <w:t>are real (</w:t>
      </w:r>
      <w:r w:rsidR="005C71A7" w:rsidRPr="000761EA">
        <w:t xml:space="preserve">aggregated at scale and </w:t>
      </w:r>
      <w:r w:rsidR="00E20EBD" w:rsidRPr="000761EA">
        <w:t xml:space="preserve">provided </w:t>
      </w:r>
      <w:r w:rsidR="00D113BE" w:rsidRPr="000761EA">
        <w:t>timber is</w:t>
      </w:r>
      <w:r w:rsidR="00E13836" w:rsidRPr="000761EA">
        <w:t xml:space="preserve"> sourced from </w:t>
      </w:r>
      <w:r w:rsidR="00E20EBD" w:rsidRPr="000761EA">
        <w:t xml:space="preserve">managed </w:t>
      </w:r>
      <w:r w:rsidR="00E13836" w:rsidRPr="000761EA">
        <w:t xml:space="preserve">and replanted </w:t>
      </w:r>
      <w:r w:rsidR="00E20EBD" w:rsidRPr="000761EA">
        <w:t xml:space="preserve">forests), </w:t>
      </w:r>
      <w:r w:rsidR="009D282E" w:rsidRPr="000761EA">
        <w:t>but</w:t>
      </w:r>
      <w:r w:rsidR="00E20EBD" w:rsidRPr="000761EA">
        <w:t xml:space="preserve"> </w:t>
      </w:r>
      <w:r w:rsidR="000F6E6C" w:rsidRPr="000761EA">
        <w:t xml:space="preserve">the carbon is absorbed over the timescale of the next </w:t>
      </w:r>
      <w:r w:rsidR="00D668C4" w:rsidRPr="000761EA">
        <w:t>regrowth cycle</w:t>
      </w:r>
      <w:r w:rsidRPr="000761EA">
        <w:t>.</w:t>
      </w:r>
    </w:p>
    <w:p w14:paraId="12B3A4D4" w14:textId="047368F2" w:rsidR="00DA5A93" w:rsidRPr="000761EA" w:rsidRDefault="00E619B8"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Hence, i</w:t>
      </w:r>
      <w:r w:rsidR="00236381" w:rsidRPr="000761EA">
        <w:t xml:space="preserve">n the presentation of Up-front Carbon calculations, </w:t>
      </w:r>
      <w:r w:rsidR="007D5C79">
        <w:t xml:space="preserve">Health NZ </w:t>
      </w:r>
      <w:r w:rsidR="009817CB" w:rsidRPr="000761EA">
        <w:t>require</w:t>
      </w:r>
      <w:r w:rsidR="00236381" w:rsidRPr="000761EA">
        <w:t xml:space="preserve"> GWP-stored </w:t>
      </w:r>
      <w:r w:rsidR="009817CB" w:rsidRPr="000761EA">
        <w:t>to be</w:t>
      </w:r>
      <w:r w:rsidR="00236381" w:rsidRPr="000761EA">
        <w:t xml:space="preserve"> calculated independently and reported directly alongside the values which exclude their effect. This is so that its exclusion/separation is immediately clear, and the </w:t>
      </w:r>
      <w:r w:rsidR="005B7D82" w:rsidRPr="000761EA">
        <w:t>benefits</w:t>
      </w:r>
      <w:r w:rsidR="00236381" w:rsidRPr="000761EA">
        <w:t xml:space="preserve"> associated with stored carbon </w:t>
      </w:r>
      <w:r w:rsidR="005B7D82" w:rsidRPr="000761EA">
        <w:t>are</w:t>
      </w:r>
      <w:r w:rsidR="00236381" w:rsidRPr="000761EA">
        <w:t xml:space="preserve"> visible for context</w:t>
      </w:r>
      <w:r w:rsidR="005B7D82" w:rsidRPr="000761EA">
        <w:t>, decision making</w:t>
      </w:r>
      <w:r w:rsidR="00236381" w:rsidRPr="000761EA">
        <w:t xml:space="preserve"> and data-collection.</w:t>
      </w:r>
      <w:r w:rsidR="00762E92" w:rsidRPr="000761EA">
        <w:t xml:space="preserve"> </w:t>
      </w:r>
      <w:r w:rsidR="00391212" w:rsidRPr="000761EA">
        <w:t>More information can be found in SESOCs</w:t>
      </w:r>
      <w:r w:rsidR="005F181F" w:rsidRPr="000761EA">
        <w:t xml:space="preserve"> </w:t>
      </w:r>
      <w:r w:rsidR="005F181F" w:rsidRPr="000761EA">
        <w:rPr>
          <w:iCs/>
        </w:rPr>
        <w:t xml:space="preserve">Top Tips for </w:t>
      </w:r>
      <w:r w:rsidR="00CF7C6F" w:rsidRPr="000761EA">
        <w:rPr>
          <w:iCs/>
        </w:rPr>
        <w:t>L</w:t>
      </w:r>
      <w:r w:rsidR="005F181F" w:rsidRPr="000761EA">
        <w:rPr>
          <w:iCs/>
        </w:rPr>
        <w:t xml:space="preserve">ow </w:t>
      </w:r>
      <w:r w:rsidR="00CF7C6F" w:rsidRPr="000761EA">
        <w:rPr>
          <w:iCs/>
        </w:rPr>
        <w:t>C</w:t>
      </w:r>
      <w:r w:rsidR="005F181F" w:rsidRPr="000761EA">
        <w:rPr>
          <w:iCs/>
        </w:rPr>
        <w:t xml:space="preserve">arbon </w:t>
      </w:r>
      <w:r w:rsidR="00293448" w:rsidRPr="000761EA">
        <w:rPr>
          <w:iCs/>
        </w:rPr>
        <w:t>D</w:t>
      </w:r>
      <w:r w:rsidR="005F181F" w:rsidRPr="000761EA">
        <w:rPr>
          <w:iCs/>
        </w:rPr>
        <w:t>esign</w:t>
      </w:r>
      <w:r w:rsidR="00762E92" w:rsidRPr="000761EA">
        <w:t xml:space="preserve"> </w:t>
      </w:r>
      <w:sdt>
        <w:sdtPr>
          <w:id w:val="123970831"/>
          <w:citation/>
        </w:sdtPr>
        <w:sdtEndPr/>
        <w:sdtContent>
          <w:r w:rsidR="00391212" w:rsidRPr="000761EA">
            <w:fldChar w:fldCharType="begin"/>
          </w:r>
          <w:r w:rsidR="00391212" w:rsidRPr="000761EA">
            <w:rPr>
              <w:lang w:val="en-US"/>
            </w:rPr>
            <w:instrText xml:space="preserve"> CITATION SES24 \l 1033 </w:instrText>
          </w:r>
          <w:r w:rsidR="00391212" w:rsidRPr="000761EA">
            <w:fldChar w:fldCharType="separate"/>
          </w:r>
          <w:r w:rsidR="00222D65">
            <w:rPr>
              <w:noProof/>
              <w:lang w:val="en-US"/>
            </w:rPr>
            <w:t>(SESOC, 2024)</w:t>
          </w:r>
          <w:r w:rsidR="00391212" w:rsidRPr="000761EA">
            <w:fldChar w:fldCharType="end"/>
          </w:r>
        </w:sdtContent>
      </w:sdt>
      <w:r w:rsidR="005F181F" w:rsidRPr="000761EA">
        <w:t xml:space="preserve">, and </w:t>
      </w:r>
      <w:r w:rsidR="00CF7C6F" w:rsidRPr="000761EA">
        <w:t>various</w:t>
      </w:r>
      <w:r w:rsidR="005F181F" w:rsidRPr="000761EA">
        <w:t xml:space="preserve"> </w:t>
      </w:r>
      <w:r w:rsidR="00CF7C6F" w:rsidRPr="000761EA">
        <w:t>articles</w:t>
      </w:r>
      <w:r w:rsidR="005F181F" w:rsidRPr="000761EA">
        <w:t xml:space="preserve"> </w:t>
      </w:r>
      <w:r w:rsidR="00293448" w:rsidRPr="000761EA">
        <w:t xml:space="preserve">published </w:t>
      </w:r>
      <w:r w:rsidR="005F181F" w:rsidRPr="000761EA">
        <w:t>in the SESOC Journal</w:t>
      </w:r>
      <w:r w:rsidR="00CF7C6F" w:rsidRPr="000761EA">
        <w:t xml:space="preserve"> (e.g. April 2024)</w:t>
      </w:r>
      <w:r w:rsidR="00762E92" w:rsidRPr="000761EA">
        <w:t>.</w:t>
      </w:r>
    </w:p>
    <w:p w14:paraId="70A29E6F" w14:textId="07AF1FF5" w:rsidR="007F5B36" w:rsidRPr="00BD1621" w:rsidRDefault="00B3459F" w:rsidP="009F49A3">
      <w:pPr>
        <w:pStyle w:val="BodyHeading"/>
        <w:keepLines w:val="0"/>
        <w:rPr>
          <w:color w:val="0C818E"/>
        </w:rPr>
      </w:pPr>
      <w:r w:rsidRPr="00BD1621">
        <w:rPr>
          <w:color w:val="0C818E"/>
        </w:rPr>
        <w:lastRenderedPageBreak/>
        <w:t xml:space="preserve">Using </w:t>
      </w:r>
      <w:r w:rsidR="007F5B36" w:rsidRPr="00BD1621">
        <w:rPr>
          <w:color w:val="0C818E"/>
        </w:rPr>
        <w:t xml:space="preserve">Up-front Carbon </w:t>
      </w:r>
      <w:r w:rsidR="00F94DB2" w:rsidRPr="00BD1621">
        <w:rPr>
          <w:color w:val="0C818E"/>
        </w:rPr>
        <w:t xml:space="preserve">estimates </w:t>
      </w:r>
      <w:r w:rsidRPr="00BD1621">
        <w:rPr>
          <w:color w:val="0C818E"/>
        </w:rPr>
        <w:t>to inform</w:t>
      </w:r>
      <w:r w:rsidR="00F94DB2" w:rsidRPr="00BD1621">
        <w:rPr>
          <w:color w:val="0C818E"/>
        </w:rPr>
        <w:t xml:space="preserve"> design</w:t>
      </w:r>
    </w:p>
    <w:p w14:paraId="66A6BF3F" w14:textId="2CFD3E97" w:rsidR="00852298" w:rsidRPr="000761EA" w:rsidRDefault="007D5C79" w:rsidP="00666E06">
      <w:r>
        <w:t xml:space="preserve">Health NZ </w:t>
      </w:r>
      <w:r w:rsidR="00F26141" w:rsidRPr="000761EA">
        <w:t xml:space="preserve">recommend that </w:t>
      </w:r>
      <w:r w:rsidR="00D802CE" w:rsidRPr="000761EA">
        <w:t xml:space="preserve">decision making </w:t>
      </w:r>
      <w:r w:rsidR="00E307A3" w:rsidRPr="000761EA">
        <w:t xml:space="preserve">in a design context </w:t>
      </w:r>
      <w:r w:rsidR="00D802CE" w:rsidRPr="000761EA">
        <w:t xml:space="preserve">should be </w:t>
      </w:r>
      <w:r w:rsidR="00E307A3" w:rsidRPr="000761EA">
        <w:t xml:space="preserve">focussed primarily </w:t>
      </w:r>
      <w:r w:rsidR="00117975" w:rsidRPr="000761EA">
        <w:t>on</w:t>
      </w:r>
      <w:r w:rsidR="00A42064" w:rsidRPr="000761EA">
        <w:t xml:space="preserve"> </w:t>
      </w:r>
      <w:r w:rsidR="000B4922" w:rsidRPr="000761EA">
        <w:t xml:space="preserve">minimisation of </w:t>
      </w:r>
      <w:r w:rsidR="001D6777" w:rsidRPr="000761EA">
        <w:t>u</w:t>
      </w:r>
      <w:r w:rsidR="00A42064" w:rsidRPr="000761EA">
        <w:t>p</w:t>
      </w:r>
      <w:r w:rsidR="00CC4826" w:rsidRPr="000761EA">
        <w:t>-</w:t>
      </w:r>
      <w:r w:rsidR="00A42064" w:rsidRPr="000761EA">
        <w:t xml:space="preserve">front </w:t>
      </w:r>
      <w:r w:rsidR="001D6777" w:rsidRPr="000761EA">
        <w:t>embodied structural c</w:t>
      </w:r>
      <w:r w:rsidR="00A42064" w:rsidRPr="000761EA">
        <w:t>arbon</w:t>
      </w:r>
      <w:r w:rsidR="00117975" w:rsidRPr="000761EA">
        <w:t xml:space="preserve">, </w:t>
      </w:r>
      <w:r w:rsidR="00FD61F1" w:rsidRPr="000761EA">
        <w:t xml:space="preserve">referred to as </w:t>
      </w:r>
      <w:r w:rsidR="00FD61F1" w:rsidRPr="000761EA">
        <w:rPr>
          <w:i/>
          <w:iCs/>
        </w:rPr>
        <w:t>Up-front Carbon</w:t>
      </w:r>
      <w:r w:rsidR="00FD61F1" w:rsidRPr="000761EA">
        <w:t xml:space="preserve"> within this guide and the NZGBC methodology</w:t>
      </w:r>
      <w:r w:rsidR="00E762D6" w:rsidRPr="000761EA">
        <w:t xml:space="preserve">. </w:t>
      </w:r>
      <w:r w:rsidR="00A07D5C" w:rsidRPr="000761EA">
        <w:t xml:space="preserve">At design completion, the methodology requires Modules A1-A5 to be considered in </w:t>
      </w:r>
      <w:r w:rsidR="00A07D5C" w:rsidRPr="000761EA">
        <w:rPr>
          <w:i/>
        </w:rPr>
        <w:t>Up-front Carbon</w:t>
      </w:r>
      <w:r w:rsidR="00A07D5C" w:rsidRPr="000761EA">
        <w:t xml:space="preserve"> reporting</w:t>
      </w:r>
      <w:r w:rsidR="00796F11" w:rsidRPr="000761EA">
        <w:t xml:space="preserve"> (subject to cut-off rules)</w:t>
      </w:r>
      <w:r w:rsidR="00A07D5C" w:rsidRPr="000761EA">
        <w:t>.</w:t>
      </w:r>
    </w:p>
    <w:p w14:paraId="05622FC7" w14:textId="56B4733B" w:rsidR="00117975" w:rsidRPr="000761EA" w:rsidRDefault="00D4737A" w:rsidP="00666E06">
      <w:r w:rsidRPr="000761EA">
        <w:t>F</w:t>
      </w:r>
      <w:r w:rsidR="0071001C" w:rsidRPr="000761EA">
        <w:t xml:space="preserve">or the purposes of </w:t>
      </w:r>
      <w:r w:rsidR="00B07D02" w:rsidRPr="000761EA">
        <w:t xml:space="preserve">informing </w:t>
      </w:r>
      <w:r w:rsidR="00491E6D" w:rsidRPr="000761EA">
        <w:t>early design work</w:t>
      </w:r>
      <w:r w:rsidR="00852298" w:rsidRPr="000761EA">
        <w:t>,</w:t>
      </w:r>
      <w:r w:rsidR="00E762D6" w:rsidRPr="000761EA">
        <w:t xml:space="preserve"> </w:t>
      </w:r>
      <w:r w:rsidR="005F4D38" w:rsidRPr="000761EA">
        <w:rPr>
          <w:i/>
        </w:rPr>
        <w:t>Up-front Carbon</w:t>
      </w:r>
      <w:r w:rsidR="00E762D6" w:rsidRPr="000761EA">
        <w:t xml:space="preserve"> can </w:t>
      </w:r>
      <w:r w:rsidR="00852298" w:rsidRPr="000761EA">
        <w:t xml:space="preserve">often </w:t>
      </w:r>
      <w:r w:rsidR="00E762D6" w:rsidRPr="000761EA">
        <w:t xml:space="preserve">be </w:t>
      </w:r>
      <w:r w:rsidR="00682CB1" w:rsidRPr="000761EA">
        <w:t>simplified</w:t>
      </w:r>
      <w:r w:rsidR="00E762D6" w:rsidRPr="000761EA">
        <w:t xml:space="preserve"> to mean </w:t>
      </w:r>
      <w:r w:rsidR="00CC4826" w:rsidRPr="000761EA">
        <w:t>M</w:t>
      </w:r>
      <w:r w:rsidR="00E762D6" w:rsidRPr="000761EA">
        <w:t xml:space="preserve">odules A1 to A3 (cradle to gate). </w:t>
      </w:r>
      <w:r w:rsidRPr="000761EA">
        <w:t>However, c</w:t>
      </w:r>
      <w:r w:rsidR="006813AA" w:rsidRPr="000761EA">
        <w:t>omparative analysis</w:t>
      </w:r>
      <w:r w:rsidR="00E762D6" w:rsidRPr="000761EA">
        <w:t xml:space="preserve"> </w:t>
      </w:r>
      <w:r w:rsidR="00903A1D" w:rsidRPr="000761EA">
        <w:t>should</w:t>
      </w:r>
      <w:r w:rsidR="00E762D6" w:rsidRPr="000761EA">
        <w:t xml:space="preserve"> </w:t>
      </w:r>
      <w:r w:rsidR="000B4922" w:rsidRPr="000761EA">
        <w:t>expand to</w:t>
      </w:r>
      <w:r w:rsidR="00E762D6" w:rsidRPr="000761EA">
        <w:t xml:space="preserve"> </w:t>
      </w:r>
      <w:r w:rsidR="00C24DB1" w:rsidRPr="000761EA">
        <w:t>include A</w:t>
      </w:r>
      <w:r w:rsidR="000B4922" w:rsidRPr="000761EA">
        <w:t>1</w:t>
      </w:r>
      <w:r w:rsidR="00C24DB1" w:rsidRPr="000761EA">
        <w:t>-A5</w:t>
      </w:r>
      <w:r w:rsidR="0098169D" w:rsidRPr="000761EA">
        <w:t xml:space="preserve"> (cradle to practical completion)</w:t>
      </w:r>
      <w:r w:rsidR="00C24DB1" w:rsidRPr="000761EA">
        <w:t xml:space="preserve"> where the transport and construction components are significant and where sufficient</w:t>
      </w:r>
      <w:r w:rsidR="000B4922" w:rsidRPr="000761EA">
        <w:t>ly reliable</w:t>
      </w:r>
      <w:r w:rsidR="00C24DB1" w:rsidRPr="000761EA">
        <w:t xml:space="preserve"> data </w:t>
      </w:r>
      <w:r w:rsidR="00B33BD7" w:rsidRPr="000761EA">
        <w:t>are</w:t>
      </w:r>
      <w:r w:rsidR="00C24DB1" w:rsidRPr="000761EA">
        <w:t xml:space="preserve"> available.</w:t>
      </w:r>
      <w:r w:rsidR="00710848" w:rsidRPr="000761EA">
        <w:t xml:space="preserve"> The modules included must be clearly stated in the presentation of any summaries—and must be carried consistently across any comparisons.</w:t>
      </w:r>
      <w:r w:rsidR="00616767" w:rsidRPr="000761EA">
        <w:t xml:space="preserve"> Refer to Sections </w:t>
      </w:r>
      <w:r w:rsidR="00241C00" w:rsidRPr="000761EA">
        <w:fldChar w:fldCharType="begin"/>
      </w:r>
      <w:r w:rsidR="00241C00" w:rsidRPr="000761EA">
        <w:instrText xml:space="preserve"> REF _Ref151449953 \r \h </w:instrText>
      </w:r>
      <w:r w:rsidR="000761EA">
        <w:instrText xml:space="preserve"> \* MERGEFORMAT </w:instrText>
      </w:r>
      <w:r w:rsidR="00241C00" w:rsidRPr="000761EA">
        <w:fldChar w:fldCharType="separate"/>
      </w:r>
      <w:r w:rsidR="000761C1">
        <w:t>A2</w:t>
      </w:r>
      <w:r w:rsidR="00241C00" w:rsidRPr="000761EA">
        <w:fldChar w:fldCharType="end"/>
      </w:r>
      <w:r w:rsidR="00241C00" w:rsidRPr="000761EA">
        <w:t xml:space="preserve"> and </w:t>
      </w:r>
      <w:r w:rsidR="00241C00" w:rsidRPr="000761EA">
        <w:fldChar w:fldCharType="begin"/>
      </w:r>
      <w:r w:rsidR="00241C00" w:rsidRPr="000761EA">
        <w:instrText xml:space="preserve"> REF _Ref151449964 \r \h </w:instrText>
      </w:r>
      <w:r w:rsidR="000761EA">
        <w:instrText xml:space="preserve"> \* MERGEFORMAT </w:instrText>
      </w:r>
      <w:r w:rsidR="00241C00" w:rsidRPr="000761EA">
        <w:fldChar w:fldCharType="separate"/>
      </w:r>
      <w:r w:rsidR="000761C1">
        <w:t>A3</w:t>
      </w:r>
      <w:r w:rsidR="00241C00" w:rsidRPr="000761EA">
        <w:fldChar w:fldCharType="end"/>
      </w:r>
      <w:r w:rsidR="00241C00" w:rsidRPr="000761EA">
        <w:t xml:space="preserve"> for further information on </w:t>
      </w:r>
      <w:r w:rsidR="00464B3D" w:rsidRPr="000761EA">
        <w:t>Design Process and Reporting respectively.</w:t>
      </w:r>
    </w:p>
    <w:p w14:paraId="63EAD596" w14:textId="2DE11105" w:rsidR="005F4D38" w:rsidRPr="000761EA" w:rsidRDefault="005F4D38" w:rsidP="00666E06">
      <w:r w:rsidRPr="000761EA">
        <w:t xml:space="preserve">The focus on </w:t>
      </w:r>
      <w:r w:rsidRPr="000761EA">
        <w:rPr>
          <w:i/>
        </w:rPr>
        <w:t>Up-front Carbon</w:t>
      </w:r>
      <w:r w:rsidR="00FF795D" w:rsidRPr="000761EA">
        <w:t xml:space="preserve"> is consistent with MBIE</w:t>
      </w:r>
      <w:r w:rsidR="00636BD9" w:rsidRPr="000761EA">
        <w:t xml:space="preserve">’s Whole-of-Life Embodied Carbon Emissions Reduction Framework </w:t>
      </w:r>
      <w:sdt>
        <w:sdtPr>
          <w:id w:val="1437794933"/>
          <w:citation/>
        </w:sdtPr>
        <w:sdtEndPr/>
        <w:sdtContent>
          <w:r w:rsidR="00636BD9" w:rsidRPr="000761EA">
            <w:fldChar w:fldCharType="begin"/>
          </w:r>
          <w:r w:rsidR="00636BD9" w:rsidRPr="000761EA">
            <w:rPr>
              <w:lang w:val="en-US"/>
            </w:rPr>
            <w:instrText xml:space="preserve"> CITATION MBI20 \l 1033 </w:instrText>
          </w:r>
          <w:r w:rsidR="00636BD9" w:rsidRPr="000761EA">
            <w:fldChar w:fldCharType="separate"/>
          </w:r>
          <w:r w:rsidR="00222D65">
            <w:rPr>
              <w:noProof/>
              <w:lang w:val="en-US"/>
            </w:rPr>
            <w:t>(MBIE, 2020)</w:t>
          </w:r>
          <w:r w:rsidR="00636BD9" w:rsidRPr="000761EA">
            <w:fldChar w:fldCharType="end"/>
          </w:r>
        </w:sdtContent>
      </w:sdt>
      <w:r w:rsidR="00986F09" w:rsidRPr="000761EA">
        <w:t xml:space="preserve"> and recognises both the complexities </w:t>
      </w:r>
      <w:r w:rsidR="00FF4EEC" w:rsidRPr="000761EA">
        <w:t xml:space="preserve">and uncertainties </w:t>
      </w:r>
      <w:r w:rsidR="00986F09" w:rsidRPr="000761EA">
        <w:t xml:space="preserve">of circular economy thinking, and the </w:t>
      </w:r>
      <w:r w:rsidR="00955FA7" w:rsidRPr="000761EA">
        <w:t xml:space="preserve">lag associated with </w:t>
      </w:r>
      <w:r w:rsidR="00047E2B" w:rsidRPr="000761EA">
        <w:t xml:space="preserve">the </w:t>
      </w:r>
      <w:r w:rsidR="00986F09" w:rsidRPr="000761EA">
        <w:t>warming potential</w:t>
      </w:r>
      <w:r w:rsidR="00955FA7" w:rsidRPr="000761EA">
        <w:t xml:space="preserve"> of present day emissions</w:t>
      </w:r>
      <w:r w:rsidRPr="000761EA">
        <w:t xml:space="preserve">—which </w:t>
      </w:r>
      <w:r w:rsidR="00307F66" w:rsidRPr="000761EA">
        <w:t>implies a</w:t>
      </w:r>
      <w:r w:rsidRPr="000761EA">
        <w:t xml:space="preserve"> higher </w:t>
      </w:r>
      <w:r w:rsidR="00307F66" w:rsidRPr="000761EA">
        <w:t xml:space="preserve">environmental </w:t>
      </w:r>
      <w:r w:rsidR="00BB1FC0" w:rsidRPr="000761EA">
        <w:t xml:space="preserve">cost </w:t>
      </w:r>
      <w:r w:rsidR="00307F66" w:rsidRPr="000761EA">
        <w:t>from</w:t>
      </w:r>
      <w:r w:rsidR="00BB1FC0" w:rsidRPr="000761EA">
        <w:t xml:space="preserve"> present day </w:t>
      </w:r>
      <w:r w:rsidR="00BA1D9A" w:rsidRPr="000761EA">
        <w:t xml:space="preserve">emissions (expressed through the concept of </w:t>
      </w:r>
      <w:r w:rsidR="00752189" w:rsidRPr="000761EA">
        <w:t xml:space="preserve">a </w:t>
      </w:r>
      <w:r w:rsidR="00BA1D9A" w:rsidRPr="000761EA">
        <w:t>Time Value of Carbon)</w:t>
      </w:r>
      <w:r w:rsidR="00955FA7" w:rsidRPr="000761EA">
        <w:t>.</w:t>
      </w:r>
    </w:p>
    <w:p w14:paraId="154CA158" w14:textId="572F2D1F" w:rsidR="009B6086" w:rsidRPr="000761EA" w:rsidRDefault="00955FA7" w:rsidP="00666E06">
      <w:r w:rsidRPr="000761EA">
        <w:t>However, caution is advised against</w:t>
      </w:r>
      <w:r w:rsidR="00E06C17" w:rsidRPr="000761EA">
        <w:t xml:space="preserve"> action to minimise </w:t>
      </w:r>
      <w:r w:rsidR="00CA15C4" w:rsidRPr="000761EA">
        <w:rPr>
          <w:i/>
        </w:rPr>
        <w:t>U</w:t>
      </w:r>
      <w:r w:rsidR="00E06C17" w:rsidRPr="000761EA">
        <w:rPr>
          <w:i/>
        </w:rPr>
        <w:t>p</w:t>
      </w:r>
      <w:r w:rsidR="00CA15C4" w:rsidRPr="000761EA">
        <w:rPr>
          <w:i/>
        </w:rPr>
        <w:t>-</w:t>
      </w:r>
      <w:r w:rsidR="00E06C17" w:rsidRPr="000761EA">
        <w:rPr>
          <w:i/>
        </w:rPr>
        <w:t xml:space="preserve">front </w:t>
      </w:r>
      <w:r w:rsidR="00CA15C4" w:rsidRPr="000761EA">
        <w:rPr>
          <w:i/>
        </w:rPr>
        <w:t>C</w:t>
      </w:r>
      <w:r w:rsidR="00E06C17" w:rsidRPr="000761EA">
        <w:rPr>
          <w:i/>
        </w:rPr>
        <w:t>arbon</w:t>
      </w:r>
      <w:r w:rsidR="00E06C17" w:rsidRPr="000761EA">
        <w:t xml:space="preserve"> emissions </w:t>
      </w:r>
      <w:r w:rsidR="00050ECF" w:rsidRPr="000761EA">
        <w:t>which could undermine</w:t>
      </w:r>
      <w:r w:rsidR="00AB2506" w:rsidRPr="000761EA">
        <w:t xml:space="preserve"> </w:t>
      </w:r>
      <w:r w:rsidR="00E80984" w:rsidRPr="000761EA">
        <w:t>overarching goals to</w:t>
      </w:r>
      <w:r w:rsidR="00AB2506" w:rsidRPr="000761EA">
        <w:t xml:space="preserve"> reduce </w:t>
      </w:r>
      <w:r w:rsidR="00E80984" w:rsidRPr="000761EA">
        <w:t xml:space="preserve">full life-cycle emissions (cradle to </w:t>
      </w:r>
      <w:r w:rsidR="007C0E7B" w:rsidRPr="000761EA">
        <w:t>grave</w:t>
      </w:r>
      <w:r w:rsidR="005A5CFE" w:rsidRPr="000761EA">
        <w:t>—or cradle to cradle</w:t>
      </w:r>
      <w:r w:rsidR="00E80984" w:rsidRPr="000761EA">
        <w:t>)</w:t>
      </w:r>
      <w:r w:rsidR="0092328D" w:rsidRPr="000761EA">
        <w:t>.</w:t>
      </w:r>
      <w:r w:rsidR="00BC2BCB" w:rsidRPr="000761EA">
        <w:t xml:space="preserve"> </w:t>
      </w:r>
      <w:r w:rsidR="00E62DA0" w:rsidRPr="000761EA">
        <w:t xml:space="preserve">In other words, focus on </w:t>
      </w:r>
      <w:r w:rsidR="00BC2BCB" w:rsidRPr="000761EA">
        <w:t xml:space="preserve">minimising </w:t>
      </w:r>
      <w:r w:rsidR="00BC2BCB" w:rsidRPr="000761EA">
        <w:rPr>
          <w:i/>
        </w:rPr>
        <w:t>U</w:t>
      </w:r>
      <w:r w:rsidR="00E62DA0" w:rsidRPr="000761EA">
        <w:rPr>
          <w:i/>
        </w:rPr>
        <w:t>p</w:t>
      </w:r>
      <w:r w:rsidR="00BC2BCB" w:rsidRPr="000761EA">
        <w:rPr>
          <w:i/>
        </w:rPr>
        <w:t>-</w:t>
      </w:r>
      <w:r w:rsidR="00E62DA0" w:rsidRPr="000761EA">
        <w:rPr>
          <w:i/>
        </w:rPr>
        <w:t xml:space="preserve">front </w:t>
      </w:r>
      <w:r w:rsidR="00BC2BCB" w:rsidRPr="000761EA">
        <w:rPr>
          <w:i/>
        </w:rPr>
        <w:t>C</w:t>
      </w:r>
      <w:r w:rsidR="00A666B9" w:rsidRPr="000761EA">
        <w:rPr>
          <w:i/>
        </w:rPr>
        <w:t>arbon</w:t>
      </w:r>
      <w:r w:rsidR="00E62DA0" w:rsidRPr="000761EA">
        <w:t xml:space="preserve">, </w:t>
      </w:r>
      <w:r w:rsidR="00047E2B" w:rsidRPr="000761EA">
        <w:t xml:space="preserve">but </w:t>
      </w:r>
      <w:r w:rsidR="003A3EBC" w:rsidRPr="000761EA">
        <w:t>keep</w:t>
      </w:r>
      <w:r w:rsidR="00E62DA0" w:rsidRPr="000761EA">
        <w:t xml:space="preserve"> a</w:t>
      </w:r>
      <w:r w:rsidR="00A666B9" w:rsidRPr="000761EA">
        <w:t xml:space="preserve"> weather</w:t>
      </w:r>
      <w:r w:rsidR="00E62DA0" w:rsidRPr="000761EA">
        <w:t xml:space="preserve"> eye to</w:t>
      </w:r>
      <w:r w:rsidR="00A666B9" w:rsidRPr="000761EA">
        <w:t xml:space="preserve">wards </w:t>
      </w:r>
      <w:r w:rsidR="004E06ED" w:rsidRPr="000761EA">
        <w:rPr>
          <w:i/>
        </w:rPr>
        <w:t>Whole-of-Life</w:t>
      </w:r>
      <w:r w:rsidR="00A5485A" w:rsidRPr="000761EA">
        <w:t xml:space="preserve"> emissions</w:t>
      </w:r>
      <w:r w:rsidR="00A666B9" w:rsidRPr="000761EA">
        <w:t>.</w:t>
      </w:r>
      <w:r w:rsidR="00FD281B" w:rsidRPr="000761EA">
        <w:t xml:space="preserve"> For </w:t>
      </w:r>
      <w:r w:rsidR="00DC1742" w:rsidRPr="000761EA">
        <w:t>significant</w:t>
      </w:r>
      <w:r w:rsidR="00FD281B" w:rsidRPr="000761EA">
        <w:t xml:space="preserve"> projects, </w:t>
      </w:r>
      <w:r w:rsidR="00A93B3B" w:rsidRPr="000761EA">
        <w:t>the requirement to complete</w:t>
      </w:r>
      <w:r w:rsidR="0087093E" w:rsidRPr="000761EA">
        <w:t xml:space="preserve"> a project</w:t>
      </w:r>
      <w:r w:rsidR="00A93B3B" w:rsidRPr="000761EA">
        <w:t xml:space="preserve"> </w:t>
      </w:r>
      <w:r w:rsidR="00A93B3B" w:rsidRPr="000761EA">
        <w:rPr>
          <w:i/>
        </w:rPr>
        <w:t>Life Cycle Assessment</w:t>
      </w:r>
      <w:r w:rsidR="00A93B3B" w:rsidRPr="000761EA">
        <w:t xml:space="preserve"> allows </w:t>
      </w:r>
      <w:r w:rsidR="004F6020" w:rsidRPr="000761EA">
        <w:t>these aspects to be kept in view.</w:t>
      </w:r>
      <w:r w:rsidR="009B6086" w:rsidRPr="000761EA">
        <w:br w:type="page"/>
      </w:r>
    </w:p>
    <w:p w14:paraId="66131467" w14:textId="0193D041" w:rsidR="009B6086" w:rsidRPr="00A9001D" w:rsidRDefault="00A0564A" w:rsidP="00BD1621">
      <w:pPr>
        <w:pStyle w:val="Section2Heading1"/>
      </w:pPr>
      <w:bookmarkStart w:id="199" w:name="_Toc203641960"/>
      <w:r w:rsidRPr="00A9001D">
        <w:lastRenderedPageBreak/>
        <w:t xml:space="preserve">Additional </w:t>
      </w:r>
      <w:r w:rsidR="00DF3AC5" w:rsidRPr="00A9001D">
        <w:t>Structural Performance Requirements</w:t>
      </w:r>
      <w:bookmarkEnd w:id="199"/>
    </w:p>
    <w:p w14:paraId="213086BA" w14:textId="622CA6AB" w:rsidR="00DF3AC5" w:rsidRPr="000761EA" w:rsidRDefault="00DF3AC5" w:rsidP="00BD1621">
      <w:pPr>
        <w:pStyle w:val="Section2Heading2"/>
      </w:pPr>
      <w:bookmarkStart w:id="200" w:name="_Ref165453565"/>
      <w:bookmarkStart w:id="201" w:name="_Toc203641961"/>
      <w:r w:rsidRPr="000761EA">
        <w:t>Vibration</w:t>
      </w:r>
      <w:r w:rsidR="00031B82" w:rsidRPr="000761EA">
        <w:t xml:space="preserve"> of Floors</w:t>
      </w:r>
      <w:bookmarkEnd w:id="200"/>
      <w:bookmarkEnd w:id="201"/>
    </w:p>
    <w:p w14:paraId="3D67114F" w14:textId="77777777" w:rsidR="000E24C0" w:rsidRPr="000761EA" w:rsidRDefault="000E24C0" w:rsidP="00BD1621">
      <w:pPr>
        <w:pStyle w:val="Section2heading3"/>
      </w:pPr>
      <w:r w:rsidRPr="000761EA">
        <w:t>Background</w:t>
      </w:r>
    </w:p>
    <w:p w14:paraId="7387FD36" w14:textId="3A421164" w:rsidR="00C1740D" w:rsidRPr="000761EA" w:rsidRDefault="000E24C0" w:rsidP="00666E06">
      <w:r w:rsidRPr="000761EA">
        <w:t>For the majority of buildings, vibration does not govern strength or fatigue but can present a serviceability or amenity concern</w:t>
      </w:r>
      <w:r w:rsidR="00A43953">
        <w:t xml:space="preserve">. </w:t>
      </w:r>
      <w:r w:rsidRPr="000761EA">
        <w:t>For most facilities or service areas vibration acceptability is related to human perception and comfort</w:t>
      </w:r>
      <w:r w:rsidR="003D1779" w:rsidRPr="000761EA">
        <w:t xml:space="preserve">. The underlying objective is avoiding </w:t>
      </w:r>
      <w:r w:rsidR="00DB5616" w:rsidRPr="000761EA">
        <w:t xml:space="preserve">unreasonable </w:t>
      </w:r>
      <w:r w:rsidR="003D1779" w:rsidRPr="000761EA">
        <w:t>nuisance</w:t>
      </w:r>
      <w:r w:rsidR="00DB5616" w:rsidRPr="000761EA">
        <w:t xml:space="preserve"> as it relates to the area</w:t>
      </w:r>
      <w:r w:rsidR="00CF3080" w:rsidRPr="000761EA">
        <w:t>’</w:t>
      </w:r>
      <w:r w:rsidR="00DB5616" w:rsidRPr="000761EA">
        <w:t>s use</w:t>
      </w:r>
      <w:r w:rsidR="00024C73">
        <w:t>,</w:t>
      </w:r>
      <w:r w:rsidR="003D6815">
        <w:t xml:space="preserve"> </w:t>
      </w:r>
      <w:r w:rsidR="00CF3080" w:rsidRPr="000761EA">
        <w:t xml:space="preserve">and this is </w:t>
      </w:r>
      <w:r w:rsidR="00DA3B9A" w:rsidRPr="000761EA">
        <w:t>more practically</w:t>
      </w:r>
      <w:r w:rsidR="00E33EE6" w:rsidRPr="000761EA">
        <w:t>/measurably</w:t>
      </w:r>
      <w:r w:rsidR="00DA3B9A" w:rsidRPr="000761EA">
        <w:t xml:space="preserve"> </w:t>
      </w:r>
      <w:r w:rsidR="00DB5616" w:rsidRPr="000761EA">
        <w:t>defined</w:t>
      </w:r>
      <w:r w:rsidRPr="000761EA">
        <w:t xml:space="preserve"> </w:t>
      </w:r>
      <w:r w:rsidR="00CF3080" w:rsidRPr="000761EA">
        <w:t>as targeting</w:t>
      </w:r>
      <w:r w:rsidRPr="000761EA">
        <w:t xml:space="preserve"> </w:t>
      </w:r>
      <w:r w:rsidR="00AA3131" w:rsidRPr="000761EA">
        <w:t xml:space="preserve">a </w:t>
      </w:r>
      <w:r w:rsidRPr="000761EA">
        <w:rPr>
          <w:i/>
          <w:iCs/>
        </w:rPr>
        <w:t xml:space="preserve">low </w:t>
      </w:r>
      <w:r w:rsidR="00CF3080" w:rsidRPr="000761EA">
        <w:rPr>
          <w:i/>
          <w:iCs/>
        </w:rPr>
        <w:t>probability</w:t>
      </w:r>
      <w:r w:rsidRPr="000761EA">
        <w:rPr>
          <w:i/>
          <w:iCs/>
        </w:rPr>
        <w:t xml:space="preserve"> of adverse commen</w:t>
      </w:r>
      <w:r w:rsidR="00CF3080" w:rsidRPr="000761EA">
        <w:rPr>
          <w:i/>
          <w:iCs/>
        </w:rPr>
        <w:t>t</w:t>
      </w:r>
      <w:r w:rsidRPr="000761EA">
        <w:t>.</w:t>
      </w:r>
    </w:p>
    <w:p w14:paraId="17A1E09A" w14:textId="18D9A8CC" w:rsidR="000E24C0" w:rsidRPr="000761EA" w:rsidRDefault="00266D7C" w:rsidP="00666E06">
      <w:r w:rsidRPr="000761EA">
        <w:t>S</w:t>
      </w:r>
      <w:r w:rsidR="000E24C0" w:rsidRPr="000761EA">
        <w:t xml:space="preserve">ome facilities house medical equipment and processes that are sensitive to vibration and </w:t>
      </w:r>
      <w:r w:rsidR="009C14FD" w:rsidRPr="000761EA">
        <w:t>may</w:t>
      </w:r>
      <w:r w:rsidR="000E24C0" w:rsidRPr="000761EA">
        <w:t xml:space="preserve"> need to be isolated from the floor plate or </w:t>
      </w:r>
      <w:r w:rsidRPr="000761EA">
        <w:t>considered specifically</w:t>
      </w:r>
      <w:r w:rsidR="000E24C0" w:rsidRPr="000761EA">
        <w:t xml:space="preserve"> in the design</w:t>
      </w:r>
      <w:r w:rsidR="009C14FD" w:rsidRPr="000761EA">
        <w:t>/evaluation</w:t>
      </w:r>
      <w:r w:rsidR="000E24C0" w:rsidRPr="000761EA">
        <w:t xml:space="preserve"> of the floor response to vibration</w:t>
      </w:r>
      <w:r w:rsidR="009C14FD" w:rsidRPr="000761EA">
        <w:t xml:space="preserve"> to ensure satisfactory operational performance</w:t>
      </w:r>
      <w:r w:rsidR="000E24C0" w:rsidRPr="000761EA">
        <w:t>.</w:t>
      </w:r>
    </w:p>
    <w:p w14:paraId="561C7110" w14:textId="6919EE7E" w:rsidR="00AC7C8C" w:rsidRPr="000761EA" w:rsidRDefault="00AC7C8C" w:rsidP="00BD162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For some sensitive equipment</w:t>
      </w:r>
      <w:r w:rsidR="003917ED" w:rsidRPr="000761EA">
        <w:t xml:space="preserve"> (such as </w:t>
      </w:r>
      <w:r w:rsidR="00AA3715" w:rsidRPr="000761EA">
        <w:t>MRI</w:t>
      </w:r>
      <w:r w:rsidR="003917ED" w:rsidRPr="000761EA">
        <w:t>)</w:t>
      </w:r>
      <w:r w:rsidRPr="000761EA">
        <w:t xml:space="preserve">, the best mitigation is </w:t>
      </w:r>
      <w:r w:rsidR="005939F2" w:rsidRPr="000761EA">
        <w:t xml:space="preserve">sensible location of </w:t>
      </w:r>
      <w:r w:rsidR="00AA3715" w:rsidRPr="000761EA">
        <w:t>departments</w:t>
      </w:r>
      <w:r w:rsidR="005939F2" w:rsidRPr="000761EA">
        <w:t xml:space="preserve"> as part of </w:t>
      </w:r>
      <w:r w:rsidR="003D6E53" w:rsidRPr="000761EA">
        <w:t>early planning</w:t>
      </w:r>
      <w:r w:rsidR="003E3B1B" w:rsidRPr="000761EA">
        <w:t>, to areas that are less exposed to vibration sources</w:t>
      </w:r>
      <w:r w:rsidR="000E788B" w:rsidRPr="000761EA">
        <w:t xml:space="preserve"> </w:t>
      </w:r>
      <w:r w:rsidR="00AA3715" w:rsidRPr="000761EA">
        <w:t>and</w:t>
      </w:r>
      <w:r w:rsidR="003917ED" w:rsidRPr="000761EA">
        <w:t xml:space="preserve"> </w:t>
      </w:r>
      <w:r w:rsidR="003E3B1B" w:rsidRPr="000761EA">
        <w:t>more easily accommodat</w:t>
      </w:r>
      <w:r w:rsidR="003917ED" w:rsidRPr="000761EA">
        <w:t xml:space="preserve">ing </w:t>
      </w:r>
      <w:r w:rsidR="00AA5A6D" w:rsidRPr="000761EA">
        <w:t xml:space="preserve">of </w:t>
      </w:r>
      <w:r w:rsidR="003917ED" w:rsidRPr="000761EA">
        <w:t>equipment</w:t>
      </w:r>
      <w:r w:rsidR="003E3B1B" w:rsidRPr="000761EA">
        <w:t xml:space="preserve"> weight and transport routes</w:t>
      </w:r>
      <w:r w:rsidR="005939F2" w:rsidRPr="000761EA">
        <w:t>.</w:t>
      </w:r>
    </w:p>
    <w:p w14:paraId="38324458" w14:textId="77777777" w:rsidR="000E24C0" w:rsidRPr="000761EA" w:rsidRDefault="000E24C0" w:rsidP="000F0071">
      <w:pPr>
        <w:pStyle w:val="Section2heading3"/>
      </w:pPr>
      <w:r w:rsidRPr="000761EA">
        <w:t>Sources of Vibration</w:t>
      </w:r>
    </w:p>
    <w:p w14:paraId="7C6A7C01" w14:textId="0435FB8B" w:rsidR="001B5827" w:rsidRPr="000F0071" w:rsidRDefault="001B5827" w:rsidP="00D56CAE">
      <w:pPr>
        <w:pStyle w:val="BodyHeading"/>
        <w:rPr>
          <w:color w:val="0C818E"/>
        </w:rPr>
      </w:pPr>
      <w:r w:rsidRPr="000F0071">
        <w:rPr>
          <w:color w:val="0C818E"/>
        </w:rPr>
        <w:t>Footfall induced vibration</w:t>
      </w:r>
    </w:p>
    <w:p w14:paraId="480FE677" w14:textId="04CD9ABC" w:rsidR="000E24C0" w:rsidRPr="000761EA" w:rsidRDefault="000E24C0" w:rsidP="00666E06">
      <w:r w:rsidRPr="000761EA">
        <w:t>The most common and important internal source of floor vibration is pedestrian traffic. The response to vibration emissions from this source is the primary focus for</w:t>
      </w:r>
      <w:r w:rsidR="00712B18" w:rsidRPr="000761EA">
        <w:t xml:space="preserve"> most</w:t>
      </w:r>
      <w:r w:rsidRPr="000761EA">
        <w:t xml:space="preserve"> floor vibration assessment and member sizing. The floor structure needs to not only be sufficiently strong but </w:t>
      </w:r>
      <w:r w:rsidR="00187C2C" w:rsidRPr="000761EA">
        <w:t>should also</w:t>
      </w:r>
      <w:r w:rsidRPr="000761EA">
        <w:t xml:space="preserve"> comply with appropriate comfort and serviceability criteria associated with footfall induced vibration.</w:t>
      </w:r>
    </w:p>
    <w:p w14:paraId="1B71F715" w14:textId="01A87DAB" w:rsidR="005B6F32" w:rsidRPr="000F0071" w:rsidRDefault="005B6F32" w:rsidP="00D56CAE">
      <w:pPr>
        <w:pStyle w:val="BodyHeading"/>
        <w:rPr>
          <w:color w:val="0C818E"/>
        </w:rPr>
      </w:pPr>
      <w:r w:rsidRPr="000F0071">
        <w:rPr>
          <w:color w:val="0C818E"/>
        </w:rPr>
        <w:t>Other vibration sources</w:t>
      </w:r>
    </w:p>
    <w:p w14:paraId="0ECB41D9" w14:textId="5CE0070B" w:rsidR="00672CD4" w:rsidRPr="000761EA" w:rsidRDefault="00B30E4D" w:rsidP="00666E06">
      <w:r w:rsidRPr="000761EA">
        <w:t>Other internal vibration sources include mechanical plant, machinery and equipment, such as chillers, air handling units, pumps</w:t>
      </w:r>
      <w:r w:rsidR="00107AFB" w:rsidRPr="000761EA">
        <w:t xml:space="preserve"> and fans</w:t>
      </w:r>
      <w:r w:rsidRPr="000761EA">
        <w:t xml:space="preserve">, waste compactors, </w:t>
      </w:r>
      <w:r w:rsidR="0065494A" w:rsidRPr="000761EA">
        <w:t xml:space="preserve">generators, </w:t>
      </w:r>
      <w:r w:rsidRPr="000761EA">
        <w:t xml:space="preserve">and vertical transport systems (lifts). Plant and machinery that potentially generate vibration during operation </w:t>
      </w:r>
      <w:r w:rsidR="005402D0" w:rsidRPr="000761EA">
        <w:t>should</w:t>
      </w:r>
      <w:r w:rsidRPr="000761EA">
        <w:t xml:space="preserve"> </w:t>
      </w:r>
      <w:r w:rsidR="00A47F6F" w:rsidRPr="000761EA">
        <w:t>have mitigation measures applied</w:t>
      </w:r>
      <w:r w:rsidRPr="000761EA">
        <w:t xml:space="preserve"> at </w:t>
      </w:r>
      <w:r w:rsidR="00A47F6F" w:rsidRPr="000761EA">
        <w:t xml:space="preserve">the </w:t>
      </w:r>
      <w:r w:rsidRPr="000761EA">
        <w:t xml:space="preserve">source if possible, </w:t>
      </w:r>
      <w:r w:rsidR="008715B3" w:rsidRPr="000761EA">
        <w:t>using</w:t>
      </w:r>
      <w:r w:rsidRPr="000761EA">
        <w:t xml:space="preserve"> </w:t>
      </w:r>
      <w:r w:rsidR="00D66F92" w:rsidRPr="000761EA">
        <w:t xml:space="preserve">appropriately specified </w:t>
      </w:r>
      <w:r w:rsidRPr="000761EA">
        <w:t>isolating mounts or other damping</w:t>
      </w:r>
      <w:r w:rsidR="00D66F92" w:rsidRPr="000761EA">
        <w:t xml:space="preserve"> measures</w:t>
      </w:r>
      <w:r w:rsidRPr="000761EA">
        <w:t xml:space="preserve">. The Building Services Engineer is responsible for </w:t>
      </w:r>
      <w:r w:rsidR="00031956" w:rsidRPr="000761EA">
        <w:t>specifying the</w:t>
      </w:r>
      <w:r w:rsidRPr="000761EA">
        <w:t xml:space="preserve"> equipment vibration </w:t>
      </w:r>
      <w:r w:rsidR="00031956" w:rsidRPr="000761EA">
        <w:t>isolation and mounting requirements</w:t>
      </w:r>
      <w:r w:rsidRPr="000761EA">
        <w:t>. Where plant or machinery cannot be effectively isolated and is to be accounted for in the design of the floor, then forcing functions and load spectrum generated by the plant will need to be sought from the equipment suppliers.</w:t>
      </w:r>
    </w:p>
    <w:p w14:paraId="2CAEF52F" w14:textId="1017FCD0" w:rsidR="0051096A" w:rsidRPr="000761EA" w:rsidRDefault="0051096A" w:rsidP="00666E06">
      <w:r w:rsidRPr="000761EA">
        <w:lastRenderedPageBreak/>
        <w:t>In some instances</w:t>
      </w:r>
      <w:r w:rsidR="00482780" w:rsidRPr="000761EA">
        <w:t xml:space="preserve"> (usually limited to sensitive equipment)</w:t>
      </w:r>
      <w:r w:rsidRPr="000761EA">
        <w:t xml:space="preserve">, </w:t>
      </w:r>
      <w:r w:rsidR="002C1770" w:rsidRPr="000761EA">
        <w:t>transmission of significant exterior vibration sources (rail</w:t>
      </w:r>
      <w:r w:rsidR="000F3A48" w:rsidRPr="000761EA">
        <w:t xml:space="preserve">, </w:t>
      </w:r>
      <w:r w:rsidR="002C1770" w:rsidRPr="000761EA">
        <w:t>heavy traffic</w:t>
      </w:r>
      <w:r w:rsidR="000F3A48" w:rsidRPr="000761EA">
        <w:t xml:space="preserve"> or helipad</w:t>
      </w:r>
      <w:r w:rsidR="002C1770" w:rsidRPr="000761EA">
        <w:t>)</w:t>
      </w:r>
      <w:r w:rsidR="00C1761A" w:rsidRPr="000761EA">
        <w:t xml:space="preserve"> will warrant practical consideration.</w:t>
      </w:r>
    </w:p>
    <w:p w14:paraId="3CEEC82B" w14:textId="77777777" w:rsidR="00AE3D3E" w:rsidRPr="000761EA" w:rsidRDefault="00B30E4D" w:rsidP="000F007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Internal demolition and construction activities and external construction activities on nearby sites, such as piling, compactors, rock breakers and tracked excavators can generate vibration levels in existing buildings that have an amenity impact on users and could result in damage to structural elements of a building.</w:t>
      </w:r>
    </w:p>
    <w:p w14:paraId="3CF5E7A9" w14:textId="2E52E382" w:rsidR="00620A09" w:rsidRPr="000761EA" w:rsidRDefault="00B30E4D" w:rsidP="000F007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761EA">
        <w:t>The Contractor is responsible for implementing vibration management and mitigation measures to limit vibration emissions to acceptable levels. Building consent conditions and Construction Noise and Management Plans will typically stipulate the criteria to be achieved. The Structural Engineer may need to consider the use of structural solutions in their design that minimise vibration such as non-vibro/impact piling methods.</w:t>
      </w:r>
    </w:p>
    <w:p w14:paraId="52EAE354" w14:textId="77777777" w:rsidR="00697B75" w:rsidRPr="000761EA" w:rsidRDefault="00697B75" w:rsidP="000F0071">
      <w:pPr>
        <w:pStyle w:val="Section2heading3"/>
      </w:pPr>
      <w:r w:rsidRPr="000761EA">
        <w:t>Vibration Assessment Methodology</w:t>
      </w:r>
    </w:p>
    <w:p w14:paraId="181FE542" w14:textId="76B3A315" w:rsidR="00697B75" w:rsidRPr="000F0071" w:rsidRDefault="00697B75" w:rsidP="00D56CAE">
      <w:pPr>
        <w:pStyle w:val="BodyHeading"/>
        <w:rPr>
          <w:color w:val="0C818E"/>
        </w:rPr>
      </w:pPr>
      <w:r w:rsidRPr="000F0071">
        <w:rPr>
          <w:color w:val="0C818E"/>
        </w:rPr>
        <w:t>General evaluation of footfall</w:t>
      </w:r>
      <w:r w:rsidR="000317F5" w:rsidRPr="000F0071">
        <w:rPr>
          <w:color w:val="0C818E"/>
        </w:rPr>
        <w:t>-</w:t>
      </w:r>
      <w:r w:rsidRPr="000F0071">
        <w:rPr>
          <w:color w:val="0C818E"/>
        </w:rPr>
        <w:t>induced vibration</w:t>
      </w:r>
    </w:p>
    <w:p w14:paraId="1AAAE35B" w14:textId="77777777" w:rsidR="00697B75" w:rsidRPr="00CF097C" w:rsidRDefault="00697B75" w:rsidP="00666E06">
      <w:r w:rsidRPr="00CF097C">
        <w:t>Whilst there are several international guidelines available that provide reliable methodologies for evaluating sensitivity to vertical vibration induced by pedestrian traffic, the use of the following methodologies is recommended:</w:t>
      </w:r>
    </w:p>
    <w:p w14:paraId="28E0CD63" w14:textId="500D997E" w:rsidR="00697B75" w:rsidRPr="00CF097C" w:rsidRDefault="00697B75" w:rsidP="004D55F1">
      <w:pPr>
        <w:pStyle w:val="ListParagraph"/>
        <w:numPr>
          <w:ilvl w:val="0"/>
          <w:numId w:val="63"/>
        </w:numPr>
      </w:pPr>
      <w:r w:rsidRPr="00E234BB">
        <w:rPr>
          <w:i/>
          <w:iCs/>
        </w:rPr>
        <w:t>SCI Publication P354 Design of Floors for Vibration: A New Approach</w:t>
      </w:r>
      <w:r w:rsidRPr="00CF097C">
        <w:t xml:space="preserve"> </w:t>
      </w:r>
      <w:sdt>
        <w:sdtPr>
          <w:id w:val="-2132777915"/>
          <w:citation/>
        </w:sdtPr>
        <w:sdtEndPr/>
        <w:sdtContent>
          <w:r w:rsidRPr="00CF097C">
            <w:fldChar w:fldCharType="begin"/>
          </w:r>
          <w:r w:rsidRPr="00CF097C">
            <w:rPr>
              <w:lang w:val="en-US"/>
            </w:rPr>
            <w:instrText xml:space="preserve"> CITATION Smi09 \l 1033 </w:instrText>
          </w:r>
          <w:r w:rsidRPr="00CF097C">
            <w:fldChar w:fldCharType="separate"/>
          </w:r>
          <w:r w:rsidR="00222D65">
            <w:rPr>
              <w:noProof/>
              <w:lang w:val="en-US"/>
            </w:rPr>
            <w:t>(Smith, Hicks, &amp; Devine, 2009)</w:t>
          </w:r>
          <w:r w:rsidRPr="00CF097C">
            <w:fldChar w:fldCharType="end"/>
          </w:r>
        </w:sdtContent>
      </w:sdt>
      <w:r w:rsidRPr="00CF097C">
        <w:t>, or,</w:t>
      </w:r>
    </w:p>
    <w:p w14:paraId="533412B3" w14:textId="08C33347" w:rsidR="00697B75" w:rsidRPr="00CF097C" w:rsidRDefault="00697B75" w:rsidP="004D55F1">
      <w:pPr>
        <w:pStyle w:val="ListParagraph"/>
        <w:numPr>
          <w:ilvl w:val="0"/>
          <w:numId w:val="63"/>
        </w:numPr>
      </w:pPr>
      <w:r w:rsidRPr="00E234BB">
        <w:rPr>
          <w:i/>
          <w:iCs/>
        </w:rPr>
        <w:t>Cement and Concrete Industry Publication CCIP-016 A Design Guide for Footfall Induced Vibration of Structures</w:t>
      </w:r>
      <w:r w:rsidRPr="00CF097C">
        <w:t xml:space="preserve"> </w:t>
      </w:r>
      <w:sdt>
        <w:sdtPr>
          <w:id w:val="-1605336941"/>
          <w:citation/>
        </w:sdtPr>
        <w:sdtEndPr/>
        <w:sdtContent>
          <w:r w:rsidRPr="00CF097C">
            <w:fldChar w:fldCharType="begin"/>
          </w:r>
          <w:r w:rsidRPr="00CF097C">
            <w:rPr>
              <w:lang w:val="en-US"/>
            </w:rPr>
            <w:instrText xml:space="preserve"> CITATION Wil06 \l 1033 </w:instrText>
          </w:r>
          <w:r w:rsidRPr="00CF097C">
            <w:fldChar w:fldCharType="separate"/>
          </w:r>
          <w:r w:rsidR="00222D65">
            <w:rPr>
              <w:noProof/>
              <w:lang w:val="en-US"/>
            </w:rPr>
            <w:t>(Wilford &amp; Young, 2006)</w:t>
          </w:r>
          <w:r w:rsidRPr="00CF097C">
            <w:fldChar w:fldCharType="end"/>
          </w:r>
        </w:sdtContent>
      </w:sdt>
      <w:r w:rsidRPr="00CF097C">
        <w:t>.</w:t>
      </w:r>
    </w:p>
    <w:p w14:paraId="0FBE3EAA" w14:textId="52AFB736" w:rsidR="00697B75" w:rsidRPr="00CF097C" w:rsidRDefault="00697B75" w:rsidP="00666E06">
      <w:r w:rsidRPr="00CF097C">
        <w:t>It is acknowledged that these guidelines conservatively assume walking activities produce continuous vibration on floors and this is reflected in the response factor assessment approach. In reality, walking activities are not continuous. Both guides provide for the use of an alternative Vibration Dose Value (VDV) approach</w:t>
      </w:r>
      <w:r w:rsidR="00386E0D" w:rsidRPr="00CF097C">
        <w:t xml:space="preserve">. This can be used </w:t>
      </w:r>
      <w:r w:rsidRPr="00CF097C">
        <w:t xml:space="preserve">where </w:t>
      </w:r>
      <w:r w:rsidR="00386E0D" w:rsidRPr="00CF097C">
        <w:t>the limit relates to comfort/nuisance</w:t>
      </w:r>
      <w:r w:rsidR="00E6235A" w:rsidRPr="00CF097C">
        <w:t xml:space="preserve"> and allows</w:t>
      </w:r>
      <w:r w:rsidR="00386E0D" w:rsidRPr="00CF097C">
        <w:t xml:space="preserve"> </w:t>
      </w:r>
      <w:r w:rsidRPr="00CF097C">
        <w:t xml:space="preserve">vibration levels </w:t>
      </w:r>
      <w:r w:rsidR="00E6235A" w:rsidRPr="00CF097C">
        <w:t>to</w:t>
      </w:r>
      <w:r w:rsidRPr="00CF097C">
        <w:t xml:space="preserve"> exceed the limits for continuous vibration where the vibration occurrence is intermittent.</w:t>
      </w:r>
    </w:p>
    <w:p w14:paraId="1076A6E0" w14:textId="54FC646E" w:rsidR="00697B75" w:rsidRPr="00CF097C" w:rsidRDefault="00697B75" w:rsidP="00666E06">
      <w:r w:rsidRPr="00CF097C">
        <w:t>The VDV method of assessment should not be used for critical work environments such as operating theatres, precision laboratories and where sensitive medical equipment is used.</w:t>
      </w:r>
    </w:p>
    <w:p w14:paraId="60CA0732" w14:textId="40D01B32" w:rsidR="00D64E71" w:rsidRPr="00CF097C" w:rsidRDefault="007D5C79" w:rsidP="00666E06">
      <w:pPr>
        <w:pStyle w:val="Requirement"/>
      </w:pPr>
      <w:r w:rsidRPr="00B219C9">
        <w:rPr>
          <w:b/>
          <w:bCs/>
          <w:color w:val="0C818F" w:themeColor="accent3"/>
        </w:rPr>
        <w:t xml:space="preserve">Health NZ </w:t>
      </w:r>
      <w:r w:rsidR="00D64E71" w:rsidRPr="00B219C9">
        <w:rPr>
          <w:b/>
          <w:bCs/>
          <w:color w:val="0C818F" w:themeColor="accent3"/>
        </w:rPr>
        <w:t>Requirement:</w:t>
      </w:r>
      <w:r w:rsidR="00D64E71" w:rsidRPr="00CF097C">
        <w:t xml:space="preserve"> For footfall induced vibration, floor performance should be evaluated using </w:t>
      </w:r>
      <w:r w:rsidR="00F43723" w:rsidRPr="00CF097C">
        <w:t xml:space="preserve">one of </w:t>
      </w:r>
      <w:r w:rsidR="00D64E71" w:rsidRPr="00CF097C">
        <w:t xml:space="preserve">the </w:t>
      </w:r>
      <w:r w:rsidR="00F43723" w:rsidRPr="00CF097C">
        <w:t xml:space="preserve">recommended guideline </w:t>
      </w:r>
      <w:r w:rsidR="00D64E71" w:rsidRPr="00CF097C">
        <w:t>methods</w:t>
      </w:r>
      <w:r w:rsidR="00F43723" w:rsidRPr="00CF097C">
        <w:t xml:space="preserve"> in this section (or </w:t>
      </w:r>
      <w:r w:rsidR="00090AF4" w:rsidRPr="00CF097C">
        <w:t xml:space="preserve">equivalent). Performance </w:t>
      </w:r>
      <w:r w:rsidR="00D64E71" w:rsidRPr="00CF097C">
        <w:t>sh</w:t>
      </w:r>
      <w:r w:rsidR="00090AF4" w:rsidRPr="00CF097C">
        <w:t>ould</w:t>
      </w:r>
      <w:r w:rsidR="00D64E71" w:rsidRPr="00CF097C">
        <w:t xml:space="preserve"> target the </w:t>
      </w:r>
      <w:r w:rsidR="00090AF4" w:rsidRPr="00CF097C">
        <w:t>acceptance criteria</w:t>
      </w:r>
      <w:r w:rsidR="00D64E71" w:rsidRPr="00CF097C">
        <w:t xml:space="preserve"> in </w:t>
      </w:r>
      <w:r w:rsidR="00090AF4" w:rsidRPr="00CF097C">
        <w:t xml:space="preserve">Section </w:t>
      </w:r>
      <w:r w:rsidR="00090AF4" w:rsidRPr="00CF097C">
        <w:fldChar w:fldCharType="begin"/>
      </w:r>
      <w:r w:rsidR="00090AF4" w:rsidRPr="00CF097C">
        <w:instrText xml:space="preserve"> REF _Ref165443100 \r \h </w:instrText>
      </w:r>
      <w:r w:rsidR="00CF097C">
        <w:instrText xml:space="preserve"> \* MERGEFORMAT </w:instrText>
      </w:r>
      <w:r w:rsidR="00090AF4" w:rsidRPr="00CF097C">
        <w:fldChar w:fldCharType="separate"/>
      </w:r>
      <w:r w:rsidR="000761C1">
        <w:t>B5.1.4</w:t>
      </w:r>
      <w:r w:rsidR="00090AF4" w:rsidRPr="00CF097C">
        <w:fldChar w:fldCharType="end"/>
      </w:r>
      <w:r w:rsidR="00090AF4" w:rsidRPr="00CF097C">
        <w:t xml:space="preserve">, </w:t>
      </w:r>
      <w:r w:rsidR="00D64E71" w:rsidRPr="00CF097C">
        <w:fldChar w:fldCharType="begin"/>
      </w:r>
      <w:r w:rsidR="00D64E71" w:rsidRPr="00CF097C">
        <w:instrText xml:space="preserve"> REF _Ref165379335 \h </w:instrText>
      </w:r>
      <w:r w:rsidR="00CF097C">
        <w:instrText xml:space="preserve"> \* MERGEFORMAT </w:instrText>
      </w:r>
      <w:r w:rsidR="00D64E71" w:rsidRPr="00CF097C">
        <w:fldChar w:fldCharType="separate"/>
      </w:r>
      <w:r w:rsidR="000761C1" w:rsidRPr="000761C1">
        <w:t xml:space="preserve">Table </w:t>
      </w:r>
      <w:r w:rsidR="000761C1" w:rsidRPr="000761C1">
        <w:rPr>
          <w:noProof/>
        </w:rPr>
        <w:t>9</w:t>
      </w:r>
      <w:r w:rsidR="00D64E71" w:rsidRPr="00CF097C">
        <w:fldChar w:fldCharType="end"/>
      </w:r>
      <w:r w:rsidR="00D64E71" w:rsidRPr="00CF097C">
        <w:t>.</w:t>
      </w:r>
    </w:p>
    <w:p w14:paraId="17864660" w14:textId="5B8DD398" w:rsidR="003016A9" w:rsidRPr="00CF097C" w:rsidRDefault="00B7627C" w:rsidP="0073715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The</w:t>
      </w:r>
      <w:r w:rsidR="00A912F5" w:rsidRPr="00CF097C">
        <w:t xml:space="preserve"> general expect</w:t>
      </w:r>
      <w:r w:rsidRPr="00CF097C">
        <w:t>ation is</w:t>
      </w:r>
      <w:r w:rsidR="00A912F5" w:rsidRPr="00CF097C">
        <w:t xml:space="preserve"> that </w:t>
      </w:r>
      <w:r w:rsidRPr="00CF097C">
        <w:t xml:space="preserve">FEA </w:t>
      </w:r>
      <w:r w:rsidR="00107085" w:rsidRPr="00CF097C">
        <w:t>methods would be applied to most conventional suspended slabs in hospital buildings</w:t>
      </w:r>
      <w:r w:rsidR="00557EF0" w:rsidRPr="00CF097C">
        <w:t>, given the</w:t>
      </w:r>
      <w:r w:rsidR="00B3177E" w:rsidRPr="00CF097C">
        <w:t>ir</w:t>
      </w:r>
      <w:r w:rsidR="00557EF0" w:rsidRPr="00CF097C">
        <w:t xml:space="preserve"> accessibility </w:t>
      </w:r>
      <w:r w:rsidR="00B3177E" w:rsidRPr="00CF097C">
        <w:t>via</w:t>
      </w:r>
      <w:r w:rsidR="00557EF0" w:rsidRPr="00CF097C">
        <w:t xml:space="preserve"> a number of proprietary</w:t>
      </w:r>
      <w:r w:rsidR="00B3177E" w:rsidRPr="00CF097C">
        <w:t xml:space="preserve"> software packages</w:t>
      </w:r>
      <w:r w:rsidR="00107085" w:rsidRPr="00CF097C">
        <w:t xml:space="preserve">. </w:t>
      </w:r>
      <w:r w:rsidR="00557EF0" w:rsidRPr="00CF097C">
        <w:t xml:space="preserve">The simplified methods can </w:t>
      </w:r>
      <w:r w:rsidR="003A1E6B" w:rsidRPr="00CF097C">
        <w:t>be a useful tool</w:t>
      </w:r>
      <w:r w:rsidR="00721EE9" w:rsidRPr="00CF097C">
        <w:t>. H</w:t>
      </w:r>
      <w:r w:rsidR="00B3177E" w:rsidRPr="00CF097C">
        <w:t>owever</w:t>
      </w:r>
      <w:r w:rsidR="004B0CBD" w:rsidRPr="00CF097C">
        <w:t xml:space="preserve">, they </w:t>
      </w:r>
      <w:r w:rsidR="002B3453" w:rsidRPr="00CF097C">
        <w:t>can be sensitive to assumptions such as modal mass</w:t>
      </w:r>
      <w:r w:rsidR="00721EE9" w:rsidRPr="00CF097C">
        <w:t xml:space="preserve">, </w:t>
      </w:r>
      <w:r w:rsidR="004B0CBD" w:rsidRPr="00CF097C">
        <w:t>sometimes giving spurious results even</w:t>
      </w:r>
      <w:r w:rsidR="00721EE9" w:rsidRPr="00CF097C">
        <w:t xml:space="preserve"> in </w:t>
      </w:r>
      <w:r w:rsidR="004B0CBD" w:rsidRPr="00CF097C">
        <w:t xml:space="preserve">relatively </w:t>
      </w:r>
      <w:r w:rsidR="00721EE9" w:rsidRPr="00CF097C">
        <w:t>simple cases</w:t>
      </w:r>
      <w:r w:rsidR="00024C73">
        <w:t xml:space="preserve">, </w:t>
      </w:r>
      <w:r w:rsidR="004B0CBD" w:rsidRPr="00CF097C">
        <w:t>usually warrant</w:t>
      </w:r>
      <w:r w:rsidR="00D8718F" w:rsidRPr="00CF097C">
        <w:t>ing</w:t>
      </w:r>
      <w:r w:rsidR="004B0CBD" w:rsidRPr="00CF097C">
        <w:t xml:space="preserve"> the effort </w:t>
      </w:r>
      <w:r w:rsidR="0037463B" w:rsidRPr="00CF097C">
        <w:t xml:space="preserve">of a general FEA method for a more consistent </w:t>
      </w:r>
      <w:r w:rsidR="003016A9" w:rsidRPr="00CF097C">
        <w:t>assessment</w:t>
      </w:r>
      <w:r w:rsidR="003A1E6B" w:rsidRPr="00CF097C">
        <w:t>.</w:t>
      </w:r>
    </w:p>
    <w:p w14:paraId="0962A29F" w14:textId="2A680E87" w:rsidR="00673D6F" w:rsidRPr="00CF097C" w:rsidRDefault="00633420" w:rsidP="0073715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lastRenderedPageBreak/>
        <w:t xml:space="preserve">Notwithstanding, </w:t>
      </w:r>
      <w:r w:rsidR="00956617" w:rsidRPr="00CF097C">
        <w:t>i</w:t>
      </w:r>
      <w:r w:rsidR="00DD21FF" w:rsidRPr="00CF097C">
        <w:t>t may be appropriate in some cases to continue to apply simpl</w:t>
      </w:r>
      <w:r w:rsidR="00AC509D" w:rsidRPr="00CF097C">
        <w:t>ified</w:t>
      </w:r>
      <w:r w:rsidR="00DD21FF" w:rsidRPr="00CF097C">
        <w:t xml:space="preserve"> hand/spreadsheet calculation </w:t>
      </w:r>
      <w:r w:rsidR="00956617" w:rsidRPr="00CF097C">
        <w:t xml:space="preserve">in the guides </w:t>
      </w:r>
      <w:r w:rsidR="00DD21FF" w:rsidRPr="00CF097C">
        <w:t xml:space="preserve">or </w:t>
      </w:r>
      <w:r w:rsidR="00956617" w:rsidRPr="00CF097C">
        <w:t xml:space="preserve">common </w:t>
      </w:r>
      <w:r w:rsidR="00DD21FF" w:rsidRPr="00CF097C">
        <w:t xml:space="preserve">empirical methods, such as </w:t>
      </w:r>
      <w:r w:rsidR="005E6B16" w:rsidRPr="00CF097C">
        <w:t>light timber framed floors or less critical areas</w:t>
      </w:r>
      <w:r w:rsidR="00043A6D" w:rsidRPr="00CF097C">
        <w:t>.</w:t>
      </w:r>
    </w:p>
    <w:p w14:paraId="32EC8BCF" w14:textId="77777777" w:rsidR="00697B75" w:rsidRPr="00737152" w:rsidRDefault="00697B75" w:rsidP="00D56CAE">
      <w:pPr>
        <w:pStyle w:val="BodyHeading"/>
        <w:rPr>
          <w:color w:val="0C818E"/>
        </w:rPr>
      </w:pPr>
      <w:r w:rsidRPr="00737152">
        <w:rPr>
          <w:color w:val="0C818E"/>
        </w:rPr>
        <w:t>Evaluation from mechanically induced vibration or other sources</w:t>
      </w:r>
    </w:p>
    <w:p w14:paraId="26C0E468" w14:textId="595A326B" w:rsidR="00DA577A" w:rsidRPr="00CF097C" w:rsidRDefault="00DA577A" w:rsidP="00666E06">
      <w:r w:rsidRPr="00CF097C">
        <w:t xml:space="preserve">In most situations, </w:t>
      </w:r>
      <w:r w:rsidR="00E34B26" w:rsidRPr="00CF097C">
        <w:t xml:space="preserve">evaluation of </w:t>
      </w:r>
      <w:r w:rsidRPr="00CF097C">
        <w:t>footfall induced vibration</w:t>
      </w:r>
      <w:r w:rsidR="00E34B26" w:rsidRPr="00CF097C">
        <w:t xml:space="preserve"> </w:t>
      </w:r>
      <w:r w:rsidR="003818C2" w:rsidRPr="00CF097C">
        <w:t>(</w:t>
      </w:r>
      <w:r w:rsidR="001406EF" w:rsidRPr="00CF097C">
        <w:t xml:space="preserve">targeting </w:t>
      </w:r>
      <w:r w:rsidR="00E34B26" w:rsidRPr="00CF097C">
        <w:t>appropriate limits</w:t>
      </w:r>
      <w:r w:rsidR="003818C2" w:rsidRPr="00CF097C">
        <w:t>)</w:t>
      </w:r>
      <w:r w:rsidR="00024C73">
        <w:t xml:space="preserve"> </w:t>
      </w:r>
      <w:r w:rsidR="00820577" w:rsidRPr="00CF097C">
        <w:t>together with</w:t>
      </w:r>
      <w:r w:rsidR="003818C2" w:rsidRPr="00CF097C">
        <w:t xml:space="preserve"> acoustic engineering input into spaces housing </w:t>
      </w:r>
      <w:r w:rsidR="003C4FB3" w:rsidRPr="00CF097C">
        <w:t xml:space="preserve">mechanical </w:t>
      </w:r>
      <w:r w:rsidR="003818C2" w:rsidRPr="00CF097C">
        <w:t xml:space="preserve">plant </w:t>
      </w:r>
      <w:r w:rsidR="00820577" w:rsidRPr="00CF097C">
        <w:t>and their separation from other accommodation</w:t>
      </w:r>
      <w:r w:rsidR="00024C73">
        <w:t xml:space="preserve"> </w:t>
      </w:r>
      <w:r w:rsidR="00E34B26" w:rsidRPr="00CF097C">
        <w:t xml:space="preserve">will result in </w:t>
      </w:r>
      <w:r w:rsidR="00822A1A" w:rsidRPr="00CF097C">
        <w:t>floor structures</w:t>
      </w:r>
      <w:r w:rsidR="00F323B1" w:rsidRPr="00CF097C">
        <w:t xml:space="preserve"> that are suff</w:t>
      </w:r>
      <w:r w:rsidR="000F3F3B" w:rsidRPr="00CF097C">
        <w:t xml:space="preserve">iciently robust to avoid </w:t>
      </w:r>
      <w:r w:rsidR="008D25BB" w:rsidRPr="00CF097C">
        <w:t xml:space="preserve">nuisance from </w:t>
      </w:r>
      <w:r w:rsidR="000F3F3B" w:rsidRPr="00CF097C">
        <w:t>mechanically induced vibration</w:t>
      </w:r>
      <w:r w:rsidR="00822A1A" w:rsidRPr="00CF097C">
        <w:t>. F</w:t>
      </w:r>
      <w:r w:rsidR="00303FCC" w:rsidRPr="00CF097C">
        <w:t xml:space="preserve">urther mitigation of </w:t>
      </w:r>
      <w:r w:rsidR="001406EF" w:rsidRPr="00CF097C">
        <w:t xml:space="preserve">perceived </w:t>
      </w:r>
      <w:r w:rsidR="00B855BE" w:rsidRPr="00CF097C">
        <w:t xml:space="preserve">mechanically induced vibration can be </w:t>
      </w:r>
      <w:r w:rsidR="00303FCC" w:rsidRPr="00CF097C">
        <w:t>achieved through</w:t>
      </w:r>
      <w:r w:rsidR="00B855BE" w:rsidRPr="00CF097C">
        <w:t xml:space="preserve"> appropriate</w:t>
      </w:r>
      <w:r w:rsidR="00A261B4" w:rsidRPr="00CF097C">
        <w:t xml:space="preserve"> specification of equipment</w:t>
      </w:r>
      <w:r w:rsidR="00B855BE" w:rsidRPr="00CF097C">
        <w:t xml:space="preserve"> mounting an</w:t>
      </w:r>
      <w:r w:rsidR="00822A1A" w:rsidRPr="00CF097C">
        <w:t>d</w:t>
      </w:r>
      <w:r w:rsidR="00B855BE" w:rsidRPr="00CF097C">
        <w:t xml:space="preserve"> isolation</w:t>
      </w:r>
      <w:r w:rsidR="00F618FB" w:rsidRPr="00CF097C">
        <w:t xml:space="preserve"> as part of ordinary practice</w:t>
      </w:r>
      <w:r w:rsidR="00B855BE" w:rsidRPr="00CF097C">
        <w:t>.</w:t>
      </w:r>
    </w:p>
    <w:p w14:paraId="37BC5306" w14:textId="52784EB4" w:rsidR="00697B75" w:rsidRPr="00CF097C" w:rsidRDefault="00A261B4" w:rsidP="00666E06">
      <w:r w:rsidRPr="00CF097C">
        <w:t xml:space="preserve">In extraordinary circumstances, </w:t>
      </w:r>
      <w:r w:rsidR="009847E7" w:rsidRPr="00CF097C">
        <w:t xml:space="preserve">such as when </w:t>
      </w:r>
      <w:r w:rsidR="002D5B80" w:rsidRPr="00CF097C">
        <w:t xml:space="preserve">sensitive equipment is located near potentially significant vibration sources, </w:t>
      </w:r>
      <w:r w:rsidR="006D200D" w:rsidRPr="00CF097C">
        <w:t>specific evaluation may be required</w:t>
      </w:r>
      <w:r w:rsidR="00024C73">
        <w:t xml:space="preserve">, </w:t>
      </w:r>
      <w:r w:rsidR="009E137C" w:rsidRPr="00CF097C">
        <w:t>although it is better to avoid these situations through appropriate planning</w:t>
      </w:r>
      <w:r w:rsidR="006D200D" w:rsidRPr="00CF097C">
        <w:t>. The</w:t>
      </w:r>
      <w:r w:rsidR="00864987" w:rsidRPr="00CF097C">
        <w:t xml:space="preserve"> methods described in the above guidelines can be applied similarly to mechanically induced vibration</w:t>
      </w:r>
      <w:r w:rsidR="002C630E" w:rsidRPr="00CF097C">
        <w:t>.</w:t>
      </w:r>
      <w:r w:rsidR="00DA577A" w:rsidRPr="00CF097C">
        <w:t xml:space="preserve"> </w:t>
      </w:r>
      <w:r w:rsidRPr="00CF097C">
        <w:t>However,</w:t>
      </w:r>
      <w:r w:rsidR="00DA577A" w:rsidRPr="00CF097C">
        <w:t xml:space="preserve"> this </w:t>
      </w:r>
      <w:r w:rsidR="00670C72" w:rsidRPr="00CF097C">
        <w:t>is challenging as it</w:t>
      </w:r>
      <w:r w:rsidR="00DA577A" w:rsidRPr="00CF097C">
        <w:t xml:space="preserve"> requires definition of the forcing function</w:t>
      </w:r>
      <w:r w:rsidR="00B45378" w:rsidRPr="00CF097C">
        <w:t xml:space="preserve"> and resulting load spectrums</w:t>
      </w:r>
      <w:r w:rsidR="00564D56" w:rsidRPr="00CF097C">
        <w:t xml:space="preserve">, </w:t>
      </w:r>
      <w:r w:rsidR="007A1757" w:rsidRPr="00CF097C">
        <w:t>and force transmissibility</w:t>
      </w:r>
      <w:r w:rsidR="00EF19B8" w:rsidRPr="00CF097C">
        <w:t xml:space="preserve"> </w:t>
      </w:r>
      <w:r w:rsidR="00670C72" w:rsidRPr="00CF097C">
        <w:t>is</w:t>
      </w:r>
      <w:r w:rsidR="00564D56" w:rsidRPr="00CF097C">
        <w:t xml:space="preserve"> dependent on mount design</w:t>
      </w:r>
      <w:r w:rsidR="002C630E" w:rsidRPr="00CF097C">
        <w:t xml:space="preserve"> </w:t>
      </w:r>
      <w:sdt>
        <w:sdtPr>
          <w:id w:val="-414255520"/>
          <w:citation/>
        </w:sdtPr>
        <w:sdtEndPr/>
        <w:sdtContent>
          <w:r w:rsidR="00EF19B8" w:rsidRPr="00CF097C">
            <w:fldChar w:fldCharType="begin"/>
          </w:r>
          <w:r w:rsidR="00EF19B8" w:rsidRPr="00CF097C">
            <w:rPr>
              <w:lang w:val="en-US"/>
            </w:rPr>
            <w:instrText xml:space="preserve"> CITATION ASH12 \l 1033 </w:instrText>
          </w:r>
          <w:r w:rsidR="00EF19B8" w:rsidRPr="00CF097C">
            <w:fldChar w:fldCharType="separate"/>
          </w:r>
          <w:r w:rsidR="00222D65">
            <w:rPr>
              <w:noProof/>
              <w:lang w:val="en-US"/>
            </w:rPr>
            <w:t>(ASHRAE, 2012)</w:t>
          </w:r>
          <w:r w:rsidR="00EF19B8" w:rsidRPr="00CF097C">
            <w:fldChar w:fldCharType="end"/>
          </w:r>
        </w:sdtContent>
      </w:sdt>
      <w:r w:rsidR="00B45378" w:rsidRPr="00CF097C">
        <w:t>.</w:t>
      </w:r>
      <w:r w:rsidR="006A3A0B">
        <w:t xml:space="preserve"> Forcing functions</w:t>
      </w:r>
      <w:r w:rsidR="00A03E34">
        <w:t xml:space="preserve"> (where required)</w:t>
      </w:r>
      <w:r w:rsidR="006A3A0B">
        <w:t xml:space="preserve"> should be supplied by the manufacturer</w:t>
      </w:r>
      <w:r w:rsidR="00805E7A">
        <w:t xml:space="preserve"> (</w:t>
      </w:r>
      <w:r w:rsidR="00EE485A">
        <w:t>subject to timing/</w:t>
      </w:r>
      <w:r w:rsidR="00805E7A">
        <w:t>availab</w:t>
      </w:r>
      <w:r w:rsidR="00EE485A">
        <w:t>ility</w:t>
      </w:r>
      <w:r w:rsidR="00805E7A">
        <w:t xml:space="preserve">) or otherwise </w:t>
      </w:r>
      <w:r w:rsidR="000B2338">
        <w:t>sought via</w:t>
      </w:r>
      <w:r w:rsidR="007A0867">
        <w:t xml:space="preserve"> </w:t>
      </w:r>
      <w:r w:rsidR="00805E7A">
        <w:t xml:space="preserve">the advice of </w:t>
      </w:r>
      <w:r w:rsidR="00DB3FD1">
        <w:t xml:space="preserve">an appropriate specialist </w:t>
      </w:r>
      <w:r w:rsidR="002045FB">
        <w:t>and with input from</w:t>
      </w:r>
      <w:r w:rsidR="00DB3FD1">
        <w:t xml:space="preserve"> the services or acoustic engineer.</w:t>
      </w:r>
    </w:p>
    <w:p w14:paraId="0939685F" w14:textId="69307A78" w:rsidR="007A1757" w:rsidRPr="00CF097C" w:rsidRDefault="007D5C79" w:rsidP="00666E06">
      <w:pPr>
        <w:pStyle w:val="Requirement"/>
      </w:pPr>
      <w:r>
        <w:rPr>
          <w:b/>
          <w:bCs/>
        </w:rPr>
        <w:t xml:space="preserve">Health NZ </w:t>
      </w:r>
      <w:r w:rsidR="007A1757" w:rsidRPr="00CF097C">
        <w:rPr>
          <w:b/>
          <w:bCs/>
        </w:rPr>
        <w:t>Recommendation:</w:t>
      </w:r>
      <w:r w:rsidR="007A1757" w:rsidRPr="00CF097C">
        <w:t xml:space="preserve"> </w:t>
      </w:r>
      <w:r w:rsidR="00641472" w:rsidRPr="00CF097C">
        <w:t xml:space="preserve">Work with Building Services Engineers and Acoustic Engineers, to identify any extraordinary vibration sources that may warrant </w:t>
      </w:r>
      <w:r w:rsidR="00CE6CFB" w:rsidRPr="00CF097C">
        <w:t>specific</w:t>
      </w:r>
      <w:r w:rsidR="003604B5" w:rsidRPr="00CF097C">
        <w:t xml:space="preserve"> structural vibration</w:t>
      </w:r>
      <w:r w:rsidR="00CE6CFB" w:rsidRPr="00CF097C">
        <w:t xml:space="preserve"> </w:t>
      </w:r>
      <w:r w:rsidR="00AA7EE2" w:rsidRPr="00CF097C">
        <w:t>evaluation</w:t>
      </w:r>
      <w:r w:rsidR="00D47C4E" w:rsidRPr="00CF097C">
        <w:t xml:space="preserve">, </w:t>
      </w:r>
      <w:r w:rsidR="00FC6A84" w:rsidRPr="00CF097C">
        <w:t>such as</w:t>
      </w:r>
      <w:r w:rsidR="003604B5" w:rsidRPr="00CF097C">
        <w:t xml:space="preserve"> where sensitive </w:t>
      </w:r>
      <w:r w:rsidR="00A95DBC" w:rsidRPr="00CF097C">
        <w:t>equipment</w:t>
      </w:r>
      <w:r w:rsidR="003604B5" w:rsidRPr="00CF097C">
        <w:t xml:space="preserve"> is located near </w:t>
      </w:r>
      <w:r w:rsidR="00A95DBC" w:rsidRPr="00CF097C">
        <w:t>potentially significant vibration sources</w:t>
      </w:r>
      <w:r w:rsidR="00643AB7" w:rsidRPr="00CF097C">
        <w:t>.</w:t>
      </w:r>
    </w:p>
    <w:p w14:paraId="267E30D3" w14:textId="77777777" w:rsidR="000E24C0" w:rsidRPr="00CF097C" w:rsidRDefault="000E24C0" w:rsidP="00737152">
      <w:pPr>
        <w:pStyle w:val="Section2heading3"/>
      </w:pPr>
      <w:bookmarkStart w:id="202" w:name="_Ref165443100"/>
      <w:r w:rsidRPr="00CF097C">
        <w:t>Acceptance Criteria</w:t>
      </w:r>
      <w:bookmarkEnd w:id="202"/>
    </w:p>
    <w:p w14:paraId="1460331B" w14:textId="2FB91925" w:rsidR="00E00BED" w:rsidRPr="00737152" w:rsidRDefault="0019289C" w:rsidP="00D56CAE">
      <w:pPr>
        <w:pStyle w:val="BodyHeading"/>
        <w:rPr>
          <w:color w:val="0C818E"/>
        </w:rPr>
      </w:pPr>
      <w:r w:rsidRPr="00737152">
        <w:rPr>
          <w:color w:val="0C818E"/>
        </w:rPr>
        <w:t>Basic n</w:t>
      </w:r>
      <w:r w:rsidR="00E00BED" w:rsidRPr="00737152">
        <w:rPr>
          <w:color w:val="0C818E"/>
        </w:rPr>
        <w:t>atural frequency limit for occupied suspended floors</w:t>
      </w:r>
    </w:p>
    <w:p w14:paraId="49955951" w14:textId="77777777" w:rsidR="00E00BED" w:rsidRPr="00CF097C" w:rsidRDefault="00E00BED" w:rsidP="00666E06">
      <w:r w:rsidRPr="00CF097C">
        <w:t>The natural frequency of any occupied floor shall be limited to a minimum of 3Hz.</w:t>
      </w:r>
    </w:p>
    <w:p w14:paraId="5AAFD39A" w14:textId="54F264D5" w:rsidR="005B76C8" w:rsidRPr="00737152" w:rsidRDefault="005B76C8" w:rsidP="00D56CAE">
      <w:pPr>
        <w:pStyle w:val="BodyHeading"/>
        <w:rPr>
          <w:color w:val="0C818E"/>
        </w:rPr>
      </w:pPr>
      <w:r w:rsidRPr="00737152">
        <w:rPr>
          <w:color w:val="0C818E"/>
        </w:rPr>
        <w:t>General acceptance criteria for footfall</w:t>
      </w:r>
      <w:r w:rsidR="00463A2F" w:rsidRPr="00737152">
        <w:rPr>
          <w:color w:val="0C818E"/>
        </w:rPr>
        <w:t>-</w:t>
      </w:r>
      <w:r w:rsidRPr="00737152">
        <w:rPr>
          <w:color w:val="0C818E"/>
        </w:rPr>
        <w:t>induced vibration</w:t>
      </w:r>
    </w:p>
    <w:p w14:paraId="3FABC205" w14:textId="7962274C" w:rsidR="00B379D7" w:rsidRPr="00CF097C" w:rsidRDefault="000E24C0" w:rsidP="00666E06">
      <w:r w:rsidRPr="00CF097C">
        <w:t xml:space="preserve">Current standards and guidelines </w:t>
      </w:r>
      <w:r w:rsidR="002F5739" w:rsidRPr="00CF097C">
        <w:t>relate</w:t>
      </w:r>
      <w:r w:rsidRPr="00CF097C">
        <w:t xml:space="preserve"> human </w:t>
      </w:r>
      <w:r w:rsidR="00FB2DB0" w:rsidRPr="00CF097C">
        <w:t xml:space="preserve">perception and </w:t>
      </w:r>
      <w:r w:rsidRPr="00CF097C">
        <w:t xml:space="preserve">discomfort </w:t>
      </w:r>
      <w:r w:rsidR="002F5739" w:rsidRPr="00CF097C">
        <w:t>to</w:t>
      </w:r>
      <w:r w:rsidRPr="00CF097C">
        <w:t xml:space="preserve"> the acceleration of the floor.</w:t>
      </w:r>
      <w:r w:rsidR="00B379D7" w:rsidRPr="00CF097C">
        <w:t xml:space="preserve"> A </w:t>
      </w:r>
      <w:r w:rsidR="00CB7673" w:rsidRPr="00CF097C">
        <w:t xml:space="preserve">series of </w:t>
      </w:r>
      <w:r w:rsidR="00B379D7" w:rsidRPr="00CF097C">
        <w:t>base curve</w:t>
      </w:r>
      <w:r w:rsidR="00CB7673" w:rsidRPr="00CF097C">
        <w:t>s</w:t>
      </w:r>
      <w:r w:rsidR="0044580B" w:rsidRPr="00CF097C">
        <w:t xml:space="preserve"> define a normal </w:t>
      </w:r>
      <w:r w:rsidR="00A66020" w:rsidRPr="00CF097C">
        <w:t>“</w:t>
      </w:r>
      <w:r w:rsidR="0044580B" w:rsidRPr="00CF097C">
        <w:t>lab-ideal</w:t>
      </w:r>
      <w:r w:rsidR="00A66020" w:rsidRPr="00CF097C">
        <w:t>”</w:t>
      </w:r>
      <w:r w:rsidR="0044580B" w:rsidRPr="00CF097C">
        <w:t xml:space="preserve"> threshold of human perception</w:t>
      </w:r>
      <w:r w:rsidR="002650CC">
        <w:t xml:space="preserve"> </w:t>
      </w:r>
      <w:r w:rsidR="0044580B" w:rsidRPr="00CF097C">
        <w:t>which is dependent on frequency.</w:t>
      </w:r>
      <w:r w:rsidR="00B379D7" w:rsidRPr="00CF097C">
        <w:t xml:space="preserve"> </w:t>
      </w:r>
      <w:r w:rsidR="00E137EA" w:rsidRPr="00CF097C">
        <w:t xml:space="preserve">The </w:t>
      </w:r>
      <w:r w:rsidR="00797D9B" w:rsidRPr="00CF097C">
        <w:t xml:space="preserve">standards define </w:t>
      </w:r>
      <w:r w:rsidR="00E137EA" w:rsidRPr="00CF097C">
        <w:t xml:space="preserve">acceptance criteria </w:t>
      </w:r>
      <w:r w:rsidR="00797D9B" w:rsidRPr="00CF097C">
        <w:t xml:space="preserve">(satisfactory vibration levels) </w:t>
      </w:r>
      <w:r w:rsidR="00E137EA" w:rsidRPr="00CF097C">
        <w:t>in terms of a</w:t>
      </w:r>
      <w:r w:rsidR="00B379D7" w:rsidRPr="00CF097C">
        <w:t xml:space="preserve"> of multiplying factors</w:t>
      </w:r>
      <w:r w:rsidR="00797D9B" w:rsidRPr="00CF097C">
        <w:t xml:space="preserve"> that </w:t>
      </w:r>
      <w:r w:rsidR="009B5495" w:rsidRPr="00CF097C">
        <w:t xml:space="preserve">can be applied to these base </w:t>
      </w:r>
      <w:r w:rsidR="00A66020" w:rsidRPr="00CF097C">
        <w:t>curve</w:t>
      </w:r>
      <w:r w:rsidR="006D64B5" w:rsidRPr="00CF097C">
        <w:t>s before perception issues arise</w:t>
      </w:r>
      <w:r w:rsidR="009B5495" w:rsidRPr="00CF097C">
        <w:t xml:space="preserve">, </w:t>
      </w:r>
      <w:r w:rsidR="00A66020" w:rsidRPr="00CF097C">
        <w:t xml:space="preserve">that are </w:t>
      </w:r>
      <w:r w:rsidR="009B5495" w:rsidRPr="00CF097C">
        <w:t xml:space="preserve">applicable to </w:t>
      </w:r>
      <w:r w:rsidR="0032089D" w:rsidRPr="00CF097C">
        <w:t>a</w:t>
      </w:r>
      <w:r w:rsidR="009B5495" w:rsidRPr="00CF097C">
        <w:t xml:space="preserve"> floor</w:t>
      </w:r>
      <w:r w:rsidR="00061BAD" w:rsidRPr="00CF097C">
        <w:t>’</w:t>
      </w:r>
      <w:r w:rsidR="009B5495" w:rsidRPr="00CF097C">
        <w:t xml:space="preserve">s </w:t>
      </w:r>
      <w:r w:rsidR="00A66020" w:rsidRPr="00CF097C">
        <w:t xml:space="preserve">real-world </w:t>
      </w:r>
      <w:r w:rsidR="009B5495" w:rsidRPr="00CF097C">
        <w:t>use</w:t>
      </w:r>
      <w:r w:rsidR="00B379D7" w:rsidRPr="00CF097C">
        <w:t xml:space="preserve">. The multiplying factors are used as </w:t>
      </w:r>
      <w:r w:rsidR="00383037" w:rsidRPr="00CF097C">
        <w:t xml:space="preserve">target </w:t>
      </w:r>
      <w:r w:rsidR="00B379D7" w:rsidRPr="00CF097C">
        <w:t>limit</w:t>
      </w:r>
      <w:r w:rsidR="00383037" w:rsidRPr="00CF097C">
        <w:t>s</w:t>
      </w:r>
      <w:r w:rsidR="00B379D7" w:rsidRPr="00CF097C">
        <w:t xml:space="preserve"> </w:t>
      </w:r>
      <w:r w:rsidR="00383037" w:rsidRPr="00CF097C">
        <w:t>on</w:t>
      </w:r>
      <w:r w:rsidR="00B379D7" w:rsidRPr="00CF097C">
        <w:t xml:space="preserve"> the evaluated Response Factor </w:t>
      </w:r>
      <w:r w:rsidR="000F6409" w:rsidRPr="00CF097C">
        <w:t>for a floor (R-Factor or R-Value)</w:t>
      </w:r>
      <w:r w:rsidR="00CA031F" w:rsidRPr="00CF097C">
        <w:t>. This is</w:t>
      </w:r>
      <w:r w:rsidR="00B379D7" w:rsidRPr="00CF097C">
        <w:t xml:space="preserve"> the evaluated weighted floor acceleration divided by the appropriate base </w:t>
      </w:r>
      <w:r w:rsidR="00CA031F" w:rsidRPr="00CF097C">
        <w:t xml:space="preserve">acceleration </w:t>
      </w:r>
      <w:r w:rsidR="00B379D7" w:rsidRPr="00CF097C">
        <w:t>value.</w:t>
      </w:r>
    </w:p>
    <w:p w14:paraId="509BCF59" w14:textId="36AB730F" w:rsidR="00D93ACC" w:rsidRPr="00CF097C" w:rsidRDefault="000E24C0" w:rsidP="00666E06">
      <w:r w:rsidRPr="00CF097C">
        <w:t xml:space="preserve">The </w:t>
      </w:r>
      <w:r w:rsidR="00176119" w:rsidRPr="00CF097C">
        <w:t>standards</w:t>
      </w:r>
      <w:r w:rsidRPr="00CF097C">
        <w:t xml:space="preserve"> ISO 10137 Bases for the Design of Structures- Serviceability of Buildings and Walkways Against Vibration </w:t>
      </w:r>
      <w:sdt>
        <w:sdtPr>
          <w:id w:val="2062278429"/>
          <w:citation/>
        </w:sdtPr>
        <w:sdtEndPr/>
        <w:sdtContent>
          <w:r w:rsidR="005C6857" w:rsidRPr="00CF097C">
            <w:fldChar w:fldCharType="begin"/>
          </w:r>
          <w:r w:rsidR="005C6857" w:rsidRPr="00CF097C">
            <w:rPr>
              <w:lang w:val="en-US"/>
            </w:rPr>
            <w:instrText xml:space="preserve"> CITATION ISO07 \l 1033 </w:instrText>
          </w:r>
          <w:r w:rsidR="005C6857" w:rsidRPr="00CF097C">
            <w:fldChar w:fldCharType="separate"/>
          </w:r>
          <w:r w:rsidR="00222D65">
            <w:rPr>
              <w:noProof/>
              <w:lang w:val="en-US"/>
            </w:rPr>
            <w:t>(ISO, 2007)</w:t>
          </w:r>
          <w:r w:rsidR="005C6857" w:rsidRPr="00CF097C">
            <w:fldChar w:fldCharType="end"/>
          </w:r>
        </w:sdtContent>
      </w:sdt>
      <w:r w:rsidR="005C6857" w:rsidRPr="00CF097C">
        <w:t xml:space="preserve"> </w:t>
      </w:r>
      <w:r w:rsidRPr="00CF097C">
        <w:t xml:space="preserve">and BS 6472 Guide to the Evaluation of Human Exposure to Vibration in Buildings </w:t>
      </w:r>
      <w:sdt>
        <w:sdtPr>
          <w:id w:val="518124993"/>
          <w:citation/>
        </w:sdtPr>
        <w:sdtEndPr/>
        <w:sdtContent>
          <w:r w:rsidR="005C6857" w:rsidRPr="00CF097C">
            <w:fldChar w:fldCharType="begin"/>
          </w:r>
          <w:r w:rsidR="005C6857" w:rsidRPr="00CF097C">
            <w:rPr>
              <w:lang w:val="en-US"/>
            </w:rPr>
            <w:instrText xml:space="preserve"> CITATION BSI08 \l 1033 </w:instrText>
          </w:r>
          <w:r w:rsidR="005C6857" w:rsidRPr="00CF097C">
            <w:fldChar w:fldCharType="separate"/>
          </w:r>
          <w:r w:rsidR="00222D65">
            <w:rPr>
              <w:noProof/>
              <w:lang w:val="en-US"/>
            </w:rPr>
            <w:t>(BSI, 2008)</w:t>
          </w:r>
          <w:r w:rsidR="005C6857" w:rsidRPr="00CF097C">
            <w:fldChar w:fldCharType="end"/>
          </w:r>
        </w:sdtContent>
      </w:sdt>
      <w:r w:rsidR="005C6857" w:rsidRPr="00CF097C">
        <w:t xml:space="preserve"> </w:t>
      </w:r>
      <w:r w:rsidR="00176119" w:rsidRPr="00CF097C">
        <w:t>give</w:t>
      </w:r>
      <w:r w:rsidR="003969F6" w:rsidRPr="00CF097C">
        <w:t xml:space="preserve"> </w:t>
      </w:r>
      <w:r w:rsidR="00581227" w:rsidRPr="00CF097C">
        <w:t xml:space="preserve">recommended limits to achieve </w:t>
      </w:r>
      <w:r w:rsidR="00784225" w:rsidRPr="00CF097C">
        <w:t xml:space="preserve">a </w:t>
      </w:r>
      <w:r w:rsidR="00581227" w:rsidRPr="00CF097C">
        <w:t>low probability of adverse comment</w:t>
      </w:r>
      <w:r w:rsidR="003969F6" w:rsidRPr="00CF097C">
        <w:t xml:space="preserve"> in general cases</w:t>
      </w:r>
      <w:r w:rsidR="00581227" w:rsidRPr="00CF097C">
        <w:t>.</w:t>
      </w:r>
      <w:r w:rsidR="00EF26B6" w:rsidRPr="00CF097C">
        <w:t xml:space="preserve"> The UK document</w:t>
      </w:r>
      <w:r w:rsidR="00581227" w:rsidRPr="00CF097C">
        <w:t xml:space="preserve"> </w:t>
      </w:r>
      <w:r w:rsidR="00BA4A48" w:rsidRPr="00CF097C">
        <w:t xml:space="preserve">Health Technical Memorandum </w:t>
      </w:r>
      <w:r w:rsidR="00A02956" w:rsidRPr="00CF097C">
        <w:t>HTM</w:t>
      </w:r>
      <w:r w:rsidR="00BA4A48" w:rsidRPr="00CF097C">
        <w:t xml:space="preserve"> 08-01</w:t>
      </w:r>
      <w:r w:rsidR="003969F6" w:rsidRPr="00CF097C">
        <w:t xml:space="preserve"> </w:t>
      </w:r>
      <w:sdt>
        <w:sdtPr>
          <w:id w:val="640240447"/>
          <w:citation/>
        </w:sdtPr>
        <w:sdtEndPr/>
        <w:sdtContent>
          <w:r w:rsidR="00EF26B6" w:rsidRPr="00CF097C">
            <w:fldChar w:fldCharType="begin"/>
          </w:r>
          <w:r w:rsidR="00EF26B6" w:rsidRPr="00CF097C">
            <w:rPr>
              <w:lang w:val="en-US"/>
            </w:rPr>
            <w:instrText xml:space="preserve"> CITATION Dep13 \l 1033 </w:instrText>
          </w:r>
          <w:r w:rsidR="00EF26B6" w:rsidRPr="00CF097C">
            <w:fldChar w:fldCharType="separate"/>
          </w:r>
          <w:r w:rsidR="00222D65">
            <w:rPr>
              <w:noProof/>
              <w:lang w:val="en-US"/>
            </w:rPr>
            <w:t>(Department of Health, 2013)</w:t>
          </w:r>
          <w:r w:rsidR="00EF26B6" w:rsidRPr="00CF097C">
            <w:fldChar w:fldCharType="end"/>
          </w:r>
        </w:sdtContent>
      </w:sdt>
      <w:r w:rsidR="00BA4A48" w:rsidRPr="00CF097C">
        <w:t xml:space="preserve"> provides further </w:t>
      </w:r>
      <w:r w:rsidR="00BA4A48" w:rsidRPr="00CF097C">
        <w:lastRenderedPageBreak/>
        <w:t xml:space="preserve">specificity for hospital environments, </w:t>
      </w:r>
      <w:r w:rsidR="00701065" w:rsidRPr="00CF097C">
        <w:t>which the</w:t>
      </w:r>
      <w:r w:rsidR="00BA4A48" w:rsidRPr="00CF097C">
        <w:t xml:space="preserve"> NHS</w:t>
      </w:r>
      <w:r w:rsidR="00EF26B6" w:rsidRPr="00CF097C">
        <w:t xml:space="preserve"> (UK)</w:t>
      </w:r>
      <w:r w:rsidR="00701065" w:rsidRPr="00CF097C">
        <w:t xml:space="preserve"> uses to define its performance requirements</w:t>
      </w:r>
      <w:r w:rsidR="00FE640C" w:rsidRPr="00CF097C">
        <w:t>.</w:t>
      </w:r>
      <w:r w:rsidR="003969F6" w:rsidRPr="00CF097C">
        <w:t xml:space="preserve"> SCI P354 gives comprehensive guidance on both contexts</w:t>
      </w:r>
      <w:r w:rsidR="00015E37" w:rsidRPr="00CF097C">
        <w:t xml:space="preserve"> </w:t>
      </w:r>
      <w:sdt>
        <w:sdtPr>
          <w:id w:val="844356279"/>
          <w:citation/>
        </w:sdtPr>
        <w:sdtEndPr/>
        <w:sdtContent>
          <w:r w:rsidR="00646187" w:rsidRPr="00CF097C">
            <w:fldChar w:fldCharType="begin"/>
          </w:r>
          <w:r w:rsidR="00646187" w:rsidRPr="00CF097C">
            <w:rPr>
              <w:lang w:val="en-US"/>
            </w:rPr>
            <w:instrText xml:space="preserve"> CITATION Smi09 \l 1033 </w:instrText>
          </w:r>
          <w:r w:rsidR="00646187" w:rsidRPr="00CF097C">
            <w:fldChar w:fldCharType="separate"/>
          </w:r>
          <w:r w:rsidR="00222D65">
            <w:rPr>
              <w:noProof/>
              <w:lang w:val="en-US"/>
            </w:rPr>
            <w:t>(Smith, Hicks, &amp; Devine, 2009)</w:t>
          </w:r>
          <w:r w:rsidR="00646187" w:rsidRPr="00CF097C">
            <w:fldChar w:fldCharType="end"/>
          </w:r>
        </w:sdtContent>
      </w:sdt>
      <w:r w:rsidR="003969F6" w:rsidRPr="00CF097C">
        <w:t>.</w:t>
      </w:r>
    </w:p>
    <w:p w14:paraId="44731447" w14:textId="74779344" w:rsidR="000E24C0" w:rsidRPr="00CF097C" w:rsidRDefault="007D5C79" w:rsidP="00666E06">
      <w:r>
        <w:t xml:space="preserve">Health NZ </w:t>
      </w:r>
      <w:r w:rsidR="000E37D7" w:rsidRPr="00CF097C">
        <w:t xml:space="preserve">consider HTM 08-01 to be an appropriate performance </w:t>
      </w:r>
      <w:r w:rsidR="00784225" w:rsidRPr="00CF097C">
        <w:t>benchmark</w:t>
      </w:r>
      <w:r w:rsidR="000E37D7" w:rsidRPr="00CF097C">
        <w:t>.</w:t>
      </w:r>
      <w:r w:rsidR="003738EB" w:rsidRPr="00CF097C">
        <w:t xml:space="preserve"> The</w:t>
      </w:r>
      <w:r w:rsidR="00A84DF1" w:rsidRPr="00CF097C">
        <w:t xml:space="preserve"> suggested</w:t>
      </w:r>
      <w:r w:rsidR="003738EB" w:rsidRPr="00CF097C">
        <w:t xml:space="preserve"> limits are </w:t>
      </w:r>
      <w:r w:rsidR="00095F0D" w:rsidRPr="00CF097C">
        <w:t xml:space="preserve">reproduced in </w:t>
      </w:r>
      <w:r w:rsidR="00095F0D" w:rsidRPr="00CF097C">
        <w:fldChar w:fldCharType="begin"/>
      </w:r>
      <w:r w:rsidR="00095F0D" w:rsidRPr="00CF097C">
        <w:instrText xml:space="preserve"> REF _Ref165379335 \h </w:instrText>
      </w:r>
      <w:r w:rsidR="00CF097C">
        <w:instrText xml:space="preserve"> \* MERGEFORMAT </w:instrText>
      </w:r>
      <w:r w:rsidR="00095F0D" w:rsidRPr="00CF097C">
        <w:fldChar w:fldCharType="separate"/>
      </w:r>
      <w:r w:rsidR="000761C1" w:rsidRPr="000761C1">
        <w:t xml:space="preserve">Table </w:t>
      </w:r>
      <w:r w:rsidR="000761C1" w:rsidRPr="000761C1">
        <w:rPr>
          <w:noProof/>
        </w:rPr>
        <w:t>9</w:t>
      </w:r>
      <w:r w:rsidR="00095F0D" w:rsidRPr="00CF097C">
        <w:fldChar w:fldCharType="end"/>
      </w:r>
      <w:r w:rsidR="00095F0D" w:rsidRPr="00CF097C">
        <w:t xml:space="preserve"> with additional service/function clarifications</w:t>
      </w:r>
      <w:r w:rsidR="004A4086" w:rsidRPr="00CF097C">
        <w:t xml:space="preserve">. For </w:t>
      </w:r>
      <w:r w:rsidR="00565435" w:rsidRPr="00CF097C">
        <w:t>all cases</w:t>
      </w:r>
      <w:r w:rsidR="004A4086" w:rsidRPr="00CF097C">
        <w:t>, these limits</w:t>
      </w:r>
      <w:r w:rsidR="00565435" w:rsidRPr="00CF097C">
        <w:t xml:space="preserve"> are based on use with W</w:t>
      </w:r>
      <w:r w:rsidR="00565435" w:rsidRPr="00CF097C">
        <w:rPr>
          <w:vertAlign w:val="subscript"/>
        </w:rPr>
        <w:t>g</w:t>
      </w:r>
      <w:r w:rsidR="00565435" w:rsidRPr="00CF097C">
        <w:t xml:space="preserve"> frequency weighting</w:t>
      </w:r>
      <w:r w:rsidR="00A84DF1" w:rsidRPr="00CF097C">
        <w:t>.</w:t>
      </w:r>
    </w:p>
    <w:p w14:paraId="5071563E" w14:textId="2CA70453" w:rsidR="002A2E81" w:rsidRPr="00855228" w:rsidRDefault="002A2E81" w:rsidP="00E234BB">
      <w:pPr>
        <w:pStyle w:val="Figure"/>
        <w:keepNext/>
        <w:rPr>
          <w:sz w:val="20"/>
          <w:szCs w:val="20"/>
        </w:rPr>
      </w:pPr>
      <w:bookmarkStart w:id="203" w:name="_Ref165379335"/>
      <w:r w:rsidRPr="00855228">
        <w:rPr>
          <w:sz w:val="20"/>
          <w:szCs w:val="20"/>
        </w:rPr>
        <w:t xml:space="preserve">Table </w:t>
      </w:r>
      <w:r w:rsidR="0062088B" w:rsidRPr="00855228">
        <w:rPr>
          <w:sz w:val="20"/>
          <w:szCs w:val="20"/>
        </w:rPr>
        <w:fldChar w:fldCharType="begin"/>
      </w:r>
      <w:r w:rsidR="0062088B" w:rsidRPr="00855228">
        <w:rPr>
          <w:sz w:val="20"/>
          <w:szCs w:val="20"/>
        </w:rPr>
        <w:instrText xml:space="preserve"> SEQ Table \* ARABIC </w:instrText>
      </w:r>
      <w:r w:rsidR="0062088B" w:rsidRPr="00855228">
        <w:rPr>
          <w:sz w:val="20"/>
          <w:szCs w:val="20"/>
        </w:rPr>
        <w:fldChar w:fldCharType="separate"/>
      </w:r>
      <w:r w:rsidR="000761C1">
        <w:rPr>
          <w:noProof/>
          <w:sz w:val="20"/>
          <w:szCs w:val="20"/>
        </w:rPr>
        <w:t>9</w:t>
      </w:r>
      <w:r w:rsidR="0062088B" w:rsidRPr="00855228">
        <w:rPr>
          <w:noProof/>
          <w:sz w:val="20"/>
          <w:szCs w:val="20"/>
        </w:rPr>
        <w:fldChar w:fldCharType="end"/>
      </w:r>
      <w:bookmarkEnd w:id="203"/>
      <w:r w:rsidRPr="00855228">
        <w:rPr>
          <w:sz w:val="20"/>
          <w:szCs w:val="20"/>
        </w:rPr>
        <w:t xml:space="preserve">: </w:t>
      </w:r>
      <w:r w:rsidR="00C720D3" w:rsidRPr="00855228">
        <w:rPr>
          <w:sz w:val="20"/>
          <w:szCs w:val="20"/>
        </w:rPr>
        <w:t xml:space="preserve">Recommended </w:t>
      </w:r>
      <w:r w:rsidR="004D4C3A" w:rsidRPr="00855228">
        <w:rPr>
          <w:sz w:val="20"/>
          <w:szCs w:val="20"/>
        </w:rPr>
        <w:t>target values</w:t>
      </w:r>
      <w:r w:rsidR="00C720D3" w:rsidRPr="00855228">
        <w:rPr>
          <w:sz w:val="20"/>
          <w:szCs w:val="20"/>
        </w:rPr>
        <w:t xml:space="preserve"> for evaluated Response Factor, R</w:t>
      </w:r>
      <w:r w:rsidR="00505CD1" w:rsidRPr="00855228">
        <w:rPr>
          <w:sz w:val="20"/>
          <w:szCs w:val="20"/>
        </w:rPr>
        <w:t>, used with frequency weighting Wg</w:t>
      </w:r>
    </w:p>
    <w:tbl>
      <w:tblPr>
        <w:tblStyle w:val="TeWhatuOra"/>
        <w:tblW w:w="0" w:type="auto"/>
        <w:tblBorders>
          <w:top w:val="single" w:sz="4" w:space="0" w:color="15284C" w:themeColor="text1"/>
          <w:left w:val="single" w:sz="4" w:space="0" w:color="15284C" w:themeColor="text1"/>
          <w:bottom w:val="single" w:sz="4" w:space="0" w:color="15284C" w:themeColor="text1"/>
          <w:right w:val="single" w:sz="4" w:space="0" w:color="15284C" w:themeColor="text1"/>
          <w:insideH w:val="single" w:sz="4" w:space="0" w:color="15284C" w:themeColor="text1"/>
          <w:insideV w:val="single" w:sz="4" w:space="0" w:color="15284C" w:themeColor="text1"/>
        </w:tblBorders>
        <w:tblLook w:val="0420" w:firstRow="1" w:lastRow="0" w:firstColumn="0" w:lastColumn="0" w:noHBand="0" w:noVBand="1"/>
      </w:tblPr>
      <w:tblGrid>
        <w:gridCol w:w="4215"/>
        <w:gridCol w:w="2801"/>
        <w:gridCol w:w="2612"/>
      </w:tblGrid>
      <w:tr w:rsidR="00724F8A" w:rsidRPr="00855228" w14:paraId="4020FEE5" w14:textId="06F6E6BE" w:rsidTr="00DA3030">
        <w:trPr>
          <w:cnfStyle w:val="100000000000" w:firstRow="1" w:lastRow="0" w:firstColumn="0" w:lastColumn="0" w:oddVBand="0" w:evenVBand="0" w:oddHBand="0" w:evenHBand="0" w:firstRowFirstColumn="0" w:firstRowLastColumn="0" w:lastRowFirstColumn="0" w:lastRowLastColumn="0"/>
        </w:trPr>
        <w:tc>
          <w:tcPr>
            <w:tcW w:w="4215" w:type="dxa"/>
            <w:tcBorders>
              <w:top w:val="single" w:sz="12" w:space="0" w:color="003399" w:themeColor="accent2"/>
              <w:left w:val="nil"/>
              <w:bottom w:val="single" w:sz="12" w:space="0" w:color="003399" w:themeColor="accent2"/>
              <w:right w:val="single" w:sz="8" w:space="0" w:color="BFBFBF"/>
            </w:tcBorders>
            <w:shd w:val="clear" w:color="auto" w:fill="F6F4EC"/>
          </w:tcPr>
          <w:p w14:paraId="484E48B8" w14:textId="77777777" w:rsidR="00724F8A" w:rsidRPr="00855228" w:rsidRDefault="00724F8A" w:rsidP="00855228">
            <w:pPr>
              <w:spacing w:before="0" w:beforeAutospacing="0" w:after="0" w:afterAutospacing="0"/>
              <w:rPr>
                <w:sz w:val="20"/>
                <w:szCs w:val="20"/>
              </w:rPr>
            </w:pPr>
            <w:r w:rsidRPr="00855228">
              <w:rPr>
                <w:sz w:val="20"/>
                <w:szCs w:val="20"/>
              </w:rPr>
              <w:t>Service or Function</w:t>
            </w:r>
          </w:p>
        </w:tc>
        <w:tc>
          <w:tcPr>
            <w:tcW w:w="2801"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7E488B9D" w14:textId="234E9DFB" w:rsidR="00724F8A" w:rsidRPr="00855228" w:rsidRDefault="00840EE6" w:rsidP="00855228">
            <w:pPr>
              <w:spacing w:before="0" w:beforeAutospacing="0" w:after="0" w:afterAutospacing="0"/>
              <w:rPr>
                <w:b w:val="0"/>
                <w:sz w:val="20"/>
                <w:szCs w:val="20"/>
              </w:rPr>
            </w:pPr>
            <w:r w:rsidRPr="00855228">
              <w:rPr>
                <w:sz w:val="20"/>
                <w:szCs w:val="20"/>
              </w:rPr>
              <w:t xml:space="preserve">Recommended </w:t>
            </w:r>
            <w:r w:rsidR="00724F8A" w:rsidRPr="00855228">
              <w:rPr>
                <w:sz w:val="20"/>
                <w:szCs w:val="20"/>
              </w:rPr>
              <w:t>Response Factor Limit</w:t>
            </w:r>
          </w:p>
        </w:tc>
        <w:tc>
          <w:tcPr>
            <w:tcW w:w="2612" w:type="dxa"/>
            <w:tcBorders>
              <w:top w:val="single" w:sz="12" w:space="0" w:color="003399" w:themeColor="accent2"/>
              <w:left w:val="single" w:sz="8" w:space="0" w:color="BFBFBF"/>
              <w:bottom w:val="single" w:sz="12" w:space="0" w:color="003399" w:themeColor="accent2"/>
              <w:right w:val="nil"/>
            </w:tcBorders>
            <w:shd w:val="clear" w:color="auto" w:fill="F6F4EC"/>
          </w:tcPr>
          <w:p w14:paraId="48FECDE8" w14:textId="65ECFF6E" w:rsidR="00724F8A" w:rsidRPr="00855228" w:rsidRDefault="00724F8A" w:rsidP="00855228">
            <w:pPr>
              <w:spacing w:before="0" w:beforeAutospacing="0" w:after="0" w:afterAutospacing="0"/>
              <w:rPr>
                <w:b w:val="0"/>
                <w:sz w:val="20"/>
                <w:szCs w:val="20"/>
              </w:rPr>
            </w:pPr>
            <w:r w:rsidRPr="00855228">
              <w:rPr>
                <w:sz w:val="20"/>
                <w:szCs w:val="20"/>
              </w:rPr>
              <w:t>VDV Limit</w:t>
            </w:r>
            <w:r w:rsidR="00CF45E6" w:rsidRPr="00855228">
              <w:rPr>
                <w:sz w:val="20"/>
                <w:szCs w:val="20"/>
              </w:rPr>
              <w:t xml:space="preserve"> (m/s</w:t>
            </w:r>
            <w:r w:rsidR="00CF45E6" w:rsidRPr="00855228">
              <w:rPr>
                <w:sz w:val="20"/>
                <w:szCs w:val="20"/>
                <w:vertAlign w:val="superscript"/>
              </w:rPr>
              <w:t>1.75</w:t>
            </w:r>
            <w:r w:rsidR="00CF45E6" w:rsidRPr="00855228">
              <w:rPr>
                <w:sz w:val="20"/>
                <w:szCs w:val="20"/>
              </w:rPr>
              <w:t>)</w:t>
            </w:r>
            <w:r w:rsidRPr="00855228">
              <w:rPr>
                <w:sz w:val="20"/>
                <w:szCs w:val="20"/>
              </w:rPr>
              <w:br/>
            </w:r>
            <w:r w:rsidRPr="00855228">
              <w:rPr>
                <w:b w:val="0"/>
                <w:sz w:val="20"/>
                <w:szCs w:val="20"/>
              </w:rPr>
              <w:t>16hr Day</w:t>
            </w:r>
          </w:p>
        </w:tc>
      </w:tr>
      <w:tr w:rsidR="00447408" w:rsidRPr="00855228" w14:paraId="1A7754E6" w14:textId="77777777" w:rsidTr="00DA3030">
        <w:tc>
          <w:tcPr>
            <w:tcW w:w="4215" w:type="dxa"/>
            <w:tcBorders>
              <w:top w:val="single" w:sz="12" w:space="0" w:color="003399" w:themeColor="accent2"/>
              <w:left w:val="nil"/>
              <w:bottom w:val="single" w:sz="8" w:space="0" w:color="BFBFBF"/>
              <w:right w:val="single" w:sz="8" w:space="0" w:color="BFBFBF"/>
            </w:tcBorders>
          </w:tcPr>
          <w:p w14:paraId="26AC68B1" w14:textId="790D11DA" w:rsidR="00447408" w:rsidRPr="00855228" w:rsidRDefault="00447408" w:rsidP="00855228">
            <w:pPr>
              <w:spacing w:before="0" w:beforeAutospacing="0" w:after="0" w:afterAutospacing="0"/>
              <w:rPr>
                <w:sz w:val="20"/>
                <w:szCs w:val="20"/>
              </w:rPr>
            </w:pPr>
            <w:r w:rsidRPr="00855228">
              <w:rPr>
                <w:sz w:val="20"/>
                <w:szCs w:val="20"/>
              </w:rPr>
              <w:t>Plant rooms</w:t>
            </w:r>
            <w:r w:rsidR="00923492" w:rsidRPr="00855228">
              <w:rPr>
                <w:sz w:val="20"/>
                <w:szCs w:val="20"/>
              </w:rPr>
              <w:t xml:space="preserve"> </w:t>
            </w:r>
            <w:r w:rsidR="00923492" w:rsidRPr="00855228">
              <w:rPr>
                <w:sz w:val="20"/>
                <w:szCs w:val="20"/>
                <w:vertAlign w:val="superscript"/>
              </w:rPr>
              <w:t>6</w:t>
            </w:r>
          </w:p>
        </w:tc>
        <w:tc>
          <w:tcPr>
            <w:tcW w:w="2801" w:type="dxa"/>
            <w:tcBorders>
              <w:top w:val="single" w:sz="12" w:space="0" w:color="003399" w:themeColor="accent2"/>
              <w:left w:val="single" w:sz="8" w:space="0" w:color="BFBFBF"/>
              <w:bottom w:val="single" w:sz="8" w:space="0" w:color="BFBFBF"/>
              <w:right w:val="single" w:sz="8" w:space="0" w:color="BFBFBF"/>
            </w:tcBorders>
          </w:tcPr>
          <w:p w14:paraId="3F39193B" w14:textId="4B28C14C" w:rsidR="00447408" w:rsidRPr="00855228" w:rsidRDefault="00447408" w:rsidP="00855228">
            <w:pPr>
              <w:spacing w:before="0" w:beforeAutospacing="0" w:after="0" w:afterAutospacing="0"/>
              <w:rPr>
                <w:sz w:val="20"/>
                <w:szCs w:val="20"/>
              </w:rPr>
            </w:pPr>
            <w:r w:rsidRPr="00855228">
              <w:rPr>
                <w:sz w:val="20"/>
                <w:szCs w:val="20"/>
              </w:rPr>
              <w:t>10</w:t>
            </w:r>
          </w:p>
        </w:tc>
        <w:tc>
          <w:tcPr>
            <w:tcW w:w="2612" w:type="dxa"/>
            <w:tcBorders>
              <w:top w:val="single" w:sz="12" w:space="0" w:color="003399" w:themeColor="accent2"/>
              <w:left w:val="single" w:sz="8" w:space="0" w:color="BFBFBF"/>
              <w:bottom w:val="single" w:sz="8" w:space="0" w:color="BFBFBF"/>
              <w:right w:val="nil"/>
            </w:tcBorders>
            <w:vAlign w:val="center"/>
          </w:tcPr>
          <w:p w14:paraId="0C89B87D" w14:textId="445BC23D" w:rsidR="00447408" w:rsidRPr="00855228" w:rsidRDefault="00D9376D" w:rsidP="00855228">
            <w:pPr>
              <w:spacing w:before="0" w:beforeAutospacing="0" w:after="0" w:afterAutospacing="0"/>
              <w:rPr>
                <w:sz w:val="20"/>
                <w:szCs w:val="20"/>
              </w:rPr>
            </w:pPr>
            <w:r w:rsidRPr="00855228">
              <w:rPr>
                <w:sz w:val="20"/>
                <w:szCs w:val="20"/>
              </w:rPr>
              <w:t>n/a</w:t>
            </w:r>
          </w:p>
        </w:tc>
      </w:tr>
      <w:tr w:rsidR="00724F8A" w:rsidRPr="00855228" w14:paraId="0F08B8D0" w14:textId="5290049E" w:rsidTr="00737152">
        <w:tc>
          <w:tcPr>
            <w:tcW w:w="4215" w:type="dxa"/>
            <w:tcBorders>
              <w:top w:val="single" w:sz="8" w:space="0" w:color="BFBFBF"/>
              <w:left w:val="nil"/>
              <w:bottom w:val="single" w:sz="8" w:space="0" w:color="BFBFBF"/>
              <w:right w:val="single" w:sz="8" w:space="0" w:color="BFBFBF"/>
            </w:tcBorders>
          </w:tcPr>
          <w:p w14:paraId="4CDF7095" w14:textId="37BFCF51" w:rsidR="00724F8A" w:rsidRPr="00855228" w:rsidRDefault="00C52B42" w:rsidP="00855228">
            <w:pPr>
              <w:spacing w:before="0" w:beforeAutospacing="0" w:after="0" w:afterAutospacing="0"/>
              <w:rPr>
                <w:sz w:val="20"/>
                <w:szCs w:val="20"/>
              </w:rPr>
            </w:pPr>
            <w:r w:rsidRPr="00855228">
              <w:rPr>
                <w:sz w:val="20"/>
                <w:szCs w:val="20"/>
              </w:rPr>
              <w:t>G</w:t>
            </w:r>
            <w:r w:rsidR="00724F8A" w:rsidRPr="00855228">
              <w:rPr>
                <w:sz w:val="20"/>
                <w:szCs w:val="20"/>
              </w:rPr>
              <w:t>eneral office and staff spaces</w:t>
            </w:r>
            <w:r w:rsidR="00D23E6C" w:rsidRPr="00855228">
              <w:rPr>
                <w:sz w:val="20"/>
                <w:szCs w:val="20"/>
              </w:rPr>
              <w:t xml:space="preserve"> </w:t>
            </w:r>
            <w:r w:rsidR="00724F8A" w:rsidRPr="00855228">
              <w:rPr>
                <w:sz w:val="20"/>
                <w:szCs w:val="20"/>
                <w:vertAlign w:val="superscript"/>
              </w:rPr>
              <w:t>1</w:t>
            </w:r>
            <w:r w:rsidR="00FE355E" w:rsidRPr="00855228">
              <w:rPr>
                <w:sz w:val="20"/>
                <w:szCs w:val="20"/>
              </w:rPr>
              <w:br/>
            </w:r>
            <w:r w:rsidR="00724F8A" w:rsidRPr="00855228">
              <w:rPr>
                <w:sz w:val="20"/>
                <w:szCs w:val="20"/>
              </w:rPr>
              <w:t>CSSD</w:t>
            </w:r>
          </w:p>
        </w:tc>
        <w:tc>
          <w:tcPr>
            <w:tcW w:w="2801" w:type="dxa"/>
            <w:tcBorders>
              <w:top w:val="single" w:sz="8" w:space="0" w:color="BFBFBF"/>
              <w:left w:val="single" w:sz="8" w:space="0" w:color="BFBFBF"/>
              <w:bottom w:val="single" w:sz="8" w:space="0" w:color="BFBFBF"/>
              <w:right w:val="single" w:sz="8" w:space="0" w:color="BFBFBF"/>
            </w:tcBorders>
            <w:vAlign w:val="center"/>
          </w:tcPr>
          <w:p w14:paraId="32EED25B" w14:textId="5F3EC6ED" w:rsidR="00724F8A" w:rsidRPr="00855228" w:rsidRDefault="0042244E" w:rsidP="00855228">
            <w:pPr>
              <w:spacing w:before="0" w:beforeAutospacing="0" w:after="0" w:afterAutospacing="0"/>
              <w:rPr>
                <w:sz w:val="20"/>
                <w:szCs w:val="20"/>
              </w:rPr>
            </w:pPr>
            <w:r w:rsidRPr="00855228">
              <w:rPr>
                <w:sz w:val="20"/>
                <w:szCs w:val="20"/>
              </w:rPr>
              <w:t xml:space="preserve">4 to </w:t>
            </w:r>
            <w:r w:rsidR="00724F8A" w:rsidRPr="00855228">
              <w:rPr>
                <w:sz w:val="20"/>
                <w:szCs w:val="20"/>
              </w:rPr>
              <w:t>8</w:t>
            </w:r>
          </w:p>
        </w:tc>
        <w:tc>
          <w:tcPr>
            <w:tcW w:w="2612" w:type="dxa"/>
            <w:tcBorders>
              <w:top w:val="single" w:sz="8" w:space="0" w:color="BFBFBF"/>
              <w:left w:val="single" w:sz="8" w:space="0" w:color="BFBFBF"/>
              <w:bottom w:val="single" w:sz="8" w:space="0" w:color="BFBFBF"/>
              <w:right w:val="nil"/>
            </w:tcBorders>
            <w:vAlign w:val="center"/>
          </w:tcPr>
          <w:p w14:paraId="7A0DF5D7" w14:textId="5D356A38" w:rsidR="00724F8A" w:rsidRPr="00855228" w:rsidRDefault="00D9376D" w:rsidP="00855228">
            <w:pPr>
              <w:spacing w:before="0" w:beforeAutospacing="0" w:after="0" w:afterAutospacing="0"/>
              <w:rPr>
                <w:sz w:val="20"/>
                <w:szCs w:val="20"/>
              </w:rPr>
            </w:pPr>
            <w:r w:rsidRPr="00855228">
              <w:rPr>
                <w:sz w:val="20"/>
                <w:szCs w:val="20"/>
              </w:rPr>
              <w:t>0.</w:t>
            </w:r>
            <w:r w:rsidR="00486135" w:rsidRPr="00855228">
              <w:rPr>
                <w:sz w:val="20"/>
                <w:szCs w:val="20"/>
              </w:rPr>
              <w:t>8</w:t>
            </w:r>
          </w:p>
        </w:tc>
      </w:tr>
      <w:tr w:rsidR="00724F8A" w:rsidRPr="00855228" w14:paraId="4843E7F9" w14:textId="2690FCF0" w:rsidTr="00737152">
        <w:tc>
          <w:tcPr>
            <w:tcW w:w="4215" w:type="dxa"/>
            <w:tcBorders>
              <w:top w:val="single" w:sz="8" w:space="0" w:color="BFBFBF"/>
              <w:left w:val="nil"/>
              <w:bottom w:val="single" w:sz="8" w:space="0" w:color="BFBFBF"/>
              <w:right w:val="single" w:sz="8" w:space="0" w:color="BFBFBF"/>
            </w:tcBorders>
          </w:tcPr>
          <w:p w14:paraId="5CA6CF8A" w14:textId="7BE91461" w:rsidR="00724F8A" w:rsidRPr="00855228" w:rsidRDefault="00B72CCA" w:rsidP="00855228">
            <w:pPr>
              <w:spacing w:before="0" w:beforeAutospacing="0" w:after="0" w:afterAutospacing="0"/>
              <w:rPr>
                <w:sz w:val="20"/>
                <w:szCs w:val="20"/>
              </w:rPr>
            </w:pPr>
            <w:r w:rsidRPr="00855228">
              <w:rPr>
                <w:sz w:val="20"/>
                <w:szCs w:val="20"/>
              </w:rPr>
              <w:t>General clinical areas: comprising</w:t>
            </w:r>
            <w:r w:rsidRPr="00855228">
              <w:rPr>
                <w:sz w:val="20"/>
                <w:szCs w:val="20"/>
              </w:rPr>
              <w:br/>
            </w:r>
            <w:r w:rsidR="00724F8A" w:rsidRPr="00855228">
              <w:rPr>
                <w:sz w:val="20"/>
                <w:szCs w:val="20"/>
              </w:rPr>
              <w:t>ED, ICU, general treatment areas, general laboratories, consulting rooms</w:t>
            </w:r>
            <w:r w:rsidR="00D23E6C" w:rsidRPr="00855228">
              <w:rPr>
                <w:sz w:val="20"/>
                <w:szCs w:val="20"/>
              </w:rPr>
              <w:t xml:space="preserve"> </w:t>
            </w:r>
            <w:r w:rsidR="000E119B" w:rsidRPr="00855228">
              <w:rPr>
                <w:sz w:val="20"/>
                <w:szCs w:val="20"/>
                <w:vertAlign w:val="superscript"/>
              </w:rPr>
              <w:t>2</w:t>
            </w:r>
            <w:r w:rsidR="00724F8A" w:rsidRPr="00855228">
              <w:rPr>
                <w:sz w:val="20"/>
                <w:szCs w:val="20"/>
              </w:rPr>
              <w:t>, other non-sensitive specialist and support function areas</w:t>
            </w:r>
          </w:p>
        </w:tc>
        <w:tc>
          <w:tcPr>
            <w:tcW w:w="2801" w:type="dxa"/>
            <w:tcBorders>
              <w:top w:val="single" w:sz="8" w:space="0" w:color="BFBFBF"/>
              <w:left w:val="single" w:sz="8" w:space="0" w:color="BFBFBF"/>
              <w:bottom w:val="single" w:sz="8" w:space="0" w:color="BFBFBF"/>
              <w:right w:val="single" w:sz="8" w:space="0" w:color="BFBFBF"/>
            </w:tcBorders>
            <w:vAlign w:val="center"/>
          </w:tcPr>
          <w:p w14:paraId="0674C205" w14:textId="41953E77" w:rsidR="00724F8A" w:rsidRPr="00855228" w:rsidRDefault="00724F8A" w:rsidP="00855228">
            <w:pPr>
              <w:spacing w:before="0" w:beforeAutospacing="0" w:after="0" w:afterAutospacing="0"/>
              <w:rPr>
                <w:sz w:val="20"/>
                <w:szCs w:val="20"/>
              </w:rPr>
            </w:pPr>
            <w:r w:rsidRPr="00855228">
              <w:rPr>
                <w:sz w:val="20"/>
                <w:szCs w:val="20"/>
              </w:rPr>
              <w:t>4</w:t>
            </w:r>
          </w:p>
        </w:tc>
        <w:tc>
          <w:tcPr>
            <w:tcW w:w="2612" w:type="dxa"/>
            <w:tcBorders>
              <w:top w:val="single" w:sz="8" w:space="0" w:color="BFBFBF"/>
              <w:left w:val="single" w:sz="8" w:space="0" w:color="BFBFBF"/>
              <w:bottom w:val="single" w:sz="8" w:space="0" w:color="BFBFBF"/>
              <w:right w:val="nil"/>
            </w:tcBorders>
            <w:vAlign w:val="center"/>
          </w:tcPr>
          <w:p w14:paraId="234437B7" w14:textId="7388B39D" w:rsidR="00724F8A" w:rsidRPr="00855228" w:rsidRDefault="00A338D6" w:rsidP="00855228">
            <w:pPr>
              <w:spacing w:before="0" w:beforeAutospacing="0" w:after="0" w:afterAutospacing="0"/>
              <w:rPr>
                <w:sz w:val="20"/>
                <w:szCs w:val="20"/>
              </w:rPr>
            </w:pPr>
            <w:r w:rsidRPr="00855228">
              <w:rPr>
                <w:sz w:val="20"/>
                <w:szCs w:val="20"/>
              </w:rPr>
              <w:t>0.4</w:t>
            </w:r>
          </w:p>
        </w:tc>
      </w:tr>
      <w:tr w:rsidR="00B86E9F" w:rsidRPr="00855228" w14:paraId="7F8A37D1" w14:textId="05817FC3" w:rsidTr="00737152">
        <w:tc>
          <w:tcPr>
            <w:tcW w:w="4215" w:type="dxa"/>
            <w:tcBorders>
              <w:top w:val="single" w:sz="8" w:space="0" w:color="BFBFBF"/>
              <w:left w:val="nil"/>
              <w:bottom w:val="single" w:sz="8" w:space="0" w:color="BFBFBF"/>
              <w:right w:val="single" w:sz="8" w:space="0" w:color="BFBFBF"/>
            </w:tcBorders>
          </w:tcPr>
          <w:p w14:paraId="70271119" w14:textId="63A86721" w:rsidR="00B86E9F" w:rsidRPr="00855228" w:rsidRDefault="00B86E9F" w:rsidP="00855228">
            <w:pPr>
              <w:spacing w:before="0" w:beforeAutospacing="0" w:after="0" w:afterAutospacing="0"/>
              <w:rPr>
                <w:sz w:val="20"/>
                <w:szCs w:val="20"/>
              </w:rPr>
            </w:pPr>
            <w:r w:rsidRPr="00855228">
              <w:rPr>
                <w:sz w:val="20"/>
                <w:szCs w:val="20"/>
              </w:rPr>
              <w:t>Wards</w:t>
            </w:r>
            <w:r w:rsidR="00182DE5" w:rsidRPr="00855228">
              <w:rPr>
                <w:sz w:val="20"/>
                <w:szCs w:val="20"/>
              </w:rPr>
              <w:t xml:space="preserve"> </w:t>
            </w:r>
            <w:r w:rsidRPr="00855228">
              <w:rPr>
                <w:sz w:val="20"/>
                <w:szCs w:val="20"/>
                <w:vertAlign w:val="superscript"/>
              </w:rPr>
              <w:t>3</w:t>
            </w:r>
          </w:p>
        </w:tc>
        <w:tc>
          <w:tcPr>
            <w:tcW w:w="2801" w:type="dxa"/>
            <w:vMerge w:val="restart"/>
            <w:tcBorders>
              <w:top w:val="single" w:sz="8" w:space="0" w:color="BFBFBF"/>
              <w:left w:val="single" w:sz="8" w:space="0" w:color="BFBFBF"/>
              <w:bottom w:val="single" w:sz="8" w:space="0" w:color="BFBFBF"/>
              <w:right w:val="single" w:sz="8" w:space="0" w:color="BFBFBF"/>
            </w:tcBorders>
            <w:vAlign w:val="center"/>
          </w:tcPr>
          <w:p w14:paraId="25C7DD87" w14:textId="0DAD0493" w:rsidR="00B86E9F" w:rsidRPr="00855228" w:rsidRDefault="00B86E9F" w:rsidP="00855228">
            <w:pPr>
              <w:spacing w:before="0" w:beforeAutospacing="0" w:after="0" w:afterAutospacing="0"/>
              <w:rPr>
                <w:sz w:val="20"/>
                <w:szCs w:val="20"/>
              </w:rPr>
            </w:pPr>
            <w:r w:rsidRPr="00855228">
              <w:rPr>
                <w:sz w:val="20"/>
                <w:szCs w:val="20"/>
              </w:rPr>
              <w:t>2</w:t>
            </w:r>
          </w:p>
        </w:tc>
        <w:tc>
          <w:tcPr>
            <w:tcW w:w="2612" w:type="dxa"/>
            <w:tcBorders>
              <w:top w:val="single" w:sz="8" w:space="0" w:color="BFBFBF"/>
              <w:left w:val="single" w:sz="8" w:space="0" w:color="BFBFBF"/>
              <w:bottom w:val="single" w:sz="8" w:space="0" w:color="BFBFBF"/>
              <w:right w:val="nil"/>
            </w:tcBorders>
            <w:vAlign w:val="center"/>
          </w:tcPr>
          <w:p w14:paraId="540F1CA7" w14:textId="1E3668B2" w:rsidR="00B86E9F" w:rsidRPr="00855228" w:rsidRDefault="00B86E9F" w:rsidP="00855228">
            <w:pPr>
              <w:spacing w:before="0" w:beforeAutospacing="0" w:after="0" w:afterAutospacing="0"/>
              <w:rPr>
                <w:sz w:val="20"/>
                <w:szCs w:val="20"/>
              </w:rPr>
            </w:pPr>
            <w:r w:rsidRPr="00855228">
              <w:rPr>
                <w:sz w:val="20"/>
                <w:szCs w:val="20"/>
              </w:rPr>
              <w:t>0.2</w:t>
            </w:r>
          </w:p>
        </w:tc>
      </w:tr>
      <w:tr w:rsidR="00B86E9F" w:rsidRPr="00855228" w14:paraId="22D2F73C" w14:textId="77777777" w:rsidTr="00737152">
        <w:tc>
          <w:tcPr>
            <w:tcW w:w="4215" w:type="dxa"/>
            <w:tcBorders>
              <w:top w:val="single" w:sz="8" w:space="0" w:color="BFBFBF"/>
              <w:left w:val="nil"/>
              <w:bottom w:val="single" w:sz="8" w:space="0" w:color="BFBFBF"/>
              <w:right w:val="single" w:sz="8" w:space="0" w:color="BFBFBF"/>
            </w:tcBorders>
          </w:tcPr>
          <w:p w14:paraId="3D7B7C58" w14:textId="5333A88D" w:rsidR="00B86E9F" w:rsidRPr="00855228" w:rsidRDefault="00B86E9F" w:rsidP="00855228">
            <w:pPr>
              <w:spacing w:before="0" w:beforeAutospacing="0" w:after="0" w:afterAutospacing="0"/>
              <w:rPr>
                <w:sz w:val="20"/>
                <w:szCs w:val="20"/>
              </w:rPr>
            </w:pPr>
            <w:r w:rsidRPr="00855228">
              <w:rPr>
                <w:sz w:val="20"/>
                <w:szCs w:val="20"/>
              </w:rPr>
              <w:t>General radiology (X-Ray)</w:t>
            </w:r>
          </w:p>
        </w:tc>
        <w:tc>
          <w:tcPr>
            <w:tcW w:w="2801" w:type="dxa"/>
            <w:vMerge/>
            <w:tcBorders>
              <w:top w:val="single" w:sz="8" w:space="0" w:color="BFBFBF"/>
              <w:left w:val="single" w:sz="8" w:space="0" w:color="BFBFBF"/>
              <w:bottom w:val="single" w:sz="8" w:space="0" w:color="BFBFBF"/>
              <w:right w:val="single" w:sz="8" w:space="0" w:color="BFBFBF"/>
            </w:tcBorders>
            <w:vAlign w:val="center"/>
          </w:tcPr>
          <w:p w14:paraId="455E1CC7" w14:textId="77777777" w:rsidR="00B86E9F" w:rsidRPr="00855228" w:rsidRDefault="00B86E9F" w:rsidP="00855228">
            <w:pPr>
              <w:spacing w:before="0" w:beforeAutospacing="0" w:after="0" w:afterAutospacing="0"/>
              <w:rPr>
                <w:sz w:val="20"/>
                <w:szCs w:val="20"/>
              </w:rPr>
            </w:pPr>
          </w:p>
        </w:tc>
        <w:tc>
          <w:tcPr>
            <w:tcW w:w="2612" w:type="dxa"/>
            <w:tcBorders>
              <w:top w:val="single" w:sz="8" w:space="0" w:color="BFBFBF"/>
              <w:left w:val="single" w:sz="8" w:space="0" w:color="BFBFBF"/>
              <w:bottom w:val="single" w:sz="8" w:space="0" w:color="BFBFBF"/>
              <w:right w:val="nil"/>
            </w:tcBorders>
            <w:vAlign w:val="center"/>
          </w:tcPr>
          <w:p w14:paraId="4682CBD8" w14:textId="25F47BE9" w:rsidR="00B86E9F" w:rsidRPr="00855228" w:rsidRDefault="00B86E9F" w:rsidP="00855228">
            <w:pPr>
              <w:spacing w:before="0" w:beforeAutospacing="0" w:after="0" w:afterAutospacing="0"/>
              <w:rPr>
                <w:sz w:val="20"/>
                <w:szCs w:val="20"/>
              </w:rPr>
            </w:pPr>
            <w:r w:rsidRPr="00855228">
              <w:rPr>
                <w:sz w:val="20"/>
                <w:szCs w:val="20"/>
              </w:rPr>
              <w:t>n/a</w:t>
            </w:r>
          </w:p>
        </w:tc>
      </w:tr>
      <w:tr w:rsidR="00D9376D" w:rsidRPr="00855228" w14:paraId="5B1639D3" w14:textId="75429446" w:rsidTr="00737152">
        <w:tc>
          <w:tcPr>
            <w:tcW w:w="4215" w:type="dxa"/>
            <w:tcBorders>
              <w:top w:val="single" w:sz="8" w:space="0" w:color="BFBFBF"/>
              <w:left w:val="nil"/>
              <w:bottom w:val="single" w:sz="8" w:space="0" w:color="BFBFBF"/>
              <w:right w:val="single" w:sz="8" w:space="0" w:color="BFBFBF"/>
            </w:tcBorders>
          </w:tcPr>
          <w:p w14:paraId="748C3A78" w14:textId="5481167D" w:rsidR="00D9376D" w:rsidRPr="00855228" w:rsidRDefault="00D9376D" w:rsidP="00855228">
            <w:pPr>
              <w:spacing w:before="0" w:beforeAutospacing="0" w:after="0" w:afterAutospacing="0"/>
              <w:rPr>
                <w:sz w:val="20"/>
                <w:szCs w:val="20"/>
              </w:rPr>
            </w:pPr>
            <w:r w:rsidRPr="00855228">
              <w:rPr>
                <w:sz w:val="20"/>
                <w:szCs w:val="20"/>
              </w:rPr>
              <w:t>Operating theatres</w:t>
            </w:r>
            <w:r w:rsidR="00D23E6C" w:rsidRPr="00855228">
              <w:rPr>
                <w:sz w:val="20"/>
                <w:szCs w:val="20"/>
              </w:rPr>
              <w:t xml:space="preserve"> </w:t>
            </w:r>
            <w:r w:rsidR="00845AFD" w:rsidRPr="00855228">
              <w:rPr>
                <w:sz w:val="20"/>
                <w:szCs w:val="20"/>
                <w:vertAlign w:val="superscript"/>
              </w:rPr>
              <w:t>4</w:t>
            </w:r>
            <w:r w:rsidRPr="00855228">
              <w:rPr>
                <w:sz w:val="20"/>
                <w:szCs w:val="20"/>
              </w:rPr>
              <w:t xml:space="preserve">, </w:t>
            </w:r>
            <w:r w:rsidR="002031F3" w:rsidRPr="00855228">
              <w:rPr>
                <w:sz w:val="20"/>
                <w:szCs w:val="20"/>
              </w:rPr>
              <w:t xml:space="preserve">including </w:t>
            </w:r>
            <w:r w:rsidR="000F4A9B" w:rsidRPr="00855228">
              <w:rPr>
                <w:sz w:val="20"/>
                <w:szCs w:val="20"/>
              </w:rPr>
              <w:t>interventional radiology</w:t>
            </w:r>
            <w:r w:rsidR="00CA61B3" w:rsidRPr="00855228">
              <w:rPr>
                <w:sz w:val="20"/>
                <w:szCs w:val="20"/>
              </w:rPr>
              <w:t xml:space="preserve"> and cath-lab</w:t>
            </w:r>
            <w:r w:rsidR="00E64F5B" w:rsidRPr="00855228">
              <w:rPr>
                <w:sz w:val="20"/>
                <w:szCs w:val="20"/>
              </w:rPr>
              <w:t>.</w:t>
            </w:r>
            <w:r w:rsidR="00E64F5B" w:rsidRPr="00855228">
              <w:rPr>
                <w:sz w:val="20"/>
                <w:szCs w:val="20"/>
              </w:rPr>
              <w:br/>
              <w:t>Other radiology and imaging.</w:t>
            </w:r>
            <w:r w:rsidR="00E64F5B" w:rsidRPr="00855228">
              <w:rPr>
                <w:sz w:val="20"/>
                <w:szCs w:val="20"/>
              </w:rPr>
              <w:br/>
              <w:t>P</w:t>
            </w:r>
            <w:r w:rsidRPr="00855228">
              <w:rPr>
                <w:sz w:val="20"/>
                <w:szCs w:val="20"/>
              </w:rPr>
              <w:t>recision laboratories, audiometric testing booth</w:t>
            </w:r>
            <w:r w:rsidR="00E64F5B" w:rsidRPr="00855228">
              <w:rPr>
                <w:sz w:val="20"/>
                <w:szCs w:val="20"/>
              </w:rPr>
              <w:t>.</w:t>
            </w:r>
          </w:p>
        </w:tc>
        <w:tc>
          <w:tcPr>
            <w:tcW w:w="2801" w:type="dxa"/>
            <w:tcBorders>
              <w:top w:val="single" w:sz="8" w:space="0" w:color="BFBFBF"/>
              <w:left w:val="single" w:sz="8" w:space="0" w:color="BFBFBF"/>
              <w:bottom w:val="single" w:sz="8" w:space="0" w:color="BFBFBF"/>
              <w:right w:val="single" w:sz="8" w:space="0" w:color="BFBFBF"/>
            </w:tcBorders>
            <w:vAlign w:val="center"/>
          </w:tcPr>
          <w:p w14:paraId="42ABFD03" w14:textId="3276ABE3" w:rsidR="00D9376D" w:rsidRPr="00855228" w:rsidRDefault="00D9376D" w:rsidP="00855228">
            <w:pPr>
              <w:spacing w:before="0" w:beforeAutospacing="0" w:after="0" w:afterAutospacing="0"/>
              <w:rPr>
                <w:sz w:val="20"/>
                <w:szCs w:val="20"/>
              </w:rPr>
            </w:pPr>
            <w:r w:rsidRPr="00855228">
              <w:rPr>
                <w:sz w:val="20"/>
                <w:szCs w:val="20"/>
              </w:rPr>
              <w:t>1</w:t>
            </w:r>
          </w:p>
        </w:tc>
        <w:tc>
          <w:tcPr>
            <w:tcW w:w="2612" w:type="dxa"/>
            <w:vMerge w:val="restart"/>
            <w:tcBorders>
              <w:top w:val="single" w:sz="8" w:space="0" w:color="BFBFBF"/>
              <w:left w:val="single" w:sz="8" w:space="0" w:color="BFBFBF"/>
              <w:bottom w:val="nil"/>
              <w:right w:val="nil"/>
            </w:tcBorders>
            <w:vAlign w:val="center"/>
          </w:tcPr>
          <w:p w14:paraId="163F2683" w14:textId="1C354946" w:rsidR="00D9376D" w:rsidRPr="00855228" w:rsidRDefault="00D9376D" w:rsidP="00855228">
            <w:pPr>
              <w:spacing w:before="0" w:beforeAutospacing="0" w:after="0" w:afterAutospacing="0"/>
              <w:rPr>
                <w:sz w:val="20"/>
                <w:szCs w:val="20"/>
              </w:rPr>
            </w:pPr>
            <w:r w:rsidRPr="00855228">
              <w:rPr>
                <w:sz w:val="20"/>
                <w:szCs w:val="20"/>
              </w:rPr>
              <w:t>n/a</w:t>
            </w:r>
          </w:p>
        </w:tc>
      </w:tr>
      <w:tr w:rsidR="00D9376D" w:rsidRPr="00855228" w14:paraId="3E6883DE" w14:textId="25931441" w:rsidTr="00737152">
        <w:tc>
          <w:tcPr>
            <w:tcW w:w="4215" w:type="dxa"/>
            <w:tcBorders>
              <w:top w:val="single" w:sz="8" w:space="0" w:color="BFBFBF"/>
              <w:left w:val="nil"/>
              <w:bottom w:val="nil"/>
              <w:right w:val="single" w:sz="8" w:space="0" w:color="BFBFBF"/>
            </w:tcBorders>
          </w:tcPr>
          <w:p w14:paraId="7EB53668" w14:textId="77489EDC" w:rsidR="00D9376D" w:rsidRPr="00855228" w:rsidRDefault="00D9376D" w:rsidP="00855228">
            <w:pPr>
              <w:spacing w:before="0" w:beforeAutospacing="0" w:after="0" w:afterAutospacing="0"/>
              <w:rPr>
                <w:sz w:val="20"/>
                <w:szCs w:val="20"/>
              </w:rPr>
            </w:pPr>
            <w:r w:rsidRPr="00855228">
              <w:rPr>
                <w:sz w:val="20"/>
                <w:szCs w:val="20"/>
              </w:rPr>
              <w:t>Sensitive Medical equipment</w:t>
            </w:r>
            <w:r w:rsidR="00D23E6C" w:rsidRPr="00855228">
              <w:rPr>
                <w:sz w:val="20"/>
                <w:szCs w:val="20"/>
              </w:rPr>
              <w:t xml:space="preserve"> </w:t>
            </w:r>
            <w:r w:rsidR="00791039" w:rsidRPr="00855228">
              <w:rPr>
                <w:sz w:val="20"/>
                <w:szCs w:val="20"/>
                <w:vertAlign w:val="superscript"/>
              </w:rPr>
              <w:t>5</w:t>
            </w:r>
          </w:p>
        </w:tc>
        <w:tc>
          <w:tcPr>
            <w:tcW w:w="2801" w:type="dxa"/>
            <w:tcBorders>
              <w:top w:val="single" w:sz="8" w:space="0" w:color="BFBFBF"/>
              <w:left w:val="single" w:sz="8" w:space="0" w:color="BFBFBF"/>
              <w:bottom w:val="nil"/>
              <w:right w:val="single" w:sz="8" w:space="0" w:color="BFBFBF"/>
            </w:tcBorders>
            <w:vAlign w:val="center"/>
          </w:tcPr>
          <w:p w14:paraId="08F51D0F" w14:textId="225DAF3B" w:rsidR="00D9376D" w:rsidRPr="00855228" w:rsidRDefault="004B576C" w:rsidP="00855228">
            <w:pPr>
              <w:spacing w:before="0" w:beforeAutospacing="0" w:after="0" w:afterAutospacing="0"/>
              <w:rPr>
                <w:sz w:val="20"/>
                <w:szCs w:val="20"/>
              </w:rPr>
            </w:pPr>
            <w:r w:rsidRPr="00855228">
              <w:rPr>
                <w:rFonts w:cstheme="minorHAnsi"/>
                <w:sz w:val="20"/>
                <w:szCs w:val="20"/>
              </w:rPr>
              <w:t>≤</w:t>
            </w:r>
            <w:r w:rsidRPr="00855228">
              <w:rPr>
                <w:sz w:val="20"/>
                <w:szCs w:val="20"/>
              </w:rPr>
              <w:t xml:space="preserve"> </w:t>
            </w:r>
            <w:r w:rsidR="00D9376D" w:rsidRPr="00855228">
              <w:rPr>
                <w:sz w:val="20"/>
                <w:szCs w:val="20"/>
              </w:rPr>
              <w:t>1 typically</w:t>
            </w:r>
            <w:r w:rsidR="00D9376D" w:rsidRPr="00855228">
              <w:rPr>
                <w:sz w:val="20"/>
                <w:szCs w:val="20"/>
              </w:rPr>
              <w:br/>
              <w:t xml:space="preserve">(manufacturer to </w:t>
            </w:r>
            <w:r w:rsidR="00E82B3C" w:rsidRPr="00855228">
              <w:rPr>
                <w:sz w:val="20"/>
                <w:szCs w:val="20"/>
              </w:rPr>
              <w:t>confirm</w:t>
            </w:r>
            <w:r w:rsidR="00D9376D" w:rsidRPr="00855228">
              <w:rPr>
                <w:sz w:val="20"/>
                <w:szCs w:val="20"/>
              </w:rPr>
              <w:t>)</w:t>
            </w:r>
          </w:p>
        </w:tc>
        <w:tc>
          <w:tcPr>
            <w:tcW w:w="2612" w:type="dxa"/>
            <w:vMerge/>
            <w:tcBorders>
              <w:left w:val="single" w:sz="8" w:space="0" w:color="BFBFBF"/>
              <w:bottom w:val="nil"/>
              <w:right w:val="nil"/>
            </w:tcBorders>
            <w:vAlign w:val="center"/>
          </w:tcPr>
          <w:p w14:paraId="167CD696" w14:textId="08F8BAE2" w:rsidR="00D9376D" w:rsidRPr="00855228" w:rsidRDefault="00D9376D" w:rsidP="00855228">
            <w:pPr>
              <w:spacing w:before="0" w:beforeAutospacing="0" w:after="0" w:afterAutospacing="0"/>
              <w:rPr>
                <w:sz w:val="20"/>
                <w:szCs w:val="20"/>
              </w:rPr>
            </w:pPr>
          </w:p>
        </w:tc>
      </w:tr>
    </w:tbl>
    <w:p w14:paraId="2B7D9FDF" w14:textId="77777777" w:rsidR="003C028D" w:rsidRPr="00DA3030" w:rsidRDefault="003C028D" w:rsidP="00666E06">
      <w:pPr>
        <w:rPr>
          <w:sz w:val="20"/>
          <w:szCs w:val="20"/>
        </w:rPr>
      </w:pPr>
      <w:r w:rsidRPr="00DA3030">
        <w:rPr>
          <w:sz w:val="20"/>
          <w:szCs w:val="20"/>
        </w:rPr>
        <w:t>Notes:</w:t>
      </w:r>
    </w:p>
    <w:p w14:paraId="625796B1" w14:textId="07AAF22E" w:rsidR="006446EE" w:rsidRPr="00DA3030" w:rsidRDefault="003C028D" w:rsidP="00E234BB">
      <w:pPr>
        <w:ind w:left="426" w:hanging="426"/>
        <w:rPr>
          <w:sz w:val="20"/>
          <w:szCs w:val="20"/>
        </w:rPr>
      </w:pPr>
      <w:r w:rsidRPr="00DA3030">
        <w:rPr>
          <w:sz w:val="20"/>
          <w:szCs w:val="20"/>
        </w:rPr>
        <w:t>[1]</w:t>
      </w:r>
      <w:r w:rsidRPr="00DA3030">
        <w:rPr>
          <w:sz w:val="20"/>
          <w:szCs w:val="20"/>
        </w:rPr>
        <w:tab/>
      </w:r>
      <w:r w:rsidR="00211EAC" w:rsidRPr="00DA3030">
        <w:rPr>
          <w:sz w:val="20"/>
          <w:szCs w:val="20"/>
        </w:rPr>
        <w:t>In practice, i</w:t>
      </w:r>
      <w:r w:rsidR="000A3B28" w:rsidRPr="00DA3030">
        <w:rPr>
          <w:sz w:val="20"/>
          <w:szCs w:val="20"/>
        </w:rPr>
        <w:t xml:space="preserve">t </w:t>
      </w:r>
      <w:r w:rsidR="00EF74D2" w:rsidRPr="00DA3030">
        <w:rPr>
          <w:sz w:val="20"/>
          <w:szCs w:val="20"/>
        </w:rPr>
        <w:t xml:space="preserve">is </w:t>
      </w:r>
      <w:r w:rsidR="00F64E99" w:rsidRPr="00DA3030">
        <w:rPr>
          <w:sz w:val="20"/>
          <w:szCs w:val="20"/>
        </w:rPr>
        <w:t xml:space="preserve">not </w:t>
      </w:r>
      <w:r w:rsidR="00EF74D2" w:rsidRPr="00DA3030">
        <w:rPr>
          <w:sz w:val="20"/>
          <w:szCs w:val="20"/>
        </w:rPr>
        <w:t xml:space="preserve">anticipated that </w:t>
      </w:r>
      <w:r w:rsidR="000C7A34" w:rsidRPr="00DA3030">
        <w:rPr>
          <w:sz w:val="20"/>
          <w:szCs w:val="20"/>
        </w:rPr>
        <w:t xml:space="preserve">structural solutions for </w:t>
      </w:r>
      <w:r w:rsidR="00EF74D2" w:rsidRPr="00DA3030">
        <w:rPr>
          <w:sz w:val="20"/>
          <w:szCs w:val="20"/>
        </w:rPr>
        <w:t xml:space="preserve">general </w:t>
      </w:r>
      <w:r w:rsidR="003F3ACC" w:rsidRPr="00DA3030">
        <w:rPr>
          <w:sz w:val="20"/>
          <w:szCs w:val="20"/>
        </w:rPr>
        <w:t xml:space="preserve">adaptable </w:t>
      </w:r>
      <w:r w:rsidR="00EF74D2" w:rsidRPr="00DA3030">
        <w:rPr>
          <w:sz w:val="20"/>
          <w:szCs w:val="20"/>
        </w:rPr>
        <w:t xml:space="preserve">clinical floor plates </w:t>
      </w:r>
      <w:r w:rsidR="00CC09CA" w:rsidRPr="00DA3030">
        <w:rPr>
          <w:sz w:val="20"/>
          <w:szCs w:val="20"/>
        </w:rPr>
        <w:t>would delineat</w:t>
      </w:r>
      <w:r w:rsidR="00F64E99" w:rsidRPr="00DA3030">
        <w:rPr>
          <w:sz w:val="20"/>
          <w:szCs w:val="20"/>
        </w:rPr>
        <w:t>e</w:t>
      </w:r>
      <w:r w:rsidR="005272B3" w:rsidRPr="00DA3030">
        <w:rPr>
          <w:sz w:val="20"/>
          <w:szCs w:val="20"/>
        </w:rPr>
        <w:t xml:space="preserve"> between </w:t>
      </w:r>
      <w:r w:rsidR="000C7A34" w:rsidRPr="00DA3030">
        <w:rPr>
          <w:i/>
          <w:iCs/>
          <w:sz w:val="20"/>
          <w:szCs w:val="20"/>
        </w:rPr>
        <w:t xml:space="preserve">general </w:t>
      </w:r>
      <w:r w:rsidR="005272B3" w:rsidRPr="00DA3030">
        <w:rPr>
          <w:i/>
          <w:iCs/>
          <w:sz w:val="20"/>
          <w:szCs w:val="20"/>
        </w:rPr>
        <w:t>office</w:t>
      </w:r>
      <w:r w:rsidR="00D218D2" w:rsidRPr="00DA3030">
        <w:rPr>
          <w:sz w:val="20"/>
          <w:szCs w:val="20"/>
        </w:rPr>
        <w:t xml:space="preserve"> </w:t>
      </w:r>
      <w:r w:rsidR="005272B3" w:rsidRPr="00DA3030">
        <w:rPr>
          <w:sz w:val="20"/>
          <w:szCs w:val="20"/>
        </w:rPr>
        <w:t xml:space="preserve">and </w:t>
      </w:r>
      <w:r w:rsidR="000C7A34" w:rsidRPr="00DA3030">
        <w:rPr>
          <w:i/>
          <w:iCs/>
          <w:sz w:val="20"/>
          <w:szCs w:val="20"/>
        </w:rPr>
        <w:t>general clinical</w:t>
      </w:r>
      <w:r w:rsidR="00211EAC" w:rsidRPr="00DA3030">
        <w:rPr>
          <w:i/>
          <w:iCs/>
          <w:sz w:val="20"/>
          <w:szCs w:val="20"/>
        </w:rPr>
        <w:t xml:space="preserve"> areas</w:t>
      </w:r>
      <w:r w:rsidR="00132B17" w:rsidRPr="00DA3030">
        <w:rPr>
          <w:sz w:val="20"/>
          <w:szCs w:val="20"/>
        </w:rPr>
        <w:t xml:space="preserve"> </w:t>
      </w:r>
      <w:r w:rsidR="003F3ACC" w:rsidRPr="00DA3030">
        <w:rPr>
          <w:sz w:val="20"/>
          <w:szCs w:val="20"/>
        </w:rPr>
        <w:t xml:space="preserve">(refer to Section </w:t>
      </w:r>
      <w:r w:rsidR="003F3ACC" w:rsidRPr="00DA3030">
        <w:rPr>
          <w:sz w:val="20"/>
          <w:szCs w:val="20"/>
        </w:rPr>
        <w:fldChar w:fldCharType="begin"/>
      </w:r>
      <w:r w:rsidR="003F3ACC" w:rsidRPr="00DA3030">
        <w:rPr>
          <w:sz w:val="20"/>
          <w:szCs w:val="20"/>
        </w:rPr>
        <w:instrText xml:space="preserve"> REF _Ref165386570 \r \h </w:instrText>
      </w:r>
      <w:r w:rsidR="00DA3030" w:rsidRPr="00DA3030">
        <w:rPr>
          <w:sz w:val="20"/>
          <w:szCs w:val="20"/>
        </w:rPr>
        <w:instrText xml:space="preserve"> \* MERGEFORMAT </w:instrText>
      </w:r>
      <w:r w:rsidR="003F3ACC" w:rsidRPr="00DA3030">
        <w:rPr>
          <w:sz w:val="20"/>
          <w:szCs w:val="20"/>
        </w:rPr>
      </w:r>
      <w:r w:rsidR="003F3ACC" w:rsidRPr="00DA3030">
        <w:rPr>
          <w:sz w:val="20"/>
          <w:szCs w:val="20"/>
        </w:rPr>
        <w:fldChar w:fldCharType="separate"/>
      </w:r>
      <w:r w:rsidR="000761C1">
        <w:rPr>
          <w:sz w:val="20"/>
          <w:szCs w:val="20"/>
        </w:rPr>
        <w:t>B6.2</w:t>
      </w:r>
      <w:r w:rsidR="003F3ACC" w:rsidRPr="00DA3030">
        <w:rPr>
          <w:sz w:val="20"/>
          <w:szCs w:val="20"/>
        </w:rPr>
        <w:fldChar w:fldCharType="end"/>
      </w:r>
      <w:r w:rsidR="003F3ACC" w:rsidRPr="00DA3030">
        <w:rPr>
          <w:sz w:val="20"/>
          <w:szCs w:val="20"/>
        </w:rPr>
        <w:t>)</w:t>
      </w:r>
      <w:r w:rsidR="00F64E99" w:rsidRPr="00DA3030">
        <w:rPr>
          <w:sz w:val="20"/>
          <w:szCs w:val="20"/>
        </w:rPr>
        <w:t>.</w:t>
      </w:r>
      <w:r w:rsidR="00D218D2" w:rsidRPr="00DA3030">
        <w:rPr>
          <w:sz w:val="20"/>
          <w:szCs w:val="20"/>
        </w:rPr>
        <w:t xml:space="preserve"> However</w:t>
      </w:r>
      <w:r w:rsidR="00494F43" w:rsidRPr="00DA3030">
        <w:rPr>
          <w:sz w:val="20"/>
          <w:szCs w:val="20"/>
        </w:rPr>
        <w:t>,</w:t>
      </w:r>
      <w:r w:rsidR="00D218D2" w:rsidRPr="00DA3030">
        <w:rPr>
          <w:sz w:val="20"/>
          <w:szCs w:val="20"/>
        </w:rPr>
        <w:t xml:space="preserve"> the less onerous limit </w:t>
      </w:r>
      <w:r w:rsidR="00494F43" w:rsidRPr="00DA3030">
        <w:rPr>
          <w:sz w:val="20"/>
          <w:szCs w:val="20"/>
        </w:rPr>
        <w:t xml:space="preserve">for general office </w:t>
      </w:r>
      <w:r w:rsidR="00D218D2" w:rsidRPr="00DA3030">
        <w:rPr>
          <w:sz w:val="20"/>
          <w:szCs w:val="20"/>
        </w:rPr>
        <w:t xml:space="preserve">may be beneficial </w:t>
      </w:r>
      <w:r w:rsidR="00494F43" w:rsidRPr="00DA3030">
        <w:rPr>
          <w:sz w:val="20"/>
          <w:szCs w:val="20"/>
        </w:rPr>
        <w:t xml:space="preserve">when </w:t>
      </w:r>
      <w:r w:rsidR="00D218D2" w:rsidRPr="00DA3030">
        <w:rPr>
          <w:sz w:val="20"/>
          <w:szCs w:val="20"/>
        </w:rPr>
        <w:t xml:space="preserve">considering </w:t>
      </w:r>
      <w:r w:rsidR="00494F43" w:rsidRPr="00DA3030">
        <w:rPr>
          <w:sz w:val="20"/>
          <w:szCs w:val="20"/>
        </w:rPr>
        <w:t xml:space="preserve">the </w:t>
      </w:r>
      <w:r w:rsidR="00855CF6" w:rsidRPr="00DA3030">
        <w:rPr>
          <w:sz w:val="20"/>
          <w:szCs w:val="20"/>
        </w:rPr>
        <w:t>lower</w:t>
      </w:r>
      <w:r w:rsidR="00494F43" w:rsidRPr="00DA3030">
        <w:rPr>
          <w:sz w:val="20"/>
          <w:szCs w:val="20"/>
        </w:rPr>
        <w:t xml:space="preserve"> inherent damping</w:t>
      </w:r>
      <w:r w:rsidR="00132B17" w:rsidRPr="00DA3030">
        <w:rPr>
          <w:sz w:val="20"/>
          <w:szCs w:val="20"/>
        </w:rPr>
        <w:t xml:space="preserve"> in</w:t>
      </w:r>
      <w:r w:rsidR="00494F43" w:rsidRPr="00DA3030">
        <w:rPr>
          <w:sz w:val="20"/>
          <w:szCs w:val="20"/>
        </w:rPr>
        <w:t xml:space="preserve"> open plan office formats</w:t>
      </w:r>
      <w:r w:rsidR="00132B17" w:rsidRPr="00DA3030">
        <w:rPr>
          <w:sz w:val="20"/>
          <w:szCs w:val="20"/>
        </w:rPr>
        <w:t xml:space="preserve"> (compared with clinical areas</w:t>
      </w:r>
      <w:r w:rsidR="006C73F5" w:rsidRPr="00DA3030">
        <w:rPr>
          <w:sz w:val="20"/>
          <w:szCs w:val="20"/>
        </w:rPr>
        <w:t xml:space="preserve"> which usually have more damping from fitout</w:t>
      </w:r>
      <w:r w:rsidR="00132B17" w:rsidRPr="00DA3030">
        <w:rPr>
          <w:sz w:val="20"/>
          <w:szCs w:val="20"/>
        </w:rPr>
        <w:t>)</w:t>
      </w:r>
      <w:r w:rsidR="000C7A34" w:rsidRPr="00DA3030">
        <w:rPr>
          <w:sz w:val="20"/>
          <w:szCs w:val="20"/>
        </w:rPr>
        <w:t>.</w:t>
      </w:r>
    </w:p>
    <w:p w14:paraId="04312C10" w14:textId="47BDF58E" w:rsidR="000E119B" w:rsidRPr="00DA3030" w:rsidRDefault="000E119B" w:rsidP="00E234BB">
      <w:pPr>
        <w:ind w:left="426" w:hanging="426"/>
        <w:rPr>
          <w:sz w:val="20"/>
          <w:szCs w:val="20"/>
        </w:rPr>
      </w:pPr>
      <w:r w:rsidRPr="00DA3030">
        <w:rPr>
          <w:sz w:val="20"/>
          <w:szCs w:val="20"/>
        </w:rPr>
        <w:t>[2]</w:t>
      </w:r>
      <w:r w:rsidRPr="00DA3030">
        <w:rPr>
          <w:sz w:val="20"/>
          <w:szCs w:val="20"/>
        </w:rPr>
        <w:tab/>
      </w:r>
      <w:r w:rsidR="00BD47BC" w:rsidRPr="00DA3030">
        <w:rPr>
          <w:sz w:val="20"/>
          <w:szCs w:val="20"/>
        </w:rPr>
        <w:t xml:space="preserve">Consulting rooms could </w:t>
      </w:r>
      <w:r w:rsidR="00AD2C70" w:rsidRPr="00DA3030">
        <w:rPr>
          <w:sz w:val="20"/>
          <w:szCs w:val="20"/>
        </w:rPr>
        <w:t xml:space="preserve">consider the more relaxed limits </w:t>
      </w:r>
      <w:r w:rsidR="00590E39" w:rsidRPr="00DA3030">
        <w:rPr>
          <w:sz w:val="20"/>
          <w:szCs w:val="20"/>
        </w:rPr>
        <w:t>associated with</w:t>
      </w:r>
      <w:r w:rsidR="00BD47BC" w:rsidRPr="00DA3030">
        <w:rPr>
          <w:sz w:val="20"/>
          <w:szCs w:val="20"/>
        </w:rPr>
        <w:t xml:space="preserve"> </w:t>
      </w:r>
      <w:r w:rsidR="00BD47BC" w:rsidRPr="00DA3030">
        <w:rPr>
          <w:i/>
          <w:iCs/>
          <w:sz w:val="20"/>
          <w:szCs w:val="20"/>
        </w:rPr>
        <w:t>general office</w:t>
      </w:r>
      <w:r w:rsidR="00BD47BC" w:rsidRPr="00DA3030">
        <w:rPr>
          <w:sz w:val="20"/>
          <w:szCs w:val="20"/>
        </w:rPr>
        <w:t xml:space="preserve"> (in accordance with HTM 08-01). However, </w:t>
      </w:r>
      <w:r w:rsidR="0002125F" w:rsidRPr="00DA3030">
        <w:rPr>
          <w:sz w:val="20"/>
          <w:szCs w:val="20"/>
        </w:rPr>
        <w:t xml:space="preserve">for practical purposes </w:t>
      </w:r>
      <w:r w:rsidR="007B6BBF" w:rsidRPr="00DA3030">
        <w:rPr>
          <w:sz w:val="20"/>
          <w:szCs w:val="20"/>
        </w:rPr>
        <w:t>this guide considers</w:t>
      </w:r>
      <w:r w:rsidR="00621DEA" w:rsidRPr="00DA3030">
        <w:rPr>
          <w:sz w:val="20"/>
          <w:szCs w:val="20"/>
        </w:rPr>
        <w:t xml:space="preserve"> them </w:t>
      </w:r>
      <w:r w:rsidR="00B60A08" w:rsidRPr="00DA3030">
        <w:rPr>
          <w:sz w:val="20"/>
          <w:szCs w:val="20"/>
        </w:rPr>
        <w:t>b</w:t>
      </w:r>
      <w:r w:rsidR="0002125F" w:rsidRPr="00DA3030">
        <w:rPr>
          <w:sz w:val="20"/>
          <w:szCs w:val="20"/>
        </w:rPr>
        <w:t xml:space="preserve">roadly interchangeable with other </w:t>
      </w:r>
      <w:r w:rsidR="0002125F" w:rsidRPr="00DA3030">
        <w:rPr>
          <w:i/>
          <w:iCs/>
          <w:sz w:val="20"/>
          <w:szCs w:val="20"/>
        </w:rPr>
        <w:t>general clinical areas</w:t>
      </w:r>
      <w:r w:rsidR="0002125F" w:rsidRPr="00DA3030">
        <w:rPr>
          <w:sz w:val="20"/>
          <w:szCs w:val="20"/>
        </w:rPr>
        <w:t>.</w:t>
      </w:r>
    </w:p>
    <w:p w14:paraId="0FE7B507" w14:textId="319DF477" w:rsidR="006446EE" w:rsidRPr="00DA3030" w:rsidRDefault="006446EE" w:rsidP="00E234BB">
      <w:pPr>
        <w:ind w:left="426" w:hanging="426"/>
        <w:rPr>
          <w:sz w:val="20"/>
          <w:szCs w:val="20"/>
        </w:rPr>
      </w:pPr>
      <w:r w:rsidRPr="00DA3030">
        <w:rPr>
          <w:sz w:val="20"/>
          <w:szCs w:val="20"/>
        </w:rPr>
        <w:t>[</w:t>
      </w:r>
      <w:r w:rsidR="000E119B" w:rsidRPr="00DA3030">
        <w:rPr>
          <w:sz w:val="20"/>
          <w:szCs w:val="20"/>
        </w:rPr>
        <w:t>3</w:t>
      </w:r>
      <w:r w:rsidRPr="00DA3030">
        <w:rPr>
          <w:sz w:val="20"/>
          <w:szCs w:val="20"/>
        </w:rPr>
        <w:t>]</w:t>
      </w:r>
      <w:r w:rsidRPr="00DA3030">
        <w:rPr>
          <w:sz w:val="20"/>
          <w:szCs w:val="20"/>
        </w:rPr>
        <w:tab/>
      </w:r>
      <w:r w:rsidR="00561B49" w:rsidRPr="00DA3030">
        <w:rPr>
          <w:sz w:val="20"/>
          <w:szCs w:val="20"/>
        </w:rPr>
        <w:t xml:space="preserve">It is appropriate to </w:t>
      </w:r>
      <w:r w:rsidR="00B97C67" w:rsidRPr="00DA3030">
        <w:rPr>
          <w:sz w:val="20"/>
          <w:szCs w:val="20"/>
        </w:rPr>
        <w:t xml:space="preserve">limit </w:t>
      </w:r>
      <w:r w:rsidR="00590E39" w:rsidRPr="00DA3030">
        <w:rPr>
          <w:sz w:val="20"/>
          <w:szCs w:val="20"/>
        </w:rPr>
        <w:t>application of the</w:t>
      </w:r>
      <w:r w:rsidR="00B97C67" w:rsidRPr="00DA3030">
        <w:rPr>
          <w:sz w:val="20"/>
          <w:szCs w:val="20"/>
        </w:rPr>
        <w:t xml:space="preserve"> </w:t>
      </w:r>
      <w:r w:rsidR="00A336E0" w:rsidRPr="00DA3030">
        <w:rPr>
          <w:sz w:val="20"/>
          <w:szCs w:val="20"/>
        </w:rPr>
        <w:t xml:space="preserve">more stringent </w:t>
      </w:r>
      <w:r w:rsidR="00590E39" w:rsidRPr="00DA3030">
        <w:rPr>
          <w:i/>
          <w:iCs/>
          <w:sz w:val="20"/>
          <w:szCs w:val="20"/>
        </w:rPr>
        <w:t>wards</w:t>
      </w:r>
      <w:r w:rsidR="00590E39" w:rsidRPr="00DA3030">
        <w:rPr>
          <w:sz w:val="20"/>
          <w:szCs w:val="20"/>
        </w:rPr>
        <w:t xml:space="preserve"> </w:t>
      </w:r>
      <w:r w:rsidR="00A336E0" w:rsidRPr="00DA3030">
        <w:rPr>
          <w:sz w:val="20"/>
          <w:szCs w:val="20"/>
        </w:rPr>
        <w:t>performance criteria</w:t>
      </w:r>
      <w:r w:rsidR="00561B49" w:rsidRPr="00DA3030">
        <w:rPr>
          <w:sz w:val="20"/>
          <w:szCs w:val="20"/>
        </w:rPr>
        <w:t xml:space="preserve"> to patient rooms</w:t>
      </w:r>
      <w:r w:rsidR="0083057C" w:rsidRPr="00DA3030">
        <w:rPr>
          <w:sz w:val="20"/>
          <w:szCs w:val="20"/>
        </w:rPr>
        <w:t xml:space="preserve"> (bed</w:t>
      </w:r>
      <w:r w:rsidR="00561B49" w:rsidRPr="00DA3030">
        <w:rPr>
          <w:sz w:val="20"/>
          <w:szCs w:val="20"/>
        </w:rPr>
        <w:t xml:space="preserve"> locations</w:t>
      </w:r>
      <w:r w:rsidR="0083057C" w:rsidRPr="00DA3030">
        <w:rPr>
          <w:sz w:val="20"/>
          <w:szCs w:val="20"/>
        </w:rPr>
        <w:t>)</w:t>
      </w:r>
      <w:r w:rsidR="00C3392C" w:rsidRPr="00DA3030">
        <w:rPr>
          <w:sz w:val="20"/>
          <w:szCs w:val="20"/>
        </w:rPr>
        <w:t>—</w:t>
      </w:r>
      <w:r w:rsidR="00561B49" w:rsidRPr="00DA3030">
        <w:rPr>
          <w:sz w:val="20"/>
          <w:szCs w:val="20"/>
        </w:rPr>
        <w:t xml:space="preserve">especially </w:t>
      </w:r>
      <w:r w:rsidR="0083057C" w:rsidRPr="00DA3030">
        <w:rPr>
          <w:sz w:val="20"/>
          <w:szCs w:val="20"/>
        </w:rPr>
        <w:t>in</w:t>
      </w:r>
      <w:r w:rsidR="00C01A20" w:rsidRPr="00DA3030">
        <w:rPr>
          <w:sz w:val="20"/>
          <w:szCs w:val="20"/>
        </w:rPr>
        <w:t xml:space="preserve"> the common</w:t>
      </w:r>
      <w:r w:rsidR="0083057C" w:rsidRPr="00DA3030">
        <w:rPr>
          <w:sz w:val="20"/>
          <w:szCs w:val="20"/>
        </w:rPr>
        <w:t xml:space="preserve"> situation </w:t>
      </w:r>
      <w:r w:rsidR="00173845" w:rsidRPr="00DA3030">
        <w:rPr>
          <w:sz w:val="20"/>
          <w:szCs w:val="20"/>
        </w:rPr>
        <w:t>where bed</w:t>
      </w:r>
      <w:r w:rsidR="00BC6D8A" w:rsidRPr="00DA3030">
        <w:rPr>
          <w:sz w:val="20"/>
          <w:szCs w:val="20"/>
        </w:rPr>
        <w:t xml:space="preserve"> locations </w:t>
      </w:r>
      <w:r w:rsidR="00E845EC" w:rsidRPr="00DA3030">
        <w:rPr>
          <w:sz w:val="20"/>
          <w:szCs w:val="20"/>
        </w:rPr>
        <w:t>in future alterations would likely remain</w:t>
      </w:r>
      <w:r w:rsidR="00BC6D8A" w:rsidRPr="00DA3030">
        <w:rPr>
          <w:sz w:val="20"/>
          <w:szCs w:val="20"/>
        </w:rPr>
        <w:t xml:space="preserve"> anchored to certain floor plate areas (</w:t>
      </w:r>
      <w:r w:rsidR="0099187A" w:rsidRPr="00DA3030">
        <w:rPr>
          <w:sz w:val="20"/>
          <w:szCs w:val="20"/>
        </w:rPr>
        <w:t xml:space="preserve">such as the </w:t>
      </w:r>
      <w:r w:rsidR="00173845" w:rsidRPr="00DA3030">
        <w:rPr>
          <w:sz w:val="20"/>
          <w:szCs w:val="20"/>
        </w:rPr>
        <w:t>daylit facades)</w:t>
      </w:r>
      <w:r w:rsidR="005A120F" w:rsidRPr="00DA3030">
        <w:rPr>
          <w:sz w:val="20"/>
          <w:szCs w:val="20"/>
        </w:rPr>
        <w:t>. Other general ward areas can use</w:t>
      </w:r>
      <w:r w:rsidR="00E14F76" w:rsidRPr="00DA3030">
        <w:rPr>
          <w:sz w:val="20"/>
          <w:szCs w:val="20"/>
        </w:rPr>
        <w:t xml:space="preserve"> the limits recommended for</w:t>
      </w:r>
      <w:r w:rsidR="00B72CCA" w:rsidRPr="00DA3030">
        <w:rPr>
          <w:sz w:val="20"/>
          <w:szCs w:val="20"/>
        </w:rPr>
        <w:t xml:space="preserve"> </w:t>
      </w:r>
      <w:r w:rsidR="00B72CCA" w:rsidRPr="00DA3030">
        <w:rPr>
          <w:i/>
          <w:iCs/>
          <w:sz w:val="20"/>
          <w:szCs w:val="20"/>
        </w:rPr>
        <w:t>general clinical</w:t>
      </w:r>
      <w:r w:rsidR="00B72CCA" w:rsidRPr="00DA3030">
        <w:rPr>
          <w:sz w:val="20"/>
          <w:szCs w:val="20"/>
        </w:rPr>
        <w:t>.</w:t>
      </w:r>
    </w:p>
    <w:p w14:paraId="41F940F9" w14:textId="7B8DD18E" w:rsidR="00E00BED" w:rsidRPr="00DA3030" w:rsidRDefault="00857844" w:rsidP="00E234BB">
      <w:pPr>
        <w:ind w:left="426" w:hanging="426"/>
        <w:rPr>
          <w:sz w:val="20"/>
          <w:szCs w:val="20"/>
        </w:rPr>
      </w:pPr>
      <w:r w:rsidRPr="00DA3030">
        <w:rPr>
          <w:sz w:val="20"/>
          <w:szCs w:val="20"/>
        </w:rPr>
        <w:t>[4]</w:t>
      </w:r>
      <w:r w:rsidRPr="00DA3030">
        <w:rPr>
          <w:sz w:val="20"/>
          <w:szCs w:val="20"/>
        </w:rPr>
        <w:tab/>
      </w:r>
      <w:r w:rsidR="00102D01" w:rsidRPr="00DA3030">
        <w:rPr>
          <w:sz w:val="20"/>
          <w:szCs w:val="20"/>
        </w:rPr>
        <w:t>This i</w:t>
      </w:r>
      <w:r w:rsidRPr="00DA3030">
        <w:rPr>
          <w:sz w:val="20"/>
          <w:szCs w:val="20"/>
        </w:rPr>
        <w:t xml:space="preserve">ncludes most </w:t>
      </w:r>
      <w:r w:rsidR="00106726" w:rsidRPr="00DA3030">
        <w:rPr>
          <w:sz w:val="20"/>
          <w:szCs w:val="20"/>
        </w:rPr>
        <w:t xml:space="preserve">uses </w:t>
      </w:r>
      <w:r w:rsidRPr="00DA3030">
        <w:rPr>
          <w:sz w:val="20"/>
          <w:szCs w:val="20"/>
        </w:rPr>
        <w:t xml:space="preserve">surgical </w:t>
      </w:r>
      <w:r w:rsidR="00106726" w:rsidRPr="00DA3030">
        <w:rPr>
          <w:sz w:val="20"/>
          <w:szCs w:val="20"/>
        </w:rPr>
        <w:t xml:space="preserve">uses of operating </w:t>
      </w:r>
      <w:r w:rsidRPr="00DA3030">
        <w:rPr>
          <w:sz w:val="20"/>
          <w:szCs w:val="20"/>
        </w:rPr>
        <w:t>microscop</w:t>
      </w:r>
      <w:r w:rsidR="00106726" w:rsidRPr="00DA3030">
        <w:rPr>
          <w:sz w:val="20"/>
          <w:szCs w:val="20"/>
        </w:rPr>
        <w:t>es</w:t>
      </w:r>
      <w:r w:rsidRPr="00DA3030">
        <w:rPr>
          <w:sz w:val="20"/>
          <w:szCs w:val="20"/>
        </w:rPr>
        <w:t xml:space="preserve"> </w:t>
      </w:r>
      <w:r w:rsidR="00845AFD" w:rsidRPr="00DA3030">
        <w:rPr>
          <w:sz w:val="20"/>
          <w:szCs w:val="20"/>
        </w:rPr>
        <w:t>(up to 100 times magnification)</w:t>
      </w:r>
      <w:r w:rsidR="00102D01" w:rsidRPr="00DA3030">
        <w:rPr>
          <w:sz w:val="20"/>
          <w:szCs w:val="20"/>
        </w:rPr>
        <w:t>—and g</w:t>
      </w:r>
      <w:r w:rsidR="009902DA" w:rsidRPr="00DA3030">
        <w:rPr>
          <w:sz w:val="20"/>
          <w:szCs w:val="20"/>
        </w:rPr>
        <w:t xml:space="preserve">enerally </w:t>
      </w:r>
      <w:r w:rsidR="00383E16" w:rsidRPr="00DA3030">
        <w:rPr>
          <w:sz w:val="20"/>
          <w:szCs w:val="20"/>
        </w:rPr>
        <w:t xml:space="preserve">remains </w:t>
      </w:r>
      <w:r w:rsidR="009902DA" w:rsidRPr="00DA3030">
        <w:rPr>
          <w:sz w:val="20"/>
          <w:szCs w:val="20"/>
        </w:rPr>
        <w:t xml:space="preserve">suitable for </w:t>
      </w:r>
      <w:r w:rsidR="00586E7B" w:rsidRPr="00DA3030">
        <w:rPr>
          <w:sz w:val="20"/>
          <w:szCs w:val="20"/>
        </w:rPr>
        <w:t>manual control</w:t>
      </w:r>
      <w:r w:rsidR="0069095D" w:rsidRPr="00DA3030">
        <w:rPr>
          <w:sz w:val="20"/>
          <w:szCs w:val="20"/>
        </w:rPr>
        <w:t xml:space="preserve"> forms</w:t>
      </w:r>
      <w:r w:rsidR="00586E7B" w:rsidRPr="00DA3030">
        <w:rPr>
          <w:sz w:val="20"/>
          <w:szCs w:val="20"/>
        </w:rPr>
        <w:t xml:space="preserve"> </w:t>
      </w:r>
      <w:r w:rsidR="0007371F" w:rsidRPr="00DA3030">
        <w:rPr>
          <w:sz w:val="20"/>
          <w:szCs w:val="20"/>
        </w:rPr>
        <w:t xml:space="preserve">of </w:t>
      </w:r>
      <w:r w:rsidR="009902DA" w:rsidRPr="00DA3030">
        <w:rPr>
          <w:sz w:val="20"/>
          <w:szCs w:val="20"/>
        </w:rPr>
        <w:t>microsurgery</w:t>
      </w:r>
      <w:r w:rsidR="00A26BB6" w:rsidRPr="00DA3030">
        <w:rPr>
          <w:sz w:val="20"/>
          <w:szCs w:val="20"/>
        </w:rPr>
        <w:t xml:space="preserve"> </w:t>
      </w:r>
      <w:r w:rsidR="009B0F9B" w:rsidRPr="00DA3030">
        <w:rPr>
          <w:sz w:val="20"/>
          <w:szCs w:val="20"/>
        </w:rPr>
        <w:t>where</w:t>
      </w:r>
      <w:r w:rsidR="00A26BB6" w:rsidRPr="00DA3030">
        <w:rPr>
          <w:sz w:val="20"/>
          <w:szCs w:val="20"/>
        </w:rPr>
        <w:t xml:space="preserve"> footfall induced vibration</w:t>
      </w:r>
      <w:r w:rsidR="00BC1E25" w:rsidRPr="00DA3030">
        <w:rPr>
          <w:sz w:val="20"/>
          <w:szCs w:val="20"/>
        </w:rPr>
        <w:t xml:space="preserve"> sources</w:t>
      </w:r>
      <w:r w:rsidR="009B0F9B" w:rsidRPr="00DA3030">
        <w:rPr>
          <w:sz w:val="20"/>
          <w:szCs w:val="20"/>
        </w:rPr>
        <w:t xml:space="preserve"> are considered</w:t>
      </w:r>
      <w:r w:rsidR="00A26BB6" w:rsidRPr="00DA3030">
        <w:rPr>
          <w:sz w:val="20"/>
          <w:szCs w:val="20"/>
        </w:rPr>
        <w:t>.</w:t>
      </w:r>
    </w:p>
    <w:p w14:paraId="2B8CB7A8" w14:textId="36F57F39" w:rsidR="00791039" w:rsidRPr="00DA3030" w:rsidRDefault="00791039" w:rsidP="00E234BB">
      <w:pPr>
        <w:ind w:left="426" w:hanging="426"/>
        <w:rPr>
          <w:sz w:val="20"/>
          <w:szCs w:val="20"/>
        </w:rPr>
      </w:pPr>
      <w:r w:rsidRPr="00DA3030">
        <w:rPr>
          <w:sz w:val="20"/>
          <w:szCs w:val="20"/>
        </w:rPr>
        <w:t>[5]</w:t>
      </w:r>
      <w:r w:rsidRPr="00DA3030">
        <w:rPr>
          <w:sz w:val="20"/>
          <w:szCs w:val="20"/>
        </w:rPr>
        <w:tab/>
        <w:t xml:space="preserve">Refer to the guidance and commentary below for </w:t>
      </w:r>
      <w:r w:rsidR="004B576C" w:rsidRPr="00DA3030">
        <w:rPr>
          <w:i/>
          <w:iCs/>
          <w:sz w:val="20"/>
          <w:szCs w:val="20"/>
        </w:rPr>
        <w:t>special acceptance criteria for sensitive equipment</w:t>
      </w:r>
      <w:r w:rsidR="004B576C" w:rsidRPr="00DA3030">
        <w:rPr>
          <w:sz w:val="20"/>
          <w:szCs w:val="20"/>
        </w:rPr>
        <w:t>.</w:t>
      </w:r>
    </w:p>
    <w:p w14:paraId="17D9E480" w14:textId="60AFB247" w:rsidR="00182DE5" w:rsidRPr="00DA3030" w:rsidRDefault="00182DE5" w:rsidP="00E234BB">
      <w:pPr>
        <w:ind w:left="426" w:hanging="426"/>
        <w:rPr>
          <w:sz w:val="20"/>
          <w:szCs w:val="20"/>
        </w:rPr>
      </w:pPr>
      <w:r w:rsidRPr="00DA3030">
        <w:rPr>
          <w:sz w:val="20"/>
          <w:szCs w:val="20"/>
        </w:rPr>
        <w:lastRenderedPageBreak/>
        <w:t>[6]</w:t>
      </w:r>
      <w:r w:rsidRPr="00DA3030">
        <w:rPr>
          <w:sz w:val="20"/>
          <w:szCs w:val="20"/>
        </w:rPr>
        <w:tab/>
      </w:r>
      <w:r w:rsidR="00DB16A0" w:rsidRPr="00DA3030">
        <w:rPr>
          <w:sz w:val="20"/>
          <w:szCs w:val="20"/>
        </w:rPr>
        <w:t>Th</w:t>
      </w:r>
      <w:r w:rsidR="00997513" w:rsidRPr="00DA3030">
        <w:rPr>
          <w:sz w:val="20"/>
          <w:szCs w:val="20"/>
        </w:rPr>
        <w:t>e</w:t>
      </w:r>
      <w:r w:rsidR="00DB16A0" w:rsidRPr="00DA3030">
        <w:rPr>
          <w:sz w:val="20"/>
          <w:szCs w:val="20"/>
        </w:rPr>
        <w:t xml:space="preserve"> </w:t>
      </w:r>
      <w:r w:rsidR="00F074B6" w:rsidRPr="00DA3030">
        <w:rPr>
          <w:sz w:val="20"/>
          <w:szCs w:val="20"/>
        </w:rPr>
        <w:t xml:space="preserve">suggested </w:t>
      </w:r>
      <w:r w:rsidR="00DB16A0" w:rsidRPr="00DA3030">
        <w:rPr>
          <w:sz w:val="20"/>
          <w:szCs w:val="20"/>
        </w:rPr>
        <w:t>limit</w:t>
      </w:r>
      <w:r w:rsidR="00997513" w:rsidRPr="00DA3030">
        <w:rPr>
          <w:sz w:val="20"/>
          <w:szCs w:val="20"/>
        </w:rPr>
        <w:t xml:space="preserve"> for plant</w:t>
      </w:r>
      <w:r w:rsidR="0013461A" w:rsidRPr="00DA3030">
        <w:rPr>
          <w:sz w:val="20"/>
          <w:szCs w:val="20"/>
        </w:rPr>
        <w:t xml:space="preserve"> </w:t>
      </w:r>
      <w:r w:rsidR="00F22D31" w:rsidRPr="00DA3030">
        <w:rPr>
          <w:sz w:val="20"/>
          <w:szCs w:val="20"/>
        </w:rPr>
        <w:t>rooms</w:t>
      </w:r>
      <w:r w:rsidR="002B227A" w:rsidRPr="00DA3030">
        <w:rPr>
          <w:sz w:val="20"/>
          <w:szCs w:val="20"/>
        </w:rPr>
        <w:t xml:space="preserve"> (within hospital buildings)</w:t>
      </w:r>
      <w:r w:rsidR="00F074B6" w:rsidRPr="00DA3030">
        <w:rPr>
          <w:sz w:val="20"/>
          <w:szCs w:val="20"/>
        </w:rPr>
        <w:t xml:space="preserve"> </w:t>
      </w:r>
      <w:r w:rsidR="00160799" w:rsidRPr="00DA3030">
        <w:rPr>
          <w:sz w:val="20"/>
          <w:szCs w:val="20"/>
        </w:rPr>
        <w:t>intends</w:t>
      </w:r>
      <w:r w:rsidR="00887416" w:rsidRPr="00DA3030">
        <w:rPr>
          <w:sz w:val="20"/>
          <w:szCs w:val="20"/>
        </w:rPr>
        <w:t xml:space="preserve"> to provide a </w:t>
      </w:r>
      <w:r w:rsidR="00ED5385" w:rsidRPr="00DA3030">
        <w:rPr>
          <w:sz w:val="20"/>
          <w:szCs w:val="20"/>
        </w:rPr>
        <w:t xml:space="preserve">basic level of robustness and </w:t>
      </w:r>
      <w:r w:rsidR="00EA27C0" w:rsidRPr="00DA3030">
        <w:rPr>
          <w:sz w:val="20"/>
          <w:szCs w:val="20"/>
        </w:rPr>
        <w:t>mitigation</w:t>
      </w:r>
      <w:r w:rsidR="00ED5385" w:rsidRPr="00DA3030">
        <w:rPr>
          <w:sz w:val="20"/>
          <w:szCs w:val="20"/>
        </w:rPr>
        <w:t xml:space="preserve"> against </w:t>
      </w:r>
      <w:r w:rsidR="00C51971" w:rsidRPr="00DA3030">
        <w:rPr>
          <w:sz w:val="20"/>
          <w:szCs w:val="20"/>
        </w:rPr>
        <w:t xml:space="preserve">vibration nuisance to adjoining spaces or </w:t>
      </w:r>
      <w:r w:rsidR="00ED5385" w:rsidRPr="00DA3030">
        <w:rPr>
          <w:sz w:val="20"/>
          <w:szCs w:val="20"/>
        </w:rPr>
        <w:t>structure-borne vibration</w:t>
      </w:r>
      <w:r w:rsidR="000D7505" w:rsidRPr="00DA3030">
        <w:rPr>
          <w:sz w:val="20"/>
          <w:szCs w:val="20"/>
        </w:rPr>
        <w:t xml:space="preserve"> (</w:t>
      </w:r>
      <w:r w:rsidR="00127A9A" w:rsidRPr="00DA3030">
        <w:rPr>
          <w:sz w:val="20"/>
          <w:szCs w:val="20"/>
        </w:rPr>
        <w:t>as opposed to occupants of the spaces themselves</w:t>
      </w:r>
      <w:r w:rsidR="000D7505" w:rsidRPr="00DA3030">
        <w:rPr>
          <w:sz w:val="20"/>
          <w:szCs w:val="20"/>
        </w:rPr>
        <w:t>)</w:t>
      </w:r>
      <w:r w:rsidR="00A33AC4" w:rsidRPr="00DA3030">
        <w:rPr>
          <w:sz w:val="20"/>
          <w:szCs w:val="20"/>
        </w:rPr>
        <w:t xml:space="preserve">, </w:t>
      </w:r>
      <w:r w:rsidR="008C15AE" w:rsidRPr="00DA3030">
        <w:rPr>
          <w:sz w:val="20"/>
          <w:szCs w:val="20"/>
        </w:rPr>
        <w:t xml:space="preserve">and should be easily met in most cases by floors </w:t>
      </w:r>
      <w:r w:rsidR="006E2971" w:rsidRPr="00DA3030">
        <w:rPr>
          <w:sz w:val="20"/>
          <w:szCs w:val="20"/>
        </w:rPr>
        <w:t xml:space="preserve">supporting mounted plant and </w:t>
      </w:r>
      <w:r w:rsidR="008C15AE" w:rsidRPr="00DA3030">
        <w:rPr>
          <w:sz w:val="20"/>
          <w:szCs w:val="20"/>
        </w:rPr>
        <w:t>complying with the robustness requirements of Section</w:t>
      </w:r>
      <w:r w:rsidR="00C570A3" w:rsidRPr="00DA3030">
        <w:rPr>
          <w:sz w:val="20"/>
          <w:szCs w:val="20"/>
        </w:rPr>
        <w:t>s</w:t>
      </w:r>
      <w:r w:rsidR="008C15AE" w:rsidRPr="00DA3030">
        <w:rPr>
          <w:sz w:val="20"/>
          <w:szCs w:val="20"/>
        </w:rPr>
        <w:t xml:space="preserve"> </w:t>
      </w:r>
      <w:r w:rsidR="00C570A3" w:rsidRPr="00DA3030">
        <w:rPr>
          <w:sz w:val="20"/>
          <w:szCs w:val="20"/>
        </w:rPr>
        <w:fldChar w:fldCharType="begin"/>
      </w:r>
      <w:r w:rsidR="00C570A3" w:rsidRPr="00DA3030">
        <w:rPr>
          <w:sz w:val="20"/>
          <w:szCs w:val="20"/>
        </w:rPr>
        <w:instrText xml:space="preserve"> REF _Ref152568304 \r \h </w:instrText>
      </w:r>
      <w:r w:rsidR="00DA3030" w:rsidRPr="00DA3030">
        <w:rPr>
          <w:sz w:val="20"/>
          <w:szCs w:val="20"/>
        </w:rPr>
        <w:instrText xml:space="preserve"> \* MERGEFORMAT </w:instrText>
      </w:r>
      <w:r w:rsidR="00C570A3" w:rsidRPr="00DA3030">
        <w:rPr>
          <w:sz w:val="20"/>
          <w:szCs w:val="20"/>
        </w:rPr>
      </w:r>
      <w:r w:rsidR="00C570A3" w:rsidRPr="00DA3030">
        <w:rPr>
          <w:sz w:val="20"/>
          <w:szCs w:val="20"/>
        </w:rPr>
        <w:fldChar w:fldCharType="separate"/>
      </w:r>
      <w:r w:rsidR="000761C1">
        <w:rPr>
          <w:sz w:val="20"/>
          <w:szCs w:val="20"/>
        </w:rPr>
        <w:t>C4.2.6</w:t>
      </w:r>
      <w:r w:rsidR="00C570A3" w:rsidRPr="00DA3030">
        <w:rPr>
          <w:sz w:val="20"/>
          <w:szCs w:val="20"/>
        </w:rPr>
        <w:fldChar w:fldCharType="end"/>
      </w:r>
      <w:r w:rsidR="00C570A3" w:rsidRPr="00DA3030">
        <w:rPr>
          <w:sz w:val="20"/>
          <w:szCs w:val="20"/>
        </w:rPr>
        <w:t xml:space="preserve"> and </w:t>
      </w:r>
      <w:r w:rsidR="00C570A3" w:rsidRPr="00DA3030">
        <w:rPr>
          <w:sz w:val="20"/>
          <w:szCs w:val="20"/>
        </w:rPr>
        <w:fldChar w:fldCharType="begin"/>
      </w:r>
      <w:r w:rsidR="00C570A3" w:rsidRPr="00DA3030">
        <w:rPr>
          <w:sz w:val="20"/>
          <w:szCs w:val="20"/>
        </w:rPr>
        <w:instrText xml:space="preserve"> REF _Ref169064351 \r \h </w:instrText>
      </w:r>
      <w:r w:rsidR="00DA3030" w:rsidRPr="00DA3030">
        <w:rPr>
          <w:sz w:val="20"/>
          <w:szCs w:val="20"/>
        </w:rPr>
        <w:instrText xml:space="preserve"> \* MERGEFORMAT </w:instrText>
      </w:r>
      <w:r w:rsidR="00C570A3" w:rsidRPr="00DA3030">
        <w:rPr>
          <w:sz w:val="20"/>
          <w:szCs w:val="20"/>
        </w:rPr>
      </w:r>
      <w:r w:rsidR="00C570A3" w:rsidRPr="00DA3030">
        <w:rPr>
          <w:sz w:val="20"/>
          <w:szCs w:val="20"/>
        </w:rPr>
        <w:fldChar w:fldCharType="separate"/>
      </w:r>
      <w:r w:rsidR="000761C1">
        <w:rPr>
          <w:sz w:val="20"/>
          <w:szCs w:val="20"/>
        </w:rPr>
        <w:t>C4.8</w:t>
      </w:r>
      <w:r w:rsidR="00C570A3" w:rsidRPr="00DA3030">
        <w:rPr>
          <w:sz w:val="20"/>
          <w:szCs w:val="20"/>
        </w:rPr>
        <w:fldChar w:fldCharType="end"/>
      </w:r>
      <w:r w:rsidR="00C570A3" w:rsidRPr="00DA3030">
        <w:rPr>
          <w:sz w:val="20"/>
          <w:szCs w:val="20"/>
        </w:rPr>
        <w:t>.</w:t>
      </w:r>
    </w:p>
    <w:p w14:paraId="65ABEAB5" w14:textId="712FD39B" w:rsidR="00C07F94" w:rsidRPr="00CF097C" w:rsidRDefault="00A10735"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The Concrete Centre guide</w:t>
      </w:r>
      <w:r w:rsidR="004B4FF1" w:rsidRPr="00CF097C">
        <w:t xml:space="preserve"> </w:t>
      </w:r>
      <w:sdt>
        <w:sdtPr>
          <w:id w:val="-2005961387"/>
          <w:citation/>
        </w:sdtPr>
        <w:sdtEndPr/>
        <w:sdtContent>
          <w:r w:rsidR="00C07F94" w:rsidRPr="00CF097C">
            <w:fldChar w:fldCharType="begin"/>
          </w:r>
          <w:r w:rsidR="00C07F94" w:rsidRPr="00CF097C">
            <w:rPr>
              <w:lang w:val="en-US"/>
            </w:rPr>
            <w:instrText xml:space="preserve"> CITATION Wil06 \l 1033 </w:instrText>
          </w:r>
          <w:r w:rsidR="00C07F94" w:rsidRPr="00CF097C">
            <w:fldChar w:fldCharType="separate"/>
          </w:r>
          <w:r w:rsidR="00222D65">
            <w:rPr>
              <w:noProof/>
              <w:lang w:val="en-US"/>
            </w:rPr>
            <w:t>(Wilford &amp; Young, 2006)</w:t>
          </w:r>
          <w:r w:rsidR="00C07F94" w:rsidRPr="00CF097C">
            <w:fldChar w:fldCharType="end"/>
          </w:r>
        </w:sdtContent>
      </w:sdt>
      <w:r w:rsidRPr="00CF097C">
        <w:t xml:space="preserve"> </w:t>
      </w:r>
      <w:r w:rsidR="007E659C" w:rsidRPr="00CF097C">
        <w:t>provides helpful commentary</w:t>
      </w:r>
      <w:r w:rsidR="007902C1" w:rsidRPr="00CF097C">
        <w:t xml:space="preserve"> on the applica</w:t>
      </w:r>
      <w:r w:rsidR="00C07F94" w:rsidRPr="00CF097C">
        <w:t>tion</w:t>
      </w:r>
      <w:r w:rsidR="007902C1" w:rsidRPr="00CF097C">
        <w:t xml:space="preserve"> of target acceptance criteria</w:t>
      </w:r>
      <w:r w:rsidR="007E659C" w:rsidRPr="00CF097C">
        <w:t>, placing into context the “fuzziness” of the criteria.</w:t>
      </w:r>
      <w:r w:rsidR="006667A9" w:rsidRPr="00CF097C">
        <w:t xml:space="preserve"> It points out, </w:t>
      </w:r>
      <w:r w:rsidR="0090014B" w:rsidRPr="00CF097C">
        <w:t>paraphrasing</w:t>
      </w:r>
      <w:r w:rsidR="006667A9" w:rsidRPr="00CF097C">
        <w:t xml:space="preserve"> BS 6472, that</w:t>
      </w:r>
      <w:r w:rsidR="007E659C" w:rsidRPr="00CF097C">
        <w:t xml:space="preserve"> </w:t>
      </w:r>
      <w:r w:rsidR="0056549A" w:rsidRPr="00CF097C">
        <w:t>“…a</w:t>
      </w:r>
      <w:r w:rsidR="00DE2BDA" w:rsidRPr="00CF097C">
        <w:t xml:space="preserve">chievement of the </w:t>
      </w:r>
      <w:r w:rsidR="006667A9" w:rsidRPr="00CF097C">
        <w:t xml:space="preserve">target </w:t>
      </w:r>
      <w:r w:rsidR="00DE2BDA" w:rsidRPr="00CF097C">
        <w:t xml:space="preserve">levels proposed should result in a </w:t>
      </w:r>
      <w:r w:rsidR="00DE2BDA" w:rsidRPr="00CF097C">
        <w:rPr>
          <w:iCs/>
        </w:rPr>
        <w:t>low probability of adverse comment</w:t>
      </w:r>
      <w:r w:rsidR="00DE2BDA" w:rsidRPr="00CF097C">
        <w:t xml:space="preserve"> (but not zero probability), but at twice these levels, </w:t>
      </w:r>
      <w:r w:rsidR="00DE2BDA" w:rsidRPr="00CF097C">
        <w:rPr>
          <w:iCs/>
        </w:rPr>
        <w:t>adverse comment may result</w:t>
      </w:r>
      <w:r w:rsidR="00DE2BDA" w:rsidRPr="00CF097C">
        <w:t>.</w:t>
      </w:r>
      <w:r w:rsidR="0084139A" w:rsidRPr="00CF097C">
        <w:t>”</w:t>
      </w:r>
    </w:p>
    <w:p w14:paraId="2E5E983C" w14:textId="2ACBA792" w:rsidR="00A53DFC" w:rsidRPr="00CF097C" w:rsidRDefault="007902C1"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The</w:t>
      </w:r>
      <w:r w:rsidR="00C07F94" w:rsidRPr="00CF097C">
        <w:t xml:space="preserve"> criteria</w:t>
      </w:r>
      <w:r w:rsidRPr="00CF097C">
        <w:t xml:space="preserve"> relate to human perception </w:t>
      </w:r>
      <w:r w:rsidR="00D92025" w:rsidRPr="00CF097C">
        <w:t xml:space="preserve">and acceptance and therefore significant changes in perceptibility would generally require a change in vibration level of </w:t>
      </w:r>
      <w:r w:rsidR="007956B3" w:rsidRPr="00CF097C">
        <w:t xml:space="preserve">about </w:t>
      </w:r>
      <w:r w:rsidR="00D92025" w:rsidRPr="00CF097C">
        <w:t>two.</w:t>
      </w:r>
      <w:r w:rsidR="00CB0ECA" w:rsidRPr="00CF097C">
        <w:t xml:space="preserve"> The selection of criteria is therefore a matter of risk/cost balance</w:t>
      </w:r>
      <w:r w:rsidR="004823D3" w:rsidRPr="00CF097C">
        <w:t>, and this cannot be laid down rigidly for every circumstance—especially where there is cost associated with achieving a rather vague degree of improvement in subjective performance.</w:t>
      </w:r>
      <w:r w:rsidR="004B4FF1" w:rsidRPr="00CF097C">
        <w:t xml:space="preserve"> Binary pass/fail decisions on the second significant figure should be avoided.</w:t>
      </w:r>
    </w:p>
    <w:p w14:paraId="745D1230" w14:textId="7AEF2D01" w:rsidR="007C2697" w:rsidRPr="00A74D75" w:rsidRDefault="009179CA" w:rsidP="00D56CAE">
      <w:pPr>
        <w:pStyle w:val="BodyHeading"/>
        <w:rPr>
          <w:color w:val="0C818E"/>
        </w:rPr>
      </w:pPr>
      <w:r w:rsidRPr="00A74D75">
        <w:rPr>
          <w:color w:val="0C818E"/>
        </w:rPr>
        <w:t>Mechanically induced vibration</w:t>
      </w:r>
    </w:p>
    <w:p w14:paraId="57011911" w14:textId="66FCB322" w:rsidR="009179CA" w:rsidRPr="00CF097C" w:rsidRDefault="005B41BF" w:rsidP="00666E06">
      <w:r w:rsidRPr="00CF097C">
        <w:t xml:space="preserve">Where specifically assessed, </w:t>
      </w:r>
      <w:r w:rsidR="005E66EB" w:rsidRPr="00CF097C">
        <w:t>a</w:t>
      </w:r>
      <w:r w:rsidRPr="00CF097C">
        <w:t>cceptance criteria for mechanically induced vibration</w:t>
      </w:r>
      <w:r w:rsidR="005E66EB" w:rsidRPr="00CF097C">
        <w:t xml:space="preserve"> should target the same limits as those given in </w:t>
      </w:r>
      <w:r w:rsidR="005E66EB" w:rsidRPr="00CF097C">
        <w:fldChar w:fldCharType="begin"/>
      </w:r>
      <w:r w:rsidR="005E66EB" w:rsidRPr="00CF097C">
        <w:instrText xml:space="preserve"> REF _Ref165379335 \h </w:instrText>
      </w:r>
      <w:r w:rsidR="00CF097C">
        <w:instrText xml:space="preserve"> \* MERGEFORMAT </w:instrText>
      </w:r>
      <w:r w:rsidR="005E66EB" w:rsidRPr="00CF097C">
        <w:fldChar w:fldCharType="separate"/>
      </w:r>
      <w:r w:rsidR="000761C1" w:rsidRPr="000761C1">
        <w:t xml:space="preserve">Table </w:t>
      </w:r>
      <w:r w:rsidR="000761C1" w:rsidRPr="000761C1">
        <w:rPr>
          <w:noProof/>
        </w:rPr>
        <w:t>9</w:t>
      </w:r>
      <w:r w:rsidR="005E66EB" w:rsidRPr="00CF097C">
        <w:fldChar w:fldCharType="end"/>
      </w:r>
      <w:r w:rsidR="005E66EB" w:rsidRPr="00CF097C">
        <w:t xml:space="preserve">. </w:t>
      </w:r>
      <w:r w:rsidR="001F1FE4" w:rsidRPr="00CF097C">
        <w:t>Mechanical vibration</w:t>
      </w:r>
      <w:r w:rsidR="005E66EB" w:rsidRPr="00CF097C">
        <w:t xml:space="preserve"> sources are </w:t>
      </w:r>
      <w:r w:rsidR="00CA0FCD" w:rsidRPr="00CF097C">
        <w:t xml:space="preserve">usually </w:t>
      </w:r>
      <w:r w:rsidR="005E66EB" w:rsidRPr="00CF097C">
        <w:t>continuous and so the VDV limit for intermittent vibration will not apply.</w:t>
      </w:r>
    </w:p>
    <w:p w14:paraId="786CB0E4" w14:textId="5FC6C5D1" w:rsidR="005B76C8" w:rsidRPr="00A74D75" w:rsidRDefault="00463A2F" w:rsidP="00D56CAE">
      <w:pPr>
        <w:pStyle w:val="BodyHeading"/>
        <w:rPr>
          <w:color w:val="0C818E"/>
        </w:rPr>
      </w:pPr>
      <w:r w:rsidRPr="00A74D75">
        <w:rPr>
          <w:color w:val="0C818E"/>
        </w:rPr>
        <w:t>Special a</w:t>
      </w:r>
      <w:r w:rsidR="005B76C8" w:rsidRPr="00A74D75">
        <w:rPr>
          <w:color w:val="0C818E"/>
        </w:rPr>
        <w:t>cceptance criteria for sensitive equipment</w:t>
      </w:r>
    </w:p>
    <w:p w14:paraId="5B65D0E1" w14:textId="5802E3D8" w:rsidR="0064369B" w:rsidRPr="00CF097C" w:rsidRDefault="00356186" w:rsidP="00666E06">
      <w:r w:rsidRPr="00CF097C">
        <w:t>Adherence to t</w:t>
      </w:r>
      <w:r w:rsidR="0064369B" w:rsidRPr="00CF097C">
        <w:t xml:space="preserve">he </w:t>
      </w:r>
      <w:r w:rsidR="0064369B" w:rsidRPr="00CF097C">
        <w:rPr>
          <w:i/>
          <w:iCs/>
        </w:rPr>
        <w:t>general acceptance criteria</w:t>
      </w:r>
      <w:r w:rsidR="00330436" w:rsidRPr="00CF097C">
        <w:t xml:space="preserve"> listed above (based on footfall excitation)</w:t>
      </w:r>
      <w:r w:rsidR="004B6747" w:rsidRPr="00CF097C">
        <w:t xml:space="preserve"> should result in floors </w:t>
      </w:r>
      <w:r w:rsidR="00CA0081" w:rsidRPr="00CF097C">
        <w:t xml:space="preserve">that are </w:t>
      </w:r>
      <w:r w:rsidR="00465B96" w:rsidRPr="00CF097C">
        <w:t>generally fit for most hospital uses</w:t>
      </w:r>
      <w:r w:rsidR="002650CC">
        <w:t xml:space="preserve">, </w:t>
      </w:r>
      <w:r w:rsidR="00F444D2" w:rsidRPr="00CF097C">
        <w:t xml:space="preserve">and </w:t>
      </w:r>
      <w:r w:rsidR="00C971E7" w:rsidRPr="00CF097C">
        <w:t xml:space="preserve">users are </w:t>
      </w:r>
      <w:r w:rsidR="00F444D2" w:rsidRPr="00CF097C">
        <w:t>unlikely to encounter issues with</w:t>
      </w:r>
      <w:r w:rsidR="00511E22" w:rsidRPr="00CF097C">
        <w:t xml:space="preserve"> footfall induced</w:t>
      </w:r>
      <w:r w:rsidR="00F444D2" w:rsidRPr="00CF097C">
        <w:t xml:space="preserve"> vibration that aren’t able to be resolved</w:t>
      </w:r>
      <w:r w:rsidR="009F166A" w:rsidRPr="00CF097C">
        <w:t xml:space="preserve"> by other practical </w:t>
      </w:r>
      <w:r w:rsidR="00BD13C8" w:rsidRPr="00CF097C">
        <w:t>measures</w:t>
      </w:r>
      <w:r w:rsidR="00AE08AA" w:rsidRPr="00CF097C">
        <w:t>.</w:t>
      </w:r>
      <w:r w:rsidR="006C1803" w:rsidRPr="00CF097C">
        <w:t xml:space="preserve"> </w:t>
      </w:r>
      <w:r w:rsidR="00214767" w:rsidRPr="00CF097C">
        <w:t>However,</w:t>
      </w:r>
      <w:r w:rsidR="006C1803" w:rsidRPr="00CF097C">
        <w:t xml:space="preserve"> in some cases, further </w:t>
      </w:r>
      <w:r w:rsidR="00DF1D77" w:rsidRPr="00CF097C">
        <w:t>specific evaluation/analysis may be warranted</w:t>
      </w:r>
      <w:r w:rsidR="006C1803" w:rsidRPr="00CF097C">
        <w:t>.</w:t>
      </w:r>
    </w:p>
    <w:p w14:paraId="63CCD2B8" w14:textId="74053935" w:rsidR="00AB521F" w:rsidRPr="00CF097C" w:rsidRDefault="00AB521F" w:rsidP="00666E06">
      <w:r w:rsidRPr="00CF097C">
        <w:t xml:space="preserve">Some specialist equipment and processes (including imaging, microscopy and microsurgery) can be </w:t>
      </w:r>
      <w:r w:rsidR="00A511BB" w:rsidRPr="00CF097C">
        <w:t>more</w:t>
      </w:r>
      <w:r w:rsidRPr="00CF097C">
        <w:t xml:space="preserve"> sensitive to vibration—especially where the vibration source is mechanically induced, i.e. continual oscillation from plant or machinery.</w:t>
      </w:r>
      <w:r w:rsidR="00022E5A" w:rsidRPr="00CF097C">
        <w:t xml:space="preserve"> </w:t>
      </w:r>
      <w:r w:rsidRPr="00CF097C">
        <w:t xml:space="preserve">Where these uses are to be accommodated, it may be necessary to </w:t>
      </w:r>
      <w:r w:rsidR="00022E5A" w:rsidRPr="00CF097C">
        <w:t xml:space="preserve">explicitly </w:t>
      </w:r>
      <w:r w:rsidRPr="00CF097C">
        <w:t>design floor systems to meet more stringent acceptance criteria than those based solely on occupant comfort, vision or hand control</w:t>
      </w:r>
      <w:r w:rsidR="00022E5A" w:rsidRPr="00CF097C">
        <w:t xml:space="preserve"> (which is the basis for the acceptance criteria in </w:t>
      </w:r>
      <w:r w:rsidR="00022E5A" w:rsidRPr="00CF097C">
        <w:fldChar w:fldCharType="begin"/>
      </w:r>
      <w:r w:rsidR="00022E5A" w:rsidRPr="00CF097C">
        <w:instrText xml:space="preserve"> REF _Ref165379335 \h </w:instrText>
      </w:r>
      <w:r w:rsidR="00CF097C">
        <w:instrText xml:space="preserve"> \* MERGEFORMAT </w:instrText>
      </w:r>
      <w:r w:rsidR="00022E5A" w:rsidRPr="00CF097C">
        <w:fldChar w:fldCharType="separate"/>
      </w:r>
      <w:r w:rsidR="000761C1" w:rsidRPr="000761C1">
        <w:t xml:space="preserve">Table </w:t>
      </w:r>
      <w:r w:rsidR="000761C1" w:rsidRPr="000761C1">
        <w:rPr>
          <w:noProof/>
        </w:rPr>
        <w:t>9</w:t>
      </w:r>
      <w:r w:rsidR="00022E5A" w:rsidRPr="00CF097C">
        <w:fldChar w:fldCharType="end"/>
      </w:r>
      <w:r w:rsidR="00022E5A" w:rsidRPr="00CF097C">
        <w:t>)</w:t>
      </w:r>
      <w:r w:rsidRPr="00CF097C">
        <w:t>.</w:t>
      </w:r>
    </w:p>
    <w:p w14:paraId="78E66490" w14:textId="4CFBADC2" w:rsidR="0058776E" w:rsidRPr="00CF097C" w:rsidRDefault="00A75892" w:rsidP="00666E06">
      <w:r w:rsidRPr="00CF097C">
        <w:t>Acceptance criteria for sensitive equipment are generally given in terms of velocity rather than acceleration</w:t>
      </w:r>
      <w:r w:rsidR="00022E5A" w:rsidRPr="00CF097C">
        <w:t xml:space="preserve">, and </w:t>
      </w:r>
      <w:r w:rsidR="00EB7F60" w:rsidRPr="00CF097C">
        <w:t xml:space="preserve">are </w:t>
      </w:r>
      <w:r w:rsidR="00D14F30" w:rsidRPr="00CF097C">
        <w:t xml:space="preserve">based on </w:t>
      </w:r>
      <w:r w:rsidR="00EB7F60" w:rsidRPr="00CF097C">
        <w:t>the Vibration Criteria (VC) curve</w:t>
      </w:r>
      <w:r w:rsidR="00FF1A3F" w:rsidRPr="00CF097C">
        <w:t>s</w:t>
      </w:r>
      <w:r w:rsidR="0073245C" w:rsidRPr="00CF097C">
        <w:t xml:space="preserve"> or</w:t>
      </w:r>
      <w:r w:rsidR="00D14F30" w:rsidRPr="00CF097C">
        <w:t xml:space="preserve"> grades</w:t>
      </w:r>
      <w:r w:rsidR="0073245C" w:rsidRPr="00CF097C">
        <w:t xml:space="preserve"> </w:t>
      </w:r>
      <w:r w:rsidR="00206CD7" w:rsidRPr="00CF097C">
        <w:t>(</w:t>
      </w:r>
      <w:r w:rsidR="0073245C" w:rsidRPr="00CF097C">
        <w:t>VC-A through VC-E</w:t>
      </w:r>
      <w:r w:rsidR="00206CD7" w:rsidRPr="00CF097C">
        <w:t>)</w:t>
      </w:r>
      <w:r w:rsidR="0073245C" w:rsidRPr="00CF097C">
        <w:t xml:space="preserve">. These curves </w:t>
      </w:r>
      <w:r w:rsidR="00922461" w:rsidRPr="00CF097C">
        <w:t xml:space="preserve">were originally </w:t>
      </w:r>
      <w:r w:rsidR="00F27913" w:rsidRPr="00CF097C">
        <w:t>developed and referred to as the</w:t>
      </w:r>
      <w:r w:rsidR="00922461" w:rsidRPr="00CF097C">
        <w:t xml:space="preserve"> </w:t>
      </w:r>
      <w:r w:rsidR="00F27913" w:rsidRPr="00CF097C">
        <w:t>“</w:t>
      </w:r>
      <w:r w:rsidR="00922461" w:rsidRPr="00CF097C">
        <w:t>BBN</w:t>
      </w:r>
      <w:r w:rsidR="007F798A" w:rsidRPr="00CF097C">
        <w:t xml:space="preserve"> </w:t>
      </w:r>
      <w:r w:rsidR="0026489D" w:rsidRPr="00CF097C">
        <w:t>curves</w:t>
      </w:r>
      <w:r w:rsidR="00F27913" w:rsidRPr="00CF097C">
        <w:t>”</w:t>
      </w:r>
      <w:r w:rsidR="0026489D" w:rsidRPr="00CF097C">
        <w:t xml:space="preserve">, </w:t>
      </w:r>
      <w:r w:rsidR="00F27913" w:rsidRPr="00CF097C">
        <w:t xml:space="preserve">promulgated </w:t>
      </w:r>
      <w:r w:rsidR="0073245C" w:rsidRPr="00CF097C">
        <w:t xml:space="preserve">more </w:t>
      </w:r>
      <w:r w:rsidR="00F27913" w:rsidRPr="00CF097C">
        <w:t>widely</w:t>
      </w:r>
      <w:r w:rsidR="0026489D" w:rsidRPr="00CF097C">
        <w:t xml:space="preserve"> by IEST</w:t>
      </w:r>
      <w:r w:rsidR="006769B0" w:rsidRPr="00CF097C">
        <w:t xml:space="preserve"> </w:t>
      </w:r>
      <w:sdt>
        <w:sdtPr>
          <w:id w:val="-684752283"/>
          <w:citation/>
        </w:sdtPr>
        <w:sdtEndPr/>
        <w:sdtContent>
          <w:r w:rsidR="006769B0" w:rsidRPr="00CF097C">
            <w:fldChar w:fldCharType="begin"/>
          </w:r>
          <w:r w:rsidR="006769B0" w:rsidRPr="00CF097C">
            <w:rPr>
              <w:lang w:val="en-US"/>
            </w:rPr>
            <w:instrText xml:space="preserve"> CITATION IES05 \l 1033 </w:instrText>
          </w:r>
          <w:r w:rsidR="006769B0" w:rsidRPr="00CF097C">
            <w:fldChar w:fldCharType="separate"/>
          </w:r>
          <w:r w:rsidR="00222D65">
            <w:rPr>
              <w:noProof/>
              <w:lang w:val="en-US"/>
            </w:rPr>
            <w:t>(IEST, 2005)</w:t>
          </w:r>
          <w:r w:rsidR="006769B0" w:rsidRPr="00CF097C">
            <w:fldChar w:fldCharType="end"/>
          </w:r>
        </w:sdtContent>
      </w:sdt>
      <w:r w:rsidR="00022E5A" w:rsidRPr="00CF097C">
        <w:t>,</w:t>
      </w:r>
      <w:r w:rsidR="0026489D" w:rsidRPr="00CF097C">
        <w:t xml:space="preserve"> and </w:t>
      </w:r>
      <w:r w:rsidR="00206CD7" w:rsidRPr="00CF097C">
        <w:t xml:space="preserve">have been </w:t>
      </w:r>
      <w:r w:rsidR="0026489D" w:rsidRPr="00CF097C">
        <w:t xml:space="preserve">reproduced in </w:t>
      </w:r>
      <w:r w:rsidR="00022E5A" w:rsidRPr="00CF097C">
        <w:t>several</w:t>
      </w:r>
      <w:r w:rsidR="0026489D" w:rsidRPr="00CF097C">
        <w:t xml:space="preserve"> other forms</w:t>
      </w:r>
      <w:r w:rsidRPr="00CF097C">
        <w:t>.</w:t>
      </w:r>
      <w:r w:rsidR="0029428B" w:rsidRPr="00CF097C">
        <w:t xml:space="preserve"> </w:t>
      </w:r>
      <w:r w:rsidR="0073245C" w:rsidRPr="00CF097C">
        <w:t>Although they are velocity based</w:t>
      </w:r>
      <w:r w:rsidR="005701C1" w:rsidRPr="00CF097C">
        <w:t>,</w:t>
      </w:r>
      <w:r w:rsidR="0029428B" w:rsidRPr="00CF097C">
        <w:t xml:space="preserve"> </w:t>
      </w:r>
      <w:r w:rsidR="000913AC" w:rsidRPr="00CF097C">
        <w:t xml:space="preserve">SCI P354 </w:t>
      </w:r>
      <w:sdt>
        <w:sdtPr>
          <w:id w:val="-90402821"/>
          <w:citation/>
        </w:sdtPr>
        <w:sdtEndPr/>
        <w:sdtContent>
          <w:r w:rsidR="00317F66" w:rsidRPr="00CF097C">
            <w:fldChar w:fldCharType="begin"/>
          </w:r>
          <w:r w:rsidR="00317F66" w:rsidRPr="00CF097C">
            <w:rPr>
              <w:lang w:val="en-US"/>
            </w:rPr>
            <w:instrText xml:space="preserve"> CITATION Smi09 \l 1033 </w:instrText>
          </w:r>
          <w:r w:rsidR="00317F66" w:rsidRPr="00CF097C">
            <w:fldChar w:fldCharType="separate"/>
          </w:r>
          <w:r w:rsidR="00222D65">
            <w:rPr>
              <w:noProof/>
              <w:lang w:val="en-US"/>
            </w:rPr>
            <w:t>(Smith, Hicks, &amp; Devine, 2009)</w:t>
          </w:r>
          <w:r w:rsidR="00317F66" w:rsidRPr="00CF097C">
            <w:fldChar w:fldCharType="end"/>
          </w:r>
        </w:sdtContent>
      </w:sdt>
      <w:r w:rsidR="00317F66" w:rsidRPr="00CF097C">
        <w:t xml:space="preserve"> </w:t>
      </w:r>
      <w:r w:rsidR="000913AC" w:rsidRPr="00CF097C">
        <w:t>provides</w:t>
      </w:r>
      <w:r w:rsidR="00D83A73" w:rsidRPr="00CF097C">
        <w:t xml:space="preserve"> acceleration</w:t>
      </w:r>
      <w:r w:rsidR="00BB3EFA" w:rsidRPr="00CF097C">
        <w:t>-</w:t>
      </w:r>
      <w:r w:rsidR="00D83A73" w:rsidRPr="00CF097C">
        <w:t xml:space="preserve">based limiting Response Factors that can be considered </w:t>
      </w:r>
      <w:r w:rsidR="00022E5A" w:rsidRPr="00CF097C">
        <w:t xml:space="preserve">generally </w:t>
      </w:r>
      <w:r w:rsidR="00D83A73" w:rsidRPr="00CF097C">
        <w:t xml:space="preserve">equivalent </w:t>
      </w:r>
      <w:r w:rsidR="008A5613" w:rsidRPr="00CF097C">
        <w:t xml:space="preserve">for </w:t>
      </w:r>
      <w:r w:rsidR="00D83A73" w:rsidRPr="00CF097C">
        <w:t xml:space="preserve">practical purposes, considering </w:t>
      </w:r>
      <w:r w:rsidR="00BB3EFA" w:rsidRPr="00CF097C">
        <w:t xml:space="preserve">all </w:t>
      </w:r>
      <w:r w:rsidR="00D83A73" w:rsidRPr="00CF097C">
        <w:t xml:space="preserve">uncertainties </w:t>
      </w:r>
      <w:r w:rsidR="00C60820" w:rsidRPr="00CF097C">
        <w:t xml:space="preserve">in </w:t>
      </w:r>
      <w:r w:rsidR="008A5613" w:rsidRPr="00CF097C">
        <w:t xml:space="preserve">evaluation of </w:t>
      </w:r>
      <w:r w:rsidR="00DF1D77" w:rsidRPr="00CF097C">
        <w:t>vibration</w:t>
      </w:r>
      <w:r w:rsidR="008A5613" w:rsidRPr="00CF097C">
        <w:t xml:space="preserve"> response</w:t>
      </w:r>
      <w:r w:rsidR="000A6914" w:rsidRPr="00CF097C">
        <w:t>.</w:t>
      </w:r>
    </w:p>
    <w:p w14:paraId="4500FCBE" w14:textId="45E23AC3" w:rsidR="005B76C8" w:rsidRPr="00CF097C" w:rsidRDefault="0058776E" w:rsidP="00666E06">
      <w:r w:rsidRPr="00CF097C">
        <w:lastRenderedPageBreak/>
        <w:t xml:space="preserve">Refer to SCI P354 </w:t>
      </w:r>
      <w:r w:rsidR="00331391" w:rsidRPr="00CF097C">
        <w:t xml:space="preserve">Table 5.6 </w:t>
      </w:r>
      <w:r w:rsidRPr="00CF097C">
        <w:t xml:space="preserve">for general acceptance criteria for design, and the ASHRAE HVAC Handbook </w:t>
      </w:r>
      <w:sdt>
        <w:sdtPr>
          <w:id w:val="-531967259"/>
          <w:citation/>
        </w:sdtPr>
        <w:sdtEndPr/>
        <w:sdtContent>
          <w:r w:rsidRPr="00CF097C">
            <w:fldChar w:fldCharType="begin"/>
          </w:r>
          <w:r w:rsidRPr="00CF097C">
            <w:rPr>
              <w:lang w:val="en-US"/>
            </w:rPr>
            <w:instrText xml:space="preserve"> CITATION ASH15 \l 1033 </w:instrText>
          </w:r>
          <w:r w:rsidRPr="00CF097C">
            <w:fldChar w:fldCharType="separate"/>
          </w:r>
          <w:r w:rsidR="00222D65">
            <w:rPr>
              <w:noProof/>
              <w:lang w:val="en-US"/>
            </w:rPr>
            <w:t>(ASHRAE, 2015)</w:t>
          </w:r>
          <w:r w:rsidRPr="00CF097C">
            <w:fldChar w:fldCharType="end"/>
          </w:r>
        </w:sdtContent>
      </w:sdt>
      <w:r w:rsidRPr="00CF097C">
        <w:t xml:space="preserve"> for more detailed descriptions of the types of equipment</w:t>
      </w:r>
      <w:r w:rsidR="008306F6" w:rsidRPr="00CF097C">
        <w:t xml:space="preserve"> or process</w:t>
      </w:r>
      <w:r w:rsidRPr="00CF097C">
        <w:t xml:space="preserve"> </w:t>
      </w:r>
      <w:r w:rsidR="00D97304" w:rsidRPr="00CF097C">
        <w:t>applicable</w:t>
      </w:r>
      <w:r w:rsidRPr="00CF097C">
        <w:t xml:space="preserve"> to each </w:t>
      </w:r>
      <w:r w:rsidR="00DD06F1" w:rsidRPr="00CF097C">
        <w:t>VC curve</w:t>
      </w:r>
      <w:r w:rsidRPr="00CF097C">
        <w:t xml:space="preserve">. </w:t>
      </w:r>
      <w:r w:rsidR="006963F3" w:rsidRPr="00CF097C">
        <w:t xml:space="preserve">Equipment suppliers should be consulted for specific </w:t>
      </w:r>
      <w:r w:rsidR="008B47DB" w:rsidRPr="00CF097C">
        <w:t>limiting criteria</w:t>
      </w:r>
      <w:r w:rsidR="001E07C6" w:rsidRPr="00CF097C">
        <w:t xml:space="preserve"> (or confirmation of the appropriate </w:t>
      </w:r>
      <w:r w:rsidR="008B47DB" w:rsidRPr="00CF097C">
        <w:t>VC Curve to apply</w:t>
      </w:r>
      <w:r w:rsidR="001E07C6" w:rsidRPr="00CF097C">
        <w:t>)</w:t>
      </w:r>
      <w:r w:rsidR="006963F3" w:rsidRPr="00CF097C">
        <w:t>.</w:t>
      </w:r>
    </w:p>
    <w:p w14:paraId="662D6608" w14:textId="0E9AE675" w:rsidR="0083450C" w:rsidRPr="00CF097C" w:rsidRDefault="0083450C"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 xml:space="preserve">In practice, </w:t>
      </w:r>
      <w:r w:rsidR="00344160" w:rsidRPr="00CF097C">
        <w:t xml:space="preserve">floors that meet the </w:t>
      </w:r>
      <w:r w:rsidR="00451102" w:rsidRPr="00CF097C">
        <w:t xml:space="preserve">general </w:t>
      </w:r>
      <w:r w:rsidR="00344160" w:rsidRPr="00CF097C">
        <w:t xml:space="preserve">performance requirements set out in </w:t>
      </w:r>
      <w:r w:rsidR="00E60F3B" w:rsidRPr="00CF097C">
        <w:fldChar w:fldCharType="begin"/>
      </w:r>
      <w:r w:rsidR="00E60F3B" w:rsidRPr="00CF097C">
        <w:instrText xml:space="preserve"> REF _Ref165379335 \h </w:instrText>
      </w:r>
      <w:r w:rsidR="00CF097C">
        <w:instrText xml:space="preserve"> \* MERGEFORMAT </w:instrText>
      </w:r>
      <w:r w:rsidR="00E60F3B" w:rsidRPr="00CF097C">
        <w:fldChar w:fldCharType="separate"/>
      </w:r>
      <w:r w:rsidR="000761C1" w:rsidRPr="000761C1">
        <w:t xml:space="preserve">Table </w:t>
      </w:r>
      <w:r w:rsidR="000761C1" w:rsidRPr="000761C1">
        <w:rPr>
          <w:noProof/>
        </w:rPr>
        <w:t>9</w:t>
      </w:r>
      <w:r w:rsidR="00E60F3B" w:rsidRPr="00CF097C">
        <w:fldChar w:fldCharType="end"/>
      </w:r>
      <w:r w:rsidR="00E13E3F" w:rsidRPr="00CF097C">
        <w:t xml:space="preserve"> for footfall induced vibration rarely encounter </w:t>
      </w:r>
      <w:r w:rsidR="00D415F7" w:rsidRPr="00CF097C">
        <w:t xml:space="preserve">problems with sensitive equipment </w:t>
      </w:r>
      <w:r w:rsidR="008926DD" w:rsidRPr="00CF097C">
        <w:t>including most forms of medical imaging</w:t>
      </w:r>
      <w:r w:rsidR="00E13E3F" w:rsidRPr="00CF097C">
        <w:t>. Those that do</w:t>
      </w:r>
      <w:r w:rsidR="00D415F7" w:rsidRPr="00CF097C">
        <w:t xml:space="preserve"> arise </w:t>
      </w:r>
      <w:r w:rsidR="00854434" w:rsidRPr="00CF097C">
        <w:t xml:space="preserve">are more likely to occur </w:t>
      </w:r>
      <w:r w:rsidR="00D415F7" w:rsidRPr="00CF097C">
        <w:t>from mechanically induced continuous vibration (rather than footfall excitation).</w:t>
      </w:r>
      <w:r w:rsidR="001142C5" w:rsidRPr="00CF097C">
        <w:t xml:space="preserve"> </w:t>
      </w:r>
      <w:r w:rsidR="007D5C79">
        <w:t xml:space="preserve">Health NZ </w:t>
      </w:r>
      <w:r w:rsidR="0086731C" w:rsidRPr="00CF097C">
        <w:t>recommend specific evaluation is carried out when sensitive equipment is located near potentially significant vibration sources</w:t>
      </w:r>
      <w:r w:rsidR="007F25ED" w:rsidRPr="00CF097C">
        <w:t>.</w:t>
      </w:r>
    </w:p>
    <w:p w14:paraId="4D1B8147" w14:textId="49067ADD" w:rsidR="00183EC0" w:rsidRPr="00CF097C" w:rsidRDefault="00183EC0"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In some circumstances, structure-borne vibration</w:t>
      </w:r>
      <w:r w:rsidR="007226CB" w:rsidRPr="00CF097C">
        <w:t xml:space="preserve"> transmission</w:t>
      </w:r>
      <w:r w:rsidRPr="00CF097C">
        <w:t xml:space="preserve"> can affect</w:t>
      </w:r>
      <w:r w:rsidR="00CE406D" w:rsidRPr="00CF097C">
        <w:t xml:space="preserve"> equipment located some distance</w:t>
      </w:r>
      <w:r w:rsidR="00CA6888" w:rsidRPr="00CF097C">
        <w:t xml:space="preserve"> away from the vibration source</w:t>
      </w:r>
      <w:r w:rsidRPr="00CF097C">
        <w:t xml:space="preserve">. </w:t>
      </w:r>
      <w:r w:rsidR="00CA6888" w:rsidRPr="00CF097C">
        <w:t>However,</w:t>
      </w:r>
      <w:r w:rsidRPr="00CF097C">
        <w:t xml:space="preserve"> </w:t>
      </w:r>
      <w:r w:rsidR="006A2643" w:rsidRPr="00CF097C">
        <w:t>similarly</w:t>
      </w:r>
      <w:r w:rsidR="00644D74" w:rsidRPr="00CF097C">
        <w:t xml:space="preserve">, </w:t>
      </w:r>
      <w:r w:rsidR="00A10910" w:rsidRPr="00CF097C">
        <w:t xml:space="preserve">this </w:t>
      </w:r>
      <w:r w:rsidR="00CE406D" w:rsidRPr="00CF097C">
        <w:t xml:space="preserve">is rare for structures configured to meet the </w:t>
      </w:r>
      <w:r w:rsidR="004F5374" w:rsidRPr="00CF097C">
        <w:t>general</w:t>
      </w:r>
      <w:r w:rsidR="00CE406D" w:rsidRPr="00CF097C">
        <w:t xml:space="preserve"> </w:t>
      </w:r>
      <w:r w:rsidR="00CD7030" w:rsidRPr="00CF097C">
        <w:t>footfall-based</w:t>
      </w:r>
      <w:r w:rsidR="00CE406D" w:rsidRPr="00CF097C">
        <w:t xml:space="preserve"> criteria in </w:t>
      </w:r>
      <w:r w:rsidR="00CA6888" w:rsidRPr="00CF097C">
        <w:t xml:space="preserve">in </w:t>
      </w:r>
      <w:r w:rsidR="00CA6888" w:rsidRPr="00CF097C">
        <w:fldChar w:fldCharType="begin"/>
      </w:r>
      <w:r w:rsidR="00CA6888" w:rsidRPr="00CF097C">
        <w:instrText xml:space="preserve"> REF _Ref165379335 \h </w:instrText>
      </w:r>
      <w:r w:rsidR="00CF097C">
        <w:instrText xml:space="preserve"> \* MERGEFORMAT </w:instrText>
      </w:r>
      <w:r w:rsidR="00CA6888" w:rsidRPr="00CF097C">
        <w:fldChar w:fldCharType="separate"/>
      </w:r>
      <w:r w:rsidR="000761C1" w:rsidRPr="000761C1">
        <w:t xml:space="preserve">Table </w:t>
      </w:r>
      <w:r w:rsidR="000761C1" w:rsidRPr="000761C1">
        <w:rPr>
          <w:noProof/>
        </w:rPr>
        <w:t>9</w:t>
      </w:r>
      <w:r w:rsidR="00CA6888" w:rsidRPr="00CF097C">
        <w:fldChar w:fldCharType="end"/>
      </w:r>
      <w:r w:rsidR="00CA6888" w:rsidRPr="00CF097C">
        <w:t xml:space="preserve">. It </w:t>
      </w:r>
      <w:r w:rsidR="00A10910" w:rsidRPr="00CF097C">
        <w:t xml:space="preserve">usually occurs in rare cases where there is </w:t>
      </w:r>
      <w:r w:rsidR="00D70D6C" w:rsidRPr="00CF097C">
        <w:t xml:space="preserve">an unfortunate </w:t>
      </w:r>
      <w:r w:rsidR="00A10910" w:rsidRPr="00CF097C">
        <w:t>resonance w</w:t>
      </w:r>
      <w:r w:rsidR="009613B8" w:rsidRPr="00CF097C">
        <w:t xml:space="preserve">ith </w:t>
      </w:r>
      <w:r w:rsidR="0028569E" w:rsidRPr="00CF097C">
        <w:t>a structure</w:t>
      </w:r>
      <w:r w:rsidR="003C090C" w:rsidRPr="00CF097C">
        <w:t xml:space="preserve"> and floor</w:t>
      </w:r>
      <w:r w:rsidR="009613B8" w:rsidRPr="00CF097C">
        <w:t xml:space="preserve"> mode</w:t>
      </w:r>
      <w:r w:rsidR="005D12C6" w:rsidRPr="00CF097C">
        <w:t xml:space="preserve"> or between the vibration source and the equipment</w:t>
      </w:r>
      <w:r w:rsidR="0073479C" w:rsidRPr="00CF097C">
        <w:t xml:space="preserve"> itself</w:t>
      </w:r>
      <w:r w:rsidR="003C090C" w:rsidRPr="00CF097C">
        <w:t xml:space="preserve">. This </w:t>
      </w:r>
      <w:r w:rsidRPr="00CF097C">
        <w:t>is difficult</w:t>
      </w:r>
      <w:r w:rsidR="009613B8" w:rsidRPr="00CF097C">
        <w:t xml:space="preserve"> to predict with any accuracy</w:t>
      </w:r>
      <w:r w:rsidR="002975A4" w:rsidRPr="00CF097C">
        <w:t>—</w:t>
      </w:r>
      <w:r w:rsidR="00D70D6C" w:rsidRPr="00CF097C">
        <w:t xml:space="preserve">and </w:t>
      </w:r>
      <w:r w:rsidR="002975A4" w:rsidRPr="00CF097C">
        <w:t xml:space="preserve">can generally be resolved by adjustment to </w:t>
      </w:r>
      <w:r w:rsidR="00A10910" w:rsidRPr="00CF097C">
        <w:t>equipment operation or mount design</w:t>
      </w:r>
      <w:r w:rsidR="00D70D6C" w:rsidRPr="00CF097C">
        <w:t xml:space="preserve"> or </w:t>
      </w:r>
      <w:r w:rsidR="006532AC" w:rsidRPr="00CF097C">
        <w:t xml:space="preserve">an </w:t>
      </w:r>
      <w:r w:rsidR="0028569E" w:rsidRPr="00CF097C">
        <w:t>alternative simple</w:t>
      </w:r>
      <w:r w:rsidR="00D70D6C" w:rsidRPr="00CF097C">
        <w:t xml:space="preserve"> management strategy</w:t>
      </w:r>
      <w:r w:rsidR="0043153F" w:rsidRPr="00CF097C">
        <w:t>.</w:t>
      </w:r>
      <w:r w:rsidR="00D70D6C" w:rsidRPr="00CF097C">
        <w:t xml:space="preserve"> Practical examples of </w:t>
      </w:r>
      <w:r w:rsidR="00CB7367" w:rsidRPr="00CF097C">
        <w:t>this</w:t>
      </w:r>
      <w:r w:rsidR="003C090C" w:rsidRPr="00CF097C">
        <w:t xml:space="preserve"> occurring</w:t>
      </w:r>
      <w:r w:rsidR="00CB7367" w:rsidRPr="00CF097C">
        <w:t xml:space="preserve"> </w:t>
      </w:r>
      <w:r w:rsidR="000B3561" w:rsidRPr="00CF097C">
        <w:t>in New Zealand hospital</w:t>
      </w:r>
      <w:r w:rsidR="00E42785" w:rsidRPr="00CF097C">
        <w:t xml:space="preserve"> facilities</w:t>
      </w:r>
      <w:r w:rsidR="000B3561" w:rsidRPr="00CF097C">
        <w:t xml:space="preserve"> </w:t>
      </w:r>
      <w:r w:rsidR="00CB7367" w:rsidRPr="00CF097C">
        <w:t xml:space="preserve">have generally affected </w:t>
      </w:r>
      <w:r w:rsidR="000B3561" w:rsidRPr="00CF097C">
        <w:t>more slender</w:t>
      </w:r>
      <w:r w:rsidR="00CB7367" w:rsidRPr="00CF097C">
        <w:t xml:space="preserve"> floors which would not </w:t>
      </w:r>
      <w:r w:rsidR="00E42785" w:rsidRPr="00CF097C">
        <w:t>have met</w:t>
      </w:r>
      <w:r w:rsidR="00CB7367" w:rsidRPr="00CF097C">
        <w:t xml:space="preserve"> the basic criteria in </w:t>
      </w:r>
      <w:r w:rsidR="00CB7367" w:rsidRPr="00CF097C">
        <w:fldChar w:fldCharType="begin"/>
      </w:r>
      <w:r w:rsidR="00CB7367" w:rsidRPr="00CF097C">
        <w:instrText xml:space="preserve"> REF _Ref165379335 \h </w:instrText>
      </w:r>
      <w:r w:rsidR="00CF097C">
        <w:instrText xml:space="preserve"> \* MERGEFORMAT </w:instrText>
      </w:r>
      <w:r w:rsidR="00CB7367" w:rsidRPr="00CF097C">
        <w:fldChar w:fldCharType="separate"/>
      </w:r>
      <w:r w:rsidR="000761C1" w:rsidRPr="000761C1">
        <w:t xml:space="preserve">Table </w:t>
      </w:r>
      <w:r w:rsidR="000761C1" w:rsidRPr="000761C1">
        <w:rPr>
          <w:noProof/>
        </w:rPr>
        <w:t>9</w:t>
      </w:r>
      <w:r w:rsidR="00CB7367" w:rsidRPr="00CF097C">
        <w:fldChar w:fldCharType="end"/>
      </w:r>
      <w:r w:rsidR="00CB7367" w:rsidRPr="00CF097C">
        <w:t>.</w:t>
      </w:r>
    </w:p>
    <w:p w14:paraId="45920330" w14:textId="23827B30" w:rsidR="00DB29A8" w:rsidRDefault="00DB29A8"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F097C">
        <w:t>In situations where footfall induced vibration is explicitly evaluated</w:t>
      </w:r>
      <w:r w:rsidR="00491CEC" w:rsidRPr="00CF097C">
        <w:t xml:space="preserve"> against the </w:t>
      </w:r>
      <w:r w:rsidR="00E42785" w:rsidRPr="00CF097C">
        <w:t xml:space="preserve">significantly </w:t>
      </w:r>
      <w:r w:rsidR="00491CEC" w:rsidRPr="00CF097C">
        <w:t>more onerous criteria</w:t>
      </w:r>
      <w:r w:rsidR="00E42785" w:rsidRPr="00CF097C">
        <w:t xml:space="preserve"> suggested in the literature</w:t>
      </w:r>
      <w:r w:rsidR="00491CEC" w:rsidRPr="00CF097C">
        <w:t xml:space="preserve"> for sensitive </w:t>
      </w:r>
      <w:r w:rsidR="003B04AD" w:rsidRPr="00CF097C">
        <w:t>equipment</w:t>
      </w:r>
      <w:r w:rsidRPr="00CF097C">
        <w:t xml:space="preserve">, excitation scenarios </w:t>
      </w:r>
      <w:r w:rsidR="0029074D" w:rsidRPr="00CF097C">
        <w:t>should</w:t>
      </w:r>
      <w:r w:rsidRPr="00CF097C">
        <w:t xml:space="preserve"> consider adjusting pace frequency ranges and reducing walking path lengths to reflect realistic actions of persons within the space that are sensitive to the activity/process being undertaken. Remote </w:t>
      </w:r>
      <w:r w:rsidR="0029074D" w:rsidRPr="00CF097C">
        <w:t xml:space="preserve">non-visible </w:t>
      </w:r>
      <w:r w:rsidRPr="00CF097C">
        <w:t xml:space="preserve">excitation scenarios (for example </w:t>
      </w:r>
      <w:r w:rsidR="0029074D" w:rsidRPr="00CF097C">
        <w:t xml:space="preserve">external </w:t>
      </w:r>
      <w:r w:rsidRPr="00CF097C">
        <w:t>corridor excitation) may need to consider a different range.</w:t>
      </w:r>
    </w:p>
    <w:p w14:paraId="61465860" w14:textId="525426F0" w:rsidR="00CF427B" w:rsidRDefault="00CF427B" w:rsidP="00A74D75">
      <w:pPr>
        <w:pStyle w:val="Section2heading3"/>
      </w:pPr>
      <w:bookmarkStart w:id="204" w:name="_Ref180565012"/>
      <w:r>
        <w:t>Considerations</w:t>
      </w:r>
      <w:r w:rsidR="000E45A7">
        <w:t xml:space="preserve"> </w:t>
      </w:r>
      <w:r w:rsidR="00D02D7D">
        <w:t>for Soffit Mounted Equipment</w:t>
      </w:r>
      <w:bookmarkEnd w:id="204"/>
    </w:p>
    <w:p w14:paraId="2E39B3F3" w14:textId="575D7CE1" w:rsidR="0025588E" w:rsidRDefault="00E304CE" w:rsidP="00666E06">
      <w:r>
        <w:t>For</w:t>
      </w:r>
      <w:r w:rsidR="00E57254">
        <w:t xml:space="preserve"> suspended</w:t>
      </w:r>
      <w:r>
        <w:t xml:space="preserve"> </w:t>
      </w:r>
      <w:r w:rsidR="005C256B">
        <w:t>medical equipment mounted to the soffit of floors</w:t>
      </w:r>
      <w:r w:rsidR="00E57254">
        <w:t xml:space="preserve"> above</w:t>
      </w:r>
      <w:r>
        <w:t xml:space="preserve">, interpretation is required </w:t>
      </w:r>
      <w:r w:rsidR="0043547C">
        <w:t xml:space="preserve">on </w:t>
      </w:r>
      <w:r w:rsidR="00EA4071">
        <w:t xml:space="preserve">the </w:t>
      </w:r>
      <w:r w:rsidR="0043547C">
        <w:t xml:space="preserve">application of </w:t>
      </w:r>
      <w:r w:rsidR="00EC7078">
        <w:t xml:space="preserve">the general </w:t>
      </w:r>
      <w:r w:rsidR="00F656F7">
        <w:t xml:space="preserve">acceptance criteria in </w:t>
      </w:r>
      <w:r w:rsidR="0043547C" w:rsidRPr="003E32EE">
        <w:fldChar w:fldCharType="begin"/>
      </w:r>
      <w:r w:rsidR="0043547C" w:rsidRPr="003E32EE">
        <w:instrText xml:space="preserve"> REF _Ref165379335 \h </w:instrText>
      </w:r>
      <w:r w:rsidR="003E32EE">
        <w:instrText xml:space="preserve"> \* MERGEFORMAT </w:instrText>
      </w:r>
      <w:r w:rsidR="0043547C" w:rsidRPr="003E32EE">
        <w:fldChar w:fldCharType="separate"/>
      </w:r>
      <w:r w:rsidR="000761C1" w:rsidRPr="003E32EE">
        <w:t xml:space="preserve">Table </w:t>
      </w:r>
      <w:r w:rsidR="000761C1" w:rsidRPr="003E32EE">
        <w:rPr>
          <w:noProof/>
        </w:rPr>
        <w:t>9</w:t>
      </w:r>
      <w:r w:rsidR="0043547C" w:rsidRPr="003E32EE">
        <w:fldChar w:fldCharType="end"/>
      </w:r>
      <w:r w:rsidR="0043547C" w:rsidRPr="003E32EE">
        <w:t>.</w:t>
      </w:r>
      <w:r w:rsidR="008E20B8">
        <w:t xml:space="preserve"> </w:t>
      </w:r>
      <w:r w:rsidR="00FA055B">
        <w:t>T</w:t>
      </w:r>
      <w:r w:rsidR="008E20B8">
        <w:t xml:space="preserve">he values </w:t>
      </w:r>
      <w:r w:rsidR="0030586E">
        <w:t xml:space="preserve">suggested for each service/function </w:t>
      </w:r>
      <w:r w:rsidR="00EC7078">
        <w:t>provide</w:t>
      </w:r>
      <w:r w:rsidR="008E20B8">
        <w:t xml:space="preserve"> a </w:t>
      </w:r>
      <w:r w:rsidR="003B1701">
        <w:t xml:space="preserve">reasonable </w:t>
      </w:r>
      <w:r w:rsidR="00B12DBC">
        <w:t>benchmark and</w:t>
      </w:r>
      <w:r w:rsidR="00AF2113">
        <w:t xml:space="preserve"> </w:t>
      </w:r>
      <w:r w:rsidR="00B376C1">
        <w:t>encapsulat</w:t>
      </w:r>
      <w:r w:rsidR="00AF2113">
        <w:t>e</w:t>
      </w:r>
      <w:r w:rsidR="003B1701">
        <w:t xml:space="preserve"> </w:t>
      </w:r>
      <w:r w:rsidR="00B26168">
        <w:t xml:space="preserve">the requirements </w:t>
      </w:r>
      <w:r w:rsidR="0030586E">
        <w:t>applicable to</w:t>
      </w:r>
      <w:r w:rsidR="00B26168">
        <w:t xml:space="preserve"> </w:t>
      </w:r>
      <w:r w:rsidR="0030586E">
        <w:t xml:space="preserve">most </w:t>
      </w:r>
      <w:r w:rsidR="00FA055B">
        <w:t xml:space="preserve">suspended equipment </w:t>
      </w:r>
      <w:r w:rsidR="003834E0">
        <w:t xml:space="preserve">that is </w:t>
      </w:r>
      <w:r w:rsidR="00FA055B">
        <w:t xml:space="preserve">normally </w:t>
      </w:r>
      <w:r w:rsidR="00A70AA9">
        <w:t xml:space="preserve">associated </w:t>
      </w:r>
      <w:r w:rsidR="00FA055B">
        <w:t>with those uses</w:t>
      </w:r>
      <w:r w:rsidR="00EC7078">
        <w:t xml:space="preserve">. Notwithstanding, the </w:t>
      </w:r>
      <w:r w:rsidR="003061C1">
        <w:t xml:space="preserve">following </w:t>
      </w:r>
      <w:r w:rsidR="00241F46">
        <w:t>considerations should be made</w:t>
      </w:r>
      <w:r w:rsidR="0081679D">
        <w:t xml:space="preserve"> in the judgement of appropriate limiting criteria</w:t>
      </w:r>
      <w:r w:rsidR="006C71A8">
        <w:t xml:space="preserve"> </w:t>
      </w:r>
      <w:r w:rsidR="0081679D">
        <w:t>and</w:t>
      </w:r>
      <w:r w:rsidR="006C71A8">
        <w:t>/or</w:t>
      </w:r>
      <w:r w:rsidR="0081679D">
        <w:t xml:space="preserve"> adjustments in methodology</w:t>
      </w:r>
      <w:r w:rsidR="003061C1">
        <w:t>.</w:t>
      </w:r>
    </w:p>
    <w:p w14:paraId="27B7560F" w14:textId="03F4156F" w:rsidR="000B7355" w:rsidRDefault="000B7355" w:rsidP="004D55F1">
      <w:pPr>
        <w:pStyle w:val="ListParagraph"/>
        <w:numPr>
          <w:ilvl w:val="0"/>
          <w:numId w:val="102"/>
        </w:numPr>
      </w:pPr>
      <w:r>
        <w:t xml:space="preserve">The nuisance </w:t>
      </w:r>
      <w:r w:rsidR="0005079D">
        <w:t>is not felt vibration</w:t>
      </w:r>
      <w:r w:rsidR="009C6A79">
        <w:t>,</w:t>
      </w:r>
      <w:r w:rsidR="0005079D">
        <w:t xml:space="preserve"> but visual nuisance (</w:t>
      </w:r>
      <w:r w:rsidR="001E1489">
        <w:t xml:space="preserve">such as </w:t>
      </w:r>
      <w:r w:rsidR="0005079D">
        <w:t>bouncing monitors)</w:t>
      </w:r>
      <w:r w:rsidR="009C6A79">
        <w:t xml:space="preserve">, </w:t>
      </w:r>
      <w:r w:rsidR="00E36ED0">
        <w:t xml:space="preserve">the </w:t>
      </w:r>
      <w:r w:rsidR="00B22FC9">
        <w:t>performance of imaging equipment</w:t>
      </w:r>
      <w:r w:rsidR="00A51CC6">
        <w:t xml:space="preserve">, and potential </w:t>
      </w:r>
      <w:r w:rsidR="00E36ED0">
        <w:t xml:space="preserve">the </w:t>
      </w:r>
      <w:r w:rsidR="00F062E1">
        <w:t>impact</w:t>
      </w:r>
      <w:r w:rsidR="001E1489">
        <w:t xml:space="preserve"> on</w:t>
      </w:r>
      <w:r w:rsidR="00F062E1">
        <w:t xml:space="preserve"> procedures </w:t>
      </w:r>
      <w:r w:rsidR="0063209F">
        <w:t>using</w:t>
      </w:r>
      <w:r w:rsidR="00F062E1">
        <w:t xml:space="preserve"> microscopy</w:t>
      </w:r>
      <w:r w:rsidR="00F11E76">
        <w:t xml:space="preserve"> or magnification</w:t>
      </w:r>
      <w:r w:rsidR="00F062E1">
        <w:t xml:space="preserve"> (where </w:t>
      </w:r>
      <w:r w:rsidR="00E36ED0">
        <w:t>such</w:t>
      </w:r>
      <w:r w:rsidR="00346F2A">
        <w:t xml:space="preserve"> equipment is </w:t>
      </w:r>
      <w:r w:rsidR="00F062E1">
        <w:t>pendant mounted)</w:t>
      </w:r>
      <w:r w:rsidR="0005079D">
        <w:t>.</w:t>
      </w:r>
    </w:p>
    <w:p w14:paraId="3CDF1975" w14:textId="22F6A54D" w:rsidR="00F95EF7" w:rsidRDefault="000B7355" w:rsidP="004D55F1">
      <w:pPr>
        <w:pStyle w:val="ListParagraph"/>
        <w:numPr>
          <w:ilvl w:val="0"/>
          <w:numId w:val="102"/>
        </w:numPr>
      </w:pPr>
      <w:r>
        <w:t>For footfall induced vibration, t</w:t>
      </w:r>
      <w:r w:rsidR="003061C1">
        <w:t xml:space="preserve">he source of vibration is remote, not visible, and generally </w:t>
      </w:r>
      <w:r w:rsidR="00465DB8">
        <w:t>less</w:t>
      </w:r>
      <w:r w:rsidR="003061C1">
        <w:t xml:space="preserve"> able to be managed</w:t>
      </w:r>
      <w:r w:rsidR="00E823FF">
        <w:t>/controlled</w:t>
      </w:r>
      <w:r w:rsidR="004A4B0A">
        <w:t xml:space="preserve"> (those causing the vibration </w:t>
      </w:r>
      <w:r w:rsidR="00E823FF">
        <w:t xml:space="preserve">are on the floor above, and </w:t>
      </w:r>
      <w:r w:rsidR="004A4B0A">
        <w:t>are not sensitive to the activity affected by it)</w:t>
      </w:r>
      <w:r w:rsidR="003061C1">
        <w:t>.</w:t>
      </w:r>
      <w:r w:rsidR="002C729E">
        <w:t xml:space="preserve"> This affect</w:t>
      </w:r>
      <w:r w:rsidR="00B91A5E">
        <w:t>s the selection of</w:t>
      </w:r>
      <w:r w:rsidR="002C729E">
        <w:t xml:space="preserve"> </w:t>
      </w:r>
      <w:r w:rsidR="00465DB8">
        <w:t>analysis parameters</w:t>
      </w:r>
      <w:r w:rsidR="006D742F">
        <w:t xml:space="preserve"> defining the vibration source</w:t>
      </w:r>
      <w:r w:rsidR="002C729E">
        <w:t>.</w:t>
      </w:r>
    </w:p>
    <w:p w14:paraId="5ABF3886" w14:textId="1519A210" w:rsidR="00936F4A" w:rsidRDefault="00936F4A" w:rsidP="004D55F1">
      <w:pPr>
        <w:pStyle w:val="ListParagraph"/>
        <w:numPr>
          <w:ilvl w:val="0"/>
          <w:numId w:val="102"/>
        </w:numPr>
      </w:pPr>
      <w:r>
        <w:lastRenderedPageBreak/>
        <w:t xml:space="preserve">If the floor supporting the </w:t>
      </w:r>
      <w:r w:rsidR="006D742F">
        <w:t xml:space="preserve">suspended </w:t>
      </w:r>
      <w:r>
        <w:t xml:space="preserve">equipment also </w:t>
      </w:r>
      <w:r w:rsidR="00542369">
        <w:t>houses</w:t>
      </w:r>
      <w:r>
        <w:t xml:space="preserve"> floor mounted plant such as air handling and pumps (</w:t>
      </w:r>
      <w:r w:rsidR="007A4579">
        <w:t>locating plant areas above</w:t>
      </w:r>
      <w:r>
        <w:t xml:space="preserve"> operating theatre suites</w:t>
      </w:r>
      <w:r w:rsidR="007A4579">
        <w:t xml:space="preserve"> is a common approach</w:t>
      </w:r>
      <w:r>
        <w:t>) then there is a higher chance of direct mechanically induced excitation causing nuisance. This can be problematic for imaging and procedures using magnification.</w:t>
      </w:r>
    </w:p>
    <w:p w14:paraId="44A2C683" w14:textId="67542987" w:rsidR="00F95EF7" w:rsidRDefault="00F95EF7" w:rsidP="004D55F1">
      <w:pPr>
        <w:pStyle w:val="ListParagraph"/>
        <w:numPr>
          <w:ilvl w:val="0"/>
          <w:numId w:val="102"/>
        </w:numPr>
      </w:pPr>
      <w:r>
        <w:t xml:space="preserve">For pendants with significant cantilevers, it is difficult to predict </w:t>
      </w:r>
      <w:r w:rsidR="009D3047">
        <w:t xml:space="preserve">when </w:t>
      </w:r>
      <w:r>
        <w:t>amplification from resonant harmonics</w:t>
      </w:r>
      <w:r w:rsidR="009D3047">
        <w:t xml:space="preserve"> might cause</w:t>
      </w:r>
      <w:r w:rsidR="00C435BC">
        <w:t xml:space="preserve"> issues</w:t>
      </w:r>
      <w:r w:rsidR="00E57254">
        <w:t>. A</w:t>
      </w:r>
      <w:r w:rsidR="0050115B">
        <w:t xml:space="preserve">lthough reasonably rare, </w:t>
      </w:r>
      <w:r>
        <w:t>these</w:t>
      </w:r>
      <w:r w:rsidR="00E57254">
        <w:t xml:space="preserve"> issues</w:t>
      </w:r>
      <w:r>
        <w:t xml:space="preserve"> can be difficult to resolve if they arise.</w:t>
      </w:r>
    </w:p>
    <w:p w14:paraId="78AF80C5" w14:textId="6466CEE6" w:rsidR="001448A2" w:rsidRDefault="001448A2" w:rsidP="004D55F1">
      <w:pPr>
        <w:pStyle w:val="ListParagraph"/>
        <w:numPr>
          <w:ilvl w:val="0"/>
          <w:numId w:val="102"/>
        </w:numPr>
      </w:pPr>
      <w:r>
        <w:t>Ideally corridors</w:t>
      </w:r>
      <w:r w:rsidR="00E57254">
        <w:t xml:space="preserve"> (for example)</w:t>
      </w:r>
      <w:r>
        <w:t xml:space="preserve"> </w:t>
      </w:r>
      <w:r w:rsidR="00F835D1">
        <w:t xml:space="preserve">would not be located above potentially sensitive </w:t>
      </w:r>
      <w:r w:rsidR="00E57254">
        <w:t xml:space="preserve">directly suspended </w:t>
      </w:r>
      <w:r w:rsidR="00F835D1">
        <w:t>equipment</w:t>
      </w:r>
      <w:r>
        <w:t>.</w:t>
      </w:r>
      <w:r w:rsidR="00F835D1">
        <w:t xml:space="preserve"> However</w:t>
      </w:r>
      <w:r w:rsidR="00B678B3">
        <w:t xml:space="preserve">, it </w:t>
      </w:r>
      <w:r w:rsidR="00CD01FB">
        <w:t>is unlikely to be</w:t>
      </w:r>
      <w:r w:rsidR="00B678B3">
        <w:t xml:space="preserve"> practical to apply such planning constraint</w:t>
      </w:r>
      <w:r w:rsidR="00CD01FB">
        <w:t>s</w:t>
      </w:r>
      <w:r w:rsidR="00B678B3">
        <w:t xml:space="preserve"> in practice.</w:t>
      </w:r>
    </w:p>
    <w:p w14:paraId="11ACE201" w14:textId="09B0596D" w:rsidR="00D87C69" w:rsidRDefault="00D87C69" w:rsidP="00666E06">
      <w:r>
        <w:t>Soffit mounting equipment</w:t>
      </w:r>
      <w:r w:rsidR="00086262">
        <w:t xml:space="preserve"> of a non-critical</w:t>
      </w:r>
      <w:r w:rsidR="0029207F">
        <w:t xml:space="preserve"> nature</w:t>
      </w:r>
      <w:r>
        <w:t xml:space="preserve"> </w:t>
      </w:r>
      <w:r w:rsidR="00DD0E9C">
        <w:t xml:space="preserve">with due regard to the above considerations </w:t>
      </w:r>
      <w:r>
        <w:t xml:space="preserve">is </w:t>
      </w:r>
      <w:r w:rsidR="00AA118E">
        <w:t xml:space="preserve">a </w:t>
      </w:r>
      <w:r>
        <w:t xml:space="preserve">common and </w:t>
      </w:r>
      <w:r w:rsidR="00DD0E9C">
        <w:t>acceptable</w:t>
      </w:r>
      <w:r>
        <w:t xml:space="preserve"> practice</w:t>
      </w:r>
      <w:r w:rsidR="00086262">
        <w:t>. Examples include:</w:t>
      </w:r>
    </w:p>
    <w:p w14:paraId="63BAB36C" w14:textId="42543086" w:rsidR="00086262" w:rsidRDefault="00E15B32" w:rsidP="004D55F1">
      <w:pPr>
        <w:pStyle w:val="ListParagraph"/>
        <w:numPr>
          <w:ilvl w:val="0"/>
          <w:numId w:val="103"/>
        </w:numPr>
      </w:pPr>
      <w:r>
        <w:t>Suspended m</w:t>
      </w:r>
      <w:r w:rsidR="00086262">
        <w:t>onitors</w:t>
      </w:r>
      <w:r w:rsidR="00C673F2">
        <w:t>/screens</w:t>
      </w:r>
      <w:r w:rsidR="00F040F0">
        <w:t>, and general procedure lighting.</w:t>
      </w:r>
    </w:p>
    <w:p w14:paraId="24C4E1D7" w14:textId="45D5718C" w:rsidR="00C673F2" w:rsidRDefault="00C673F2" w:rsidP="004D55F1">
      <w:pPr>
        <w:pStyle w:val="ListParagraph"/>
        <w:numPr>
          <w:ilvl w:val="0"/>
          <w:numId w:val="103"/>
        </w:numPr>
      </w:pPr>
      <w:r>
        <w:t>Patient hoists.</w:t>
      </w:r>
    </w:p>
    <w:p w14:paraId="31949883" w14:textId="6F78BF0B" w:rsidR="00086262" w:rsidRDefault="00086262" w:rsidP="004D55F1">
      <w:pPr>
        <w:pStyle w:val="ListParagraph"/>
        <w:numPr>
          <w:ilvl w:val="0"/>
          <w:numId w:val="103"/>
        </w:numPr>
      </w:pPr>
      <w:r>
        <w:t>ICU</w:t>
      </w:r>
      <w:r w:rsidR="00B42688">
        <w:t>/HDU</w:t>
      </w:r>
      <w:r>
        <w:t xml:space="preserve"> </w:t>
      </w:r>
      <w:r w:rsidR="00B42688">
        <w:t>p</w:t>
      </w:r>
      <w:r>
        <w:t>endants</w:t>
      </w:r>
      <w:r w:rsidR="00102928">
        <w:t xml:space="preserve"> (power, data, medical gases, monitoring equipment</w:t>
      </w:r>
      <w:r w:rsidR="00416AB4">
        <w:t>, suppli</w:t>
      </w:r>
      <w:r w:rsidR="00E81E9B">
        <w:t>es</w:t>
      </w:r>
      <w:r w:rsidR="00C823B0">
        <w:t>, and the like</w:t>
      </w:r>
      <w:r w:rsidR="00E15B32">
        <w:t>)</w:t>
      </w:r>
      <w:r w:rsidR="00661087">
        <w:t>.</w:t>
      </w:r>
    </w:p>
    <w:p w14:paraId="6DC4F010" w14:textId="542E6351" w:rsidR="000C5021" w:rsidRDefault="00784913" w:rsidP="00666E06">
      <w:r>
        <w:t>Soffit mount</w:t>
      </w:r>
      <w:r w:rsidR="00834F58">
        <w:t>ed</w:t>
      </w:r>
      <w:r w:rsidR="00574F98">
        <w:t xml:space="preserve"> equipment with imaging function</w:t>
      </w:r>
      <w:r w:rsidR="00762855">
        <w:t>s</w:t>
      </w:r>
      <w:r w:rsidR="003F7613">
        <w:t xml:space="preserve"> </w:t>
      </w:r>
      <w:r w:rsidR="00762855">
        <w:t xml:space="preserve">or </w:t>
      </w:r>
      <w:r w:rsidR="000344E5">
        <w:t xml:space="preserve">visual </w:t>
      </w:r>
      <w:r w:rsidR="00574F98">
        <w:t>magnification</w:t>
      </w:r>
      <w:r w:rsidR="00762855">
        <w:t xml:space="preserve"> </w:t>
      </w:r>
      <w:r w:rsidR="0090046B">
        <w:t xml:space="preserve">can be done, but </w:t>
      </w:r>
      <w:r w:rsidR="00762855">
        <w:t>should be treated more cautiously</w:t>
      </w:r>
      <w:r w:rsidR="00DD0E9C">
        <w:t xml:space="preserve"> on case-by-case basis</w:t>
      </w:r>
      <w:r w:rsidR="00D75B71">
        <w:t xml:space="preserve">, and the methodology for </w:t>
      </w:r>
      <w:r w:rsidR="006A0FA8">
        <w:t xml:space="preserve">its </w:t>
      </w:r>
      <w:r w:rsidR="00D75B71">
        <w:t>assessment adjusted considering the factors listed above</w:t>
      </w:r>
      <w:r w:rsidR="00505BE7">
        <w:t>.</w:t>
      </w:r>
    </w:p>
    <w:p w14:paraId="078E6F31" w14:textId="0D486C88" w:rsidR="00F677FD" w:rsidRDefault="009C3B2E"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Strategies for supporting</w:t>
      </w:r>
      <w:r w:rsidR="00D63DF9">
        <w:t xml:space="preserve"> suspended medical equipment is a key decision point</w:t>
      </w:r>
      <w:r w:rsidR="0012018D">
        <w:t xml:space="preserve"> in some parts of Acute Services facilities, most notably </w:t>
      </w:r>
      <w:r w:rsidR="00D63DF9">
        <w:t xml:space="preserve">operating theatre suites, ICU/HDU and </w:t>
      </w:r>
      <w:r w:rsidR="00F63E31">
        <w:t xml:space="preserve">various </w:t>
      </w:r>
      <w:r w:rsidR="0059350F">
        <w:t xml:space="preserve">subparts of </w:t>
      </w:r>
      <w:r w:rsidR="00D63DF9">
        <w:t>radiology</w:t>
      </w:r>
      <w:r w:rsidR="0059350F">
        <w:t>/imaging</w:t>
      </w:r>
      <w:r w:rsidR="00D63DF9">
        <w:t>.</w:t>
      </w:r>
      <w:r w:rsidR="00DA198F">
        <w:t xml:space="preserve"> Floor mounted pendant support frames </w:t>
      </w:r>
      <w:r w:rsidR="00B812AC">
        <w:t>have</w:t>
      </w:r>
      <w:r w:rsidR="003363CB">
        <w:t xml:space="preserve"> reasonably</w:t>
      </w:r>
      <w:r w:rsidR="00DA198F">
        <w:t xml:space="preserve"> common</w:t>
      </w:r>
      <w:r w:rsidR="003363CB">
        <w:t xml:space="preserve"> precedent, </w:t>
      </w:r>
      <w:r w:rsidR="006F3D3E">
        <w:t>where</w:t>
      </w:r>
      <w:r w:rsidR="003363CB">
        <w:t xml:space="preserve"> beams spanning </w:t>
      </w:r>
      <w:r w:rsidR="00F25A9B">
        <w:t>within the ceiling plenum</w:t>
      </w:r>
      <w:r w:rsidR="006F3D3E">
        <w:t xml:space="preserve"> are used to suspend equipment/pendants</w:t>
      </w:r>
      <w:r w:rsidR="00F25A9B">
        <w:t xml:space="preserve">, supported </w:t>
      </w:r>
      <w:r w:rsidR="00965DD5">
        <w:t>by posts located within the partitions</w:t>
      </w:r>
      <w:r w:rsidR="00CD2FDA">
        <w:t xml:space="preserve"> (</w:t>
      </w:r>
      <w:r w:rsidR="009119E9">
        <w:t xml:space="preserve">or possibly by the partition framing itself </w:t>
      </w:r>
      <w:r w:rsidR="00CD2FDA">
        <w:t>for lighter weight systems)</w:t>
      </w:r>
      <w:r w:rsidR="00965DD5">
        <w:t>.</w:t>
      </w:r>
      <w:r w:rsidR="00CD2FDA">
        <w:t xml:space="preserve"> </w:t>
      </w:r>
      <w:r w:rsidR="002A167B">
        <w:t xml:space="preserve">With this approach, the </w:t>
      </w:r>
      <w:r w:rsidR="0073715E">
        <w:t>location of vertical support</w:t>
      </w:r>
      <w:r w:rsidR="002A167B">
        <w:t xml:space="preserve"> within partitions </w:t>
      </w:r>
      <w:r w:rsidR="00EE0218">
        <w:t>means</w:t>
      </w:r>
      <w:r w:rsidR="002A167B">
        <w:t xml:space="preserve"> </w:t>
      </w:r>
      <w:r w:rsidR="00EE0218">
        <w:t xml:space="preserve">the potential for </w:t>
      </w:r>
      <w:r w:rsidR="002A167B">
        <w:t xml:space="preserve">excitation is </w:t>
      </w:r>
      <w:r w:rsidR="00EE0218">
        <w:t>reduced</w:t>
      </w:r>
      <w:r w:rsidR="002A167B">
        <w:t xml:space="preserve"> due to </w:t>
      </w:r>
      <w:r w:rsidR="00CF3C96">
        <w:t xml:space="preserve">the stiffening effect of partitions </w:t>
      </w:r>
      <w:r w:rsidR="00EE0218">
        <w:t>themselves</w:t>
      </w:r>
      <w:r w:rsidR="0087164C">
        <w:t>,</w:t>
      </w:r>
      <w:r w:rsidR="00EE0218">
        <w:t xml:space="preserve"> </w:t>
      </w:r>
      <w:r w:rsidR="00CF3C96">
        <w:t xml:space="preserve">and their damping contribution. </w:t>
      </w:r>
      <w:r w:rsidR="008D0613">
        <w:t>In addition,</w:t>
      </w:r>
      <w:r w:rsidR="005C510C">
        <w:t xml:space="preserve"> the most likely </w:t>
      </w:r>
      <w:r w:rsidR="008D0613">
        <w:t>s</w:t>
      </w:r>
      <w:r w:rsidR="00832829">
        <w:t xml:space="preserve">ources of vibration </w:t>
      </w:r>
      <w:r w:rsidR="00F677FD">
        <w:t>originate from the floor itself, and thus are more easily managed.</w:t>
      </w:r>
    </w:p>
    <w:p w14:paraId="5317D22D" w14:textId="7A7D2BE8" w:rsidR="00C153B6" w:rsidRDefault="00CF3C96"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 xml:space="preserve">However, </w:t>
      </w:r>
      <w:r w:rsidR="0052362F">
        <w:t xml:space="preserve">the spans and </w:t>
      </w:r>
      <w:r w:rsidR="00F86246">
        <w:t xml:space="preserve">seismic </w:t>
      </w:r>
      <w:r w:rsidR="0052362F">
        <w:t xml:space="preserve">bracing requirements can lead </w:t>
      </w:r>
      <w:r w:rsidR="00741BF3">
        <w:t>floor mounted support</w:t>
      </w:r>
      <w:r w:rsidR="0052362F">
        <w:t xml:space="preserve"> frames to be </w:t>
      </w:r>
      <w:r w:rsidR="00F86246">
        <w:t>costl</w:t>
      </w:r>
      <w:r w:rsidR="00F0658F">
        <w:t>y relative to soffit mounted options</w:t>
      </w:r>
      <w:r w:rsidR="005C510C">
        <w:t xml:space="preserve"> (</w:t>
      </w:r>
      <w:r w:rsidR="002103EC">
        <w:t xml:space="preserve">especially once </w:t>
      </w:r>
      <w:r w:rsidR="00EF5972">
        <w:t>frames are adapted to coordinate</w:t>
      </w:r>
      <w:r w:rsidR="002103EC">
        <w:t xml:space="preserve"> with </w:t>
      </w:r>
      <w:r w:rsidR="00EF5972">
        <w:t xml:space="preserve">partition </w:t>
      </w:r>
      <w:r w:rsidR="00173A57">
        <w:t>layouts and</w:t>
      </w:r>
      <w:r w:rsidR="00EF5972">
        <w:t xml:space="preserve"> openings</w:t>
      </w:r>
      <w:r w:rsidR="00173A57">
        <w:t>, components</w:t>
      </w:r>
      <w:r w:rsidR="00EF5972">
        <w:t xml:space="preserve"> and fixtures</w:t>
      </w:r>
      <w:r w:rsidR="008D0613">
        <w:t>, and the contents of the ceiling plenum</w:t>
      </w:r>
      <w:r w:rsidR="005C510C">
        <w:t>)</w:t>
      </w:r>
      <w:r w:rsidR="0052362F">
        <w:t>.</w:t>
      </w:r>
      <w:r w:rsidR="00F677FD">
        <w:t xml:space="preserve"> </w:t>
      </w:r>
      <w:r w:rsidR="00301130">
        <w:t>In these cases, s</w:t>
      </w:r>
      <w:r w:rsidR="00FD7D51">
        <w:t xml:space="preserve">offit mounted options </w:t>
      </w:r>
      <w:r w:rsidR="00F0658F">
        <w:t>should</w:t>
      </w:r>
      <w:r w:rsidR="00FD7D51">
        <w:t xml:space="preserve"> be considered</w:t>
      </w:r>
      <w:r w:rsidR="00E67BB4">
        <w:t xml:space="preserve">, especially where the floor systems </w:t>
      </w:r>
      <w:r w:rsidR="00B32822">
        <w:t xml:space="preserve">above </w:t>
      </w:r>
      <w:r w:rsidR="00E67BB4">
        <w:t xml:space="preserve">are </w:t>
      </w:r>
      <w:r w:rsidR="00655653">
        <w:t>heavier/stiffer</w:t>
      </w:r>
      <w:r w:rsidR="00E67BB4">
        <w:t xml:space="preserve"> and less prone to vibration</w:t>
      </w:r>
      <w:r w:rsidR="000E1AAF">
        <w:t xml:space="preserve"> transmission</w:t>
      </w:r>
      <w:r w:rsidR="00E67BB4">
        <w:t xml:space="preserve">, or where </w:t>
      </w:r>
      <w:r w:rsidR="00051B47">
        <w:t>the suspended equipment is of a non-critical nature</w:t>
      </w:r>
      <w:r w:rsidR="00EF2A17">
        <w:t xml:space="preserve"> and </w:t>
      </w:r>
      <w:r w:rsidR="00655653">
        <w:t>less sensitive</w:t>
      </w:r>
      <w:r w:rsidR="00EF2A17">
        <w:t xml:space="preserve"> to vibration</w:t>
      </w:r>
      <w:r w:rsidR="00FD7D51">
        <w:t>.</w:t>
      </w:r>
    </w:p>
    <w:p w14:paraId="17B9D17C" w14:textId="01464C57" w:rsidR="00FD7D51" w:rsidRDefault="00FD7D51"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 xml:space="preserve">The decision is </w:t>
      </w:r>
      <w:r w:rsidR="00A65373">
        <w:t xml:space="preserve">likely to be </w:t>
      </w:r>
      <w:r>
        <w:t xml:space="preserve">influenced by </w:t>
      </w:r>
      <w:r w:rsidR="002F07B9">
        <w:t xml:space="preserve">the NSE Seismic Design </w:t>
      </w:r>
      <w:r w:rsidR="00EA4071">
        <w:t>S</w:t>
      </w:r>
      <w:r w:rsidR="002F07B9">
        <w:t>trategy</w:t>
      </w:r>
      <w:r w:rsidR="00B22E28">
        <w:t xml:space="preserve">, </w:t>
      </w:r>
      <w:r w:rsidR="00C648D6">
        <w:t>because</w:t>
      </w:r>
      <w:r w:rsidR="00B22E28">
        <w:t xml:space="preserve"> the lateral bracing design and approach to</w:t>
      </w:r>
      <w:r w:rsidR="002B183C">
        <w:t xml:space="preserve"> accommodating</w:t>
      </w:r>
      <w:r w:rsidR="00B22E28">
        <w:t xml:space="preserve"> deformation</w:t>
      </w:r>
      <w:r w:rsidR="002B183C">
        <w:t xml:space="preserve">s has significant influence on the cost and practicality of floor mounted support frames. </w:t>
      </w:r>
      <w:r w:rsidR="000541F3">
        <w:t>The following considerations should be made</w:t>
      </w:r>
      <w:r w:rsidR="00051B47">
        <w:t>:</w:t>
      </w:r>
    </w:p>
    <w:p w14:paraId="643D35D0" w14:textId="570DCCE4" w:rsidR="00051B47" w:rsidRDefault="008062EF" w:rsidP="000827D5">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ind w:left="470" w:hanging="357"/>
      </w:pPr>
      <w:r>
        <w:lastRenderedPageBreak/>
        <w:t>A</w:t>
      </w:r>
      <w:r w:rsidR="00124999">
        <w:t xml:space="preserve"> coordinated </w:t>
      </w:r>
      <w:r>
        <w:t xml:space="preserve">approach </w:t>
      </w:r>
      <w:r w:rsidR="00914D07">
        <w:t>to the</w:t>
      </w:r>
      <w:r w:rsidR="00051B47">
        <w:t xml:space="preserve"> </w:t>
      </w:r>
      <w:r w:rsidR="00124999">
        <w:t xml:space="preserve">vertical support and </w:t>
      </w:r>
      <w:r w:rsidR="00914D07">
        <w:t>bracing of partition and ceiling systems</w:t>
      </w:r>
      <w:r w:rsidR="00D2740B">
        <w:t xml:space="preserve"> (</w:t>
      </w:r>
      <w:r w:rsidR="003866A2">
        <w:t xml:space="preserve">possibly </w:t>
      </w:r>
      <w:r>
        <w:t>benefitting from</w:t>
      </w:r>
      <w:r w:rsidR="003866A2">
        <w:t xml:space="preserve"> the</w:t>
      </w:r>
      <w:r w:rsidR="00D2740B">
        <w:t xml:space="preserve"> integration </w:t>
      </w:r>
      <w:r w:rsidR="003866A2">
        <w:t xml:space="preserve">of partition/ceiling systems </w:t>
      </w:r>
      <w:r w:rsidR="00D2740B">
        <w:t>with pendant support frames</w:t>
      </w:r>
      <w:r w:rsidR="003866A2">
        <w:t>)</w:t>
      </w:r>
      <w:r w:rsidR="00D2740B">
        <w:t>.</w:t>
      </w:r>
    </w:p>
    <w:p w14:paraId="44F19EF7" w14:textId="260D8A30" w:rsidR="00A3045C" w:rsidRDefault="007C0D93" w:rsidP="000827D5">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ind w:left="470" w:hanging="357"/>
      </w:pPr>
      <w:r>
        <w:t>Whether lateral bracing loads on frames are carried by bracing or portal action to the floor on which they are supported, or to posts which span simply between floors</w:t>
      </w:r>
      <w:r w:rsidR="00C824E1">
        <w:t xml:space="preserve"> (for lateral loads)</w:t>
      </w:r>
      <w:r>
        <w:t>.</w:t>
      </w:r>
    </w:p>
    <w:p w14:paraId="52DA5D75" w14:textId="16011AB2" w:rsidR="00124999" w:rsidRDefault="00124999" w:rsidP="000827D5">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ind w:left="470" w:hanging="357"/>
      </w:pPr>
      <w:r>
        <w:t xml:space="preserve">The approach for accommodating lateral </w:t>
      </w:r>
      <w:r w:rsidR="00850D06">
        <w:t xml:space="preserve">building </w:t>
      </w:r>
      <w:r>
        <w:t xml:space="preserve">deformations (and </w:t>
      </w:r>
      <w:r w:rsidR="00850D06">
        <w:t>limiting the</w:t>
      </w:r>
      <w:r w:rsidR="00C3383C">
        <w:t xml:space="preserve"> drifts</w:t>
      </w:r>
      <w:r>
        <w:t xml:space="preserve"> imposed </w:t>
      </w:r>
      <w:r w:rsidR="004F794B">
        <w:t>on deformation sensitive components).</w:t>
      </w:r>
    </w:p>
    <w:p w14:paraId="4519A7D0" w14:textId="74ECC499" w:rsidR="00914D07" w:rsidRDefault="00914D07" w:rsidP="000827D5">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ind w:left="470" w:hanging="357"/>
      </w:pPr>
      <w:r>
        <w:t xml:space="preserve">The approach to </w:t>
      </w:r>
      <w:r w:rsidR="00636BA2">
        <w:t xml:space="preserve">spatial </w:t>
      </w:r>
      <w:r>
        <w:t xml:space="preserve">coordination of </w:t>
      </w:r>
      <w:r w:rsidR="00091C19">
        <w:t xml:space="preserve">other NSE </w:t>
      </w:r>
      <w:r>
        <w:t>within the ceiling plenum</w:t>
      </w:r>
      <w:r w:rsidR="00636BA2">
        <w:t>, and their vertical support and bracing.</w:t>
      </w:r>
    </w:p>
    <w:p w14:paraId="786DCBE4" w14:textId="7D60ACAE" w:rsidR="00464D3E" w:rsidRDefault="00464D3E" w:rsidP="000827D5">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ind w:left="470" w:hanging="357"/>
      </w:pPr>
      <w:r>
        <w:t xml:space="preserve">Procurement timing of major medical equipment, </w:t>
      </w:r>
      <w:r w:rsidR="008121BF">
        <w:t>the adaptability of support framing and timing of equipment selection relative to</w:t>
      </w:r>
      <w:r w:rsidR="00091C19">
        <w:t xml:space="preserve"> other</w:t>
      </w:r>
      <w:r w:rsidR="008121BF">
        <w:t xml:space="preserve"> </w:t>
      </w:r>
      <w:r w:rsidR="00091C19">
        <w:t>construction works</w:t>
      </w:r>
      <w:r w:rsidR="008121BF">
        <w:t>.</w:t>
      </w:r>
    </w:p>
    <w:p w14:paraId="5EDBC916" w14:textId="01E82B1C" w:rsidR="004E423C" w:rsidRPr="00CF097C" w:rsidRDefault="00CC0B5A" w:rsidP="00A74D75">
      <w:pPr>
        <w:pStyle w:val="Section2Heading2"/>
      </w:pPr>
      <w:bookmarkStart w:id="205" w:name="_Ref170379979"/>
      <w:bookmarkStart w:id="206" w:name="_Toc203641962"/>
      <w:r w:rsidRPr="00CF097C">
        <w:t>Structural Performance in Fire</w:t>
      </w:r>
      <w:bookmarkEnd w:id="205"/>
      <w:bookmarkEnd w:id="206"/>
    </w:p>
    <w:p w14:paraId="338AA3D5" w14:textId="2028F225" w:rsidR="00670C79" w:rsidRPr="00661BB3" w:rsidRDefault="007E4EC5" w:rsidP="00666E06">
      <w:r w:rsidRPr="00661BB3">
        <w:t xml:space="preserve">The </w:t>
      </w:r>
      <w:r w:rsidR="007D5C79">
        <w:t>Health NZ</w:t>
      </w:r>
      <w:r w:rsidR="00CF097C" w:rsidRPr="00661BB3">
        <w:t xml:space="preserve"> </w:t>
      </w:r>
      <w:r w:rsidRPr="00661BB3">
        <w:t xml:space="preserve">Design Guidance Note </w:t>
      </w:r>
      <w:r w:rsidRPr="00661BB3">
        <w:rPr>
          <w:i/>
          <w:iCs/>
        </w:rPr>
        <w:t>Fire Engineering Design for New Zealand Public Hospitals</w:t>
      </w:r>
      <w:r w:rsidRPr="00661BB3">
        <w:t xml:space="preserve"> </w:t>
      </w:r>
      <w:r w:rsidR="005157CF" w:rsidRPr="00661BB3">
        <w:t xml:space="preserve">contains information on requirements for structural performance in fire and should be </w:t>
      </w:r>
      <w:r w:rsidR="006C670B" w:rsidRPr="00661BB3">
        <w:t>referred to</w:t>
      </w:r>
      <w:r w:rsidR="005157CF" w:rsidRPr="00661BB3">
        <w:t>.</w:t>
      </w:r>
      <w:r w:rsidR="006D18F5" w:rsidRPr="00661BB3">
        <w:t xml:space="preserve"> Key aspects </w:t>
      </w:r>
      <w:r w:rsidR="009754F2" w:rsidRPr="00661BB3">
        <w:t xml:space="preserve">for structural engineering audiences </w:t>
      </w:r>
      <w:r w:rsidR="006D18F5" w:rsidRPr="00661BB3">
        <w:t>are summarised in this section.</w:t>
      </w:r>
    </w:p>
    <w:p w14:paraId="3F4D1BEB" w14:textId="6715C7EA" w:rsidR="003A1FF8" w:rsidRPr="00661BB3" w:rsidRDefault="0026197F"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It </w:t>
      </w:r>
      <w:r w:rsidR="003F7C03" w:rsidRPr="00661BB3">
        <w:t>will</w:t>
      </w:r>
      <w:r w:rsidRPr="00661BB3">
        <w:t xml:space="preserve"> be useful for Structural Engineers to have general f</w:t>
      </w:r>
      <w:r w:rsidR="00DC1713" w:rsidRPr="00661BB3">
        <w:t xml:space="preserve">amiliarity with the </w:t>
      </w:r>
      <w:r w:rsidRPr="00661BB3">
        <w:t xml:space="preserve">content of the </w:t>
      </w:r>
      <w:r w:rsidR="00422861" w:rsidRPr="00661BB3">
        <w:t>f</w:t>
      </w:r>
      <w:r w:rsidR="00DC1713" w:rsidRPr="00661BB3">
        <w:t xml:space="preserve">ire </w:t>
      </w:r>
      <w:r w:rsidR="00422861" w:rsidRPr="00661BB3">
        <w:t>e</w:t>
      </w:r>
      <w:r w:rsidR="00DC1713" w:rsidRPr="00661BB3">
        <w:t xml:space="preserve">ngineering </w:t>
      </w:r>
      <w:r w:rsidR="00422861" w:rsidRPr="00661BB3">
        <w:t>d</w:t>
      </w:r>
      <w:r w:rsidR="00DC1713" w:rsidRPr="00661BB3">
        <w:t xml:space="preserve">esign </w:t>
      </w:r>
      <w:r w:rsidR="00422861" w:rsidRPr="00661BB3">
        <w:t>g</w:t>
      </w:r>
      <w:r w:rsidR="00DC1713" w:rsidRPr="00661BB3">
        <w:t xml:space="preserve">uidance </w:t>
      </w:r>
      <w:r w:rsidR="00422861" w:rsidRPr="00661BB3">
        <w:t>n</w:t>
      </w:r>
      <w:r w:rsidR="00DC1713" w:rsidRPr="00661BB3">
        <w:t>ote</w:t>
      </w:r>
      <w:r w:rsidRPr="00661BB3">
        <w:t>.</w:t>
      </w:r>
      <w:r w:rsidR="00632928">
        <w:t xml:space="preserve"> </w:t>
      </w:r>
      <w:r w:rsidR="00F27BE8" w:rsidRPr="00661BB3">
        <w:t>However,</w:t>
      </w:r>
      <w:r w:rsidRPr="00661BB3">
        <w:t xml:space="preserve"> i</w:t>
      </w:r>
      <w:r w:rsidR="0021022C" w:rsidRPr="00661BB3">
        <w:t xml:space="preserve">t is anticipated that </w:t>
      </w:r>
      <w:r w:rsidR="00F27BE8" w:rsidRPr="00661BB3">
        <w:t>document would be applied predominantly by fire engineers (including structure-fire engineering specialists</w:t>
      </w:r>
      <w:r w:rsidR="00564E0B" w:rsidRPr="00661BB3">
        <w:t>, where appropriate</w:t>
      </w:r>
      <w:r w:rsidR="00F27BE8" w:rsidRPr="00661BB3">
        <w:t>)</w:t>
      </w:r>
      <w:r w:rsidR="00EE6337" w:rsidRPr="00661BB3">
        <w:t xml:space="preserve">, and requirements for structural design conveyed to structural engineers via the </w:t>
      </w:r>
      <w:r w:rsidR="00EE6337" w:rsidRPr="00661BB3">
        <w:rPr>
          <w:iCs/>
        </w:rPr>
        <w:t>Fire Engineering Brief</w:t>
      </w:r>
      <w:r w:rsidR="00EE6337" w:rsidRPr="00661BB3">
        <w:t xml:space="preserve"> process (as summarised below).</w:t>
      </w:r>
    </w:p>
    <w:p w14:paraId="35D8B3A6" w14:textId="52DFD373" w:rsidR="00F732CF" w:rsidRPr="00661BB3" w:rsidRDefault="00EE6337"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T</w:t>
      </w:r>
      <w:r w:rsidR="00F732CF" w:rsidRPr="00661BB3">
        <w:t xml:space="preserve">he </w:t>
      </w:r>
      <w:r w:rsidR="003A1FF8" w:rsidRPr="00661BB3">
        <w:t xml:space="preserve">intent of this section is to </w:t>
      </w:r>
      <w:r w:rsidR="00802481" w:rsidRPr="00661BB3">
        <w:t>clarify</w:t>
      </w:r>
      <w:r w:rsidR="00976A60" w:rsidRPr="00661BB3">
        <w:t xml:space="preserve"> (for structural engineers)</w:t>
      </w:r>
      <w:r w:rsidR="00AC57E8" w:rsidRPr="00661BB3">
        <w:t xml:space="preserve"> </w:t>
      </w:r>
      <w:r w:rsidR="00096730">
        <w:t xml:space="preserve">the requirements of </w:t>
      </w:r>
      <w:r w:rsidR="00AC57E8" w:rsidRPr="00661BB3">
        <w:t>the</w:t>
      </w:r>
      <w:r w:rsidR="00802481" w:rsidRPr="00661BB3">
        <w:t xml:space="preserve"> </w:t>
      </w:r>
      <w:r w:rsidR="0035478F" w:rsidRPr="00661BB3">
        <w:t>Building Code</w:t>
      </w:r>
      <w:r w:rsidR="00AC57E8" w:rsidRPr="00661BB3">
        <w:t xml:space="preserve"> </w:t>
      </w:r>
      <w:r w:rsidR="00D17A00" w:rsidRPr="00661BB3">
        <w:t>for structural performance in fire</w:t>
      </w:r>
      <w:r w:rsidR="00976A60" w:rsidRPr="00661BB3">
        <w:t xml:space="preserve">, </w:t>
      </w:r>
      <w:r w:rsidR="00386425" w:rsidRPr="00661BB3">
        <w:t xml:space="preserve">background to </w:t>
      </w:r>
      <w:r w:rsidR="005E13F0" w:rsidRPr="00661BB3">
        <w:t xml:space="preserve">some of </w:t>
      </w:r>
      <w:r w:rsidR="00386425" w:rsidRPr="00661BB3">
        <w:t>the requirements</w:t>
      </w:r>
      <w:r w:rsidR="00AC57E8" w:rsidRPr="00661BB3">
        <w:t xml:space="preserve"> </w:t>
      </w:r>
      <w:r w:rsidR="005E13F0" w:rsidRPr="00661BB3">
        <w:t xml:space="preserve">relevant to hospital building design, </w:t>
      </w:r>
      <w:r w:rsidR="00AC57E8" w:rsidRPr="00661BB3">
        <w:t>and</w:t>
      </w:r>
      <w:r w:rsidR="00386425" w:rsidRPr="00661BB3">
        <w:t xml:space="preserve"> </w:t>
      </w:r>
      <w:r w:rsidR="0035478F" w:rsidRPr="00661BB3">
        <w:t>typical compliance pathways</w:t>
      </w:r>
      <w:r w:rsidR="00AC57E8" w:rsidRPr="00661BB3">
        <w:t>.</w:t>
      </w:r>
    </w:p>
    <w:p w14:paraId="5396F8DC" w14:textId="77777777" w:rsidR="00EA756B" w:rsidRPr="00A74D75" w:rsidRDefault="00EA756B" w:rsidP="00D56CAE">
      <w:pPr>
        <w:pStyle w:val="BodyHeading"/>
        <w:rPr>
          <w:color w:val="0C818E"/>
        </w:rPr>
      </w:pPr>
      <w:r w:rsidRPr="00A74D75">
        <w:rPr>
          <w:color w:val="0C818E"/>
        </w:rPr>
        <w:t>Requirements of the New Zealand Building Code</w:t>
      </w:r>
    </w:p>
    <w:p w14:paraId="61D5E959" w14:textId="13CBF3D2" w:rsidR="00EA756B" w:rsidRPr="00661BB3" w:rsidRDefault="00EA756B" w:rsidP="00666E06">
      <w:r w:rsidRPr="00661BB3">
        <w:t xml:space="preserve">The New Zealand Building Code contains requirements relevant to structural </w:t>
      </w:r>
      <w:r w:rsidR="00692699" w:rsidRPr="00661BB3">
        <w:t>performance in fire</w:t>
      </w:r>
      <w:r w:rsidRPr="00661BB3">
        <w:t xml:space="preserve"> in two </w:t>
      </w:r>
      <w:r w:rsidR="00E9745C" w:rsidRPr="00661BB3">
        <w:t>clauses</w:t>
      </w:r>
      <w:r w:rsidRPr="00661BB3">
        <w:t>:</w:t>
      </w:r>
    </w:p>
    <w:p w14:paraId="6665E02F" w14:textId="7FF7AC5B" w:rsidR="00EA756B" w:rsidRPr="00661BB3" w:rsidRDefault="00EA756B" w:rsidP="004D55F1">
      <w:pPr>
        <w:pStyle w:val="ListParagraph"/>
        <w:numPr>
          <w:ilvl w:val="0"/>
          <w:numId w:val="76"/>
        </w:numPr>
        <w:ind w:left="360"/>
      </w:pPr>
      <w:r w:rsidRPr="00661BB3">
        <w:t>NZBC Clause B1</w:t>
      </w:r>
      <w:r w:rsidR="00AF4321" w:rsidRPr="00661BB3">
        <w:t xml:space="preserve"> Structure</w:t>
      </w:r>
      <w:r w:rsidRPr="00661BB3">
        <w:t xml:space="preserve"> (specifically, B1.3.3 requires fire to be included in considerations of structural stability, </w:t>
      </w:r>
      <w:r w:rsidR="0014727E" w:rsidRPr="00661BB3">
        <w:t>to</w:t>
      </w:r>
      <w:r w:rsidRPr="00661BB3">
        <w:t xml:space="preserve"> meet Building Code objectives).</w:t>
      </w:r>
    </w:p>
    <w:p w14:paraId="6D5657A5" w14:textId="11723F47" w:rsidR="00EA756B" w:rsidRPr="00661BB3" w:rsidRDefault="00EA756B" w:rsidP="004D55F1">
      <w:pPr>
        <w:pStyle w:val="ListParagraph"/>
        <w:numPr>
          <w:ilvl w:val="0"/>
          <w:numId w:val="76"/>
        </w:numPr>
        <w:ind w:left="360"/>
      </w:pPr>
      <w:r w:rsidRPr="00661BB3">
        <w:t xml:space="preserve">NZBC Clause C6 </w:t>
      </w:r>
      <w:r w:rsidR="00B95C7D" w:rsidRPr="00661BB3">
        <w:t>Structural Stability</w:t>
      </w:r>
      <w:r w:rsidRPr="00661BB3">
        <w:t xml:space="preserve">, </w:t>
      </w:r>
      <w:r w:rsidR="00D675B4" w:rsidRPr="00661BB3">
        <w:t>which contributes to the objectives stated in C1 Protection from Fire</w:t>
      </w:r>
      <w:r w:rsidRPr="00661BB3">
        <w:t>.</w:t>
      </w:r>
    </w:p>
    <w:p w14:paraId="246D365A" w14:textId="0C096E29" w:rsidR="00EA756B" w:rsidRPr="00661BB3" w:rsidRDefault="00EA756B" w:rsidP="004D55F1">
      <w:pPr>
        <w:pStyle w:val="ListParagraph"/>
        <w:numPr>
          <w:ilvl w:val="1"/>
          <w:numId w:val="96"/>
        </w:numPr>
        <w:ind w:left="993"/>
      </w:pPr>
      <w:r w:rsidRPr="00661BB3">
        <w:t>Safeguard people from an unacceptable risk of injury or illness caused by fire,</w:t>
      </w:r>
    </w:p>
    <w:p w14:paraId="0CCAD345" w14:textId="60D3D14A" w:rsidR="00EA756B" w:rsidRPr="00661BB3" w:rsidRDefault="00EA756B" w:rsidP="004D55F1">
      <w:pPr>
        <w:pStyle w:val="ListParagraph"/>
        <w:numPr>
          <w:ilvl w:val="1"/>
          <w:numId w:val="96"/>
        </w:numPr>
        <w:ind w:left="993"/>
      </w:pPr>
      <w:r w:rsidRPr="00661BB3">
        <w:t>Protect other property from damage caused by fire, and</w:t>
      </w:r>
    </w:p>
    <w:p w14:paraId="5C17B6DC" w14:textId="3910FF24" w:rsidR="00EA756B" w:rsidRPr="00661BB3" w:rsidRDefault="00EA756B" w:rsidP="004D55F1">
      <w:pPr>
        <w:pStyle w:val="ListParagraph"/>
        <w:numPr>
          <w:ilvl w:val="1"/>
          <w:numId w:val="96"/>
        </w:numPr>
        <w:ind w:left="993"/>
      </w:pPr>
      <w:r w:rsidRPr="00661BB3">
        <w:t>Facilitate firefighting and rescue operations.</w:t>
      </w:r>
    </w:p>
    <w:p w14:paraId="7D76798D" w14:textId="1E73635F" w:rsidR="002A7254" w:rsidRPr="00661BB3" w:rsidRDefault="00C13051" w:rsidP="00666E06">
      <w:r w:rsidRPr="00661BB3">
        <w:t>Compliance with</w:t>
      </w:r>
      <w:r w:rsidR="00EA756B" w:rsidRPr="00661BB3">
        <w:t xml:space="preserve"> NZBC Clause B1 can be </w:t>
      </w:r>
      <w:r w:rsidR="001006B2" w:rsidRPr="00661BB3">
        <w:t>achieved by applying</w:t>
      </w:r>
      <w:r w:rsidR="00EA756B" w:rsidRPr="00661BB3">
        <w:t xml:space="preserve"> cited standards </w:t>
      </w:r>
      <w:r w:rsidR="001006B2" w:rsidRPr="00661BB3">
        <w:t>in the deemed-to-satisfy</w:t>
      </w:r>
      <w:r w:rsidR="00EA756B" w:rsidRPr="00661BB3">
        <w:t xml:space="preserve"> B1/VM1. For example, </w:t>
      </w:r>
      <w:r w:rsidR="006A7FB5" w:rsidRPr="00661BB3">
        <w:t>AS/</w:t>
      </w:r>
      <w:r w:rsidR="00EA756B" w:rsidRPr="00661BB3">
        <w:t xml:space="preserve">NZS 1170.0 Cl. 4.2.4 (as amended by </w:t>
      </w:r>
      <w:r w:rsidR="00EA756B" w:rsidRPr="00661BB3">
        <w:lastRenderedPageBreak/>
        <w:t>Section 2.2.4 of B1/VM1</w:t>
      </w:r>
      <w:bookmarkStart w:id="207" w:name="_Ref166582974"/>
      <w:r w:rsidR="00EA756B" w:rsidRPr="00661BB3">
        <w:rPr>
          <w:rStyle w:val="FootnoteReference"/>
        </w:rPr>
        <w:footnoteReference w:id="28"/>
      </w:r>
      <w:bookmarkEnd w:id="207"/>
      <w:r w:rsidR="00EA756B" w:rsidRPr="00661BB3">
        <w:t>)</w:t>
      </w:r>
      <w:r w:rsidR="0035752B" w:rsidRPr="00661BB3">
        <w:t xml:space="preserve"> </w:t>
      </w:r>
      <w:r w:rsidR="00BA25BA" w:rsidRPr="00661BB3">
        <w:t>states the combination of actions for the fire design situation at the Ultimate Limit State</w:t>
      </w:r>
      <w:r w:rsidR="00EA756B" w:rsidRPr="00661BB3">
        <w:t>.</w:t>
      </w:r>
      <w:r w:rsidR="004352BF" w:rsidRPr="00661BB3">
        <w:t xml:space="preserve"> </w:t>
      </w:r>
      <w:r w:rsidR="002F4913" w:rsidRPr="00661BB3">
        <w:t>Whil</w:t>
      </w:r>
      <w:r w:rsidR="00743D15" w:rsidRPr="00661BB3">
        <w:t>st</w:t>
      </w:r>
      <w:r w:rsidR="002F4913" w:rsidRPr="00661BB3">
        <w:t xml:space="preserve"> th</w:t>
      </w:r>
      <w:r w:rsidR="009D11A9" w:rsidRPr="00661BB3">
        <w:t xml:space="preserve">e suite of </w:t>
      </w:r>
      <w:r w:rsidR="002F4913" w:rsidRPr="00661BB3">
        <w:t>combination of actions contains the “thermal actions arising from fire”, this action is undefined by AS/NZS 1170 and B1/VM1 (the cited standards only contain various methods to establish fire resistance). Therefore, this action must be defined.</w:t>
      </w:r>
    </w:p>
    <w:p w14:paraId="14CF09FD" w14:textId="580E6167" w:rsidR="00EA756B" w:rsidRPr="00661BB3" w:rsidRDefault="009D4149" w:rsidP="00666E06">
      <w:r w:rsidRPr="00661BB3">
        <w:t>Usually</w:t>
      </w:r>
      <w:r w:rsidR="00922022" w:rsidRPr="00661BB3">
        <w:t>, input</w:t>
      </w:r>
      <w:r w:rsidR="00BA0990" w:rsidRPr="00661BB3">
        <w:t xml:space="preserve"> on demands</w:t>
      </w:r>
      <w:r w:rsidR="00922022" w:rsidRPr="00661BB3">
        <w:t xml:space="preserve"> is</w:t>
      </w:r>
      <w:r w:rsidRPr="00661BB3">
        <w:t xml:space="preserve"> confirmed by the project</w:t>
      </w:r>
      <w:r w:rsidR="00922022" w:rsidRPr="00661BB3">
        <w:t>’</w:t>
      </w:r>
      <w:r w:rsidRPr="00661BB3">
        <w:t xml:space="preserve">s </w:t>
      </w:r>
      <w:r w:rsidRPr="00661BB3">
        <w:rPr>
          <w:i/>
          <w:iCs/>
        </w:rPr>
        <w:t>Fire Engineering Brief</w:t>
      </w:r>
      <w:r w:rsidR="009A7DA4" w:rsidRPr="00661BB3">
        <w:t xml:space="preserve"> </w:t>
      </w:r>
      <w:r w:rsidR="00544EC8" w:rsidRPr="00661BB3">
        <w:t xml:space="preserve">process </w:t>
      </w:r>
      <w:r w:rsidR="002665DD" w:rsidRPr="00661BB3">
        <w:t>(</w:t>
      </w:r>
      <w:r w:rsidR="009A7DA4" w:rsidRPr="00661BB3">
        <w:t xml:space="preserve">by the </w:t>
      </w:r>
      <w:r w:rsidR="009A7DA4" w:rsidRPr="00661BB3">
        <w:rPr>
          <w:i/>
          <w:iCs/>
        </w:rPr>
        <w:t>Fire Engineering Strategy</w:t>
      </w:r>
      <w:r w:rsidR="009A7DA4" w:rsidRPr="00661BB3">
        <w:t xml:space="preserve">, or </w:t>
      </w:r>
      <w:r w:rsidR="009A7DA4" w:rsidRPr="00661BB3">
        <w:rPr>
          <w:i/>
          <w:iCs/>
        </w:rPr>
        <w:t>Fire</w:t>
      </w:r>
      <w:r w:rsidR="00E04CC1" w:rsidRPr="00661BB3">
        <w:rPr>
          <w:i/>
          <w:iCs/>
        </w:rPr>
        <w:t xml:space="preserve"> Engineering</w:t>
      </w:r>
      <w:r w:rsidR="009A7DA4" w:rsidRPr="00661BB3">
        <w:rPr>
          <w:i/>
          <w:iCs/>
        </w:rPr>
        <w:t xml:space="preserve"> Report</w:t>
      </w:r>
      <w:r w:rsidR="009A7DA4" w:rsidRPr="00661BB3">
        <w:t>)</w:t>
      </w:r>
      <w:r w:rsidR="00922022" w:rsidRPr="00661BB3">
        <w:t xml:space="preserve"> which is developed by the Fire Engineer</w:t>
      </w:r>
      <w:r w:rsidR="00273F32" w:rsidRPr="00661BB3">
        <w:rPr>
          <w:rStyle w:val="FootnoteReference"/>
        </w:rPr>
        <w:footnoteReference w:id="29"/>
      </w:r>
      <w:r w:rsidR="00466F5E" w:rsidRPr="00661BB3">
        <w:t>.</w:t>
      </w:r>
      <w:r w:rsidR="000F5B3A" w:rsidRPr="00661BB3">
        <w:t xml:space="preserve"> This input via the </w:t>
      </w:r>
      <w:r w:rsidR="000F5B3A" w:rsidRPr="00661BB3">
        <w:rPr>
          <w:i/>
          <w:iCs/>
        </w:rPr>
        <w:t>Fire Engineering Brief</w:t>
      </w:r>
      <w:r w:rsidR="000F5B3A" w:rsidRPr="00661BB3">
        <w:t xml:space="preserve"> </w:t>
      </w:r>
      <w:r w:rsidR="004F1192" w:rsidRPr="00661BB3">
        <w:t xml:space="preserve">process </w:t>
      </w:r>
      <w:r w:rsidR="00DA2CBE" w:rsidRPr="00661BB3">
        <w:t xml:space="preserve">is what </w:t>
      </w:r>
      <w:r w:rsidR="000F5B3A" w:rsidRPr="00661BB3">
        <w:t xml:space="preserve">allows B1/VM1 to be </w:t>
      </w:r>
      <w:r w:rsidR="009D53B8" w:rsidRPr="00661BB3">
        <w:t>applie</w:t>
      </w:r>
      <w:r w:rsidR="00356580" w:rsidRPr="00661BB3">
        <w:t xml:space="preserve">d. It also </w:t>
      </w:r>
      <w:r w:rsidR="00C61DA2" w:rsidRPr="00661BB3">
        <w:t xml:space="preserve">allows any other requirements for structural performance to be conveyed to the </w:t>
      </w:r>
      <w:r w:rsidR="00622B86" w:rsidRPr="00661BB3">
        <w:t>S</w:t>
      </w:r>
      <w:r w:rsidR="00C61DA2" w:rsidRPr="00661BB3">
        <w:t>tructur</w:t>
      </w:r>
      <w:r w:rsidR="00622B86" w:rsidRPr="00661BB3">
        <w:t>al Engineer</w:t>
      </w:r>
      <w:r w:rsidR="00C61DA2" w:rsidRPr="00661BB3">
        <w:t xml:space="preserve">, if necessary, </w:t>
      </w:r>
      <w:r w:rsidR="00622B86" w:rsidRPr="00661BB3">
        <w:t>so that the</w:t>
      </w:r>
      <w:r w:rsidR="00B576CB" w:rsidRPr="00661BB3">
        <w:t xml:space="preserve"> building fire engineering </w:t>
      </w:r>
      <w:r w:rsidR="00622B86" w:rsidRPr="00661BB3">
        <w:t xml:space="preserve">design </w:t>
      </w:r>
      <w:r w:rsidR="00B576CB" w:rsidRPr="00661BB3">
        <w:t xml:space="preserve">overall </w:t>
      </w:r>
      <w:r w:rsidR="00622B86" w:rsidRPr="00661BB3">
        <w:t>complies</w:t>
      </w:r>
      <w:r w:rsidR="00C61DA2" w:rsidRPr="00661BB3">
        <w:t xml:space="preserve"> with NZBC Clause</w:t>
      </w:r>
      <w:r w:rsidR="005343E3" w:rsidRPr="00661BB3">
        <w:t>s</w:t>
      </w:r>
      <w:r w:rsidR="00C61DA2" w:rsidRPr="00661BB3">
        <w:t xml:space="preserve"> C</w:t>
      </w:r>
      <w:r w:rsidR="005343E3" w:rsidRPr="00661BB3">
        <w:t>1 to C6</w:t>
      </w:r>
      <w:r w:rsidR="000F5B3A" w:rsidRPr="00661BB3">
        <w:t>.</w:t>
      </w:r>
    </w:p>
    <w:p w14:paraId="274A56FC" w14:textId="0F865BC1" w:rsidR="0035752B" w:rsidRPr="00661BB3" w:rsidRDefault="004F1192" w:rsidP="00666E06">
      <w:r w:rsidRPr="00661BB3">
        <w:t xml:space="preserve">Considering </w:t>
      </w:r>
      <w:r w:rsidR="005C1410" w:rsidRPr="00661BB3">
        <w:t xml:space="preserve">all </w:t>
      </w:r>
      <w:r w:rsidR="003E11B3" w:rsidRPr="00661BB3">
        <w:t>objectives of NZBC Clause C Protection from Fire</w:t>
      </w:r>
      <w:r w:rsidR="00F52372" w:rsidRPr="00661BB3">
        <w:t xml:space="preserve"> listed above</w:t>
      </w:r>
      <w:r w:rsidR="003E11B3" w:rsidRPr="00661BB3">
        <w:t xml:space="preserve"> (</w:t>
      </w:r>
      <w:r w:rsidRPr="00661BB3">
        <w:t>not just structural aspects</w:t>
      </w:r>
      <w:r w:rsidR="003E11B3" w:rsidRPr="00661BB3">
        <w:t>)</w:t>
      </w:r>
      <w:r w:rsidRPr="00661BB3">
        <w:t>, t</w:t>
      </w:r>
      <w:r w:rsidR="00E93091" w:rsidRPr="00661BB3">
        <w:t>he</w:t>
      </w:r>
      <w:r w:rsidRPr="00661BB3">
        <w:t xml:space="preserve"> </w:t>
      </w:r>
      <w:r w:rsidR="00E93091" w:rsidRPr="00661BB3">
        <w:t>requirements of Clauses C1 to C</w:t>
      </w:r>
      <w:r w:rsidR="005343E3" w:rsidRPr="00661BB3">
        <w:t xml:space="preserve">6 </w:t>
      </w:r>
      <w:r w:rsidR="008976DC" w:rsidRPr="00661BB3">
        <w:t>can be met for ordinary buildings</w:t>
      </w:r>
      <w:r w:rsidR="00BE6F71" w:rsidRPr="00661BB3">
        <w:t xml:space="preserve"> by </w:t>
      </w:r>
      <w:r w:rsidR="00324EAB" w:rsidRPr="00661BB3">
        <w:t>applying</w:t>
      </w:r>
      <w:r w:rsidR="009647D8" w:rsidRPr="00661BB3">
        <w:t xml:space="preserve"> </w:t>
      </w:r>
      <w:r w:rsidR="001B35AC" w:rsidRPr="00661BB3">
        <w:t xml:space="preserve">Acceptable Solution C/AS2 or </w:t>
      </w:r>
      <w:r w:rsidR="009647D8" w:rsidRPr="00661BB3">
        <w:t>Verification Method</w:t>
      </w:r>
      <w:r w:rsidR="00E93433" w:rsidRPr="00661BB3">
        <w:t xml:space="preserve"> C/VM2</w:t>
      </w:r>
      <w:r w:rsidR="009647D8" w:rsidRPr="00661BB3">
        <w:t xml:space="preserve"> </w:t>
      </w:r>
      <w:r w:rsidR="001B35AC" w:rsidRPr="00661BB3">
        <w:t>(</w:t>
      </w:r>
      <w:r w:rsidR="002F7090" w:rsidRPr="00661BB3">
        <w:t>which involves</w:t>
      </w:r>
      <w:r w:rsidR="001B35AC" w:rsidRPr="00661BB3">
        <w:t xml:space="preserve"> </w:t>
      </w:r>
      <w:r w:rsidR="00146427" w:rsidRPr="00661BB3">
        <w:t>testing</w:t>
      </w:r>
      <w:r w:rsidR="00D57CE7" w:rsidRPr="00661BB3">
        <w:t xml:space="preserve"> a trial concept design</w:t>
      </w:r>
      <w:r w:rsidR="001B35AC" w:rsidRPr="00661BB3">
        <w:t xml:space="preserve"> </w:t>
      </w:r>
      <w:r w:rsidR="00C97517" w:rsidRPr="00661BB3">
        <w:t xml:space="preserve">through a number of prescribed </w:t>
      </w:r>
      <w:r w:rsidR="00E574AB" w:rsidRPr="00661BB3">
        <w:t>‘</w:t>
      </w:r>
      <w:r w:rsidR="007023F6" w:rsidRPr="00661BB3">
        <w:t>Design Scenarios</w:t>
      </w:r>
      <w:r w:rsidR="00E574AB" w:rsidRPr="00661BB3">
        <w:t>’</w:t>
      </w:r>
      <w:r w:rsidR="007023F6" w:rsidRPr="00661BB3">
        <w:t xml:space="preserve"> </w:t>
      </w:r>
      <w:r w:rsidR="002F7090" w:rsidRPr="00661BB3">
        <w:t>until an acceptable result is achieved</w:t>
      </w:r>
      <w:r w:rsidR="0010230C" w:rsidRPr="00661BB3">
        <w:t xml:space="preserve"> </w:t>
      </w:r>
      <w:r w:rsidR="00E574AB" w:rsidRPr="00661BB3">
        <w:t>for</w:t>
      </w:r>
      <w:r w:rsidR="0010230C" w:rsidRPr="00661BB3">
        <w:t xml:space="preserve"> each </w:t>
      </w:r>
      <w:r w:rsidR="0004375E" w:rsidRPr="00661BB3">
        <w:t>scenario</w:t>
      </w:r>
      <w:r w:rsidR="001B35AC" w:rsidRPr="00661BB3">
        <w:t>)</w:t>
      </w:r>
      <w:r w:rsidR="009647D8" w:rsidRPr="00661BB3">
        <w:t>.</w:t>
      </w:r>
      <w:r w:rsidR="004D167B" w:rsidRPr="00661BB3">
        <w:t xml:space="preserve"> </w:t>
      </w:r>
      <w:r w:rsidR="0035752B" w:rsidRPr="00661BB3">
        <w:t xml:space="preserve">As </w:t>
      </w:r>
      <w:r w:rsidR="00647DDC" w:rsidRPr="00661BB3">
        <w:t>most</w:t>
      </w:r>
      <w:r w:rsidR="005E6289" w:rsidRPr="00661BB3">
        <w:t xml:space="preserve"> </w:t>
      </w:r>
      <w:r w:rsidR="0035752B" w:rsidRPr="00661BB3">
        <w:t xml:space="preserve">hospital buildings are not within the scope </w:t>
      </w:r>
      <w:r w:rsidR="00374108" w:rsidRPr="00661BB3">
        <w:t xml:space="preserve">of </w:t>
      </w:r>
      <w:r w:rsidR="0035752B" w:rsidRPr="00661BB3">
        <w:t xml:space="preserve">Verification Method C/VM2 nor Acceptable Solution C/AS2, </w:t>
      </w:r>
      <w:r w:rsidR="00C45A43" w:rsidRPr="00661BB3">
        <w:t xml:space="preserve">an Alternative Solution is used to </w:t>
      </w:r>
      <w:r w:rsidR="00985601" w:rsidRPr="00661BB3">
        <w:t>demonstrate</w:t>
      </w:r>
      <w:r w:rsidR="00F047CA" w:rsidRPr="00661BB3">
        <w:t xml:space="preserve"> </w:t>
      </w:r>
      <w:r w:rsidR="00985601" w:rsidRPr="00661BB3">
        <w:t>that</w:t>
      </w:r>
      <w:r w:rsidR="00F047CA" w:rsidRPr="00661BB3">
        <w:t xml:space="preserve"> the</w:t>
      </w:r>
      <w:r w:rsidR="00E557CA" w:rsidRPr="00661BB3">
        <w:t xml:space="preserve"> design (as conveyed via the</w:t>
      </w:r>
      <w:r w:rsidR="00E707A2" w:rsidRPr="00661BB3">
        <w:t xml:space="preserve"> </w:t>
      </w:r>
      <w:r w:rsidR="00E707A2" w:rsidRPr="00661BB3">
        <w:rPr>
          <w:i/>
          <w:iCs/>
        </w:rPr>
        <w:t>Fire Engineering Brief</w:t>
      </w:r>
      <w:r w:rsidR="00945919" w:rsidRPr="00661BB3">
        <w:rPr>
          <w:i/>
          <w:iCs/>
        </w:rPr>
        <w:t xml:space="preserve"> </w:t>
      </w:r>
      <w:r w:rsidR="00945919" w:rsidRPr="00661BB3">
        <w:t>process</w:t>
      </w:r>
      <w:r w:rsidR="00E557CA" w:rsidRPr="00661BB3">
        <w:t>)</w:t>
      </w:r>
      <w:r w:rsidR="00E707A2" w:rsidRPr="00661BB3">
        <w:t xml:space="preserve"> </w:t>
      </w:r>
      <w:r w:rsidR="00985601" w:rsidRPr="00661BB3">
        <w:t xml:space="preserve">complies </w:t>
      </w:r>
      <w:r w:rsidR="00F047CA" w:rsidRPr="00661BB3">
        <w:t>with NZBC Clauses C1 to C6</w:t>
      </w:r>
      <w:r w:rsidR="00A25E02" w:rsidRPr="00661BB3">
        <w:t xml:space="preserve">. This </w:t>
      </w:r>
      <w:r w:rsidR="00EB0D2E" w:rsidRPr="00661BB3">
        <w:t xml:space="preserve">may include </w:t>
      </w:r>
      <w:r w:rsidR="00977B5F" w:rsidRPr="00661BB3">
        <w:t xml:space="preserve">continuing to apply </w:t>
      </w:r>
      <w:r w:rsidR="003A1818" w:rsidRPr="00661BB3">
        <w:t xml:space="preserve">the </w:t>
      </w:r>
      <w:r w:rsidR="00977B5F" w:rsidRPr="00661BB3">
        <w:t xml:space="preserve">parts of </w:t>
      </w:r>
      <w:r w:rsidR="00487819" w:rsidRPr="00661BB3">
        <w:t xml:space="preserve">the available C1-C6 </w:t>
      </w:r>
      <w:r w:rsidR="00CE3B4E" w:rsidRPr="00661BB3">
        <w:t>compliance documents</w:t>
      </w:r>
      <w:r w:rsidR="00166562" w:rsidRPr="00661BB3">
        <w:t xml:space="preserve"> (such as C/VM2)</w:t>
      </w:r>
      <w:r w:rsidR="00A25E02" w:rsidRPr="00661BB3">
        <w:t xml:space="preserve"> that remain applicable and appropriate</w:t>
      </w:r>
      <w:r w:rsidR="0035752B" w:rsidRPr="00661BB3">
        <w:t>.</w:t>
      </w:r>
    </w:p>
    <w:p w14:paraId="23CE3C36" w14:textId="782AB0FB" w:rsidR="0035752B" w:rsidRPr="00661BB3" w:rsidRDefault="0035752B" w:rsidP="00666E06">
      <w:r w:rsidRPr="00661BB3">
        <w:t xml:space="preserve">The </w:t>
      </w:r>
      <w:r w:rsidRPr="00661BB3">
        <w:rPr>
          <w:i/>
          <w:iCs/>
        </w:rPr>
        <w:t>Fire Engineering Design for New Zealand Public Hospitals</w:t>
      </w:r>
      <w:r w:rsidRPr="00661BB3">
        <w:t xml:space="preserve"> Design Guidance Note provide</w:t>
      </w:r>
      <w:r w:rsidR="00B96F03">
        <w:t>s</w:t>
      </w:r>
      <w:r w:rsidRPr="00661BB3">
        <w:t xml:space="preserve"> reasonable grounds for Alternative Solutions to Building Code compliance that are aligned with the intent of the available </w:t>
      </w:r>
      <w:r w:rsidR="006E6A8F" w:rsidRPr="00661BB3">
        <w:t xml:space="preserve">C1 to C6 </w:t>
      </w:r>
      <w:r w:rsidRPr="00661BB3">
        <w:t xml:space="preserve">Acceptable Solutions and Verification Methods and which consider the necessary aspects specific to hospital contexts and </w:t>
      </w:r>
      <w:r w:rsidR="00977B5F" w:rsidRPr="00661BB3">
        <w:t>its</w:t>
      </w:r>
      <w:r w:rsidRPr="00661BB3">
        <w:t xml:space="preserve"> specifically developed </w:t>
      </w:r>
      <w:r w:rsidRPr="00661BB3">
        <w:rPr>
          <w:i/>
          <w:iCs/>
        </w:rPr>
        <w:t>Fire Engineering Brief</w:t>
      </w:r>
      <w:r w:rsidRPr="00661BB3">
        <w:t>.</w:t>
      </w:r>
    </w:p>
    <w:p w14:paraId="7491D27A" w14:textId="38D81EA0" w:rsidR="00F375ED" w:rsidRPr="00661BB3" w:rsidRDefault="00B44AD6" w:rsidP="00666E06">
      <w:pPr>
        <w:pStyle w:val="Requirement"/>
      </w:pPr>
      <w:r w:rsidRPr="00661BB3">
        <w:rPr>
          <w:b/>
          <w:bCs/>
        </w:rPr>
        <w:t>NZBC Requirement:</w:t>
      </w:r>
      <w:r w:rsidRPr="00661BB3">
        <w:t xml:space="preserve"> For structural stability </w:t>
      </w:r>
      <w:r w:rsidR="006870AF" w:rsidRPr="00661BB3">
        <w:t>during and after fire, t</w:t>
      </w:r>
      <w:r w:rsidRPr="00661BB3">
        <w:t xml:space="preserve">he structural design </w:t>
      </w:r>
      <w:r w:rsidR="0034026E" w:rsidRPr="00661BB3">
        <w:t>shall</w:t>
      </w:r>
      <w:r w:rsidR="006870AF" w:rsidRPr="00661BB3">
        <w:t xml:space="preserve"> comply with</w:t>
      </w:r>
      <w:r w:rsidR="00A47061" w:rsidRPr="00661BB3">
        <w:t xml:space="preserve"> </w:t>
      </w:r>
      <w:r w:rsidR="00E8005F" w:rsidRPr="00661BB3">
        <w:t>the requirements of B1/</w:t>
      </w:r>
      <w:r w:rsidR="00F15C40" w:rsidRPr="00661BB3">
        <w:t>VM1</w:t>
      </w:r>
      <w:r w:rsidR="00E8005F" w:rsidRPr="00661BB3">
        <w:t xml:space="preserve"> </w:t>
      </w:r>
      <w:r w:rsidR="00A47061" w:rsidRPr="00661BB3">
        <w:t>(or in the case of Alternative S</w:t>
      </w:r>
      <w:r w:rsidR="00F51104" w:rsidRPr="00661BB3">
        <w:t>olution</w:t>
      </w:r>
      <w:r w:rsidR="008E35BF" w:rsidRPr="00661BB3">
        <w:t>s, the performance required by NZBC Clause B1</w:t>
      </w:r>
      <w:r w:rsidR="00F51104" w:rsidRPr="00661BB3">
        <w:t>)</w:t>
      </w:r>
      <w:r w:rsidR="007207CD" w:rsidRPr="00661BB3">
        <w:t xml:space="preserve">, and </w:t>
      </w:r>
      <w:r w:rsidR="00970ADC" w:rsidRPr="00661BB3">
        <w:t xml:space="preserve">shall </w:t>
      </w:r>
      <w:r w:rsidR="007207CD" w:rsidRPr="00661BB3">
        <w:t>align with any requirements of the</w:t>
      </w:r>
      <w:r w:rsidR="00E72646" w:rsidRPr="00661BB3">
        <w:t xml:space="preserve"> project</w:t>
      </w:r>
      <w:r w:rsidR="007207CD" w:rsidRPr="00661BB3">
        <w:t xml:space="preserve"> </w:t>
      </w:r>
      <w:r w:rsidR="007207CD" w:rsidRPr="00661BB3">
        <w:rPr>
          <w:i/>
          <w:iCs/>
        </w:rPr>
        <w:t>Fire Engineering Brief</w:t>
      </w:r>
      <w:r w:rsidR="007207CD" w:rsidRPr="00661BB3">
        <w:t xml:space="preserve"> related to </w:t>
      </w:r>
      <w:r w:rsidR="00D52FDD" w:rsidRPr="00661BB3">
        <w:t xml:space="preserve">compliance with </w:t>
      </w:r>
      <w:r w:rsidR="0039646B" w:rsidRPr="00661BB3">
        <w:t>NZBC Clause C6</w:t>
      </w:r>
      <w:r w:rsidR="00554909" w:rsidRPr="00661BB3">
        <w:rPr>
          <w:rStyle w:val="FootnoteReference"/>
        </w:rPr>
        <w:footnoteReference w:id="30"/>
      </w:r>
      <w:r w:rsidR="007207CD" w:rsidRPr="00661BB3">
        <w:t>.</w:t>
      </w:r>
    </w:p>
    <w:p w14:paraId="1AAD05C1" w14:textId="77777777" w:rsidR="000827D5" w:rsidRDefault="000827D5" w:rsidP="00D56CAE">
      <w:pPr>
        <w:pStyle w:val="BodyHeading"/>
        <w:rPr>
          <w:color w:val="0C818E"/>
        </w:rPr>
      </w:pPr>
    </w:p>
    <w:p w14:paraId="794D4F1C" w14:textId="3875CFAE" w:rsidR="003F6116" w:rsidRPr="00A74D75" w:rsidRDefault="003F6116" w:rsidP="00D56CAE">
      <w:pPr>
        <w:pStyle w:val="BodyHeading"/>
        <w:rPr>
          <w:color w:val="0C818E"/>
        </w:rPr>
      </w:pPr>
      <w:r w:rsidRPr="00A74D75">
        <w:rPr>
          <w:color w:val="0C818E"/>
        </w:rPr>
        <w:t xml:space="preserve">Pathways for evaluating structural stability during and after fire </w:t>
      </w:r>
    </w:p>
    <w:p w14:paraId="25E0CCCD" w14:textId="77777777" w:rsidR="003F6116" w:rsidRPr="00661BB3" w:rsidRDefault="003F6116" w:rsidP="00666E06">
      <w:r w:rsidRPr="00661BB3">
        <w:t>Two general methods are available for selecting an appropriate level of structural fire resistance:</w:t>
      </w:r>
    </w:p>
    <w:p w14:paraId="3C1D900B" w14:textId="77777777" w:rsidR="003F6116" w:rsidRPr="00661BB3" w:rsidRDefault="003F6116" w:rsidP="004D55F1">
      <w:pPr>
        <w:pStyle w:val="ListParagraph"/>
        <w:numPr>
          <w:ilvl w:val="0"/>
          <w:numId w:val="74"/>
        </w:numPr>
      </w:pPr>
      <w:r w:rsidRPr="00661BB3">
        <w:t>Prescriptive approach</w:t>
      </w:r>
    </w:p>
    <w:p w14:paraId="552BB8FB" w14:textId="77777777" w:rsidR="003F6116" w:rsidRPr="00661BB3" w:rsidRDefault="003F6116" w:rsidP="004D55F1">
      <w:pPr>
        <w:pStyle w:val="ListParagraph"/>
        <w:numPr>
          <w:ilvl w:val="0"/>
          <w:numId w:val="74"/>
        </w:numPr>
      </w:pPr>
      <w:r w:rsidRPr="00661BB3">
        <w:t>Performance-based structural fire engineering</w:t>
      </w:r>
    </w:p>
    <w:p w14:paraId="5DB4CDB0" w14:textId="3F2084EE" w:rsidR="00A90F72" w:rsidRDefault="003F6116" w:rsidP="00666E06">
      <w:r w:rsidRPr="00661BB3">
        <w:t xml:space="preserve">Refer to the </w:t>
      </w:r>
      <w:r w:rsidR="007D5C79">
        <w:t xml:space="preserve">Health NZ </w:t>
      </w:r>
      <w:r w:rsidRPr="00661BB3">
        <w:t xml:space="preserve">Design Guidance Note </w:t>
      </w:r>
      <w:r w:rsidRPr="00661BB3">
        <w:rPr>
          <w:i/>
          <w:iCs/>
        </w:rPr>
        <w:t>Fire Engineering Design for New Zealand Public Hospitals</w:t>
      </w:r>
      <w:r w:rsidR="00EF3228" w:rsidRPr="00661BB3">
        <w:t xml:space="preserve"> which provides further definition to these two pathways</w:t>
      </w:r>
      <w:r w:rsidRPr="00661BB3">
        <w:t>.</w:t>
      </w:r>
      <w:r w:rsidR="00643059" w:rsidRPr="00661BB3">
        <w:t xml:space="preserve"> Performance-based structural fire engineering is a specialist skill that requires extensive knowledge of both structural and fire engineering fields so should only be undertaken by competent and</w:t>
      </w:r>
      <w:r w:rsidR="00643059" w:rsidRPr="00643059">
        <w:t xml:space="preserve"> qualified structural fire engineers.</w:t>
      </w:r>
    </w:p>
    <w:p w14:paraId="3D1425AD" w14:textId="10E5DF51" w:rsidR="006D18F5" w:rsidRPr="00661BB3" w:rsidRDefault="001105DB" w:rsidP="00A74D75">
      <w:pPr>
        <w:pStyle w:val="Section2heading3"/>
      </w:pPr>
      <w:r w:rsidRPr="00661BB3">
        <w:t>Structural Stability During Fire</w:t>
      </w:r>
      <w:r w:rsidR="00F51EC5" w:rsidRPr="00661BB3">
        <w:t>: Background</w:t>
      </w:r>
    </w:p>
    <w:p w14:paraId="4AEFC849" w14:textId="3ED6248C" w:rsidR="0097338C" w:rsidRPr="00661BB3" w:rsidRDefault="0097338C"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The purpose of this section is to provide clarity in </w:t>
      </w:r>
      <w:r w:rsidR="00261F16" w:rsidRPr="00661BB3">
        <w:t xml:space="preserve">the </w:t>
      </w:r>
      <w:r w:rsidRPr="00661BB3">
        <w:t xml:space="preserve">scenarios applicable to structural fire design </w:t>
      </w:r>
      <w:r w:rsidR="00147A66" w:rsidRPr="00661BB3">
        <w:t xml:space="preserve">and stability </w:t>
      </w:r>
      <w:r w:rsidRPr="00661BB3">
        <w:t>(and the basis for requirements conveyed in the Fire Engineering Brief</w:t>
      </w:r>
      <w:r w:rsidR="005F7BFB" w:rsidRPr="00661BB3">
        <w:t>) and</w:t>
      </w:r>
      <w:r w:rsidRPr="00661BB3">
        <w:t xml:space="preserve"> compare this with scenarios intended for the safety of people</w:t>
      </w:r>
      <w:r w:rsidR="00053C73" w:rsidRPr="00661BB3">
        <w:t>.</w:t>
      </w:r>
    </w:p>
    <w:p w14:paraId="294AE3EC" w14:textId="092AF0A2" w:rsidR="001105DB" w:rsidRPr="00A74D75" w:rsidRDefault="00B34D2F" w:rsidP="00D56CAE">
      <w:pPr>
        <w:pStyle w:val="BodyHeading"/>
        <w:rPr>
          <w:color w:val="0C818E"/>
        </w:rPr>
      </w:pPr>
      <w:r w:rsidRPr="00A74D75">
        <w:rPr>
          <w:color w:val="0C818E"/>
        </w:rPr>
        <w:t>Background to t</w:t>
      </w:r>
      <w:r w:rsidR="001105DB" w:rsidRPr="00A74D75">
        <w:rPr>
          <w:color w:val="0C818E"/>
        </w:rPr>
        <w:t xml:space="preserve">he </w:t>
      </w:r>
      <w:r w:rsidR="00F51EC5" w:rsidRPr="00A74D75">
        <w:rPr>
          <w:color w:val="0C818E"/>
        </w:rPr>
        <w:t>s</w:t>
      </w:r>
      <w:r w:rsidR="001105DB" w:rsidRPr="00A74D75">
        <w:rPr>
          <w:color w:val="0C818E"/>
        </w:rPr>
        <w:t xml:space="preserve">tructural </w:t>
      </w:r>
      <w:r w:rsidR="00F51EC5" w:rsidRPr="00A74D75">
        <w:rPr>
          <w:color w:val="0C818E"/>
        </w:rPr>
        <w:t>f</w:t>
      </w:r>
      <w:r w:rsidR="001105DB" w:rsidRPr="00A74D75">
        <w:rPr>
          <w:color w:val="0C818E"/>
        </w:rPr>
        <w:t xml:space="preserve">ire </w:t>
      </w:r>
      <w:r w:rsidR="00F51EC5" w:rsidRPr="00A74D75">
        <w:rPr>
          <w:color w:val="0C818E"/>
        </w:rPr>
        <w:t>d</w:t>
      </w:r>
      <w:r w:rsidR="001105DB" w:rsidRPr="00A74D75">
        <w:rPr>
          <w:color w:val="0C818E"/>
        </w:rPr>
        <w:t xml:space="preserve">esign </w:t>
      </w:r>
      <w:r w:rsidR="00F51EC5" w:rsidRPr="00A74D75">
        <w:rPr>
          <w:color w:val="0C818E"/>
        </w:rPr>
        <w:t>s</w:t>
      </w:r>
      <w:r w:rsidR="001105DB" w:rsidRPr="00A74D75">
        <w:rPr>
          <w:color w:val="0C818E"/>
        </w:rPr>
        <w:t>cenario</w:t>
      </w:r>
    </w:p>
    <w:p w14:paraId="4771F3D3" w14:textId="19AC8C48" w:rsidR="001105DB" w:rsidRPr="00661BB3" w:rsidRDefault="00522D4E" w:rsidP="00666E06">
      <w:r w:rsidRPr="00661BB3">
        <w:t xml:space="preserve">Structures constructed using common materials (reinforced concrete, structural steel, </w:t>
      </w:r>
      <w:r w:rsidR="00D07753" w:rsidRPr="00661BB3">
        <w:t>masonry,</w:t>
      </w:r>
      <w:r w:rsidRPr="00661BB3">
        <w:t xml:space="preserve"> and mass timber) are inherently resistant to the routine challenging fire scenarios that are assessed for protection of the building occupants. A fire needs to reach flashover and full development </w:t>
      </w:r>
      <w:r w:rsidR="00D07753" w:rsidRPr="00661BB3">
        <w:t>to</w:t>
      </w:r>
      <w:r w:rsidRPr="00661BB3">
        <w:t xml:space="preserve"> create the fire conditions which are necessary to significantly degrade structural material strength.</w:t>
      </w:r>
    </w:p>
    <w:p w14:paraId="49812080" w14:textId="69084AFC" w:rsidR="00FB6999" w:rsidRPr="00661BB3" w:rsidRDefault="00561D6A" w:rsidP="00666E06">
      <w:r w:rsidRPr="00661BB3">
        <w:t xml:space="preserve">The fire scenarios which threaten structural stability </w:t>
      </w:r>
      <w:r w:rsidR="00C27911" w:rsidRPr="00661BB3">
        <w:t xml:space="preserve">(usually based on </w:t>
      </w:r>
      <w:r w:rsidR="000300BA" w:rsidRPr="00661BB3">
        <w:t xml:space="preserve">full </w:t>
      </w:r>
      <w:r w:rsidR="00A3581D" w:rsidRPr="00661BB3">
        <w:rPr>
          <w:i/>
          <w:iCs/>
        </w:rPr>
        <w:t>burnout</w:t>
      </w:r>
      <w:r w:rsidR="00A3581D" w:rsidRPr="00661BB3">
        <w:t xml:space="preserve"> without intervention</w:t>
      </w:r>
      <w:r w:rsidR="00C27911" w:rsidRPr="00661BB3">
        <w:t xml:space="preserve">) </w:t>
      </w:r>
      <w:r w:rsidRPr="00661BB3">
        <w:t xml:space="preserve">occur only when </w:t>
      </w:r>
      <w:r w:rsidR="00D2370C" w:rsidRPr="00661BB3">
        <w:t>several of</w:t>
      </w:r>
      <w:r w:rsidRPr="00661BB3">
        <w:t xml:space="preserve"> the fire systems provided in a hospital building all simultaneously fail to perform as designed or the event is outside the range of the design parameters. A fire needs to start, spread beyond the item ignited to involve other items in a space, grow unsuppressed by the building occupants or a fire sprinkler system, </w:t>
      </w:r>
      <w:r w:rsidR="00C46F39" w:rsidRPr="00661BB3">
        <w:t xml:space="preserve">maintain a sufficient source of outside air (such as by breaking windows) </w:t>
      </w:r>
      <w:r w:rsidRPr="00661BB3">
        <w:t xml:space="preserve">and continue growing without firefighter suppression until the enclosure is fully involved in fire. </w:t>
      </w:r>
      <w:r w:rsidR="00C46F39" w:rsidRPr="00661BB3">
        <w:t xml:space="preserve">If </w:t>
      </w:r>
      <w:r w:rsidR="00D2370C" w:rsidRPr="00661BB3">
        <w:t>all</w:t>
      </w:r>
      <w:r w:rsidR="00F67FF3" w:rsidRPr="00661BB3">
        <w:t xml:space="preserve"> these </w:t>
      </w:r>
      <w:r w:rsidR="00E86B66" w:rsidRPr="00661BB3">
        <w:t>pre-requisites</w:t>
      </w:r>
      <w:r w:rsidR="00F67FF3" w:rsidRPr="00661BB3">
        <w:t xml:space="preserve"> eventuate,</w:t>
      </w:r>
      <w:r w:rsidRPr="00661BB3">
        <w:t xml:space="preserve"> the structure can be heated to temperatures which may reduce strength and stiffness.</w:t>
      </w:r>
    </w:p>
    <w:p w14:paraId="5D5806F5" w14:textId="274F7079" w:rsidR="0030794A" w:rsidRPr="00661BB3" w:rsidRDefault="00670090" w:rsidP="00666E06">
      <w:r w:rsidRPr="00661BB3">
        <w:t>The occurrence of this type of fire in buildings is rare</w:t>
      </w:r>
      <w:r w:rsidR="007B1490">
        <w:t xml:space="preserve">, </w:t>
      </w:r>
      <w:r w:rsidRPr="00661BB3">
        <w:t xml:space="preserve">a very low probability event treated </w:t>
      </w:r>
      <w:r w:rsidR="00CA12E3" w:rsidRPr="00661BB3">
        <w:t>as</w:t>
      </w:r>
      <w:r w:rsidR="00660A66" w:rsidRPr="00661BB3">
        <w:t xml:space="preserve"> </w:t>
      </w:r>
      <w:r w:rsidRPr="00661BB3">
        <w:t xml:space="preserve">an </w:t>
      </w:r>
      <w:r w:rsidR="002B0624" w:rsidRPr="00661BB3">
        <w:t>U</w:t>
      </w:r>
      <w:r w:rsidRPr="00661BB3">
        <w:t xml:space="preserve">ltimate </w:t>
      </w:r>
      <w:r w:rsidR="002B0624" w:rsidRPr="00661BB3">
        <w:t>L</w:t>
      </w:r>
      <w:r w:rsidRPr="00661BB3">
        <w:t xml:space="preserve">imit </w:t>
      </w:r>
      <w:r w:rsidR="002B0624" w:rsidRPr="00661BB3">
        <w:t>S</w:t>
      </w:r>
      <w:r w:rsidRPr="00661BB3">
        <w:t>tate design condition in structural engineering terms</w:t>
      </w:r>
      <w:r w:rsidR="001A3F18" w:rsidRPr="00661BB3">
        <w:t xml:space="preserve"> (</w:t>
      </w:r>
      <w:r w:rsidRPr="00661BB3">
        <w:t xml:space="preserve">where the consequences </w:t>
      </w:r>
      <w:r w:rsidR="007969A8" w:rsidRPr="00661BB3">
        <w:t>of structural failure could be</w:t>
      </w:r>
      <w:r w:rsidRPr="00661BB3">
        <w:t xml:space="preserve"> significant, but the likelihood of </w:t>
      </w:r>
      <w:r w:rsidR="000D3CCC" w:rsidRPr="00661BB3">
        <w:t>being exposed to such severe demands</w:t>
      </w:r>
      <w:r w:rsidRPr="00661BB3">
        <w:t xml:space="preserve"> is </w:t>
      </w:r>
      <w:r w:rsidR="000D3CCC" w:rsidRPr="00661BB3">
        <w:t>very low</w:t>
      </w:r>
      <w:r w:rsidR="001A3F18" w:rsidRPr="00661BB3">
        <w:t>)</w:t>
      </w:r>
      <w:r w:rsidRPr="00661BB3">
        <w:t>. The design process aims to protect life during extreme events by ensuring that the probability of structural collapse is kept to an acceptably low level.</w:t>
      </w:r>
    </w:p>
    <w:p w14:paraId="7A607CB3" w14:textId="3C65478B" w:rsidR="00670090" w:rsidRPr="00661BB3" w:rsidRDefault="001A3F18" w:rsidP="00666E06">
      <w:r w:rsidRPr="00661BB3">
        <w:t>In such a scenario (and a</w:t>
      </w:r>
      <w:r w:rsidR="00670090" w:rsidRPr="00661BB3">
        <w:t>mong</w:t>
      </w:r>
      <w:r w:rsidR="007B1BA7" w:rsidRPr="00661BB3">
        <w:t>st</w:t>
      </w:r>
      <w:r w:rsidR="00670090" w:rsidRPr="00661BB3">
        <w:t xml:space="preserve"> other things</w:t>
      </w:r>
      <w:r w:rsidRPr="00661BB3">
        <w:t>)</w:t>
      </w:r>
      <w:r w:rsidR="00670090" w:rsidRPr="00661BB3">
        <w:t xml:space="preserve">, large fire-induced structural deformations are expected to </w:t>
      </w:r>
      <w:r w:rsidR="008B6012" w:rsidRPr="00661BB3">
        <w:t>occur,</w:t>
      </w:r>
      <w:r w:rsidR="00670090" w:rsidRPr="00661BB3">
        <w:t xml:space="preserve"> </w:t>
      </w:r>
      <w:r w:rsidR="00F5472C" w:rsidRPr="00661BB3">
        <w:t>but the structure should not</w:t>
      </w:r>
      <w:r w:rsidR="00670090" w:rsidRPr="00661BB3">
        <w:t xml:space="preserve"> collapse</w:t>
      </w:r>
      <w:r w:rsidRPr="00661BB3">
        <w:t>. S</w:t>
      </w:r>
      <w:r w:rsidR="000771D7" w:rsidRPr="00661BB3">
        <w:t>ignificant s</w:t>
      </w:r>
      <w:r w:rsidR="00670090" w:rsidRPr="00661BB3">
        <w:t xml:space="preserve">tructural damage </w:t>
      </w:r>
      <w:r w:rsidR="00670090" w:rsidRPr="00661BB3">
        <w:lastRenderedPageBreak/>
        <w:t xml:space="preserve">may occur even when structural load-bearing capacity remains adequate. This </w:t>
      </w:r>
      <w:r w:rsidR="00031C71" w:rsidRPr="00661BB3">
        <w:t xml:space="preserve">ULS condition </w:t>
      </w:r>
      <w:r w:rsidR="00670090" w:rsidRPr="00661BB3">
        <w:t xml:space="preserve">is distinctly different </w:t>
      </w:r>
      <w:r w:rsidR="008B6012" w:rsidRPr="00661BB3">
        <w:t xml:space="preserve">from </w:t>
      </w:r>
      <w:r w:rsidR="004E2CD1" w:rsidRPr="00661BB3">
        <w:t>more</w:t>
      </w:r>
      <w:r w:rsidR="00146025" w:rsidRPr="00661BB3">
        <w:t xml:space="preserve"> commonly</w:t>
      </w:r>
      <w:r w:rsidR="004E2CD1" w:rsidRPr="00661BB3">
        <w:t xml:space="preserve"> </w:t>
      </w:r>
      <w:r w:rsidR="00031C71" w:rsidRPr="00661BB3">
        <w:t>occurring events</w:t>
      </w:r>
      <w:r w:rsidR="004E2CD1" w:rsidRPr="00661BB3">
        <w:t xml:space="preserve"> that are typically mitigated by the operation of at least some of the fire safety systems in a sprinkler-protected building</w:t>
      </w:r>
      <w:r w:rsidR="007B1490">
        <w:t xml:space="preserve"> - </w:t>
      </w:r>
      <w:r w:rsidR="00146025" w:rsidRPr="00661BB3">
        <w:t xml:space="preserve">these </w:t>
      </w:r>
      <w:r w:rsidR="001F2650" w:rsidRPr="00661BB3">
        <w:t xml:space="preserve">are more comparable to </w:t>
      </w:r>
      <w:r w:rsidR="00670090" w:rsidRPr="00661BB3">
        <w:t>serviceability limit state design condition</w:t>
      </w:r>
      <w:r w:rsidR="001F2650" w:rsidRPr="00661BB3">
        <w:t>s (in structural design terms)</w:t>
      </w:r>
      <w:r w:rsidR="00AB11B9" w:rsidRPr="00661BB3">
        <w:t>.</w:t>
      </w:r>
    </w:p>
    <w:p w14:paraId="73073103" w14:textId="088B5F78" w:rsidR="00705092" w:rsidRPr="00661BB3" w:rsidRDefault="00350FA7"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Verification Method </w:t>
      </w:r>
      <w:r w:rsidR="00D776CC" w:rsidRPr="00661BB3">
        <w:t>C/VM2</w:t>
      </w:r>
      <w:r w:rsidR="0089518A" w:rsidRPr="00661BB3">
        <w:t xml:space="preserve"> contains</w:t>
      </w:r>
      <w:r w:rsidR="007B1BA7" w:rsidRPr="00661BB3">
        <w:t xml:space="preserve"> information on design scenarios</w:t>
      </w:r>
      <w:r w:rsidR="006D6C5A" w:rsidRPr="00661BB3">
        <w:t xml:space="preserve"> that can be used </w:t>
      </w:r>
      <w:r w:rsidR="0050200F" w:rsidRPr="00661BB3">
        <w:t>in ordinary buildings to demonstrate compliance with NZBC Clauses C1 to C6: Protection from Fire</w:t>
      </w:r>
      <w:r w:rsidR="0089518A" w:rsidRPr="00661BB3">
        <w:t>.</w:t>
      </w:r>
      <w:r w:rsidR="00BD3BBE" w:rsidRPr="00661BB3">
        <w:t xml:space="preserve"> This includes </w:t>
      </w:r>
      <w:r w:rsidR="00F37A19" w:rsidRPr="00661BB3">
        <w:t xml:space="preserve">challenging fires that represent credible </w:t>
      </w:r>
      <w:r w:rsidR="00EF0064" w:rsidRPr="00661BB3">
        <w:t>worst-case</w:t>
      </w:r>
      <w:r w:rsidR="00F37A19" w:rsidRPr="00661BB3">
        <w:t xml:space="preserve"> scenarios</w:t>
      </w:r>
      <w:r w:rsidR="001E246C" w:rsidRPr="00661BB3">
        <w:t xml:space="preserve">, and a robustness </w:t>
      </w:r>
      <w:r w:rsidR="00E25652" w:rsidRPr="00661BB3">
        <w:t xml:space="preserve">check that requires </w:t>
      </w:r>
      <w:r w:rsidR="00CB5C2E" w:rsidRPr="00661BB3">
        <w:t xml:space="preserve">failure </w:t>
      </w:r>
      <w:r w:rsidR="00990FD3" w:rsidRPr="00661BB3">
        <w:t>of critical</w:t>
      </w:r>
      <w:r w:rsidR="00CB5C2E" w:rsidRPr="00661BB3">
        <w:t xml:space="preserve"> elements of the fire safety system</w:t>
      </w:r>
      <w:r w:rsidR="008239F6" w:rsidRPr="00661BB3">
        <w:t xml:space="preserve"> </w:t>
      </w:r>
      <w:r w:rsidR="00990FD3" w:rsidRPr="00661BB3">
        <w:t>to be considered (if their failure is considered statistically probable).</w:t>
      </w:r>
      <w:r w:rsidR="00BC4D1A" w:rsidRPr="00661BB3">
        <w:t xml:space="preserve"> This is to test</w:t>
      </w:r>
      <w:r w:rsidR="00A95C1C" w:rsidRPr="00661BB3">
        <w:t xml:space="preserve"> the vulnerability of the life safety design and inherent redundancy.</w:t>
      </w:r>
    </w:p>
    <w:p w14:paraId="3C9DD42F" w14:textId="09BB570D" w:rsidR="0050200F" w:rsidRPr="00661BB3" w:rsidRDefault="00A94AD6"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Fire sprinkler systems </w:t>
      </w:r>
      <w:r w:rsidR="00427F3A" w:rsidRPr="00661BB3">
        <w:t xml:space="preserve">installed in accordance with certain recognised standards </w:t>
      </w:r>
      <w:r w:rsidRPr="00661BB3">
        <w:t xml:space="preserve">are considered </w:t>
      </w:r>
      <w:r w:rsidR="00427F3A" w:rsidRPr="00661BB3">
        <w:t>sufficiently reliable</w:t>
      </w:r>
      <w:r w:rsidR="00CD5ABF" w:rsidRPr="00661BB3">
        <w:t xml:space="preserve"> that </w:t>
      </w:r>
      <w:r w:rsidR="00EF0064" w:rsidRPr="00661BB3">
        <w:t>C/VM2</w:t>
      </w:r>
      <w:r w:rsidR="00CD5ABF" w:rsidRPr="00661BB3">
        <w:t xml:space="preserve"> does not require their failure to be considered</w:t>
      </w:r>
      <w:r w:rsidR="009375CF" w:rsidRPr="00661BB3">
        <w:t xml:space="preserve"> in the robustness check</w:t>
      </w:r>
      <w:r w:rsidR="00EF0064" w:rsidRPr="00661BB3">
        <w:t>. T</w:t>
      </w:r>
      <w:r w:rsidR="007414EA" w:rsidRPr="00661BB3">
        <w:t>his m</w:t>
      </w:r>
      <w:r w:rsidR="00E95D6F" w:rsidRPr="00661BB3">
        <w:t xml:space="preserve">eans that </w:t>
      </w:r>
      <w:r w:rsidR="00F73E83" w:rsidRPr="00661BB3">
        <w:t xml:space="preserve">holistically, </w:t>
      </w:r>
      <w:r w:rsidR="002D3DCF" w:rsidRPr="00661BB3">
        <w:t xml:space="preserve">for building and fire engineering designs that meet </w:t>
      </w:r>
      <w:r w:rsidR="00222887" w:rsidRPr="00661BB3">
        <w:t xml:space="preserve">the </w:t>
      </w:r>
      <w:r w:rsidR="003A732D" w:rsidRPr="00661BB3">
        <w:t>B</w:t>
      </w:r>
      <w:r w:rsidR="00222887" w:rsidRPr="00661BB3">
        <w:t xml:space="preserve">uilding </w:t>
      </w:r>
      <w:r w:rsidR="003A732D" w:rsidRPr="00661BB3">
        <w:t>C</w:t>
      </w:r>
      <w:r w:rsidR="00222887" w:rsidRPr="00661BB3">
        <w:t>ode objectives</w:t>
      </w:r>
      <w:r w:rsidR="009E4EA2" w:rsidRPr="00661BB3">
        <w:t xml:space="preserve"> </w:t>
      </w:r>
      <w:r w:rsidR="00A10854" w:rsidRPr="00661BB3">
        <w:t xml:space="preserve">to </w:t>
      </w:r>
      <w:r w:rsidR="00A10854" w:rsidRPr="00661BB3">
        <w:rPr>
          <w:iCs/>
        </w:rPr>
        <w:t>safeguard occupants</w:t>
      </w:r>
      <w:r w:rsidR="00705092" w:rsidRPr="00661BB3">
        <w:rPr>
          <w:iCs/>
        </w:rPr>
        <w:t xml:space="preserve"> from unacceptable risk of injury or illness</w:t>
      </w:r>
      <w:r w:rsidR="0039307A" w:rsidRPr="00661BB3">
        <w:t xml:space="preserve">, it is unlikely that </w:t>
      </w:r>
      <w:r w:rsidR="009E4EA2" w:rsidRPr="00661BB3">
        <w:t xml:space="preserve">the structure will reach </w:t>
      </w:r>
      <w:r w:rsidR="00876C91" w:rsidRPr="00661BB3">
        <w:t>temperatures that could cause significant deformations nor affect its stability</w:t>
      </w:r>
      <w:r w:rsidR="00705092" w:rsidRPr="00661BB3">
        <w:t>.</w:t>
      </w:r>
    </w:p>
    <w:p w14:paraId="07DF2BED" w14:textId="7AF74493" w:rsidR="00740D13" w:rsidRPr="00661BB3" w:rsidRDefault="002773C4"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H</w:t>
      </w:r>
      <w:r w:rsidR="0089518A" w:rsidRPr="00661BB3">
        <w:t>ospital buildings</w:t>
      </w:r>
      <w:r w:rsidRPr="00661BB3">
        <w:t xml:space="preserve"> </w:t>
      </w:r>
      <w:r w:rsidR="00A60D90" w:rsidRPr="00661BB3">
        <w:t xml:space="preserve">often require managed </w:t>
      </w:r>
      <w:r w:rsidR="003A732D" w:rsidRPr="00661BB3">
        <w:t>evacuation or</w:t>
      </w:r>
      <w:r w:rsidR="00627C12" w:rsidRPr="00661BB3">
        <w:t xml:space="preserve"> have other</w:t>
      </w:r>
      <w:r w:rsidR="0089518A" w:rsidRPr="00661BB3">
        <w:t xml:space="preserve"> unique features</w:t>
      </w:r>
      <w:r w:rsidRPr="00661BB3">
        <w:t xml:space="preserve"> that</w:t>
      </w:r>
      <w:r w:rsidR="00EE35C3" w:rsidRPr="00661BB3">
        <w:t xml:space="preserve"> </w:t>
      </w:r>
      <w:r w:rsidR="00336518" w:rsidRPr="00661BB3">
        <w:t>exclude</w:t>
      </w:r>
      <w:r w:rsidR="00627C12" w:rsidRPr="00661BB3">
        <w:t xml:space="preserve"> them</w:t>
      </w:r>
      <w:r w:rsidR="00336518" w:rsidRPr="00661BB3">
        <w:t xml:space="preserve"> from t</w:t>
      </w:r>
      <w:r w:rsidRPr="00661BB3">
        <w:t xml:space="preserve">he scope of </w:t>
      </w:r>
      <w:r w:rsidR="002B4CF4" w:rsidRPr="00661BB3">
        <w:t>V</w:t>
      </w:r>
      <w:r w:rsidRPr="00661BB3">
        <w:t>erification</w:t>
      </w:r>
      <w:r w:rsidR="00FA6D53" w:rsidRPr="00661BB3">
        <w:t xml:space="preserve"> </w:t>
      </w:r>
      <w:r w:rsidR="002B4CF4" w:rsidRPr="00661BB3">
        <w:t>M</w:t>
      </w:r>
      <w:r w:rsidR="00FA6D53" w:rsidRPr="00661BB3">
        <w:t>ethod</w:t>
      </w:r>
      <w:r w:rsidR="00835144" w:rsidRPr="00661BB3">
        <w:t xml:space="preserve"> C/VM2</w:t>
      </w:r>
      <w:r w:rsidR="007C085D" w:rsidRPr="00661BB3">
        <w:t>. However</w:t>
      </w:r>
      <w:r w:rsidR="00336518" w:rsidRPr="00661BB3">
        <w:t>,</w:t>
      </w:r>
      <w:r w:rsidR="007C085D" w:rsidRPr="00661BB3">
        <w:t xml:space="preserve"> </w:t>
      </w:r>
      <w:r w:rsidR="00AB11B9" w:rsidRPr="00661BB3">
        <w:t>the</w:t>
      </w:r>
      <w:r w:rsidR="007C085D" w:rsidRPr="00661BB3">
        <w:t xml:space="preserve"> </w:t>
      </w:r>
      <w:r w:rsidR="00D803D3" w:rsidRPr="00661BB3">
        <w:t xml:space="preserve">underpinning </w:t>
      </w:r>
      <w:r w:rsidR="007C085D" w:rsidRPr="00661BB3">
        <w:t>principle</w:t>
      </w:r>
      <w:r w:rsidR="00740D13" w:rsidRPr="00661BB3">
        <w:t>s</w:t>
      </w:r>
      <w:r w:rsidR="00AB11B9" w:rsidRPr="00661BB3">
        <w:t xml:space="preserve"> </w:t>
      </w:r>
      <w:r w:rsidR="00740D13" w:rsidRPr="00661BB3">
        <w:t>endure. O</w:t>
      </w:r>
      <w:r w:rsidR="009261D1" w:rsidRPr="00661BB3">
        <w:t xml:space="preserve">f key importance is the provision of sufficient reliability </w:t>
      </w:r>
      <w:r w:rsidR="00AA3671" w:rsidRPr="00661BB3">
        <w:t xml:space="preserve">and redundancy </w:t>
      </w:r>
      <w:r w:rsidR="009261D1" w:rsidRPr="00661BB3">
        <w:t>in fire safety system</w:t>
      </w:r>
      <w:r w:rsidR="00740D13" w:rsidRPr="00661BB3">
        <w:t>s</w:t>
      </w:r>
      <w:r w:rsidR="00AA3671" w:rsidRPr="00661BB3">
        <w:t xml:space="preserve"> (such as through the application of an approach aligned with the intent of C/VM2)</w:t>
      </w:r>
      <w:r w:rsidR="009261D1" w:rsidRPr="00661BB3">
        <w:t xml:space="preserve"> </w:t>
      </w:r>
      <w:r w:rsidR="00AA3671" w:rsidRPr="00661BB3">
        <w:t>which makes it very unlikely</w:t>
      </w:r>
      <w:r w:rsidR="009261D1" w:rsidRPr="00661BB3">
        <w:t xml:space="preserve"> that </w:t>
      </w:r>
      <w:r w:rsidR="00740D13" w:rsidRPr="00661BB3">
        <w:t xml:space="preserve">fully involved flashover fires </w:t>
      </w:r>
      <w:r w:rsidR="002B4CF4" w:rsidRPr="00661BB3">
        <w:t>could</w:t>
      </w:r>
      <w:r w:rsidR="00740D13" w:rsidRPr="00661BB3">
        <w:t xml:space="preserve"> eventuate.</w:t>
      </w:r>
    </w:p>
    <w:p w14:paraId="684A7096" w14:textId="1FB22E92" w:rsidR="006B2A1C" w:rsidRPr="00661BB3" w:rsidRDefault="00202F68"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Notwithstanding</w:t>
      </w:r>
      <w:r w:rsidR="00AA3671" w:rsidRPr="00661BB3">
        <w:t>, t</w:t>
      </w:r>
      <w:r w:rsidR="00045C3F" w:rsidRPr="00661BB3">
        <w:t xml:space="preserve">he </w:t>
      </w:r>
      <w:r w:rsidR="007F2814" w:rsidRPr="00661BB3">
        <w:t xml:space="preserve">very </w:t>
      </w:r>
      <w:r w:rsidR="00045C3F" w:rsidRPr="00661BB3">
        <w:t>high consequence of structural collapse</w:t>
      </w:r>
      <w:r w:rsidR="007F2814" w:rsidRPr="00661BB3">
        <w:t xml:space="preserve"> (</w:t>
      </w:r>
      <w:r w:rsidR="00EC54B4" w:rsidRPr="00661BB3">
        <w:t>both in terms of</w:t>
      </w:r>
      <w:r w:rsidR="007F2814" w:rsidRPr="00661BB3">
        <w:t xml:space="preserve"> threat to life safety</w:t>
      </w:r>
      <w:r w:rsidR="001E1804" w:rsidRPr="00661BB3">
        <w:t xml:space="preserve"> and rescue operations,</w:t>
      </w:r>
      <w:r w:rsidR="007F2814" w:rsidRPr="00661BB3">
        <w:t xml:space="preserve"> and the potential for </w:t>
      </w:r>
      <w:r w:rsidR="00EC54B4" w:rsidRPr="00661BB3">
        <w:t xml:space="preserve">damage and </w:t>
      </w:r>
      <w:r w:rsidR="007F2814" w:rsidRPr="00661BB3">
        <w:t>spread of fire to other property</w:t>
      </w:r>
      <w:r w:rsidR="00CC48BA" w:rsidRPr="00661BB3">
        <w:t xml:space="preserve"> including that housing evacuated patients</w:t>
      </w:r>
      <w:r w:rsidR="007F2814" w:rsidRPr="00661BB3">
        <w:t>)</w:t>
      </w:r>
      <w:r w:rsidR="00045C3F" w:rsidRPr="00661BB3">
        <w:t xml:space="preserve"> </w:t>
      </w:r>
      <w:r w:rsidR="009C105E" w:rsidRPr="00661BB3">
        <w:t>usually</w:t>
      </w:r>
      <w:r w:rsidR="00AA3671" w:rsidRPr="00661BB3">
        <w:t xml:space="preserve"> require</w:t>
      </w:r>
      <w:r w:rsidR="009C105E" w:rsidRPr="00661BB3">
        <w:t>s</w:t>
      </w:r>
      <w:r w:rsidR="00AA3671" w:rsidRPr="00661BB3">
        <w:t xml:space="preserve"> the</w:t>
      </w:r>
      <w:r w:rsidR="00E75257" w:rsidRPr="00661BB3">
        <w:t xml:space="preserve"> likelihood</w:t>
      </w:r>
      <w:r w:rsidR="003F30C0" w:rsidRPr="00661BB3">
        <w:t xml:space="preserve"> </w:t>
      </w:r>
      <w:r w:rsidR="00BE49B1" w:rsidRPr="00661BB3">
        <w:t xml:space="preserve">of this outcome </w:t>
      </w:r>
      <w:r w:rsidR="00AA3671" w:rsidRPr="00661BB3">
        <w:t>to be further reduce</w:t>
      </w:r>
      <w:r w:rsidR="006B2A1C" w:rsidRPr="00661BB3">
        <w:t>d</w:t>
      </w:r>
      <w:r w:rsidR="007B1490">
        <w:t xml:space="preserve"> </w:t>
      </w:r>
      <w:r w:rsidR="00A60857" w:rsidRPr="00661BB3">
        <w:t xml:space="preserve">most often by consideration of structural stability </w:t>
      </w:r>
      <w:r w:rsidR="0026136D" w:rsidRPr="00661BB3">
        <w:t>for the full duration of</w:t>
      </w:r>
      <w:r w:rsidR="00A60857" w:rsidRPr="00661BB3">
        <w:t xml:space="preserve"> </w:t>
      </w:r>
      <w:r w:rsidR="00A60857" w:rsidRPr="00661BB3">
        <w:rPr>
          <w:iCs/>
        </w:rPr>
        <w:t>burnout</w:t>
      </w:r>
      <w:r w:rsidR="00AA3671" w:rsidRPr="00661BB3">
        <w:t xml:space="preserve">. </w:t>
      </w:r>
      <w:r w:rsidR="00A60857" w:rsidRPr="00661BB3">
        <w:t>This</w:t>
      </w:r>
      <w:r w:rsidR="00E75257" w:rsidRPr="00661BB3">
        <w:t xml:space="preserve"> </w:t>
      </w:r>
      <w:r w:rsidR="00045C3F" w:rsidRPr="00661BB3">
        <w:t>places l</w:t>
      </w:r>
      <w:r w:rsidR="00B34E59" w:rsidRPr="00661BB3">
        <w:t>ess reliance on the</w:t>
      </w:r>
      <w:r w:rsidR="0026136D" w:rsidRPr="00661BB3">
        <w:t xml:space="preserve"> active</w:t>
      </w:r>
      <w:r w:rsidR="00B34E59" w:rsidRPr="00661BB3">
        <w:t xml:space="preserve"> fire safety systems</w:t>
      </w:r>
      <w:r w:rsidR="00C06919" w:rsidRPr="00661BB3">
        <w:t xml:space="preserve"> </w:t>
      </w:r>
      <w:r w:rsidR="00B63F5A" w:rsidRPr="00661BB3">
        <w:t>and more reliance on</w:t>
      </w:r>
      <w:r w:rsidR="00C06919" w:rsidRPr="00661BB3">
        <w:t xml:space="preserve"> passive insulative protection </w:t>
      </w:r>
      <w:r w:rsidR="00FA6D53" w:rsidRPr="00661BB3">
        <w:t>providing direct protection to the members themselves</w:t>
      </w:r>
      <w:r w:rsidR="00243B35" w:rsidRPr="00661BB3">
        <w:t xml:space="preserve"> (i.e. </w:t>
      </w:r>
      <w:r w:rsidR="00905B69" w:rsidRPr="00661BB3">
        <w:t xml:space="preserve">fire service intervention and automatic </w:t>
      </w:r>
      <w:r w:rsidR="00B765A6" w:rsidRPr="00661BB3">
        <w:t xml:space="preserve">operation of fire sprinkler systems </w:t>
      </w:r>
      <w:r w:rsidR="00794284" w:rsidRPr="00661BB3">
        <w:t>are</w:t>
      </w:r>
      <w:r w:rsidR="00B765A6" w:rsidRPr="00661BB3">
        <w:t xml:space="preserve"> </w:t>
      </w:r>
      <w:r w:rsidR="00BD2508" w:rsidRPr="00661BB3">
        <w:t>typically</w:t>
      </w:r>
      <w:r w:rsidR="00B765A6" w:rsidRPr="00661BB3">
        <w:t xml:space="preserve"> </w:t>
      </w:r>
      <w:r w:rsidR="00A60857" w:rsidRPr="00661BB3">
        <w:t>excluded</w:t>
      </w:r>
      <w:r w:rsidR="00243B35" w:rsidRPr="00661BB3">
        <w:t>)</w:t>
      </w:r>
      <w:r w:rsidR="00FA6D53" w:rsidRPr="00661BB3">
        <w:t>.</w:t>
      </w:r>
    </w:p>
    <w:p w14:paraId="51E4748A" w14:textId="3EE72447" w:rsidR="00E425B1" w:rsidRDefault="00243B35"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The </w:t>
      </w:r>
      <w:r w:rsidR="001F4976" w:rsidRPr="00661BB3">
        <w:t>performance requirement</w:t>
      </w:r>
      <w:r w:rsidRPr="00661BB3">
        <w:t xml:space="preserve"> </w:t>
      </w:r>
      <w:r w:rsidR="00695BA3" w:rsidRPr="00661BB3">
        <w:t xml:space="preserve">in such a severe </w:t>
      </w:r>
      <w:r w:rsidR="00C36997" w:rsidRPr="00661BB3">
        <w:t xml:space="preserve">ultimate limit state </w:t>
      </w:r>
      <w:r w:rsidR="00695BA3" w:rsidRPr="00661BB3">
        <w:t>scenario is limited to the avoidance of structural collapse</w:t>
      </w:r>
      <w:r w:rsidR="00257D4F">
        <w:t xml:space="preserve">, </w:t>
      </w:r>
      <w:r w:rsidR="00FE6322" w:rsidRPr="00661BB3">
        <w:t>the</w:t>
      </w:r>
      <w:r w:rsidR="00EC0857" w:rsidRPr="00661BB3">
        <w:t xml:space="preserve"> tolerance of </w:t>
      </w:r>
      <w:r w:rsidR="001D347D" w:rsidRPr="00661BB3">
        <w:t>the fire safety system</w:t>
      </w:r>
      <w:r w:rsidR="00C87C7B" w:rsidRPr="00661BB3">
        <w:t>s</w:t>
      </w:r>
      <w:r w:rsidR="001D347D" w:rsidRPr="00661BB3">
        <w:t xml:space="preserve"> to structural damage and deformation does not need to be considered </w:t>
      </w:r>
      <w:r w:rsidR="001B595B" w:rsidRPr="00661BB3">
        <w:t xml:space="preserve">as a design objective </w:t>
      </w:r>
      <w:r w:rsidR="001D347D" w:rsidRPr="00661BB3">
        <w:t>if the assessment of structural stability is not reliant upon them</w:t>
      </w:r>
      <w:r w:rsidR="00695BA3" w:rsidRPr="00661BB3">
        <w:t>.</w:t>
      </w:r>
    </w:p>
    <w:p w14:paraId="74F5F30D" w14:textId="4DAC7829" w:rsidR="00245AFC" w:rsidRPr="00661BB3" w:rsidRDefault="006311B7" w:rsidP="00A74D75">
      <w:pPr>
        <w:pStyle w:val="Section2heading3"/>
      </w:pPr>
      <w:bookmarkStart w:id="208" w:name="_Ref170379988"/>
      <w:r w:rsidRPr="00661BB3">
        <w:t xml:space="preserve">Fire </w:t>
      </w:r>
      <w:r w:rsidR="007C042D" w:rsidRPr="00661BB3">
        <w:t>S</w:t>
      </w:r>
      <w:r w:rsidRPr="00661BB3">
        <w:t>afety</w:t>
      </w:r>
      <w:r w:rsidR="007C042D" w:rsidRPr="00661BB3">
        <w:t xml:space="preserve"> Following Earthquake</w:t>
      </w:r>
      <w:bookmarkEnd w:id="208"/>
    </w:p>
    <w:p w14:paraId="77516694" w14:textId="7FCB9537" w:rsidR="007528F9" w:rsidRPr="00661BB3" w:rsidRDefault="007C042D" w:rsidP="00666E06">
      <w:r w:rsidRPr="00661BB3">
        <w:t xml:space="preserve">The </w:t>
      </w:r>
      <w:r w:rsidRPr="00661BB3">
        <w:rPr>
          <w:b/>
          <w:bCs/>
        </w:rPr>
        <w:t>continued functionality</w:t>
      </w:r>
      <w:r w:rsidRPr="00661BB3">
        <w:t xml:space="preserve"> objective</w:t>
      </w:r>
      <w:r w:rsidR="004B5678" w:rsidRPr="00661BB3">
        <w:t xml:space="preserve"> (</w:t>
      </w:r>
      <w:r w:rsidR="003E106F" w:rsidRPr="00661BB3">
        <w:t>achieved through consideration of Serviceability Limit State 2</w:t>
      </w:r>
      <w:r w:rsidR="00362E1F" w:rsidRPr="00661BB3">
        <w:t xml:space="preserve"> or SLS2</w:t>
      </w:r>
      <w:r w:rsidR="003E106F" w:rsidRPr="00661BB3">
        <w:t>)</w:t>
      </w:r>
      <w:r w:rsidRPr="00661BB3">
        <w:t xml:space="preserve"> </w:t>
      </w:r>
      <w:r w:rsidR="003A7BFB" w:rsidRPr="00661BB3">
        <w:t xml:space="preserve">requires </w:t>
      </w:r>
      <w:r w:rsidR="00EC692F" w:rsidRPr="00661BB3">
        <w:t>continued building</w:t>
      </w:r>
      <w:r w:rsidR="003A7BFB" w:rsidRPr="00661BB3">
        <w:t xml:space="preserve"> use following a significant earthquake</w:t>
      </w:r>
      <w:r w:rsidR="00FD636E" w:rsidRPr="00661BB3">
        <w:t>.</w:t>
      </w:r>
      <w:r w:rsidR="00A22FF7" w:rsidRPr="00661BB3">
        <w:t xml:space="preserve"> </w:t>
      </w:r>
      <w:r w:rsidR="00FB7C72" w:rsidRPr="00661BB3">
        <w:t>Neither t</w:t>
      </w:r>
      <w:r w:rsidR="00A22FF7" w:rsidRPr="00661BB3">
        <w:t xml:space="preserve">he Building Code, nor its compliance documents contain specificity around the requirement to </w:t>
      </w:r>
      <w:r w:rsidR="00FB7C72" w:rsidRPr="00661BB3">
        <w:t xml:space="preserve">explicitly </w:t>
      </w:r>
      <w:r w:rsidR="00DA5EC6" w:rsidRPr="00661BB3">
        <w:t xml:space="preserve">consider </w:t>
      </w:r>
      <w:r w:rsidR="00E87DC8" w:rsidRPr="00661BB3">
        <w:t xml:space="preserve">fire </w:t>
      </w:r>
      <w:r w:rsidR="00FB7C72" w:rsidRPr="00661BB3">
        <w:t>scenarios</w:t>
      </w:r>
      <w:r w:rsidR="009B2BCF" w:rsidRPr="00661BB3">
        <w:t xml:space="preserve"> </w:t>
      </w:r>
      <w:r w:rsidR="00DC23CB" w:rsidRPr="00661BB3">
        <w:t>immediately</w:t>
      </w:r>
      <w:r w:rsidR="00FB7C72" w:rsidRPr="00661BB3">
        <w:t xml:space="preserve"> </w:t>
      </w:r>
      <w:r w:rsidR="00DA5EC6" w:rsidRPr="00661BB3">
        <w:t>following earthquake</w:t>
      </w:r>
      <w:r w:rsidR="00FB7C72" w:rsidRPr="00661BB3">
        <w:t xml:space="preserve"> (either </w:t>
      </w:r>
      <w:r w:rsidR="00CB1BDF" w:rsidRPr="00661BB3">
        <w:t>as a result of earthquake or during normal building use following earthquake)</w:t>
      </w:r>
      <w:r w:rsidR="002F1270" w:rsidRPr="00661BB3">
        <w:rPr>
          <w:rFonts w:cstheme="minorHAnsi"/>
        </w:rPr>
        <w:t>. However,</w:t>
      </w:r>
      <w:r w:rsidR="00D63A4E" w:rsidRPr="00661BB3">
        <w:t xml:space="preserve"> </w:t>
      </w:r>
      <w:r w:rsidR="00D63A4E" w:rsidRPr="00661BB3">
        <w:lastRenderedPageBreak/>
        <w:t xml:space="preserve">some level of consideration of safety for </w:t>
      </w:r>
      <w:r w:rsidR="0030470C" w:rsidRPr="00661BB3">
        <w:t xml:space="preserve">continued </w:t>
      </w:r>
      <w:r w:rsidR="00CB1BDF" w:rsidRPr="00661BB3">
        <w:t xml:space="preserve">building </w:t>
      </w:r>
      <w:r w:rsidR="0030470C" w:rsidRPr="00661BB3">
        <w:t>use is implied</w:t>
      </w:r>
      <w:r w:rsidR="00CB1BDF" w:rsidRPr="00661BB3">
        <w:t xml:space="preserve"> for buildings </w:t>
      </w:r>
      <w:r w:rsidR="00AB2C23" w:rsidRPr="00661BB3">
        <w:t>having</w:t>
      </w:r>
      <w:r w:rsidR="00CB1BDF" w:rsidRPr="00661BB3">
        <w:t xml:space="preserve"> requirements for post-disaster functionality</w:t>
      </w:r>
      <w:r w:rsidR="00362E1F" w:rsidRPr="00661BB3">
        <w:t xml:space="preserve"> (via an SLS2 limit state)</w:t>
      </w:r>
      <w:r w:rsidR="00130321">
        <w:t xml:space="preserve"> and this extends to the buildings fire safety systems</w:t>
      </w:r>
      <w:r w:rsidR="00DA5EC6" w:rsidRPr="00661BB3">
        <w:t>.</w:t>
      </w:r>
    </w:p>
    <w:p w14:paraId="149093CE" w14:textId="5E929F29" w:rsidR="00AF6899" w:rsidRPr="00661BB3" w:rsidRDefault="00DA5EC6" w:rsidP="00666E06">
      <w:r w:rsidRPr="00661BB3">
        <w:t xml:space="preserve">This document requires </w:t>
      </w:r>
      <w:r w:rsidR="00A55D8D" w:rsidRPr="00661BB3">
        <w:t xml:space="preserve">designers to consider </w:t>
      </w:r>
      <w:r w:rsidR="00841AFA" w:rsidRPr="00661BB3">
        <w:t>p</w:t>
      </w:r>
      <w:r w:rsidR="006F51B9" w:rsidRPr="00661BB3">
        <w:t xml:space="preserve">rotection from </w:t>
      </w:r>
      <w:r w:rsidR="00841AFA" w:rsidRPr="00661BB3">
        <w:t>f</w:t>
      </w:r>
      <w:r w:rsidR="006F51B9" w:rsidRPr="00661BB3">
        <w:t xml:space="preserve">ire </w:t>
      </w:r>
      <w:r w:rsidR="00E409DB" w:rsidRPr="00661BB3">
        <w:t>when using a building after a significant earthquake as part of the SLS2 limit state</w:t>
      </w:r>
      <w:r w:rsidR="00841AFA" w:rsidRPr="00661BB3">
        <w:t>.</w:t>
      </w:r>
      <w:r w:rsidR="007528F9" w:rsidRPr="00661BB3">
        <w:t xml:space="preserve"> </w:t>
      </w:r>
      <w:r w:rsidR="00E409DB" w:rsidRPr="00661BB3">
        <w:t>However,</w:t>
      </w:r>
      <w:r w:rsidR="00841AFA" w:rsidRPr="00661BB3">
        <w:t xml:space="preserve"> it does </w:t>
      </w:r>
      <w:r w:rsidR="00841AFA" w:rsidRPr="00661BB3">
        <w:rPr>
          <w:i/>
          <w:iCs/>
        </w:rPr>
        <w:t>not</w:t>
      </w:r>
      <w:r w:rsidR="00841AFA" w:rsidRPr="00661BB3">
        <w:t xml:space="preserve"> require the same performance standard to be met</w:t>
      </w:r>
      <w:r w:rsidR="00E409DB" w:rsidRPr="00661BB3">
        <w:t xml:space="preserve"> as that which would be used to comply with Building Code Clauses C1 to C6</w:t>
      </w:r>
      <w:r w:rsidR="0030470C" w:rsidRPr="00661BB3">
        <w:t xml:space="preserve"> in normal conditions</w:t>
      </w:r>
      <w:r w:rsidR="007528F9" w:rsidRPr="00661BB3">
        <w:t>.</w:t>
      </w:r>
      <w:r w:rsidR="004262B6" w:rsidRPr="00661BB3">
        <w:t xml:space="preserve"> </w:t>
      </w:r>
      <w:r w:rsidR="00230546">
        <w:t>In developing the requirements of these guidelines</w:t>
      </w:r>
      <w:r w:rsidR="001D3A62">
        <w:t>,</w:t>
      </w:r>
      <w:r w:rsidR="00230546">
        <w:t xml:space="preserve"> </w:t>
      </w:r>
      <w:r w:rsidR="00F3390A">
        <w:t>the following principles have been</w:t>
      </w:r>
      <w:r w:rsidR="00C06D8E" w:rsidRPr="00661BB3">
        <w:t xml:space="preserve"> consider</w:t>
      </w:r>
      <w:r w:rsidR="00F3390A">
        <w:t>ed</w:t>
      </w:r>
      <w:r w:rsidR="000D580B" w:rsidRPr="00661BB3">
        <w:t>:</w:t>
      </w:r>
    </w:p>
    <w:p w14:paraId="5E1B740A" w14:textId="39F0C58E" w:rsidR="000D580B" w:rsidRPr="00661BB3" w:rsidRDefault="004B28A8" w:rsidP="004D55F1">
      <w:pPr>
        <w:pStyle w:val="ListParagraph"/>
        <w:numPr>
          <w:ilvl w:val="0"/>
          <w:numId w:val="75"/>
        </w:numPr>
      </w:pPr>
      <w:r w:rsidRPr="00661BB3">
        <w:t>Redundancy</w:t>
      </w:r>
      <w:r w:rsidR="00542715">
        <w:t xml:space="preserve"> that is present</w:t>
      </w:r>
      <w:r w:rsidRPr="00661BB3">
        <w:t xml:space="preserve"> in the fire safety system</w:t>
      </w:r>
      <w:r w:rsidR="00003092" w:rsidRPr="00661BB3">
        <w:t xml:space="preserve">, </w:t>
      </w:r>
      <w:r w:rsidR="00D313C0">
        <w:t>means that</w:t>
      </w:r>
      <w:r w:rsidR="00D313C0" w:rsidRPr="00661BB3">
        <w:t xml:space="preserve"> </w:t>
      </w:r>
      <w:r w:rsidR="00492CD3" w:rsidRPr="00661BB3">
        <w:t xml:space="preserve">the failure or partial </w:t>
      </w:r>
      <w:r w:rsidR="00A52E6B" w:rsidRPr="00661BB3">
        <w:t xml:space="preserve">failure of </w:t>
      </w:r>
      <w:r w:rsidR="0013653D" w:rsidRPr="00661BB3">
        <w:t>an element</w:t>
      </w:r>
      <w:r w:rsidR="00A52E6B" w:rsidRPr="00661BB3">
        <w:t xml:space="preserve"> of the fire </w:t>
      </w:r>
      <w:r w:rsidR="0013653D" w:rsidRPr="00661BB3">
        <w:t>safety system</w:t>
      </w:r>
      <w:r w:rsidR="00013B45" w:rsidRPr="00661BB3">
        <w:t xml:space="preserve"> </w:t>
      </w:r>
      <w:r w:rsidR="00442147" w:rsidRPr="00661BB3">
        <w:t xml:space="preserve">is unlikely to result in the fire safety system </w:t>
      </w:r>
      <w:r w:rsidR="008D5995" w:rsidRPr="00661BB3">
        <w:t>not continuing to meet the objectives of the building code.</w:t>
      </w:r>
    </w:p>
    <w:p w14:paraId="22A0D1D6" w14:textId="58F83C58" w:rsidR="000E42F0" w:rsidRPr="00661BB3" w:rsidRDefault="000E42F0" w:rsidP="004D55F1">
      <w:pPr>
        <w:pStyle w:val="ListParagraph"/>
        <w:numPr>
          <w:ilvl w:val="0"/>
          <w:numId w:val="75"/>
        </w:numPr>
      </w:pPr>
      <w:r w:rsidRPr="00661BB3">
        <w:t xml:space="preserve">The likelihood that </w:t>
      </w:r>
      <w:r w:rsidR="00DB7389" w:rsidRPr="00661BB3">
        <w:t xml:space="preserve">a </w:t>
      </w:r>
      <w:r w:rsidR="0058535F" w:rsidRPr="00661BB3">
        <w:t xml:space="preserve">passive </w:t>
      </w:r>
      <w:r w:rsidR="00DB7389" w:rsidRPr="00661BB3">
        <w:t xml:space="preserve">fire or smoke separation will continue to </w:t>
      </w:r>
      <w:r w:rsidR="00681069" w:rsidRPr="00661BB3">
        <w:t xml:space="preserve">fulfil its function, </w:t>
      </w:r>
      <w:r w:rsidR="002725C6" w:rsidRPr="00661BB3">
        <w:t>despite the presence of some damage</w:t>
      </w:r>
      <w:r w:rsidR="0020723E" w:rsidRPr="00661BB3">
        <w:t xml:space="preserve"> (dependent on the damage state)</w:t>
      </w:r>
      <w:r w:rsidR="009967B5" w:rsidRPr="00661BB3">
        <w:t xml:space="preserve">, </w:t>
      </w:r>
      <w:r w:rsidR="005D0442" w:rsidRPr="00661BB3">
        <w:t>whether based on test or a</w:t>
      </w:r>
      <w:r w:rsidR="00EC7480" w:rsidRPr="00661BB3">
        <w:t xml:space="preserve"> rational assessment of </w:t>
      </w:r>
      <w:r w:rsidR="00C043CA" w:rsidRPr="00661BB3">
        <w:t xml:space="preserve">how the element functions and what </w:t>
      </w:r>
      <w:r w:rsidR="000A053E" w:rsidRPr="00661BB3">
        <w:t>impact the damage is likely to have on its performance</w:t>
      </w:r>
      <w:r w:rsidR="002725C6" w:rsidRPr="00661BB3">
        <w:t>.</w:t>
      </w:r>
    </w:p>
    <w:p w14:paraId="791B31CF" w14:textId="64D7B45F" w:rsidR="0038403C" w:rsidRPr="00661BB3" w:rsidRDefault="00F13080" w:rsidP="004D55F1">
      <w:pPr>
        <w:pStyle w:val="ListParagraph"/>
        <w:numPr>
          <w:ilvl w:val="0"/>
          <w:numId w:val="75"/>
        </w:numPr>
      </w:pPr>
      <w:r w:rsidRPr="00661BB3">
        <w:t xml:space="preserve">Where </w:t>
      </w:r>
      <w:r w:rsidR="000909C4" w:rsidRPr="00661BB3">
        <w:t xml:space="preserve">an element of the fire safety system </w:t>
      </w:r>
      <w:r w:rsidR="000E77B7" w:rsidRPr="00661BB3">
        <w:t>could be</w:t>
      </w:r>
      <w:r w:rsidR="000909C4" w:rsidRPr="00661BB3">
        <w:t xml:space="preserve"> compromised</w:t>
      </w:r>
      <w:r w:rsidR="001355F5" w:rsidRPr="00661BB3">
        <w:t xml:space="preserve"> (</w:t>
      </w:r>
      <w:r w:rsidR="00763110" w:rsidRPr="00661BB3">
        <w:t xml:space="preserve">either </w:t>
      </w:r>
      <w:r w:rsidR="00F457F5" w:rsidRPr="00661BB3">
        <w:t xml:space="preserve">an automatic or mechanical system </w:t>
      </w:r>
      <w:r w:rsidR="00763110" w:rsidRPr="00661BB3">
        <w:t>is not operating or ther</w:t>
      </w:r>
      <w:r w:rsidR="00F457F5" w:rsidRPr="00661BB3">
        <w:t xml:space="preserve">e is reduced confidence </w:t>
      </w:r>
      <w:r w:rsidR="00A00D1A" w:rsidRPr="00661BB3">
        <w:t xml:space="preserve">in </w:t>
      </w:r>
      <w:r w:rsidR="000E77B7" w:rsidRPr="00661BB3">
        <w:t>the effectiveness of passive systems due to earthquake damage)</w:t>
      </w:r>
      <w:r w:rsidR="00763110" w:rsidRPr="00661BB3">
        <w:t xml:space="preserve"> </w:t>
      </w:r>
      <w:r w:rsidR="000E77B7" w:rsidRPr="00661BB3">
        <w:t>t</w:t>
      </w:r>
      <w:r w:rsidR="00EC6963" w:rsidRPr="00661BB3">
        <w:t xml:space="preserve">he </w:t>
      </w:r>
      <w:r w:rsidR="009229D2" w:rsidRPr="00661BB3">
        <w:t>ability to put additional</w:t>
      </w:r>
      <w:r w:rsidR="00D80292" w:rsidRPr="00661BB3">
        <w:t xml:space="preserve"> management </w:t>
      </w:r>
      <w:r w:rsidR="009229D2" w:rsidRPr="00661BB3">
        <w:t xml:space="preserve">strategies in place to </w:t>
      </w:r>
      <w:r w:rsidR="00262D83" w:rsidRPr="00661BB3">
        <w:t>minimise</w:t>
      </w:r>
      <w:r w:rsidR="009229D2" w:rsidRPr="00661BB3">
        <w:t xml:space="preserve"> the risk of </w:t>
      </w:r>
      <w:r w:rsidR="002C3C8D" w:rsidRPr="00661BB3">
        <w:t>ignition or fire spread</w:t>
      </w:r>
      <w:r w:rsidR="00084D36" w:rsidRPr="00661BB3">
        <w:t xml:space="preserve"> beyond the source of ignition</w:t>
      </w:r>
      <w:r w:rsidR="00331018" w:rsidRPr="00661BB3">
        <w:t xml:space="preserve">, and </w:t>
      </w:r>
      <w:r w:rsidR="00C82ED3">
        <w:t>to maintain</w:t>
      </w:r>
      <w:r w:rsidR="00331018" w:rsidRPr="00661BB3">
        <w:t xml:space="preserve"> such </w:t>
      </w:r>
      <w:r w:rsidR="00B3727F" w:rsidRPr="00661BB3">
        <w:t>strategies until such time as</w:t>
      </w:r>
      <w:r w:rsidR="00D62EBE" w:rsidRPr="00661BB3">
        <w:t xml:space="preserve"> </w:t>
      </w:r>
      <w:r w:rsidR="00262D83" w:rsidRPr="00661BB3">
        <w:t>full function is reinstated.</w:t>
      </w:r>
    </w:p>
    <w:p w14:paraId="47D7BD66" w14:textId="7C24CFE7" w:rsidR="00F279CA" w:rsidRPr="00661BB3" w:rsidRDefault="00F279CA" w:rsidP="004D55F1">
      <w:pPr>
        <w:pStyle w:val="ListParagraph"/>
        <w:numPr>
          <w:ilvl w:val="0"/>
          <w:numId w:val="75"/>
        </w:numPr>
      </w:pPr>
      <w:r w:rsidRPr="00661BB3">
        <w:t xml:space="preserve">Mobility of persons in an area, and ability </w:t>
      </w:r>
      <w:r w:rsidR="0060116D" w:rsidRPr="00661BB3">
        <w:t xml:space="preserve">to move patients to a different area if </w:t>
      </w:r>
      <w:r w:rsidR="004A198E" w:rsidRPr="00661BB3">
        <w:t>smoke spread</w:t>
      </w:r>
      <w:r w:rsidR="00894432" w:rsidRPr="00661BB3">
        <w:t>s</w:t>
      </w:r>
      <w:r w:rsidR="002B137E" w:rsidRPr="00661BB3">
        <w:t xml:space="preserve"> more rapidly than intended</w:t>
      </w:r>
      <w:r w:rsidR="00D3725C" w:rsidRPr="00661BB3">
        <w:t>, due to damage to smoke separations.</w:t>
      </w:r>
    </w:p>
    <w:p w14:paraId="4641002F" w14:textId="253A7DB8" w:rsidR="00835562" w:rsidRPr="00F06422" w:rsidRDefault="00780C63" w:rsidP="00666E06">
      <w:r w:rsidRPr="00661BB3">
        <w:t xml:space="preserve">These principles have been considered in the </w:t>
      </w:r>
      <w:r w:rsidRPr="00661BB3">
        <w:rPr>
          <w:i/>
          <w:iCs/>
        </w:rPr>
        <w:t>Seismic Performance Framework</w:t>
      </w:r>
      <w:r w:rsidRPr="00661BB3">
        <w:t xml:space="preserve"> and the </w:t>
      </w:r>
      <w:r w:rsidR="003614CC" w:rsidRPr="00661BB3">
        <w:rPr>
          <w:i/>
          <w:iCs/>
        </w:rPr>
        <w:t>D</w:t>
      </w:r>
      <w:r w:rsidRPr="00661BB3">
        <w:rPr>
          <w:i/>
          <w:iCs/>
        </w:rPr>
        <w:t xml:space="preserve">escriptions of </w:t>
      </w:r>
      <w:r w:rsidR="003614CC" w:rsidRPr="00661BB3">
        <w:rPr>
          <w:i/>
          <w:iCs/>
        </w:rPr>
        <w:t>P</w:t>
      </w:r>
      <w:r w:rsidRPr="00661BB3">
        <w:rPr>
          <w:i/>
          <w:iCs/>
        </w:rPr>
        <w:t xml:space="preserve">hysical </w:t>
      </w:r>
      <w:r w:rsidR="003614CC" w:rsidRPr="00661BB3">
        <w:rPr>
          <w:i/>
          <w:iCs/>
        </w:rPr>
        <w:t>S</w:t>
      </w:r>
      <w:r w:rsidRPr="00661BB3">
        <w:rPr>
          <w:i/>
          <w:iCs/>
        </w:rPr>
        <w:t xml:space="preserve">tates </w:t>
      </w:r>
      <w:r w:rsidR="003614CC" w:rsidRPr="00661BB3">
        <w:rPr>
          <w:i/>
          <w:iCs/>
        </w:rPr>
        <w:t>for the SLS2 and DCLS</w:t>
      </w:r>
      <w:r w:rsidR="003614CC" w:rsidRPr="00661BB3">
        <w:t xml:space="preserve"> </w:t>
      </w:r>
      <w:r w:rsidRPr="00661BB3">
        <w:t xml:space="preserve">in Section </w:t>
      </w:r>
      <w:r w:rsidR="003614CC" w:rsidRPr="00661BB3">
        <w:fldChar w:fldCharType="begin"/>
      </w:r>
      <w:r w:rsidR="003614CC" w:rsidRPr="00661BB3">
        <w:instrText xml:space="preserve"> REF _Ref166523901 \r \h </w:instrText>
      </w:r>
      <w:r w:rsidR="00661BB3">
        <w:instrText xml:space="preserve"> \* MERGEFORMAT </w:instrText>
      </w:r>
      <w:r w:rsidR="003614CC" w:rsidRPr="00661BB3">
        <w:fldChar w:fldCharType="separate"/>
      </w:r>
      <w:r w:rsidR="000761C1">
        <w:t>B2</w:t>
      </w:r>
      <w:r w:rsidR="003614CC" w:rsidRPr="00661BB3">
        <w:fldChar w:fldCharType="end"/>
      </w:r>
      <w:r w:rsidR="00601C75">
        <w:t>.</w:t>
      </w:r>
      <w:r w:rsidR="00656544">
        <w:t xml:space="preserve"> </w:t>
      </w:r>
      <w:r w:rsidR="00601C75">
        <w:t>F</w:t>
      </w:r>
      <w:r w:rsidR="00971722" w:rsidRPr="00661BB3">
        <w:t>or non-structural elements</w:t>
      </w:r>
      <w:r w:rsidR="007C7CC8" w:rsidRPr="00661BB3">
        <w:t xml:space="preserve"> </w:t>
      </w:r>
      <w:r w:rsidR="00101621">
        <w:t xml:space="preserve">forming part </w:t>
      </w:r>
      <w:r w:rsidR="007C7CC8" w:rsidRPr="00F06422">
        <w:t>of the fire safety systems</w:t>
      </w:r>
      <w:r w:rsidR="00101621">
        <w:t>, they are</w:t>
      </w:r>
      <w:r w:rsidR="007C7CC8" w:rsidRPr="00F06422">
        <w:t xml:space="preserve"> deemed to</w:t>
      </w:r>
      <w:r w:rsidR="00971722" w:rsidRPr="00F06422">
        <w:t xml:space="preserve"> be met by application </w:t>
      </w:r>
      <w:r w:rsidR="007C7CC8" w:rsidRPr="00F06422">
        <w:t xml:space="preserve">of the requirements in Section </w:t>
      </w:r>
      <w:r w:rsidR="007C7CC8" w:rsidRPr="00F06422">
        <w:fldChar w:fldCharType="begin"/>
      </w:r>
      <w:r w:rsidR="007C7CC8" w:rsidRPr="00F06422">
        <w:instrText xml:space="preserve"> REF _Ref165301814 \r \h </w:instrText>
      </w:r>
      <w:r w:rsidR="00661BB3" w:rsidRPr="00F06422">
        <w:instrText xml:space="preserve"> \* MERGEFORMAT </w:instrText>
      </w:r>
      <w:r w:rsidR="007C7CC8" w:rsidRPr="00F06422">
        <w:fldChar w:fldCharType="separate"/>
      </w:r>
      <w:r w:rsidR="000761C1">
        <w:t>C4</w:t>
      </w:r>
      <w:r w:rsidR="007C7CC8" w:rsidRPr="00F06422">
        <w:fldChar w:fldCharType="end"/>
      </w:r>
      <w:r w:rsidR="007C7CC8" w:rsidRPr="00F06422">
        <w:t xml:space="preserve"> </w:t>
      </w:r>
      <w:r w:rsidR="007C7CC8" w:rsidRPr="00F06422">
        <w:fldChar w:fldCharType="begin"/>
      </w:r>
      <w:r w:rsidR="007C7CC8" w:rsidRPr="00F06422">
        <w:instrText xml:space="preserve"> REF _Ref165301814 \h </w:instrText>
      </w:r>
      <w:r w:rsidR="00661BB3" w:rsidRPr="00F06422">
        <w:instrText xml:space="preserve"> \* MERGEFORMAT </w:instrText>
      </w:r>
      <w:r w:rsidR="007C7CC8" w:rsidRPr="00F06422">
        <w:fldChar w:fldCharType="separate"/>
      </w:r>
      <w:r w:rsidR="000761C1" w:rsidRPr="00A9001D">
        <w:t>Non-structural Elements: Detailing and Structural Support</w:t>
      </w:r>
      <w:r w:rsidR="007C7CC8" w:rsidRPr="00F06422">
        <w:fldChar w:fldCharType="end"/>
      </w:r>
      <w:r w:rsidR="007C7CC8" w:rsidRPr="00F06422">
        <w:t>.</w:t>
      </w:r>
    </w:p>
    <w:p w14:paraId="122400EE" w14:textId="49B691E2" w:rsidR="00B35B25" w:rsidRDefault="00F15639"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For details</w:t>
      </w:r>
      <w:r w:rsidR="001101C2">
        <w:t xml:space="preserve"> </w:t>
      </w:r>
      <w:r w:rsidR="003E7694">
        <w:t xml:space="preserve">where explicit design </w:t>
      </w:r>
      <w:r w:rsidR="00DA18B9">
        <w:t>criteria or detailing examples</w:t>
      </w:r>
      <w:r w:rsidR="00B35B25">
        <w:t xml:space="preserve"> </w:t>
      </w:r>
      <w:r w:rsidR="00D95478">
        <w:t>are not available</w:t>
      </w:r>
      <w:r w:rsidR="001101C2">
        <w:t xml:space="preserve"> in Part C of this guideline, </w:t>
      </w:r>
      <w:r w:rsidR="00AA39FA">
        <w:t xml:space="preserve">design teams should apply </w:t>
      </w:r>
      <w:r w:rsidR="001101C2">
        <w:t>the above principles</w:t>
      </w:r>
      <w:r w:rsidR="0077456F">
        <w:t>,</w:t>
      </w:r>
      <w:r w:rsidR="00AA39FA">
        <w:t xml:space="preserve"> and </w:t>
      </w:r>
      <w:r w:rsidR="00D75250">
        <w:t>exercise appropriate professional judgemen</w:t>
      </w:r>
      <w:r w:rsidR="00AD1D5D">
        <w:t>t</w:t>
      </w:r>
      <w:r w:rsidR="00185D5D">
        <w:t xml:space="preserve">. This should </w:t>
      </w:r>
      <w:r w:rsidR="0058081E">
        <w:t xml:space="preserve">generally </w:t>
      </w:r>
      <w:r w:rsidR="00A4283D">
        <w:t xml:space="preserve">be </w:t>
      </w:r>
      <w:r w:rsidR="0058081E">
        <w:t>based on a qualitative assessment of the issues</w:t>
      </w:r>
      <w:r w:rsidR="0041566A">
        <w:t xml:space="preserve">, with input </w:t>
      </w:r>
      <w:r w:rsidR="00AC6F96">
        <w:t xml:space="preserve">from the fire engineer and </w:t>
      </w:r>
      <w:r w:rsidR="00EF0AFE">
        <w:t>the discipline(s) responsible for developing</w:t>
      </w:r>
      <w:r w:rsidR="00B003E0">
        <w:t>, specifying</w:t>
      </w:r>
      <w:r w:rsidR="00EF0AFE">
        <w:t xml:space="preserve"> and inputting into the details</w:t>
      </w:r>
      <w:r w:rsidR="00E363C4">
        <w:t>.</w:t>
      </w:r>
    </w:p>
    <w:p w14:paraId="1FBDF5C3" w14:textId="201FC548" w:rsidR="005E1367" w:rsidRPr="00661BB3" w:rsidRDefault="00B35B25" w:rsidP="00A74D75">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S</w:t>
      </w:r>
      <w:r w:rsidR="00AD1D5D">
        <w:t>tatement</w:t>
      </w:r>
      <w:r w:rsidR="00CB6960">
        <w:t>s</w:t>
      </w:r>
      <w:r w:rsidR="00AD1D5D">
        <w:t xml:space="preserve"> </w:t>
      </w:r>
      <w:r w:rsidR="00AD3A3A">
        <w:t>warranting</w:t>
      </w:r>
      <w:r w:rsidR="003800C3">
        <w:t xml:space="preserve"> </w:t>
      </w:r>
      <w:r w:rsidR="00134AF3">
        <w:t>compliance</w:t>
      </w:r>
      <w:r>
        <w:t xml:space="preserve"> with Building Code</w:t>
      </w:r>
      <w:r w:rsidR="00185D5D">
        <w:t xml:space="preserve"> </w:t>
      </w:r>
      <w:r w:rsidR="00CB6960">
        <w:t>C Clauses following SLS2 level</w:t>
      </w:r>
      <w:r w:rsidR="00525A7A">
        <w:t>s of</w:t>
      </w:r>
      <w:r w:rsidR="00CB6960">
        <w:t xml:space="preserve"> shaking are</w:t>
      </w:r>
      <w:r w:rsidR="00185D5D">
        <w:t xml:space="preserve"> not required</w:t>
      </w:r>
      <w:r w:rsidR="00525A7A">
        <w:t>,</w:t>
      </w:r>
      <w:r w:rsidR="00134AF3">
        <w:t xml:space="preserve"> nor </w:t>
      </w:r>
      <w:r w:rsidR="009544E8">
        <w:t xml:space="preserve">are they </w:t>
      </w:r>
      <w:r w:rsidR="00134AF3">
        <w:t>appropriate</w:t>
      </w:r>
      <w:r w:rsidR="00185D5D">
        <w:t xml:space="preserve">, as </w:t>
      </w:r>
      <w:r w:rsidR="00BE48D2">
        <w:t xml:space="preserve">a </w:t>
      </w:r>
      <w:r w:rsidR="002726AB">
        <w:t>risk-based</w:t>
      </w:r>
      <w:r w:rsidR="00BE48D2">
        <w:t xml:space="preserve"> approach</w:t>
      </w:r>
      <w:r w:rsidR="00F841E9">
        <w:t xml:space="preserve"> is </w:t>
      </w:r>
      <w:r w:rsidR="00353AFE">
        <w:t>required</w:t>
      </w:r>
      <w:r w:rsidR="004B1C4D">
        <w:t xml:space="preserve">. The design team should be able to </w:t>
      </w:r>
      <w:r w:rsidR="006F3FBE">
        <w:t>express on</w:t>
      </w:r>
      <w:r w:rsidR="004B1C4D">
        <w:t xml:space="preserve"> reasonable grounds </w:t>
      </w:r>
      <w:r w:rsidR="006F3FBE">
        <w:t xml:space="preserve">that the </w:t>
      </w:r>
      <w:r w:rsidR="00E96AB4">
        <w:t xml:space="preserve">expected level of damage to the fire safety systems </w:t>
      </w:r>
      <w:r w:rsidR="00E96AB4" w:rsidRPr="00607CC9">
        <w:t>as a whole</w:t>
      </w:r>
      <w:r w:rsidR="0012379C">
        <w:t xml:space="preserve"> (from SLS2 shaking)</w:t>
      </w:r>
      <w:r w:rsidR="00E96AB4">
        <w:t xml:space="preserve"> is unlikely to </w:t>
      </w:r>
      <w:r w:rsidR="00217D12">
        <w:t xml:space="preserve">present </w:t>
      </w:r>
      <w:r w:rsidR="00353E4A">
        <w:t xml:space="preserve">a </w:t>
      </w:r>
      <w:r w:rsidR="00BF1FD2">
        <w:t>disproportionate</w:t>
      </w:r>
      <w:r w:rsidR="00217D12">
        <w:t xml:space="preserve"> risk</w:t>
      </w:r>
      <w:r w:rsidR="004732BA">
        <w:t xml:space="preserve"> to </w:t>
      </w:r>
      <w:r w:rsidR="00C46606">
        <w:t>the safety of occupants</w:t>
      </w:r>
      <w:r w:rsidR="00F841E9">
        <w:t xml:space="preserve"> (from fire)</w:t>
      </w:r>
      <w:r w:rsidR="00217D12">
        <w:t xml:space="preserve"> that </w:t>
      </w:r>
      <w:r w:rsidR="00353E4A">
        <w:t xml:space="preserve">would prevent </w:t>
      </w:r>
      <w:r w:rsidR="00217D12">
        <w:t>the building</w:t>
      </w:r>
      <w:r w:rsidR="00353E4A">
        <w:t xml:space="preserve"> from</w:t>
      </w:r>
      <w:r w:rsidR="00217D12">
        <w:t xml:space="preserve"> </w:t>
      </w:r>
      <w:r w:rsidR="00353E4A">
        <w:t>continuing to be used</w:t>
      </w:r>
      <w:r w:rsidR="00217D12">
        <w:t>.</w:t>
      </w:r>
      <w:r w:rsidR="0012379C">
        <w:t xml:space="preserve"> </w:t>
      </w:r>
      <w:r w:rsidR="009461F2">
        <w:t xml:space="preserve">Refer to Section </w:t>
      </w:r>
      <w:r w:rsidR="009461F2">
        <w:fldChar w:fldCharType="begin"/>
      </w:r>
      <w:r w:rsidR="009461F2">
        <w:instrText xml:space="preserve"> REF _Ref182583500 \r \h </w:instrText>
      </w:r>
      <w:r w:rsidR="00A74D75">
        <w:instrText xml:space="preserve"> \* MERGEFORMAT </w:instrText>
      </w:r>
      <w:r w:rsidR="009461F2">
        <w:fldChar w:fldCharType="separate"/>
      </w:r>
      <w:r w:rsidR="000761C1">
        <w:t>C4.5.3</w:t>
      </w:r>
      <w:r w:rsidR="009461F2">
        <w:fldChar w:fldCharType="end"/>
      </w:r>
      <w:r w:rsidR="006379F0">
        <w:t xml:space="preserve"> for additional commentary</w:t>
      </w:r>
      <w:r w:rsidR="00EC4784">
        <w:t xml:space="preserve"> on the application of these principles to</w:t>
      </w:r>
      <w:r w:rsidR="006379F0">
        <w:t xml:space="preserve"> the</w:t>
      </w:r>
      <w:r w:rsidR="003B347D">
        <w:t xml:space="preserve"> common example of</w:t>
      </w:r>
      <w:r w:rsidR="006379F0">
        <w:t xml:space="preserve"> fire performance of engineered slip planes </w:t>
      </w:r>
      <w:r w:rsidR="00EB4E76">
        <w:t>following</w:t>
      </w:r>
      <w:r w:rsidR="00AD3A3A">
        <w:t xml:space="preserve"> </w:t>
      </w:r>
      <w:r w:rsidR="00F841E9">
        <w:t>subject</w:t>
      </w:r>
      <w:r w:rsidR="00AD3A3A">
        <w:t>ion</w:t>
      </w:r>
      <w:r w:rsidR="006379F0">
        <w:t xml:space="preserve"> to earthquake deformations</w:t>
      </w:r>
      <w:r w:rsidR="00305349">
        <w:t xml:space="preserve">, and the development of </w:t>
      </w:r>
      <w:r w:rsidR="00F841E9">
        <w:t xml:space="preserve">acceptable </w:t>
      </w:r>
      <w:r w:rsidR="00305349">
        <w:t>details.</w:t>
      </w:r>
      <w:r w:rsidR="005E1367" w:rsidRPr="00661BB3">
        <w:br w:type="page"/>
      </w:r>
    </w:p>
    <w:p w14:paraId="04D53B4F" w14:textId="07C8D352" w:rsidR="00CA64CD" w:rsidRPr="00A9001D" w:rsidRDefault="00354E1F" w:rsidP="00041251">
      <w:pPr>
        <w:pStyle w:val="Section2Heading1"/>
      </w:pPr>
      <w:bookmarkStart w:id="209" w:name="_Ref165531972"/>
      <w:bookmarkStart w:id="210" w:name="_Ref165531976"/>
      <w:bookmarkStart w:id="211" w:name="_Toc203641963"/>
      <w:r w:rsidRPr="00A9001D">
        <w:lastRenderedPageBreak/>
        <w:t>Structural Requirements for Adaptable Spaces</w:t>
      </w:r>
      <w:bookmarkEnd w:id="209"/>
      <w:bookmarkEnd w:id="210"/>
      <w:bookmarkEnd w:id="211"/>
    </w:p>
    <w:p w14:paraId="68B33DD1" w14:textId="2A8793DA" w:rsidR="00CA64CD" w:rsidRPr="00661BB3" w:rsidRDefault="00CA7A6A" w:rsidP="00041251">
      <w:pPr>
        <w:pStyle w:val="Section2Heading2"/>
      </w:pPr>
      <w:bookmarkStart w:id="212" w:name="_Toc203641964"/>
      <w:r w:rsidRPr="00661BB3">
        <w:t>Spatial Planning</w:t>
      </w:r>
      <w:bookmarkEnd w:id="212"/>
    </w:p>
    <w:p w14:paraId="1BC80068" w14:textId="301362ED" w:rsidR="00372DEF" w:rsidRPr="00661BB3" w:rsidRDefault="007029D1" w:rsidP="00666E06">
      <w:r w:rsidRPr="00661BB3">
        <w:t xml:space="preserve">Hospital facilities </w:t>
      </w:r>
      <w:r w:rsidR="00DF2FA3" w:rsidRPr="00661BB3">
        <w:t xml:space="preserve">are generally </w:t>
      </w:r>
      <w:r w:rsidR="00F607FF" w:rsidRPr="00661BB3">
        <w:t xml:space="preserve">planned and </w:t>
      </w:r>
      <w:r w:rsidR="00DF2FA3" w:rsidRPr="00661BB3">
        <w:t xml:space="preserve">designed to </w:t>
      </w:r>
      <w:r w:rsidR="00E019CE" w:rsidRPr="00661BB3">
        <w:t>a</w:t>
      </w:r>
      <w:r w:rsidR="00DF2FA3" w:rsidRPr="00661BB3">
        <w:t xml:space="preserve"> principle of </w:t>
      </w:r>
      <w:r w:rsidR="00DF2FA3" w:rsidRPr="00661BB3">
        <w:rPr>
          <w:b/>
          <w:bCs/>
        </w:rPr>
        <w:t>long life</w:t>
      </w:r>
      <w:r w:rsidR="00920592">
        <w:rPr>
          <w:b/>
          <w:bCs/>
        </w:rPr>
        <w:t xml:space="preserve"> </w:t>
      </w:r>
      <w:r w:rsidR="00DF2FA3" w:rsidRPr="00661BB3">
        <w:rPr>
          <w:b/>
          <w:bCs/>
        </w:rPr>
        <w:t>loose fit</w:t>
      </w:r>
      <w:r w:rsidR="009B18BD" w:rsidRPr="00661BB3">
        <w:t>.</w:t>
      </w:r>
      <w:r w:rsidR="00DF2FA3" w:rsidRPr="00661BB3">
        <w:t xml:space="preserve"> Thi</w:t>
      </w:r>
      <w:r w:rsidR="00F607FF" w:rsidRPr="00661BB3">
        <w:t>s recognises</w:t>
      </w:r>
      <w:r w:rsidR="00E23FA8" w:rsidRPr="00661BB3">
        <w:t xml:space="preserve"> that the specific building </w:t>
      </w:r>
      <w:r w:rsidR="004C4E34" w:rsidRPr="00661BB3">
        <w:t xml:space="preserve">uses </w:t>
      </w:r>
      <w:r w:rsidR="00E23FA8" w:rsidRPr="00661BB3">
        <w:t>may need to change over time, due to:</w:t>
      </w:r>
    </w:p>
    <w:p w14:paraId="281419D3" w14:textId="542B7A7E" w:rsidR="00E23FA8" w:rsidRPr="00661BB3" w:rsidRDefault="00E23FA8" w:rsidP="004D55F1">
      <w:pPr>
        <w:pStyle w:val="ListParagraph"/>
        <w:numPr>
          <w:ilvl w:val="0"/>
          <w:numId w:val="64"/>
        </w:numPr>
      </w:pPr>
      <w:r w:rsidRPr="00661BB3">
        <w:t>Changing mode</w:t>
      </w:r>
      <w:r w:rsidR="00831936" w:rsidRPr="00661BB3">
        <w:t>l</w:t>
      </w:r>
      <w:r w:rsidRPr="00661BB3">
        <w:t xml:space="preserve">s of care </w:t>
      </w:r>
      <w:r w:rsidR="008C05F7" w:rsidRPr="00661BB3">
        <w:t>with</w:t>
      </w:r>
      <w:r w:rsidRPr="00661BB3">
        <w:t xml:space="preserve"> time</w:t>
      </w:r>
      <w:r w:rsidR="00700C9A" w:rsidRPr="00661BB3">
        <w:t>, which can result in desired room or ideal health planning unit sizes growing and shrinking</w:t>
      </w:r>
      <w:r w:rsidR="00920592">
        <w:t xml:space="preserve"> </w:t>
      </w:r>
      <w:r w:rsidR="008C05F7" w:rsidRPr="00661BB3">
        <w:t>or different adjacencies being desired</w:t>
      </w:r>
      <w:r w:rsidR="000F2674" w:rsidRPr="00661BB3">
        <w:t xml:space="preserve"> to create </w:t>
      </w:r>
      <w:r w:rsidR="004A43C9" w:rsidRPr="00661BB3">
        <w:t>staffing and floor area</w:t>
      </w:r>
      <w:r w:rsidR="00F25B29" w:rsidRPr="00661BB3">
        <w:t xml:space="preserve"> (GFA)</w:t>
      </w:r>
      <w:r w:rsidR="004A43C9" w:rsidRPr="00661BB3">
        <w:t xml:space="preserve"> </w:t>
      </w:r>
      <w:r w:rsidR="000F2674" w:rsidRPr="00661BB3">
        <w:t>efficiencies or opportunities for sharing space</w:t>
      </w:r>
      <w:r w:rsidR="008C05F7" w:rsidRPr="00661BB3">
        <w:t>.</w:t>
      </w:r>
    </w:p>
    <w:p w14:paraId="31883B5F" w14:textId="5DABA74C" w:rsidR="008C05F7" w:rsidRPr="00661BB3" w:rsidRDefault="00CA13E2" w:rsidP="004D55F1">
      <w:pPr>
        <w:pStyle w:val="ListParagraph"/>
        <w:numPr>
          <w:ilvl w:val="0"/>
          <w:numId w:val="64"/>
        </w:numPr>
      </w:pPr>
      <w:r w:rsidRPr="00661BB3">
        <w:t>Strategies for managing increase</w:t>
      </w:r>
      <w:r w:rsidR="00681472" w:rsidRPr="00661BB3">
        <w:t xml:space="preserve">s in </w:t>
      </w:r>
      <w:r w:rsidR="00746783" w:rsidRPr="00661BB3">
        <w:t>service</w:t>
      </w:r>
      <w:r w:rsidR="00681472" w:rsidRPr="00661BB3">
        <w:t xml:space="preserve"> capacity</w:t>
      </w:r>
      <w:r w:rsidRPr="00661BB3">
        <w:t xml:space="preserve">, </w:t>
      </w:r>
      <w:r w:rsidR="004913D1" w:rsidRPr="00661BB3">
        <w:t>decant</w:t>
      </w:r>
      <w:r w:rsidR="00FF5DFD" w:rsidRPr="00661BB3">
        <w:t xml:space="preserve"> and </w:t>
      </w:r>
      <w:r w:rsidR="004913D1" w:rsidRPr="00661BB3">
        <w:t>development strategies</w:t>
      </w:r>
      <w:r w:rsidR="00681472" w:rsidRPr="00661BB3">
        <w:t xml:space="preserve">, and relocation of </w:t>
      </w:r>
      <w:r w:rsidR="00746783" w:rsidRPr="00661BB3">
        <w:t xml:space="preserve">healthcare </w:t>
      </w:r>
      <w:r w:rsidR="00681472" w:rsidRPr="00661BB3">
        <w:t>services</w:t>
      </w:r>
      <w:r w:rsidR="00746783" w:rsidRPr="00661BB3">
        <w:t>/departments</w:t>
      </w:r>
      <w:r w:rsidR="00740A0B" w:rsidRPr="00661BB3">
        <w:t>.</w:t>
      </w:r>
    </w:p>
    <w:p w14:paraId="1ABC53B2" w14:textId="3ED979F4" w:rsidR="009B18BD" w:rsidRPr="00661BB3" w:rsidRDefault="007D2581" w:rsidP="00666E06">
      <w:r w:rsidRPr="00661BB3">
        <w:t>Although</w:t>
      </w:r>
      <w:r w:rsidR="00372DEF" w:rsidRPr="00661BB3">
        <w:t xml:space="preserve"> wholesale changes to a buildings function </w:t>
      </w:r>
      <w:r w:rsidR="00B50985" w:rsidRPr="00661BB3">
        <w:t>and fitout are rare in the short to medium term</w:t>
      </w:r>
      <w:r w:rsidR="00920592">
        <w:t xml:space="preserve">, </w:t>
      </w:r>
      <w:r w:rsidR="00BE6EC8" w:rsidRPr="00661BB3">
        <w:t xml:space="preserve">the provision of regular adaptable spaces are preferred over structural solutions which are </w:t>
      </w:r>
      <w:r w:rsidR="003C0B06" w:rsidRPr="00661BB3">
        <w:t xml:space="preserve">overly </w:t>
      </w:r>
      <w:r w:rsidR="00BE6EC8" w:rsidRPr="00661BB3">
        <w:t xml:space="preserve">bespoke to </w:t>
      </w:r>
      <w:r w:rsidR="003C0B06" w:rsidRPr="00661BB3">
        <w:t xml:space="preserve">specific planning arrangements or </w:t>
      </w:r>
      <w:r w:rsidR="00BE6EC8" w:rsidRPr="00661BB3">
        <w:t>fitouts</w:t>
      </w:r>
      <w:r w:rsidR="00B50985" w:rsidRPr="00661BB3">
        <w:t>.</w:t>
      </w:r>
    </w:p>
    <w:p w14:paraId="4BB990FD" w14:textId="70663FB9" w:rsidR="001C6653" w:rsidRPr="007E04D4" w:rsidRDefault="00A95F29" w:rsidP="00D56CAE">
      <w:pPr>
        <w:pStyle w:val="BodyHeading"/>
        <w:rPr>
          <w:color w:val="0C818E"/>
        </w:rPr>
      </w:pPr>
      <w:r w:rsidRPr="007E04D4">
        <w:rPr>
          <w:color w:val="0C818E"/>
        </w:rPr>
        <w:t xml:space="preserve">Regular </w:t>
      </w:r>
      <w:r w:rsidR="003C04C7" w:rsidRPr="007E04D4">
        <w:rPr>
          <w:color w:val="0C818E"/>
        </w:rPr>
        <w:t xml:space="preserve">Primary Structural </w:t>
      </w:r>
      <w:r w:rsidRPr="007E04D4">
        <w:rPr>
          <w:color w:val="0C818E"/>
        </w:rPr>
        <w:t>Grids</w:t>
      </w:r>
      <w:r w:rsidR="001C6653" w:rsidRPr="007E04D4">
        <w:rPr>
          <w:color w:val="0C818E"/>
        </w:rPr>
        <w:t xml:space="preserve">, and alignment with </w:t>
      </w:r>
      <w:r w:rsidR="001C6653" w:rsidRPr="007E04D4">
        <w:rPr>
          <w:i/>
          <w:color w:val="0C818E"/>
        </w:rPr>
        <w:t>Health Planning Units</w:t>
      </w:r>
    </w:p>
    <w:p w14:paraId="76AA89D4" w14:textId="10EB8874" w:rsidR="00A95F29" w:rsidRPr="00661BB3" w:rsidRDefault="00CE0C5D" w:rsidP="00666E06">
      <w:r w:rsidRPr="00661BB3">
        <w:t>To minimise cost and maximise adaptability</w:t>
      </w:r>
      <w:r w:rsidR="00FA495E" w:rsidRPr="00661BB3">
        <w:t xml:space="preserve">, </w:t>
      </w:r>
      <w:r w:rsidR="00B25D5C" w:rsidRPr="00661BB3">
        <w:t xml:space="preserve">structural </w:t>
      </w:r>
      <w:r w:rsidR="004B3CE0" w:rsidRPr="00661BB3">
        <w:t>performance,</w:t>
      </w:r>
      <w:r w:rsidR="00FA495E" w:rsidRPr="00661BB3">
        <w:t xml:space="preserve"> and ability to standardise façade components</w:t>
      </w:r>
      <w:r w:rsidRPr="00661BB3">
        <w:t xml:space="preserve">, teams </w:t>
      </w:r>
      <w:r w:rsidR="0075578D" w:rsidRPr="00661BB3">
        <w:t xml:space="preserve">should seek </w:t>
      </w:r>
      <w:r w:rsidR="00F163A2" w:rsidRPr="00661BB3">
        <w:t xml:space="preserve">to maximise </w:t>
      </w:r>
      <w:r w:rsidR="00E95669" w:rsidRPr="00661BB3">
        <w:t>grid regularity to the extent practical, minimising bespoke</w:t>
      </w:r>
      <w:r w:rsidR="00F163A2" w:rsidRPr="00661BB3">
        <w:t xml:space="preserve"> variance.</w:t>
      </w:r>
      <w:r w:rsidR="00F57925" w:rsidRPr="00661BB3">
        <w:t xml:space="preserve"> It is preferable to </w:t>
      </w:r>
      <w:r w:rsidR="008D1376" w:rsidRPr="00661BB3">
        <w:t>accommodate lateral stability</w:t>
      </w:r>
      <w:r w:rsidR="00C13D85" w:rsidRPr="00661BB3">
        <w:t xml:space="preserve"> logically</w:t>
      </w:r>
      <w:r w:rsidR="008D1376" w:rsidRPr="00661BB3">
        <w:t xml:space="preserve"> structure within such a</w:t>
      </w:r>
      <w:r w:rsidR="003D235D" w:rsidRPr="00661BB3">
        <w:t xml:space="preserve"> grid </w:t>
      </w:r>
      <w:r w:rsidR="004B3CE0" w:rsidRPr="00661BB3">
        <w:t>arrangement or</w:t>
      </w:r>
      <w:r w:rsidR="003D235D" w:rsidRPr="00661BB3">
        <w:t xml:space="preserve"> locate concentrated bracing structure at anchored points on plan where they are least likely to impose on efficient planning, and adaptation of fitout in future.</w:t>
      </w:r>
    </w:p>
    <w:p w14:paraId="28EE32D6" w14:textId="77777777" w:rsidR="004F0E68" w:rsidRPr="00661BB3" w:rsidRDefault="00CB5522" w:rsidP="007E04D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 xml:space="preserve">An ability to modulate structural grids with standard </w:t>
      </w:r>
      <w:r w:rsidR="00E95669" w:rsidRPr="00661BB3">
        <w:t xml:space="preserve">health planning units has some merit. </w:t>
      </w:r>
      <w:r w:rsidR="002D6E5B" w:rsidRPr="00661BB3">
        <w:t xml:space="preserve">Some </w:t>
      </w:r>
      <w:r w:rsidR="00D41A57" w:rsidRPr="00661BB3">
        <w:t xml:space="preserve">standard </w:t>
      </w:r>
      <w:r w:rsidR="0045774F" w:rsidRPr="00661BB3">
        <w:rPr>
          <w:iCs/>
        </w:rPr>
        <w:t>AusHFG</w:t>
      </w:r>
      <w:r w:rsidR="0045774F" w:rsidRPr="00661BB3">
        <w:t xml:space="preserve"> </w:t>
      </w:r>
      <w:r w:rsidR="00D41A57" w:rsidRPr="00661BB3">
        <w:t>health planning units such as</w:t>
      </w:r>
      <w:r w:rsidR="00636DF8" w:rsidRPr="00661BB3">
        <w:t xml:space="preserve"> the</w:t>
      </w:r>
      <w:r w:rsidR="00D41A57" w:rsidRPr="00661BB3">
        <w:t xml:space="preserve"> </w:t>
      </w:r>
      <w:r w:rsidR="0045774F" w:rsidRPr="00661BB3">
        <w:rPr>
          <w:iCs/>
        </w:rPr>
        <w:t xml:space="preserve">Adult </w:t>
      </w:r>
      <w:r w:rsidR="00D41A57" w:rsidRPr="00661BB3">
        <w:rPr>
          <w:iCs/>
        </w:rPr>
        <w:t>A</w:t>
      </w:r>
      <w:r w:rsidR="0045774F" w:rsidRPr="00661BB3">
        <w:rPr>
          <w:iCs/>
        </w:rPr>
        <w:t>cute Inpatient Unit</w:t>
      </w:r>
      <w:r w:rsidR="0045774F" w:rsidRPr="00661BB3">
        <w:t xml:space="preserve"> </w:t>
      </w:r>
      <w:r w:rsidR="00674BA9" w:rsidRPr="00661BB3">
        <w:t>provide standard room layouts</w:t>
      </w:r>
      <w:r w:rsidR="00D423A8" w:rsidRPr="00661BB3">
        <w:t xml:space="preserve"> </w:t>
      </w:r>
      <w:r w:rsidR="00BB128C" w:rsidRPr="00661BB3">
        <w:t xml:space="preserve">for common repeatable rooms </w:t>
      </w:r>
      <w:r w:rsidR="00D423A8" w:rsidRPr="00661BB3">
        <w:t>that are intended to modulate with common structural grids (such as 7.8m or 8.4m)</w:t>
      </w:r>
      <w:r w:rsidR="00BB128C" w:rsidRPr="00661BB3">
        <w:t>.</w:t>
      </w:r>
    </w:p>
    <w:p w14:paraId="0025DAD2" w14:textId="24E45D4C" w:rsidR="003C04C7" w:rsidRPr="00661BB3" w:rsidRDefault="00CF34E4" w:rsidP="007E04D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61BB3">
        <w:t>Design</w:t>
      </w:r>
      <w:r w:rsidR="004F0E68" w:rsidRPr="00661BB3">
        <w:t xml:space="preserve"> teams</w:t>
      </w:r>
      <w:r w:rsidRPr="00661BB3">
        <w:t xml:space="preserve"> should be conscious </w:t>
      </w:r>
      <w:r w:rsidR="00D32FD4" w:rsidRPr="00661BB3">
        <w:t xml:space="preserve">that </w:t>
      </w:r>
      <w:r w:rsidR="00145C03" w:rsidRPr="00661BB3">
        <w:t xml:space="preserve">some structural </w:t>
      </w:r>
      <w:r w:rsidR="00F57925" w:rsidRPr="00661BB3">
        <w:t>typologies can produce</w:t>
      </w:r>
      <w:r w:rsidR="00145C03" w:rsidRPr="00661BB3">
        <w:t xml:space="preserve"> columns sizes and structural grid offsets to façade </w:t>
      </w:r>
      <w:r w:rsidR="00490637" w:rsidRPr="00661BB3">
        <w:t>which may</w:t>
      </w:r>
      <w:r w:rsidR="00145C03" w:rsidRPr="00661BB3">
        <w:t xml:space="preserve"> </w:t>
      </w:r>
      <w:r w:rsidR="002D1F26" w:rsidRPr="00661BB3">
        <w:t>encroach on the</w:t>
      </w:r>
      <w:r w:rsidR="00300A5C" w:rsidRPr="00661BB3">
        <w:t xml:space="preserve"> standard room layouts and challenge </w:t>
      </w:r>
      <w:r w:rsidR="00490637" w:rsidRPr="00661BB3">
        <w:t>common rules around</w:t>
      </w:r>
      <w:r w:rsidR="00465EF0" w:rsidRPr="00661BB3">
        <w:t xml:space="preserve"> grid and GFA efficiency</w:t>
      </w:r>
      <w:r w:rsidR="00C5124F">
        <w:t xml:space="preserve">, </w:t>
      </w:r>
      <w:r w:rsidR="00CE6D4C" w:rsidRPr="00661BB3">
        <w:t>especially in higher seismic zones</w:t>
      </w:r>
      <w:r w:rsidR="004C323B" w:rsidRPr="00661BB3">
        <w:t xml:space="preserve">. These </w:t>
      </w:r>
      <w:r w:rsidR="00300A5C" w:rsidRPr="00661BB3">
        <w:t>factors</w:t>
      </w:r>
      <w:r w:rsidR="004C323B" w:rsidRPr="00661BB3">
        <w:t xml:space="preserve"> should be considered as part of concept optioneering</w:t>
      </w:r>
      <w:r w:rsidR="00490637" w:rsidRPr="00661BB3">
        <w:t xml:space="preserve"> and test-fit</w:t>
      </w:r>
      <w:r w:rsidR="004C323B" w:rsidRPr="00661BB3">
        <w:t xml:space="preserve"> to ensure such assumptions </w:t>
      </w:r>
      <w:r w:rsidR="000944E0" w:rsidRPr="00661BB3">
        <w:t xml:space="preserve">around common modulations </w:t>
      </w:r>
      <w:r w:rsidR="004C323B" w:rsidRPr="00661BB3">
        <w:t>are appropriately tested.</w:t>
      </w:r>
    </w:p>
    <w:p w14:paraId="60ED3417" w14:textId="41DD352D" w:rsidR="003C04C7" w:rsidRPr="007E04D4" w:rsidRDefault="00A91ECD" w:rsidP="00D56CAE">
      <w:pPr>
        <w:pStyle w:val="BodyHeading"/>
        <w:rPr>
          <w:color w:val="0C818E"/>
        </w:rPr>
      </w:pPr>
      <w:r w:rsidRPr="007E04D4">
        <w:rPr>
          <w:color w:val="0C818E"/>
        </w:rPr>
        <w:t>Avoid</w:t>
      </w:r>
      <w:r w:rsidR="00303F6E" w:rsidRPr="007E04D4">
        <w:rPr>
          <w:color w:val="0C818E"/>
        </w:rPr>
        <w:t>ing</w:t>
      </w:r>
      <w:r w:rsidRPr="007E04D4">
        <w:rPr>
          <w:color w:val="0C818E"/>
        </w:rPr>
        <w:t xml:space="preserve"> reliance on detailed fitout for primary structur</w:t>
      </w:r>
      <w:r w:rsidR="00064B18" w:rsidRPr="007E04D4">
        <w:rPr>
          <w:color w:val="0C818E"/>
        </w:rPr>
        <w:t>al support</w:t>
      </w:r>
    </w:p>
    <w:p w14:paraId="1A743619" w14:textId="7E7D409E" w:rsidR="00EE6DFA" w:rsidRPr="00661BB3" w:rsidRDefault="001F4586" w:rsidP="00666E06">
      <w:r w:rsidRPr="00661BB3">
        <w:t xml:space="preserve">For </w:t>
      </w:r>
      <w:r w:rsidR="00C32EEF" w:rsidRPr="00661BB3">
        <w:t xml:space="preserve">most </w:t>
      </w:r>
      <w:r w:rsidR="00E16A8C" w:rsidRPr="00661BB3">
        <w:t>secondary and tertiary healthcare facilities, reliance on fitout</w:t>
      </w:r>
      <w:r w:rsidR="00D93CB2" w:rsidRPr="00661BB3">
        <w:t xml:space="preserve"> </w:t>
      </w:r>
      <w:r w:rsidR="00E16A8C" w:rsidRPr="00661BB3">
        <w:t>for primary vertical or lateral structural support is undesirable</w:t>
      </w:r>
      <w:r w:rsidR="00047B10" w:rsidRPr="00661BB3">
        <w:t>. It creates challenges</w:t>
      </w:r>
      <w:r w:rsidR="00CE31AF" w:rsidRPr="00661BB3">
        <w:t xml:space="preserve"> in alterations (or even </w:t>
      </w:r>
      <w:r w:rsidR="003122B9" w:rsidRPr="00661BB3">
        <w:t xml:space="preserve">in facilitating simple </w:t>
      </w:r>
      <w:r w:rsidR="00CE31AF" w:rsidRPr="00661BB3">
        <w:t>design changes during construction)</w:t>
      </w:r>
      <w:r w:rsidR="00A300D7" w:rsidRPr="00661BB3">
        <w:t>. It can</w:t>
      </w:r>
      <w:r w:rsidR="00C70BA3" w:rsidRPr="00661BB3">
        <w:t xml:space="preserve"> introduce compliance risk</w:t>
      </w:r>
      <w:r w:rsidR="002F775C" w:rsidRPr="00661BB3">
        <w:t>;</w:t>
      </w:r>
      <w:r w:rsidR="00C70BA3" w:rsidRPr="00661BB3">
        <w:t xml:space="preserve"> and</w:t>
      </w:r>
      <w:r w:rsidR="00B31F62" w:rsidRPr="00661BB3">
        <w:t xml:space="preserve"> </w:t>
      </w:r>
      <w:r w:rsidR="00F110FB" w:rsidRPr="00661BB3">
        <w:t xml:space="preserve">achieving satisfactory load paths can be difficult to </w:t>
      </w:r>
      <w:r w:rsidR="002F22B2" w:rsidRPr="00661BB3">
        <w:t xml:space="preserve">execute effectively in </w:t>
      </w:r>
      <w:r w:rsidR="00A300D7" w:rsidRPr="00661BB3">
        <w:t>many</w:t>
      </w:r>
      <w:r w:rsidR="002F22B2" w:rsidRPr="00661BB3">
        <w:t xml:space="preserve"> </w:t>
      </w:r>
      <w:r w:rsidR="002F22B2" w:rsidRPr="00661BB3">
        <w:lastRenderedPageBreak/>
        <w:t>practical construction environments</w:t>
      </w:r>
      <w:r w:rsidR="00C5124F">
        <w:t xml:space="preserve"> </w:t>
      </w:r>
      <w:r w:rsidR="009A397C" w:rsidRPr="00661BB3">
        <w:t>with risk of hidden costs</w:t>
      </w:r>
      <w:r w:rsidR="00F110FB" w:rsidRPr="00661BB3">
        <w:t xml:space="preserve">. These construction types also </w:t>
      </w:r>
      <w:r w:rsidR="00EE6DFA" w:rsidRPr="00661BB3">
        <w:t>generally involve the use of bracing systems which</w:t>
      </w:r>
      <w:r w:rsidR="009A397C" w:rsidRPr="00661BB3">
        <w:t>,</w:t>
      </w:r>
      <w:r w:rsidR="00EE6DFA" w:rsidRPr="00661BB3">
        <w:t xml:space="preserve"> whilst </w:t>
      </w:r>
      <w:r w:rsidR="009A397C" w:rsidRPr="00661BB3">
        <w:t xml:space="preserve">inherently </w:t>
      </w:r>
      <w:r w:rsidR="00EE6DFA" w:rsidRPr="00661BB3">
        <w:t>robust</w:t>
      </w:r>
      <w:r w:rsidR="00651EC7" w:rsidRPr="00661BB3">
        <w:t xml:space="preserve"> from an overall structural safety point of view</w:t>
      </w:r>
      <w:r w:rsidR="00EE6DFA" w:rsidRPr="00661BB3">
        <w:t xml:space="preserve">, can be more prone to </w:t>
      </w:r>
      <w:r w:rsidR="00651EC7" w:rsidRPr="00661BB3">
        <w:t xml:space="preserve">quicker onset of </w:t>
      </w:r>
      <w:r w:rsidR="00EE6DFA" w:rsidRPr="00661BB3">
        <w:t>damage</w:t>
      </w:r>
      <w:r w:rsidR="00E16A8C" w:rsidRPr="00661BB3">
        <w:t>.</w:t>
      </w:r>
    </w:p>
    <w:p w14:paraId="65EB6A94" w14:textId="59D722E0" w:rsidR="00064B18" w:rsidRPr="00C32870" w:rsidRDefault="002A2EF6" w:rsidP="00666E06">
      <w:r w:rsidRPr="00661BB3">
        <w:t xml:space="preserve">Additional </w:t>
      </w:r>
      <w:r w:rsidR="00945014" w:rsidRPr="00661BB3">
        <w:t xml:space="preserve">commentary </w:t>
      </w:r>
      <w:r w:rsidR="00047B10" w:rsidRPr="00661BB3">
        <w:t xml:space="preserve">and </w:t>
      </w:r>
      <w:r w:rsidR="00047B10" w:rsidRPr="00C32870">
        <w:t>requirements are</w:t>
      </w:r>
      <w:r w:rsidR="00945014" w:rsidRPr="00C32870">
        <w:t xml:space="preserve"> </w:t>
      </w:r>
      <w:r w:rsidR="00047B10" w:rsidRPr="00C32870">
        <w:t>located</w:t>
      </w:r>
      <w:r w:rsidR="00945014" w:rsidRPr="00C32870">
        <w:t xml:space="preserve"> in Section </w:t>
      </w:r>
      <w:r w:rsidR="00945014" w:rsidRPr="00C32870">
        <w:fldChar w:fldCharType="begin"/>
      </w:r>
      <w:r w:rsidR="00945014" w:rsidRPr="00C32870">
        <w:instrText xml:space="preserve"> REF _Ref165527855 \r \h </w:instrText>
      </w:r>
      <w:r w:rsidR="00370662" w:rsidRPr="00C32870">
        <w:instrText xml:space="preserve"> \* MERGEFORMAT </w:instrText>
      </w:r>
      <w:r w:rsidR="00945014" w:rsidRPr="00C32870">
        <w:fldChar w:fldCharType="separate"/>
      </w:r>
      <w:r w:rsidR="000761C1">
        <w:t>C5</w:t>
      </w:r>
      <w:r w:rsidR="00945014" w:rsidRPr="00C32870">
        <w:fldChar w:fldCharType="end"/>
      </w:r>
      <w:r w:rsidR="00945014" w:rsidRPr="00C32870">
        <w:t xml:space="preserve"> </w:t>
      </w:r>
      <w:r w:rsidR="00945014" w:rsidRPr="00C32870">
        <w:fldChar w:fldCharType="begin"/>
      </w:r>
      <w:r w:rsidR="00945014" w:rsidRPr="00C32870">
        <w:instrText xml:space="preserve"> REF _Ref165527871 \h </w:instrText>
      </w:r>
      <w:r w:rsidR="00370662" w:rsidRPr="00C32870">
        <w:instrText xml:space="preserve"> \* MERGEFORMAT </w:instrText>
      </w:r>
      <w:r w:rsidR="00945014" w:rsidRPr="00C32870">
        <w:fldChar w:fldCharType="separate"/>
      </w:r>
      <w:r w:rsidR="000761C1" w:rsidRPr="00A9001D">
        <w:t>Design of Lightweight and Low-rise Hospital Infrastructure</w:t>
      </w:r>
      <w:r w:rsidR="00945014" w:rsidRPr="00C32870">
        <w:fldChar w:fldCharType="end"/>
      </w:r>
      <w:r w:rsidR="00945014" w:rsidRPr="00C32870">
        <w:t>.</w:t>
      </w:r>
    </w:p>
    <w:p w14:paraId="7F16C5D1" w14:textId="685ABEE3" w:rsidR="00CA7A6A" w:rsidRPr="004E48DA" w:rsidRDefault="00F548BF" w:rsidP="007E04D4">
      <w:pPr>
        <w:pStyle w:val="Section2Heading2"/>
      </w:pPr>
      <w:bookmarkStart w:id="213" w:name="_Ref165386570"/>
      <w:bookmarkStart w:id="214" w:name="_Ref165531988"/>
      <w:bookmarkStart w:id="215" w:name="_Ref166592411"/>
      <w:bookmarkStart w:id="216" w:name="_Ref166598067"/>
      <w:bookmarkStart w:id="217" w:name="_Ref166598077"/>
      <w:bookmarkStart w:id="218" w:name="_Toc203641965"/>
      <w:r w:rsidRPr="004E48DA">
        <w:t xml:space="preserve">Adaptable </w:t>
      </w:r>
      <w:r w:rsidR="009B18BD" w:rsidRPr="004E48DA">
        <w:t>Floor Structure</w:t>
      </w:r>
      <w:bookmarkEnd w:id="213"/>
      <w:bookmarkEnd w:id="214"/>
      <w:r w:rsidR="001C03F8" w:rsidRPr="004E48DA">
        <w:t>s</w:t>
      </w:r>
      <w:bookmarkEnd w:id="215"/>
      <w:bookmarkEnd w:id="216"/>
      <w:bookmarkEnd w:id="217"/>
      <w:bookmarkEnd w:id="218"/>
    </w:p>
    <w:p w14:paraId="187398B9" w14:textId="78D47977" w:rsidR="00E34D84" w:rsidRPr="004E48DA" w:rsidRDefault="00E34D84" w:rsidP="00666E06">
      <w:r w:rsidRPr="004E48DA">
        <w:t>Some p</w:t>
      </w:r>
      <w:r w:rsidR="00831727" w:rsidRPr="004E48DA">
        <w:t xml:space="preserve">rinciples </w:t>
      </w:r>
      <w:r w:rsidR="0099608C" w:rsidRPr="004E48DA">
        <w:t xml:space="preserve">or strategies </w:t>
      </w:r>
      <w:r w:rsidR="00831727" w:rsidRPr="004E48DA">
        <w:t xml:space="preserve">commonly </w:t>
      </w:r>
      <w:r w:rsidRPr="004E48DA">
        <w:t>considered</w:t>
      </w:r>
      <w:r w:rsidR="00831727" w:rsidRPr="004E48DA">
        <w:t xml:space="preserve"> </w:t>
      </w:r>
      <w:r w:rsidR="00E96CFA" w:rsidRPr="004E48DA">
        <w:t xml:space="preserve">to </w:t>
      </w:r>
      <w:r w:rsidRPr="004E48DA">
        <w:t>improve</w:t>
      </w:r>
      <w:r w:rsidR="00E96CFA" w:rsidRPr="004E48DA">
        <w:t xml:space="preserve"> adaptability of floor </w:t>
      </w:r>
      <w:r w:rsidR="00BF29C3" w:rsidRPr="004E48DA">
        <w:t>plates</w:t>
      </w:r>
      <w:r w:rsidRPr="004E48DA">
        <w:t xml:space="preserve"> in healthcare facilities</w:t>
      </w:r>
      <w:r w:rsidR="00C94856" w:rsidRPr="004E48DA">
        <w:t xml:space="preserve"> are listed below</w:t>
      </w:r>
      <w:r w:rsidR="005A7947" w:rsidRPr="004E48DA">
        <w:t xml:space="preserve">. They </w:t>
      </w:r>
      <w:r w:rsidR="00C94856" w:rsidRPr="004E48DA">
        <w:t>are not exhaustive</w:t>
      </w:r>
      <w:r w:rsidR="005A7947" w:rsidRPr="004E48DA">
        <w:t>, nor do any constitute a specific requirement</w:t>
      </w:r>
      <w:r w:rsidR="00C94856" w:rsidRPr="004E48DA">
        <w:t>.</w:t>
      </w:r>
    </w:p>
    <w:p w14:paraId="0A4D2E7A" w14:textId="35A80449" w:rsidR="00C94856" w:rsidRPr="004E48DA" w:rsidRDefault="00C94856" w:rsidP="00666E06">
      <w:r w:rsidRPr="004E48DA">
        <w:t xml:space="preserve">It is important to </w:t>
      </w:r>
      <w:r w:rsidR="00522CB3" w:rsidRPr="004E48DA">
        <w:t xml:space="preserve">weigh </w:t>
      </w:r>
      <w:r w:rsidR="007D5C79">
        <w:t xml:space="preserve">Health NZ </w:t>
      </w:r>
      <w:r w:rsidR="00697FB8">
        <w:t>’s</w:t>
      </w:r>
      <w:r w:rsidR="00522CB3" w:rsidRPr="004E48DA">
        <w:t xml:space="preserve"> desire for adaptability and </w:t>
      </w:r>
      <w:r w:rsidR="009930C2" w:rsidRPr="004E48DA">
        <w:t>the</w:t>
      </w:r>
      <w:r w:rsidR="00522CB3" w:rsidRPr="004E48DA">
        <w:t xml:space="preserve"> </w:t>
      </w:r>
      <w:r w:rsidR="00885FAF" w:rsidRPr="004E48DA">
        <w:t>‘</w:t>
      </w:r>
      <w:r w:rsidR="00522CB3" w:rsidRPr="004E48DA">
        <w:t>long</w:t>
      </w:r>
      <w:r w:rsidR="002A7A87" w:rsidRPr="004E48DA">
        <w:t xml:space="preserve"> </w:t>
      </w:r>
      <w:r w:rsidR="00522CB3" w:rsidRPr="004E48DA">
        <w:t>life</w:t>
      </w:r>
      <w:r w:rsidR="00C5124F">
        <w:t xml:space="preserve"> </w:t>
      </w:r>
      <w:r w:rsidR="00522CB3" w:rsidRPr="004E48DA">
        <w:t>loose fit</w:t>
      </w:r>
      <w:r w:rsidR="00885FAF" w:rsidRPr="004E48DA">
        <w:t>’</w:t>
      </w:r>
      <w:r w:rsidR="00522CB3" w:rsidRPr="004E48DA">
        <w:t xml:space="preserve"> design principle, with the cost associated with implementing some of these strategies.</w:t>
      </w:r>
      <w:r w:rsidR="00B061B8" w:rsidRPr="004E48DA">
        <w:t xml:space="preserve"> In </w:t>
      </w:r>
      <w:r w:rsidR="00F91754" w:rsidRPr="004E48DA">
        <w:t>many</w:t>
      </w:r>
      <w:r w:rsidR="00B061B8" w:rsidRPr="004E48DA">
        <w:t xml:space="preserve"> instances, simple and regular adaptable design thinking will incur little premium. In other situations, specific provisioning for</w:t>
      </w:r>
      <w:r w:rsidR="009136BC" w:rsidRPr="004E48DA">
        <w:t xml:space="preserve"> maximum adaptability in</w:t>
      </w:r>
      <w:r w:rsidR="00B061B8" w:rsidRPr="004E48DA">
        <w:t xml:space="preserve"> future </w:t>
      </w:r>
      <w:r w:rsidR="00FA6704" w:rsidRPr="004E48DA">
        <w:t>uses can incur cost</w:t>
      </w:r>
      <w:r w:rsidR="00BC5AE9" w:rsidRPr="004E48DA">
        <w:t xml:space="preserve">. For </w:t>
      </w:r>
      <w:r w:rsidR="0034168E" w:rsidRPr="004E48DA">
        <w:t>example,</w:t>
      </w:r>
      <w:r w:rsidR="00BC5AE9" w:rsidRPr="004E48DA">
        <w:t xml:space="preserve"> approaches that add significant amounts of seismic mass</w:t>
      </w:r>
      <w:r w:rsidR="006100A5" w:rsidRPr="004E48DA">
        <w:t xml:space="preserve"> can have </w:t>
      </w:r>
      <w:r w:rsidR="00C921F0" w:rsidRPr="004E48DA">
        <w:t xml:space="preserve">incremental </w:t>
      </w:r>
      <w:r w:rsidR="006100A5" w:rsidRPr="004E48DA">
        <w:t xml:space="preserve">flow on impacts to foundation structure and lateral </w:t>
      </w:r>
      <w:r w:rsidR="00545CF5" w:rsidRPr="004E48DA">
        <w:t xml:space="preserve">stability </w:t>
      </w:r>
      <w:r w:rsidR="006100A5" w:rsidRPr="004E48DA">
        <w:t>structure</w:t>
      </w:r>
      <w:r w:rsidR="00B4453D">
        <w:t xml:space="preserve"> </w:t>
      </w:r>
      <w:r w:rsidR="005462F9" w:rsidRPr="004E48DA">
        <w:t>which may or may not be significant depending on the structural typology and project context.</w:t>
      </w:r>
      <w:r w:rsidR="005F66E9" w:rsidRPr="004E48DA">
        <w:t xml:space="preserve"> </w:t>
      </w:r>
      <w:r w:rsidR="005462F9" w:rsidRPr="004E48DA">
        <w:t>I</w:t>
      </w:r>
      <w:r w:rsidR="005F66E9" w:rsidRPr="004E48DA">
        <w:t xml:space="preserve">t is important to test </w:t>
      </w:r>
      <w:r w:rsidR="005462F9" w:rsidRPr="004E48DA">
        <w:t xml:space="preserve">the cost of future provisioning </w:t>
      </w:r>
      <w:r w:rsidR="005F66E9" w:rsidRPr="004E48DA">
        <w:t xml:space="preserve">against the </w:t>
      </w:r>
      <w:r w:rsidR="005462F9" w:rsidRPr="004E48DA">
        <w:t xml:space="preserve">extent of </w:t>
      </w:r>
      <w:r w:rsidR="005F66E9" w:rsidRPr="004E48DA">
        <w:t xml:space="preserve">value in provisioning </w:t>
      </w:r>
      <w:r w:rsidR="005462F9" w:rsidRPr="004E48DA">
        <w:t>that is likely to be realised</w:t>
      </w:r>
      <w:r w:rsidR="005F66E9" w:rsidRPr="004E48DA">
        <w:t>.</w:t>
      </w:r>
    </w:p>
    <w:p w14:paraId="376A62C0" w14:textId="2F152427" w:rsidR="00B94C2A" w:rsidRPr="004E48DA" w:rsidRDefault="00E93F76" w:rsidP="00666E06">
      <w:r w:rsidRPr="004E48DA">
        <w:t>A converse and similar</w:t>
      </w:r>
      <w:r w:rsidR="00381623" w:rsidRPr="004E48DA">
        <w:t>ly</w:t>
      </w:r>
      <w:r w:rsidRPr="004E48DA">
        <w:t xml:space="preserve"> important lean-design principle is </w:t>
      </w:r>
      <w:r w:rsidR="00885FAF" w:rsidRPr="004E48DA">
        <w:t>‘</w:t>
      </w:r>
      <w:r w:rsidRPr="004E48DA">
        <w:t>design for now, strengthen if use changes</w:t>
      </w:r>
      <w:r w:rsidR="00885FAF" w:rsidRPr="004E48DA">
        <w:t>’</w:t>
      </w:r>
      <w:r w:rsidR="00004B04" w:rsidRPr="004E48DA">
        <w:t xml:space="preserve"> </w:t>
      </w:r>
      <w:sdt>
        <w:sdtPr>
          <w:id w:val="639391512"/>
          <w:citation/>
        </w:sdtPr>
        <w:sdtEndPr/>
        <w:sdtContent>
          <w:r w:rsidR="00004B04" w:rsidRPr="004E48DA">
            <w:fldChar w:fldCharType="begin"/>
          </w:r>
          <w:r w:rsidR="00004B04" w:rsidRPr="004E48DA">
            <w:rPr>
              <w:lang w:val="en-US"/>
            </w:rPr>
            <w:instrText xml:space="preserve"> CITATION Wat20 \l 1033 </w:instrText>
          </w:r>
          <w:r w:rsidR="00004B04" w:rsidRPr="004E48DA">
            <w:fldChar w:fldCharType="separate"/>
          </w:r>
          <w:r w:rsidR="00222D65">
            <w:rPr>
              <w:noProof/>
              <w:lang w:val="en-US"/>
            </w:rPr>
            <w:t>(Watson, 2020)</w:t>
          </w:r>
          <w:r w:rsidR="00004B04" w:rsidRPr="004E48DA">
            <w:fldChar w:fldCharType="end"/>
          </w:r>
        </w:sdtContent>
      </w:sdt>
      <w:r w:rsidRPr="004E48DA">
        <w:t>.</w:t>
      </w:r>
      <w:r w:rsidR="00B00D36" w:rsidRPr="004E48DA">
        <w:t xml:space="preserve"> This principle is applied in sustainability </w:t>
      </w:r>
      <w:r w:rsidR="002A43E4" w:rsidRPr="004E48DA">
        <w:t xml:space="preserve">contexts </w:t>
      </w:r>
      <w:r w:rsidR="00E630B4" w:rsidRPr="004E48DA">
        <w:t>but</w:t>
      </w:r>
      <w:r w:rsidR="00B00D36" w:rsidRPr="004E48DA">
        <w:t xml:space="preserve"> is relevant to both </w:t>
      </w:r>
      <w:r w:rsidR="00F9454A" w:rsidRPr="004E48DA">
        <w:t>up-front and whole</w:t>
      </w:r>
      <w:r w:rsidR="002A43E4" w:rsidRPr="004E48DA">
        <w:t>-</w:t>
      </w:r>
      <w:r w:rsidR="00F9454A" w:rsidRPr="004E48DA">
        <w:t>of</w:t>
      </w:r>
      <w:r w:rsidR="002A43E4" w:rsidRPr="004E48DA">
        <w:t>-</w:t>
      </w:r>
      <w:r w:rsidR="00F9454A" w:rsidRPr="004E48DA">
        <w:t>life</w:t>
      </w:r>
      <w:r w:rsidR="00D35084" w:rsidRPr="004E48DA">
        <w:t xml:space="preserve"> </w:t>
      </w:r>
      <w:r w:rsidR="00D35084" w:rsidRPr="004E48DA">
        <w:rPr>
          <w:i/>
        </w:rPr>
        <w:t>cost</w:t>
      </w:r>
      <w:r w:rsidR="00B00D36" w:rsidRPr="004E48DA">
        <w:t xml:space="preserve"> and </w:t>
      </w:r>
      <w:r w:rsidR="00B00D36" w:rsidRPr="004E48DA">
        <w:rPr>
          <w:i/>
        </w:rPr>
        <w:t>carbon cost</w:t>
      </w:r>
      <w:r w:rsidR="00ED0127" w:rsidRPr="004E48DA">
        <w:t xml:space="preserve">. The principle </w:t>
      </w:r>
      <w:r w:rsidR="00DC4E42" w:rsidRPr="004E48DA">
        <w:t xml:space="preserve">proposes that the cost </w:t>
      </w:r>
      <w:r w:rsidR="00ED0127" w:rsidRPr="004E48DA">
        <w:t>in applying blanket</w:t>
      </w:r>
      <w:r w:rsidR="00DC4E42" w:rsidRPr="004E48DA">
        <w:t xml:space="preserve"> </w:t>
      </w:r>
      <w:r w:rsidR="00B94C2A" w:rsidRPr="004E48DA">
        <w:t xml:space="preserve">future </w:t>
      </w:r>
      <w:r w:rsidR="00C27D4E" w:rsidRPr="004E48DA">
        <w:t xml:space="preserve">provision can be higher than the cost to strengthen </w:t>
      </w:r>
      <w:r w:rsidR="001E4616" w:rsidRPr="004E48DA">
        <w:t>or</w:t>
      </w:r>
      <w:r w:rsidR="00C27D4E" w:rsidRPr="004E48DA">
        <w:t xml:space="preserve"> alter </w:t>
      </w:r>
      <w:r w:rsidR="00381244" w:rsidRPr="004E48DA">
        <w:t xml:space="preserve">specific areas as needed in the future </w:t>
      </w:r>
      <w:r w:rsidR="00C27D4E" w:rsidRPr="004E48DA">
        <w:t>without such provision</w:t>
      </w:r>
      <w:r w:rsidR="00B94C2A" w:rsidRPr="004E48DA">
        <w:t>s being</w:t>
      </w:r>
      <w:r w:rsidR="00C27D4E" w:rsidRPr="004E48DA">
        <w:t xml:space="preserve"> </w:t>
      </w:r>
      <w:r w:rsidR="00381244" w:rsidRPr="004E48DA">
        <w:t>made</w:t>
      </w:r>
      <w:r w:rsidR="00381623" w:rsidRPr="004E48DA">
        <w:t>.</w:t>
      </w:r>
      <w:r w:rsidR="00E17192" w:rsidRPr="004E48DA">
        <w:t xml:space="preserve"> In fact, designers should recognise </w:t>
      </w:r>
      <w:r w:rsidR="00550ADB" w:rsidRPr="004E48DA">
        <w:t xml:space="preserve">effort internationally (in general contexts, not specific to healthcare) to reverse trends towards </w:t>
      </w:r>
      <w:r w:rsidR="00CF7A53" w:rsidRPr="004E48DA">
        <w:t xml:space="preserve">cautious </w:t>
      </w:r>
      <w:r w:rsidR="00550ADB" w:rsidRPr="004E48DA">
        <w:t>overspecification of floor loads</w:t>
      </w:r>
      <w:r w:rsidR="003031DF" w:rsidRPr="004E48DA">
        <w:t xml:space="preserve"> and explore </w:t>
      </w:r>
      <w:r w:rsidR="00257E11" w:rsidRPr="004E48DA">
        <w:t>evidence-based reductions in prescribed live loading</w:t>
      </w:r>
      <w:r w:rsidR="00E0135D" w:rsidRPr="004E48DA">
        <w:t xml:space="preserve"> to manage adaptability and reuse</w:t>
      </w:r>
      <w:r w:rsidR="00257E11" w:rsidRPr="004E48DA">
        <w:t>.</w:t>
      </w:r>
    </w:p>
    <w:p w14:paraId="10C44062" w14:textId="0452DDB0" w:rsidR="00FA6704" w:rsidRPr="004E48DA" w:rsidRDefault="00381623" w:rsidP="00666E06">
      <w:r w:rsidRPr="004E48DA">
        <w:t xml:space="preserve">In the context of hospital design, </w:t>
      </w:r>
      <w:r w:rsidR="00DE5E1B" w:rsidRPr="004E48DA">
        <w:t>significant structural strengthening or alteration</w:t>
      </w:r>
      <w:r w:rsidR="00AE5C18" w:rsidRPr="004E48DA">
        <w:t xml:space="preserve"> is more difficult</w:t>
      </w:r>
      <w:r w:rsidR="00921C31" w:rsidRPr="004E48DA">
        <w:t xml:space="preserve"> and </w:t>
      </w:r>
      <w:r w:rsidR="007D5C79">
        <w:t xml:space="preserve">Health NZ </w:t>
      </w:r>
      <w:r w:rsidR="00921C31" w:rsidRPr="004E48DA">
        <w:t xml:space="preserve">want to minimise the </w:t>
      </w:r>
      <w:r w:rsidR="00925201" w:rsidRPr="004E48DA">
        <w:t>instances that this is required</w:t>
      </w:r>
      <w:r w:rsidR="00C5124F">
        <w:t xml:space="preserve">, </w:t>
      </w:r>
      <w:r w:rsidR="0041494C" w:rsidRPr="004E48DA">
        <w:t>but this principle should still be considered in this context</w:t>
      </w:r>
      <w:r w:rsidR="00AE5C18" w:rsidRPr="004E48DA">
        <w:t>.</w:t>
      </w:r>
      <w:r w:rsidR="00E93F76" w:rsidRPr="004E48DA">
        <w:t xml:space="preserve"> </w:t>
      </w:r>
      <w:r w:rsidR="005F66E9" w:rsidRPr="004E48DA">
        <w:t>In some instances,</w:t>
      </w:r>
      <w:r w:rsidR="000214D6" w:rsidRPr="004E48DA">
        <w:t xml:space="preserve"> </w:t>
      </w:r>
      <w:r w:rsidR="00ED0127" w:rsidRPr="004E48DA">
        <w:t xml:space="preserve">it may lead to </w:t>
      </w:r>
      <w:r w:rsidR="000214D6" w:rsidRPr="004E48DA">
        <w:t xml:space="preserve">a more targeted </w:t>
      </w:r>
      <w:r w:rsidR="005F66E9" w:rsidRPr="004E48DA">
        <w:t xml:space="preserve">and strategic </w:t>
      </w:r>
      <w:r w:rsidR="000214D6" w:rsidRPr="004E48DA">
        <w:t>approach to specific future provisioning</w:t>
      </w:r>
      <w:r w:rsidR="0041494C" w:rsidRPr="004E48DA">
        <w:t xml:space="preserve"> that is a better overall use of </w:t>
      </w:r>
      <w:r w:rsidR="00481B2E" w:rsidRPr="004E48DA">
        <w:t xml:space="preserve">healthcare infrastructure </w:t>
      </w:r>
      <w:r w:rsidR="00E96CC7" w:rsidRPr="004E48DA">
        <w:t xml:space="preserve">investment </w:t>
      </w:r>
      <w:r w:rsidR="00481B2E" w:rsidRPr="004E48DA">
        <w:t>budget</w:t>
      </w:r>
      <w:r w:rsidR="00E96CC7" w:rsidRPr="004E48DA">
        <w:t xml:space="preserve">, with lower </w:t>
      </w:r>
      <w:r w:rsidR="00E96CC7" w:rsidRPr="004E48DA">
        <w:rPr>
          <w:i/>
          <w:iCs/>
        </w:rPr>
        <w:t>Up-front</w:t>
      </w:r>
      <w:r w:rsidR="00E96CC7" w:rsidRPr="004E48DA">
        <w:t xml:space="preserve"> and </w:t>
      </w:r>
      <w:r w:rsidR="00E96CC7" w:rsidRPr="004E48DA">
        <w:rPr>
          <w:i/>
          <w:iCs/>
        </w:rPr>
        <w:t>Whole-of-Life Embodied Carbon</w:t>
      </w:r>
      <w:r w:rsidR="00E96CC7" w:rsidRPr="004E48DA">
        <w:t xml:space="preserve"> outcomes</w:t>
      </w:r>
      <w:r w:rsidR="00FE3CDA" w:rsidRPr="004E48DA">
        <w:t>.</w:t>
      </w:r>
    </w:p>
    <w:p w14:paraId="597F15CE" w14:textId="3450EFDF" w:rsidR="004823D8" w:rsidRDefault="007D5C79" w:rsidP="00666E06">
      <w:pPr>
        <w:pStyle w:val="Requirement"/>
      </w:pPr>
      <w:r w:rsidRPr="000274CA">
        <w:rPr>
          <w:b/>
          <w:bCs/>
        </w:rPr>
        <w:t xml:space="preserve">Health NZ </w:t>
      </w:r>
      <w:r w:rsidR="000274CA" w:rsidRPr="000274CA">
        <w:rPr>
          <w:b/>
          <w:bCs/>
        </w:rPr>
        <w:t>Recommendation</w:t>
      </w:r>
      <w:r w:rsidR="004823D8" w:rsidRPr="000274CA">
        <w:t xml:space="preserve">: Consider strategies that </w:t>
      </w:r>
      <w:r w:rsidR="009B62CD">
        <w:t>minimise any</w:t>
      </w:r>
      <w:r w:rsidR="00706C8A">
        <w:t xml:space="preserve"> unreasonable impediment to future</w:t>
      </w:r>
      <w:r w:rsidR="004823D8" w:rsidRPr="000274CA">
        <w:t xml:space="preserve"> adaptability</w:t>
      </w:r>
      <w:r w:rsidR="00AC397D" w:rsidRPr="000274CA">
        <w:t xml:space="preserve">, and weigh these </w:t>
      </w:r>
      <w:r w:rsidR="005F200D" w:rsidRPr="000274CA">
        <w:t>in tension with</w:t>
      </w:r>
      <w:r w:rsidR="00AC397D" w:rsidRPr="000274CA">
        <w:t xml:space="preserve"> estimated up-front </w:t>
      </w:r>
      <w:r w:rsidR="00AC397D" w:rsidRPr="004E48DA">
        <w:t xml:space="preserve">cost premiums and the </w:t>
      </w:r>
      <w:r w:rsidR="0014100F">
        <w:t xml:space="preserve">realistic </w:t>
      </w:r>
      <w:r w:rsidR="005F200D" w:rsidRPr="004E48DA">
        <w:t>extent of</w:t>
      </w:r>
      <w:r w:rsidR="009930C2" w:rsidRPr="004E48DA">
        <w:t xml:space="preserve"> value </w:t>
      </w:r>
      <w:r w:rsidR="005F200D" w:rsidRPr="004E48DA">
        <w:t xml:space="preserve">likely to be realised from </w:t>
      </w:r>
      <w:r w:rsidR="003E4018" w:rsidRPr="004E48DA">
        <w:t xml:space="preserve">any </w:t>
      </w:r>
      <w:r w:rsidR="005F200D" w:rsidRPr="004E48DA">
        <w:t>specific</w:t>
      </w:r>
      <w:r w:rsidR="009930C2" w:rsidRPr="004E48DA">
        <w:t xml:space="preserve"> </w:t>
      </w:r>
      <w:r w:rsidR="003E4018" w:rsidRPr="004E48DA">
        <w:t xml:space="preserve">and potentially costly </w:t>
      </w:r>
      <w:r w:rsidR="009930C2" w:rsidRPr="004E48DA">
        <w:t>provision</w:t>
      </w:r>
      <w:r w:rsidR="005F200D" w:rsidRPr="004E48DA">
        <w:t>ing</w:t>
      </w:r>
      <w:r w:rsidR="005D000E" w:rsidRPr="004E48DA">
        <w:t xml:space="preserve"> that is proposed</w:t>
      </w:r>
      <w:r w:rsidR="009930C2" w:rsidRPr="004E48DA">
        <w:t>.</w:t>
      </w:r>
      <w:r w:rsidR="00C669ED">
        <w:t xml:space="preserve"> Blanket overprovisioning is discouraged.</w:t>
      </w:r>
    </w:p>
    <w:p w14:paraId="00FC81E9" w14:textId="4A2E51DA" w:rsidR="00AE64BD" w:rsidRPr="00E046CE" w:rsidRDefault="00AE64BD" w:rsidP="00C96326">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530"/>
      </w:pPr>
      <w:r w:rsidRPr="00E046CE">
        <w:t>Example strategies and considerations for improving adaptability of floor plates</w:t>
      </w:r>
    </w:p>
    <w:p w14:paraId="25B76A88" w14:textId="0E921AA8" w:rsidR="00690E35" w:rsidRPr="004E48DA" w:rsidRDefault="00690E35"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 xml:space="preserve">Design for floor loadings that capture the range of uses across a facility and provides </w:t>
      </w:r>
      <w:r w:rsidR="0070591E" w:rsidRPr="004E48DA">
        <w:t xml:space="preserve">a basic minimum </w:t>
      </w:r>
      <w:r w:rsidRPr="004E48DA">
        <w:t>flexibility for future reconfiguration</w:t>
      </w:r>
      <w:r w:rsidR="0070591E" w:rsidRPr="004E48DA">
        <w:t xml:space="preserve"> (refer to Section </w:t>
      </w:r>
      <w:r w:rsidR="0070591E" w:rsidRPr="004E48DA">
        <w:lastRenderedPageBreak/>
        <w:fldChar w:fldCharType="begin"/>
      </w:r>
      <w:r w:rsidR="0070591E" w:rsidRPr="004E48DA">
        <w:instrText xml:space="preserve"> REF _Ref151128808 \r \h </w:instrText>
      </w:r>
      <w:r w:rsidR="004E48DA">
        <w:instrText xml:space="preserve"> \* MERGEFORMAT </w:instrText>
      </w:r>
      <w:r w:rsidR="0070591E" w:rsidRPr="004E48DA">
        <w:fldChar w:fldCharType="separate"/>
      </w:r>
      <w:r w:rsidR="000761C1">
        <w:t>C1.2</w:t>
      </w:r>
      <w:r w:rsidR="0070591E" w:rsidRPr="004E48DA">
        <w:fldChar w:fldCharType="end"/>
      </w:r>
      <w:r w:rsidR="0070591E" w:rsidRPr="004E48DA">
        <w:t>)</w:t>
      </w:r>
      <w:r w:rsidRPr="004E48DA">
        <w:t xml:space="preserve">. Adoption of minimum code loading requirement specific to the initial intended use may limit the adaptability of floor plates, notably in respect to </w:t>
      </w:r>
      <w:r w:rsidR="001F3072" w:rsidRPr="004E48DA">
        <w:t>w</w:t>
      </w:r>
      <w:r w:rsidRPr="004E48DA">
        <w:t>ard use.</w:t>
      </w:r>
      <w:r w:rsidR="00DB3A9E">
        <w:br/>
      </w:r>
      <w:r w:rsidR="00DB3A9E">
        <w:br/>
      </w:r>
      <w:r w:rsidR="00797123" w:rsidRPr="004E48DA">
        <w:t>S</w:t>
      </w:r>
      <w:r w:rsidR="004D03F8" w:rsidRPr="004E48DA">
        <w:t xml:space="preserve">trategic approaches to </w:t>
      </w:r>
      <w:r w:rsidR="0028406B" w:rsidRPr="004E48DA">
        <w:t>providing adaptability via floor loading</w:t>
      </w:r>
      <w:r w:rsidR="00797123" w:rsidRPr="004E48DA">
        <w:t xml:space="preserve"> should be considered</w:t>
      </w:r>
      <w:r w:rsidR="004D03F8" w:rsidRPr="004E48DA">
        <w:t>.</w:t>
      </w:r>
      <w:r w:rsidR="0081458B" w:rsidRPr="004E48DA">
        <w:t xml:space="preserve"> Often hospital floors that meet vibration and robustness requirements can deliver high local load capacities</w:t>
      </w:r>
      <w:r w:rsidR="00C621F4" w:rsidRPr="004E48DA">
        <w:t>. T</w:t>
      </w:r>
      <w:r w:rsidR="00797123" w:rsidRPr="004E48DA">
        <w:t>his</w:t>
      </w:r>
      <w:r w:rsidR="00C621F4" w:rsidRPr="004E48DA">
        <w:t xml:space="preserve"> is desirable</w:t>
      </w:r>
      <w:r w:rsidR="00797123" w:rsidRPr="004E48DA">
        <w:t xml:space="preserve"> </w:t>
      </w:r>
      <w:r w:rsidR="0081458B" w:rsidRPr="004E48DA">
        <w:t>can be taken advantage of</w:t>
      </w:r>
      <w:r w:rsidR="000B7FFE" w:rsidRPr="004E48DA">
        <w:t xml:space="preserve"> in future adaptations</w:t>
      </w:r>
      <w:r w:rsidR="0081458B" w:rsidRPr="004E48DA">
        <w:t xml:space="preserve">. However, </w:t>
      </w:r>
      <w:r w:rsidR="005D689A" w:rsidRPr="004E48DA">
        <w:t xml:space="preserve">often </w:t>
      </w:r>
      <w:r w:rsidR="0081458B" w:rsidRPr="004E48DA">
        <w:t xml:space="preserve">these </w:t>
      </w:r>
      <w:r w:rsidR="000B7FFE" w:rsidRPr="004E48DA">
        <w:t xml:space="preserve">loadings </w:t>
      </w:r>
      <w:r w:rsidR="0081458B" w:rsidRPr="004E48DA">
        <w:t xml:space="preserve">need </w:t>
      </w:r>
      <w:r w:rsidR="0081458B" w:rsidRPr="00DB3A9E">
        <w:rPr>
          <w:iCs/>
        </w:rPr>
        <w:t>not</w:t>
      </w:r>
      <w:r w:rsidR="0081458B" w:rsidRPr="004E48DA">
        <w:t xml:space="preserve"> be accumulated</w:t>
      </w:r>
      <w:r w:rsidR="006B1ADE" w:rsidRPr="004E48DA">
        <w:t xml:space="preserve"> over large areas to the extent that </w:t>
      </w:r>
      <w:r w:rsidR="008B042F">
        <w:t>they</w:t>
      </w:r>
      <w:r w:rsidR="006B1ADE" w:rsidRPr="004E48DA">
        <w:t xml:space="preserve"> impact seismic mass, primary column or foundation sizing</w:t>
      </w:r>
      <w:r w:rsidR="00C5124F">
        <w:t xml:space="preserve"> </w:t>
      </w:r>
      <w:r w:rsidR="004A61EF">
        <w:t xml:space="preserve">(as </w:t>
      </w:r>
      <w:r w:rsidR="00176D4F" w:rsidRPr="004E48DA">
        <w:t xml:space="preserve">this approach to blanket </w:t>
      </w:r>
      <w:r w:rsidR="00AB0665" w:rsidRPr="004E48DA">
        <w:t>over-</w:t>
      </w:r>
      <w:r w:rsidR="00176D4F" w:rsidRPr="004E48DA">
        <w:t>provisioning will usually carry a high structural premium</w:t>
      </w:r>
      <w:r w:rsidR="004A61EF">
        <w:t>)</w:t>
      </w:r>
      <w:r w:rsidR="00A140FD" w:rsidRPr="004E48DA">
        <w:t xml:space="preserve">. Instead, </w:t>
      </w:r>
      <w:r w:rsidR="007D5C79">
        <w:t xml:space="preserve">Health NZ </w:t>
      </w:r>
      <w:r w:rsidR="00156DF4" w:rsidRPr="004E48DA">
        <w:t xml:space="preserve">prefer designers to deliver a </w:t>
      </w:r>
      <w:r w:rsidR="006356EB" w:rsidRPr="004E48DA">
        <w:t xml:space="preserve">design which complies with </w:t>
      </w:r>
      <w:r w:rsidR="00A140FD" w:rsidRPr="004E48DA">
        <w:t>Design Actions</w:t>
      </w:r>
      <w:r w:rsidR="006356EB" w:rsidRPr="004E48DA">
        <w:t xml:space="preserve"> </w:t>
      </w:r>
      <w:r w:rsidR="00A140FD" w:rsidRPr="004E48DA">
        <w:t>S</w:t>
      </w:r>
      <w:r w:rsidR="006356EB" w:rsidRPr="004E48DA">
        <w:t>tandards</w:t>
      </w:r>
      <w:r w:rsidR="00A140FD" w:rsidRPr="004E48DA">
        <w:t xml:space="preserve"> (AS/NZS 1170 Suite)</w:t>
      </w:r>
      <w:r w:rsidR="006356EB" w:rsidRPr="004E48DA">
        <w:t xml:space="preserve"> </w:t>
      </w:r>
      <w:r w:rsidR="00625E4A" w:rsidRPr="004E48DA">
        <w:t>for the initial proposed use, with</w:t>
      </w:r>
      <w:r w:rsidR="006356EB" w:rsidRPr="004E48DA">
        <w:t xml:space="preserve"> strategic philosophy to demonstrate that </w:t>
      </w:r>
      <w:r w:rsidR="00625E4A" w:rsidRPr="004E48DA">
        <w:t>sufficient provision for future adaptability exists</w:t>
      </w:r>
      <w:r w:rsidR="00AB0665" w:rsidRPr="004E48DA">
        <w:t xml:space="preserve">, </w:t>
      </w:r>
      <w:r w:rsidR="009D08B0" w:rsidRPr="004E48DA">
        <w:t xml:space="preserve">but which avoids blanket over-provisioning where possible. Approaches should be </w:t>
      </w:r>
      <w:r w:rsidR="00625E4A" w:rsidRPr="004E48DA">
        <w:t xml:space="preserve">recorded in loading plans </w:t>
      </w:r>
      <w:r w:rsidR="009D08B0" w:rsidRPr="004E48DA">
        <w:t>and clarified in</w:t>
      </w:r>
      <w:r w:rsidR="00625E4A" w:rsidRPr="004E48DA">
        <w:t xml:space="preserve"> project documentation (Structural DFR) as appropriate</w:t>
      </w:r>
      <w:r w:rsidR="006B1ADE" w:rsidRPr="004E48DA">
        <w:t>.</w:t>
      </w:r>
    </w:p>
    <w:p w14:paraId="68A25408" w14:textId="7EA48C1E" w:rsidR="00F513EC" w:rsidRPr="004E48DA" w:rsidRDefault="00F513EC"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Consider appropriate allowances for heavy equipment and strategies for accommodating transport routes for installation, replacement and maintenance.</w:t>
      </w:r>
      <w:r w:rsidR="00DD061C">
        <w:t xml:space="preserve"> Transport routes should generally be considered on a point load or moving </w:t>
      </w:r>
      <w:r w:rsidR="001801B7">
        <w:t xml:space="preserve">point </w:t>
      </w:r>
      <w:r w:rsidR="00DD061C">
        <w:t>load basis</w:t>
      </w:r>
      <w:r w:rsidR="00B05184">
        <w:t xml:space="preserve"> (</w:t>
      </w:r>
      <w:r w:rsidR="008C2C29">
        <w:t>a smeared UDL over the entire route would overestimate the total load</w:t>
      </w:r>
      <w:r w:rsidR="00B05184">
        <w:t>)</w:t>
      </w:r>
      <w:r w:rsidR="00DD061C">
        <w:t>.</w:t>
      </w:r>
    </w:p>
    <w:p w14:paraId="367EB250" w14:textId="4028B4C2" w:rsidR="00F513EC" w:rsidRPr="004E48DA" w:rsidRDefault="000C36B9"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t>L</w:t>
      </w:r>
      <w:r w:rsidR="00F513EC" w:rsidRPr="004E48DA">
        <w:t xml:space="preserve">onger span floor systems with minimal vertical obstructions provide spatial flexibility for future configuring. </w:t>
      </w:r>
      <w:r>
        <w:t>However, f</w:t>
      </w:r>
      <w:r w:rsidR="00F513EC" w:rsidRPr="004E48DA">
        <w:t>loor vibration and beam depth considerations may limit achievable spans. This is generally a higher embodied carbon solution and may also put upwards pressure on floor-to-floor heights.</w:t>
      </w:r>
    </w:p>
    <w:p w14:paraId="358B871F" w14:textId="31B22A2D" w:rsidR="00F513EC" w:rsidRPr="004E48DA" w:rsidRDefault="00F513EC"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Provision of floor systems that accommodate future services reticulation with minimal restrictions or need for structural alterations.</w:t>
      </w:r>
    </w:p>
    <w:p w14:paraId="3CC9DF11" w14:textId="6ED217EC" w:rsidR="00E84563" w:rsidRPr="004E48DA" w:rsidRDefault="00E84563"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Consider use of flat soffit floor systems that more readily facilitate fire sealing at firewall slab junctions, particularly with future fitout reconfigurations. This can be more difficult to achieve where troughed or ribbed floor systems such as metal tray decking are utilised.</w:t>
      </w:r>
    </w:p>
    <w:p w14:paraId="636EE723" w14:textId="67F08ABB" w:rsidR="00C33BA7" w:rsidRPr="004E48DA" w:rsidRDefault="00690E35"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 xml:space="preserve">Provision of non-structural screeds </w:t>
      </w:r>
      <w:r w:rsidR="001F26A3" w:rsidRPr="004E48DA">
        <w:t>can</w:t>
      </w:r>
      <w:r w:rsidRPr="004E48DA">
        <w:t xml:space="preserve"> provide layout flexibility where set downs may need to be accommodated with any future reconfiguration. This has particular relevance to </w:t>
      </w:r>
      <w:r w:rsidR="008E0B68" w:rsidRPr="004E48DA">
        <w:t>w</w:t>
      </w:r>
      <w:r w:rsidRPr="004E48DA">
        <w:t>ard floors where ensuite setdowns may change over the building’s life</w:t>
      </w:r>
      <w:r w:rsidR="00155F3E" w:rsidRPr="004E48DA">
        <w:t>, or for special areas such as radiology</w:t>
      </w:r>
      <w:r w:rsidRPr="004E48DA">
        <w:t>.</w:t>
      </w:r>
      <w:r w:rsidR="00155F3E" w:rsidRPr="004E48DA">
        <w:br/>
      </w:r>
      <w:r w:rsidR="00155F3E" w:rsidRPr="004E48DA">
        <w:br/>
      </w:r>
      <w:r w:rsidR="007A73EE">
        <w:t>However, t</w:t>
      </w:r>
      <w:r w:rsidR="00275E8F" w:rsidRPr="004E48DA">
        <w:t xml:space="preserve">he use of significant extents of screeds </w:t>
      </w:r>
      <w:r w:rsidR="008F40EB" w:rsidRPr="004E48DA">
        <w:t xml:space="preserve">to </w:t>
      </w:r>
      <w:r w:rsidR="00E57782" w:rsidRPr="004E48DA">
        <w:t xml:space="preserve">larger areas such as </w:t>
      </w:r>
      <w:r w:rsidR="008F40EB" w:rsidRPr="004E48DA">
        <w:t>wards</w:t>
      </w:r>
      <w:r w:rsidR="00E57782" w:rsidRPr="004E48DA">
        <w:t xml:space="preserve"> (for example)</w:t>
      </w:r>
      <w:r w:rsidR="008F40EB" w:rsidRPr="004E48DA">
        <w:t xml:space="preserve"> </w:t>
      </w:r>
      <w:r w:rsidR="00275E8F" w:rsidRPr="004E48DA">
        <w:t>can have</w:t>
      </w:r>
      <w:r w:rsidR="008F40EB" w:rsidRPr="004E48DA">
        <w:t xml:space="preserve"> </w:t>
      </w:r>
      <w:r w:rsidR="003858CF" w:rsidRPr="004E48DA">
        <w:t xml:space="preserve">cumulative indirect </w:t>
      </w:r>
      <w:r w:rsidR="008F40EB" w:rsidRPr="004E48DA">
        <w:t xml:space="preserve">impacts on </w:t>
      </w:r>
      <w:r w:rsidR="003858CF" w:rsidRPr="004E48DA">
        <w:t>structural cost</w:t>
      </w:r>
      <w:r w:rsidR="00C51A44" w:rsidRPr="004E48DA">
        <w:t xml:space="preserve">. These </w:t>
      </w:r>
      <w:r w:rsidR="00672B17" w:rsidRPr="004E48DA">
        <w:t xml:space="preserve">impacts </w:t>
      </w:r>
      <w:r w:rsidR="00C51A44" w:rsidRPr="004E48DA">
        <w:t>can be material,</w:t>
      </w:r>
      <w:r w:rsidR="0088132D" w:rsidRPr="004E48DA">
        <w:t xml:space="preserve"> depending on the structural typology</w:t>
      </w:r>
      <w:r w:rsidR="0017301A">
        <w:t>. This</w:t>
      </w:r>
      <w:r w:rsidR="0088132D" w:rsidRPr="004E48DA">
        <w:t xml:space="preserve"> needs to be approached cautiously </w:t>
      </w:r>
      <w:r w:rsidR="00027F28" w:rsidRPr="004E48DA">
        <w:t xml:space="preserve">and more targeted approaches may be </w:t>
      </w:r>
      <w:r w:rsidR="00EB53E2" w:rsidRPr="004E48DA">
        <w:t>necessary</w:t>
      </w:r>
      <w:r w:rsidR="0096225A">
        <w:t xml:space="preserve">, or a </w:t>
      </w:r>
      <w:r w:rsidR="000E557C">
        <w:t>degree</w:t>
      </w:r>
      <w:r w:rsidR="0096225A">
        <w:t xml:space="preserve"> of compromise accepted in </w:t>
      </w:r>
      <w:r w:rsidR="000E557C">
        <w:t xml:space="preserve">the </w:t>
      </w:r>
      <w:r w:rsidR="0096225A">
        <w:t>future approaches</w:t>
      </w:r>
      <w:r w:rsidR="008814A4">
        <w:t xml:space="preserve"> that could be used</w:t>
      </w:r>
      <w:r w:rsidR="0096225A">
        <w:t xml:space="preserve"> to achieve falls for wet areas</w:t>
      </w:r>
      <w:r w:rsidR="008814A4">
        <w:t>,</w:t>
      </w:r>
      <w:r w:rsidR="003B70F0">
        <w:t xml:space="preserve"> to avoid adding unnecessary cost</w:t>
      </w:r>
      <w:r w:rsidR="00F55F20" w:rsidRPr="004E48DA">
        <w:t>.</w:t>
      </w:r>
      <w:r w:rsidR="00C33BA7" w:rsidRPr="004E48DA">
        <w:br/>
      </w:r>
      <w:r w:rsidR="00C33BA7" w:rsidRPr="004E48DA">
        <w:br/>
      </w:r>
      <w:r w:rsidR="00C33BA7" w:rsidRPr="004E48DA">
        <w:lastRenderedPageBreak/>
        <w:t xml:space="preserve">Special </w:t>
      </w:r>
      <w:r w:rsidR="00EB53E2" w:rsidRPr="004E48DA">
        <w:t>areas (such as radiology) can benefit</w:t>
      </w:r>
      <w:r w:rsidR="00082508" w:rsidRPr="004E48DA">
        <w:t xml:space="preserve"> from setdowns</w:t>
      </w:r>
      <w:r w:rsidR="00557B81" w:rsidRPr="004E48DA">
        <w:t xml:space="preserve"> (and screed) to provided adaptability and allow for chasing </w:t>
      </w:r>
      <w:r w:rsidR="008805D2" w:rsidRPr="004E48DA">
        <w:t>for supply conduit/</w:t>
      </w:r>
      <w:r w:rsidR="00557B81" w:rsidRPr="004E48DA">
        <w:t>cabling</w:t>
      </w:r>
      <w:r w:rsidR="00EB53E2" w:rsidRPr="004E48DA">
        <w:t xml:space="preserve">. There are recent examples where </w:t>
      </w:r>
      <w:r w:rsidR="00555243" w:rsidRPr="004E48DA">
        <w:t xml:space="preserve">such </w:t>
      </w:r>
      <w:r w:rsidR="005764C6" w:rsidRPr="004E48DA">
        <w:t xml:space="preserve">historic </w:t>
      </w:r>
      <w:r w:rsidR="00555243" w:rsidRPr="004E48DA">
        <w:t xml:space="preserve">provisions </w:t>
      </w:r>
      <w:r w:rsidR="009D6FE2">
        <w:t>had</w:t>
      </w:r>
      <w:r w:rsidR="00555243" w:rsidRPr="004E48DA">
        <w:t xml:space="preserve"> </w:t>
      </w:r>
      <w:r w:rsidR="00672B17" w:rsidRPr="004E48DA">
        <w:t xml:space="preserve">been made but </w:t>
      </w:r>
      <w:r w:rsidR="00555243" w:rsidRPr="004E48DA">
        <w:t>not u</w:t>
      </w:r>
      <w:r w:rsidR="00672B17" w:rsidRPr="004E48DA">
        <w:t>tilised</w:t>
      </w:r>
      <w:r w:rsidR="005764C6" w:rsidRPr="004E48DA">
        <w:t xml:space="preserve"> at all in shell fitouts or refurbishments,</w:t>
      </w:r>
      <w:r w:rsidR="00555243" w:rsidRPr="004E48DA">
        <w:t xml:space="preserve"> and the setdown</w:t>
      </w:r>
      <w:r w:rsidR="005764C6" w:rsidRPr="004E48DA">
        <w:t>s</w:t>
      </w:r>
      <w:r w:rsidR="00555243" w:rsidRPr="004E48DA">
        <w:t xml:space="preserve"> simply filled in with slab or screed. </w:t>
      </w:r>
      <w:r w:rsidR="005764C6" w:rsidRPr="004E48DA">
        <w:t>However,</w:t>
      </w:r>
      <w:r w:rsidR="00555243" w:rsidRPr="004E48DA">
        <w:t xml:space="preserve"> this does come with mass </w:t>
      </w:r>
      <w:r w:rsidR="00082508" w:rsidRPr="004E48DA">
        <w:t xml:space="preserve">and stiffness </w:t>
      </w:r>
      <w:r w:rsidR="00555243" w:rsidRPr="004E48DA">
        <w:t xml:space="preserve">benefits that can </w:t>
      </w:r>
      <w:r w:rsidR="00AE64BD" w:rsidRPr="004E48DA">
        <w:t xml:space="preserve">(and should) </w:t>
      </w:r>
      <w:r w:rsidR="00555243" w:rsidRPr="004E48DA">
        <w:t xml:space="preserve">be exploited to achieve </w:t>
      </w:r>
      <w:r w:rsidR="00082508" w:rsidRPr="004E48DA">
        <w:t xml:space="preserve">tighter </w:t>
      </w:r>
      <w:r w:rsidR="005764C6" w:rsidRPr="004E48DA">
        <w:t xml:space="preserve">acoustic and </w:t>
      </w:r>
      <w:r w:rsidR="00082508" w:rsidRPr="004E48DA">
        <w:t>vibration criteria</w:t>
      </w:r>
      <w:r w:rsidR="00C5124F">
        <w:t xml:space="preserve"> </w:t>
      </w:r>
      <w:r w:rsidR="00082508" w:rsidRPr="004E48DA">
        <w:t xml:space="preserve">and </w:t>
      </w:r>
      <w:r w:rsidR="005764C6" w:rsidRPr="004E48DA">
        <w:t xml:space="preserve">so </w:t>
      </w:r>
      <w:r w:rsidR="00082508" w:rsidRPr="004E48DA">
        <w:t xml:space="preserve">this </w:t>
      </w:r>
      <w:r w:rsidR="005764C6" w:rsidRPr="004E48DA">
        <w:t xml:space="preserve">approach </w:t>
      </w:r>
      <w:r w:rsidR="00082508" w:rsidRPr="004E48DA">
        <w:t>can still make sense locally.</w:t>
      </w:r>
    </w:p>
    <w:p w14:paraId="4DB425AC" w14:textId="49A6A6EF" w:rsidR="009B6086" w:rsidRDefault="00690E35" w:rsidP="00C96326">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4E48DA">
        <w:t xml:space="preserve">Plant platforms </w:t>
      </w:r>
      <w:r w:rsidR="00EB30C6" w:rsidRPr="004E48DA">
        <w:t>should</w:t>
      </w:r>
      <w:r w:rsidRPr="004E48DA">
        <w:t xml:space="preserve"> </w:t>
      </w:r>
      <w:r w:rsidR="00EB30C6" w:rsidRPr="004E48DA">
        <w:t xml:space="preserve">generally </w:t>
      </w:r>
      <w:r w:rsidRPr="004E48DA">
        <w:t>be of concrete construction</w:t>
      </w:r>
      <w:r w:rsidR="004345D3" w:rsidRPr="004E48DA">
        <w:t xml:space="preserve"> (with the exception of lightweight roof </w:t>
      </w:r>
      <w:r w:rsidR="00157501" w:rsidRPr="004E48DA">
        <w:t xml:space="preserve">plant </w:t>
      </w:r>
      <w:r w:rsidR="004345D3" w:rsidRPr="004E48DA">
        <w:t>installations)</w:t>
      </w:r>
      <w:r w:rsidRPr="004E48DA">
        <w:t xml:space="preserve"> to accommodate </w:t>
      </w:r>
      <w:r w:rsidR="00AF6665" w:rsidRPr="004E48DA">
        <w:t>present and future plant requirements</w:t>
      </w:r>
      <w:r w:rsidRPr="004E48DA">
        <w:t>. Loading allowances should consider concrete plinth requirements (</w:t>
      </w:r>
      <w:r w:rsidR="00660A83" w:rsidRPr="004E48DA">
        <w:t xml:space="preserve">and </w:t>
      </w:r>
      <w:r w:rsidR="002E5C09" w:rsidRPr="004E48DA">
        <w:t xml:space="preserve">the potential requirement for vibration isolating mass blocks in some limited </w:t>
      </w:r>
      <w:r w:rsidR="006917BD" w:rsidRPr="004E48DA">
        <w:t>instances</w:t>
      </w:r>
      <w:r w:rsidRPr="004E48DA">
        <w:t xml:space="preserve">) in addition to plant loading allowances, </w:t>
      </w:r>
      <w:r w:rsidR="007D092A" w:rsidRPr="004E48DA">
        <w:t xml:space="preserve">(refer to Section </w:t>
      </w:r>
      <w:r w:rsidR="007D092A" w:rsidRPr="004E48DA">
        <w:fldChar w:fldCharType="begin"/>
      </w:r>
      <w:r w:rsidR="007D092A" w:rsidRPr="004E48DA">
        <w:instrText xml:space="preserve"> REF _Ref151128808 \r \h </w:instrText>
      </w:r>
      <w:r w:rsidR="004E48DA">
        <w:instrText xml:space="preserve"> \* MERGEFORMAT </w:instrText>
      </w:r>
      <w:r w:rsidR="007D092A" w:rsidRPr="004E48DA">
        <w:fldChar w:fldCharType="separate"/>
      </w:r>
      <w:r w:rsidR="000761C1">
        <w:t>C1.2</w:t>
      </w:r>
      <w:r w:rsidR="007D092A" w:rsidRPr="004E48DA">
        <w:fldChar w:fldCharType="end"/>
      </w:r>
      <w:r w:rsidR="007D092A" w:rsidRPr="004E48DA">
        <w:t>)</w:t>
      </w:r>
      <w:r w:rsidRPr="004E48DA">
        <w:t>.</w:t>
      </w:r>
    </w:p>
    <w:p w14:paraId="706194FE" w14:textId="0111BFC1" w:rsidR="00AE64BD" w:rsidRDefault="00475BDC" w:rsidP="007E04D4">
      <w:pPr>
        <w:pStyle w:val="Section2Heading2"/>
      </w:pPr>
      <w:bookmarkStart w:id="219" w:name="_Toc203641966"/>
      <w:r>
        <w:t>Floor to Floor Height</w:t>
      </w:r>
      <w:r w:rsidR="00DE71D8">
        <w:t xml:space="preserve"> and Ceiling Plenum</w:t>
      </w:r>
      <w:bookmarkEnd w:id="219"/>
    </w:p>
    <w:p w14:paraId="4B916054" w14:textId="711B0D5A" w:rsidR="00DF0A76" w:rsidRDefault="00DE71D8" w:rsidP="00666E06">
      <w:r>
        <w:t xml:space="preserve">Establishing appropriate floor-to-floor heights is a key </w:t>
      </w:r>
      <w:r w:rsidR="007F4939">
        <w:t xml:space="preserve">project </w:t>
      </w:r>
      <w:r>
        <w:t>decision</w:t>
      </w:r>
      <w:r w:rsidR="00DF0A76">
        <w:t xml:space="preserve"> in multistorey hospital buildings</w:t>
      </w:r>
      <w:r>
        <w:t xml:space="preserve">, with </w:t>
      </w:r>
      <w:r w:rsidR="00FA139C">
        <w:t xml:space="preserve">a </w:t>
      </w:r>
      <w:r>
        <w:t xml:space="preserve">significant </w:t>
      </w:r>
      <w:r w:rsidR="00FA139C">
        <w:t xml:space="preserve">associated cost </w:t>
      </w:r>
      <w:r w:rsidR="00FD5C04">
        <w:t xml:space="preserve">and construction risk </w:t>
      </w:r>
      <w:r w:rsidR="00FA139C">
        <w:t>implication</w:t>
      </w:r>
      <w:r>
        <w:t>.</w:t>
      </w:r>
    </w:p>
    <w:p w14:paraId="1991B58C" w14:textId="2C942269" w:rsidR="002B0AEC" w:rsidRDefault="00086EA2" w:rsidP="00666E06">
      <w:r>
        <w:t>The decision requires</w:t>
      </w:r>
      <w:r w:rsidR="005020D8">
        <w:t xml:space="preserve"> careful balance of up-front construction</w:t>
      </w:r>
      <w:r w:rsidR="00371305">
        <w:t xml:space="preserve"> costs, including buildability risks, and reasonable considerations around maintenance and adaptability.</w:t>
      </w:r>
      <w:r w:rsidR="001603D2">
        <w:t xml:space="preserve"> S</w:t>
      </w:r>
      <w:r w:rsidR="00CC7D4C">
        <w:t>ome costs are directly measurable and quantifiable, for example façade area. Some costs are indirect</w:t>
      </w:r>
      <w:r w:rsidR="001603D2">
        <w:t xml:space="preserve">, </w:t>
      </w:r>
      <w:r w:rsidR="000E37A4">
        <w:t xml:space="preserve">such as </w:t>
      </w:r>
      <w:r w:rsidR="00986BDE">
        <w:t>lateral system member sizes/weights per lineal metre</w:t>
      </w:r>
      <w:r w:rsidR="00CC7D4C">
        <w:t xml:space="preserve">. </w:t>
      </w:r>
      <w:r w:rsidR="00D479D5">
        <w:t>T</w:t>
      </w:r>
      <w:r w:rsidR="00CC7D4C">
        <w:t>here are also some potentially hidden costs, or cost risks.</w:t>
      </w:r>
      <w:r w:rsidR="00FB523C">
        <w:t xml:space="preserve"> Commentary is provided below</w:t>
      </w:r>
      <w:r w:rsidR="00FA6DA5">
        <w:t xml:space="preserve"> on key factors to consider</w:t>
      </w:r>
      <w:r w:rsidR="00E27985">
        <w:t>.</w:t>
      </w:r>
    </w:p>
    <w:p w14:paraId="324808CB" w14:textId="6BFE103E" w:rsidR="006C73BE" w:rsidRPr="0010282E" w:rsidRDefault="006C73BE"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t>In multistorey hospital buildings, historical precedent over recent decades has established a common base expectation of 4.2m for ward use, and 4.5</w:t>
      </w:r>
      <w:r w:rsidR="00EC64F4">
        <w:t xml:space="preserve"> to </w:t>
      </w:r>
      <w:r>
        <w:t xml:space="preserve">4.6m for general clinical use. These are based on the generally accepted ceiling heights as recommended by the Australasian Health Facility Guidelines, and the spatial requirements of ceiling plenums. Valid variations from these values are common. The appropriate floor to floor height will be highly dependent on the structural </w:t>
      </w:r>
      <w:r w:rsidR="00E27985">
        <w:t>framing</w:t>
      </w:r>
      <w:r>
        <w:t xml:space="preserve"> system</w:t>
      </w:r>
      <w:r w:rsidR="00E27985">
        <w:t xml:space="preserve"> and floor system</w:t>
      </w:r>
      <w:r>
        <w:t>, and the type and distribution of the structural lateral stability system.</w:t>
      </w:r>
      <w:r w:rsidR="0010282E" w:rsidRPr="0010282E">
        <w:t xml:space="preserve"> Minimising RL differences with existing buildings that are linked is also a potentially constraining consideration.</w:t>
      </w:r>
    </w:p>
    <w:p w14:paraId="7C0DFFAE" w14:textId="5E0738AD" w:rsidR="007D0659" w:rsidRDefault="007D0659"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10282E">
        <w:t>In general terms, smaller structural grids</w:t>
      </w:r>
      <w:r w:rsidR="009545F7" w:rsidRPr="0010282E">
        <w:t xml:space="preserve"> (smaller floor spans)</w:t>
      </w:r>
      <w:r w:rsidRPr="0010282E">
        <w:t xml:space="preserve"> and concentrated lateral bracing system</w:t>
      </w:r>
      <w:r w:rsidR="001A4EA6" w:rsidRPr="0010282E">
        <w:t xml:space="preserve"> types</w:t>
      </w:r>
      <w:r w:rsidRPr="0010282E">
        <w:t xml:space="preserve"> (walls or braced frames) tend to minimise </w:t>
      </w:r>
      <w:r w:rsidR="00DC3F55" w:rsidRPr="0010282E">
        <w:t>structural depth</w:t>
      </w:r>
      <w:r w:rsidR="00DE5AB7">
        <w:t xml:space="preserve"> and </w:t>
      </w:r>
      <w:r w:rsidR="00DC3F55" w:rsidRPr="0010282E">
        <w:t>constraint</w:t>
      </w:r>
      <w:r w:rsidRPr="0010282E">
        <w:t xml:space="preserve"> on</w:t>
      </w:r>
      <w:r w:rsidR="00DC3F55" w:rsidRPr="0010282E">
        <w:t xml:space="preserve"> the</w:t>
      </w:r>
      <w:r w:rsidRPr="0010282E">
        <w:t xml:space="preserve"> ceiling plenum and give</w:t>
      </w:r>
      <w:r w:rsidR="00DC3F55" w:rsidRPr="0010282E">
        <w:t xml:space="preserve"> more</w:t>
      </w:r>
      <w:r w:rsidR="00DC3F55">
        <w:t xml:space="preserve"> opportunity to reduce</w:t>
      </w:r>
      <w:r w:rsidR="009545F7">
        <w:t xml:space="preserve"> floor to floor height.</w:t>
      </w:r>
    </w:p>
    <w:p w14:paraId="58E59B11" w14:textId="77777777" w:rsidR="00490B7D" w:rsidRDefault="00170AFF"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7E04D4">
        <w:rPr>
          <w:b/>
          <w:bCs/>
        </w:rPr>
        <w:t>Benefits of increasing floor to floor height</w:t>
      </w:r>
    </w:p>
    <w:p w14:paraId="2341B33A" w14:textId="2BCC5500" w:rsidR="00170AFF" w:rsidRDefault="00170AFF"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Reduced congestion in the ceiling plenum (other than bracing, see below).</w:t>
      </w:r>
      <w:r w:rsidR="00771B3D">
        <w:t xml:space="preserve"> Reduced spatial coordination risk.</w:t>
      </w:r>
    </w:p>
    <w:p w14:paraId="49BD823D" w14:textId="0FED8FA8" w:rsidR="00DB63AF" w:rsidRDefault="00DB63AF"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Increased space to accommodate </w:t>
      </w:r>
      <w:r w:rsidR="00D75318">
        <w:t>support framing</w:t>
      </w:r>
      <w:r w:rsidR="00527060">
        <w:t xml:space="preserve"> for suspended medical equipment (pendants and/or suspended imaging equipment).</w:t>
      </w:r>
    </w:p>
    <w:p w14:paraId="0CF8243A" w14:textId="1ECD071D" w:rsidR="00F46145" w:rsidRPr="006C73BE" w:rsidRDefault="00F46145"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Potentially increased opportunity for </w:t>
      </w:r>
      <w:r w:rsidR="00E85860">
        <w:t xml:space="preserve">zoning of the ceiling plenum and for the incorporation of standardised and/or </w:t>
      </w:r>
      <w:r>
        <w:t>modular construction approaches</w:t>
      </w:r>
      <w:r w:rsidR="00527060">
        <w:t>.</w:t>
      </w:r>
    </w:p>
    <w:p w14:paraId="53B2F828" w14:textId="7F8F29EB" w:rsidR="00A744AA" w:rsidRPr="007E04D4" w:rsidRDefault="00A744AA"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7E04D4">
        <w:rPr>
          <w:b/>
          <w:bCs/>
        </w:rPr>
        <w:lastRenderedPageBreak/>
        <w:t>Direct cost of increasing floor to floor height</w:t>
      </w:r>
    </w:p>
    <w:p w14:paraId="490C8291" w14:textId="3F691C0E" w:rsidR="00735F4D" w:rsidRDefault="00735F4D"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Façade area</w:t>
      </w:r>
      <w:r w:rsidR="00F857FA">
        <w:t xml:space="preserve">, and area of </w:t>
      </w:r>
      <w:r>
        <w:t>internal partitions (</w:t>
      </w:r>
      <w:r w:rsidR="00F857FA">
        <w:t xml:space="preserve">due to </w:t>
      </w:r>
      <w:r>
        <w:t>increased height)</w:t>
      </w:r>
      <w:r w:rsidR="00F857FA">
        <w:t>.</w:t>
      </w:r>
    </w:p>
    <w:p w14:paraId="2B92B235" w14:textId="087964B6" w:rsidR="003B64EE" w:rsidRDefault="003B64EE"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Length of </w:t>
      </w:r>
      <w:r w:rsidR="00C03407">
        <w:t xml:space="preserve">vertical </w:t>
      </w:r>
      <w:r>
        <w:t>structural elements (columns/walls/braces)</w:t>
      </w:r>
      <w:r w:rsidR="00C03407">
        <w:t>, and l</w:t>
      </w:r>
      <w:r>
        <w:t xml:space="preserve">ength of </w:t>
      </w:r>
      <w:r w:rsidR="00473E5C">
        <w:t>vertical riser stacks.</w:t>
      </w:r>
    </w:p>
    <w:p w14:paraId="53ECC927" w14:textId="36023CB7" w:rsidR="00D31957" w:rsidRPr="007E04D4" w:rsidRDefault="00D31957"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7E04D4">
        <w:rPr>
          <w:b/>
          <w:bCs/>
        </w:rPr>
        <w:t>Indirect cost of increasing floor to floor height</w:t>
      </w:r>
    </w:p>
    <w:p w14:paraId="12E24026" w14:textId="24901E84" w:rsidR="001C59E1" w:rsidRPr="001C59E1" w:rsidRDefault="001C59E1"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GFA required for travel (additional stair risers and pos</w:t>
      </w:r>
      <w:r w:rsidRPr="001C59E1">
        <w:t>sibly additional landings).</w:t>
      </w:r>
    </w:p>
    <w:p w14:paraId="600F878F" w14:textId="6CEB1DC7" w:rsidR="00473E5C" w:rsidRDefault="00473E5C"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rsidRPr="001C59E1">
        <w:t xml:space="preserve">Impact on </w:t>
      </w:r>
      <w:r w:rsidR="009A5F49" w:rsidRPr="001C59E1">
        <w:t>structural sizes</w:t>
      </w:r>
      <w:r w:rsidR="000E1353" w:rsidRPr="001C59E1">
        <w:t xml:space="preserve"> and/or weights</w:t>
      </w:r>
      <w:r w:rsidR="009A5F49" w:rsidRPr="001C59E1">
        <w:t>, primarily in the</w:t>
      </w:r>
      <w:r w:rsidR="009A5F49">
        <w:t xml:space="preserve"> structural lateral system</w:t>
      </w:r>
      <w:r w:rsidR="00501E8F">
        <w:t xml:space="preserve"> and its foundations</w:t>
      </w:r>
      <w:r w:rsidR="009A5F49">
        <w:t>. This is especially important for moment resisting frames</w:t>
      </w:r>
      <w:r w:rsidR="003C3073">
        <w:t>, where increased floor to floor height puts upward pressure on seismic frame beam depths</w:t>
      </w:r>
      <w:r w:rsidR="000E1353">
        <w:t>.</w:t>
      </w:r>
    </w:p>
    <w:p w14:paraId="26C047C1" w14:textId="68BD5C64" w:rsidR="001700B8" w:rsidRDefault="001700B8"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Façade specification (glass </w:t>
      </w:r>
      <w:r w:rsidR="00130B48">
        <w:t xml:space="preserve">specification </w:t>
      </w:r>
      <w:r>
        <w:t>and mullion sizing</w:t>
      </w:r>
      <w:r w:rsidR="00130B48">
        <w:t xml:space="preserve"> for unitised façade</w:t>
      </w:r>
      <w:r w:rsidR="00F65165">
        <w:t>)</w:t>
      </w:r>
      <w:r w:rsidR="00130B48">
        <w:t xml:space="preserve">, </w:t>
      </w:r>
      <w:r w:rsidR="00800CB9">
        <w:t xml:space="preserve">and </w:t>
      </w:r>
      <w:r w:rsidR="00F65165">
        <w:t>structural requirements for heavy cladding such as precast concrete panels.</w:t>
      </w:r>
      <w:r w:rsidR="00800CB9">
        <w:t xml:space="preserve"> </w:t>
      </w:r>
    </w:p>
    <w:p w14:paraId="1C56866B" w14:textId="492B0EFD" w:rsidR="00D31957" w:rsidRPr="007E04D4" w:rsidRDefault="001A4469" w:rsidP="00490B7D">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7E04D4">
        <w:rPr>
          <w:b/>
          <w:bCs/>
        </w:rPr>
        <w:t>Potentially hidden costs, or cost risks of increasing floor to floor height</w:t>
      </w:r>
    </w:p>
    <w:p w14:paraId="72E9D8EB" w14:textId="4BA55987" w:rsidR="001A4469" w:rsidRDefault="00F36CA3"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Increased</w:t>
      </w:r>
      <w:r w:rsidR="00C21FAE">
        <w:t xml:space="preserve"> seismic bracing offset for components within the ceiling plenum</w:t>
      </w:r>
      <w:r w:rsidR="004675F1">
        <w:t>, increased cost in seismic bracing of suspended services and ceilings.</w:t>
      </w:r>
    </w:p>
    <w:p w14:paraId="200DAA38" w14:textId="6D3C8EFE" w:rsidR="004675F1" w:rsidRDefault="004675F1"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Impacts on partition desig</w:t>
      </w:r>
      <w:r w:rsidR="00E70212">
        <w:t>n</w:t>
      </w:r>
      <w:r w:rsidR="0051432B">
        <w:t xml:space="preserve"> </w:t>
      </w:r>
      <w:r w:rsidR="009176A2">
        <w:t>(and</w:t>
      </w:r>
      <w:r w:rsidR="0051432B">
        <w:t xml:space="preserve"> potentia</w:t>
      </w:r>
      <w:r w:rsidR="009176A2">
        <w:t>l</w:t>
      </w:r>
      <w:r w:rsidR="0051432B">
        <w:t>l</w:t>
      </w:r>
      <w:r w:rsidR="009176A2">
        <w:t>y</w:t>
      </w:r>
      <w:r w:rsidR="0051432B">
        <w:t xml:space="preserve"> GFA impacts</w:t>
      </w:r>
      <w:r w:rsidR="009176A2">
        <w:t xml:space="preserve"> if stud sizes are affected)</w:t>
      </w:r>
      <w:r w:rsidR="00E70212">
        <w:t>.</w:t>
      </w:r>
      <w:r w:rsidR="00107742">
        <w:t xml:space="preserve"> For part height partitions, </w:t>
      </w:r>
      <w:r w:rsidR="0051432B">
        <w:t>the plenum height</w:t>
      </w:r>
      <w:r w:rsidR="00107742">
        <w:t xml:space="preserve"> may impact the bracing system. For full height partitions, </w:t>
      </w:r>
      <w:r w:rsidR="002C225E">
        <w:t>th</w:t>
      </w:r>
      <w:r w:rsidR="0051432B">
        <w:t>e</w:t>
      </w:r>
      <w:r w:rsidR="002C225E">
        <w:t xml:space="preserve"> </w:t>
      </w:r>
      <w:r w:rsidR="002B1D84">
        <w:t xml:space="preserve">impact </w:t>
      </w:r>
      <w:r w:rsidR="002C225E">
        <w:t>depends on the approach to partition framing and the location of deflection head tracks or engineered slip planes (where applicable)</w:t>
      </w:r>
      <w:r w:rsidR="00406C6E">
        <w:t xml:space="preserve">—the size of the ceiling plenum </w:t>
      </w:r>
      <w:r w:rsidR="002B1D84">
        <w:t>may re</w:t>
      </w:r>
      <w:r w:rsidR="001C00A9">
        <w:t xml:space="preserve">sult in a different approach becoming preferred. Wall stud sizes and/or centres could be affected, </w:t>
      </w:r>
      <w:r w:rsidR="00836897">
        <w:t>along with any plenum bracing. R</w:t>
      </w:r>
      <w:r w:rsidR="00B8031D">
        <w:t xml:space="preserve">efer to </w:t>
      </w:r>
      <w:r w:rsidR="005B6030">
        <w:t>Section</w:t>
      </w:r>
      <w:r w:rsidR="00565036">
        <w:t xml:space="preserve"> </w:t>
      </w:r>
      <w:r w:rsidR="00565036">
        <w:fldChar w:fldCharType="begin"/>
      </w:r>
      <w:r w:rsidR="00565036">
        <w:instrText xml:space="preserve"> REF _Ref152820707 \r \h </w:instrText>
      </w:r>
      <w:r w:rsidR="007E04D4">
        <w:instrText xml:space="preserve"> \* MERGEFORMAT </w:instrText>
      </w:r>
      <w:r w:rsidR="00565036">
        <w:fldChar w:fldCharType="separate"/>
      </w:r>
      <w:r w:rsidR="000761C1">
        <w:t>C4.5</w:t>
      </w:r>
      <w:r w:rsidR="00565036">
        <w:fldChar w:fldCharType="end"/>
      </w:r>
      <w:r w:rsidR="00565036">
        <w:t xml:space="preserve"> for more commentary</w:t>
      </w:r>
      <w:r w:rsidR="005B6030">
        <w:t>.</w:t>
      </w:r>
    </w:p>
    <w:p w14:paraId="774F5065" w14:textId="431946FB" w:rsidR="00C21FAE" w:rsidRDefault="00C21FAE"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Increased length</w:t>
      </w:r>
      <w:r w:rsidR="004675F1">
        <w:t xml:space="preserve"> of braces and potential for clashes</w:t>
      </w:r>
      <w:r w:rsidR="005B6030">
        <w:t xml:space="preserve"> for seismic restraint of non-structural elements and services suspended within the ceiling plenum</w:t>
      </w:r>
      <w:r w:rsidR="001B6511">
        <w:t xml:space="preserve">, or increased size/cost in </w:t>
      </w:r>
      <w:r w:rsidR="004D1319">
        <w:t xml:space="preserve">‘downstand </w:t>
      </w:r>
      <w:r w:rsidR="001B6511">
        <w:t>cantilever</w:t>
      </w:r>
      <w:r w:rsidR="004D1319">
        <w:t>’</w:t>
      </w:r>
      <w:r w:rsidR="001B6511">
        <w:t xml:space="preserve"> restraint details.</w:t>
      </w:r>
    </w:p>
    <w:p w14:paraId="1923CCAC" w14:textId="07EA5CFC" w:rsidR="000E3FC5" w:rsidRDefault="00877CF6"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Length and bracing capacity of </w:t>
      </w:r>
      <w:r w:rsidR="00B93C4A">
        <w:t xml:space="preserve">droppers, </w:t>
      </w:r>
      <w:r>
        <w:t>“cotton reels”</w:t>
      </w:r>
      <w:r w:rsidR="004D1319">
        <w:t xml:space="preserve"> and the like</w:t>
      </w:r>
      <w:r>
        <w:t xml:space="preserve"> for suspended </w:t>
      </w:r>
      <w:r w:rsidR="004D1319">
        <w:t xml:space="preserve">monitors, </w:t>
      </w:r>
      <w:r w:rsidR="00DC39F5">
        <w:t xml:space="preserve">patient hoists, </w:t>
      </w:r>
      <w:r>
        <w:t>pendants</w:t>
      </w:r>
      <w:r w:rsidR="004D1319">
        <w:t xml:space="preserve"> or medical equipment</w:t>
      </w:r>
      <w:r>
        <w:t>.</w:t>
      </w:r>
    </w:p>
    <w:p w14:paraId="26390B1F" w14:textId="24386473" w:rsidR="00E52C55" w:rsidRDefault="00E52C55" w:rsidP="00490B7D">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57" w:hanging="357"/>
      </w:pPr>
      <w:r>
        <w:t xml:space="preserve">Potential fire </w:t>
      </w:r>
      <w:r w:rsidR="005A640A">
        <w:t xml:space="preserve">protection </w:t>
      </w:r>
      <w:r>
        <w:t>engineering implications related to the size and contents of the ceiling plenum.</w:t>
      </w:r>
    </w:p>
    <w:p w14:paraId="3A2963EB" w14:textId="77777777" w:rsidR="00FA291C" w:rsidRPr="00FA291C" w:rsidRDefault="00FA291C" w:rsidP="00666E06"/>
    <w:p w14:paraId="37593232" w14:textId="77777777" w:rsidR="00FE523E" w:rsidRDefault="00FE523E" w:rsidP="00FE523E">
      <w:pPr>
        <w:pStyle w:val="Section2Heading1"/>
        <w:numPr>
          <w:ilvl w:val="0"/>
          <w:numId w:val="0"/>
        </w:numPr>
        <w:rPr>
          <w:highlight w:val="lightGray"/>
        </w:rPr>
      </w:pPr>
      <w:bookmarkStart w:id="220" w:name="_Ref180128535"/>
      <w:bookmarkStart w:id="221" w:name="_Ref180128544"/>
      <w:bookmarkStart w:id="222" w:name="_Ref180129482"/>
      <w:bookmarkStart w:id="223" w:name="_Ref180394096"/>
      <w:bookmarkStart w:id="224" w:name="_Ref180394106"/>
      <w:bookmarkStart w:id="225" w:name="_Ref180394119"/>
      <w:bookmarkStart w:id="226" w:name="_Ref180394123"/>
      <w:r>
        <w:rPr>
          <w:highlight w:val="lightGray"/>
        </w:rPr>
        <w:br w:type="page"/>
      </w:r>
    </w:p>
    <w:p w14:paraId="29B64E53" w14:textId="643DF126" w:rsidR="00526E24" w:rsidRPr="00A9001D" w:rsidRDefault="00526E24" w:rsidP="00FE523E">
      <w:pPr>
        <w:pStyle w:val="Section2Heading1"/>
      </w:pPr>
      <w:bookmarkStart w:id="227" w:name="_Ref203129137"/>
      <w:bookmarkStart w:id="228" w:name="_Ref203129951"/>
      <w:bookmarkStart w:id="229" w:name="_Ref203131338"/>
      <w:bookmarkStart w:id="230" w:name="_Ref203131366"/>
      <w:bookmarkStart w:id="231" w:name="B7_Alterations_to_Existing_Buildings"/>
      <w:bookmarkStart w:id="232" w:name="_Toc203641967"/>
      <w:r w:rsidRPr="00A9001D">
        <w:lastRenderedPageBreak/>
        <w:t>Alterations to Existing Buildings</w:t>
      </w:r>
      <w:bookmarkEnd w:id="220"/>
      <w:bookmarkEnd w:id="221"/>
      <w:bookmarkEnd w:id="222"/>
      <w:bookmarkEnd w:id="223"/>
      <w:bookmarkEnd w:id="224"/>
      <w:bookmarkEnd w:id="225"/>
      <w:bookmarkEnd w:id="226"/>
      <w:bookmarkEnd w:id="227"/>
      <w:bookmarkEnd w:id="228"/>
      <w:bookmarkEnd w:id="229"/>
      <w:bookmarkEnd w:id="230"/>
      <w:bookmarkEnd w:id="231"/>
      <w:bookmarkEnd w:id="232"/>
    </w:p>
    <w:p w14:paraId="51E79906" w14:textId="77777777" w:rsidR="00526E24" w:rsidRPr="00B2286F" w:rsidRDefault="00526E24" w:rsidP="00FE523E">
      <w:pPr>
        <w:pStyle w:val="Section2Heading2"/>
      </w:pPr>
      <w:bookmarkStart w:id="233" w:name="_Ref180127051"/>
      <w:bookmarkStart w:id="234" w:name="_Ref180128126"/>
      <w:bookmarkStart w:id="235" w:name="_Ref180128455"/>
      <w:bookmarkStart w:id="236" w:name="_Ref180128488"/>
      <w:bookmarkStart w:id="237" w:name="_Toc203641968"/>
      <w:r w:rsidRPr="00B2286F">
        <w:t>General</w:t>
      </w:r>
      <w:bookmarkEnd w:id="233"/>
      <w:bookmarkEnd w:id="234"/>
      <w:bookmarkEnd w:id="235"/>
      <w:bookmarkEnd w:id="236"/>
      <w:bookmarkEnd w:id="237"/>
    </w:p>
    <w:p w14:paraId="3CE650F9" w14:textId="77777777" w:rsidR="00526E24" w:rsidRPr="00B2286F" w:rsidRDefault="00526E24" w:rsidP="00666E06">
      <w:r w:rsidRPr="00B2286F">
        <w:t>This section applies to any work in existing buildings, including:</w:t>
      </w:r>
    </w:p>
    <w:p w14:paraId="6ABD3978" w14:textId="77777777" w:rsidR="00526E24" w:rsidRPr="00B2286F" w:rsidRDefault="00526E24" w:rsidP="004D55F1">
      <w:pPr>
        <w:pStyle w:val="ListParagraph"/>
        <w:numPr>
          <w:ilvl w:val="0"/>
          <w:numId w:val="59"/>
        </w:numPr>
      </w:pPr>
      <w:r w:rsidRPr="00B2286F">
        <w:t>Alterations and additions,</w:t>
      </w:r>
    </w:p>
    <w:p w14:paraId="7852A8B3" w14:textId="77777777" w:rsidR="00526E24" w:rsidRPr="00B2286F" w:rsidRDefault="00526E24" w:rsidP="004D55F1">
      <w:pPr>
        <w:pStyle w:val="ListParagraph"/>
        <w:numPr>
          <w:ilvl w:val="0"/>
          <w:numId w:val="59"/>
        </w:numPr>
      </w:pPr>
      <w:r w:rsidRPr="00B2286F">
        <w:t>Refurbishments or major maintenance projects,</w:t>
      </w:r>
    </w:p>
    <w:p w14:paraId="161EE1C0" w14:textId="77777777" w:rsidR="00526E24" w:rsidRPr="00B2286F" w:rsidRDefault="00526E24" w:rsidP="004D55F1">
      <w:pPr>
        <w:pStyle w:val="ListParagraph"/>
        <w:numPr>
          <w:ilvl w:val="0"/>
          <w:numId w:val="59"/>
        </w:numPr>
      </w:pPr>
      <w:r w:rsidRPr="00B2286F">
        <w:t xml:space="preserve">Relocating departments or changing a building’s </w:t>
      </w:r>
      <w:r w:rsidRPr="00B2286F">
        <w:rPr>
          <w:i/>
          <w:iCs/>
        </w:rPr>
        <w:t>Service Category</w:t>
      </w:r>
      <w:r w:rsidRPr="00B2286F">
        <w:t>.</w:t>
      </w:r>
    </w:p>
    <w:p w14:paraId="39C74D01" w14:textId="77777777" w:rsidR="00526E24" w:rsidRPr="00B2286F" w:rsidRDefault="00526E24" w:rsidP="00666E06">
      <w:r w:rsidRPr="00B2286F">
        <w:t xml:space="preserve">All new work completed as part of alterations or additions to existing </w:t>
      </w:r>
      <w:r>
        <w:t xml:space="preserve">Health NZ </w:t>
      </w:r>
      <w:r w:rsidRPr="00B2286F">
        <w:t xml:space="preserve">buildings is required to comply with the Building Code and the requirements of this guideline (except where </w:t>
      </w:r>
      <w:r>
        <w:rPr>
          <w:i/>
          <w:iCs/>
        </w:rPr>
        <w:t xml:space="preserve">Health NZ </w:t>
      </w:r>
      <w:r w:rsidRPr="00B2286F">
        <w:rPr>
          <w:i/>
          <w:iCs/>
        </w:rPr>
        <w:t>Requirements</w:t>
      </w:r>
      <w:r w:rsidRPr="00B2286F">
        <w:t xml:space="preserve"> are exempted under the relevant subsection of this section).</w:t>
      </w:r>
    </w:p>
    <w:p w14:paraId="2DE1F96E" w14:textId="77777777" w:rsidR="00526E24" w:rsidRPr="00B2286F" w:rsidRDefault="00526E24" w:rsidP="00666E06">
      <w:r w:rsidRPr="00B2286F">
        <w:t xml:space="preserve">The extent of structural review required to the </w:t>
      </w:r>
      <w:r w:rsidRPr="00B2286F">
        <w:rPr>
          <w:b/>
          <w:bCs/>
        </w:rPr>
        <w:t>existing</w:t>
      </w:r>
      <w:r w:rsidRPr="00B2286F">
        <w:t xml:space="preserve"> building as a whole and/or the work area affected (including structural support and restraint of existing non-structural elements) depends on the context and the type of work involved. To guide these requirements, alterations (including changes in use or </w:t>
      </w:r>
      <w:r w:rsidRPr="00B2286F">
        <w:rPr>
          <w:i/>
          <w:iCs/>
        </w:rPr>
        <w:t>Service Category</w:t>
      </w:r>
      <w:r w:rsidRPr="00B2286F">
        <w:t xml:space="preserve">) are categorised as follows: </w:t>
      </w:r>
    </w:p>
    <w:p w14:paraId="512AB12C" w14:textId="7C846707" w:rsidR="00526E24" w:rsidRPr="00B2286F" w:rsidRDefault="00526E24" w:rsidP="004D55F1">
      <w:pPr>
        <w:pStyle w:val="ListParagraph"/>
        <w:numPr>
          <w:ilvl w:val="0"/>
          <w:numId w:val="57"/>
        </w:numPr>
      </w:pPr>
      <w:r w:rsidRPr="00B2286F">
        <w:t xml:space="preserve">Minor Alterations, Section </w:t>
      </w:r>
      <w:r w:rsidR="004653EF">
        <w:fldChar w:fldCharType="begin"/>
      </w:r>
      <w:r w:rsidR="004653EF">
        <w:instrText xml:space="preserve"> REF _Ref180127591 \r \h </w:instrText>
      </w:r>
      <w:r w:rsidR="004653EF">
        <w:fldChar w:fldCharType="separate"/>
      </w:r>
      <w:r w:rsidR="000761C1">
        <w:t>B7.2</w:t>
      </w:r>
      <w:r w:rsidR="004653EF">
        <w:fldChar w:fldCharType="end"/>
      </w:r>
      <w:r w:rsidR="004653EF">
        <w:t>.</w:t>
      </w:r>
    </w:p>
    <w:p w14:paraId="6DDBD85F" w14:textId="63D4B7A5" w:rsidR="00526E24" w:rsidRPr="00B2286F" w:rsidRDefault="00526E24" w:rsidP="004D55F1">
      <w:pPr>
        <w:pStyle w:val="ListParagraph"/>
        <w:numPr>
          <w:ilvl w:val="0"/>
          <w:numId w:val="57"/>
        </w:numPr>
      </w:pPr>
      <w:r w:rsidRPr="00B2286F">
        <w:t xml:space="preserve">Significant Alterations and Additions: Section </w:t>
      </w:r>
      <w:r w:rsidR="004653EF">
        <w:fldChar w:fldCharType="begin"/>
      </w:r>
      <w:r w:rsidR="004653EF">
        <w:instrText xml:space="preserve"> REF _Ref180127602 \r \h </w:instrText>
      </w:r>
      <w:r w:rsidR="004653EF">
        <w:fldChar w:fldCharType="separate"/>
      </w:r>
      <w:r w:rsidR="000761C1">
        <w:t>B7.3</w:t>
      </w:r>
      <w:r w:rsidR="004653EF">
        <w:fldChar w:fldCharType="end"/>
      </w:r>
      <w:r w:rsidR="004653EF">
        <w:t>.</w:t>
      </w:r>
    </w:p>
    <w:p w14:paraId="2608AA3A" w14:textId="03544E3A" w:rsidR="00526E24" w:rsidRPr="00B2286F" w:rsidRDefault="00526E24" w:rsidP="004D55F1">
      <w:pPr>
        <w:pStyle w:val="ListParagraph"/>
        <w:numPr>
          <w:ilvl w:val="0"/>
          <w:numId w:val="57"/>
        </w:numPr>
      </w:pPr>
      <w:r w:rsidRPr="00B2286F">
        <w:t xml:space="preserve">Changing the </w:t>
      </w:r>
      <w:r w:rsidRPr="00B2286F">
        <w:rPr>
          <w:i/>
          <w:iCs/>
        </w:rPr>
        <w:t>Service Category</w:t>
      </w:r>
      <w:r w:rsidRPr="00B2286F">
        <w:t xml:space="preserve"> or “Use” of an Existing Building: Section </w:t>
      </w:r>
      <w:r w:rsidR="004653EF">
        <w:fldChar w:fldCharType="begin"/>
      </w:r>
      <w:r w:rsidR="004653EF">
        <w:instrText xml:space="preserve"> REF _Ref180127614 \r \h </w:instrText>
      </w:r>
      <w:r w:rsidR="004653EF">
        <w:fldChar w:fldCharType="separate"/>
      </w:r>
      <w:r w:rsidR="000761C1">
        <w:t>B7.4</w:t>
      </w:r>
      <w:r w:rsidR="004653EF">
        <w:fldChar w:fldCharType="end"/>
      </w:r>
      <w:r w:rsidR="004653EF">
        <w:t>.</w:t>
      </w:r>
    </w:p>
    <w:p w14:paraId="35773455" w14:textId="71C2B3A1" w:rsidR="00526E24" w:rsidRPr="00B2286F" w:rsidRDefault="00526E24" w:rsidP="00666E06">
      <w:r w:rsidRPr="00B2286F">
        <w:t xml:space="preserve">These groupings are defined in the relevant sub-sections along with corresponding requirements. The requirements are summarised here </w:t>
      </w:r>
      <w:r w:rsidRPr="00D56B8F">
        <w:t xml:space="preserve">in </w:t>
      </w:r>
      <w:r w:rsidR="004653EF" w:rsidRPr="00D56B8F">
        <w:fldChar w:fldCharType="begin"/>
      </w:r>
      <w:r w:rsidR="004653EF" w:rsidRPr="00D56B8F">
        <w:instrText xml:space="preserve"> REF _Ref180127644 \h </w:instrText>
      </w:r>
      <w:r w:rsidR="00D56B8F">
        <w:instrText xml:space="preserve"> \* MERGEFORMAT </w:instrText>
      </w:r>
      <w:r w:rsidR="004653EF" w:rsidRPr="00D56B8F">
        <w:fldChar w:fldCharType="separate"/>
      </w:r>
      <w:r w:rsidR="000761C1" w:rsidRPr="00D56B8F">
        <w:t xml:space="preserve">Table </w:t>
      </w:r>
      <w:r w:rsidR="000761C1" w:rsidRPr="00D56B8F">
        <w:rPr>
          <w:noProof/>
        </w:rPr>
        <w:t>10</w:t>
      </w:r>
      <w:r w:rsidR="004653EF" w:rsidRPr="00D56B8F">
        <w:fldChar w:fldCharType="end"/>
      </w:r>
      <w:r w:rsidRPr="00D56B8F">
        <w:t xml:space="preserve"> and </w:t>
      </w:r>
      <w:r w:rsidR="004653EF" w:rsidRPr="00D56B8F">
        <w:fldChar w:fldCharType="begin"/>
      </w:r>
      <w:r w:rsidR="004653EF" w:rsidRPr="00D56B8F">
        <w:instrText xml:space="preserve"> REF _Ref180127651 \h </w:instrText>
      </w:r>
      <w:r w:rsidR="00D56B8F">
        <w:instrText xml:space="preserve"> \* MERGEFORMAT </w:instrText>
      </w:r>
      <w:r w:rsidR="004653EF" w:rsidRPr="00D56B8F">
        <w:fldChar w:fldCharType="separate"/>
      </w:r>
      <w:r w:rsidR="000761C1" w:rsidRPr="00D56B8F">
        <w:t xml:space="preserve">Table </w:t>
      </w:r>
      <w:r w:rsidR="000761C1" w:rsidRPr="00D56B8F">
        <w:rPr>
          <w:noProof/>
        </w:rPr>
        <w:t>11</w:t>
      </w:r>
      <w:r w:rsidR="004653EF" w:rsidRPr="00D56B8F">
        <w:fldChar w:fldCharType="end"/>
      </w:r>
      <w:r w:rsidR="004653EF" w:rsidRPr="00D56B8F">
        <w:t>.</w:t>
      </w:r>
      <w:r w:rsidR="004653EF">
        <w:t xml:space="preserve"> R</w:t>
      </w:r>
      <w:r w:rsidRPr="00B2286F">
        <w:t>efer to the subsections for commentary.</w:t>
      </w:r>
    </w:p>
    <w:p w14:paraId="391F82BC" w14:textId="76793642" w:rsidR="00526E24" w:rsidRPr="00B2286F" w:rsidRDefault="00526E24" w:rsidP="00666E06">
      <w:pPr>
        <w:pStyle w:val="Requirement"/>
      </w:pPr>
      <w:r w:rsidRPr="00B219C9">
        <w:rPr>
          <w:b/>
          <w:bCs/>
          <w:color w:val="0C818F" w:themeColor="accent3"/>
        </w:rPr>
        <w:t>Health NZ Requirement:</w:t>
      </w:r>
      <w:r w:rsidRPr="00B2286F">
        <w:t xml:space="preserve"> For seismic performance aspects, all alterations (including non-structural alterations) shall follow the decision-making flow chart in </w:t>
      </w:r>
      <w:r w:rsidR="004653EF" w:rsidRPr="00EA1FCE">
        <w:fldChar w:fldCharType="begin"/>
      </w:r>
      <w:r w:rsidR="004653EF" w:rsidRPr="00EA1FCE">
        <w:instrText xml:space="preserve"> REF _Ref180127674 \h </w:instrText>
      </w:r>
      <w:r w:rsidR="00EA1FCE">
        <w:instrText xml:space="preserve"> \* MERGEFORMAT </w:instrText>
      </w:r>
      <w:r w:rsidR="004653EF" w:rsidRPr="00EA1FCE">
        <w:fldChar w:fldCharType="separate"/>
      </w:r>
      <w:r w:rsidR="00EA1FCE" w:rsidRPr="00EA1FCE">
        <w:t xml:space="preserve">Figure </w:t>
      </w:r>
      <w:r w:rsidR="00EA1FCE" w:rsidRPr="00EA1FCE">
        <w:rPr>
          <w:noProof/>
        </w:rPr>
        <w:t>9</w:t>
      </w:r>
      <w:r w:rsidR="004653EF" w:rsidRPr="00EA1FCE">
        <w:fldChar w:fldCharType="end"/>
      </w:r>
      <w:r w:rsidRPr="00B2286F">
        <w:t>, with a record of decisions and their basis provided in the Structural Design Features Report (DFR).</w:t>
      </w:r>
    </w:p>
    <w:p w14:paraId="08E748AE" w14:textId="77777777" w:rsidR="00526E24" w:rsidRPr="00B2286F" w:rsidRDefault="00526E24" w:rsidP="00666E06">
      <w:r w:rsidRPr="00B2286F">
        <w:t xml:space="preserve">The Building Act and Regulations also define and contain requirements for </w:t>
      </w:r>
      <w:r w:rsidRPr="00B2286F">
        <w:rPr>
          <w:i/>
          <w:iCs/>
        </w:rPr>
        <w:t xml:space="preserve">Substantial Alterations </w:t>
      </w:r>
      <w:r w:rsidRPr="00B2286F">
        <w:t xml:space="preserve">that will need to be complied with in any alteration. This document does not contain further guidance on requirements for </w:t>
      </w:r>
      <w:r w:rsidRPr="00B2286F">
        <w:rPr>
          <w:i/>
          <w:iCs/>
        </w:rPr>
        <w:t>Substantial Alterations</w:t>
      </w:r>
      <w:r w:rsidRPr="00B2286F">
        <w:t xml:space="preserve"> under the Building Act beyond the clarification and commentary given below.</w:t>
      </w:r>
    </w:p>
    <w:p w14:paraId="2BDC01A5" w14:textId="77777777" w:rsidR="00526E24" w:rsidRDefault="00526E24" w:rsidP="00666E06">
      <w:pPr>
        <w:pStyle w:val="Requirement"/>
      </w:pPr>
      <w:r w:rsidRPr="00B2286F">
        <w:rPr>
          <w:b/>
          <w:bCs/>
        </w:rPr>
        <w:t>Building Act Requirement:</w:t>
      </w:r>
      <w:r w:rsidRPr="00B2286F">
        <w:t xml:space="preserve"> Comply with any requirements for </w:t>
      </w:r>
      <w:r w:rsidRPr="00B2286F">
        <w:rPr>
          <w:i/>
          <w:iCs/>
        </w:rPr>
        <w:t>Substantial Alterations</w:t>
      </w:r>
      <w:r w:rsidRPr="00B2286F">
        <w:t xml:space="preserve"> (as defined by Clause 11 of the Building Regulations), such as Section 133AT of the Building Act for buildings with an Earthquake-prone Building notice.</w:t>
      </w:r>
    </w:p>
    <w:p w14:paraId="0D758C35" w14:textId="77777777" w:rsidR="00C94C81" w:rsidRDefault="00C94C81" w:rsidP="00666E06">
      <w:pPr>
        <w:pStyle w:val="Requirement"/>
      </w:pPr>
    </w:p>
    <w:p w14:paraId="4E7A0D9A" w14:textId="77777777" w:rsidR="00C94C81" w:rsidRDefault="00C94C81" w:rsidP="00666E06">
      <w:pPr>
        <w:pStyle w:val="Requirement"/>
      </w:pPr>
    </w:p>
    <w:p w14:paraId="38F2DD45" w14:textId="77777777" w:rsidR="00C94C81" w:rsidRPr="00B2286F" w:rsidRDefault="00C94C81" w:rsidP="00666E06">
      <w:pPr>
        <w:pStyle w:val="Requirement"/>
      </w:pPr>
    </w:p>
    <w:p w14:paraId="3237E6E4" w14:textId="77777777" w:rsidR="00526E24" w:rsidRPr="00B2286F" w:rsidRDefault="00526E24" w:rsidP="00FE52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lastRenderedPageBreak/>
        <w:t xml:space="preserve">Note that the distinction between 'minor alterations' and 'significant alterations’ as defined by </w:t>
      </w:r>
      <w:r>
        <w:t xml:space="preserve">Health NZ </w:t>
      </w:r>
      <w:r w:rsidRPr="00B2286F">
        <w:t xml:space="preserve">is different from the term </w:t>
      </w:r>
      <w:r w:rsidRPr="00B2286F">
        <w:rPr>
          <w:iCs/>
        </w:rPr>
        <w:t>Substantial Alterations</w:t>
      </w:r>
      <w:r w:rsidRPr="00B2286F">
        <w:t xml:space="preserve"> used in the Building Act. Section 133AT of the Act requires that any buildings with earthquake-prone building notices undergoing </w:t>
      </w:r>
      <w:r w:rsidRPr="00B2286F">
        <w:rPr>
          <w:iCs/>
        </w:rPr>
        <w:t>Substantial Alterations</w:t>
      </w:r>
      <w:r w:rsidRPr="00B2286F">
        <w:t xml:space="preserve"> must also address the seismic issues at the same time, and not delay them until the expiry of the Earthquake-prone Building notice.</w:t>
      </w:r>
    </w:p>
    <w:p w14:paraId="25A18B67" w14:textId="6D0FD023" w:rsidR="00526E24" w:rsidRPr="00B2286F" w:rsidRDefault="00526E24" w:rsidP="00FE52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rPr>
          <w:iCs/>
        </w:rPr>
        <w:t>Substantial Alterations</w:t>
      </w:r>
      <w:r w:rsidRPr="00B2286F">
        <w:t xml:space="preserve"> are defined in Building (Specified Systems, Change the Use, and Earthquake-prone Buildings) Regulations 2005, clause 11 and the threshold is based on the cost of the work compared with the total value of the building. More information can be found at </w:t>
      </w:r>
      <w:hyperlink r:id="rId60" w:history="1">
        <w:r w:rsidRPr="00B2286F">
          <w:rPr>
            <w:rStyle w:val="Hyperlink"/>
            <w:color w:val="0070C0"/>
          </w:rPr>
          <w:t>Earthquake-prone buildings: substantial alterations</w:t>
        </w:r>
      </w:hyperlink>
      <w:r w:rsidRPr="00B2286F">
        <w:t xml:space="preserve">. If the hospital building does have an earthquake-prone building notice and the alterations meet the </w:t>
      </w:r>
      <w:r w:rsidRPr="00B2286F">
        <w:rPr>
          <w:iCs/>
        </w:rPr>
        <w:t>Substantial Alterations</w:t>
      </w:r>
      <w:r w:rsidRPr="00B2286F">
        <w:t xml:space="preserve"> threshold, then the seismic work will also need to be undertaken.</w:t>
      </w:r>
    </w:p>
    <w:p w14:paraId="416DA856" w14:textId="77777777" w:rsidR="00526E24" w:rsidRDefault="00526E24" w:rsidP="00C94C81">
      <w:pPr>
        <w:jc w:val="center"/>
      </w:pPr>
      <w:r>
        <w:rPr>
          <w:noProof/>
        </w:rPr>
        <w:lastRenderedPageBreak/>
        <w:drawing>
          <wp:inline distT="0" distB="0" distL="0" distR="0" wp14:anchorId="3421DDE6" wp14:editId="2627A6C1">
            <wp:extent cx="4063041" cy="7825316"/>
            <wp:effectExtent l="0" t="0" r="0" b="4445"/>
            <wp:docPr id="144640442" name="Picture 144640442"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01920" name="Picture 1" descr="A diagram of a flowchart&#10;&#10;Description automatically generated"/>
                    <pic:cNvPicPr/>
                  </pic:nvPicPr>
                  <pic:blipFill>
                    <a:blip r:embed="rId61"/>
                    <a:stretch>
                      <a:fillRect/>
                    </a:stretch>
                  </pic:blipFill>
                  <pic:spPr>
                    <a:xfrm>
                      <a:off x="0" y="0"/>
                      <a:ext cx="4081362" cy="7860603"/>
                    </a:xfrm>
                    <a:prstGeom prst="rect">
                      <a:avLst/>
                    </a:prstGeom>
                  </pic:spPr>
                </pic:pic>
              </a:graphicData>
            </a:graphic>
          </wp:inline>
        </w:drawing>
      </w:r>
    </w:p>
    <w:p w14:paraId="26DFD4BE" w14:textId="4B1D54F8" w:rsidR="00526E24" w:rsidRPr="00EA1FCE" w:rsidRDefault="00526E24" w:rsidP="00FE523E">
      <w:pPr>
        <w:pStyle w:val="Figure"/>
        <w:rPr>
          <w:sz w:val="20"/>
          <w:szCs w:val="20"/>
        </w:rPr>
      </w:pPr>
      <w:bookmarkStart w:id="238" w:name="_Ref180127674"/>
      <w:r w:rsidRPr="00EA1FCE">
        <w:rPr>
          <w:sz w:val="20"/>
          <w:szCs w:val="20"/>
        </w:rPr>
        <w:t xml:space="preserve">Figure </w:t>
      </w:r>
      <w:r w:rsidRPr="00EA1FCE">
        <w:rPr>
          <w:sz w:val="20"/>
          <w:szCs w:val="20"/>
        </w:rPr>
        <w:fldChar w:fldCharType="begin"/>
      </w:r>
      <w:r w:rsidRPr="00EA1FCE">
        <w:rPr>
          <w:sz w:val="20"/>
          <w:szCs w:val="20"/>
        </w:rPr>
        <w:instrText>SEQ Figure \* ARABIC</w:instrText>
      </w:r>
      <w:r w:rsidRPr="00EA1FCE">
        <w:rPr>
          <w:sz w:val="20"/>
          <w:szCs w:val="20"/>
        </w:rPr>
        <w:fldChar w:fldCharType="separate"/>
      </w:r>
      <w:r w:rsidR="00EA1FCE">
        <w:rPr>
          <w:noProof/>
          <w:sz w:val="20"/>
          <w:szCs w:val="20"/>
        </w:rPr>
        <w:t>9</w:t>
      </w:r>
      <w:r w:rsidRPr="00EA1FCE">
        <w:rPr>
          <w:sz w:val="20"/>
          <w:szCs w:val="20"/>
        </w:rPr>
        <w:fldChar w:fldCharType="end"/>
      </w:r>
      <w:bookmarkEnd w:id="238"/>
      <w:r w:rsidRPr="00EA1FCE">
        <w:rPr>
          <w:sz w:val="20"/>
          <w:szCs w:val="20"/>
        </w:rPr>
        <w:t xml:space="preserve">: Flow chart for projects involving alterations to buildings (including non-structural alterations). Refer to Sections </w:t>
      </w:r>
      <w:r w:rsidR="00C31B55" w:rsidRPr="00EA1FCE">
        <w:rPr>
          <w:sz w:val="20"/>
          <w:szCs w:val="20"/>
        </w:rPr>
        <w:fldChar w:fldCharType="begin"/>
      </w:r>
      <w:r w:rsidR="00C31B55" w:rsidRPr="00EA1FCE">
        <w:rPr>
          <w:sz w:val="20"/>
          <w:szCs w:val="20"/>
        </w:rPr>
        <w:instrText xml:space="preserve"> REF _Ref180127725 \r \h </w:instrText>
      </w:r>
      <w:r w:rsidR="00FE523E" w:rsidRPr="00EA1FCE">
        <w:rPr>
          <w:sz w:val="20"/>
          <w:szCs w:val="20"/>
        </w:rPr>
        <w:instrText xml:space="preserve"> \* MERGEFORMAT </w:instrText>
      </w:r>
      <w:r w:rsidR="00C31B55" w:rsidRPr="00EA1FCE">
        <w:rPr>
          <w:sz w:val="20"/>
          <w:szCs w:val="20"/>
        </w:rPr>
      </w:r>
      <w:r w:rsidR="00C31B55" w:rsidRPr="00EA1FCE">
        <w:rPr>
          <w:sz w:val="20"/>
          <w:szCs w:val="20"/>
        </w:rPr>
        <w:fldChar w:fldCharType="separate"/>
      </w:r>
      <w:r w:rsidR="000761C1" w:rsidRPr="00EA1FCE">
        <w:rPr>
          <w:sz w:val="20"/>
          <w:szCs w:val="20"/>
        </w:rPr>
        <w:t>B7.2</w:t>
      </w:r>
      <w:r w:rsidR="00C31B55" w:rsidRPr="00EA1FCE">
        <w:rPr>
          <w:sz w:val="20"/>
          <w:szCs w:val="20"/>
        </w:rPr>
        <w:fldChar w:fldCharType="end"/>
      </w:r>
      <w:r w:rsidRPr="00EA1FCE">
        <w:rPr>
          <w:sz w:val="20"/>
          <w:szCs w:val="20"/>
        </w:rPr>
        <w:t xml:space="preserve"> and </w:t>
      </w:r>
      <w:r w:rsidR="00C31B55" w:rsidRPr="00EA1FCE">
        <w:rPr>
          <w:sz w:val="20"/>
          <w:szCs w:val="20"/>
        </w:rPr>
        <w:fldChar w:fldCharType="begin"/>
      </w:r>
      <w:r w:rsidR="00C31B55" w:rsidRPr="00EA1FCE">
        <w:rPr>
          <w:sz w:val="20"/>
          <w:szCs w:val="20"/>
        </w:rPr>
        <w:instrText xml:space="preserve"> REF _Ref180127738 \r \h </w:instrText>
      </w:r>
      <w:r w:rsidR="00FE523E" w:rsidRPr="00EA1FCE">
        <w:rPr>
          <w:sz w:val="20"/>
          <w:szCs w:val="20"/>
        </w:rPr>
        <w:instrText xml:space="preserve"> \* MERGEFORMAT </w:instrText>
      </w:r>
      <w:r w:rsidR="00C31B55" w:rsidRPr="00EA1FCE">
        <w:rPr>
          <w:sz w:val="20"/>
          <w:szCs w:val="20"/>
        </w:rPr>
      </w:r>
      <w:r w:rsidR="00C31B55" w:rsidRPr="00EA1FCE">
        <w:rPr>
          <w:sz w:val="20"/>
          <w:szCs w:val="20"/>
        </w:rPr>
        <w:fldChar w:fldCharType="separate"/>
      </w:r>
      <w:r w:rsidR="000761C1" w:rsidRPr="00EA1FCE">
        <w:rPr>
          <w:sz w:val="20"/>
          <w:szCs w:val="20"/>
        </w:rPr>
        <w:t>B7.3</w:t>
      </w:r>
      <w:r w:rsidR="00C31B55" w:rsidRPr="00EA1FCE">
        <w:rPr>
          <w:sz w:val="20"/>
          <w:szCs w:val="20"/>
        </w:rPr>
        <w:fldChar w:fldCharType="end"/>
      </w:r>
      <w:r w:rsidR="00C31B55" w:rsidRPr="00EA1FCE">
        <w:rPr>
          <w:sz w:val="20"/>
          <w:szCs w:val="20"/>
        </w:rPr>
        <w:t xml:space="preserve"> </w:t>
      </w:r>
      <w:r w:rsidRPr="00EA1FCE">
        <w:rPr>
          <w:sz w:val="20"/>
          <w:szCs w:val="20"/>
        </w:rPr>
        <w:t>for definitions of “minor alteration” and “significant alteration</w:t>
      </w:r>
      <w:r w:rsidR="00BF2B31" w:rsidRPr="00EA1FCE">
        <w:rPr>
          <w:sz w:val="20"/>
          <w:szCs w:val="20"/>
        </w:rPr>
        <w:t>s</w:t>
      </w:r>
      <w:r w:rsidRPr="00EA1FCE">
        <w:rPr>
          <w:sz w:val="20"/>
          <w:szCs w:val="20"/>
        </w:rPr>
        <w:t xml:space="preserve"> </w:t>
      </w:r>
      <w:r w:rsidR="00BF2B31" w:rsidRPr="00EA1FCE">
        <w:rPr>
          <w:sz w:val="20"/>
          <w:szCs w:val="20"/>
        </w:rPr>
        <w:t>and</w:t>
      </w:r>
      <w:r w:rsidRPr="00EA1FCE">
        <w:rPr>
          <w:sz w:val="20"/>
          <w:szCs w:val="20"/>
        </w:rPr>
        <w:t xml:space="preserve"> addition</w:t>
      </w:r>
      <w:r w:rsidR="00BF2B31" w:rsidRPr="00EA1FCE">
        <w:rPr>
          <w:sz w:val="20"/>
          <w:szCs w:val="20"/>
        </w:rPr>
        <w:t>s</w:t>
      </w:r>
      <w:r w:rsidRPr="00EA1FCE">
        <w:rPr>
          <w:sz w:val="20"/>
          <w:szCs w:val="20"/>
        </w:rPr>
        <w:t>”.</w:t>
      </w:r>
    </w:p>
    <w:p w14:paraId="73F14D45" w14:textId="1B0A33C5" w:rsidR="00526E24" w:rsidRPr="00210CB4" w:rsidRDefault="00526E24" w:rsidP="00D304CE">
      <w:pPr>
        <w:pStyle w:val="Figure"/>
        <w:keepNext/>
        <w:rPr>
          <w:sz w:val="20"/>
          <w:szCs w:val="20"/>
        </w:rPr>
      </w:pPr>
      <w:bookmarkStart w:id="239" w:name="_Ref180127644"/>
      <w:r w:rsidRPr="00210CB4">
        <w:rPr>
          <w:sz w:val="20"/>
          <w:szCs w:val="20"/>
        </w:rPr>
        <w:lastRenderedPageBreak/>
        <w:t xml:space="preserve">Table </w:t>
      </w:r>
      <w:r w:rsidRPr="00210CB4">
        <w:rPr>
          <w:sz w:val="20"/>
          <w:szCs w:val="20"/>
        </w:rPr>
        <w:fldChar w:fldCharType="begin"/>
      </w:r>
      <w:r w:rsidRPr="00210CB4">
        <w:rPr>
          <w:sz w:val="20"/>
          <w:szCs w:val="20"/>
        </w:rPr>
        <w:instrText>SEQ Table \* ARABIC</w:instrText>
      </w:r>
      <w:r w:rsidRPr="00210CB4">
        <w:rPr>
          <w:sz w:val="20"/>
          <w:szCs w:val="20"/>
        </w:rPr>
        <w:fldChar w:fldCharType="separate"/>
      </w:r>
      <w:r w:rsidR="000761C1">
        <w:rPr>
          <w:noProof/>
          <w:sz w:val="20"/>
          <w:szCs w:val="20"/>
        </w:rPr>
        <w:t>10</w:t>
      </w:r>
      <w:r w:rsidRPr="00210CB4">
        <w:rPr>
          <w:sz w:val="20"/>
          <w:szCs w:val="20"/>
        </w:rPr>
        <w:fldChar w:fldCharType="end"/>
      </w:r>
      <w:bookmarkEnd w:id="239"/>
      <w:r w:rsidRPr="00210CB4">
        <w:rPr>
          <w:sz w:val="20"/>
          <w:szCs w:val="20"/>
        </w:rPr>
        <w:t>: Health NZ ’s performance requirements for existing building performance in minor alterations and/or Service Category changes—subject to consideration of what is as near as is reasonably practicable for each project’s context.</w:t>
      </w:r>
    </w:p>
    <w:tbl>
      <w:tblPr>
        <w:tblStyle w:val="TeWhatuOra"/>
        <w:tblW w:w="9781"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A0" w:firstRow="1" w:lastRow="0" w:firstColumn="1" w:lastColumn="0" w:noHBand="0" w:noVBand="1"/>
      </w:tblPr>
      <w:tblGrid>
        <w:gridCol w:w="988"/>
        <w:gridCol w:w="1472"/>
        <w:gridCol w:w="2355"/>
        <w:gridCol w:w="2552"/>
        <w:gridCol w:w="2414"/>
      </w:tblGrid>
      <w:tr w:rsidR="00526E24" w:rsidRPr="00210CB4" w14:paraId="54AD8EBD" w14:textId="77777777" w:rsidTr="00FE52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3399" w:themeColor="accent2"/>
              <w:left w:val="nil"/>
              <w:bottom w:val="single" w:sz="12" w:space="0" w:color="003399" w:themeColor="accent2"/>
              <w:right w:val="single" w:sz="8" w:space="0" w:color="BFBFBF"/>
            </w:tcBorders>
            <w:shd w:val="clear" w:color="auto" w:fill="F6F4EC"/>
          </w:tcPr>
          <w:p w14:paraId="0B2E3E84" w14:textId="77777777" w:rsidR="00526E24" w:rsidRPr="00210CB4" w:rsidRDefault="00526E24" w:rsidP="00666E06">
            <w:pPr>
              <w:rPr>
                <w:sz w:val="20"/>
                <w:szCs w:val="20"/>
              </w:rPr>
            </w:pPr>
          </w:p>
        </w:tc>
        <w:tc>
          <w:tcPr>
            <w:tcW w:w="1472"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0820F78B"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Section 115 Change in Use</w:t>
            </w:r>
          </w:p>
        </w:tc>
        <w:tc>
          <w:tcPr>
            <w:tcW w:w="2355"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73C53BB3"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 xml:space="preserve">Alterations or </w:t>
            </w:r>
            <w:r w:rsidRPr="00210CB4">
              <w:rPr>
                <w:i/>
                <w:iCs/>
                <w:sz w:val="20"/>
                <w:szCs w:val="20"/>
              </w:rPr>
              <w:t>Service Category</w:t>
            </w:r>
            <w:r w:rsidRPr="00210CB4">
              <w:rPr>
                <w:sz w:val="20"/>
                <w:szCs w:val="20"/>
              </w:rPr>
              <w:t xml:space="preserve"> changes delivering a significant increase in occupancy</w:t>
            </w:r>
          </w:p>
        </w:tc>
        <w:tc>
          <w:tcPr>
            <w:tcW w:w="2552"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709048AC"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 xml:space="preserve">Alterations or </w:t>
            </w:r>
            <w:r w:rsidRPr="00210CB4">
              <w:rPr>
                <w:i/>
                <w:iCs/>
                <w:sz w:val="20"/>
                <w:szCs w:val="20"/>
              </w:rPr>
              <w:t>Service Category</w:t>
            </w:r>
            <w:r w:rsidRPr="00210CB4">
              <w:rPr>
                <w:sz w:val="20"/>
                <w:szCs w:val="20"/>
              </w:rPr>
              <w:t xml:space="preserve"> changes delivering significantly increased dependency on care</w:t>
            </w:r>
          </w:p>
        </w:tc>
        <w:tc>
          <w:tcPr>
            <w:tcW w:w="2414" w:type="dxa"/>
            <w:tcBorders>
              <w:top w:val="single" w:sz="12" w:space="0" w:color="003399" w:themeColor="accent2"/>
              <w:left w:val="single" w:sz="8" w:space="0" w:color="BFBFBF"/>
              <w:bottom w:val="single" w:sz="12" w:space="0" w:color="003399" w:themeColor="accent2"/>
              <w:right w:val="nil"/>
            </w:tcBorders>
            <w:shd w:val="clear" w:color="auto" w:fill="F6F4EC"/>
          </w:tcPr>
          <w:p w14:paraId="6A40D80E"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 xml:space="preserve">Other minor alterations or </w:t>
            </w:r>
            <w:r w:rsidRPr="00210CB4">
              <w:rPr>
                <w:i/>
                <w:iCs/>
                <w:sz w:val="20"/>
                <w:szCs w:val="20"/>
              </w:rPr>
              <w:t>Service Category</w:t>
            </w:r>
            <w:r w:rsidRPr="00210CB4">
              <w:rPr>
                <w:sz w:val="20"/>
                <w:szCs w:val="20"/>
              </w:rPr>
              <w:t xml:space="preserve"> changes</w:t>
            </w:r>
          </w:p>
        </w:tc>
      </w:tr>
      <w:tr w:rsidR="00526E24" w:rsidRPr="00210CB4" w14:paraId="2574EBB2" w14:textId="77777777" w:rsidTr="00FE523E">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3399" w:themeColor="accent2"/>
              <w:left w:val="nil"/>
              <w:bottom w:val="single" w:sz="8" w:space="0" w:color="BFBFBF"/>
              <w:right w:val="single" w:sz="8" w:space="0" w:color="BFBFBF"/>
            </w:tcBorders>
            <w:shd w:val="clear" w:color="auto" w:fill="F6F4EC"/>
            <w:vAlign w:val="center"/>
          </w:tcPr>
          <w:p w14:paraId="2149D9F4" w14:textId="77777777" w:rsidR="00526E24" w:rsidRPr="00210CB4" w:rsidRDefault="00526E24" w:rsidP="00666E06">
            <w:pPr>
              <w:rPr>
                <w:sz w:val="20"/>
                <w:szCs w:val="20"/>
              </w:rPr>
            </w:pPr>
            <w:r w:rsidRPr="00210CB4">
              <w:rPr>
                <w:sz w:val="20"/>
                <w:szCs w:val="20"/>
              </w:rPr>
              <w:t>ULS</w:t>
            </w:r>
          </w:p>
        </w:tc>
        <w:tc>
          <w:tcPr>
            <w:tcW w:w="1472" w:type="dxa"/>
            <w:vMerge w:val="restart"/>
            <w:tcBorders>
              <w:top w:val="single" w:sz="12" w:space="0" w:color="003399" w:themeColor="accent2"/>
              <w:left w:val="single" w:sz="8" w:space="0" w:color="BFBFBF"/>
              <w:bottom w:val="single" w:sz="8" w:space="0" w:color="BFBFBF"/>
              <w:right w:val="single" w:sz="8" w:space="0" w:color="BFBFBF"/>
            </w:tcBorders>
            <w:vAlign w:val="center"/>
          </w:tcPr>
          <w:p w14:paraId="293B31B2"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B1/VM1, ANARP</w:t>
            </w:r>
          </w:p>
        </w:tc>
        <w:tc>
          <w:tcPr>
            <w:tcW w:w="4907" w:type="dxa"/>
            <w:gridSpan w:val="2"/>
            <w:tcBorders>
              <w:top w:val="single" w:sz="12" w:space="0" w:color="003399" w:themeColor="accent2"/>
              <w:left w:val="single" w:sz="8" w:space="0" w:color="BFBFBF"/>
              <w:bottom w:val="single" w:sz="8" w:space="0" w:color="BFBFBF"/>
              <w:right w:val="single" w:sz="8" w:space="0" w:color="BFBFBF"/>
            </w:tcBorders>
            <w:vAlign w:val="center"/>
          </w:tcPr>
          <w:p w14:paraId="5EEE3B26"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Low Earthquake Risk, ANARP</w:t>
            </w:r>
            <w:bookmarkStart w:id="240" w:name="_Ref180566393"/>
            <w:r w:rsidRPr="00210CB4">
              <w:rPr>
                <w:rStyle w:val="FootnoteReference"/>
                <w:sz w:val="20"/>
                <w:szCs w:val="20"/>
              </w:rPr>
              <w:footnoteReference w:id="31"/>
            </w:r>
            <w:bookmarkEnd w:id="240"/>
          </w:p>
        </w:tc>
        <w:tc>
          <w:tcPr>
            <w:tcW w:w="2414" w:type="dxa"/>
            <w:tcBorders>
              <w:top w:val="single" w:sz="12" w:space="0" w:color="003399" w:themeColor="accent2"/>
              <w:left w:val="single" w:sz="8" w:space="0" w:color="BFBFBF"/>
              <w:bottom w:val="single" w:sz="8" w:space="0" w:color="BFBFBF"/>
              <w:right w:val="nil"/>
            </w:tcBorders>
            <w:vAlign w:val="center"/>
          </w:tcPr>
          <w:p w14:paraId="74601790"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No specific requirements</w:t>
            </w:r>
          </w:p>
        </w:tc>
      </w:tr>
      <w:tr w:rsidR="00526E24" w:rsidRPr="00210CB4" w14:paraId="019F0DA6" w14:textId="77777777" w:rsidTr="00FE523E">
        <w:tc>
          <w:tcPr>
            <w:cnfStyle w:val="001000000000" w:firstRow="0" w:lastRow="0" w:firstColumn="1" w:lastColumn="0" w:oddVBand="0" w:evenVBand="0" w:oddHBand="0" w:evenHBand="0" w:firstRowFirstColumn="0" w:firstRowLastColumn="0" w:lastRowFirstColumn="0" w:lastRowLastColumn="0"/>
            <w:tcW w:w="988" w:type="dxa"/>
            <w:tcBorders>
              <w:top w:val="single" w:sz="8" w:space="0" w:color="BFBFBF"/>
              <w:left w:val="nil"/>
              <w:bottom w:val="nil"/>
              <w:right w:val="single" w:sz="8" w:space="0" w:color="BFBFBF"/>
            </w:tcBorders>
            <w:shd w:val="clear" w:color="auto" w:fill="F6F4EC"/>
            <w:vAlign w:val="center"/>
          </w:tcPr>
          <w:p w14:paraId="1182D339" w14:textId="77777777" w:rsidR="00526E24" w:rsidRPr="00210CB4" w:rsidRDefault="00526E24" w:rsidP="00666E06">
            <w:pPr>
              <w:rPr>
                <w:sz w:val="20"/>
                <w:szCs w:val="20"/>
              </w:rPr>
            </w:pPr>
            <w:r w:rsidRPr="00210CB4">
              <w:rPr>
                <w:sz w:val="20"/>
                <w:szCs w:val="20"/>
              </w:rPr>
              <w:t>SLS2</w:t>
            </w:r>
          </w:p>
        </w:tc>
        <w:tc>
          <w:tcPr>
            <w:tcW w:w="1472" w:type="dxa"/>
            <w:vMerge/>
            <w:tcBorders>
              <w:top w:val="single" w:sz="8" w:space="0" w:color="BFBFBF"/>
              <w:left w:val="single" w:sz="8" w:space="0" w:color="BFBFBF"/>
              <w:bottom w:val="nil"/>
              <w:right w:val="single" w:sz="8" w:space="0" w:color="BFBFBF"/>
            </w:tcBorders>
            <w:vAlign w:val="center"/>
          </w:tcPr>
          <w:p w14:paraId="62EDF717"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p>
        </w:tc>
        <w:tc>
          <w:tcPr>
            <w:tcW w:w="7321" w:type="dxa"/>
            <w:gridSpan w:val="3"/>
            <w:tcBorders>
              <w:top w:val="single" w:sz="8" w:space="0" w:color="BFBFBF"/>
              <w:left w:val="single" w:sz="8" w:space="0" w:color="BFBFBF"/>
              <w:bottom w:val="nil"/>
              <w:right w:val="nil"/>
            </w:tcBorders>
            <w:vAlign w:val="center"/>
          </w:tcPr>
          <w:p w14:paraId="5E2D0ED6"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The new service (and engineering systems servicing the new area) should meet SLS2 performance as defined in these guidelines, ANARP</w:t>
            </w:r>
          </w:p>
        </w:tc>
      </w:tr>
    </w:tbl>
    <w:p w14:paraId="4DDB4DFB" w14:textId="77777777" w:rsidR="00526E24" w:rsidRDefault="00526E24" w:rsidP="00666E06"/>
    <w:p w14:paraId="714B6442" w14:textId="5F114A5A" w:rsidR="00526E24" w:rsidRPr="00210CB4" w:rsidRDefault="00526E24" w:rsidP="00B2104B">
      <w:pPr>
        <w:pStyle w:val="Figure"/>
        <w:rPr>
          <w:sz w:val="20"/>
          <w:szCs w:val="20"/>
        </w:rPr>
      </w:pPr>
      <w:bookmarkStart w:id="241" w:name="_Ref180127651"/>
      <w:r w:rsidRPr="00210CB4">
        <w:rPr>
          <w:sz w:val="20"/>
          <w:szCs w:val="20"/>
        </w:rPr>
        <w:t xml:space="preserve">Table </w:t>
      </w:r>
      <w:r w:rsidRPr="00210CB4">
        <w:rPr>
          <w:sz w:val="20"/>
          <w:szCs w:val="20"/>
        </w:rPr>
        <w:fldChar w:fldCharType="begin"/>
      </w:r>
      <w:r w:rsidRPr="00210CB4">
        <w:rPr>
          <w:sz w:val="20"/>
          <w:szCs w:val="20"/>
        </w:rPr>
        <w:instrText>SEQ Table \* ARABIC</w:instrText>
      </w:r>
      <w:r w:rsidRPr="00210CB4">
        <w:rPr>
          <w:sz w:val="20"/>
          <w:szCs w:val="20"/>
        </w:rPr>
        <w:fldChar w:fldCharType="separate"/>
      </w:r>
      <w:r w:rsidR="000761C1">
        <w:rPr>
          <w:noProof/>
          <w:sz w:val="20"/>
          <w:szCs w:val="20"/>
        </w:rPr>
        <w:t>11</w:t>
      </w:r>
      <w:r w:rsidRPr="00210CB4">
        <w:rPr>
          <w:sz w:val="20"/>
          <w:szCs w:val="20"/>
        </w:rPr>
        <w:fldChar w:fldCharType="end"/>
      </w:r>
      <w:bookmarkEnd w:id="241"/>
      <w:r w:rsidRPr="00210CB4">
        <w:rPr>
          <w:sz w:val="20"/>
          <w:szCs w:val="20"/>
        </w:rPr>
        <w:t>: Health NZ ’s performance requirements for existing building performance for significant structural alterations and additions (shown grey)—subject to consideration of what is as near as is reasonably practicable for each project’s context.</w:t>
      </w:r>
    </w:p>
    <w:tbl>
      <w:tblPr>
        <w:tblStyle w:val="TeWhatuOra"/>
        <w:tblW w:w="9634"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ayout w:type="fixed"/>
        <w:tblLook w:val="04A0" w:firstRow="1" w:lastRow="0" w:firstColumn="1" w:lastColumn="0" w:noHBand="0" w:noVBand="1"/>
      </w:tblPr>
      <w:tblGrid>
        <w:gridCol w:w="905"/>
        <w:gridCol w:w="2067"/>
        <w:gridCol w:w="2190"/>
        <w:gridCol w:w="2180"/>
        <w:gridCol w:w="2292"/>
      </w:tblGrid>
      <w:tr w:rsidR="00526E24" w:rsidRPr="00210CB4" w14:paraId="54D3CC26" w14:textId="77777777" w:rsidTr="00B2104B">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905" w:type="dxa"/>
            <w:vMerge w:val="restart"/>
            <w:tcBorders>
              <w:top w:val="single" w:sz="12" w:space="0" w:color="003399" w:themeColor="accent2"/>
              <w:left w:val="nil"/>
              <w:bottom w:val="single" w:sz="8" w:space="0" w:color="BFBFBF"/>
              <w:right w:val="single" w:sz="8" w:space="0" w:color="BFBFBF"/>
            </w:tcBorders>
            <w:shd w:val="clear" w:color="auto" w:fill="F6F4EC"/>
          </w:tcPr>
          <w:p w14:paraId="7452279E" w14:textId="77777777" w:rsidR="00526E24" w:rsidRPr="00210CB4" w:rsidRDefault="00526E24" w:rsidP="00666E06">
            <w:pPr>
              <w:rPr>
                <w:sz w:val="20"/>
                <w:szCs w:val="20"/>
              </w:rPr>
            </w:pPr>
          </w:p>
        </w:tc>
        <w:tc>
          <w:tcPr>
            <w:tcW w:w="2067" w:type="dxa"/>
            <w:vMerge w:val="restart"/>
            <w:tcBorders>
              <w:top w:val="single" w:sz="12" w:space="0" w:color="003399" w:themeColor="accent2"/>
              <w:left w:val="single" w:sz="8" w:space="0" w:color="BFBFBF"/>
              <w:bottom w:val="single" w:sz="8" w:space="0" w:color="BFBFBF"/>
              <w:right w:val="single" w:sz="8" w:space="0" w:color="BFBFBF"/>
            </w:tcBorders>
            <w:shd w:val="clear" w:color="auto" w:fill="F6F4EC"/>
          </w:tcPr>
          <w:p w14:paraId="0EC6CB1E"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Significant additions extending vertically (adding floors)</w:t>
            </w:r>
          </w:p>
        </w:tc>
        <w:tc>
          <w:tcPr>
            <w:tcW w:w="4370" w:type="dxa"/>
            <w:gridSpan w:val="2"/>
            <w:tcBorders>
              <w:top w:val="single" w:sz="12" w:space="0" w:color="003399" w:themeColor="accent2"/>
              <w:left w:val="single" w:sz="8" w:space="0" w:color="BFBFBF"/>
              <w:bottom w:val="single" w:sz="8" w:space="0" w:color="BFBFBF"/>
              <w:right w:val="single" w:sz="8" w:space="0" w:color="BFBFBF"/>
            </w:tcBorders>
            <w:shd w:val="clear" w:color="auto" w:fill="F6F4EC"/>
          </w:tcPr>
          <w:p w14:paraId="7B6AF4F8" w14:textId="77777777" w:rsidR="00526E24" w:rsidRPr="00210CB4" w:rsidRDefault="00526E24" w:rsidP="00B2104B">
            <w:pPr>
              <w:jc w:val="cente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Significant additions extending laterally</w:t>
            </w:r>
            <w:r w:rsidRPr="00210CB4">
              <w:rPr>
                <w:rStyle w:val="FootnoteReference"/>
                <w:sz w:val="20"/>
                <w:szCs w:val="20"/>
              </w:rPr>
              <w:footnoteReference w:id="32"/>
            </w:r>
          </w:p>
        </w:tc>
        <w:tc>
          <w:tcPr>
            <w:tcW w:w="2292" w:type="dxa"/>
            <w:vMerge w:val="restart"/>
            <w:tcBorders>
              <w:top w:val="single" w:sz="12" w:space="0" w:color="003399" w:themeColor="accent2"/>
              <w:left w:val="single" w:sz="8" w:space="0" w:color="BFBFBF"/>
              <w:bottom w:val="single" w:sz="12" w:space="0" w:color="003399" w:themeColor="accent2"/>
              <w:right w:val="nil"/>
            </w:tcBorders>
            <w:shd w:val="clear" w:color="auto" w:fill="F6F4EC"/>
          </w:tcPr>
          <w:p w14:paraId="5144BB57" w14:textId="77777777" w:rsidR="00526E24" w:rsidRPr="00210CB4" w:rsidRDefault="00526E24" w:rsidP="00666E06">
            <w:pPr>
              <w:cnfStyle w:val="100000000000" w:firstRow="1" w:lastRow="0" w:firstColumn="0" w:lastColumn="0" w:oddVBand="0" w:evenVBand="0" w:oddHBand="0" w:evenHBand="0" w:firstRowFirstColumn="0" w:firstRowLastColumn="0" w:lastRowFirstColumn="0" w:lastRowLastColumn="0"/>
              <w:rPr>
                <w:sz w:val="20"/>
                <w:szCs w:val="20"/>
              </w:rPr>
            </w:pPr>
            <w:r w:rsidRPr="00210CB4">
              <w:rPr>
                <w:sz w:val="20"/>
                <w:szCs w:val="20"/>
              </w:rPr>
              <w:t>Adding significant weight/mass or altering primary structure load paths</w:t>
            </w:r>
          </w:p>
        </w:tc>
      </w:tr>
      <w:tr w:rsidR="00526E24" w:rsidRPr="00210CB4" w14:paraId="59EA2867" w14:textId="77777777" w:rsidTr="00B2104B">
        <w:trPr>
          <w:trHeight w:val="670"/>
        </w:trPr>
        <w:tc>
          <w:tcPr>
            <w:cnfStyle w:val="001000000000" w:firstRow="0" w:lastRow="0" w:firstColumn="1" w:lastColumn="0" w:oddVBand="0" w:evenVBand="0" w:oddHBand="0" w:evenHBand="0" w:firstRowFirstColumn="0" w:firstRowLastColumn="0" w:lastRowFirstColumn="0" w:lastRowLastColumn="0"/>
            <w:tcW w:w="905" w:type="dxa"/>
            <w:vMerge/>
            <w:tcBorders>
              <w:top w:val="single" w:sz="8" w:space="0" w:color="BFBFBF"/>
              <w:left w:val="nil"/>
              <w:bottom w:val="single" w:sz="12" w:space="0" w:color="003399" w:themeColor="accent2"/>
              <w:right w:val="single" w:sz="8" w:space="0" w:color="BFBFBF"/>
            </w:tcBorders>
            <w:shd w:val="clear" w:color="auto" w:fill="15284C" w:themeFill="text1"/>
            <w:vAlign w:val="center"/>
          </w:tcPr>
          <w:p w14:paraId="5C4BBBF3" w14:textId="77777777" w:rsidR="00526E24" w:rsidRPr="00210CB4" w:rsidRDefault="00526E24" w:rsidP="00666E06">
            <w:pPr>
              <w:rPr>
                <w:sz w:val="20"/>
                <w:szCs w:val="20"/>
              </w:rPr>
            </w:pPr>
          </w:p>
        </w:tc>
        <w:tc>
          <w:tcPr>
            <w:tcW w:w="2067" w:type="dxa"/>
            <w:vMerge/>
            <w:tcBorders>
              <w:top w:val="single" w:sz="8" w:space="0" w:color="BFBFBF"/>
              <w:left w:val="single" w:sz="8" w:space="0" w:color="BFBFBF"/>
              <w:bottom w:val="single" w:sz="12" w:space="0" w:color="003399" w:themeColor="accent2"/>
              <w:right w:val="single" w:sz="8" w:space="0" w:color="BFBFBF"/>
            </w:tcBorders>
            <w:shd w:val="clear" w:color="auto" w:fill="CFC499" w:themeFill="background1" w:themeFillShade="BF"/>
            <w:vAlign w:val="center"/>
          </w:tcPr>
          <w:p w14:paraId="60763390"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p>
        </w:tc>
        <w:tc>
          <w:tcPr>
            <w:tcW w:w="2190"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31A516CC"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b/>
                <w:bCs/>
                <w:sz w:val="20"/>
                <w:szCs w:val="20"/>
              </w:rPr>
            </w:pPr>
            <w:r w:rsidRPr="00210CB4">
              <w:rPr>
                <w:b/>
                <w:bCs/>
                <w:sz w:val="20"/>
                <w:szCs w:val="20"/>
              </w:rPr>
              <w:t>Tied, but not reliant on existing structure</w:t>
            </w:r>
          </w:p>
        </w:tc>
        <w:tc>
          <w:tcPr>
            <w:tcW w:w="2180"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256850C6"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b/>
                <w:bCs/>
                <w:sz w:val="20"/>
                <w:szCs w:val="20"/>
              </w:rPr>
            </w:pPr>
            <w:r w:rsidRPr="00210CB4">
              <w:rPr>
                <w:b/>
                <w:bCs/>
                <w:sz w:val="20"/>
                <w:szCs w:val="20"/>
              </w:rPr>
              <w:t>Reliant on existing structure</w:t>
            </w:r>
          </w:p>
        </w:tc>
        <w:tc>
          <w:tcPr>
            <w:tcW w:w="2292" w:type="dxa"/>
            <w:vMerge/>
            <w:tcBorders>
              <w:top w:val="single" w:sz="8" w:space="0" w:color="BFBFBF"/>
              <w:left w:val="single" w:sz="8" w:space="0" w:color="BFBFBF"/>
              <w:bottom w:val="single" w:sz="12" w:space="0" w:color="003399" w:themeColor="accent2"/>
              <w:right w:val="nil"/>
            </w:tcBorders>
            <w:shd w:val="clear" w:color="auto" w:fill="CFC499" w:themeFill="background1" w:themeFillShade="BF"/>
            <w:vAlign w:val="center"/>
          </w:tcPr>
          <w:p w14:paraId="2DEF8C67"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p>
        </w:tc>
      </w:tr>
      <w:tr w:rsidR="00526E24" w:rsidRPr="00210CB4" w14:paraId="3334A5F6" w14:textId="77777777" w:rsidTr="00B2104B">
        <w:tc>
          <w:tcPr>
            <w:cnfStyle w:val="001000000000" w:firstRow="0" w:lastRow="0" w:firstColumn="1" w:lastColumn="0" w:oddVBand="0" w:evenVBand="0" w:oddHBand="0" w:evenHBand="0" w:firstRowFirstColumn="0" w:firstRowLastColumn="0" w:lastRowFirstColumn="0" w:lastRowLastColumn="0"/>
            <w:tcW w:w="905" w:type="dxa"/>
            <w:tcBorders>
              <w:top w:val="single" w:sz="12" w:space="0" w:color="003399" w:themeColor="accent2"/>
              <w:left w:val="nil"/>
              <w:bottom w:val="single" w:sz="8" w:space="0" w:color="BFBFBF"/>
              <w:right w:val="single" w:sz="8" w:space="0" w:color="BFBFBF"/>
            </w:tcBorders>
            <w:shd w:val="clear" w:color="auto" w:fill="F6F4EC"/>
          </w:tcPr>
          <w:p w14:paraId="071CE138" w14:textId="77777777" w:rsidR="00526E24" w:rsidRPr="00210CB4" w:rsidRDefault="00526E24" w:rsidP="00666E06">
            <w:pPr>
              <w:rPr>
                <w:sz w:val="20"/>
                <w:szCs w:val="20"/>
              </w:rPr>
            </w:pPr>
          </w:p>
        </w:tc>
        <w:tc>
          <w:tcPr>
            <w:tcW w:w="2067" w:type="dxa"/>
            <w:tcBorders>
              <w:top w:val="single" w:sz="12" w:space="0" w:color="003399" w:themeColor="accent2"/>
              <w:left w:val="single" w:sz="8" w:space="0" w:color="BFBFBF"/>
              <w:bottom w:val="single" w:sz="8" w:space="0" w:color="BFBFBF"/>
              <w:right w:val="single" w:sz="8" w:space="0" w:color="BFBFBF"/>
            </w:tcBorders>
            <w:vAlign w:val="bottom"/>
          </w:tcPr>
          <w:p w14:paraId="79F8E719"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noProof/>
                <w:sz w:val="20"/>
                <w:szCs w:val="20"/>
              </w:rPr>
              <w:drawing>
                <wp:inline distT="0" distB="0" distL="0" distR="0" wp14:anchorId="5270ED9B" wp14:editId="5A34FC33">
                  <wp:extent cx="987972" cy="804637"/>
                  <wp:effectExtent l="0" t="0" r="3175" b="0"/>
                  <wp:docPr id="1653814597" name="Picture 1653814597" descr="A black and white imag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23106" name="Picture 467823106" descr="A black and white image of a building&#10;&#10;Description automatically generated"/>
                          <pic:cNvPicPr/>
                        </pic:nvPicPr>
                        <pic:blipFill>
                          <a:blip r:embed="rId62"/>
                          <a:stretch>
                            <a:fillRect/>
                          </a:stretch>
                        </pic:blipFill>
                        <pic:spPr>
                          <a:xfrm>
                            <a:off x="0" y="0"/>
                            <a:ext cx="1003534" cy="817311"/>
                          </a:xfrm>
                          <a:prstGeom prst="rect">
                            <a:avLst/>
                          </a:prstGeom>
                        </pic:spPr>
                      </pic:pic>
                    </a:graphicData>
                  </a:graphic>
                </wp:inline>
              </w:drawing>
            </w:r>
          </w:p>
        </w:tc>
        <w:tc>
          <w:tcPr>
            <w:tcW w:w="2190" w:type="dxa"/>
            <w:tcBorders>
              <w:top w:val="single" w:sz="12" w:space="0" w:color="003399" w:themeColor="accent2"/>
              <w:left w:val="single" w:sz="8" w:space="0" w:color="BFBFBF"/>
              <w:bottom w:val="single" w:sz="8" w:space="0" w:color="BFBFBF"/>
              <w:right w:val="single" w:sz="8" w:space="0" w:color="BFBFBF"/>
            </w:tcBorders>
            <w:vAlign w:val="bottom"/>
          </w:tcPr>
          <w:p w14:paraId="5CC6AE67"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noProof/>
                <w:sz w:val="20"/>
                <w:szCs w:val="20"/>
              </w:rPr>
              <w:drawing>
                <wp:inline distT="0" distB="0" distL="0" distR="0" wp14:anchorId="3ECE9C38" wp14:editId="3DBC124F">
                  <wp:extent cx="1401253" cy="473572"/>
                  <wp:effectExtent l="0" t="0" r="0" b="3175"/>
                  <wp:docPr id="1795252444" name="Picture 1795252444" descr="A black and white graphic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01141" name="Picture 233601141" descr="A black and white graphic of a building&#10;&#10;Description automatically generated"/>
                          <pic:cNvPicPr/>
                        </pic:nvPicPr>
                        <pic:blipFill>
                          <a:blip r:embed="rId63"/>
                          <a:stretch>
                            <a:fillRect/>
                          </a:stretch>
                        </pic:blipFill>
                        <pic:spPr>
                          <a:xfrm>
                            <a:off x="0" y="0"/>
                            <a:ext cx="1421261" cy="480334"/>
                          </a:xfrm>
                          <a:prstGeom prst="rect">
                            <a:avLst/>
                          </a:prstGeom>
                        </pic:spPr>
                      </pic:pic>
                    </a:graphicData>
                  </a:graphic>
                </wp:inline>
              </w:drawing>
            </w:r>
          </w:p>
        </w:tc>
        <w:tc>
          <w:tcPr>
            <w:tcW w:w="2180" w:type="dxa"/>
            <w:tcBorders>
              <w:top w:val="single" w:sz="12" w:space="0" w:color="003399" w:themeColor="accent2"/>
              <w:left w:val="single" w:sz="8" w:space="0" w:color="BFBFBF"/>
              <w:bottom w:val="single" w:sz="8" w:space="0" w:color="BFBFBF"/>
              <w:right w:val="single" w:sz="8" w:space="0" w:color="BFBFBF"/>
            </w:tcBorders>
            <w:vAlign w:val="bottom"/>
          </w:tcPr>
          <w:p w14:paraId="4D1D9D3A"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noProof/>
                <w:sz w:val="20"/>
                <w:szCs w:val="20"/>
              </w:rPr>
              <w:drawing>
                <wp:inline distT="0" distB="0" distL="0" distR="0" wp14:anchorId="55166DBF" wp14:editId="73173C1C">
                  <wp:extent cx="1274918" cy="904569"/>
                  <wp:effectExtent l="0" t="0" r="1905" b="0"/>
                  <wp:docPr id="673467088" name="Picture 673467088" descr="A black and white image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80442" name="Picture 1301280442" descr="A black and white image of a house&#10;&#10;Description automatically generated"/>
                          <pic:cNvPicPr/>
                        </pic:nvPicPr>
                        <pic:blipFill>
                          <a:blip r:embed="rId64"/>
                          <a:stretch>
                            <a:fillRect/>
                          </a:stretch>
                        </pic:blipFill>
                        <pic:spPr>
                          <a:xfrm>
                            <a:off x="0" y="0"/>
                            <a:ext cx="1286945" cy="913103"/>
                          </a:xfrm>
                          <a:prstGeom prst="rect">
                            <a:avLst/>
                          </a:prstGeom>
                        </pic:spPr>
                      </pic:pic>
                    </a:graphicData>
                  </a:graphic>
                </wp:inline>
              </w:drawing>
            </w:r>
          </w:p>
        </w:tc>
        <w:tc>
          <w:tcPr>
            <w:tcW w:w="2292" w:type="dxa"/>
            <w:tcBorders>
              <w:top w:val="single" w:sz="12" w:space="0" w:color="003399" w:themeColor="accent2"/>
              <w:left w:val="single" w:sz="8" w:space="0" w:color="BFBFBF"/>
              <w:bottom w:val="single" w:sz="8" w:space="0" w:color="BFBFBF"/>
              <w:right w:val="nil"/>
            </w:tcBorders>
            <w:vAlign w:val="bottom"/>
          </w:tcPr>
          <w:p w14:paraId="0425A4EC"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noProof/>
                <w:sz w:val="20"/>
                <w:szCs w:val="20"/>
              </w:rPr>
              <w:drawing>
                <wp:inline distT="0" distB="0" distL="0" distR="0" wp14:anchorId="53C62EFF" wp14:editId="5D69EF16">
                  <wp:extent cx="923426" cy="955943"/>
                  <wp:effectExtent l="0" t="0" r="0" b="0"/>
                  <wp:docPr id="177576374" name="Picture 177576374" descr="A black and white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96114" name="Picture 1220096114" descr="A black and white diagram of a house&#10;&#10;Description automatically generated"/>
                          <pic:cNvPicPr/>
                        </pic:nvPicPr>
                        <pic:blipFill>
                          <a:blip r:embed="rId65"/>
                          <a:stretch>
                            <a:fillRect/>
                          </a:stretch>
                        </pic:blipFill>
                        <pic:spPr>
                          <a:xfrm>
                            <a:off x="0" y="0"/>
                            <a:ext cx="947722" cy="981095"/>
                          </a:xfrm>
                          <a:prstGeom prst="rect">
                            <a:avLst/>
                          </a:prstGeom>
                        </pic:spPr>
                      </pic:pic>
                    </a:graphicData>
                  </a:graphic>
                </wp:inline>
              </w:drawing>
            </w:r>
          </w:p>
        </w:tc>
      </w:tr>
      <w:tr w:rsidR="00526E24" w:rsidRPr="00210CB4" w14:paraId="1E108C11" w14:textId="77777777" w:rsidTr="00B2104B">
        <w:tc>
          <w:tcPr>
            <w:cnfStyle w:val="001000000000" w:firstRow="0" w:lastRow="0" w:firstColumn="1" w:lastColumn="0" w:oddVBand="0" w:evenVBand="0" w:oddHBand="0" w:evenHBand="0" w:firstRowFirstColumn="0" w:firstRowLastColumn="0" w:lastRowFirstColumn="0" w:lastRowLastColumn="0"/>
            <w:tcW w:w="905" w:type="dxa"/>
            <w:tcBorders>
              <w:top w:val="single" w:sz="8" w:space="0" w:color="BFBFBF"/>
              <w:left w:val="nil"/>
              <w:bottom w:val="single" w:sz="8" w:space="0" w:color="BFBFBF"/>
              <w:right w:val="single" w:sz="8" w:space="0" w:color="BFBFBF"/>
            </w:tcBorders>
            <w:shd w:val="clear" w:color="auto" w:fill="F6F4EC"/>
            <w:vAlign w:val="center"/>
          </w:tcPr>
          <w:p w14:paraId="05CF9900" w14:textId="77777777" w:rsidR="00526E24" w:rsidRPr="00210CB4" w:rsidRDefault="00526E24" w:rsidP="00666E06">
            <w:pPr>
              <w:rPr>
                <w:sz w:val="20"/>
                <w:szCs w:val="20"/>
              </w:rPr>
            </w:pPr>
            <w:r w:rsidRPr="00210CB4">
              <w:rPr>
                <w:sz w:val="20"/>
                <w:szCs w:val="20"/>
              </w:rPr>
              <w:t>ULS</w:t>
            </w:r>
          </w:p>
        </w:tc>
        <w:tc>
          <w:tcPr>
            <w:tcW w:w="2067" w:type="dxa"/>
            <w:tcBorders>
              <w:top w:val="single" w:sz="8" w:space="0" w:color="BFBFBF"/>
              <w:left w:val="single" w:sz="8" w:space="0" w:color="BFBFBF"/>
              <w:bottom w:val="single" w:sz="8" w:space="0" w:color="BFBFBF"/>
              <w:right w:val="single" w:sz="8" w:space="0" w:color="BFBFBF"/>
            </w:tcBorders>
            <w:vAlign w:val="center"/>
          </w:tcPr>
          <w:p w14:paraId="082D452F"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B1/VM1</w:t>
            </w:r>
            <w:r w:rsidRPr="00210CB4">
              <w:rPr>
                <w:rStyle w:val="FootnoteReference"/>
                <w:sz w:val="20"/>
                <w:szCs w:val="20"/>
              </w:rPr>
              <w:footnoteReference w:id="33"/>
            </w:r>
            <w:r w:rsidRPr="00210CB4">
              <w:rPr>
                <w:sz w:val="20"/>
                <w:szCs w:val="20"/>
              </w:rPr>
              <w:t>, ANARP</w:t>
            </w:r>
          </w:p>
        </w:tc>
        <w:tc>
          <w:tcPr>
            <w:tcW w:w="2190" w:type="dxa"/>
            <w:tcBorders>
              <w:top w:val="single" w:sz="8" w:space="0" w:color="BFBFBF"/>
              <w:left w:val="single" w:sz="8" w:space="0" w:color="BFBFBF"/>
              <w:bottom w:val="single" w:sz="8" w:space="0" w:color="BFBFBF"/>
              <w:right w:val="single" w:sz="8" w:space="0" w:color="BFBFBF"/>
            </w:tcBorders>
            <w:vAlign w:val="center"/>
          </w:tcPr>
          <w:p w14:paraId="4BC3C7AF" w14:textId="4B3787D8"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Section 112 and</w:t>
            </w:r>
            <w:r w:rsidRPr="00210CB4">
              <w:rPr>
                <w:sz w:val="20"/>
                <w:szCs w:val="20"/>
              </w:rPr>
              <w:br/>
              <w:t>Low Earthquake Risk, ANARP</w:t>
            </w:r>
            <w:r w:rsidR="00AD4C56" w:rsidRPr="00210CB4">
              <w:rPr>
                <w:sz w:val="20"/>
                <w:szCs w:val="20"/>
                <w:vertAlign w:val="superscript"/>
              </w:rPr>
              <w:fldChar w:fldCharType="begin"/>
            </w:r>
            <w:r w:rsidR="00AD4C56" w:rsidRPr="00210CB4">
              <w:rPr>
                <w:sz w:val="20"/>
                <w:szCs w:val="20"/>
                <w:vertAlign w:val="superscript"/>
              </w:rPr>
              <w:instrText xml:space="preserve"> NOTEREF _Ref180566393 \h  \* MERGEFORMAT </w:instrText>
            </w:r>
            <w:r w:rsidR="00AD4C56" w:rsidRPr="00210CB4">
              <w:rPr>
                <w:sz w:val="20"/>
                <w:szCs w:val="20"/>
                <w:vertAlign w:val="superscript"/>
              </w:rPr>
            </w:r>
            <w:r w:rsidR="00AD4C56" w:rsidRPr="00210CB4">
              <w:rPr>
                <w:sz w:val="20"/>
                <w:szCs w:val="20"/>
                <w:vertAlign w:val="superscript"/>
              </w:rPr>
              <w:fldChar w:fldCharType="separate"/>
            </w:r>
            <w:r w:rsidR="000761C1">
              <w:rPr>
                <w:sz w:val="20"/>
                <w:szCs w:val="20"/>
                <w:vertAlign w:val="superscript"/>
              </w:rPr>
              <w:t>1</w:t>
            </w:r>
            <w:r w:rsidR="00AD4C56" w:rsidRPr="00210CB4">
              <w:rPr>
                <w:sz w:val="20"/>
                <w:szCs w:val="20"/>
                <w:vertAlign w:val="superscript"/>
              </w:rPr>
              <w:fldChar w:fldCharType="end"/>
            </w:r>
          </w:p>
        </w:tc>
        <w:tc>
          <w:tcPr>
            <w:tcW w:w="2180" w:type="dxa"/>
            <w:tcBorders>
              <w:top w:val="single" w:sz="8" w:space="0" w:color="BFBFBF"/>
              <w:left w:val="single" w:sz="8" w:space="0" w:color="BFBFBF"/>
              <w:bottom w:val="single" w:sz="8" w:space="0" w:color="BFBFBF"/>
              <w:right w:val="single" w:sz="8" w:space="0" w:color="BFBFBF"/>
            </w:tcBorders>
            <w:vAlign w:val="center"/>
          </w:tcPr>
          <w:p w14:paraId="30D0537A" w14:textId="77CC375A"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B1/VM1, ANARP</w:t>
            </w:r>
            <w:r w:rsidR="00A80018" w:rsidRPr="00210CB4">
              <w:rPr>
                <w:sz w:val="20"/>
                <w:szCs w:val="20"/>
                <w:vertAlign w:val="superscript"/>
              </w:rPr>
              <w:fldChar w:fldCharType="begin"/>
            </w:r>
            <w:r w:rsidR="00A80018" w:rsidRPr="00210CB4">
              <w:rPr>
                <w:sz w:val="20"/>
                <w:szCs w:val="20"/>
                <w:vertAlign w:val="superscript"/>
              </w:rPr>
              <w:instrText xml:space="preserve"> NOTEREF _Ref180566393 \h  \* MERGEFORMAT </w:instrText>
            </w:r>
            <w:r w:rsidR="00A80018" w:rsidRPr="00210CB4">
              <w:rPr>
                <w:sz w:val="20"/>
                <w:szCs w:val="20"/>
                <w:vertAlign w:val="superscript"/>
              </w:rPr>
            </w:r>
            <w:r w:rsidR="00A80018" w:rsidRPr="00210CB4">
              <w:rPr>
                <w:sz w:val="20"/>
                <w:szCs w:val="20"/>
                <w:vertAlign w:val="superscript"/>
              </w:rPr>
              <w:fldChar w:fldCharType="separate"/>
            </w:r>
            <w:r w:rsidR="000761C1">
              <w:rPr>
                <w:sz w:val="20"/>
                <w:szCs w:val="20"/>
                <w:vertAlign w:val="superscript"/>
              </w:rPr>
              <w:t>1</w:t>
            </w:r>
            <w:r w:rsidR="00A80018" w:rsidRPr="00210CB4">
              <w:rPr>
                <w:sz w:val="20"/>
                <w:szCs w:val="20"/>
                <w:vertAlign w:val="superscript"/>
              </w:rPr>
              <w:fldChar w:fldCharType="end"/>
            </w:r>
          </w:p>
        </w:tc>
        <w:tc>
          <w:tcPr>
            <w:tcW w:w="2292" w:type="dxa"/>
            <w:tcBorders>
              <w:top w:val="single" w:sz="8" w:space="0" w:color="BFBFBF"/>
              <w:left w:val="single" w:sz="8" w:space="0" w:color="BFBFBF"/>
              <w:bottom w:val="single" w:sz="8" w:space="0" w:color="BFBFBF"/>
              <w:right w:val="nil"/>
            </w:tcBorders>
            <w:vAlign w:val="center"/>
          </w:tcPr>
          <w:p w14:paraId="431F2D10"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Section 112</w:t>
            </w:r>
          </w:p>
        </w:tc>
      </w:tr>
      <w:tr w:rsidR="00526E24" w:rsidRPr="00210CB4" w14:paraId="5F530CDF" w14:textId="77777777" w:rsidTr="00B2104B">
        <w:trPr>
          <w:trHeight w:val="24"/>
        </w:trPr>
        <w:tc>
          <w:tcPr>
            <w:cnfStyle w:val="001000000000" w:firstRow="0" w:lastRow="0" w:firstColumn="1" w:lastColumn="0" w:oddVBand="0" w:evenVBand="0" w:oddHBand="0" w:evenHBand="0" w:firstRowFirstColumn="0" w:firstRowLastColumn="0" w:lastRowFirstColumn="0" w:lastRowLastColumn="0"/>
            <w:tcW w:w="905" w:type="dxa"/>
            <w:tcBorders>
              <w:top w:val="single" w:sz="8" w:space="0" w:color="BFBFBF"/>
              <w:left w:val="nil"/>
              <w:bottom w:val="nil"/>
              <w:right w:val="single" w:sz="8" w:space="0" w:color="BFBFBF"/>
            </w:tcBorders>
            <w:shd w:val="clear" w:color="auto" w:fill="F6F4EC"/>
            <w:vAlign w:val="center"/>
          </w:tcPr>
          <w:p w14:paraId="7BDA2610" w14:textId="77777777" w:rsidR="00526E24" w:rsidRPr="00210CB4" w:rsidRDefault="00526E24" w:rsidP="00666E06">
            <w:pPr>
              <w:rPr>
                <w:sz w:val="20"/>
                <w:szCs w:val="20"/>
              </w:rPr>
            </w:pPr>
            <w:r w:rsidRPr="00210CB4">
              <w:rPr>
                <w:sz w:val="20"/>
                <w:szCs w:val="20"/>
              </w:rPr>
              <w:t>SLS2</w:t>
            </w:r>
          </w:p>
        </w:tc>
        <w:tc>
          <w:tcPr>
            <w:tcW w:w="8729" w:type="dxa"/>
            <w:gridSpan w:val="4"/>
            <w:tcBorders>
              <w:top w:val="single" w:sz="8" w:space="0" w:color="BFBFBF"/>
              <w:left w:val="single" w:sz="8" w:space="0" w:color="BFBFBF"/>
              <w:bottom w:val="nil"/>
              <w:right w:val="nil"/>
            </w:tcBorders>
            <w:vAlign w:val="center"/>
          </w:tcPr>
          <w:p w14:paraId="7AF3355C" w14:textId="77777777" w:rsidR="00526E24" w:rsidRPr="00210CB4" w:rsidRDefault="00526E24" w:rsidP="00666E06">
            <w:pPr>
              <w:cnfStyle w:val="000000000000" w:firstRow="0" w:lastRow="0" w:firstColumn="0" w:lastColumn="0" w:oddVBand="0" w:evenVBand="0" w:oddHBand="0" w:evenHBand="0" w:firstRowFirstColumn="0" w:firstRowLastColumn="0" w:lastRowFirstColumn="0" w:lastRowLastColumn="0"/>
              <w:rPr>
                <w:sz w:val="20"/>
                <w:szCs w:val="20"/>
              </w:rPr>
            </w:pPr>
            <w:r w:rsidRPr="00210CB4">
              <w:rPr>
                <w:sz w:val="20"/>
                <w:szCs w:val="20"/>
              </w:rPr>
              <w:t>The new service (and engineering systems servicing the new area) should enable it to meet SLS2 performance as defined in these guidelines, ANARP</w:t>
            </w:r>
          </w:p>
        </w:tc>
      </w:tr>
    </w:tbl>
    <w:p w14:paraId="1021A9FF" w14:textId="77777777" w:rsidR="00526E24" w:rsidRDefault="00526E24" w:rsidP="00666E06"/>
    <w:p w14:paraId="76834D16" w14:textId="77777777" w:rsidR="00526E24" w:rsidRPr="00B2286F" w:rsidRDefault="00526E24" w:rsidP="00B2104B">
      <w:pPr>
        <w:pStyle w:val="Section2heading3"/>
      </w:pPr>
      <w:r w:rsidRPr="00B2286F">
        <w:lastRenderedPageBreak/>
        <w:t>Testing opportunities to carry out seismic work as part of minor alterations</w:t>
      </w:r>
    </w:p>
    <w:p w14:paraId="263140B3" w14:textId="77777777" w:rsidR="00526E24" w:rsidRPr="00B2286F" w:rsidRDefault="00526E24" w:rsidP="00666E06">
      <w:r w:rsidRPr="00B2286F">
        <w:t>Many minor alteration projects, especially those that expose primary structure, create opportunities to complete seismic work in Earthquake Risk buildings more efficiently</w:t>
      </w:r>
      <w:r>
        <w:t xml:space="preserve"> </w:t>
      </w:r>
      <w:r w:rsidRPr="00B2286F">
        <w:t>with</w:t>
      </w:r>
      <w:r>
        <w:t xml:space="preserve"> minimum cost and </w:t>
      </w:r>
      <w:r w:rsidRPr="00B2286F">
        <w:t>wastage from preliminary and general costs (P&amp;G), demolition and reinstatement of building services and finishes. This may not improve the buildings Seismic Rating, but can still have benefits including:</w:t>
      </w:r>
    </w:p>
    <w:p w14:paraId="4A8BE8AC" w14:textId="77777777" w:rsidR="00526E24" w:rsidRPr="00B2286F" w:rsidRDefault="00526E24" w:rsidP="004D55F1">
      <w:pPr>
        <w:pStyle w:val="ListParagraph"/>
        <w:numPr>
          <w:ilvl w:val="0"/>
          <w:numId w:val="58"/>
        </w:numPr>
      </w:pPr>
      <w:r w:rsidRPr="00B2286F">
        <w:t>Reducing the risk profile by addressing local hazards in or near the work area.</w:t>
      </w:r>
    </w:p>
    <w:p w14:paraId="7469D98F" w14:textId="77777777" w:rsidR="00526E24" w:rsidRPr="00B2286F" w:rsidRDefault="00526E24" w:rsidP="004D55F1">
      <w:pPr>
        <w:pStyle w:val="ListParagraph"/>
        <w:numPr>
          <w:ilvl w:val="0"/>
          <w:numId w:val="58"/>
        </w:numPr>
      </w:pPr>
      <w:r w:rsidRPr="00B2286F">
        <w:t>Forming part of staged works that give broader seismic enhancements to the building as a whole (and its Seismic Rating)</w:t>
      </w:r>
      <w:r w:rsidRPr="00B2286F">
        <w:rPr>
          <w:rFonts w:cstheme="minorHAnsi"/>
        </w:rPr>
        <w:t>—</w:t>
      </w:r>
      <w:r w:rsidRPr="00B2286F">
        <w:t>over time.</w:t>
      </w:r>
    </w:p>
    <w:p w14:paraId="1BCC434E" w14:textId="77777777" w:rsidR="00526E24" w:rsidRPr="00B2286F" w:rsidRDefault="00526E24" w:rsidP="00666E06">
      <w:r w:rsidRPr="00B2286F">
        <w:t>Generally, this would be most applicable to isolated/discrete securing aspects (such as precast floor seating retrofit, roof bracing improvements and anchorage into concrete structure, etc.) that are accessible from within the work area. However, it could involve more extensive retrofit work to Seismic Risk buildings (within the work area) if enough information was available to form the basis for this and there was a forward plan to complete any associated work required outside the alteration area in the future</w:t>
      </w:r>
      <w:r>
        <w:t xml:space="preserve"> </w:t>
      </w:r>
      <w:r w:rsidRPr="00B2286F">
        <w:t>and provided sequencing implications were practical.</w:t>
      </w:r>
    </w:p>
    <w:p w14:paraId="063EC0A9" w14:textId="77777777" w:rsidR="00526E24" w:rsidRPr="00B2286F" w:rsidRDefault="00526E24" w:rsidP="00666E06">
      <w:r w:rsidRPr="00B2286F">
        <w:t xml:space="preserve">Teams should seek any available information on the seismic status of the building being altered and use this to make a recommendation as to whether </w:t>
      </w:r>
      <w:r>
        <w:t xml:space="preserve">Health NZ </w:t>
      </w:r>
      <w:r w:rsidRPr="00B2286F">
        <w:t>should consider extending the project scope to include seismic work to vulnerable components accessible from within the work area.</w:t>
      </w:r>
    </w:p>
    <w:p w14:paraId="3071C526" w14:textId="77777777" w:rsidR="00526E24" w:rsidRPr="00B2286F" w:rsidRDefault="00526E24" w:rsidP="00666E06">
      <w:r w:rsidRPr="00B2286F">
        <w:t>If there is no available information on seismic status, then engineers should consider the age and typology of the building, and provide an opinion on whether there are likely to be any vulnerabilities and whether there could be value in further targeted assessment.</w:t>
      </w:r>
    </w:p>
    <w:p w14:paraId="17A50DA9" w14:textId="77777777" w:rsidR="00526E24" w:rsidRPr="00B2286F" w:rsidRDefault="00526E24" w:rsidP="00666E06">
      <w:pPr>
        <w:pStyle w:val="Requirement"/>
      </w:pPr>
      <w:r>
        <w:rPr>
          <w:b/>
          <w:bCs/>
        </w:rPr>
        <w:t xml:space="preserve">Health NZ </w:t>
      </w:r>
      <w:r w:rsidRPr="00B2286F">
        <w:rPr>
          <w:b/>
          <w:bCs/>
        </w:rPr>
        <w:t>Recommendation</w:t>
      </w:r>
      <w:r w:rsidRPr="00B2286F">
        <w:t>: Use available information on seismic status to test whether there is an opportunity to complete seismic work in the area affected by the works, whilst there is access. If there is no available seismic assessment information, consider, based on the age and typology, whether further targeted assessment could be warranted.</w:t>
      </w:r>
    </w:p>
    <w:p w14:paraId="3DB6214B" w14:textId="77777777" w:rsidR="00526E24" w:rsidRPr="00B2286F" w:rsidRDefault="00526E24" w:rsidP="00B2104B">
      <w:pPr>
        <w:pStyle w:val="Section2Heading2"/>
      </w:pPr>
      <w:bookmarkStart w:id="242" w:name="_Ref180127591"/>
      <w:bookmarkStart w:id="243" w:name="_Ref180127725"/>
      <w:bookmarkStart w:id="244" w:name="_Ref180127838"/>
      <w:bookmarkStart w:id="245" w:name="_Ref180127841"/>
      <w:bookmarkStart w:id="246" w:name="_Ref180127867"/>
      <w:bookmarkStart w:id="247" w:name="_Ref180127879"/>
      <w:bookmarkStart w:id="248" w:name="_Ref180127905"/>
      <w:bookmarkStart w:id="249" w:name="_Ref180127939"/>
      <w:bookmarkStart w:id="250" w:name="_Ref180393938"/>
      <w:bookmarkStart w:id="251" w:name="_Toc203641969"/>
      <w:r w:rsidRPr="00B2286F">
        <w:t>Minor Alterations</w:t>
      </w:r>
      <w:bookmarkEnd w:id="242"/>
      <w:bookmarkEnd w:id="243"/>
      <w:bookmarkEnd w:id="244"/>
      <w:bookmarkEnd w:id="245"/>
      <w:bookmarkEnd w:id="246"/>
      <w:bookmarkEnd w:id="247"/>
      <w:bookmarkEnd w:id="248"/>
      <w:bookmarkEnd w:id="249"/>
      <w:bookmarkEnd w:id="250"/>
      <w:bookmarkEnd w:id="251"/>
    </w:p>
    <w:p w14:paraId="0F280A46" w14:textId="77777777" w:rsidR="00526E24" w:rsidRPr="00B2286F" w:rsidRDefault="00526E24" w:rsidP="00666E06">
      <w:r w:rsidRPr="00B2286F">
        <w:t xml:space="preserve">This guideline defines </w:t>
      </w:r>
      <w:r w:rsidRPr="00B2286F">
        <w:rPr>
          <w:i/>
          <w:iCs/>
        </w:rPr>
        <w:t>minor alterations</w:t>
      </w:r>
      <w:r w:rsidRPr="00B2286F">
        <w:t xml:space="preserve"> works as any of the following:</w:t>
      </w:r>
    </w:p>
    <w:p w14:paraId="0E1ED29C" w14:textId="3B4BB0CA" w:rsidR="00526E24" w:rsidRPr="00B2286F" w:rsidRDefault="00526E24" w:rsidP="004D55F1">
      <w:pPr>
        <w:pStyle w:val="ListParagraph"/>
        <w:numPr>
          <w:ilvl w:val="0"/>
          <w:numId w:val="55"/>
        </w:numPr>
      </w:pPr>
      <w:r w:rsidRPr="00B2286F">
        <w:t xml:space="preserve">Fitout works (not changing the building’s </w:t>
      </w:r>
      <w:r w:rsidRPr="00B2286F">
        <w:rPr>
          <w:i/>
          <w:iCs/>
        </w:rPr>
        <w:t>Service Category</w:t>
      </w:r>
      <w:r w:rsidRPr="00B2286F">
        <w:t xml:space="preserve"> as determined by Section </w:t>
      </w:r>
      <w:r w:rsidRPr="00B2286F">
        <w:fldChar w:fldCharType="begin"/>
      </w:r>
      <w:r w:rsidRPr="00B2286F">
        <w:instrText xml:space="preserve"> REF _Ref160007872 \r \h </w:instrText>
      </w:r>
      <w:r>
        <w:instrText xml:space="preserve"> \* MERGEFORMAT </w:instrText>
      </w:r>
      <w:r w:rsidRPr="00B2286F">
        <w:fldChar w:fldCharType="separate"/>
      </w:r>
      <w:r w:rsidR="000761C1">
        <w:t>B1.2</w:t>
      </w:r>
      <w:r w:rsidRPr="00B2286F">
        <w:fldChar w:fldCharType="end"/>
      </w:r>
      <w:r w:rsidRPr="00B2286F">
        <w:t>), generally falling within the structural loading allowances made in the original construction and not substantially altering the buildings overall weight or seismic mass,</w:t>
      </w:r>
    </w:p>
    <w:p w14:paraId="4F826078" w14:textId="77777777" w:rsidR="00526E24" w:rsidRPr="00B2286F" w:rsidRDefault="00526E24" w:rsidP="004D55F1">
      <w:pPr>
        <w:pStyle w:val="ListParagraph"/>
        <w:numPr>
          <w:ilvl w:val="0"/>
          <w:numId w:val="55"/>
        </w:numPr>
      </w:pPr>
      <w:r w:rsidRPr="00B2286F">
        <w:t>Minor primary structural alterations which do not substantively alter global load paths through the building structure or its response/behaviour.</w:t>
      </w:r>
    </w:p>
    <w:p w14:paraId="57BBC577" w14:textId="77777777" w:rsidR="00526E24" w:rsidRPr="00B2286F" w:rsidRDefault="00526E24" w:rsidP="004D55F1">
      <w:pPr>
        <w:pStyle w:val="ListParagraph"/>
        <w:numPr>
          <w:ilvl w:val="0"/>
          <w:numId w:val="55"/>
        </w:numPr>
      </w:pPr>
      <w:r w:rsidRPr="00B2286F">
        <w:t>Minor additions adding small areas of new usable space or mass which are not significant in terms of the overall buildings mass (and therefore wouldn’t materially affect the level of compliance of the existing structure).</w:t>
      </w:r>
    </w:p>
    <w:p w14:paraId="59935952" w14:textId="77777777" w:rsidR="00526E24" w:rsidRPr="00B2286F" w:rsidRDefault="00526E24" w:rsidP="004D55F1">
      <w:pPr>
        <w:pStyle w:val="ListParagraph"/>
        <w:numPr>
          <w:ilvl w:val="1"/>
          <w:numId w:val="55"/>
        </w:numPr>
      </w:pPr>
      <w:r w:rsidRPr="00B2286F">
        <w:lastRenderedPageBreak/>
        <w:t>Small lean-to type awning structures or extensions, or link structures.</w:t>
      </w:r>
    </w:p>
    <w:p w14:paraId="04D678A2" w14:textId="77777777" w:rsidR="00526E24" w:rsidRPr="00B2286F" w:rsidRDefault="00526E24" w:rsidP="004D55F1">
      <w:pPr>
        <w:pStyle w:val="ListParagraph"/>
        <w:numPr>
          <w:ilvl w:val="1"/>
          <w:numId w:val="55"/>
        </w:numPr>
      </w:pPr>
      <w:r w:rsidRPr="00B2286F">
        <w:t>Rooftop penthouses.</w:t>
      </w:r>
    </w:p>
    <w:p w14:paraId="32DE8A29" w14:textId="77777777" w:rsidR="00526E24" w:rsidRPr="00B2286F" w:rsidRDefault="00526E24" w:rsidP="004D55F1">
      <w:pPr>
        <w:pStyle w:val="ListParagraph"/>
        <w:numPr>
          <w:ilvl w:val="1"/>
          <w:numId w:val="55"/>
        </w:numPr>
      </w:pPr>
      <w:r w:rsidRPr="00B2286F">
        <w:t>Rooftop installations of photovoltaic (PV or solar) roof panels or lightweight plant platforms.</w:t>
      </w:r>
    </w:p>
    <w:p w14:paraId="1E672049" w14:textId="77777777" w:rsidR="00526E24" w:rsidRPr="00B2286F" w:rsidRDefault="00526E24" w:rsidP="00666E06">
      <w:r w:rsidRPr="00B2286F">
        <w:t xml:space="preserve">For </w:t>
      </w:r>
      <w:r w:rsidRPr="00B2286F">
        <w:rPr>
          <w:i/>
          <w:iCs/>
        </w:rPr>
        <w:t>minor alterations</w:t>
      </w:r>
      <w:r w:rsidRPr="00B2286F">
        <w:t>, Section 112 of the Building Act applies generally—which requires the level of compliance of existing structure to be no worse than prior to the alteration.</w:t>
      </w:r>
    </w:p>
    <w:p w14:paraId="754E5EBE" w14:textId="77777777" w:rsidR="00526E24" w:rsidRPr="00B2286F" w:rsidRDefault="00526E24" w:rsidP="00666E06">
      <w:r w:rsidRPr="00B2286F">
        <w:t>Any new work being completed as part of the alterations is required to comply with these guidelines and B1/VM1, with a demonstrated load path back to existing primary structure (floors and building frame) for all relevant loading conditions (including gravity, wind and earthquake). This includes confirming that the existing primary structure can support these locally imparted loads by review of the original construction documentation, engineering judgement and specific calculation where necessary.</w:t>
      </w:r>
    </w:p>
    <w:p w14:paraId="5A959123" w14:textId="77777777" w:rsidR="00526E24" w:rsidRPr="00B2286F" w:rsidRDefault="00526E24" w:rsidP="00666E06">
      <w:pPr>
        <w:pStyle w:val="Requirement"/>
      </w:pPr>
      <w:r w:rsidRPr="00B2286F">
        <w:rPr>
          <w:b/>
          <w:bCs/>
        </w:rPr>
        <w:t>NZBC Requirement (B1/VM1):</w:t>
      </w:r>
      <w:r w:rsidRPr="00B2286F">
        <w:t xml:space="preserve"> All new work being completed as part of the alterations shall comply with B1/VM1, with a demonstrated load path back to existing primary structure for all relevant loading conditions and demonstrated capacity of primary structure to support these imposed loads.</w:t>
      </w:r>
    </w:p>
    <w:p w14:paraId="36EDDE22" w14:textId="77777777" w:rsidR="00526E24" w:rsidRPr="00B2286F" w:rsidRDefault="00526E24" w:rsidP="00B2104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t xml:space="preserve">In the case of small minor additions (that are not a </w:t>
      </w:r>
      <w:r w:rsidRPr="00B2286F">
        <w:rPr>
          <w:iCs/>
        </w:rPr>
        <w:t>Substantial Alteration</w:t>
      </w:r>
      <w:r w:rsidRPr="00B2286F">
        <w:rPr>
          <w:rStyle w:val="FootnoteReference"/>
          <w:iCs/>
        </w:rPr>
        <w:footnoteReference w:id="34"/>
      </w:r>
      <w:r w:rsidRPr="00B2286F">
        <w:t>)</w:t>
      </w:r>
      <w:r>
        <w:t xml:space="preserve"> Health NZ </w:t>
      </w:r>
      <w:r w:rsidRPr="00B2286F">
        <w:t>don’t require the existing primary structure overall to be assessed rigorously in a global sense, nor does its Seismic Rating necessarily need to be known.</w:t>
      </w:r>
    </w:p>
    <w:p w14:paraId="5E6F7FD6" w14:textId="77777777" w:rsidR="00526E24" w:rsidRPr="00B2286F" w:rsidRDefault="00526E24" w:rsidP="00B2104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t>It is difficult/impractical to apply strict thresholds due to the many varied contexts</w:t>
      </w:r>
      <w:r>
        <w:t xml:space="preserve">, </w:t>
      </w:r>
      <w:r w:rsidRPr="00B2286F">
        <w:t>the Building Act does not define them and requires case-by-case assessment. However, total additions within say 10-20% of the respective floor’s mass and within 5-10% of a building’s overall mass (measured relative to the original design intent and construction) represent a range of common precedents that have successfully met this test in the past.</w:t>
      </w:r>
    </w:p>
    <w:p w14:paraId="76882B80" w14:textId="77777777" w:rsidR="00526E24" w:rsidRPr="00B2286F" w:rsidRDefault="00526E24" w:rsidP="00B2104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t>The new work must comply. Calculation that demonstrates sufficient vertical and lateral support for the new work should be carried far enough into the existing building’s principle structural masses (floor or roof diaphragms), such that the additional mass added becomes a sufficiently low proportion of existing.</w:t>
      </w:r>
    </w:p>
    <w:p w14:paraId="60F9C9E1" w14:textId="26131CB1" w:rsidR="00526E24" w:rsidRPr="00B2286F" w:rsidRDefault="00526E24" w:rsidP="00B2104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B2286F">
        <w:t xml:space="preserve">If in doubt, consider the works as potentially </w:t>
      </w:r>
      <w:r w:rsidRPr="00B2286F">
        <w:rPr>
          <w:iCs/>
        </w:rPr>
        <w:t>significant alterations or additions</w:t>
      </w:r>
      <w:r w:rsidRPr="00B2286F">
        <w:t xml:space="preserve"> and refer to Section</w:t>
      </w:r>
      <w:r w:rsidR="005737B6">
        <w:t xml:space="preserve"> </w:t>
      </w:r>
      <w:r w:rsidR="005737B6">
        <w:fldChar w:fldCharType="begin"/>
      </w:r>
      <w:r w:rsidR="005737B6">
        <w:instrText xml:space="preserve"> REF _Ref180127799 \r \h </w:instrText>
      </w:r>
      <w:r w:rsidR="00B2104B">
        <w:instrText xml:space="preserve"> \* MERGEFORMAT </w:instrText>
      </w:r>
      <w:r w:rsidR="005737B6">
        <w:fldChar w:fldCharType="separate"/>
      </w:r>
      <w:r w:rsidR="000761C1">
        <w:t>B7.3</w:t>
      </w:r>
      <w:r w:rsidR="005737B6">
        <w:fldChar w:fldCharType="end"/>
      </w:r>
      <w:r w:rsidRPr="00B2286F">
        <w:t xml:space="preserve">, and the comments in Section </w:t>
      </w:r>
      <w:r w:rsidR="005737B6">
        <w:fldChar w:fldCharType="begin"/>
      </w:r>
      <w:r w:rsidR="005737B6">
        <w:instrText xml:space="preserve"> REF _Ref180127812 \r \h </w:instrText>
      </w:r>
      <w:r w:rsidR="00B2104B">
        <w:instrText xml:space="preserve"> \* MERGEFORMAT </w:instrText>
      </w:r>
      <w:r w:rsidR="005737B6">
        <w:fldChar w:fldCharType="separate"/>
      </w:r>
      <w:r w:rsidR="000761C1">
        <w:t>B7.5</w:t>
      </w:r>
      <w:r w:rsidR="005737B6">
        <w:fldChar w:fldCharType="end"/>
      </w:r>
      <w:r w:rsidR="005737B6">
        <w:t xml:space="preserve"> </w:t>
      </w:r>
      <w:r w:rsidRPr="00B2286F">
        <w:t xml:space="preserve">regarding how to determine what is </w:t>
      </w:r>
      <w:r w:rsidRPr="00B2286F">
        <w:rPr>
          <w:iCs/>
        </w:rPr>
        <w:t>as near as is reasonably practicable</w:t>
      </w:r>
      <w:r w:rsidRPr="00B2286F">
        <w:t>.</w:t>
      </w:r>
    </w:p>
    <w:p w14:paraId="69C2AAA8" w14:textId="77777777" w:rsidR="00526E24" w:rsidRPr="00B2104B" w:rsidRDefault="00526E24" w:rsidP="00D56CAE">
      <w:pPr>
        <w:pStyle w:val="BodyHeading"/>
        <w:rPr>
          <w:color w:val="0C818E"/>
        </w:rPr>
      </w:pPr>
      <w:r w:rsidRPr="00B2104B">
        <w:rPr>
          <w:color w:val="0C818E"/>
        </w:rPr>
        <w:t>Exemption from Documentation Requirements</w:t>
      </w:r>
    </w:p>
    <w:p w14:paraId="79029AC6" w14:textId="33E8A2CA" w:rsidR="00C43CB5" w:rsidRDefault="00C43CB5" w:rsidP="00666E06">
      <w:r>
        <w:t xml:space="preserve">Refer to Section </w:t>
      </w:r>
      <w:r>
        <w:fldChar w:fldCharType="begin"/>
      </w:r>
      <w:r>
        <w:instrText xml:space="preserve"> REF _Ref173911969 \r \h </w:instrText>
      </w:r>
      <w:r>
        <w:fldChar w:fldCharType="separate"/>
      </w:r>
      <w:r w:rsidR="000761C1">
        <w:t>A1.6</w:t>
      </w:r>
      <w:r>
        <w:fldChar w:fldCharType="end"/>
      </w:r>
      <w:r>
        <w:t>.</w:t>
      </w:r>
    </w:p>
    <w:p w14:paraId="2C68124F" w14:textId="17AEA361" w:rsidR="00526E24" w:rsidRPr="00697FB8" w:rsidRDefault="00C43CB5" w:rsidP="00B2104B">
      <w:pPr>
        <w:pStyle w:val="Section2Heading2"/>
      </w:pPr>
      <w:r>
        <w:br w:type="page"/>
      </w:r>
      <w:bookmarkStart w:id="252" w:name="_Ref180127602"/>
      <w:bookmarkStart w:id="253" w:name="_Ref180127738"/>
      <w:bookmarkStart w:id="254" w:name="_Ref180127799"/>
      <w:bookmarkStart w:id="255" w:name="_Ref180394044"/>
      <w:bookmarkStart w:id="256" w:name="_Toc203641970"/>
      <w:r w:rsidR="00526E24" w:rsidRPr="00697FB8">
        <w:lastRenderedPageBreak/>
        <w:t>Significant Alterations and Additions</w:t>
      </w:r>
      <w:bookmarkEnd w:id="252"/>
      <w:bookmarkEnd w:id="253"/>
      <w:bookmarkEnd w:id="254"/>
      <w:bookmarkEnd w:id="255"/>
      <w:bookmarkEnd w:id="256"/>
    </w:p>
    <w:p w14:paraId="2F932C3A" w14:textId="5AA4E49B" w:rsidR="00526E24" w:rsidRPr="00697FB8" w:rsidRDefault="00526E24" w:rsidP="00666E06">
      <w:r w:rsidRPr="00697FB8">
        <w:t>For significant alterations (outside the scope of Section</w:t>
      </w:r>
      <w:r w:rsidR="00CB2B65">
        <w:t xml:space="preserve"> </w:t>
      </w:r>
      <w:r w:rsidR="00CB2B65">
        <w:fldChar w:fldCharType="begin"/>
      </w:r>
      <w:r w:rsidR="00CB2B65">
        <w:instrText xml:space="preserve"> REF _Ref180127838 \r \h </w:instrText>
      </w:r>
      <w:r w:rsidR="00CB2B65">
        <w:fldChar w:fldCharType="separate"/>
      </w:r>
      <w:r w:rsidR="000761C1">
        <w:t>B7.2</w:t>
      </w:r>
      <w:r w:rsidR="00CB2B65">
        <w:fldChar w:fldCharType="end"/>
      </w:r>
      <w:r w:rsidR="00CB2B65">
        <w:t xml:space="preserve">: </w:t>
      </w:r>
      <w:r w:rsidR="00CB2B65">
        <w:fldChar w:fldCharType="begin"/>
      </w:r>
      <w:r w:rsidR="00CB2B65">
        <w:instrText xml:space="preserve"> REF _Ref180127841 \h </w:instrText>
      </w:r>
      <w:r w:rsidR="00CB2B65">
        <w:fldChar w:fldCharType="separate"/>
      </w:r>
      <w:r w:rsidR="000761C1" w:rsidRPr="00B2286F">
        <w:t>Minor Alterations</w:t>
      </w:r>
      <w:r w:rsidR="00CB2B65">
        <w:fldChar w:fldCharType="end"/>
      </w:r>
      <w:r w:rsidRPr="00697FB8">
        <w:t xml:space="preserve">) Section 112 of the Building Act continues to apply as it does for any structural alteration work. However, situations can arise where ensuring compliance of the </w:t>
      </w:r>
      <w:r w:rsidRPr="00697FB8">
        <w:rPr>
          <w:i/>
          <w:iCs/>
        </w:rPr>
        <w:t>new work</w:t>
      </w:r>
      <w:r w:rsidRPr="00697FB8">
        <w:t xml:space="preserve"> may require part or all of the existing structure to comply </w:t>
      </w:r>
      <w:r w:rsidRPr="00697FB8">
        <w:rPr>
          <w:i/>
          <w:iCs/>
        </w:rPr>
        <w:t>as near as is reasonably practicable</w:t>
      </w:r>
      <w:r w:rsidRPr="00697FB8">
        <w:t xml:space="preserve"> with B1/VM1</w:t>
      </w:r>
      <w:r>
        <w:t xml:space="preserve">, </w:t>
      </w:r>
      <w:r w:rsidRPr="00697FB8">
        <w:t xml:space="preserve">both as a </w:t>
      </w:r>
      <w:r>
        <w:t xml:space="preserve">Health NZ </w:t>
      </w:r>
      <w:r w:rsidRPr="00697FB8">
        <w:t xml:space="preserve">requirement as well as a reasonable interpretation of the Building Act. </w:t>
      </w:r>
    </w:p>
    <w:p w14:paraId="3C148A82" w14:textId="77777777" w:rsidR="00526E24" w:rsidRPr="00697FB8" w:rsidRDefault="00526E24" w:rsidP="00666E06">
      <w:r w:rsidRPr="00697FB8">
        <w:t>This guideline defines the following situations as significant alterations or additions, and provides recommended interpretations for each in the subsections that follow:</w:t>
      </w:r>
    </w:p>
    <w:p w14:paraId="7B12641B" w14:textId="77777777" w:rsidR="00526E24" w:rsidRPr="00697FB8" w:rsidRDefault="00526E24" w:rsidP="004D55F1">
      <w:pPr>
        <w:pStyle w:val="ListParagraph"/>
        <w:numPr>
          <w:ilvl w:val="0"/>
          <w:numId w:val="55"/>
        </w:numPr>
      </w:pPr>
      <w:r w:rsidRPr="00697FB8">
        <w:t>Structural additions which add significant occupied space or area, including:</w:t>
      </w:r>
    </w:p>
    <w:p w14:paraId="0B975992" w14:textId="77777777" w:rsidR="00526E24" w:rsidRPr="00697FB8" w:rsidRDefault="00526E24" w:rsidP="004D55F1">
      <w:pPr>
        <w:pStyle w:val="ListParagraph"/>
        <w:numPr>
          <w:ilvl w:val="1"/>
          <w:numId w:val="55"/>
        </w:numPr>
      </w:pPr>
      <w:r w:rsidRPr="00697FB8">
        <w:t>Additions extending vertically (adding additional stories to existing structures), thus relying on the existing structure for vertical and lateral support,</w:t>
      </w:r>
    </w:p>
    <w:p w14:paraId="4853EFF5" w14:textId="77777777" w:rsidR="00526E24" w:rsidRPr="00697FB8" w:rsidRDefault="00526E24" w:rsidP="004D55F1">
      <w:pPr>
        <w:pStyle w:val="ListParagraph"/>
        <w:numPr>
          <w:ilvl w:val="1"/>
          <w:numId w:val="55"/>
        </w:numPr>
      </w:pPr>
      <w:r w:rsidRPr="00697FB8">
        <w:t>Additions extending laterally and tying new structure to existing structure, either:</w:t>
      </w:r>
    </w:p>
    <w:p w14:paraId="57297380" w14:textId="77777777" w:rsidR="00526E24" w:rsidRPr="00697FB8" w:rsidRDefault="00526E24" w:rsidP="004D55F1">
      <w:pPr>
        <w:pStyle w:val="ListParagraph"/>
        <w:numPr>
          <w:ilvl w:val="2"/>
          <w:numId w:val="55"/>
        </w:numPr>
      </w:pPr>
      <w:r w:rsidRPr="00697FB8">
        <w:t>without significant reliance on existing structure for vertical or lateral capacity, or;</w:t>
      </w:r>
    </w:p>
    <w:p w14:paraId="6C40EC1C" w14:textId="77777777" w:rsidR="00526E24" w:rsidRPr="00697FB8" w:rsidRDefault="00526E24" w:rsidP="004D55F1">
      <w:pPr>
        <w:pStyle w:val="ListParagraph"/>
        <w:numPr>
          <w:ilvl w:val="2"/>
          <w:numId w:val="55"/>
        </w:numPr>
      </w:pPr>
      <w:r w:rsidRPr="00697FB8">
        <w:t>reliant on existing structure for lateral support.</w:t>
      </w:r>
    </w:p>
    <w:p w14:paraId="11AEDC9F" w14:textId="77777777" w:rsidR="00526E24" w:rsidRPr="00697FB8" w:rsidRDefault="00526E24" w:rsidP="004D55F1">
      <w:pPr>
        <w:pStyle w:val="ListParagraph"/>
        <w:numPr>
          <w:ilvl w:val="0"/>
          <w:numId w:val="55"/>
        </w:numPr>
      </w:pPr>
      <w:r w:rsidRPr="00697FB8">
        <w:t>Other significant alterations, being those that don’t add significant occupied space or area, but either:</w:t>
      </w:r>
    </w:p>
    <w:p w14:paraId="7C526958" w14:textId="77777777" w:rsidR="00526E24" w:rsidRPr="00697FB8" w:rsidRDefault="00526E24" w:rsidP="004D55F1">
      <w:pPr>
        <w:pStyle w:val="ListParagraph"/>
        <w:numPr>
          <w:ilvl w:val="1"/>
          <w:numId w:val="55"/>
        </w:numPr>
      </w:pPr>
      <w:r w:rsidRPr="00697FB8">
        <w:t>add significant additional weight or seismic mass to existing structures, or</w:t>
      </w:r>
    </w:p>
    <w:p w14:paraId="00A04DE8" w14:textId="77777777" w:rsidR="00526E24" w:rsidRPr="00697FB8" w:rsidRDefault="00526E24" w:rsidP="004D55F1">
      <w:pPr>
        <w:pStyle w:val="ListParagraph"/>
        <w:numPr>
          <w:ilvl w:val="1"/>
          <w:numId w:val="55"/>
        </w:numPr>
      </w:pPr>
      <w:r w:rsidRPr="00697FB8">
        <w:t>substantively alter global load paths through a building’s structure or its response/behaviour under lateral loading.</w:t>
      </w:r>
    </w:p>
    <w:p w14:paraId="20D9775A" w14:textId="66A3EBD7" w:rsidR="00526E24" w:rsidRPr="00210CB4" w:rsidRDefault="00526E24" w:rsidP="00B2104B">
      <w:pPr>
        <w:pStyle w:val="Figure"/>
        <w:rPr>
          <w:sz w:val="20"/>
          <w:szCs w:val="20"/>
        </w:rPr>
      </w:pPr>
      <w:r w:rsidRPr="00210CB4">
        <w:rPr>
          <w:sz w:val="20"/>
          <w:szCs w:val="20"/>
        </w:rPr>
        <w:t xml:space="preserve">Table </w:t>
      </w:r>
      <w:r w:rsidRPr="00210CB4">
        <w:rPr>
          <w:sz w:val="20"/>
          <w:szCs w:val="20"/>
        </w:rPr>
        <w:fldChar w:fldCharType="begin"/>
      </w:r>
      <w:r w:rsidRPr="00210CB4">
        <w:rPr>
          <w:sz w:val="20"/>
          <w:szCs w:val="20"/>
        </w:rPr>
        <w:instrText>SEQ Table \* ARABIC</w:instrText>
      </w:r>
      <w:r w:rsidRPr="00210CB4">
        <w:rPr>
          <w:sz w:val="20"/>
          <w:szCs w:val="20"/>
        </w:rPr>
        <w:fldChar w:fldCharType="separate"/>
      </w:r>
      <w:r w:rsidR="000761C1">
        <w:rPr>
          <w:noProof/>
          <w:sz w:val="20"/>
          <w:szCs w:val="20"/>
        </w:rPr>
        <w:t>12</w:t>
      </w:r>
      <w:r w:rsidRPr="00210CB4">
        <w:rPr>
          <w:sz w:val="20"/>
          <w:szCs w:val="20"/>
        </w:rPr>
        <w:fldChar w:fldCharType="end"/>
      </w:r>
      <w:r w:rsidRPr="00210CB4">
        <w:rPr>
          <w:sz w:val="20"/>
          <w:szCs w:val="20"/>
        </w:rPr>
        <w:t>: Types of significant alterations</w:t>
      </w:r>
    </w:p>
    <w:tbl>
      <w:tblPr>
        <w:tblStyle w:val="TeWhatuOra"/>
        <w:tblW w:w="9634"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ayout w:type="fixed"/>
        <w:tblLook w:val="0420" w:firstRow="1" w:lastRow="0" w:firstColumn="0" w:lastColumn="0" w:noHBand="0" w:noVBand="1"/>
      </w:tblPr>
      <w:tblGrid>
        <w:gridCol w:w="2281"/>
        <w:gridCol w:w="2417"/>
        <w:gridCol w:w="2406"/>
        <w:gridCol w:w="2530"/>
      </w:tblGrid>
      <w:tr w:rsidR="00526E24" w:rsidRPr="00210CB4" w14:paraId="7DFB61B3" w14:textId="77777777" w:rsidTr="00B2104B">
        <w:trPr>
          <w:cnfStyle w:val="100000000000" w:firstRow="1" w:lastRow="0" w:firstColumn="0" w:lastColumn="0" w:oddVBand="0" w:evenVBand="0" w:oddHBand="0" w:evenHBand="0" w:firstRowFirstColumn="0" w:firstRowLastColumn="0" w:lastRowFirstColumn="0" w:lastRowLastColumn="0"/>
          <w:cantSplit/>
          <w:trHeight w:val="671"/>
        </w:trPr>
        <w:tc>
          <w:tcPr>
            <w:tcW w:w="2281" w:type="dxa"/>
            <w:vMerge w:val="restart"/>
            <w:tcBorders>
              <w:top w:val="single" w:sz="12" w:space="0" w:color="003399" w:themeColor="accent2"/>
              <w:left w:val="nil"/>
              <w:bottom w:val="single" w:sz="12" w:space="0" w:color="003399" w:themeColor="accent2"/>
              <w:right w:val="single" w:sz="8" w:space="0" w:color="BFBFBF"/>
            </w:tcBorders>
            <w:shd w:val="clear" w:color="auto" w:fill="F6F4EC"/>
          </w:tcPr>
          <w:p w14:paraId="51C488C5" w14:textId="20C3867A" w:rsidR="00526E24" w:rsidRPr="00210CB4" w:rsidRDefault="00526E24" w:rsidP="00666E06">
            <w:pPr>
              <w:rPr>
                <w:sz w:val="20"/>
                <w:szCs w:val="20"/>
              </w:rPr>
            </w:pPr>
            <w:r w:rsidRPr="00210CB4">
              <w:rPr>
                <w:sz w:val="20"/>
                <w:szCs w:val="20"/>
              </w:rPr>
              <w:t>Significant additions extending vertically (adding floors)</w:t>
            </w:r>
            <w:r w:rsidRPr="00210CB4">
              <w:rPr>
                <w:sz w:val="20"/>
                <w:szCs w:val="20"/>
              </w:rPr>
              <w:br/>
            </w:r>
            <w:r w:rsidRPr="00210CB4">
              <w:rPr>
                <w:b w:val="0"/>
                <w:sz w:val="20"/>
                <w:szCs w:val="20"/>
              </w:rPr>
              <w:t xml:space="preserve">Section </w:t>
            </w:r>
            <w:r w:rsidR="006F3B5A" w:rsidRPr="00210CB4">
              <w:rPr>
                <w:sz w:val="20"/>
                <w:szCs w:val="20"/>
              </w:rPr>
              <w:fldChar w:fldCharType="begin"/>
            </w:r>
            <w:r w:rsidR="006F3B5A" w:rsidRPr="00210CB4">
              <w:rPr>
                <w:sz w:val="20"/>
                <w:szCs w:val="20"/>
              </w:rPr>
              <w:instrText xml:space="preserve"> </w:instrText>
            </w:r>
            <w:r w:rsidR="006F3B5A" w:rsidRPr="00210CB4">
              <w:rPr>
                <w:b w:val="0"/>
                <w:sz w:val="20"/>
                <w:szCs w:val="20"/>
              </w:rPr>
              <w:instrText xml:space="preserve">REF </w:instrText>
            </w:r>
            <w:r w:rsidR="006F3B5A" w:rsidRPr="00210CB4">
              <w:rPr>
                <w:sz w:val="20"/>
                <w:szCs w:val="20"/>
              </w:rPr>
              <w:instrText xml:space="preserve">_Ref180127924 \r \h </w:instrText>
            </w:r>
            <w:r w:rsidR="00B2104B" w:rsidRPr="00210CB4">
              <w:rPr>
                <w:sz w:val="20"/>
                <w:szCs w:val="20"/>
              </w:rPr>
              <w:instrText xml:space="preserve"> \* MERGEFORMAT </w:instrText>
            </w:r>
            <w:r w:rsidR="006F3B5A" w:rsidRPr="00210CB4">
              <w:rPr>
                <w:sz w:val="20"/>
                <w:szCs w:val="20"/>
              </w:rPr>
            </w:r>
            <w:r w:rsidR="006F3B5A" w:rsidRPr="00210CB4">
              <w:rPr>
                <w:sz w:val="20"/>
                <w:szCs w:val="20"/>
              </w:rPr>
              <w:fldChar w:fldCharType="separate"/>
            </w:r>
            <w:r w:rsidR="000761C1">
              <w:rPr>
                <w:b w:val="0"/>
                <w:sz w:val="20"/>
                <w:szCs w:val="20"/>
              </w:rPr>
              <w:t>B7.3.1</w:t>
            </w:r>
            <w:r w:rsidR="006F3B5A" w:rsidRPr="00210CB4">
              <w:rPr>
                <w:sz w:val="20"/>
                <w:szCs w:val="20"/>
              </w:rPr>
              <w:fldChar w:fldCharType="end"/>
            </w:r>
          </w:p>
        </w:tc>
        <w:tc>
          <w:tcPr>
            <w:tcW w:w="4823" w:type="dxa"/>
            <w:gridSpan w:val="2"/>
            <w:tcBorders>
              <w:top w:val="single" w:sz="12" w:space="0" w:color="003399" w:themeColor="accent2"/>
              <w:left w:val="single" w:sz="8" w:space="0" w:color="BFBFBF"/>
              <w:bottom w:val="single" w:sz="8" w:space="0" w:color="BFBFBF"/>
              <w:right w:val="single" w:sz="8" w:space="0" w:color="BFBFBF"/>
            </w:tcBorders>
            <w:shd w:val="clear" w:color="auto" w:fill="F6F4EC"/>
          </w:tcPr>
          <w:p w14:paraId="7BBFC112" w14:textId="1F626347" w:rsidR="00526E24" w:rsidRPr="00210CB4" w:rsidRDefault="00526E24" w:rsidP="00666E06">
            <w:pPr>
              <w:rPr>
                <w:b w:val="0"/>
                <w:sz w:val="20"/>
                <w:szCs w:val="20"/>
              </w:rPr>
            </w:pPr>
            <w:r w:rsidRPr="00210CB4">
              <w:rPr>
                <w:sz w:val="20"/>
                <w:szCs w:val="20"/>
              </w:rPr>
              <w:t>Significant additions extending laterally</w:t>
            </w:r>
            <w:r w:rsidRPr="00210CB4">
              <w:rPr>
                <w:b w:val="0"/>
                <w:sz w:val="20"/>
                <w:szCs w:val="20"/>
              </w:rPr>
              <w:br/>
              <w:t xml:space="preserve">Section </w:t>
            </w:r>
            <w:r w:rsidR="006F3B5A" w:rsidRPr="00210CB4">
              <w:rPr>
                <w:sz w:val="20"/>
                <w:szCs w:val="20"/>
              </w:rPr>
              <w:fldChar w:fldCharType="begin"/>
            </w:r>
            <w:r w:rsidR="006F3B5A" w:rsidRPr="00210CB4">
              <w:rPr>
                <w:sz w:val="20"/>
                <w:szCs w:val="20"/>
              </w:rPr>
              <w:instrText xml:space="preserve"> </w:instrText>
            </w:r>
            <w:r w:rsidR="006F3B5A" w:rsidRPr="00210CB4">
              <w:rPr>
                <w:b w:val="0"/>
                <w:sz w:val="20"/>
                <w:szCs w:val="20"/>
              </w:rPr>
              <w:instrText xml:space="preserve">REF </w:instrText>
            </w:r>
            <w:r w:rsidR="006F3B5A" w:rsidRPr="00210CB4">
              <w:rPr>
                <w:sz w:val="20"/>
                <w:szCs w:val="20"/>
              </w:rPr>
              <w:instrText xml:space="preserve">_Ref180127977 \r \h </w:instrText>
            </w:r>
            <w:r w:rsidR="00B2104B" w:rsidRPr="00210CB4">
              <w:rPr>
                <w:sz w:val="20"/>
                <w:szCs w:val="20"/>
              </w:rPr>
              <w:instrText xml:space="preserve"> \* MERGEFORMAT </w:instrText>
            </w:r>
            <w:r w:rsidR="006F3B5A" w:rsidRPr="00210CB4">
              <w:rPr>
                <w:sz w:val="20"/>
                <w:szCs w:val="20"/>
              </w:rPr>
            </w:r>
            <w:r w:rsidR="006F3B5A" w:rsidRPr="00210CB4">
              <w:rPr>
                <w:sz w:val="20"/>
                <w:szCs w:val="20"/>
              </w:rPr>
              <w:fldChar w:fldCharType="separate"/>
            </w:r>
            <w:r w:rsidR="000761C1">
              <w:rPr>
                <w:b w:val="0"/>
                <w:sz w:val="20"/>
                <w:szCs w:val="20"/>
              </w:rPr>
              <w:t>B7.3.2</w:t>
            </w:r>
            <w:r w:rsidR="006F3B5A" w:rsidRPr="00210CB4">
              <w:rPr>
                <w:sz w:val="20"/>
                <w:szCs w:val="20"/>
              </w:rPr>
              <w:fldChar w:fldCharType="end"/>
            </w:r>
          </w:p>
        </w:tc>
        <w:tc>
          <w:tcPr>
            <w:tcW w:w="2530" w:type="dxa"/>
            <w:vMerge w:val="restart"/>
            <w:tcBorders>
              <w:top w:val="single" w:sz="12" w:space="0" w:color="003399" w:themeColor="accent2"/>
              <w:left w:val="single" w:sz="8" w:space="0" w:color="BFBFBF"/>
              <w:bottom w:val="single" w:sz="12" w:space="0" w:color="003399" w:themeColor="accent2"/>
              <w:right w:val="nil"/>
            </w:tcBorders>
            <w:shd w:val="clear" w:color="auto" w:fill="F6F4EC"/>
          </w:tcPr>
          <w:p w14:paraId="065ECD6C" w14:textId="12A0C764" w:rsidR="00526E24" w:rsidRPr="00210CB4" w:rsidRDefault="00526E24" w:rsidP="00666E06">
            <w:pPr>
              <w:rPr>
                <w:sz w:val="20"/>
                <w:szCs w:val="20"/>
              </w:rPr>
            </w:pPr>
            <w:r w:rsidRPr="00210CB4">
              <w:rPr>
                <w:sz w:val="20"/>
                <w:szCs w:val="20"/>
              </w:rPr>
              <w:t>Adding significant weight/mass or altering primary structure load paths</w:t>
            </w:r>
            <w:r w:rsidRPr="00210CB4">
              <w:rPr>
                <w:sz w:val="20"/>
                <w:szCs w:val="20"/>
              </w:rPr>
              <w:br/>
            </w:r>
            <w:r w:rsidRPr="00210CB4">
              <w:rPr>
                <w:b w:val="0"/>
                <w:bCs/>
                <w:sz w:val="20"/>
                <w:szCs w:val="20"/>
              </w:rPr>
              <w:t xml:space="preserve">Section </w:t>
            </w:r>
            <w:r w:rsidR="006F3B5A" w:rsidRPr="00210CB4">
              <w:rPr>
                <w:bCs/>
                <w:sz w:val="20"/>
                <w:szCs w:val="20"/>
              </w:rPr>
              <w:fldChar w:fldCharType="begin"/>
            </w:r>
            <w:r w:rsidR="006F3B5A" w:rsidRPr="00210CB4">
              <w:rPr>
                <w:bCs/>
                <w:sz w:val="20"/>
                <w:szCs w:val="20"/>
              </w:rPr>
              <w:instrText xml:space="preserve"> </w:instrText>
            </w:r>
            <w:r w:rsidR="006F3B5A" w:rsidRPr="00210CB4">
              <w:rPr>
                <w:b w:val="0"/>
                <w:bCs/>
                <w:sz w:val="20"/>
                <w:szCs w:val="20"/>
              </w:rPr>
              <w:instrText xml:space="preserve">REF </w:instrText>
            </w:r>
            <w:r w:rsidR="006F3B5A" w:rsidRPr="00210CB4">
              <w:rPr>
                <w:bCs/>
                <w:sz w:val="20"/>
                <w:szCs w:val="20"/>
              </w:rPr>
              <w:instrText xml:space="preserve">_Ref180393772 \r \h </w:instrText>
            </w:r>
            <w:r w:rsidR="00B2104B" w:rsidRPr="00210CB4">
              <w:rPr>
                <w:bCs/>
                <w:sz w:val="20"/>
                <w:szCs w:val="20"/>
              </w:rPr>
              <w:instrText xml:space="preserve"> \* MERGEFORMAT </w:instrText>
            </w:r>
            <w:r w:rsidR="006F3B5A" w:rsidRPr="00210CB4">
              <w:rPr>
                <w:bCs/>
                <w:sz w:val="20"/>
                <w:szCs w:val="20"/>
              </w:rPr>
            </w:r>
            <w:r w:rsidR="006F3B5A" w:rsidRPr="00210CB4">
              <w:rPr>
                <w:bCs/>
                <w:sz w:val="20"/>
                <w:szCs w:val="20"/>
              </w:rPr>
              <w:fldChar w:fldCharType="separate"/>
            </w:r>
            <w:r w:rsidR="000761C1">
              <w:rPr>
                <w:b w:val="0"/>
                <w:bCs/>
                <w:sz w:val="20"/>
                <w:szCs w:val="20"/>
              </w:rPr>
              <w:t>B7.3.3</w:t>
            </w:r>
            <w:r w:rsidR="006F3B5A" w:rsidRPr="00210CB4">
              <w:rPr>
                <w:bCs/>
                <w:sz w:val="20"/>
                <w:szCs w:val="20"/>
              </w:rPr>
              <w:fldChar w:fldCharType="end"/>
            </w:r>
          </w:p>
        </w:tc>
      </w:tr>
      <w:tr w:rsidR="00526E24" w:rsidRPr="00210CB4" w14:paraId="48AB0D6B" w14:textId="77777777" w:rsidTr="00B2104B">
        <w:trPr>
          <w:cantSplit/>
          <w:trHeight w:val="670"/>
        </w:trPr>
        <w:tc>
          <w:tcPr>
            <w:tcW w:w="2281" w:type="dxa"/>
            <w:vMerge/>
            <w:tcBorders>
              <w:top w:val="single" w:sz="12" w:space="0" w:color="003399" w:themeColor="accent2"/>
              <w:left w:val="nil"/>
              <w:bottom w:val="single" w:sz="12" w:space="0" w:color="003399" w:themeColor="accent2"/>
              <w:right w:val="single" w:sz="8" w:space="0" w:color="BFBFBF"/>
            </w:tcBorders>
            <w:shd w:val="clear" w:color="auto" w:fill="F6F4EC"/>
            <w:vAlign w:val="center"/>
          </w:tcPr>
          <w:p w14:paraId="2FE01C72" w14:textId="77777777" w:rsidR="00526E24" w:rsidRPr="00210CB4" w:rsidRDefault="00526E24" w:rsidP="00666E06">
            <w:pPr>
              <w:rPr>
                <w:sz w:val="20"/>
                <w:szCs w:val="20"/>
              </w:rPr>
            </w:pPr>
          </w:p>
        </w:tc>
        <w:tc>
          <w:tcPr>
            <w:tcW w:w="2417"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43B0042D" w14:textId="77777777" w:rsidR="00526E24" w:rsidRPr="00210CB4" w:rsidRDefault="00526E24" w:rsidP="00666E06">
            <w:pPr>
              <w:rPr>
                <w:sz w:val="20"/>
                <w:szCs w:val="20"/>
              </w:rPr>
            </w:pPr>
            <w:r w:rsidRPr="00210CB4">
              <w:rPr>
                <w:sz w:val="20"/>
                <w:szCs w:val="20"/>
              </w:rPr>
              <w:t>Tied, but not reliant on existing structure</w:t>
            </w:r>
          </w:p>
        </w:tc>
        <w:tc>
          <w:tcPr>
            <w:tcW w:w="2406"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529D061E" w14:textId="77777777" w:rsidR="00526E24" w:rsidRPr="00210CB4" w:rsidRDefault="00526E24" w:rsidP="00666E06">
            <w:pPr>
              <w:rPr>
                <w:sz w:val="20"/>
                <w:szCs w:val="20"/>
              </w:rPr>
            </w:pPr>
            <w:r w:rsidRPr="00210CB4">
              <w:rPr>
                <w:sz w:val="20"/>
                <w:szCs w:val="20"/>
              </w:rPr>
              <w:t>Reliant on existing structure</w:t>
            </w:r>
          </w:p>
        </w:tc>
        <w:tc>
          <w:tcPr>
            <w:tcW w:w="2530" w:type="dxa"/>
            <w:vMerge/>
            <w:tcBorders>
              <w:top w:val="single" w:sz="12" w:space="0" w:color="003399" w:themeColor="accent2"/>
              <w:left w:val="single" w:sz="8" w:space="0" w:color="BFBFBF"/>
              <w:bottom w:val="single" w:sz="12" w:space="0" w:color="003399" w:themeColor="accent2"/>
              <w:right w:val="nil"/>
            </w:tcBorders>
            <w:shd w:val="clear" w:color="auto" w:fill="F6F4EC"/>
            <w:vAlign w:val="center"/>
          </w:tcPr>
          <w:p w14:paraId="6D008995" w14:textId="77777777" w:rsidR="00526E24" w:rsidRPr="00210CB4" w:rsidRDefault="00526E24" w:rsidP="00666E06">
            <w:pPr>
              <w:rPr>
                <w:sz w:val="20"/>
                <w:szCs w:val="20"/>
              </w:rPr>
            </w:pPr>
          </w:p>
        </w:tc>
      </w:tr>
      <w:tr w:rsidR="00526E24" w:rsidRPr="00210CB4" w14:paraId="1F9F4693" w14:textId="77777777" w:rsidTr="00B2104B">
        <w:trPr>
          <w:cantSplit/>
        </w:trPr>
        <w:tc>
          <w:tcPr>
            <w:tcW w:w="2281" w:type="dxa"/>
            <w:tcBorders>
              <w:top w:val="single" w:sz="12" w:space="0" w:color="003399" w:themeColor="accent2"/>
              <w:left w:val="nil"/>
              <w:bottom w:val="nil"/>
              <w:right w:val="single" w:sz="8" w:space="0" w:color="BFBFBF"/>
            </w:tcBorders>
            <w:vAlign w:val="bottom"/>
          </w:tcPr>
          <w:p w14:paraId="652E981D" w14:textId="77777777" w:rsidR="00526E24" w:rsidRPr="00210CB4" w:rsidRDefault="00526E24" w:rsidP="00666E06">
            <w:pPr>
              <w:rPr>
                <w:sz w:val="20"/>
                <w:szCs w:val="20"/>
              </w:rPr>
            </w:pPr>
            <w:r w:rsidRPr="00210CB4">
              <w:rPr>
                <w:noProof/>
                <w:sz w:val="20"/>
                <w:szCs w:val="20"/>
              </w:rPr>
              <w:drawing>
                <wp:inline distT="0" distB="0" distL="0" distR="0" wp14:anchorId="7B39F55E" wp14:editId="44061501">
                  <wp:extent cx="987972" cy="804637"/>
                  <wp:effectExtent l="0" t="0" r="3175" b="0"/>
                  <wp:docPr id="918492749" name="Picture 918492749" descr="A black and white imag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17326" name="Picture 1" descr="A black and white image of a building&#10;&#10;Description automatically generated"/>
                          <pic:cNvPicPr/>
                        </pic:nvPicPr>
                        <pic:blipFill>
                          <a:blip r:embed="rId62"/>
                          <a:stretch>
                            <a:fillRect/>
                          </a:stretch>
                        </pic:blipFill>
                        <pic:spPr>
                          <a:xfrm>
                            <a:off x="0" y="0"/>
                            <a:ext cx="1003534" cy="817311"/>
                          </a:xfrm>
                          <a:prstGeom prst="rect">
                            <a:avLst/>
                          </a:prstGeom>
                        </pic:spPr>
                      </pic:pic>
                    </a:graphicData>
                  </a:graphic>
                </wp:inline>
              </w:drawing>
            </w:r>
          </w:p>
        </w:tc>
        <w:tc>
          <w:tcPr>
            <w:tcW w:w="2417" w:type="dxa"/>
            <w:tcBorders>
              <w:top w:val="single" w:sz="12" w:space="0" w:color="003399" w:themeColor="accent2"/>
              <w:left w:val="single" w:sz="8" w:space="0" w:color="BFBFBF"/>
              <w:bottom w:val="nil"/>
              <w:right w:val="single" w:sz="8" w:space="0" w:color="BFBFBF"/>
            </w:tcBorders>
            <w:vAlign w:val="bottom"/>
          </w:tcPr>
          <w:p w14:paraId="478E6CFF" w14:textId="77777777" w:rsidR="00526E24" w:rsidRPr="00210CB4" w:rsidRDefault="00526E24" w:rsidP="00666E06">
            <w:pPr>
              <w:rPr>
                <w:sz w:val="20"/>
                <w:szCs w:val="20"/>
              </w:rPr>
            </w:pPr>
            <w:r w:rsidRPr="00210CB4">
              <w:rPr>
                <w:noProof/>
                <w:sz w:val="20"/>
                <w:szCs w:val="20"/>
              </w:rPr>
              <w:drawing>
                <wp:inline distT="0" distB="0" distL="0" distR="0" wp14:anchorId="4BDA48FF" wp14:editId="3860A46D">
                  <wp:extent cx="1401253" cy="473572"/>
                  <wp:effectExtent l="0" t="0" r="0" b="3175"/>
                  <wp:docPr id="1691381077" name="Picture 1691381077" descr="A black and white graphic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05304" name="Picture 1" descr="A black and white graphic of a building&#10;&#10;Description automatically generated"/>
                          <pic:cNvPicPr/>
                        </pic:nvPicPr>
                        <pic:blipFill>
                          <a:blip r:embed="rId63"/>
                          <a:stretch>
                            <a:fillRect/>
                          </a:stretch>
                        </pic:blipFill>
                        <pic:spPr>
                          <a:xfrm>
                            <a:off x="0" y="0"/>
                            <a:ext cx="1421261" cy="480334"/>
                          </a:xfrm>
                          <a:prstGeom prst="rect">
                            <a:avLst/>
                          </a:prstGeom>
                        </pic:spPr>
                      </pic:pic>
                    </a:graphicData>
                  </a:graphic>
                </wp:inline>
              </w:drawing>
            </w:r>
          </w:p>
        </w:tc>
        <w:tc>
          <w:tcPr>
            <w:tcW w:w="2406" w:type="dxa"/>
            <w:tcBorders>
              <w:top w:val="single" w:sz="12" w:space="0" w:color="003399" w:themeColor="accent2"/>
              <w:left w:val="single" w:sz="8" w:space="0" w:color="BFBFBF"/>
              <w:bottom w:val="nil"/>
              <w:right w:val="single" w:sz="8" w:space="0" w:color="BFBFBF"/>
            </w:tcBorders>
            <w:vAlign w:val="bottom"/>
          </w:tcPr>
          <w:p w14:paraId="3DF85205" w14:textId="77777777" w:rsidR="00526E24" w:rsidRPr="00210CB4" w:rsidRDefault="00526E24" w:rsidP="00666E06">
            <w:pPr>
              <w:rPr>
                <w:sz w:val="20"/>
                <w:szCs w:val="20"/>
              </w:rPr>
            </w:pPr>
            <w:r w:rsidRPr="00210CB4">
              <w:rPr>
                <w:noProof/>
                <w:sz w:val="20"/>
                <w:szCs w:val="20"/>
              </w:rPr>
              <w:drawing>
                <wp:inline distT="0" distB="0" distL="0" distR="0" wp14:anchorId="00C9D8A6" wp14:editId="6E90B400">
                  <wp:extent cx="1274918" cy="904569"/>
                  <wp:effectExtent l="0" t="0" r="1905" b="0"/>
                  <wp:docPr id="1737167221" name="Picture 1737167221" descr="A black and white image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33602" name="Picture 1" descr="A black and white image of a house&#10;&#10;Description automatically generated"/>
                          <pic:cNvPicPr/>
                        </pic:nvPicPr>
                        <pic:blipFill>
                          <a:blip r:embed="rId64"/>
                          <a:stretch>
                            <a:fillRect/>
                          </a:stretch>
                        </pic:blipFill>
                        <pic:spPr>
                          <a:xfrm>
                            <a:off x="0" y="0"/>
                            <a:ext cx="1286945" cy="913103"/>
                          </a:xfrm>
                          <a:prstGeom prst="rect">
                            <a:avLst/>
                          </a:prstGeom>
                        </pic:spPr>
                      </pic:pic>
                    </a:graphicData>
                  </a:graphic>
                </wp:inline>
              </w:drawing>
            </w:r>
          </w:p>
        </w:tc>
        <w:tc>
          <w:tcPr>
            <w:tcW w:w="2530" w:type="dxa"/>
            <w:tcBorders>
              <w:top w:val="single" w:sz="12" w:space="0" w:color="003399" w:themeColor="accent2"/>
              <w:left w:val="single" w:sz="8" w:space="0" w:color="BFBFBF"/>
              <w:bottom w:val="nil"/>
              <w:right w:val="nil"/>
            </w:tcBorders>
            <w:vAlign w:val="bottom"/>
          </w:tcPr>
          <w:p w14:paraId="7A6F6C6B" w14:textId="77777777" w:rsidR="00526E24" w:rsidRPr="00210CB4" w:rsidRDefault="00526E24" w:rsidP="00666E06">
            <w:pPr>
              <w:rPr>
                <w:sz w:val="20"/>
                <w:szCs w:val="20"/>
              </w:rPr>
            </w:pPr>
            <w:r w:rsidRPr="00210CB4">
              <w:rPr>
                <w:noProof/>
                <w:sz w:val="20"/>
                <w:szCs w:val="20"/>
              </w:rPr>
              <w:drawing>
                <wp:inline distT="0" distB="0" distL="0" distR="0" wp14:anchorId="56340DBA" wp14:editId="40564C00">
                  <wp:extent cx="923426" cy="955943"/>
                  <wp:effectExtent l="0" t="0" r="0" b="0"/>
                  <wp:docPr id="2114354698" name="Picture 2114354698" descr="A black and white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53913" name="Picture 1" descr="A black and white diagram of a house&#10;&#10;Description automatically generated"/>
                          <pic:cNvPicPr/>
                        </pic:nvPicPr>
                        <pic:blipFill>
                          <a:blip r:embed="rId65"/>
                          <a:stretch>
                            <a:fillRect/>
                          </a:stretch>
                        </pic:blipFill>
                        <pic:spPr>
                          <a:xfrm>
                            <a:off x="0" y="0"/>
                            <a:ext cx="947722" cy="981095"/>
                          </a:xfrm>
                          <a:prstGeom prst="rect">
                            <a:avLst/>
                          </a:prstGeom>
                        </pic:spPr>
                      </pic:pic>
                    </a:graphicData>
                  </a:graphic>
                </wp:inline>
              </w:drawing>
            </w:r>
          </w:p>
        </w:tc>
      </w:tr>
    </w:tbl>
    <w:p w14:paraId="3661E3F0" w14:textId="77777777" w:rsidR="00210CB4" w:rsidRDefault="00210CB4" w:rsidP="00666E06"/>
    <w:p w14:paraId="3C633910" w14:textId="2EB37A27" w:rsidR="00526E24" w:rsidRDefault="00526E24" w:rsidP="00666E06">
      <w:r w:rsidRPr="00697FB8">
        <w:t>The general stances set out in the following subsections shall be subject to the specific context of each project and would need to be mutually agreed with Building Consent Authorities in their role to assess against the requirements of the Building Act.</w:t>
      </w:r>
    </w:p>
    <w:p w14:paraId="3EA7D651" w14:textId="77777777" w:rsidR="00FA68B5" w:rsidRPr="00697FB8" w:rsidRDefault="00FA68B5" w:rsidP="00666E06"/>
    <w:p w14:paraId="4590F57A" w14:textId="77777777" w:rsidR="00526E24" w:rsidRPr="00697FB8" w:rsidRDefault="00526E24" w:rsidP="00B2104B">
      <w:pPr>
        <w:pStyle w:val="Section2heading3"/>
      </w:pPr>
      <w:bookmarkStart w:id="257" w:name="_Ref180127924"/>
      <w:r w:rsidRPr="00697FB8">
        <w:lastRenderedPageBreak/>
        <w:t>Additions Which Extend Vertically (Adding Stories)</w:t>
      </w:r>
      <w:bookmarkEnd w:id="257"/>
    </w:p>
    <w:p w14:paraId="65261AEA" w14:textId="5C6CC1BB" w:rsidR="00526E24" w:rsidRPr="00697FB8" w:rsidRDefault="00526E24" w:rsidP="00666E06">
      <w:r w:rsidRPr="00697FB8">
        <w:t xml:space="preserve">Consider, especially for lightweight roof penthouses or plant extensions, whether the works can instead be defined as </w:t>
      </w:r>
      <w:r w:rsidRPr="00697FB8">
        <w:rPr>
          <w:i/>
          <w:iCs/>
        </w:rPr>
        <w:t>minor alterations</w:t>
      </w:r>
      <w:r w:rsidRPr="00697FB8">
        <w:t xml:space="preserve"> to Section</w:t>
      </w:r>
      <w:r w:rsidR="00CB2B65">
        <w:t xml:space="preserve"> </w:t>
      </w:r>
      <w:r w:rsidR="00CB2B65">
        <w:fldChar w:fldCharType="begin"/>
      </w:r>
      <w:r w:rsidR="00CB2B65">
        <w:instrText xml:space="preserve"> REF _Ref180127879 \r \h </w:instrText>
      </w:r>
      <w:r w:rsidR="00CB2B65">
        <w:fldChar w:fldCharType="separate"/>
      </w:r>
      <w:r w:rsidR="000761C1">
        <w:t>B7.2</w:t>
      </w:r>
      <w:r w:rsidR="00CB2B65">
        <w:fldChar w:fldCharType="end"/>
      </w:r>
      <w:r w:rsidRPr="00697FB8">
        <w:t>.</w:t>
      </w:r>
    </w:p>
    <w:p w14:paraId="01E37BCC" w14:textId="77777777" w:rsidR="00526E24" w:rsidRPr="00697FB8" w:rsidRDefault="00526E24" w:rsidP="00666E06">
      <w:r w:rsidRPr="00697FB8">
        <w:t xml:space="preserve">Otherwise, the existing structure should be assessed in conjunction with the proposed new works, and should comply with B1/VM1 </w:t>
      </w:r>
      <w:r w:rsidRPr="00697FB8">
        <w:rPr>
          <w:i/>
          <w:iCs/>
        </w:rPr>
        <w:t>as near as is reasonably practicable</w:t>
      </w:r>
      <w:r w:rsidRPr="00697FB8">
        <w:t xml:space="preserve"> for overall vertical and lateral stability and strength. For the existing structure, this need only apply to primary structure (not compliance of existing secondary and non-structural elements)</w:t>
      </w:r>
      <w:r>
        <w:t xml:space="preserve"> </w:t>
      </w:r>
      <w:r w:rsidRPr="00697FB8">
        <w:t>but does require considering the overall combined stability of the primary lateral and gravity structure under lateral loading.</w:t>
      </w:r>
    </w:p>
    <w:p w14:paraId="0F10ED18" w14:textId="77777777" w:rsidR="00526E24" w:rsidRPr="00697FB8" w:rsidRDefault="00526E24" w:rsidP="00666E06">
      <w:r w:rsidRPr="00697FB8">
        <w:t>Generally, material strengths, deformation limits and load and resistance factors should be applied as required by B1/VM1 for consistency. For example, use design strengths R</w:t>
      </w:r>
      <w:r w:rsidRPr="00697FB8">
        <w:rPr>
          <w:vertAlign w:val="subscript"/>
        </w:rPr>
        <w:t>d</w:t>
      </w:r>
      <w:r w:rsidRPr="00697FB8">
        <w:t xml:space="preserve"> (</w:t>
      </w:r>
      <w:r w:rsidRPr="00697FB8">
        <w:rPr>
          <w:rFonts w:ascii="Symbol" w:hAnsi="Symbol"/>
        </w:rPr>
        <w:t>f</w:t>
      </w:r>
      <w:r w:rsidRPr="00697FB8">
        <w:t xml:space="preserve"> R) as defined by AS/NZS 1170.0. However, the Assessment Guidelines may be used to assess the deformation capacity of existing components which do not comply with the detailing requirements of new building standards. In all cases, </w:t>
      </w:r>
      <w:r w:rsidRPr="00697FB8">
        <w:rPr>
          <w:i/>
          <w:iCs/>
        </w:rPr>
        <w:t>as near as is reasonably practicable</w:t>
      </w:r>
      <w:r w:rsidRPr="00697FB8">
        <w:t xml:space="preserve"> principles can be considered.</w:t>
      </w:r>
    </w:p>
    <w:p w14:paraId="17647D1A" w14:textId="77777777" w:rsidR="00526E24" w:rsidRPr="00B2104B" w:rsidRDefault="00526E24" w:rsidP="00D56CAE">
      <w:pPr>
        <w:pStyle w:val="BodyHeading"/>
        <w:rPr>
          <w:color w:val="0C818E"/>
        </w:rPr>
      </w:pPr>
      <w:r w:rsidRPr="00B2104B">
        <w:rPr>
          <w:color w:val="0C818E"/>
        </w:rPr>
        <w:t>Applying “no worse than before” instead of B1/VM1</w:t>
      </w:r>
    </w:p>
    <w:p w14:paraId="05200E96" w14:textId="77777777" w:rsidR="00526E24" w:rsidRPr="00697FB8" w:rsidRDefault="00526E24" w:rsidP="00666E06">
      <w:r w:rsidRPr="00697FB8">
        <w:t xml:space="preserve">Assessing overall structural stability on the basis that the expected seismic performance is similar to the performance of the original altered structure (justifying below code performance) is unlikely to be appropriate in all but very limited contexts. The performance of the new construction work would not meet the standard required by the Building Code, and </w:t>
      </w:r>
      <w:r>
        <w:t xml:space="preserve">Health NZ </w:t>
      </w:r>
      <w:r w:rsidRPr="00697FB8">
        <w:t>’s risk profile would increase.</w:t>
      </w:r>
    </w:p>
    <w:p w14:paraId="39DC568D" w14:textId="77777777" w:rsidR="00526E24" w:rsidRPr="00697FB8" w:rsidRDefault="00526E24" w:rsidP="00666E06">
      <w:r w:rsidRPr="00697FB8">
        <w:t xml:space="preserve">Such an approach shall only be permitted in direct consultation and explicit agreement with the </w:t>
      </w:r>
      <w:r>
        <w:t xml:space="preserve">Health NZ </w:t>
      </w:r>
      <w:r w:rsidRPr="00697FB8">
        <w:t>HEAG.</w:t>
      </w:r>
    </w:p>
    <w:p w14:paraId="54F132B1" w14:textId="77777777" w:rsidR="00526E24" w:rsidRPr="00697FB8" w:rsidRDefault="00526E24" w:rsidP="00B2104B">
      <w:pPr>
        <w:pStyle w:val="Section2heading3"/>
      </w:pPr>
      <w:bookmarkStart w:id="258" w:name="_Ref180127977"/>
      <w:r w:rsidRPr="00697FB8">
        <w:t>Additions Which Extend Laterally</w:t>
      </w:r>
      <w:bookmarkEnd w:id="258"/>
    </w:p>
    <w:p w14:paraId="4432977A" w14:textId="77777777" w:rsidR="00526E24" w:rsidRPr="00B2104B" w:rsidRDefault="00526E24" w:rsidP="00D56CAE">
      <w:pPr>
        <w:pStyle w:val="BodyHeading"/>
        <w:rPr>
          <w:color w:val="0C818E"/>
        </w:rPr>
      </w:pPr>
      <w:r w:rsidRPr="00B2104B">
        <w:rPr>
          <w:color w:val="0C818E"/>
        </w:rPr>
        <w:t>Where there is not significant reliance on existing structure to provide vertical or lateral support</w:t>
      </w:r>
    </w:p>
    <w:p w14:paraId="63EA01BA" w14:textId="77777777" w:rsidR="00526E24" w:rsidRPr="00697FB8" w:rsidRDefault="00526E24" w:rsidP="00666E06">
      <w:r w:rsidRPr="00697FB8">
        <w:t>This means the new alteration could support itself vertically and brace itself laterally even if it were not tied to the existing building (applying a level of engineering judgement). It would usually apply when extending a building using a similar form of construction.</w:t>
      </w:r>
    </w:p>
    <w:p w14:paraId="235137AE" w14:textId="77777777" w:rsidR="00526E24" w:rsidRPr="00697FB8" w:rsidRDefault="00526E24" w:rsidP="00666E06">
      <w:r w:rsidRPr="00697FB8">
        <w:t>In this situation, the obvious alternative is to provide structurally independent buildings. This is probably preferred and more logical</w:t>
      </w:r>
      <w:r>
        <w:t xml:space="preserve"> </w:t>
      </w:r>
      <w:r w:rsidRPr="00697FB8">
        <w:t>unless both the new and the existing structures are similar and modern and the existing structure is expected to perform to Building Code standards (more or less)</w:t>
      </w:r>
      <w:r>
        <w:t xml:space="preserve"> </w:t>
      </w:r>
      <w:r w:rsidRPr="00697FB8">
        <w:t>and where there are clear benefits to tying. However, it is acknowledged that many varied contexts that can arise and so the following stance is presented, should it have relevance.</w:t>
      </w:r>
    </w:p>
    <w:p w14:paraId="7DD1D264" w14:textId="77777777" w:rsidR="00526E24" w:rsidRPr="00697FB8" w:rsidRDefault="00526E24" w:rsidP="00666E06">
      <w:r w:rsidRPr="00697FB8">
        <w:t>When extending laterally and tying new structure to existing structure, but without significant reliance on existing structure for vertical of lateral capacity, the minimum requirements are:</w:t>
      </w:r>
    </w:p>
    <w:p w14:paraId="758151C4" w14:textId="77777777" w:rsidR="00526E24" w:rsidRPr="00697FB8" w:rsidRDefault="00526E24" w:rsidP="004D55F1">
      <w:pPr>
        <w:pStyle w:val="ListParagraph"/>
        <w:numPr>
          <w:ilvl w:val="0"/>
          <w:numId w:val="61"/>
        </w:numPr>
      </w:pPr>
      <w:r w:rsidRPr="00697FB8">
        <w:lastRenderedPageBreak/>
        <w:t>First, test whether structurally independent buildings would be more practical; if not:</w:t>
      </w:r>
    </w:p>
    <w:p w14:paraId="7D2ACDC0" w14:textId="77777777" w:rsidR="00526E24" w:rsidRPr="00697FB8" w:rsidRDefault="00526E24" w:rsidP="004D55F1">
      <w:pPr>
        <w:pStyle w:val="ListParagraph"/>
        <w:numPr>
          <w:ilvl w:val="0"/>
          <w:numId w:val="61"/>
        </w:numPr>
      </w:pPr>
      <w:r w:rsidRPr="00697FB8">
        <w:t>Ensure the lateral behaviour of systems are compatible (and analysed together) and appropriately tied, and,</w:t>
      </w:r>
    </w:p>
    <w:p w14:paraId="6E244133" w14:textId="77777777" w:rsidR="00526E24" w:rsidRPr="00697FB8" w:rsidRDefault="00526E24" w:rsidP="004D55F1">
      <w:pPr>
        <w:pStyle w:val="ListParagraph"/>
        <w:numPr>
          <w:ilvl w:val="0"/>
          <w:numId w:val="61"/>
        </w:numPr>
      </w:pPr>
      <w:r w:rsidRPr="00697FB8">
        <w:t>That adequate considerations are made at the interface, and,</w:t>
      </w:r>
    </w:p>
    <w:p w14:paraId="7FE62481" w14:textId="77777777" w:rsidR="00526E24" w:rsidRPr="00697FB8" w:rsidRDefault="00526E24" w:rsidP="004D55F1">
      <w:pPr>
        <w:pStyle w:val="ListParagraph"/>
        <w:numPr>
          <w:ilvl w:val="0"/>
          <w:numId w:val="61"/>
        </w:numPr>
      </w:pPr>
      <w:r w:rsidRPr="00697FB8">
        <w:t>That existing structure performance is made no worse to Section 112.</w:t>
      </w:r>
    </w:p>
    <w:p w14:paraId="3B13671E" w14:textId="77777777" w:rsidR="00526E24" w:rsidRPr="00697FB8" w:rsidRDefault="00526E24" w:rsidP="00666E06">
      <w:r w:rsidRPr="00697FB8">
        <w:t xml:space="preserve">Logically, this would require the existing structure to have a </w:t>
      </w:r>
      <w:r w:rsidRPr="00697FB8">
        <w:rPr>
          <w:i/>
          <w:iCs/>
        </w:rPr>
        <w:t>Low-Risk Seismic Grade</w:t>
      </w:r>
      <w:r w:rsidRPr="00697FB8">
        <w:t>, at least for primary structure. Otherwise, its potential poorer performance could impart higher demands on the new adjoined structure that have not been allowed for, should it lose any proportion of its lateral capacity. Arguably this need only apply to the existing building’s global lateral capacity, and vertical capacity at the interface, rather than any other localised potential structural weaknesses that might be present. This would ensure existing structure complied to at least the same extent as before, with new structure expected to perform to the minimum standard required by the Building Code.</w:t>
      </w:r>
    </w:p>
    <w:p w14:paraId="7267C648" w14:textId="77777777" w:rsidR="00526E24" w:rsidRPr="00B2104B" w:rsidRDefault="00526E24" w:rsidP="00D56CAE">
      <w:pPr>
        <w:pStyle w:val="BodyHeading"/>
        <w:rPr>
          <w:color w:val="0C818E"/>
        </w:rPr>
      </w:pPr>
      <w:r w:rsidRPr="00B2104B">
        <w:rPr>
          <w:color w:val="0C818E"/>
        </w:rPr>
        <w:t>Where the existing structure provides lateral support to the new extension</w:t>
      </w:r>
    </w:p>
    <w:p w14:paraId="122EB6F0" w14:textId="66F7F2D7" w:rsidR="00526E24" w:rsidRPr="00697FB8" w:rsidRDefault="00526E24" w:rsidP="00666E06">
      <w:r w:rsidRPr="00697FB8">
        <w:t xml:space="preserve">Consider, especially for lightweight roof extensions, corridors and link structures, whether the works can instead be defined as </w:t>
      </w:r>
      <w:r w:rsidRPr="00697FB8">
        <w:rPr>
          <w:i/>
          <w:iCs/>
        </w:rPr>
        <w:t>minor alterations</w:t>
      </w:r>
      <w:r w:rsidRPr="00697FB8">
        <w:t xml:space="preserve"> to Section</w:t>
      </w:r>
      <w:r w:rsidR="005F07C9">
        <w:t xml:space="preserve"> </w:t>
      </w:r>
      <w:r w:rsidR="005F07C9">
        <w:fldChar w:fldCharType="begin"/>
      </w:r>
      <w:r w:rsidR="005F07C9">
        <w:instrText xml:space="preserve"> REF _Ref180127905 \r \h </w:instrText>
      </w:r>
      <w:r w:rsidR="005F07C9">
        <w:fldChar w:fldCharType="separate"/>
      </w:r>
      <w:r w:rsidR="000761C1">
        <w:t>B7.2</w:t>
      </w:r>
      <w:r w:rsidR="005F07C9">
        <w:fldChar w:fldCharType="end"/>
      </w:r>
      <w:r w:rsidRPr="00697FB8">
        <w:t>.</w:t>
      </w:r>
    </w:p>
    <w:p w14:paraId="252CD58E" w14:textId="77777777" w:rsidR="00526E24" w:rsidRPr="00697FB8" w:rsidRDefault="00526E24" w:rsidP="00666E06">
      <w:r w:rsidRPr="00697FB8">
        <w:t xml:space="preserve">Otherwise, the existing structure should be assessed in conjunction with the proposed new works, and should comply with B1/VM1 </w:t>
      </w:r>
      <w:r w:rsidRPr="00697FB8">
        <w:rPr>
          <w:i/>
        </w:rPr>
        <w:t>as near as is reasonably practicable</w:t>
      </w:r>
      <w:r w:rsidRPr="00697FB8">
        <w:t xml:space="preserve"> for lateral overall stability and for vertical support at the interface. For the existing structure, this need only apply to primary structure (not compliance of existing secondary and non-structural elements)</w:t>
      </w:r>
      <w:r>
        <w:t xml:space="preserve"> </w:t>
      </w:r>
      <w:r w:rsidRPr="00697FB8">
        <w:t>but does require considering of the overall combined stability of all primary lateral and gravity structure and floors under lateral loading.</w:t>
      </w:r>
    </w:p>
    <w:p w14:paraId="44095D30" w14:textId="77777777" w:rsidR="00526E24" w:rsidRPr="00697FB8" w:rsidRDefault="00526E24" w:rsidP="00666E06">
      <w:r w:rsidRPr="00697FB8">
        <w:t>Generally, material strengths, deformation limits and load and resistance factors should be applied as required by B1/VM1. For example, use design strengths R</w:t>
      </w:r>
      <w:r w:rsidRPr="00697FB8">
        <w:rPr>
          <w:vertAlign w:val="subscript"/>
        </w:rPr>
        <w:t>d</w:t>
      </w:r>
      <w:r w:rsidRPr="00697FB8">
        <w:t xml:space="preserve"> (f R) as defined by AS/NZS 1170.0. However, the Assessment Guidelines may be used to assess the deformation capacity of existing components which do not comply with the detailing requirements of new building standards. In all cases, </w:t>
      </w:r>
      <w:r w:rsidRPr="00697FB8">
        <w:rPr>
          <w:i/>
          <w:iCs/>
        </w:rPr>
        <w:t>as near as is reasonably practicable</w:t>
      </w:r>
      <w:r w:rsidRPr="00697FB8">
        <w:t xml:space="preserve"> principles can be considered.</w:t>
      </w:r>
    </w:p>
    <w:p w14:paraId="3648C18C" w14:textId="1FE5FF28" w:rsidR="00526E24" w:rsidRPr="00697FB8" w:rsidRDefault="00526E24" w:rsidP="00666E06">
      <w:r w:rsidRPr="00697FB8">
        <w:t xml:space="preserve">Refer to the above commentary in Section </w:t>
      </w:r>
      <w:r w:rsidR="00256D0B">
        <w:fldChar w:fldCharType="begin"/>
      </w:r>
      <w:r w:rsidR="00256D0B">
        <w:instrText xml:space="preserve"> REF _Ref180127924 \r \h </w:instrText>
      </w:r>
      <w:r w:rsidR="00256D0B">
        <w:fldChar w:fldCharType="separate"/>
      </w:r>
      <w:r w:rsidR="000761C1">
        <w:t>B7.3.1</w:t>
      </w:r>
      <w:r w:rsidR="00256D0B">
        <w:fldChar w:fldCharType="end"/>
      </w:r>
      <w:r w:rsidR="00256D0B">
        <w:t xml:space="preserve"> </w:t>
      </w:r>
      <w:r w:rsidRPr="00697FB8">
        <w:t xml:space="preserve">under the subheading </w:t>
      </w:r>
      <w:r w:rsidRPr="00697FB8">
        <w:rPr>
          <w:i/>
          <w:iCs/>
        </w:rPr>
        <w:t>Applying “no worse than before” instead of B1/VM1</w:t>
      </w:r>
      <w:r w:rsidRPr="00697FB8">
        <w:t>. The same restrictions apply here.</w:t>
      </w:r>
    </w:p>
    <w:p w14:paraId="2035D9CC" w14:textId="77777777" w:rsidR="00526E24" w:rsidRPr="00697FB8" w:rsidRDefault="00526E24" w:rsidP="00B2104B">
      <w:pPr>
        <w:pStyle w:val="Section2heading3"/>
      </w:pPr>
      <w:bookmarkStart w:id="259" w:name="_Ref180393772"/>
      <w:r w:rsidRPr="00697FB8">
        <w:t xml:space="preserve">Adding significant additional weight and/or seismic mass to existing </w:t>
      </w:r>
      <w:r w:rsidRPr="0054742C">
        <w:t>structure</w:t>
      </w:r>
      <w:r w:rsidRPr="00697FB8">
        <w:t>, or altering primary structural load paths</w:t>
      </w:r>
      <w:bookmarkEnd w:id="259"/>
    </w:p>
    <w:p w14:paraId="4CF13AF4" w14:textId="77777777" w:rsidR="00526E24" w:rsidRPr="00697FB8" w:rsidRDefault="00526E24" w:rsidP="00666E06">
      <w:r w:rsidRPr="00697FB8">
        <w:t>This sub-section applies to alterations that don’t significantly increase usable occupied floor area but either:</w:t>
      </w:r>
    </w:p>
    <w:p w14:paraId="5D6F864B" w14:textId="53D95FD8" w:rsidR="00526E24" w:rsidRPr="00697FB8" w:rsidRDefault="00526E24" w:rsidP="004D55F1">
      <w:pPr>
        <w:pStyle w:val="ListParagraph"/>
        <w:numPr>
          <w:ilvl w:val="0"/>
          <w:numId w:val="95"/>
        </w:numPr>
      </w:pPr>
      <w:r w:rsidRPr="00697FB8">
        <w:t>Add significant additional weight or seismic mass (i.e. producing non-trivial increases in demand through global load paths which can no longer be considered negligible/minor to Section</w:t>
      </w:r>
      <w:r w:rsidR="00256D0B">
        <w:t xml:space="preserve"> </w:t>
      </w:r>
      <w:r w:rsidR="00256D0B">
        <w:fldChar w:fldCharType="begin"/>
      </w:r>
      <w:r w:rsidR="00256D0B">
        <w:instrText xml:space="preserve"> REF _Ref180127939 \r \h </w:instrText>
      </w:r>
      <w:r w:rsidR="00256D0B">
        <w:fldChar w:fldCharType="separate"/>
      </w:r>
      <w:r w:rsidR="000761C1">
        <w:t>B7.2</w:t>
      </w:r>
      <w:r w:rsidR="00256D0B">
        <w:fldChar w:fldCharType="end"/>
      </w:r>
      <w:r w:rsidRPr="00697FB8">
        <w:t>), and/or,</w:t>
      </w:r>
    </w:p>
    <w:p w14:paraId="1A7FDB6B" w14:textId="77777777" w:rsidR="00526E24" w:rsidRPr="00697FB8" w:rsidRDefault="00526E24" w:rsidP="004D55F1">
      <w:pPr>
        <w:pStyle w:val="ListParagraph"/>
        <w:numPr>
          <w:ilvl w:val="0"/>
          <w:numId w:val="95"/>
        </w:numPr>
      </w:pPr>
      <w:r w:rsidRPr="00697FB8">
        <w:t>Significantly alter primary structural load paths.</w:t>
      </w:r>
    </w:p>
    <w:p w14:paraId="5008CC90" w14:textId="74C416BB" w:rsidR="00526E24" w:rsidRPr="00697FB8" w:rsidRDefault="00526E24" w:rsidP="00666E06">
      <w:r w:rsidRPr="00697FB8">
        <w:lastRenderedPageBreak/>
        <w:t>Examples in this category are unlikely to arise often, but could include significant additional areas of plant, or addition of significant amounts of dead load or imposed load to large areas of floor.</w:t>
      </w:r>
      <w:r w:rsidR="00B47219">
        <w:t xml:space="preserve"> </w:t>
      </w:r>
      <w:r w:rsidRPr="00697FB8">
        <w:t>These would require a more fulsome assessment of their impact on both local and global structural stability, but can still be considered against the principles of Section 112. That is, the level of compliance with B1 Structure should be made no worse than before, and full Building Code compliance of existing structure is not required (other than in the design and detailing of the new work itself). This could require some level of physical strengthening to primary lateral or vertical load resisting structure to ensure that ULS gravity capacity remains justified to Building Code levels, and that lateral stability is not reduced materially.</w:t>
      </w:r>
    </w:p>
    <w:p w14:paraId="7C9CA173" w14:textId="77777777" w:rsidR="00526E24" w:rsidRPr="00697FB8" w:rsidRDefault="00526E24" w:rsidP="00666E06">
      <w:r w:rsidRPr="00697FB8">
        <w:t>For seismic aspects, this test can be described in different words as:</w:t>
      </w:r>
    </w:p>
    <w:p w14:paraId="1FEAC39F" w14:textId="77777777" w:rsidR="00526E24" w:rsidRPr="00697FB8" w:rsidRDefault="00526E24" w:rsidP="004D55F1">
      <w:pPr>
        <w:pStyle w:val="ListParagraph"/>
        <w:numPr>
          <w:ilvl w:val="0"/>
          <w:numId w:val="93"/>
        </w:numPr>
      </w:pPr>
      <w:r w:rsidRPr="00697FB8">
        <w:t>No existing seismic structural weaknesses should be made any worse as a result of the works (i.e. structural weakness that would score &lt;100% NBS, if assessed).</w:t>
      </w:r>
    </w:p>
    <w:p w14:paraId="0C5F7492" w14:textId="77777777" w:rsidR="00526E24" w:rsidRPr="00697FB8" w:rsidRDefault="00526E24" w:rsidP="004D55F1">
      <w:pPr>
        <w:pStyle w:val="ListParagraph"/>
        <w:numPr>
          <w:ilvl w:val="0"/>
          <w:numId w:val="93"/>
        </w:numPr>
      </w:pPr>
      <w:r w:rsidRPr="00697FB8">
        <w:t>No new seismic structural weaknesses should be introduced.</w:t>
      </w:r>
    </w:p>
    <w:p w14:paraId="4507B54B" w14:textId="20DDE508" w:rsidR="00526E24" w:rsidRPr="00697FB8" w:rsidRDefault="00526E24" w:rsidP="00B2104B">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Health NZ’s</w:t>
      </w:r>
      <w:r w:rsidRPr="00697FB8">
        <w:t xml:space="preserve"> stance is that this type of alteration, approached this way, does not increase the risk exposure to persons or property, and is thus an appropriate application of Section 112 of the Building Act. Alternatively, significant additions of usable and occupied floor area can be more challenging, as applying the same approach could increase exposure to “below code” performance risks. This is why </w:t>
      </w:r>
      <w:r>
        <w:t>Health NZ’s</w:t>
      </w:r>
      <w:r w:rsidRPr="00697FB8">
        <w:t xml:space="preserve"> recommended stance for addition of significant occupiable area under Sections </w:t>
      </w:r>
      <w:r w:rsidR="00256D0B">
        <w:fldChar w:fldCharType="begin"/>
      </w:r>
      <w:r w:rsidR="00256D0B">
        <w:instrText xml:space="preserve"> REF _Ref180127924 \r \h </w:instrText>
      </w:r>
      <w:r w:rsidR="00256D0B">
        <w:fldChar w:fldCharType="separate"/>
      </w:r>
      <w:r w:rsidR="000761C1">
        <w:t>B7.3.1</w:t>
      </w:r>
      <w:r w:rsidR="00256D0B">
        <w:fldChar w:fldCharType="end"/>
      </w:r>
      <w:r w:rsidR="00256D0B">
        <w:t xml:space="preserve"> </w:t>
      </w:r>
      <w:r w:rsidRPr="00697FB8">
        <w:t xml:space="preserve">and </w:t>
      </w:r>
      <w:r w:rsidR="00256D0B">
        <w:fldChar w:fldCharType="begin"/>
      </w:r>
      <w:r w:rsidR="00256D0B">
        <w:instrText xml:space="preserve"> REF _Ref180127977 \r \h </w:instrText>
      </w:r>
      <w:r w:rsidR="00256D0B">
        <w:fldChar w:fldCharType="separate"/>
      </w:r>
      <w:r w:rsidR="000761C1">
        <w:t>B7.3.2</w:t>
      </w:r>
      <w:r w:rsidR="00256D0B">
        <w:fldChar w:fldCharType="end"/>
      </w:r>
      <w:r w:rsidR="00256D0B">
        <w:t xml:space="preserve"> </w:t>
      </w:r>
      <w:r w:rsidR="00BA3231">
        <w:t>is</w:t>
      </w:r>
      <w:r w:rsidRPr="00697FB8">
        <w:t xml:space="preserve"> more onerous, and requires testing against Building Code levels as a starting point.</w:t>
      </w:r>
    </w:p>
    <w:p w14:paraId="53C2D72F" w14:textId="77777777" w:rsidR="00526E24" w:rsidRPr="006F317A" w:rsidRDefault="00526E24" w:rsidP="00B2104B">
      <w:pPr>
        <w:pStyle w:val="Section2heading3"/>
      </w:pPr>
      <w:r w:rsidRPr="006F317A">
        <w:t>Using Historic Design Allowances (and Future Provisioning</w:t>
      </w:r>
      <w:r>
        <w:t>)</w:t>
      </w:r>
      <w:r w:rsidRPr="006F317A">
        <w:t xml:space="preserve"> for Significant Structural Additions</w:t>
      </w:r>
    </w:p>
    <w:p w14:paraId="74C61737" w14:textId="208E81B6" w:rsidR="00526E24" w:rsidRPr="006F317A" w:rsidRDefault="00526E24" w:rsidP="00666E06">
      <w:r w:rsidRPr="006F317A">
        <w:t>Provision of design allowance for significant vertical or lateral structural additions has some precedent in healthcare infrastructure, as a way of managing capacity growth within budget constraints. They continue to be considered as part of major hospital developments. There are example</w:t>
      </w:r>
      <w:r>
        <w:t>s</w:t>
      </w:r>
      <w:r w:rsidRPr="006F317A">
        <w:t xml:space="preserve"> of those that have been utilised </w:t>
      </w:r>
      <w:r w:rsidRPr="00B61C5A">
        <w:t>(</w:t>
      </w:r>
      <w:r w:rsidR="00B61C5A" w:rsidRPr="00B61C5A">
        <w:fldChar w:fldCharType="begin"/>
      </w:r>
      <w:r w:rsidR="00B61C5A" w:rsidRPr="00B61C5A">
        <w:instrText xml:space="preserve"> REF _Ref203641629 \h </w:instrText>
      </w:r>
      <w:r w:rsidR="00B61C5A">
        <w:instrText xml:space="preserve"> \* MERGEFORMAT </w:instrText>
      </w:r>
      <w:r w:rsidR="00B61C5A" w:rsidRPr="00B61C5A">
        <w:fldChar w:fldCharType="separate"/>
      </w:r>
      <w:r w:rsidR="00B61C5A" w:rsidRPr="00B61C5A">
        <w:t xml:space="preserve">Figure </w:t>
      </w:r>
      <w:r w:rsidR="00B61C5A" w:rsidRPr="00B61C5A">
        <w:rPr>
          <w:noProof/>
        </w:rPr>
        <w:t>10</w:t>
      </w:r>
      <w:r w:rsidR="00B61C5A" w:rsidRPr="00B61C5A">
        <w:fldChar w:fldCharType="end"/>
      </w:r>
      <w:r w:rsidRPr="00B61C5A">
        <w:t>),</w:t>
      </w:r>
      <w:r w:rsidRPr="00513B01">
        <w:t xml:space="preserve"> </w:t>
      </w:r>
      <w:r w:rsidRPr="006F317A">
        <w:t>or partially utilised, as well as those that have not.</w:t>
      </w:r>
    </w:p>
    <w:p w14:paraId="6E757D75" w14:textId="77777777" w:rsidR="00526E24" w:rsidRPr="00B2104B" w:rsidRDefault="00526E24" w:rsidP="00D56CAE">
      <w:pPr>
        <w:pStyle w:val="BodyHeading"/>
        <w:rPr>
          <w:color w:val="0C818E"/>
        </w:rPr>
      </w:pPr>
      <w:r w:rsidRPr="00B2104B">
        <w:rPr>
          <w:color w:val="0C818E"/>
        </w:rPr>
        <w:t>Use of historic design provision in existing buildings</w:t>
      </w:r>
    </w:p>
    <w:p w14:paraId="2C5AE1AC" w14:textId="57E2423D" w:rsidR="00526E24" w:rsidRPr="006F317A" w:rsidRDefault="00526E24" w:rsidP="00666E06">
      <w:r w:rsidRPr="006F317A">
        <w:t xml:space="preserve">Using historic allowances requires review of basis for allowances, in order to demonstrate that the new work complies with the Building Code and these guidelines. In most cases, treatment similar to a significant addition (Sections </w:t>
      </w:r>
      <w:r w:rsidR="003A586F">
        <w:fldChar w:fldCharType="begin"/>
      </w:r>
      <w:r w:rsidR="003A586F">
        <w:instrText xml:space="preserve"> REF _Ref180127924 \r \h </w:instrText>
      </w:r>
      <w:r w:rsidR="003A586F">
        <w:fldChar w:fldCharType="separate"/>
      </w:r>
      <w:r w:rsidR="000761C1">
        <w:t>B7.3.1</w:t>
      </w:r>
      <w:r w:rsidR="003A586F">
        <w:fldChar w:fldCharType="end"/>
      </w:r>
      <w:r w:rsidR="003A586F">
        <w:t xml:space="preserve"> </w:t>
      </w:r>
      <w:r w:rsidRPr="006F317A">
        <w:t>or</w:t>
      </w:r>
      <w:r w:rsidR="003A586F">
        <w:t xml:space="preserve"> </w:t>
      </w:r>
      <w:r w:rsidR="003A586F">
        <w:fldChar w:fldCharType="begin"/>
      </w:r>
      <w:r w:rsidR="003A586F">
        <w:instrText xml:space="preserve"> REF _Ref180127977 \r \h </w:instrText>
      </w:r>
      <w:r w:rsidR="003A586F">
        <w:fldChar w:fldCharType="separate"/>
      </w:r>
      <w:r w:rsidR="000761C1">
        <w:t>B7.3.2</w:t>
      </w:r>
      <w:r w:rsidR="003A586F">
        <w:fldChar w:fldCharType="end"/>
      </w:r>
      <w:r w:rsidRPr="006F317A">
        <w:t>) will apply—the only difference being the likelihood that the existing structure has a higher capacity, given the allowances previously made. The structural engineer responsible for the design of the new additions will be responsible for defining and carrying out sufficient assessment of existing structures capacity, for the purposes of demonstrating compliance of the new work (briefing and engagement will need to be managed accordingly).</w:t>
      </w:r>
    </w:p>
    <w:p w14:paraId="35905A2D" w14:textId="77777777" w:rsidR="00526E24" w:rsidRDefault="00526E24" w:rsidP="00666E06">
      <w:pPr>
        <w:pStyle w:val="NormalWeb"/>
      </w:pPr>
      <w:r>
        <w:rPr>
          <w:noProof/>
        </w:rPr>
        <w:lastRenderedPageBreak/>
        <w:drawing>
          <wp:inline distT="0" distB="0" distL="0" distR="0" wp14:anchorId="537BDBD3" wp14:editId="49AE7A56">
            <wp:extent cx="3772879" cy="1557223"/>
            <wp:effectExtent l="0" t="0" r="0" b="5080"/>
            <wp:docPr id="170379421" name="Picture 170379421" descr="A building with red and black tri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9421" name="Picture 170379421" descr="A building with red and black trim&#10;&#10;Description automatically generated with medium confidence"/>
                    <pic:cNvPicPr/>
                  </pic:nvPicPr>
                  <pic:blipFill>
                    <a:blip r:embed="rId66"/>
                    <a:stretch>
                      <a:fillRect/>
                    </a:stretch>
                  </pic:blipFill>
                  <pic:spPr>
                    <a:xfrm>
                      <a:off x="0" y="0"/>
                      <a:ext cx="3791518" cy="1564916"/>
                    </a:xfrm>
                    <a:prstGeom prst="rect">
                      <a:avLst/>
                    </a:prstGeom>
                  </pic:spPr>
                </pic:pic>
              </a:graphicData>
            </a:graphic>
          </wp:inline>
        </w:drawing>
      </w:r>
      <w:r>
        <w:t xml:space="preserve">  </w:t>
      </w:r>
      <w:r>
        <w:rPr>
          <w:noProof/>
        </w:rPr>
        <w:drawing>
          <wp:inline distT="0" distB="0" distL="0" distR="0" wp14:anchorId="77D9C95D" wp14:editId="45980305">
            <wp:extent cx="2216506" cy="1568434"/>
            <wp:effectExtent l="0" t="0" r="0" b="0"/>
            <wp:docPr id="1673502813" name="Picture 1673502813" descr="A building under construction with a c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5037" name="Picture 1" descr="A building under construction with a crane&#10;&#10;Description automatically generated"/>
                    <pic:cNvPicPr/>
                  </pic:nvPicPr>
                  <pic:blipFill>
                    <a:blip r:embed="rId67"/>
                    <a:stretch>
                      <a:fillRect/>
                    </a:stretch>
                  </pic:blipFill>
                  <pic:spPr>
                    <a:xfrm>
                      <a:off x="0" y="0"/>
                      <a:ext cx="2228664" cy="1577037"/>
                    </a:xfrm>
                    <a:prstGeom prst="rect">
                      <a:avLst/>
                    </a:prstGeom>
                  </pic:spPr>
                </pic:pic>
              </a:graphicData>
            </a:graphic>
          </wp:inline>
        </w:drawing>
      </w:r>
    </w:p>
    <w:p w14:paraId="7DE05041" w14:textId="052EC392" w:rsidR="00526E24" w:rsidRPr="00CA1D50" w:rsidRDefault="00526E24" w:rsidP="00B2104B">
      <w:pPr>
        <w:pStyle w:val="Figure"/>
        <w:rPr>
          <w:sz w:val="20"/>
          <w:szCs w:val="20"/>
        </w:rPr>
      </w:pPr>
      <w:bookmarkStart w:id="260" w:name="_Ref203641629"/>
      <w:r w:rsidRPr="00CA1D50">
        <w:rPr>
          <w:sz w:val="20"/>
          <w:szCs w:val="20"/>
        </w:rPr>
        <w:t xml:space="preserve">Figure </w:t>
      </w:r>
      <w:r w:rsidR="0062088B" w:rsidRPr="00CA1D50">
        <w:rPr>
          <w:sz w:val="20"/>
          <w:szCs w:val="20"/>
        </w:rPr>
        <w:fldChar w:fldCharType="begin"/>
      </w:r>
      <w:r w:rsidR="0062088B" w:rsidRPr="00CA1D50">
        <w:rPr>
          <w:sz w:val="20"/>
          <w:szCs w:val="20"/>
        </w:rPr>
        <w:instrText xml:space="preserve"> SEQ Figure \* ARABIC </w:instrText>
      </w:r>
      <w:r w:rsidR="0062088B" w:rsidRPr="00CA1D50">
        <w:rPr>
          <w:sz w:val="20"/>
          <w:szCs w:val="20"/>
        </w:rPr>
        <w:fldChar w:fldCharType="separate"/>
      </w:r>
      <w:r w:rsidR="00CA1D50">
        <w:rPr>
          <w:noProof/>
          <w:sz w:val="20"/>
          <w:szCs w:val="20"/>
        </w:rPr>
        <w:t>10</w:t>
      </w:r>
      <w:r w:rsidR="0062088B" w:rsidRPr="00CA1D50">
        <w:rPr>
          <w:noProof/>
          <w:sz w:val="20"/>
          <w:szCs w:val="20"/>
        </w:rPr>
        <w:fldChar w:fldCharType="end"/>
      </w:r>
      <w:bookmarkEnd w:id="260"/>
      <w:r w:rsidRPr="00CA1D50">
        <w:rPr>
          <w:sz w:val="20"/>
          <w:szCs w:val="20"/>
        </w:rPr>
        <w:t>: A future design provision (indicated by grey shading), left; being utilised and under construction in 2024 (right). Images courtesy Holmes, Naylor Love.</w:t>
      </w:r>
    </w:p>
    <w:p w14:paraId="2173BAA3" w14:textId="77777777" w:rsidR="00526E24" w:rsidRPr="006F317A" w:rsidRDefault="00526E24" w:rsidP="00666E06">
      <w:r w:rsidRPr="006F317A">
        <w:t xml:space="preserve">If there is an intent to maintain reliance on existing Producer Statements to inform (reduce) the level of review, then this is context dependent and various risk, reliance, compliance and liability issues will need to be worked through and agreed with </w:t>
      </w:r>
      <w:r>
        <w:t>Health NZ</w:t>
      </w:r>
      <w:r w:rsidRPr="006F317A">
        <w:t>, HEAG representatives and the Building Consent Authority.</w:t>
      </w:r>
    </w:p>
    <w:p w14:paraId="6FCBBDC7" w14:textId="77777777" w:rsidR="00526E24" w:rsidRPr="00B2104B" w:rsidRDefault="00526E24" w:rsidP="00D56CAE">
      <w:pPr>
        <w:pStyle w:val="BodyHeading"/>
        <w:rPr>
          <w:color w:val="0C818E"/>
        </w:rPr>
      </w:pPr>
      <w:r w:rsidRPr="00B2104B">
        <w:rPr>
          <w:color w:val="0C818E"/>
        </w:rPr>
        <w:t>Provision for future additions in new hospitals</w:t>
      </w:r>
    </w:p>
    <w:p w14:paraId="763C6ED4" w14:textId="77777777" w:rsidR="00526E24" w:rsidRPr="006F317A" w:rsidRDefault="00526E24" w:rsidP="00666E06">
      <w:r w:rsidRPr="006F317A">
        <w:t>In provisioning for significant future structure (as part of design, or as part of business case or masterplan development), risks exist which are similar to those associated with use of existing historic provisions. These should be considered and conveyed to the design team, and project decision makers, and include:</w:t>
      </w:r>
    </w:p>
    <w:p w14:paraId="0774BED1" w14:textId="77777777" w:rsidR="00526E24" w:rsidRPr="006F317A" w:rsidRDefault="00526E24" w:rsidP="004D55F1">
      <w:pPr>
        <w:pStyle w:val="ListParagraph"/>
        <w:numPr>
          <w:ilvl w:val="0"/>
          <w:numId w:val="94"/>
        </w:numPr>
      </w:pPr>
      <w:r w:rsidRPr="006F317A">
        <w:t xml:space="preserve">Significant difficulty in constructing building additions and alterations to live operating hospital environments. This is proportionately more costly and time consuming, and carries increased risk. Precedent examples </w:t>
      </w:r>
      <w:r>
        <w:t xml:space="preserve">exist, and information on these </w:t>
      </w:r>
      <w:r w:rsidRPr="006F317A">
        <w:t>should be sought as part of cost and risk quantification.</w:t>
      </w:r>
    </w:p>
    <w:p w14:paraId="24C91EE3" w14:textId="77777777" w:rsidR="00526E24" w:rsidRPr="006F317A" w:rsidRDefault="00526E24" w:rsidP="004D55F1">
      <w:pPr>
        <w:pStyle w:val="ListParagraph"/>
        <w:numPr>
          <w:ilvl w:val="0"/>
          <w:numId w:val="94"/>
        </w:numPr>
      </w:pPr>
      <w:r w:rsidRPr="006F317A">
        <w:t xml:space="preserve">Alternatives such as constructing empty shell space are usually less risky, but incur upfront cost. This approach will also incur </w:t>
      </w:r>
      <w:r w:rsidRPr="006F317A">
        <w:rPr>
          <w:i/>
          <w:iCs/>
        </w:rPr>
        <w:t>Up-Front Carbon</w:t>
      </w:r>
      <w:r w:rsidRPr="006F317A">
        <w:t xml:space="preserve"> emissions before the capacity is required.</w:t>
      </w:r>
    </w:p>
    <w:p w14:paraId="52B29E77" w14:textId="77777777" w:rsidR="00526E24" w:rsidRPr="006F317A" w:rsidRDefault="00526E24" w:rsidP="004D55F1">
      <w:pPr>
        <w:pStyle w:val="ListParagraph"/>
        <w:numPr>
          <w:ilvl w:val="0"/>
          <w:numId w:val="94"/>
        </w:numPr>
      </w:pPr>
      <w:r w:rsidRPr="006F317A">
        <w:t>Risk of changes to Building Code compliance documents or engineering practice impacting the effectiveness of the provisioning, potentially increasing the cost of the new work, requiring strengthening to existing, or the acceptance of performance compromises (and associated compliance risks). The latter would be subject to the requirements of the Building Act as applicable to the context.</w:t>
      </w:r>
    </w:p>
    <w:p w14:paraId="29761752" w14:textId="77777777" w:rsidR="00526E24" w:rsidRPr="006F317A" w:rsidRDefault="00526E24" w:rsidP="004D55F1">
      <w:pPr>
        <w:pStyle w:val="ListParagraph"/>
        <w:numPr>
          <w:ilvl w:val="0"/>
          <w:numId w:val="94"/>
        </w:numPr>
      </w:pPr>
      <w:r w:rsidRPr="006F317A">
        <w:t>Risk of changes to site masterplan reducing the effectiveness of the provisioning.</w:t>
      </w:r>
    </w:p>
    <w:p w14:paraId="32696155" w14:textId="77777777" w:rsidR="00526E24" w:rsidRPr="006F317A" w:rsidRDefault="00526E24" w:rsidP="004D55F1">
      <w:pPr>
        <w:pStyle w:val="ListParagraph"/>
        <w:numPr>
          <w:ilvl w:val="0"/>
          <w:numId w:val="94"/>
        </w:numPr>
      </w:pPr>
      <w:r w:rsidRPr="006F317A">
        <w:t xml:space="preserve">Whether or not the provision is used, there are </w:t>
      </w:r>
      <w:r w:rsidRPr="006F317A">
        <w:rPr>
          <w:i/>
          <w:iCs/>
        </w:rPr>
        <w:t>Up-Front Carbon</w:t>
      </w:r>
      <w:r w:rsidRPr="006F317A">
        <w:t xml:space="preserve"> emissions associated with the provisioning itself (where it involves providing additional structural capacity).</w:t>
      </w:r>
    </w:p>
    <w:p w14:paraId="0FC7CABB" w14:textId="77777777" w:rsidR="00526E24" w:rsidRDefault="00526E24" w:rsidP="00666E06">
      <w:r w:rsidRPr="006F317A">
        <w:t>Alternative development phasing approaches such as developing site infrastructure vertically, rather than horizontally before extending vertically can minimise these risks.</w:t>
      </w:r>
    </w:p>
    <w:p w14:paraId="6F2DE7A2" w14:textId="77777777" w:rsidR="006A3A8A" w:rsidRPr="006F317A" w:rsidRDefault="006A3A8A" w:rsidP="00666E06"/>
    <w:p w14:paraId="7EB91B08" w14:textId="77777777" w:rsidR="00526E24" w:rsidRPr="006F317A" w:rsidRDefault="00526E24" w:rsidP="00B2104B">
      <w:pPr>
        <w:pStyle w:val="Section2Heading2"/>
      </w:pPr>
      <w:bookmarkStart w:id="261" w:name="_Ref180127614"/>
      <w:bookmarkStart w:id="262" w:name="_Toc203641971"/>
      <w:r w:rsidRPr="006F317A">
        <w:lastRenderedPageBreak/>
        <w:t>Changing the Service Functions of an Existing Building</w:t>
      </w:r>
      <w:bookmarkEnd w:id="261"/>
      <w:bookmarkEnd w:id="262"/>
    </w:p>
    <w:p w14:paraId="1E4EFD77" w14:textId="77777777" w:rsidR="00526E24" w:rsidRPr="006F317A" w:rsidRDefault="00526E24" w:rsidP="00666E06">
      <w:r w:rsidRPr="006F317A">
        <w:t>As part of hospital master planning, hospital and health planners may consider relocating departments or introducing new services into existing buildings that were not originally planned or designed to support that function.</w:t>
      </w:r>
    </w:p>
    <w:p w14:paraId="575E85F0" w14:textId="2C7C8791" w:rsidR="00526E24" w:rsidRPr="006F317A" w:rsidRDefault="00526E24" w:rsidP="00666E06">
      <w:r w:rsidRPr="006F317A">
        <w:t xml:space="preserve">This could change the overall </w:t>
      </w:r>
      <w:r w:rsidRPr="006F317A">
        <w:rPr>
          <w:i/>
          <w:iCs/>
        </w:rPr>
        <w:t>Service Category</w:t>
      </w:r>
      <w:r w:rsidRPr="006F317A">
        <w:t xml:space="preserve"> that might apply to that building (refer to Section </w:t>
      </w:r>
      <w:r w:rsidRPr="006F317A">
        <w:fldChar w:fldCharType="begin"/>
      </w:r>
      <w:r w:rsidRPr="006F317A">
        <w:instrText xml:space="preserve"> REF _Ref160007872 \r \h </w:instrText>
      </w:r>
      <w:r>
        <w:instrText xml:space="preserve"> \* MERGEFORMAT </w:instrText>
      </w:r>
      <w:r w:rsidRPr="006F317A">
        <w:fldChar w:fldCharType="separate"/>
      </w:r>
      <w:r w:rsidR="000761C1">
        <w:t>B1.2</w:t>
      </w:r>
      <w:r w:rsidRPr="006F317A">
        <w:fldChar w:fldCharType="end"/>
      </w:r>
      <w:r w:rsidRPr="006F317A">
        <w:t xml:space="preserve">). This may not necessarily constitute a Section 115 Change of Use for regulatory purposes, but will still require consideration of how the building </w:t>
      </w:r>
      <w:r w:rsidR="009F5CF5">
        <w:t xml:space="preserve">as </w:t>
      </w:r>
      <w:r w:rsidRPr="006F317A">
        <w:t xml:space="preserve">a whole will deliver the performance required by the new overall </w:t>
      </w:r>
      <w:r w:rsidRPr="006F317A">
        <w:rPr>
          <w:i/>
          <w:iCs/>
        </w:rPr>
        <w:t>Service Category</w:t>
      </w:r>
      <w:r w:rsidRPr="006F317A">
        <w:t>.</w:t>
      </w:r>
    </w:p>
    <w:p w14:paraId="60451B82" w14:textId="77777777" w:rsidR="00526E24" w:rsidRPr="00C428F2" w:rsidRDefault="00526E24" w:rsidP="00D56CAE">
      <w:pPr>
        <w:pStyle w:val="BodyHeading"/>
        <w:rPr>
          <w:color w:val="0C818E"/>
        </w:rPr>
      </w:pPr>
      <w:r w:rsidRPr="00C428F2">
        <w:rPr>
          <w:color w:val="0C818E"/>
        </w:rPr>
        <w:t>When would different service categories constitute a Section 115 Change of Use?</w:t>
      </w:r>
    </w:p>
    <w:p w14:paraId="563D2377" w14:textId="58BA5A2F" w:rsidR="00526E24" w:rsidRPr="006F317A" w:rsidRDefault="00526E24" w:rsidP="00666E06">
      <w:r w:rsidRPr="006F317A">
        <w:t xml:space="preserve">Regulatory requirements for changes in use are contained within Section 115 of the </w:t>
      </w:r>
      <w:r w:rsidRPr="006F317A">
        <w:rPr>
          <w:i/>
          <w:iCs/>
        </w:rPr>
        <w:t>Building Act 2004</w:t>
      </w:r>
      <w:r w:rsidRPr="006F317A">
        <w:t xml:space="preserve">, and uses are defined in Schedule 2 of the </w:t>
      </w:r>
      <w:r w:rsidRPr="006F317A">
        <w:rPr>
          <w:i/>
          <w:iCs/>
        </w:rPr>
        <w:t>Building (Specified Systems, Change the Use, and Earthquake-prone Buildings) Regulations 2005</w:t>
      </w:r>
      <w:r w:rsidRPr="006F317A">
        <w:t xml:space="preserve">. MBIE Building Performance summarise the requirements </w:t>
      </w:r>
      <w:hyperlink r:id="rId68" w:history="1">
        <w:r w:rsidRPr="006F317A">
          <w:rPr>
            <w:rStyle w:val="Hyperlink"/>
            <w:color w:val="0070C0"/>
          </w:rPr>
          <w:t>here</w:t>
        </w:r>
      </w:hyperlink>
      <w:r w:rsidRPr="006F317A">
        <w:t xml:space="preserve">. This requires the building to comply </w:t>
      </w:r>
      <w:r w:rsidRPr="006F317A">
        <w:rPr>
          <w:i/>
          <w:iCs/>
        </w:rPr>
        <w:t>as</w:t>
      </w:r>
      <w:r w:rsidRPr="006F317A">
        <w:t xml:space="preserve"> </w:t>
      </w:r>
      <w:r w:rsidRPr="006F317A">
        <w:rPr>
          <w:i/>
          <w:iCs/>
        </w:rPr>
        <w:t>near as is reasonably practicable</w:t>
      </w:r>
      <w:r w:rsidRPr="006F317A">
        <w:t xml:space="preserve"> (ANARP) with Building Code requirements for a number of aspects</w:t>
      </w:r>
      <w:r>
        <w:t xml:space="preserve"> </w:t>
      </w:r>
      <w:r w:rsidRPr="006F317A">
        <w:t>including structural performance.</w:t>
      </w:r>
    </w:p>
    <w:p w14:paraId="028672E3" w14:textId="77777777" w:rsidR="00526E24" w:rsidRPr="006F317A" w:rsidRDefault="00526E24" w:rsidP="00666E06">
      <w:r w:rsidRPr="006F317A">
        <w:t>Importantly, a Section 115 ‘Change of Use’ only occurs when both:</w:t>
      </w:r>
    </w:p>
    <w:p w14:paraId="7AF21C18" w14:textId="77777777" w:rsidR="00526E24" w:rsidRPr="006F317A" w:rsidRDefault="00526E24" w:rsidP="004D55F1">
      <w:pPr>
        <w:pStyle w:val="ListParagraph"/>
        <w:numPr>
          <w:ilvl w:val="0"/>
          <w:numId w:val="56"/>
        </w:numPr>
      </w:pPr>
      <w:r w:rsidRPr="006F317A">
        <w:t xml:space="preserve">the use changes from one use to a new use as defined in the regulations (there are 15 specific uses defined in the regulations), </w:t>
      </w:r>
      <w:r w:rsidRPr="006F317A">
        <w:rPr>
          <w:b/>
          <w:bCs/>
        </w:rPr>
        <w:t>and</w:t>
      </w:r>
    </w:p>
    <w:p w14:paraId="352CB650" w14:textId="77777777" w:rsidR="00526E24" w:rsidRPr="006F317A" w:rsidRDefault="00526E24" w:rsidP="004D55F1">
      <w:pPr>
        <w:pStyle w:val="ListParagraph"/>
        <w:numPr>
          <w:ilvl w:val="0"/>
          <w:numId w:val="56"/>
        </w:numPr>
      </w:pPr>
      <w:r w:rsidRPr="006F317A">
        <w:t>the new use has more onerous or additional Building Code requirements.</w:t>
      </w:r>
    </w:p>
    <w:p w14:paraId="0F5AF3B5" w14:textId="2F80EEF9" w:rsidR="00526E24" w:rsidRPr="006F317A" w:rsidRDefault="00526E24" w:rsidP="00666E06">
      <w:r w:rsidRPr="006F317A">
        <w:t xml:space="preserve">Therefore, changing </w:t>
      </w:r>
      <w:r w:rsidRPr="006F317A">
        <w:rPr>
          <w:i/>
          <w:iCs/>
        </w:rPr>
        <w:t>Service Categories</w:t>
      </w:r>
      <w:r w:rsidRPr="006F317A">
        <w:t xml:space="preserve"> that would change the buildings importance level from, for example, IL3 to IL4, does not necessarily change the buildings use, as both may classify as SC (Sleeping Care). In this case Section 115 does not apply, but </w:t>
      </w:r>
      <w:r>
        <w:t xml:space="preserve">Health NZ </w:t>
      </w:r>
      <w:r w:rsidRPr="006F317A">
        <w:t>require a similar assessment of the building to deliver the performance required</w:t>
      </w:r>
      <w:r>
        <w:t xml:space="preserve"> </w:t>
      </w:r>
      <w:r w:rsidRPr="006F317A">
        <w:t>especially for functional continuity in earthquakes. These requirements and decision-making process are set out in Section</w:t>
      </w:r>
      <w:r w:rsidR="009D2A35">
        <w:t xml:space="preserve"> </w:t>
      </w:r>
      <w:r w:rsidR="009D2A35">
        <w:fldChar w:fldCharType="begin"/>
      </w:r>
      <w:r w:rsidR="009D2A35">
        <w:instrText xml:space="preserve"> REF _Ref180128126 \r \h </w:instrText>
      </w:r>
      <w:r w:rsidR="009D2A35">
        <w:fldChar w:fldCharType="separate"/>
      </w:r>
      <w:r w:rsidR="000761C1">
        <w:t>B7.1</w:t>
      </w:r>
      <w:r w:rsidR="009D2A35">
        <w:fldChar w:fldCharType="end"/>
      </w:r>
      <w:r w:rsidRPr="006F317A">
        <w:t>.</w:t>
      </w:r>
    </w:p>
    <w:p w14:paraId="2F4415A9" w14:textId="77777777" w:rsidR="00526E24" w:rsidRPr="006F317A" w:rsidRDefault="00526E24" w:rsidP="00C428F2">
      <w:pPr>
        <w:pStyle w:val="Section2Heading2"/>
      </w:pPr>
      <w:bookmarkStart w:id="263" w:name="_Ref180127812"/>
      <w:bookmarkStart w:id="264" w:name="_Toc203641972"/>
      <w:r w:rsidRPr="006F317A">
        <w:t>Applying ANARP</w:t>
      </w:r>
      <w:bookmarkEnd w:id="263"/>
      <w:bookmarkEnd w:id="264"/>
    </w:p>
    <w:p w14:paraId="61FFC2FE" w14:textId="77777777" w:rsidR="00526E24" w:rsidRPr="00C428F2" w:rsidRDefault="00526E24" w:rsidP="00D56CAE">
      <w:pPr>
        <w:pStyle w:val="BodyHeading"/>
        <w:rPr>
          <w:color w:val="0C818E"/>
        </w:rPr>
      </w:pPr>
      <w:r w:rsidRPr="00C428F2">
        <w:rPr>
          <w:color w:val="0C818E"/>
        </w:rPr>
        <w:t>Applying ANARP under the Building Act</w:t>
      </w:r>
    </w:p>
    <w:p w14:paraId="2BE878DF" w14:textId="77777777" w:rsidR="00526E24" w:rsidRPr="006F317A" w:rsidRDefault="00526E24" w:rsidP="00666E06">
      <w:r w:rsidRPr="006F317A">
        <w:t>The term ‘</w:t>
      </w:r>
      <w:r w:rsidRPr="006F317A">
        <w:rPr>
          <w:i/>
          <w:iCs/>
        </w:rPr>
        <w:t>as nearly as is reasonably practicable’</w:t>
      </w:r>
      <w:r w:rsidRPr="006F317A">
        <w:t xml:space="preserve"> (ANARP) is used in the Building Act for:</w:t>
      </w:r>
    </w:p>
    <w:p w14:paraId="1071BA63" w14:textId="77777777" w:rsidR="00526E24" w:rsidRPr="006F317A" w:rsidRDefault="00526E24" w:rsidP="004D55F1">
      <w:pPr>
        <w:pStyle w:val="ListParagraph"/>
        <w:numPr>
          <w:ilvl w:val="0"/>
          <w:numId w:val="99"/>
        </w:numPr>
      </w:pPr>
      <w:r w:rsidRPr="006F317A">
        <w:t>Alterations to existing buildings, Section 112</w:t>
      </w:r>
    </w:p>
    <w:p w14:paraId="7608245B" w14:textId="77777777" w:rsidR="00526E24" w:rsidRPr="006F317A" w:rsidRDefault="00526E24" w:rsidP="004D55F1">
      <w:pPr>
        <w:pStyle w:val="ListParagraph"/>
        <w:numPr>
          <w:ilvl w:val="0"/>
          <w:numId w:val="99"/>
        </w:numPr>
      </w:pPr>
      <w:r w:rsidRPr="006F317A">
        <w:t xml:space="preserve">Changing the use of buildings, Section 115, and </w:t>
      </w:r>
    </w:p>
    <w:p w14:paraId="3167A056" w14:textId="77777777" w:rsidR="00526E24" w:rsidRPr="006F317A" w:rsidRDefault="00526E24" w:rsidP="004D55F1">
      <w:pPr>
        <w:pStyle w:val="ListParagraph"/>
        <w:numPr>
          <w:ilvl w:val="0"/>
          <w:numId w:val="99"/>
        </w:numPr>
      </w:pPr>
      <w:r w:rsidRPr="006F317A">
        <w:t>Alterations to buildings subject to EPB notice, Section 133AT.</w:t>
      </w:r>
    </w:p>
    <w:p w14:paraId="6F7EBEA8" w14:textId="77777777" w:rsidR="00526E24" w:rsidRPr="006F317A" w:rsidRDefault="00526E24" w:rsidP="00666E06">
      <w:r w:rsidRPr="006F317A">
        <w:t xml:space="preserve">Unless buildings are dangerous, earthquake-prone, are undergoing alterations, or the use is being changed, there is no requirement to upgrade existing buildings or building elements to current code requirements. When alteration work is being carried out or its use </w:t>
      </w:r>
      <w:r w:rsidRPr="006F317A">
        <w:lastRenderedPageBreak/>
        <w:t>is being changed</w:t>
      </w:r>
      <w:r w:rsidRPr="006F317A">
        <w:rPr>
          <w:vertAlign w:val="superscript"/>
        </w:rPr>
        <w:footnoteReference w:id="35"/>
      </w:r>
      <w:r w:rsidRPr="006F317A">
        <w:t xml:space="preserve">, it is often not practical or economically feasible to fully upgrade the whole building to current building code requirements. This may be because of materials and construction methods used in the past or the form of the structure. </w:t>
      </w:r>
    </w:p>
    <w:p w14:paraId="6C6534CE" w14:textId="77777777" w:rsidR="00526E24" w:rsidRPr="006F317A" w:rsidRDefault="00526E24" w:rsidP="00666E06">
      <w:r w:rsidRPr="006F317A">
        <w:t>The term ANARP is used to address the degree to which building code compliance is required. ANARP decisions are made by BCAs when issuing building consents or providing owners with written notice about a change of use. They will do this having been provided with documentation on the “</w:t>
      </w:r>
      <w:r w:rsidRPr="006F317A">
        <w:rPr>
          <w:i/>
          <w:iCs/>
        </w:rPr>
        <w:t>degree of risk … balanced against the cost, time, trouble or other sacrifice necessary to eliminate the risk</w:t>
      </w:r>
      <w:r w:rsidRPr="006F317A">
        <w:t>”</w:t>
      </w:r>
      <w:r w:rsidRPr="006F317A">
        <w:rPr>
          <w:vertAlign w:val="superscript"/>
        </w:rPr>
        <w:footnoteReference w:id="36"/>
      </w:r>
      <w:r w:rsidRPr="006F317A">
        <w:t xml:space="preserve"> in comparison to fully complying with the particular code provision.</w:t>
      </w:r>
    </w:p>
    <w:p w14:paraId="01A7B3C2" w14:textId="77777777" w:rsidR="00526E24" w:rsidRPr="006F317A" w:rsidRDefault="00526E24" w:rsidP="00666E06">
      <w:r w:rsidRPr="006F317A">
        <w:t>ANARP decisions to upgrade to code requirements are generally more frequently required for means of escape from fire and for accessibility as they apply when altering existing buildings (Section 112). Changing the use of a building under Section 115 is generally a less frequent occurrence. When this does occur, in addition to fire and accessibility, the building in its new use needs to comply ANARP to structural performance and sanitary facilities of the building code.</w:t>
      </w:r>
    </w:p>
    <w:p w14:paraId="19A7C2C4" w14:textId="05CFE831" w:rsidR="00526E24" w:rsidRPr="006F317A" w:rsidRDefault="00526E24" w:rsidP="00666E06">
      <w:r w:rsidRPr="006F317A">
        <w:t>MBIE and its predecessors, DBH and BIA, have issued numerous determinations discussing ANARP for specific situations</w:t>
      </w:r>
      <w:r w:rsidRPr="006F317A">
        <w:rPr>
          <w:rStyle w:val="FootnoteReference"/>
        </w:rPr>
        <w:footnoteReference w:id="37"/>
      </w:r>
      <w:r w:rsidRPr="006F317A">
        <w:t xml:space="preserve">. MBIE has also provided advice on ANARP for alterations, refer </w:t>
      </w:r>
      <w:hyperlink r:id="rId69" w:history="1">
        <w:r w:rsidRPr="006F317A">
          <w:rPr>
            <w:rStyle w:val="Hyperlink"/>
          </w:rPr>
          <w:t>https://www.building.govt.nz/building-code-compliance/b-stability/b1-structure/altering-existing-building/demonstrating-and-assessing-compliance-for-buildings-undergoing-alterations</w:t>
        </w:r>
      </w:hyperlink>
      <w:r w:rsidRPr="006F317A">
        <w:t>. They recommend a 5-step process. The examples are fire related but the same principles can be applied for structural performance.</w:t>
      </w:r>
    </w:p>
    <w:p w14:paraId="53E78FE7" w14:textId="77777777" w:rsidR="00526E24" w:rsidRPr="006F317A" w:rsidRDefault="00526E24" w:rsidP="00C428F2">
      <w:pPr>
        <w:ind w:left="1134" w:hanging="1134"/>
        <w:rPr>
          <w:rStyle w:val="Strong"/>
          <w:b w:val="0"/>
          <w:bCs w:val="0"/>
        </w:rPr>
      </w:pPr>
      <w:r w:rsidRPr="006F317A">
        <w:rPr>
          <w:rStyle w:val="Strong"/>
        </w:rPr>
        <w:t>Step 1:</w:t>
      </w:r>
      <w:r w:rsidRPr="006F317A">
        <w:rPr>
          <w:rStyle w:val="Strong"/>
        </w:rPr>
        <w:tab/>
      </w:r>
      <w:r w:rsidRPr="006F317A">
        <w:rPr>
          <w:rStyle w:val="Strong"/>
          <w:b w:val="0"/>
          <w:bCs w:val="0"/>
        </w:rPr>
        <w:t>Applicants check what approvals, consents, and extent of documentation is required for the proposed alteration.</w:t>
      </w:r>
    </w:p>
    <w:p w14:paraId="758866D2" w14:textId="77777777" w:rsidR="00526E24" w:rsidRPr="006F317A" w:rsidRDefault="00526E24" w:rsidP="00C428F2">
      <w:pPr>
        <w:ind w:left="1134" w:hanging="1134"/>
        <w:rPr>
          <w:rStyle w:val="Strong"/>
          <w:b w:val="0"/>
          <w:bCs w:val="0"/>
        </w:rPr>
      </w:pPr>
      <w:r w:rsidRPr="006F317A">
        <w:rPr>
          <w:rStyle w:val="Strong"/>
        </w:rPr>
        <w:t>Step 2:</w:t>
      </w:r>
      <w:r w:rsidRPr="006F317A">
        <w:rPr>
          <w:rStyle w:val="Strong"/>
          <w:b w:val="0"/>
          <w:bCs w:val="0"/>
        </w:rPr>
        <w:t xml:space="preserve"> </w:t>
      </w:r>
      <w:r w:rsidRPr="006F317A">
        <w:rPr>
          <w:rStyle w:val="Strong"/>
          <w:b w:val="0"/>
          <w:bCs w:val="0"/>
        </w:rPr>
        <w:tab/>
        <w:t>Applicants consider current and proposed Building Code compliance for the whole building (compliance ‘gap assessment’)</w:t>
      </w:r>
    </w:p>
    <w:p w14:paraId="0CDD7CFB" w14:textId="77777777" w:rsidR="00526E24" w:rsidRPr="006F317A" w:rsidRDefault="00526E24" w:rsidP="00C428F2">
      <w:pPr>
        <w:ind w:left="1134" w:hanging="1134"/>
        <w:rPr>
          <w:rStyle w:val="Strong"/>
          <w:b w:val="0"/>
          <w:bCs w:val="0"/>
        </w:rPr>
      </w:pPr>
      <w:r w:rsidRPr="006F317A">
        <w:rPr>
          <w:rStyle w:val="Strong"/>
        </w:rPr>
        <w:t xml:space="preserve">Step 3: </w:t>
      </w:r>
      <w:r w:rsidRPr="006F317A">
        <w:rPr>
          <w:rStyle w:val="Strong"/>
        </w:rPr>
        <w:tab/>
      </w:r>
      <w:r w:rsidRPr="006F317A">
        <w:rPr>
          <w:rStyle w:val="Strong"/>
          <w:b w:val="0"/>
          <w:bCs w:val="0"/>
        </w:rPr>
        <w:t>Applicants assess ANARP for outstanding fire and accessibility Building Code clauses and requirements (the ‘gaps’)</w:t>
      </w:r>
    </w:p>
    <w:p w14:paraId="281051DF" w14:textId="77777777" w:rsidR="00526E24" w:rsidRPr="006F317A" w:rsidRDefault="00526E24" w:rsidP="00C428F2">
      <w:pPr>
        <w:ind w:left="1134" w:hanging="1134"/>
        <w:rPr>
          <w:rStyle w:val="Strong"/>
          <w:b w:val="0"/>
          <w:bCs w:val="0"/>
        </w:rPr>
      </w:pPr>
      <w:r w:rsidRPr="006F317A">
        <w:rPr>
          <w:rStyle w:val="Strong"/>
        </w:rPr>
        <w:t xml:space="preserve">Step 4: </w:t>
      </w:r>
      <w:r w:rsidRPr="006F317A">
        <w:rPr>
          <w:rStyle w:val="Strong"/>
        </w:rPr>
        <w:tab/>
      </w:r>
      <w:r w:rsidRPr="006F317A">
        <w:rPr>
          <w:rStyle w:val="Strong"/>
          <w:b w:val="0"/>
          <w:bCs w:val="0"/>
        </w:rPr>
        <w:t>BCA determines whether the proposed alteration complies with the requirements.</w:t>
      </w:r>
    </w:p>
    <w:p w14:paraId="1521A3B1" w14:textId="77777777" w:rsidR="00526E24" w:rsidRPr="006F317A" w:rsidRDefault="00526E24" w:rsidP="00C428F2">
      <w:pPr>
        <w:ind w:left="1134" w:hanging="1134"/>
        <w:rPr>
          <w:rStyle w:val="Strong"/>
        </w:rPr>
      </w:pPr>
      <w:r w:rsidRPr="006F317A">
        <w:rPr>
          <w:rStyle w:val="Strong"/>
        </w:rPr>
        <w:t xml:space="preserve">Step 5: </w:t>
      </w:r>
      <w:r w:rsidRPr="006F317A">
        <w:rPr>
          <w:rStyle w:val="Strong"/>
        </w:rPr>
        <w:tab/>
      </w:r>
      <w:r w:rsidRPr="006F317A">
        <w:rPr>
          <w:rStyle w:val="Strong"/>
          <w:b w:val="0"/>
          <w:bCs w:val="0"/>
        </w:rPr>
        <w:t>If required, territorial authorities consider if discretion to proceed with an alteration that does not comply with the alteration’s requirements, per steps above,</w:t>
      </w:r>
      <w:r w:rsidRPr="006F317A">
        <w:rPr>
          <w:rStyle w:val="Strong"/>
        </w:rPr>
        <w:t xml:space="preserve"> </w:t>
      </w:r>
      <w:r w:rsidRPr="006F317A">
        <w:rPr>
          <w:rFonts w:cs="Arial"/>
          <w:shd w:val="clear" w:color="auto" w:fill="F9F9F7"/>
        </w:rPr>
        <w:t xml:space="preserve">where they consider, under strict conditions, that certain benefits of </w:t>
      </w:r>
      <w:r w:rsidRPr="006F317A">
        <w:rPr>
          <w:rFonts w:cs="Arial"/>
          <w:shd w:val="clear" w:color="auto" w:fill="F9F9F7"/>
        </w:rPr>
        <w:lastRenderedPageBreak/>
        <w:t xml:space="preserve">partial compliance will outweigh the detriment of not fully complying with all of those requirements. </w:t>
      </w:r>
    </w:p>
    <w:p w14:paraId="4691824F" w14:textId="77777777" w:rsidR="00526E24" w:rsidRPr="006F317A" w:rsidRDefault="00526E24" w:rsidP="00666E06">
      <w:pPr>
        <w:rPr>
          <w:b/>
          <w:bCs/>
        </w:rPr>
      </w:pPr>
      <w:r w:rsidRPr="006F317A">
        <w:rPr>
          <w:rStyle w:val="Strong"/>
          <w:b w:val="0"/>
          <w:bCs w:val="0"/>
        </w:rPr>
        <w:t>The areas that comply only on an ANARP basis should be documented and clearly recorded in the final design for future understanding.</w:t>
      </w:r>
    </w:p>
    <w:p w14:paraId="5740F5B4" w14:textId="79136848" w:rsidR="00526E24" w:rsidRDefault="00526E24" w:rsidP="00666E06">
      <w:r w:rsidRPr="006F317A">
        <w:t>A useful extract from the MBIE advice in relation to Step</w:t>
      </w:r>
      <w:r>
        <w:t>s</w:t>
      </w:r>
      <w:r w:rsidRPr="006F317A">
        <w:t xml:space="preserve"> 3</w:t>
      </w:r>
      <w:r>
        <w:t xml:space="preserve"> and 5</w:t>
      </w:r>
      <w:r w:rsidRPr="006F317A">
        <w:t xml:space="preserve"> is reproduced below in </w:t>
      </w:r>
      <w:r w:rsidR="009D2A35" w:rsidRPr="00CA1D50">
        <w:fldChar w:fldCharType="begin"/>
      </w:r>
      <w:r w:rsidR="009D2A35" w:rsidRPr="00CA1D50">
        <w:instrText xml:space="preserve"> REF _Ref180128158 \h </w:instrText>
      </w:r>
      <w:r w:rsidR="00CA1D50">
        <w:instrText xml:space="preserve"> \* MERGEFORMAT </w:instrText>
      </w:r>
      <w:r w:rsidR="009D2A35" w:rsidRPr="00CA1D50">
        <w:fldChar w:fldCharType="separate"/>
      </w:r>
      <w:r w:rsidR="00CA1D50" w:rsidRPr="00CA1D50">
        <w:t xml:space="preserve">Figure </w:t>
      </w:r>
      <w:r w:rsidR="00CA1D50" w:rsidRPr="00CA1D50">
        <w:rPr>
          <w:noProof/>
        </w:rPr>
        <w:t>11</w:t>
      </w:r>
      <w:r w:rsidR="009D2A35" w:rsidRPr="00CA1D50">
        <w:fldChar w:fldCharType="end"/>
      </w:r>
      <w:r w:rsidR="009D2A35" w:rsidRPr="00CA1D50">
        <w:t xml:space="preserve"> </w:t>
      </w:r>
      <w:r w:rsidRPr="00CA1D50">
        <w:t>to help illustrate the process of considering how best to balance benefits and</w:t>
      </w:r>
      <w:r>
        <w:t xml:space="preserve"> sacrifices.</w:t>
      </w:r>
    </w:p>
    <w:p w14:paraId="721ECE88" w14:textId="77777777" w:rsidR="00526E24" w:rsidRDefault="00526E24" w:rsidP="00666E06">
      <w:r>
        <w:rPr>
          <w:noProof/>
        </w:rPr>
        <w:drawing>
          <wp:inline distT="0" distB="0" distL="0" distR="0" wp14:anchorId="4AD9E21D" wp14:editId="0F0114B2">
            <wp:extent cx="2400300" cy="2347149"/>
            <wp:effectExtent l="0" t="0" r="0" b="0"/>
            <wp:docPr id="364098916" name="Picture 2" descr="Graph assessing ANARP for fire and accessibility Building Code cla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assessing ANARP for fire and accessibility Building Code claus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5341" cy="2352078"/>
                    </a:xfrm>
                    <a:prstGeom prst="rect">
                      <a:avLst/>
                    </a:prstGeom>
                    <a:noFill/>
                    <a:ln>
                      <a:noFill/>
                    </a:ln>
                  </pic:spPr>
                </pic:pic>
              </a:graphicData>
            </a:graphic>
          </wp:inline>
        </w:drawing>
      </w:r>
      <w:r>
        <w:rPr>
          <w:noProof/>
        </w:rPr>
        <w:drawing>
          <wp:inline distT="0" distB="0" distL="0" distR="0" wp14:anchorId="3ACFE646" wp14:editId="4E98D23B">
            <wp:extent cx="2902552" cy="2362200"/>
            <wp:effectExtent l="0" t="0" r="0" b="0"/>
            <wp:docPr id="1919349920" name="Picture 3" descr="Graph showing TA consideration of discretion  to the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 showing TA consideration of discretion  to the application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0922" cy="2377150"/>
                    </a:xfrm>
                    <a:prstGeom prst="rect">
                      <a:avLst/>
                    </a:prstGeom>
                    <a:noFill/>
                    <a:ln>
                      <a:noFill/>
                    </a:ln>
                  </pic:spPr>
                </pic:pic>
              </a:graphicData>
            </a:graphic>
          </wp:inline>
        </w:drawing>
      </w:r>
    </w:p>
    <w:p w14:paraId="22E636F0" w14:textId="6010E343" w:rsidR="00526E24" w:rsidRPr="00CA1D50" w:rsidRDefault="00526E24" w:rsidP="001735EB">
      <w:pPr>
        <w:pStyle w:val="Figure"/>
        <w:rPr>
          <w:sz w:val="20"/>
          <w:szCs w:val="20"/>
        </w:rPr>
      </w:pPr>
      <w:bookmarkStart w:id="265" w:name="_Ref180128158"/>
      <w:r w:rsidRPr="00CA1D50">
        <w:rPr>
          <w:sz w:val="20"/>
          <w:szCs w:val="20"/>
        </w:rPr>
        <w:t xml:space="preserve">Figure </w:t>
      </w:r>
      <w:r w:rsidR="0062088B" w:rsidRPr="00CA1D50">
        <w:rPr>
          <w:sz w:val="20"/>
          <w:szCs w:val="20"/>
        </w:rPr>
        <w:fldChar w:fldCharType="begin"/>
      </w:r>
      <w:r w:rsidR="0062088B" w:rsidRPr="00CA1D50">
        <w:rPr>
          <w:sz w:val="20"/>
          <w:szCs w:val="20"/>
        </w:rPr>
        <w:instrText xml:space="preserve"> SEQ Figure \* ARABIC </w:instrText>
      </w:r>
      <w:r w:rsidR="0062088B" w:rsidRPr="00CA1D50">
        <w:rPr>
          <w:sz w:val="20"/>
          <w:szCs w:val="20"/>
        </w:rPr>
        <w:fldChar w:fldCharType="separate"/>
      </w:r>
      <w:r w:rsidR="00CA1D50">
        <w:rPr>
          <w:noProof/>
          <w:sz w:val="20"/>
          <w:szCs w:val="20"/>
        </w:rPr>
        <w:t>11</w:t>
      </w:r>
      <w:r w:rsidR="0062088B" w:rsidRPr="00CA1D50">
        <w:rPr>
          <w:noProof/>
          <w:sz w:val="20"/>
          <w:szCs w:val="20"/>
        </w:rPr>
        <w:fldChar w:fldCharType="end"/>
      </w:r>
      <w:bookmarkEnd w:id="265"/>
      <w:r w:rsidRPr="00CA1D50">
        <w:rPr>
          <w:sz w:val="20"/>
          <w:szCs w:val="20"/>
        </w:rPr>
        <w:t xml:space="preserve">: Figure reproduced from MBIEs </w:t>
      </w:r>
      <w:hyperlink r:id="rId72" w:history="1">
        <w:r w:rsidRPr="00CA1D50">
          <w:rPr>
            <w:rStyle w:val="Hyperlink"/>
            <w:color w:val="15284C" w:themeColor="text2"/>
            <w:sz w:val="20"/>
            <w:szCs w:val="20"/>
            <w:u w:val="none"/>
          </w:rPr>
          <w:t>guidance on Alterations</w:t>
        </w:r>
      </w:hyperlink>
      <w:r w:rsidRPr="00CA1D50">
        <w:rPr>
          <w:sz w:val="20"/>
          <w:szCs w:val="20"/>
        </w:rPr>
        <w:t xml:space="preserve"> (steps 3 and 5) illustrates that a point is reached where a significant increase in the sacrifice is made for a comparatively small gain in the resulting benefit. This point can usually be considered ANARP.</w:t>
      </w:r>
    </w:p>
    <w:p w14:paraId="74D64EA8" w14:textId="77777777" w:rsidR="00526E24" w:rsidRPr="001735EB" w:rsidRDefault="00526E24" w:rsidP="00D56CAE">
      <w:pPr>
        <w:pStyle w:val="BodyHeading"/>
        <w:rPr>
          <w:color w:val="0C818E"/>
        </w:rPr>
      </w:pPr>
      <w:r w:rsidRPr="001735EB">
        <w:rPr>
          <w:color w:val="0C818E"/>
        </w:rPr>
        <w:t>Applying ANARP to the requirements of this Health NZ DGN</w:t>
      </w:r>
    </w:p>
    <w:p w14:paraId="5C946915" w14:textId="69C6ABDB" w:rsidR="00526E24" w:rsidRPr="006F317A" w:rsidRDefault="00526E24" w:rsidP="00666E06">
      <w:r w:rsidRPr="006F317A">
        <w:t xml:space="preserve">As </w:t>
      </w:r>
      <w:r>
        <w:t xml:space="preserve">Health NZ </w:t>
      </w:r>
      <w:r w:rsidRPr="006F317A">
        <w:t xml:space="preserve">require structural performance to also be considered when changing the </w:t>
      </w:r>
      <w:r w:rsidRPr="006F317A">
        <w:rPr>
          <w:i/>
          <w:iCs/>
        </w:rPr>
        <w:t>service category</w:t>
      </w:r>
      <w:r w:rsidRPr="006F317A">
        <w:t xml:space="preserve"> of the hospital building (refer Section</w:t>
      </w:r>
      <w:r w:rsidR="00517BBB">
        <w:t xml:space="preserve"> </w:t>
      </w:r>
      <w:r w:rsidR="00517BBB">
        <w:fldChar w:fldCharType="begin"/>
      </w:r>
      <w:r w:rsidR="00517BBB">
        <w:instrText xml:space="preserve"> REF _Ref180128455 \r \h </w:instrText>
      </w:r>
      <w:r w:rsidR="00517BBB">
        <w:fldChar w:fldCharType="separate"/>
      </w:r>
      <w:r w:rsidR="000761C1">
        <w:t>B7.1</w:t>
      </w:r>
      <w:r w:rsidR="00517BBB">
        <w:fldChar w:fldCharType="end"/>
      </w:r>
      <w:r w:rsidRPr="006F317A">
        <w:t>) as well as any changes of use under the Use schedule in the regulations, structural performance of existing buildings relating to ANARP decisions is likely to need to be considered more frequently for hospitals. The ANARP principles also apply to other parts of this guideline where a practical approach to balancing benefit and sacrifice is needed, including:</w:t>
      </w:r>
    </w:p>
    <w:p w14:paraId="449033C1" w14:textId="11395241" w:rsidR="00526E24" w:rsidRPr="006F317A" w:rsidRDefault="00526E24" w:rsidP="004D55F1">
      <w:pPr>
        <w:pStyle w:val="ListParagraph"/>
        <w:numPr>
          <w:ilvl w:val="0"/>
          <w:numId w:val="100"/>
        </w:numPr>
      </w:pPr>
      <w:r w:rsidRPr="006F317A">
        <w:t xml:space="preserve">Managing earthquake risk from adjacent buildings (Section </w:t>
      </w:r>
      <w:r w:rsidRPr="006F317A">
        <w:fldChar w:fldCharType="begin"/>
      </w:r>
      <w:r w:rsidRPr="006F317A">
        <w:instrText xml:space="preserve"> REF _Ref160119380 \r \h </w:instrText>
      </w:r>
      <w:r>
        <w:instrText xml:space="preserve"> \* MERGEFORMAT </w:instrText>
      </w:r>
      <w:r w:rsidRPr="006F317A">
        <w:fldChar w:fldCharType="separate"/>
      </w:r>
      <w:r w:rsidR="000761C1">
        <w:t>A1.7</w:t>
      </w:r>
      <w:r w:rsidRPr="006F317A">
        <w:fldChar w:fldCharType="end"/>
      </w:r>
      <w:r w:rsidRPr="006F317A">
        <w:t>),</w:t>
      </w:r>
    </w:p>
    <w:p w14:paraId="6B1E46E1" w14:textId="4E2F4004" w:rsidR="00526E24" w:rsidRPr="006F317A" w:rsidRDefault="00526E24" w:rsidP="004D55F1">
      <w:pPr>
        <w:pStyle w:val="ListParagraph"/>
        <w:numPr>
          <w:ilvl w:val="0"/>
          <w:numId w:val="100"/>
        </w:numPr>
      </w:pPr>
      <w:r w:rsidRPr="006F317A">
        <w:t xml:space="preserve">Some aspects defining SLS2 criteria for new buildings (Section </w:t>
      </w:r>
      <w:r w:rsidRPr="006F317A">
        <w:fldChar w:fldCharType="begin"/>
      </w:r>
      <w:r w:rsidRPr="006F317A">
        <w:instrText xml:space="preserve"> REF _Ref150180900 \r \h </w:instrText>
      </w:r>
      <w:r>
        <w:instrText xml:space="preserve"> \* MERGEFORMAT </w:instrText>
      </w:r>
      <w:r w:rsidRPr="006F317A">
        <w:fldChar w:fldCharType="separate"/>
      </w:r>
      <w:r w:rsidR="000761C1">
        <w:t>B2.5</w:t>
      </w:r>
      <w:r w:rsidRPr="006F317A">
        <w:fldChar w:fldCharType="end"/>
      </w:r>
      <w:r w:rsidRPr="006F317A">
        <w:t>),</w:t>
      </w:r>
    </w:p>
    <w:p w14:paraId="039228CB" w14:textId="748868DA" w:rsidR="00526E24" w:rsidRPr="006F317A" w:rsidRDefault="00526E24" w:rsidP="004D55F1">
      <w:pPr>
        <w:pStyle w:val="ListParagraph"/>
        <w:numPr>
          <w:ilvl w:val="0"/>
          <w:numId w:val="100"/>
        </w:numPr>
      </w:pPr>
      <w:r w:rsidRPr="006F317A">
        <w:t xml:space="preserve">Applying </w:t>
      </w:r>
      <w:r>
        <w:t xml:space="preserve">Health NZ </w:t>
      </w:r>
      <w:r w:rsidRPr="006F317A">
        <w:t>’s seismic policy across its portfolio (Section</w:t>
      </w:r>
      <w:r w:rsidR="00517BBB">
        <w:t xml:space="preserve"> </w:t>
      </w:r>
      <w:r w:rsidR="00333D11">
        <w:fldChar w:fldCharType="begin"/>
      </w:r>
      <w:r w:rsidR="00333D11">
        <w:instrText xml:space="preserve"> REF _Ref203131415 \r \h </w:instrText>
      </w:r>
      <w:r w:rsidR="00333D11">
        <w:fldChar w:fldCharType="separate"/>
      </w:r>
      <w:r w:rsidR="000761C1">
        <w:t>B8</w:t>
      </w:r>
      <w:r w:rsidR="00333D11">
        <w:fldChar w:fldCharType="end"/>
      </w:r>
      <w:r w:rsidRPr="006F317A">
        <w:t>), and establishing targets for voluntary seismic strengthening (on a building-by-building basis),</w:t>
      </w:r>
    </w:p>
    <w:p w14:paraId="19339B63" w14:textId="0EC2F8B3" w:rsidR="00526E24" w:rsidRPr="006F317A" w:rsidRDefault="00526E24" w:rsidP="004D55F1">
      <w:pPr>
        <w:pStyle w:val="ListParagraph"/>
        <w:numPr>
          <w:ilvl w:val="0"/>
          <w:numId w:val="100"/>
        </w:numPr>
      </w:pPr>
      <w:r w:rsidRPr="006F317A">
        <w:t>Other aspects of hospital alterations, as summarised in Section</w:t>
      </w:r>
      <w:r w:rsidR="00517BBB">
        <w:t xml:space="preserve"> </w:t>
      </w:r>
      <w:r w:rsidR="00517BBB">
        <w:fldChar w:fldCharType="begin"/>
      </w:r>
      <w:r w:rsidR="00517BBB">
        <w:instrText xml:space="preserve"> REF _Ref180128488 \r \h </w:instrText>
      </w:r>
      <w:r w:rsidR="00517BBB">
        <w:fldChar w:fldCharType="separate"/>
      </w:r>
      <w:r w:rsidR="000761C1">
        <w:t>B7.1</w:t>
      </w:r>
      <w:r w:rsidR="00517BBB">
        <w:fldChar w:fldCharType="end"/>
      </w:r>
      <w:r w:rsidRPr="006F317A">
        <w:t>, and particularly the extent to which alterations are used as an opportunity to gradually improve seismic resilience (and how far SLS2 considerations are carried).</w:t>
      </w:r>
    </w:p>
    <w:p w14:paraId="6BDCDBCF" w14:textId="77777777" w:rsidR="00526E24" w:rsidRPr="006F317A" w:rsidRDefault="00526E24" w:rsidP="00666E06">
      <w:r w:rsidRPr="006F317A">
        <w:t xml:space="preserve">The process described above (when applying ANARP under the Building Act) would apply similarly, but by mutual agreement between design teams and </w:t>
      </w:r>
      <w:r>
        <w:t xml:space="preserve">Health NZ </w:t>
      </w:r>
      <w:r w:rsidRPr="006F317A">
        <w:t>rather than the BCA. In simple contexts the test may not need to be as rigorous as that implied above, as long as a decision is reached on a reasonable basis of information and recorded accordingly.</w:t>
      </w:r>
    </w:p>
    <w:p w14:paraId="12E992E8" w14:textId="77777777" w:rsidR="00526E24" w:rsidRPr="001735EB" w:rsidRDefault="00526E24" w:rsidP="001735EB">
      <w:pPr>
        <w:pStyle w:val="Section2Heading2"/>
      </w:pPr>
      <w:bookmarkStart w:id="266" w:name="_Toc203641973"/>
      <w:r w:rsidRPr="001735EB">
        <w:lastRenderedPageBreak/>
        <w:t>Compliance and Producer Statements</w:t>
      </w:r>
      <w:bookmarkEnd w:id="266"/>
    </w:p>
    <w:p w14:paraId="25B587C1" w14:textId="77777777" w:rsidR="00526E24" w:rsidRPr="006F317A" w:rsidRDefault="00526E24" w:rsidP="00666E06">
      <w:r w:rsidRPr="006F317A">
        <w:t xml:space="preserve">In alterations contexts, clarity in the compliance pathway (as expressed in the Structural </w:t>
      </w:r>
      <w:r w:rsidRPr="006F317A">
        <w:rPr>
          <w:i/>
          <w:iCs/>
        </w:rPr>
        <w:t>Design Features Report</w:t>
      </w:r>
      <w:r w:rsidRPr="006F317A">
        <w:t>) is especially important, and should be established in Concept and Preliminary Design phases and tested through engagement with the Building Consent Authority (BCA) at the earliest practical time.</w:t>
      </w:r>
    </w:p>
    <w:p w14:paraId="4025B6CD" w14:textId="77777777" w:rsidR="00526E24" w:rsidRPr="006F317A" w:rsidRDefault="00526E24" w:rsidP="00767DD8">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6F317A">
        <w:t>In general, the following coverage on Producer Statements for Design PS1 for Building Code Clause B1 is expected, which would usually be reflected in Design Review.</w:t>
      </w:r>
    </w:p>
    <w:p w14:paraId="01E2BF74" w14:textId="77777777" w:rsidR="00526E24" w:rsidRPr="006F317A" w:rsidRDefault="00526E24" w:rsidP="00767DD8">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6F317A">
        <w:t>Generally, a mixture of B1/VM1 for new building work and Alterative Solutions supported by referenced guidelines or standards for existing aspects (those aspects requiring assessment to be able to state that the new work complies).</w:t>
      </w:r>
    </w:p>
    <w:p w14:paraId="72D7649C" w14:textId="77777777" w:rsidR="00526E24" w:rsidRPr="006F317A" w:rsidRDefault="00526E24" w:rsidP="00767DD8">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6F317A">
        <w:t>Reference to Building Act Sections 112, 115, 133 or others as appropriate, with clarifications or exceptions and their basis (by reference to a schedule, if needed).</w:t>
      </w:r>
    </w:p>
    <w:p w14:paraId="4C3B999A" w14:textId="77777777" w:rsidR="00526E24" w:rsidRPr="006F317A" w:rsidRDefault="00526E24" w:rsidP="00767DD8">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6F317A">
        <w:t>Inclusion of a schedule clarifying basis for Alternative Solutions, such as reference to an assessment guideline, and relevant assessment documentation confirming the level of assessment and the performance evaluated and/or targeted for any retrofit aspects.</w:t>
      </w:r>
    </w:p>
    <w:p w14:paraId="25808D20" w14:textId="77777777" w:rsidR="00526E24" w:rsidRPr="006F317A" w:rsidRDefault="00526E24" w:rsidP="00767DD8">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6F317A">
        <w:t>Other referenced particulars (including drawings, specifications, and other construction information).</w:t>
      </w:r>
    </w:p>
    <w:p w14:paraId="1B35B69B" w14:textId="5DB5E3F2" w:rsidR="00526E24" w:rsidRDefault="00526E24" w:rsidP="006956C4"/>
    <w:p w14:paraId="6A2C0321" w14:textId="77777777" w:rsidR="006956C4" w:rsidRDefault="006956C4" w:rsidP="001D371C">
      <w:bookmarkStart w:id="267" w:name="_Ref180128475"/>
      <w:bookmarkStart w:id="268" w:name="_Ref180131308"/>
      <w:bookmarkStart w:id="269" w:name="_Ref180131317"/>
      <w:bookmarkStart w:id="270" w:name="_Ref180394137"/>
      <w:bookmarkStart w:id="271" w:name="_Ref180394146"/>
      <w:r>
        <w:br w:type="page"/>
      </w:r>
    </w:p>
    <w:p w14:paraId="76AB0D81" w14:textId="5653DC01" w:rsidR="00526E24" w:rsidRPr="006956C4" w:rsidRDefault="00526E24" w:rsidP="006956C4">
      <w:pPr>
        <w:pStyle w:val="Section2Heading1"/>
      </w:pPr>
      <w:bookmarkStart w:id="272" w:name="_Ref203129197"/>
      <w:bookmarkStart w:id="273" w:name="_Ref203129407"/>
      <w:bookmarkStart w:id="274" w:name="_Ref203130413"/>
      <w:bookmarkStart w:id="275" w:name="_Ref203131415"/>
      <w:bookmarkStart w:id="276" w:name="B8_Seismic_Assessment_and_Retrofit_Work"/>
      <w:bookmarkStart w:id="277" w:name="_Toc203641974"/>
      <w:r w:rsidRPr="006956C4">
        <w:lastRenderedPageBreak/>
        <w:t>Seismic Assessment and Retrofit Work</w:t>
      </w:r>
      <w:bookmarkEnd w:id="267"/>
      <w:bookmarkEnd w:id="268"/>
      <w:bookmarkEnd w:id="269"/>
      <w:bookmarkEnd w:id="270"/>
      <w:bookmarkEnd w:id="271"/>
      <w:bookmarkEnd w:id="272"/>
      <w:bookmarkEnd w:id="273"/>
      <w:bookmarkEnd w:id="274"/>
      <w:bookmarkEnd w:id="275"/>
      <w:bookmarkEnd w:id="276"/>
      <w:bookmarkEnd w:id="277"/>
    </w:p>
    <w:p w14:paraId="1B320CB8" w14:textId="77777777" w:rsidR="00526E24" w:rsidRPr="006F317A" w:rsidRDefault="00526E24" w:rsidP="006956C4">
      <w:pPr>
        <w:pStyle w:val="Section2Heading2"/>
      </w:pPr>
      <w:bookmarkStart w:id="278" w:name="_Ref180128610"/>
      <w:bookmarkStart w:id="279" w:name="_Toc203641975"/>
      <w:r>
        <w:t xml:space="preserve">Health NZ </w:t>
      </w:r>
      <w:r w:rsidRPr="006F317A">
        <w:t>Seismic Policy</w:t>
      </w:r>
      <w:bookmarkEnd w:id="278"/>
      <w:bookmarkEnd w:id="279"/>
    </w:p>
    <w:p w14:paraId="6A1EB640" w14:textId="29EAFDCC" w:rsidR="00526E24" w:rsidRPr="00D60482" w:rsidRDefault="00526E24" w:rsidP="00666E06">
      <w:r w:rsidRPr="00D60482">
        <w:t xml:space="preserve">This section contains additional information in support of </w:t>
      </w:r>
      <w:r>
        <w:t xml:space="preserve">Health NZ </w:t>
      </w:r>
      <w:r w:rsidRPr="00D60482">
        <w:t xml:space="preserve">’s </w:t>
      </w:r>
      <w:hyperlink r:id="rId73" w:history="1">
        <w:r w:rsidRPr="00D60482">
          <w:rPr>
            <w:rStyle w:val="Hyperlink"/>
            <w:i/>
            <w:iCs/>
            <w:color w:val="0070C0"/>
          </w:rPr>
          <w:t>Seismic Policy</w:t>
        </w:r>
      </w:hyperlink>
      <w:r w:rsidRPr="00D60482">
        <w:t xml:space="preserve"> </w:t>
      </w:r>
      <w:sdt>
        <w:sdtPr>
          <w:id w:val="-1436975769"/>
          <w:citation/>
        </w:sdtPr>
        <w:sdtEndPr/>
        <w:sdtContent>
          <w:r w:rsidRPr="00D60482">
            <w:fldChar w:fldCharType="begin"/>
          </w:r>
          <w:r w:rsidRPr="00D60482">
            <w:rPr>
              <w:lang w:val="en-US"/>
            </w:rPr>
            <w:instrText xml:space="preserve">CITATION TeW231 \l 1033 </w:instrText>
          </w:r>
          <w:r w:rsidRPr="00D60482">
            <w:fldChar w:fldCharType="separate"/>
          </w:r>
          <w:r w:rsidR="004B5CEF">
            <w:rPr>
              <w:noProof/>
              <w:lang w:val="en-US"/>
            </w:rPr>
            <w:t>(Te Whatu Ora, 2024)</w:t>
          </w:r>
          <w:r w:rsidRPr="00D60482">
            <w:fldChar w:fldCharType="end"/>
          </w:r>
        </w:sdtContent>
      </w:sdt>
      <w:r w:rsidRPr="00D60482">
        <w:t>, and should be read in conjunction with that policy document.</w:t>
      </w:r>
    </w:p>
    <w:p w14:paraId="37429310" w14:textId="77777777" w:rsidR="00526E24" w:rsidRPr="00D60482" w:rsidRDefault="00526E24" w:rsidP="00666E06">
      <w:r>
        <w:t xml:space="preserve">Health NZ </w:t>
      </w:r>
      <w:r w:rsidRPr="00D60482">
        <w:t xml:space="preserve">will at all times meet its obligations under the </w:t>
      </w:r>
      <w:r w:rsidRPr="00D60482">
        <w:rPr>
          <w:i/>
          <w:iCs/>
        </w:rPr>
        <w:t>Building (Earthquake-prone Buildings) Amendment Act 2016</w:t>
      </w:r>
      <w:r w:rsidRPr="00D60482">
        <w:t>.</w:t>
      </w:r>
    </w:p>
    <w:p w14:paraId="1010902D" w14:textId="77777777" w:rsidR="00526E24" w:rsidRPr="00D60482" w:rsidRDefault="00526E24" w:rsidP="00666E06">
      <w:r>
        <w:t xml:space="preserve">Health NZ </w:t>
      </w:r>
      <w:r w:rsidRPr="00D60482">
        <w:t>’s aspirational (long term) seismic resilience goals are:</w:t>
      </w:r>
    </w:p>
    <w:p w14:paraId="6677CD23" w14:textId="77777777" w:rsidR="00526E24" w:rsidRPr="00D60482" w:rsidRDefault="00526E24" w:rsidP="004D55F1">
      <w:pPr>
        <w:pStyle w:val="ListParagraph"/>
        <w:numPr>
          <w:ilvl w:val="0"/>
          <w:numId w:val="79"/>
        </w:numPr>
      </w:pPr>
      <w:r w:rsidRPr="00D60482">
        <w:t xml:space="preserve">For </w:t>
      </w:r>
      <w:r w:rsidRPr="00D60482">
        <w:rPr>
          <w:b/>
          <w:bCs/>
        </w:rPr>
        <w:t>life safety</w:t>
      </w:r>
      <w:r w:rsidRPr="00D60482">
        <w:t>, achieve</w:t>
      </w:r>
      <w:r w:rsidRPr="00D60482">
        <w:rPr>
          <w:i/>
          <w:iCs/>
        </w:rPr>
        <w:t xml:space="preserve"> Low Risk</w:t>
      </w:r>
      <w:r w:rsidRPr="00D60482">
        <w:t xml:space="preserve"> seismic grades throughout hospital building stock.</w:t>
      </w:r>
    </w:p>
    <w:p w14:paraId="1D0599CC" w14:textId="77777777" w:rsidR="00526E24" w:rsidRPr="00D60482" w:rsidRDefault="00526E24" w:rsidP="004D55F1">
      <w:pPr>
        <w:pStyle w:val="ListParagraph"/>
        <w:numPr>
          <w:ilvl w:val="0"/>
          <w:numId w:val="79"/>
        </w:numPr>
      </w:pPr>
      <w:r w:rsidRPr="00D60482">
        <w:t xml:space="preserve">For </w:t>
      </w:r>
      <w:r w:rsidRPr="00D60482">
        <w:rPr>
          <w:b/>
          <w:bCs/>
        </w:rPr>
        <w:t>continued functionality</w:t>
      </w:r>
      <w:r w:rsidRPr="00D60482">
        <w:t xml:space="preserve">, achieve performance aligned </w:t>
      </w:r>
      <w:r w:rsidRPr="00D60482">
        <w:rPr>
          <w:i/>
          <w:iCs/>
        </w:rPr>
        <w:t xml:space="preserve">as near as is reasonably practicable </w:t>
      </w:r>
      <w:r w:rsidRPr="00D60482">
        <w:t xml:space="preserve">with the </w:t>
      </w:r>
      <w:r w:rsidRPr="00D60482">
        <w:rPr>
          <w:i/>
          <w:iCs/>
        </w:rPr>
        <w:t>outcome objectives</w:t>
      </w:r>
      <w:r w:rsidRPr="00D60482">
        <w:t xml:space="preserve"> for post-earthquake service continuity and functional recovery.</w:t>
      </w:r>
    </w:p>
    <w:p w14:paraId="7AE9F807" w14:textId="77777777" w:rsidR="00526E24" w:rsidRPr="006956C4" w:rsidRDefault="00526E24" w:rsidP="00D56CAE">
      <w:pPr>
        <w:pStyle w:val="BodyHeading"/>
        <w:rPr>
          <w:color w:val="0C818E"/>
        </w:rPr>
      </w:pPr>
      <w:r w:rsidRPr="006956C4">
        <w:rPr>
          <w:color w:val="0C818E"/>
        </w:rPr>
        <w:t>Health NZ ’s short term operational focus is the safety of occupants</w:t>
      </w:r>
    </w:p>
    <w:p w14:paraId="7CDD2B56" w14:textId="77777777" w:rsidR="00526E24" w:rsidRPr="00D60482" w:rsidRDefault="00526E24" w:rsidP="00666E06">
      <w:r w:rsidRPr="00D60482">
        <w:t xml:space="preserve">Therefore, the initial focus is the remediation of </w:t>
      </w:r>
      <w:r w:rsidRPr="00D60482">
        <w:rPr>
          <w:i/>
          <w:iCs/>
        </w:rPr>
        <w:t>Earthquake-prone Buildings</w:t>
      </w:r>
      <w:r w:rsidRPr="00D60482">
        <w:t xml:space="preserve"> (including buildings rated as less than 34%NBS that have not been declared Earthquake-prone), where strengthening can practically be undertaken. However, for most acute services buildings, the reality is that the invasive work typically associated with seismic strengthening cannot be accommodated while continuing to deliver medical services.</w:t>
      </w:r>
    </w:p>
    <w:p w14:paraId="4BD479C1" w14:textId="77777777" w:rsidR="00526E24" w:rsidRPr="00D60482" w:rsidRDefault="00526E24" w:rsidP="00666E06">
      <w:r w:rsidRPr="00D60482">
        <w:t>Priority is typically given to:</w:t>
      </w:r>
    </w:p>
    <w:p w14:paraId="314FB02A" w14:textId="77777777" w:rsidR="00526E24" w:rsidRPr="00D60482" w:rsidRDefault="00526E24" w:rsidP="004D55F1">
      <w:pPr>
        <w:pStyle w:val="ListParagraph"/>
        <w:numPr>
          <w:ilvl w:val="0"/>
          <w:numId w:val="80"/>
        </w:numPr>
      </w:pPr>
      <w:r w:rsidRPr="00D60482">
        <w:rPr>
          <w:i/>
          <w:iCs/>
        </w:rPr>
        <w:t>Earthquake-prone Buildings</w:t>
      </w:r>
      <w:r w:rsidRPr="00D60482">
        <w:t xml:space="preserve"> in New Zealand’s high and medium seismic zones; and</w:t>
      </w:r>
    </w:p>
    <w:p w14:paraId="592606EF" w14:textId="77777777" w:rsidR="00526E24" w:rsidRPr="00D60482" w:rsidRDefault="00526E24" w:rsidP="004D55F1">
      <w:pPr>
        <w:pStyle w:val="ListParagraph"/>
        <w:numPr>
          <w:ilvl w:val="0"/>
          <w:numId w:val="80"/>
        </w:numPr>
      </w:pPr>
      <w:r w:rsidRPr="00D60482">
        <w:t xml:space="preserve">Buildings that would remain less than 34%NBS under 500-year return period ground shaking (Importance Level 2 </w:t>
      </w:r>
      <w:r w:rsidRPr="00D60482">
        <w:rPr>
          <w:rStyle w:val="FootnoteReference"/>
        </w:rPr>
        <w:footnoteReference w:id="38"/>
      </w:r>
      <w:r w:rsidRPr="00D60482">
        <w:t>); and</w:t>
      </w:r>
    </w:p>
    <w:p w14:paraId="22E4EA33" w14:textId="77777777" w:rsidR="00526E24" w:rsidRPr="00D60482" w:rsidRDefault="00526E24" w:rsidP="004D55F1">
      <w:pPr>
        <w:pStyle w:val="ListParagraph"/>
        <w:numPr>
          <w:ilvl w:val="0"/>
          <w:numId w:val="80"/>
        </w:numPr>
      </w:pPr>
      <w:r w:rsidRPr="00D60482">
        <w:t>Where seismic assessments and subsequent risk evaluations have identified the potential for structural failure under moderate or significant levels of earthquake shaking (up to 500-year return period).</w:t>
      </w:r>
    </w:p>
    <w:p w14:paraId="42F9652B" w14:textId="77777777" w:rsidR="00526E24" w:rsidRPr="006956C4" w:rsidRDefault="00526E24" w:rsidP="00D56CAE">
      <w:pPr>
        <w:pStyle w:val="BodyHeading"/>
        <w:rPr>
          <w:color w:val="0C818E"/>
        </w:rPr>
      </w:pPr>
      <w:r w:rsidRPr="006956C4">
        <w:rPr>
          <w:color w:val="0C818E"/>
        </w:rPr>
        <w:t>Health NZ ’s medium term operational focus is improving resilience</w:t>
      </w:r>
    </w:p>
    <w:p w14:paraId="74AAF6C3" w14:textId="77777777" w:rsidR="00526E24" w:rsidRPr="00D60482" w:rsidRDefault="00526E24" w:rsidP="00666E06">
      <w:r w:rsidRPr="00D60482">
        <w:t xml:space="preserve">This means working towards </w:t>
      </w:r>
      <w:r>
        <w:t xml:space="preserve">Health NZ </w:t>
      </w:r>
      <w:r w:rsidRPr="00D60482">
        <w:t xml:space="preserve">’s long-term goals of </w:t>
      </w:r>
      <w:r w:rsidRPr="00D60482">
        <w:rPr>
          <w:i/>
          <w:iCs/>
        </w:rPr>
        <w:t>Low Risk</w:t>
      </w:r>
      <w:r w:rsidRPr="00D60482">
        <w:t xml:space="preserve"> for life safety (&gt;67% NBS), and meeting </w:t>
      </w:r>
      <w:r w:rsidRPr="00D60482">
        <w:rPr>
          <w:i/>
          <w:iCs/>
        </w:rPr>
        <w:t>outcome objectives</w:t>
      </w:r>
      <w:r w:rsidRPr="00D60482">
        <w:t xml:space="preserve"> for post-earthquake service continuity and functional recovery.</w:t>
      </w:r>
    </w:p>
    <w:p w14:paraId="5DC9965E" w14:textId="77777777" w:rsidR="00526E24" w:rsidRPr="00D60482" w:rsidRDefault="00526E24" w:rsidP="00666E06">
      <w:r w:rsidRPr="00D60482">
        <w:t xml:space="preserve">This involves looking beyond the life safety-focused %NBS ratings to consider buildings that may have SLS2 vulnerabilities, but are required to maintain function </w:t>
      </w:r>
      <w:r w:rsidRPr="00D60482">
        <w:rPr>
          <w:b/>
          <w:bCs/>
        </w:rPr>
        <w:t>and</w:t>
      </w:r>
      <w:r w:rsidRPr="00D60482">
        <w:t xml:space="preserve"> are </w:t>
      </w:r>
      <w:r w:rsidRPr="00D60482">
        <w:lastRenderedPageBreak/>
        <w:t>considered central to a region’s post-disaster response with few practical alternatives or redundancy in service delivery.</w:t>
      </w:r>
    </w:p>
    <w:p w14:paraId="199A73FC" w14:textId="77777777" w:rsidR="00526E24" w:rsidRPr="00D60482" w:rsidRDefault="00526E24" w:rsidP="00666E06">
      <w:r w:rsidRPr="00D60482">
        <w:t>These short to medium term objectives should be reflected in site masterplanning (using available assessment information). In some cases, seismic risks could influence development priorities, phasing and decanting strategies. When work is commissioned to repurpose buildings or undertake significant building maintenance or upgrade works, it should include options to undertake seismic retrofit work as part of this, where:</w:t>
      </w:r>
    </w:p>
    <w:p w14:paraId="55604A3C" w14:textId="77777777" w:rsidR="00526E24" w:rsidRPr="00D60482" w:rsidRDefault="00526E24" w:rsidP="004D55F1">
      <w:pPr>
        <w:pStyle w:val="ListParagraph"/>
        <w:numPr>
          <w:ilvl w:val="0"/>
          <w:numId w:val="82"/>
        </w:numPr>
      </w:pPr>
      <w:r w:rsidRPr="00D60482">
        <w:t>The seismic resilience goals are not met in the buildings being refurbished, and;</w:t>
      </w:r>
    </w:p>
    <w:p w14:paraId="6A0CC8C5" w14:textId="77777777" w:rsidR="00526E24" w:rsidRPr="00D60482" w:rsidRDefault="00526E24" w:rsidP="004D55F1">
      <w:pPr>
        <w:pStyle w:val="ListParagraph"/>
        <w:numPr>
          <w:ilvl w:val="0"/>
          <w:numId w:val="82"/>
        </w:numPr>
      </w:pPr>
      <w:r w:rsidRPr="00D60482">
        <w:t>There is sufficient proportionality between the project size/extent, the scale and extent of seismic retrofit work required, and the costs/benefits of the retrofit work.</w:t>
      </w:r>
    </w:p>
    <w:p w14:paraId="077F19C4" w14:textId="648579FB" w:rsidR="00526E24" w:rsidRPr="00413A5B" w:rsidRDefault="00526E24" w:rsidP="005060F6">
      <w:r w:rsidRPr="00D60482">
        <w:t>This philosophy underpins the approach outlined in Section</w:t>
      </w:r>
      <w:r w:rsidR="003A6375">
        <w:t xml:space="preserve"> </w:t>
      </w:r>
      <w:r w:rsidR="003A6375">
        <w:fldChar w:fldCharType="begin"/>
      </w:r>
      <w:r w:rsidR="003A6375">
        <w:instrText xml:space="preserve"> REF _Ref203129137 \w \h </w:instrText>
      </w:r>
      <w:r w:rsidR="003A6375">
        <w:fldChar w:fldCharType="separate"/>
      </w:r>
      <w:r w:rsidR="003A6375">
        <w:t>B7</w:t>
      </w:r>
      <w:r w:rsidR="003A6375">
        <w:fldChar w:fldCharType="end"/>
      </w:r>
      <w:r w:rsidR="00C20BB2">
        <w:t xml:space="preserve"> </w:t>
      </w:r>
      <w:r w:rsidR="00BA7190">
        <w:fldChar w:fldCharType="begin"/>
      </w:r>
      <w:r w:rsidR="00BA7190">
        <w:instrText xml:space="preserve"> REF B7_Alterations_to_Existing_Buildings \h </w:instrText>
      </w:r>
      <w:r w:rsidR="00BA7190">
        <w:fldChar w:fldCharType="separate"/>
      </w:r>
      <w:r w:rsidR="00BA7190" w:rsidRPr="00A9001D">
        <w:t>Alterations to Existing Buildings</w:t>
      </w:r>
      <w:r w:rsidR="00BA7190">
        <w:fldChar w:fldCharType="end"/>
      </w:r>
      <w:r w:rsidRPr="00D60482">
        <w:t xml:space="preserve"> In some circumstances a staged approach to seismic retrofit may be appropriate, where feasible from a structural sequencing perspective.</w:t>
      </w:r>
    </w:p>
    <w:p w14:paraId="320C32C5" w14:textId="4882A1ED" w:rsidR="00526E24" w:rsidRPr="00D60482" w:rsidRDefault="00526E24" w:rsidP="006956C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60482">
        <w:t xml:space="preserve">Note that when designing (or planning) new buildings, adjacent existing buildings may require seismic improvement work to avoid exposing the new buildings and their occupants to unacceptable risks. </w:t>
      </w:r>
      <w:r>
        <w:t>Health NZ</w:t>
      </w:r>
      <w:r w:rsidRPr="00D60482">
        <w:t xml:space="preserve"> want to reduce their risk profile over time</w:t>
      </w:r>
      <w:r>
        <w:t xml:space="preserve"> </w:t>
      </w:r>
      <w:r w:rsidRPr="00D60482">
        <w:t xml:space="preserve">not increase it. Refer to </w:t>
      </w:r>
      <w:r w:rsidR="0072615E">
        <w:fldChar w:fldCharType="begin"/>
      </w:r>
      <w:r w:rsidR="0072615E">
        <w:instrText xml:space="preserve"> REF Appendix_1_Full_title \h </w:instrText>
      </w:r>
      <w:r w:rsidR="0072615E">
        <w:fldChar w:fldCharType="separate"/>
      </w:r>
      <w:r w:rsidR="000761C1" w:rsidRPr="00F301A3">
        <w:t xml:space="preserve">Appendix 1. </w:t>
      </w:r>
      <w:r w:rsidR="000761C1" w:rsidRPr="00C40AC7">
        <w:t>Campus</w:t>
      </w:r>
      <w:r w:rsidR="000761C1" w:rsidRPr="00F301A3">
        <w:t xml:space="preserve"> Earthquake Resilience (Structural Considerations)</w:t>
      </w:r>
      <w:r w:rsidR="0072615E">
        <w:fldChar w:fldCharType="end"/>
      </w:r>
      <w:r>
        <w:t xml:space="preserve"> for more information</w:t>
      </w:r>
      <w:r w:rsidRPr="00D60482">
        <w:t>.</w:t>
      </w:r>
    </w:p>
    <w:p w14:paraId="19047CBF" w14:textId="77777777" w:rsidR="00526E24" w:rsidRPr="006956C4" w:rsidRDefault="00526E24" w:rsidP="00D56CAE">
      <w:pPr>
        <w:pStyle w:val="BodyHeading"/>
        <w:rPr>
          <w:color w:val="0C818E"/>
        </w:rPr>
      </w:pPr>
      <w:r w:rsidRPr="006956C4">
        <w:rPr>
          <w:color w:val="0C818E"/>
        </w:rPr>
        <w:t>Defining outcome objectives for continued functionality (SLS2)</w:t>
      </w:r>
    </w:p>
    <w:p w14:paraId="5C32624F" w14:textId="77777777" w:rsidR="00526E24" w:rsidRPr="00D60482" w:rsidRDefault="00526E24" w:rsidP="00666E06">
      <w:r w:rsidRPr="00D60482">
        <w:t xml:space="preserve">For new buildings, the </w:t>
      </w:r>
      <w:r w:rsidRPr="00D60482">
        <w:rPr>
          <w:b/>
          <w:bCs/>
        </w:rPr>
        <w:t>continued functionality</w:t>
      </w:r>
      <w:r w:rsidRPr="00D60482">
        <w:t xml:space="preserve"> objective is achieved via the Serviceability Limit State 2 (SLS2) and the design criteria set out in this guideline. Existing acute services buildings should also be measured against SLS2, but it is unlikely to be practical to meet these requirements in full, especially in the short to medium term. A more contextual focus on the overarching </w:t>
      </w:r>
      <w:r w:rsidRPr="00D60482">
        <w:rPr>
          <w:i/>
          <w:iCs/>
        </w:rPr>
        <w:t>outcome objectives</w:t>
      </w:r>
      <w:r w:rsidRPr="00D60482">
        <w:t xml:space="preserve"> is required. This could take a more regional view of dependencies and redundancies in health service delivery (as opposed to an individual view of a buildings SLS2 compliance).</w:t>
      </w:r>
    </w:p>
    <w:p w14:paraId="13F25003" w14:textId="77777777" w:rsidR="00526E24" w:rsidRPr="00D60482" w:rsidRDefault="00526E24" w:rsidP="00666E06">
      <w:r w:rsidRPr="00D60482">
        <w:t xml:space="preserve">This may mean targeting SLS2 design criteria in existing assets where they are of critical importance to hospital function (especially where the asset is central to regional disaster response and recovery). However, where it is impractical or disproportionately costly to achieve SLS2 design criteria, being able to reasonably foresee, manage and plan for resulting adverse consequences that could eventuate after a large earthquake may be sufficient. This requires the key risks to be known. It may be possible to meet the </w:t>
      </w:r>
      <w:r w:rsidRPr="00D60482">
        <w:rPr>
          <w:i/>
          <w:iCs/>
        </w:rPr>
        <w:t>outcome objectives</w:t>
      </w:r>
      <w:r w:rsidRPr="00D60482">
        <w:t xml:space="preserve"> for continued functionality this way, regionally, with levels of compromise that are tolerable in the context of cost.</w:t>
      </w:r>
    </w:p>
    <w:p w14:paraId="51F4385D" w14:textId="2693CB28" w:rsidR="00526E24" w:rsidRPr="00D60482" w:rsidRDefault="00526E24" w:rsidP="00666E06">
      <w:r w:rsidRPr="00D60482">
        <w:t xml:space="preserve">Refer to Section </w:t>
      </w:r>
      <w:r w:rsidR="00C20BB2">
        <w:fldChar w:fldCharType="begin"/>
      </w:r>
      <w:r w:rsidR="00C20BB2">
        <w:instrText xml:space="preserve"> REF _Ref180128575 \r \h </w:instrText>
      </w:r>
      <w:r w:rsidR="00C20BB2">
        <w:fldChar w:fldCharType="separate"/>
      </w:r>
      <w:r w:rsidR="000761C1">
        <w:t>B8.3</w:t>
      </w:r>
      <w:r w:rsidR="00C20BB2">
        <w:fldChar w:fldCharType="end"/>
      </w:r>
      <w:r w:rsidR="00C20BB2">
        <w:t xml:space="preserve"> </w:t>
      </w:r>
      <w:r w:rsidRPr="00D60482">
        <w:t xml:space="preserve">for information on methods of assessing and reporting against </w:t>
      </w:r>
      <w:r w:rsidRPr="00D60482">
        <w:rPr>
          <w:b/>
          <w:bCs/>
        </w:rPr>
        <w:t xml:space="preserve">continued functionality </w:t>
      </w:r>
      <w:r w:rsidRPr="00D60482">
        <w:t>objectives</w:t>
      </w:r>
      <w:r w:rsidRPr="00D60482">
        <w:rPr>
          <w:b/>
          <w:bCs/>
        </w:rPr>
        <w:t xml:space="preserve"> </w:t>
      </w:r>
      <w:r w:rsidRPr="00D60482">
        <w:t>which facilitates this approach.</w:t>
      </w:r>
    </w:p>
    <w:p w14:paraId="2123273F" w14:textId="77777777" w:rsidR="00526E24" w:rsidRPr="00D60482" w:rsidRDefault="00526E24" w:rsidP="006956C4">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60482">
        <w:t>Where decisions to defer functionality upgrades are made on the basis of regional redundancy, care should be taken to ensure this is adequately reflected in regional hospital emergency management plans.</w:t>
      </w:r>
    </w:p>
    <w:p w14:paraId="5CA55F19" w14:textId="77777777" w:rsidR="00526E24" w:rsidRPr="006F317A" w:rsidRDefault="00526E24" w:rsidP="006956C4">
      <w:pPr>
        <w:pStyle w:val="Section2Heading2"/>
      </w:pPr>
      <w:bookmarkStart w:id="280" w:name="_Ref180133583"/>
      <w:bookmarkStart w:id="281" w:name="_Ref180394026"/>
      <w:bookmarkStart w:id="282" w:name="_Ref180394330"/>
      <w:bookmarkStart w:id="283" w:name="_Toc203641976"/>
      <w:r w:rsidRPr="000416E8">
        <w:lastRenderedPageBreak/>
        <w:t>Seismic</w:t>
      </w:r>
      <w:r w:rsidRPr="006F317A">
        <w:t xml:space="preserve"> Assessment for Life Safety Purposes</w:t>
      </w:r>
      <w:bookmarkEnd w:id="280"/>
      <w:bookmarkEnd w:id="281"/>
      <w:bookmarkEnd w:id="282"/>
      <w:bookmarkEnd w:id="283"/>
    </w:p>
    <w:p w14:paraId="4F3E194C" w14:textId="77777777" w:rsidR="00526E24" w:rsidRPr="006956C4" w:rsidRDefault="00526E24" w:rsidP="00D56CAE">
      <w:pPr>
        <w:pStyle w:val="BodyHeading"/>
        <w:rPr>
          <w:color w:val="0C818E"/>
        </w:rPr>
      </w:pPr>
      <w:r w:rsidRPr="006956C4">
        <w:rPr>
          <w:color w:val="0C818E"/>
        </w:rPr>
        <w:t>New seismic assessments</w:t>
      </w:r>
    </w:p>
    <w:p w14:paraId="1C5D62EF" w14:textId="0DDE6000" w:rsidR="00526E24" w:rsidRPr="003E3FEA" w:rsidRDefault="00526E24" w:rsidP="00666E06">
      <w:r w:rsidRPr="003E3FEA">
        <w:t xml:space="preserve">All new seismic assessments should be undertaken in accordance with </w:t>
      </w:r>
      <w:r w:rsidRPr="003E3FEA">
        <w:rPr>
          <w:i/>
          <w:iCs/>
        </w:rPr>
        <w:t>The Seismic Assessment of Existing Buildings: Technical Guidelines for Engineering Assessments</w:t>
      </w:r>
      <w:r w:rsidRPr="003E3FEA">
        <w:t xml:space="preserve"> </w:t>
      </w:r>
      <w:sdt>
        <w:sdtPr>
          <w:id w:val="1099754781"/>
          <w:citation/>
        </w:sdtPr>
        <w:sdtEndPr/>
        <w:sdtContent>
          <w:r w:rsidRPr="003E3FEA">
            <w:fldChar w:fldCharType="begin"/>
          </w:r>
          <w:r>
            <w:rPr>
              <w:lang w:val="en-US"/>
            </w:rPr>
            <w:instrText xml:space="preserve">CITATION Placeholder2 \l 1033 </w:instrText>
          </w:r>
          <w:r w:rsidRPr="003E3FEA">
            <w:fldChar w:fldCharType="separate"/>
          </w:r>
          <w:r w:rsidR="00222D65">
            <w:rPr>
              <w:noProof/>
              <w:lang w:val="en-US"/>
            </w:rPr>
            <w:t>(MBIE, EQC, NZSEE, SESOC, NZGS, 2017)</w:t>
          </w:r>
          <w:r w:rsidRPr="003E3FEA">
            <w:fldChar w:fldCharType="end"/>
          </w:r>
        </w:sdtContent>
      </w:sdt>
      <w:r w:rsidRPr="003E3FEA">
        <w:t xml:space="preserve">, referred to as the </w:t>
      </w:r>
      <w:r w:rsidRPr="003E3FEA">
        <w:rPr>
          <w:i/>
          <w:iCs/>
        </w:rPr>
        <w:t>Engineering Assessment Guidelines</w:t>
      </w:r>
      <w:r w:rsidRPr="003E3FEA">
        <w:t xml:space="preserve"> or “EAG”. This includes use of the </w:t>
      </w:r>
      <w:r w:rsidRPr="003E3FEA">
        <w:rPr>
          <w:i/>
          <w:iCs/>
        </w:rPr>
        <w:t>Technical Proposal to Revise the Engineering Assessment Guidelines</w:t>
      </w:r>
      <w:r w:rsidRPr="003E3FEA">
        <w:t xml:space="preserve"> for Chapter C5: Concrete Buildings </w:t>
      </w:r>
      <w:sdt>
        <w:sdtPr>
          <w:id w:val="-422416631"/>
          <w:citation/>
        </w:sdtPr>
        <w:sdtEndPr/>
        <w:sdtContent>
          <w:r w:rsidRPr="003E3FEA">
            <w:fldChar w:fldCharType="begin"/>
          </w:r>
          <w:r w:rsidRPr="003E3FEA">
            <w:rPr>
              <w:lang w:val="en-US"/>
            </w:rPr>
            <w:instrText xml:space="preserve"> CITATION Con18 \l 1033 </w:instrText>
          </w:r>
          <w:r w:rsidRPr="003E3FEA">
            <w:fldChar w:fldCharType="separate"/>
          </w:r>
          <w:r w:rsidR="00222D65">
            <w:rPr>
              <w:noProof/>
              <w:lang w:val="en-US"/>
            </w:rPr>
            <w:t>(MBIE, EQC, NZSEE, SESOC, NZGS, 2018)</w:t>
          </w:r>
          <w:r w:rsidRPr="003E3FEA">
            <w:fldChar w:fldCharType="end"/>
          </w:r>
        </w:sdtContent>
      </w:sdt>
      <w:r w:rsidRPr="003E3FEA">
        <w:t>. It includes use of any future revised sections to the EAG that are current at the time of assessment and have been released for use.</w:t>
      </w:r>
    </w:p>
    <w:p w14:paraId="45A93AFF" w14:textId="77777777" w:rsidR="00526E24" w:rsidRPr="003E3FEA" w:rsidRDefault="00526E24" w:rsidP="00666E06">
      <w:r w:rsidRPr="003E3FEA">
        <w:t xml:space="preserve">For the purposes of applying the </w:t>
      </w:r>
      <w:r w:rsidRPr="003E3FEA">
        <w:rPr>
          <w:i/>
          <w:iCs/>
        </w:rPr>
        <w:t>Building (Earthquake-prone Buildings) Amendment Act 2016</w:t>
      </w:r>
      <w:r w:rsidRPr="003E3FEA">
        <w:t>, only the “red” version referenced by the EPB Methodology shall be used. This will require the difference in outcome between the “EPB” version, and newer versions of the Engineering Assessment Guidelines (referenced above) to be understood.</w:t>
      </w:r>
    </w:p>
    <w:p w14:paraId="0849301E" w14:textId="77777777"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 xml:space="preserve">Assessors are also referred to the advisory document </w:t>
      </w:r>
      <w:r w:rsidRPr="003E3FEA">
        <w:rPr>
          <w:iCs/>
        </w:rPr>
        <w:t>Seismic Assessment and Retrofit following the Release of TS 1170.5</w:t>
      </w:r>
      <w:r w:rsidRPr="003E3FEA">
        <w:t xml:space="preserve">, which is consistent with </w:t>
      </w:r>
      <w:r>
        <w:t xml:space="preserve">Health NZ </w:t>
      </w:r>
      <w:r w:rsidRPr="003E3FEA">
        <w:t>’s approach to how assessment outcomes should be communicated following the release of this Technical Specification.</w:t>
      </w:r>
    </w:p>
    <w:p w14:paraId="7AC79C74" w14:textId="77777777" w:rsidR="00526E24" w:rsidRPr="006F02C7" w:rsidRDefault="00526E24" w:rsidP="00D56CAE">
      <w:pPr>
        <w:pStyle w:val="BodyHeading"/>
        <w:rPr>
          <w:color w:val="0C818E"/>
        </w:rPr>
      </w:pPr>
      <w:r w:rsidRPr="006F02C7">
        <w:rPr>
          <w:color w:val="0C818E"/>
        </w:rPr>
        <w:t>Using information from older seismic assessments (pre-2018)</w:t>
      </w:r>
    </w:p>
    <w:p w14:paraId="56C9F8C3" w14:textId="77777777" w:rsidR="00526E24" w:rsidRPr="003E3FEA" w:rsidRDefault="00526E24" w:rsidP="00666E06">
      <w:r w:rsidRPr="003E3FEA">
        <w:t xml:space="preserve">Older seismic assessments using assessment guideline editions prior to the 2017/2018 versions referenced above may be less effective at identifying risks that are important to </w:t>
      </w:r>
      <w:r>
        <w:t xml:space="preserve">Health NZ </w:t>
      </w:r>
      <w:r w:rsidRPr="003E3FEA">
        <w:t>’s seismic risk management strategy. They are also less likely to have considered secondary and non-structural elements. The currency and validity of such assessment outcomes may need to be considered. The following approaches can be applied in increasing order of time/cost/effort and confidence in outcome (the appropriate level should be selected based on the circumstance).</w:t>
      </w:r>
    </w:p>
    <w:p w14:paraId="1D593CF7" w14:textId="77777777" w:rsidR="00526E24" w:rsidRPr="003E3FEA" w:rsidRDefault="00526E24" w:rsidP="004D55F1">
      <w:pPr>
        <w:pStyle w:val="ListParagraph"/>
        <w:numPr>
          <w:ilvl w:val="0"/>
          <w:numId w:val="83"/>
        </w:numPr>
      </w:pPr>
      <w:r w:rsidRPr="003E3FEA">
        <w:t xml:space="preserve">Specialist engineering advice engaged as part of masterplanning or business case development that identifies (based on the building(s’) typology and the basis of previous assessment relative to modern methods) some of the most likely issues or risks that </w:t>
      </w:r>
      <w:r w:rsidRPr="003E3FEA">
        <w:rPr>
          <w:i/>
          <w:iCs/>
        </w:rPr>
        <w:t>could</w:t>
      </w:r>
      <w:r w:rsidRPr="003E3FEA">
        <w:t xml:space="preserve"> be present.</w:t>
      </w:r>
    </w:p>
    <w:p w14:paraId="03848755" w14:textId="77777777" w:rsidR="00526E24" w:rsidRPr="003E3FEA" w:rsidRDefault="00526E24" w:rsidP="004D55F1">
      <w:pPr>
        <w:pStyle w:val="ListParagraph"/>
        <w:numPr>
          <w:ilvl w:val="0"/>
          <w:numId w:val="83"/>
        </w:numPr>
      </w:pPr>
      <w:r w:rsidRPr="003E3FEA">
        <w:t>Specific Q</w:t>
      </w:r>
      <w:r w:rsidRPr="003E3FEA">
        <w:rPr>
          <w:i/>
          <w:iCs/>
        </w:rPr>
        <w:t>ualitative Drawing and Load Path Review</w:t>
      </w:r>
      <w:r w:rsidRPr="003E3FEA">
        <w:t xml:space="preserve">, informed by the prior assessment information, identifying significant risks that are </w:t>
      </w:r>
      <w:r w:rsidRPr="003E3FEA">
        <w:rPr>
          <w:i/>
          <w:iCs/>
        </w:rPr>
        <w:t>likely</w:t>
      </w:r>
      <w:r w:rsidRPr="003E3FEA">
        <w:t xml:space="preserve"> to be present (that the previous assessment may not have identified or sufficiently considered).</w:t>
      </w:r>
    </w:p>
    <w:p w14:paraId="0E4872D1" w14:textId="77777777" w:rsidR="00526E24" w:rsidRPr="003E3FEA" w:rsidRDefault="00526E24" w:rsidP="004D55F1">
      <w:pPr>
        <w:pStyle w:val="ListParagraph"/>
        <w:numPr>
          <w:ilvl w:val="0"/>
          <w:numId w:val="83"/>
        </w:numPr>
      </w:pPr>
      <w:r w:rsidRPr="003E3FEA">
        <w:t xml:space="preserve">Completing further </w:t>
      </w:r>
      <w:r w:rsidRPr="003E3FEA">
        <w:rPr>
          <w:i/>
          <w:iCs/>
        </w:rPr>
        <w:t xml:space="preserve">Targeted Seismic Assessment </w:t>
      </w:r>
      <w:r w:rsidRPr="003E3FEA">
        <w:t>to quantify some of the likely risks identified in a qualitative drawing and load path review.</w:t>
      </w:r>
    </w:p>
    <w:p w14:paraId="0C69727A" w14:textId="77777777" w:rsidR="00526E24" w:rsidRPr="003E3FEA" w:rsidRDefault="00526E24" w:rsidP="004D55F1">
      <w:pPr>
        <w:pStyle w:val="ListParagraph"/>
        <w:numPr>
          <w:ilvl w:val="0"/>
          <w:numId w:val="83"/>
        </w:numPr>
      </w:pPr>
      <w:r w:rsidRPr="003E3FEA">
        <w:t>Completing a revised Detailed Seismic Assessment.</w:t>
      </w:r>
    </w:p>
    <w:p w14:paraId="44596ECA" w14:textId="77777777" w:rsidR="00526E24" w:rsidRPr="006F02C7" w:rsidRDefault="00526E24" w:rsidP="00D56CAE">
      <w:pPr>
        <w:pStyle w:val="BodyHeading"/>
        <w:rPr>
          <w:color w:val="0C818E"/>
        </w:rPr>
      </w:pPr>
      <w:r w:rsidRPr="006F02C7">
        <w:rPr>
          <w:color w:val="0C818E"/>
        </w:rPr>
        <w:t xml:space="preserve">Levels of assessment, including qualitative, or Targeted Seismic Assessment </w:t>
      </w:r>
    </w:p>
    <w:p w14:paraId="35FC0543" w14:textId="3CEB917F" w:rsidR="00526E24" w:rsidRPr="003E3FEA" w:rsidRDefault="00526E24" w:rsidP="00666E06">
      <w:r w:rsidRPr="003E3FEA">
        <w:t xml:space="preserve">As outlined in </w:t>
      </w:r>
      <w:r>
        <w:t xml:space="preserve">Health NZ </w:t>
      </w:r>
      <w:r w:rsidRPr="003E3FEA">
        <w:t xml:space="preserve">’s Seismic Policy, </w:t>
      </w:r>
      <w:r>
        <w:t xml:space="preserve">Health NZ </w:t>
      </w:r>
      <w:r w:rsidRPr="003E3FEA">
        <w:t xml:space="preserve">’s Seismic Risk Management Strategy will outline the prioritisation of additional seismic assessments, and the form of those assessments </w:t>
      </w:r>
      <w:sdt>
        <w:sdtPr>
          <w:id w:val="129379899"/>
          <w:citation/>
        </w:sdtPr>
        <w:sdtEndPr/>
        <w:sdtContent>
          <w:r w:rsidRPr="003E3FEA">
            <w:fldChar w:fldCharType="begin"/>
          </w:r>
          <w:r w:rsidRPr="003E3FEA">
            <w:rPr>
              <w:lang w:val="en-US"/>
            </w:rPr>
            <w:instrText xml:space="preserve"> CITATION TeW231 \l 1033 </w:instrText>
          </w:r>
          <w:r w:rsidRPr="003E3FEA">
            <w:fldChar w:fldCharType="separate"/>
          </w:r>
          <w:r w:rsidR="00534754">
            <w:rPr>
              <w:noProof/>
              <w:lang w:val="en-US"/>
            </w:rPr>
            <w:t>(Te Whatu Ora, 2024)</w:t>
          </w:r>
          <w:r w:rsidRPr="003E3FEA">
            <w:fldChar w:fldCharType="end"/>
          </w:r>
        </w:sdtContent>
      </w:sdt>
      <w:r w:rsidRPr="003E3FEA">
        <w:t>.</w:t>
      </w:r>
    </w:p>
    <w:p w14:paraId="2062B8ED" w14:textId="77777777" w:rsidR="00526E24" w:rsidRPr="003E3FEA" w:rsidRDefault="00526E24" w:rsidP="00666E06">
      <w:r w:rsidRPr="003E3FEA">
        <w:lastRenderedPageBreak/>
        <w:t xml:space="preserve">To support their initial/short term focus, </w:t>
      </w:r>
      <w:r>
        <w:t xml:space="preserve">Health NZ </w:t>
      </w:r>
      <w:r w:rsidRPr="003E3FEA">
        <w:t xml:space="preserve">want to better understand where there may be significant risks in their portfolio that are currently unknown or poorly understood due to gaps in seismic risk information. Therefore, most new assessment work will begin with a first stage </w:t>
      </w:r>
      <w:r w:rsidRPr="003E3FEA">
        <w:rPr>
          <w:i/>
          <w:iCs/>
        </w:rPr>
        <w:t>Qualitative Load Path and Drawing Review</w:t>
      </w:r>
      <w:r w:rsidRPr="003E3FEA">
        <w:t xml:space="preserve">, followed by a subsequent stage of </w:t>
      </w:r>
      <w:r w:rsidRPr="003E3FEA">
        <w:rPr>
          <w:i/>
          <w:iCs/>
        </w:rPr>
        <w:t xml:space="preserve">Targeted Seismic Assessment </w:t>
      </w:r>
      <w:r w:rsidRPr="003E3FEA">
        <w:t xml:space="preserve">or </w:t>
      </w:r>
      <w:r w:rsidRPr="003E3FEA">
        <w:rPr>
          <w:i/>
          <w:iCs/>
        </w:rPr>
        <w:t>Detailed Seismic Assessment</w:t>
      </w:r>
      <w:r w:rsidRPr="003E3FEA">
        <w:t xml:space="preserve"> as and if required.</w:t>
      </w:r>
    </w:p>
    <w:p w14:paraId="065D30EC" w14:textId="77777777" w:rsidR="00526E24" w:rsidRPr="003E3FEA" w:rsidRDefault="00526E24" w:rsidP="00E318C8">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3E3FEA">
        <w:rPr>
          <w:b/>
          <w:bCs/>
          <w:iCs/>
        </w:rPr>
        <w:t>Qualitative Load Path and Drawing Reviews</w:t>
      </w:r>
      <w:r w:rsidRPr="003E3FEA">
        <w:t xml:space="preserve"> are similar in principle to comprehensive </w:t>
      </w:r>
      <w:r w:rsidRPr="003E3FEA">
        <w:rPr>
          <w:iCs/>
        </w:rPr>
        <w:t>Initial Seismic Assessments</w:t>
      </w:r>
      <w:r w:rsidRPr="003E3FEA">
        <w:t xml:space="preserve">. However, they are carried out specifically in response to </w:t>
      </w:r>
      <w:r>
        <w:t xml:space="preserve">Health NZ </w:t>
      </w:r>
      <w:r w:rsidRPr="003E3FEA">
        <w:t xml:space="preserve">’s needs in understanding their risk profile across their portfolio (as opposed to being an </w:t>
      </w:r>
      <w:r w:rsidRPr="003E3FEA">
        <w:rPr>
          <w:iCs/>
        </w:rPr>
        <w:t>Engineering Assessment</w:t>
      </w:r>
      <w:r w:rsidRPr="003E3FEA">
        <w:t xml:space="preserve"> carried out for the purposes of the Earthquake-prone Building Methodology). Qualitative reviews should describe the buildings typology, identify primary structural load paths, and identify any potential vulnerabilities based on the building’s typology and load path/drawing review. To maximise their value to </w:t>
      </w:r>
      <w:r>
        <w:t>Health NZ</w:t>
      </w:r>
      <w:r w:rsidRPr="003E3FEA">
        <w:t xml:space="preserve">, they usually include a few representative calculations on key areas. This </w:t>
      </w:r>
      <w:r w:rsidRPr="003E3FEA">
        <w:rPr>
          <w:iCs/>
        </w:rPr>
        <w:t>may</w:t>
      </w:r>
      <w:r w:rsidRPr="003E3FEA">
        <w:t xml:space="preserve"> include:</w:t>
      </w:r>
    </w:p>
    <w:p w14:paraId="402A7286" w14:textId="77777777" w:rsidR="00526E24" w:rsidRPr="003E3FEA" w:rsidRDefault="00526E24" w:rsidP="00E318C8">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60"/>
      </w:pPr>
      <w:r w:rsidRPr="003E3FEA">
        <w:t>Comparison with design loadings and key design assumptions (which may use an IEP form or a similar separate calculation).</w:t>
      </w:r>
    </w:p>
    <w:p w14:paraId="37785FA3" w14:textId="77777777" w:rsidR="00526E24" w:rsidRPr="003E3FEA" w:rsidRDefault="00526E24" w:rsidP="00E318C8">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60"/>
      </w:pPr>
      <w:r w:rsidRPr="003E3FEA">
        <w:t>High-level calculation on potentially significant vulnerabilities or detailing deficiencies to coarsely categorise the likely risk.</w:t>
      </w:r>
    </w:p>
    <w:p w14:paraId="1FF9CBB4" w14:textId="77777777" w:rsidR="00526E24" w:rsidRPr="003E3FEA" w:rsidRDefault="00526E24" w:rsidP="00E318C8">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3E3FEA">
        <w:rPr>
          <w:b/>
          <w:bCs/>
          <w:iCs/>
        </w:rPr>
        <w:t>Targeted Seismic Assessment</w:t>
      </w:r>
      <w:r w:rsidRPr="003E3FEA">
        <w:t xml:space="preserve"> will most often be used where </w:t>
      </w:r>
      <w:r>
        <w:t xml:space="preserve">Health NZ </w:t>
      </w:r>
      <w:r w:rsidRPr="003E3FEA">
        <w:t xml:space="preserve">want to understand more about a potentially significant risk identified in a qualitative review, but where full </w:t>
      </w:r>
      <w:r w:rsidRPr="003E3FEA">
        <w:rPr>
          <w:iCs/>
        </w:rPr>
        <w:t xml:space="preserve">Detailed Seismic Assessment </w:t>
      </w:r>
      <w:r w:rsidRPr="003E3FEA">
        <w:t xml:space="preserve">is not considered warranted or necessary. Targeted Seismic Assessment should follow Parts A and C of the </w:t>
      </w:r>
      <w:r w:rsidRPr="003E3FEA">
        <w:rPr>
          <w:iCs/>
        </w:rPr>
        <w:t>Engineering Assessment Guidelines</w:t>
      </w:r>
      <w:r w:rsidRPr="003E3FEA">
        <w:t>, applied to the restricted scope area of the assessment.</w:t>
      </w:r>
    </w:p>
    <w:p w14:paraId="4D0889EA" w14:textId="77777777" w:rsidR="00526E24" w:rsidRPr="003E3FEA" w:rsidRDefault="00526E24" w:rsidP="00E318C8">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3E3FEA">
        <w:t>Because of their restricted scope, neither of these forms of assessments on their own can be used to provide an overall Assessed Seismic Rating for a building as a whole</w:t>
      </w:r>
      <w:r>
        <w:t xml:space="preserve">, </w:t>
      </w:r>
      <w:r w:rsidRPr="003E3FEA">
        <w:t xml:space="preserve">nor would they constitute an </w:t>
      </w:r>
      <w:r w:rsidRPr="003E3FEA">
        <w:rPr>
          <w:iCs/>
        </w:rPr>
        <w:t>Engineering Assessment</w:t>
      </w:r>
      <w:r w:rsidRPr="003E3FEA">
        <w:t xml:space="preserve"> for EPB purposes.</w:t>
      </w:r>
    </w:p>
    <w:p w14:paraId="5B9FA176" w14:textId="77777777" w:rsidR="00526E24" w:rsidRPr="003E3FEA" w:rsidRDefault="00526E24" w:rsidP="00E318C8">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3E3FEA">
        <w:t xml:space="preserve">A </w:t>
      </w:r>
      <w:r w:rsidRPr="003E3FEA">
        <w:rPr>
          <w:iCs/>
        </w:rPr>
        <w:t xml:space="preserve">Targeted Seismic Assessment </w:t>
      </w:r>
      <w:r w:rsidRPr="003E3FEA">
        <w:t xml:space="preserve">in conjunction with an ISA that complies with Parts A and B of the </w:t>
      </w:r>
      <w:r w:rsidRPr="003E3FEA">
        <w:rPr>
          <w:iCs/>
        </w:rPr>
        <w:t>Engineering Assessment Guidelines</w:t>
      </w:r>
      <w:r w:rsidRPr="003E3FEA">
        <w:t xml:space="preserve"> may meet the requirements of an </w:t>
      </w:r>
      <w:r w:rsidRPr="003E3FEA">
        <w:rPr>
          <w:iCs/>
        </w:rPr>
        <w:t>Engineering Assessment</w:t>
      </w:r>
      <w:r w:rsidRPr="003E3FEA">
        <w:t xml:space="preserve"> for EPB purposes (if it meets the requirements of the EPB methodology).</w:t>
      </w:r>
    </w:p>
    <w:p w14:paraId="16020256" w14:textId="77777777" w:rsidR="00526E24" w:rsidRPr="003E3FEA" w:rsidRDefault="00526E24" w:rsidP="006F02C7">
      <w:pPr>
        <w:pStyle w:val="Section2Heading2"/>
      </w:pPr>
      <w:bookmarkStart w:id="284" w:name="_Ref180128575"/>
      <w:bookmarkStart w:id="285" w:name="_Toc203641977"/>
      <w:r w:rsidRPr="003E3FEA">
        <w:t>Evaluating Continued Functionality</w:t>
      </w:r>
      <w:bookmarkEnd w:id="284"/>
      <w:bookmarkEnd w:id="285"/>
    </w:p>
    <w:p w14:paraId="6620683E" w14:textId="480B17F6" w:rsidR="00526E24" w:rsidRPr="003E3FEA" w:rsidRDefault="00526E24" w:rsidP="00B96715">
      <w:r w:rsidRPr="003E3FEA">
        <w:t xml:space="preserve">Where requested in the </w:t>
      </w:r>
      <w:r w:rsidRPr="003E3FEA">
        <w:rPr>
          <w:i/>
          <w:iCs/>
        </w:rPr>
        <w:t xml:space="preserve">Project Brief </w:t>
      </w:r>
      <w:r w:rsidRPr="003E3FEA">
        <w:t xml:space="preserve">for Importance Level 4 hospital buildings, seismic assessments should evaluate the likely performance against the continued functionality objective. A continued functionality assessment should be based around the SLS2 criteria defined in Section </w:t>
      </w:r>
      <w:r w:rsidRPr="003E3FEA">
        <w:fldChar w:fldCharType="begin"/>
      </w:r>
      <w:r w:rsidRPr="003E3FEA">
        <w:instrText xml:space="preserve"> REF _Ref150756251 \r \h </w:instrText>
      </w:r>
      <w:r>
        <w:instrText xml:space="preserve"> \* MERGEFORMAT </w:instrText>
      </w:r>
      <w:r w:rsidRPr="003E3FEA">
        <w:fldChar w:fldCharType="separate"/>
      </w:r>
      <w:r w:rsidR="000761C1">
        <w:t>B2.3.1</w:t>
      </w:r>
      <w:r w:rsidRPr="003E3FEA">
        <w:fldChar w:fldCharType="end"/>
      </w:r>
      <w:r w:rsidRPr="003E3FEA">
        <w:t xml:space="preserve"> (</w:t>
      </w:r>
      <w:r w:rsidRPr="003E3FEA">
        <w:fldChar w:fldCharType="begin"/>
      </w:r>
      <w:r w:rsidRPr="003E3FEA">
        <w:instrText xml:space="preserve"> REF _Ref150196492 \h </w:instrText>
      </w:r>
      <w:r>
        <w:instrText xml:space="preserve"> \* MERGEFORMAT </w:instrText>
      </w:r>
      <w:r w:rsidRPr="003E3FEA">
        <w:fldChar w:fldCharType="separate"/>
      </w:r>
      <w:r w:rsidR="000761C1" w:rsidRPr="000761C1">
        <w:t xml:space="preserve">Table </w:t>
      </w:r>
      <w:r w:rsidR="000761C1" w:rsidRPr="000761C1">
        <w:rPr>
          <w:noProof/>
        </w:rPr>
        <w:t>6</w:t>
      </w:r>
      <w:r w:rsidRPr="003E3FEA">
        <w:fldChar w:fldCharType="end"/>
      </w:r>
      <w:r w:rsidRPr="003E3FEA">
        <w:t xml:space="preserve">) as an earthquake scenario (the 500-year earthquake). Assessments for </w:t>
      </w:r>
      <w:r>
        <w:t>Health NZ</w:t>
      </w:r>
      <w:r w:rsidRPr="003E3FEA">
        <w:t xml:space="preserve"> should be risk-based and vulnerability focussed, rather than compliance focused—and in practice many aspects of these assessments will be qualitative rather than quantitative. This is especially the case in the shorter term, where </w:t>
      </w:r>
      <w:r>
        <w:t>Health NZ</w:t>
      </w:r>
      <w:r w:rsidRPr="003E3FEA">
        <w:t xml:space="preserve"> seeks to gather ‘big picture’ information on resilience risks as rapidly and </w:t>
      </w:r>
      <w:r w:rsidRPr="003E3FEA">
        <w:lastRenderedPageBreak/>
        <w:t>efficiently as possible to inform prioritisation and investment decision making</w:t>
      </w:r>
      <w:r>
        <w:t xml:space="preserve">, </w:t>
      </w:r>
      <w:r w:rsidRPr="003E3FEA">
        <w:t>rather than a more detailed building-by-building approach.</w:t>
      </w:r>
    </w:p>
    <w:p w14:paraId="044C0BE9" w14:textId="77777777" w:rsidR="00526E24" w:rsidRPr="003E3FEA" w:rsidRDefault="00526E24" w:rsidP="00666E06">
      <w:r w:rsidRPr="003E3FEA">
        <w:t xml:space="preserve">It can be more difficult to assess continued functionality or damage objectives (compared with assessment of life safety risks in accordance with the </w:t>
      </w:r>
      <w:r w:rsidRPr="003E3FEA">
        <w:rPr>
          <w:i/>
          <w:iCs/>
        </w:rPr>
        <w:t>Engineering Assessment Guidelines</w:t>
      </w:r>
      <w:r w:rsidRPr="003E3FEA">
        <w:t>)</w:t>
      </w:r>
      <w:r>
        <w:t xml:space="preserve"> - </w:t>
      </w:r>
      <w:r w:rsidRPr="003E3FEA">
        <w:t>especially for non-structural elements. The content of this guideline applicable to SLS2 can be applied, with appropriate judgements made for existing building contexts. Assessors should record the basis for the SLS2 assessment criteria used.</w:t>
      </w:r>
    </w:p>
    <w:p w14:paraId="7471A702" w14:textId="77777777" w:rsidR="00526E24" w:rsidRPr="003E3FEA" w:rsidRDefault="00526E24" w:rsidP="00666E06">
      <w:r w:rsidRPr="003E3FEA">
        <w:t>Where a building or element and its non-structural systems is considered unlikely to maintain its continued functionality requirements, discussion on risks should be included in the body of the report. Assessment summaries should list:</w:t>
      </w:r>
    </w:p>
    <w:p w14:paraId="4720EEDD" w14:textId="769D8314" w:rsidR="00526E24" w:rsidRPr="003E3FEA" w:rsidRDefault="00526E24" w:rsidP="004D55F1">
      <w:pPr>
        <w:pStyle w:val="ListParagraph"/>
        <w:numPr>
          <w:ilvl w:val="0"/>
          <w:numId w:val="81"/>
        </w:numPr>
      </w:pPr>
      <w:r w:rsidRPr="003E3FEA">
        <w:t xml:space="preserve">The vulnerability and the physical description of the damage in an SLS2 scenario (a </w:t>
      </w:r>
      <w:r w:rsidR="00854AA9">
        <w:t>significant</w:t>
      </w:r>
      <w:r w:rsidR="00854AA9" w:rsidRPr="003E3FEA">
        <w:t xml:space="preserve"> </w:t>
      </w:r>
      <w:r w:rsidRPr="003E3FEA">
        <w:t>earthquake) and its likely consequence, in clear and plain language.</w:t>
      </w:r>
    </w:p>
    <w:p w14:paraId="557866EE" w14:textId="77777777" w:rsidR="00526E24" w:rsidRPr="003E3FEA" w:rsidRDefault="00526E24" w:rsidP="004D55F1">
      <w:pPr>
        <w:pStyle w:val="ListParagraph"/>
        <w:numPr>
          <w:ilvl w:val="0"/>
          <w:numId w:val="81"/>
        </w:numPr>
      </w:pPr>
      <w:r w:rsidRPr="003E3FEA">
        <w:t>The criticality of the element or system, and the likely impact to continued functionality of the building’s overall service function.</w:t>
      </w:r>
    </w:p>
    <w:p w14:paraId="07119FB7" w14:textId="77777777" w:rsidR="00526E24" w:rsidRPr="003E3FEA" w:rsidRDefault="00526E24" w:rsidP="004D55F1">
      <w:pPr>
        <w:pStyle w:val="ListParagraph"/>
        <w:numPr>
          <w:ilvl w:val="0"/>
          <w:numId w:val="81"/>
        </w:numPr>
      </w:pPr>
      <w:r w:rsidRPr="003E3FEA">
        <w:t>The relative ease to access and remediate the element.</w:t>
      </w:r>
    </w:p>
    <w:p w14:paraId="4A28EE7F" w14:textId="75260E34" w:rsidR="00526E24" w:rsidRPr="003E3FEA" w:rsidRDefault="00526E24" w:rsidP="004D55F1">
      <w:pPr>
        <w:pStyle w:val="ListParagraph"/>
        <w:numPr>
          <w:ilvl w:val="0"/>
          <w:numId w:val="81"/>
        </w:numPr>
      </w:pPr>
      <w:r w:rsidRPr="003E3FEA">
        <w:t xml:space="preserve">Preferably (to better convey the spectrum of likelihood) whether damage in </w:t>
      </w:r>
      <w:r w:rsidR="003C15E9">
        <w:t>more</w:t>
      </w:r>
      <w:r w:rsidRPr="003E3FEA">
        <w:t xml:space="preserve"> </w:t>
      </w:r>
      <w:r w:rsidR="003C15E9">
        <w:t>moderate</w:t>
      </w:r>
      <w:r w:rsidR="003C15E9" w:rsidRPr="003E3FEA">
        <w:t xml:space="preserve"> </w:t>
      </w:r>
      <w:r w:rsidRPr="003E3FEA">
        <w:t>earthquake</w:t>
      </w:r>
      <w:r w:rsidR="003C15E9">
        <w:t>s</w:t>
      </w:r>
      <w:r w:rsidRPr="003E3FEA">
        <w:t xml:space="preserve"> could </w:t>
      </w:r>
      <w:r w:rsidR="00A210E2">
        <w:t xml:space="preserve">also </w:t>
      </w:r>
      <w:r w:rsidRPr="003E3FEA">
        <w:t>affect continued functionality.</w:t>
      </w:r>
    </w:p>
    <w:p w14:paraId="1F524EC3" w14:textId="2E7D64D7"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 xml:space="preserve">A vulnerability focussed, triage-based approach has been proposed for evaluating non-structural elements as part of a continued functionality assessment, and this is outlined with further background in the </w:t>
      </w:r>
      <w:r w:rsidRPr="003E3FEA">
        <w:rPr>
          <w:iCs/>
        </w:rPr>
        <w:t>Kestrel Report</w:t>
      </w:r>
      <w:r w:rsidRPr="003E3FEA">
        <w:t xml:space="preserve"> </w:t>
      </w:r>
      <w:sdt>
        <w:sdtPr>
          <w:id w:val="-576045741"/>
          <w:citation/>
        </w:sdtPr>
        <w:sdtEndPr/>
        <w:sdtContent>
          <w:r w:rsidRPr="003E3FEA">
            <w:fldChar w:fldCharType="begin"/>
          </w:r>
          <w:r w:rsidRPr="003E3FEA">
            <w:rPr>
              <w:lang w:val="en-US"/>
            </w:rPr>
            <w:instrText xml:space="preserve"> CITATION Kes22 \l 1033 </w:instrText>
          </w:r>
          <w:r w:rsidRPr="003E3FEA">
            <w:fldChar w:fldCharType="separate"/>
          </w:r>
          <w:r w:rsidR="00222D65">
            <w:rPr>
              <w:noProof/>
              <w:lang w:val="en-US"/>
            </w:rPr>
            <w:t>(Kestrel Group, 2022)</w:t>
          </w:r>
          <w:r w:rsidRPr="003E3FEA">
            <w:fldChar w:fldCharType="end"/>
          </w:r>
        </w:sdtContent>
      </w:sdt>
      <w:r w:rsidRPr="003E3FEA">
        <w:t xml:space="preserve">. A technical methodology for this triage-based approach has been further developed, and is planned to undergo trial later in 2024, with the intention of being further developed and made available for wider use. The status of this triage methodology and its pilot application should be considered as part of briefing and scoping of any continued functionality assessments for </w:t>
      </w:r>
      <w:r>
        <w:t xml:space="preserve">Health NZ </w:t>
      </w:r>
      <w:r w:rsidRPr="003E3FEA">
        <w:t>hospital buildings.</w:t>
      </w:r>
    </w:p>
    <w:p w14:paraId="33A45366" w14:textId="6E550F68"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 xml:space="preserve">For the structural systems themselves, it can be straightforward (from a process perspective at least) to extend an ordinary life-safety focussed seismic assessment to include consideration of structural damage potentially affecting continued functionality, given the knowledge already obtained on structural behaviour. However, the difficulty in estimating onset of structural damage with any accuracy needs to be acknowledged. The content of this guideline can be applied where applicable (such as Sections </w:t>
      </w:r>
      <w:r w:rsidRPr="003E3FEA">
        <w:fldChar w:fldCharType="begin"/>
      </w:r>
      <w:r w:rsidRPr="003E3FEA">
        <w:instrText xml:space="preserve"> REF _Ref150180900 \r \h </w:instrText>
      </w:r>
      <w:r>
        <w:instrText xml:space="preserve"> \* MERGEFORMAT </w:instrText>
      </w:r>
      <w:r w:rsidRPr="003E3FEA">
        <w:fldChar w:fldCharType="separate"/>
      </w:r>
      <w:r w:rsidR="000761C1">
        <w:t>B2.5</w:t>
      </w:r>
      <w:r w:rsidRPr="003E3FEA">
        <w:fldChar w:fldCharType="end"/>
      </w:r>
      <w:r w:rsidRPr="003E3FEA">
        <w:t xml:space="preserve"> and </w:t>
      </w:r>
      <w:r w:rsidRPr="003E3FEA">
        <w:fldChar w:fldCharType="begin"/>
      </w:r>
      <w:r w:rsidRPr="003E3FEA">
        <w:instrText xml:space="preserve"> REF _Ref152322416 \r \h </w:instrText>
      </w:r>
      <w:r>
        <w:instrText xml:space="preserve"> \* MERGEFORMAT </w:instrText>
      </w:r>
      <w:r w:rsidRPr="003E3FEA">
        <w:fldChar w:fldCharType="separate"/>
      </w:r>
      <w:r w:rsidR="000761C1">
        <w:t>C3.1</w:t>
      </w:r>
      <w:r w:rsidRPr="003E3FEA">
        <w:fldChar w:fldCharType="end"/>
      </w:r>
      <w:r w:rsidRPr="003E3FEA">
        <w:t xml:space="preserve">), and other references, such as ASCE 41 may be useful. However, presenting the outcomes in the same manner described above in terms of potential vulnerability and the </w:t>
      </w:r>
      <w:r w:rsidRPr="003E3FEA">
        <w:rPr>
          <w:iCs/>
        </w:rPr>
        <w:t>consequence</w:t>
      </w:r>
      <w:r w:rsidRPr="003E3FEA">
        <w:t xml:space="preserve"> of damage, centred around the 500-year earthquake (indicatively, rather than in absolute terms) is preferred.</w:t>
      </w:r>
    </w:p>
    <w:p w14:paraId="4220519D" w14:textId="3401B61B"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 xml:space="preserve">The </w:t>
      </w:r>
      <w:r w:rsidRPr="003E3FEA">
        <w:rPr>
          <w:iCs/>
        </w:rPr>
        <w:t>Kestrel Report</w:t>
      </w:r>
      <w:r w:rsidRPr="003E3FEA">
        <w:t xml:space="preserve"> notes that, with exceptions, it is most commonly non-structural system performance that has been observed to be the greatest vulnerability to continued functionality in previous earthquakes</w:t>
      </w:r>
      <w:r>
        <w:t xml:space="preserve"> </w:t>
      </w:r>
      <w:r w:rsidRPr="003E3FEA">
        <w:t xml:space="preserve">particularly in the hours and days following a </w:t>
      </w:r>
      <w:r w:rsidR="00A210E2">
        <w:t>significant</w:t>
      </w:r>
      <w:r w:rsidR="00A210E2" w:rsidRPr="003E3FEA">
        <w:t xml:space="preserve"> </w:t>
      </w:r>
      <w:r w:rsidRPr="003E3FEA">
        <w:t>earthquake (even where some level of structural repair in the longer term may be deemed necessary).</w:t>
      </w:r>
    </w:p>
    <w:p w14:paraId="6CE7BA8A" w14:textId="77777777" w:rsidR="00526E24" w:rsidRPr="003E3FEA" w:rsidRDefault="00526E24" w:rsidP="006F02C7">
      <w:pPr>
        <w:pStyle w:val="Section2Heading2"/>
      </w:pPr>
      <w:bookmarkStart w:id="286" w:name="_Toc203641978"/>
      <w:r w:rsidRPr="003E3FEA">
        <w:lastRenderedPageBreak/>
        <w:t>Seismic Retrofit Objectives</w:t>
      </w:r>
      <w:bookmarkEnd w:id="286"/>
    </w:p>
    <w:p w14:paraId="10EC3D6B" w14:textId="4EDF50B1" w:rsidR="00526E24" w:rsidRPr="003E3FEA" w:rsidRDefault="00526E24" w:rsidP="00666E06">
      <w:r>
        <w:t xml:space="preserve">Health NZ </w:t>
      </w:r>
      <w:r w:rsidRPr="003E3FEA">
        <w:t>’s basic minimum performance objective for any seismic retrofit work should reflect the long-term goals stated in Section</w:t>
      </w:r>
      <w:r w:rsidR="00803C5C">
        <w:t xml:space="preserve"> </w:t>
      </w:r>
      <w:r w:rsidR="00803C5C">
        <w:fldChar w:fldCharType="begin"/>
      </w:r>
      <w:r w:rsidR="00803C5C">
        <w:instrText xml:space="preserve"> REF _Ref180128610 \r \h </w:instrText>
      </w:r>
      <w:r w:rsidR="00803C5C">
        <w:fldChar w:fldCharType="separate"/>
      </w:r>
      <w:r w:rsidR="000761C1">
        <w:t>B8.1</w:t>
      </w:r>
      <w:r w:rsidR="00803C5C">
        <w:fldChar w:fldCharType="end"/>
      </w:r>
      <w:r w:rsidRPr="003E3FEA">
        <w:t xml:space="preserve">. That is, </w:t>
      </w:r>
      <w:r w:rsidRPr="003E3FEA">
        <w:rPr>
          <w:i/>
          <w:iCs/>
        </w:rPr>
        <w:t>Low-Risk</w:t>
      </w:r>
      <w:r w:rsidRPr="003E3FEA">
        <w:t xml:space="preserve"> (&gt;67% NBS), and meeting continued functionality objectives as measured by SLS2 (but only </w:t>
      </w:r>
      <w:r w:rsidRPr="003E3FEA">
        <w:rPr>
          <w:i/>
          <w:iCs/>
        </w:rPr>
        <w:t>as near as is reasonably practicable)</w:t>
      </w:r>
      <w:r w:rsidRPr="003E3FEA">
        <w:t>.</w:t>
      </w:r>
    </w:p>
    <w:p w14:paraId="51FCD9F5" w14:textId="77777777" w:rsidR="00526E24" w:rsidRPr="003E3FEA" w:rsidRDefault="00526E24" w:rsidP="00666E06">
      <w:r w:rsidRPr="003E3FEA">
        <w:t xml:space="preserve">This includes retrofit work that is planned in the short term to remediate buildings which are </w:t>
      </w:r>
      <w:r w:rsidRPr="003E3FEA">
        <w:rPr>
          <w:i/>
          <w:iCs/>
        </w:rPr>
        <w:t>Earthquake-prone</w:t>
      </w:r>
      <w:r w:rsidRPr="003E3FEA">
        <w:t xml:space="preserve">. That is, the same performance objectives stated above should be targeted (not just strengthening so that the building is no longer </w:t>
      </w:r>
      <w:r w:rsidRPr="003E3FEA">
        <w:rPr>
          <w:i/>
          <w:iCs/>
        </w:rPr>
        <w:t>Earthquake-prone</w:t>
      </w:r>
      <w:r w:rsidRPr="003E3FEA">
        <w:t>).</w:t>
      </w:r>
    </w:p>
    <w:p w14:paraId="6C426CA9" w14:textId="77777777" w:rsidR="00526E24" w:rsidRPr="003E3FEA" w:rsidRDefault="00526E24" w:rsidP="00666E06">
      <w:r w:rsidRPr="003E3FEA">
        <w:t xml:space="preserve">In practice, the Low-Risk (&gt;67% NBS) target will not be rigidly enforced as a specific target that covers all circumstances. </w:t>
      </w:r>
      <w:r>
        <w:t xml:space="preserve">Health NZ </w:t>
      </w:r>
      <w:r w:rsidRPr="003E3FEA">
        <w:t>may accept a lower strengthening target where it can be demonstrated that the cost to strengthen to 67% NBS would be disproportionately high. It may also recognise the benefits of a staged approach, which accelerates shorter-term mitigations for significant and low scoring risks, completed ahead of longer-term improvements if this better aligns with overall asset management strategies. This can improve the accessibility of meaningful safety improvements (i.e. their cost effectiveness and practicality) provided the longer picture is kept in view.</w:t>
      </w:r>
    </w:p>
    <w:p w14:paraId="4B4F755F" w14:textId="2FAF104E" w:rsidR="00526E24" w:rsidRPr="003E3FEA" w:rsidRDefault="00526E24" w:rsidP="00666E06">
      <w:r>
        <w:t>Health NZ</w:t>
      </w:r>
      <w:r w:rsidRPr="003E3FEA">
        <w:t xml:space="preserve">’s Seismic Policy requires multiple concept options (more than one) to be presented as part of strengthening design development </w:t>
      </w:r>
      <w:sdt>
        <w:sdtPr>
          <w:id w:val="-520080724"/>
          <w:citation/>
        </w:sdtPr>
        <w:sdtEndPr/>
        <w:sdtContent>
          <w:r w:rsidRPr="003E3FEA">
            <w:fldChar w:fldCharType="begin"/>
          </w:r>
          <w:r w:rsidRPr="003E3FEA">
            <w:rPr>
              <w:lang w:val="en-US"/>
            </w:rPr>
            <w:instrText xml:space="preserve"> CITATION TeW231 \l 1033 </w:instrText>
          </w:r>
          <w:r w:rsidRPr="003E3FEA">
            <w:fldChar w:fldCharType="separate"/>
          </w:r>
          <w:r w:rsidR="00222D65">
            <w:rPr>
              <w:noProof/>
              <w:lang w:val="en-US"/>
            </w:rPr>
            <w:t>(Te Whatu Ora, 2024)</w:t>
          </w:r>
          <w:r w:rsidRPr="003E3FEA">
            <w:fldChar w:fldCharType="end"/>
          </w:r>
        </w:sdtContent>
      </w:sdt>
      <w:r w:rsidRPr="003E3FEA">
        <w:t xml:space="preserve">. Specific principles that should be applied when testing proposed retrofit schemes against </w:t>
      </w:r>
      <w:r>
        <w:t xml:space="preserve">Health NZ </w:t>
      </w:r>
      <w:r w:rsidRPr="003E3FEA">
        <w:t>’s basic minimum performance objectives include:</w:t>
      </w:r>
    </w:p>
    <w:p w14:paraId="42569F98" w14:textId="77777777" w:rsidR="00526E24" w:rsidRPr="003E3FEA" w:rsidRDefault="00526E24" w:rsidP="004D55F1">
      <w:pPr>
        <w:pStyle w:val="ListParagraph"/>
        <w:numPr>
          <w:ilvl w:val="0"/>
          <w:numId w:val="84"/>
        </w:numPr>
      </w:pPr>
      <w:r w:rsidRPr="003E3FEA">
        <w:t>The proportionality of cost, for a given level of risk reduction.</w:t>
      </w:r>
    </w:p>
    <w:p w14:paraId="10355B25" w14:textId="77777777" w:rsidR="00526E24" w:rsidRPr="003E3FEA" w:rsidRDefault="00526E24" w:rsidP="004D55F1">
      <w:pPr>
        <w:pStyle w:val="ListParagraph"/>
        <w:numPr>
          <w:ilvl w:val="0"/>
          <w:numId w:val="84"/>
        </w:numPr>
      </w:pPr>
      <w:r w:rsidRPr="003E3FEA">
        <w:t>Which vulnerabilities are addressed as part of strengthening, and which vulnerabilities remain, and their physical consequences of failure in respect of life safety and continued functionality.</w:t>
      </w:r>
    </w:p>
    <w:p w14:paraId="69F65482" w14:textId="77777777" w:rsidR="00526E24" w:rsidRPr="003E3FEA" w:rsidRDefault="00526E24" w:rsidP="004D55F1">
      <w:pPr>
        <w:pStyle w:val="ListParagraph"/>
        <w:numPr>
          <w:ilvl w:val="0"/>
          <w:numId w:val="84"/>
        </w:numPr>
      </w:pPr>
      <w:r w:rsidRPr="003E3FEA">
        <w:t>Favouring approaches to strengthening that are more likely to holistically minimise structural/non-structural damage (such as drift reduction) rather than solely focusing on life safety.</w:t>
      </w:r>
    </w:p>
    <w:p w14:paraId="2A14F6AA" w14:textId="77777777" w:rsidR="00526E24" w:rsidRPr="00EB3009"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b/>
          <w:bCs/>
        </w:rPr>
      </w:pPr>
      <w:r w:rsidRPr="00EB3009">
        <w:rPr>
          <w:b/>
          <w:bCs/>
        </w:rPr>
        <w:t>Designing specific elements of strengthening to &gt;100% ULS, or explicitly for a 67% ULS target</w:t>
      </w:r>
    </w:p>
    <w:p w14:paraId="01479FC5" w14:textId="77777777"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In most cases, once committing to retrofitting a deficiency, it best to target the strengthening of that component either so that the deficiency no longer exists at all (where applicable), or such that its capacity aligns with Building Code or B1/VM1 levels (using 100% ULS demands). This should be the aspirational starting objective for most deficiencies (Structural Weaknesses) that fall below the notional performance target of 67% NBS and which the retrofit works seek to remediate. It is a better long-term and enduring approach to risk management, and often makes sense for discrete components, such as precast panel securing, and improvement of stair separations.</w:t>
      </w:r>
    </w:p>
    <w:p w14:paraId="33C8EB09" w14:textId="77777777"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 xml:space="preserve">However, this approach is unlikely to be practical in all situations. Where there is more proportionate cost/benefit to reduce earthquake loadings to the notional target of 67% NBS (represented by using 67% ULS demands in the design of strengthening), then </w:t>
      </w:r>
      <w:r w:rsidRPr="003E3FEA">
        <w:lastRenderedPageBreak/>
        <w:t xml:space="preserve">this can be done. The residual risk still achieves a </w:t>
      </w:r>
      <w:r w:rsidRPr="003E3FEA">
        <w:rPr>
          <w:iCs/>
        </w:rPr>
        <w:t>Low-Risk</w:t>
      </w:r>
      <w:r w:rsidRPr="003E3FEA">
        <w:t xml:space="preserve"> </w:t>
      </w:r>
      <w:r w:rsidRPr="003E3FEA">
        <w:rPr>
          <w:iCs/>
        </w:rPr>
        <w:t>Seismic Grade</w:t>
      </w:r>
      <w:r w:rsidRPr="003E3FEA">
        <w:t xml:space="preserve"> and fulfils </w:t>
      </w:r>
      <w:r>
        <w:t xml:space="preserve">Health NZ </w:t>
      </w:r>
      <w:r w:rsidRPr="003E3FEA">
        <w:t>’s basic minimum objective.</w:t>
      </w:r>
    </w:p>
    <w:p w14:paraId="3DED8107" w14:textId="77777777" w:rsidR="00526E24" w:rsidRPr="00EB3009"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b/>
          <w:bCs/>
        </w:rPr>
      </w:pPr>
      <w:r w:rsidRPr="00EB3009">
        <w:rPr>
          <w:b/>
          <w:bCs/>
        </w:rPr>
        <w:t>Non-Structural Element Retrofit</w:t>
      </w:r>
    </w:p>
    <w:p w14:paraId="5B7BB6D5" w14:textId="77777777" w:rsidR="00526E24" w:rsidRPr="003E3FEA" w:rsidRDefault="00526E24" w:rsidP="006F02C7">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3E3FEA">
        <w:t>In general, it is expected that retrofits on non-structural elements to mitigate continued functionality risks would be undertaken on a prioritised basis, considered at a system level. This would prioritise systems that are considered most seismically vulnerable, most critical to post-earthquake function, and most practical to remediate.</w:t>
      </w:r>
    </w:p>
    <w:p w14:paraId="20AB5751" w14:textId="77777777" w:rsidR="00E46D23" w:rsidRDefault="00E46D23" w:rsidP="00666E06"/>
    <w:p w14:paraId="57F7832A" w14:textId="77777777" w:rsidR="001E45CB" w:rsidRDefault="001E45CB" w:rsidP="00666E06"/>
    <w:p w14:paraId="4E740F6D" w14:textId="77777777" w:rsidR="001E45CB" w:rsidRDefault="001E45CB" w:rsidP="00666E06">
      <w:pPr>
        <w:sectPr w:rsidR="001E45CB" w:rsidSect="002658BB">
          <w:headerReference w:type="default" r:id="rId74"/>
          <w:footerReference w:type="default" r:id="rId75"/>
          <w:footerReference w:type="first" r:id="rId76"/>
          <w:footnotePr>
            <w:numRestart w:val="eachPage"/>
          </w:footnotePr>
          <w:pgSz w:w="11906" w:h="16838" w:code="187"/>
          <w:pgMar w:top="1560" w:right="1134" w:bottom="1418" w:left="1134" w:header="709" w:footer="709" w:gutter="0"/>
          <w:cols w:space="708"/>
          <w:docGrid w:linePitch="360"/>
        </w:sectPr>
      </w:pPr>
    </w:p>
    <w:p w14:paraId="1FF2F05D" w14:textId="1B05DB39" w:rsidR="004C0F1C" w:rsidRPr="00E364B0" w:rsidRDefault="00E00649" w:rsidP="00E364B0">
      <w:pPr>
        <w:pStyle w:val="Dividerheading"/>
        <w:ind w:left="0"/>
        <w:rPr>
          <w:color w:val="003399"/>
        </w:rPr>
      </w:pPr>
      <w:bookmarkStart w:id="287" w:name="_Toc203641979"/>
      <w:r w:rsidRPr="00E364B0">
        <w:rPr>
          <w:noProof/>
          <w:color w:val="003399"/>
          <w14:ligatures w14:val="none"/>
        </w:rPr>
        <w:lastRenderedPageBreak/>
        <w:drawing>
          <wp:anchor distT="0" distB="0" distL="114300" distR="114300" simplePos="0" relativeHeight="251658243" behindDoc="1" locked="0" layoutInCell="1" allowOverlap="1" wp14:anchorId="2E889B51" wp14:editId="31F769EE">
            <wp:simplePos x="0" y="0"/>
            <wp:positionH relativeFrom="column">
              <wp:posOffset>-727710</wp:posOffset>
            </wp:positionH>
            <wp:positionV relativeFrom="paragraph">
              <wp:posOffset>-971550</wp:posOffset>
            </wp:positionV>
            <wp:extent cx="7559999" cy="9598547"/>
            <wp:effectExtent l="0" t="0" r="3175" b="3175"/>
            <wp:wrapNone/>
            <wp:docPr id="156831841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18412" name="Picture 5">
                      <a:extLst>
                        <a:ext uri="{C183D7F6-B498-43B3-948B-1728B52AA6E4}">
                          <adec:decorative xmlns:adec="http://schemas.microsoft.com/office/drawing/2017/decorative" val="1"/>
                        </a:ext>
                      </a:extLst>
                    </pic:cNvPr>
                    <pic:cNvPicPr/>
                  </pic:nvPicPr>
                  <pic:blipFill>
                    <a:blip r:embed="rId77">
                      <a:extLst>
                        <a:ext uri="{28A0092B-C50C-407E-A947-70E740481C1C}">
                          <a14:useLocalDpi xmlns:a14="http://schemas.microsoft.com/office/drawing/2010/main" val="0"/>
                        </a:ext>
                      </a:extLst>
                    </a:blip>
                    <a:stretch>
                      <a:fillRect/>
                    </a:stretch>
                  </pic:blipFill>
                  <pic:spPr>
                    <a:xfrm>
                      <a:off x="0" y="0"/>
                      <a:ext cx="7559999" cy="9598547"/>
                    </a:xfrm>
                    <a:prstGeom prst="rect">
                      <a:avLst/>
                    </a:prstGeom>
                  </pic:spPr>
                </pic:pic>
              </a:graphicData>
            </a:graphic>
            <wp14:sizeRelH relativeFrom="page">
              <wp14:pctWidth>0</wp14:pctWidth>
            </wp14:sizeRelH>
            <wp14:sizeRelV relativeFrom="page">
              <wp14:pctHeight>0</wp14:pctHeight>
            </wp14:sizeRelV>
          </wp:anchor>
        </w:drawing>
      </w:r>
      <w:r w:rsidR="001E6557" w:rsidRPr="00E364B0">
        <w:rPr>
          <w:noProof/>
          <w:color w:val="003399"/>
        </w:rPr>
        <w:t>Part C. Structural and Geotechnical Requirements</w:t>
      </w:r>
      <w:bookmarkEnd w:id="287"/>
    </w:p>
    <w:p w14:paraId="69407EDF" w14:textId="3BFB06E7" w:rsidR="004C0F1C" w:rsidRDefault="004C0F1C" w:rsidP="00155C3B">
      <w:pPr>
        <w:pStyle w:val="Heading1"/>
      </w:pPr>
    </w:p>
    <w:p w14:paraId="1EE7BA66" w14:textId="6D77ECC5" w:rsidR="004C0F1C" w:rsidRDefault="004C0F1C" w:rsidP="00155C3B">
      <w:pPr>
        <w:pStyle w:val="Heading1"/>
      </w:pPr>
    </w:p>
    <w:p w14:paraId="3DF61B0A" w14:textId="631C17DA" w:rsidR="008F1BDA" w:rsidRDefault="008F1BDA" w:rsidP="004C0F1C">
      <w:r>
        <w:br w:type="page"/>
      </w:r>
    </w:p>
    <w:p w14:paraId="31BB4F38" w14:textId="08C69190" w:rsidR="0026594F" w:rsidRPr="00E812F6" w:rsidRDefault="0026594F" w:rsidP="00E812F6">
      <w:pPr>
        <w:pStyle w:val="Section3heading1"/>
      </w:pPr>
      <w:bookmarkStart w:id="288" w:name="_Ref149485020"/>
      <w:bookmarkStart w:id="289" w:name="_Ref149485055"/>
      <w:bookmarkStart w:id="290" w:name="_Ref149489626"/>
      <w:bookmarkStart w:id="291" w:name="_Ref149489629"/>
      <w:bookmarkStart w:id="292" w:name="_Toc203641980"/>
      <w:r w:rsidRPr="00E812F6">
        <w:lastRenderedPageBreak/>
        <w:t>Design Loadings</w:t>
      </w:r>
      <w:bookmarkEnd w:id="288"/>
      <w:bookmarkEnd w:id="289"/>
      <w:bookmarkEnd w:id="290"/>
      <w:bookmarkEnd w:id="291"/>
      <w:bookmarkEnd w:id="292"/>
    </w:p>
    <w:p w14:paraId="508C08C5" w14:textId="696CD63F" w:rsidR="0026594F" w:rsidRPr="00A415A5" w:rsidRDefault="0026594F" w:rsidP="00A415A5">
      <w:pPr>
        <w:pStyle w:val="Section3heading2"/>
      </w:pPr>
      <w:bookmarkStart w:id="293" w:name="_Toc203641981"/>
      <w:r w:rsidRPr="00A415A5">
        <w:t>General</w:t>
      </w:r>
      <w:bookmarkEnd w:id="293"/>
    </w:p>
    <w:p w14:paraId="35C0DEA0" w14:textId="1899D82E" w:rsidR="000B7964" w:rsidRPr="002114A2" w:rsidRDefault="000B7964" w:rsidP="002114A2">
      <w:pPr>
        <w:pStyle w:val="Section3heading3"/>
      </w:pPr>
      <w:bookmarkStart w:id="294" w:name="_Ref161737292"/>
      <w:r w:rsidRPr="002114A2">
        <w:t xml:space="preserve">Design Working Life for </w:t>
      </w:r>
      <w:r w:rsidR="007E6ABE" w:rsidRPr="002114A2">
        <w:t>Loadings</w:t>
      </w:r>
      <w:bookmarkEnd w:id="294"/>
    </w:p>
    <w:p w14:paraId="6943B93E" w14:textId="00DC00CC" w:rsidR="007E6ABE" w:rsidRPr="004F428C" w:rsidRDefault="007E6ABE" w:rsidP="00D56CAE">
      <w:pPr>
        <w:pStyle w:val="BodyHeading"/>
        <w:rPr>
          <w:color w:val="003399"/>
        </w:rPr>
      </w:pPr>
      <w:r w:rsidRPr="004F428C">
        <w:rPr>
          <w:color w:val="003399"/>
        </w:rPr>
        <w:t>Design Working Life for Building Structures</w:t>
      </w:r>
    </w:p>
    <w:p w14:paraId="2E799571" w14:textId="74FCD039" w:rsidR="00127CB1" w:rsidRPr="004E48DA" w:rsidRDefault="00127CB1" w:rsidP="00666E06">
      <w:r w:rsidRPr="004E48DA">
        <w:t xml:space="preserve">The </w:t>
      </w:r>
      <w:r w:rsidR="00F07CEA" w:rsidRPr="004E48DA">
        <w:rPr>
          <w:i/>
          <w:iCs/>
        </w:rPr>
        <w:t>Design Working</w:t>
      </w:r>
      <w:r w:rsidR="0097265D" w:rsidRPr="004E48DA">
        <w:rPr>
          <w:i/>
          <w:iCs/>
        </w:rPr>
        <w:t xml:space="preserve"> Life</w:t>
      </w:r>
      <w:r w:rsidRPr="004E48DA">
        <w:t xml:space="preserve"> for </w:t>
      </w:r>
      <w:r w:rsidR="003613DF" w:rsidRPr="004E48DA">
        <w:t xml:space="preserve">determining loading from </w:t>
      </w:r>
      <w:r w:rsidRPr="004E48DA">
        <w:t>natural hazards</w:t>
      </w:r>
      <w:r w:rsidR="0049614B" w:rsidRPr="004E48DA">
        <w:t xml:space="preserve"> </w:t>
      </w:r>
      <w:r w:rsidR="0097265D" w:rsidRPr="004E48DA">
        <w:t>should generally</w:t>
      </w:r>
      <w:r w:rsidR="0049614B" w:rsidRPr="004E48DA">
        <w:t xml:space="preserve"> be 50-years</w:t>
      </w:r>
      <w:r w:rsidR="0097265D" w:rsidRPr="004E48DA">
        <w:t>, unless spec</w:t>
      </w:r>
      <w:r w:rsidR="00F07CEA" w:rsidRPr="004E48DA">
        <w:t xml:space="preserve">ified otherwise in the </w:t>
      </w:r>
      <w:r w:rsidR="007D5C79">
        <w:rPr>
          <w:i/>
          <w:iCs/>
        </w:rPr>
        <w:t xml:space="preserve">Health NZ </w:t>
      </w:r>
      <w:r w:rsidR="00F07CEA" w:rsidRPr="004E48DA">
        <w:rPr>
          <w:i/>
          <w:iCs/>
        </w:rPr>
        <w:t>Project Technical Brief</w:t>
      </w:r>
      <w:r w:rsidR="0049614B" w:rsidRPr="004E48DA">
        <w:t>.</w:t>
      </w:r>
    </w:p>
    <w:p w14:paraId="03E7B762" w14:textId="0075FEB5" w:rsidR="00A334BF" w:rsidRPr="004E48DA" w:rsidRDefault="00A334BF" w:rsidP="004F428C">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E48DA">
        <w:t>This</w:t>
      </w:r>
      <w:r w:rsidR="001F13D7" w:rsidRPr="004E48DA">
        <w:t xml:space="preserve"> comment is made specifically in relation to the use of the Loading Standards AS/NZS 1170 Suite</w:t>
      </w:r>
      <w:r w:rsidR="00B4419D" w:rsidRPr="004E48DA">
        <w:t xml:space="preserve"> and the </w:t>
      </w:r>
      <w:r w:rsidR="00F95D82" w:rsidRPr="004E48DA">
        <w:t xml:space="preserve">Earthquake </w:t>
      </w:r>
      <w:r w:rsidR="00B4419D" w:rsidRPr="004E48DA">
        <w:t xml:space="preserve">Geotechnical </w:t>
      </w:r>
      <w:r w:rsidR="00F95D82" w:rsidRPr="004E48DA">
        <w:t xml:space="preserve">Engineering Practice </w:t>
      </w:r>
      <w:r w:rsidR="00B4419D" w:rsidRPr="004E48DA">
        <w:t>Modules</w:t>
      </w:r>
      <w:r w:rsidR="001F13D7" w:rsidRPr="004E48DA">
        <w:t>. Users should seek clarification if there is an intent to apply</w:t>
      </w:r>
      <w:r w:rsidR="00153C8F" w:rsidRPr="004E48DA">
        <w:t xml:space="preserve"> this advice to </w:t>
      </w:r>
      <w:r w:rsidR="003A4E15" w:rsidRPr="004E48DA">
        <w:t>other documents</w:t>
      </w:r>
      <w:r w:rsidR="00153C8F" w:rsidRPr="004E48DA">
        <w:t xml:space="preserve"> </w:t>
      </w:r>
      <w:r w:rsidR="008131AB" w:rsidRPr="004E48DA">
        <w:t>and seek clarificat</w:t>
      </w:r>
      <w:r w:rsidR="006D0197" w:rsidRPr="004E48DA">
        <w:t xml:space="preserve">ion </w:t>
      </w:r>
      <w:r w:rsidR="00504C82" w:rsidRPr="004E48DA">
        <w:t>if necessary</w:t>
      </w:r>
      <w:r w:rsidR="003A4E15" w:rsidRPr="004E48DA">
        <w:t>.</w:t>
      </w:r>
    </w:p>
    <w:p w14:paraId="65AE621A" w14:textId="4DA6B3FF" w:rsidR="0037795B" w:rsidRPr="004E48DA" w:rsidRDefault="000A7CCB" w:rsidP="004F428C">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E48DA">
        <w:t xml:space="preserve">Although </w:t>
      </w:r>
      <w:r w:rsidR="00F97F71" w:rsidRPr="004E48DA">
        <w:t xml:space="preserve">Section </w:t>
      </w:r>
      <w:r w:rsidR="00F97F71" w:rsidRPr="004E48DA">
        <w:fldChar w:fldCharType="begin"/>
      </w:r>
      <w:r w:rsidR="00F97F71" w:rsidRPr="004E48DA">
        <w:instrText xml:space="preserve"> REF _Ref149579646 \r \h </w:instrText>
      </w:r>
      <w:r w:rsidR="004E48DA">
        <w:instrText xml:space="preserve"> \* MERGEFORMAT </w:instrText>
      </w:r>
      <w:r w:rsidR="00F97F71" w:rsidRPr="004E48DA">
        <w:fldChar w:fldCharType="separate"/>
      </w:r>
      <w:r w:rsidR="000761C1">
        <w:t>B3</w:t>
      </w:r>
      <w:r w:rsidR="00F97F71" w:rsidRPr="004E48DA">
        <w:fldChar w:fldCharType="end"/>
      </w:r>
      <w:r w:rsidR="00F97F71" w:rsidRPr="004E48DA">
        <w:t xml:space="preserve"> of </w:t>
      </w:r>
      <w:r w:rsidR="00766ADF" w:rsidRPr="004E48DA">
        <w:t xml:space="preserve">this guideline contains requirements for </w:t>
      </w:r>
      <w:r w:rsidR="00353923" w:rsidRPr="004E48DA">
        <w:t>a longer</w:t>
      </w:r>
      <w:r w:rsidRPr="004E48DA">
        <w:t xml:space="preserve"> </w:t>
      </w:r>
      <w:r w:rsidRPr="004E48DA">
        <w:rPr>
          <w:iCs/>
        </w:rPr>
        <w:t>Specified Intended Life</w:t>
      </w:r>
      <w:r w:rsidRPr="004E48DA">
        <w:t xml:space="preserve"> for durability</w:t>
      </w:r>
      <w:r w:rsidR="00766ADF" w:rsidRPr="004E48DA">
        <w:t xml:space="preserve"> (for some elements)</w:t>
      </w:r>
      <w:r w:rsidR="00353923" w:rsidRPr="004E48DA">
        <w:t xml:space="preserve">, these do not apply to </w:t>
      </w:r>
      <w:r w:rsidR="00C915E3" w:rsidRPr="004E48DA">
        <w:t xml:space="preserve">design working life for </w:t>
      </w:r>
      <w:r w:rsidR="00353923" w:rsidRPr="004E48DA">
        <w:t>hazards</w:t>
      </w:r>
      <w:r w:rsidR="00987428" w:rsidRPr="004E48DA">
        <w:t xml:space="preserve"> (</w:t>
      </w:r>
      <w:r w:rsidR="00766ADF" w:rsidRPr="004E48DA">
        <w:t>w</w:t>
      </w:r>
      <w:r w:rsidR="00987428" w:rsidRPr="004E48DA">
        <w:t xml:space="preserve">ind, </w:t>
      </w:r>
      <w:r w:rsidR="00766ADF" w:rsidRPr="004E48DA">
        <w:t>s</w:t>
      </w:r>
      <w:r w:rsidR="00987428" w:rsidRPr="004E48DA">
        <w:t xml:space="preserve">now or </w:t>
      </w:r>
      <w:r w:rsidR="00766ADF" w:rsidRPr="004E48DA">
        <w:t>e</w:t>
      </w:r>
      <w:r w:rsidR="00987428" w:rsidRPr="004E48DA">
        <w:t>arthquake)</w:t>
      </w:r>
      <w:r w:rsidR="00353923" w:rsidRPr="004E48DA">
        <w:t xml:space="preserve">. </w:t>
      </w:r>
      <w:r w:rsidR="002E3569" w:rsidRPr="004E48DA">
        <w:t>Th</w:t>
      </w:r>
      <w:r w:rsidR="00401469" w:rsidRPr="004E48DA">
        <w:t>is guide considers the reliability</w:t>
      </w:r>
      <w:r w:rsidR="00091876" w:rsidRPr="004E48DA">
        <w:t xml:space="preserve"> levels implicit in the Annual Probability of </w:t>
      </w:r>
      <w:r w:rsidR="009F5A4E" w:rsidRPr="004E48DA">
        <w:t>Exceedance</w:t>
      </w:r>
      <w:r w:rsidR="00091876" w:rsidRPr="004E48DA">
        <w:t xml:space="preserve"> for natural hazards at </w:t>
      </w:r>
      <w:r w:rsidR="00C915E3" w:rsidRPr="004E48DA">
        <w:t xml:space="preserve">the </w:t>
      </w:r>
      <w:r w:rsidR="00091876" w:rsidRPr="004E48DA">
        <w:t xml:space="preserve">various limit states to be generally </w:t>
      </w:r>
      <w:r w:rsidR="004908FA" w:rsidRPr="004E48DA">
        <w:t>calibrated around the concept of a 50-year notional life—as otherwise clarified/expanded upon within this guideline.</w:t>
      </w:r>
      <w:r w:rsidR="00E24108" w:rsidRPr="004E48DA">
        <w:t xml:space="preserve"> </w:t>
      </w:r>
      <w:r w:rsidR="00035C8D" w:rsidRPr="004E48DA">
        <w:t xml:space="preserve">Whether or not </w:t>
      </w:r>
      <w:r w:rsidR="00E75471" w:rsidRPr="004E48DA">
        <w:t xml:space="preserve">buildings are </w:t>
      </w:r>
      <w:r w:rsidR="00733EB8" w:rsidRPr="004E48DA">
        <w:t xml:space="preserve">demolished </w:t>
      </w:r>
      <w:r w:rsidR="002E0F1C" w:rsidRPr="004E48DA">
        <w:t>and replaced,</w:t>
      </w:r>
      <w:r w:rsidR="00120DD5" w:rsidRPr="004E48DA">
        <w:t xml:space="preserve"> or whether they are retained for longer,</w:t>
      </w:r>
      <w:r w:rsidR="002E0F1C" w:rsidRPr="004E48DA">
        <w:t xml:space="preserve"> this is taken to represent an “indefinite life”</w:t>
      </w:r>
      <w:r w:rsidR="00120DD5" w:rsidRPr="004E48DA">
        <w:t xml:space="preserve"> and indefinite risk exposure</w:t>
      </w:r>
      <w:r w:rsidR="002E0F1C" w:rsidRPr="004E48DA">
        <w:t xml:space="preserve">. </w:t>
      </w:r>
      <w:r w:rsidR="00090973" w:rsidRPr="004E48DA">
        <w:t>C</w:t>
      </w:r>
      <w:r w:rsidR="0037795B" w:rsidRPr="004E48DA">
        <w:t xml:space="preserve">limate risk </w:t>
      </w:r>
      <w:r w:rsidR="00291CC5" w:rsidRPr="004E48DA">
        <w:t xml:space="preserve">adaptation </w:t>
      </w:r>
      <w:r w:rsidR="00C569C5" w:rsidRPr="004E48DA">
        <w:t xml:space="preserve">matters </w:t>
      </w:r>
      <w:r w:rsidR="0037795B" w:rsidRPr="004E48DA">
        <w:t>are</w:t>
      </w:r>
      <w:r w:rsidR="00C12863" w:rsidRPr="004E48DA">
        <w:t xml:space="preserve"> handled separately.</w:t>
      </w:r>
    </w:p>
    <w:p w14:paraId="45DCC7E3" w14:textId="572F1C3D" w:rsidR="00E516C2" w:rsidRPr="00203B5A" w:rsidRDefault="00E516C2" w:rsidP="00D56CAE">
      <w:pPr>
        <w:pStyle w:val="BodyHeading"/>
        <w:rPr>
          <w:color w:val="003399"/>
        </w:rPr>
      </w:pPr>
      <w:r w:rsidRPr="00203B5A">
        <w:rPr>
          <w:color w:val="003399"/>
        </w:rPr>
        <w:t xml:space="preserve">Design Working Life for </w:t>
      </w:r>
      <w:r w:rsidR="0052478A" w:rsidRPr="00203B5A">
        <w:rPr>
          <w:color w:val="003399"/>
        </w:rPr>
        <w:t xml:space="preserve">Building Components and </w:t>
      </w:r>
      <w:r w:rsidR="006740E1" w:rsidRPr="00203B5A">
        <w:rPr>
          <w:color w:val="003399"/>
        </w:rPr>
        <w:t>Utilities</w:t>
      </w:r>
    </w:p>
    <w:p w14:paraId="1496949D" w14:textId="54F2C9F0" w:rsidR="003F2A09" w:rsidRPr="004E48DA" w:rsidRDefault="0085789D" w:rsidP="00666E06">
      <w:r w:rsidRPr="004E48DA">
        <w:t>Similar to buildings,</w:t>
      </w:r>
      <w:r w:rsidR="00E9665F" w:rsidRPr="004E48DA">
        <w:t xml:space="preserve"> the</w:t>
      </w:r>
      <w:r w:rsidRPr="004E48DA">
        <w:t xml:space="preserve"> </w:t>
      </w:r>
      <w:r w:rsidR="00E9665F" w:rsidRPr="004E48DA">
        <w:rPr>
          <w:i/>
          <w:iCs/>
        </w:rPr>
        <w:t>Design Working Life</w:t>
      </w:r>
      <w:r w:rsidR="00E9665F" w:rsidRPr="004E48DA">
        <w:t xml:space="preserve"> for determining loading from natural hazards</w:t>
      </w:r>
      <w:r w:rsidR="008C7B08" w:rsidRPr="004E48DA">
        <w:t xml:space="preserve"> (including wind, earthquake and snow) should</w:t>
      </w:r>
      <w:r w:rsidR="00E167A4" w:rsidRPr="004E48DA">
        <w:t xml:space="preserve"> be 50-years, unless specified otherwise in the </w:t>
      </w:r>
      <w:r w:rsidR="007D5C79">
        <w:rPr>
          <w:i/>
          <w:iCs/>
        </w:rPr>
        <w:t xml:space="preserve">Health NZ </w:t>
      </w:r>
      <w:r w:rsidR="00E167A4" w:rsidRPr="004E48DA">
        <w:rPr>
          <w:i/>
          <w:iCs/>
        </w:rPr>
        <w:t>Project Technical Brief</w:t>
      </w:r>
      <w:r w:rsidR="00E167A4" w:rsidRPr="004E48DA">
        <w:t>.</w:t>
      </w:r>
      <w:r w:rsidR="002510B9" w:rsidRPr="004E48DA">
        <w:t xml:space="preserve"> </w:t>
      </w:r>
      <w:r w:rsidR="003F2A09" w:rsidRPr="004E48DA">
        <w:t>This includes engineering systems</w:t>
      </w:r>
      <w:r w:rsidR="0058637C" w:rsidRPr="004E48DA">
        <w:t xml:space="preserve"> </w:t>
      </w:r>
      <w:r w:rsidR="00CC1D33" w:rsidRPr="004E48DA">
        <w:t>within</w:t>
      </w:r>
      <w:r w:rsidR="0058637C" w:rsidRPr="004E48DA">
        <w:t xml:space="preserve"> buildings, </w:t>
      </w:r>
      <w:r w:rsidR="00596817" w:rsidRPr="004E48DA">
        <w:t>as well as independently housed or located</w:t>
      </w:r>
      <w:r w:rsidR="000C22FB" w:rsidRPr="004E48DA">
        <w:t xml:space="preserve"> </w:t>
      </w:r>
      <w:r w:rsidR="0093619B" w:rsidRPr="004E48DA">
        <w:t>utilities</w:t>
      </w:r>
      <w:r w:rsidR="00CC1D33" w:rsidRPr="004E48DA">
        <w:t xml:space="preserve"> and plant</w:t>
      </w:r>
      <w:r w:rsidR="002510B9" w:rsidRPr="004E48DA">
        <w:t xml:space="preserve">, </w:t>
      </w:r>
      <w:r w:rsidR="000C22FB" w:rsidRPr="004E48DA">
        <w:t>storage tanks</w:t>
      </w:r>
      <w:r w:rsidR="00596817" w:rsidRPr="004E48DA">
        <w:t xml:space="preserve">, </w:t>
      </w:r>
      <w:r w:rsidR="000C22FB" w:rsidRPr="004E48DA">
        <w:t xml:space="preserve">pressure vessels </w:t>
      </w:r>
      <w:r w:rsidR="00596817" w:rsidRPr="004E48DA">
        <w:t>and the like.</w:t>
      </w:r>
    </w:p>
    <w:p w14:paraId="27ABEB92" w14:textId="33059153" w:rsidR="00343656" w:rsidRDefault="002C6C15" w:rsidP="00666E06">
      <w:r w:rsidRPr="004E48DA">
        <w:t>A l</w:t>
      </w:r>
      <w:r w:rsidR="00343656" w:rsidRPr="004E48DA">
        <w:t xml:space="preserve">ower </w:t>
      </w:r>
      <w:r w:rsidR="00343656" w:rsidRPr="004E48DA">
        <w:rPr>
          <w:i/>
          <w:iCs/>
        </w:rPr>
        <w:t>Design Working Li</w:t>
      </w:r>
      <w:r w:rsidRPr="004E48DA">
        <w:rPr>
          <w:i/>
          <w:iCs/>
        </w:rPr>
        <w:t>fe</w:t>
      </w:r>
      <w:r w:rsidR="00343656" w:rsidRPr="004E48DA">
        <w:t xml:space="preserve"> may be assigned only </w:t>
      </w:r>
      <w:r w:rsidR="003D7A75" w:rsidRPr="004E48DA">
        <w:t>i</w:t>
      </w:r>
      <w:r w:rsidR="00DA72F3">
        <w:t>n</w:t>
      </w:r>
      <w:r w:rsidR="003D7A75" w:rsidRPr="004E48DA">
        <w:t xml:space="preserve"> specific circumstances, </w:t>
      </w:r>
      <w:r w:rsidR="00343656" w:rsidRPr="004E48DA">
        <w:t xml:space="preserve">where </w:t>
      </w:r>
      <w:r w:rsidRPr="004E48DA">
        <w:t>the</w:t>
      </w:r>
      <w:r w:rsidR="008D142B" w:rsidRPr="004E48DA">
        <w:t xml:space="preserve"> component or utility </w:t>
      </w:r>
      <w:r w:rsidR="00AB764C" w:rsidRPr="004E48DA">
        <w:t xml:space="preserve">in consideration is clearly of a non-permanent nature </w:t>
      </w:r>
      <w:r w:rsidR="00C10CF0" w:rsidRPr="004E48DA">
        <w:t xml:space="preserve">and where there is no intent to </w:t>
      </w:r>
      <w:r w:rsidR="00927C2D" w:rsidRPr="004E48DA">
        <w:t>retain or replace</w:t>
      </w:r>
      <w:r w:rsidR="00386C88" w:rsidRPr="004E48DA">
        <w:t xml:space="preserve"> </w:t>
      </w:r>
      <w:r w:rsidR="002510B9" w:rsidRPr="004E48DA">
        <w:t xml:space="preserve">it </w:t>
      </w:r>
      <w:r w:rsidR="00386C88" w:rsidRPr="004E48DA">
        <w:t xml:space="preserve">beyond the stated </w:t>
      </w:r>
      <w:r w:rsidR="00386C88" w:rsidRPr="004E48DA">
        <w:rPr>
          <w:i/>
          <w:iCs/>
        </w:rPr>
        <w:t>Design Working Life</w:t>
      </w:r>
      <w:r w:rsidR="00386C88" w:rsidRPr="004E48DA">
        <w:t>.</w:t>
      </w:r>
    </w:p>
    <w:p w14:paraId="487D7F1A" w14:textId="77777777" w:rsidR="002401B0" w:rsidRDefault="002401B0" w:rsidP="00666E06"/>
    <w:p w14:paraId="40C9E58F" w14:textId="77777777" w:rsidR="002401B0" w:rsidRDefault="002401B0" w:rsidP="00666E06"/>
    <w:p w14:paraId="55D58282" w14:textId="77777777" w:rsidR="002401B0" w:rsidRDefault="002401B0" w:rsidP="00666E06"/>
    <w:p w14:paraId="494DCB37" w14:textId="77777777" w:rsidR="002401B0" w:rsidRDefault="002401B0" w:rsidP="00666E06"/>
    <w:p w14:paraId="03A659D0" w14:textId="77777777" w:rsidR="002401B0" w:rsidRPr="004E48DA" w:rsidRDefault="002401B0" w:rsidP="00666E06"/>
    <w:p w14:paraId="3B118FBA" w14:textId="59E9468E" w:rsidR="004640E1" w:rsidRPr="004E48DA" w:rsidRDefault="00217ADC" w:rsidP="00203B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E48DA">
        <w:lastRenderedPageBreak/>
        <w:t xml:space="preserve">This is consistent with the </w:t>
      </w:r>
      <w:r w:rsidR="00181A8A" w:rsidRPr="004E48DA">
        <w:rPr>
          <w:iCs/>
        </w:rPr>
        <w:t>Design Working Life</w:t>
      </w:r>
      <w:r w:rsidR="00181A8A" w:rsidRPr="004E48DA">
        <w:t xml:space="preserve"> assigned in the </w:t>
      </w:r>
      <w:r w:rsidRPr="004E48DA">
        <w:t xml:space="preserve">derivation of </w:t>
      </w:r>
      <w:r w:rsidR="008A6D55" w:rsidRPr="004E48DA">
        <w:t>loadings in NZS 4219</w:t>
      </w:r>
      <w:r w:rsidR="00181A8A" w:rsidRPr="004E48DA">
        <w:t xml:space="preserve">, and </w:t>
      </w:r>
      <w:r w:rsidR="003D7A75" w:rsidRPr="004E48DA">
        <w:t>recognises</w:t>
      </w:r>
      <w:r w:rsidR="00181A8A" w:rsidRPr="004E48DA">
        <w:t xml:space="preserve"> the notion of </w:t>
      </w:r>
      <w:r w:rsidR="00602D01" w:rsidRPr="004E48DA">
        <w:t xml:space="preserve">practically indefinite risk exposure, irrespective of </w:t>
      </w:r>
      <w:r w:rsidR="00613BD2" w:rsidRPr="004E48DA">
        <w:t>the actual replacement life of an individual piece of equipment.</w:t>
      </w:r>
      <w:r w:rsidR="0084327C" w:rsidRPr="004E48DA">
        <w:t xml:space="preserve"> </w:t>
      </w:r>
      <w:r w:rsidR="00367B67" w:rsidRPr="004E48DA">
        <w:t>For storage tanks and pressure vessels, a</w:t>
      </w:r>
      <w:r w:rsidR="0084327C" w:rsidRPr="004E48DA">
        <w:t xml:space="preserve">dditional commentary is available in </w:t>
      </w:r>
      <w:sdt>
        <w:sdtPr>
          <w:id w:val="-1879468224"/>
          <w:citation/>
        </w:sdtPr>
        <w:sdtEndPr/>
        <w:sdtContent>
          <w:r w:rsidR="00367B67" w:rsidRPr="004E48DA">
            <w:fldChar w:fldCharType="begin"/>
          </w:r>
          <w:r w:rsidR="00367B67" w:rsidRPr="004E48DA">
            <w:rPr>
              <w:lang w:val="en-US"/>
            </w:rPr>
            <w:instrText xml:space="preserve"> CITATION Bec22 \l 1033 </w:instrText>
          </w:r>
          <w:r w:rsidR="00367B67" w:rsidRPr="004E48DA">
            <w:fldChar w:fldCharType="separate"/>
          </w:r>
          <w:r w:rsidR="00222D65">
            <w:rPr>
              <w:noProof/>
              <w:lang w:val="en-US"/>
            </w:rPr>
            <w:t>(Beca, 2022)</w:t>
          </w:r>
          <w:r w:rsidR="00367B67" w:rsidRPr="004E48DA">
            <w:fldChar w:fldCharType="end"/>
          </w:r>
        </w:sdtContent>
      </w:sdt>
      <w:r w:rsidR="00367B67" w:rsidRPr="004E48DA">
        <w:t xml:space="preserve"> regarding </w:t>
      </w:r>
      <w:r w:rsidR="00DA72F3">
        <w:t>l</w:t>
      </w:r>
      <w:r w:rsidR="00093CAA" w:rsidRPr="004E48DA">
        <w:t xml:space="preserve">imitations and </w:t>
      </w:r>
      <w:r w:rsidR="00DA72F3">
        <w:t>i</w:t>
      </w:r>
      <w:r w:rsidR="00093CAA" w:rsidRPr="004E48DA">
        <w:t xml:space="preserve">mplications of a 25-year </w:t>
      </w:r>
      <w:r w:rsidR="00093CAA" w:rsidRPr="004E48DA">
        <w:rPr>
          <w:iCs/>
        </w:rPr>
        <w:t>Design Working Life</w:t>
      </w:r>
      <w:r w:rsidR="00093CAA" w:rsidRPr="004E48DA">
        <w:t>.</w:t>
      </w:r>
    </w:p>
    <w:p w14:paraId="5E1C3889" w14:textId="34004731" w:rsidR="004D6175" w:rsidRPr="004E48DA" w:rsidRDefault="004D6175" w:rsidP="00FC76EF">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4E48DA">
        <w:t>Irrespective of the parameters ultimately selected</w:t>
      </w:r>
      <w:r w:rsidR="00D35A08" w:rsidRPr="004E48DA">
        <w:t xml:space="preserve"> by tank/vessel designers and the designers of their supporting structures and foundations</w:t>
      </w:r>
      <w:r w:rsidRPr="004E48DA">
        <w:t xml:space="preserve">, </w:t>
      </w:r>
      <w:r w:rsidRPr="004E48DA">
        <w:rPr>
          <w:b/>
          <w:bCs/>
        </w:rPr>
        <w:t xml:space="preserve">it is </w:t>
      </w:r>
      <w:r w:rsidR="00DA6922" w:rsidRPr="004E48DA">
        <w:rPr>
          <w:b/>
          <w:bCs/>
        </w:rPr>
        <w:t>fundamental</w:t>
      </w:r>
      <w:r w:rsidRPr="004E48DA">
        <w:rPr>
          <w:b/>
          <w:bCs/>
        </w:rPr>
        <w:t xml:space="preserve"> that SLS2 </w:t>
      </w:r>
      <w:r w:rsidR="00DA6922" w:rsidRPr="004E48DA">
        <w:rPr>
          <w:b/>
          <w:bCs/>
        </w:rPr>
        <w:t>be</w:t>
      </w:r>
      <w:r w:rsidR="001B78D0" w:rsidRPr="004E48DA">
        <w:rPr>
          <w:b/>
          <w:bCs/>
        </w:rPr>
        <w:t xml:space="preserve"> considered consistently </w:t>
      </w:r>
      <w:r w:rsidR="00DA6922" w:rsidRPr="004E48DA">
        <w:rPr>
          <w:b/>
          <w:bCs/>
        </w:rPr>
        <w:t xml:space="preserve">with the buildings served, </w:t>
      </w:r>
      <w:r w:rsidRPr="004E48DA">
        <w:rPr>
          <w:b/>
          <w:bCs/>
        </w:rPr>
        <w:t xml:space="preserve">using </w:t>
      </w:r>
      <w:r w:rsidR="00D82BF1" w:rsidRPr="004E48DA">
        <w:rPr>
          <w:b/>
          <w:bCs/>
        </w:rPr>
        <w:t xml:space="preserve">the earthquake demands specified in Section </w:t>
      </w:r>
      <w:r w:rsidR="00D82BF1" w:rsidRPr="004E48DA">
        <w:rPr>
          <w:b/>
          <w:bCs/>
        </w:rPr>
        <w:fldChar w:fldCharType="begin"/>
      </w:r>
      <w:r w:rsidR="00D82BF1" w:rsidRPr="004E48DA">
        <w:rPr>
          <w:b/>
          <w:bCs/>
        </w:rPr>
        <w:instrText xml:space="preserve"> REF _Ref150756251 \r \h </w:instrText>
      </w:r>
      <w:r w:rsidR="00DA6922" w:rsidRPr="004E48DA">
        <w:rPr>
          <w:b/>
          <w:bCs/>
        </w:rPr>
        <w:instrText xml:space="preserve"> \* MERGEFORMAT </w:instrText>
      </w:r>
      <w:r w:rsidR="00D82BF1" w:rsidRPr="004E48DA">
        <w:rPr>
          <w:b/>
          <w:bCs/>
        </w:rPr>
      </w:r>
      <w:r w:rsidR="00D82BF1" w:rsidRPr="004E48DA">
        <w:rPr>
          <w:b/>
          <w:bCs/>
        </w:rPr>
        <w:fldChar w:fldCharType="separate"/>
      </w:r>
      <w:r w:rsidR="000761C1">
        <w:rPr>
          <w:b/>
          <w:bCs/>
        </w:rPr>
        <w:t>B2.3.1</w:t>
      </w:r>
      <w:r w:rsidR="00D82BF1" w:rsidRPr="004E48DA">
        <w:rPr>
          <w:b/>
          <w:bCs/>
        </w:rPr>
        <w:fldChar w:fldCharType="end"/>
      </w:r>
      <w:r w:rsidR="00D82BF1" w:rsidRPr="00FC76EF">
        <w:t xml:space="preserve">, </w:t>
      </w:r>
      <w:r w:rsidR="00D82BF1" w:rsidRPr="00FC76EF">
        <w:rPr>
          <w:b/>
          <w:bCs/>
        </w:rPr>
        <w:fldChar w:fldCharType="begin"/>
      </w:r>
      <w:r w:rsidR="00D82BF1" w:rsidRPr="00FC76EF">
        <w:rPr>
          <w:b/>
          <w:bCs/>
        </w:rPr>
        <w:instrText xml:space="preserve"> REF _Ref150196492 \h </w:instrText>
      </w:r>
      <w:r w:rsidR="00DA6922" w:rsidRPr="00FC76EF">
        <w:rPr>
          <w:b/>
          <w:bCs/>
        </w:rPr>
        <w:instrText xml:space="preserve"> \* MERGEFORMAT </w:instrText>
      </w:r>
      <w:r w:rsidR="00D82BF1" w:rsidRPr="00FC76EF">
        <w:rPr>
          <w:b/>
          <w:bCs/>
        </w:rPr>
      </w:r>
      <w:r w:rsidR="00D82BF1" w:rsidRPr="00FC76EF">
        <w:rPr>
          <w:b/>
          <w:bCs/>
        </w:rPr>
        <w:fldChar w:fldCharType="separate"/>
      </w:r>
      <w:r w:rsidR="000761C1" w:rsidRPr="000761C1">
        <w:rPr>
          <w:b/>
          <w:bCs/>
        </w:rPr>
        <w:t xml:space="preserve">Table </w:t>
      </w:r>
      <w:r w:rsidR="000761C1" w:rsidRPr="000761C1">
        <w:rPr>
          <w:b/>
          <w:bCs/>
          <w:noProof/>
        </w:rPr>
        <w:t>6</w:t>
      </w:r>
      <w:r w:rsidR="00D82BF1" w:rsidRPr="00FC76EF">
        <w:rPr>
          <w:b/>
          <w:bCs/>
        </w:rPr>
        <w:fldChar w:fldCharType="end"/>
      </w:r>
      <w:r w:rsidRPr="00FC76EF">
        <w:rPr>
          <w:b/>
          <w:bCs/>
        </w:rPr>
        <w:t xml:space="preserve"> (1 / 500 APoE for Acute Services)</w:t>
      </w:r>
      <w:r w:rsidR="00DE6B5F" w:rsidRPr="00FC76EF">
        <w:rPr>
          <w:b/>
          <w:bCs/>
        </w:rPr>
        <w:t>.</w:t>
      </w:r>
    </w:p>
    <w:p w14:paraId="732E7ADD" w14:textId="2459AB1F" w:rsidR="0026594F" w:rsidRPr="004E48DA" w:rsidRDefault="0026594F" w:rsidP="00203B5A">
      <w:pPr>
        <w:pStyle w:val="Section3heading2"/>
      </w:pPr>
      <w:bookmarkStart w:id="295" w:name="_Ref151128808"/>
      <w:bookmarkStart w:id="296" w:name="_Ref151128815"/>
      <w:bookmarkStart w:id="297" w:name="_Toc203641982"/>
      <w:r w:rsidRPr="004E48DA">
        <w:t>Permanent and Imposed Loading</w:t>
      </w:r>
      <w:bookmarkEnd w:id="295"/>
      <w:bookmarkEnd w:id="296"/>
      <w:bookmarkEnd w:id="297"/>
    </w:p>
    <w:p w14:paraId="65E7FD98" w14:textId="7F9C3BB6" w:rsidR="00FF4B1D" w:rsidRPr="00203B5A" w:rsidRDefault="009D30EF" w:rsidP="00D56CAE">
      <w:pPr>
        <w:pStyle w:val="BodyHeading"/>
        <w:rPr>
          <w:color w:val="003399"/>
        </w:rPr>
      </w:pPr>
      <w:r w:rsidRPr="00203B5A">
        <w:rPr>
          <w:color w:val="003399"/>
        </w:rPr>
        <w:t xml:space="preserve">Permanent </w:t>
      </w:r>
      <w:r w:rsidR="00083FFF" w:rsidRPr="00203B5A">
        <w:rPr>
          <w:color w:val="003399"/>
        </w:rPr>
        <w:t>Actions</w:t>
      </w:r>
      <w:r w:rsidR="00B726BE" w:rsidRPr="00203B5A">
        <w:rPr>
          <w:color w:val="003399"/>
        </w:rPr>
        <w:t xml:space="preserve"> </w:t>
      </w:r>
      <w:r w:rsidR="000C7011">
        <w:rPr>
          <w:color w:val="003399"/>
        </w:rPr>
        <w:t>(</w:t>
      </w:r>
      <w:r w:rsidR="00083FFF" w:rsidRPr="00203B5A">
        <w:rPr>
          <w:color w:val="003399"/>
        </w:rPr>
        <w:t>G</w:t>
      </w:r>
      <w:r w:rsidR="000C7011">
        <w:rPr>
          <w:color w:val="003399"/>
        </w:rPr>
        <w:t>)</w:t>
      </w:r>
      <w:r w:rsidR="00083FFF" w:rsidRPr="00203B5A">
        <w:rPr>
          <w:color w:val="003399"/>
        </w:rPr>
        <w:t xml:space="preserve"> </w:t>
      </w:r>
      <w:r w:rsidR="00B726BE" w:rsidRPr="00203B5A">
        <w:rPr>
          <w:color w:val="003399"/>
        </w:rPr>
        <w:t>(including Superimposed Dead Load</w:t>
      </w:r>
      <w:r w:rsidR="00083FFF" w:rsidRPr="00203B5A">
        <w:rPr>
          <w:color w:val="003399"/>
        </w:rPr>
        <w:t xml:space="preserve"> SDL</w:t>
      </w:r>
      <w:r w:rsidR="00B726BE" w:rsidRPr="00203B5A">
        <w:rPr>
          <w:color w:val="003399"/>
        </w:rPr>
        <w:t>)</w:t>
      </w:r>
    </w:p>
    <w:p w14:paraId="68B9A1A2" w14:textId="4EEECDF5" w:rsidR="007A740B" w:rsidRPr="006E45AC" w:rsidRDefault="008E3072" w:rsidP="00666E06">
      <w:pPr>
        <w:rPr>
          <w:lang w:val="en-US"/>
        </w:rPr>
      </w:pPr>
      <w:r w:rsidRPr="006E45AC">
        <w:rPr>
          <w:lang w:val="en-US"/>
        </w:rPr>
        <w:t>P</w:t>
      </w:r>
      <w:r w:rsidR="00652F47" w:rsidRPr="006E45AC">
        <w:rPr>
          <w:lang w:val="en-US"/>
        </w:rPr>
        <w:t xml:space="preserve">ermanent actions (G) </w:t>
      </w:r>
      <w:r w:rsidRPr="006E45AC">
        <w:rPr>
          <w:lang w:val="en-US"/>
        </w:rPr>
        <w:t xml:space="preserve">include </w:t>
      </w:r>
      <w:r w:rsidR="00652F47" w:rsidRPr="006E45AC">
        <w:rPr>
          <w:lang w:val="en-US"/>
        </w:rPr>
        <w:t xml:space="preserve">the self-weight of documented structure, </w:t>
      </w:r>
      <w:r w:rsidRPr="006E45AC">
        <w:rPr>
          <w:lang w:val="en-US"/>
        </w:rPr>
        <w:t xml:space="preserve">and </w:t>
      </w:r>
      <w:r w:rsidR="007A740B" w:rsidRPr="006E45AC">
        <w:rPr>
          <w:lang w:val="en-US"/>
        </w:rPr>
        <w:t xml:space="preserve">additional applied permanent loading </w:t>
      </w:r>
      <w:r w:rsidR="00652F47" w:rsidRPr="006E45AC">
        <w:rPr>
          <w:lang w:val="en-US"/>
        </w:rPr>
        <w:t xml:space="preserve">usually referred to as Super-imposed Dead Load (SDL). This </w:t>
      </w:r>
      <w:r w:rsidR="009C191F" w:rsidRPr="006E45AC">
        <w:rPr>
          <w:lang w:val="en-US"/>
        </w:rPr>
        <w:t xml:space="preserve">SDL </w:t>
      </w:r>
      <w:r w:rsidR="00652F47" w:rsidRPr="006E45AC">
        <w:rPr>
          <w:lang w:val="en-US"/>
        </w:rPr>
        <w:t>includes non-structural floor finishes, screeds</w:t>
      </w:r>
      <w:r w:rsidR="00FA3DD5" w:rsidRPr="006E45AC">
        <w:rPr>
          <w:lang w:val="en-US"/>
        </w:rPr>
        <w:t>, nibs</w:t>
      </w:r>
      <w:r w:rsidR="00652F47" w:rsidRPr="006E45AC">
        <w:rPr>
          <w:lang w:val="en-US"/>
        </w:rPr>
        <w:t xml:space="preserve"> and plinths, and permanent fixtures such as fixed partitions</w:t>
      </w:r>
      <w:r w:rsidR="000F31DD" w:rsidRPr="006E45AC">
        <w:rPr>
          <w:lang w:val="en-US"/>
        </w:rPr>
        <w:t>, cladding systems</w:t>
      </w:r>
      <w:r w:rsidR="00652F47" w:rsidRPr="006E45AC">
        <w:rPr>
          <w:lang w:val="en-US"/>
        </w:rPr>
        <w:t xml:space="preserve"> and fixed reticulated services.</w:t>
      </w:r>
      <w:r w:rsidR="0074299E" w:rsidRPr="006E45AC">
        <w:rPr>
          <w:lang w:val="en-US"/>
        </w:rPr>
        <w:t xml:space="preserve"> </w:t>
      </w:r>
      <w:r w:rsidR="009C191F" w:rsidRPr="006E45AC">
        <w:rPr>
          <w:lang w:val="en-US"/>
        </w:rPr>
        <w:t>Floor mounted plant</w:t>
      </w:r>
      <w:r w:rsidR="0074299E" w:rsidRPr="006E45AC">
        <w:rPr>
          <w:lang w:val="en-US"/>
        </w:rPr>
        <w:t xml:space="preserve"> is usually considered as an Imposed Load</w:t>
      </w:r>
      <w:r w:rsidR="00A0522B" w:rsidRPr="006E45AC">
        <w:rPr>
          <w:lang w:val="en-US"/>
        </w:rPr>
        <w:t xml:space="preserve"> (Q)</w:t>
      </w:r>
      <w:r w:rsidR="0074299E" w:rsidRPr="006E45AC">
        <w:rPr>
          <w:lang w:val="en-US"/>
        </w:rPr>
        <w:t>.</w:t>
      </w:r>
    </w:p>
    <w:p w14:paraId="72AE0B97" w14:textId="57B65E45" w:rsidR="00652F47" w:rsidRPr="006E45AC" w:rsidRDefault="00964293" w:rsidP="00666E06">
      <w:pPr>
        <w:rPr>
          <w:lang w:val="en-US"/>
        </w:rPr>
      </w:pPr>
      <w:r w:rsidRPr="006E45AC">
        <w:rPr>
          <w:lang w:val="en-US"/>
        </w:rPr>
        <w:t xml:space="preserve">SDL </w:t>
      </w:r>
      <w:r w:rsidR="00B95D5B" w:rsidRPr="006E45AC">
        <w:rPr>
          <w:lang w:val="en-US"/>
        </w:rPr>
        <w:t xml:space="preserve">Allowances </w:t>
      </w:r>
      <w:r w:rsidR="005F3038" w:rsidRPr="006E45AC">
        <w:rPr>
          <w:lang w:val="en-US"/>
        </w:rPr>
        <w:t xml:space="preserve">should be mutually agreed </w:t>
      </w:r>
      <w:r w:rsidRPr="006E45AC">
        <w:rPr>
          <w:lang w:val="en-US"/>
        </w:rPr>
        <w:t xml:space="preserve">with design teams </w:t>
      </w:r>
      <w:r w:rsidR="005F3038" w:rsidRPr="006E45AC">
        <w:rPr>
          <w:lang w:val="en-US"/>
        </w:rPr>
        <w:t>on a project basis</w:t>
      </w:r>
      <w:r w:rsidR="00A516C8" w:rsidRPr="006E45AC">
        <w:rPr>
          <w:lang w:val="en-US"/>
        </w:rPr>
        <w:t>, which will be subject to:</w:t>
      </w:r>
    </w:p>
    <w:p w14:paraId="7751B709" w14:textId="37AE8415" w:rsidR="00176767" w:rsidRPr="006E45AC" w:rsidRDefault="00176767" w:rsidP="004D55F1">
      <w:pPr>
        <w:pStyle w:val="ListParagraph"/>
        <w:numPr>
          <w:ilvl w:val="0"/>
          <w:numId w:val="77"/>
        </w:numPr>
        <w:rPr>
          <w:lang w:val="en-US"/>
        </w:rPr>
      </w:pPr>
      <w:r w:rsidRPr="006E45AC">
        <w:rPr>
          <w:lang w:val="en-US"/>
        </w:rPr>
        <w:t>Extent of floor finishes</w:t>
      </w:r>
      <w:r w:rsidR="00F540AB" w:rsidRPr="006E45AC">
        <w:rPr>
          <w:lang w:val="en-US"/>
        </w:rPr>
        <w:t xml:space="preserve"> (including any non-structural levelling screeds which may or may not be required as part of </w:t>
      </w:r>
      <w:r w:rsidR="009C443B" w:rsidRPr="006E45AC">
        <w:rPr>
          <w:lang w:val="en-US"/>
        </w:rPr>
        <w:t xml:space="preserve">achieving floor </w:t>
      </w:r>
      <w:r w:rsidR="00F540AB" w:rsidRPr="006E45AC">
        <w:rPr>
          <w:lang w:val="en-US"/>
        </w:rPr>
        <w:t>levelness criteria).</w:t>
      </w:r>
    </w:p>
    <w:p w14:paraId="54BE4CA2" w14:textId="6AAC406B" w:rsidR="00F540AB" w:rsidRPr="006E45AC" w:rsidRDefault="00F540AB" w:rsidP="004D55F1">
      <w:pPr>
        <w:pStyle w:val="ListParagraph"/>
        <w:numPr>
          <w:ilvl w:val="0"/>
          <w:numId w:val="77"/>
        </w:numPr>
        <w:rPr>
          <w:lang w:val="en-US"/>
        </w:rPr>
      </w:pPr>
      <w:r w:rsidRPr="006E45AC">
        <w:rPr>
          <w:lang w:val="en-US"/>
        </w:rPr>
        <w:t xml:space="preserve">Extent of </w:t>
      </w:r>
      <w:r w:rsidR="00E74FD4" w:rsidRPr="006E45AC">
        <w:rPr>
          <w:lang w:val="en-US"/>
        </w:rPr>
        <w:t>non-structural partitions</w:t>
      </w:r>
      <w:r w:rsidR="00AA1088" w:rsidRPr="006E45AC">
        <w:rPr>
          <w:lang w:val="en-US"/>
        </w:rPr>
        <w:t xml:space="preserve"> and suspended ceilings, and strategies for reticulated services and suspended </w:t>
      </w:r>
      <w:r w:rsidR="00636E4F" w:rsidRPr="006E45AC">
        <w:rPr>
          <w:lang w:val="en-US"/>
        </w:rPr>
        <w:t xml:space="preserve">plant and medical </w:t>
      </w:r>
      <w:r w:rsidR="00AA1088" w:rsidRPr="006E45AC">
        <w:rPr>
          <w:lang w:val="en-US"/>
        </w:rPr>
        <w:t>equipment</w:t>
      </w:r>
      <w:r w:rsidR="00401262" w:rsidRPr="006E45AC">
        <w:rPr>
          <w:lang w:val="en-US"/>
        </w:rPr>
        <w:t xml:space="preserve"> (including medical pendant support structures)</w:t>
      </w:r>
      <w:r w:rsidR="00AA1088" w:rsidRPr="006E45AC">
        <w:rPr>
          <w:lang w:val="en-US"/>
        </w:rPr>
        <w:t>.</w:t>
      </w:r>
    </w:p>
    <w:p w14:paraId="06E778BE" w14:textId="52507E19" w:rsidR="00A516C8" w:rsidRPr="00845AB2" w:rsidRDefault="00D20E11" w:rsidP="004D55F1">
      <w:pPr>
        <w:pStyle w:val="ListParagraph"/>
        <w:numPr>
          <w:ilvl w:val="0"/>
          <w:numId w:val="77"/>
        </w:numPr>
        <w:rPr>
          <w:lang w:val="en-US"/>
        </w:rPr>
      </w:pPr>
      <w:r w:rsidRPr="006E45AC">
        <w:rPr>
          <w:lang w:val="en-US"/>
        </w:rPr>
        <w:t>Strateg</w:t>
      </w:r>
      <w:r w:rsidR="00636E4F" w:rsidRPr="006E45AC">
        <w:rPr>
          <w:lang w:val="en-US"/>
        </w:rPr>
        <w:t>ies</w:t>
      </w:r>
      <w:r w:rsidRPr="006E45AC">
        <w:rPr>
          <w:lang w:val="en-US"/>
        </w:rPr>
        <w:t xml:space="preserve"> for </w:t>
      </w:r>
      <w:r w:rsidRPr="00D55BD8">
        <w:t xml:space="preserve">adaptability (with reference to Section </w:t>
      </w:r>
      <w:r w:rsidRPr="00D55BD8">
        <w:fldChar w:fldCharType="begin"/>
      </w:r>
      <w:r w:rsidRPr="00D55BD8">
        <w:instrText xml:space="preserve"> REF _Ref166598067 \r \h </w:instrText>
      </w:r>
      <w:r w:rsidR="006E45AC" w:rsidRPr="00D55BD8">
        <w:instrText xml:space="preserve"> \* MERGEFORMAT </w:instrText>
      </w:r>
      <w:r w:rsidRPr="00D55BD8">
        <w:fldChar w:fldCharType="separate"/>
      </w:r>
      <w:r w:rsidR="000761C1">
        <w:t>B6.2</w:t>
      </w:r>
      <w:r w:rsidRPr="00D55BD8">
        <w:fldChar w:fldCharType="end"/>
      </w:r>
      <w:r w:rsidRPr="00D55BD8">
        <w:t xml:space="preserve"> </w:t>
      </w:r>
      <w:r w:rsidRPr="00D55BD8">
        <w:fldChar w:fldCharType="begin"/>
      </w:r>
      <w:r w:rsidRPr="00D55BD8">
        <w:instrText xml:space="preserve"> REF _Ref166598077 \h </w:instrText>
      </w:r>
      <w:r w:rsidR="006E45AC" w:rsidRPr="00D55BD8">
        <w:instrText xml:space="preserve"> \* MERGEFORMAT </w:instrText>
      </w:r>
      <w:r w:rsidRPr="00D55BD8">
        <w:fldChar w:fldCharType="separate"/>
      </w:r>
      <w:r w:rsidR="000761C1" w:rsidRPr="004E48DA">
        <w:t>Adaptable Floor Structures</w:t>
      </w:r>
      <w:r w:rsidRPr="00D55BD8">
        <w:fldChar w:fldCharType="end"/>
      </w:r>
      <w:r w:rsidRPr="00D55BD8">
        <w:t>)</w:t>
      </w:r>
      <w:r w:rsidR="00CD67D3" w:rsidRPr="00D55BD8">
        <w:t>.</w:t>
      </w:r>
    </w:p>
    <w:p w14:paraId="2A17FB00" w14:textId="6557C82B" w:rsidR="00845AB2" w:rsidRPr="006E45AC" w:rsidRDefault="00380E6C" w:rsidP="004D55F1">
      <w:pPr>
        <w:pStyle w:val="ListParagraph"/>
        <w:numPr>
          <w:ilvl w:val="0"/>
          <w:numId w:val="77"/>
        </w:numPr>
        <w:rPr>
          <w:lang w:val="en-US"/>
        </w:rPr>
      </w:pPr>
      <w:r>
        <w:t xml:space="preserve">Considering the extent of </w:t>
      </w:r>
      <w:r w:rsidR="00D52463">
        <w:t xml:space="preserve">rational </w:t>
      </w:r>
      <w:r>
        <w:t xml:space="preserve">zonation that </w:t>
      </w:r>
      <w:r w:rsidR="00D52463">
        <w:t>may be</w:t>
      </w:r>
      <w:r>
        <w:t xml:space="preserve"> appropriate</w:t>
      </w:r>
      <w:r w:rsidR="00795A4A">
        <w:t xml:space="preserve"> </w:t>
      </w:r>
      <w:r w:rsidR="00D52463">
        <w:t>to manage</w:t>
      </w:r>
      <w:r w:rsidR="00CD1878">
        <w:t xml:space="preserve"> localised</w:t>
      </w:r>
      <w:r w:rsidR="00795A4A">
        <w:t xml:space="preserve"> areas with higher SDL. For example, near risers</w:t>
      </w:r>
      <w:r w:rsidR="002E3D74">
        <w:t xml:space="preserve"> </w:t>
      </w:r>
      <w:r w:rsidR="0066561F">
        <w:t>and primary branches of suspended service clusters.</w:t>
      </w:r>
    </w:p>
    <w:p w14:paraId="52FAFD38" w14:textId="77790FF9" w:rsidR="00B95402" w:rsidRPr="006E45AC" w:rsidRDefault="00636E4F" w:rsidP="00666E06">
      <w:r w:rsidRPr="006E45AC">
        <w:t xml:space="preserve">Refer to Section </w:t>
      </w:r>
      <w:r w:rsidRPr="006E45AC">
        <w:fldChar w:fldCharType="begin"/>
      </w:r>
      <w:r w:rsidRPr="006E45AC">
        <w:instrText xml:space="preserve"> REF _Ref166599915 \r \h </w:instrText>
      </w:r>
      <w:r w:rsidR="006E45AC">
        <w:instrText xml:space="preserve"> \* MERGEFORMAT </w:instrText>
      </w:r>
      <w:r w:rsidRPr="006E45AC">
        <w:fldChar w:fldCharType="separate"/>
      </w:r>
      <w:r w:rsidR="000761C1">
        <w:t>A3.1</w:t>
      </w:r>
      <w:r w:rsidRPr="006E45AC">
        <w:fldChar w:fldCharType="end"/>
      </w:r>
      <w:r w:rsidRPr="006E45AC">
        <w:t xml:space="preserve"> for information on the documentation and communication of Superimposed Dead Load allowances.</w:t>
      </w:r>
    </w:p>
    <w:p w14:paraId="1F9B5569" w14:textId="7E3020F3" w:rsidR="00B726BE" w:rsidRPr="00203B5A" w:rsidRDefault="00B726BE" w:rsidP="00D56CAE">
      <w:pPr>
        <w:pStyle w:val="BodyHeading"/>
        <w:rPr>
          <w:color w:val="003399"/>
        </w:rPr>
      </w:pPr>
      <w:r w:rsidRPr="00203B5A">
        <w:rPr>
          <w:color w:val="003399"/>
        </w:rPr>
        <w:t xml:space="preserve">Imposed </w:t>
      </w:r>
      <w:r w:rsidR="00083FFF" w:rsidRPr="00203B5A">
        <w:rPr>
          <w:color w:val="003399"/>
        </w:rPr>
        <w:t xml:space="preserve">Actions </w:t>
      </w:r>
      <w:r w:rsidR="000C7011">
        <w:rPr>
          <w:color w:val="003399"/>
        </w:rPr>
        <w:t>(</w:t>
      </w:r>
      <w:r w:rsidR="00083FFF" w:rsidRPr="00203B5A">
        <w:rPr>
          <w:color w:val="003399"/>
        </w:rPr>
        <w:t>Q</w:t>
      </w:r>
      <w:r w:rsidR="000C7011">
        <w:rPr>
          <w:color w:val="003399"/>
        </w:rPr>
        <w:t>)</w:t>
      </w:r>
    </w:p>
    <w:p w14:paraId="0D1EB673" w14:textId="2120C1E0" w:rsidR="00E9567A" w:rsidRPr="006E45AC" w:rsidRDefault="007A2251" w:rsidP="00666E06">
      <w:r w:rsidRPr="006E45AC">
        <w:t xml:space="preserve">Imposed </w:t>
      </w:r>
      <w:r w:rsidR="00B93E08" w:rsidRPr="006E45AC">
        <w:t>actions (Q) includ</w:t>
      </w:r>
      <w:r w:rsidR="00C065D9" w:rsidRPr="006E45AC">
        <w:t>e</w:t>
      </w:r>
      <w:r w:rsidR="00B93E08" w:rsidRPr="006E45AC">
        <w:t xml:space="preserve"> furniture, movable partitions</w:t>
      </w:r>
      <w:r w:rsidR="00456399" w:rsidRPr="006E45AC">
        <w:t>, shelving, storage, equipment (including general floor mounted plant) and peopl</w:t>
      </w:r>
      <w:r w:rsidR="003C18E8" w:rsidRPr="006E45AC">
        <w:t>e. Imposed loads shall generally be determined in accordance with the requirements of NZS 1170.1</w:t>
      </w:r>
      <w:r w:rsidR="004B71DC" w:rsidRPr="006E45AC">
        <w:t>:2002</w:t>
      </w:r>
      <w:r w:rsidR="003C18E8" w:rsidRPr="006E45AC">
        <w:t xml:space="preserve"> </w:t>
      </w:r>
      <w:sdt>
        <w:sdtPr>
          <w:id w:val="-1302611423"/>
          <w:citation/>
        </w:sdtPr>
        <w:sdtEndPr/>
        <w:sdtContent>
          <w:r w:rsidR="004B71DC" w:rsidRPr="006E45AC">
            <w:fldChar w:fldCharType="begin"/>
          </w:r>
          <w:r w:rsidR="004B71DC" w:rsidRPr="006E45AC">
            <w:rPr>
              <w:lang w:val="en-US"/>
            </w:rPr>
            <w:instrText xml:space="preserve"> CITATION SNZ091 \l 1033 </w:instrText>
          </w:r>
          <w:r w:rsidR="004B71DC" w:rsidRPr="006E45AC">
            <w:fldChar w:fldCharType="separate"/>
          </w:r>
          <w:r w:rsidR="00222D65">
            <w:rPr>
              <w:noProof/>
              <w:lang w:val="en-US"/>
            </w:rPr>
            <w:t>(SNZ, 2009)</w:t>
          </w:r>
          <w:r w:rsidR="004B71DC" w:rsidRPr="006E45AC">
            <w:fldChar w:fldCharType="end"/>
          </w:r>
        </w:sdtContent>
      </w:sdt>
      <w:r w:rsidR="003C18E8" w:rsidRPr="006E45AC">
        <w:t>.</w:t>
      </w:r>
      <w:r w:rsidR="00F06793" w:rsidRPr="006E45AC">
        <w:t xml:space="preserve"> </w:t>
      </w:r>
      <w:r w:rsidR="00E9567A" w:rsidRPr="006E45AC">
        <w:t>Live load reduction</w:t>
      </w:r>
      <w:r w:rsidR="00F46EF6" w:rsidRPr="006E45AC">
        <w:t xml:space="preserve"> </w:t>
      </w:r>
      <w:r w:rsidR="00E9567A" w:rsidRPr="006E45AC">
        <w:t xml:space="preserve">can be applied where applicable in accordance with </w:t>
      </w:r>
      <w:r w:rsidR="008B46B5" w:rsidRPr="006E45AC">
        <w:t>NZS 1170.1:2002</w:t>
      </w:r>
      <w:r w:rsidR="00AF3786" w:rsidRPr="006E45AC">
        <w:t xml:space="preserve"> and should be applied in determination of seismic mass</w:t>
      </w:r>
      <w:r w:rsidR="008B46B5" w:rsidRPr="006E45AC">
        <w:t>. However</w:t>
      </w:r>
      <w:r w:rsidR="002C58CE" w:rsidRPr="006E45AC">
        <w:t>,</w:t>
      </w:r>
      <w:r w:rsidR="008B46B5" w:rsidRPr="006E45AC">
        <w:t xml:space="preserve"> it is recommended that </w:t>
      </w:r>
      <w:r w:rsidR="00F46EF6" w:rsidRPr="006E45AC">
        <w:rPr>
          <w:rFonts w:ascii="Symbol" w:hAnsi="Symbol"/>
        </w:rPr>
        <w:t>y</w:t>
      </w:r>
      <w:r w:rsidR="00F46EF6" w:rsidRPr="006E45AC">
        <w:rPr>
          <w:vertAlign w:val="subscript"/>
        </w:rPr>
        <w:t>a</w:t>
      </w:r>
      <w:r w:rsidR="00F46EF6" w:rsidRPr="006E45AC">
        <w:t xml:space="preserve"> be excluded for </w:t>
      </w:r>
      <w:r w:rsidR="001141B1" w:rsidRPr="006E45AC">
        <w:t>gravity design of floor</w:t>
      </w:r>
      <w:r w:rsidR="00F06793" w:rsidRPr="006E45AC">
        <w:t xml:space="preserve"> components</w:t>
      </w:r>
      <w:r w:rsidR="00FA5B0E" w:rsidRPr="006E45AC">
        <w:t xml:space="preserve"> (such as floor slabs and beams)</w:t>
      </w:r>
      <w:r w:rsidR="00F46EF6" w:rsidRPr="006E45AC">
        <w:t>.</w:t>
      </w:r>
    </w:p>
    <w:p w14:paraId="1DCC8478" w14:textId="403AF1D4" w:rsidR="00E16C8F" w:rsidRPr="006E45AC" w:rsidRDefault="007D5C79" w:rsidP="00666E06">
      <w:pPr>
        <w:pStyle w:val="Requirement"/>
      </w:pPr>
      <w:r w:rsidRPr="005044DB">
        <w:rPr>
          <w:b/>
          <w:bCs/>
        </w:rPr>
        <w:lastRenderedPageBreak/>
        <w:t xml:space="preserve">Health NZ </w:t>
      </w:r>
      <w:r w:rsidR="00A003BE" w:rsidRPr="005044DB">
        <w:rPr>
          <w:b/>
          <w:bCs/>
        </w:rPr>
        <w:t xml:space="preserve">Recommendation: </w:t>
      </w:r>
      <w:r w:rsidR="003C31C7" w:rsidRPr="00D55BD8">
        <w:t xml:space="preserve">With reference to Section </w:t>
      </w:r>
      <w:r w:rsidR="003C31C7" w:rsidRPr="00D55BD8">
        <w:fldChar w:fldCharType="begin"/>
      </w:r>
      <w:r w:rsidR="003C31C7" w:rsidRPr="00D55BD8">
        <w:instrText xml:space="preserve"> REF _Ref165531972 \r \h  \* MERGEFORMAT </w:instrText>
      </w:r>
      <w:r w:rsidR="003C31C7" w:rsidRPr="00D55BD8">
        <w:fldChar w:fldCharType="separate"/>
      </w:r>
      <w:r w:rsidR="000761C1">
        <w:t>B6</w:t>
      </w:r>
      <w:r w:rsidR="003C31C7" w:rsidRPr="00D55BD8">
        <w:fldChar w:fldCharType="end"/>
      </w:r>
      <w:r w:rsidR="003C31C7" w:rsidRPr="00D55BD8">
        <w:t xml:space="preserve"> </w:t>
      </w:r>
      <w:r w:rsidR="003C31C7" w:rsidRPr="00D55BD8">
        <w:fldChar w:fldCharType="begin"/>
      </w:r>
      <w:r w:rsidR="003C31C7" w:rsidRPr="00D55BD8">
        <w:instrText xml:space="preserve"> REF _Ref165531972 \h  \* MERGEFORMAT </w:instrText>
      </w:r>
      <w:r w:rsidR="003C31C7" w:rsidRPr="00D55BD8">
        <w:fldChar w:fldCharType="separate"/>
      </w:r>
      <w:r w:rsidR="000761C1" w:rsidRPr="00A9001D">
        <w:t>Structural Requirements for Adaptable Spaces</w:t>
      </w:r>
      <w:r w:rsidR="003C31C7" w:rsidRPr="00D55BD8">
        <w:fldChar w:fldCharType="end"/>
      </w:r>
      <w:r w:rsidR="00194503" w:rsidRPr="00D55BD8">
        <w:t xml:space="preserve">, </w:t>
      </w:r>
      <w:r w:rsidR="003C31C7" w:rsidRPr="00D55BD8">
        <w:t>t</w:t>
      </w:r>
      <w:r w:rsidR="00E16C8F" w:rsidRPr="00D55BD8">
        <w:t xml:space="preserve">he </w:t>
      </w:r>
      <w:r w:rsidR="0053635A" w:rsidRPr="00D55BD8">
        <w:t xml:space="preserve">basic </w:t>
      </w:r>
      <w:r w:rsidR="00B97CF0" w:rsidRPr="00D55BD8">
        <w:t xml:space="preserve">minimum </w:t>
      </w:r>
      <w:r w:rsidR="00C566AF" w:rsidRPr="00D55BD8">
        <w:t>i</w:t>
      </w:r>
      <w:r w:rsidR="00194503" w:rsidRPr="00D55BD8">
        <w:t xml:space="preserve">mposed </w:t>
      </w:r>
      <w:r w:rsidR="00FA5B0E" w:rsidRPr="00D55BD8">
        <w:t>actions</w:t>
      </w:r>
      <w:r w:rsidR="00194503" w:rsidRPr="00D55BD8">
        <w:t xml:space="preserve"> (</w:t>
      </w:r>
      <w:r w:rsidR="00F551F6" w:rsidRPr="00D55BD8">
        <w:t>Q</w:t>
      </w:r>
      <w:r w:rsidR="00194503" w:rsidRPr="00D55BD8">
        <w:t>)</w:t>
      </w:r>
      <w:r w:rsidR="00F551F6" w:rsidRPr="00D55BD8">
        <w:t xml:space="preserve"> </w:t>
      </w:r>
      <w:r w:rsidR="00194503" w:rsidRPr="00D55BD8">
        <w:t xml:space="preserve">presented in </w:t>
      </w:r>
      <w:r w:rsidR="00194503" w:rsidRPr="00D55BD8">
        <w:fldChar w:fldCharType="begin"/>
      </w:r>
      <w:r w:rsidR="00194503" w:rsidRPr="00D55BD8">
        <w:instrText xml:space="preserve"> REF _Ref166603474 \h </w:instrText>
      </w:r>
      <w:r w:rsidR="006E45AC" w:rsidRPr="00D55BD8">
        <w:instrText xml:space="preserve"> \* MERGEFORMAT </w:instrText>
      </w:r>
      <w:r w:rsidR="00194503" w:rsidRPr="00D55BD8">
        <w:fldChar w:fldCharType="separate"/>
      </w:r>
      <w:r w:rsidR="000761C1" w:rsidRPr="000761C1">
        <w:t xml:space="preserve">Table </w:t>
      </w:r>
      <w:r w:rsidR="000761C1" w:rsidRPr="000761C1">
        <w:rPr>
          <w:noProof/>
        </w:rPr>
        <w:t>13</w:t>
      </w:r>
      <w:r w:rsidR="00194503" w:rsidRPr="00D55BD8">
        <w:fldChar w:fldCharType="end"/>
      </w:r>
      <w:r w:rsidR="00194503" w:rsidRPr="00D55BD8">
        <w:t xml:space="preserve"> </w:t>
      </w:r>
      <w:r w:rsidR="00320D19" w:rsidRPr="00D55BD8">
        <w:t xml:space="preserve">for general areas </w:t>
      </w:r>
      <w:r w:rsidR="0053635A" w:rsidRPr="00D55BD8">
        <w:t>are recommended</w:t>
      </w:r>
      <w:r w:rsidR="00F551F6" w:rsidRPr="00D55BD8">
        <w:t xml:space="preserve"> </w:t>
      </w:r>
      <w:r w:rsidR="00862DBD" w:rsidRPr="00D55BD8">
        <w:t>(unless otherwise specified</w:t>
      </w:r>
      <w:r w:rsidR="00862DBD" w:rsidRPr="006E45AC">
        <w:t xml:space="preserve"> in the project brief</w:t>
      </w:r>
      <w:r w:rsidR="00320D19" w:rsidRPr="006E45AC">
        <w:t>)</w:t>
      </w:r>
      <w:r w:rsidR="0053635A" w:rsidRPr="006E45AC">
        <w:t xml:space="preserve"> and </w:t>
      </w:r>
      <w:r w:rsidR="009506CE" w:rsidRPr="006E45AC">
        <w:t>shall be</w:t>
      </w:r>
      <w:r w:rsidR="00320D19" w:rsidRPr="006E45AC">
        <w:t xml:space="preserve"> </w:t>
      </w:r>
      <w:r w:rsidR="0053635A" w:rsidRPr="006E45AC">
        <w:t>subject to the requirements of NZS 1170.1:2002</w:t>
      </w:r>
      <w:r w:rsidR="00862DBD" w:rsidRPr="006E45AC">
        <w:t>.</w:t>
      </w:r>
      <w:r w:rsidR="00170C63" w:rsidRPr="006E45AC">
        <w:t xml:space="preserve"> Imposed loads</w:t>
      </w:r>
      <w:r w:rsidR="002D28DF" w:rsidRPr="006E45AC">
        <w:t xml:space="preserve"> shall be identified on loading plans, </w:t>
      </w:r>
      <w:r w:rsidR="007425D7" w:rsidRPr="006E45AC">
        <w:rPr>
          <w:lang w:val="en-US"/>
        </w:rPr>
        <w:t>and should include specifically allocated transport routes for installation, maintenance, or removal of heavy equipment</w:t>
      </w:r>
      <w:r w:rsidR="00EB4ADA" w:rsidRPr="006E45AC">
        <w:t>.</w:t>
      </w:r>
    </w:p>
    <w:p w14:paraId="2915E8BE" w14:textId="17CDB982" w:rsidR="00B10D34" w:rsidRPr="00210CB4" w:rsidRDefault="00B10D34" w:rsidP="00203B5A">
      <w:pPr>
        <w:pStyle w:val="Figure"/>
        <w:keepNext/>
        <w:rPr>
          <w:sz w:val="20"/>
          <w:szCs w:val="20"/>
        </w:rPr>
      </w:pPr>
      <w:bookmarkStart w:id="298" w:name="_Ref166603474"/>
      <w:r w:rsidRPr="00210CB4">
        <w:rPr>
          <w:sz w:val="20"/>
          <w:szCs w:val="20"/>
        </w:rPr>
        <w:t xml:space="preserve">Table </w:t>
      </w:r>
      <w:r w:rsidR="0062088B" w:rsidRPr="00210CB4">
        <w:rPr>
          <w:sz w:val="20"/>
          <w:szCs w:val="20"/>
        </w:rPr>
        <w:fldChar w:fldCharType="begin"/>
      </w:r>
      <w:r w:rsidR="0062088B" w:rsidRPr="00210CB4">
        <w:rPr>
          <w:sz w:val="20"/>
          <w:szCs w:val="20"/>
        </w:rPr>
        <w:instrText xml:space="preserve"> SEQ Table \* ARABIC </w:instrText>
      </w:r>
      <w:r w:rsidR="0062088B" w:rsidRPr="00210CB4">
        <w:rPr>
          <w:sz w:val="20"/>
          <w:szCs w:val="20"/>
        </w:rPr>
        <w:fldChar w:fldCharType="separate"/>
      </w:r>
      <w:r w:rsidR="000761C1">
        <w:rPr>
          <w:noProof/>
          <w:sz w:val="20"/>
          <w:szCs w:val="20"/>
        </w:rPr>
        <w:t>13</w:t>
      </w:r>
      <w:r w:rsidR="0062088B" w:rsidRPr="00210CB4">
        <w:rPr>
          <w:noProof/>
          <w:sz w:val="20"/>
          <w:szCs w:val="20"/>
        </w:rPr>
        <w:fldChar w:fldCharType="end"/>
      </w:r>
      <w:bookmarkEnd w:id="298"/>
      <w:r w:rsidRPr="00210CB4">
        <w:rPr>
          <w:sz w:val="20"/>
          <w:szCs w:val="20"/>
        </w:rPr>
        <w:t xml:space="preserve">: General recommended minimum imposed loads (Q) for </w:t>
      </w:r>
      <w:r w:rsidR="007D5C79" w:rsidRPr="00210CB4">
        <w:rPr>
          <w:sz w:val="20"/>
          <w:szCs w:val="20"/>
        </w:rPr>
        <w:t xml:space="preserve">Health NZ </w:t>
      </w:r>
      <w:r w:rsidRPr="00210CB4">
        <w:rPr>
          <w:sz w:val="20"/>
          <w:szCs w:val="20"/>
        </w:rPr>
        <w:t>hospital buildings</w:t>
      </w:r>
      <w:r w:rsidR="007B4E26" w:rsidRPr="00210CB4">
        <w:rPr>
          <w:sz w:val="20"/>
          <w:szCs w:val="20"/>
        </w:rPr>
        <w:t>, to meet NZS 1170.1 and provide a basic level of adaptability in floor use</w:t>
      </w:r>
      <w:r w:rsidR="008774DE" w:rsidRPr="00210CB4">
        <w:rPr>
          <w:sz w:val="20"/>
          <w:szCs w:val="20"/>
        </w:rPr>
        <w:t>.</w:t>
      </w:r>
    </w:p>
    <w:tbl>
      <w:tblPr>
        <w:tblStyle w:val="TeWhatuOra"/>
        <w:tblW w:w="9776"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20" w:firstRow="1" w:lastRow="0" w:firstColumn="0" w:lastColumn="0" w:noHBand="0" w:noVBand="1"/>
      </w:tblPr>
      <w:tblGrid>
        <w:gridCol w:w="3079"/>
        <w:gridCol w:w="1357"/>
        <w:gridCol w:w="1130"/>
        <w:gridCol w:w="1238"/>
        <w:gridCol w:w="2972"/>
      </w:tblGrid>
      <w:tr w:rsidR="00DB4D61" w:rsidRPr="00210CB4" w14:paraId="517FAAAB" w14:textId="77777777" w:rsidTr="00DB4D61">
        <w:trPr>
          <w:cnfStyle w:val="100000000000" w:firstRow="1" w:lastRow="0" w:firstColumn="0" w:lastColumn="0" w:oddVBand="0" w:evenVBand="0" w:oddHBand="0" w:evenHBand="0" w:firstRowFirstColumn="0" w:firstRowLastColumn="0" w:lastRowFirstColumn="0" w:lastRowLastColumn="0"/>
          <w:trHeight w:val="352"/>
        </w:trPr>
        <w:tc>
          <w:tcPr>
            <w:tcW w:w="3079" w:type="dxa"/>
            <w:vMerge w:val="restart"/>
            <w:tcBorders>
              <w:top w:val="single" w:sz="12" w:space="0" w:color="003399" w:themeColor="accent2"/>
              <w:left w:val="nil"/>
              <w:bottom w:val="single" w:sz="12" w:space="0" w:color="003399" w:themeColor="accent2"/>
              <w:right w:val="single" w:sz="8" w:space="0" w:color="BFBFBF"/>
            </w:tcBorders>
            <w:shd w:val="clear" w:color="auto" w:fill="F6F4EC"/>
          </w:tcPr>
          <w:p w14:paraId="47020093" w14:textId="66AC804D" w:rsidR="007B4E26" w:rsidRPr="00210CB4" w:rsidRDefault="007B4E26" w:rsidP="00DA3030">
            <w:pPr>
              <w:spacing w:before="0" w:beforeAutospacing="0" w:after="0" w:afterAutospacing="0"/>
              <w:rPr>
                <w:rFonts w:cs="Arial"/>
                <w:sz w:val="20"/>
                <w:szCs w:val="20"/>
              </w:rPr>
            </w:pPr>
            <w:r w:rsidRPr="00210CB4">
              <w:rPr>
                <w:rFonts w:cs="Arial"/>
                <w:sz w:val="20"/>
                <w:szCs w:val="20"/>
              </w:rPr>
              <w:t>Design Use</w:t>
            </w:r>
          </w:p>
        </w:tc>
        <w:tc>
          <w:tcPr>
            <w:tcW w:w="1357" w:type="dxa"/>
            <w:vMerge w:val="restart"/>
            <w:tcBorders>
              <w:top w:val="single" w:sz="12" w:space="0" w:color="003399" w:themeColor="accent2"/>
              <w:left w:val="single" w:sz="8" w:space="0" w:color="BFBFBF"/>
              <w:bottom w:val="single" w:sz="12" w:space="0" w:color="003399" w:themeColor="accent2"/>
              <w:right w:val="single" w:sz="8" w:space="0" w:color="BFBFBF"/>
            </w:tcBorders>
            <w:shd w:val="clear" w:color="auto" w:fill="F6F4EC"/>
          </w:tcPr>
          <w:p w14:paraId="32DCE630" w14:textId="3C4F62E8" w:rsidR="007B4E26" w:rsidRPr="00210CB4" w:rsidRDefault="007B4E26" w:rsidP="00DA3030">
            <w:pPr>
              <w:spacing w:before="0" w:beforeAutospacing="0" w:after="0" w:afterAutospacing="0"/>
              <w:rPr>
                <w:rFonts w:cs="Arial"/>
                <w:sz w:val="20"/>
                <w:szCs w:val="20"/>
              </w:rPr>
            </w:pPr>
            <w:r w:rsidRPr="00210CB4">
              <w:rPr>
                <w:rFonts w:cs="Arial"/>
                <w:sz w:val="20"/>
                <w:szCs w:val="20"/>
              </w:rPr>
              <w:t>NZS 1170.1 Occupancy Category</w:t>
            </w:r>
          </w:p>
        </w:tc>
        <w:tc>
          <w:tcPr>
            <w:tcW w:w="2368" w:type="dxa"/>
            <w:gridSpan w:val="2"/>
            <w:tcBorders>
              <w:top w:val="single" w:sz="12" w:space="0" w:color="003399" w:themeColor="accent2"/>
              <w:left w:val="single" w:sz="8" w:space="0" w:color="BFBFBF"/>
              <w:bottom w:val="single" w:sz="8" w:space="0" w:color="BFBFBF"/>
              <w:right w:val="single" w:sz="8" w:space="0" w:color="BFBFBF"/>
            </w:tcBorders>
            <w:shd w:val="clear" w:color="auto" w:fill="F6F4EC"/>
          </w:tcPr>
          <w:p w14:paraId="08F57957" w14:textId="1CD63C65" w:rsidR="007B4E26" w:rsidRPr="00210CB4" w:rsidRDefault="007B4E26" w:rsidP="00DA3030">
            <w:pPr>
              <w:spacing w:before="0" w:beforeAutospacing="0" w:after="0" w:afterAutospacing="0"/>
              <w:rPr>
                <w:rFonts w:cs="Arial"/>
                <w:sz w:val="20"/>
                <w:szCs w:val="20"/>
              </w:rPr>
            </w:pPr>
            <w:r w:rsidRPr="00210CB4">
              <w:rPr>
                <w:rFonts w:cs="Arial"/>
                <w:sz w:val="20"/>
                <w:szCs w:val="20"/>
              </w:rPr>
              <w:t xml:space="preserve">Recommended </w:t>
            </w:r>
            <w:r w:rsidR="000E4861" w:rsidRPr="00210CB4">
              <w:rPr>
                <w:rFonts w:cs="Arial"/>
                <w:sz w:val="20"/>
                <w:szCs w:val="20"/>
              </w:rPr>
              <w:t>min. b</w:t>
            </w:r>
            <w:r w:rsidR="008E7EC2" w:rsidRPr="00210CB4">
              <w:rPr>
                <w:rFonts w:cs="Arial"/>
                <w:sz w:val="20"/>
                <w:szCs w:val="20"/>
              </w:rPr>
              <w:t xml:space="preserve">asic </w:t>
            </w:r>
            <w:r w:rsidR="000E4861" w:rsidRPr="00210CB4">
              <w:rPr>
                <w:rFonts w:cs="Arial"/>
                <w:sz w:val="20"/>
                <w:szCs w:val="20"/>
              </w:rPr>
              <w:t>i</w:t>
            </w:r>
            <w:r w:rsidRPr="00210CB4">
              <w:rPr>
                <w:rFonts w:cs="Arial"/>
                <w:sz w:val="20"/>
                <w:szCs w:val="20"/>
              </w:rPr>
              <w:t xml:space="preserve">mposed </w:t>
            </w:r>
            <w:r w:rsidR="000E4861" w:rsidRPr="00210CB4">
              <w:rPr>
                <w:rFonts w:cs="Arial"/>
                <w:sz w:val="20"/>
                <w:szCs w:val="20"/>
              </w:rPr>
              <w:t>l</w:t>
            </w:r>
            <w:r w:rsidRPr="00210CB4">
              <w:rPr>
                <w:rFonts w:cs="Arial"/>
                <w:sz w:val="20"/>
                <w:szCs w:val="20"/>
              </w:rPr>
              <w:t>oad</w:t>
            </w:r>
            <w:r w:rsidR="007531F0" w:rsidRPr="00210CB4">
              <w:rPr>
                <w:rFonts w:cs="Arial"/>
                <w:sz w:val="20"/>
                <w:szCs w:val="20"/>
              </w:rPr>
              <w:t xml:space="preserve"> </w:t>
            </w:r>
            <w:r w:rsidR="007531F0" w:rsidRPr="00210CB4">
              <w:rPr>
                <w:rFonts w:cs="Arial"/>
                <w:sz w:val="20"/>
                <w:szCs w:val="20"/>
                <w:vertAlign w:val="superscript"/>
              </w:rPr>
              <w:t>1</w:t>
            </w:r>
          </w:p>
        </w:tc>
        <w:tc>
          <w:tcPr>
            <w:tcW w:w="2972" w:type="dxa"/>
            <w:vMerge w:val="restart"/>
            <w:tcBorders>
              <w:top w:val="single" w:sz="12" w:space="0" w:color="003399" w:themeColor="accent2"/>
              <w:left w:val="single" w:sz="8" w:space="0" w:color="BFBFBF"/>
              <w:bottom w:val="single" w:sz="12" w:space="0" w:color="003399" w:themeColor="accent2"/>
              <w:right w:val="nil"/>
            </w:tcBorders>
            <w:shd w:val="clear" w:color="auto" w:fill="F6F4EC"/>
          </w:tcPr>
          <w:p w14:paraId="4C3CBF31" w14:textId="646A88E0" w:rsidR="007B4E26" w:rsidRPr="00210CB4" w:rsidRDefault="007B4E26" w:rsidP="00DA3030">
            <w:pPr>
              <w:spacing w:before="0" w:beforeAutospacing="0" w:after="0" w:afterAutospacing="0"/>
              <w:rPr>
                <w:rFonts w:cs="Arial"/>
                <w:sz w:val="20"/>
                <w:szCs w:val="20"/>
              </w:rPr>
            </w:pPr>
            <w:r w:rsidRPr="00210CB4">
              <w:rPr>
                <w:rFonts w:cs="Arial"/>
                <w:sz w:val="20"/>
                <w:szCs w:val="20"/>
              </w:rPr>
              <w:t>Comment</w:t>
            </w:r>
          </w:p>
        </w:tc>
      </w:tr>
      <w:tr w:rsidR="00203B5A" w:rsidRPr="00210CB4" w14:paraId="33E57CDE" w14:textId="77777777" w:rsidTr="00DB4D61">
        <w:trPr>
          <w:trHeight w:val="351"/>
        </w:trPr>
        <w:tc>
          <w:tcPr>
            <w:tcW w:w="3079" w:type="dxa"/>
            <w:vMerge/>
            <w:tcBorders>
              <w:top w:val="single" w:sz="4" w:space="0" w:color="FFFFFF" w:themeColor="accent6"/>
              <w:left w:val="nil"/>
              <w:bottom w:val="single" w:sz="12" w:space="0" w:color="003399" w:themeColor="accent2"/>
              <w:right w:val="single" w:sz="8" w:space="0" w:color="BFBFBF"/>
            </w:tcBorders>
          </w:tcPr>
          <w:p w14:paraId="1B145571" w14:textId="77777777" w:rsidR="007B4E26" w:rsidRPr="00210CB4" w:rsidRDefault="007B4E26" w:rsidP="00666E06">
            <w:pPr>
              <w:rPr>
                <w:rFonts w:cs="Arial"/>
                <w:sz w:val="20"/>
                <w:szCs w:val="20"/>
              </w:rPr>
            </w:pPr>
          </w:p>
        </w:tc>
        <w:tc>
          <w:tcPr>
            <w:tcW w:w="1357" w:type="dxa"/>
            <w:vMerge/>
            <w:tcBorders>
              <w:top w:val="single" w:sz="12" w:space="0" w:color="003399" w:themeColor="accent2"/>
              <w:left w:val="single" w:sz="8" w:space="0" w:color="BFBFBF"/>
              <w:bottom w:val="single" w:sz="12" w:space="0" w:color="003399" w:themeColor="accent2"/>
              <w:right w:val="single" w:sz="8" w:space="0" w:color="BFBFBF"/>
            </w:tcBorders>
          </w:tcPr>
          <w:p w14:paraId="761E8087" w14:textId="77777777" w:rsidR="007B4E26" w:rsidRPr="00210CB4" w:rsidRDefault="007B4E26" w:rsidP="00666E06">
            <w:pPr>
              <w:rPr>
                <w:rFonts w:cs="Arial"/>
                <w:sz w:val="20"/>
                <w:szCs w:val="20"/>
              </w:rPr>
            </w:pPr>
          </w:p>
        </w:tc>
        <w:tc>
          <w:tcPr>
            <w:tcW w:w="1130"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717D1264" w14:textId="47B3C67B" w:rsidR="007B4E26" w:rsidRPr="00210CB4" w:rsidRDefault="007B4E26" w:rsidP="00DA3030">
            <w:pPr>
              <w:spacing w:before="0" w:beforeAutospacing="0" w:after="0" w:afterAutospacing="0"/>
              <w:rPr>
                <w:rFonts w:cs="Arial"/>
                <w:b/>
                <w:bCs/>
                <w:sz w:val="20"/>
                <w:szCs w:val="20"/>
              </w:rPr>
            </w:pPr>
            <w:r w:rsidRPr="00210CB4">
              <w:rPr>
                <w:rFonts w:cs="Arial"/>
                <w:b/>
                <w:bCs/>
                <w:sz w:val="20"/>
                <w:szCs w:val="20"/>
              </w:rPr>
              <w:t>Dist. Load (kPa)</w:t>
            </w:r>
          </w:p>
        </w:tc>
        <w:tc>
          <w:tcPr>
            <w:tcW w:w="1238" w:type="dxa"/>
            <w:tcBorders>
              <w:top w:val="single" w:sz="8" w:space="0" w:color="BFBFBF"/>
              <w:left w:val="single" w:sz="8" w:space="0" w:color="BFBFBF"/>
              <w:bottom w:val="single" w:sz="12" w:space="0" w:color="003399" w:themeColor="accent2"/>
              <w:right w:val="single" w:sz="8" w:space="0" w:color="BFBFBF"/>
            </w:tcBorders>
            <w:shd w:val="clear" w:color="auto" w:fill="F6F4EC"/>
            <w:vAlign w:val="center"/>
          </w:tcPr>
          <w:p w14:paraId="0B35A8E4" w14:textId="0F96641D" w:rsidR="007B4E26" w:rsidRPr="00210CB4" w:rsidRDefault="007B4E26" w:rsidP="00DA3030">
            <w:pPr>
              <w:spacing w:before="0" w:beforeAutospacing="0" w:after="0" w:afterAutospacing="0"/>
              <w:rPr>
                <w:rFonts w:cs="Arial"/>
                <w:b/>
                <w:bCs/>
                <w:sz w:val="20"/>
                <w:szCs w:val="20"/>
              </w:rPr>
            </w:pPr>
            <w:r w:rsidRPr="00210CB4">
              <w:rPr>
                <w:rFonts w:cs="Arial"/>
                <w:b/>
                <w:bCs/>
                <w:sz w:val="20"/>
                <w:szCs w:val="20"/>
              </w:rPr>
              <w:t>Pt. Load (kN)</w:t>
            </w:r>
          </w:p>
        </w:tc>
        <w:tc>
          <w:tcPr>
            <w:tcW w:w="2972" w:type="dxa"/>
            <w:vMerge/>
            <w:tcBorders>
              <w:top w:val="single" w:sz="12" w:space="0" w:color="003399" w:themeColor="accent2"/>
              <w:left w:val="single" w:sz="8" w:space="0" w:color="BFBFBF"/>
              <w:bottom w:val="single" w:sz="12" w:space="0" w:color="003399" w:themeColor="accent2"/>
              <w:right w:val="nil"/>
            </w:tcBorders>
          </w:tcPr>
          <w:p w14:paraId="249CF165" w14:textId="77777777" w:rsidR="007B4E26" w:rsidRPr="00210CB4" w:rsidRDefault="007B4E26" w:rsidP="00666E06">
            <w:pPr>
              <w:rPr>
                <w:rFonts w:cs="Arial"/>
                <w:sz w:val="20"/>
                <w:szCs w:val="20"/>
              </w:rPr>
            </w:pPr>
          </w:p>
        </w:tc>
      </w:tr>
      <w:tr w:rsidR="00F24D4B" w:rsidRPr="00210CB4" w14:paraId="0D1679AD" w14:textId="77777777" w:rsidTr="00DB4D61">
        <w:tc>
          <w:tcPr>
            <w:tcW w:w="3079" w:type="dxa"/>
            <w:tcBorders>
              <w:top w:val="single" w:sz="12" w:space="0" w:color="003399" w:themeColor="accent2"/>
              <w:left w:val="nil"/>
              <w:bottom w:val="single" w:sz="8" w:space="0" w:color="BFBFBF"/>
              <w:right w:val="single" w:sz="8" w:space="0" w:color="BFBFBF"/>
            </w:tcBorders>
          </w:tcPr>
          <w:p w14:paraId="29C3433B" w14:textId="43B76A32" w:rsidR="00F24D4B" w:rsidRPr="00210CB4" w:rsidRDefault="002C22FC" w:rsidP="00666E06">
            <w:pPr>
              <w:rPr>
                <w:rFonts w:cs="Arial"/>
                <w:sz w:val="20"/>
                <w:szCs w:val="20"/>
              </w:rPr>
            </w:pPr>
            <w:r w:rsidRPr="00210CB4">
              <w:rPr>
                <w:rFonts w:cs="Arial"/>
                <w:sz w:val="20"/>
                <w:szCs w:val="20"/>
              </w:rPr>
              <w:t>General Clinical</w:t>
            </w:r>
            <w:r w:rsidR="00A032FB" w:rsidRPr="00210CB4">
              <w:rPr>
                <w:rFonts w:cs="Arial"/>
                <w:sz w:val="20"/>
                <w:szCs w:val="20"/>
              </w:rPr>
              <w:t xml:space="preserve">, </w:t>
            </w:r>
            <w:r w:rsidRPr="00210CB4">
              <w:rPr>
                <w:rFonts w:cs="Arial"/>
                <w:sz w:val="20"/>
                <w:szCs w:val="20"/>
              </w:rPr>
              <w:t>Office</w:t>
            </w:r>
          </w:p>
        </w:tc>
        <w:tc>
          <w:tcPr>
            <w:tcW w:w="1357" w:type="dxa"/>
            <w:tcBorders>
              <w:top w:val="single" w:sz="12" w:space="0" w:color="003399" w:themeColor="accent2"/>
              <w:left w:val="single" w:sz="8" w:space="0" w:color="BFBFBF"/>
              <w:bottom w:val="single" w:sz="8" w:space="0" w:color="BFBFBF"/>
              <w:right w:val="single" w:sz="8" w:space="0" w:color="BFBFBF"/>
            </w:tcBorders>
            <w:vAlign w:val="center"/>
          </w:tcPr>
          <w:p w14:paraId="42F6F17F" w14:textId="7C4DA615" w:rsidR="00F24D4B" w:rsidRPr="00210CB4" w:rsidRDefault="00A032FB" w:rsidP="00666E06">
            <w:pPr>
              <w:rPr>
                <w:rFonts w:cs="Arial"/>
                <w:sz w:val="20"/>
                <w:szCs w:val="20"/>
              </w:rPr>
            </w:pPr>
            <w:r w:rsidRPr="00210CB4">
              <w:rPr>
                <w:rFonts w:cs="Arial"/>
                <w:sz w:val="20"/>
                <w:szCs w:val="20"/>
              </w:rPr>
              <w:t>B</w:t>
            </w:r>
          </w:p>
        </w:tc>
        <w:tc>
          <w:tcPr>
            <w:tcW w:w="1130" w:type="dxa"/>
            <w:tcBorders>
              <w:top w:val="single" w:sz="12" w:space="0" w:color="003399" w:themeColor="accent2"/>
              <w:left w:val="single" w:sz="8" w:space="0" w:color="BFBFBF"/>
              <w:bottom w:val="single" w:sz="8" w:space="0" w:color="BFBFBF"/>
              <w:right w:val="single" w:sz="8" w:space="0" w:color="BFBFBF"/>
            </w:tcBorders>
            <w:vAlign w:val="center"/>
          </w:tcPr>
          <w:p w14:paraId="169B5E6B" w14:textId="788A03C3" w:rsidR="00F24D4B" w:rsidRPr="00210CB4" w:rsidRDefault="00A032FB" w:rsidP="00666E06">
            <w:pPr>
              <w:rPr>
                <w:rFonts w:cs="Arial"/>
                <w:sz w:val="20"/>
                <w:szCs w:val="20"/>
              </w:rPr>
            </w:pPr>
            <w:r w:rsidRPr="00210CB4">
              <w:rPr>
                <w:rFonts w:cs="Arial"/>
                <w:sz w:val="20"/>
                <w:szCs w:val="20"/>
              </w:rPr>
              <w:t>3</w:t>
            </w:r>
          </w:p>
        </w:tc>
        <w:tc>
          <w:tcPr>
            <w:tcW w:w="1238" w:type="dxa"/>
            <w:tcBorders>
              <w:top w:val="single" w:sz="12" w:space="0" w:color="003399" w:themeColor="accent2"/>
              <w:left w:val="single" w:sz="8" w:space="0" w:color="BFBFBF"/>
              <w:bottom w:val="single" w:sz="8" w:space="0" w:color="BFBFBF"/>
              <w:right w:val="single" w:sz="8" w:space="0" w:color="BFBFBF"/>
            </w:tcBorders>
            <w:vAlign w:val="center"/>
          </w:tcPr>
          <w:p w14:paraId="6181FB12" w14:textId="4717CEAB" w:rsidR="00F24D4B" w:rsidRPr="00210CB4" w:rsidRDefault="00361CAB" w:rsidP="00666E06">
            <w:pPr>
              <w:rPr>
                <w:rFonts w:cs="Arial"/>
                <w:sz w:val="20"/>
                <w:szCs w:val="20"/>
              </w:rPr>
            </w:pPr>
            <w:r w:rsidRPr="00210CB4">
              <w:rPr>
                <w:rFonts w:cs="Arial"/>
                <w:sz w:val="20"/>
                <w:szCs w:val="20"/>
              </w:rPr>
              <w:t>4.5</w:t>
            </w:r>
          </w:p>
        </w:tc>
        <w:tc>
          <w:tcPr>
            <w:tcW w:w="2972" w:type="dxa"/>
            <w:tcBorders>
              <w:top w:val="single" w:sz="12" w:space="0" w:color="003399" w:themeColor="accent2"/>
              <w:left w:val="single" w:sz="8" w:space="0" w:color="BFBFBF"/>
              <w:bottom w:val="single" w:sz="8" w:space="0" w:color="BFBFBF"/>
              <w:right w:val="nil"/>
            </w:tcBorders>
          </w:tcPr>
          <w:p w14:paraId="5289D753" w14:textId="77777777" w:rsidR="00F24D4B" w:rsidRPr="00210CB4" w:rsidRDefault="00F24D4B" w:rsidP="00666E06">
            <w:pPr>
              <w:rPr>
                <w:rFonts w:cs="Arial"/>
                <w:sz w:val="20"/>
                <w:szCs w:val="20"/>
              </w:rPr>
            </w:pPr>
          </w:p>
        </w:tc>
      </w:tr>
      <w:tr w:rsidR="00F24D4B" w:rsidRPr="00210CB4" w14:paraId="37666FAE" w14:textId="77777777" w:rsidTr="00DB4D61">
        <w:tc>
          <w:tcPr>
            <w:tcW w:w="3079" w:type="dxa"/>
            <w:tcBorders>
              <w:top w:val="single" w:sz="8" w:space="0" w:color="BFBFBF"/>
              <w:left w:val="nil"/>
              <w:bottom w:val="single" w:sz="8" w:space="0" w:color="BFBFBF"/>
              <w:right w:val="single" w:sz="8" w:space="0" w:color="BFBFBF"/>
            </w:tcBorders>
          </w:tcPr>
          <w:p w14:paraId="32469241" w14:textId="4CC9C6B6" w:rsidR="00F24D4B" w:rsidRPr="00210CB4" w:rsidRDefault="00F00BB6" w:rsidP="00666E06">
            <w:pPr>
              <w:rPr>
                <w:rFonts w:cs="Arial"/>
                <w:sz w:val="20"/>
                <w:szCs w:val="20"/>
              </w:rPr>
            </w:pPr>
            <w:r w:rsidRPr="00210CB4">
              <w:rPr>
                <w:rFonts w:cs="Arial"/>
                <w:sz w:val="20"/>
                <w:szCs w:val="20"/>
              </w:rPr>
              <w:t>Hospital W</w:t>
            </w:r>
            <w:r w:rsidR="002C22FC" w:rsidRPr="00210CB4">
              <w:rPr>
                <w:rFonts w:cs="Arial"/>
                <w:sz w:val="20"/>
                <w:szCs w:val="20"/>
              </w:rPr>
              <w:t>ards</w:t>
            </w:r>
          </w:p>
        </w:tc>
        <w:tc>
          <w:tcPr>
            <w:tcW w:w="1357" w:type="dxa"/>
            <w:tcBorders>
              <w:top w:val="single" w:sz="8" w:space="0" w:color="BFBFBF"/>
              <w:left w:val="single" w:sz="8" w:space="0" w:color="BFBFBF"/>
              <w:bottom w:val="single" w:sz="8" w:space="0" w:color="BFBFBF"/>
              <w:right w:val="single" w:sz="8" w:space="0" w:color="BFBFBF"/>
            </w:tcBorders>
            <w:vAlign w:val="center"/>
          </w:tcPr>
          <w:p w14:paraId="58658820" w14:textId="1F58E315" w:rsidR="00F24D4B" w:rsidRPr="00210CB4" w:rsidRDefault="000A3F03" w:rsidP="00666E06">
            <w:pPr>
              <w:rPr>
                <w:rFonts w:cs="Arial"/>
                <w:sz w:val="20"/>
                <w:szCs w:val="20"/>
              </w:rPr>
            </w:pPr>
            <w:r w:rsidRPr="00210CB4">
              <w:rPr>
                <w:rFonts w:cs="Arial"/>
                <w:sz w:val="20"/>
                <w:szCs w:val="20"/>
              </w:rPr>
              <w:t>A2</w:t>
            </w:r>
          </w:p>
        </w:tc>
        <w:tc>
          <w:tcPr>
            <w:tcW w:w="1130" w:type="dxa"/>
            <w:tcBorders>
              <w:top w:val="single" w:sz="8" w:space="0" w:color="BFBFBF"/>
              <w:left w:val="single" w:sz="8" w:space="0" w:color="BFBFBF"/>
              <w:bottom w:val="single" w:sz="8" w:space="0" w:color="BFBFBF"/>
              <w:right w:val="single" w:sz="8" w:space="0" w:color="BFBFBF"/>
            </w:tcBorders>
            <w:vAlign w:val="center"/>
          </w:tcPr>
          <w:p w14:paraId="4A241C86" w14:textId="61BF5177" w:rsidR="00F24D4B" w:rsidRPr="00210CB4" w:rsidRDefault="00A032FB" w:rsidP="00666E06">
            <w:pPr>
              <w:rPr>
                <w:rFonts w:cs="Arial"/>
                <w:sz w:val="20"/>
                <w:szCs w:val="20"/>
              </w:rPr>
            </w:pPr>
            <w:r w:rsidRPr="00210CB4">
              <w:rPr>
                <w:rFonts w:cs="Arial"/>
                <w:sz w:val="20"/>
                <w:szCs w:val="20"/>
              </w:rPr>
              <w:t>3</w:t>
            </w:r>
          </w:p>
        </w:tc>
        <w:tc>
          <w:tcPr>
            <w:tcW w:w="1238" w:type="dxa"/>
            <w:tcBorders>
              <w:top w:val="single" w:sz="8" w:space="0" w:color="BFBFBF"/>
              <w:left w:val="single" w:sz="8" w:space="0" w:color="BFBFBF"/>
              <w:bottom w:val="single" w:sz="8" w:space="0" w:color="BFBFBF"/>
              <w:right w:val="single" w:sz="8" w:space="0" w:color="BFBFBF"/>
            </w:tcBorders>
            <w:vAlign w:val="center"/>
          </w:tcPr>
          <w:p w14:paraId="666725E8" w14:textId="319A6AEE" w:rsidR="00F24D4B" w:rsidRPr="00210CB4" w:rsidRDefault="00361CAB" w:rsidP="00666E06">
            <w:pPr>
              <w:rPr>
                <w:rFonts w:cs="Arial"/>
                <w:sz w:val="20"/>
                <w:szCs w:val="20"/>
              </w:rPr>
            </w:pPr>
            <w:r w:rsidRPr="00210CB4">
              <w:rPr>
                <w:rFonts w:cs="Arial"/>
                <w:sz w:val="20"/>
                <w:szCs w:val="20"/>
              </w:rPr>
              <w:t>4.5</w:t>
            </w:r>
          </w:p>
        </w:tc>
        <w:tc>
          <w:tcPr>
            <w:tcW w:w="2972" w:type="dxa"/>
            <w:tcBorders>
              <w:top w:val="single" w:sz="8" w:space="0" w:color="BFBFBF"/>
              <w:left w:val="single" w:sz="8" w:space="0" w:color="BFBFBF"/>
              <w:bottom w:val="single" w:sz="8" w:space="0" w:color="BFBFBF"/>
              <w:right w:val="nil"/>
            </w:tcBorders>
          </w:tcPr>
          <w:p w14:paraId="1E261E55" w14:textId="679E8AFE" w:rsidR="00F24D4B" w:rsidRPr="00210CB4" w:rsidRDefault="009506CE" w:rsidP="00666E06">
            <w:pPr>
              <w:rPr>
                <w:rFonts w:cs="Arial"/>
                <w:sz w:val="20"/>
                <w:szCs w:val="20"/>
              </w:rPr>
            </w:pPr>
            <w:r w:rsidRPr="00210CB4">
              <w:rPr>
                <w:rFonts w:cs="Arial"/>
                <w:sz w:val="20"/>
                <w:szCs w:val="20"/>
              </w:rPr>
              <w:t>Provides b</w:t>
            </w:r>
            <w:r w:rsidR="00A032FB" w:rsidRPr="00210CB4">
              <w:rPr>
                <w:rFonts w:cs="Arial"/>
                <w:sz w:val="20"/>
                <w:szCs w:val="20"/>
              </w:rPr>
              <w:t>asic adaptability</w:t>
            </w:r>
            <w:r w:rsidR="00361CAB" w:rsidRPr="00210CB4">
              <w:rPr>
                <w:rFonts w:cs="Arial"/>
                <w:sz w:val="20"/>
                <w:szCs w:val="20"/>
              </w:rPr>
              <w:t xml:space="preserve"> for use as general clinical/office</w:t>
            </w:r>
          </w:p>
        </w:tc>
      </w:tr>
      <w:tr w:rsidR="00F24D4B" w:rsidRPr="00210CB4" w14:paraId="20F46B8B" w14:textId="77777777" w:rsidTr="00DB4D61">
        <w:tc>
          <w:tcPr>
            <w:tcW w:w="3079" w:type="dxa"/>
            <w:tcBorders>
              <w:top w:val="single" w:sz="8" w:space="0" w:color="BFBFBF"/>
              <w:left w:val="nil"/>
              <w:bottom w:val="single" w:sz="8" w:space="0" w:color="BFBFBF"/>
              <w:right w:val="single" w:sz="8" w:space="0" w:color="BFBFBF"/>
            </w:tcBorders>
          </w:tcPr>
          <w:p w14:paraId="6FD74704" w14:textId="43450E4F" w:rsidR="00F24D4B" w:rsidRPr="00210CB4" w:rsidRDefault="00D3025A" w:rsidP="00666E06">
            <w:pPr>
              <w:rPr>
                <w:rFonts w:cs="Arial"/>
                <w:sz w:val="20"/>
                <w:szCs w:val="20"/>
              </w:rPr>
            </w:pPr>
            <w:r w:rsidRPr="00210CB4">
              <w:rPr>
                <w:rFonts w:cs="Arial"/>
                <w:sz w:val="20"/>
                <w:szCs w:val="20"/>
              </w:rPr>
              <w:t xml:space="preserve">Operating </w:t>
            </w:r>
            <w:r w:rsidR="004A65CB" w:rsidRPr="00210CB4">
              <w:rPr>
                <w:rFonts w:cs="Arial"/>
                <w:sz w:val="20"/>
                <w:szCs w:val="20"/>
              </w:rPr>
              <w:t>t</w:t>
            </w:r>
            <w:r w:rsidRPr="00210CB4">
              <w:rPr>
                <w:rFonts w:cs="Arial"/>
                <w:sz w:val="20"/>
                <w:szCs w:val="20"/>
              </w:rPr>
              <w:t>heatre</w:t>
            </w:r>
            <w:r w:rsidR="00F00BB6" w:rsidRPr="00210CB4">
              <w:rPr>
                <w:rFonts w:cs="Arial"/>
                <w:sz w:val="20"/>
                <w:szCs w:val="20"/>
              </w:rPr>
              <w:t xml:space="preserve">, </w:t>
            </w:r>
            <w:r w:rsidR="004A65CB" w:rsidRPr="00210CB4">
              <w:rPr>
                <w:rFonts w:cs="Arial"/>
                <w:sz w:val="20"/>
                <w:szCs w:val="20"/>
              </w:rPr>
              <w:t>g</w:t>
            </w:r>
            <w:r w:rsidR="00F00BB6" w:rsidRPr="00210CB4">
              <w:rPr>
                <w:rFonts w:cs="Arial"/>
                <w:sz w:val="20"/>
                <w:szCs w:val="20"/>
              </w:rPr>
              <w:t xml:space="preserve">eneral </w:t>
            </w:r>
            <w:r w:rsidR="004A65CB" w:rsidRPr="00210CB4">
              <w:rPr>
                <w:rFonts w:cs="Arial"/>
                <w:sz w:val="20"/>
                <w:szCs w:val="20"/>
              </w:rPr>
              <w:t>r</w:t>
            </w:r>
            <w:r w:rsidR="00F00BB6" w:rsidRPr="00210CB4">
              <w:rPr>
                <w:rFonts w:cs="Arial"/>
                <w:sz w:val="20"/>
                <w:szCs w:val="20"/>
              </w:rPr>
              <w:t>adiology (X-Ray)</w:t>
            </w:r>
          </w:p>
        </w:tc>
        <w:tc>
          <w:tcPr>
            <w:tcW w:w="1357" w:type="dxa"/>
            <w:tcBorders>
              <w:top w:val="single" w:sz="8" w:space="0" w:color="BFBFBF"/>
              <w:left w:val="single" w:sz="8" w:space="0" w:color="BFBFBF"/>
              <w:bottom w:val="single" w:sz="8" w:space="0" w:color="BFBFBF"/>
              <w:right w:val="single" w:sz="8" w:space="0" w:color="BFBFBF"/>
            </w:tcBorders>
            <w:vAlign w:val="center"/>
          </w:tcPr>
          <w:p w14:paraId="30CC585E" w14:textId="0ECDE008" w:rsidR="00F24D4B" w:rsidRPr="00210CB4" w:rsidRDefault="00D3025A" w:rsidP="00666E06">
            <w:pPr>
              <w:rPr>
                <w:rFonts w:cs="Arial"/>
                <w:sz w:val="20"/>
                <w:szCs w:val="20"/>
              </w:rPr>
            </w:pPr>
            <w:r w:rsidRPr="00210CB4">
              <w:rPr>
                <w:rFonts w:cs="Arial"/>
                <w:sz w:val="20"/>
                <w:szCs w:val="20"/>
              </w:rPr>
              <w:t>B</w:t>
            </w:r>
          </w:p>
        </w:tc>
        <w:tc>
          <w:tcPr>
            <w:tcW w:w="1130" w:type="dxa"/>
            <w:tcBorders>
              <w:top w:val="single" w:sz="8" w:space="0" w:color="BFBFBF"/>
              <w:left w:val="single" w:sz="8" w:space="0" w:color="BFBFBF"/>
              <w:bottom w:val="single" w:sz="8" w:space="0" w:color="BFBFBF"/>
              <w:right w:val="single" w:sz="8" w:space="0" w:color="BFBFBF"/>
            </w:tcBorders>
            <w:vAlign w:val="center"/>
          </w:tcPr>
          <w:p w14:paraId="2A66E7FD" w14:textId="0B1855F8" w:rsidR="00F24D4B" w:rsidRPr="00210CB4" w:rsidRDefault="00D3025A" w:rsidP="00666E06">
            <w:pPr>
              <w:rPr>
                <w:rFonts w:cs="Arial"/>
                <w:sz w:val="20"/>
                <w:szCs w:val="20"/>
              </w:rPr>
            </w:pPr>
            <w:r w:rsidRPr="00210CB4">
              <w:rPr>
                <w:rFonts w:cs="Arial"/>
                <w:sz w:val="20"/>
                <w:szCs w:val="20"/>
              </w:rPr>
              <w:t>3</w:t>
            </w:r>
          </w:p>
        </w:tc>
        <w:tc>
          <w:tcPr>
            <w:tcW w:w="1238" w:type="dxa"/>
            <w:tcBorders>
              <w:top w:val="single" w:sz="8" w:space="0" w:color="BFBFBF"/>
              <w:left w:val="single" w:sz="8" w:space="0" w:color="BFBFBF"/>
              <w:bottom w:val="single" w:sz="8" w:space="0" w:color="BFBFBF"/>
              <w:right w:val="single" w:sz="8" w:space="0" w:color="BFBFBF"/>
            </w:tcBorders>
            <w:vAlign w:val="center"/>
          </w:tcPr>
          <w:p w14:paraId="48DEA695" w14:textId="4D6A55B0" w:rsidR="00F24D4B" w:rsidRPr="00210CB4" w:rsidRDefault="00D3025A" w:rsidP="00666E06">
            <w:pPr>
              <w:rPr>
                <w:rFonts w:cs="Arial"/>
                <w:sz w:val="20"/>
                <w:szCs w:val="20"/>
              </w:rPr>
            </w:pPr>
            <w:r w:rsidRPr="00210CB4">
              <w:rPr>
                <w:rFonts w:cs="Arial"/>
                <w:sz w:val="20"/>
                <w:szCs w:val="20"/>
              </w:rPr>
              <w:t>4.5</w:t>
            </w:r>
          </w:p>
        </w:tc>
        <w:tc>
          <w:tcPr>
            <w:tcW w:w="2972" w:type="dxa"/>
            <w:tcBorders>
              <w:top w:val="single" w:sz="8" w:space="0" w:color="BFBFBF"/>
              <w:left w:val="single" w:sz="8" w:space="0" w:color="BFBFBF"/>
              <w:bottom w:val="single" w:sz="8" w:space="0" w:color="BFBFBF"/>
              <w:right w:val="nil"/>
            </w:tcBorders>
          </w:tcPr>
          <w:p w14:paraId="20A97B85" w14:textId="77777777" w:rsidR="00F24D4B" w:rsidRPr="00210CB4" w:rsidRDefault="00F24D4B" w:rsidP="00666E06">
            <w:pPr>
              <w:rPr>
                <w:rFonts w:cs="Arial"/>
                <w:sz w:val="20"/>
                <w:szCs w:val="20"/>
              </w:rPr>
            </w:pPr>
          </w:p>
        </w:tc>
      </w:tr>
      <w:tr w:rsidR="00AF1787" w:rsidRPr="00210CB4" w14:paraId="7EDC18CA" w14:textId="77777777" w:rsidTr="00DB4D61">
        <w:tc>
          <w:tcPr>
            <w:tcW w:w="3079" w:type="dxa"/>
            <w:tcBorders>
              <w:top w:val="single" w:sz="8" w:space="0" w:color="BFBFBF"/>
              <w:left w:val="nil"/>
              <w:bottom w:val="single" w:sz="8" w:space="0" w:color="BFBFBF"/>
              <w:right w:val="single" w:sz="8" w:space="0" w:color="BFBFBF"/>
            </w:tcBorders>
          </w:tcPr>
          <w:p w14:paraId="7DDC9B0B" w14:textId="37F003F5" w:rsidR="00AF1787" w:rsidRPr="00210CB4" w:rsidRDefault="00AF1787" w:rsidP="00666E06">
            <w:pPr>
              <w:rPr>
                <w:rFonts w:cs="Arial"/>
                <w:sz w:val="20"/>
                <w:szCs w:val="20"/>
              </w:rPr>
            </w:pPr>
            <w:r w:rsidRPr="00210CB4">
              <w:rPr>
                <w:rFonts w:cs="Arial"/>
                <w:sz w:val="20"/>
                <w:szCs w:val="20"/>
              </w:rPr>
              <w:t>Circulation</w:t>
            </w:r>
            <w:r w:rsidR="00D77290" w:rsidRPr="00210CB4">
              <w:rPr>
                <w:rFonts w:cs="Arial"/>
                <w:sz w:val="20"/>
                <w:szCs w:val="20"/>
              </w:rPr>
              <w:t xml:space="preserve"> areas (normal areas not subject to wheeled vehicles)</w:t>
            </w:r>
          </w:p>
        </w:tc>
        <w:tc>
          <w:tcPr>
            <w:tcW w:w="1357" w:type="dxa"/>
            <w:tcBorders>
              <w:top w:val="single" w:sz="8" w:space="0" w:color="BFBFBF"/>
              <w:left w:val="single" w:sz="8" w:space="0" w:color="BFBFBF"/>
              <w:bottom w:val="single" w:sz="8" w:space="0" w:color="BFBFBF"/>
              <w:right w:val="single" w:sz="8" w:space="0" w:color="BFBFBF"/>
            </w:tcBorders>
            <w:vAlign w:val="center"/>
          </w:tcPr>
          <w:p w14:paraId="1334E35E" w14:textId="07D365FB" w:rsidR="00AF1787" w:rsidRPr="00210CB4" w:rsidRDefault="003966E6" w:rsidP="00666E06">
            <w:pPr>
              <w:rPr>
                <w:rFonts w:cs="Arial"/>
                <w:sz w:val="20"/>
                <w:szCs w:val="20"/>
              </w:rPr>
            </w:pPr>
            <w:r w:rsidRPr="00210CB4">
              <w:rPr>
                <w:rFonts w:cs="Arial"/>
                <w:sz w:val="20"/>
                <w:szCs w:val="20"/>
              </w:rPr>
              <w:t>C3</w:t>
            </w:r>
          </w:p>
        </w:tc>
        <w:tc>
          <w:tcPr>
            <w:tcW w:w="1130" w:type="dxa"/>
            <w:tcBorders>
              <w:top w:val="single" w:sz="8" w:space="0" w:color="BFBFBF"/>
              <w:left w:val="single" w:sz="8" w:space="0" w:color="BFBFBF"/>
              <w:bottom w:val="single" w:sz="8" w:space="0" w:color="BFBFBF"/>
              <w:right w:val="single" w:sz="8" w:space="0" w:color="BFBFBF"/>
            </w:tcBorders>
            <w:vAlign w:val="center"/>
          </w:tcPr>
          <w:p w14:paraId="6F03560D" w14:textId="601FC22B" w:rsidR="00AF1787" w:rsidRPr="00210CB4" w:rsidRDefault="003966E6" w:rsidP="00666E06">
            <w:pPr>
              <w:rPr>
                <w:rFonts w:cs="Arial"/>
                <w:sz w:val="20"/>
                <w:szCs w:val="20"/>
              </w:rPr>
            </w:pPr>
            <w:r w:rsidRPr="00210CB4">
              <w:rPr>
                <w:rFonts w:cs="Arial"/>
                <w:sz w:val="20"/>
                <w:szCs w:val="20"/>
              </w:rPr>
              <w:t>4</w:t>
            </w:r>
          </w:p>
        </w:tc>
        <w:tc>
          <w:tcPr>
            <w:tcW w:w="1238" w:type="dxa"/>
            <w:tcBorders>
              <w:top w:val="single" w:sz="8" w:space="0" w:color="BFBFBF"/>
              <w:left w:val="single" w:sz="8" w:space="0" w:color="BFBFBF"/>
              <w:bottom w:val="single" w:sz="8" w:space="0" w:color="BFBFBF"/>
              <w:right w:val="single" w:sz="8" w:space="0" w:color="BFBFBF"/>
            </w:tcBorders>
            <w:vAlign w:val="center"/>
          </w:tcPr>
          <w:p w14:paraId="6E0926CF" w14:textId="081230A7" w:rsidR="00AF1787" w:rsidRPr="00210CB4" w:rsidRDefault="003966E6" w:rsidP="00666E06">
            <w:pPr>
              <w:rPr>
                <w:rFonts w:cs="Arial"/>
                <w:sz w:val="20"/>
                <w:szCs w:val="20"/>
              </w:rPr>
            </w:pPr>
            <w:r w:rsidRPr="00210CB4">
              <w:rPr>
                <w:rFonts w:cs="Arial"/>
                <w:sz w:val="20"/>
                <w:szCs w:val="20"/>
              </w:rPr>
              <w:t>4.5</w:t>
            </w:r>
          </w:p>
        </w:tc>
        <w:tc>
          <w:tcPr>
            <w:tcW w:w="2972" w:type="dxa"/>
            <w:tcBorders>
              <w:top w:val="single" w:sz="8" w:space="0" w:color="BFBFBF"/>
              <w:left w:val="single" w:sz="8" w:space="0" w:color="BFBFBF"/>
              <w:bottom w:val="single" w:sz="8" w:space="0" w:color="BFBFBF"/>
              <w:right w:val="nil"/>
            </w:tcBorders>
          </w:tcPr>
          <w:p w14:paraId="7022B73A" w14:textId="53AE2B30" w:rsidR="00AF1787" w:rsidRPr="00210CB4" w:rsidRDefault="003966E6" w:rsidP="00666E06">
            <w:pPr>
              <w:rPr>
                <w:rFonts w:cs="Arial"/>
                <w:sz w:val="20"/>
                <w:szCs w:val="20"/>
              </w:rPr>
            </w:pPr>
            <w:r w:rsidRPr="00210CB4">
              <w:rPr>
                <w:rFonts w:cs="Arial"/>
                <w:sz w:val="20"/>
                <w:szCs w:val="20"/>
              </w:rPr>
              <w:t xml:space="preserve">Limited to circulation cores and </w:t>
            </w:r>
            <w:r w:rsidR="00640E47" w:rsidRPr="00210CB4">
              <w:rPr>
                <w:rFonts w:cs="Arial"/>
                <w:sz w:val="20"/>
                <w:szCs w:val="20"/>
              </w:rPr>
              <w:t xml:space="preserve">adjacent lobby areas </w:t>
            </w:r>
            <w:r w:rsidR="00640E47" w:rsidRPr="00210CB4">
              <w:rPr>
                <w:rFonts w:cs="Arial"/>
                <w:sz w:val="20"/>
                <w:szCs w:val="20"/>
                <w:vertAlign w:val="superscript"/>
              </w:rPr>
              <w:t>2</w:t>
            </w:r>
          </w:p>
        </w:tc>
      </w:tr>
      <w:tr w:rsidR="00CB0F42" w:rsidRPr="00210CB4" w14:paraId="7D2AA533" w14:textId="77777777" w:rsidTr="00DB4D61">
        <w:tc>
          <w:tcPr>
            <w:tcW w:w="3079" w:type="dxa"/>
            <w:tcBorders>
              <w:top w:val="single" w:sz="8" w:space="0" w:color="BFBFBF"/>
              <w:left w:val="nil"/>
              <w:bottom w:val="single" w:sz="8" w:space="0" w:color="BFBFBF"/>
              <w:right w:val="single" w:sz="8" w:space="0" w:color="BFBFBF"/>
            </w:tcBorders>
          </w:tcPr>
          <w:p w14:paraId="7BAA047B" w14:textId="0BB7625F" w:rsidR="00CB0F42" w:rsidRPr="00210CB4" w:rsidRDefault="00CB0F42" w:rsidP="00666E06">
            <w:pPr>
              <w:rPr>
                <w:rFonts w:cs="Arial"/>
                <w:sz w:val="20"/>
                <w:szCs w:val="20"/>
              </w:rPr>
            </w:pPr>
            <w:r w:rsidRPr="00210CB4">
              <w:rPr>
                <w:rFonts w:cs="Arial"/>
                <w:sz w:val="20"/>
                <w:szCs w:val="20"/>
              </w:rPr>
              <w:t>Kitchens</w:t>
            </w:r>
          </w:p>
        </w:tc>
        <w:tc>
          <w:tcPr>
            <w:tcW w:w="1357" w:type="dxa"/>
            <w:tcBorders>
              <w:top w:val="single" w:sz="8" w:space="0" w:color="BFBFBF"/>
              <w:left w:val="single" w:sz="8" w:space="0" w:color="BFBFBF"/>
              <w:bottom w:val="single" w:sz="8" w:space="0" w:color="BFBFBF"/>
              <w:right w:val="single" w:sz="8" w:space="0" w:color="BFBFBF"/>
            </w:tcBorders>
            <w:vAlign w:val="center"/>
          </w:tcPr>
          <w:p w14:paraId="447AE416" w14:textId="6ED6D0EE" w:rsidR="00CB0F42" w:rsidRPr="00210CB4" w:rsidRDefault="00471561" w:rsidP="00666E06">
            <w:pPr>
              <w:rPr>
                <w:rFonts w:cs="Arial"/>
                <w:sz w:val="20"/>
                <w:szCs w:val="20"/>
              </w:rPr>
            </w:pPr>
            <w:r w:rsidRPr="00210CB4">
              <w:rPr>
                <w:rFonts w:cs="Arial"/>
                <w:sz w:val="20"/>
                <w:szCs w:val="20"/>
              </w:rPr>
              <w:t>B</w:t>
            </w:r>
          </w:p>
        </w:tc>
        <w:tc>
          <w:tcPr>
            <w:tcW w:w="1130" w:type="dxa"/>
            <w:tcBorders>
              <w:top w:val="single" w:sz="8" w:space="0" w:color="BFBFBF"/>
              <w:left w:val="single" w:sz="8" w:space="0" w:color="BFBFBF"/>
              <w:bottom w:val="single" w:sz="8" w:space="0" w:color="BFBFBF"/>
              <w:right w:val="single" w:sz="8" w:space="0" w:color="BFBFBF"/>
            </w:tcBorders>
            <w:vAlign w:val="center"/>
          </w:tcPr>
          <w:p w14:paraId="398CEE25" w14:textId="47A00BDF" w:rsidR="00CB0F42" w:rsidRPr="00210CB4" w:rsidRDefault="00AA455A" w:rsidP="00666E06">
            <w:pPr>
              <w:rPr>
                <w:rFonts w:cs="Arial"/>
                <w:sz w:val="20"/>
                <w:szCs w:val="20"/>
              </w:rPr>
            </w:pPr>
            <w:r w:rsidRPr="00210CB4">
              <w:rPr>
                <w:rFonts w:cs="Arial"/>
                <w:sz w:val="20"/>
                <w:szCs w:val="20"/>
              </w:rPr>
              <w:t>5</w:t>
            </w:r>
          </w:p>
        </w:tc>
        <w:tc>
          <w:tcPr>
            <w:tcW w:w="1238" w:type="dxa"/>
            <w:tcBorders>
              <w:top w:val="single" w:sz="8" w:space="0" w:color="BFBFBF"/>
              <w:left w:val="single" w:sz="8" w:space="0" w:color="BFBFBF"/>
              <w:bottom w:val="single" w:sz="8" w:space="0" w:color="BFBFBF"/>
              <w:right w:val="single" w:sz="8" w:space="0" w:color="BFBFBF"/>
            </w:tcBorders>
            <w:vAlign w:val="center"/>
          </w:tcPr>
          <w:p w14:paraId="6E98C639" w14:textId="057D822F" w:rsidR="00CB0F42" w:rsidRPr="00210CB4" w:rsidRDefault="005C2848" w:rsidP="00666E06">
            <w:pPr>
              <w:rPr>
                <w:rFonts w:cs="Arial"/>
                <w:sz w:val="20"/>
                <w:szCs w:val="20"/>
              </w:rPr>
            </w:pPr>
            <w:r w:rsidRPr="00210CB4">
              <w:rPr>
                <w:rFonts w:cs="Arial"/>
                <w:sz w:val="20"/>
                <w:szCs w:val="20"/>
              </w:rPr>
              <w:t>4.5</w:t>
            </w:r>
          </w:p>
        </w:tc>
        <w:tc>
          <w:tcPr>
            <w:tcW w:w="2972" w:type="dxa"/>
            <w:tcBorders>
              <w:top w:val="single" w:sz="8" w:space="0" w:color="BFBFBF"/>
              <w:left w:val="single" w:sz="8" w:space="0" w:color="BFBFBF"/>
              <w:bottom w:val="single" w:sz="8" w:space="0" w:color="BFBFBF"/>
              <w:right w:val="nil"/>
            </w:tcBorders>
          </w:tcPr>
          <w:p w14:paraId="75F96F2A" w14:textId="77777777" w:rsidR="00CB0F42" w:rsidRPr="00210CB4" w:rsidRDefault="00CB0F42" w:rsidP="00666E06">
            <w:pPr>
              <w:rPr>
                <w:rFonts w:cs="Arial"/>
                <w:sz w:val="20"/>
                <w:szCs w:val="20"/>
              </w:rPr>
            </w:pPr>
          </w:p>
        </w:tc>
      </w:tr>
      <w:tr w:rsidR="005C2848" w:rsidRPr="00210CB4" w14:paraId="2DC5D566" w14:textId="77777777" w:rsidTr="00DB4D61">
        <w:tc>
          <w:tcPr>
            <w:tcW w:w="3079" w:type="dxa"/>
            <w:tcBorders>
              <w:top w:val="single" w:sz="8" w:space="0" w:color="BFBFBF"/>
              <w:left w:val="nil"/>
              <w:bottom w:val="single" w:sz="8" w:space="0" w:color="BFBFBF"/>
              <w:right w:val="single" w:sz="8" w:space="0" w:color="BFBFBF"/>
            </w:tcBorders>
          </w:tcPr>
          <w:p w14:paraId="4098C2F4" w14:textId="2787B3A3" w:rsidR="005C2848" w:rsidRPr="00210CB4" w:rsidRDefault="005C2848" w:rsidP="00666E06">
            <w:pPr>
              <w:rPr>
                <w:rFonts w:cs="Arial"/>
                <w:sz w:val="20"/>
                <w:szCs w:val="20"/>
              </w:rPr>
            </w:pPr>
            <w:r w:rsidRPr="00210CB4">
              <w:rPr>
                <w:rFonts w:cs="Arial"/>
                <w:sz w:val="20"/>
                <w:szCs w:val="20"/>
              </w:rPr>
              <w:t xml:space="preserve">CSSD, </w:t>
            </w:r>
            <w:r w:rsidR="004A65CB" w:rsidRPr="00210CB4">
              <w:rPr>
                <w:rFonts w:cs="Arial"/>
                <w:sz w:val="20"/>
                <w:szCs w:val="20"/>
              </w:rPr>
              <w:t>g</w:t>
            </w:r>
            <w:r w:rsidRPr="00210CB4">
              <w:rPr>
                <w:rFonts w:cs="Arial"/>
                <w:sz w:val="20"/>
                <w:szCs w:val="20"/>
              </w:rPr>
              <w:t>eneral</w:t>
            </w:r>
            <w:r w:rsidR="00087AA2" w:rsidRPr="00210CB4">
              <w:rPr>
                <w:rFonts w:cs="Arial"/>
                <w:sz w:val="20"/>
                <w:szCs w:val="20"/>
              </w:rPr>
              <w:t xml:space="preserve"> (central)</w:t>
            </w:r>
            <w:r w:rsidRPr="00210CB4">
              <w:rPr>
                <w:rFonts w:cs="Arial"/>
                <w:sz w:val="20"/>
                <w:szCs w:val="20"/>
              </w:rPr>
              <w:t xml:space="preserve"> stores and distribution</w:t>
            </w:r>
            <w:r w:rsidR="003727A7" w:rsidRPr="00210CB4">
              <w:rPr>
                <w:rFonts w:cs="Arial"/>
                <w:sz w:val="20"/>
                <w:szCs w:val="20"/>
              </w:rPr>
              <w:t xml:space="preserve"> </w:t>
            </w:r>
            <w:r w:rsidR="003727A7" w:rsidRPr="00210CB4">
              <w:rPr>
                <w:rFonts w:cs="Arial"/>
                <w:sz w:val="20"/>
                <w:szCs w:val="20"/>
                <w:vertAlign w:val="superscript"/>
              </w:rPr>
              <w:t>3</w:t>
            </w:r>
          </w:p>
        </w:tc>
        <w:tc>
          <w:tcPr>
            <w:tcW w:w="1357" w:type="dxa"/>
            <w:tcBorders>
              <w:top w:val="single" w:sz="8" w:space="0" w:color="BFBFBF"/>
              <w:left w:val="single" w:sz="8" w:space="0" w:color="BFBFBF"/>
              <w:bottom w:val="single" w:sz="8" w:space="0" w:color="BFBFBF"/>
              <w:right w:val="single" w:sz="8" w:space="0" w:color="BFBFBF"/>
            </w:tcBorders>
            <w:vAlign w:val="center"/>
          </w:tcPr>
          <w:p w14:paraId="3F7BD33F" w14:textId="024DC8B3" w:rsidR="005C2848" w:rsidRPr="00210CB4" w:rsidRDefault="00E30F8B"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single" w:sz="8" w:space="0" w:color="BFBFBF"/>
              <w:right w:val="single" w:sz="8" w:space="0" w:color="BFBFBF"/>
            </w:tcBorders>
            <w:vAlign w:val="center"/>
          </w:tcPr>
          <w:p w14:paraId="0C63F21B" w14:textId="36619327" w:rsidR="005C2848" w:rsidRPr="00210CB4" w:rsidRDefault="006D493B" w:rsidP="00666E06">
            <w:pPr>
              <w:rPr>
                <w:rFonts w:cs="Arial"/>
                <w:sz w:val="20"/>
                <w:szCs w:val="20"/>
              </w:rPr>
            </w:pPr>
            <w:r w:rsidRPr="00210CB4">
              <w:rPr>
                <w:rFonts w:cs="Arial"/>
                <w:sz w:val="20"/>
                <w:szCs w:val="20"/>
              </w:rPr>
              <w:t>5</w:t>
            </w:r>
          </w:p>
        </w:tc>
        <w:tc>
          <w:tcPr>
            <w:tcW w:w="1238" w:type="dxa"/>
            <w:tcBorders>
              <w:top w:val="single" w:sz="8" w:space="0" w:color="BFBFBF"/>
              <w:left w:val="single" w:sz="8" w:space="0" w:color="BFBFBF"/>
              <w:bottom w:val="single" w:sz="8" w:space="0" w:color="BFBFBF"/>
              <w:right w:val="single" w:sz="8" w:space="0" w:color="BFBFBF"/>
            </w:tcBorders>
            <w:vAlign w:val="center"/>
          </w:tcPr>
          <w:p w14:paraId="714B9D98" w14:textId="6F629C37" w:rsidR="005C2848" w:rsidRPr="00210CB4" w:rsidRDefault="005C2848" w:rsidP="00666E06">
            <w:pPr>
              <w:rPr>
                <w:rFonts w:cs="Arial"/>
                <w:sz w:val="20"/>
                <w:szCs w:val="20"/>
              </w:rPr>
            </w:pPr>
            <w:r w:rsidRPr="00210CB4">
              <w:rPr>
                <w:rFonts w:cs="Arial"/>
                <w:sz w:val="20"/>
                <w:szCs w:val="20"/>
              </w:rPr>
              <w:t>9</w:t>
            </w:r>
          </w:p>
        </w:tc>
        <w:tc>
          <w:tcPr>
            <w:tcW w:w="2972" w:type="dxa"/>
            <w:tcBorders>
              <w:top w:val="single" w:sz="8" w:space="0" w:color="BFBFBF"/>
              <w:left w:val="single" w:sz="8" w:space="0" w:color="BFBFBF"/>
              <w:bottom w:val="single" w:sz="8" w:space="0" w:color="BFBFBF"/>
              <w:right w:val="nil"/>
            </w:tcBorders>
          </w:tcPr>
          <w:p w14:paraId="7CE9BB5D" w14:textId="281401EF" w:rsidR="005C2848" w:rsidRPr="00210CB4" w:rsidRDefault="00087AA2" w:rsidP="00666E06">
            <w:pPr>
              <w:rPr>
                <w:rFonts w:cs="Arial"/>
                <w:sz w:val="20"/>
                <w:szCs w:val="20"/>
              </w:rPr>
            </w:pPr>
            <w:r w:rsidRPr="00210CB4">
              <w:rPr>
                <w:rFonts w:cs="Arial"/>
                <w:sz w:val="20"/>
                <w:szCs w:val="20"/>
              </w:rPr>
              <w:t>Generally</w:t>
            </w:r>
            <w:r w:rsidR="00525E4C" w:rsidRPr="00210CB4">
              <w:rPr>
                <w:rFonts w:cs="Arial"/>
                <w:sz w:val="20"/>
                <w:szCs w:val="20"/>
              </w:rPr>
              <w:t xml:space="preserve"> e</w:t>
            </w:r>
            <w:r w:rsidR="00797478" w:rsidRPr="00210CB4">
              <w:rPr>
                <w:rFonts w:cs="Arial"/>
                <w:sz w:val="20"/>
                <w:szCs w:val="20"/>
              </w:rPr>
              <w:t xml:space="preserve">xcludes basic shelving and </w:t>
            </w:r>
            <w:r w:rsidR="00A67A8C" w:rsidRPr="00210CB4">
              <w:rPr>
                <w:rFonts w:cs="Arial"/>
                <w:sz w:val="20"/>
                <w:szCs w:val="20"/>
              </w:rPr>
              <w:t>storage</w:t>
            </w:r>
            <w:r w:rsidR="00797478" w:rsidRPr="00210CB4">
              <w:rPr>
                <w:rFonts w:cs="Arial"/>
                <w:sz w:val="20"/>
                <w:szCs w:val="20"/>
              </w:rPr>
              <w:t xml:space="preserve"> rooms</w:t>
            </w:r>
            <w:r w:rsidR="00A67A8C" w:rsidRPr="00210CB4">
              <w:rPr>
                <w:rFonts w:cs="Arial"/>
                <w:sz w:val="20"/>
                <w:szCs w:val="20"/>
              </w:rPr>
              <w:t xml:space="preserve"> within wards</w:t>
            </w:r>
            <w:r w:rsidR="002C4DB0" w:rsidRPr="00210CB4">
              <w:rPr>
                <w:rFonts w:cs="Arial"/>
                <w:sz w:val="20"/>
                <w:szCs w:val="20"/>
              </w:rPr>
              <w:t xml:space="preserve">, </w:t>
            </w:r>
            <w:r w:rsidR="00A67A8C" w:rsidRPr="00210CB4">
              <w:rPr>
                <w:rFonts w:cs="Arial"/>
                <w:sz w:val="20"/>
                <w:szCs w:val="20"/>
              </w:rPr>
              <w:t xml:space="preserve">general clinical </w:t>
            </w:r>
            <w:r w:rsidR="002C4DB0" w:rsidRPr="00210CB4">
              <w:rPr>
                <w:rFonts w:cs="Arial"/>
                <w:sz w:val="20"/>
                <w:szCs w:val="20"/>
              </w:rPr>
              <w:t xml:space="preserve">or office </w:t>
            </w:r>
            <w:r w:rsidR="00A67A8C" w:rsidRPr="00210CB4">
              <w:rPr>
                <w:rFonts w:cs="Arial"/>
                <w:sz w:val="20"/>
                <w:szCs w:val="20"/>
              </w:rPr>
              <w:t>areas.</w:t>
            </w:r>
          </w:p>
        </w:tc>
      </w:tr>
      <w:tr w:rsidR="00F24D4B" w:rsidRPr="00210CB4" w14:paraId="46BAD336" w14:textId="77777777" w:rsidTr="00DB4D61">
        <w:tc>
          <w:tcPr>
            <w:tcW w:w="3079" w:type="dxa"/>
            <w:tcBorders>
              <w:top w:val="single" w:sz="8" w:space="0" w:color="BFBFBF"/>
              <w:left w:val="nil"/>
              <w:bottom w:val="single" w:sz="8" w:space="0" w:color="BFBFBF"/>
              <w:right w:val="single" w:sz="8" w:space="0" w:color="BFBFBF"/>
            </w:tcBorders>
          </w:tcPr>
          <w:p w14:paraId="5BCE7F3F" w14:textId="2CC4EC36" w:rsidR="00F24D4B" w:rsidRPr="00210CB4" w:rsidRDefault="00F00BB6" w:rsidP="00666E06">
            <w:pPr>
              <w:rPr>
                <w:rFonts w:cs="Arial"/>
                <w:sz w:val="20"/>
                <w:szCs w:val="20"/>
              </w:rPr>
            </w:pPr>
            <w:r w:rsidRPr="00210CB4">
              <w:rPr>
                <w:rFonts w:cs="Arial"/>
                <w:sz w:val="20"/>
                <w:szCs w:val="20"/>
              </w:rPr>
              <w:t xml:space="preserve">General </w:t>
            </w:r>
            <w:r w:rsidR="004A65CB" w:rsidRPr="00210CB4">
              <w:rPr>
                <w:rFonts w:cs="Arial"/>
                <w:sz w:val="20"/>
                <w:szCs w:val="20"/>
              </w:rPr>
              <w:t>p</w:t>
            </w:r>
            <w:r w:rsidRPr="00210CB4">
              <w:rPr>
                <w:rFonts w:cs="Arial"/>
                <w:sz w:val="20"/>
                <w:szCs w:val="20"/>
              </w:rPr>
              <w:t>lant</w:t>
            </w:r>
          </w:p>
        </w:tc>
        <w:tc>
          <w:tcPr>
            <w:tcW w:w="1357" w:type="dxa"/>
            <w:tcBorders>
              <w:top w:val="single" w:sz="8" w:space="0" w:color="BFBFBF"/>
              <w:left w:val="single" w:sz="8" w:space="0" w:color="BFBFBF"/>
              <w:bottom w:val="single" w:sz="8" w:space="0" w:color="BFBFBF"/>
              <w:right w:val="single" w:sz="8" w:space="0" w:color="BFBFBF"/>
            </w:tcBorders>
            <w:vAlign w:val="center"/>
          </w:tcPr>
          <w:p w14:paraId="1BF4863B" w14:textId="2C8116A3" w:rsidR="00F24D4B" w:rsidRPr="00210CB4" w:rsidRDefault="002205A1"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single" w:sz="8" w:space="0" w:color="BFBFBF"/>
              <w:right w:val="single" w:sz="8" w:space="0" w:color="BFBFBF"/>
            </w:tcBorders>
            <w:vAlign w:val="center"/>
          </w:tcPr>
          <w:p w14:paraId="0ECE3FF5" w14:textId="23C854CB" w:rsidR="00F24D4B" w:rsidRPr="00210CB4" w:rsidRDefault="002205A1" w:rsidP="00666E06">
            <w:pPr>
              <w:rPr>
                <w:rFonts w:cs="Arial"/>
                <w:sz w:val="20"/>
                <w:szCs w:val="20"/>
              </w:rPr>
            </w:pPr>
            <w:r w:rsidRPr="00210CB4">
              <w:rPr>
                <w:rFonts w:cs="Arial"/>
                <w:sz w:val="20"/>
                <w:szCs w:val="20"/>
              </w:rPr>
              <w:t>5</w:t>
            </w:r>
          </w:p>
        </w:tc>
        <w:tc>
          <w:tcPr>
            <w:tcW w:w="1238" w:type="dxa"/>
            <w:tcBorders>
              <w:top w:val="single" w:sz="8" w:space="0" w:color="BFBFBF"/>
              <w:left w:val="single" w:sz="8" w:space="0" w:color="BFBFBF"/>
              <w:bottom w:val="single" w:sz="8" w:space="0" w:color="BFBFBF"/>
              <w:right w:val="single" w:sz="8" w:space="0" w:color="BFBFBF"/>
            </w:tcBorders>
            <w:vAlign w:val="center"/>
          </w:tcPr>
          <w:p w14:paraId="1978482A" w14:textId="62C60C48" w:rsidR="00F24D4B" w:rsidRPr="00210CB4" w:rsidRDefault="008A339A" w:rsidP="00666E06">
            <w:pPr>
              <w:rPr>
                <w:rFonts w:cs="Arial"/>
                <w:sz w:val="20"/>
                <w:szCs w:val="20"/>
              </w:rPr>
            </w:pPr>
            <w:r w:rsidRPr="00210CB4">
              <w:rPr>
                <w:rFonts w:cs="Arial"/>
                <w:sz w:val="20"/>
                <w:szCs w:val="20"/>
              </w:rPr>
              <w:t>9</w:t>
            </w:r>
          </w:p>
        </w:tc>
        <w:tc>
          <w:tcPr>
            <w:tcW w:w="2972" w:type="dxa"/>
            <w:tcBorders>
              <w:top w:val="single" w:sz="8" w:space="0" w:color="BFBFBF"/>
              <w:left w:val="single" w:sz="8" w:space="0" w:color="BFBFBF"/>
              <w:bottom w:val="single" w:sz="8" w:space="0" w:color="BFBFBF"/>
              <w:right w:val="nil"/>
            </w:tcBorders>
          </w:tcPr>
          <w:p w14:paraId="3675228A" w14:textId="54940311" w:rsidR="00F24D4B" w:rsidRPr="00210CB4" w:rsidRDefault="00DF36BD" w:rsidP="00666E06">
            <w:pPr>
              <w:rPr>
                <w:rFonts w:cs="Arial"/>
                <w:sz w:val="20"/>
                <w:szCs w:val="20"/>
              </w:rPr>
            </w:pPr>
            <w:r w:rsidRPr="00210CB4">
              <w:rPr>
                <w:rFonts w:cs="Arial"/>
                <w:sz w:val="20"/>
                <w:szCs w:val="20"/>
              </w:rPr>
              <w:t xml:space="preserve">Air handling, </w:t>
            </w:r>
            <w:r w:rsidR="0019004D" w:rsidRPr="00210CB4">
              <w:rPr>
                <w:rFonts w:cs="Arial"/>
                <w:sz w:val="20"/>
                <w:szCs w:val="20"/>
              </w:rPr>
              <w:t>pumps</w:t>
            </w:r>
            <w:r w:rsidR="007F12E6" w:rsidRPr="00210CB4">
              <w:rPr>
                <w:rFonts w:cs="Arial"/>
                <w:sz w:val="20"/>
                <w:szCs w:val="20"/>
              </w:rPr>
              <w:t xml:space="preserve"> and fans,</w:t>
            </w:r>
            <w:r w:rsidR="0019004D" w:rsidRPr="00210CB4">
              <w:rPr>
                <w:rFonts w:cs="Arial"/>
                <w:sz w:val="20"/>
                <w:szCs w:val="20"/>
              </w:rPr>
              <w:t xml:space="preserve"> </w:t>
            </w:r>
            <w:r w:rsidR="009711E1" w:rsidRPr="00210CB4">
              <w:rPr>
                <w:rFonts w:cs="Arial"/>
                <w:sz w:val="20"/>
                <w:szCs w:val="20"/>
              </w:rPr>
              <w:t xml:space="preserve">plant room </w:t>
            </w:r>
            <w:r w:rsidR="0019004D" w:rsidRPr="00210CB4">
              <w:rPr>
                <w:rFonts w:cs="Arial"/>
                <w:sz w:val="20"/>
                <w:szCs w:val="20"/>
              </w:rPr>
              <w:t>reticulation</w:t>
            </w:r>
            <w:r w:rsidR="006D12AB" w:rsidRPr="00210CB4">
              <w:rPr>
                <w:rFonts w:cs="Arial"/>
                <w:sz w:val="20"/>
                <w:szCs w:val="20"/>
              </w:rPr>
              <w:t>.</w:t>
            </w:r>
          </w:p>
        </w:tc>
      </w:tr>
      <w:tr w:rsidR="00F00BB6" w:rsidRPr="00210CB4" w14:paraId="68D03DD1" w14:textId="77777777" w:rsidTr="00DB4D61">
        <w:tc>
          <w:tcPr>
            <w:tcW w:w="3079" w:type="dxa"/>
            <w:tcBorders>
              <w:top w:val="single" w:sz="8" w:space="0" w:color="BFBFBF"/>
              <w:left w:val="nil"/>
              <w:bottom w:val="single" w:sz="8" w:space="0" w:color="BFBFBF"/>
              <w:right w:val="single" w:sz="8" w:space="0" w:color="BFBFBF"/>
            </w:tcBorders>
          </w:tcPr>
          <w:p w14:paraId="633A8EC4" w14:textId="12E74B50" w:rsidR="00F00BB6" w:rsidRPr="00210CB4" w:rsidRDefault="00F00BB6" w:rsidP="00666E06">
            <w:pPr>
              <w:rPr>
                <w:rFonts w:cs="Arial"/>
                <w:sz w:val="20"/>
                <w:szCs w:val="20"/>
              </w:rPr>
            </w:pPr>
            <w:r w:rsidRPr="00210CB4">
              <w:rPr>
                <w:rFonts w:cs="Arial"/>
                <w:sz w:val="20"/>
                <w:szCs w:val="20"/>
              </w:rPr>
              <w:t xml:space="preserve">Heavy </w:t>
            </w:r>
            <w:r w:rsidR="004A65CB" w:rsidRPr="00210CB4">
              <w:rPr>
                <w:rFonts w:cs="Arial"/>
                <w:sz w:val="20"/>
                <w:szCs w:val="20"/>
              </w:rPr>
              <w:t>p</w:t>
            </w:r>
            <w:r w:rsidRPr="00210CB4">
              <w:rPr>
                <w:rFonts w:cs="Arial"/>
                <w:sz w:val="20"/>
                <w:szCs w:val="20"/>
              </w:rPr>
              <w:t>lant</w:t>
            </w:r>
            <w:r w:rsidR="00CF56A8" w:rsidRPr="00210CB4">
              <w:rPr>
                <w:rFonts w:cs="Arial"/>
                <w:sz w:val="20"/>
                <w:szCs w:val="20"/>
              </w:rPr>
              <w:t xml:space="preserve"> </w:t>
            </w:r>
            <w:r w:rsidR="00CF56A8" w:rsidRPr="00210CB4">
              <w:rPr>
                <w:rFonts w:cs="Arial"/>
                <w:sz w:val="20"/>
                <w:szCs w:val="20"/>
                <w:vertAlign w:val="superscript"/>
              </w:rPr>
              <w:t>3</w:t>
            </w:r>
          </w:p>
        </w:tc>
        <w:tc>
          <w:tcPr>
            <w:tcW w:w="1357" w:type="dxa"/>
            <w:tcBorders>
              <w:top w:val="single" w:sz="8" w:space="0" w:color="BFBFBF"/>
              <w:left w:val="single" w:sz="8" w:space="0" w:color="BFBFBF"/>
              <w:bottom w:val="single" w:sz="8" w:space="0" w:color="BFBFBF"/>
              <w:right w:val="single" w:sz="8" w:space="0" w:color="BFBFBF"/>
            </w:tcBorders>
            <w:vAlign w:val="center"/>
          </w:tcPr>
          <w:p w14:paraId="5883D389" w14:textId="6F4E2402" w:rsidR="00F00BB6" w:rsidRPr="00210CB4" w:rsidRDefault="002205A1"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single" w:sz="8" w:space="0" w:color="BFBFBF"/>
              <w:right w:val="single" w:sz="8" w:space="0" w:color="BFBFBF"/>
            </w:tcBorders>
            <w:vAlign w:val="center"/>
          </w:tcPr>
          <w:p w14:paraId="545722E8" w14:textId="659744A6" w:rsidR="00F00BB6" w:rsidRPr="00210CB4" w:rsidRDefault="008A339A" w:rsidP="00666E06">
            <w:pPr>
              <w:rPr>
                <w:rFonts w:cs="Arial"/>
                <w:sz w:val="20"/>
                <w:szCs w:val="20"/>
              </w:rPr>
            </w:pPr>
            <w:r w:rsidRPr="00210CB4">
              <w:rPr>
                <w:rFonts w:cs="Arial"/>
                <w:sz w:val="20"/>
                <w:szCs w:val="20"/>
              </w:rPr>
              <w:t>7.5</w:t>
            </w:r>
          </w:p>
        </w:tc>
        <w:tc>
          <w:tcPr>
            <w:tcW w:w="1238" w:type="dxa"/>
            <w:tcBorders>
              <w:top w:val="single" w:sz="8" w:space="0" w:color="BFBFBF"/>
              <w:left w:val="single" w:sz="8" w:space="0" w:color="BFBFBF"/>
              <w:bottom w:val="single" w:sz="8" w:space="0" w:color="BFBFBF"/>
              <w:right w:val="single" w:sz="8" w:space="0" w:color="BFBFBF"/>
            </w:tcBorders>
            <w:vAlign w:val="center"/>
          </w:tcPr>
          <w:p w14:paraId="2DE30CF4" w14:textId="62D21220" w:rsidR="00F00BB6" w:rsidRPr="00210CB4" w:rsidRDefault="008A339A" w:rsidP="00666E06">
            <w:pPr>
              <w:rPr>
                <w:rFonts w:cs="Arial"/>
                <w:sz w:val="20"/>
                <w:szCs w:val="20"/>
              </w:rPr>
            </w:pPr>
            <w:r w:rsidRPr="00210CB4">
              <w:rPr>
                <w:rFonts w:cs="Arial"/>
                <w:sz w:val="20"/>
                <w:szCs w:val="20"/>
              </w:rPr>
              <w:t>9</w:t>
            </w:r>
          </w:p>
        </w:tc>
        <w:tc>
          <w:tcPr>
            <w:tcW w:w="2972" w:type="dxa"/>
            <w:tcBorders>
              <w:top w:val="single" w:sz="8" w:space="0" w:color="BFBFBF"/>
              <w:left w:val="single" w:sz="8" w:space="0" w:color="BFBFBF"/>
              <w:bottom w:val="single" w:sz="8" w:space="0" w:color="BFBFBF"/>
              <w:right w:val="nil"/>
            </w:tcBorders>
          </w:tcPr>
          <w:p w14:paraId="7A74AAFA" w14:textId="3BF01BAB" w:rsidR="00F00BB6" w:rsidRPr="00210CB4" w:rsidRDefault="00E66FD1" w:rsidP="00666E06">
            <w:pPr>
              <w:rPr>
                <w:rFonts w:cs="Arial"/>
                <w:sz w:val="20"/>
                <w:szCs w:val="20"/>
              </w:rPr>
            </w:pPr>
            <w:r w:rsidRPr="00210CB4">
              <w:rPr>
                <w:rFonts w:cs="Arial"/>
                <w:sz w:val="20"/>
                <w:szCs w:val="20"/>
              </w:rPr>
              <w:t>Chillers, transformers</w:t>
            </w:r>
            <w:r w:rsidR="00F02B4F" w:rsidRPr="00210CB4">
              <w:rPr>
                <w:rFonts w:cs="Arial"/>
                <w:sz w:val="20"/>
                <w:szCs w:val="20"/>
              </w:rPr>
              <w:t>.</w:t>
            </w:r>
          </w:p>
        </w:tc>
      </w:tr>
      <w:tr w:rsidR="002D5DC5" w:rsidRPr="00210CB4" w14:paraId="6B12D0E6" w14:textId="77777777" w:rsidTr="00DB4D61">
        <w:tc>
          <w:tcPr>
            <w:tcW w:w="3079" w:type="dxa"/>
            <w:tcBorders>
              <w:top w:val="single" w:sz="8" w:space="0" w:color="BFBFBF"/>
              <w:left w:val="nil"/>
              <w:bottom w:val="single" w:sz="8" w:space="0" w:color="BFBFBF"/>
              <w:right w:val="single" w:sz="8" w:space="0" w:color="BFBFBF"/>
            </w:tcBorders>
          </w:tcPr>
          <w:p w14:paraId="4EEA402B" w14:textId="6AF3E225" w:rsidR="002D5DC5" w:rsidRPr="00210CB4" w:rsidRDefault="00337D1C" w:rsidP="00666E06">
            <w:pPr>
              <w:rPr>
                <w:rFonts w:cs="Arial"/>
                <w:sz w:val="20"/>
                <w:szCs w:val="20"/>
              </w:rPr>
            </w:pPr>
            <w:r w:rsidRPr="00210CB4">
              <w:rPr>
                <w:rFonts w:cs="Arial"/>
                <w:sz w:val="20"/>
                <w:szCs w:val="20"/>
              </w:rPr>
              <w:t>Heavy</w:t>
            </w:r>
            <w:r w:rsidR="00B91E3D" w:rsidRPr="00210CB4">
              <w:rPr>
                <w:rFonts w:cs="Arial"/>
                <w:sz w:val="20"/>
                <w:szCs w:val="20"/>
              </w:rPr>
              <w:t xml:space="preserve"> </w:t>
            </w:r>
            <w:r w:rsidRPr="00210CB4">
              <w:rPr>
                <w:rFonts w:cs="Arial"/>
                <w:sz w:val="20"/>
                <w:szCs w:val="20"/>
              </w:rPr>
              <w:t>m</w:t>
            </w:r>
            <w:r w:rsidR="00B91E3D" w:rsidRPr="00210CB4">
              <w:rPr>
                <w:rFonts w:cs="Arial"/>
                <w:sz w:val="20"/>
                <w:szCs w:val="20"/>
              </w:rPr>
              <w:t xml:space="preserve">edical </w:t>
            </w:r>
            <w:r w:rsidRPr="00210CB4">
              <w:rPr>
                <w:rFonts w:cs="Arial"/>
                <w:sz w:val="20"/>
                <w:szCs w:val="20"/>
              </w:rPr>
              <w:t>i</w:t>
            </w:r>
            <w:r w:rsidR="00B91E3D" w:rsidRPr="00210CB4">
              <w:rPr>
                <w:rFonts w:cs="Arial"/>
                <w:sz w:val="20"/>
                <w:szCs w:val="20"/>
              </w:rPr>
              <w:t>maging (MRI, CT, PET)</w:t>
            </w:r>
            <w:r w:rsidR="003727A7" w:rsidRPr="00210CB4">
              <w:rPr>
                <w:rFonts w:cs="Arial"/>
                <w:sz w:val="20"/>
                <w:szCs w:val="20"/>
              </w:rPr>
              <w:t xml:space="preserve"> </w:t>
            </w:r>
            <w:r w:rsidR="003727A7" w:rsidRPr="00210CB4">
              <w:rPr>
                <w:rFonts w:cs="Arial"/>
                <w:sz w:val="20"/>
                <w:szCs w:val="20"/>
                <w:vertAlign w:val="superscript"/>
              </w:rPr>
              <w:t>3</w:t>
            </w:r>
          </w:p>
        </w:tc>
        <w:tc>
          <w:tcPr>
            <w:tcW w:w="1357" w:type="dxa"/>
            <w:tcBorders>
              <w:top w:val="single" w:sz="8" w:space="0" w:color="BFBFBF"/>
              <w:left w:val="single" w:sz="8" w:space="0" w:color="BFBFBF"/>
              <w:bottom w:val="single" w:sz="8" w:space="0" w:color="BFBFBF"/>
              <w:right w:val="single" w:sz="8" w:space="0" w:color="BFBFBF"/>
            </w:tcBorders>
            <w:vAlign w:val="center"/>
          </w:tcPr>
          <w:p w14:paraId="0BAC8EB0" w14:textId="36403ED7" w:rsidR="002D5DC5" w:rsidRPr="00210CB4" w:rsidRDefault="00B91E3D"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single" w:sz="8" w:space="0" w:color="BFBFBF"/>
              <w:right w:val="single" w:sz="8" w:space="0" w:color="BFBFBF"/>
            </w:tcBorders>
            <w:vAlign w:val="center"/>
          </w:tcPr>
          <w:p w14:paraId="75EA99FA" w14:textId="7B90F6A5" w:rsidR="002D5DC5" w:rsidRPr="00210CB4" w:rsidRDefault="004A6C93" w:rsidP="00666E06">
            <w:pPr>
              <w:rPr>
                <w:rFonts w:cs="Arial"/>
                <w:sz w:val="20"/>
                <w:szCs w:val="20"/>
              </w:rPr>
            </w:pPr>
            <w:r w:rsidRPr="00210CB4">
              <w:rPr>
                <w:rFonts w:cs="Arial"/>
                <w:sz w:val="20"/>
                <w:szCs w:val="20"/>
              </w:rPr>
              <w:t xml:space="preserve">≥ </w:t>
            </w:r>
            <w:r w:rsidR="00B91E3D" w:rsidRPr="00210CB4">
              <w:rPr>
                <w:rFonts w:cs="Arial"/>
                <w:sz w:val="20"/>
                <w:szCs w:val="20"/>
              </w:rPr>
              <w:t>7.5</w:t>
            </w:r>
          </w:p>
        </w:tc>
        <w:tc>
          <w:tcPr>
            <w:tcW w:w="1238" w:type="dxa"/>
            <w:tcBorders>
              <w:top w:val="single" w:sz="8" w:space="0" w:color="BFBFBF"/>
              <w:left w:val="single" w:sz="8" w:space="0" w:color="BFBFBF"/>
              <w:bottom w:val="single" w:sz="8" w:space="0" w:color="BFBFBF"/>
              <w:right w:val="single" w:sz="8" w:space="0" w:color="BFBFBF"/>
            </w:tcBorders>
            <w:vAlign w:val="center"/>
          </w:tcPr>
          <w:p w14:paraId="4421F3D2" w14:textId="28B64F3C" w:rsidR="002D5DC5" w:rsidRPr="00210CB4" w:rsidRDefault="00B91E3D" w:rsidP="00666E06">
            <w:pPr>
              <w:rPr>
                <w:rFonts w:cs="Arial"/>
                <w:sz w:val="20"/>
                <w:szCs w:val="20"/>
              </w:rPr>
            </w:pPr>
            <w:r w:rsidRPr="00210CB4">
              <w:rPr>
                <w:rFonts w:cs="Arial"/>
                <w:sz w:val="20"/>
                <w:szCs w:val="20"/>
              </w:rPr>
              <w:t>t.b.d.</w:t>
            </w:r>
          </w:p>
        </w:tc>
        <w:tc>
          <w:tcPr>
            <w:tcW w:w="2972" w:type="dxa"/>
            <w:tcBorders>
              <w:top w:val="single" w:sz="8" w:space="0" w:color="BFBFBF"/>
              <w:left w:val="single" w:sz="8" w:space="0" w:color="BFBFBF"/>
              <w:bottom w:val="single" w:sz="8" w:space="0" w:color="BFBFBF"/>
              <w:right w:val="nil"/>
            </w:tcBorders>
          </w:tcPr>
          <w:p w14:paraId="65939D9F" w14:textId="0CE694F9" w:rsidR="002D5DC5" w:rsidRPr="00210CB4" w:rsidRDefault="004A6C93" w:rsidP="00666E06">
            <w:pPr>
              <w:rPr>
                <w:rFonts w:cs="Arial"/>
                <w:sz w:val="20"/>
                <w:szCs w:val="20"/>
              </w:rPr>
            </w:pPr>
            <w:r w:rsidRPr="00210CB4">
              <w:rPr>
                <w:rFonts w:cs="Arial"/>
                <w:sz w:val="20"/>
                <w:szCs w:val="20"/>
              </w:rPr>
              <w:t>As specifically assessed.</w:t>
            </w:r>
          </w:p>
        </w:tc>
      </w:tr>
      <w:tr w:rsidR="00B15A14" w:rsidRPr="00210CB4" w14:paraId="10DA23DC" w14:textId="77777777" w:rsidTr="00DB4D61">
        <w:tc>
          <w:tcPr>
            <w:tcW w:w="3079" w:type="dxa"/>
            <w:tcBorders>
              <w:top w:val="single" w:sz="8" w:space="0" w:color="BFBFBF"/>
              <w:left w:val="nil"/>
              <w:bottom w:val="single" w:sz="8" w:space="0" w:color="BFBFBF"/>
              <w:right w:val="single" w:sz="8" w:space="0" w:color="BFBFBF"/>
            </w:tcBorders>
          </w:tcPr>
          <w:p w14:paraId="6CB18903" w14:textId="2D7F3371" w:rsidR="00B15A14" w:rsidRPr="00210CB4" w:rsidRDefault="00B15A14" w:rsidP="00666E06">
            <w:pPr>
              <w:rPr>
                <w:rFonts w:cs="Arial"/>
                <w:sz w:val="20"/>
                <w:szCs w:val="20"/>
              </w:rPr>
            </w:pPr>
            <w:r w:rsidRPr="00210CB4">
              <w:rPr>
                <w:rFonts w:cs="Arial"/>
                <w:sz w:val="20"/>
                <w:szCs w:val="20"/>
              </w:rPr>
              <w:t xml:space="preserve">Exterior </w:t>
            </w:r>
            <w:r w:rsidR="008D1BD1" w:rsidRPr="00210CB4">
              <w:rPr>
                <w:rFonts w:cs="Arial"/>
                <w:sz w:val="20"/>
                <w:szCs w:val="20"/>
              </w:rPr>
              <w:t>c</w:t>
            </w:r>
            <w:r w:rsidRPr="00210CB4">
              <w:rPr>
                <w:rFonts w:cs="Arial"/>
                <w:sz w:val="20"/>
                <w:szCs w:val="20"/>
              </w:rPr>
              <w:t xml:space="preserve">ooling </w:t>
            </w:r>
            <w:r w:rsidR="008D1BD1" w:rsidRPr="00210CB4">
              <w:rPr>
                <w:rFonts w:cs="Arial"/>
                <w:sz w:val="20"/>
                <w:szCs w:val="20"/>
              </w:rPr>
              <w:t>t</w:t>
            </w:r>
            <w:r w:rsidRPr="00210CB4">
              <w:rPr>
                <w:rFonts w:cs="Arial"/>
                <w:sz w:val="20"/>
                <w:szCs w:val="20"/>
              </w:rPr>
              <w:t xml:space="preserve">ower </w:t>
            </w:r>
            <w:r w:rsidR="008D1BD1" w:rsidRPr="00210CB4">
              <w:rPr>
                <w:rFonts w:cs="Arial"/>
                <w:sz w:val="20"/>
                <w:szCs w:val="20"/>
              </w:rPr>
              <w:t>p</w:t>
            </w:r>
            <w:r w:rsidRPr="00210CB4">
              <w:rPr>
                <w:rFonts w:cs="Arial"/>
                <w:sz w:val="20"/>
                <w:szCs w:val="20"/>
              </w:rPr>
              <w:t>lant</w:t>
            </w:r>
            <w:r w:rsidR="008E7EC2" w:rsidRPr="00210CB4">
              <w:rPr>
                <w:rFonts w:cs="Arial"/>
                <w:sz w:val="20"/>
                <w:szCs w:val="20"/>
              </w:rPr>
              <w:t xml:space="preserve"> </w:t>
            </w:r>
            <w:r w:rsidR="008D1BD1" w:rsidRPr="00210CB4">
              <w:rPr>
                <w:rFonts w:cs="Arial"/>
                <w:sz w:val="20"/>
                <w:szCs w:val="20"/>
              </w:rPr>
              <w:t>p</w:t>
            </w:r>
            <w:r w:rsidR="008E7EC2" w:rsidRPr="00210CB4">
              <w:rPr>
                <w:rFonts w:cs="Arial"/>
                <w:sz w:val="20"/>
                <w:szCs w:val="20"/>
              </w:rPr>
              <w:t>latform</w:t>
            </w:r>
            <w:r w:rsidR="003727A7" w:rsidRPr="00210CB4">
              <w:rPr>
                <w:rFonts w:cs="Arial"/>
                <w:sz w:val="20"/>
                <w:szCs w:val="20"/>
              </w:rPr>
              <w:t xml:space="preserve"> </w:t>
            </w:r>
            <w:r w:rsidR="003727A7" w:rsidRPr="00210CB4">
              <w:rPr>
                <w:rFonts w:cs="Arial"/>
                <w:sz w:val="20"/>
                <w:szCs w:val="20"/>
                <w:vertAlign w:val="superscript"/>
              </w:rPr>
              <w:t>3</w:t>
            </w:r>
          </w:p>
        </w:tc>
        <w:tc>
          <w:tcPr>
            <w:tcW w:w="1357" w:type="dxa"/>
            <w:tcBorders>
              <w:top w:val="single" w:sz="8" w:space="0" w:color="BFBFBF"/>
              <w:left w:val="single" w:sz="8" w:space="0" w:color="BFBFBF"/>
              <w:bottom w:val="single" w:sz="8" w:space="0" w:color="BFBFBF"/>
              <w:right w:val="single" w:sz="8" w:space="0" w:color="BFBFBF"/>
            </w:tcBorders>
            <w:vAlign w:val="center"/>
          </w:tcPr>
          <w:p w14:paraId="71E23644" w14:textId="7029A5CA" w:rsidR="00B15A14" w:rsidRPr="00210CB4" w:rsidRDefault="00B15A14"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single" w:sz="8" w:space="0" w:color="BFBFBF"/>
              <w:right w:val="single" w:sz="8" w:space="0" w:color="BFBFBF"/>
            </w:tcBorders>
            <w:vAlign w:val="center"/>
          </w:tcPr>
          <w:p w14:paraId="0E48CA6A" w14:textId="5ECF48C5" w:rsidR="00B15A14" w:rsidRPr="00210CB4" w:rsidRDefault="008E7EC2" w:rsidP="00666E06">
            <w:pPr>
              <w:rPr>
                <w:rFonts w:cs="Arial"/>
                <w:sz w:val="20"/>
                <w:szCs w:val="20"/>
              </w:rPr>
            </w:pPr>
            <w:r w:rsidRPr="00210CB4">
              <w:rPr>
                <w:rFonts w:cs="Arial"/>
                <w:sz w:val="20"/>
                <w:szCs w:val="20"/>
              </w:rPr>
              <w:t>7.5</w:t>
            </w:r>
          </w:p>
        </w:tc>
        <w:tc>
          <w:tcPr>
            <w:tcW w:w="1238" w:type="dxa"/>
            <w:tcBorders>
              <w:top w:val="single" w:sz="8" w:space="0" w:color="BFBFBF"/>
              <w:left w:val="single" w:sz="8" w:space="0" w:color="BFBFBF"/>
              <w:bottom w:val="single" w:sz="8" w:space="0" w:color="BFBFBF"/>
              <w:right w:val="single" w:sz="8" w:space="0" w:color="BFBFBF"/>
            </w:tcBorders>
            <w:vAlign w:val="center"/>
          </w:tcPr>
          <w:p w14:paraId="1989F3CA" w14:textId="65F12939" w:rsidR="00B15A14" w:rsidRPr="00210CB4" w:rsidRDefault="00EF42A1" w:rsidP="00666E06">
            <w:pPr>
              <w:rPr>
                <w:rFonts w:cs="Arial"/>
                <w:sz w:val="20"/>
                <w:szCs w:val="20"/>
              </w:rPr>
            </w:pPr>
            <w:r w:rsidRPr="00210CB4">
              <w:rPr>
                <w:rFonts w:cs="Arial"/>
                <w:sz w:val="20"/>
                <w:szCs w:val="20"/>
              </w:rPr>
              <w:t>10</w:t>
            </w:r>
          </w:p>
        </w:tc>
        <w:tc>
          <w:tcPr>
            <w:tcW w:w="2972" w:type="dxa"/>
            <w:tcBorders>
              <w:top w:val="single" w:sz="8" w:space="0" w:color="BFBFBF"/>
              <w:left w:val="single" w:sz="8" w:space="0" w:color="BFBFBF"/>
              <w:bottom w:val="single" w:sz="8" w:space="0" w:color="BFBFBF"/>
              <w:right w:val="nil"/>
            </w:tcBorders>
          </w:tcPr>
          <w:p w14:paraId="5C5A5776" w14:textId="77777777" w:rsidR="00B15A14" w:rsidRPr="00210CB4" w:rsidRDefault="00B15A14" w:rsidP="00666E06">
            <w:pPr>
              <w:rPr>
                <w:rFonts w:cs="Arial"/>
                <w:sz w:val="20"/>
                <w:szCs w:val="20"/>
              </w:rPr>
            </w:pPr>
          </w:p>
        </w:tc>
      </w:tr>
      <w:tr w:rsidR="00C81F59" w:rsidRPr="00210CB4" w14:paraId="3F847EA3" w14:textId="77777777" w:rsidTr="00DB4D61">
        <w:tc>
          <w:tcPr>
            <w:tcW w:w="3079" w:type="dxa"/>
            <w:tcBorders>
              <w:top w:val="single" w:sz="8" w:space="0" w:color="BFBFBF"/>
              <w:left w:val="nil"/>
              <w:bottom w:val="single" w:sz="8" w:space="0" w:color="BFBFBF"/>
              <w:right w:val="single" w:sz="8" w:space="0" w:color="BFBFBF"/>
            </w:tcBorders>
          </w:tcPr>
          <w:p w14:paraId="4AA9C6FA" w14:textId="6FCF190E" w:rsidR="00C81F59" w:rsidRPr="00210CB4" w:rsidRDefault="00C81F59" w:rsidP="00666E06">
            <w:pPr>
              <w:rPr>
                <w:rFonts w:cs="Arial"/>
                <w:sz w:val="20"/>
                <w:szCs w:val="20"/>
              </w:rPr>
            </w:pPr>
            <w:r w:rsidRPr="00210CB4">
              <w:rPr>
                <w:rFonts w:cs="Arial"/>
                <w:sz w:val="20"/>
                <w:szCs w:val="20"/>
              </w:rPr>
              <w:t>Lightweight Roof</w:t>
            </w:r>
          </w:p>
        </w:tc>
        <w:tc>
          <w:tcPr>
            <w:tcW w:w="1357" w:type="dxa"/>
            <w:tcBorders>
              <w:top w:val="single" w:sz="8" w:space="0" w:color="BFBFBF"/>
              <w:left w:val="single" w:sz="8" w:space="0" w:color="BFBFBF"/>
              <w:bottom w:val="single" w:sz="8" w:space="0" w:color="BFBFBF"/>
              <w:right w:val="single" w:sz="8" w:space="0" w:color="BFBFBF"/>
            </w:tcBorders>
            <w:vAlign w:val="center"/>
          </w:tcPr>
          <w:p w14:paraId="6E434EB1" w14:textId="62071C6F" w:rsidR="00C81F59" w:rsidRPr="00210CB4" w:rsidRDefault="00C81F59" w:rsidP="00666E06">
            <w:pPr>
              <w:rPr>
                <w:rFonts w:cs="Arial"/>
                <w:sz w:val="20"/>
                <w:szCs w:val="20"/>
              </w:rPr>
            </w:pPr>
            <w:r w:rsidRPr="00210CB4">
              <w:rPr>
                <w:rFonts w:cs="Arial"/>
                <w:sz w:val="20"/>
                <w:szCs w:val="20"/>
              </w:rPr>
              <w:t>R1</w:t>
            </w:r>
            <w:r w:rsidR="00AE3E07" w:rsidRPr="00210CB4">
              <w:rPr>
                <w:rFonts w:cs="Arial"/>
                <w:sz w:val="20"/>
                <w:szCs w:val="20"/>
              </w:rPr>
              <w:t xml:space="preserve"> or R</w:t>
            </w:r>
            <w:r w:rsidRPr="00210CB4">
              <w:rPr>
                <w:rFonts w:cs="Arial"/>
                <w:sz w:val="20"/>
                <w:szCs w:val="20"/>
              </w:rPr>
              <w:t>2</w:t>
            </w:r>
          </w:p>
        </w:tc>
        <w:tc>
          <w:tcPr>
            <w:tcW w:w="2368" w:type="dxa"/>
            <w:gridSpan w:val="2"/>
            <w:tcBorders>
              <w:top w:val="single" w:sz="8" w:space="0" w:color="BFBFBF"/>
              <w:left w:val="single" w:sz="8" w:space="0" w:color="BFBFBF"/>
              <w:bottom w:val="single" w:sz="8" w:space="0" w:color="BFBFBF"/>
              <w:right w:val="single" w:sz="8" w:space="0" w:color="BFBFBF"/>
            </w:tcBorders>
            <w:vAlign w:val="center"/>
          </w:tcPr>
          <w:p w14:paraId="49D7092B" w14:textId="3D7B8255" w:rsidR="00C81F59" w:rsidRPr="00210CB4" w:rsidRDefault="00C81F59" w:rsidP="00666E06">
            <w:pPr>
              <w:rPr>
                <w:rFonts w:cs="Arial"/>
                <w:sz w:val="20"/>
                <w:szCs w:val="20"/>
              </w:rPr>
            </w:pPr>
            <w:r w:rsidRPr="00210CB4">
              <w:rPr>
                <w:rFonts w:cs="Arial"/>
                <w:sz w:val="20"/>
                <w:szCs w:val="20"/>
              </w:rPr>
              <w:t>To NZS 1170.1</w:t>
            </w:r>
          </w:p>
        </w:tc>
        <w:tc>
          <w:tcPr>
            <w:tcW w:w="2972" w:type="dxa"/>
            <w:tcBorders>
              <w:top w:val="single" w:sz="8" w:space="0" w:color="BFBFBF"/>
              <w:left w:val="single" w:sz="8" w:space="0" w:color="BFBFBF"/>
              <w:bottom w:val="single" w:sz="8" w:space="0" w:color="BFBFBF"/>
              <w:right w:val="nil"/>
            </w:tcBorders>
          </w:tcPr>
          <w:p w14:paraId="5987884B" w14:textId="77777777" w:rsidR="00C81F59" w:rsidRPr="00210CB4" w:rsidRDefault="00C81F59" w:rsidP="00666E06">
            <w:pPr>
              <w:rPr>
                <w:rFonts w:cs="Arial"/>
                <w:sz w:val="20"/>
                <w:szCs w:val="20"/>
              </w:rPr>
            </w:pPr>
          </w:p>
        </w:tc>
      </w:tr>
      <w:tr w:rsidR="002A391C" w:rsidRPr="00210CB4" w14:paraId="38A65C71" w14:textId="77777777" w:rsidTr="00DB4D61">
        <w:tc>
          <w:tcPr>
            <w:tcW w:w="3079" w:type="dxa"/>
            <w:tcBorders>
              <w:top w:val="single" w:sz="8" w:space="0" w:color="BFBFBF"/>
              <w:left w:val="nil"/>
              <w:bottom w:val="single" w:sz="8" w:space="0" w:color="BFBFBF"/>
              <w:right w:val="single" w:sz="8" w:space="0" w:color="BFBFBF"/>
            </w:tcBorders>
          </w:tcPr>
          <w:p w14:paraId="29A43339" w14:textId="530EF8C7" w:rsidR="002A391C" w:rsidRPr="00210CB4" w:rsidRDefault="002A391C" w:rsidP="00666E06">
            <w:pPr>
              <w:rPr>
                <w:rFonts w:cs="Arial"/>
                <w:sz w:val="20"/>
                <w:szCs w:val="20"/>
              </w:rPr>
            </w:pPr>
            <w:r w:rsidRPr="00210CB4">
              <w:rPr>
                <w:rFonts w:cs="Arial"/>
                <w:sz w:val="20"/>
                <w:szCs w:val="20"/>
              </w:rPr>
              <w:t>Heavy (Concrete) Roof</w:t>
            </w:r>
          </w:p>
        </w:tc>
        <w:tc>
          <w:tcPr>
            <w:tcW w:w="1357" w:type="dxa"/>
            <w:tcBorders>
              <w:top w:val="single" w:sz="8" w:space="0" w:color="BFBFBF"/>
              <w:left w:val="single" w:sz="8" w:space="0" w:color="BFBFBF"/>
              <w:bottom w:val="single" w:sz="8" w:space="0" w:color="BFBFBF"/>
              <w:right w:val="single" w:sz="8" w:space="0" w:color="BFBFBF"/>
            </w:tcBorders>
            <w:vAlign w:val="center"/>
          </w:tcPr>
          <w:p w14:paraId="1B4DD346" w14:textId="5F986EEA" w:rsidR="002A391C" w:rsidRPr="00210CB4" w:rsidRDefault="002A391C" w:rsidP="00666E06">
            <w:pPr>
              <w:rPr>
                <w:rFonts w:cs="Arial"/>
                <w:sz w:val="20"/>
                <w:szCs w:val="20"/>
              </w:rPr>
            </w:pPr>
            <w:r w:rsidRPr="00210CB4">
              <w:rPr>
                <w:rFonts w:cs="Arial"/>
                <w:sz w:val="20"/>
                <w:szCs w:val="20"/>
              </w:rPr>
              <w:t>R1</w:t>
            </w:r>
            <w:r w:rsidR="00AE3E07" w:rsidRPr="00210CB4">
              <w:rPr>
                <w:rFonts w:cs="Arial"/>
                <w:sz w:val="20"/>
                <w:szCs w:val="20"/>
              </w:rPr>
              <w:t xml:space="preserve"> or R</w:t>
            </w:r>
            <w:r w:rsidRPr="00210CB4">
              <w:rPr>
                <w:rFonts w:cs="Arial"/>
                <w:sz w:val="20"/>
                <w:szCs w:val="20"/>
              </w:rPr>
              <w:t>2</w:t>
            </w:r>
          </w:p>
        </w:tc>
        <w:tc>
          <w:tcPr>
            <w:tcW w:w="1130" w:type="dxa"/>
            <w:tcBorders>
              <w:top w:val="single" w:sz="8" w:space="0" w:color="BFBFBF"/>
              <w:left w:val="single" w:sz="8" w:space="0" w:color="BFBFBF"/>
              <w:bottom w:val="single" w:sz="8" w:space="0" w:color="BFBFBF"/>
              <w:right w:val="single" w:sz="8" w:space="0" w:color="BFBFBF"/>
            </w:tcBorders>
            <w:vAlign w:val="center"/>
          </w:tcPr>
          <w:p w14:paraId="13AED570" w14:textId="27977394" w:rsidR="002A391C" w:rsidRPr="00210CB4" w:rsidRDefault="002A391C" w:rsidP="00666E06">
            <w:pPr>
              <w:rPr>
                <w:rFonts w:cs="Arial"/>
                <w:sz w:val="20"/>
                <w:szCs w:val="20"/>
              </w:rPr>
            </w:pPr>
            <w:r w:rsidRPr="00210CB4">
              <w:rPr>
                <w:rFonts w:cs="Arial"/>
                <w:sz w:val="20"/>
                <w:szCs w:val="20"/>
              </w:rPr>
              <w:t>1.5</w:t>
            </w:r>
          </w:p>
        </w:tc>
        <w:tc>
          <w:tcPr>
            <w:tcW w:w="1238" w:type="dxa"/>
            <w:tcBorders>
              <w:top w:val="single" w:sz="8" w:space="0" w:color="BFBFBF"/>
              <w:left w:val="single" w:sz="8" w:space="0" w:color="BFBFBF"/>
              <w:bottom w:val="single" w:sz="8" w:space="0" w:color="BFBFBF"/>
              <w:right w:val="single" w:sz="8" w:space="0" w:color="BFBFBF"/>
            </w:tcBorders>
            <w:vAlign w:val="center"/>
          </w:tcPr>
          <w:p w14:paraId="353ED539" w14:textId="2B882359" w:rsidR="002A391C" w:rsidRPr="00210CB4" w:rsidRDefault="002A391C" w:rsidP="00666E06">
            <w:pPr>
              <w:rPr>
                <w:rFonts w:cs="Arial"/>
                <w:sz w:val="20"/>
                <w:szCs w:val="20"/>
              </w:rPr>
            </w:pPr>
            <w:r w:rsidRPr="00210CB4">
              <w:rPr>
                <w:rFonts w:cs="Arial"/>
                <w:sz w:val="20"/>
                <w:szCs w:val="20"/>
              </w:rPr>
              <w:t>4.5</w:t>
            </w:r>
          </w:p>
        </w:tc>
        <w:tc>
          <w:tcPr>
            <w:tcW w:w="2972" w:type="dxa"/>
            <w:tcBorders>
              <w:top w:val="single" w:sz="8" w:space="0" w:color="BFBFBF"/>
              <w:left w:val="single" w:sz="8" w:space="0" w:color="BFBFBF"/>
              <w:bottom w:val="single" w:sz="8" w:space="0" w:color="BFBFBF"/>
              <w:right w:val="nil"/>
            </w:tcBorders>
          </w:tcPr>
          <w:p w14:paraId="4686B3A3" w14:textId="77777777" w:rsidR="002A391C" w:rsidRPr="00210CB4" w:rsidRDefault="002A391C" w:rsidP="00666E06">
            <w:pPr>
              <w:rPr>
                <w:rFonts w:cs="Arial"/>
                <w:sz w:val="20"/>
                <w:szCs w:val="20"/>
              </w:rPr>
            </w:pPr>
          </w:p>
        </w:tc>
      </w:tr>
      <w:tr w:rsidR="002D5DC5" w:rsidRPr="00210CB4" w14:paraId="2F390BA1" w14:textId="77777777" w:rsidTr="00DB4D61">
        <w:tc>
          <w:tcPr>
            <w:tcW w:w="3079" w:type="dxa"/>
            <w:tcBorders>
              <w:top w:val="single" w:sz="8" w:space="0" w:color="BFBFBF"/>
              <w:left w:val="nil"/>
              <w:bottom w:val="single" w:sz="8" w:space="0" w:color="BFBFBF"/>
              <w:right w:val="single" w:sz="8" w:space="0" w:color="BFBFBF"/>
            </w:tcBorders>
          </w:tcPr>
          <w:p w14:paraId="32F6D078" w14:textId="66260977" w:rsidR="002D5DC5" w:rsidRPr="00210CB4" w:rsidRDefault="002D5DC5" w:rsidP="00666E06">
            <w:pPr>
              <w:rPr>
                <w:rFonts w:cs="Arial"/>
                <w:sz w:val="20"/>
                <w:szCs w:val="20"/>
              </w:rPr>
            </w:pPr>
            <w:r w:rsidRPr="00210CB4">
              <w:rPr>
                <w:rFonts w:cs="Arial"/>
                <w:sz w:val="20"/>
                <w:szCs w:val="20"/>
              </w:rPr>
              <w:t>MME (Major Mechanical or Medical Equipment) access routes</w:t>
            </w:r>
          </w:p>
        </w:tc>
        <w:tc>
          <w:tcPr>
            <w:tcW w:w="6697" w:type="dxa"/>
            <w:gridSpan w:val="4"/>
            <w:vMerge w:val="restart"/>
            <w:tcBorders>
              <w:top w:val="single" w:sz="8" w:space="0" w:color="BFBFBF"/>
              <w:left w:val="single" w:sz="8" w:space="0" w:color="BFBFBF"/>
              <w:bottom w:val="single" w:sz="8" w:space="0" w:color="BFBFBF"/>
              <w:right w:val="nil"/>
            </w:tcBorders>
            <w:vAlign w:val="center"/>
          </w:tcPr>
          <w:p w14:paraId="727936D2" w14:textId="2FA5DC83" w:rsidR="002D5DC5" w:rsidRPr="00210CB4" w:rsidRDefault="002D5DC5" w:rsidP="00DB4D61">
            <w:pPr>
              <w:jc w:val="center"/>
              <w:rPr>
                <w:rFonts w:cs="Arial"/>
                <w:sz w:val="20"/>
                <w:szCs w:val="20"/>
              </w:rPr>
            </w:pPr>
            <w:r w:rsidRPr="00210CB4">
              <w:rPr>
                <w:rFonts w:cs="Arial"/>
                <w:sz w:val="20"/>
                <w:szCs w:val="20"/>
              </w:rPr>
              <w:t>As specifically assessed</w:t>
            </w:r>
          </w:p>
        </w:tc>
      </w:tr>
      <w:tr w:rsidR="002D5DC5" w:rsidRPr="00210CB4" w14:paraId="24A5EB7F" w14:textId="77777777" w:rsidTr="00DB4D61">
        <w:tc>
          <w:tcPr>
            <w:tcW w:w="3079" w:type="dxa"/>
            <w:tcBorders>
              <w:top w:val="single" w:sz="8" w:space="0" w:color="BFBFBF"/>
              <w:left w:val="nil"/>
              <w:bottom w:val="single" w:sz="8" w:space="0" w:color="BFBFBF"/>
              <w:right w:val="single" w:sz="8" w:space="0" w:color="BFBFBF"/>
            </w:tcBorders>
          </w:tcPr>
          <w:p w14:paraId="074E86AD" w14:textId="3E5AA8FA" w:rsidR="002D5DC5" w:rsidRPr="00210CB4" w:rsidRDefault="002D5DC5" w:rsidP="00666E06">
            <w:pPr>
              <w:rPr>
                <w:rFonts w:cs="Arial"/>
                <w:sz w:val="20"/>
                <w:szCs w:val="20"/>
              </w:rPr>
            </w:pPr>
            <w:r w:rsidRPr="00210CB4">
              <w:rPr>
                <w:rFonts w:cs="Arial"/>
                <w:sz w:val="20"/>
                <w:szCs w:val="20"/>
              </w:rPr>
              <w:t>Medium or heavy vehicle access, loading, firefighting appliance access, maintenance or EWP access</w:t>
            </w:r>
          </w:p>
        </w:tc>
        <w:tc>
          <w:tcPr>
            <w:tcW w:w="6697" w:type="dxa"/>
            <w:gridSpan w:val="4"/>
            <w:vMerge/>
            <w:tcBorders>
              <w:top w:val="single" w:sz="8" w:space="0" w:color="BFBFBF"/>
              <w:left w:val="single" w:sz="8" w:space="0" w:color="BFBFBF"/>
              <w:bottom w:val="single" w:sz="8" w:space="0" w:color="BFBFBF"/>
              <w:right w:val="nil"/>
            </w:tcBorders>
            <w:vAlign w:val="center"/>
          </w:tcPr>
          <w:p w14:paraId="075A0CB3" w14:textId="77777777" w:rsidR="002D5DC5" w:rsidRPr="00210CB4" w:rsidRDefault="002D5DC5" w:rsidP="00666E06">
            <w:pPr>
              <w:rPr>
                <w:rFonts w:cs="Arial"/>
                <w:sz w:val="20"/>
                <w:szCs w:val="20"/>
              </w:rPr>
            </w:pPr>
          </w:p>
        </w:tc>
      </w:tr>
      <w:tr w:rsidR="008A339A" w:rsidRPr="00210CB4" w14:paraId="252A0459" w14:textId="77777777" w:rsidTr="00DB4D61">
        <w:tc>
          <w:tcPr>
            <w:tcW w:w="3079" w:type="dxa"/>
            <w:tcBorders>
              <w:top w:val="single" w:sz="8" w:space="0" w:color="BFBFBF"/>
              <w:left w:val="nil"/>
              <w:bottom w:val="nil"/>
              <w:right w:val="single" w:sz="8" w:space="0" w:color="BFBFBF"/>
            </w:tcBorders>
          </w:tcPr>
          <w:p w14:paraId="300C3258" w14:textId="6ECA4BCC" w:rsidR="008A339A" w:rsidRPr="00210CB4" w:rsidRDefault="00B15A14" w:rsidP="00666E06">
            <w:pPr>
              <w:rPr>
                <w:rFonts w:cs="Arial"/>
                <w:sz w:val="20"/>
                <w:szCs w:val="20"/>
              </w:rPr>
            </w:pPr>
            <w:r w:rsidRPr="00210CB4">
              <w:rPr>
                <w:rFonts w:cs="Arial"/>
                <w:sz w:val="20"/>
                <w:szCs w:val="20"/>
              </w:rPr>
              <w:lastRenderedPageBreak/>
              <w:t xml:space="preserve">Significant </w:t>
            </w:r>
            <w:r w:rsidR="00EF1921" w:rsidRPr="00210CB4">
              <w:rPr>
                <w:rFonts w:cs="Arial"/>
                <w:sz w:val="20"/>
                <w:szCs w:val="20"/>
              </w:rPr>
              <w:t>p</w:t>
            </w:r>
            <w:r w:rsidRPr="00210CB4">
              <w:rPr>
                <w:rFonts w:cs="Arial"/>
                <w:sz w:val="20"/>
                <w:szCs w:val="20"/>
              </w:rPr>
              <w:t>lant</w:t>
            </w:r>
            <w:r w:rsidR="00312C8D" w:rsidRPr="00210CB4">
              <w:rPr>
                <w:rFonts w:cs="Arial"/>
                <w:sz w:val="20"/>
                <w:szCs w:val="20"/>
              </w:rPr>
              <w:t xml:space="preserve"> or equipment</w:t>
            </w:r>
            <w:r w:rsidR="00A003BE" w:rsidRPr="00210CB4">
              <w:rPr>
                <w:rFonts w:cs="Arial"/>
                <w:sz w:val="20"/>
                <w:szCs w:val="20"/>
              </w:rPr>
              <w:t xml:space="preserve">, such as </w:t>
            </w:r>
            <w:r w:rsidR="00EF1921" w:rsidRPr="00210CB4">
              <w:rPr>
                <w:rFonts w:cs="Arial"/>
                <w:sz w:val="20"/>
                <w:szCs w:val="20"/>
              </w:rPr>
              <w:t>g</w:t>
            </w:r>
            <w:r w:rsidRPr="00210CB4">
              <w:rPr>
                <w:rFonts w:cs="Arial"/>
                <w:sz w:val="20"/>
                <w:szCs w:val="20"/>
              </w:rPr>
              <w:t xml:space="preserve">enerators, </w:t>
            </w:r>
            <w:r w:rsidR="00EF1921" w:rsidRPr="00210CB4">
              <w:rPr>
                <w:rFonts w:cs="Arial"/>
                <w:sz w:val="20"/>
                <w:szCs w:val="20"/>
              </w:rPr>
              <w:t>c</w:t>
            </w:r>
            <w:r w:rsidR="00312C8D" w:rsidRPr="00210CB4">
              <w:rPr>
                <w:rFonts w:cs="Arial"/>
                <w:sz w:val="20"/>
                <w:szCs w:val="20"/>
              </w:rPr>
              <w:t xml:space="preserve">hillers, </w:t>
            </w:r>
            <w:r w:rsidRPr="00210CB4">
              <w:rPr>
                <w:rFonts w:cs="Arial"/>
                <w:sz w:val="20"/>
                <w:szCs w:val="20"/>
              </w:rPr>
              <w:t>UPS and the like</w:t>
            </w:r>
            <w:r w:rsidR="003727A7" w:rsidRPr="00210CB4">
              <w:rPr>
                <w:rFonts w:cs="Arial"/>
                <w:sz w:val="20"/>
                <w:szCs w:val="20"/>
              </w:rPr>
              <w:t xml:space="preserve"> </w:t>
            </w:r>
            <w:r w:rsidR="003727A7" w:rsidRPr="00210CB4">
              <w:rPr>
                <w:rFonts w:cs="Arial"/>
                <w:sz w:val="20"/>
                <w:szCs w:val="20"/>
                <w:vertAlign w:val="superscript"/>
              </w:rPr>
              <w:t>3</w:t>
            </w:r>
          </w:p>
        </w:tc>
        <w:tc>
          <w:tcPr>
            <w:tcW w:w="1357" w:type="dxa"/>
            <w:tcBorders>
              <w:top w:val="single" w:sz="8" w:space="0" w:color="BFBFBF"/>
              <w:left w:val="single" w:sz="8" w:space="0" w:color="BFBFBF"/>
              <w:bottom w:val="nil"/>
              <w:right w:val="single" w:sz="8" w:space="0" w:color="BFBFBF"/>
            </w:tcBorders>
            <w:vAlign w:val="center"/>
          </w:tcPr>
          <w:p w14:paraId="5EF43694" w14:textId="0E4956BF" w:rsidR="008A339A" w:rsidRPr="00210CB4" w:rsidRDefault="00BB561D" w:rsidP="00666E06">
            <w:pPr>
              <w:rPr>
                <w:rFonts w:cs="Arial"/>
                <w:sz w:val="20"/>
                <w:szCs w:val="20"/>
              </w:rPr>
            </w:pPr>
            <w:r w:rsidRPr="00210CB4">
              <w:rPr>
                <w:rFonts w:cs="Arial"/>
                <w:sz w:val="20"/>
                <w:szCs w:val="20"/>
              </w:rPr>
              <w:t>E</w:t>
            </w:r>
          </w:p>
        </w:tc>
        <w:tc>
          <w:tcPr>
            <w:tcW w:w="1130" w:type="dxa"/>
            <w:tcBorders>
              <w:top w:val="single" w:sz="8" w:space="0" w:color="BFBFBF"/>
              <w:left w:val="single" w:sz="8" w:space="0" w:color="BFBFBF"/>
              <w:bottom w:val="nil"/>
              <w:right w:val="single" w:sz="8" w:space="0" w:color="BFBFBF"/>
            </w:tcBorders>
            <w:vAlign w:val="center"/>
          </w:tcPr>
          <w:p w14:paraId="59DEB916" w14:textId="74547485" w:rsidR="008A339A" w:rsidRPr="00210CB4" w:rsidRDefault="00BB561D" w:rsidP="00666E06">
            <w:pPr>
              <w:rPr>
                <w:rFonts w:cs="Arial"/>
                <w:sz w:val="20"/>
                <w:szCs w:val="20"/>
              </w:rPr>
            </w:pPr>
            <w:r w:rsidRPr="00210CB4">
              <w:rPr>
                <w:rFonts w:cs="Arial"/>
                <w:sz w:val="20"/>
                <w:szCs w:val="20"/>
              </w:rPr>
              <w:t>≥ 10</w:t>
            </w:r>
          </w:p>
        </w:tc>
        <w:tc>
          <w:tcPr>
            <w:tcW w:w="1238" w:type="dxa"/>
            <w:tcBorders>
              <w:top w:val="single" w:sz="8" w:space="0" w:color="BFBFBF"/>
              <w:left w:val="single" w:sz="8" w:space="0" w:color="BFBFBF"/>
              <w:bottom w:val="nil"/>
              <w:right w:val="single" w:sz="8" w:space="0" w:color="BFBFBF"/>
            </w:tcBorders>
            <w:vAlign w:val="center"/>
          </w:tcPr>
          <w:p w14:paraId="506F5B5B" w14:textId="7C333F5B" w:rsidR="008A339A" w:rsidRPr="00210CB4" w:rsidRDefault="00537B4C" w:rsidP="00666E06">
            <w:pPr>
              <w:rPr>
                <w:rFonts w:cs="Arial"/>
                <w:sz w:val="20"/>
                <w:szCs w:val="20"/>
              </w:rPr>
            </w:pPr>
            <w:r w:rsidRPr="00210CB4">
              <w:rPr>
                <w:rFonts w:cs="Arial"/>
                <w:sz w:val="20"/>
                <w:szCs w:val="20"/>
              </w:rPr>
              <w:t>t.b.d.</w:t>
            </w:r>
          </w:p>
        </w:tc>
        <w:tc>
          <w:tcPr>
            <w:tcW w:w="2972" w:type="dxa"/>
            <w:tcBorders>
              <w:top w:val="single" w:sz="8" w:space="0" w:color="BFBFBF"/>
              <w:left w:val="single" w:sz="8" w:space="0" w:color="BFBFBF"/>
              <w:bottom w:val="nil"/>
              <w:right w:val="nil"/>
            </w:tcBorders>
            <w:vAlign w:val="center"/>
          </w:tcPr>
          <w:p w14:paraId="5B108E25" w14:textId="34512846" w:rsidR="008A339A" w:rsidRPr="00210CB4" w:rsidRDefault="00537B4C" w:rsidP="00666E06">
            <w:pPr>
              <w:rPr>
                <w:rFonts w:cs="Arial"/>
                <w:sz w:val="20"/>
                <w:szCs w:val="20"/>
              </w:rPr>
            </w:pPr>
            <w:r w:rsidRPr="00210CB4">
              <w:rPr>
                <w:rFonts w:cs="Arial"/>
                <w:sz w:val="20"/>
                <w:szCs w:val="20"/>
              </w:rPr>
              <w:t>As specifically assessed</w:t>
            </w:r>
          </w:p>
        </w:tc>
      </w:tr>
    </w:tbl>
    <w:p w14:paraId="448C61C8" w14:textId="77777777" w:rsidR="0075049E" w:rsidRDefault="0075049E" w:rsidP="00666E06"/>
    <w:p w14:paraId="22FA6054" w14:textId="7A4EEDD3" w:rsidR="008E7EC2" w:rsidRPr="00DA3030" w:rsidRDefault="008E7EC2" w:rsidP="00666E06">
      <w:pPr>
        <w:rPr>
          <w:sz w:val="20"/>
          <w:szCs w:val="20"/>
        </w:rPr>
      </w:pPr>
      <w:r w:rsidRPr="00DA3030">
        <w:rPr>
          <w:sz w:val="20"/>
          <w:szCs w:val="20"/>
        </w:rPr>
        <w:t>Notes</w:t>
      </w:r>
      <w:r w:rsidR="0075049E" w:rsidRPr="00DA3030">
        <w:rPr>
          <w:sz w:val="20"/>
          <w:szCs w:val="20"/>
        </w:rPr>
        <w:t xml:space="preserve"> to </w:t>
      </w:r>
      <w:r w:rsidR="0075049E" w:rsidRPr="00DA3030">
        <w:rPr>
          <w:sz w:val="20"/>
          <w:szCs w:val="20"/>
        </w:rPr>
        <w:fldChar w:fldCharType="begin"/>
      </w:r>
      <w:r w:rsidR="0075049E" w:rsidRPr="00DA3030">
        <w:rPr>
          <w:sz w:val="20"/>
          <w:szCs w:val="20"/>
        </w:rPr>
        <w:instrText xml:space="preserve"> REF _Ref166603474 \h  \* MERGEFORMAT </w:instrText>
      </w:r>
      <w:r w:rsidR="0075049E" w:rsidRPr="00DA3030">
        <w:rPr>
          <w:sz w:val="20"/>
          <w:szCs w:val="20"/>
        </w:rPr>
      </w:r>
      <w:r w:rsidR="0075049E" w:rsidRPr="00DA3030">
        <w:rPr>
          <w:sz w:val="20"/>
          <w:szCs w:val="20"/>
        </w:rPr>
        <w:fldChar w:fldCharType="separate"/>
      </w:r>
      <w:r w:rsidR="000761C1" w:rsidRPr="00210CB4">
        <w:rPr>
          <w:sz w:val="20"/>
          <w:szCs w:val="20"/>
        </w:rPr>
        <w:t xml:space="preserve">Table </w:t>
      </w:r>
      <w:r w:rsidR="000761C1">
        <w:rPr>
          <w:noProof/>
          <w:sz w:val="20"/>
          <w:szCs w:val="20"/>
        </w:rPr>
        <w:t>13</w:t>
      </w:r>
      <w:r w:rsidR="0075049E" w:rsidRPr="00DA3030">
        <w:rPr>
          <w:sz w:val="20"/>
          <w:szCs w:val="20"/>
        </w:rPr>
        <w:fldChar w:fldCharType="end"/>
      </w:r>
      <w:r w:rsidRPr="00DA3030">
        <w:rPr>
          <w:sz w:val="20"/>
          <w:szCs w:val="20"/>
        </w:rPr>
        <w:t>:</w:t>
      </w:r>
    </w:p>
    <w:p w14:paraId="2E222712" w14:textId="371BFD16" w:rsidR="008E7EC2" w:rsidRPr="00DA3030" w:rsidRDefault="008E7EC2" w:rsidP="00A9721C">
      <w:pPr>
        <w:ind w:left="426" w:hanging="426"/>
        <w:rPr>
          <w:sz w:val="20"/>
          <w:szCs w:val="20"/>
        </w:rPr>
      </w:pPr>
      <w:r w:rsidRPr="00DA3030">
        <w:rPr>
          <w:sz w:val="20"/>
          <w:szCs w:val="20"/>
        </w:rPr>
        <w:t>[1]</w:t>
      </w:r>
      <w:r w:rsidRPr="00DA3030">
        <w:rPr>
          <w:sz w:val="20"/>
          <w:szCs w:val="20"/>
        </w:rPr>
        <w:tab/>
      </w:r>
      <w:r w:rsidR="007531F0" w:rsidRPr="00DA3030">
        <w:rPr>
          <w:sz w:val="20"/>
          <w:szCs w:val="20"/>
        </w:rPr>
        <w:t xml:space="preserve">Refer to Section </w:t>
      </w:r>
      <w:r w:rsidR="007531F0" w:rsidRPr="00DA3030">
        <w:rPr>
          <w:sz w:val="20"/>
          <w:szCs w:val="20"/>
        </w:rPr>
        <w:fldChar w:fldCharType="begin"/>
      </w:r>
      <w:r w:rsidR="007531F0" w:rsidRPr="00DA3030">
        <w:rPr>
          <w:sz w:val="20"/>
          <w:szCs w:val="20"/>
        </w:rPr>
        <w:instrText xml:space="preserve"> REF _Ref152568304 \r \h  \* MERGEFORMAT </w:instrText>
      </w:r>
      <w:r w:rsidR="007531F0" w:rsidRPr="00DA3030">
        <w:rPr>
          <w:sz w:val="20"/>
          <w:szCs w:val="20"/>
        </w:rPr>
      </w:r>
      <w:r w:rsidR="007531F0" w:rsidRPr="00DA3030">
        <w:rPr>
          <w:sz w:val="20"/>
          <w:szCs w:val="20"/>
        </w:rPr>
        <w:fldChar w:fldCharType="separate"/>
      </w:r>
      <w:r w:rsidR="000761C1">
        <w:rPr>
          <w:sz w:val="20"/>
          <w:szCs w:val="20"/>
        </w:rPr>
        <w:t>C4.2.6</w:t>
      </w:r>
      <w:r w:rsidR="007531F0" w:rsidRPr="00DA3030">
        <w:rPr>
          <w:sz w:val="20"/>
          <w:szCs w:val="20"/>
        </w:rPr>
        <w:fldChar w:fldCharType="end"/>
      </w:r>
      <w:r w:rsidR="007531F0" w:rsidRPr="00DA3030">
        <w:rPr>
          <w:sz w:val="20"/>
          <w:szCs w:val="20"/>
        </w:rPr>
        <w:t xml:space="preserve"> for specification information on Loading Interfaces between Non-Structural Elements and structure—and consideration of additional allowances for loads imparted from NSE </w:t>
      </w:r>
      <w:r w:rsidR="00833640" w:rsidRPr="00DA3030">
        <w:rPr>
          <w:sz w:val="20"/>
          <w:szCs w:val="20"/>
        </w:rPr>
        <w:t>s</w:t>
      </w:r>
      <w:r w:rsidR="007531F0" w:rsidRPr="00DA3030">
        <w:rPr>
          <w:sz w:val="20"/>
          <w:szCs w:val="20"/>
        </w:rPr>
        <w:t xml:space="preserve">eismic </w:t>
      </w:r>
      <w:r w:rsidR="00833640" w:rsidRPr="00DA3030">
        <w:rPr>
          <w:sz w:val="20"/>
          <w:szCs w:val="20"/>
        </w:rPr>
        <w:t>r</w:t>
      </w:r>
      <w:r w:rsidR="007531F0" w:rsidRPr="00DA3030">
        <w:rPr>
          <w:sz w:val="20"/>
          <w:szCs w:val="20"/>
        </w:rPr>
        <w:t>estraint</w:t>
      </w:r>
      <w:r w:rsidR="00DF300B" w:rsidRPr="00DA3030">
        <w:rPr>
          <w:sz w:val="20"/>
          <w:szCs w:val="20"/>
        </w:rPr>
        <w:t xml:space="preserve"> systems under seismic conditions</w:t>
      </w:r>
      <w:r w:rsidRPr="00DA3030">
        <w:rPr>
          <w:sz w:val="20"/>
          <w:szCs w:val="20"/>
        </w:rPr>
        <w:t>.</w:t>
      </w:r>
    </w:p>
    <w:p w14:paraId="5E47FD54" w14:textId="329895E2" w:rsidR="00640E47" w:rsidRPr="00DA3030" w:rsidRDefault="00640E47" w:rsidP="00A9721C">
      <w:pPr>
        <w:ind w:left="426" w:hanging="426"/>
        <w:rPr>
          <w:sz w:val="20"/>
          <w:szCs w:val="20"/>
        </w:rPr>
      </w:pPr>
      <w:r w:rsidRPr="00DA3030">
        <w:rPr>
          <w:sz w:val="20"/>
          <w:szCs w:val="20"/>
        </w:rPr>
        <w:t>[2]</w:t>
      </w:r>
      <w:r w:rsidRPr="00DA3030">
        <w:rPr>
          <w:sz w:val="20"/>
          <w:szCs w:val="20"/>
        </w:rPr>
        <w:tab/>
      </w:r>
      <w:r w:rsidR="003D63FD" w:rsidRPr="00DA3030">
        <w:rPr>
          <w:sz w:val="20"/>
          <w:szCs w:val="20"/>
        </w:rPr>
        <w:t>Circulation spaces</w:t>
      </w:r>
      <w:r w:rsidR="00C64C67" w:rsidRPr="00DA3030">
        <w:rPr>
          <w:sz w:val="20"/>
          <w:szCs w:val="20"/>
        </w:rPr>
        <w:t xml:space="preserve"> </w:t>
      </w:r>
      <w:r w:rsidR="00A71056" w:rsidRPr="00DA3030">
        <w:rPr>
          <w:sz w:val="20"/>
          <w:szCs w:val="20"/>
        </w:rPr>
        <w:t>within</w:t>
      </w:r>
      <w:r w:rsidR="00C64C67" w:rsidRPr="00DA3030">
        <w:rPr>
          <w:sz w:val="20"/>
          <w:szCs w:val="20"/>
        </w:rPr>
        <w:t xml:space="preserve"> general clinical</w:t>
      </w:r>
      <w:r w:rsidR="00A71056" w:rsidRPr="00DA3030">
        <w:rPr>
          <w:sz w:val="20"/>
          <w:szCs w:val="20"/>
        </w:rPr>
        <w:t>, office and ward</w:t>
      </w:r>
      <w:r w:rsidR="00C64C67" w:rsidRPr="00DA3030">
        <w:rPr>
          <w:sz w:val="20"/>
          <w:szCs w:val="20"/>
        </w:rPr>
        <w:t xml:space="preserve"> areas </w:t>
      </w:r>
      <w:r w:rsidR="003D63FD" w:rsidRPr="00DA3030">
        <w:rPr>
          <w:sz w:val="20"/>
          <w:szCs w:val="20"/>
        </w:rPr>
        <w:t>are</w:t>
      </w:r>
      <w:r w:rsidR="00C64C67" w:rsidRPr="00DA3030">
        <w:rPr>
          <w:sz w:val="20"/>
          <w:szCs w:val="20"/>
        </w:rPr>
        <w:t xml:space="preserve"> considered part of</w:t>
      </w:r>
      <w:r w:rsidR="000960C4" w:rsidRPr="00DA3030">
        <w:rPr>
          <w:sz w:val="20"/>
          <w:szCs w:val="20"/>
        </w:rPr>
        <w:t xml:space="preserve"> th</w:t>
      </w:r>
      <w:r w:rsidR="00D61721" w:rsidRPr="00DA3030">
        <w:rPr>
          <w:sz w:val="20"/>
          <w:szCs w:val="20"/>
        </w:rPr>
        <w:t xml:space="preserve">ose overall occupancy categories (A </w:t>
      </w:r>
      <w:r w:rsidR="009D3A87" w:rsidRPr="00DA3030">
        <w:rPr>
          <w:sz w:val="20"/>
          <w:szCs w:val="20"/>
        </w:rPr>
        <w:t>or</w:t>
      </w:r>
      <w:r w:rsidR="00D61721" w:rsidRPr="00DA3030">
        <w:rPr>
          <w:sz w:val="20"/>
          <w:szCs w:val="20"/>
        </w:rPr>
        <w:t xml:space="preserve"> B), which is appropriate </w:t>
      </w:r>
      <w:r w:rsidR="00A21537" w:rsidRPr="00DA3030">
        <w:rPr>
          <w:sz w:val="20"/>
          <w:szCs w:val="20"/>
        </w:rPr>
        <w:t xml:space="preserve">to their </w:t>
      </w:r>
      <w:r w:rsidR="00CF5382" w:rsidRPr="00DA3030">
        <w:rPr>
          <w:sz w:val="20"/>
          <w:szCs w:val="20"/>
        </w:rPr>
        <w:t xml:space="preserve">overall </w:t>
      </w:r>
      <w:r w:rsidR="00A21537" w:rsidRPr="00DA3030">
        <w:rPr>
          <w:sz w:val="20"/>
          <w:szCs w:val="20"/>
        </w:rPr>
        <w:t xml:space="preserve">use and </w:t>
      </w:r>
      <w:r w:rsidR="001B3B10" w:rsidRPr="00DA3030">
        <w:rPr>
          <w:sz w:val="20"/>
          <w:szCs w:val="20"/>
        </w:rPr>
        <w:t>loading</w:t>
      </w:r>
      <w:r w:rsidRPr="00DA3030">
        <w:rPr>
          <w:sz w:val="20"/>
          <w:szCs w:val="20"/>
        </w:rPr>
        <w:t>.</w:t>
      </w:r>
      <w:r w:rsidR="004970CC" w:rsidRPr="00DA3030">
        <w:rPr>
          <w:sz w:val="20"/>
          <w:szCs w:val="20"/>
        </w:rPr>
        <w:t xml:space="preserve"> </w:t>
      </w:r>
      <w:r w:rsidR="00C64AE0" w:rsidRPr="00DA3030">
        <w:rPr>
          <w:sz w:val="20"/>
          <w:szCs w:val="20"/>
        </w:rPr>
        <w:t>Vertical circulation</w:t>
      </w:r>
      <w:r w:rsidR="00791836" w:rsidRPr="00DA3030">
        <w:rPr>
          <w:sz w:val="20"/>
          <w:szCs w:val="20"/>
        </w:rPr>
        <w:t xml:space="preserve"> including </w:t>
      </w:r>
      <w:r w:rsidR="008D1B8B" w:rsidRPr="00DA3030">
        <w:rPr>
          <w:sz w:val="20"/>
          <w:szCs w:val="20"/>
        </w:rPr>
        <w:t xml:space="preserve">stairs and </w:t>
      </w:r>
      <w:r w:rsidR="00791836" w:rsidRPr="00DA3030">
        <w:rPr>
          <w:sz w:val="20"/>
          <w:szCs w:val="20"/>
        </w:rPr>
        <w:t>lobby areas</w:t>
      </w:r>
      <w:r w:rsidR="00A330B3" w:rsidRPr="00DA3030">
        <w:rPr>
          <w:sz w:val="20"/>
          <w:szCs w:val="20"/>
        </w:rPr>
        <w:t xml:space="preserve"> adjacent/serving</w:t>
      </w:r>
      <w:r w:rsidR="00791836" w:rsidRPr="00DA3030">
        <w:rPr>
          <w:sz w:val="20"/>
          <w:szCs w:val="20"/>
        </w:rPr>
        <w:t xml:space="preserve"> primary circulation cores should be considered as C3</w:t>
      </w:r>
      <w:r w:rsidR="006D0495" w:rsidRPr="00DA3030">
        <w:rPr>
          <w:sz w:val="20"/>
          <w:szCs w:val="20"/>
        </w:rPr>
        <w:t xml:space="preserve"> in accordance with NZS 1170.1:2002</w:t>
      </w:r>
      <w:r w:rsidR="00791836" w:rsidRPr="00DA3030">
        <w:rPr>
          <w:sz w:val="20"/>
          <w:szCs w:val="20"/>
        </w:rPr>
        <w:t xml:space="preserve">, </w:t>
      </w:r>
      <w:r w:rsidR="00F279DC" w:rsidRPr="00DA3030">
        <w:rPr>
          <w:sz w:val="20"/>
          <w:szCs w:val="20"/>
        </w:rPr>
        <w:t>(groups of people may</w:t>
      </w:r>
      <w:r w:rsidR="00C91A32" w:rsidRPr="00DA3030">
        <w:rPr>
          <w:sz w:val="20"/>
          <w:szCs w:val="20"/>
        </w:rPr>
        <w:t xml:space="preserve"> </w:t>
      </w:r>
      <w:r w:rsidR="009C572D" w:rsidRPr="00DA3030">
        <w:rPr>
          <w:sz w:val="20"/>
          <w:szCs w:val="20"/>
        </w:rPr>
        <w:t xml:space="preserve">congregate and </w:t>
      </w:r>
      <w:r w:rsidR="00F279DC" w:rsidRPr="00DA3030">
        <w:rPr>
          <w:sz w:val="20"/>
          <w:szCs w:val="20"/>
        </w:rPr>
        <w:t>queue</w:t>
      </w:r>
      <w:r w:rsidR="00C91A32" w:rsidRPr="00DA3030">
        <w:rPr>
          <w:sz w:val="20"/>
          <w:szCs w:val="20"/>
        </w:rPr>
        <w:t xml:space="preserve"> </w:t>
      </w:r>
      <w:r w:rsidR="009C572D" w:rsidRPr="00DA3030">
        <w:rPr>
          <w:sz w:val="20"/>
          <w:szCs w:val="20"/>
        </w:rPr>
        <w:t xml:space="preserve">at these spaces </w:t>
      </w:r>
      <w:r w:rsidR="00C91A32" w:rsidRPr="00DA3030">
        <w:rPr>
          <w:sz w:val="20"/>
          <w:szCs w:val="20"/>
        </w:rPr>
        <w:t>during evacuation</w:t>
      </w:r>
      <w:r w:rsidR="00F279DC" w:rsidRPr="00DA3030">
        <w:rPr>
          <w:sz w:val="20"/>
          <w:szCs w:val="20"/>
        </w:rPr>
        <w:t>)</w:t>
      </w:r>
      <w:r w:rsidR="00C91A32" w:rsidRPr="00DA3030">
        <w:rPr>
          <w:sz w:val="20"/>
          <w:szCs w:val="20"/>
        </w:rPr>
        <w:t>.</w:t>
      </w:r>
    </w:p>
    <w:p w14:paraId="7A7D7C40" w14:textId="7B2A667E" w:rsidR="00AC65FC" w:rsidRPr="00DA3030" w:rsidRDefault="00AC65FC" w:rsidP="00A9721C">
      <w:pPr>
        <w:ind w:left="426" w:hanging="426"/>
        <w:rPr>
          <w:sz w:val="20"/>
          <w:szCs w:val="20"/>
        </w:rPr>
      </w:pPr>
      <w:r w:rsidRPr="00DA3030">
        <w:rPr>
          <w:sz w:val="20"/>
          <w:szCs w:val="20"/>
        </w:rPr>
        <w:t>[3]</w:t>
      </w:r>
      <w:r w:rsidRPr="00DA3030">
        <w:rPr>
          <w:sz w:val="20"/>
          <w:szCs w:val="20"/>
        </w:rPr>
        <w:tab/>
      </w:r>
      <w:r w:rsidR="004D49A0" w:rsidRPr="00DA3030">
        <w:rPr>
          <w:sz w:val="20"/>
          <w:szCs w:val="20"/>
        </w:rPr>
        <w:t>The suggested values s</w:t>
      </w:r>
      <w:r w:rsidR="009B755F" w:rsidRPr="00DA3030">
        <w:rPr>
          <w:sz w:val="20"/>
          <w:szCs w:val="20"/>
        </w:rPr>
        <w:t>uit general applications, but NZS 1170.1:2002 could require</w:t>
      </w:r>
      <w:r w:rsidR="00F77EA6" w:rsidRPr="00DA3030">
        <w:rPr>
          <w:sz w:val="20"/>
          <w:szCs w:val="20"/>
        </w:rPr>
        <w:t xml:space="preserve"> higher allowances </w:t>
      </w:r>
      <w:r w:rsidR="0018254F" w:rsidRPr="00DA3030">
        <w:rPr>
          <w:sz w:val="20"/>
          <w:szCs w:val="20"/>
        </w:rPr>
        <w:t>in certain cases</w:t>
      </w:r>
      <w:r w:rsidR="008C36B2" w:rsidRPr="00DA3030">
        <w:rPr>
          <w:sz w:val="20"/>
          <w:szCs w:val="20"/>
        </w:rPr>
        <w:t xml:space="preserve">, or requires </w:t>
      </w:r>
      <w:r w:rsidR="00A32A3D" w:rsidRPr="00DA3030">
        <w:rPr>
          <w:sz w:val="20"/>
          <w:szCs w:val="20"/>
        </w:rPr>
        <w:t>weight</w:t>
      </w:r>
      <w:r w:rsidR="00577035" w:rsidRPr="00DA3030">
        <w:rPr>
          <w:sz w:val="20"/>
          <w:szCs w:val="20"/>
        </w:rPr>
        <w:t>s</w:t>
      </w:r>
      <w:r w:rsidR="00A32A3D" w:rsidRPr="00DA3030">
        <w:rPr>
          <w:sz w:val="20"/>
          <w:szCs w:val="20"/>
        </w:rPr>
        <w:t xml:space="preserve"> of equipment to be specifically determined</w:t>
      </w:r>
      <w:r w:rsidR="0018254F" w:rsidRPr="00DA3030">
        <w:rPr>
          <w:sz w:val="20"/>
          <w:szCs w:val="20"/>
        </w:rPr>
        <w:t>.</w:t>
      </w:r>
    </w:p>
    <w:p w14:paraId="702730A8" w14:textId="05C6C483" w:rsidR="006E4EB5" w:rsidRPr="006E45AC" w:rsidRDefault="006E4EB5" w:rsidP="00DB4D61">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E45AC">
        <w:t xml:space="preserve">Refer to Section </w:t>
      </w:r>
      <w:r w:rsidRPr="006E45AC">
        <w:fldChar w:fldCharType="begin"/>
      </w:r>
      <w:r w:rsidRPr="006E45AC">
        <w:instrText xml:space="preserve"> REF _Ref152568304 \r \h </w:instrText>
      </w:r>
      <w:r w:rsidR="006E45AC">
        <w:instrText xml:space="preserve"> \* MERGEFORMAT </w:instrText>
      </w:r>
      <w:r w:rsidRPr="006E45AC">
        <w:fldChar w:fldCharType="separate"/>
      </w:r>
      <w:r w:rsidR="000761C1">
        <w:t>C4.2.6</w:t>
      </w:r>
      <w:r w:rsidRPr="006E45AC">
        <w:fldChar w:fldCharType="end"/>
      </w:r>
      <w:r w:rsidRPr="006E45AC">
        <w:t xml:space="preserve"> for specification information on Loading Interfaces between Non-Structural Elements and structure. This includes reference to the general structural loading brief and Loading Plans (generally in accordance with NZS 1170.1:2002 and this section)—and consideration of additional allowances for loads imparted from NSE </w:t>
      </w:r>
      <w:r w:rsidR="00833640" w:rsidRPr="006E45AC">
        <w:t>s</w:t>
      </w:r>
      <w:r w:rsidRPr="006E45AC">
        <w:t xml:space="preserve">eismic </w:t>
      </w:r>
      <w:r w:rsidR="00833640" w:rsidRPr="006E45AC">
        <w:t>r</w:t>
      </w:r>
      <w:r w:rsidRPr="006E45AC">
        <w:t>estraint</w:t>
      </w:r>
      <w:r w:rsidR="00773600" w:rsidRPr="006E45AC">
        <w:t xml:space="preserve"> under seismic conditions</w:t>
      </w:r>
      <w:r w:rsidRPr="006E45AC">
        <w:t>.</w:t>
      </w:r>
    </w:p>
    <w:p w14:paraId="5BB29FB4" w14:textId="25DCF25C" w:rsidR="0026594F" w:rsidRPr="006E45AC" w:rsidRDefault="0026594F" w:rsidP="00DB4D61">
      <w:pPr>
        <w:pStyle w:val="Section3heading2"/>
      </w:pPr>
      <w:bookmarkStart w:id="299" w:name="_Ref149544426"/>
      <w:bookmarkStart w:id="300" w:name="_Ref149544429"/>
      <w:bookmarkStart w:id="301" w:name="_Toc203641983"/>
      <w:r w:rsidRPr="006E45AC">
        <w:t>Seismic Loading</w:t>
      </w:r>
      <w:bookmarkEnd w:id="299"/>
      <w:bookmarkEnd w:id="300"/>
      <w:bookmarkEnd w:id="301"/>
    </w:p>
    <w:p w14:paraId="4A460C9F" w14:textId="301E17D6" w:rsidR="0026594F" w:rsidRPr="006E45AC" w:rsidRDefault="0026594F" w:rsidP="00DB4D61">
      <w:pPr>
        <w:pStyle w:val="Section3heading3"/>
      </w:pPr>
      <w:bookmarkStart w:id="302" w:name="_Ref149568362"/>
      <w:r w:rsidRPr="006E45AC">
        <w:t>Interim Requirements on the Application of TS 1170.5 for Seismic Design</w:t>
      </w:r>
      <w:bookmarkEnd w:id="302"/>
    </w:p>
    <w:p w14:paraId="58959B01" w14:textId="1CF4D2EF" w:rsidR="00CC1D8F" w:rsidRPr="00DB4D61" w:rsidRDefault="00CC1D8F" w:rsidP="00D56CAE">
      <w:pPr>
        <w:pStyle w:val="BodyHeading"/>
        <w:rPr>
          <w:color w:val="003399"/>
        </w:rPr>
      </w:pPr>
      <w:r w:rsidRPr="00DB4D61">
        <w:rPr>
          <w:color w:val="003399"/>
        </w:rPr>
        <w:t>Background</w:t>
      </w:r>
    </w:p>
    <w:p w14:paraId="134535D7" w14:textId="55F47AAF" w:rsidR="00FA45EE" w:rsidRPr="006E45AC" w:rsidRDefault="00FA45EE" w:rsidP="00666E06">
      <w:r w:rsidRPr="006E45AC">
        <w:t>In 2022, GNS</w:t>
      </w:r>
      <w:r w:rsidR="006367FA" w:rsidRPr="006E45AC">
        <w:t xml:space="preserve"> in conjunction with its project </w:t>
      </w:r>
      <w:r w:rsidR="003836E5" w:rsidRPr="006E45AC">
        <w:t>partners</w:t>
      </w:r>
      <w:r w:rsidR="006367FA" w:rsidRPr="006E45AC">
        <w:t xml:space="preserve"> released the first significant update to New Zealand’s National Seismic Hazard Model (NSHM) in </w:t>
      </w:r>
      <w:r w:rsidR="00031CCC" w:rsidRPr="006E45AC">
        <w:t>over two decades</w:t>
      </w:r>
      <w:r w:rsidR="00A43953">
        <w:t xml:space="preserve">. </w:t>
      </w:r>
      <w:r w:rsidR="527E5E29" w:rsidRPr="006E45AC">
        <w:t>This update</w:t>
      </w:r>
      <w:r w:rsidR="00EE2F7D" w:rsidRPr="006E45AC">
        <w:t xml:space="preserve"> is referred to as </w:t>
      </w:r>
      <w:r w:rsidR="00EE2F7D" w:rsidRPr="006E45AC">
        <w:rPr>
          <w:i/>
          <w:iCs/>
        </w:rPr>
        <w:t>NSHM 20</w:t>
      </w:r>
      <w:r w:rsidR="00EE2F7D" w:rsidRPr="006E45AC">
        <w:t xml:space="preserve">22, </w:t>
      </w:r>
      <w:r w:rsidR="57C2FE74" w:rsidRPr="006E45AC">
        <w:t>and it is possible</w:t>
      </w:r>
      <w:r w:rsidR="00EE2F7D" w:rsidRPr="006E45AC">
        <w:t xml:space="preserve"> that </w:t>
      </w:r>
      <w:r w:rsidR="57C2FE74" w:rsidRPr="006E45AC">
        <w:t>periodic</w:t>
      </w:r>
      <w:r w:rsidR="00E37AA4" w:rsidRPr="006E45AC">
        <w:t xml:space="preserve"> updates may continue to be made to the model on an ongoing basis.</w:t>
      </w:r>
      <w:r w:rsidR="288226A7" w:rsidRPr="006E45AC">
        <w:t xml:space="preserve"> </w:t>
      </w:r>
      <w:r w:rsidR="00E37AA4" w:rsidRPr="006E45AC">
        <w:t>Information on the model and its release may be found</w:t>
      </w:r>
      <w:r w:rsidR="007B1FE8" w:rsidRPr="006E45AC">
        <w:t xml:space="preserve"> </w:t>
      </w:r>
      <w:r w:rsidR="00651275" w:rsidRPr="006E45AC">
        <w:t>in</w:t>
      </w:r>
      <w:r w:rsidR="00F52DF6" w:rsidRPr="006E45AC">
        <w:t xml:space="preserve"> the document</w:t>
      </w:r>
      <w:r w:rsidR="00651275" w:rsidRPr="006E45AC">
        <w:t xml:space="preserve"> </w:t>
      </w:r>
      <w:hyperlink r:id="rId78" w:history="1">
        <w:r w:rsidR="00651275" w:rsidRPr="006E45AC">
          <w:rPr>
            <w:rStyle w:val="Hyperlink"/>
            <w:color w:val="0070C0"/>
          </w:rPr>
          <w:t>Interim Advice on the 2022 National Seismic Hazard Model Release</w:t>
        </w:r>
      </w:hyperlink>
      <w:r w:rsidR="00E37AA4" w:rsidRPr="006E45AC">
        <w:t xml:space="preserve"> </w:t>
      </w:r>
      <w:sdt>
        <w:sdtPr>
          <w:id w:val="-626390669"/>
          <w:citation/>
        </w:sdtPr>
        <w:sdtEndPr/>
        <w:sdtContent>
          <w:r w:rsidR="007B1FE8" w:rsidRPr="006E45AC">
            <w:rPr>
              <w:lang w:val="en-US"/>
            </w:rPr>
            <w:fldChar w:fldCharType="begin"/>
          </w:r>
          <w:r w:rsidR="007B1FE8" w:rsidRPr="006E45AC">
            <w:rPr>
              <w:lang w:val="en-US"/>
            </w:rPr>
            <w:instrText xml:space="preserve"> CITATION SES22 \l 1033 </w:instrText>
          </w:r>
          <w:r w:rsidR="007B1FE8" w:rsidRPr="006E45AC">
            <w:fldChar w:fldCharType="separate"/>
          </w:r>
          <w:r w:rsidR="00222D65">
            <w:rPr>
              <w:noProof/>
              <w:lang w:val="en-US"/>
            </w:rPr>
            <w:t>(SESOC, NZSEE, NZGS, 2022)</w:t>
          </w:r>
          <w:r w:rsidR="007B1FE8" w:rsidRPr="006E45AC">
            <w:fldChar w:fldCharType="end"/>
          </w:r>
        </w:sdtContent>
      </w:sdt>
      <w:r w:rsidR="00C27854" w:rsidRPr="006E45AC">
        <w:t>.</w:t>
      </w:r>
    </w:p>
    <w:p w14:paraId="5A6631FD" w14:textId="1D9898D8" w:rsidR="00AD6873" w:rsidRPr="006E45AC" w:rsidRDefault="007E7902" w:rsidP="00666E06">
      <w:r w:rsidRPr="006E45AC">
        <w:t xml:space="preserve">The </w:t>
      </w:r>
      <w:r w:rsidR="00566FE3" w:rsidRPr="006E45AC">
        <w:rPr>
          <w:i/>
          <w:iCs/>
        </w:rPr>
        <w:t>Seismic Risk Working Group</w:t>
      </w:r>
      <w:r w:rsidR="00462572" w:rsidRPr="006E45AC">
        <w:t xml:space="preserve"> (SRWG)</w:t>
      </w:r>
      <w:r w:rsidR="00566FE3" w:rsidRPr="006E45AC">
        <w:t xml:space="preserve"> has developed</w:t>
      </w:r>
      <w:r w:rsidR="0089756E" w:rsidRPr="006E45AC">
        <w:t xml:space="preserve"> provisions intended for a revision to NZS 1170.5:2004, using the NSHM 2022 as one of its inputs</w:t>
      </w:r>
      <w:r w:rsidR="00566FE3" w:rsidRPr="006E45AC">
        <w:t xml:space="preserve">. </w:t>
      </w:r>
      <w:r w:rsidR="0095385F" w:rsidRPr="006E45AC">
        <w:t xml:space="preserve">In summary, </w:t>
      </w:r>
      <w:r w:rsidR="00026749" w:rsidRPr="006E45AC">
        <w:t>the</w:t>
      </w:r>
      <w:r w:rsidR="0095385F" w:rsidRPr="006E45AC">
        <w:t xml:space="preserve"> </w:t>
      </w:r>
      <w:r w:rsidR="00226A2C" w:rsidRPr="006E45AC">
        <w:t>focus</w:t>
      </w:r>
      <w:r w:rsidR="00AD6873" w:rsidRPr="006E45AC">
        <w:t xml:space="preserve"> of the revised previsions </w:t>
      </w:r>
      <w:r w:rsidR="0095385F" w:rsidRPr="006E45AC">
        <w:t>has been</w:t>
      </w:r>
      <w:r w:rsidR="00AD6873" w:rsidRPr="006E45AC">
        <w:t>:</w:t>
      </w:r>
    </w:p>
    <w:p w14:paraId="098E08C9" w14:textId="77777777" w:rsidR="00AD6873" w:rsidRPr="006E45AC" w:rsidRDefault="00026749" w:rsidP="004D55F1">
      <w:pPr>
        <w:pStyle w:val="ListParagraph"/>
        <w:numPr>
          <w:ilvl w:val="0"/>
          <w:numId w:val="97"/>
        </w:numPr>
      </w:pPr>
      <w:r w:rsidRPr="006E45AC">
        <w:t xml:space="preserve">an </w:t>
      </w:r>
      <w:r w:rsidR="002A32C0" w:rsidRPr="006E45AC">
        <w:t>update to the elastic design spectrum</w:t>
      </w:r>
      <w:r w:rsidR="0095385F" w:rsidRPr="006E45AC">
        <w:t xml:space="preserve"> for buildings</w:t>
      </w:r>
    </w:p>
    <w:p w14:paraId="64F05F9A" w14:textId="77777777" w:rsidR="00AD6873" w:rsidRPr="006E45AC" w:rsidRDefault="00226A2C" w:rsidP="004D55F1">
      <w:pPr>
        <w:pStyle w:val="ListParagraph"/>
        <w:numPr>
          <w:ilvl w:val="0"/>
          <w:numId w:val="97"/>
        </w:numPr>
      </w:pPr>
      <w:r w:rsidRPr="006E45AC">
        <w:t xml:space="preserve">new </w:t>
      </w:r>
      <w:r w:rsidR="0095385F" w:rsidRPr="006E45AC">
        <w:t>requirements for parts and components</w:t>
      </w:r>
    </w:p>
    <w:p w14:paraId="664E45B9" w14:textId="2105573C" w:rsidR="00E37AA4" w:rsidRPr="006E45AC" w:rsidRDefault="0095385F" w:rsidP="004D55F1">
      <w:pPr>
        <w:pStyle w:val="ListParagraph"/>
        <w:numPr>
          <w:ilvl w:val="0"/>
          <w:numId w:val="97"/>
        </w:numPr>
      </w:pPr>
      <w:r w:rsidRPr="006E45AC">
        <w:t>provisions on the simplified design of structures with rocking struc</w:t>
      </w:r>
      <w:r w:rsidR="00226A2C" w:rsidRPr="006E45AC">
        <w:t>t</w:t>
      </w:r>
      <w:r w:rsidRPr="006E45AC">
        <w:t>ures that meet certain criteria.</w:t>
      </w:r>
    </w:p>
    <w:p w14:paraId="20171ABF" w14:textId="32DC5F0A" w:rsidR="00C211BE" w:rsidRPr="006E45AC" w:rsidRDefault="00263EF8" w:rsidP="00666E06">
      <w:r w:rsidRPr="006E45AC">
        <w:lastRenderedPageBreak/>
        <w:t xml:space="preserve">In early 2023, </w:t>
      </w:r>
      <w:r w:rsidR="0095385F" w:rsidRPr="006E45AC">
        <w:t>Standard</w:t>
      </w:r>
      <w:r w:rsidR="00095F94" w:rsidRPr="006E45AC">
        <w:t>s</w:t>
      </w:r>
      <w:r w:rsidR="0095385F" w:rsidRPr="006E45AC">
        <w:t xml:space="preserve"> New Zealand</w:t>
      </w:r>
      <w:r w:rsidR="00260116" w:rsidRPr="006E45AC">
        <w:t xml:space="preserve"> </w:t>
      </w:r>
      <w:r w:rsidR="00095F94" w:rsidRPr="006E45AC">
        <w:t>convened</w:t>
      </w:r>
      <w:r w:rsidR="00260116" w:rsidRPr="006E45AC">
        <w:t xml:space="preserve"> </w:t>
      </w:r>
      <w:r w:rsidR="00B7056C" w:rsidRPr="006E45AC">
        <w:t>the P</w:t>
      </w:r>
      <w:r w:rsidR="00095F94" w:rsidRPr="006E45AC">
        <w:t>1170</w:t>
      </w:r>
      <w:r w:rsidR="00B7056C" w:rsidRPr="006E45AC">
        <w:t>.5</w:t>
      </w:r>
      <w:r w:rsidR="00260116" w:rsidRPr="006E45AC">
        <w:t xml:space="preserve"> committee to incorporate </w:t>
      </w:r>
      <w:r w:rsidRPr="006E45AC">
        <w:t>the SRWG’s</w:t>
      </w:r>
      <w:r w:rsidR="00260116" w:rsidRPr="006E45AC">
        <w:t xml:space="preserve"> recommended revisions into a new Technical Specification: TS 1170</w:t>
      </w:r>
      <w:r w:rsidR="00827330" w:rsidRPr="006E45AC">
        <w:t>.5.</w:t>
      </w:r>
      <w:r w:rsidR="00740985" w:rsidRPr="006E45AC">
        <w:t xml:space="preserve"> </w:t>
      </w:r>
      <w:r w:rsidR="00403EAF" w:rsidRPr="006E45AC">
        <w:t>A</w:t>
      </w:r>
      <w:r w:rsidR="0095385F" w:rsidRPr="006E45AC">
        <w:t xml:space="preserve"> draft o</w:t>
      </w:r>
      <w:r w:rsidR="00827330" w:rsidRPr="006E45AC">
        <w:t xml:space="preserve">f </w:t>
      </w:r>
      <w:r w:rsidRPr="006E45AC">
        <w:t xml:space="preserve">this Technical Specification </w:t>
      </w:r>
      <w:r w:rsidR="00403EAF" w:rsidRPr="006E45AC">
        <w:t xml:space="preserve">was issued </w:t>
      </w:r>
      <w:r w:rsidRPr="006E45AC">
        <w:t xml:space="preserve">for public </w:t>
      </w:r>
      <w:r w:rsidR="008022A2" w:rsidRPr="006E45AC">
        <w:t>consultation</w:t>
      </w:r>
      <w:r w:rsidR="00417EB7" w:rsidRPr="006E45AC">
        <w:t xml:space="preserve"> </w:t>
      </w:r>
      <w:r w:rsidR="00403EAF" w:rsidRPr="006E45AC">
        <w:t>in early 2024</w:t>
      </w:r>
      <w:r w:rsidR="0069600F" w:rsidRPr="006E45AC">
        <w:t xml:space="preserve"> (</w:t>
      </w:r>
      <w:r w:rsidR="002A43FB" w:rsidRPr="006E45AC">
        <w:t xml:space="preserve">DZ </w:t>
      </w:r>
      <w:r w:rsidR="0065160A" w:rsidRPr="006E45AC">
        <w:t xml:space="preserve">TS </w:t>
      </w:r>
      <w:r w:rsidR="00F3571D" w:rsidRPr="006E45AC">
        <w:t>1170.5:2024)</w:t>
      </w:r>
      <w:r w:rsidR="00403EAF" w:rsidRPr="006E45AC">
        <w:t>.</w:t>
      </w:r>
      <w:r w:rsidR="00417EB7" w:rsidRPr="006E45AC">
        <w:t xml:space="preserve"> </w:t>
      </w:r>
      <w:r w:rsidR="00403EAF" w:rsidRPr="006E45AC">
        <w:t>The comment period has closed, and the committee is reviewing submissions</w:t>
      </w:r>
      <w:r w:rsidRPr="006E45AC">
        <w:t>.</w:t>
      </w:r>
    </w:p>
    <w:p w14:paraId="73C133D1" w14:textId="0D31D703" w:rsidR="00D069DD" w:rsidRPr="006E45AC" w:rsidRDefault="00CC443A" w:rsidP="00666E06">
      <w:r w:rsidRPr="006E45AC">
        <w:t xml:space="preserve">When </w:t>
      </w:r>
      <w:r w:rsidR="00CF0731" w:rsidRPr="006E45AC">
        <w:t xml:space="preserve">TS 1170.5 is published by Standards New Zealand, MBIE </w:t>
      </w:r>
      <w:r w:rsidR="00F0180C" w:rsidRPr="006E45AC">
        <w:t>will</w:t>
      </w:r>
      <w:r w:rsidR="00CF0731" w:rsidRPr="006E45AC">
        <w:t xml:space="preserve"> consider citing the document into the Building Code</w:t>
      </w:r>
      <w:r w:rsidR="00591A24">
        <w:t xml:space="preserve">, </w:t>
      </w:r>
      <w:r w:rsidR="00E270FE" w:rsidRPr="006E45AC">
        <w:t>probably</w:t>
      </w:r>
      <w:r w:rsidR="001E1AA4" w:rsidRPr="006E45AC">
        <w:t xml:space="preserve"> by </w:t>
      </w:r>
      <w:r w:rsidR="00E270FE" w:rsidRPr="006E45AC">
        <w:t>an amendment</w:t>
      </w:r>
      <w:r w:rsidR="001E1AA4" w:rsidRPr="006E45AC">
        <w:t xml:space="preserve"> </w:t>
      </w:r>
      <w:r w:rsidR="00E270FE" w:rsidRPr="006E45AC">
        <w:t xml:space="preserve">to </w:t>
      </w:r>
      <w:r w:rsidR="001E1AA4" w:rsidRPr="006E45AC">
        <w:t>B1/VM1</w:t>
      </w:r>
      <w:r w:rsidR="00F0180C" w:rsidRPr="006E45AC">
        <w:t xml:space="preserve">. There are </w:t>
      </w:r>
      <w:r w:rsidR="009A0C0B" w:rsidRPr="006E45AC">
        <w:t>several</w:t>
      </w:r>
      <w:r w:rsidR="00F0180C" w:rsidRPr="006E45AC">
        <w:t xml:space="preserve"> </w:t>
      </w:r>
      <w:r w:rsidR="1E8F15AE" w:rsidRPr="006E45AC">
        <w:t>steps</w:t>
      </w:r>
      <w:r w:rsidR="00B6495A" w:rsidRPr="006E45AC">
        <w:t xml:space="preserve"> within the citation </w:t>
      </w:r>
      <w:r w:rsidR="009A0C0B" w:rsidRPr="006E45AC">
        <w:t>process</w:t>
      </w:r>
      <w:r w:rsidR="00B6495A" w:rsidRPr="006E45AC">
        <w:t xml:space="preserve">, including impact analysis and further </w:t>
      </w:r>
      <w:r w:rsidR="003B0CB0" w:rsidRPr="006E45AC">
        <w:t xml:space="preserve">public </w:t>
      </w:r>
      <w:r w:rsidR="00B6495A" w:rsidRPr="006E45AC">
        <w:t>consultation</w:t>
      </w:r>
      <w:r w:rsidR="31F91683" w:rsidRPr="006E45AC">
        <w:t>.</w:t>
      </w:r>
      <w:r w:rsidR="0038771A" w:rsidRPr="006E45AC">
        <w:t xml:space="preserve"> Until </w:t>
      </w:r>
      <w:r w:rsidR="009A0C0B" w:rsidRPr="006E45AC">
        <w:t xml:space="preserve">the </w:t>
      </w:r>
      <w:r w:rsidR="008C7486" w:rsidRPr="006E45AC">
        <w:t xml:space="preserve">published </w:t>
      </w:r>
      <w:r w:rsidR="009A0C0B" w:rsidRPr="006E45AC">
        <w:t>document is cited</w:t>
      </w:r>
      <w:r w:rsidR="0038771A" w:rsidRPr="006E45AC">
        <w:t xml:space="preserve">, use of the document will </w:t>
      </w:r>
      <w:r w:rsidR="006E55E5" w:rsidRPr="006E45AC">
        <w:t>constitute</w:t>
      </w:r>
      <w:r w:rsidR="0038771A" w:rsidRPr="006E45AC">
        <w:t xml:space="preserve"> an Alternative Solution</w:t>
      </w:r>
      <w:r w:rsidR="003823C0" w:rsidRPr="006E45AC">
        <w:t xml:space="preserve"> to Building Code complianc</w:t>
      </w:r>
      <w:r w:rsidR="00BC242A" w:rsidRPr="006E45AC">
        <w:t>e. If the document were only used to inform design, and the design was demonstrated to c</w:t>
      </w:r>
      <w:r w:rsidR="00EF27DB" w:rsidRPr="006E45AC">
        <w:t>ompl</w:t>
      </w:r>
      <w:r w:rsidR="00BC242A" w:rsidRPr="006E45AC">
        <w:t>y</w:t>
      </w:r>
      <w:r w:rsidR="00EF27DB" w:rsidRPr="006E45AC">
        <w:t xml:space="preserve"> in full with the current</w:t>
      </w:r>
      <w:r w:rsidR="00065631" w:rsidRPr="006E45AC">
        <w:t>ly cited</w:t>
      </w:r>
      <w:r w:rsidR="00EF27DB" w:rsidRPr="006E45AC">
        <w:t xml:space="preserve"> compliance documents</w:t>
      </w:r>
      <w:r w:rsidR="00BC242A" w:rsidRPr="006E45AC">
        <w:t>, then it would not need to be the basis for compliance and an Alternative Solution pathway would not be needed for this aspect of the design</w:t>
      </w:r>
      <w:r w:rsidR="0038771A" w:rsidRPr="006E45AC">
        <w:t>.</w:t>
      </w:r>
    </w:p>
    <w:p w14:paraId="517EE011" w14:textId="203CA8F4" w:rsidR="007210F2" w:rsidRPr="00DB4D61" w:rsidRDefault="007D5C79" w:rsidP="00D56CAE">
      <w:pPr>
        <w:pStyle w:val="BodyHeading"/>
        <w:rPr>
          <w:color w:val="003399"/>
        </w:rPr>
      </w:pPr>
      <w:r w:rsidRPr="00DB4D61">
        <w:rPr>
          <w:color w:val="003399"/>
        </w:rPr>
        <w:t>Health NZ</w:t>
      </w:r>
      <w:r w:rsidR="006E45AC" w:rsidRPr="00DB4D61">
        <w:rPr>
          <w:color w:val="003399"/>
        </w:rPr>
        <w:t xml:space="preserve"> </w:t>
      </w:r>
      <w:r w:rsidR="00EA7CF1" w:rsidRPr="00DB4D61">
        <w:rPr>
          <w:color w:val="003399"/>
        </w:rPr>
        <w:t xml:space="preserve">supports the </w:t>
      </w:r>
      <w:r w:rsidR="00DF69D9" w:rsidRPr="00DB4D61">
        <w:rPr>
          <w:color w:val="003399"/>
        </w:rPr>
        <w:t>consideration</w:t>
      </w:r>
      <w:r w:rsidR="00EA7CF1" w:rsidRPr="00DB4D61">
        <w:rPr>
          <w:color w:val="003399"/>
        </w:rPr>
        <w:t xml:space="preserve"> of</w:t>
      </w:r>
      <w:r w:rsidR="007210F2" w:rsidRPr="00DB4D61">
        <w:rPr>
          <w:color w:val="003399"/>
        </w:rPr>
        <w:t xml:space="preserve"> </w:t>
      </w:r>
      <w:r w:rsidR="00932DC5" w:rsidRPr="00DB4D61">
        <w:rPr>
          <w:color w:val="003399"/>
        </w:rPr>
        <w:t>TS</w:t>
      </w:r>
      <w:r w:rsidR="007210F2" w:rsidRPr="00DB4D61">
        <w:rPr>
          <w:color w:val="003399"/>
        </w:rPr>
        <w:t xml:space="preserve"> 1170 in </w:t>
      </w:r>
      <w:r w:rsidR="00EA7CF1" w:rsidRPr="00DB4D61">
        <w:rPr>
          <w:color w:val="003399"/>
        </w:rPr>
        <w:t>d</w:t>
      </w:r>
      <w:r w:rsidR="007210F2" w:rsidRPr="00DB4D61">
        <w:rPr>
          <w:color w:val="003399"/>
        </w:rPr>
        <w:t>esign</w:t>
      </w:r>
    </w:p>
    <w:p w14:paraId="732D52BD" w14:textId="58CC5F60" w:rsidR="00CC443A" w:rsidRPr="006E45AC" w:rsidRDefault="00D069DD" w:rsidP="00666E06">
      <w:r w:rsidRPr="006E45AC">
        <w:t>C</w:t>
      </w:r>
      <w:r w:rsidR="003823C0" w:rsidRPr="006E45AC">
        <w:t xml:space="preserve">onsidering </w:t>
      </w:r>
      <w:r w:rsidR="3F1BFF05" w:rsidRPr="006E45AC">
        <w:t xml:space="preserve">both </w:t>
      </w:r>
      <w:r w:rsidR="003823C0" w:rsidRPr="006E45AC">
        <w:t xml:space="preserve">the robustness of </w:t>
      </w:r>
      <w:r w:rsidR="005A740F" w:rsidRPr="006E45AC">
        <w:t>SRWG</w:t>
      </w:r>
      <w:r w:rsidR="005F3BFE" w:rsidRPr="006E45AC">
        <w:t xml:space="preserve"> process</w:t>
      </w:r>
      <w:r w:rsidR="00357BE6" w:rsidRPr="006E45AC">
        <w:t>es</w:t>
      </w:r>
      <w:r w:rsidR="005A740F" w:rsidRPr="006E45AC">
        <w:t xml:space="preserve"> </w:t>
      </w:r>
      <w:r w:rsidR="00357BE6" w:rsidRPr="006E45AC">
        <w:t>in developing proposals for the new TS 1170.5</w:t>
      </w:r>
      <w:r w:rsidR="7DD83AE1" w:rsidRPr="006E45AC">
        <w:t xml:space="preserve">, </w:t>
      </w:r>
      <w:r w:rsidR="005A740F" w:rsidRPr="006E45AC">
        <w:t xml:space="preserve">and the rigour </w:t>
      </w:r>
      <w:r w:rsidR="005F3BFE" w:rsidRPr="006E45AC">
        <w:t xml:space="preserve">in </w:t>
      </w:r>
      <w:r w:rsidR="00543E5C" w:rsidRPr="006E45AC">
        <w:t>its</w:t>
      </w:r>
      <w:r w:rsidR="005F3BFE" w:rsidRPr="006E45AC">
        <w:t xml:space="preserve"> scientific and technical basis</w:t>
      </w:r>
      <w:r w:rsidR="71D69480" w:rsidRPr="006E45AC">
        <w:t>, t</w:t>
      </w:r>
      <w:r w:rsidR="0A1DDFD7" w:rsidRPr="006E45AC">
        <w:t xml:space="preserve">he </w:t>
      </w:r>
      <w:r w:rsidR="007D5C79">
        <w:t xml:space="preserve">Health NZ </w:t>
      </w:r>
      <w:r w:rsidRPr="006E45AC">
        <w:t xml:space="preserve">HEAG considers </w:t>
      </w:r>
      <w:r w:rsidR="00543E5C" w:rsidRPr="006E45AC">
        <w:t>this Technical Specificat</w:t>
      </w:r>
      <w:r w:rsidR="00115DEE" w:rsidRPr="006E45AC">
        <w:t>ion</w:t>
      </w:r>
      <w:r w:rsidR="00DA7C1B" w:rsidRPr="006E45AC">
        <w:t xml:space="preserve"> (once published)</w:t>
      </w:r>
      <w:r w:rsidRPr="006E45AC">
        <w:t xml:space="preserve"> to be an appropriate basis for Alternative Solution pathway</w:t>
      </w:r>
      <w:r w:rsidR="00115DEE" w:rsidRPr="006E45AC">
        <w:t xml:space="preserve"> for seismic loading</w:t>
      </w:r>
      <w:r w:rsidR="0085122A" w:rsidRPr="006E45AC">
        <w:t xml:space="preserve">. Matters </w:t>
      </w:r>
      <w:r w:rsidR="00604EAC" w:rsidRPr="006E45AC">
        <w:t>concerning</w:t>
      </w:r>
      <w:r w:rsidR="0085122A" w:rsidRPr="006E45AC">
        <w:t xml:space="preserve"> timing</w:t>
      </w:r>
      <w:r w:rsidR="00DE48E1" w:rsidRPr="006E45AC">
        <w:t>s</w:t>
      </w:r>
      <w:r w:rsidR="0085122A" w:rsidRPr="006E45AC">
        <w:t xml:space="preserve"> relative to </w:t>
      </w:r>
      <w:r w:rsidR="007D5C79">
        <w:t xml:space="preserve">Health NZ </w:t>
      </w:r>
      <w:r w:rsidR="0085122A" w:rsidRPr="006E45AC">
        <w:t>project</w:t>
      </w:r>
      <w:r w:rsidR="00D061B4" w:rsidRPr="006E45AC">
        <w:t xml:space="preserve"> milestones should be managed on</w:t>
      </w:r>
      <w:r w:rsidR="0085122A" w:rsidRPr="006E45AC">
        <w:t xml:space="preserve"> </w:t>
      </w:r>
      <w:r w:rsidR="00D061B4" w:rsidRPr="006E45AC">
        <w:t>a</w:t>
      </w:r>
      <w:r w:rsidR="00BE6CDF" w:rsidRPr="006E45AC">
        <w:t xml:space="preserve"> mutually agreeable and</w:t>
      </w:r>
      <w:r w:rsidR="00DE1E23" w:rsidRPr="006E45AC">
        <w:t xml:space="preserve"> “all reasonable endeavours” basis</w:t>
      </w:r>
      <w:r w:rsidRPr="006E45AC">
        <w:t>.</w:t>
      </w:r>
    </w:p>
    <w:p w14:paraId="4F8FE0FE" w14:textId="04242438" w:rsidR="00E261A6" w:rsidRPr="006E45AC" w:rsidRDefault="00E261A6" w:rsidP="00666E06">
      <w:r w:rsidRPr="006E45AC">
        <w:t>Design teams should engage in early Building Consent pre-application meetings with the Building Consent Authority to discuss Alternative Solution proposals and confirm the compliance pathway.</w:t>
      </w:r>
    </w:p>
    <w:p w14:paraId="52BEB3CC" w14:textId="77777777" w:rsidR="005376B6" w:rsidRDefault="007D5C79" w:rsidP="00666E06">
      <w:pPr>
        <w:pStyle w:val="Requirement"/>
      </w:pPr>
      <w:r>
        <w:rPr>
          <w:rStyle w:val="Strong"/>
        </w:rPr>
        <w:t xml:space="preserve">Health NZ </w:t>
      </w:r>
      <w:r w:rsidR="0038771A" w:rsidRPr="006E45AC">
        <w:rPr>
          <w:rStyle w:val="Strong"/>
        </w:rPr>
        <w:t xml:space="preserve">Recommendation: </w:t>
      </w:r>
      <w:r w:rsidR="005376B6">
        <w:t>Health NZ</w:t>
      </w:r>
      <w:r w:rsidR="005376B6" w:rsidRPr="006E45AC">
        <w:t xml:space="preserve"> </w:t>
      </w:r>
      <w:r w:rsidR="005376B6">
        <w:t xml:space="preserve">does </w:t>
      </w:r>
      <w:r w:rsidR="005376B6">
        <w:rPr>
          <w:b/>
          <w:bCs/>
        </w:rPr>
        <w:t>not</w:t>
      </w:r>
      <w:r w:rsidR="005376B6" w:rsidRPr="006E45AC">
        <w:t xml:space="preserve"> recommend the use of TS 1170.5 </w:t>
      </w:r>
      <w:r w:rsidR="005376B6">
        <w:t xml:space="preserve">for final design whilst in draft form.  </w:t>
      </w:r>
      <w:r w:rsidR="005376B6" w:rsidRPr="006E45AC">
        <w:t xml:space="preserve">During this </w:t>
      </w:r>
      <w:r w:rsidR="005376B6">
        <w:t xml:space="preserve">draft </w:t>
      </w:r>
      <w:r w:rsidR="005376B6" w:rsidRPr="006E45AC">
        <w:t xml:space="preserve">period, </w:t>
      </w:r>
      <w:r w:rsidR="005376B6">
        <w:t xml:space="preserve">Health NZ </w:t>
      </w:r>
      <w:r w:rsidR="005376B6" w:rsidRPr="006E45AC">
        <w:t>does want designers to be actively considering how its application could affect the design of projects</w:t>
      </w:r>
      <w:r w:rsidR="005376B6">
        <w:t>.</w:t>
      </w:r>
    </w:p>
    <w:p w14:paraId="610E5ABD" w14:textId="5851BCA4" w:rsidR="00697E0E" w:rsidRPr="006E45AC" w:rsidRDefault="007D5C79" w:rsidP="00666E06">
      <w:pPr>
        <w:pStyle w:val="Requirement"/>
      </w:pPr>
      <w:r>
        <w:t>Health NZ</w:t>
      </w:r>
      <w:r w:rsidR="006E45AC" w:rsidRPr="006E45AC">
        <w:t xml:space="preserve"> </w:t>
      </w:r>
      <w:r w:rsidR="00E30C9B" w:rsidRPr="006E45AC">
        <w:t xml:space="preserve">may </w:t>
      </w:r>
      <w:r w:rsidR="0038771A" w:rsidRPr="006E45AC">
        <w:t>recommend</w:t>
      </w:r>
      <w:r w:rsidR="00E30C9B" w:rsidRPr="006E45AC">
        <w:t xml:space="preserve"> the</w:t>
      </w:r>
      <w:r w:rsidR="006E55E5" w:rsidRPr="006E45AC">
        <w:t xml:space="preserve"> use of TS 1170.5 by an Alternative Solution </w:t>
      </w:r>
      <w:r w:rsidR="00910A7B" w:rsidRPr="006E45AC">
        <w:t>pathway</w:t>
      </w:r>
      <w:r w:rsidR="00FC5357" w:rsidRPr="006E45AC">
        <w:t xml:space="preserve">, once </w:t>
      </w:r>
      <w:r w:rsidR="00E30C9B" w:rsidRPr="006E45AC">
        <w:t xml:space="preserve">finalised and </w:t>
      </w:r>
      <w:r w:rsidR="00FC5357" w:rsidRPr="006E45AC">
        <w:t>published</w:t>
      </w:r>
      <w:r w:rsidR="00C9067E" w:rsidRPr="006E45AC">
        <w:t xml:space="preserve"> (</w:t>
      </w:r>
      <w:r w:rsidR="00D15110" w:rsidRPr="006E45AC">
        <w:t>i.e.</w:t>
      </w:r>
      <w:r w:rsidR="24330E46" w:rsidRPr="006E45AC">
        <w:t xml:space="preserve"> not in draft form</w:t>
      </w:r>
      <w:r w:rsidR="00C9067E" w:rsidRPr="006E45AC">
        <w:t>) and once it has had the opportunity to assess any changes made from the draft</w:t>
      </w:r>
      <w:r w:rsidR="006E55E5" w:rsidRPr="006E45AC">
        <w:t>.</w:t>
      </w:r>
      <w:r w:rsidR="00D76688" w:rsidRPr="006E45AC">
        <w:t xml:space="preserve"> </w:t>
      </w:r>
      <w:r w:rsidR="00C9067E" w:rsidRPr="006E45AC">
        <w:t>If it is used as the basis for an Alternative Solution</w:t>
      </w:r>
      <w:r w:rsidR="00334BFA" w:rsidRPr="006E45AC">
        <w:t xml:space="preserve"> (or if it is used to inform the design in any way)</w:t>
      </w:r>
      <w:r w:rsidR="00720037" w:rsidRPr="006E45AC">
        <w:t xml:space="preserve"> designers should keep a view </w:t>
      </w:r>
      <w:r w:rsidR="00E357E0" w:rsidRPr="006E45AC">
        <w:t>on the impacts of designing to the new</w:t>
      </w:r>
      <w:r w:rsidR="00910A7B" w:rsidRPr="006E45AC">
        <w:t xml:space="preserve"> TS, relative to</w:t>
      </w:r>
      <w:r w:rsidR="00697E0E" w:rsidRPr="006E45AC">
        <w:t xml:space="preserve"> </w:t>
      </w:r>
      <w:r w:rsidR="00977E96" w:rsidRPr="006E45AC">
        <w:t>NZS 1170.5:</w:t>
      </w:r>
      <w:r w:rsidR="001322EC" w:rsidRPr="006E45AC">
        <w:t>2004</w:t>
      </w:r>
      <w:r w:rsidR="00FD5B12" w:rsidRPr="006E45AC">
        <w:t>, and inform project teams</w:t>
      </w:r>
      <w:r w:rsidR="00977E96" w:rsidRPr="006E45AC">
        <w:t>.</w:t>
      </w:r>
    </w:p>
    <w:p w14:paraId="592CB22D" w14:textId="06312B21" w:rsidR="00071108" w:rsidRPr="006E45AC" w:rsidRDefault="007D5C79" w:rsidP="00666E06">
      <w:pPr>
        <w:pStyle w:val="Requirement"/>
        <w:rPr>
          <w:rStyle w:val="Strong"/>
          <w:b w:val="0"/>
        </w:rPr>
      </w:pPr>
      <w:r w:rsidRPr="00B219C9">
        <w:rPr>
          <w:rStyle w:val="Strong"/>
          <w:color w:val="0C818F" w:themeColor="accent3"/>
        </w:rPr>
        <w:t xml:space="preserve">Health NZ </w:t>
      </w:r>
      <w:r w:rsidR="002274B3" w:rsidRPr="00B219C9">
        <w:rPr>
          <w:rStyle w:val="Strong"/>
          <w:color w:val="0C818F" w:themeColor="accent3"/>
        </w:rPr>
        <w:t>Requirement:</w:t>
      </w:r>
      <w:r w:rsidR="002274B3" w:rsidRPr="006E45AC">
        <w:rPr>
          <w:rStyle w:val="Strong"/>
        </w:rPr>
        <w:t xml:space="preserve"> </w:t>
      </w:r>
      <w:r w:rsidR="009955BD">
        <w:rPr>
          <w:rStyle w:val="Strong"/>
          <w:b w:val="0"/>
          <w:bCs w:val="0"/>
        </w:rPr>
        <w:t xml:space="preserve">Health NZ </w:t>
      </w:r>
      <w:r w:rsidR="009955BD" w:rsidRPr="006E45AC">
        <w:rPr>
          <w:rStyle w:val="Strong"/>
          <w:b w:val="0"/>
          <w:bCs w:val="0"/>
        </w:rPr>
        <w:t xml:space="preserve">requires Project Teams to actively engage in the testing of the DZ TS 1170.5:2024 (or the finalised version, once published). </w:t>
      </w:r>
      <w:r w:rsidR="00B33251">
        <w:rPr>
          <w:rStyle w:val="Strong"/>
          <w:b w:val="0"/>
          <w:bCs w:val="0"/>
        </w:rPr>
        <w:t xml:space="preserve">This </w:t>
      </w:r>
      <w:r w:rsidR="004E7B0B">
        <w:rPr>
          <w:rStyle w:val="Strong"/>
          <w:b w:val="0"/>
          <w:bCs w:val="0"/>
        </w:rPr>
        <w:t>should</w:t>
      </w:r>
      <w:r w:rsidR="00B33251">
        <w:rPr>
          <w:rStyle w:val="Strong"/>
          <w:b w:val="0"/>
          <w:bCs w:val="0"/>
        </w:rPr>
        <w:t xml:space="preserve"> not require parallel concept design (unless briefed); t</w:t>
      </w:r>
      <w:r w:rsidR="009955BD" w:rsidRPr="006E45AC">
        <w:rPr>
          <w:rStyle w:val="Strong"/>
          <w:b w:val="0"/>
          <w:bCs w:val="0"/>
        </w:rPr>
        <w:t xml:space="preserve">eams should assess likely impacts on design outcome and design process, and keep </w:t>
      </w:r>
      <w:r w:rsidR="009955BD">
        <w:rPr>
          <w:rStyle w:val="Strong"/>
          <w:b w:val="0"/>
          <w:bCs w:val="0"/>
        </w:rPr>
        <w:t xml:space="preserve">Health NZ </w:t>
      </w:r>
      <w:r w:rsidR="009955BD" w:rsidRPr="006E45AC">
        <w:rPr>
          <w:rStyle w:val="Strong"/>
          <w:b w:val="0"/>
          <w:bCs w:val="0"/>
        </w:rPr>
        <w:t xml:space="preserve">teams informed. Neither version should be used as the basis for final design unless agreed with </w:t>
      </w:r>
      <w:r w:rsidR="009955BD">
        <w:rPr>
          <w:rStyle w:val="Strong"/>
          <w:b w:val="0"/>
          <w:bCs w:val="0"/>
        </w:rPr>
        <w:t>Health NZ</w:t>
      </w:r>
      <w:r w:rsidR="009955BD" w:rsidRPr="006E45AC">
        <w:rPr>
          <w:rStyle w:val="Strong"/>
          <w:b w:val="0"/>
          <w:bCs w:val="0"/>
        </w:rPr>
        <w:t>.</w:t>
      </w:r>
    </w:p>
    <w:p w14:paraId="28668087" w14:textId="737B23BA" w:rsidR="00977E96" w:rsidRPr="009B7519" w:rsidRDefault="00B7085C" w:rsidP="00666E06">
      <w:pPr>
        <w:pStyle w:val="Requirement"/>
      </w:pPr>
      <w:r w:rsidRPr="009B7519">
        <w:rPr>
          <w:rStyle w:val="Strong"/>
        </w:rPr>
        <w:lastRenderedPageBreak/>
        <w:t>NZBC</w:t>
      </w:r>
      <w:r w:rsidR="00977E96" w:rsidRPr="009B7519">
        <w:rPr>
          <w:rStyle w:val="Strong"/>
        </w:rPr>
        <w:t xml:space="preserve"> Requirement: </w:t>
      </w:r>
      <w:r w:rsidR="00626B58" w:rsidRPr="009B7519">
        <w:rPr>
          <w:rStyle w:val="Strong"/>
          <w:b w:val="0"/>
          <w:bCs w:val="0"/>
        </w:rPr>
        <w:t>For demonstrating Building Code compliance, d</w:t>
      </w:r>
      <w:r w:rsidR="00977E96" w:rsidRPr="009B7519">
        <w:t xml:space="preserve">esigners </w:t>
      </w:r>
      <w:r w:rsidR="00E86693" w:rsidRPr="009B7519">
        <w:t>should</w:t>
      </w:r>
      <w:r w:rsidR="00977E96" w:rsidRPr="009B7519">
        <w:t xml:space="preserve"> not </w:t>
      </w:r>
      <w:r w:rsidR="006968ED" w:rsidRPr="009B7519">
        <w:t xml:space="preserve">use a </w:t>
      </w:r>
      <w:r w:rsidR="00977E96" w:rsidRPr="009B7519">
        <w:t xml:space="preserve">mix </w:t>
      </w:r>
      <w:r w:rsidRPr="009B7519">
        <w:t xml:space="preserve">of </w:t>
      </w:r>
      <w:r w:rsidR="00977E96" w:rsidRPr="009B7519">
        <w:t>provisions between TS 1170.5 and NZS 1170.5:2004.</w:t>
      </w:r>
      <w:r w:rsidR="006968ED" w:rsidRPr="009B7519">
        <w:t xml:space="preserve"> </w:t>
      </w:r>
      <w:r w:rsidRPr="009B7519">
        <w:t xml:space="preserve">Whether or not </w:t>
      </w:r>
      <w:r w:rsidR="00861BF7" w:rsidRPr="009B7519">
        <w:t>B1/VM1 or an Alternative Solution pathway is being followed, o</w:t>
      </w:r>
      <w:r w:rsidR="006968ED" w:rsidRPr="009B7519">
        <w:t xml:space="preserve">ne document or the other in its entirety </w:t>
      </w:r>
      <w:r w:rsidR="00F247C6" w:rsidRPr="009B7519">
        <w:t>shall be used</w:t>
      </w:r>
      <w:r w:rsidR="00D4065F" w:rsidRPr="009B7519">
        <w:t xml:space="preserve"> for the end-to-end determination of design loading</w:t>
      </w:r>
      <w:r w:rsidR="009049ED" w:rsidRPr="009B7519">
        <w:t xml:space="preserve"> </w:t>
      </w:r>
      <w:r w:rsidR="00626B58" w:rsidRPr="009B7519">
        <w:t>for</w:t>
      </w:r>
      <w:r w:rsidR="009049ED" w:rsidRPr="009B7519">
        <w:t xml:space="preserve"> demonstrating </w:t>
      </w:r>
      <w:r w:rsidR="00111C1A" w:rsidRPr="009B7519">
        <w:t xml:space="preserve">Building Code </w:t>
      </w:r>
      <w:r w:rsidR="009049ED" w:rsidRPr="009B7519">
        <w:t>compliance</w:t>
      </w:r>
      <w:r w:rsidR="00F247C6" w:rsidRPr="009B7519">
        <w:t>.</w:t>
      </w:r>
    </w:p>
    <w:p w14:paraId="14966ADB" w14:textId="40855521" w:rsidR="006E55E5" w:rsidRPr="009B7519" w:rsidRDefault="00D76688" w:rsidP="00C42AF3">
      <w:pPr>
        <w:pStyle w:val="BoxBullet"/>
        <w:numPr>
          <w:ilvl w:val="0"/>
          <w:numId w:val="0"/>
        </w:numPr>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pPr>
      <w:r w:rsidRPr="009B7519">
        <w:t>The basis</w:t>
      </w:r>
      <w:r w:rsidR="00322C12" w:rsidRPr="009B7519">
        <w:t xml:space="preserve"> for the recommendation to </w:t>
      </w:r>
      <w:r w:rsidR="00AE1DA4" w:rsidRPr="009B7519">
        <w:t>consider</w:t>
      </w:r>
      <w:r w:rsidR="00605437" w:rsidRPr="009B7519">
        <w:t xml:space="preserve"> TS 1170.5 prior to its citation under the building code</w:t>
      </w:r>
      <w:r w:rsidR="00F540DA" w:rsidRPr="009B7519">
        <w:t xml:space="preserve"> </w:t>
      </w:r>
      <w:r w:rsidR="00605437" w:rsidRPr="009B7519">
        <w:t>is as follows:</w:t>
      </w:r>
    </w:p>
    <w:p w14:paraId="45700BCC" w14:textId="2194CA01" w:rsidR="00605437" w:rsidRPr="009B7519" w:rsidRDefault="00605437" w:rsidP="00C42AF3">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9B7519">
        <w:t>Road testing</w:t>
      </w:r>
      <w:r w:rsidR="00B80B90" w:rsidRPr="009B7519">
        <w:t xml:space="preserve"> of the new standard is an important part of the pathway from science</w:t>
      </w:r>
      <w:r w:rsidR="00C061B5" w:rsidRPr="009B7519">
        <w:t xml:space="preserve"> to standards developments </w:t>
      </w:r>
      <w:r w:rsidR="00B21C95" w:rsidRPr="009B7519">
        <w:t xml:space="preserve">to engineering practice. It allows </w:t>
      </w:r>
      <w:r w:rsidR="00CE3B10" w:rsidRPr="009B7519">
        <w:t xml:space="preserve">for the collection of real practical feedback from practitioners during the latter parts of the consultation processes, </w:t>
      </w:r>
      <w:r w:rsidR="00C73849" w:rsidRPr="009B7519">
        <w:t xml:space="preserve">to help improve the quality </w:t>
      </w:r>
      <w:r w:rsidR="00383F39" w:rsidRPr="009B7519">
        <w:t xml:space="preserve">and usability </w:t>
      </w:r>
      <w:r w:rsidR="00C73849" w:rsidRPr="009B7519">
        <w:t>of the end product</w:t>
      </w:r>
      <w:r w:rsidR="00965602" w:rsidRPr="009B7519">
        <w:t>.</w:t>
      </w:r>
    </w:p>
    <w:p w14:paraId="304A4886" w14:textId="0438FA3A" w:rsidR="00605437" w:rsidRPr="009B7519" w:rsidRDefault="00A31A3A" w:rsidP="00C42AF3">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9B7519">
        <w:t xml:space="preserve">Alternative Solution pathways </w:t>
      </w:r>
      <w:r w:rsidR="001502BD" w:rsidRPr="009B7519">
        <w:t xml:space="preserve">for </w:t>
      </w:r>
      <w:r w:rsidR="007D5C79">
        <w:t xml:space="preserve">Health NZ </w:t>
      </w:r>
      <w:r w:rsidR="001502BD" w:rsidRPr="009B7519">
        <w:t xml:space="preserve">projects </w:t>
      </w:r>
      <w:r w:rsidRPr="009B7519">
        <w:t xml:space="preserve">provide a </w:t>
      </w:r>
      <w:r w:rsidR="00795768" w:rsidRPr="009B7519">
        <w:t>safe environment for road testing a new standard. Th</w:t>
      </w:r>
      <w:r w:rsidR="0088747D" w:rsidRPr="009B7519">
        <w:t>is comes from the</w:t>
      </w:r>
      <w:r w:rsidR="00795768" w:rsidRPr="009B7519">
        <w:t xml:space="preserve"> </w:t>
      </w:r>
      <w:r w:rsidR="005A5669" w:rsidRPr="009B7519">
        <w:t xml:space="preserve">additional </w:t>
      </w:r>
      <w:r w:rsidR="00795768" w:rsidRPr="009B7519">
        <w:t>s</w:t>
      </w:r>
      <w:r w:rsidR="00605437" w:rsidRPr="009B7519">
        <w:t xml:space="preserve">crutiny </w:t>
      </w:r>
      <w:r w:rsidR="00795768" w:rsidRPr="009B7519">
        <w:t>provided</w:t>
      </w:r>
      <w:r w:rsidR="00605437" w:rsidRPr="009B7519">
        <w:t xml:space="preserve"> </w:t>
      </w:r>
      <w:r w:rsidR="0088747D" w:rsidRPr="009B7519">
        <w:t>from</w:t>
      </w:r>
      <w:r w:rsidR="00795768" w:rsidRPr="009B7519">
        <w:t xml:space="preserve"> </w:t>
      </w:r>
      <w:r w:rsidR="00525548" w:rsidRPr="009B7519">
        <w:t xml:space="preserve">robust </w:t>
      </w:r>
      <w:r w:rsidR="00795768" w:rsidRPr="009B7519">
        <w:t xml:space="preserve">peer review, </w:t>
      </w:r>
      <w:r w:rsidR="00525548" w:rsidRPr="009B7519">
        <w:t>and to a lesser extent,</w:t>
      </w:r>
      <w:r w:rsidR="00F540DA" w:rsidRPr="009B7519">
        <w:t xml:space="preserve"> </w:t>
      </w:r>
      <w:r w:rsidR="1FC9024E" w:rsidRPr="009B7519">
        <w:t xml:space="preserve">the </w:t>
      </w:r>
      <w:r w:rsidR="007D5C79">
        <w:t xml:space="preserve">Health NZ </w:t>
      </w:r>
      <w:r w:rsidR="0088747D" w:rsidRPr="009B7519">
        <w:t>review processes</w:t>
      </w:r>
      <w:r w:rsidR="00A30A43" w:rsidRPr="009B7519">
        <w:t xml:space="preserve"> (which is less detailed)</w:t>
      </w:r>
      <w:r w:rsidR="00525548" w:rsidRPr="009B7519">
        <w:t>. B</w:t>
      </w:r>
      <w:r w:rsidR="0088747D" w:rsidRPr="009B7519">
        <w:t xml:space="preserve">oth </w:t>
      </w:r>
      <w:r w:rsidR="001D5105" w:rsidRPr="009B7519">
        <w:t>reviews would</w:t>
      </w:r>
      <w:r w:rsidR="0094537A" w:rsidRPr="009B7519">
        <w:t xml:space="preserve"> consider the effectiveness of </w:t>
      </w:r>
      <w:r w:rsidR="005A5669" w:rsidRPr="009B7519">
        <w:t xml:space="preserve">the </w:t>
      </w:r>
      <w:r w:rsidR="0094537A" w:rsidRPr="009B7519">
        <w:t xml:space="preserve">new standard </w:t>
      </w:r>
      <w:r w:rsidR="005A5669" w:rsidRPr="009B7519">
        <w:t xml:space="preserve">in its application </w:t>
      </w:r>
      <w:r w:rsidR="0094537A" w:rsidRPr="009B7519">
        <w:t>to the project context.</w:t>
      </w:r>
    </w:p>
    <w:p w14:paraId="454EC80F" w14:textId="33D5253A" w:rsidR="00F540DA" w:rsidRPr="009B7519" w:rsidRDefault="00B76640" w:rsidP="00C42AF3">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9B7519">
        <w:t>The</w:t>
      </w:r>
      <w:r w:rsidR="00854226" w:rsidRPr="009B7519">
        <w:t xml:space="preserve"> Seismic Risk Working Group</w:t>
      </w:r>
      <w:r w:rsidR="00F36459" w:rsidRPr="009B7519">
        <w:t xml:space="preserve"> </w:t>
      </w:r>
      <w:r w:rsidR="00C32D1B" w:rsidRPr="009B7519">
        <w:t>has</w:t>
      </w:r>
      <w:r w:rsidR="00854226" w:rsidRPr="009B7519">
        <w:t xml:space="preserve"> </w:t>
      </w:r>
      <w:r w:rsidR="00C32D1B" w:rsidRPr="009B7519">
        <w:t xml:space="preserve">applied </w:t>
      </w:r>
      <w:r w:rsidR="003E25AC" w:rsidRPr="009B7519">
        <w:t>technically</w:t>
      </w:r>
      <w:r w:rsidR="004F1CB4" w:rsidRPr="009B7519">
        <w:t xml:space="preserve"> rigorous</w:t>
      </w:r>
      <w:r w:rsidR="00854226" w:rsidRPr="009B7519">
        <w:t xml:space="preserve"> processes in </w:t>
      </w:r>
      <w:r w:rsidR="00F07608" w:rsidRPr="009B7519">
        <w:t xml:space="preserve">its review of the </w:t>
      </w:r>
      <w:r w:rsidR="00A83B0F" w:rsidRPr="009B7519">
        <w:t>scientific information, and other inputs (</w:t>
      </w:r>
      <w:r w:rsidR="004F1CB4" w:rsidRPr="009B7519">
        <w:t>such as risk and</w:t>
      </w:r>
      <w:r w:rsidR="00A83B0F" w:rsidRPr="009B7519">
        <w:t xml:space="preserve"> policy settings)</w:t>
      </w:r>
      <w:r w:rsidR="00D40962" w:rsidRPr="009B7519">
        <w:t xml:space="preserve">. This is </w:t>
      </w:r>
      <w:r w:rsidR="00890008" w:rsidRPr="009B7519">
        <w:t xml:space="preserve">further supported by the </w:t>
      </w:r>
      <w:r w:rsidR="009049ED" w:rsidRPr="009B7519">
        <w:t>P</w:t>
      </w:r>
      <w:r w:rsidR="00890008" w:rsidRPr="009B7519">
        <w:t xml:space="preserve">1170.5 committee </w:t>
      </w:r>
      <w:r w:rsidR="00E85E00" w:rsidRPr="009B7519">
        <w:t xml:space="preserve">process and feedback received on the public </w:t>
      </w:r>
      <w:r w:rsidR="008022A2" w:rsidRPr="009B7519">
        <w:t>consultation</w:t>
      </w:r>
      <w:r w:rsidR="00E85E00" w:rsidRPr="009B7519">
        <w:t xml:space="preserve"> draft.</w:t>
      </w:r>
      <w:r w:rsidR="00F36459" w:rsidRPr="009B7519">
        <w:t xml:space="preserve"> </w:t>
      </w:r>
      <w:r w:rsidR="00654595" w:rsidRPr="009B7519">
        <w:t>This provides a high level of confidence in the quality of the document</w:t>
      </w:r>
      <w:r w:rsidR="007D3525" w:rsidRPr="009B7519">
        <w:t xml:space="preserve"> and its suitability for use in practice</w:t>
      </w:r>
      <w:r w:rsidR="00E15926" w:rsidRPr="009B7519">
        <w:t>.</w:t>
      </w:r>
    </w:p>
    <w:p w14:paraId="59B866B1" w14:textId="7EC490A7" w:rsidR="0052342D" w:rsidRPr="009B7519" w:rsidRDefault="0052342D" w:rsidP="00C42AF3">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9B7519">
        <w:t xml:space="preserve">Use of the document allows </w:t>
      </w:r>
      <w:r w:rsidR="007D5C79">
        <w:t xml:space="preserve">Health NZ </w:t>
      </w:r>
      <w:r w:rsidRPr="009B7519">
        <w:t xml:space="preserve">projects to take advantage of the latest </w:t>
      </w:r>
      <w:r w:rsidR="00C20D76" w:rsidRPr="009B7519">
        <w:t>scientific developments in its projects</w:t>
      </w:r>
      <w:r w:rsidR="00D518C2">
        <w:t xml:space="preserve"> </w:t>
      </w:r>
      <w:r w:rsidR="00343411" w:rsidRPr="009B7519">
        <w:t xml:space="preserve">in support of a resilient healthcare </w:t>
      </w:r>
      <w:r w:rsidR="00C60F30" w:rsidRPr="009B7519">
        <w:t xml:space="preserve">system </w:t>
      </w:r>
      <w:r w:rsidR="008311DD" w:rsidRPr="009B7519">
        <w:t xml:space="preserve">well supported by </w:t>
      </w:r>
      <w:r w:rsidR="00D73B83" w:rsidRPr="009B7519">
        <w:t xml:space="preserve">the </w:t>
      </w:r>
      <w:r w:rsidR="0039318B" w:rsidRPr="009B7519">
        <w:t xml:space="preserve">technical </w:t>
      </w:r>
      <w:r w:rsidR="008311DD" w:rsidRPr="009B7519">
        <w:t xml:space="preserve">consensus </w:t>
      </w:r>
      <w:r w:rsidR="00B80B90" w:rsidRPr="009B7519">
        <w:t xml:space="preserve">processes </w:t>
      </w:r>
      <w:r w:rsidR="00B76640" w:rsidRPr="009B7519">
        <w:t>that have formed part of</w:t>
      </w:r>
      <w:r w:rsidR="008311DD" w:rsidRPr="009B7519">
        <w:t xml:space="preserve"> the </w:t>
      </w:r>
      <w:r w:rsidR="0039318B" w:rsidRPr="009B7519">
        <w:t>document’s development to date</w:t>
      </w:r>
      <w:r w:rsidR="00C20D76" w:rsidRPr="009B7519">
        <w:t>.</w:t>
      </w:r>
    </w:p>
    <w:p w14:paraId="53723B10" w14:textId="5D3586C2" w:rsidR="000070DE" w:rsidRPr="009B7519" w:rsidRDefault="000070DE" w:rsidP="00C42AF3">
      <w:pPr>
        <w:pStyle w:val="BoxBullet"/>
        <w:pBdr>
          <w:top w:val="single" w:sz="4" w:space="1" w:color="15284C" w:themeColor="text1"/>
          <w:left w:val="single" w:sz="4" w:space="4" w:color="15284C" w:themeColor="text1"/>
          <w:bottom w:val="single" w:sz="4" w:space="1" w:color="15284C" w:themeColor="text1"/>
          <w:right w:val="single" w:sz="4" w:space="4" w:color="15284C" w:themeColor="text1"/>
        </w:pBdr>
        <w:shd w:val="clear" w:color="auto" w:fill="F6F4EC" w:themeFill="background1"/>
        <w:ind w:left="360"/>
      </w:pPr>
      <w:r w:rsidRPr="009B7519">
        <w:t>The above benefits are considered to outweigh</w:t>
      </w:r>
      <w:r w:rsidR="00D606B4" w:rsidRPr="009B7519">
        <w:t xml:space="preserve"> the impact of any changes </w:t>
      </w:r>
      <w:r w:rsidR="00111F1D" w:rsidRPr="009B7519">
        <w:t>suggested</w:t>
      </w:r>
      <w:r w:rsidR="00D606B4" w:rsidRPr="009B7519">
        <w:t xml:space="preserve"> during the proposed Building Code citation process</w:t>
      </w:r>
      <w:r w:rsidR="00666FC1">
        <w:t xml:space="preserve"> </w:t>
      </w:r>
      <w:r w:rsidR="00D606B4" w:rsidRPr="009B7519">
        <w:t xml:space="preserve">and in fact the </w:t>
      </w:r>
      <w:r w:rsidR="00BD532C" w:rsidRPr="009B7519">
        <w:t>road-</w:t>
      </w:r>
      <w:r w:rsidR="00180235" w:rsidRPr="009B7519">
        <w:t xml:space="preserve">testing </w:t>
      </w:r>
      <w:r w:rsidR="000B36FB" w:rsidRPr="009B7519">
        <w:t>can</w:t>
      </w:r>
      <w:r w:rsidR="00180235" w:rsidRPr="009B7519">
        <w:t xml:space="preserve"> inform any future adjustments or amendments, if necessary.</w:t>
      </w:r>
    </w:p>
    <w:p w14:paraId="2EE3F0B8" w14:textId="77777777" w:rsidR="00B37EA5" w:rsidRDefault="00B37EA5" w:rsidP="00666E06"/>
    <w:p w14:paraId="1F724A7B" w14:textId="3705E900" w:rsidR="00C42D37" w:rsidRDefault="003E67E1" w:rsidP="00666E06">
      <w:r>
        <w:rPr>
          <w:noProof/>
        </w:rPr>
        <w:lastRenderedPageBreak/>
        <w:drawing>
          <wp:inline distT="0" distB="0" distL="0" distR="0" wp14:anchorId="78C87E89" wp14:editId="48132529">
            <wp:extent cx="5804565" cy="6400800"/>
            <wp:effectExtent l="0" t="0" r="5715" b="0"/>
            <wp:docPr id="683246957" name="Picture 68324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46957" name=""/>
                    <pic:cNvPicPr/>
                  </pic:nvPicPr>
                  <pic:blipFill>
                    <a:blip r:embed="rId79"/>
                    <a:stretch>
                      <a:fillRect/>
                    </a:stretch>
                  </pic:blipFill>
                  <pic:spPr>
                    <a:xfrm>
                      <a:off x="0" y="0"/>
                      <a:ext cx="5815512" cy="6412872"/>
                    </a:xfrm>
                    <a:prstGeom prst="rect">
                      <a:avLst/>
                    </a:prstGeom>
                  </pic:spPr>
                </pic:pic>
              </a:graphicData>
            </a:graphic>
          </wp:inline>
        </w:drawing>
      </w:r>
    </w:p>
    <w:p w14:paraId="5797E893" w14:textId="48C75CB3" w:rsidR="00C42D37" w:rsidRPr="00CA1D50" w:rsidRDefault="00C42D37" w:rsidP="00DB4D61">
      <w:pPr>
        <w:pStyle w:val="Figure"/>
        <w:rPr>
          <w:sz w:val="20"/>
          <w:szCs w:val="20"/>
        </w:rPr>
      </w:pPr>
      <w:r w:rsidRPr="00CA1D50">
        <w:rPr>
          <w:sz w:val="20"/>
          <w:szCs w:val="20"/>
        </w:rPr>
        <w:t xml:space="preserve">Figure </w:t>
      </w:r>
      <w:r w:rsidRPr="00CA1D50">
        <w:rPr>
          <w:sz w:val="20"/>
          <w:szCs w:val="20"/>
        </w:rPr>
        <w:fldChar w:fldCharType="begin"/>
      </w:r>
      <w:r w:rsidRPr="00CA1D50">
        <w:rPr>
          <w:sz w:val="20"/>
          <w:szCs w:val="20"/>
        </w:rPr>
        <w:instrText>SEQ Figure \* ARABIC</w:instrText>
      </w:r>
      <w:r w:rsidRPr="00CA1D50">
        <w:rPr>
          <w:sz w:val="20"/>
          <w:szCs w:val="20"/>
        </w:rPr>
        <w:fldChar w:fldCharType="separate"/>
      </w:r>
      <w:r w:rsidR="00CA1D50">
        <w:rPr>
          <w:noProof/>
          <w:sz w:val="20"/>
          <w:szCs w:val="20"/>
        </w:rPr>
        <w:t>12</w:t>
      </w:r>
      <w:r w:rsidRPr="00CA1D50">
        <w:rPr>
          <w:sz w:val="20"/>
          <w:szCs w:val="20"/>
        </w:rPr>
        <w:fldChar w:fldCharType="end"/>
      </w:r>
      <w:r w:rsidRPr="00CA1D50">
        <w:rPr>
          <w:sz w:val="20"/>
          <w:szCs w:val="20"/>
        </w:rPr>
        <w:t xml:space="preserve">: Process for inclusion of NSHM 2022 (and other inputs) into the Building Code, and how </w:t>
      </w:r>
      <w:r w:rsidR="007D5C79" w:rsidRPr="00CA1D50">
        <w:rPr>
          <w:sz w:val="20"/>
          <w:szCs w:val="20"/>
        </w:rPr>
        <w:t>Health NZ</w:t>
      </w:r>
      <w:r w:rsidRPr="00CA1D50">
        <w:rPr>
          <w:sz w:val="20"/>
          <w:szCs w:val="20"/>
        </w:rPr>
        <w:t xml:space="preserve"> wants designers to interact with the process</w:t>
      </w:r>
      <w:r w:rsidR="00666698" w:rsidRPr="00CA1D50">
        <w:rPr>
          <w:sz w:val="20"/>
          <w:szCs w:val="20"/>
        </w:rPr>
        <w:t>.</w:t>
      </w:r>
      <w:r w:rsidR="00DA4747" w:rsidRPr="00CA1D50">
        <w:rPr>
          <w:sz w:val="20"/>
          <w:szCs w:val="20"/>
        </w:rPr>
        <w:t xml:space="preserve"> Grey text boxes are future activities yet underway and subject to process change and work priorities.</w:t>
      </w:r>
    </w:p>
    <w:p w14:paraId="592C420A" w14:textId="6211D206" w:rsidR="00437484" w:rsidRPr="00DB4D61" w:rsidRDefault="003B4E07" w:rsidP="00D56CAE">
      <w:pPr>
        <w:pStyle w:val="BodyHeading"/>
        <w:rPr>
          <w:color w:val="003399"/>
        </w:rPr>
      </w:pPr>
      <w:r w:rsidRPr="00DB4D61">
        <w:rPr>
          <w:color w:val="003399"/>
        </w:rPr>
        <w:t xml:space="preserve">Applying </w:t>
      </w:r>
      <w:r w:rsidR="00932DC5" w:rsidRPr="00DB4D61">
        <w:rPr>
          <w:color w:val="003399"/>
        </w:rPr>
        <w:t>TS</w:t>
      </w:r>
      <w:r w:rsidR="00110C26" w:rsidRPr="00DB4D61">
        <w:rPr>
          <w:color w:val="003399"/>
        </w:rPr>
        <w:t xml:space="preserve"> 1170.5 Provisions for Parts and </w:t>
      </w:r>
      <w:r w:rsidR="00F2171F" w:rsidRPr="00DB4D61">
        <w:rPr>
          <w:color w:val="003399"/>
        </w:rPr>
        <w:t>Components</w:t>
      </w:r>
    </w:p>
    <w:p w14:paraId="4D7938CD" w14:textId="5631C81C" w:rsidR="00097230" w:rsidRPr="009B7519" w:rsidRDefault="003E5338" w:rsidP="00666E06">
      <w:r w:rsidRPr="009B7519">
        <w:t xml:space="preserve">Project teams are specifically advised </w:t>
      </w:r>
      <w:r w:rsidR="00CC6B51" w:rsidRPr="009B7519">
        <w:t xml:space="preserve">to </w:t>
      </w:r>
      <w:r w:rsidR="00FF1488" w:rsidRPr="009B7519">
        <w:t>test</w:t>
      </w:r>
      <w:r w:rsidR="00AA0CA3" w:rsidRPr="009B7519">
        <w:t xml:space="preserve"> </w:t>
      </w:r>
      <w:r w:rsidR="00247E54" w:rsidRPr="009B7519">
        <w:t xml:space="preserve">and apply </w:t>
      </w:r>
      <w:r w:rsidR="008B5EE3" w:rsidRPr="009B7519">
        <w:t xml:space="preserve">the revised provisions for determining loading </w:t>
      </w:r>
      <w:r w:rsidR="00710BCC" w:rsidRPr="009B7519">
        <w:t xml:space="preserve">on </w:t>
      </w:r>
      <w:r w:rsidR="008B5EE3" w:rsidRPr="009B7519">
        <w:t xml:space="preserve">Parts and </w:t>
      </w:r>
      <w:r w:rsidR="00710BCC" w:rsidRPr="009B7519">
        <w:t>Components</w:t>
      </w:r>
      <w:r w:rsidR="008B5EE3" w:rsidRPr="009B7519">
        <w:t xml:space="preserve"> </w:t>
      </w:r>
      <w:r w:rsidR="00892C0C" w:rsidRPr="009B7519">
        <w:t xml:space="preserve">as part of </w:t>
      </w:r>
      <w:r w:rsidR="00AC6BC9" w:rsidRPr="009B7519">
        <w:t xml:space="preserve">the </w:t>
      </w:r>
      <w:r w:rsidR="00892C0C" w:rsidRPr="009B7519">
        <w:t>application</w:t>
      </w:r>
      <w:r w:rsidR="000F4670" w:rsidRPr="009B7519">
        <w:t xml:space="preserve"> of TS 1170.5</w:t>
      </w:r>
      <w:r w:rsidR="00AC6BC9" w:rsidRPr="009B7519">
        <w:t xml:space="preserve"> described above</w:t>
      </w:r>
      <w:r w:rsidR="00116CCA" w:rsidRPr="009B7519">
        <w:t>.</w:t>
      </w:r>
      <w:r w:rsidR="009B11D0" w:rsidRPr="009B7519">
        <w:t xml:space="preserve"> </w:t>
      </w:r>
      <w:r w:rsidR="00933EDD" w:rsidRPr="009B7519">
        <w:t>T</w:t>
      </w:r>
      <w:r w:rsidR="00866406" w:rsidRPr="009B7519">
        <w:t xml:space="preserve">he consistent application of TS 1170.5 </w:t>
      </w:r>
      <w:r w:rsidR="00B53901" w:rsidRPr="009B7519">
        <w:t xml:space="preserve">across the project </w:t>
      </w:r>
      <w:r w:rsidR="000A7CF9" w:rsidRPr="009B7519">
        <w:t>(i.e. to a building and its parts)</w:t>
      </w:r>
      <w:r w:rsidR="00866406" w:rsidRPr="009B7519">
        <w:t xml:space="preserve"> </w:t>
      </w:r>
      <w:r w:rsidR="0046589D" w:rsidRPr="009B7519">
        <w:t xml:space="preserve">is </w:t>
      </w:r>
      <w:r w:rsidR="00866406" w:rsidRPr="009B7519">
        <w:t>preferred</w:t>
      </w:r>
      <w:r w:rsidR="00224351" w:rsidRPr="009B7519">
        <w:t>.</w:t>
      </w:r>
    </w:p>
    <w:p w14:paraId="3551AC2B" w14:textId="3AC1F25A" w:rsidR="00C34A61" w:rsidRPr="009B7519" w:rsidRDefault="00C34A61" w:rsidP="00666E06">
      <w:r w:rsidRPr="009B7519">
        <w:t>Hospital buildings contain significant amounts of plant, equipment</w:t>
      </w:r>
      <w:r w:rsidR="0046589D" w:rsidRPr="009B7519">
        <w:t xml:space="preserve">, </w:t>
      </w:r>
      <w:r w:rsidRPr="009B7519">
        <w:t xml:space="preserve">reticulated services and high value contents. The quantum of these contents, the cost of </w:t>
      </w:r>
      <w:r w:rsidR="00A26086" w:rsidRPr="009B7519">
        <w:t xml:space="preserve">their </w:t>
      </w:r>
      <w:r w:rsidRPr="009B7519">
        <w:t xml:space="preserve">installation and seismic restraint, and the importance of post-earthquake functionality make </w:t>
      </w:r>
      <w:r w:rsidR="007D5C79">
        <w:t xml:space="preserve">Health NZ </w:t>
      </w:r>
      <w:r w:rsidRPr="009B7519">
        <w:t xml:space="preserve">a </w:t>
      </w:r>
      <w:r w:rsidRPr="009B7519">
        <w:lastRenderedPageBreak/>
        <w:t xml:space="preserve">major stakeholder in the effectiveness and workability of these provisions. Therefore, </w:t>
      </w:r>
      <w:r w:rsidR="007D5C79">
        <w:t xml:space="preserve">Health NZ </w:t>
      </w:r>
      <w:r w:rsidRPr="009B7519">
        <w:t>project teams have an important role in their road testing.</w:t>
      </w:r>
    </w:p>
    <w:p w14:paraId="7B062E70" w14:textId="68C0F30F" w:rsidR="005701C0" w:rsidRPr="009B7519" w:rsidRDefault="007D2AE2" w:rsidP="00666E06">
      <w:r w:rsidRPr="009B7519">
        <w:t>As well as</w:t>
      </w:r>
      <w:r w:rsidR="007B5EEB" w:rsidRPr="009B7519">
        <w:t xml:space="preserve"> the </w:t>
      </w:r>
      <w:r w:rsidR="006F3CDC" w:rsidRPr="009B7519">
        <w:t>revised values of reference ground acceleration</w:t>
      </w:r>
      <w:r w:rsidR="00FF3122" w:rsidRPr="009B7519">
        <w:t xml:space="preserve"> in TS 1170.5</w:t>
      </w:r>
      <w:r w:rsidR="007006C1" w:rsidRPr="009B7519">
        <w:t xml:space="preserve"> (compared with the 2004 edition) </w:t>
      </w:r>
      <w:r w:rsidR="00C55902" w:rsidRPr="009B7519">
        <w:t xml:space="preserve">the provisions </w:t>
      </w:r>
      <w:r w:rsidR="00097230" w:rsidRPr="009B7519">
        <w:t xml:space="preserve">for parts and </w:t>
      </w:r>
      <w:r w:rsidR="00473B0A" w:rsidRPr="009B7519">
        <w:t>components</w:t>
      </w:r>
      <w:r w:rsidR="00097230" w:rsidRPr="009B7519">
        <w:t xml:space="preserve"> </w:t>
      </w:r>
      <w:r w:rsidR="00C55902" w:rsidRPr="009B7519">
        <w:t>have been substantively revised</w:t>
      </w:r>
      <w:r w:rsidR="00BB471F" w:rsidRPr="009B7519">
        <w:t>.</w:t>
      </w:r>
      <w:r w:rsidR="008A0BF1" w:rsidRPr="009B7519">
        <w:t xml:space="preserve"> These revisions have drawn heavily on </w:t>
      </w:r>
      <w:r w:rsidR="0098368F" w:rsidRPr="009B7519">
        <w:t>the ATC-120 project (</w:t>
      </w:r>
      <w:r w:rsidR="00AC7E38" w:rsidRPr="009B7519">
        <w:t xml:space="preserve">reported in </w:t>
      </w:r>
      <w:r w:rsidR="008A0BF1" w:rsidRPr="009B7519">
        <w:t>NIST GCR 18-917-43</w:t>
      </w:r>
      <w:r w:rsidR="00AC7E38" w:rsidRPr="009B7519">
        <w:t>)</w:t>
      </w:r>
      <w:r w:rsidR="00653392" w:rsidRPr="009B7519">
        <w:t>,</w:t>
      </w:r>
      <w:r w:rsidR="00640AC2" w:rsidRPr="009B7519">
        <w:t xml:space="preserve"> </w:t>
      </w:r>
      <w:r w:rsidR="005652B0" w:rsidRPr="009B7519">
        <w:t>the</w:t>
      </w:r>
      <w:r w:rsidR="003079A7" w:rsidRPr="009B7519">
        <w:t xml:space="preserve"> revisions to ASCE 7-22</w:t>
      </w:r>
      <w:r w:rsidR="00AC7E38" w:rsidRPr="009B7519">
        <w:t xml:space="preserve"> that were informed by this work</w:t>
      </w:r>
      <w:r w:rsidR="00A131F4" w:rsidRPr="009B7519">
        <w:t xml:space="preserve">, </w:t>
      </w:r>
      <w:r w:rsidR="00AC7E38" w:rsidRPr="009B7519">
        <w:t>as well as further</w:t>
      </w:r>
      <w:r w:rsidR="00A131F4" w:rsidRPr="009B7519">
        <w:t xml:space="preserve"> local research efforts</w:t>
      </w:r>
      <w:r w:rsidR="00C83E54" w:rsidRPr="009B7519">
        <w:t xml:space="preserve">. The </w:t>
      </w:r>
      <w:r w:rsidR="001653A7" w:rsidRPr="009B7519">
        <w:t xml:space="preserve">resulting </w:t>
      </w:r>
      <w:r w:rsidR="00FD3AA5" w:rsidRPr="009B7519">
        <w:t xml:space="preserve">normative </w:t>
      </w:r>
      <w:r w:rsidR="00C83E54" w:rsidRPr="009B7519">
        <w:t>provisions</w:t>
      </w:r>
      <w:r w:rsidR="00F85B4D" w:rsidRPr="009B7519">
        <w:t xml:space="preserve"> in </w:t>
      </w:r>
      <w:r w:rsidR="001653A7" w:rsidRPr="009B7519">
        <w:t>TS 1170.5</w:t>
      </w:r>
      <w:r w:rsidR="00C83E54" w:rsidRPr="009B7519">
        <w:t xml:space="preserve"> provide </w:t>
      </w:r>
      <w:r w:rsidR="00936F94" w:rsidRPr="009B7519">
        <w:t xml:space="preserve">a method which is suitable for the design office, but which </w:t>
      </w:r>
      <w:r w:rsidR="00295EA3" w:rsidRPr="009B7519">
        <w:t>comprehensively capture</w:t>
      </w:r>
      <w:r w:rsidR="009A3A44" w:rsidRPr="009B7519">
        <w:t>s</w:t>
      </w:r>
      <w:r w:rsidR="00295EA3" w:rsidRPr="009B7519">
        <w:t xml:space="preserve"> the </w:t>
      </w:r>
      <w:r w:rsidR="00A07C5C" w:rsidRPr="009B7519">
        <w:t>impacts of building and part response</w:t>
      </w:r>
      <w:r w:rsidR="00243363" w:rsidRPr="009B7519">
        <w:t xml:space="preserve"> in the determination of loading on parts and their restraints</w:t>
      </w:r>
      <w:r w:rsidR="00A07C5C" w:rsidRPr="009B7519">
        <w:t>.</w:t>
      </w:r>
    </w:p>
    <w:p w14:paraId="3A79259F" w14:textId="3E835AB6" w:rsidR="00BE1F74" w:rsidRPr="009B7519" w:rsidRDefault="00170672" w:rsidP="00666E06">
      <w:r w:rsidRPr="009B7519">
        <w:t>Importantly,</w:t>
      </w:r>
      <w:r w:rsidR="00A07C5C" w:rsidRPr="009B7519">
        <w:t xml:space="preserve"> </w:t>
      </w:r>
      <w:r w:rsidR="00EF0692" w:rsidRPr="009B7519">
        <w:t>assessed</w:t>
      </w:r>
      <w:r w:rsidR="002E6A2C" w:rsidRPr="009B7519">
        <w:t xml:space="preserve"> </w:t>
      </w:r>
      <w:r w:rsidR="001C6699" w:rsidRPr="009B7519">
        <w:t>part ductility</w:t>
      </w:r>
      <w:r w:rsidR="004D4A03" w:rsidRPr="009B7519">
        <w:t xml:space="preserve"> </w:t>
      </w:r>
      <w:r w:rsidR="002D7B06" w:rsidRPr="009B7519">
        <w:t>is</w:t>
      </w:r>
      <w:r w:rsidR="004D4A03" w:rsidRPr="009B7519">
        <w:t xml:space="preserve"> a</w:t>
      </w:r>
      <w:r w:rsidR="009B042A" w:rsidRPr="009B7519">
        <w:t xml:space="preserve"> </w:t>
      </w:r>
      <w:r w:rsidR="004D4A03" w:rsidRPr="009B7519">
        <w:t xml:space="preserve">parameter </w:t>
      </w:r>
      <w:r w:rsidR="00EF0692" w:rsidRPr="009B7519">
        <w:t xml:space="preserve">which </w:t>
      </w:r>
      <w:r w:rsidR="002D7B06" w:rsidRPr="009B7519">
        <w:t>can have</w:t>
      </w:r>
      <w:r w:rsidR="002E6A2C" w:rsidRPr="009B7519">
        <w:t xml:space="preserve"> </w:t>
      </w:r>
      <w:r w:rsidR="00255F18" w:rsidRPr="009B7519">
        <w:t xml:space="preserve">a </w:t>
      </w:r>
      <w:r w:rsidR="002E6A2C" w:rsidRPr="009B7519">
        <w:t xml:space="preserve">significant </w:t>
      </w:r>
      <w:r w:rsidR="004D4A03" w:rsidRPr="009B7519">
        <w:t xml:space="preserve">impact </w:t>
      </w:r>
      <w:r w:rsidR="005E2485" w:rsidRPr="009B7519">
        <w:t xml:space="preserve">on the </w:t>
      </w:r>
      <w:r w:rsidR="00B402A4" w:rsidRPr="009B7519">
        <w:t>calculated forces</w:t>
      </w:r>
      <w:r w:rsidR="00AE2D37" w:rsidRPr="009B7519">
        <w:t xml:space="preserve">. </w:t>
      </w:r>
      <w:r w:rsidR="006A1147" w:rsidRPr="009B7519">
        <w:t>T</w:t>
      </w:r>
      <w:r w:rsidR="00315BA3" w:rsidRPr="009B7519">
        <w:t>here is comparatively less data to aid the selection of appropriate values for parts</w:t>
      </w:r>
      <w:r w:rsidR="00666FC1">
        <w:t xml:space="preserve"> </w:t>
      </w:r>
      <w:r w:rsidR="00D94678" w:rsidRPr="009B7519">
        <w:t xml:space="preserve">compared with </w:t>
      </w:r>
      <w:r w:rsidR="00C46DE2" w:rsidRPr="009B7519">
        <w:t>well-established</w:t>
      </w:r>
      <w:r w:rsidR="00D94678" w:rsidRPr="009B7519">
        <w:t xml:space="preserve"> processes to </w:t>
      </w:r>
      <w:r w:rsidR="005066D5" w:rsidRPr="009B7519">
        <w:t>select and define ductility in primary structural design</w:t>
      </w:r>
      <w:r w:rsidR="004D4A03" w:rsidRPr="009B7519">
        <w:t>.</w:t>
      </w:r>
      <w:r w:rsidR="00B402A4" w:rsidRPr="009B7519">
        <w:t xml:space="preserve"> </w:t>
      </w:r>
      <w:r w:rsidR="00A477BA" w:rsidRPr="009B7519">
        <w:t>Therefore, the i</w:t>
      </w:r>
      <w:r w:rsidR="00E807E6" w:rsidRPr="009B7519">
        <w:t>nformative commentary</w:t>
      </w:r>
      <w:r w:rsidR="00A477BA" w:rsidRPr="009B7519">
        <w:t xml:space="preserve"> published alongside</w:t>
      </w:r>
      <w:r w:rsidR="00454E90" w:rsidRPr="009B7519">
        <w:t xml:space="preserve"> </w:t>
      </w:r>
      <w:r w:rsidR="00A934D6" w:rsidRPr="009B7519">
        <w:t xml:space="preserve">the normative part of the standard </w:t>
      </w:r>
      <w:r w:rsidR="00377D34" w:rsidRPr="009B7519">
        <w:t>is</w:t>
      </w:r>
      <w:r w:rsidR="00A3261B" w:rsidRPr="009B7519">
        <w:t xml:space="preserve"> </w:t>
      </w:r>
      <w:r w:rsidR="00454E90" w:rsidRPr="009B7519">
        <w:t xml:space="preserve">important </w:t>
      </w:r>
      <w:r w:rsidR="007072EE" w:rsidRPr="009B7519">
        <w:t xml:space="preserve">to the </w:t>
      </w:r>
      <w:r w:rsidR="0055233F" w:rsidRPr="009B7519">
        <w:t>accelerations calculated for design</w:t>
      </w:r>
      <w:r w:rsidR="00BC6C34" w:rsidRPr="009B7519">
        <w:t>.</w:t>
      </w:r>
    </w:p>
    <w:p w14:paraId="3A4683A2" w14:textId="19B95E9B" w:rsidR="0062444B" w:rsidRPr="009B7519" w:rsidRDefault="007D5C79" w:rsidP="00666E06">
      <w:pPr>
        <w:pStyle w:val="Requirement"/>
      </w:pPr>
      <w:r>
        <w:rPr>
          <w:rStyle w:val="Strong"/>
        </w:rPr>
        <w:t xml:space="preserve">Health NZ </w:t>
      </w:r>
      <w:r w:rsidR="0062444B" w:rsidRPr="009B7519">
        <w:rPr>
          <w:rStyle w:val="Strong"/>
        </w:rPr>
        <w:t xml:space="preserve">Recommendation: </w:t>
      </w:r>
      <w:r>
        <w:t>Health NZ</w:t>
      </w:r>
      <w:r w:rsidR="009B7519">
        <w:t xml:space="preserve"> </w:t>
      </w:r>
      <w:r w:rsidR="0062444B" w:rsidRPr="009B7519">
        <w:t xml:space="preserve">recommends </w:t>
      </w:r>
      <w:r w:rsidR="00581993" w:rsidRPr="009B7519">
        <w:t>thorough</w:t>
      </w:r>
      <w:r w:rsidR="0062444B" w:rsidRPr="009B7519">
        <w:t xml:space="preserve"> </w:t>
      </w:r>
      <w:r w:rsidR="00581993" w:rsidRPr="009B7519">
        <w:t>testing</w:t>
      </w:r>
      <w:r w:rsidR="0062444B" w:rsidRPr="009B7519">
        <w:t xml:space="preserve"> of the revised provisions for determining loading Parts and </w:t>
      </w:r>
      <w:r w:rsidR="00473B0A" w:rsidRPr="009B7519">
        <w:t>Components</w:t>
      </w:r>
      <w:r w:rsidR="0062444B" w:rsidRPr="009B7519">
        <w:t xml:space="preserve"> as part of application of </w:t>
      </w:r>
      <w:r w:rsidR="00932DC5" w:rsidRPr="009B7519">
        <w:t>TS</w:t>
      </w:r>
      <w:r w:rsidR="0062444B" w:rsidRPr="009B7519">
        <w:t xml:space="preserve"> 1170.5</w:t>
      </w:r>
      <w:r w:rsidR="00581993" w:rsidRPr="009B7519">
        <w:t xml:space="preserve"> on projects</w:t>
      </w:r>
      <w:r w:rsidR="0062444B" w:rsidRPr="009B7519">
        <w:t>.</w:t>
      </w:r>
    </w:p>
    <w:p w14:paraId="5F58D564" w14:textId="5FCC965C" w:rsidR="00A34563" w:rsidRPr="009B7519" w:rsidRDefault="006144A9"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One of the anticipated benefits of </w:t>
      </w:r>
      <w:r w:rsidR="00CB524A" w:rsidRPr="009B7519">
        <w:t>the</w:t>
      </w:r>
      <w:r w:rsidRPr="009B7519">
        <w:t xml:space="preserve"> </w:t>
      </w:r>
      <w:r w:rsidR="00DD1F04" w:rsidRPr="009B7519">
        <w:t>revis</w:t>
      </w:r>
      <w:r w:rsidR="00CB524A" w:rsidRPr="009B7519">
        <w:t>ed</w:t>
      </w:r>
      <w:r w:rsidR="00D2186C" w:rsidRPr="009B7519">
        <w:t xml:space="preserve"> </w:t>
      </w:r>
      <w:r w:rsidR="001D6A32" w:rsidRPr="009B7519">
        <w:t xml:space="preserve">parts and </w:t>
      </w:r>
      <w:r w:rsidR="00924B35" w:rsidRPr="009B7519">
        <w:t>components</w:t>
      </w:r>
      <w:r w:rsidR="001D6A32" w:rsidRPr="009B7519">
        <w:t xml:space="preserve"> provisions </w:t>
      </w:r>
      <w:r w:rsidR="00575039" w:rsidRPr="009B7519">
        <w:t xml:space="preserve">in </w:t>
      </w:r>
      <w:r w:rsidR="1D7DB9F8" w:rsidRPr="009B7519">
        <w:t>the</w:t>
      </w:r>
      <w:r w:rsidR="10D5FEE6" w:rsidRPr="009B7519">
        <w:t xml:space="preserve"> TS</w:t>
      </w:r>
      <w:r w:rsidR="00575039" w:rsidRPr="009B7519">
        <w:t xml:space="preserve"> </w:t>
      </w:r>
      <w:r w:rsidR="001D6A32" w:rsidRPr="009B7519">
        <w:t xml:space="preserve">was to provide some relief against </w:t>
      </w:r>
      <w:r w:rsidR="00575039" w:rsidRPr="009B7519">
        <w:t>upward trending</w:t>
      </w:r>
      <w:r w:rsidR="001D6A32" w:rsidRPr="009B7519">
        <w:t xml:space="preserve"> changes in ground accelerations.</w:t>
      </w:r>
      <w:r w:rsidR="00CB00C0" w:rsidRPr="009B7519">
        <w:t xml:space="preserve"> </w:t>
      </w:r>
      <w:r w:rsidR="005A1E50" w:rsidRPr="009B7519">
        <w:t>The</w:t>
      </w:r>
      <w:r w:rsidR="00D754E8" w:rsidRPr="009B7519">
        <w:t xml:space="preserve"> newer provisions were not only more soundly founded</w:t>
      </w:r>
      <w:r w:rsidR="00771421" w:rsidRPr="009B7519">
        <w:t xml:space="preserve"> than th</w:t>
      </w:r>
      <w:r w:rsidR="00BF5676" w:rsidRPr="009B7519">
        <w:t>e existing provisions in NZS 1170.5:2004</w:t>
      </w:r>
      <w:r w:rsidR="00666FC1">
        <w:t xml:space="preserve">, </w:t>
      </w:r>
      <w:r w:rsidR="00CD7EAB" w:rsidRPr="009B7519">
        <w:t xml:space="preserve">but </w:t>
      </w:r>
      <w:r w:rsidR="009331C7" w:rsidRPr="009B7519">
        <w:t xml:space="preserve">were </w:t>
      </w:r>
      <w:r w:rsidR="00DD1F04" w:rsidRPr="009B7519">
        <w:t>expected to produce lower amplification</w:t>
      </w:r>
      <w:r w:rsidR="001A27A2" w:rsidRPr="009B7519">
        <w:t>s</w:t>
      </w:r>
      <w:r w:rsidR="00DB67E6" w:rsidRPr="009B7519">
        <w:t xml:space="preserve"> in many </w:t>
      </w:r>
      <w:r w:rsidR="005A1E50" w:rsidRPr="009B7519">
        <w:t xml:space="preserve">general </w:t>
      </w:r>
      <w:r w:rsidR="00DB67E6" w:rsidRPr="009B7519">
        <w:t>cases</w:t>
      </w:r>
      <w:r w:rsidR="001A27A2" w:rsidRPr="009B7519">
        <w:t>.</w:t>
      </w:r>
    </w:p>
    <w:p w14:paraId="201A9A10" w14:textId="542A760D" w:rsidR="002C76B6" w:rsidRPr="009B7519" w:rsidRDefault="00A34563"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Initial</w:t>
      </w:r>
      <w:r w:rsidR="005D06CF" w:rsidRPr="009B7519">
        <w:t xml:space="preserve"> trials of the provisions confirm this to be the case for many aspects</w:t>
      </w:r>
      <w:r w:rsidR="001D6A32" w:rsidRPr="009B7519">
        <w:t xml:space="preserve">, but </w:t>
      </w:r>
      <w:r w:rsidR="005D06CF" w:rsidRPr="009B7519">
        <w:t xml:space="preserve">with some </w:t>
      </w:r>
      <w:r w:rsidR="00DA7FB4" w:rsidRPr="009B7519">
        <w:t xml:space="preserve">potentially </w:t>
      </w:r>
      <w:r w:rsidR="00DA7FB4" w:rsidRPr="00CE35E1">
        <w:t xml:space="preserve">significant </w:t>
      </w:r>
      <w:r w:rsidR="00F80316" w:rsidRPr="00CE35E1">
        <w:t xml:space="preserve">and common </w:t>
      </w:r>
      <w:r w:rsidR="00DA7FB4" w:rsidRPr="00CE35E1">
        <w:t xml:space="preserve">exceptions. </w:t>
      </w:r>
      <w:r w:rsidR="005A1E50" w:rsidRPr="00CE35E1">
        <w:t>One example is</w:t>
      </w:r>
      <w:r w:rsidR="001D6A32" w:rsidRPr="00CE35E1">
        <w:t xml:space="preserve"> suspended</w:t>
      </w:r>
      <w:r w:rsidR="00420688" w:rsidRPr="00CE35E1">
        <w:t>/</w:t>
      </w:r>
      <w:r w:rsidR="009C035E" w:rsidRPr="00CE35E1">
        <w:t xml:space="preserve">mounted </w:t>
      </w:r>
      <w:r w:rsidR="001D6A32" w:rsidRPr="00CE35E1">
        <w:t xml:space="preserve">NSE’s </w:t>
      </w:r>
      <w:r w:rsidR="002344E5" w:rsidRPr="00CE35E1">
        <w:t xml:space="preserve">with low assigned </w:t>
      </w:r>
      <w:r w:rsidR="005A1E50" w:rsidRPr="00CE35E1">
        <w:t xml:space="preserve">part </w:t>
      </w:r>
      <w:r w:rsidR="002344E5" w:rsidRPr="00CE35E1">
        <w:t>ductilit</w:t>
      </w:r>
      <w:r w:rsidR="00B61360">
        <w:t>y</w:t>
      </w:r>
      <w:r w:rsidR="002344E5" w:rsidRPr="00CE35E1">
        <w:t xml:space="preserve"> </w:t>
      </w:r>
      <w:r w:rsidR="001D6A32" w:rsidRPr="00CE35E1">
        <w:t>in lower rise buildings</w:t>
      </w:r>
      <w:r w:rsidR="002870EF" w:rsidRPr="00CE35E1">
        <w:t xml:space="preserve"> (</w:t>
      </w:r>
      <w:r w:rsidR="00C86E47" w:rsidRPr="00CE35E1">
        <w:t>buildings with</w:t>
      </w:r>
      <w:r w:rsidR="002870EF" w:rsidRPr="00CE35E1">
        <w:t xml:space="preserve"> shorter periods)</w:t>
      </w:r>
      <w:r w:rsidR="008141B8" w:rsidRPr="00CE35E1">
        <w:t xml:space="preserve">. </w:t>
      </w:r>
      <w:r w:rsidR="00AF0EF6" w:rsidRPr="00CE35E1">
        <w:t xml:space="preserve">In these </w:t>
      </w:r>
      <w:r w:rsidR="006A0634" w:rsidRPr="00CE35E1">
        <w:t>situations,</w:t>
      </w:r>
      <w:r w:rsidR="00AF0EF6" w:rsidRPr="00CE35E1">
        <w:t xml:space="preserve"> higher amplifications </w:t>
      </w:r>
      <w:r w:rsidR="006A0634" w:rsidRPr="00CE35E1">
        <w:t>can be</w:t>
      </w:r>
      <w:r w:rsidR="00AF0EF6" w:rsidRPr="00CE35E1">
        <w:t xml:space="preserve"> calculated</w:t>
      </w:r>
      <w:r w:rsidR="00406A47" w:rsidRPr="00CE35E1">
        <w:t xml:space="preserve"> unless higher</w:t>
      </w:r>
      <w:r w:rsidR="00160AE7" w:rsidRPr="00CE35E1">
        <w:t xml:space="preserve"> part ductilit</w:t>
      </w:r>
      <w:r w:rsidR="00B61360">
        <w:t>y</w:t>
      </w:r>
      <w:r w:rsidR="00160AE7" w:rsidRPr="00CE35E1">
        <w:t xml:space="preserve"> </w:t>
      </w:r>
      <w:r w:rsidR="00B61360">
        <w:t>was</w:t>
      </w:r>
      <w:r w:rsidR="00160AE7" w:rsidRPr="00CE35E1">
        <w:t xml:space="preserve"> deemed appropriate</w:t>
      </w:r>
      <w:r w:rsidR="006A0634" w:rsidRPr="00CE35E1">
        <w:t>.</w:t>
      </w:r>
      <w:r w:rsidR="00DF30F4" w:rsidRPr="00CE35E1">
        <w:t xml:space="preserve"> The manifest</w:t>
      </w:r>
      <w:r w:rsidR="005772EA" w:rsidRPr="00CE35E1">
        <w:t>ation of ductility and damping</w:t>
      </w:r>
      <w:r w:rsidR="006F04C3" w:rsidRPr="00CE35E1">
        <w:t xml:space="preserve"> in</w:t>
      </w:r>
      <w:r w:rsidR="00F14A9D" w:rsidRPr="00CE35E1">
        <w:t xml:space="preserve"> non-structural</w:t>
      </w:r>
      <w:r w:rsidR="00F14A9D" w:rsidRPr="009B7519">
        <w:t xml:space="preserve"> installations (and the extent to which that ductility </w:t>
      </w:r>
      <w:r w:rsidR="004B3667" w:rsidRPr="009B7519">
        <w:t>or damping</w:t>
      </w:r>
      <w:r w:rsidR="00F14A9D" w:rsidRPr="009B7519">
        <w:t xml:space="preserve"> represents damage or loss in function)</w:t>
      </w:r>
      <w:r w:rsidR="004578E8" w:rsidRPr="009B7519">
        <w:t xml:space="preserve"> </w:t>
      </w:r>
      <w:r w:rsidR="005F5BBA" w:rsidRPr="009B7519">
        <w:t>can be</w:t>
      </w:r>
      <w:r w:rsidR="004578E8" w:rsidRPr="009B7519">
        <w:t xml:space="preserve"> challenging to </w:t>
      </w:r>
      <w:r w:rsidR="00191845" w:rsidRPr="009B7519">
        <w:t>quantify</w:t>
      </w:r>
      <w:r w:rsidR="005F5BBA" w:rsidRPr="009B7519">
        <w:t xml:space="preserve"> and is an area of continuing research</w:t>
      </w:r>
      <w:r w:rsidR="00191845" w:rsidRPr="009B7519">
        <w:t>.</w:t>
      </w:r>
      <w:r w:rsidR="00985E07" w:rsidRPr="009B7519">
        <w:t xml:space="preserve"> The extent to which nominal amounts of ductility </w:t>
      </w:r>
      <w:r w:rsidR="00762C59" w:rsidRPr="009B7519">
        <w:t xml:space="preserve">or period shift </w:t>
      </w:r>
      <w:r w:rsidR="00985E07" w:rsidRPr="009B7519">
        <w:t xml:space="preserve">may </w:t>
      </w:r>
      <w:r w:rsidR="00670212" w:rsidRPr="009B7519">
        <w:t>reduce the magnitude</w:t>
      </w:r>
      <w:r w:rsidR="00985E07" w:rsidRPr="009B7519">
        <w:t xml:space="preserve"> of resonance assumed</w:t>
      </w:r>
      <w:r w:rsidR="00762C59" w:rsidRPr="009B7519">
        <w:t xml:space="preserve"> in other parameters of the equation is another area of interest.</w:t>
      </w:r>
    </w:p>
    <w:p w14:paraId="0F0D7039" w14:textId="46FCFEC3" w:rsidR="00321EAE" w:rsidRPr="009B7519" w:rsidRDefault="00321EAE"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This is one of the key reasons for encouraging </w:t>
      </w:r>
      <w:r w:rsidR="00144BFC" w:rsidRPr="009B7519">
        <w:t>the</w:t>
      </w:r>
      <w:r w:rsidRPr="009B7519">
        <w:t xml:space="preserve"> road test</w:t>
      </w:r>
      <w:r w:rsidR="00144BFC" w:rsidRPr="009B7519">
        <w:t>ing</w:t>
      </w:r>
      <w:r w:rsidRPr="009B7519">
        <w:t xml:space="preserve"> </w:t>
      </w:r>
      <w:r w:rsidR="00144BFC" w:rsidRPr="009B7519">
        <w:t xml:space="preserve">within </w:t>
      </w:r>
      <w:r w:rsidR="00B42C24" w:rsidRPr="009B7519">
        <w:t xml:space="preserve">project </w:t>
      </w:r>
      <w:r w:rsidR="00B339A5" w:rsidRPr="009B7519">
        <w:t xml:space="preserve">delivery </w:t>
      </w:r>
      <w:r w:rsidR="00B42C24" w:rsidRPr="009B7519">
        <w:t>environments for</w:t>
      </w:r>
      <w:r w:rsidRPr="009B7519">
        <w:t xml:space="preserve"> upcoming major hospital projects</w:t>
      </w:r>
      <w:r w:rsidR="001B610B" w:rsidRPr="009B7519">
        <w:t xml:space="preserve">. </w:t>
      </w:r>
      <w:r w:rsidR="0059401E" w:rsidRPr="009B7519">
        <w:t>Applying a</w:t>
      </w:r>
      <w:r w:rsidR="00D4175A" w:rsidRPr="009B7519">
        <w:t>ppropriate</w:t>
      </w:r>
      <w:r w:rsidR="000466D0" w:rsidRPr="009B7519">
        <w:t xml:space="preserve"> professional skill and outreach</w:t>
      </w:r>
      <w:r w:rsidR="000B593D" w:rsidRPr="009B7519">
        <w:t xml:space="preserve"> is key to achieving </w:t>
      </w:r>
      <w:r w:rsidR="00F218F5" w:rsidRPr="009B7519">
        <w:t xml:space="preserve">resilient </w:t>
      </w:r>
      <w:r w:rsidR="00D4718C" w:rsidRPr="009B7519">
        <w:t>outcomes</w:t>
      </w:r>
      <w:r w:rsidR="00F218F5" w:rsidRPr="009B7519">
        <w:t xml:space="preserve"> </w:t>
      </w:r>
      <w:r w:rsidR="004C01B6" w:rsidRPr="009B7519">
        <w:t>appropriately</w:t>
      </w:r>
      <w:r w:rsidR="009F2CC2" w:rsidRPr="009B7519">
        <w:t xml:space="preserve"> balance</w:t>
      </w:r>
      <w:r w:rsidR="004C01B6" w:rsidRPr="009B7519">
        <w:t>d with cost and buildability.</w:t>
      </w:r>
    </w:p>
    <w:p w14:paraId="75A647C6" w14:textId="77777777" w:rsidR="00782E10" w:rsidRPr="009B7519" w:rsidRDefault="00267B4F"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Initial investigations have highlighted the following areas as </w:t>
      </w:r>
      <w:r w:rsidR="00782E10" w:rsidRPr="009B7519">
        <w:t>most critical for road testing:</w:t>
      </w:r>
    </w:p>
    <w:p w14:paraId="2E35850C" w14:textId="46B13F02" w:rsidR="00BA3BC2" w:rsidRPr="009B7519" w:rsidRDefault="00936656" w:rsidP="00990096">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lastRenderedPageBreak/>
        <w:t xml:space="preserve">The draft </w:t>
      </w:r>
      <w:r w:rsidR="0098409E" w:rsidRPr="009B7519">
        <w:t xml:space="preserve">DZ </w:t>
      </w:r>
      <w:r w:rsidRPr="009B7519">
        <w:t>TS 1170.5:</w:t>
      </w:r>
      <w:r w:rsidR="0098409E" w:rsidRPr="009B7519">
        <w:t>2024</w:t>
      </w:r>
      <w:r w:rsidRPr="009B7519">
        <w:t xml:space="preserve"> </w:t>
      </w:r>
      <w:r w:rsidR="00410838" w:rsidRPr="009B7519">
        <w:t>specifies</w:t>
      </w:r>
      <w:r w:rsidR="00267B4F" w:rsidRPr="009B7519">
        <w:t xml:space="preserve"> </w:t>
      </w:r>
      <w:r w:rsidRPr="009B7519">
        <w:t xml:space="preserve">(effective) ductility values in table C8.3 </w:t>
      </w:r>
      <w:r w:rsidR="00410838" w:rsidRPr="009B7519">
        <w:t>of µ</w:t>
      </w:r>
      <w:r w:rsidR="00410838" w:rsidRPr="009B7519">
        <w:rPr>
          <w:vertAlign w:val="subscript"/>
        </w:rPr>
        <w:t>p</w:t>
      </w:r>
      <w:r w:rsidR="00410838" w:rsidRPr="009B7519">
        <w:t>=1.0 for SLS2</w:t>
      </w:r>
      <w:r w:rsidR="00A10B64" w:rsidRPr="009B7519">
        <w:t>, a</w:t>
      </w:r>
      <w:r w:rsidR="00825CD0" w:rsidRPr="009B7519">
        <w:t>nd</w:t>
      </w:r>
      <w:r w:rsidR="00A10B64" w:rsidRPr="009B7519">
        <w:t xml:space="preserve"> within section </w:t>
      </w:r>
      <w:r w:rsidR="004B0474" w:rsidRPr="009B7519">
        <w:t xml:space="preserve">8.6 </w:t>
      </w:r>
      <w:r w:rsidR="00825CD0" w:rsidRPr="009B7519">
        <w:t>specifies</w:t>
      </w:r>
      <w:r w:rsidR="00A10B64" w:rsidRPr="009B7519">
        <w:t xml:space="preserve"> µ</w:t>
      </w:r>
      <w:r w:rsidR="00A10B64" w:rsidRPr="009B7519">
        <w:rPr>
          <w:vertAlign w:val="subscript"/>
        </w:rPr>
        <w:t>p</w:t>
      </w:r>
      <w:r w:rsidR="00A10B64" w:rsidRPr="009B7519">
        <w:t>=1.</w:t>
      </w:r>
      <w:r w:rsidR="004B0474" w:rsidRPr="009B7519">
        <w:t>25</w:t>
      </w:r>
      <w:r w:rsidR="00A10B64" w:rsidRPr="009B7519">
        <w:t xml:space="preserve"> for SLS2</w:t>
      </w:r>
      <w:r w:rsidR="004B0474" w:rsidRPr="009B7519">
        <w:t xml:space="preserve">. </w:t>
      </w:r>
      <w:r w:rsidR="00825CD0" w:rsidRPr="009B7519">
        <w:t>As t</w:t>
      </w:r>
      <w:r w:rsidR="004B0474" w:rsidRPr="009B7519">
        <w:t xml:space="preserve">hese are understood to be rather onerous, it is considered desirable to test the impacts of </w:t>
      </w:r>
      <w:r w:rsidR="00E843AF" w:rsidRPr="009B7519">
        <w:t>higher (effective) ductility (perhaps µ</w:t>
      </w:r>
      <w:r w:rsidR="00E843AF" w:rsidRPr="009B7519">
        <w:rPr>
          <w:vertAlign w:val="subscript"/>
        </w:rPr>
        <w:t>p</w:t>
      </w:r>
      <w:r w:rsidR="00E843AF" w:rsidRPr="009B7519">
        <w:t>=2.0 for SLS2) for robust, lower risk parts.</w:t>
      </w:r>
    </w:p>
    <w:p w14:paraId="15B1E5C0" w14:textId="3FA55813" w:rsidR="004B4486" w:rsidRPr="009B7519" w:rsidRDefault="004B4486" w:rsidP="00990096">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The part-reserve capacity factor Ωp </w:t>
      </w:r>
      <w:r w:rsidR="00EA4045" w:rsidRPr="009B7519">
        <w:t xml:space="preserve">is intended to provide some relief to lower risk parts. However as written in </w:t>
      </w:r>
      <w:r w:rsidR="00333EF3" w:rsidRPr="009B7519">
        <w:t xml:space="preserve">the </w:t>
      </w:r>
      <w:r w:rsidRPr="009B7519">
        <w:t>draft</w:t>
      </w:r>
      <w:r w:rsidR="00333EF3" w:rsidRPr="009B7519">
        <w:t xml:space="preserve"> of</w:t>
      </w:r>
      <w:r w:rsidRPr="009B7519">
        <w:t xml:space="preserve"> </w:t>
      </w:r>
      <w:r w:rsidR="008774A9" w:rsidRPr="009B7519">
        <w:t xml:space="preserve">DZ </w:t>
      </w:r>
      <w:r w:rsidRPr="009B7519">
        <w:t>TS 1170.5:</w:t>
      </w:r>
      <w:r w:rsidR="008774A9" w:rsidRPr="009B7519">
        <w:t>2024</w:t>
      </w:r>
      <w:r w:rsidR="00EA4045" w:rsidRPr="009B7519">
        <w:t xml:space="preserve"> this relief does not apply to </w:t>
      </w:r>
      <w:r w:rsidR="00B53FF7" w:rsidRPr="009B7519">
        <w:t>SLS2. It is considered desirable to understand the benefits of exten</w:t>
      </w:r>
      <w:r w:rsidR="005F7CB1" w:rsidRPr="009B7519">
        <w:t>ding Ωp to capture the real reserve capacity of lower risk parts (some of which might be expected to have Ωp &gt; 2.0)</w:t>
      </w:r>
    </w:p>
    <w:p w14:paraId="67A9FAB2" w14:textId="00BE6583" w:rsidR="00375045" w:rsidRPr="009B7519" w:rsidRDefault="00375045" w:rsidP="00990096">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Section 8.8 prescribes the use of µ</w:t>
      </w:r>
      <w:r w:rsidRPr="009B7519">
        <w:rPr>
          <w:vertAlign w:val="subscript"/>
        </w:rPr>
        <w:t>p</w:t>
      </w:r>
      <w:r w:rsidRPr="009B7519">
        <w:t>=1.0</w:t>
      </w:r>
      <w:r w:rsidR="00A43953">
        <w:t xml:space="preserve">. </w:t>
      </w:r>
      <w:r w:rsidR="00E43D0E" w:rsidRPr="009B7519">
        <w:t xml:space="preserve">it is considered desirable to explore the implications of using </w:t>
      </w:r>
      <w:r w:rsidRPr="009B7519">
        <w:t xml:space="preserve">part </w:t>
      </w:r>
      <w:r w:rsidRPr="009B7519">
        <w:rPr>
          <w:iCs/>
        </w:rPr>
        <w:t xml:space="preserve">system </w:t>
      </w:r>
      <w:r w:rsidRPr="009B7519">
        <w:t>ductility</w:t>
      </w:r>
      <w:r w:rsidR="00200A26" w:rsidRPr="009B7519">
        <w:t xml:space="preserve"> </w:t>
      </w:r>
      <w:r w:rsidR="00E43D0E" w:rsidRPr="009B7519">
        <w:t>(rather than µ</w:t>
      </w:r>
      <w:r w:rsidR="00E43D0E" w:rsidRPr="009B7519">
        <w:rPr>
          <w:vertAlign w:val="subscript"/>
        </w:rPr>
        <w:t>p</w:t>
      </w:r>
      <w:r w:rsidR="00E43D0E" w:rsidRPr="009B7519">
        <w:t>=1.0) for low</w:t>
      </w:r>
      <w:r w:rsidR="005F12B4" w:rsidRPr="009B7519">
        <w:t>er</w:t>
      </w:r>
      <w:r w:rsidR="00E43D0E" w:rsidRPr="009B7519">
        <w:t xml:space="preserve"> risk parts</w:t>
      </w:r>
      <w:r w:rsidR="00A43953">
        <w:t xml:space="preserve">. </w:t>
      </w:r>
    </w:p>
    <w:p w14:paraId="1793D8D4" w14:textId="77777777" w:rsidR="00506A0F" w:rsidRPr="009B7519" w:rsidRDefault="00506A0F" w:rsidP="00990096">
      <w:pPr>
        <w:pStyle w:val="Section3heading3"/>
      </w:pPr>
      <w:r w:rsidRPr="009B7519">
        <w:t>Structural Performance Factor</w:t>
      </w:r>
    </w:p>
    <w:p w14:paraId="1DF20BD8" w14:textId="77777777" w:rsidR="00506A0F" w:rsidRPr="009B7519" w:rsidRDefault="00506A0F" w:rsidP="00666E06">
      <w:r w:rsidRPr="009B7519">
        <w:t>The structural performance factor, Sp, should be as determined by Verification Method B1/VM1 (NZS 1170.5 and the material design standards).</w:t>
      </w:r>
    </w:p>
    <w:p w14:paraId="2275ADA8" w14:textId="69BD143D" w:rsidR="00506A0F" w:rsidRPr="009B7519" w:rsidRDefault="00506A0F" w:rsidP="00666E06">
      <w:r w:rsidRPr="009B7519">
        <w:t>For the Damage Control Limit State (DCLS), a value of Sp = 0.7 should be used (similar to the Serviceability Limit States as stipulated by NZS 1170.5).</w:t>
      </w:r>
    </w:p>
    <w:p w14:paraId="319C4523" w14:textId="624B3292" w:rsidR="00837775" w:rsidRPr="009B7519" w:rsidRDefault="00837775" w:rsidP="00990096">
      <w:pPr>
        <w:pStyle w:val="Section3heading3"/>
      </w:pPr>
      <w:bookmarkStart w:id="303" w:name="_Ref157173728"/>
      <w:r w:rsidRPr="009B7519">
        <w:t>Site Classification</w:t>
      </w:r>
      <w:r w:rsidR="00045809" w:rsidRPr="009B7519">
        <w:t xml:space="preserve"> for </w:t>
      </w:r>
      <w:r w:rsidR="00A54620" w:rsidRPr="009B7519">
        <w:t>Seismic Loading</w:t>
      </w:r>
      <w:bookmarkEnd w:id="303"/>
    </w:p>
    <w:p w14:paraId="3DC612AA" w14:textId="7D3A840A" w:rsidR="00DB2D02" w:rsidRPr="0070006C" w:rsidRDefault="00DB2D02"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This section applies to </w:t>
      </w:r>
      <w:r w:rsidR="004B5268" w:rsidRPr="009B7519">
        <w:t xml:space="preserve">the proposed new </w:t>
      </w:r>
      <w:r w:rsidRPr="009B7519">
        <w:t xml:space="preserve">site classification </w:t>
      </w:r>
      <w:r w:rsidR="004B5268" w:rsidRPr="009B7519">
        <w:t>system</w:t>
      </w:r>
      <w:r w:rsidRPr="009B7519">
        <w:t xml:space="preserve"> </w:t>
      </w:r>
      <w:r w:rsidR="004B5268" w:rsidRPr="009B7519">
        <w:t xml:space="preserve">in </w:t>
      </w:r>
      <w:r w:rsidRPr="009B7519">
        <w:t>TS</w:t>
      </w:r>
      <w:r w:rsidR="004B5268" w:rsidRPr="009B7519">
        <w:t xml:space="preserve"> </w:t>
      </w:r>
      <w:r w:rsidRPr="009B7519">
        <w:t>1170.5</w:t>
      </w:r>
      <w:r w:rsidR="00115927" w:rsidRPr="009B7519">
        <w:t xml:space="preserve">. Refer to Section </w:t>
      </w:r>
      <w:r w:rsidR="00115927" w:rsidRPr="0070006C">
        <w:fldChar w:fldCharType="begin"/>
      </w:r>
      <w:r w:rsidR="00115927" w:rsidRPr="0070006C">
        <w:instrText xml:space="preserve"> REF _Ref149568362 \r \h </w:instrText>
      </w:r>
      <w:r w:rsidR="009B7519" w:rsidRPr="0070006C">
        <w:instrText xml:space="preserve"> \* MERGEFORMAT </w:instrText>
      </w:r>
      <w:r w:rsidR="00115927" w:rsidRPr="0070006C">
        <w:fldChar w:fldCharType="separate"/>
      </w:r>
      <w:r w:rsidR="000761C1">
        <w:t>C1.3.1</w:t>
      </w:r>
      <w:r w:rsidR="00115927" w:rsidRPr="0070006C">
        <w:fldChar w:fldCharType="end"/>
      </w:r>
      <w:r w:rsidR="00115927" w:rsidRPr="0070006C">
        <w:t xml:space="preserve"> (</w:t>
      </w:r>
      <w:r w:rsidR="00115927" w:rsidRPr="0070006C">
        <w:fldChar w:fldCharType="begin"/>
      </w:r>
      <w:r w:rsidR="00115927" w:rsidRPr="0070006C">
        <w:instrText xml:space="preserve"> REF _Ref149568362 \h </w:instrText>
      </w:r>
      <w:r w:rsidR="009B7519" w:rsidRPr="0070006C">
        <w:instrText xml:space="preserve"> \* MERGEFORMAT </w:instrText>
      </w:r>
      <w:r w:rsidR="00115927" w:rsidRPr="0070006C">
        <w:fldChar w:fldCharType="separate"/>
      </w:r>
      <w:r w:rsidR="000761C1" w:rsidRPr="006E45AC">
        <w:t>Interim Requirements on the Application of TS 1170.5 for Seismic Design</w:t>
      </w:r>
      <w:r w:rsidR="00115927" w:rsidRPr="0070006C">
        <w:fldChar w:fldCharType="end"/>
      </w:r>
      <w:r w:rsidR="00115927" w:rsidRPr="0070006C">
        <w:t>)</w:t>
      </w:r>
    </w:p>
    <w:p w14:paraId="6B7C1974" w14:textId="5AD1BF1A" w:rsidR="2A1AB7CB" w:rsidRPr="009B7519" w:rsidRDefault="2A1AB7CB" w:rsidP="00666E06">
      <w:r w:rsidRPr="009B7519">
        <w:t>The probabilistic seismic hazard analysis (PSHA) that underpins the 2022 update of the National Seismic Hazard Model (</w:t>
      </w:r>
      <w:r w:rsidR="007E4D33" w:rsidRPr="009B7519">
        <w:t>NSHM 2022</w:t>
      </w:r>
      <w:r w:rsidRPr="009B7519">
        <w:t>) uses V</w:t>
      </w:r>
      <w:r w:rsidRPr="009B7519">
        <w:rPr>
          <w:vertAlign w:val="subscript"/>
        </w:rPr>
        <w:t>s(30)</w:t>
      </w:r>
      <w:r w:rsidRPr="009B7519">
        <w:t>, which is a measure for the time-averaged shear wave velocity to a depth of 30 m, as the sole parameter for incorporating the effects of site conditions on ground-motion characteristics</w:t>
      </w:r>
      <w:r w:rsidR="00A43953">
        <w:t xml:space="preserve">. </w:t>
      </w:r>
      <w:r w:rsidRPr="009B7519">
        <w:t xml:space="preserve">The use of </w:t>
      </w:r>
      <w:r w:rsidR="0ADC8DC9" w:rsidRPr="009B7519">
        <w:t>V</w:t>
      </w:r>
      <w:r w:rsidR="0ADC8DC9" w:rsidRPr="009B7519">
        <w:rPr>
          <w:vertAlign w:val="subscript"/>
        </w:rPr>
        <w:t>s(30)</w:t>
      </w:r>
      <w:r w:rsidRPr="009B7519">
        <w:t xml:space="preserve"> is common in international seismic loading standards, however, it is not currently used for site classification done in accordance with </w:t>
      </w:r>
      <w:r w:rsidR="009F5A42" w:rsidRPr="009B7519">
        <w:t>NZS 1170.5:2004</w:t>
      </w:r>
      <w:r w:rsidR="00A43953">
        <w:t xml:space="preserve">. </w:t>
      </w:r>
      <w:r w:rsidRPr="009B7519">
        <w:t xml:space="preserve">Importantly, there is no correlation between the </w:t>
      </w:r>
      <w:r w:rsidR="009F5A42" w:rsidRPr="009B7519">
        <w:t>NZS 1170.5:2004</w:t>
      </w:r>
      <w:r w:rsidRPr="009B7519">
        <w:t xml:space="preserve"> site classes and </w:t>
      </w:r>
      <w:r w:rsidR="447D8295" w:rsidRPr="009B7519">
        <w:t>V</w:t>
      </w:r>
      <w:r w:rsidR="447D8295" w:rsidRPr="009B7519">
        <w:rPr>
          <w:vertAlign w:val="subscript"/>
        </w:rPr>
        <w:t>s(30)</w:t>
      </w:r>
      <w:r w:rsidRPr="009B7519">
        <w:t xml:space="preserve">; hence it is necessary to specifically determine the </w:t>
      </w:r>
      <w:r w:rsidR="63EEB415" w:rsidRPr="009B7519">
        <w:t>V</w:t>
      </w:r>
      <w:r w:rsidR="63EEB415" w:rsidRPr="009B7519">
        <w:rPr>
          <w:vertAlign w:val="subscript"/>
        </w:rPr>
        <w:t>s(30)</w:t>
      </w:r>
      <w:r w:rsidRPr="009B7519">
        <w:t xml:space="preserve"> for a site if deriving elastic site spectra for horizontal seismic loading in accordance with TS 1170.5</w:t>
      </w:r>
      <w:r w:rsidR="00A43953">
        <w:t xml:space="preserve">. </w:t>
      </w:r>
      <w:r w:rsidRPr="009B7519">
        <w:t xml:space="preserve"> </w:t>
      </w:r>
    </w:p>
    <w:p w14:paraId="2A0FEDAE" w14:textId="43899CE2" w:rsidR="00E177AA" w:rsidRPr="009B7519" w:rsidRDefault="2A1AB7CB" w:rsidP="00666E06">
      <w:r w:rsidRPr="009B7519">
        <w:t xml:space="preserve">TS 1170.5 contains seven site classes (I through VII) that are based on </w:t>
      </w:r>
      <w:r w:rsidR="4C5771B5" w:rsidRPr="009B7519">
        <w:rPr>
          <w:rFonts w:eastAsiaTheme="minorEastAsia"/>
        </w:rPr>
        <w:t>V</w:t>
      </w:r>
      <w:r w:rsidR="4C5771B5" w:rsidRPr="009B7519">
        <w:rPr>
          <w:rFonts w:eastAsiaTheme="minorEastAsia"/>
          <w:vertAlign w:val="subscript"/>
        </w:rPr>
        <w:t>s(30)</w:t>
      </w:r>
      <w:r w:rsidRPr="009B7519">
        <w:t xml:space="preserve">, as well as additional geotechnical requirements and considerations. The additional criteria include limits on the depth of soil cover (in the case of a rock site), and limits on the cumulative thickness of very soft / loose soils based on routinely obtained geotechnical parameters (e.g., undrained shear strength, penetration resistance). The purpose of the additional criteria is to help address situations in which </w:t>
      </w:r>
      <w:r w:rsidR="720773D6" w:rsidRPr="009B7519">
        <w:rPr>
          <w:rFonts w:eastAsiaTheme="minorEastAsia"/>
        </w:rPr>
        <w:t>V</w:t>
      </w:r>
      <w:r w:rsidR="720773D6" w:rsidRPr="009B7519">
        <w:rPr>
          <w:rFonts w:eastAsiaTheme="minorEastAsia"/>
          <w:vertAlign w:val="subscript"/>
        </w:rPr>
        <w:t>s(30)</w:t>
      </w:r>
      <w:r w:rsidRPr="009B7519">
        <w:t xml:space="preserve"> alone is not sufficient to capture site </w:t>
      </w:r>
      <w:r w:rsidRPr="009B7519">
        <w:lastRenderedPageBreak/>
        <w:t>characteristics influencing site classification, and to facilitate engineering evaluation and provide some practical insights for site classification.</w:t>
      </w:r>
    </w:p>
    <w:p w14:paraId="5C406265" w14:textId="11546D16" w:rsidR="2A1AB7CB" w:rsidRPr="009B7519" w:rsidRDefault="2A1AB7CB" w:rsidP="00666E06">
      <w:r w:rsidRPr="009B7519">
        <w:t xml:space="preserve">It is also important to note that for very soft / very loose soils with a </w:t>
      </w:r>
      <w:r w:rsidR="3BF2F1A9" w:rsidRPr="009B7519">
        <w:rPr>
          <w:rFonts w:eastAsiaTheme="minorEastAsia"/>
        </w:rPr>
        <w:t>V</w:t>
      </w:r>
      <w:r w:rsidR="3BF2F1A9" w:rsidRPr="009B7519">
        <w:rPr>
          <w:rFonts w:eastAsiaTheme="minorEastAsia"/>
          <w:vertAlign w:val="subscript"/>
        </w:rPr>
        <w:t>s(30)</w:t>
      </w:r>
      <w:r w:rsidRPr="009B7519">
        <w:t xml:space="preserve"> ≤ 150 m/s (Site Class VII), TS</w:t>
      </w:r>
      <w:r w:rsidR="00343358" w:rsidRPr="009B7519">
        <w:t xml:space="preserve"> </w:t>
      </w:r>
      <w:r w:rsidRPr="009B7519">
        <w:t xml:space="preserve">1170.5 requires that site-specific dynamic site response analyses be undertaken. It is emphasised that the </w:t>
      </w:r>
      <w:r w:rsidR="37ABFE08" w:rsidRPr="009B7519">
        <w:rPr>
          <w:rFonts w:eastAsiaTheme="minorEastAsia"/>
        </w:rPr>
        <w:t>V</w:t>
      </w:r>
      <w:r w:rsidR="37ABFE08" w:rsidRPr="009B7519">
        <w:rPr>
          <w:rFonts w:eastAsiaTheme="minorEastAsia"/>
          <w:vertAlign w:val="subscript"/>
        </w:rPr>
        <w:t>s(30)</w:t>
      </w:r>
      <w:r w:rsidR="37ABFE08" w:rsidRPr="009B7519">
        <w:rPr>
          <w:rFonts w:eastAsiaTheme="minorEastAsia"/>
        </w:rPr>
        <w:t>,</w:t>
      </w:r>
      <w:r w:rsidRPr="009B7519">
        <w:t xml:space="preserve">-based site classification is solely for the purpose of determination of the elastic site spectra. Otherwise, </w:t>
      </w:r>
      <w:r w:rsidR="4063EDEC" w:rsidRPr="009B7519">
        <w:rPr>
          <w:rFonts w:eastAsiaTheme="minorEastAsia"/>
        </w:rPr>
        <w:t>V</w:t>
      </w:r>
      <w:r w:rsidR="4063EDEC" w:rsidRPr="009B7519">
        <w:rPr>
          <w:rFonts w:eastAsiaTheme="minorEastAsia"/>
          <w:vertAlign w:val="subscript"/>
        </w:rPr>
        <w:t>s(30)</w:t>
      </w:r>
      <w:r w:rsidRPr="009B7519">
        <w:t xml:space="preserve"> is not an appropriate parameter for site characterization of liquefiable soils or soft soils with high potential for deformation or loss of strength.</w:t>
      </w:r>
    </w:p>
    <w:p w14:paraId="3F573EDE" w14:textId="1AB128B9" w:rsidR="6BA6687F" w:rsidRPr="009B7519" w:rsidRDefault="6BA6687F" w:rsidP="00666E06">
      <w:r w:rsidRPr="009B7519">
        <w:t>There are a variety of direct and indirect measurement methods available to obtain a V</w:t>
      </w:r>
      <w:r w:rsidRPr="009B7519">
        <w:rPr>
          <w:vertAlign w:val="subscript"/>
        </w:rPr>
        <w:t>s</w:t>
      </w:r>
      <w:r w:rsidRPr="009B7519">
        <w:t xml:space="preserve"> profile</w:t>
      </w:r>
      <w:r w:rsidR="00A43953">
        <w:t xml:space="preserve">. </w:t>
      </w:r>
    </w:p>
    <w:p w14:paraId="6474A744" w14:textId="3A672995" w:rsidR="306E0D41" w:rsidRPr="009B7519" w:rsidRDefault="007D5C79" w:rsidP="00666E06">
      <w:pPr>
        <w:pStyle w:val="Requirement"/>
      </w:pPr>
      <w:r w:rsidRPr="00B219C9">
        <w:rPr>
          <w:b/>
          <w:bCs/>
          <w:color w:val="0C818F" w:themeColor="accent3"/>
        </w:rPr>
        <w:t xml:space="preserve">Health NZ </w:t>
      </w:r>
      <w:r w:rsidR="306E0D41" w:rsidRPr="00B219C9">
        <w:rPr>
          <w:b/>
          <w:bCs/>
          <w:color w:val="0C818F" w:themeColor="accent3"/>
        </w:rPr>
        <w:t>Requirement:</w:t>
      </w:r>
      <w:r w:rsidR="306E0D41" w:rsidRPr="009B7519">
        <w:t xml:space="preserve"> </w:t>
      </w:r>
      <w:r w:rsidR="5DD468F9" w:rsidRPr="009B7519">
        <w:t>The direct measurement of V</w:t>
      </w:r>
      <w:r w:rsidR="5DD468F9" w:rsidRPr="009B7519">
        <w:rPr>
          <w:vertAlign w:val="subscript"/>
        </w:rPr>
        <w:t>s</w:t>
      </w:r>
      <w:r w:rsidR="5DD468F9" w:rsidRPr="009B7519">
        <w:t>, and any site investigation methods used to indirectly measure V</w:t>
      </w:r>
      <w:r w:rsidR="5DD468F9" w:rsidRPr="009B7519">
        <w:rPr>
          <w:vertAlign w:val="subscript"/>
        </w:rPr>
        <w:t>s</w:t>
      </w:r>
      <w:r w:rsidR="5DD468F9" w:rsidRPr="009B7519">
        <w:t xml:space="preserve"> as well as investigation methods for geotechnical assessment in general should be performed in accordance with MBIE/NZGS Module 2</w:t>
      </w:r>
      <w:r w:rsidR="006D0891" w:rsidRPr="009B7519">
        <w:t xml:space="preserve">: </w:t>
      </w:r>
      <w:r w:rsidR="5DD468F9" w:rsidRPr="009B7519">
        <w:rPr>
          <w:i/>
          <w:iCs/>
        </w:rPr>
        <w:t>Geotechnical Investigations for Earthquake Engineering</w:t>
      </w:r>
      <w:r w:rsidR="5DD468F9" w:rsidRPr="009B7519">
        <w:t xml:space="preserve"> (</w:t>
      </w:r>
      <w:r w:rsidR="00E72400" w:rsidRPr="009B7519">
        <w:rPr>
          <w:rFonts w:eastAsiaTheme="minorEastAsia"/>
        </w:rPr>
        <w:t>latest version</w:t>
      </w:r>
      <w:r w:rsidR="5DD468F9" w:rsidRPr="009B7519">
        <w:t>).</w:t>
      </w:r>
    </w:p>
    <w:p w14:paraId="3484CDDB" w14:textId="11D79FBB" w:rsidR="306E0D41" w:rsidRPr="009B7519" w:rsidRDefault="306E0D41" w:rsidP="00666E06">
      <w:r w:rsidRPr="009B7519">
        <w:rPr>
          <w:lang w:val="en-GB"/>
        </w:rPr>
        <w:t>Prior to any site investigations being undertaken, it is important that the project structural and geotechnical engineer have a good understanding of the potential sensitivity of the structural design to site class</w:t>
      </w:r>
      <w:r w:rsidR="00A43953">
        <w:rPr>
          <w:lang w:val="en-GB"/>
        </w:rPr>
        <w:t xml:space="preserve">. </w:t>
      </w:r>
      <w:r w:rsidRPr="009B7519">
        <w:rPr>
          <w:lang w:val="en-GB"/>
        </w:rPr>
        <w:t xml:space="preserve">This will help inform the level of effort required to obtain a site </w:t>
      </w:r>
      <w:r w:rsidRPr="009B7519">
        <w:t>V</w:t>
      </w:r>
      <w:r w:rsidRPr="009B7519">
        <w:rPr>
          <w:vertAlign w:val="subscript"/>
        </w:rPr>
        <w:t>s(30)</w:t>
      </w:r>
      <w:r w:rsidRPr="009B7519">
        <w:t xml:space="preserve"> – including whether it is important to reduce the measurement uncertainty, or if a default site class can be used.</w:t>
      </w:r>
    </w:p>
    <w:p w14:paraId="4373B7F0" w14:textId="6DAF543C" w:rsidR="306E0D41" w:rsidRPr="009B7519" w:rsidRDefault="007D5C79" w:rsidP="00666E06">
      <w:pPr>
        <w:pStyle w:val="Requirement"/>
      </w:pPr>
      <w:r w:rsidRPr="00B219C9">
        <w:rPr>
          <w:b/>
          <w:bCs/>
          <w:color w:val="0C818F" w:themeColor="accent3"/>
        </w:rPr>
        <w:t>Health NZ</w:t>
      </w:r>
      <w:r w:rsidR="009B7519" w:rsidRPr="00B219C9">
        <w:rPr>
          <w:b/>
          <w:bCs/>
          <w:color w:val="0C818F" w:themeColor="accent3"/>
        </w:rPr>
        <w:t xml:space="preserve"> </w:t>
      </w:r>
      <w:r w:rsidR="306E0D41" w:rsidRPr="00B219C9">
        <w:rPr>
          <w:b/>
          <w:bCs/>
          <w:color w:val="0C818F" w:themeColor="accent3"/>
        </w:rPr>
        <w:t>Requirement:</w:t>
      </w:r>
      <w:r w:rsidR="306E0D41" w:rsidRPr="009B7519">
        <w:t xml:space="preserve"> The Geotechnical and Structural Engineers are to agree an appropriate level of investigation effort the project requires when obtaining the site classification.</w:t>
      </w:r>
    </w:p>
    <w:p w14:paraId="38090795" w14:textId="43475BCA" w:rsidR="2A1AB7CB" w:rsidRPr="009B7519" w:rsidRDefault="2A1AB7CB"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 xml:space="preserve">TS 1170.5 provides three methods for determining the </w:t>
      </w:r>
      <w:r w:rsidR="469EF285" w:rsidRPr="009B7519">
        <w:t>V</w:t>
      </w:r>
      <w:r w:rsidR="469EF285" w:rsidRPr="009B7519">
        <w:rPr>
          <w:vertAlign w:val="subscript"/>
        </w:rPr>
        <w:t>s</w:t>
      </w:r>
      <w:r w:rsidRPr="009B7519">
        <w:t xml:space="preserve"> profile for the site ranging from direct field measurement of </w:t>
      </w:r>
      <w:r w:rsidR="6E12878C" w:rsidRPr="009B7519">
        <w:t>V</w:t>
      </w:r>
      <w:r w:rsidR="6E12878C" w:rsidRPr="009B7519">
        <w:rPr>
          <w:vertAlign w:val="subscript"/>
        </w:rPr>
        <w:t>s</w:t>
      </w:r>
      <w:r w:rsidRPr="009B7519">
        <w:t xml:space="preserve"> to a depth of at least 25 m, to “inferring” a </w:t>
      </w:r>
      <w:r w:rsidR="228B91EE" w:rsidRPr="009B7519">
        <w:t>V</w:t>
      </w:r>
      <w:r w:rsidR="228B91EE" w:rsidRPr="009B7519">
        <w:rPr>
          <w:vertAlign w:val="subscript"/>
        </w:rPr>
        <w:t>s</w:t>
      </w:r>
      <w:r w:rsidRPr="009B7519">
        <w:t xml:space="preserve"> where the velocity profile is inferred from one or more partial measurements of CPT, SPT or </w:t>
      </w:r>
      <w:r w:rsidR="75793384" w:rsidRPr="009B7519">
        <w:t>V</w:t>
      </w:r>
      <w:r w:rsidR="75793384" w:rsidRPr="009B7519">
        <w:rPr>
          <w:vertAlign w:val="subscript"/>
        </w:rPr>
        <w:t>s</w:t>
      </w:r>
      <w:r w:rsidRPr="009B7519">
        <w:t xml:space="preserve">. The uncertainties inherent in determining the </w:t>
      </w:r>
      <w:r w:rsidR="40A54021" w:rsidRPr="009B7519">
        <w:t>V</w:t>
      </w:r>
      <w:r w:rsidR="40A54021" w:rsidRPr="009B7519">
        <w:rPr>
          <w:vertAlign w:val="subscript"/>
        </w:rPr>
        <w:t>s</w:t>
      </w:r>
      <w:r w:rsidRPr="009B7519">
        <w:t xml:space="preserve"> profile are addressed by incorporating bounds of between ± 5% and ±30% depending on the method used. Where the uncertainty in the </w:t>
      </w:r>
      <w:r w:rsidR="4E121DA9" w:rsidRPr="009B7519">
        <w:t>V</w:t>
      </w:r>
      <w:r w:rsidR="4E121DA9" w:rsidRPr="009B7519">
        <w:rPr>
          <w:vertAlign w:val="subscript"/>
        </w:rPr>
        <w:t>s</w:t>
      </w:r>
      <w:r w:rsidRPr="009B7519">
        <w:t xml:space="preserve"> estimate results in a “cross-over” between two or more site classes, then multiple site classes must be adopted</w:t>
      </w:r>
      <w:r w:rsidR="00A43953">
        <w:t xml:space="preserve">. </w:t>
      </w:r>
      <w:r w:rsidRPr="009B7519">
        <w:t xml:space="preserve">The design spectrum for such cases is taken as the envelope of the design spectra of the relevant multiple site classes based on the estimated range of </w:t>
      </w:r>
      <w:r w:rsidR="3A96F904" w:rsidRPr="009B7519">
        <w:t>V</w:t>
      </w:r>
      <w:r w:rsidR="3A96F904" w:rsidRPr="009B7519">
        <w:rPr>
          <w:vertAlign w:val="subscript"/>
        </w:rPr>
        <w:t>s(30)</w:t>
      </w:r>
      <w:r w:rsidRPr="009B7519">
        <w:t xml:space="preserve"> values</w:t>
      </w:r>
      <w:r w:rsidR="00A43953">
        <w:t xml:space="preserve">. </w:t>
      </w:r>
    </w:p>
    <w:p w14:paraId="46EB2A6F" w14:textId="654CA261" w:rsidR="2A1AB7CB" w:rsidRPr="009B7519" w:rsidRDefault="2A1AB7CB" w:rsidP="0099009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9B7519">
        <w:t>In cases where the site investigation data does not extend to a depth of at least 15 m, a default site class can be used provided that geotechnical and geologic data confirm that very soft soils (Site Class VI or VII) are not present at the site</w:t>
      </w:r>
      <w:r w:rsidR="00A43953">
        <w:t xml:space="preserve">. </w:t>
      </w:r>
      <w:r w:rsidRPr="009B7519">
        <w:t xml:space="preserve">Alternatively, for Importance Level 1 and 2 structures the design spectrum can be determined by adopting the </w:t>
      </w:r>
      <w:r w:rsidRPr="009B7519">
        <w:rPr>
          <w:lang w:val="en-GB"/>
        </w:rPr>
        <w:t xml:space="preserve">maximum short-period spectral acceleration max(Sa,s) </w:t>
      </w:r>
      <w:r w:rsidRPr="009B7519">
        <w:t>for Site Classes II, III, IV, V and VI, across all periods, without the need to confirm the absence of Site Class VI / VII soils at the site</w:t>
      </w:r>
      <w:r w:rsidR="00A43953">
        <w:t xml:space="preserve">. </w:t>
      </w:r>
      <w:r w:rsidRPr="009B7519">
        <w:t xml:space="preserve">This alternative approach is intended to be used primarily for the design of smaller, short-period structures. For larger structures and structures </w:t>
      </w:r>
      <w:r w:rsidRPr="009B7519">
        <w:lastRenderedPageBreak/>
        <w:t>with an Importance Level greater than 2, it is expected that an appropriate level of geotechnical investigation to support the identification of site class will be undertaken</w:t>
      </w:r>
      <w:r w:rsidR="00A43953">
        <w:t xml:space="preserve">. </w:t>
      </w:r>
    </w:p>
    <w:p w14:paraId="14691535" w14:textId="111B9C96" w:rsidR="00284BF2" w:rsidRPr="009B7519" w:rsidRDefault="00284BF2" w:rsidP="00990096">
      <w:pPr>
        <w:pStyle w:val="Section3heading3"/>
      </w:pPr>
      <w:bookmarkStart w:id="304" w:name="_Ref157173730"/>
      <w:r w:rsidRPr="009B7519">
        <w:t>Seismic loads for geotechnical design</w:t>
      </w:r>
      <w:bookmarkEnd w:id="304"/>
    </w:p>
    <w:p w14:paraId="593D9441" w14:textId="1CE92CF3" w:rsidR="3411695F" w:rsidRPr="006E61DB" w:rsidRDefault="3411695F" w:rsidP="00666E06">
      <w:r w:rsidRPr="006E61DB">
        <w:t>For geotechnical assessment of seismically-induced ground deformations (e.g., from liquefaction assessment, lateral spreading, slope instability), the ground motion parameters for the site should be developed in accordance MBIE/NZGS Module 1</w:t>
      </w:r>
      <w:r w:rsidR="00D87819" w:rsidRPr="006E61DB">
        <w:t>:</w:t>
      </w:r>
      <w:r w:rsidRPr="006E61DB">
        <w:t xml:space="preserve"> </w:t>
      </w:r>
      <w:r w:rsidRPr="006E61DB">
        <w:rPr>
          <w:i/>
          <w:iCs/>
        </w:rPr>
        <w:t>Overview of the Guidelines</w:t>
      </w:r>
      <w:r w:rsidRPr="006E61DB">
        <w:t xml:space="preserve"> (</w:t>
      </w:r>
      <w:r w:rsidR="006E1CC6" w:rsidRPr="006E61DB">
        <w:t>either 2021, or the TS</w:t>
      </w:r>
      <w:r w:rsidR="00F51DD1" w:rsidRPr="006E61DB">
        <w:t xml:space="preserve"> </w:t>
      </w:r>
      <w:r w:rsidR="006E1CC6" w:rsidRPr="006E61DB">
        <w:t>1170.5 aligned version once released, as applicable</w:t>
      </w:r>
      <w:r w:rsidRPr="006E61DB">
        <w:t xml:space="preserve">). </w:t>
      </w:r>
    </w:p>
    <w:p w14:paraId="458C3513" w14:textId="18FFCCDA" w:rsidR="3411695F" w:rsidRPr="006E61DB" w:rsidRDefault="007D5C79" w:rsidP="00666E06">
      <w:pPr>
        <w:pStyle w:val="Requirement"/>
      </w:pPr>
      <w:r w:rsidRPr="002658A2">
        <w:rPr>
          <w:b/>
          <w:bCs/>
          <w:color w:val="0C818F" w:themeColor="accent3"/>
        </w:rPr>
        <w:t xml:space="preserve">Health NZ </w:t>
      </w:r>
      <w:r w:rsidR="1D69F675" w:rsidRPr="002658A2">
        <w:rPr>
          <w:b/>
          <w:bCs/>
          <w:color w:val="0C818F" w:themeColor="accent3"/>
        </w:rPr>
        <w:t xml:space="preserve">Requirement: </w:t>
      </w:r>
      <w:r w:rsidR="1D69F675" w:rsidRPr="006E61DB">
        <w:t>All Geotechnical assessments for seismic design shall be in accordance with MBIE/NZGS Module 1</w:t>
      </w:r>
      <w:r w:rsidR="00D87819" w:rsidRPr="006E61DB">
        <w:t>:</w:t>
      </w:r>
      <w:r w:rsidR="1D69F675" w:rsidRPr="006E61DB">
        <w:t xml:space="preserve"> </w:t>
      </w:r>
      <w:r w:rsidR="1D69F675" w:rsidRPr="006E61DB">
        <w:rPr>
          <w:i/>
          <w:iCs/>
        </w:rPr>
        <w:t>Overview of the Guidelines</w:t>
      </w:r>
      <w:r w:rsidR="1D69F675" w:rsidRPr="006E61DB">
        <w:t xml:space="preserve"> (</w:t>
      </w:r>
      <w:r w:rsidR="00D6256F" w:rsidRPr="006E61DB">
        <w:rPr>
          <w:rFonts w:eastAsiaTheme="minorEastAsia"/>
        </w:rPr>
        <w:t>202</w:t>
      </w:r>
      <w:r w:rsidR="00B90E96" w:rsidRPr="006E61DB">
        <w:rPr>
          <w:rFonts w:eastAsiaTheme="minorEastAsia"/>
        </w:rPr>
        <w:t>1, or TS</w:t>
      </w:r>
      <w:r w:rsidR="00F51DD1" w:rsidRPr="006E61DB">
        <w:rPr>
          <w:rFonts w:eastAsiaTheme="minorEastAsia"/>
        </w:rPr>
        <w:t xml:space="preserve"> </w:t>
      </w:r>
      <w:r w:rsidR="00B90E96" w:rsidRPr="006E61DB">
        <w:rPr>
          <w:rFonts w:eastAsiaTheme="minorEastAsia"/>
        </w:rPr>
        <w:t>1170.5 aligned version once released</w:t>
      </w:r>
      <w:r w:rsidR="006E1CC6" w:rsidRPr="006E61DB">
        <w:rPr>
          <w:rFonts w:eastAsiaTheme="minorEastAsia"/>
        </w:rPr>
        <w:t>, as applicable</w:t>
      </w:r>
      <w:r w:rsidR="1D69F675" w:rsidRPr="006E61DB">
        <w:t>).</w:t>
      </w:r>
    </w:p>
    <w:p w14:paraId="23673FB7" w14:textId="189F9662" w:rsidR="3411695F" w:rsidRPr="006E61DB" w:rsidRDefault="3411695F" w:rsidP="00666E06">
      <w:r w:rsidRPr="006E61DB">
        <w:t>For routine design projects, it is anticipated that ‘Method 1’ will be sufficient.</w:t>
      </w:r>
    </w:p>
    <w:p w14:paraId="2D945817" w14:textId="000C9359" w:rsidR="3411695F" w:rsidRPr="006E61DB" w:rsidRDefault="3411695F" w:rsidP="00666E06">
      <w:r w:rsidRPr="006E61DB">
        <w:t>Site-specific probabilistic seismic hazard analysis (PSHA – Method 2 in MBIE/NZGS Module 1) and / or site-specific site response analysis (Method 3) may in some cases be appropriate for larger or more complex projects or complex ground conditions, and Method 3 is required for Site Class VII soils if using TS1170.5. The use of site-specific analyses is discussed in more detail in Section 9.3.5</w:t>
      </w:r>
      <w:r w:rsidR="00A43953">
        <w:t xml:space="preserve">. </w:t>
      </w:r>
    </w:p>
    <w:p w14:paraId="2F80F9E7" w14:textId="3EB87C85" w:rsidR="00A24E72" w:rsidRPr="006E61DB" w:rsidRDefault="466E2631" w:rsidP="00990096">
      <w:pPr>
        <w:pStyle w:val="Section3heading3"/>
      </w:pPr>
      <w:r w:rsidRPr="006E61DB">
        <w:t>Site-Specific</w:t>
      </w:r>
      <w:r w:rsidR="00F843D1" w:rsidRPr="006E61DB">
        <w:t xml:space="preserve"> Seismic Hazard Analysis</w:t>
      </w:r>
    </w:p>
    <w:p w14:paraId="1E353690" w14:textId="1E382423" w:rsidR="006B7358" w:rsidRPr="00990096" w:rsidRDefault="4C15A42B" w:rsidP="00D56CAE">
      <w:pPr>
        <w:pStyle w:val="BodyHeading"/>
        <w:rPr>
          <w:color w:val="003399"/>
        </w:rPr>
      </w:pPr>
      <w:r w:rsidRPr="00990096">
        <w:rPr>
          <w:color w:val="003399"/>
        </w:rPr>
        <w:t>Site-Specific PSHA</w:t>
      </w:r>
    </w:p>
    <w:p w14:paraId="6BF907D1" w14:textId="4B023121" w:rsidR="00DA3797" w:rsidRPr="006E61DB" w:rsidRDefault="4C15A42B" w:rsidP="00666E06">
      <w:pPr>
        <w:rPr>
          <w:lang w:val="en-US"/>
        </w:rPr>
      </w:pPr>
      <w:r w:rsidRPr="006E61DB">
        <w:t xml:space="preserve">For most projects, it is expected that the parameters required for developing elastic design spectra, and those required for geotechnical assessment (PGA, M) will be determined using the procedures specified in </w:t>
      </w:r>
      <w:r w:rsidR="00557EC5" w:rsidRPr="006E61DB">
        <w:t xml:space="preserve">TS </w:t>
      </w:r>
      <w:r w:rsidRPr="006E61DB">
        <w:t>1170.5</w:t>
      </w:r>
      <w:r w:rsidR="00A240DE" w:rsidRPr="006E61DB">
        <w:t xml:space="preserve"> (once released)</w:t>
      </w:r>
      <w:r w:rsidRPr="006E61DB">
        <w:t>. The probabilistic seismic hazard analysis (PSHA) performed within the 2022 National Seismic Hazard Model (</w:t>
      </w:r>
      <w:r w:rsidR="007E4D33" w:rsidRPr="006E61DB">
        <w:t>NSHM 2022</w:t>
      </w:r>
      <w:r w:rsidRPr="006E61DB">
        <w:t xml:space="preserve">) is </w:t>
      </w:r>
      <w:r w:rsidRPr="006E61DB">
        <w:rPr>
          <w:lang w:val="en-US"/>
        </w:rPr>
        <w:t xml:space="preserve">based on the best science, updated information, broad scientific consensus, and rigorous internal and external review processes. The Seismic Risk Working Group (SRWG) expended considerable effort assessing the outputs from </w:t>
      </w:r>
      <w:r w:rsidR="007E4D33" w:rsidRPr="006E61DB">
        <w:rPr>
          <w:lang w:val="en-US"/>
        </w:rPr>
        <w:t>NSHM 2022</w:t>
      </w:r>
      <w:r w:rsidRPr="006E61DB">
        <w:rPr>
          <w:lang w:val="en-US"/>
        </w:rPr>
        <w:t xml:space="preserve"> and incorporating them into the design spectra contained in TS1170.5, and these were subsequently reviewed by the Standards Committee for TS1170.5.</w:t>
      </w:r>
    </w:p>
    <w:p w14:paraId="6335DDFE" w14:textId="11A97DE8" w:rsidR="006B7358" w:rsidRPr="006E61DB" w:rsidRDefault="4C15A42B" w:rsidP="00666E06">
      <w:r w:rsidRPr="006E61DB">
        <w:rPr>
          <w:lang w:val="en-US"/>
        </w:rPr>
        <w:t>Hence, it is considered unlikely that a site-specific PSHA will provide significant benefit in most situations, i.e., the design outputs from a site-specific study would not be expected to materially differ from what would be derived from TS1170.5.</w:t>
      </w:r>
    </w:p>
    <w:p w14:paraId="67FD2360" w14:textId="3F60F97C" w:rsidR="006B7358" w:rsidRPr="006E61DB" w:rsidRDefault="239D055A" w:rsidP="00666E06">
      <w:pPr>
        <w:rPr>
          <w:lang w:val="en-US"/>
        </w:rPr>
      </w:pPr>
      <w:r w:rsidRPr="006E61DB">
        <w:rPr>
          <w:lang w:val="en-US"/>
        </w:rPr>
        <w:t>Examples of situations where a site-specific PSHA might be warranted include:</w:t>
      </w:r>
    </w:p>
    <w:p w14:paraId="14833348" w14:textId="00CAD7C5" w:rsidR="006B7358" w:rsidRPr="006E61DB" w:rsidRDefault="00444BFE" w:rsidP="004D55F1">
      <w:pPr>
        <w:pStyle w:val="ListParagraph"/>
        <w:numPr>
          <w:ilvl w:val="0"/>
          <w:numId w:val="98"/>
        </w:numPr>
        <w:rPr>
          <w:lang w:val="en-US"/>
        </w:rPr>
      </w:pPr>
      <w:r>
        <w:rPr>
          <w:lang w:val="en-US"/>
        </w:rPr>
        <w:t>T</w:t>
      </w:r>
      <w:r w:rsidR="239D055A" w:rsidRPr="006E61DB">
        <w:rPr>
          <w:lang w:val="en-US"/>
        </w:rPr>
        <w:t>he discovery of a new earthquake source or a significant change in earthquake source characteristics potentially impacting the site</w:t>
      </w:r>
      <w:r w:rsidR="00AE0A1A" w:rsidRPr="006E61DB">
        <w:rPr>
          <w:lang w:val="en-US"/>
        </w:rPr>
        <w:t>,</w:t>
      </w:r>
    </w:p>
    <w:p w14:paraId="1FAF2ACE" w14:textId="2059450B" w:rsidR="006B7358" w:rsidRPr="006E61DB" w:rsidRDefault="00444BFE" w:rsidP="004D55F1">
      <w:pPr>
        <w:pStyle w:val="ListParagraph"/>
        <w:numPr>
          <w:ilvl w:val="0"/>
          <w:numId w:val="98"/>
        </w:numPr>
        <w:rPr>
          <w:lang w:val="en-US"/>
        </w:rPr>
      </w:pPr>
      <w:r>
        <w:rPr>
          <w:lang w:val="en-US"/>
        </w:rPr>
        <w:t>I</w:t>
      </w:r>
      <w:r w:rsidR="239D055A" w:rsidRPr="006E61DB">
        <w:rPr>
          <w:lang w:val="en-US"/>
        </w:rPr>
        <w:t xml:space="preserve">mproved modelling of potentially significant path and / or site effects (e.g., basin effects / depth to hard rock significantly different from that assumed in </w:t>
      </w:r>
      <w:r w:rsidR="007E4D33" w:rsidRPr="006E61DB">
        <w:rPr>
          <w:lang w:val="en-US"/>
        </w:rPr>
        <w:t>NSHM 2022</w:t>
      </w:r>
      <w:r w:rsidR="239D055A" w:rsidRPr="006E61DB">
        <w:rPr>
          <w:lang w:val="en-US"/>
        </w:rPr>
        <w:t>)</w:t>
      </w:r>
      <w:r w:rsidR="00AE0A1A" w:rsidRPr="006E61DB">
        <w:rPr>
          <w:lang w:val="en-US"/>
        </w:rPr>
        <w:t>,</w:t>
      </w:r>
    </w:p>
    <w:p w14:paraId="710660E6" w14:textId="5973D70D" w:rsidR="006B7358" w:rsidRPr="006E61DB" w:rsidRDefault="00444BFE" w:rsidP="004D55F1">
      <w:pPr>
        <w:pStyle w:val="ListParagraph"/>
        <w:numPr>
          <w:ilvl w:val="0"/>
          <w:numId w:val="98"/>
        </w:numPr>
        <w:rPr>
          <w:lang w:val="en-US"/>
        </w:rPr>
      </w:pPr>
      <w:r>
        <w:rPr>
          <w:lang w:val="en-US"/>
        </w:rPr>
        <w:lastRenderedPageBreak/>
        <w:t>I</w:t>
      </w:r>
      <w:r w:rsidR="239D055A" w:rsidRPr="006E61DB">
        <w:rPr>
          <w:lang w:val="en-US"/>
        </w:rPr>
        <w:t>mproved input for scenario-based analyses (i.e., through di</w:t>
      </w:r>
      <w:r w:rsidR="004678FC" w:rsidRPr="006E61DB">
        <w:rPr>
          <w:lang w:val="en-US"/>
        </w:rPr>
        <w:t>s</w:t>
      </w:r>
      <w:r w:rsidR="239D055A" w:rsidRPr="006E61DB">
        <w:rPr>
          <w:lang w:val="en-US"/>
        </w:rPr>
        <w:t>aggregation of site-specific hazard).</w:t>
      </w:r>
    </w:p>
    <w:p w14:paraId="1526EF57" w14:textId="2DE3A552" w:rsidR="006B7358" w:rsidRPr="006E61DB" w:rsidRDefault="0D1ED33B" w:rsidP="00666E06">
      <w:pPr>
        <w:rPr>
          <w:lang w:val="en-US"/>
        </w:rPr>
      </w:pPr>
      <w:r w:rsidRPr="006E61DB">
        <w:rPr>
          <w:lang w:val="en-US"/>
        </w:rPr>
        <w:t>A site-specific PSHA</w:t>
      </w:r>
      <w:r w:rsidR="000C5648" w:rsidRPr="006E61DB">
        <w:rPr>
          <w:lang w:val="en-US"/>
        </w:rPr>
        <w:t>, if performed,</w:t>
      </w:r>
      <w:r w:rsidRPr="006E61DB">
        <w:rPr>
          <w:lang w:val="en-US"/>
        </w:rPr>
        <w:t xml:space="preserve"> should be at least as robust as the PSHA performed within </w:t>
      </w:r>
      <w:r w:rsidR="00C40E73">
        <w:rPr>
          <w:lang w:val="en-US"/>
        </w:rPr>
        <w:t xml:space="preserve">the </w:t>
      </w:r>
      <w:r w:rsidRPr="006E61DB">
        <w:rPr>
          <w:lang w:val="en-US"/>
        </w:rPr>
        <w:t>NSHM which underpins TS</w:t>
      </w:r>
      <w:r w:rsidR="006B783B" w:rsidRPr="006E61DB">
        <w:rPr>
          <w:lang w:val="en-US"/>
        </w:rPr>
        <w:t xml:space="preserve"> </w:t>
      </w:r>
      <w:r w:rsidRPr="006E61DB">
        <w:rPr>
          <w:lang w:val="en-US"/>
        </w:rPr>
        <w:t>11</w:t>
      </w:r>
      <w:r w:rsidR="001D57AD" w:rsidRPr="006E61DB">
        <w:rPr>
          <w:lang w:val="en-US"/>
        </w:rPr>
        <w:t>7</w:t>
      </w:r>
      <w:r w:rsidRPr="006E61DB">
        <w:rPr>
          <w:lang w:val="en-US"/>
        </w:rPr>
        <w:t>0.5</w:t>
      </w:r>
      <w:r w:rsidR="00545BF1" w:rsidRPr="006E61DB">
        <w:rPr>
          <w:lang w:val="en-US"/>
        </w:rPr>
        <w:t xml:space="preserve">. It </w:t>
      </w:r>
      <w:r w:rsidRPr="006E61DB">
        <w:rPr>
          <w:lang w:val="en-US"/>
        </w:rPr>
        <w:t>should only be carried out by experienced specialists</w:t>
      </w:r>
      <w:r w:rsidR="00545BF1" w:rsidRPr="006E61DB">
        <w:rPr>
          <w:lang w:val="en-US"/>
        </w:rPr>
        <w:t xml:space="preserve"> and in consultation with the </w:t>
      </w:r>
      <w:r w:rsidR="007D5C79">
        <w:rPr>
          <w:lang w:val="en-US"/>
        </w:rPr>
        <w:t xml:space="preserve">Health NZ </w:t>
      </w:r>
      <w:r w:rsidR="00545BF1" w:rsidRPr="006E61DB">
        <w:rPr>
          <w:lang w:val="en-US"/>
        </w:rPr>
        <w:t>HEAG</w:t>
      </w:r>
      <w:r w:rsidRPr="006E61DB">
        <w:rPr>
          <w:lang w:val="en-US"/>
        </w:rPr>
        <w:t xml:space="preserve">. Site-specific studies will also require a rigorous </w:t>
      </w:r>
      <w:r w:rsidR="00C607BA" w:rsidRPr="006E61DB">
        <w:rPr>
          <w:lang w:val="en-US"/>
        </w:rPr>
        <w:t>independent</w:t>
      </w:r>
      <w:r w:rsidRPr="006E61DB">
        <w:rPr>
          <w:lang w:val="en-US"/>
        </w:rPr>
        <w:t xml:space="preserve"> peer review.</w:t>
      </w:r>
    </w:p>
    <w:p w14:paraId="689A2FFC" w14:textId="7787EEDE" w:rsidR="006B7358" w:rsidRPr="006E61DB" w:rsidRDefault="0D1ED33B" w:rsidP="00666E06">
      <w:r w:rsidRPr="006E61DB">
        <w:t>Refer to MBIE/NZGS Module 1</w:t>
      </w:r>
      <w:r w:rsidR="00D87819" w:rsidRPr="006E61DB">
        <w:t>:</w:t>
      </w:r>
      <w:r w:rsidRPr="006E61DB">
        <w:t xml:space="preserve"> </w:t>
      </w:r>
      <w:r w:rsidRPr="006E61DB">
        <w:rPr>
          <w:i/>
          <w:iCs/>
        </w:rPr>
        <w:t>Overview of the Guidelines</w:t>
      </w:r>
      <w:r w:rsidRPr="006E61DB">
        <w:t xml:space="preserve"> (</w:t>
      </w:r>
      <w:r w:rsidR="00D6256F" w:rsidRPr="006E61DB">
        <w:t>TS</w:t>
      </w:r>
      <w:r w:rsidR="00F51DD1" w:rsidRPr="006E61DB">
        <w:t xml:space="preserve"> </w:t>
      </w:r>
      <w:r w:rsidR="00D6256F" w:rsidRPr="006E61DB">
        <w:t>1170.5 aligned versio</w:t>
      </w:r>
      <w:r w:rsidR="00C700C4" w:rsidRPr="006E61DB">
        <w:t>n, once released</w:t>
      </w:r>
      <w:r w:rsidRPr="006E61DB">
        <w:t>) for a good overview of site-specific PHSA and issues to consider when deciding whether it may be warranted for a project.</w:t>
      </w:r>
    </w:p>
    <w:p w14:paraId="6F41B683" w14:textId="22395AA9" w:rsidR="006B7358" w:rsidRPr="00990096" w:rsidRDefault="7E9809AC" w:rsidP="00D56CAE">
      <w:pPr>
        <w:pStyle w:val="BodyHeading"/>
        <w:rPr>
          <w:color w:val="003399"/>
          <w:lang w:val="en-US"/>
        </w:rPr>
      </w:pPr>
      <w:r w:rsidRPr="00990096">
        <w:rPr>
          <w:color w:val="003399"/>
          <w:lang w:val="en-US"/>
        </w:rPr>
        <w:t>Site Response Analysis</w:t>
      </w:r>
    </w:p>
    <w:p w14:paraId="59398D12" w14:textId="3E9A8D15" w:rsidR="006B7358" w:rsidRPr="006E61DB" w:rsidRDefault="7E9809AC" w:rsidP="00666E06">
      <w:pPr>
        <w:rPr>
          <w:lang w:val="en-US"/>
        </w:rPr>
      </w:pPr>
      <w:r w:rsidRPr="006E61DB">
        <w:rPr>
          <w:lang w:val="en-US"/>
        </w:rPr>
        <w:t xml:space="preserve">For a Site Class VII site (i.e. </w:t>
      </w:r>
      <w:r w:rsidRPr="006E61DB">
        <w:t>V</w:t>
      </w:r>
      <w:r w:rsidRPr="006E61DB">
        <w:rPr>
          <w:vertAlign w:val="subscript"/>
        </w:rPr>
        <w:t>s(30)</w:t>
      </w:r>
      <w:r w:rsidRPr="006E61DB">
        <w:t xml:space="preserve"> ≤ 150 m/s)</w:t>
      </w:r>
      <w:r w:rsidRPr="006E61DB">
        <w:rPr>
          <w:lang w:val="en-US"/>
        </w:rPr>
        <w:t>, a site response analysis will be required to develop the design spectra if using TS1170.5</w:t>
      </w:r>
      <w:r w:rsidR="00A43953">
        <w:rPr>
          <w:lang w:val="en-US"/>
        </w:rPr>
        <w:t xml:space="preserve">. </w:t>
      </w:r>
      <w:r w:rsidRPr="006E61DB">
        <w:rPr>
          <w:lang w:val="en-US"/>
        </w:rPr>
        <w:t xml:space="preserve">This is because such ‘low-velocity’ soils are generally not well represented in the ground motion records used to develop the ground motion models (GMMs) used within conventional PSHA (including </w:t>
      </w:r>
      <w:r w:rsidR="007E4D33" w:rsidRPr="006E61DB">
        <w:rPr>
          <w:lang w:val="en-US"/>
        </w:rPr>
        <w:t>NSHM 2022</w:t>
      </w:r>
      <w:r w:rsidRPr="006E61DB">
        <w:rPr>
          <w:lang w:val="en-US"/>
        </w:rPr>
        <w:t>)</w:t>
      </w:r>
      <w:r w:rsidR="00A43953">
        <w:rPr>
          <w:lang w:val="en-US"/>
        </w:rPr>
        <w:t xml:space="preserve">. </w:t>
      </w:r>
    </w:p>
    <w:p w14:paraId="1EBE121A" w14:textId="12459792" w:rsidR="006B7358" w:rsidRPr="006E61DB" w:rsidRDefault="7E9809AC" w:rsidP="00666E06">
      <w:pPr>
        <w:rPr>
          <w:lang w:val="en-US"/>
        </w:rPr>
      </w:pPr>
      <w:r w:rsidRPr="006E61DB">
        <w:rPr>
          <w:lang w:val="en-US"/>
        </w:rPr>
        <w:t xml:space="preserve">Carrying out a site response analysis requires determination of a ‘reference condition’ hazard (i.e., elastic response spectrum) representing either outcropping bedrock with </w:t>
      </w:r>
      <w:r w:rsidRPr="006E61DB">
        <w:t>V</w:t>
      </w:r>
      <w:r w:rsidRPr="006E61DB">
        <w:rPr>
          <w:vertAlign w:val="subscript"/>
        </w:rPr>
        <w:t>s(30)</w:t>
      </w:r>
      <w:r w:rsidRPr="006E61DB">
        <w:t xml:space="preserve"> &gt; 750 m/s (Site Class I) or stiff soil conditions with 450 m/s &lt; V</w:t>
      </w:r>
      <w:r w:rsidRPr="006E61DB">
        <w:rPr>
          <w:vertAlign w:val="subscript"/>
        </w:rPr>
        <w:t>s(30)</w:t>
      </w:r>
      <w:r w:rsidRPr="006E61DB">
        <w:t xml:space="preserve"> ≤ 750 m/s (Site Class II) in accordance with TS1170.5</w:t>
      </w:r>
      <w:r w:rsidR="00A43953">
        <w:t xml:space="preserve">. </w:t>
      </w:r>
      <w:r w:rsidRPr="006E61DB">
        <w:rPr>
          <w:lang w:val="en-US"/>
        </w:rPr>
        <w:t>If a site-specific PSHA is available, then the reference condition hazard would be derived from the output of that analysis</w:t>
      </w:r>
      <w:r w:rsidR="00A43953">
        <w:rPr>
          <w:lang w:val="en-US"/>
        </w:rPr>
        <w:t xml:space="preserve">. </w:t>
      </w:r>
      <w:r w:rsidRPr="006E61DB">
        <w:rPr>
          <w:lang w:val="en-US"/>
        </w:rPr>
        <w:t xml:space="preserve">  </w:t>
      </w:r>
    </w:p>
    <w:p w14:paraId="038DCDD2" w14:textId="7A317359" w:rsidR="006B7358" w:rsidRPr="006E61DB" w:rsidRDefault="158A3B4D" w:rsidP="00666E06">
      <w:pPr>
        <w:rPr>
          <w:lang w:val="en-US"/>
        </w:rPr>
      </w:pPr>
      <w:r w:rsidRPr="006E61DB">
        <w:rPr>
          <w:lang w:val="en-US"/>
        </w:rPr>
        <w:t>Equivalent linear or nonlinear methods can be used for the analysis, with the former considered sufficient if maximum shear strains are less than 1%. One-dimensional analysis is appropriate for sites with (approximately) horizontal stratification, an absence of significant geometric effects due to sloping bedrock, irregular stratification or topographic features, and for reference condition depths typically less than 100 m</w:t>
      </w:r>
      <w:r w:rsidR="00A43953">
        <w:rPr>
          <w:lang w:val="en-US"/>
        </w:rPr>
        <w:t xml:space="preserve">. </w:t>
      </w:r>
      <w:r w:rsidRPr="006E61DB">
        <w:rPr>
          <w:lang w:val="en-US"/>
        </w:rPr>
        <w:t>For analysis of liquefiable sites, nonlinear effective stress analysis incorporating the effects of excess pore pressure is appropriate, and the use of such analysis is encouraged in some situations (e.g., assessment of a high importance or complex structure located on ground where the effects of excess pore pressures may be significant).</w:t>
      </w:r>
    </w:p>
    <w:p w14:paraId="44BF75F7" w14:textId="19BE3EB6" w:rsidR="69BD4CDC" w:rsidRPr="006E61DB" w:rsidRDefault="69BD4CDC" w:rsidP="00666E06">
      <w:pPr>
        <w:rPr>
          <w:lang w:val="en-US"/>
        </w:rPr>
      </w:pPr>
      <w:r w:rsidRPr="006E61DB">
        <w:rPr>
          <w:lang w:val="en-US"/>
        </w:rPr>
        <w:t>For 1-D analysis, it is important that one-dimensional ‘soil column’ models be established from the ground surface to the depth of the ‘reference condition’ (i.e., bedrock or stiff soil). A shear wave velocity profile extending to the base layer of the soil column model should be confidently established using Method 1 (direct measurement of V</w:t>
      </w:r>
      <w:r w:rsidRPr="006E61DB">
        <w:rPr>
          <w:vertAlign w:val="subscript"/>
          <w:lang w:val="en-US"/>
        </w:rPr>
        <w:t>s</w:t>
      </w:r>
      <w:r w:rsidRPr="006E61DB">
        <w:rPr>
          <w:lang w:val="en-US"/>
        </w:rPr>
        <w:t>) in TS1170.5. Site response analyses require good judgement and a good knowledge of the soil properties and profile to bedrock (or sufficiently stiff soil) for the result to be meaningful. The effects of uncertainty in the selected model parameters should be evaluated using appropriate increases or decreases of model parameters around best-estimate values</w:t>
      </w:r>
      <w:r w:rsidR="00A43953">
        <w:rPr>
          <w:lang w:val="en-US"/>
        </w:rPr>
        <w:t xml:space="preserve">. </w:t>
      </w:r>
    </w:p>
    <w:p w14:paraId="64C0A6EC" w14:textId="66A8D761" w:rsidR="69BD4CDC" w:rsidRPr="006E61DB" w:rsidRDefault="69BD4CDC" w:rsidP="00666E06">
      <w:pPr>
        <w:rPr>
          <w:lang w:val="en-US"/>
        </w:rPr>
      </w:pPr>
      <w:r w:rsidRPr="006E61DB">
        <w:rPr>
          <w:lang w:val="en-US"/>
        </w:rPr>
        <w:t>Refer to the commentary for sites requiring special considerations in TS1170.5 for specific details regarding the use of, and performing, site response analysis. MBIE/NZGS Module 1</w:t>
      </w:r>
      <w:r w:rsidR="00A800D7" w:rsidRPr="006E61DB">
        <w:rPr>
          <w:lang w:val="en-US"/>
        </w:rPr>
        <w:t>:</w:t>
      </w:r>
      <w:r w:rsidRPr="006E61DB">
        <w:rPr>
          <w:lang w:val="en-US"/>
        </w:rPr>
        <w:t xml:space="preserve"> </w:t>
      </w:r>
      <w:r w:rsidRPr="006E61DB">
        <w:rPr>
          <w:i/>
          <w:iCs/>
          <w:lang w:val="en-US"/>
        </w:rPr>
        <w:t>Overview of the Guidelines</w:t>
      </w:r>
      <w:r w:rsidRPr="006E61DB">
        <w:rPr>
          <w:lang w:val="en-US"/>
        </w:rPr>
        <w:t xml:space="preserve"> (</w:t>
      </w:r>
      <w:r w:rsidR="00C700C4" w:rsidRPr="006E61DB">
        <w:t>TS</w:t>
      </w:r>
      <w:r w:rsidR="00F51DD1" w:rsidRPr="006E61DB">
        <w:t xml:space="preserve"> </w:t>
      </w:r>
      <w:r w:rsidR="00C700C4" w:rsidRPr="006E61DB">
        <w:t>1170.5 aligned version, once released</w:t>
      </w:r>
      <w:r w:rsidRPr="006E61DB">
        <w:rPr>
          <w:lang w:val="en-US"/>
        </w:rPr>
        <w:t>) also contains a good overview of site response analysis in general.</w:t>
      </w:r>
    </w:p>
    <w:p w14:paraId="0209A8FE" w14:textId="5724F4F6" w:rsidR="69BD4CDC" w:rsidRPr="006E61DB" w:rsidRDefault="69BD4CDC" w:rsidP="00666E06">
      <w:pPr>
        <w:rPr>
          <w:lang w:val="en-US"/>
        </w:rPr>
      </w:pPr>
      <w:r w:rsidRPr="006E61DB">
        <w:rPr>
          <w:lang w:val="en-US"/>
        </w:rPr>
        <w:lastRenderedPageBreak/>
        <w:t>2-D and 3-D site response analyses may be useful for sites with significant geometry effects</w:t>
      </w:r>
      <w:r w:rsidR="00A43953">
        <w:rPr>
          <w:lang w:val="en-US"/>
        </w:rPr>
        <w:t xml:space="preserve">. </w:t>
      </w:r>
      <w:r w:rsidRPr="006E61DB">
        <w:rPr>
          <w:lang w:val="en-US"/>
        </w:rPr>
        <w:t>However, these are highly speciali</w:t>
      </w:r>
      <w:r w:rsidR="009F46D6">
        <w:rPr>
          <w:lang w:val="en-US"/>
        </w:rPr>
        <w:t>s</w:t>
      </w:r>
      <w:r w:rsidRPr="006E61DB">
        <w:rPr>
          <w:lang w:val="en-US"/>
        </w:rPr>
        <w:t xml:space="preserve">ed and no generally accepted guidance is available. </w:t>
      </w:r>
    </w:p>
    <w:p w14:paraId="551A09B0" w14:textId="67252CEC" w:rsidR="69BD4CDC" w:rsidRPr="006E61DB" w:rsidRDefault="69BD4CDC" w:rsidP="00666E06">
      <w:pPr>
        <w:rPr>
          <w:lang w:val="en-US"/>
        </w:rPr>
      </w:pPr>
      <w:r w:rsidRPr="006E61DB">
        <w:rPr>
          <w:lang w:val="en-US"/>
        </w:rPr>
        <w:t xml:space="preserve">In general, site response analysis (including 1-D analysis) should only be carried out by experienced specialists </w:t>
      </w:r>
      <w:r w:rsidR="005E5743" w:rsidRPr="006E61DB">
        <w:rPr>
          <w:lang w:val="en-US"/>
        </w:rPr>
        <w:t xml:space="preserve">and in consultation with the </w:t>
      </w:r>
      <w:r w:rsidR="007D5C79">
        <w:rPr>
          <w:lang w:val="en-US"/>
        </w:rPr>
        <w:t>Health</w:t>
      </w:r>
      <w:r w:rsidR="00064A4F">
        <w:rPr>
          <w:lang w:val="en-US"/>
        </w:rPr>
        <w:t xml:space="preserve"> </w:t>
      </w:r>
      <w:r w:rsidR="007D5C79">
        <w:rPr>
          <w:lang w:val="en-US"/>
        </w:rPr>
        <w:t xml:space="preserve">NZ </w:t>
      </w:r>
      <w:r w:rsidR="005E5743" w:rsidRPr="006E61DB">
        <w:rPr>
          <w:lang w:val="en-US"/>
        </w:rPr>
        <w:t>HEAG—</w:t>
      </w:r>
      <w:r w:rsidRPr="006E61DB">
        <w:rPr>
          <w:lang w:val="en-US"/>
        </w:rPr>
        <w:t xml:space="preserve">and will be subject to a rigorous </w:t>
      </w:r>
      <w:r w:rsidR="005E5743" w:rsidRPr="006E61DB">
        <w:rPr>
          <w:lang w:val="en-US"/>
        </w:rPr>
        <w:t>independent</w:t>
      </w:r>
      <w:r w:rsidRPr="006E61DB">
        <w:rPr>
          <w:lang w:val="en-US"/>
        </w:rPr>
        <w:t xml:space="preserve"> peer review.</w:t>
      </w:r>
    </w:p>
    <w:p w14:paraId="13AD7FC0" w14:textId="740755AC" w:rsidR="00360E87" w:rsidRPr="006E61DB" w:rsidRDefault="00360E87" w:rsidP="00990096">
      <w:pPr>
        <w:pStyle w:val="Section3heading3"/>
      </w:pPr>
      <w:bookmarkStart w:id="305" w:name="_Ref153543097"/>
      <w:r w:rsidRPr="006E61DB">
        <w:t>Requirements for Parts and Components</w:t>
      </w:r>
      <w:bookmarkEnd w:id="305"/>
    </w:p>
    <w:p w14:paraId="6B0D1B20" w14:textId="198A28A1" w:rsidR="00BC605C" w:rsidRPr="005C2E33" w:rsidRDefault="00BC605C" w:rsidP="00666E06">
      <w:r w:rsidRPr="005C2E33">
        <w:t xml:space="preserve">Refer </w:t>
      </w:r>
      <w:r w:rsidR="00882520" w:rsidRPr="005C2E33">
        <w:t xml:space="preserve">to </w:t>
      </w:r>
      <w:r w:rsidR="006221B9" w:rsidRPr="005C2E33">
        <w:t xml:space="preserve">the general commentary in Section </w:t>
      </w:r>
      <w:r w:rsidR="006221B9" w:rsidRPr="005C2E33">
        <w:fldChar w:fldCharType="begin"/>
      </w:r>
      <w:r w:rsidR="006221B9" w:rsidRPr="005C2E33">
        <w:instrText xml:space="preserve"> REF _Ref152819641 \r \h </w:instrText>
      </w:r>
      <w:r w:rsidR="006E61DB" w:rsidRPr="005C2E33">
        <w:instrText xml:space="preserve"> \* MERGEFORMAT </w:instrText>
      </w:r>
      <w:r w:rsidR="006221B9" w:rsidRPr="005C2E33">
        <w:fldChar w:fldCharType="separate"/>
      </w:r>
      <w:r w:rsidR="000761C1" w:rsidRPr="005C2E33">
        <w:t>A3.1.1</w:t>
      </w:r>
      <w:r w:rsidR="006221B9" w:rsidRPr="005C2E33">
        <w:fldChar w:fldCharType="end"/>
      </w:r>
      <w:r w:rsidR="006221B9" w:rsidRPr="005C2E33">
        <w:t xml:space="preserve">, and </w:t>
      </w:r>
      <w:r w:rsidRPr="005C2E33">
        <w:t xml:space="preserve">to </w:t>
      </w:r>
      <w:r w:rsidR="006221B9" w:rsidRPr="005C2E33">
        <w:t>S</w:t>
      </w:r>
      <w:r w:rsidR="000F01AE" w:rsidRPr="005C2E33">
        <w:t xml:space="preserve">ection </w:t>
      </w:r>
      <w:r w:rsidR="000F01AE" w:rsidRPr="005C2E33">
        <w:fldChar w:fldCharType="begin"/>
      </w:r>
      <w:r w:rsidR="000F01AE" w:rsidRPr="005C2E33">
        <w:instrText xml:space="preserve"> REF _Ref149568362 \r \h </w:instrText>
      </w:r>
      <w:r w:rsidR="003B0B0B" w:rsidRPr="005C2E33">
        <w:instrText xml:space="preserve"> \* MERGEFORMAT </w:instrText>
      </w:r>
      <w:r w:rsidR="000F01AE" w:rsidRPr="005C2E33">
        <w:fldChar w:fldCharType="separate"/>
      </w:r>
      <w:r w:rsidR="000761C1" w:rsidRPr="005C2E33">
        <w:t>C1.3.1</w:t>
      </w:r>
      <w:r w:rsidR="000F01AE" w:rsidRPr="005C2E33">
        <w:fldChar w:fldCharType="end"/>
      </w:r>
      <w:r w:rsidR="000F01AE" w:rsidRPr="005C2E33">
        <w:t xml:space="preserve"> for information on the </w:t>
      </w:r>
      <w:r w:rsidR="009A0BF3" w:rsidRPr="005C2E33">
        <w:t xml:space="preserve">application of </w:t>
      </w:r>
      <w:r w:rsidR="003B0B0B" w:rsidRPr="005C2E33">
        <w:t>TS 1170.5 for parts and components.</w:t>
      </w:r>
    </w:p>
    <w:p w14:paraId="2E583E5E" w14:textId="1DB3A1C7" w:rsidR="00CA287A" w:rsidRPr="006E61DB" w:rsidRDefault="00CA287A" w:rsidP="00666E06">
      <w:r w:rsidRPr="006E61DB">
        <w:br w:type="page"/>
      </w:r>
    </w:p>
    <w:p w14:paraId="4D3CF43F" w14:textId="2330BF38" w:rsidR="001B11D7" w:rsidRPr="00A9001D" w:rsidRDefault="00CA287A" w:rsidP="00CB2AE8">
      <w:pPr>
        <w:pStyle w:val="Section3heading1"/>
      </w:pPr>
      <w:bookmarkStart w:id="306" w:name="_Ref170396667"/>
      <w:bookmarkStart w:id="307" w:name="_Ref170396669"/>
      <w:bookmarkStart w:id="308" w:name="_Toc203641984"/>
      <w:r w:rsidRPr="00A9001D">
        <w:lastRenderedPageBreak/>
        <w:t>Geotechnical Considerations and Building Foundations</w:t>
      </w:r>
      <w:bookmarkStart w:id="309" w:name="_Toc150929107"/>
      <w:bookmarkEnd w:id="306"/>
      <w:bookmarkEnd w:id="307"/>
      <w:bookmarkEnd w:id="308"/>
      <w:bookmarkEnd w:id="309"/>
    </w:p>
    <w:p w14:paraId="2A732B4B" w14:textId="4DA6E659" w:rsidR="00C551BA" w:rsidRPr="00062AB7" w:rsidRDefault="00C551BA" w:rsidP="00CB2AE8">
      <w:pPr>
        <w:pStyle w:val="Section3heading2"/>
      </w:pPr>
      <w:bookmarkStart w:id="310" w:name="_Toc203641985"/>
      <w:r w:rsidRPr="00062AB7">
        <w:t>Introduction</w:t>
      </w:r>
      <w:bookmarkEnd w:id="310"/>
    </w:p>
    <w:p w14:paraId="1F50B351" w14:textId="4784EDE0" w:rsidR="00C551BA" w:rsidRPr="00062AB7" w:rsidRDefault="00C551BA" w:rsidP="00666E06">
      <w:r w:rsidRPr="00062AB7">
        <w:t xml:space="preserve">This section provides an overview of the geotechnical requirements and considerations that need to be addressed for site planning and designing buildings for </w:t>
      </w:r>
      <w:r w:rsidR="007D5C79">
        <w:t xml:space="preserve">Health NZ </w:t>
      </w:r>
      <w:r w:rsidRPr="00062AB7">
        <w:t>projects. It covers the following topics:</w:t>
      </w:r>
    </w:p>
    <w:p w14:paraId="75FBE072" w14:textId="67B6441B" w:rsidR="00C551BA" w:rsidRPr="00062AB7" w:rsidRDefault="00C551BA" w:rsidP="004D55F1">
      <w:pPr>
        <w:pStyle w:val="ListParagraph"/>
        <w:numPr>
          <w:ilvl w:val="0"/>
          <w:numId w:val="85"/>
        </w:numPr>
      </w:pPr>
      <w:r w:rsidRPr="00062AB7">
        <w:t xml:space="preserve">Geotechnical investigations; </w:t>
      </w:r>
    </w:p>
    <w:p w14:paraId="5ADE7431" w14:textId="2FEC0091" w:rsidR="00C551BA" w:rsidRPr="00062AB7" w:rsidRDefault="00C551BA" w:rsidP="004D55F1">
      <w:pPr>
        <w:pStyle w:val="ListParagraph"/>
        <w:numPr>
          <w:ilvl w:val="0"/>
          <w:numId w:val="85"/>
        </w:numPr>
      </w:pPr>
      <w:r w:rsidRPr="00062AB7">
        <w:t>Geotechnical analysis and modelling;</w:t>
      </w:r>
    </w:p>
    <w:p w14:paraId="231C6288" w14:textId="756FF810" w:rsidR="00C551BA" w:rsidRPr="00062AB7" w:rsidRDefault="00C551BA" w:rsidP="004D55F1">
      <w:pPr>
        <w:pStyle w:val="ListParagraph"/>
        <w:numPr>
          <w:ilvl w:val="0"/>
          <w:numId w:val="85"/>
        </w:numPr>
      </w:pPr>
      <w:r w:rsidRPr="00062AB7">
        <w:t>Building foundation types and design criteria;</w:t>
      </w:r>
    </w:p>
    <w:p w14:paraId="12FCB002" w14:textId="1C2ABAE6" w:rsidR="00C551BA" w:rsidRPr="00062AB7" w:rsidRDefault="00C551BA" w:rsidP="004D55F1">
      <w:pPr>
        <w:pStyle w:val="ListParagraph"/>
        <w:numPr>
          <w:ilvl w:val="0"/>
          <w:numId w:val="85"/>
        </w:numPr>
      </w:pPr>
      <w:r w:rsidRPr="00062AB7">
        <w:t>Risk-based approach and whole of life cost for selecting building foundation systems;</w:t>
      </w:r>
    </w:p>
    <w:p w14:paraId="02F903D6" w14:textId="6E61A02F" w:rsidR="00C551BA" w:rsidRPr="00062AB7" w:rsidRDefault="00C551BA" w:rsidP="004D55F1">
      <w:pPr>
        <w:pStyle w:val="ListParagraph"/>
        <w:numPr>
          <w:ilvl w:val="0"/>
          <w:numId w:val="85"/>
        </w:numPr>
      </w:pPr>
      <w:r w:rsidRPr="00062AB7">
        <w:t>Repairability and resilience of foundation systems.</w:t>
      </w:r>
    </w:p>
    <w:p w14:paraId="48B63F6E" w14:textId="2614EAAE" w:rsidR="00C551BA" w:rsidRPr="00062AB7" w:rsidRDefault="00C551BA" w:rsidP="00666E06">
      <w:r w:rsidRPr="00062AB7">
        <w:t>The section does not prescribe a single solution for all situations. Rather, it highlights the key factors and challenges that need to be addressed and evaluated in each project.</w:t>
      </w:r>
    </w:p>
    <w:p w14:paraId="47CD39AE" w14:textId="77777777" w:rsidR="00A75815" w:rsidRPr="00062AB7" w:rsidRDefault="00A75815" w:rsidP="007D40A2">
      <w:pPr>
        <w:pStyle w:val="Section3heading2"/>
      </w:pPr>
      <w:bookmarkStart w:id="311" w:name="_Toc203641986"/>
      <w:r w:rsidRPr="00062AB7">
        <w:t>Geotechnical Investigations</w:t>
      </w:r>
      <w:bookmarkEnd w:id="311"/>
    </w:p>
    <w:p w14:paraId="272AA294" w14:textId="59EA1F09" w:rsidR="00A75815" w:rsidRPr="00062AB7" w:rsidRDefault="00A75815" w:rsidP="00666E06">
      <w:r w:rsidRPr="00062AB7">
        <w:t>A site masterplan should be informed by the presence of potentially significant geotechnical constraints (e.g., liquefaction hazard, unstable slopes)</w:t>
      </w:r>
      <w:r w:rsidR="00CA2376">
        <w:t xml:space="preserve"> </w:t>
      </w:r>
      <w:r w:rsidR="008C23C8">
        <w:t xml:space="preserve">- </w:t>
      </w:r>
      <w:r w:rsidRPr="00062AB7">
        <w:t xml:space="preserve">refer to Section </w:t>
      </w:r>
      <w:r w:rsidRPr="00062AB7">
        <w:fldChar w:fldCharType="begin"/>
      </w:r>
      <w:r w:rsidRPr="00062AB7">
        <w:instrText xml:space="preserve"> REF _Ref168979434 \r \h </w:instrText>
      </w:r>
      <w:r w:rsidR="00062AB7">
        <w:instrText xml:space="preserve"> \* MERGEFORMAT </w:instrText>
      </w:r>
      <w:r w:rsidRPr="00062AB7">
        <w:fldChar w:fldCharType="separate"/>
      </w:r>
      <w:r w:rsidR="000761C1">
        <w:t>A1.7.2</w:t>
      </w:r>
      <w:r w:rsidRPr="00062AB7">
        <w:fldChar w:fldCharType="end"/>
      </w:r>
      <w:r w:rsidRPr="00062AB7">
        <w:t xml:space="preserve">. Furthermore, an important structural design consideration is that the ground conditions should guide the selection of the “best fit” structural system, which will in turn guide the architectural design of the building (refer to Section </w:t>
      </w:r>
      <w:r w:rsidRPr="00062AB7">
        <w:fldChar w:fldCharType="begin"/>
      </w:r>
      <w:r w:rsidRPr="00062AB7">
        <w:instrText xml:space="preserve"> REF _Ref169020056 \r \h </w:instrText>
      </w:r>
      <w:r w:rsidR="00062AB7">
        <w:instrText xml:space="preserve"> \* MERGEFORMAT </w:instrText>
      </w:r>
      <w:r w:rsidRPr="00062AB7">
        <w:fldChar w:fldCharType="separate"/>
      </w:r>
      <w:r w:rsidR="000761C1">
        <w:t>A2.1</w:t>
      </w:r>
      <w:r w:rsidRPr="00062AB7">
        <w:fldChar w:fldCharType="end"/>
      </w:r>
      <w:r w:rsidRPr="00062AB7">
        <w:t>).</w:t>
      </w:r>
    </w:p>
    <w:p w14:paraId="29ABBD7E" w14:textId="5886D521" w:rsidR="00A75815" w:rsidRPr="00062AB7" w:rsidRDefault="00A75815" w:rsidP="00666E06">
      <w:r w:rsidRPr="00062AB7">
        <w:t>Appropriate geotechnical investigations are therefore essential for obtaining reliable and representative data. The data is used for assessing the geotechnical hazards that might be present at a site, for assessing the site soil class for seismic design, and for geotechnical analysis, and design of foundation systems. Geotechnical investigations should be carried out in accordance with all relevant standards and codes of practice</w:t>
      </w:r>
      <w:r w:rsidR="008C23C8">
        <w:t xml:space="preserve">, </w:t>
      </w:r>
      <w:r w:rsidRPr="00062AB7">
        <w:t>in particular, reference should be made to Earthquake Geotechnical Engineering Practice Module 2:</w:t>
      </w:r>
      <w:r w:rsidRPr="00062AB7">
        <w:rPr>
          <w:i/>
          <w:iCs/>
        </w:rPr>
        <w:t xml:space="preserve"> Geotechnical Investigations for Earthquake Engineerin</w:t>
      </w:r>
      <w:r w:rsidRPr="00062AB7">
        <w:t xml:space="preserve">g </w:t>
      </w:r>
      <w:r w:rsidR="007D2E70" w:rsidRPr="00062AB7">
        <w:t>(</w:t>
      </w:r>
      <w:r w:rsidR="008C0611" w:rsidRPr="00062AB7">
        <w:t xml:space="preserve">2021 </w:t>
      </w:r>
      <w:r w:rsidRPr="00062AB7">
        <w:t>or most recent revision</w:t>
      </w:r>
      <w:r w:rsidR="007D2E70" w:rsidRPr="00062AB7">
        <w:t>)</w:t>
      </w:r>
      <w:r w:rsidRPr="00062AB7">
        <w:t>.</w:t>
      </w:r>
    </w:p>
    <w:p w14:paraId="6267109A" w14:textId="6273522E" w:rsidR="007D2E70" w:rsidRPr="00062AB7" w:rsidRDefault="007D2E70" w:rsidP="007D40A2">
      <w:pPr>
        <w:pStyle w:val="Section3heading3"/>
      </w:pPr>
      <w:r w:rsidRPr="00062AB7">
        <w:t>Scope of Investigations</w:t>
      </w:r>
    </w:p>
    <w:p w14:paraId="32A116E4" w14:textId="0C371A73" w:rsidR="001075ED" w:rsidRPr="00062AB7" w:rsidRDefault="007D2E70" w:rsidP="00666E06">
      <w:r w:rsidRPr="00062AB7">
        <w:t>The scope and extent of geotechnical investigations will depend on the size, complexity, and importance of the building, as well as the availability and quality of existing data. At an early stage of a project a sufficient mix of both shallow and deep investigations is expected over a site so that the primary foundation considerations (e.g., shallow vs deep, potential need for ground improvement) can be identified early in the design process. For Master Planning, sufficient investigations should be done over the entire property</w:t>
      </w:r>
      <w:r w:rsidR="008C23C8">
        <w:t xml:space="preserve"> </w:t>
      </w:r>
      <w:r w:rsidRPr="00062AB7">
        <w:t>so that any geotechnical constraints are identified and informed decisions regarding the prudent siting of buildings can be made.</w:t>
      </w:r>
    </w:p>
    <w:p w14:paraId="41417DFB" w14:textId="027E6080" w:rsidR="00CF70EF" w:rsidRPr="00062AB7" w:rsidRDefault="007D2E70" w:rsidP="007D40A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2AB7">
        <w:lastRenderedPageBreak/>
        <w:t>Section 2.4.3 of Earthquake Geotechnical Engineering Practice Module 2 gives some general guidance regarding the density and depth of investigations, as a starting point.</w:t>
      </w:r>
    </w:p>
    <w:p w14:paraId="13ED88FF" w14:textId="1718107E" w:rsidR="00D063AC" w:rsidRPr="00062AB7" w:rsidRDefault="00D063AC" w:rsidP="007D40A2">
      <w:pPr>
        <w:pStyle w:val="Section3heading3"/>
      </w:pPr>
      <w:r w:rsidRPr="00062AB7">
        <w:t>Staging</w:t>
      </w:r>
      <w:r w:rsidR="0067151F" w:rsidRPr="00062AB7">
        <w:t xml:space="preserve"> of Investigations</w:t>
      </w:r>
    </w:p>
    <w:p w14:paraId="1AAD6DD7" w14:textId="4D545304" w:rsidR="00D063AC" w:rsidRPr="00062AB7" w:rsidRDefault="00D063AC" w:rsidP="00666E06">
      <w:r w:rsidRPr="00062AB7">
        <w:t>Staging of site investigations</w:t>
      </w:r>
      <w:r w:rsidR="00E0610C" w:rsidRPr="00062AB7">
        <w:t xml:space="preserve"> (progressively </w:t>
      </w:r>
      <w:r w:rsidR="003623C1" w:rsidRPr="00062AB7">
        <w:t xml:space="preserve">undertaking more comprehensive </w:t>
      </w:r>
      <w:r w:rsidR="00CB787E" w:rsidRPr="00062AB7">
        <w:t xml:space="preserve">or targeted </w:t>
      </w:r>
      <w:r w:rsidR="003623C1" w:rsidRPr="00062AB7">
        <w:t>investigation information</w:t>
      </w:r>
      <w:r w:rsidR="00275B4D" w:rsidRPr="00062AB7">
        <w:t xml:space="preserve">, or in </w:t>
      </w:r>
      <w:r w:rsidR="00FB09CD" w:rsidRPr="00062AB7">
        <w:t>other words</w:t>
      </w:r>
      <w:r w:rsidR="00275B4D" w:rsidRPr="00062AB7">
        <w:t xml:space="preserve"> delaying the acquisition of </w:t>
      </w:r>
      <w:r w:rsidR="00547EC1" w:rsidRPr="00062AB7">
        <w:t xml:space="preserve">adequate </w:t>
      </w:r>
      <w:r w:rsidR="00FB09CD" w:rsidRPr="00062AB7">
        <w:t xml:space="preserve">investigation information </w:t>
      </w:r>
      <w:r w:rsidR="00547EC1" w:rsidRPr="00062AB7">
        <w:t>to complete the design</w:t>
      </w:r>
      <w:r w:rsidR="003623C1" w:rsidRPr="00062AB7">
        <w:t>)</w:t>
      </w:r>
      <w:r w:rsidRPr="00062AB7">
        <w:t xml:space="preserve"> should only be done to the extent necessary. As much investigation should be brought forward in the design programme as possible, on the basis that if it is likely to be required at a later stage it should be carried out in conjunction with current investigations. In particular, if there is a possibility that heavy buildings will be part of the project, combined with ground conditions that may limit the use of shallow foundations to support large foundation loads, then the initial investigation should include sufficient deep investigation to enable provision of indicative pile bearing capacities and founding depths. This reduces costs and identifies potential issues, which can have budget implications (e.g., when developing a business case), early in the project. </w:t>
      </w:r>
    </w:p>
    <w:p w14:paraId="18F9579C" w14:textId="0A5B845C" w:rsidR="008407F3" w:rsidRPr="00062AB7" w:rsidRDefault="00D063AC" w:rsidP="00666E06">
      <w:r w:rsidRPr="00062AB7">
        <w:t>Where there is a reasonable chance of a potentially significant saving to be made in construction cost, then further stages of investigation may be warranted. For example, consider a site where initial CPT investigations indicate a potentially critical liquefaction issue which may result in the need for significant ground improvement. If a sensitivity analysis shows liquefaction triggering is highly sensitive to the CPT-inferred fines content or plasticity of the liquefiable soils, then further drilling, sampling and lab testing to determine the actual fines content or plasticity may be justified to confirm whether (or to what extent) ground improvement is required.</w:t>
      </w:r>
    </w:p>
    <w:p w14:paraId="621A71BD" w14:textId="3D001FDC" w:rsidR="002B4924" w:rsidRPr="00062AB7" w:rsidRDefault="002B4924" w:rsidP="007D40A2">
      <w:pPr>
        <w:pStyle w:val="Section3heading3"/>
      </w:pPr>
      <w:r w:rsidRPr="00062AB7">
        <w:t>Data Collection</w:t>
      </w:r>
    </w:p>
    <w:p w14:paraId="2B8A4125" w14:textId="77777777" w:rsidR="002B4924" w:rsidRPr="00227002" w:rsidRDefault="002B4924" w:rsidP="00666E06">
      <w:r w:rsidRPr="00227002">
        <w:t xml:space="preserve">In general, the investigations should provide sufficient information for the following purposes (note that this is not an exhaustive list): </w:t>
      </w:r>
    </w:p>
    <w:p w14:paraId="71F1E7FA" w14:textId="79D64906" w:rsidR="002B4924" w:rsidRPr="00227002" w:rsidRDefault="002B4924" w:rsidP="004D55F1">
      <w:pPr>
        <w:pStyle w:val="ListParagraph"/>
        <w:numPr>
          <w:ilvl w:val="0"/>
          <w:numId w:val="86"/>
        </w:numPr>
      </w:pPr>
      <w:r w:rsidRPr="00227002">
        <w:t>adequate characterization of the site ground conditions, including thickness, density, strength, stiffness, and (where appropriate) permeability of the relevant layers;</w:t>
      </w:r>
    </w:p>
    <w:p w14:paraId="685D6338" w14:textId="2CBC6803" w:rsidR="002B4924" w:rsidRPr="00227002" w:rsidRDefault="002B4924" w:rsidP="004D55F1">
      <w:pPr>
        <w:pStyle w:val="ListParagraph"/>
        <w:numPr>
          <w:ilvl w:val="0"/>
          <w:numId w:val="86"/>
        </w:numPr>
      </w:pPr>
      <w:r w:rsidRPr="00227002">
        <w:t>determination of groundwater levels – including recommended design groundwater level;</w:t>
      </w:r>
    </w:p>
    <w:p w14:paraId="61B44FDB" w14:textId="52EF063E" w:rsidR="002B4924" w:rsidRPr="00227002" w:rsidRDefault="002B4924" w:rsidP="004D55F1">
      <w:pPr>
        <w:pStyle w:val="ListParagraph"/>
        <w:numPr>
          <w:ilvl w:val="0"/>
          <w:numId w:val="86"/>
        </w:numPr>
      </w:pPr>
      <w:r w:rsidRPr="00227002">
        <w:t xml:space="preserve">identification and quantification of any potential geotechnical hazards, such as liquefaction, lateral spreading, slope instability, settlement, erosion, expansive soils, tomos, and off-site hazards such as landslide, rockfall and the like; </w:t>
      </w:r>
    </w:p>
    <w:p w14:paraId="5D686FB4" w14:textId="36CF597B" w:rsidR="002B4924" w:rsidRPr="00227002" w:rsidRDefault="002B4924" w:rsidP="004D55F1">
      <w:pPr>
        <w:pStyle w:val="ListParagraph"/>
        <w:numPr>
          <w:ilvl w:val="0"/>
          <w:numId w:val="86"/>
        </w:numPr>
      </w:pPr>
      <w:r w:rsidRPr="00227002">
        <w:t>assessment of shear wave velocity profile (Vs30) for determination of site class (unless a default site class is to be used);</w:t>
      </w:r>
    </w:p>
    <w:p w14:paraId="0A9242DB" w14:textId="4BA89F2C" w:rsidR="002B4924" w:rsidRPr="00227002" w:rsidRDefault="002B4924" w:rsidP="004D55F1">
      <w:pPr>
        <w:pStyle w:val="ListParagraph"/>
        <w:numPr>
          <w:ilvl w:val="0"/>
          <w:numId w:val="86"/>
        </w:numPr>
      </w:pPr>
      <w:r w:rsidRPr="00227002">
        <w:t>likely options for foundation systems;</w:t>
      </w:r>
    </w:p>
    <w:p w14:paraId="46D0800C" w14:textId="1EEF2C82" w:rsidR="00A75815" w:rsidRPr="00227002" w:rsidRDefault="002B4924" w:rsidP="004D55F1">
      <w:pPr>
        <w:pStyle w:val="ListParagraph"/>
        <w:numPr>
          <w:ilvl w:val="0"/>
          <w:numId w:val="86"/>
        </w:numPr>
      </w:pPr>
      <w:r w:rsidRPr="00227002">
        <w:t>geotechnical design criteria including the bearing capacity, settlement, stiffness parameters pile types and capacities, lateral foundation capacities, seismic deformation (e.g., liquefaction deformations, seismic slope deformations).</w:t>
      </w:r>
    </w:p>
    <w:p w14:paraId="1A3BAB47" w14:textId="77777777" w:rsidR="00D7427E" w:rsidRPr="00227002" w:rsidRDefault="00D7427E" w:rsidP="007D40A2">
      <w:pPr>
        <w:pStyle w:val="Section3heading3"/>
      </w:pPr>
      <w:r w:rsidRPr="00227002">
        <w:lastRenderedPageBreak/>
        <w:t>Methodology</w:t>
      </w:r>
    </w:p>
    <w:p w14:paraId="7E268567" w14:textId="69B15D7D" w:rsidR="00D7427E" w:rsidRPr="00227002" w:rsidRDefault="00D7427E" w:rsidP="00666E06">
      <w:r w:rsidRPr="00227002">
        <w:t>The geotechnical investigations should include a combination of desk study, an appropriate combination of shallow and deep investigations, and (where appropriate) laboratory testing, as well as geophysical testing and geotechnical monitoring if required. The methods and techniques used for geotechnical investigations should be suitable for the site conditions and the project objectives. Some of the more common methods and techniques are detailed in Earthquake Geotechnical Engineering Practice Module 2 (it is anticipated that only a small subset of those will be needed on any one project site).</w:t>
      </w:r>
    </w:p>
    <w:p w14:paraId="4CB0B29C" w14:textId="1938F4C0" w:rsidR="00CA287A" w:rsidRPr="00227002" w:rsidRDefault="00D7427E" w:rsidP="00666E06">
      <w:r w:rsidRPr="00227002">
        <w:t xml:space="preserve">The quality and reliability of the geotechnical data and resulting geotechnical advice depend on the adequacy and accuracy of the geotechnical investigations. The data should be verified and validated by cross-checking different sources and methods where feasible. The data should also be updated and refined as the project progresses and new information becomes available. The data should be presented and interpreted clearly and consistently in the geotechnical investigation report, using appropriate charts, tables, and plans – refer to Section </w:t>
      </w:r>
      <w:r w:rsidRPr="00227002">
        <w:fldChar w:fldCharType="begin"/>
      </w:r>
      <w:r w:rsidRPr="00227002">
        <w:instrText xml:space="preserve"> REF _Ref150752924 \r \h </w:instrText>
      </w:r>
      <w:r w:rsidR="00227002">
        <w:instrText xml:space="preserve"> \* MERGEFORMAT </w:instrText>
      </w:r>
      <w:r w:rsidRPr="00227002">
        <w:fldChar w:fldCharType="separate"/>
      </w:r>
      <w:r w:rsidR="000761C1">
        <w:t>A3.4</w:t>
      </w:r>
      <w:r w:rsidRPr="00227002">
        <w:fldChar w:fldCharType="end"/>
      </w:r>
      <w:r w:rsidRPr="00227002">
        <w:t xml:space="preserve">. As required by </w:t>
      </w:r>
      <w:r w:rsidR="007D5C79">
        <w:t xml:space="preserve">Health NZ </w:t>
      </w:r>
      <w:r w:rsidRPr="00227002">
        <w:t xml:space="preserve">(Section </w:t>
      </w:r>
      <w:r w:rsidRPr="00227002">
        <w:fldChar w:fldCharType="begin"/>
      </w:r>
      <w:r w:rsidRPr="00227002">
        <w:instrText xml:space="preserve"> REF _Ref149568440 \r \h </w:instrText>
      </w:r>
      <w:r w:rsidR="00227002">
        <w:instrText xml:space="preserve"> \* MERGEFORMAT </w:instrText>
      </w:r>
      <w:r w:rsidRPr="00227002">
        <w:fldChar w:fldCharType="separate"/>
      </w:r>
      <w:r w:rsidR="000761C1">
        <w:t>A3.4.1</w:t>
      </w:r>
      <w:r w:rsidRPr="00227002">
        <w:fldChar w:fldCharType="end"/>
      </w:r>
      <w:r w:rsidRPr="00227002">
        <w:t>), all geotechnical factual data collected for a site is to be uploaded to the New Zealand Geotechnical Database (NZGD) as soon as practicable after its collection.</w:t>
      </w:r>
    </w:p>
    <w:p w14:paraId="569F2EF9" w14:textId="77777777" w:rsidR="002F1F9A" w:rsidRPr="00E513E4" w:rsidRDefault="002F1F9A" w:rsidP="007D40A2">
      <w:pPr>
        <w:pStyle w:val="Section3heading2"/>
      </w:pPr>
      <w:bookmarkStart w:id="312" w:name="_Toc203641987"/>
      <w:r w:rsidRPr="00E513E4">
        <w:t>Geotechnical Analysis</w:t>
      </w:r>
      <w:bookmarkEnd w:id="312"/>
    </w:p>
    <w:p w14:paraId="417B6761" w14:textId="451F967C" w:rsidR="001943C9" w:rsidRPr="00E513E4" w:rsidRDefault="002F1F9A" w:rsidP="00666E06">
      <w:r w:rsidRPr="00E513E4">
        <w:t>The purpose of geotechnical analysis is to evaluate the behaviour and performance of the ground and foundation system under various loading conditions.</w:t>
      </w:r>
    </w:p>
    <w:p w14:paraId="5D4A6A72" w14:textId="77777777" w:rsidR="003151FC" w:rsidRPr="00E513E4" w:rsidRDefault="003151FC" w:rsidP="007D40A2">
      <w:pPr>
        <w:pStyle w:val="Section3heading3"/>
      </w:pPr>
      <w:r w:rsidRPr="00E513E4">
        <w:t>Analysis Methods</w:t>
      </w:r>
    </w:p>
    <w:p w14:paraId="61EDF99C" w14:textId="07287425" w:rsidR="00746C35" w:rsidRPr="00E513E4" w:rsidRDefault="003151FC" w:rsidP="00666E06">
      <w:r w:rsidRPr="00E513E4">
        <w:t>Analyses of geotechnical data are to be carried out using recognised methodologies, procedures, and current good practice. Reference should be made in the first instance to</w:t>
      </w:r>
      <w:r w:rsidR="005B2C7C" w:rsidRPr="00E513E4">
        <w:t xml:space="preserve"> the following Earthquake Geotechnical Engineering Practice Modules:</w:t>
      </w:r>
    </w:p>
    <w:p w14:paraId="16C67868" w14:textId="32655A08" w:rsidR="00746C35" w:rsidRPr="00E513E4" w:rsidRDefault="003151FC" w:rsidP="004D55F1">
      <w:pPr>
        <w:pStyle w:val="ListParagraph"/>
        <w:numPr>
          <w:ilvl w:val="0"/>
          <w:numId w:val="87"/>
        </w:numPr>
      </w:pPr>
      <w:r w:rsidRPr="00E513E4">
        <w:t xml:space="preserve">Module 3: </w:t>
      </w:r>
      <w:r w:rsidRPr="003C1B84">
        <w:rPr>
          <w:i/>
          <w:iCs/>
        </w:rPr>
        <w:t>Identification, Assessment and Mitigation of Liquefaction Hazards</w:t>
      </w:r>
      <w:r w:rsidR="00746C35" w:rsidRPr="00E513E4">
        <w:t>,</w:t>
      </w:r>
    </w:p>
    <w:p w14:paraId="416263D8" w14:textId="68DD9A89" w:rsidR="00746C35" w:rsidRPr="00E513E4" w:rsidRDefault="003151FC" w:rsidP="004D55F1">
      <w:pPr>
        <w:pStyle w:val="ListParagraph"/>
        <w:numPr>
          <w:ilvl w:val="0"/>
          <w:numId w:val="87"/>
        </w:numPr>
      </w:pPr>
      <w:r w:rsidRPr="00E513E4">
        <w:t xml:space="preserve">Module 4: </w:t>
      </w:r>
      <w:r w:rsidRPr="003C1B84">
        <w:rPr>
          <w:i/>
          <w:iCs/>
        </w:rPr>
        <w:t>Earthquake Resistant Foundation Design</w:t>
      </w:r>
      <w:r w:rsidR="00746C35" w:rsidRPr="00E513E4">
        <w:t>,</w:t>
      </w:r>
    </w:p>
    <w:p w14:paraId="6621EEE4" w14:textId="77777777" w:rsidR="00746C35" w:rsidRPr="00E513E4" w:rsidRDefault="003151FC" w:rsidP="004D55F1">
      <w:pPr>
        <w:pStyle w:val="ListParagraph"/>
        <w:numPr>
          <w:ilvl w:val="0"/>
          <w:numId w:val="87"/>
        </w:numPr>
        <w:rPr>
          <w:color w:val="000000"/>
        </w:rPr>
      </w:pPr>
      <w:r w:rsidRPr="00E513E4">
        <w:t>Module 5</w:t>
      </w:r>
      <w:r w:rsidR="00746C35" w:rsidRPr="00E513E4">
        <w:t xml:space="preserve">: </w:t>
      </w:r>
      <w:r w:rsidRPr="003C1B84">
        <w:rPr>
          <w:i/>
          <w:iCs/>
        </w:rPr>
        <w:t>Ground Improvement of Soils Prone to Liquefaction</w:t>
      </w:r>
      <w:r w:rsidRPr="00E513E4">
        <w:t>,</w:t>
      </w:r>
    </w:p>
    <w:p w14:paraId="1EB25C03" w14:textId="30BCC9F2" w:rsidR="00644C59" w:rsidRPr="00E513E4" w:rsidRDefault="00644C59" w:rsidP="004D55F1">
      <w:pPr>
        <w:pStyle w:val="ListParagraph"/>
        <w:numPr>
          <w:ilvl w:val="0"/>
          <w:numId w:val="87"/>
        </w:numPr>
        <w:rPr>
          <w:color w:val="000000"/>
        </w:rPr>
      </w:pPr>
      <w:r w:rsidRPr="00E513E4">
        <w:t xml:space="preserve">Module 6: </w:t>
      </w:r>
      <w:r w:rsidRPr="003C1B84">
        <w:rPr>
          <w:i/>
          <w:iCs/>
        </w:rPr>
        <w:t>Earthquake Resistance Retaining Wall Design</w:t>
      </w:r>
      <w:r w:rsidRPr="00E513E4">
        <w:t>.</w:t>
      </w:r>
    </w:p>
    <w:p w14:paraId="0AE28663" w14:textId="05F36979" w:rsidR="003151FC" w:rsidRPr="00E513E4" w:rsidRDefault="003151FC" w:rsidP="00666E06">
      <w:r w:rsidRPr="00E513E4">
        <w:t xml:space="preserve">as well as appropriate New Zealand and International Standards. Where non-standard or less well-known methods or procedures are used, these should be based on published, peer-reviewed papers, and clearly referenced. </w:t>
      </w:r>
    </w:p>
    <w:p w14:paraId="2F4A37D1" w14:textId="77777777" w:rsidR="003151FC" w:rsidRPr="00E513E4" w:rsidRDefault="003151FC" w:rsidP="00666E06">
      <w:r w:rsidRPr="00E513E4">
        <w:t xml:space="preserve">Geotechnical analyses can be performed using different methods and tools, depending on the level of complexity and detail required. Some of the common methods and tools include: </w:t>
      </w:r>
    </w:p>
    <w:p w14:paraId="4D4C1B13" w14:textId="72704663" w:rsidR="003151FC" w:rsidRPr="00E513E4" w:rsidRDefault="003151FC" w:rsidP="004D55F1">
      <w:pPr>
        <w:pStyle w:val="ListParagraph"/>
        <w:numPr>
          <w:ilvl w:val="0"/>
          <w:numId w:val="88"/>
        </w:numPr>
      </w:pPr>
      <w:r w:rsidRPr="00E513E4">
        <w:t>closed-form solutions for ideali</w:t>
      </w:r>
      <w:r w:rsidR="009F46D6">
        <w:t>s</w:t>
      </w:r>
      <w:r w:rsidRPr="00E513E4">
        <w:t>ed problems, based on theoretical soil mechanics, such as elastic solutions, and limit equilibrium solutions;</w:t>
      </w:r>
    </w:p>
    <w:p w14:paraId="7BB7930C" w14:textId="77777777" w:rsidR="003151FC" w:rsidRPr="00E513E4" w:rsidRDefault="003151FC" w:rsidP="004D55F1">
      <w:pPr>
        <w:pStyle w:val="ListParagraph"/>
        <w:numPr>
          <w:ilvl w:val="0"/>
          <w:numId w:val="88"/>
        </w:numPr>
      </w:pPr>
      <w:r w:rsidRPr="00E513E4">
        <w:lastRenderedPageBreak/>
        <w:t xml:space="preserve">empirical or semi-empirical method which use observed behavioural correlations, sometimes in conjunction with theoretical soil mechanics, to obtain empirical solutions; and, </w:t>
      </w:r>
    </w:p>
    <w:p w14:paraId="4C9129D2" w14:textId="77777777" w:rsidR="003151FC" w:rsidRPr="00E513E4" w:rsidRDefault="003151FC" w:rsidP="004D55F1">
      <w:pPr>
        <w:pStyle w:val="ListParagraph"/>
        <w:numPr>
          <w:ilvl w:val="0"/>
          <w:numId w:val="88"/>
        </w:numPr>
      </w:pPr>
      <w:r w:rsidRPr="00E513E4">
        <w:t>numerical methods that use computational algorithms and software to obtain numerical solutions for more complex problems, such as finite element or finite difference methods.</w:t>
      </w:r>
    </w:p>
    <w:p w14:paraId="40FE6C82" w14:textId="77777777" w:rsidR="0076032F" w:rsidRPr="00E513E4" w:rsidRDefault="0076032F" w:rsidP="007D40A2">
      <w:pPr>
        <w:pStyle w:val="Section3heading3"/>
      </w:pPr>
      <w:bookmarkStart w:id="313" w:name="_Ref169021403"/>
      <w:r w:rsidRPr="00E513E4">
        <w:t>Addressing Uncertainty</w:t>
      </w:r>
      <w:bookmarkEnd w:id="313"/>
    </w:p>
    <w:p w14:paraId="7B95A059" w14:textId="2138C69B" w:rsidR="0076032F" w:rsidRPr="00E513E4" w:rsidRDefault="0076032F" w:rsidP="00666E06">
      <w:r w:rsidRPr="00E513E4">
        <w:t>In all cases it must be recognised that analytical methods are just mathematical ‘models’, which attempt to represent a particular behaviour of what is a complex natural material – a material for which the composition, strength and stiffness can only be partially, and imperfectly, sampled. For this reason, the geotechnical analyses should recogni</w:t>
      </w:r>
      <w:r w:rsidR="009F46D6">
        <w:t>s</w:t>
      </w:r>
      <w:r w:rsidRPr="00E513E4">
        <w:t>e and acknowledge the limitations and assumptions inherent in the methodologies and the models used. Furthermore, the results of any geotechnical calculation or assessment should be sense-checked against prior expectations and past performance, where possible. This is especially the case when commercial computational software is used in geotechnical assessments</w:t>
      </w:r>
      <w:r w:rsidR="00A43953">
        <w:t xml:space="preserve">. </w:t>
      </w:r>
    </w:p>
    <w:p w14:paraId="11535FD9" w14:textId="612D74CC" w:rsidR="0076032F" w:rsidRPr="00E513E4" w:rsidRDefault="0076032F" w:rsidP="00666E06">
      <w:r w:rsidRPr="00E513E4">
        <w:t>Analyses should account for the uncertainties and variabilities in the geotechnical parameters and the loading conditions—particularly where a small change in a parameter (e.g., shear strength, design groundwater level) results in a potentially significant change in result (e.g., static slope stability factor of safety changes from acceptable to unacceptable). This can be achieved by conducting sensitivity analyses or parametric studies. This is in addition to the need to apply appropriate strength reduction factors, or factors of safety. Uncertainties should be clearly communicated to users of the outputs of geotechnical assessments, particularly where the precision of outputs are critical to structural analyses. Where appropriate, limitations and assumptions should be clearly stated, and their implications evaluated and discussed.</w:t>
      </w:r>
    </w:p>
    <w:p w14:paraId="1DF82F79" w14:textId="77777777" w:rsidR="00073C14" w:rsidRPr="005711A2" w:rsidRDefault="00073C14" w:rsidP="007D40A2">
      <w:pPr>
        <w:pStyle w:val="Section3heading3"/>
      </w:pPr>
      <w:r w:rsidRPr="005711A2">
        <w:t>Documentation</w:t>
      </w:r>
    </w:p>
    <w:p w14:paraId="6F5FFD13" w14:textId="079344C3" w:rsidR="002B4924" w:rsidRPr="005711A2" w:rsidRDefault="00073C14" w:rsidP="00666E06">
      <w:r w:rsidRPr="005711A2">
        <w:t xml:space="preserve">The results of geotechnical analyses should be documented and reported using appropriate figures, tables, and equations. The resulting geotechnical parameters and advice should be communicated clearly and concisely, to provide relevant and useful information for the design of the building (refer to Section </w:t>
      </w:r>
      <w:r w:rsidRPr="005711A2">
        <w:fldChar w:fldCharType="begin"/>
      </w:r>
      <w:r w:rsidRPr="005711A2">
        <w:instrText xml:space="preserve"> REF _Ref150752924 \r \h  \* MERGEFORMAT </w:instrText>
      </w:r>
      <w:r w:rsidRPr="005711A2">
        <w:fldChar w:fldCharType="separate"/>
      </w:r>
      <w:r w:rsidR="000761C1">
        <w:t>A3.4</w:t>
      </w:r>
      <w:r w:rsidRPr="005711A2">
        <w:fldChar w:fldCharType="end"/>
      </w:r>
      <w:r w:rsidRPr="005711A2">
        <w:t xml:space="preserve"> for specific requirements for geotechnical reporting).</w:t>
      </w:r>
    </w:p>
    <w:p w14:paraId="691236F1" w14:textId="77777777" w:rsidR="0094695B" w:rsidRPr="005711A2" w:rsidRDefault="0094695B" w:rsidP="007D40A2">
      <w:pPr>
        <w:pStyle w:val="Section3heading2"/>
      </w:pPr>
      <w:bookmarkStart w:id="314" w:name="_Toc203641988"/>
      <w:r w:rsidRPr="005711A2">
        <w:t>Role of Ground Conditions in Selection of Structural System</w:t>
      </w:r>
      <w:bookmarkEnd w:id="314"/>
    </w:p>
    <w:p w14:paraId="7F659718" w14:textId="1B4408AF" w:rsidR="0094695B" w:rsidRPr="005711A2" w:rsidRDefault="0094695B" w:rsidP="00666E06">
      <w:r w:rsidRPr="005711A2">
        <w:t xml:space="preserve">As discussed in Section </w:t>
      </w:r>
      <w:r w:rsidRPr="005711A2">
        <w:fldChar w:fldCharType="begin"/>
      </w:r>
      <w:r w:rsidRPr="005711A2">
        <w:instrText xml:space="preserve"> REF _Ref169020056 \r \h  \* MERGEFORMAT </w:instrText>
      </w:r>
      <w:r w:rsidRPr="005711A2">
        <w:fldChar w:fldCharType="separate"/>
      </w:r>
      <w:r w:rsidR="000761C1">
        <w:t>A2.1</w:t>
      </w:r>
      <w:r w:rsidRPr="005711A2">
        <w:fldChar w:fldCharType="end"/>
      </w:r>
      <w:r w:rsidRPr="005711A2">
        <w:t>, the ground conditions should inform the selection of the best-fit structural systems for a site, which in turn will inform the architectural design of a building. It is important for the geotechnical engineer to meet with the structural engineer and architect to discuss the potential implication of ground conditions on structural form and foundations.</w:t>
      </w:r>
    </w:p>
    <w:p w14:paraId="6ADBB981" w14:textId="77777777" w:rsidR="0094695B" w:rsidRPr="005711A2" w:rsidRDefault="0094695B" w:rsidP="00666E06">
      <w:r w:rsidRPr="005711A2">
        <w:lastRenderedPageBreak/>
        <w:t>For example, on sites with soils of modest but adequate bearing capacity for normal shallow foundations, it may be preferable to use a distributed lateral load system (i.e. one that does not concentrate loads into isolated single points) that does not require deep piles solely to resist uplift—as this can result in the entire building needing to go on piles (as mixed foundations are generally not acceptable), or the installation of strand anchors.</w:t>
      </w:r>
    </w:p>
    <w:p w14:paraId="12552FAA" w14:textId="1525EC02" w:rsidR="0094695B" w:rsidRPr="005711A2" w:rsidRDefault="0094695B" w:rsidP="00666E06">
      <w:r w:rsidRPr="005711A2">
        <w:t>If the depth to a competent founding layer is very deep, the considerable costs of either option can increase significantly. It is also very important on such a site to (architecturally) design buildings that are regular in plan shape, to avoid concentration of vertical loads (arising from lateral loading) in any one area—which in particular can arise with angular plan protrusions from buildings etc.</w:t>
      </w:r>
    </w:p>
    <w:p w14:paraId="79347A41" w14:textId="77777777" w:rsidR="00865243" w:rsidRPr="005711A2" w:rsidRDefault="00865243" w:rsidP="007D40A2">
      <w:pPr>
        <w:pStyle w:val="Section3heading2"/>
      </w:pPr>
      <w:bookmarkStart w:id="315" w:name="_Toc203641989"/>
      <w:r w:rsidRPr="005711A2">
        <w:t>Foundation Design</w:t>
      </w:r>
      <w:bookmarkEnd w:id="315"/>
    </w:p>
    <w:p w14:paraId="6D430B3E" w14:textId="14244A41" w:rsidR="00865243" w:rsidRPr="005711A2" w:rsidRDefault="00865243" w:rsidP="007D40A2">
      <w:pPr>
        <w:pStyle w:val="Section3heading3"/>
      </w:pPr>
      <w:r w:rsidRPr="005711A2">
        <w:t>General</w:t>
      </w:r>
    </w:p>
    <w:p w14:paraId="40133EA3" w14:textId="77777777" w:rsidR="00865243" w:rsidRPr="005711A2" w:rsidRDefault="00865243" w:rsidP="00666E06">
      <w:r w:rsidRPr="005711A2">
        <w:t xml:space="preserve">The selection of foundation systems depends on ground conditions, building characteristics (in particular structural systems to resist lateral loads as discussed in previous section), and performance requirements. </w:t>
      </w:r>
    </w:p>
    <w:p w14:paraId="3D56C975" w14:textId="77777777" w:rsidR="00865243" w:rsidRPr="005711A2" w:rsidRDefault="00865243" w:rsidP="00666E06">
      <w:r w:rsidRPr="005711A2">
        <w:t>Building foundations can generally be classified into two main categories: shallow foundations and deep foundations. The common types and systems of building foundations are:</w:t>
      </w:r>
    </w:p>
    <w:p w14:paraId="457B69F7" w14:textId="77777777" w:rsidR="00865243" w:rsidRPr="005711A2" w:rsidRDefault="00865243" w:rsidP="004D55F1">
      <w:pPr>
        <w:pStyle w:val="ListParagraph"/>
        <w:numPr>
          <w:ilvl w:val="0"/>
          <w:numId w:val="89"/>
        </w:numPr>
      </w:pPr>
      <w:r w:rsidRPr="005711A2">
        <w:t>shallow foundations: strip footings, pad footings, raft foundations, mat foundations, shallow timber or concrete ‘piles’;</w:t>
      </w:r>
    </w:p>
    <w:p w14:paraId="2A9D081E" w14:textId="77777777" w:rsidR="00865243" w:rsidRPr="005711A2" w:rsidRDefault="00865243" w:rsidP="004D55F1">
      <w:pPr>
        <w:pStyle w:val="ListParagraph"/>
        <w:numPr>
          <w:ilvl w:val="0"/>
          <w:numId w:val="89"/>
        </w:numPr>
      </w:pPr>
      <w:r w:rsidRPr="005711A2">
        <w:t>deep foundations: deep piles, caissons, micropiles, ground anchors;</w:t>
      </w:r>
    </w:p>
    <w:p w14:paraId="654D2324" w14:textId="77777777" w:rsidR="00865243" w:rsidRPr="005711A2" w:rsidRDefault="00865243" w:rsidP="004D55F1">
      <w:pPr>
        <w:pStyle w:val="ListParagraph"/>
        <w:numPr>
          <w:ilvl w:val="0"/>
          <w:numId w:val="89"/>
        </w:numPr>
      </w:pPr>
      <w:r w:rsidRPr="005711A2">
        <w:t>mixed hybrid foundation systems: pile-raft foundations;</w:t>
      </w:r>
    </w:p>
    <w:p w14:paraId="5B49F76A" w14:textId="77777777" w:rsidR="00865243" w:rsidRPr="005711A2" w:rsidRDefault="00865243" w:rsidP="004D55F1">
      <w:pPr>
        <w:pStyle w:val="ListParagraph"/>
        <w:numPr>
          <w:ilvl w:val="0"/>
          <w:numId w:val="89"/>
        </w:numPr>
      </w:pPr>
      <w:r w:rsidRPr="005711A2">
        <w:t>ground improvement: gravel rafts (generally considered to be part of a shallow foundation system), stone columns, grouting, vibro-replacement, vibro-compaction, dynamic compaction, soil mixing, jet grouting (in combination with a shallow foundation system, or effectively act as a deep foundation system).</w:t>
      </w:r>
    </w:p>
    <w:p w14:paraId="3FA58775" w14:textId="77777777" w:rsidR="00865243" w:rsidRPr="005711A2" w:rsidRDefault="00865243" w:rsidP="00666E06">
      <w:r w:rsidRPr="005711A2">
        <w:t>Building foundations should be designed and constructed to satisfy the following criteria, in order to safely transfer the loads from the building to the ground (while also recognising that they also transfer loads and deformations from the ground to the building):</w:t>
      </w:r>
    </w:p>
    <w:p w14:paraId="4C4A6733" w14:textId="77777777" w:rsidR="00865243" w:rsidRPr="005711A2" w:rsidRDefault="00865243" w:rsidP="004D55F1">
      <w:pPr>
        <w:pStyle w:val="ListParagraph"/>
        <w:numPr>
          <w:ilvl w:val="0"/>
          <w:numId w:val="90"/>
        </w:numPr>
      </w:pPr>
      <w:r w:rsidRPr="005711A2">
        <w:t>Strength: the foundation should have adequate strength to resist ultimate limit state (ULS) loads, such as the dead load, live load, wind load, earthquake load, and other imposed loads.</w:t>
      </w:r>
    </w:p>
    <w:p w14:paraId="5D65E53E" w14:textId="77777777" w:rsidR="00865243" w:rsidRPr="005711A2" w:rsidRDefault="00865243" w:rsidP="004D55F1">
      <w:pPr>
        <w:pStyle w:val="ListParagraph"/>
        <w:numPr>
          <w:ilvl w:val="0"/>
          <w:numId w:val="90"/>
        </w:numPr>
      </w:pPr>
      <w:r w:rsidRPr="005711A2">
        <w:t>Serviceability: the foundation should have adequate stiffness to limit serviceability limit state (SLS) effects, such as settlement, differential settlement, rotation, vibration, and cracking.</w:t>
      </w:r>
    </w:p>
    <w:p w14:paraId="291873EF" w14:textId="77777777" w:rsidR="00865243" w:rsidRPr="005711A2" w:rsidRDefault="00865243" w:rsidP="004D55F1">
      <w:pPr>
        <w:pStyle w:val="ListParagraph"/>
        <w:numPr>
          <w:ilvl w:val="0"/>
          <w:numId w:val="90"/>
        </w:numPr>
      </w:pPr>
      <w:r w:rsidRPr="005711A2">
        <w:t xml:space="preserve">Constructability and Safety: the selection and design of foundations should consider how they will be constructed, with regard to issues such as excavation, installation, testing, and inspection. </w:t>
      </w:r>
    </w:p>
    <w:p w14:paraId="2A246DB2" w14:textId="77777777" w:rsidR="00865243" w:rsidRPr="005711A2" w:rsidRDefault="00865243" w:rsidP="004D55F1">
      <w:pPr>
        <w:pStyle w:val="ListParagraph"/>
        <w:numPr>
          <w:ilvl w:val="0"/>
          <w:numId w:val="90"/>
        </w:numPr>
      </w:pPr>
      <w:r w:rsidRPr="005711A2">
        <w:lastRenderedPageBreak/>
        <w:t>Durability: the foundation should have sufficient durability to withstand environmental and operational conditions, such as moisture, temperature, corrosion, erosion, and fatigue.</w:t>
      </w:r>
    </w:p>
    <w:p w14:paraId="5290FF48" w14:textId="062A5F91" w:rsidR="00865243" w:rsidRPr="005711A2" w:rsidRDefault="00865243" w:rsidP="004D55F1">
      <w:pPr>
        <w:pStyle w:val="ListParagraph"/>
        <w:numPr>
          <w:ilvl w:val="0"/>
          <w:numId w:val="90"/>
        </w:numPr>
      </w:pPr>
      <w:r w:rsidRPr="005711A2">
        <w:t>Resilience:  the foundation system should provide a reasonable level of resilience or robustness – for example, under seismic loads, foundations should not be the weak link in the structural system, so that otherwise repairable buildings need to be demolished following an earthquake</w:t>
      </w:r>
      <w:r w:rsidR="00A43953">
        <w:t xml:space="preserve">. </w:t>
      </w:r>
    </w:p>
    <w:p w14:paraId="3D58FFB9" w14:textId="0D6FDB4E" w:rsidR="00073C14" w:rsidRPr="005711A2" w:rsidRDefault="00865243" w:rsidP="004D55F1">
      <w:pPr>
        <w:pStyle w:val="ListParagraph"/>
        <w:numPr>
          <w:ilvl w:val="0"/>
          <w:numId w:val="90"/>
        </w:numPr>
        <w:rPr>
          <w:rFonts w:asciiTheme="majorHAnsi" w:hAnsiTheme="majorHAnsi"/>
        </w:rPr>
      </w:pPr>
      <w:r w:rsidRPr="005711A2">
        <w:t>Economy: the foundation system should, to the extent practicable, be optimi</w:t>
      </w:r>
      <w:r w:rsidR="009F46D6">
        <w:t>s</w:t>
      </w:r>
      <w:r w:rsidRPr="005711A2">
        <w:t>ed with respect to cost and benefit, while meeting the other requirements outlined above</w:t>
      </w:r>
      <w:r w:rsidR="006D2131" w:rsidRPr="005711A2">
        <w:t>.</w:t>
      </w:r>
    </w:p>
    <w:p w14:paraId="14BA8CA0" w14:textId="77777777" w:rsidR="009F1047" w:rsidRPr="005711A2" w:rsidRDefault="009F1047" w:rsidP="007D40A2">
      <w:pPr>
        <w:pStyle w:val="Section3heading3"/>
      </w:pPr>
      <w:r w:rsidRPr="005711A2">
        <w:t>Choice of Foundation Type</w:t>
      </w:r>
    </w:p>
    <w:p w14:paraId="39130CDC" w14:textId="77777777" w:rsidR="009F1047" w:rsidRPr="005711A2" w:rsidRDefault="009F1047" w:rsidP="00666E06">
      <w:r w:rsidRPr="005711A2">
        <w:t>All things being equal, shallow foundations are generally preferred over deep foundations. Shallow foundations are generally less costly, and easier to construct than deep foundations. They are also easier to repair or relevel following a deformation-inducing seismic event on, for example, liquefiable ground.</w:t>
      </w:r>
    </w:p>
    <w:p w14:paraId="26EE34A4" w14:textId="273861F7" w:rsidR="00C71930" w:rsidRPr="005711A2" w:rsidRDefault="009F1047" w:rsidP="00666E06">
      <w:r w:rsidRPr="005711A2">
        <w:t>However, shallow foundations will not be feasible or adequate for all sites or structures, depending on the severity of the anticipated ground deformations (particularly under static conditions), and the building weight and configuration. In such cases, deep foundations (or ground improvement) may be necessary to provide sufficient bearing capacity, stability, and stiffness.</w:t>
      </w:r>
    </w:p>
    <w:p w14:paraId="4075D8DA" w14:textId="77777777" w:rsidR="00681C52" w:rsidRPr="005711A2" w:rsidRDefault="00681C52" w:rsidP="007D40A2">
      <w:pPr>
        <w:pStyle w:val="Section3heading3"/>
      </w:pPr>
      <w:r w:rsidRPr="005711A2">
        <w:t>Mixed Foundation Systems</w:t>
      </w:r>
    </w:p>
    <w:p w14:paraId="5B1372F0" w14:textId="12A0DEBB" w:rsidR="009F1047" w:rsidRPr="005711A2" w:rsidRDefault="00681C52" w:rsidP="00666E06">
      <w:r w:rsidRPr="005711A2">
        <w:t>Mixed foundation systems within the same building footprint are generally not acceptable (e.g. suspended timber floor with slab on grade, or shallow foundations in some areas mixed with deep piles in others), unless the potential for differential movement is insignificant, or suitable allowance is made for differential movement (e.g. strong earthquake shaking leading to differential foundation movement or differential structural response)</w:t>
      </w:r>
      <w:r w:rsidR="00A43953">
        <w:t xml:space="preserve">. </w:t>
      </w:r>
      <w:r w:rsidRPr="005711A2">
        <w:t>Such situations may require a specifically designed structural separation or other movement-tolerant feature to be provided over the full height of the structure.</w:t>
      </w:r>
    </w:p>
    <w:p w14:paraId="177274D4" w14:textId="77777777" w:rsidR="00004BF2" w:rsidRPr="0091297C" w:rsidRDefault="00004BF2" w:rsidP="007D40A2">
      <w:pPr>
        <w:pStyle w:val="Section3heading3"/>
      </w:pPr>
      <w:r w:rsidRPr="0091297C">
        <w:t>NZS 3604 ‘Good Ground’</w:t>
      </w:r>
    </w:p>
    <w:p w14:paraId="1CF8A52F" w14:textId="0DAE4CFF" w:rsidR="00004BF2" w:rsidRPr="0091297C" w:rsidRDefault="00004BF2" w:rsidP="00666E06">
      <w:r w:rsidRPr="0091297C">
        <w:t xml:space="preserve"> The simplistic notion of ‘good ground’ was originally developed so that non-engineers could safely make use of the non-specific design standard NZS 3604</w:t>
      </w:r>
      <w:r w:rsidR="00A43953">
        <w:t xml:space="preserve">. </w:t>
      </w:r>
      <w:r w:rsidRPr="0091297C">
        <w:t>This concept is most applicable to small, lightweight, low-rise structures with well distributed vertical and lateral load resistance. The reality is that ground is neither ‘good’ nor ‘bad’</w:t>
      </w:r>
      <w:r w:rsidR="00503B5A" w:rsidRPr="0091297C">
        <w:t>—</w:t>
      </w:r>
      <w:r w:rsidRPr="0091297C">
        <w:t>instead, it only has certain engineering characteristics that need to be taken account in the engineering design process.</w:t>
      </w:r>
    </w:p>
    <w:p w14:paraId="09E5D072" w14:textId="2C97E8D2" w:rsidR="00004BF2" w:rsidRPr="0091297C" w:rsidRDefault="00004BF2" w:rsidP="00666E06">
      <w:r w:rsidRPr="0091297C">
        <w:t>In particular, in areas of softer ground the concept of ‘good ground’ can be misconstrued as placing often unnecessary restrictions on the use of shallow foundations</w:t>
      </w:r>
      <w:r w:rsidR="00A43953">
        <w:t xml:space="preserve">. </w:t>
      </w:r>
    </w:p>
    <w:p w14:paraId="52D150E4" w14:textId="68027D86" w:rsidR="006D2131" w:rsidRPr="0091297C" w:rsidRDefault="007D5C79" w:rsidP="007D40A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rFonts w:asciiTheme="majorHAnsi" w:hAnsiTheme="majorHAnsi"/>
        </w:rPr>
      </w:pPr>
      <w:r>
        <w:lastRenderedPageBreak/>
        <w:t xml:space="preserve">Health NZ </w:t>
      </w:r>
      <w:r w:rsidR="00004BF2" w:rsidRPr="0091297C">
        <w:t>fully expects that professional engineers will not regard the notional NZS 3604 ‘good ground’ criteria of 300 kPa as being a barrier to the use of shallow foundations, but rather will use well-considered specific engineering design (SED) for foundations.</w:t>
      </w:r>
    </w:p>
    <w:p w14:paraId="52E8871A" w14:textId="77777777" w:rsidR="00CA5EE4" w:rsidRPr="0091297C" w:rsidRDefault="00CA5EE4" w:rsidP="007D40A2">
      <w:pPr>
        <w:pStyle w:val="Section3heading3"/>
      </w:pPr>
      <w:r w:rsidRPr="0091297C">
        <w:t>Settlement-Tolerant Design and NZBC B1/VM4</w:t>
      </w:r>
    </w:p>
    <w:p w14:paraId="3D93C351" w14:textId="4B55AA2B" w:rsidR="00CA5EE4" w:rsidRPr="0091297C" w:rsidRDefault="00CA5EE4" w:rsidP="00666E06">
      <w:r w:rsidRPr="0091297C">
        <w:t>Clause B1.02 in Appendix B of NZBC Clause B1/VM4 has led over time to a level of confusion amongst practitioners as to the acceptable level of deformations in foundation design. In particular, it has led to the incorrect but widely held belief that compliance with the NZBC requires a settlement limit of 25mm over 6m under SLS loadings</w:t>
      </w:r>
      <w:r w:rsidR="00A43953">
        <w:t xml:space="preserve">. </w:t>
      </w:r>
      <w:r w:rsidRPr="0091297C">
        <w:t>The second half of the sentence that makes up clause B1.02 clearly states however “…unless the structure is specifically designed to prevent damage under a greater settlement”.</w:t>
      </w:r>
    </w:p>
    <w:p w14:paraId="68B8D037" w14:textId="6FD7C255" w:rsidR="00CA5EE4" w:rsidRPr="0091297C" w:rsidRDefault="00CA5EE4" w:rsidP="00666E06">
      <w:r w:rsidRPr="0091297C">
        <w:t>Clause 1.0.3 of B1/VM4 states that SLS deformations are not covered in that document</w:t>
      </w:r>
      <w:r w:rsidR="00A43953">
        <w:t xml:space="preserve">. </w:t>
      </w:r>
      <w:r w:rsidRPr="0091297C">
        <w:t>This implies that any solution relating to foundations and SLS are Alternative Solutions</w:t>
      </w:r>
      <w:r w:rsidR="00A43953">
        <w:t xml:space="preserve">. </w:t>
      </w:r>
      <w:r w:rsidRPr="0091297C">
        <w:t>In practice, however, the subsequent comment that introduces Appendix B (‘which may be of assistance’) is generally taken to mean that foundations which can be shown to settle less than 25mm over 6m under SLS loadings established from standard engineering calculations are automatically ‘deemed to comply’ with the requirements of an Acceptable Solution</w:t>
      </w:r>
      <w:r w:rsidR="00A43953">
        <w:t xml:space="preserve">. </w:t>
      </w:r>
      <w:r w:rsidRPr="0091297C">
        <w:t>Following the ‘deemed to comply’ route is however neither compulsory, nor the only means of compliance with the NZBC.</w:t>
      </w:r>
    </w:p>
    <w:p w14:paraId="1518CD5D" w14:textId="19A0E5DA" w:rsidR="00CA5EE4" w:rsidRPr="0091297C" w:rsidRDefault="00CA5EE4" w:rsidP="00666E06">
      <w:r w:rsidRPr="0091297C">
        <w:t>Furthermore, Clause 1.0.5 of B1/VM4 states “This document must not be used to design foundations on loose sands, saturated dense sands or on cohesive soils having a sensitivity greater than 4”</w:t>
      </w:r>
      <w:r w:rsidR="00A43953">
        <w:t xml:space="preserve">. </w:t>
      </w:r>
      <w:r w:rsidRPr="0091297C">
        <w:t xml:space="preserve">Thus, by definition B1/VM4 excludes design of foundations on many soils in general, and liquefiable soils, in particular. </w:t>
      </w:r>
    </w:p>
    <w:p w14:paraId="738B142A" w14:textId="1ED8E1C6" w:rsidR="00CA5EE4" w:rsidRPr="0091297C" w:rsidRDefault="007D5C79" w:rsidP="00666E06">
      <w:r>
        <w:t xml:space="preserve">Health NZ </w:t>
      </w:r>
      <w:r w:rsidR="00CA5EE4" w:rsidRPr="0091297C">
        <w:t xml:space="preserve">provides the following SLS design requirement </w:t>
      </w:r>
      <w:r w:rsidR="0083067D" w:rsidRPr="0091297C">
        <w:t>clarification</w:t>
      </w:r>
      <w:r w:rsidR="00CA5EE4" w:rsidRPr="0091297C">
        <w:t>, to provide a point of reference against which to evaluate foundation designs for NZBC compliance purposes:</w:t>
      </w:r>
      <w:r w:rsidR="0006346A" w:rsidRPr="0091297C">
        <w:t xml:space="preserve"> This statement complies with the requirements of B1.3.2 of the NZBC, which is the overarching requirement.</w:t>
      </w:r>
    </w:p>
    <w:p w14:paraId="399195FB" w14:textId="494DFBBA" w:rsidR="00CA5EE4" w:rsidRPr="0091297C" w:rsidRDefault="003058A8" w:rsidP="00666E06">
      <w:pPr>
        <w:pStyle w:val="Requirement"/>
      </w:pPr>
      <w:r w:rsidRPr="0091297C">
        <w:rPr>
          <w:b/>
          <w:bCs/>
        </w:rPr>
        <w:t>NZBC</w:t>
      </w:r>
      <w:r w:rsidR="00941EFB" w:rsidRPr="0091297C">
        <w:rPr>
          <w:b/>
          <w:bCs/>
        </w:rPr>
        <w:t xml:space="preserve"> Requirement</w:t>
      </w:r>
      <w:r w:rsidR="000C4466" w:rsidRPr="0091297C">
        <w:rPr>
          <w:b/>
          <w:bCs/>
        </w:rPr>
        <w:t xml:space="preserve"> (</w:t>
      </w:r>
      <w:r w:rsidR="00722407" w:rsidRPr="0091297C">
        <w:rPr>
          <w:b/>
          <w:bCs/>
        </w:rPr>
        <w:t xml:space="preserve">Clause </w:t>
      </w:r>
      <w:r w:rsidR="000C4466" w:rsidRPr="0091297C">
        <w:rPr>
          <w:b/>
          <w:bCs/>
        </w:rPr>
        <w:t>B1)</w:t>
      </w:r>
      <w:r w:rsidR="00941EFB" w:rsidRPr="0091297C">
        <w:t xml:space="preserve">: </w:t>
      </w:r>
      <w:r w:rsidR="00CA5EE4" w:rsidRPr="0091297C">
        <w:t>Foundation design shall limit the probable maximum differential settlement under serviceability limit state load combinations of AS/NZS 1170</w:t>
      </w:r>
      <w:r w:rsidR="00941EFB" w:rsidRPr="0091297C">
        <w:t xml:space="preserve">.0 </w:t>
      </w:r>
      <w:sdt>
        <w:sdtPr>
          <w:id w:val="507799228"/>
          <w:citation/>
        </w:sdtPr>
        <w:sdtEndPr/>
        <w:sdtContent>
          <w:r w:rsidR="00941EFB" w:rsidRPr="0091297C">
            <w:fldChar w:fldCharType="begin"/>
          </w:r>
          <w:r w:rsidR="00941EFB" w:rsidRPr="0091297C">
            <w:rPr>
              <w:lang w:val="en-US"/>
            </w:rPr>
            <w:instrText xml:space="preserve"> CITATION SNZ11 \l 1033 </w:instrText>
          </w:r>
          <w:r w:rsidR="00941EFB" w:rsidRPr="0091297C">
            <w:fldChar w:fldCharType="separate"/>
          </w:r>
          <w:r w:rsidR="00222D65">
            <w:rPr>
              <w:noProof/>
              <w:lang w:val="en-US"/>
            </w:rPr>
            <w:t>(SNZ, 2011)</w:t>
          </w:r>
          <w:r w:rsidR="00941EFB" w:rsidRPr="0091297C">
            <w:fldChar w:fldCharType="end"/>
          </w:r>
        </w:sdtContent>
      </w:sdt>
      <w:r w:rsidR="00CA5EE4" w:rsidRPr="0091297C">
        <w:t xml:space="preserve">, to a level that the </w:t>
      </w:r>
      <w:r w:rsidR="00A6205E" w:rsidRPr="0091297C">
        <w:t>building</w:t>
      </w:r>
      <w:r w:rsidR="00CA5EE4" w:rsidRPr="0091297C">
        <w:t xml:space="preserve"> can accommodate with only minor damage that can be readily repaired</w:t>
      </w:r>
      <w:r w:rsidR="00722407" w:rsidRPr="0091297C">
        <w:t>—</w:t>
      </w:r>
      <w:r w:rsidR="00CA5EE4" w:rsidRPr="0091297C">
        <w:t xml:space="preserve">while also meeting the performance requirements set out </w:t>
      </w:r>
      <w:r w:rsidR="0083067D" w:rsidRPr="0091297C">
        <w:t>Part B</w:t>
      </w:r>
      <w:r w:rsidR="00CA5EE4" w:rsidRPr="0091297C">
        <w:t xml:space="preserve"> of this document. </w:t>
      </w:r>
    </w:p>
    <w:p w14:paraId="07163609" w14:textId="77777777" w:rsidR="00241750" w:rsidRPr="0091297C" w:rsidRDefault="00241750" w:rsidP="007D40A2">
      <w:pPr>
        <w:pStyle w:val="Section3heading3"/>
      </w:pPr>
      <w:r w:rsidRPr="0091297C">
        <w:t>MBIE Canterbury Foundation Technical Categories</w:t>
      </w:r>
    </w:p>
    <w:p w14:paraId="5AADF387" w14:textId="5040A749" w:rsidR="000655DB" w:rsidRPr="0091297C" w:rsidRDefault="00241750" w:rsidP="00666E06">
      <w:r w:rsidRPr="0091297C">
        <w:t>In Christchurch the</w:t>
      </w:r>
      <w:r w:rsidR="00FE2FF0" w:rsidRPr="0091297C">
        <w:t xml:space="preserve"> Foundation Technical Categories (i.e. the</w:t>
      </w:r>
      <w:r w:rsidRPr="0091297C">
        <w:t xml:space="preserve"> ‘TC’ zon</w:t>
      </w:r>
      <w:r w:rsidR="00FE2FF0" w:rsidRPr="0091297C">
        <w:t>es)</w:t>
      </w:r>
      <w:r w:rsidR="00A56FC1" w:rsidRPr="0091297C">
        <w:t xml:space="preserve"> established following the Canterbury Earthquakes</w:t>
      </w:r>
      <w:r w:rsidRPr="0091297C">
        <w:t xml:space="preserve"> </w:t>
      </w:r>
      <w:r w:rsidR="00FE2FF0" w:rsidRPr="0091297C">
        <w:t xml:space="preserve">were </w:t>
      </w:r>
      <w:r w:rsidRPr="0091297C">
        <w:t>based on detailed observations of ground performance under actual earthquake shaking</w:t>
      </w:r>
      <w:r w:rsidR="00854B31" w:rsidRPr="0091297C">
        <w:t>, and its impact on residential houses</w:t>
      </w:r>
      <w:r w:rsidRPr="0091297C">
        <w:t xml:space="preserve">. In areas that have not had this level of testing and observation, consideration of other factors that might affect ground performance (e.g. crust thickness, likelihood and effect of liquefaction ejecta, influence of building weight etc.) may also be critical. Additionally, the </w:t>
      </w:r>
      <w:r w:rsidRPr="0091297C">
        <w:lastRenderedPageBreak/>
        <w:t>MBIE Technical Categories were developed for relatively standard lightweight residential houses. There is no implication that MBIE foundation solutions for particular Technical Categories are directly transferrable to buildings that are not of this nature.</w:t>
      </w:r>
    </w:p>
    <w:p w14:paraId="1DA1DA66" w14:textId="30416444" w:rsidR="0006346A" w:rsidRPr="0091297C" w:rsidRDefault="00241750" w:rsidP="00666E06">
      <w:r w:rsidRPr="0091297C">
        <w:t xml:space="preserve">While describing the expected liquefaction performance of a site in terms of the MBIE ‘Technical Categories’ can be a useful communication tool, further design thought needs to go into any decisions to adopt standard MBIE </w:t>
      </w:r>
      <w:r w:rsidR="007B4403" w:rsidRPr="0091297C">
        <w:t xml:space="preserve">Canterbury residential foundation </w:t>
      </w:r>
      <w:r w:rsidRPr="0091297C">
        <w:t xml:space="preserve">solutions for these designations, as they may not be applicable for the building being considered. In some cases, they may be unconservative, and in other cases they </w:t>
      </w:r>
      <w:r w:rsidR="00E2340E" w:rsidRPr="0091297C">
        <w:t>may</w:t>
      </w:r>
      <w:r w:rsidRPr="0091297C">
        <w:t xml:space="preserve"> be too conservat</w:t>
      </w:r>
      <w:r w:rsidR="03DCDC67" w:rsidRPr="0091297C">
        <w:t>ive</w:t>
      </w:r>
      <w:r w:rsidRPr="0091297C">
        <w:t xml:space="preserve"> or inappropriate for other reasons</w:t>
      </w:r>
      <w:r w:rsidR="000655DB" w:rsidRPr="0091297C">
        <w:t>.</w:t>
      </w:r>
    </w:p>
    <w:p w14:paraId="3D2B7A5D" w14:textId="739D2D17" w:rsidR="000C211B" w:rsidRPr="0091297C" w:rsidRDefault="000C211B" w:rsidP="007D40A2">
      <w:pPr>
        <w:pStyle w:val="Section3heading2"/>
      </w:pPr>
      <w:bookmarkStart w:id="316" w:name="_Toc203641990"/>
      <w:r w:rsidRPr="0091297C">
        <w:t xml:space="preserve">Risk-Based </w:t>
      </w:r>
      <w:r w:rsidR="00B42E45" w:rsidRPr="0091297C">
        <w:t xml:space="preserve">Foundation Selection </w:t>
      </w:r>
      <w:r w:rsidRPr="0091297C">
        <w:t>Approach</w:t>
      </w:r>
      <w:r w:rsidR="00B42E45" w:rsidRPr="0091297C">
        <w:t>es</w:t>
      </w:r>
      <w:r w:rsidRPr="0091297C">
        <w:t xml:space="preserve"> and Whole of Life Cost</w:t>
      </w:r>
      <w:bookmarkEnd w:id="316"/>
    </w:p>
    <w:p w14:paraId="48021076" w14:textId="77777777" w:rsidR="000C211B" w:rsidRPr="0091297C" w:rsidRDefault="000C211B" w:rsidP="00666E06">
      <w:r w:rsidRPr="0091297C">
        <w:t>Where more than one potentially viable option exists, foundation selection should be carried using a risk-based approach, so that capital and potential future repair costs can be compared for various options. This allows an assessment of the most economical solution for the site (noting that other factors may also require consideration in selecting the final option).</w:t>
      </w:r>
    </w:p>
    <w:p w14:paraId="123E4E12" w14:textId="77777777" w:rsidR="000C211B" w:rsidRPr="0091297C" w:rsidRDefault="000C211B" w:rsidP="00666E06">
      <w:r w:rsidRPr="0091297C">
        <w:t xml:space="preserve">The general steps required to carry out a risk-based approach and select the most economical foundation system are shown below: </w:t>
      </w:r>
    </w:p>
    <w:p w14:paraId="7B45BBC9" w14:textId="77777777" w:rsidR="000C211B" w:rsidRPr="0091297C" w:rsidRDefault="000C211B" w:rsidP="004D55F1">
      <w:pPr>
        <w:pStyle w:val="ListParagraph"/>
        <w:numPr>
          <w:ilvl w:val="0"/>
          <w:numId w:val="91"/>
        </w:numPr>
      </w:pPr>
      <w:r w:rsidRPr="0091297C">
        <w:t>Determine the ground deformation characteristics for the site (e.g., differential ground settlement, lateral displacement) which will help determine the range of likely foundation options.</w:t>
      </w:r>
    </w:p>
    <w:p w14:paraId="3D421783" w14:textId="2FA83234" w:rsidR="000C211B" w:rsidRDefault="000C211B" w:rsidP="004D55F1">
      <w:pPr>
        <w:pStyle w:val="ListParagraph"/>
        <w:numPr>
          <w:ilvl w:val="0"/>
          <w:numId w:val="91"/>
        </w:numPr>
      </w:pPr>
      <w:r w:rsidRPr="0091297C">
        <w:t>Determine the range of potential options that could be considered (note that where simple shallow foundations are an obvious option, the process can end at this step)</w:t>
      </w:r>
      <w:r w:rsidR="00A43953">
        <w:t xml:space="preserve">. </w:t>
      </w:r>
      <w:r w:rsidRPr="0091297C">
        <w:t>Equally, for sites where ground improvement will not be practical but where shallow foundations would likely undergo unacceptable settlement, deep foundations may be the only feasible option.</w:t>
      </w:r>
    </w:p>
    <w:p w14:paraId="4E1C59BC" w14:textId="5BBFF303" w:rsidR="0057289A" w:rsidRPr="0091297C" w:rsidRDefault="0057289A" w:rsidP="004D55F1">
      <w:pPr>
        <w:pStyle w:val="ListParagraph"/>
        <w:numPr>
          <w:ilvl w:val="0"/>
          <w:numId w:val="91"/>
        </w:numPr>
      </w:pPr>
      <w:r>
        <w:t>Discard options that would give</w:t>
      </w:r>
      <w:r w:rsidR="00063BAB">
        <w:t xml:space="preserve"> clearly</w:t>
      </w:r>
      <w:r>
        <w:t xml:space="preserve"> unacceptable </w:t>
      </w:r>
      <w:r w:rsidR="004248FA">
        <w:t>post-disaster functionality</w:t>
      </w:r>
      <w:r w:rsidR="00FA48B5">
        <w:t xml:space="preserve"> relative to the performance requirements summarised in </w:t>
      </w:r>
      <w:r w:rsidR="00802111">
        <w:t xml:space="preserve">Sections </w:t>
      </w:r>
      <w:r w:rsidR="00802111">
        <w:fldChar w:fldCharType="begin"/>
      </w:r>
      <w:r w:rsidR="00802111">
        <w:instrText xml:space="preserve"> REF _Ref150413409 \r \h </w:instrText>
      </w:r>
      <w:r w:rsidR="00802111">
        <w:fldChar w:fldCharType="separate"/>
      </w:r>
      <w:r w:rsidR="000761C1">
        <w:t>B2.2</w:t>
      </w:r>
      <w:r w:rsidR="00802111">
        <w:fldChar w:fldCharType="end"/>
      </w:r>
      <w:r w:rsidR="00802111">
        <w:t xml:space="preserve"> and </w:t>
      </w:r>
      <w:r w:rsidR="00802111">
        <w:fldChar w:fldCharType="begin"/>
      </w:r>
      <w:r w:rsidR="00802111">
        <w:instrText xml:space="preserve"> REF _Ref157204226 \r \h </w:instrText>
      </w:r>
      <w:r w:rsidR="00802111">
        <w:fldChar w:fldCharType="separate"/>
      </w:r>
      <w:r w:rsidR="000761C1">
        <w:t>B2.3</w:t>
      </w:r>
      <w:r w:rsidR="00802111">
        <w:fldChar w:fldCharType="end"/>
      </w:r>
      <w:r w:rsidR="004418E1">
        <w:t xml:space="preserve">, </w:t>
      </w:r>
      <w:r w:rsidR="008F10BA">
        <w:t>(i.e. likely</w:t>
      </w:r>
      <w:r w:rsidR="004418E1">
        <w:t xml:space="preserve"> endangering </w:t>
      </w:r>
      <w:r w:rsidR="00C7513B">
        <w:t>the ability to continue using the building before repairs are carried out</w:t>
      </w:r>
      <w:r w:rsidR="008F10BA">
        <w:t>).</w:t>
      </w:r>
    </w:p>
    <w:p w14:paraId="2B8CE26B" w14:textId="5C2A2BAF" w:rsidR="000C211B" w:rsidRPr="0091297C" w:rsidRDefault="00702EB0" w:rsidP="004D55F1">
      <w:pPr>
        <w:pStyle w:val="ListParagraph"/>
        <w:numPr>
          <w:ilvl w:val="0"/>
          <w:numId w:val="91"/>
        </w:numPr>
      </w:pPr>
      <w:r w:rsidRPr="0091297C">
        <w:t xml:space="preserve">For </w:t>
      </w:r>
      <w:r w:rsidR="000C211B" w:rsidRPr="0091297C">
        <w:t>each potential option, estimate the order of magnitude capital costs of constructing the foundation system (e.g., $1M, $3M, $10M).</w:t>
      </w:r>
      <w:r w:rsidR="008E263E">
        <w:t xml:space="preserve"> </w:t>
      </w:r>
      <w:r w:rsidR="006B1191">
        <w:t xml:space="preserve">Consider </w:t>
      </w:r>
      <w:r w:rsidR="006D6564">
        <w:t>where</w:t>
      </w:r>
      <w:r w:rsidR="008E263E">
        <w:t xml:space="preserve"> decanting</w:t>
      </w:r>
      <w:r w:rsidR="0044457E">
        <w:t xml:space="preserve"> or managing repair </w:t>
      </w:r>
      <w:r w:rsidR="0013036C">
        <w:t xml:space="preserve">projects </w:t>
      </w:r>
      <w:r w:rsidR="00C7513B">
        <w:t>in operating hospitals</w:t>
      </w:r>
      <w:r w:rsidR="0013036C">
        <w:t xml:space="preserve"> may affect order of magnitude costs</w:t>
      </w:r>
      <w:r w:rsidR="0044457E">
        <w:t>.</w:t>
      </w:r>
    </w:p>
    <w:p w14:paraId="56D6F6F1" w14:textId="77777777" w:rsidR="000C211B" w:rsidRPr="0091297C" w:rsidRDefault="000C211B" w:rsidP="004D55F1">
      <w:pPr>
        <w:pStyle w:val="ListParagraph"/>
        <w:numPr>
          <w:ilvl w:val="0"/>
          <w:numId w:val="91"/>
        </w:numPr>
      </w:pPr>
      <w:r w:rsidRPr="0091297C">
        <w:t xml:space="preserve">For each potential option, assess the probability (i.e. based on the likely return period) and potential severity of damage to the building due to the identified potential ground deformation. </w:t>
      </w:r>
    </w:p>
    <w:p w14:paraId="0FCC4DC0" w14:textId="77777777" w:rsidR="000C211B" w:rsidRPr="0091297C" w:rsidRDefault="000C211B" w:rsidP="004D55F1">
      <w:pPr>
        <w:pStyle w:val="ListParagraph"/>
        <w:numPr>
          <w:ilvl w:val="0"/>
          <w:numId w:val="91"/>
        </w:numPr>
      </w:pPr>
      <w:r w:rsidRPr="0091297C">
        <w:t>For each potential option, estimate the order of magnitude of the repair cost for the damage estimated in Step 4.</w:t>
      </w:r>
    </w:p>
    <w:p w14:paraId="2BCF7C31" w14:textId="6DCAE2E7" w:rsidR="000C211B" w:rsidRPr="0091297C" w:rsidRDefault="000C211B" w:rsidP="004D55F1">
      <w:pPr>
        <w:pStyle w:val="ListParagraph"/>
        <w:numPr>
          <w:ilvl w:val="0"/>
          <w:numId w:val="91"/>
        </w:numPr>
      </w:pPr>
      <w:r w:rsidRPr="0091297C">
        <w:t>Multiply the estimated repair cost by the probability of the damage occurring during the anticipated life of the building. This is the estimated expected repair cost over the life of the building.</w:t>
      </w:r>
    </w:p>
    <w:p w14:paraId="51DC3B8B" w14:textId="77777777" w:rsidR="000C211B" w:rsidRPr="0091297C" w:rsidRDefault="000C211B" w:rsidP="004D55F1">
      <w:pPr>
        <w:pStyle w:val="ListParagraph"/>
        <w:numPr>
          <w:ilvl w:val="0"/>
          <w:numId w:val="91"/>
        </w:numPr>
      </w:pPr>
      <w:r w:rsidRPr="0091297C">
        <w:t>Add the estimated capital construction cost from Step 3 and the lifetime expected repair costs from Step 6.</w:t>
      </w:r>
    </w:p>
    <w:p w14:paraId="08E511E0" w14:textId="77777777" w:rsidR="000C211B" w:rsidRPr="0091297C" w:rsidRDefault="000C211B" w:rsidP="004D55F1">
      <w:pPr>
        <w:pStyle w:val="ListParagraph"/>
        <w:numPr>
          <w:ilvl w:val="0"/>
          <w:numId w:val="91"/>
        </w:numPr>
      </w:pPr>
      <w:r w:rsidRPr="0091297C">
        <w:lastRenderedPageBreak/>
        <w:t>Select the foundation system that results in the lowest comparative total lifetime cost –considering any other significant factors as appropriate.</w:t>
      </w:r>
    </w:p>
    <w:p w14:paraId="4FF8233A" w14:textId="2F139767" w:rsidR="000655DB" w:rsidRPr="0091297C" w:rsidRDefault="000C211B" w:rsidP="00666E06">
      <w:r w:rsidRPr="0091297C">
        <w:t>This process will require collaboration between the project geotechnical engineer, structural engineer, and quantity surveyor.</w:t>
      </w:r>
      <w:r w:rsidR="00807931" w:rsidRPr="0091297C">
        <w:t xml:space="preserve"> An example of this process is indicated in </w:t>
      </w:r>
      <w:r w:rsidR="00807931" w:rsidRPr="0091297C">
        <w:fldChar w:fldCharType="begin"/>
      </w:r>
      <w:r w:rsidR="00807931" w:rsidRPr="0091297C">
        <w:instrText xml:space="preserve"> REF _Ref169021867 \h </w:instrText>
      </w:r>
      <w:r w:rsidR="0091297C">
        <w:instrText xml:space="preserve"> \* MERGEFORMAT </w:instrText>
      </w:r>
      <w:r w:rsidR="00807931" w:rsidRPr="0091297C">
        <w:fldChar w:fldCharType="separate"/>
      </w:r>
      <w:r w:rsidR="000761C1" w:rsidRPr="000761C1">
        <w:t xml:space="preserve">Table </w:t>
      </w:r>
      <w:r w:rsidR="000761C1" w:rsidRPr="000761C1">
        <w:rPr>
          <w:noProof/>
        </w:rPr>
        <w:t>14</w:t>
      </w:r>
      <w:r w:rsidR="00807931" w:rsidRPr="0091297C">
        <w:fldChar w:fldCharType="end"/>
      </w:r>
      <w:r w:rsidR="00807931" w:rsidRPr="0091297C">
        <w:t>.</w:t>
      </w:r>
    </w:p>
    <w:p w14:paraId="741A083D" w14:textId="7A8161F0" w:rsidR="00F81AE9" w:rsidRPr="00210CB4" w:rsidRDefault="00F81AE9" w:rsidP="00867631">
      <w:pPr>
        <w:pStyle w:val="Figure"/>
        <w:rPr>
          <w:sz w:val="20"/>
          <w:szCs w:val="20"/>
        </w:rPr>
      </w:pPr>
      <w:bookmarkStart w:id="317" w:name="_Ref169021867"/>
      <w:r w:rsidRPr="00210CB4">
        <w:rPr>
          <w:sz w:val="20"/>
          <w:szCs w:val="20"/>
        </w:rPr>
        <w:t xml:space="preserve">Table </w:t>
      </w:r>
      <w:r w:rsidR="0062088B" w:rsidRPr="00210CB4">
        <w:rPr>
          <w:sz w:val="20"/>
          <w:szCs w:val="20"/>
        </w:rPr>
        <w:fldChar w:fldCharType="begin"/>
      </w:r>
      <w:r w:rsidR="0062088B" w:rsidRPr="00210CB4">
        <w:rPr>
          <w:sz w:val="20"/>
          <w:szCs w:val="20"/>
        </w:rPr>
        <w:instrText xml:space="preserve"> SEQ Table \* ARABIC </w:instrText>
      </w:r>
      <w:r w:rsidR="0062088B" w:rsidRPr="00210CB4">
        <w:rPr>
          <w:sz w:val="20"/>
          <w:szCs w:val="20"/>
        </w:rPr>
        <w:fldChar w:fldCharType="separate"/>
      </w:r>
      <w:r w:rsidR="000761C1">
        <w:rPr>
          <w:noProof/>
          <w:sz w:val="20"/>
          <w:szCs w:val="20"/>
        </w:rPr>
        <w:t>14</w:t>
      </w:r>
      <w:r w:rsidR="0062088B" w:rsidRPr="00210CB4">
        <w:rPr>
          <w:noProof/>
          <w:sz w:val="20"/>
          <w:szCs w:val="20"/>
        </w:rPr>
        <w:fldChar w:fldCharType="end"/>
      </w:r>
      <w:bookmarkEnd w:id="317"/>
      <w:r w:rsidRPr="00210CB4">
        <w:rPr>
          <w:sz w:val="20"/>
          <w:szCs w:val="20"/>
        </w:rPr>
        <w:t>: Example risk based whole-of-life cost comparison</w:t>
      </w:r>
      <w:r w:rsidR="00807931" w:rsidRPr="00210CB4">
        <w:rPr>
          <w:sz w:val="20"/>
          <w:szCs w:val="20"/>
        </w:rPr>
        <w:t>.</w:t>
      </w:r>
    </w:p>
    <w:tbl>
      <w:tblPr>
        <w:tblStyle w:val="TableGrid"/>
        <w:tblW w:w="9663"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A0" w:firstRow="1" w:lastRow="0" w:firstColumn="1" w:lastColumn="0" w:noHBand="0" w:noVBand="1"/>
      </w:tblPr>
      <w:tblGrid>
        <w:gridCol w:w="1980"/>
        <w:gridCol w:w="1989"/>
        <w:gridCol w:w="2553"/>
        <w:gridCol w:w="3123"/>
        <w:gridCol w:w="18"/>
      </w:tblGrid>
      <w:tr w:rsidR="00745D97" w:rsidRPr="00210CB4" w14:paraId="0568B184" w14:textId="77777777" w:rsidTr="005F3950">
        <w:tc>
          <w:tcPr>
            <w:tcW w:w="9663" w:type="dxa"/>
            <w:gridSpan w:val="5"/>
            <w:tcBorders>
              <w:top w:val="single" w:sz="12" w:space="0" w:color="003399" w:themeColor="accent2"/>
              <w:left w:val="nil"/>
              <w:bottom w:val="single" w:sz="12" w:space="0" w:color="003399" w:themeColor="accent2"/>
              <w:right w:val="nil"/>
            </w:tcBorders>
            <w:shd w:val="clear" w:color="auto" w:fill="F6F4EC"/>
          </w:tcPr>
          <w:p w14:paraId="65122D82" w14:textId="77777777" w:rsidR="00745D97" w:rsidRPr="00210CB4" w:rsidRDefault="00745D97" w:rsidP="00210CB4">
            <w:pPr>
              <w:spacing w:before="60" w:after="120"/>
              <w:rPr>
                <w:rFonts w:cs="Arial"/>
                <w:b/>
                <w:bCs/>
                <w:sz w:val="20"/>
                <w:szCs w:val="20"/>
              </w:rPr>
            </w:pPr>
            <w:r w:rsidRPr="00210CB4">
              <w:rPr>
                <w:rFonts w:cs="Arial"/>
                <w:b/>
                <w:bCs/>
                <w:sz w:val="20"/>
                <w:szCs w:val="20"/>
              </w:rPr>
              <w:t>Option 1 Shallow Foundations with Reinforced Gravel Raft. Capital Cost $4M</w:t>
            </w:r>
          </w:p>
        </w:tc>
      </w:tr>
      <w:tr w:rsidR="00745D97" w:rsidRPr="00210CB4" w14:paraId="62079C70" w14:textId="77777777" w:rsidTr="005F3950">
        <w:trPr>
          <w:gridAfter w:val="1"/>
          <w:wAfter w:w="18" w:type="dxa"/>
        </w:trPr>
        <w:tc>
          <w:tcPr>
            <w:tcW w:w="1980" w:type="dxa"/>
            <w:tcBorders>
              <w:top w:val="single" w:sz="12" w:space="0" w:color="003399" w:themeColor="accent2"/>
              <w:left w:val="nil"/>
              <w:bottom w:val="single" w:sz="8" w:space="0" w:color="BFBFBF"/>
              <w:right w:val="single" w:sz="8" w:space="0" w:color="BFBFBF"/>
            </w:tcBorders>
          </w:tcPr>
          <w:p w14:paraId="1C6ECDE7" w14:textId="77777777" w:rsidR="00745D97" w:rsidRPr="00210CB4" w:rsidRDefault="00745D97" w:rsidP="00210CB4">
            <w:pPr>
              <w:spacing w:before="60"/>
              <w:rPr>
                <w:rFonts w:cs="Arial"/>
                <w:b/>
                <w:bCs/>
                <w:sz w:val="20"/>
                <w:szCs w:val="20"/>
              </w:rPr>
            </w:pPr>
            <w:r w:rsidRPr="00210CB4">
              <w:rPr>
                <w:rFonts w:cs="Arial"/>
                <w:b/>
                <w:bCs/>
                <w:sz w:val="20"/>
                <w:szCs w:val="20"/>
              </w:rPr>
              <w:t>Design Case</w:t>
            </w:r>
          </w:p>
        </w:tc>
        <w:tc>
          <w:tcPr>
            <w:tcW w:w="1989" w:type="dxa"/>
            <w:tcBorders>
              <w:top w:val="single" w:sz="12" w:space="0" w:color="003399" w:themeColor="accent2"/>
              <w:left w:val="single" w:sz="8" w:space="0" w:color="BFBFBF"/>
              <w:bottom w:val="single" w:sz="8" w:space="0" w:color="BFBFBF"/>
              <w:right w:val="single" w:sz="8" w:space="0" w:color="BFBFBF"/>
            </w:tcBorders>
          </w:tcPr>
          <w:p w14:paraId="61DDCC31" w14:textId="77777777" w:rsidR="00745D97" w:rsidRPr="00210CB4" w:rsidRDefault="00745D97" w:rsidP="00210CB4">
            <w:pPr>
              <w:spacing w:before="60"/>
              <w:rPr>
                <w:rFonts w:cs="Arial"/>
                <w:sz w:val="20"/>
                <w:szCs w:val="20"/>
              </w:rPr>
            </w:pPr>
            <w:r w:rsidRPr="00210CB4">
              <w:rPr>
                <w:rFonts w:cs="Arial"/>
                <w:sz w:val="20"/>
                <w:szCs w:val="20"/>
              </w:rPr>
              <w:t>SLS1</w:t>
            </w:r>
          </w:p>
        </w:tc>
        <w:tc>
          <w:tcPr>
            <w:tcW w:w="2553" w:type="dxa"/>
            <w:tcBorders>
              <w:top w:val="single" w:sz="12" w:space="0" w:color="003399" w:themeColor="accent2"/>
              <w:left w:val="single" w:sz="8" w:space="0" w:color="BFBFBF"/>
              <w:bottom w:val="single" w:sz="8" w:space="0" w:color="BFBFBF"/>
              <w:right w:val="single" w:sz="8" w:space="0" w:color="BFBFBF"/>
            </w:tcBorders>
          </w:tcPr>
          <w:p w14:paraId="14EF5343" w14:textId="61D7D8D2" w:rsidR="00745D97" w:rsidRPr="00210CB4" w:rsidRDefault="0010793B" w:rsidP="00210CB4">
            <w:pPr>
              <w:spacing w:before="60"/>
              <w:rPr>
                <w:rFonts w:cs="Arial"/>
                <w:sz w:val="20"/>
                <w:szCs w:val="20"/>
              </w:rPr>
            </w:pPr>
            <w:r w:rsidRPr="00210CB4">
              <w:rPr>
                <w:rFonts w:cs="Arial"/>
                <w:sz w:val="20"/>
                <w:szCs w:val="20"/>
              </w:rPr>
              <w:t>DCLS/</w:t>
            </w:r>
            <w:r w:rsidR="00745D97" w:rsidRPr="00210CB4">
              <w:rPr>
                <w:rFonts w:cs="Arial"/>
                <w:sz w:val="20"/>
                <w:szCs w:val="20"/>
              </w:rPr>
              <w:t>SLS2</w:t>
            </w:r>
          </w:p>
        </w:tc>
        <w:tc>
          <w:tcPr>
            <w:tcW w:w="3123" w:type="dxa"/>
            <w:tcBorders>
              <w:top w:val="single" w:sz="12" w:space="0" w:color="003399" w:themeColor="accent2"/>
              <w:left w:val="single" w:sz="8" w:space="0" w:color="BFBFBF"/>
              <w:bottom w:val="single" w:sz="8" w:space="0" w:color="BFBFBF"/>
              <w:right w:val="nil"/>
            </w:tcBorders>
          </w:tcPr>
          <w:p w14:paraId="3C59F48D" w14:textId="77777777" w:rsidR="00745D97" w:rsidRPr="00210CB4" w:rsidRDefault="00745D97" w:rsidP="00210CB4">
            <w:pPr>
              <w:spacing w:before="60"/>
              <w:rPr>
                <w:rFonts w:cs="Arial"/>
                <w:sz w:val="20"/>
                <w:szCs w:val="20"/>
              </w:rPr>
            </w:pPr>
            <w:r w:rsidRPr="00210CB4">
              <w:rPr>
                <w:rFonts w:cs="Arial"/>
                <w:sz w:val="20"/>
                <w:szCs w:val="20"/>
              </w:rPr>
              <w:t>ULS</w:t>
            </w:r>
          </w:p>
        </w:tc>
      </w:tr>
      <w:tr w:rsidR="00745D97" w:rsidRPr="00210CB4" w14:paraId="7E1ED117"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59095F02" w14:textId="77777777" w:rsidR="00745D97" w:rsidRPr="00210CB4" w:rsidRDefault="00745D97" w:rsidP="00210CB4">
            <w:pPr>
              <w:spacing w:before="60"/>
              <w:rPr>
                <w:rFonts w:cs="Arial"/>
                <w:b/>
                <w:bCs/>
                <w:sz w:val="20"/>
                <w:szCs w:val="20"/>
              </w:rPr>
            </w:pPr>
            <w:r w:rsidRPr="00210CB4">
              <w:rPr>
                <w:rFonts w:cs="Arial"/>
                <w:b/>
                <w:bCs/>
                <w:sz w:val="20"/>
                <w:szCs w:val="20"/>
              </w:rPr>
              <w:t>RP (yrs)</w:t>
            </w:r>
          </w:p>
        </w:tc>
        <w:tc>
          <w:tcPr>
            <w:tcW w:w="1989" w:type="dxa"/>
            <w:tcBorders>
              <w:top w:val="single" w:sz="8" w:space="0" w:color="BFBFBF"/>
              <w:left w:val="single" w:sz="8" w:space="0" w:color="BFBFBF"/>
              <w:bottom w:val="single" w:sz="8" w:space="0" w:color="BFBFBF"/>
              <w:right w:val="single" w:sz="8" w:space="0" w:color="BFBFBF"/>
            </w:tcBorders>
          </w:tcPr>
          <w:p w14:paraId="578EC643" w14:textId="77777777" w:rsidR="00745D97" w:rsidRPr="00210CB4" w:rsidRDefault="00745D97" w:rsidP="00210CB4">
            <w:pPr>
              <w:spacing w:before="60"/>
              <w:rPr>
                <w:rFonts w:cs="Arial"/>
                <w:sz w:val="20"/>
                <w:szCs w:val="20"/>
              </w:rPr>
            </w:pPr>
            <w:r w:rsidRPr="00210CB4">
              <w:rPr>
                <w:rFonts w:cs="Arial"/>
                <w:sz w:val="20"/>
                <w:szCs w:val="20"/>
              </w:rPr>
              <w:t>25</w:t>
            </w:r>
          </w:p>
        </w:tc>
        <w:tc>
          <w:tcPr>
            <w:tcW w:w="2553" w:type="dxa"/>
            <w:tcBorders>
              <w:top w:val="single" w:sz="8" w:space="0" w:color="BFBFBF"/>
              <w:left w:val="single" w:sz="8" w:space="0" w:color="BFBFBF"/>
              <w:bottom w:val="single" w:sz="8" w:space="0" w:color="BFBFBF"/>
              <w:right w:val="single" w:sz="8" w:space="0" w:color="BFBFBF"/>
            </w:tcBorders>
          </w:tcPr>
          <w:p w14:paraId="1B58DFD2" w14:textId="77777777" w:rsidR="00745D97" w:rsidRPr="00210CB4" w:rsidRDefault="00745D97" w:rsidP="00210CB4">
            <w:pPr>
              <w:spacing w:before="60"/>
              <w:rPr>
                <w:rFonts w:cs="Arial"/>
                <w:sz w:val="20"/>
                <w:szCs w:val="20"/>
              </w:rPr>
            </w:pPr>
            <w:r w:rsidRPr="00210CB4">
              <w:rPr>
                <w:rFonts w:cs="Arial"/>
                <w:sz w:val="20"/>
                <w:szCs w:val="20"/>
              </w:rPr>
              <w:t>250</w:t>
            </w:r>
          </w:p>
        </w:tc>
        <w:tc>
          <w:tcPr>
            <w:tcW w:w="3123" w:type="dxa"/>
            <w:tcBorders>
              <w:top w:val="single" w:sz="8" w:space="0" w:color="BFBFBF"/>
              <w:left w:val="single" w:sz="8" w:space="0" w:color="BFBFBF"/>
              <w:bottom w:val="single" w:sz="8" w:space="0" w:color="BFBFBF"/>
              <w:right w:val="nil"/>
            </w:tcBorders>
          </w:tcPr>
          <w:p w14:paraId="3B8F28D9" w14:textId="77777777" w:rsidR="00745D97" w:rsidRPr="00210CB4" w:rsidRDefault="00745D97" w:rsidP="00210CB4">
            <w:pPr>
              <w:spacing w:before="60"/>
              <w:rPr>
                <w:rFonts w:cs="Arial"/>
                <w:sz w:val="20"/>
                <w:szCs w:val="20"/>
              </w:rPr>
            </w:pPr>
            <w:r w:rsidRPr="00210CB4">
              <w:rPr>
                <w:rFonts w:cs="Arial"/>
                <w:sz w:val="20"/>
                <w:szCs w:val="20"/>
              </w:rPr>
              <w:t>1000</w:t>
            </w:r>
          </w:p>
        </w:tc>
      </w:tr>
      <w:tr w:rsidR="00745D97" w:rsidRPr="00210CB4" w14:paraId="481997A1"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7F484B66" w14:textId="77777777" w:rsidR="00745D97" w:rsidRPr="00210CB4" w:rsidRDefault="00745D97" w:rsidP="00210CB4">
            <w:pPr>
              <w:spacing w:before="60"/>
              <w:rPr>
                <w:rFonts w:cs="Arial"/>
                <w:b/>
                <w:bCs/>
                <w:sz w:val="20"/>
                <w:szCs w:val="20"/>
              </w:rPr>
            </w:pPr>
            <w:r w:rsidRPr="00210CB4">
              <w:rPr>
                <w:rFonts w:cs="Arial"/>
                <w:b/>
                <w:bCs/>
                <w:sz w:val="20"/>
                <w:szCs w:val="20"/>
              </w:rPr>
              <w:t>Probability in 50 years</w:t>
            </w:r>
          </w:p>
        </w:tc>
        <w:tc>
          <w:tcPr>
            <w:tcW w:w="1989" w:type="dxa"/>
            <w:tcBorders>
              <w:top w:val="single" w:sz="8" w:space="0" w:color="BFBFBF"/>
              <w:left w:val="single" w:sz="8" w:space="0" w:color="BFBFBF"/>
              <w:bottom w:val="single" w:sz="8" w:space="0" w:color="BFBFBF"/>
              <w:right w:val="single" w:sz="8" w:space="0" w:color="BFBFBF"/>
            </w:tcBorders>
          </w:tcPr>
          <w:p w14:paraId="13818590" w14:textId="77777777" w:rsidR="00745D97" w:rsidRPr="00210CB4" w:rsidRDefault="00745D97" w:rsidP="00210CB4">
            <w:pPr>
              <w:spacing w:before="60"/>
              <w:rPr>
                <w:rFonts w:cs="Arial"/>
                <w:sz w:val="20"/>
                <w:szCs w:val="20"/>
              </w:rPr>
            </w:pPr>
            <w:r w:rsidRPr="00210CB4">
              <w:rPr>
                <w:rFonts w:cs="Arial"/>
                <w:sz w:val="20"/>
                <w:szCs w:val="20"/>
              </w:rPr>
              <w:t>0.87</w:t>
            </w:r>
          </w:p>
        </w:tc>
        <w:tc>
          <w:tcPr>
            <w:tcW w:w="2553" w:type="dxa"/>
            <w:tcBorders>
              <w:top w:val="single" w:sz="8" w:space="0" w:color="BFBFBF"/>
              <w:left w:val="single" w:sz="8" w:space="0" w:color="BFBFBF"/>
              <w:bottom w:val="single" w:sz="8" w:space="0" w:color="BFBFBF"/>
              <w:right w:val="single" w:sz="8" w:space="0" w:color="BFBFBF"/>
            </w:tcBorders>
          </w:tcPr>
          <w:p w14:paraId="6AEDA260" w14:textId="77777777" w:rsidR="00745D97" w:rsidRPr="00210CB4" w:rsidRDefault="00745D97" w:rsidP="00210CB4">
            <w:pPr>
              <w:spacing w:before="60"/>
              <w:rPr>
                <w:rFonts w:cs="Arial"/>
                <w:sz w:val="20"/>
                <w:szCs w:val="20"/>
              </w:rPr>
            </w:pPr>
            <w:r w:rsidRPr="00210CB4">
              <w:rPr>
                <w:rFonts w:cs="Arial"/>
                <w:sz w:val="20"/>
                <w:szCs w:val="20"/>
              </w:rPr>
              <w:t>0.18</w:t>
            </w:r>
          </w:p>
        </w:tc>
        <w:tc>
          <w:tcPr>
            <w:tcW w:w="3123" w:type="dxa"/>
            <w:tcBorders>
              <w:top w:val="single" w:sz="8" w:space="0" w:color="BFBFBF"/>
              <w:left w:val="single" w:sz="8" w:space="0" w:color="BFBFBF"/>
              <w:bottom w:val="single" w:sz="8" w:space="0" w:color="BFBFBF"/>
              <w:right w:val="nil"/>
            </w:tcBorders>
          </w:tcPr>
          <w:p w14:paraId="397B3E80" w14:textId="77777777" w:rsidR="00745D97" w:rsidRPr="00210CB4" w:rsidRDefault="00745D97" w:rsidP="00210CB4">
            <w:pPr>
              <w:spacing w:before="60"/>
              <w:rPr>
                <w:rFonts w:cs="Arial"/>
                <w:sz w:val="20"/>
                <w:szCs w:val="20"/>
              </w:rPr>
            </w:pPr>
            <w:r w:rsidRPr="00210CB4">
              <w:rPr>
                <w:rFonts w:cs="Arial"/>
                <w:sz w:val="20"/>
                <w:szCs w:val="20"/>
              </w:rPr>
              <w:t>0.05</w:t>
            </w:r>
          </w:p>
        </w:tc>
      </w:tr>
      <w:tr w:rsidR="00745D97" w:rsidRPr="00210CB4" w14:paraId="493707F2"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18DAE13E" w14:textId="77777777" w:rsidR="00745D97" w:rsidRPr="00210CB4" w:rsidRDefault="00745D97" w:rsidP="00210CB4">
            <w:pPr>
              <w:spacing w:before="60"/>
              <w:rPr>
                <w:rFonts w:cs="Arial"/>
                <w:b/>
                <w:bCs/>
                <w:sz w:val="20"/>
                <w:szCs w:val="20"/>
              </w:rPr>
            </w:pPr>
            <w:r w:rsidRPr="00210CB4">
              <w:rPr>
                <w:rFonts w:cs="Arial"/>
                <w:b/>
                <w:bCs/>
                <w:sz w:val="20"/>
                <w:szCs w:val="20"/>
              </w:rPr>
              <w:t>Differential settlement (mm)</w:t>
            </w:r>
          </w:p>
        </w:tc>
        <w:tc>
          <w:tcPr>
            <w:tcW w:w="1989" w:type="dxa"/>
            <w:tcBorders>
              <w:top w:val="single" w:sz="8" w:space="0" w:color="BFBFBF"/>
              <w:left w:val="single" w:sz="8" w:space="0" w:color="BFBFBF"/>
              <w:bottom w:val="single" w:sz="8" w:space="0" w:color="BFBFBF"/>
              <w:right w:val="single" w:sz="8" w:space="0" w:color="BFBFBF"/>
            </w:tcBorders>
          </w:tcPr>
          <w:p w14:paraId="1FFFD4A0" w14:textId="77777777" w:rsidR="00745D97" w:rsidRPr="00210CB4" w:rsidRDefault="00745D97" w:rsidP="00210CB4">
            <w:pPr>
              <w:spacing w:before="60"/>
              <w:rPr>
                <w:rFonts w:cs="Arial"/>
                <w:sz w:val="20"/>
                <w:szCs w:val="20"/>
              </w:rPr>
            </w:pPr>
            <w:r w:rsidRPr="00210CB4">
              <w:rPr>
                <w:rFonts w:cs="Arial"/>
                <w:sz w:val="20"/>
                <w:szCs w:val="20"/>
              </w:rPr>
              <w:t>25</w:t>
            </w:r>
          </w:p>
        </w:tc>
        <w:tc>
          <w:tcPr>
            <w:tcW w:w="2553" w:type="dxa"/>
            <w:tcBorders>
              <w:top w:val="single" w:sz="8" w:space="0" w:color="BFBFBF"/>
              <w:left w:val="single" w:sz="8" w:space="0" w:color="BFBFBF"/>
              <w:bottom w:val="single" w:sz="8" w:space="0" w:color="BFBFBF"/>
              <w:right w:val="single" w:sz="8" w:space="0" w:color="BFBFBF"/>
            </w:tcBorders>
          </w:tcPr>
          <w:p w14:paraId="348CD472" w14:textId="77777777" w:rsidR="00745D97" w:rsidRPr="00210CB4" w:rsidRDefault="00745D97" w:rsidP="00210CB4">
            <w:pPr>
              <w:spacing w:before="60"/>
              <w:rPr>
                <w:rFonts w:cs="Arial"/>
                <w:sz w:val="20"/>
                <w:szCs w:val="20"/>
              </w:rPr>
            </w:pPr>
            <w:r w:rsidRPr="00210CB4">
              <w:rPr>
                <w:rFonts w:cs="Arial"/>
                <w:sz w:val="20"/>
                <w:szCs w:val="20"/>
              </w:rPr>
              <w:t>100</w:t>
            </w:r>
          </w:p>
        </w:tc>
        <w:tc>
          <w:tcPr>
            <w:tcW w:w="3123" w:type="dxa"/>
            <w:tcBorders>
              <w:top w:val="single" w:sz="8" w:space="0" w:color="BFBFBF"/>
              <w:left w:val="single" w:sz="8" w:space="0" w:color="BFBFBF"/>
              <w:bottom w:val="single" w:sz="8" w:space="0" w:color="BFBFBF"/>
              <w:right w:val="nil"/>
            </w:tcBorders>
          </w:tcPr>
          <w:p w14:paraId="19BED67C" w14:textId="77777777" w:rsidR="00745D97" w:rsidRPr="00210CB4" w:rsidRDefault="00745D97" w:rsidP="00210CB4">
            <w:pPr>
              <w:spacing w:before="60"/>
              <w:rPr>
                <w:rFonts w:cs="Arial"/>
                <w:sz w:val="20"/>
                <w:szCs w:val="20"/>
              </w:rPr>
            </w:pPr>
            <w:r w:rsidRPr="00210CB4">
              <w:rPr>
                <w:rFonts w:cs="Arial"/>
                <w:sz w:val="20"/>
                <w:szCs w:val="20"/>
              </w:rPr>
              <w:t>250</w:t>
            </w:r>
          </w:p>
        </w:tc>
      </w:tr>
      <w:tr w:rsidR="00745D97" w:rsidRPr="00210CB4" w14:paraId="70AF5744"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5F38B1E5" w14:textId="77777777" w:rsidR="00745D97" w:rsidRPr="00210CB4" w:rsidRDefault="00745D97" w:rsidP="00210CB4">
            <w:pPr>
              <w:spacing w:before="60"/>
              <w:rPr>
                <w:rFonts w:cs="Arial"/>
                <w:b/>
                <w:bCs/>
                <w:sz w:val="20"/>
                <w:szCs w:val="20"/>
              </w:rPr>
            </w:pPr>
            <w:r w:rsidRPr="00210CB4">
              <w:rPr>
                <w:rFonts w:cs="Arial"/>
                <w:b/>
                <w:bCs/>
                <w:sz w:val="20"/>
                <w:szCs w:val="20"/>
              </w:rPr>
              <w:t>Repairs (due to foundation deformations)</w:t>
            </w:r>
          </w:p>
        </w:tc>
        <w:tc>
          <w:tcPr>
            <w:tcW w:w="1989" w:type="dxa"/>
            <w:tcBorders>
              <w:top w:val="single" w:sz="8" w:space="0" w:color="BFBFBF"/>
              <w:left w:val="single" w:sz="8" w:space="0" w:color="BFBFBF"/>
              <w:bottom w:val="single" w:sz="8" w:space="0" w:color="BFBFBF"/>
              <w:right w:val="single" w:sz="8" w:space="0" w:color="BFBFBF"/>
            </w:tcBorders>
          </w:tcPr>
          <w:p w14:paraId="1D0D7603" w14:textId="77777777" w:rsidR="00745D97" w:rsidRPr="00210CB4" w:rsidRDefault="00745D97" w:rsidP="00210CB4">
            <w:pPr>
              <w:spacing w:before="60"/>
              <w:rPr>
                <w:rFonts w:cs="Arial"/>
                <w:sz w:val="20"/>
                <w:szCs w:val="20"/>
              </w:rPr>
            </w:pPr>
            <w:r w:rsidRPr="00210CB4">
              <w:rPr>
                <w:rFonts w:cs="Arial"/>
                <w:sz w:val="20"/>
                <w:szCs w:val="20"/>
              </w:rPr>
              <w:t xml:space="preserve">Some minor ‘cosmetic’ work may be required. </w:t>
            </w:r>
          </w:p>
          <w:p w14:paraId="28750012" w14:textId="77777777" w:rsidR="00745D97" w:rsidRPr="00210CB4" w:rsidRDefault="00745D97" w:rsidP="00210CB4">
            <w:pPr>
              <w:spacing w:before="60"/>
              <w:rPr>
                <w:rFonts w:cs="Arial"/>
                <w:sz w:val="20"/>
                <w:szCs w:val="20"/>
              </w:rPr>
            </w:pPr>
            <w:r w:rsidRPr="00210CB4">
              <w:rPr>
                <w:rFonts w:cs="Arial"/>
                <w:sz w:val="20"/>
                <w:szCs w:val="20"/>
              </w:rPr>
              <w:t>Cosmetic cracking of wall finishes.</w:t>
            </w:r>
          </w:p>
          <w:p w14:paraId="2B90881C" w14:textId="77777777" w:rsidR="00745D97" w:rsidRPr="00210CB4" w:rsidRDefault="00745D97" w:rsidP="00210CB4">
            <w:pPr>
              <w:spacing w:before="60"/>
              <w:rPr>
                <w:rFonts w:cs="Arial"/>
                <w:sz w:val="20"/>
                <w:szCs w:val="20"/>
              </w:rPr>
            </w:pPr>
            <w:r w:rsidRPr="00210CB4">
              <w:rPr>
                <w:rFonts w:cs="Arial"/>
                <w:sz w:val="20"/>
                <w:szCs w:val="20"/>
              </w:rPr>
              <w:t xml:space="preserve">Building services </w:t>
            </w:r>
          </w:p>
          <w:p w14:paraId="62C25E48" w14:textId="77777777" w:rsidR="00745D97" w:rsidRPr="00210CB4" w:rsidRDefault="00745D97" w:rsidP="00210CB4">
            <w:pPr>
              <w:spacing w:before="60"/>
              <w:rPr>
                <w:rFonts w:cs="Arial"/>
                <w:sz w:val="20"/>
                <w:szCs w:val="20"/>
              </w:rPr>
            </w:pPr>
            <w:r w:rsidRPr="00210CB4">
              <w:rPr>
                <w:rFonts w:cs="Arial"/>
                <w:sz w:val="20"/>
                <w:szCs w:val="20"/>
              </w:rPr>
              <w:t>operational.</w:t>
            </w:r>
          </w:p>
          <w:p w14:paraId="55A7CE44" w14:textId="77777777" w:rsidR="00745D97" w:rsidRPr="00210CB4" w:rsidRDefault="00745D97" w:rsidP="00210CB4">
            <w:pPr>
              <w:spacing w:before="60"/>
              <w:rPr>
                <w:rFonts w:cs="Arial"/>
                <w:sz w:val="20"/>
                <w:szCs w:val="20"/>
              </w:rPr>
            </w:pPr>
            <w:r w:rsidRPr="00210CB4">
              <w:rPr>
                <w:rFonts w:cs="Arial"/>
                <w:sz w:val="20"/>
                <w:szCs w:val="20"/>
              </w:rPr>
              <w:t xml:space="preserve">Weathertight (no </w:t>
            </w:r>
          </w:p>
          <w:p w14:paraId="21A0E5F0" w14:textId="77777777" w:rsidR="00745D97" w:rsidRPr="00210CB4" w:rsidRDefault="00745D97" w:rsidP="00210CB4">
            <w:pPr>
              <w:spacing w:before="60"/>
              <w:rPr>
                <w:rFonts w:cs="Arial"/>
                <w:sz w:val="20"/>
                <w:szCs w:val="20"/>
              </w:rPr>
            </w:pPr>
            <w:r w:rsidRPr="00210CB4">
              <w:rPr>
                <w:rFonts w:cs="Arial"/>
                <w:sz w:val="20"/>
                <w:szCs w:val="20"/>
              </w:rPr>
              <w:t xml:space="preserve">reinstatement work </w:t>
            </w:r>
          </w:p>
          <w:p w14:paraId="34A1FCDC" w14:textId="77777777" w:rsidR="00745D97" w:rsidRPr="00210CB4" w:rsidRDefault="00745D97" w:rsidP="00210CB4">
            <w:pPr>
              <w:spacing w:before="60"/>
              <w:rPr>
                <w:rFonts w:cs="Arial"/>
                <w:sz w:val="20"/>
                <w:szCs w:val="20"/>
              </w:rPr>
            </w:pPr>
            <w:r w:rsidRPr="00210CB4">
              <w:rPr>
                <w:rFonts w:cs="Arial"/>
                <w:sz w:val="20"/>
                <w:szCs w:val="20"/>
              </w:rPr>
              <w:t>required).</w:t>
            </w:r>
          </w:p>
          <w:p w14:paraId="456E4123" w14:textId="77777777" w:rsidR="00745D97" w:rsidRPr="00210CB4" w:rsidRDefault="00745D97" w:rsidP="00210CB4">
            <w:pPr>
              <w:spacing w:before="60"/>
              <w:rPr>
                <w:rFonts w:cs="Arial"/>
                <w:sz w:val="20"/>
                <w:szCs w:val="20"/>
              </w:rPr>
            </w:pPr>
          </w:p>
          <w:p w14:paraId="31C5C4EA" w14:textId="77777777" w:rsidR="00745D97" w:rsidRPr="00210CB4" w:rsidRDefault="00745D97" w:rsidP="00210CB4">
            <w:pPr>
              <w:spacing w:before="60"/>
              <w:rPr>
                <w:rFonts w:cs="Arial"/>
                <w:sz w:val="20"/>
                <w:szCs w:val="20"/>
              </w:rPr>
            </w:pPr>
          </w:p>
        </w:tc>
        <w:tc>
          <w:tcPr>
            <w:tcW w:w="2553" w:type="dxa"/>
            <w:tcBorders>
              <w:top w:val="single" w:sz="8" w:space="0" w:color="BFBFBF"/>
              <w:left w:val="single" w:sz="8" w:space="0" w:color="BFBFBF"/>
              <w:bottom w:val="single" w:sz="8" w:space="0" w:color="BFBFBF"/>
              <w:right w:val="single" w:sz="8" w:space="0" w:color="BFBFBF"/>
            </w:tcBorders>
          </w:tcPr>
          <w:p w14:paraId="0B201FC0" w14:textId="77777777" w:rsidR="00745D97" w:rsidRPr="00210CB4" w:rsidRDefault="00745D97" w:rsidP="00210CB4">
            <w:pPr>
              <w:spacing w:before="60"/>
              <w:rPr>
                <w:rFonts w:cs="Arial"/>
                <w:sz w:val="20"/>
                <w:szCs w:val="20"/>
              </w:rPr>
            </w:pPr>
            <w:r w:rsidRPr="00210CB4">
              <w:rPr>
                <w:rFonts w:cs="Arial"/>
                <w:sz w:val="20"/>
                <w:szCs w:val="20"/>
              </w:rPr>
              <w:t>Re-levelling required to 20% of the floor area using grout injection.</w:t>
            </w:r>
          </w:p>
          <w:p w14:paraId="6A6EBAF3" w14:textId="6589E9AB" w:rsidR="00745D97" w:rsidRPr="00210CB4" w:rsidRDefault="00745D97" w:rsidP="00210CB4">
            <w:pPr>
              <w:spacing w:before="60"/>
              <w:rPr>
                <w:rFonts w:cs="Arial"/>
                <w:sz w:val="20"/>
                <w:szCs w:val="20"/>
              </w:rPr>
            </w:pPr>
            <w:r w:rsidRPr="00210CB4">
              <w:rPr>
                <w:rFonts w:cs="Arial"/>
                <w:sz w:val="20"/>
                <w:szCs w:val="20"/>
              </w:rPr>
              <w:t>Some replastering and repainting</w:t>
            </w:r>
            <w:r w:rsidR="00A43953" w:rsidRPr="00210CB4">
              <w:rPr>
                <w:rFonts w:cs="Arial"/>
                <w:sz w:val="20"/>
                <w:szCs w:val="20"/>
              </w:rPr>
              <w:t xml:space="preserve">. </w:t>
            </w:r>
            <w:r w:rsidRPr="00210CB4">
              <w:rPr>
                <w:rFonts w:cs="Arial"/>
                <w:sz w:val="20"/>
                <w:szCs w:val="20"/>
              </w:rPr>
              <w:t>Sticking doors and windows.</w:t>
            </w:r>
          </w:p>
          <w:p w14:paraId="3506F0F1" w14:textId="77777777" w:rsidR="00745D97" w:rsidRPr="00210CB4" w:rsidRDefault="00745D97" w:rsidP="00210CB4">
            <w:pPr>
              <w:spacing w:before="60"/>
              <w:rPr>
                <w:rFonts w:cs="Arial"/>
                <w:sz w:val="20"/>
                <w:szCs w:val="20"/>
              </w:rPr>
            </w:pPr>
            <w:r w:rsidRPr="00210CB4">
              <w:rPr>
                <w:rFonts w:cs="Arial"/>
                <w:sz w:val="20"/>
                <w:szCs w:val="20"/>
              </w:rPr>
              <w:t>Some repairs to non-structural elements. Some cladding repairs.</w:t>
            </w:r>
          </w:p>
          <w:p w14:paraId="66562045" w14:textId="77777777" w:rsidR="00745D97" w:rsidRPr="00210CB4" w:rsidRDefault="00745D97" w:rsidP="00210CB4">
            <w:pPr>
              <w:spacing w:before="60"/>
              <w:rPr>
                <w:rFonts w:cs="Arial"/>
                <w:sz w:val="20"/>
                <w:szCs w:val="20"/>
              </w:rPr>
            </w:pPr>
            <w:r w:rsidRPr="00210CB4">
              <w:rPr>
                <w:rFonts w:cs="Arial"/>
                <w:sz w:val="20"/>
                <w:szCs w:val="20"/>
              </w:rPr>
              <w:t>Building services readily reinstated.</w:t>
            </w:r>
          </w:p>
          <w:p w14:paraId="1120E54A" w14:textId="77777777" w:rsidR="00745D97" w:rsidRPr="00210CB4" w:rsidRDefault="00745D97" w:rsidP="00210CB4">
            <w:pPr>
              <w:spacing w:before="60"/>
              <w:rPr>
                <w:rFonts w:cs="Arial"/>
                <w:sz w:val="20"/>
                <w:szCs w:val="20"/>
              </w:rPr>
            </w:pPr>
            <w:r w:rsidRPr="00210CB4">
              <w:rPr>
                <w:rFonts w:cs="Arial"/>
                <w:sz w:val="20"/>
                <w:szCs w:val="20"/>
              </w:rPr>
              <w:t xml:space="preserve">Fire protection systems readily reinstated. </w:t>
            </w:r>
          </w:p>
          <w:p w14:paraId="360902C7" w14:textId="77777777" w:rsidR="00745D97" w:rsidRPr="00210CB4" w:rsidRDefault="00745D97" w:rsidP="00210CB4">
            <w:pPr>
              <w:spacing w:before="60"/>
              <w:rPr>
                <w:rFonts w:cs="Arial"/>
                <w:sz w:val="20"/>
                <w:szCs w:val="20"/>
              </w:rPr>
            </w:pPr>
            <w:r w:rsidRPr="00210CB4">
              <w:rPr>
                <w:rFonts w:cs="Arial"/>
                <w:sz w:val="20"/>
                <w:szCs w:val="20"/>
              </w:rPr>
              <w:t>Weathertightness readily reinstated.</w:t>
            </w:r>
          </w:p>
        </w:tc>
        <w:tc>
          <w:tcPr>
            <w:tcW w:w="3123" w:type="dxa"/>
            <w:tcBorders>
              <w:top w:val="single" w:sz="8" w:space="0" w:color="BFBFBF"/>
              <w:left w:val="single" w:sz="8" w:space="0" w:color="BFBFBF"/>
              <w:bottom w:val="single" w:sz="8" w:space="0" w:color="BFBFBF"/>
              <w:right w:val="nil"/>
            </w:tcBorders>
          </w:tcPr>
          <w:p w14:paraId="12BC5D4B" w14:textId="77777777" w:rsidR="00745D97" w:rsidRPr="00210CB4" w:rsidRDefault="00745D97" w:rsidP="00210CB4">
            <w:pPr>
              <w:spacing w:before="60"/>
              <w:rPr>
                <w:rFonts w:cs="Arial"/>
                <w:sz w:val="20"/>
                <w:szCs w:val="20"/>
              </w:rPr>
            </w:pPr>
            <w:r w:rsidRPr="00210CB4">
              <w:rPr>
                <w:rFonts w:cs="Arial"/>
                <w:sz w:val="20"/>
                <w:szCs w:val="20"/>
              </w:rPr>
              <w:t>Major repairs required including re-levelling of foundations and floor area (80% of area).</w:t>
            </w:r>
          </w:p>
          <w:p w14:paraId="5F53C748" w14:textId="11266141" w:rsidR="00745D97" w:rsidRPr="00210CB4" w:rsidRDefault="00745D97" w:rsidP="00210CB4">
            <w:pPr>
              <w:spacing w:before="60"/>
              <w:rPr>
                <w:rFonts w:cs="Arial"/>
                <w:sz w:val="20"/>
                <w:szCs w:val="20"/>
              </w:rPr>
            </w:pPr>
            <w:r w:rsidRPr="00210CB4">
              <w:rPr>
                <w:rFonts w:cs="Arial"/>
                <w:sz w:val="20"/>
                <w:szCs w:val="20"/>
              </w:rPr>
              <w:t>Foundation re-levelling using mechanical lifting and grout injection</w:t>
            </w:r>
            <w:r w:rsidR="00A43953" w:rsidRPr="00210CB4">
              <w:rPr>
                <w:rFonts w:cs="Arial"/>
                <w:sz w:val="20"/>
                <w:szCs w:val="20"/>
              </w:rPr>
              <w:t xml:space="preserve">. </w:t>
            </w:r>
          </w:p>
          <w:p w14:paraId="2C110879" w14:textId="77777777" w:rsidR="00745D97" w:rsidRPr="00210CB4" w:rsidRDefault="00745D97" w:rsidP="00210CB4">
            <w:pPr>
              <w:spacing w:before="60"/>
              <w:rPr>
                <w:rFonts w:cs="Arial"/>
                <w:sz w:val="20"/>
                <w:szCs w:val="20"/>
              </w:rPr>
            </w:pPr>
            <w:r w:rsidRPr="00210CB4">
              <w:rPr>
                <w:rFonts w:cs="Arial"/>
                <w:sz w:val="20"/>
                <w:szCs w:val="20"/>
              </w:rPr>
              <w:t xml:space="preserve">Replacement of some structural elements. </w:t>
            </w:r>
          </w:p>
          <w:p w14:paraId="247ED257" w14:textId="75ECD54C" w:rsidR="00745D97" w:rsidRPr="00210CB4" w:rsidRDefault="00745D97" w:rsidP="00210CB4">
            <w:pPr>
              <w:spacing w:before="60"/>
              <w:rPr>
                <w:rFonts w:cs="Arial"/>
                <w:sz w:val="20"/>
                <w:szCs w:val="20"/>
              </w:rPr>
            </w:pPr>
            <w:r w:rsidRPr="00210CB4">
              <w:rPr>
                <w:rFonts w:cs="Arial"/>
                <w:sz w:val="20"/>
                <w:szCs w:val="20"/>
              </w:rPr>
              <w:t>Extensive non-structural repairs</w:t>
            </w:r>
            <w:r w:rsidR="00A43953" w:rsidRPr="00210CB4">
              <w:rPr>
                <w:rFonts w:cs="Arial"/>
                <w:sz w:val="20"/>
                <w:szCs w:val="20"/>
              </w:rPr>
              <w:t xml:space="preserve">. </w:t>
            </w:r>
            <w:r w:rsidRPr="00210CB4">
              <w:rPr>
                <w:rFonts w:cs="Arial"/>
                <w:sz w:val="20"/>
                <w:szCs w:val="20"/>
              </w:rPr>
              <w:t>Some service connections to be replaced.</w:t>
            </w:r>
          </w:p>
          <w:p w14:paraId="305818EA" w14:textId="77777777" w:rsidR="00745D97" w:rsidRPr="00210CB4" w:rsidRDefault="00745D97" w:rsidP="00210CB4">
            <w:pPr>
              <w:spacing w:before="60"/>
              <w:rPr>
                <w:rFonts w:cs="Arial"/>
                <w:sz w:val="20"/>
                <w:szCs w:val="20"/>
              </w:rPr>
            </w:pPr>
            <w:r w:rsidRPr="00210CB4">
              <w:rPr>
                <w:rFonts w:cs="Arial"/>
                <w:sz w:val="20"/>
                <w:szCs w:val="20"/>
              </w:rPr>
              <w:t>Seismic separations reinstated.</w:t>
            </w:r>
          </w:p>
          <w:p w14:paraId="7F4E0F56" w14:textId="3B10C886" w:rsidR="00745D97" w:rsidRPr="00210CB4" w:rsidRDefault="00745D97" w:rsidP="00210CB4">
            <w:pPr>
              <w:spacing w:before="60"/>
              <w:rPr>
                <w:rFonts w:cs="Arial"/>
                <w:sz w:val="20"/>
                <w:szCs w:val="20"/>
              </w:rPr>
            </w:pPr>
            <w:r w:rsidRPr="00210CB4">
              <w:rPr>
                <w:rFonts w:cs="Arial"/>
                <w:sz w:val="20"/>
                <w:szCs w:val="20"/>
              </w:rPr>
              <w:t>Significant repairs expected to reinstate weathertightness.</w:t>
            </w:r>
          </w:p>
        </w:tc>
      </w:tr>
      <w:tr w:rsidR="00745D97" w:rsidRPr="00210CB4" w14:paraId="53999374"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11B3C3D1" w14:textId="77777777" w:rsidR="00745D97" w:rsidRPr="00210CB4" w:rsidRDefault="00745D97" w:rsidP="00210CB4">
            <w:pPr>
              <w:spacing w:before="60"/>
              <w:rPr>
                <w:rFonts w:cs="Arial"/>
                <w:b/>
                <w:bCs/>
                <w:sz w:val="20"/>
                <w:szCs w:val="20"/>
              </w:rPr>
            </w:pPr>
            <w:r w:rsidRPr="00210CB4">
              <w:rPr>
                <w:rFonts w:cs="Arial"/>
                <w:b/>
                <w:bCs/>
                <w:sz w:val="20"/>
                <w:szCs w:val="20"/>
              </w:rPr>
              <w:t>Repair Costs</w:t>
            </w:r>
          </w:p>
        </w:tc>
        <w:tc>
          <w:tcPr>
            <w:tcW w:w="1989" w:type="dxa"/>
            <w:tcBorders>
              <w:top w:val="single" w:sz="8" w:space="0" w:color="BFBFBF"/>
              <w:left w:val="single" w:sz="8" w:space="0" w:color="BFBFBF"/>
              <w:bottom w:val="single" w:sz="8" w:space="0" w:color="BFBFBF"/>
              <w:right w:val="single" w:sz="8" w:space="0" w:color="BFBFBF"/>
            </w:tcBorders>
          </w:tcPr>
          <w:p w14:paraId="386BE2FF" w14:textId="77777777" w:rsidR="00745D97" w:rsidRPr="00210CB4" w:rsidRDefault="00745D97" w:rsidP="00210CB4">
            <w:pPr>
              <w:spacing w:before="60"/>
              <w:rPr>
                <w:rFonts w:cs="Arial"/>
                <w:sz w:val="20"/>
                <w:szCs w:val="20"/>
              </w:rPr>
            </w:pPr>
            <w:r w:rsidRPr="00210CB4">
              <w:rPr>
                <w:rFonts w:cs="Arial"/>
                <w:sz w:val="20"/>
                <w:szCs w:val="20"/>
              </w:rPr>
              <w:t>$0.1M</w:t>
            </w:r>
          </w:p>
        </w:tc>
        <w:tc>
          <w:tcPr>
            <w:tcW w:w="2553" w:type="dxa"/>
            <w:tcBorders>
              <w:top w:val="single" w:sz="8" w:space="0" w:color="BFBFBF"/>
              <w:left w:val="single" w:sz="8" w:space="0" w:color="BFBFBF"/>
              <w:bottom w:val="single" w:sz="8" w:space="0" w:color="BFBFBF"/>
              <w:right w:val="single" w:sz="8" w:space="0" w:color="BFBFBF"/>
            </w:tcBorders>
          </w:tcPr>
          <w:p w14:paraId="1DF021B6" w14:textId="77777777" w:rsidR="00745D97" w:rsidRPr="00210CB4" w:rsidRDefault="00745D97" w:rsidP="00210CB4">
            <w:pPr>
              <w:spacing w:before="60"/>
              <w:rPr>
                <w:rFonts w:cs="Arial"/>
                <w:sz w:val="20"/>
                <w:szCs w:val="20"/>
              </w:rPr>
            </w:pPr>
            <w:r w:rsidRPr="00210CB4">
              <w:rPr>
                <w:rFonts w:cs="Arial"/>
                <w:sz w:val="20"/>
                <w:szCs w:val="20"/>
              </w:rPr>
              <w:t>$3M</w:t>
            </w:r>
          </w:p>
        </w:tc>
        <w:tc>
          <w:tcPr>
            <w:tcW w:w="3123" w:type="dxa"/>
            <w:tcBorders>
              <w:top w:val="single" w:sz="8" w:space="0" w:color="BFBFBF"/>
              <w:left w:val="single" w:sz="8" w:space="0" w:color="BFBFBF"/>
              <w:bottom w:val="single" w:sz="8" w:space="0" w:color="BFBFBF"/>
              <w:right w:val="nil"/>
            </w:tcBorders>
          </w:tcPr>
          <w:p w14:paraId="204A0B20" w14:textId="77777777" w:rsidR="00745D97" w:rsidRPr="00210CB4" w:rsidRDefault="00745D97" w:rsidP="00210CB4">
            <w:pPr>
              <w:spacing w:before="60"/>
              <w:rPr>
                <w:rFonts w:cs="Arial"/>
                <w:sz w:val="20"/>
                <w:szCs w:val="20"/>
              </w:rPr>
            </w:pPr>
            <w:r w:rsidRPr="00210CB4">
              <w:rPr>
                <w:rFonts w:cs="Arial"/>
                <w:sz w:val="20"/>
                <w:szCs w:val="20"/>
              </w:rPr>
              <w:t>$30M</w:t>
            </w:r>
          </w:p>
        </w:tc>
      </w:tr>
      <w:tr w:rsidR="00745D97" w:rsidRPr="00210CB4" w14:paraId="64954769" w14:textId="77777777" w:rsidTr="005F3950">
        <w:trPr>
          <w:gridAfter w:val="1"/>
          <w:wAfter w:w="18" w:type="dxa"/>
        </w:trPr>
        <w:tc>
          <w:tcPr>
            <w:tcW w:w="1980" w:type="dxa"/>
            <w:tcBorders>
              <w:top w:val="single" w:sz="8" w:space="0" w:color="BFBFBF"/>
              <w:left w:val="nil"/>
              <w:bottom w:val="single" w:sz="8" w:space="0" w:color="BFBFBF"/>
              <w:right w:val="single" w:sz="8" w:space="0" w:color="BFBFBF"/>
            </w:tcBorders>
          </w:tcPr>
          <w:p w14:paraId="45BAB842" w14:textId="77777777" w:rsidR="00745D97" w:rsidRPr="00210CB4" w:rsidRDefault="00745D97" w:rsidP="00210CB4">
            <w:pPr>
              <w:spacing w:before="60"/>
              <w:rPr>
                <w:rFonts w:cs="Arial"/>
                <w:b/>
                <w:bCs/>
                <w:sz w:val="20"/>
                <w:szCs w:val="20"/>
              </w:rPr>
            </w:pPr>
            <w:r w:rsidRPr="00210CB4">
              <w:rPr>
                <w:rFonts w:cs="Arial"/>
                <w:b/>
                <w:bCs/>
                <w:sz w:val="20"/>
                <w:szCs w:val="20"/>
              </w:rPr>
              <w:t>Expected Costs</w:t>
            </w:r>
          </w:p>
        </w:tc>
        <w:tc>
          <w:tcPr>
            <w:tcW w:w="1989" w:type="dxa"/>
            <w:tcBorders>
              <w:top w:val="single" w:sz="8" w:space="0" w:color="BFBFBF"/>
              <w:left w:val="single" w:sz="8" w:space="0" w:color="BFBFBF"/>
              <w:bottom w:val="single" w:sz="8" w:space="0" w:color="BFBFBF"/>
              <w:right w:val="single" w:sz="8" w:space="0" w:color="BFBFBF"/>
            </w:tcBorders>
          </w:tcPr>
          <w:p w14:paraId="273BA421" w14:textId="77777777" w:rsidR="00745D97" w:rsidRPr="00210CB4" w:rsidRDefault="00745D97" w:rsidP="00210CB4">
            <w:pPr>
              <w:spacing w:before="60"/>
              <w:rPr>
                <w:rFonts w:cs="Arial"/>
                <w:sz w:val="20"/>
                <w:szCs w:val="20"/>
              </w:rPr>
            </w:pPr>
            <w:r w:rsidRPr="00210CB4">
              <w:rPr>
                <w:rFonts w:cs="Arial"/>
                <w:sz w:val="20"/>
                <w:szCs w:val="20"/>
              </w:rPr>
              <w:t>$0.1M</w:t>
            </w:r>
          </w:p>
        </w:tc>
        <w:tc>
          <w:tcPr>
            <w:tcW w:w="2553" w:type="dxa"/>
            <w:tcBorders>
              <w:top w:val="single" w:sz="8" w:space="0" w:color="BFBFBF"/>
              <w:left w:val="single" w:sz="8" w:space="0" w:color="BFBFBF"/>
              <w:bottom w:val="single" w:sz="8" w:space="0" w:color="BFBFBF"/>
              <w:right w:val="single" w:sz="8" w:space="0" w:color="BFBFBF"/>
            </w:tcBorders>
          </w:tcPr>
          <w:p w14:paraId="36144BE6" w14:textId="77777777" w:rsidR="00745D97" w:rsidRPr="00210CB4" w:rsidRDefault="00745D97" w:rsidP="00210CB4">
            <w:pPr>
              <w:spacing w:before="60"/>
              <w:rPr>
                <w:rFonts w:cs="Arial"/>
                <w:sz w:val="20"/>
                <w:szCs w:val="20"/>
              </w:rPr>
            </w:pPr>
            <w:r w:rsidRPr="00210CB4">
              <w:rPr>
                <w:rFonts w:cs="Arial"/>
                <w:sz w:val="20"/>
                <w:szCs w:val="20"/>
              </w:rPr>
              <w:t>$0.5M</w:t>
            </w:r>
          </w:p>
        </w:tc>
        <w:tc>
          <w:tcPr>
            <w:tcW w:w="3123" w:type="dxa"/>
            <w:tcBorders>
              <w:top w:val="single" w:sz="8" w:space="0" w:color="BFBFBF"/>
              <w:left w:val="single" w:sz="8" w:space="0" w:color="BFBFBF"/>
              <w:bottom w:val="single" w:sz="8" w:space="0" w:color="BFBFBF"/>
              <w:right w:val="nil"/>
            </w:tcBorders>
          </w:tcPr>
          <w:p w14:paraId="43B07C17" w14:textId="77777777" w:rsidR="00745D97" w:rsidRPr="00210CB4" w:rsidRDefault="00745D97" w:rsidP="00210CB4">
            <w:pPr>
              <w:spacing w:before="60"/>
              <w:rPr>
                <w:rFonts w:cs="Arial"/>
                <w:sz w:val="20"/>
                <w:szCs w:val="20"/>
              </w:rPr>
            </w:pPr>
            <w:r w:rsidRPr="00210CB4">
              <w:rPr>
                <w:rFonts w:cs="Arial"/>
                <w:sz w:val="20"/>
                <w:szCs w:val="20"/>
              </w:rPr>
              <w:t>$1.5M</w:t>
            </w:r>
          </w:p>
        </w:tc>
      </w:tr>
      <w:tr w:rsidR="00745D97" w:rsidRPr="00210CB4" w14:paraId="206ED729" w14:textId="77777777" w:rsidTr="005F3950">
        <w:tc>
          <w:tcPr>
            <w:tcW w:w="1980" w:type="dxa"/>
            <w:tcBorders>
              <w:top w:val="single" w:sz="8" w:space="0" w:color="BFBFBF"/>
              <w:left w:val="nil"/>
              <w:bottom w:val="nil"/>
              <w:right w:val="single" w:sz="8" w:space="0" w:color="BFBFBF"/>
            </w:tcBorders>
          </w:tcPr>
          <w:p w14:paraId="4DE164CE" w14:textId="77777777" w:rsidR="00745D97" w:rsidRPr="00210CB4" w:rsidRDefault="00745D97" w:rsidP="00210CB4">
            <w:pPr>
              <w:spacing w:before="60"/>
              <w:rPr>
                <w:rFonts w:cs="Arial"/>
                <w:b/>
                <w:bCs/>
                <w:sz w:val="20"/>
                <w:szCs w:val="20"/>
              </w:rPr>
            </w:pPr>
            <w:r w:rsidRPr="00210CB4">
              <w:rPr>
                <w:rFonts w:cs="Arial"/>
                <w:b/>
                <w:bCs/>
                <w:sz w:val="20"/>
                <w:szCs w:val="20"/>
              </w:rPr>
              <w:t>Total</w:t>
            </w:r>
          </w:p>
        </w:tc>
        <w:tc>
          <w:tcPr>
            <w:tcW w:w="7683" w:type="dxa"/>
            <w:gridSpan w:val="4"/>
            <w:tcBorders>
              <w:top w:val="single" w:sz="8" w:space="0" w:color="BFBFBF"/>
              <w:left w:val="single" w:sz="8" w:space="0" w:color="BFBFBF"/>
              <w:bottom w:val="nil"/>
              <w:right w:val="nil"/>
            </w:tcBorders>
          </w:tcPr>
          <w:p w14:paraId="5AE50E9F" w14:textId="77777777" w:rsidR="00745D97" w:rsidRPr="00210CB4" w:rsidRDefault="00745D97" w:rsidP="00210CB4">
            <w:pPr>
              <w:spacing w:before="60"/>
              <w:rPr>
                <w:rFonts w:cs="Arial"/>
                <w:sz w:val="20"/>
                <w:szCs w:val="20"/>
              </w:rPr>
            </w:pPr>
            <w:r w:rsidRPr="00210CB4">
              <w:rPr>
                <w:rFonts w:cs="Arial"/>
                <w:sz w:val="20"/>
                <w:szCs w:val="20"/>
              </w:rPr>
              <w:t>$6.1M ($4M + $0.1M + $0.5M + $1.5M)</w:t>
            </w:r>
          </w:p>
        </w:tc>
      </w:tr>
    </w:tbl>
    <w:p w14:paraId="016AB3A2" w14:textId="77777777" w:rsidR="00E05EE6" w:rsidRDefault="00E05EE6" w:rsidP="00666E06"/>
    <w:tbl>
      <w:tblPr>
        <w:tblStyle w:val="TableGrid"/>
        <w:tblW w:w="0" w:type="auto"/>
        <w:tblBorders>
          <w:top w:val="single" w:sz="4" w:space="0" w:color="15284C" w:themeColor="text2"/>
          <w:left w:val="none" w:sz="0" w:space="0" w:color="auto"/>
          <w:bottom w:val="none" w:sz="0" w:space="0" w:color="auto"/>
          <w:right w:val="none" w:sz="0" w:space="0" w:color="auto"/>
          <w:insideH w:val="single" w:sz="8" w:space="0" w:color="BFBFBF"/>
          <w:insideV w:val="single" w:sz="8" w:space="0" w:color="BFBFBF"/>
        </w:tblBorders>
        <w:tblLook w:val="04A0" w:firstRow="1" w:lastRow="0" w:firstColumn="1" w:lastColumn="0" w:noHBand="0" w:noVBand="1"/>
      </w:tblPr>
      <w:tblGrid>
        <w:gridCol w:w="2796"/>
        <w:gridCol w:w="1401"/>
        <w:gridCol w:w="1473"/>
        <w:gridCol w:w="3538"/>
        <w:gridCol w:w="8"/>
      </w:tblGrid>
      <w:tr w:rsidR="005F3950" w:rsidRPr="00210CB4" w14:paraId="70D2BC69" w14:textId="77777777" w:rsidTr="003D3EEA">
        <w:tc>
          <w:tcPr>
            <w:tcW w:w="9216" w:type="dxa"/>
            <w:gridSpan w:val="5"/>
            <w:tcBorders>
              <w:top w:val="single" w:sz="12" w:space="0" w:color="003399" w:themeColor="accent2"/>
              <w:bottom w:val="single" w:sz="12" w:space="0" w:color="003399" w:themeColor="accent2"/>
            </w:tcBorders>
            <w:shd w:val="clear" w:color="auto" w:fill="F6F4EC"/>
          </w:tcPr>
          <w:p w14:paraId="3BB383C4" w14:textId="77777777" w:rsidR="00F81AE9" w:rsidRPr="00210CB4" w:rsidRDefault="00F81AE9" w:rsidP="00210CB4">
            <w:pPr>
              <w:spacing w:before="60" w:after="120"/>
              <w:rPr>
                <w:b/>
                <w:bCs/>
                <w:sz w:val="20"/>
                <w:szCs w:val="20"/>
              </w:rPr>
            </w:pPr>
            <w:r w:rsidRPr="00210CB4">
              <w:rPr>
                <w:b/>
                <w:bCs/>
                <w:sz w:val="20"/>
                <w:szCs w:val="20"/>
              </w:rPr>
              <w:t>Option 2 Deep Piles. Capital Cost $9M</w:t>
            </w:r>
          </w:p>
        </w:tc>
      </w:tr>
      <w:tr w:rsidR="005F3950" w:rsidRPr="00210CB4" w14:paraId="3B2029B4" w14:textId="77777777" w:rsidTr="003D3EEA">
        <w:trPr>
          <w:gridAfter w:val="1"/>
          <w:wAfter w:w="8" w:type="dxa"/>
        </w:trPr>
        <w:tc>
          <w:tcPr>
            <w:tcW w:w="2796" w:type="dxa"/>
            <w:tcBorders>
              <w:top w:val="single" w:sz="12" w:space="0" w:color="003399" w:themeColor="accent2"/>
            </w:tcBorders>
          </w:tcPr>
          <w:p w14:paraId="5F92E98D" w14:textId="77777777" w:rsidR="00F81AE9" w:rsidRPr="00210CB4" w:rsidRDefault="00F81AE9" w:rsidP="00210CB4">
            <w:pPr>
              <w:spacing w:before="60"/>
              <w:rPr>
                <w:b/>
                <w:bCs/>
                <w:sz w:val="20"/>
                <w:szCs w:val="20"/>
              </w:rPr>
            </w:pPr>
            <w:r w:rsidRPr="00210CB4">
              <w:rPr>
                <w:b/>
                <w:bCs/>
                <w:sz w:val="20"/>
                <w:szCs w:val="20"/>
              </w:rPr>
              <w:t>Design Case</w:t>
            </w:r>
          </w:p>
        </w:tc>
        <w:tc>
          <w:tcPr>
            <w:tcW w:w="1401" w:type="dxa"/>
            <w:tcBorders>
              <w:top w:val="single" w:sz="12" w:space="0" w:color="003399" w:themeColor="accent2"/>
            </w:tcBorders>
          </w:tcPr>
          <w:p w14:paraId="2216A529" w14:textId="77777777" w:rsidR="00F81AE9" w:rsidRPr="00210CB4" w:rsidRDefault="00F81AE9" w:rsidP="00210CB4">
            <w:pPr>
              <w:spacing w:before="60"/>
              <w:rPr>
                <w:sz w:val="20"/>
                <w:szCs w:val="20"/>
              </w:rPr>
            </w:pPr>
            <w:r w:rsidRPr="00210CB4">
              <w:rPr>
                <w:sz w:val="20"/>
                <w:szCs w:val="20"/>
              </w:rPr>
              <w:t>SLS1</w:t>
            </w:r>
          </w:p>
        </w:tc>
        <w:tc>
          <w:tcPr>
            <w:tcW w:w="1473" w:type="dxa"/>
            <w:tcBorders>
              <w:top w:val="single" w:sz="12" w:space="0" w:color="003399" w:themeColor="accent2"/>
            </w:tcBorders>
          </w:tcPr>
          <w:p w14:paraId="59CACEB0" w14:textId="1E155EE1" w:rsidR="00F81AE9" w:rsidRPr="00210CB4" w:rsidRDefault="0010793B" w:rsidP="00210CB4">
            <w:pPr>
              <w:spacing w:before="60"/>
              <w:rPr>
                <w:sz w:val="20"/>
                <w:szCs w:val="20"/>
              </w:rPr>
            </w:pPr>
            <w:r w:rsidRPr="00210CB4">
              <w:rPr>
                <w:sz w:val="20"/>
                <w:szCs w:val="20"/>
              </w:rPr>
              <w:t>DCLS/</w:t>
            </w:r>
            <w:r w:rsidR="00F81AE9" w:rsidRPr="00210CB4">
              <w:rPr>
                <w:sz w:val="20"/>
                <w:szCs w:val="20"/>
              </w:rPr>
              <w:t>SLS2</w:t>
            </w:r>
          </w:p>
        </w:tc>
        <w:tc>
          <w:tcPr>
            <w:tcW w:w="3538" w:type="dxa"/>
            <w:tcBorders>
              <w:top w:val="single" w:sz="12" w:space="0" w:color="003399" w:themeColor="accent2"/>
            </w:tcBorders>
          </w:tcPr>
          <w:p w14:paraId="54682A00" w14:textId="77777777" w:rsidR="00F81AE9" w:rsidRPr="00210CB4" w:rsidRDefault="00F81AE9" w:rsidP="00210CB4">
            <w:pPr>
              <w:spacing w:before="60"/>
              <w:rPr>
                <w:sz w:val="20"/>
                <w:szCs w:val="20"/>
              </w:rPr>
            </w:pPr>
            <w:r w:rsidRPr="00210CB4">
              <w:rPr>
                <w:sz w:val="20"/>
                <w:szCs w:val="20"/>
              </w:rPr>
              <w:t>ULS</w:t>
            </w:r>
          </w:p>
        </w:tc>
      </w:tr>
      <w:tr w:rsidR="005F3950" w:rsidRPr="00210CB4" w14:paraId="038FF8BE" w14:textId="77777777" w:rsidTr="003D3EEA">
        <w:trPr>
          <w:gridAfter w:val="1"/>
          <w:wAfter w:w="8" w:type="dxa"/>
        </w:trPr>
        <w:tc>
          <w:tcPr>
            <w:tcW w:w="2796" w:type="dxa"/>
          </w:tcPr>
          <w:p w14:paraId="5BECA0DA" w14:textId="77777777" w:rsidR="00F81AE9" w:rsidRPr="00210CB4" w:rsidRDefault="00F81AE9" w:rsidP="00210CB4">
            <w:pPr>
              <w:spacing w:before="60"/>
              <w:rPr>
                <w:b/>
                <w:bCs/>
                <w:sz w:val="20"/>
                <w:szCs w:val="20"/>
              </w:rPr>
            </w:pPr>
            <w:r w:rsidRPr="00210CB4">
              <w:rPr>
                <w:b/>
                <w:bCs/>
                <w:sz w:val="20"/>
                <w:szCs w:val="20"/>
              </w:rPr>
              <w:t>RP (yrs)</w:t>
            </w:r>
          </w:p>
        </w:tc>
        <w:tc>
          <w:tcPr>
            <w:tcW w:w="1401" w:type="dxa"/>
          </w:tcPr>
          <w:p w14:paraId="1FE3A975" w14:textId="77777777" w:rsidR="00F81AE9" w:rsidRPr="00210CB4" w:rsidRDefault="00F81AE9" w:rsidP="00210CB4">
            <w:pPr>
              <w:spacing w:before="60"/>
              <w:rPr>
                <w:sz w:val="20"/>
                <w:szCs w:val="20"/>
              </w:rPr>
            </w:pPr>
            <w:r w:rsidRPr="00210CB4">
              <w:rPr>
                <w:sz w:val="20"/>
                <w:szCs w:val="20"/>
              </w:rPr>
              <w:t>25</w:t>
            </w:r>
          </w:p>
        </w:tc>
        <w:tc>
          <w:tcPr>
            <w:tcW w:w="1473" w:type="dxa"/>
          </w:tcPr>
          <w:p w14:paraId="7BE8B44F" w14:textId="77777777" w:rsidR="00F81AE9" w:rsidRPr="00210CB4" w:rsidRDefault="00F81AE9" w:rsidP="00210CB4">
            <w:pPr>
              <w:spacing w:before="60"/>
              <w:rPr>
                <w:sz w:val="20"/>
                <w:szCs w:val="20"/>
              </w:rPr>
            </w:pPr>
            <w:r w:rsidRPr="00210CB4">
              <w:rPr>
                <w:sz w:val="20"/>
                <w:szCs w:val="20"/>
              </w:rPr>
              <w:t>250</w:t>
            </w:r>
          </w:p>
        </w:tc>
        <w:tc>
          <w:tcPr>
            <w:tcW w:w="3538" w:type="dxa"/>
          </w:tcPr>
          <w:p w14:paraId="295A2D7E" w14:textId="77777777" w:rsidR="00F81AE9" w:rsidRPr="00210CB4" w:rsidRDefault="00F81AE9" w:rsidP="00210CB4">
            <w:pPr>
              <w:spacing w:before="60"/>
              <w:rPr>
                <w:sz w:val="20"/>
                <w:szCs w:val="20"/>
              </w:rPr>
            </w:pPr>
            <w:r w:rsidRPr="00210CB4">
              <w:rPr>
                <w:sz w:val="20"/>
                <w:szCs w:val="20"/>
              </w:rPr>
              <w:t>1000</w:t>
            </w:r>
          </w:p>
        </w:tc>
      </w:tr>
      <w:tr w:rsidR="005F3950" w:rsidRPr="00210CB4" w14:paraId="23FF1D29" w14:textId="77777777" w:rsidTr="003D3EEA">
        <w:trPr>
          <w:gridAfter w:val="1"/>
          <w:wAfter w:w="8" w:type="dxa"/>
        </w:trPr>
        <w:tc>
          <w:tcPr>
            <w:tcW w:w="2796" w:type="dxa"/>
          </w:tcPr>
          <w:p w14:paraId="45464CD1" w14:textId="77777777" w:rsidR="00F81AE9" w:rsidRPr="00210CB4" w:rsidRDefault="00F81AE9" w:rsidP="00210CB4">
            <w:pPr>
              <w:spacing w:before="60"/>
              <w:rPr>
                <w:b/>
                <w:bCs/>
                <w:sz w:val="20"/>
                <w:szCs w:val="20"/>
              </w:rPr>
            </w:pPr>
            <w:r w:rsidRPr="00210CB4">
              <w:rPr>
                <w:b/>
                <w:bCs/>
                <w:sz w:val="20"/>
                <w:szCs w:val="20"/>
              </w:rPr>
              <w:t>Probability in 50 years</w:t>
            </w:r>
          </w:p>
        </w:tc>
        <w:tc>
          <w:tcPr>
            <w:tcW w:w="1401" w:type="dxa"/>
          </w:tcPr>
          <w:p w14:paraId="34FDC5D1" w14:textId="77777777" w:rsidR="00F81AE9" w:rsidRPr="00210CB4" w:rsidRDefault="00F81AE9" w:rsidP="00210CB4">
            <w:pPr>
              <w:spacing w:before="60"/>
              <w:rPr>
                <w:sz w:val="20"/>
                <w:szCs w:val="20"/>
              </w:rPr>
            </w:pPr>
            <w:r w:rsidRPr="00210CB4">
              <w:rPr>
                <w:sz w:val="20"/>
                <w:szCs w:val="20"/>
              </w:rPr>
              <w:t>0.87</w:t>
            </w:r>
          </w:p>
        </w:tc>
        <w:tc>
          <w:tcPr>
            <w:tcW w:w="1473" w:type="dxa"/>
          </w:tcPr>
          <w:p w14:paraId="069ABF3E" w14:textId="77777777" w:rsidR="00F81AE9" w:rsidRPr="00210CB4" w:rsidRDefault="00F81AE9" w:rsidP="00210CB4">
            <w:pPr>
              <w:spacing w:before="60"/>
              <w:rPr>
                <w:sz w:val="20"/>
                <w:szCs w:val="20"/>
              </w:rPr>
            </w:pPr>
            <w:r w:rsidRPr="00210CB4">
              <w:rPr>
                <w:sz w:val="20"/>
                <w:szCs w:val="20"/>
              </w:rPr>
              <w:t>0.18</w:t>
            </w:r>
          </w:p>
        </w:tc>
        <w:tc>
          <w:tcPr>
            <w:tcW w:w="3538" w:type="dxa"/>
          </w:tcPr>
          <w:p w14:paraId="79A7589B" w14:textId="77777777" w:rsidR="00F81AE9" w:rsidRPr="00210CB4" w:rsidRDefault="00F81AE9" w:rsidP="00210CB4">
            <w:pPr>
              <w:spacing w:before="60"/>
              <w:rPr>
                <w:sz w:val="20"/>
                <w:szCs w:val="20"/>
              </w:rPr>
            </w:pPr>
            <w:r w:rsidRPr="00210CB4">
              <w:rPr>
                <w:sz w:val="20"/>
                <w:szCs w:val="20"/>
              </w:rPr>
              <w:t>0.05</w:t>
            </w:r>
          </w:p>
        </w:tc>
      </w:tr>
      <w:tr w:rsidR="005F3950" w:rsidRPr="00210CB4" w14:paraId="252BFE8F" w14:textId="77777777" w:rsidTr="003D3EEA">
        <w:trPr>
          <w:gridAfter w:val="1"/>
          <w:wAfter w:w="8" w:type="dxa"/>
        </w:trPr>
        <w:tc>
          <w:tcPr>
            <w:tcW w:w="2796" w:type="dxa"/>
            <w:tcBorders>
              <w:bottom w:val="single" w:sz="8" w:space="0" w:color="BFBFBF"/>
            </w:tcBorders>
          </w:tcPr>
          <w:p w14:paraId="0D0E6246" w14:textId="77777777" w:rsidR="00F81AE9" w:rsidRPr="00210CB4" w:rsidRDefault="00F81AE9" w:rsidP="00210CB4">
            <w:pPr>
              <w:spacing w:before="60"/>
              <w:rPr>
                <w:b/>
                <w:bCs/>
                <w:sz w:val="20"/>
                <w:szCs w:val="20"/>
              </w:rPr>
            </w:pPr>
            <w:r w:rsidRPr="00210CB4">
              <w:rPr>
                <w:b/>
                <w:bCs/>
                <w:sz w:val="20"/>
                <w:szCs w:val="20"/>
              </w:rPr>
              <w:t>Differential settlement (mm)</w:t>
            </w:r>
          </w:p>
        </w:tc>
        <w:tc>
          <w:tcPr>
            <w:tcW w:w="1401" w:type="dxa"/>
            <w:tcBorders>
              <w:bottom w:val="single" w:sz="8" w:space="0" w:color="BFBFBF"/>
            </w:tcBorders>
          </w:tcPr>
          <w:p w14:paraId="7BDCC9A1" w14:textId="77777777" w:rsidR="00F81AE9" w:rsidRPr="00210CB4" w:rsidRDefault="00F81AE9" w:rsidP="00210CB4">
            <w:pPr>
              <w:spacing w:before="60"/>
              <w:rPr>
                <w:sz w:val="20"/>
                <w:szCs w:val="20"/>
              </w:rPr>
            </w:pPr>
            <w:r w:rsidRPr="00210CB4">
              <w:rPr>
                <w:sz w:val="20"/>
                <w:szCs w:val="20"/>
              </w:rPr>
              <w:t>0</w:t>
            </w:r>
          </w:p>
        </w:tc>
        <w:tc>
          <w:tcPr>
            <w:tcW w:w="1473" w:type="dxa"/>
            <w:tcBorders>
              <w:bottom w:val="single" w:sz="8" w:space="0" w:color="BFBFBF"/>
            </w:tcBorders>
          </w:tcPr>
          <w:p w14:paraId="60301A26" w14:textId="77777777" w:rsidR="00F81AE9" w:rsidRPr="00210CB4" w:rsidRDefault="00F81AE9" w:rsidP="00210CB4">
            <w:pPr>
              <w:spacing w:before="60"/>
              <w:rPr>
                <w:sz w:val="20"/>
                <w:szCs w:val="20"/>
              </w:rPr>
            </w:pPr>
            <w:r w:rsidRPr="00210CB4">
              <w:rPr>
                <w:sz w:val="20"/>
                <w:szCs w:val="20"/>
              </w:rPr>
              <w:t>0</w:t>
            </w:r>
          </w:p>
        </w:tc>
        <w:tc>
          <w:tcPr>
            <w:tcW w:w="3538" w:type="dxa"/>
            <w:tcBorders>
              <w:bottom w:val="single" w:sz="8" w:space="0" w:color="BFBFBF"/>
            </w:tcBorders>
          </w:tcPr>
          <w:p w14:paraId="30681CF7" w14:textId="77777777" w:rsidR="00F81AE9" w:rsidRPr="00210CB4" w:rsidRDefault="00F81AE9" w:rsidP="00210CB4">
            <w:pPr>
              <w:spacing w:before="60"/>
              <w:rPr>
                <w:sz w:val="20"/>
                <w:szCs w:val="20"/>
              </w:rPr>
            </w:pPr>
            <w:r w:rsidRPr="00210CB4">
              <w:rPr>
                <w:sz w:val="20"/>
                <w:szCs w:val="20"/>
              </w:rPr>
              <w:t>25</w:t>
            </w:r>
          </w:p>
        </w:tc>
      </w:tr>
      <w:tr w:rsidR="005F3950" w:rsidRPr="00210CB4" w14:paraId="7B3A04F6" w14:textId="77777777" w:rsidTr="003D3EEA">
        <w:trPr>
          <w:gridAfter w:val="1"/>
          <w:wAfter w:w="8" w:type="dxa"/>
        </w:trPr>
        <w:tc>
          <w:tcPr>
            <w:tcW w:w="2796" w:type="dxa"/>
            <w:tcBorders>
              <w:top w:val="single" w:sz="8" w:space="0" w:color="BFBFBF"/>
              <w:bottom w:val="single" w:sz="8" w:space="0" w:color="BFBFBF"/>
            </w:tcBorders>
          </w:tcPr>
          <w:p w14:paraId="23D16AB9" w14:textId="77777777" w:rsidR="00F81AE9" w:rsidRPr="00210CB4" w:rsidRDefault="00F81AE9" w:rsidP="00210CB4">
            <w:pPr>
              <w:spacing w:before="60"/>
              <w:rPr>
                <w:b/>
                <w:bCs/>
                <w:sz w:val="20"/>
                <w:szCs w:val="20"/>
              </w:rPr>
            </w:pPr>
            <w:r w:rsidRPr="00210CB4">
              <w:rPr>
                <w:b/>
                <w:bCs/>
                <w:sz w:val="20"/>
                <w:szCs w:val="20"/>
              </w:rPr>
              <w:t>Repairs (due to foundation deformations)</w:t>
            </w:r>
          </w:p>
        </w:tc>
        <w:tc>
          <w:tcPr>
            <w:tcW w:w="1401" w:type="dxa"/>
            <w:tcBorders>
              <w:top w:val="single" w:sz="8" w:space="0" w:color="BFBFBF"/>
              <w:bottom w:val="single" w:sz="8" w:space="0" w:color="BFBFBF"/>
            </w:tcBorders>
          </w:tcPr>
          <w:p w14:paraId="33F80C95" w14:textId="77777777" w:rsidR="00F81AE9" w:rsidRPr="00210CB4" w:rsidRDefault="00F81AE9" w:rsidP="00210CB4">
            <w:pPr>
              <w:spacing w:before="60"/>
              <w:rPr>
                <w:sz w:val="20"/>
                <w:szCs w:val="20"/>
              </w:rPr>
            </w:pPr>
            <w:r w:rsidRPr="00210CB4">
              <w:rPr>
                <w:sz w:val="20"/>
                <w:szCs w:val="20"/>
              </w:rPr>
              <w:t>nil</w:t>
            </w:r>
          </w:p>
        </w:tc>
        <w:tc>
          <w:tcPr>
            <w:tcW w:w="1473" w:type="dxa"/>
            <w:tcBorders>
              <w:top w:val="single" w:sz="8" w:space="0" w:color="BFBFBF"/>
              <w:bottom w:val="single" w:sz="8" w:space="0" w:color="BFBFBF"/>
            </w:tcBorders>
          </w:tcPr>
          <w:p w14:paraId="4E076DA5" w14:textId="77777777" w:rsidR="00F81AE9" w:rsidRPr="00210CB4" w:rsidRDefault="00F81AE9" w:rsidP="00210CB4">
            <w:pPr>
              <w:spacing w:before="60"/>
              <w:rPr>
                <w:sz w:val="20"/>
                <w:szCs w:val="20"/>
              </w:rPr>
            </w:pPr>
            <w:r w:rsidRPr="00210CB4">
              <w:rPr>
                <w:sz w:val="20"/>
                <w:szCs w:val="20"/>
              </w:rPr>
              <w:t>nil</w:t>
            </w:r>
          </w:p>
        </w:tc>
        <w:tc>
          <w:tcPr>
            <w:tcW w:w="3538" w:type="dxa"/>
            <w:tcBorders>
              <w:top w:val="single" w:sz="8" w:space="0" w:color="BFBFBF"/>
              <w:bottom w:val="single" w:sz="8" w:space="0" w:color="BFBFBF"/>
            </w:tcBorders>
          </w:tcPr>
          <w:p w14:paraId="0E0631A7" w14:textId="77777777" w:rsidR="00F81AE9" w:rsidRPr="00210CB4" w:rsidRDefault="00F81AE9" w:rsidP="00210CB4">
            <w:pPr>
              <w:spacing w:before="60"/>
              <w:rPr>
                <w:sz w:val="20"/>
                <w:szCs w:val="20"/>
              </w:rPr>
            </w:pPr>
            <w:r w:rsidRPr="00210CB4">
              <w:rPr>
                <w:sz w:val="20"/>
                <w:szCs w:val="20"/>
              </w:rPr>
              <w:t xml:space="preserve">Some minor ‘cosmetic’ work may be required. </w:t>
            </w:r>
          </w:p>
          <w:p w14:paraId="1EAB9DED" w14:textId="5A6DE8A0" w:rsidR="00F81AE9" w:rsidRPr="00210CB4" w:rsidRDefault="00F81AE9" w:rsidP="00210CB4">
            <w:pPr>
              <w:spacing w:before="60"/>
              <w:rPr>
                <w:sz w:val="20"/>
                <w:szCs w:val="20"/>
              </w:rPr>
            </w:pPr>
            <w:r w:rsidRPr="00210CB4">
              <w:rPr>
                <w:sz w:val="20"/>
                <w:szCs w:val="20"/>
              </w:rPr>
              <w:t>Cosmetic cracking of wall</w:t>
            </w:r>
            <w:r w:rsidR="00A1578F" w:rsidRPr="00210CB4">
              <w:rPr>
                <w:sz w:val="20"/>
                <w:szCs w:val="20"/>
              </w:rPr>
              <w:t xml:space="preserve"> </w:t>
            </w:r>
            <w:r w:rsidRPr="00210CB4">
              <w:rPr>
                <w:sz w:val="20"/>
                <w:szCs w:val="20"/>
              </w:rPr>
              <w:t>finishes.</w:t>
            </w:r>
          </w:p>
          <w:p w14:paraId="0E80B8B1" w14:textId="1E112443" w:rsidR="00F81AE9" w:rsidRPr="00210CB4" w:rsidRDefault="00F81AE9" w:rsidP="00210CB4">
            <w:pPr>
              <w:spacing w:before="60"/>
              <w:rPr>
                <w:sz w:val="20"/>
                <w:szCs w:val="20"/>
              </w:rPr>
            </w:pPr>
            <w:r w:rsidRPr="00210CB4">
              <w:rPr>
                <w:sz w:val="20"/>
                <w:szCs w:val="20"/>
              </w:rPr>
              <w:t>Building services operational.</w:t>
            </w:r>
          </w:p>
        </w:tc>
      </w:tr>
      <w:tr w:rsidR="005F3950" w:rsidRPr="00210CB4" w14:paraId="48B57733" w14:textId="77777777" w:rsidTr="003D3EEA">
        <w:trPr>
          <w:gridAfter w:val="1"/>
          <w:wAfter w:w="8" w:type="dxa"/>
        </w:trPr>
        <w:tc>
          <w:tcPr>
            <w:tcW w:w="2796" w:type="dxa"/>
            <w:tcBorders>
              <w:top w:val="single" w:sz="8" w:space="0" w:color="BFBFBF"/>
              <w:bottom w:val="single" w:sz="8" w:space="0" w:color="BFBFBF"/>
            </w:tcBorders>
          </w:tcPr>
          <w:p w14:paraId="7BDD4714" w14:textId="77777777" w:rsidR="00F81AE9" w:rsidRPr="00210CB4" w:rsidRDefault="00F81AE9" w:rsidP="00210CB4">
            <w:pPr>
              <w:spacing w:before="60"/>
              <w:rPr>
                <w:b/>
                <w:bCs/>
                <w:sz w:val="20"/>
                <w:szCs w:val="20"/>
              </w:rPr>
            </w:pPr>
            <w:r w:rsidRPr="00210CB4">
              <w:rPr>
                <w:b/>
                <w:bCs/>
                <w:sz w:val="20"/>
                <w:szCs w:val="20"/>
              </w:rPr>
              <w:t>Repair Costs</w:t>
            </w:r>
          </w:p>
        </w:tc>
        <w:tc>
          <w:tcPr>
            <w:tcW w:w="1401" w:type="dxa"/>
            <w:tcBorders>
              <w:top w:val="single" w:sz="8" w:space="0" w:color="BFBFBF"/>
              <w:bottom w:val="single" w:sz="8" w:space="0" w:color="BFBFBF"/>
            </w:tcBorders>
          </w:tcPr>
          <w:p w14:paraId="72FCB1E4" w14:textId="77777777" w:rsidR="00F81AE9" w:rsidRPr="00210CB4" w:rsidRDefault="00F81AE9" w:rsidP="00210CB4">
            <w:pPr>
              <w:spacing w:before="60"/>
              <w:rPr>
                <w:sz w:val="20"/>
                <w:szCs w:val="20"/>
              </w:rPr>
            </w:pPr>
            <w:r w:rsidRPr="00210CB4">
              <w:rPr>
                <w:sz w:val="20"/>
                <w:szCs w:val="20"/>
              </w:rPr>
              <w:t>nil</w:t>
            </w:r>
          </w:p>
        </w:tc>
        <w:tc>
          <w:tcPr>
            <w:tcW w:w="1473" w:type="dxa"/>
            <w:tcBorders>
              <w:top w:val="single" w:sz="8" w:space="0" w:color="BFBFBF"/>
              <w:bottom w:val="single" w:sz="8" w:space="0" w:color="BFBFBF"/>
            </w:tcBorders>
          </w:tcPr>
          <w:p w14:paraId="634159C2" w14:textId="77777777" w:rsidR="00F81AE9" w:rsidRPr="00210CB4" w:rsidRDefault="00F81AE9" w:rsidP="00210CB4">
            <w:pPr>
              <w:spacing w:before="60"/>
              <w:rPr>
                <w:sz w:val="20"/>
                <w:szCs w:val="20"/>
              </w:rPr>
            </w:pPr>
            <w:r w:rsidRPr="00210CB4">
              <w:rPr>
                <w:sz w:val="20"/>
                <w:szCs w:val="20"/>
              </w:rPr>
              <w:t>nil</w:t>
            </w:r>
          </w:p>
        </w:tc>
        <w:tc>
          <w:tcPr>
            <w:tcW w:w="3538" w:type="dxa"/>
            <w:tcBorders>
              <w:top w:val="single" w:sz="8" w:space="0" w:color="BFBFBF"/>
              <w:bottom w:val="single" w:sz="8" w:space="0" w:color="BFBFBF"/>
            </w:tcBorders>
          </w:tcPr>
          <w:p w14:paraId="5D1D50E6" w14:textId="77777777" w:rsidR="00F81AE9" w:rsidRPr="00210CB4" w:rsidRDefault="00F81AE9" w:rsidP="00210CB4">
            <w:pPr>
              <w:spacing w:before="60"/>
              <w:rPr>
                <w:sz w:val="20"/>
                <w:szCs w:val="20"/>
              </w:rPr>
            </w:pPr>
            <w:r w:rsidRPr="00210CB4">
              <w:rPr>
                <w:sz w:val="20"/>
                <w:szCs w:val="20"/>
              </w:rPr>
              <w:t>$0.1M</w:t>
            </w:r>
          </w:p>
        </w:tc>
      </w:tr>
      <w:tr w:rsidR="005F3950" w:rsidRPr="00210CB4" w14:paraId="04B15949" w14:textId="77777777" w:rsidTr="003D3EEA">
        <w:trPr>
          <w:gridAfter w:val="1"/>
          <w:wAfter w:w="8" w:type="dxa"/>
        </w:trPr>
        <w:tc>
          <w:tcPr>
            <w:tcW w:w="2796" w:type="dxa"/>
            <w:tcBorders>
              <w:top w:val="single" w:sz="8" w:space="0" w:color="BFBFBF"/>
              <w:bottom w:val="single" w:sz="8" w:space="0" w:color="BFBFBF"/>
            </w:tcBorders>
          </w:tcPr>
          <w:p w14:paraId="74AAABBA" w14:textId="77777777" w:rsidR="00F81AE9" w:rsidRPr="00210CB4" w:rsidRDefault="00F81AE9" w:rsidP="00210CB4">
            <w:pPr>
              <w:spacing w:before="60"/>
              <w:rPr>
                <w:b/>
                <w:bCs/>
                <w:sz w:val="20"/>
                <w:szCs w:val="20"/>
              </w:rPr>
            </w:pPr>
            <w:r w:rsidRPr="00210CB4">
              <w:rPr>
                <w:b/>
                <w:bCs/>
                <w:sz w:val="20"/>
                <w:szCs w:val="20"/>
              </w:rPr>
              <w:t>Expected Costs</w:t>
            </w:r>
          </w:p>
        </w:tc>
        <w:tc>
          <w:tcPr>
            <w:tcW w:w="1401" w:type="dxa"/>
            <w:tcBorders>
              <w:top w:val="single" w:sz="8" w:space="0" w:color="BFBFBF"/>
              <w:bottom w:val="single" w:sz="8" w:space="0" w:color="BFBFBF"/>
            </w:tcBorders>
          </w:tcPr>
          <w:p w14:paraId="528AF45B" w14:textId="77777777" w:rsidR="00F81AE9" w:rsidRPr="00210CB4" w:rsidRDefault="00F81AE9" w:rsidP="00210CB4">
            <w:pPr>
              <w:spacing w:before="60"/>
              <w:rPr>
                <w:sz w:val="20"/>
                <w:szCs w:val="20"/>
              </w:rPr>
            </w:pPr>
            <w:r w:rsidRPr="00210CB4">
              <w:rPr>
                <w:sz w:val="20"/>
                <w:szCs w:val="20"/>
              </w:rPr>
              <w:t>nil</w:t>
            </w:r>
          </w:p>
        </w:tc>
        <w:tc>
          <w:tcPr>
            <w:tcW w:w="1473" w:type="dxa"/>
            <w:tcBorders>
              <w:top w:val="single" w:sz="8" w:space="0" w:color="BFBFBF"/>
              <w:bottom w:val="single" w:sz="8" w:space="0" w:color="BFBFBF"/>
            </w:tcBorders>
          </w:tcPr>
          <w:p w14:paraId="37CD3594" w14:textId="77777777" w:rsidR="00F81AE9" w:rsidRPr="00210CB4" w:rsidRDefault="00F81AE9" w:rsidP="00210CB4">
            <w:pPr>
              <w:spacing w:before="60"/>
              <w:rPr>
                <w:sz w:val="20"/>
                <w:szCs w:val="20"/>
              </w:rPr>
            </w:pPr>
            <w:r w:rsidRPr="00210CB4">
              <w:rPr>
                <w:sz w:val="20"/>
                <w:szCs w:val="20"/>
              </w:rPr>
              <w:t>nil</w:t>
            </w:r>
          </w:p>
        </w:tc>
        <w:tc>
          <w:tcPr>
            <w:tcW w:w="3538" w:type="dxa"/>
            <w:tcBorders>
              <w:top w:val="single" w:sz="8" w:space="0" w:color="BFBFBF"/>
              <w:bottom w:val="single" w:sz="8" w:space="0" w:color="BFBFBF"/>
            </w:tcBorders>
          </w:tcPr>
          <w:p w14:paraId="568D4588" w14:textId="77777777" w:rsidR="00F81AE9" w:rsidRPr="00210CB4" w:rsidRDefault="00F81AE9" w:rsidP="00210CB4">
            <w:pPr>
              <w:spacing w:before="60"/>
              <w:rPr>
                <w:sz w:val="20"/>
                <w:szCs w:val="20"/>
              </w:rPr>
            </w:pPr>
            <w:r w:rsidRPr="00210CB4">
              <w:rPr>
                <w:sz w:val="20"/>
                <w:szCs w:val="20"/>
              </w:rPr>
              <w:t>$5k</w:t>
            </w:r>
          </w:p>
        </w:tc>
      </w:tr>
      <w:tr w:rsidR="005F3950" w:rsidRPr="00210CB4" w14:paraId="7B00741C" w14:textId="77777777" w:rsidTr="003D3EEA">
        <w:tc>
          <w:tcPr>
            <w:tcW w:w="2796" w:type="dxa"/>
            <w:tcBorders>
              <w:top w:val="single" w:sz="8" w:space="0" w:color="BFBFBF"/>
              <w:bottom w:val="nil"/>
            </w:tcBorders>
          </w:tcPr>
          <w:p w14:paraId="22BB080F" w14:textId="77777777" w:rsidR="00F81AE9" w:rsidRPr="00210CB4" w:rsidRDefault="00F81AE9" w:rsidP="00210CB4">
            <w:pPr>
              <w:spacing w:before="60"/>
              <w:rPr>
                <w:b/>
                <w:bCs/>
                <w:sz w:val="20"/>
                <w:szCs w:val="20"/>
              </w:rPr>
            </w:pPr>
            <w:r w:rsidRPr="00210CB4">
              <w:rPr>
                <w:b/>
                <w:bCs/>
                <w:sz w:val="20"/>
                <w:szCs w:val="20"/>
              </w:rPr>
              <w:t>Total</w:t>
            </w:r>
          </w:p>
        </w:tc>
        <w:tc>
          <w:tcPr>
            <w:tcW w:w="6420" w:type="dxa"/>
            <w:gridSpan w:val="4"/>
            <w:tcBorders>
              <w:top w:val="single" w:sz="8" w:space="0" w:color="BFBFBF"/>
              <w:bottom w:val="nil"/>
            </w:tcBorders>
          </w:tcPr>
          <w:p w14:paraId="7C30E650" w14:textId="77777777" w:rsidR="00F81AE9" w:rsidRPr="00210CB4" w:rsidRDefault="00F81AE9" w:rsidP="00210CB4">
            <w:pPr>
              <w:spacing w:before="60"/>
              <w:rPr>
                <w:sz w:val="20"/>
                <w:szCs w:val="20"/>
              </w:rPr>
            </w:pPr>
            <w:r w:rsidRPr="00210CB4">
              <w:rPr>
                <w:sz w:val="20"/>
                <w:szCs w:val="20"/>
              </w:rPr>
              <w:t>$9M</w:t>
            </w:r>
          </w:p>
        </w:tc>
      </w:tr>
    </w:tbl>
    <w:p w14:paraId="5D21CF89" w14:textId="77777777" w:rsidR="00D34D1B" w:rsidRPr="0091297C" w:rsidRDefault="00D34D1B" w:rsidP="005F3950">
      <w:pPr>
        <w:pStyle w:val="Section3heading2"/>
      </w:pPr>
      <w:bookmarkStart w:id="318" w:name="_Toc203641991"/>
      <w:r w:rsidRPr="0091297C">
        <w:lastRenderedPageBreak/>
        <w:t>Repairability of Foundation Systems</w:t>
      </w:r>
      <w:bookmarkEnd w:id="318"/>
    </w:p>
    <w:p w14:paraId="7523A218" w14:textId="77777777" w:rsidR="00D34D1B" w:rsidRPr="0091297C" w:rsidRDefault="00D34D1B" w:rsidP="00666E06">
      <w:r w:rsidRPr="0091297C">
        <w:t>As a general principle, building foundations should not be the “weak link” in the structural system which could cause an otherwise lightly damaged superstructure to be demolished due to irreparable damage to the foundations.</w:t>
      </w:r>
    </w:p>
    <w:p w14:paraId="2FF4CB23" w14:textId="2D0A7064" w:rsidR="00D34D1B" w:rsidRPr="0091297C" w:rsidRDefault="00D34D1B" w:rsidP="00666E06">
      <w:r w:rsidRPr="0091297C">
        <w:t>To the extent practicable, the foundation and building design and construction should take into account foundation accessibility (for both inspections and construction access for repairs), and the potential ability to relevel the building should unacceptable foundation movement occur.</w:t>
      </w:r>
    </w:p>
    <w:p w14:paraId="3459B1AF" w14:textId="0C98D258" w:rsidR="002B02CF" w:rsidRPr="0091297C" w:rsidRDefault="0073182F" w:rsidP="005F3950">
      <w:pPr>
        <w:pStyle w:val="Section3heading2"/>
      </w:pPr>
      <w:bookmarkStart w:id="319" w:name="_Toc203641992"/>
      <w:r w:rsidRPr="0091297C">
        <w:t xml:space="preserve">Design of </w:t>
      </w:r>
      <w:r w:rsidR="002B02CF" w:rsidRPr="0091297C">
        <w:t>Retaining Walls</w:t>
      </w:r>
      <w:bookmarkEnd w:id="319"/>
    </w:p>
    <w:p w14:paraId="25481F0C" w14:textId="2F5A384F" w:rsidR="002B02CF" w:rsidRPr="0091297C" w:rsidRDefault="002B02CF" w:rsidP="00666E06">
      <w:r w:rsidRPr="0091297C">
        <w:t xml:space="preserve">Lateral earth coefficients, and recommended seismic design parameters are needed for the design of retaining structures, and are to be provided as appropriate (refer to Earthquake Geotechnical Engineering Practice Module 6: </w:t>
      </w:r>
      <w:r w:rsidRPr="0091297C">
        <w:rPr>
          <w:i/>
          <w:iCs/>
        </w:rPr>
        <w:t>Earthquake Resistant Retaining Wall Design</w:t>
      </w:r>
      <w:r w:rsidRPr="0091297C">
        <w:t xml:space="preserve"> for more information</w:t>
      </w:r>
      <w:r w:rsidR="441BE0DD" w:rsidRPr="0091297C">
        <w:t>)</w:t>
      </w:r>
      <w:r w:rsidRPr="0091297C">
        <w:t>. Where sloping ground is present, or surcharge loadings, then due account needs to be taken of the effects that these have on lateral earth pressure coefficients</w:t>
      </w:r>
      <w:r w:rsidRPr="0091297C">
        <w:rPr>
          <w:rStyle w:val="CommentReference"/>
          <w:sz w:val="22"/>
          <w:szCs w:val="22"/>
        </w:rPr>
        <w:t xml:space="preserve"> </w:t>
      </w:r>
      <w:r w:rsidRPr="0091297C">
        <w:t>and pressures (which can be considerable).</w:t>
      </w:r>
    </w:p>
    <w:p w14:paraId="3BE55C61" w14:textId="70B085BF" w:rsidR="002B02CF" w:rsidRPr="0091297C" w:rsidRDefault="002B02CF" w:rsidP="00666E06">
      <w:r w:rsidRPr="0091297C">
        <w:t>Full-height drainage blankets, with appropriate base drainage and clean-out ports are required behind all retaining structures – unless pass-through drainage is the only physical option (e.g. for a shotcrete soil nailed wall facing).</w:t>
      </w:r>
    </w:p>
    <w:p w14:paraId="727CAF30" w14:textId="2853601F" w:rsidR="002B02CF" w:rsidRPr="0091297C" w:rsidRDefault="002B02CF" w:rsidP="00666E06">
      <w:r w:rsidRPr="0091297C">
        <w:t xml:space="preserve">It is not uncommon for waterproofing systems for basement retaining structures to fail, and the cost of repairs can then be significant (and in some cases, infeasible due to limited or no access). Therefore, it is preferable </w:t>
      </w:r>
      <w:r w:rsidR="00530D27" w:rsidRPr="0091297C">
        <w:t xml:space="preserve">for waterproofing reasons </w:t>
      </w:r>
      <w:r w:rsidRPr="0091297C">
        <w:t>to separate the building structure from the retaining structure where possible. If this is not feasible or economical, then careful attention to the selection, design, and application of waterproofing systems is needed. In addition, careful consideration of how it might be accessed for repair in the future (in the event of a failure) is required.</w:t>
      </w:r>
    </w:p>
    <w:p w14:paraId="4702CCBB" w14:textId="02C5C582" w:rsidR="00676C20" w:rsidRPr="0091297C" w:rsidRDefault="00676C20" w:rsidP="005F3950">
      <w:pPr>
        <w:pStyle w:val="Section3heading2"/>
      </w:pPr>
      <w:bookmarkStart w:id="320" w:name="_Toc203641993"/>
      <w:r w:rsidRPr="0091297C">
        <w:t>Slope</w:t>
      </w:r>
      <w:r w:rsidR="00A17CEB" w:rsidRPr="0091297C">
        <w:t xml:space="preserve"> Considerations</w:t>
      </w:r>
      <w:bookmarkEnd w:id="320"/>
    </w:p>
    <w:p w14:paraId="33510A3E" w14:textId="3CB0EDEB" w:rsidR="00676C20" w:rsidRPr="0091297C" w:rsidRDefault="00676C20" w:rsidP="00666E06">
      <w:pPr>
        <w:rPr>
          <w:rFonts w:asciiTheme="majorHAnsi" w:hAnsiTheme="majorHAnsi"/>
        </w:rPr>
      </w:pPr>
      <w:r w:rsidRPr="0091297C">
        <w:t xml:space="preserve">Any sloping ground needs to be assessed for stability, and potential impacts on buildings and other facilities on a site. This includes slopes and rock faces located outside the site boundary that may influence the development of the site. For simple slopes of modest angle, this might be by way of a simple visual assessment ranging up to a geomorphological assessment. For more significant slopes and complex geology or groundwater, a numerical assessment might be more appropriate, including an assessment of seismic deformations. When carrying out a numerical assessment, due account needs to be taken of the uncertainties in inputs such as soil parameters and groundwater levels, if these have a significant impact on assessed outcomes (refer also to Section </w:t>
      </w:r>
      <w:r w:rsidRPr="0091297C">
        <w:rPr>
          <w:highlight w:val="green"/>
        </w:rPr>
        <w:fldChar w:fldCharType="begin"/>
      </w:r>
      <w:r w:rsidRPr="0091297C">
        <w:instrText xml:space="preserve"> REF _Ref169021403 \r \h </w:instrText>
      </w:r>
      <w:r w:rsidR="00A17CEB" w:rsidRPr="0091297C">
        <w:rPr>
          <w:highlight w:val="green"/>
        </w:rPr>
        <w:instrText xml:space="preserve"> \* MERGEFORMAT </w:instrText>
      </w:r>
      <w:r w:rsidRPr="0091297C">
        <w:rPr>
          <w:highlight w:val="green"/>
        </w:rPr>
      </w:r>
      <w:r w:rsidRPr="0091297C">
        <w:rPr>
          <w:highlight w:val="green"/>
        </w:rPr>
        <w:fldChar w:fldCharType="separate"/>
      </w:r>
      <w:r w:rsidR="000761C1">
        <w:t>C2.3.2</w:t>
      </w:r>
      <w:r w:rsidRPr="0091297C">
        <w:rPr>
          <w:highlight w:val="green"/>
        </w:rPr>
        <w:fldChar w:fldCharType="end"/>
      </w:r>
      <w:r w:rsidRPr="0091297C">
        <w:t>).</w:t>
      </w:r>
    </w:p>
    <w:p w14:paraId="06CCD08D" w14:textId="159559C7" w:rsidR="00B53579" w:rsidRDefault="00B53579" w:rsidP="00666E06">
      <w:r>
        <w:br w:type="page"/>
      </w:r>
    </w:p>
    <w:p w14:paraId="63EF1EA0" w14:textId="6CC3B6D0" w:rsidR="001B11D7" w:rsidRPr="00A9001D" w:rsidRDefault="00CA287A" w:rsidP="005F3950">
      <w:pPr>
        <w:pStyle w:val="Section3heading1"/>
      </w:pPr>
      <w:bookmarkStart w:id="321" w:name="_Toc203641994"/>
      <w:r w:rsidRPr="00A9001D">
        <w:lastRenderedPageBreak/>
        <w:t>Structural Requirements</w:t>
      </w:r>
      <w:bookmarkStart w:id="322" w:name="_Toc150929108"/>
      <w:bookmarkEnd w:id="321"/>
      <w:bookmarkEnd w:id="322"/>
    </w:p>
    <w:p w14:paraId="6CD836BE" w14:textId="4A85EAAC" w:rsidR="00F711A5" w:rsidRPr="003137F9" w:rsidRDefault="00793F81" w:rsidP="005F3950">
      <w:pPr>
        <w:pStyle w:val="Section3heading2"/>
      </w:pPr>
      <w:bookmarkStart w:id="323" w:name="_Ref152322416"/>
      <w:bookmarkStart w:id="324" w:name="_Ref152326122"/>
      <w:bookmarkStart w:id="325" w:name="_Toc203641995"/>
      <w:r w:rsidRPr="003137F9">
        <w:t xml:space="preserve">Control of </w:t>
      </w:r>
      <w:r w:rsidR="001309AB" w:rsidRPr="003137F9">
        <w:t xml:space="preserve">Structural </w:t>
      </w:r>
      <w:r w:rsidRPr="003137F9">
        <w:t>Damage</w:t>
      </w:r>
      <w:r w:rsidR="00AF215B" w:rsidRPr="003137F9">
        <w:t xml:space="preserve"> from Earthquake</w:t>
      </w:r>
      <w:bookmarkEnd w:id="323"/>
      <w:bookmarkEnd w:id="324"/>
      <w:bookmarkEnd w:id="325"/>
    </w:p>
    <w:p w14:paraId="5AAC60D2" w14:textId="48D34FC0" w:rsidR="007A4F66" w:rsidRPr="003137F9" w:rsidRDefault="007A4F66" w:rsidP="00666E06">
      <w:r w:rsidRPr="003137F9">
        <w:t xml:space="preserve">Content for this section is under development, </w:t>
      </w:r>
      <w:r w:rsidR="00AB77F9" w:rsidRPr="003137F9">
        <w:t xml:space="preserve">including </w:t>
      </w:r>
      <w:r w:rsidRPr="003137F9">
        <w:t xml:space="preserve">through linkages with the </w:t>
      </w:r>
      <w:hyperlink r:id="rId80" w:history="1">
        <w:r w:rsidRPr="006F6400">
          <w:rPr>
            <w:rStyle w:val="Hyperlink"/>
            <w:color w:val="0070C0"/>
          </w:rPr>
          <w:t>Low Damage Seismic Design</w:t>
        </w:r>
      </w:hyperlink>
      <w:r w:rsidRPr="003137F9">
        <w:t xml:space="preserve"> project</w:t>
      </w:r>
      <w:r w:rsidR="007F1752" w:rsidRPr="003137F9">
        <w:t xml:space="preserve">, the ATC 145 </w:t>
      </w:r>
      <w:r w:rsidR="00AB77F9" w:rsidRPr="003137F9">
        <w:t>Project</w:t>
      </w:r>
      <w:r w:rsidR="007F1752" w:rsidRPr="003137F9">
        <w:t xml:space="preserve"> </w:t>
      </w:r>
      <w:r w:rsidR="00D41CEE" w:rsidRPr="003137F9">
        <w:t>and related research efforts</w:t>
      </w:r>
      <w:r w:rsidRPr="003137F9">
        <w:t>.</w:t>
      </w:r>
    </w:p>
    <w:p w14:paraId="68104B3E" w14:textId="21E5895C" w:rsidR="001F6B2E" w:rsidRPr="003137F9" w:rsidRDefault="007A4F66" w:rsidP="00666E06">
      <w:r w:rsidRPr="003137F9">
        <w:t xml:space="preserve">In the interim, </w:t>
      </w:r>
      <w:r w:rsidR="00996358" w:rsidRPr="003137F9">
        <w:t xml:space="preserve">reference </w:t>
      </w:r>
      <w:r w:rsidR="00094FA7" w:rsidRPr="003137F9">
        <w:t xml:space="preserve">is made </w:t>
      </w:r>
      <w:r w:rsidR="00996358" w:rsidRPr="003137F9">
        <w:t xml:space="preserve">to the </w:t>
      </w:r>
      <w:r w:rsidR="0039560D" w:rsidRPr="003137F9">
        <w:rPr>
          <w:i/>
          <w:iCs/>
        </w:rPr>
        <w:t>SESOC Interim Design Guidance</w:t>
      </w:r>
      <w:r w:rsidR="000770B1" w:rsidRPr="003137F9">
        <w:rPr>
          <w:i/>
          <w:iCs/>
        </w:rPr>
        <w:t xml:space="preserve">: Design of Conventional Structural Systems </w:t>
      </w:r>
      <w:r w:rsidR="0039560D" w:rsidRPr="003137F9">
        <w:rPr>
          <w:i/>
          <w:iCs/>
        </w:rPr>
        <w:t>v11</w:t>
      </w:r>
      <w:r w:rsidR="000D5EC2" w:rsidRPr="003137F9">
        <w:t xml:space="preserve"> </w:t>
      </w:r>
      <w:sdt>
        <w:sdtPr>
          <w:id w:val="-72438883"/>
          <w:citation/>
        </w:sdtPr>
        <w:sdtEndPr/>
        <w:sdtContent>
          <w:r w:rsidR="000D5EC2" w:rsidRPr="003137F9">
            <w:fldChar w:fldCharType="begin"/>
          </w:r>
          <w:r w:rsidR="000D5EC2" w:rsidRPr="003137F9">
            <w:rPr>
              <w:lang w:val="en-US"/>
            </w:rPr>
            <w:instrText xml:space="preserve"> CITATION SES221 \l 1033 </w:instrText>
          </w:r>
          <w:r w:rsidR="000D5EC2" w:rsidRPr="003137F9">
            <w:fldChar w:fldCharType="separate"/>
          </w:r>
          <w:r w:rsidR="00222D65">
            <w:rPr>
              <w:noProof/>
              <w:lang w:val="en-US"/>
            </w:rPr>
            <w:t>(SESOC, 2022)</w:t>
          </w:r>
          <w:r w:rsidR="000D5EC2" w:rsidRPr="003137F9">
            <w:fldChar w:fldCharType="end"/>
          </w:r>
        </w:sdtContent>
      </w:sdt>
      <w:r w:rsidR="000770B1" w:rsidRPr="003137F9">
        <w:t xml:space="preserve">. </w:t>
      </w:r>
      <w:r w:rsidR="0012350A" w:rsidRPr="003137F9">
        <w:t xml:space="preserve">In acknowledgment of various efforts underway, </w:t>
      </w:r>
      <w:r w:rsidR="000F460F" w:rsidRPr="003137F9">
        <w:t xml:space="preserve">this version of the SESOC Interim Design Guidance has included </w:t>
      </w:r>
      <w:r w:rsidR="009A2C1D" w:rsidRPr="003137F9">
        <w:t>a new level of recommendation:</w:t>
      </w:r>
      <w:r w:rsidR="000F460F" w:rsidRPr="003137F9">
        <w:t xml:space="preserve"> </w:t>
      </w:r>
      <w:r w:rsidR="000D5EC2" w:rsidRPr="003137F9">
        <w:rPr>
          <w:b/>
          <w:bCs/>
        </w:rPr>
        <w:t>Damage Reduction R</w:t>
      </w:r>
      <w:r w:rsidR="00BF2AEE" w:rsidRPr="003137F9">
        <w:rPr>
          <w:b/>
          <w:bCs/>
        </w:rPr>
        <w:t>ecommendation</w:t>
      </w:r>
      <w:r w:rsidR="009A2C1D" w:rsidRPr="003137F9">
        <w:t>.</w:t>
      </w:r>
      <w:r w:rsidR="00BD7920" w:rsidRPr="003137F9">
        <w:t xml:space="preserve"> </w:t>
      </w:r>
      <w:r w:rsidR="009A2C1D" w:rsidRPr="003137F9">
        <w:t>These are</w:t>
      </w:r>
      <w:r w:rsidR="00BD7920" w:rsidRPr="003137F9">
        <w:t xml:space="preserve"> design and detailing improvements</w:t>
      </w:r>
      <w:r w:rsidR="00EC125D" w:rsidRPr="003137F9">
        <w:t xml:space="preserve"> supported by </w:t>
      </w:r>
      <w:r w:rsidR="00667B2E" w:rsidRPr="003137F9">
        <w:t>referenced literature</w:t>
      </w:r>
      <w:r w:rsidR="00BD7920" w:rsidRPr="003137F9">
        <w:t xml:space="preserve"> that </w:t>
      </w:r>
      <w:r w:rsidR="000D5EC2" w:rsidRPr="003137F9">
        <w:t xml:space="preserve">can provide significant improvements </w:t>
      </w:r>
      <w:r w:rsidR="00B843B5" w:rsidRPr="003137F9">
        <w:t xml:space="preserve">in </w:t>
      </w:r>
      <w:r w:rsidR="001F6B2E" w:rsidRPr="003137F9">
        <w:t xml:space="preserve">performance (as it relates to damage minimisation and repairability of </w:t>
      </w:r>
      <w:r w:rsidR="00BB29D2" w:rsidRPr="003137F9">
        <w:t xml:space="preserve">structural </w:t>
      </w:r>
      <w:r w:rsidR="001F6B2E" w:rsidRPr="003137F9">
        <w:t>damage).</w:t>
      </w:r>
    </w:p>
    <w:p w14:paraId="4B8B5EBD" w14:textId="50E900BC" w:rsidR="00403B6E" w:rsidRPr="00FC76EF" w:rsidRDefault="00474F81" w:rsidP="00A27C26">
      <w:pPr>
        <w:pStyle w:val="Figure"/>
      </w:pPr>
      <w:r w:rsidRPr="00A27C26">
        <w:rPr>
          <w:b w:val="0"/>
          <w:bCs/>
          <w:sz w:val="24"/>
          <w:szCs w:val="24"/>
        </w:rPr>
        <w:t xml:space="preserve">The key recommendations are reproduced for convenience in </w:t>
      </w:r>
      <w:r w:rsidR="00B3549E" w:rsidRPr="00A27C26">
        <w:rPr>
          <w:b w:val="0"/>
          <w:bCs/>
          <w:sz w:val="24"/>
          <w:szCs w:val="24"/>
        </w:rPr>
        <w:fldChar w:fldCharType="begin"/>
      </w:r>
      <w:r w:rsidR="00B3549E" w:rsidRPr="00A27C26">
        <w:rPr>
          <w:b w:val="0"/>
          <w:bCs/>
          <w:sz w:val="24"/>
          <w:szCs w:val="24"/>
        </w:rPr>
        <w:instrText xml:space="preserve"> REF _Ref152321800 \h </w:instrText>
      </w:r>
      <w:r w:rsidR="003137F9" w:rsidRPr="00A27C26">
        <w:rPr>
          <w:b w:val="0"/>
          <w:bCs/>
          <w:sz w:val="24"/>
          <w:szCs w:val="24"/>
        </w:rPr>
        <w:instrText xml:space="preserve"> \* MERGEFORMAT </w:instrText>
      </w:r>
      <w:r w:rsidR="00B3549E" w:rsidRPr="00A27C26">
        <w:rPr>
          <w:b w:val="0"/>
          <w:bCs/>
          <w:sz w:val="24"/>
          <w:szCs w:val="24"/>
        </w:rPr>
      </w:r>
      <w:r w:rsidR="00B3549E" w:rsidRPr="00A27C26">
        <w:rPr>
          <w:b w:val="0"/>
          <w:bCs/>
          <w:sz w:val="24"/>
          <w:szCs w:val="24"/>
        </w:rPr>
        <w:fldChar w:fldCharType="separate"/>
      </w:r>
      <w:r w:rsidR="000761C1" w:rsidRPr="000761C1">
        <w:rPr>
          <w:b w:val="0"/>
          <w:bCs/>
          <w:sz w:val="24"/>
          <w:szCs w:val="24"/>
        </w:rPr>
        <w:t xml:space="preserve">Table </w:t>
      </w:r>
      <w:r w:rsidR="000761C1" w:rsidRPr="000761C1">
        <w:rPr>
          <w:b w:val="0"/>
          <w:bCs/>
          <w:noProof/>
          <w:sz w:val="24"/>
          <w:szCs w:val="24"/>
        </w:rPr>
        <w:t>15</w:t>
      </w:r>
      <w:r w:rsidR="00B3549E" w:rsidRPr="00A27C26">
        <w:rPr>
          <w:b w:val="0"/>
          <w:bCs/>
          <w:sz w:val="24"/>
          <w:szCs w:val="24"/>
        </w:rPr>
        <w:fldChar w:fldCharType="end"/>
      </w:r>
      <w:r w:rsidR="001A2F7E" w:rsidRPr="00A27C26">
        <w:rPr>
          <w:b w:val="0"/>
          <w:bCs/>
          <w:sz w:val="24"/>
          <w:szCs w:val="24"/>
        </w:rPr>
        <w:t>. This table</w:t>
      </w:r>
      <w:r w:rsidR="00340A12" w:rsidRPr="00A27C26">
        <w:rPr>
          <w:b w:val="0"/>
          <w:bCs/>
          <w:sz w:val="24"/>
          <w:szCs w:val="24"/>
        </w:rPr>
        <w:t xml:space="preserve"> </w:t>
      </w:r>
      <w:r w:rsidR="0061695C" w:rsidRPr="00A27C26">
        <w:rPr>
          <w:b w:val="0"/>
          <w:bCs/>
          <w:sz w:val="24"/>
          <w:szCs w:val="24"/>
        </w:rPr>
        <w:t>includ</w:t>
      </w:r>
      <w:r w:rsidR="001A2F7E" w:rsidRPr="00A27C26">
        <w:rPr>
          <w:b w:val="0"/>
          <w:bCs/>
          <w:sz w:val="24"/>
          <w:szCs w:val="24"/>
        </w:rPr>
        <w:t>es</w:t>
      </w:r>
      <w:r w:rsidR="0061695C" w:rsidRPr="00A27C26">
        <w:rPr>
          <w:b w:val="0"/>
          <w:bCs/>
          <w:sz w:val="24"/>
          <w:szCs w:val="24"/>
        </w:rPr>
        <w:t xml:space="preserve"> clarification of the applicable limit state</w:t>
      </w:r>
      <w:r w:rsidR="00F643DE" w:rsidRPr="00A27C26">
        <w:rPr>
          <w:b w:val="0"/>
          <w:bCs/>
          <w:sz w:val="24"/>
          <w:szCs w:val="24"/>
        </w:rPr>
        <w:t xml:space="preserve"> and </w:t>
      </w:r>
      <w:r w:rsidR="00B12F49" w:rsidRPr="00A27C26">
        <w:rPr>
          <w:b w:val="0"/>
          <w:bCs/>
          <w:sz w:val="24"/>
          <w:szCs w:val="24"/>
        </w:rPr>
        <w:t>APoE</w:t>
      </w:r>
      <w:r w:rsidR="00C97FD7" w:rsidRPr="00A27C26">
        <w:rPr>
          <w:b w:val="0"/>
          <w:bCs/>
          <w:sz w:val="24"/>
          <w:szCs w:val="24"/>
        </w:rPr>
        <w:t xml:space="preserve"> (</w:t>
      </w:r>
      <w:r w:rsidR="00F643DE" w:rsidRPr="00A27C26">
        <w:rPr>
          <w:b w:val="0"/>
          <w:bCs/>
          <w:sz w:val="24"/>
          <w:szCs w:val="24"/>
        </w:rPr>
        <w:t>defined in accordance with</w:t>
      </w:r>
      <w:r w:rsidR="00D07328" w:rsidRPr="00A27C26">
        <w:rPr>
          <w:b w:val="0"/>
          <w:bCs/>
          <w:sz w:val="24"/>
          <w:szCs w:val="24"/>
        </w:rPr>
        <w:t xml:space="preserve"> </w:t>
      </w:r>
      <w:r w:rsidR="00D07328" w:rsidRPr="00F122D9">
        <w:rPr>
          <w:b w:val="0"/>
          <w:bCs/>
          <w:sz w:val="24"/>
          <w:szCs w:val="24"/>
        </w:rPr>
        <w:fldChar w:fldCharType="begin"/>
      </w:r>
      <w:r w:rsidR="00D07328" w:rsidRPr="00F122D9">
        <w:rPr>
          <w:b w:val="0"/>
          <w:bCs/>
          <w:sz w:val="24"/>
          <w:szCs w:val="24"/>
        </w:rPr>
        <w:instrText xml:space="preserve"> REF _Ref150196492 \h </w:instrText>
      </w:r>
      <w:r w:rsidR="003137F9" w:rsidRPr="00F122D9">
        <w:rPr>
          <w:b w:val="0"/>
          <w:bCs/>
          <w:sz w:val="24"/>
          <w:szCs w:val="24"/>
        </w:rPr>
        <w:instrText xml:space="preserve"> \* MERGEFORMAT </w:instrText>
      </w:r>
      <w:r w:rsidR="00D07328" w:rsidRPr="00F122D9">
        <w:rPr>
          <w:b w:val="0"/>
          <w:bCs/>
          <w:sz w:val="24"/>
          <w:szCs w:val="24"/>
        </w:rPr>
      </w:r>
      <w:r w:rsidR="00D07328" w:rsidRPr="00F122D9">
        <w:rPr>
          <w:b w:val="0"/>
          <w:bCs/>
          <w:sz w:val="24"/>
          <w:szCs w:val="24"/>
        </w:rPr>
        <w:fldChar w:fldCharType="separate"/>
      </w:r>
      <w:r w:rsidR="000761C1" w:rsidRPr="00F122D9">
        <w:rPr>
          <w:b w:val="0"/>
          <w:bCs/>
          <w:sz w:val="24"/>
          <w:szCs w:val="24"/>
        </w:rPr>
        <w:t xml:space="preserve">Table </w:t>
      </w:r>
      <w:r w:rsidR="000761C1" w:rsidRPr="00F122D9">
        <w:rPr>
          <w:b w:val="0"/>
          <w:bCs/>
          <w:noProof/>
          <w:sz w:val="24"/>
          <w:szCs w:val="24"/>
        </w:rPr>
        <w:t>6</w:t>
      </w:r>
      <w:r w:rsidR="00D07328" w:rsidRPr="00F122D9">
        <w:rPr>
          <w:b w:val="0"/>
          <w:bCs/>
          <w:sz w:val="24"/>
          <w:szCs w:val="24"/>
        </w:rPr>
        <w:fldChar w:fldCharType="end"/>
      </w:r>
      <w:r w:rsidR="00D07328" w:rsidRPr="00A27C26">
        <w:rPr>
          <w:b w:val="0"/>
          <w:bCs/>
          <w:sz w:val="24"/>
          <w:szCs w:val="24"/>
        </w:rPr>
        <w:t xml:space="preserve"> of Section </w:t>
      </w:r>
      <w:r w:rsidR="00D07328" w:rsidRPr="00A27C26">
        <w:rPr>
          <w:b w:val="0"/>
          <w:bCs/>
          <w:sz w:val="24"/>
          <w:szCs w:val="24"/>
        </w:rPr>
        <w:fldChar w:fldCharType="begin"/>
      </w:r>
      <w:r w:rsidR="00D07328" w:rsidRPr="00A27C26">
        <w:rPr>
          <w:b w:val="0"/>
          <w:bCs/>
          <w:sz w:val="24"/>
          <w:szCs w:val="24"/>
        </w:rPr>
        <w:instrText xml:space="preserve"> REF _Ref150756251 \r \h </w:instrText>
      </w:r>
      <w:r w:rsidR="003137F9" w:rsidRPr="00A27C26">
        <w:rPr>
          <w:b w:val="0"/>
          <w:bCs/>
          <w:sz w:val="24"/>
          <w:szCs w:val="24"/>
        </w:rPr>
        <w:instrText xml:space="preserve"> \* MERGEFORMAT </w:instrText>
      </w:r>
      <w:r w:rsidR="00D07328" w:rsidRPr="00A27C26">
        <w:rPr>
          <w:b w:val="0"/>
          <w:bCs/>
          <w:sz w:val="24"/>
          <w:szCs w:val="24"/>
        </w:rPr>
      </w:r>
      <w:r w:rsidR="00D07328" w:rsidRPr="00A27C26">
        <w:rPr>
          <w:b w:val="0"/>
          <w:bCs/>
          <w:sz w:val="24"/>
          <w:szCs w:val="24"/>
        </w:rPr>
        <w:fldChar w:fldCharType="separate"/>
      </w:r>
      <w:r w:rsidR="000761C1">
        <w:rPr>
          <w:b w:val="0"/>
          <w:bCs/>
          <w:sz w:val="24"/>
          <w:szCs w:val="24"/>
        </w:rPr>
        <w:t>B2.3.1</w:t>
      </w:r>
      <w:r w:rsidR="00D07328" w:rsidRPr="00A27C26">
        <w:rPr>
          <w:b w:val="0"/>
          <w:bCs/>
          <w:sz w:val="24"/>
          <w:szCs w:val="24"/>
        </w:rPr>
        <w:fldChar w:fldCharType="end"/>
      </w:r>
      <w:r w:rsidR="00C97FD7" w:rsidRPr="00A27C26">
        <w:rPr>
          <w:b w:val="0"/>
          <w:bCs/>
          <w:sz w:val="24"/>
          <w:szCs w:val="24"/>
        </w:rPr>
        <w:t>) that the recommendation should be applied a</w:t>
      </w:r>
      <w:r w:rsidR="00403B6E" w:rsidRPr="00A27C26">
        <w:rPr>
          <w:b w:val="0"/>
          <w:bCs/>
          <w:sz w:val="24"/>
          <w:szCs w:val="24"/>
        </w:rPr>
        <w:t xml:space="preserve">t. It </w:t>
      </w:r>
      <w:r w:rsidR="00F11610" w:rsidRPr="00A27C26">
        <w:rPr>
          <w:b w:val="0"/>
          <w:bCs/>
          <w:sz w:val="24"/>
          <w:szCs w:val="24"/>
        </w:rPr>
        <w:t>notes which</w:t>
      </w:r>
      <w:r w:rsidR="00403B6E" w:rsidRPr="00A27C26">
        <w:rPr>
          <w:b w:val="0"/>
          <w:bCs/>
          <w:sz w:val="24"/>
          <w:szCs w:val="24"/>
        </w:rPr>
        <w:t xml:space="preserve"> recommendations </w:t>
      </w:r>
      <w:r w:rsidR="00F11610" w:rsidRPr="00A27C26">
        <w:rPr>
          <w:b w:val="0"/>
          <w:bCs/>
          <w:sz w:val="24"/>
          <w:szCs w:val="24"/>
        </w:rPr>
        <w:t>are</w:t>
      </w:r>
      <w:r w:rsidR="00403B6E" w:rsidRPr="00A27C26">
        <w:rPr>
          <w:b w:val="0"/>
          <w:bCs/>
          <w:sz w:val="24"/>
          <w:szCs w:val="24"/>
        </w:rPr>
        <w:t xml:space="preserve"> </w:t>
      </w:r>
      <w:r w:rsidR="00F11610" w:rsidRPr="00A27C26">
        <w:rPr>
          <w:b w:val="0"/>
          <w:bCs/>
          <w:sz w:val="24"/>
          <w:szCs w:val="24"/>
        </w:rPr>
        <w:t xml:space="preserve">sufficiently </w:t>
      </w:r>
      <w:r w:rsidR="00403B6E" w:rsidRPr="00A27C26">
        <w:rPr>
          <w:b w:val="0"/>
          <w:bCs/>
          <w:sz w:val="24"/>
          <w:szCs w:val="24"/>
        </w:rPr>
        <w:t>covered by other aspects of this guideline.</w:t>
      </w:r>
    </w:p>
    <w:p w14:paraId="38C27B05" w14:textId="28C148B4" w:rsidR="00F11610" w:rsidRPr="003137F9" w:rsidRDefault="007D5C79" w:rsidP="00666E06">
      <w:pPr>
        <w:pStyle w:val="Requirement"/>
      </w:pPr>
      <w:r w:rsidRPr="002658A2">
        <w:rPr>
          <w:b/>
          <w:bCs/>
          <w:color w:val="0C818F" w:themeColor="accent3"/>
        </w:rPr>
        <w:t xml:space="preserve">Health NZ </w:t>
      </w:r>
      <w:r w:rsidR="00F11610" w:rsidRPr="002658A2">
        <w:rPr>
          <w:b/>
          <w:bCs/>
          <w:color w:val="0C818F" w:themeColor="accent3"/>
        </w:rPr>
        <w:t>requirement:</w:t>
      </w:r>
      <w:r w:rsidR="00F11610" w:rsidRPr="002658A2">
        <w:rPr>
          <w:color w:val="0C818F" w:themeColor="accent3"/>
        </w:rPr>
        <w:t xml:space="preserve"> </w:t>
      </w:r>
      <w:r w:rsidR="000872D2" w:rsidRPr="003137F9">
        <w:t xml:space="preserve">The </w:t>
      </w:r>
      <w:r w:rsidR="00667B2E" w:rsidRPr="003137F9">
        <w:t xml:space="preserve">SESOC Damage Reduction recommendations shall be </w:t>
      </w:r>
      <w:r w:rsidR="00436206" w:rsidRPr="003137F9">
        <w:t>applied</w:t>
      </w:r>
      <w:r w:rsidR="004550F2" w:rsidRPr="003137F9">
        <w:t xml:space="preserve"> to </w:t>
      </w:r>
      <w:r>
        <w:t xml:space="preserve">Health NZ </w:t>
      </w:r>
      <w:r w:rsidR="004550F2" w:rsidRPr="003137F9">
        <w:t>projects</w:t>
      </w:r>
      <w:r w:rsidR="00436206" w:rsidRPr="003137F9">
        <w:t xml:space="preserve">, as clarified </w:t>
      </w:r>
      <w:r w:rsidR="004550F2" w:rsidRPr="003137F9">
        <w:t xml:space="preserve">in </w:t>
      </w:r>
      <w:r w:rsidR="004550F2" w:rsidRPr="003137F9">
        <w:fldChar w:fldCharType="begin"/>
      </w:r>
      <w:r w:rsidR="004550F2" w:rsidRPr="003137F9">
        <w:instrText xml:space="preserve"> REF _Ref152321800 \h </w:instrText>
      </w:r>
      <w:r w:rsidR="003137F9">
        <w:instrText xml:space="preserve"> \* MERGEFORMAT </w:instrText>
      </w:r>
      <w:r w:rsidR="004550F2" w:rsidRPr="003137F9">
        <w:fldChar w:fldCharType="separate"/>
      </w:r>
      <w:r w:rsidR="000761C1" w:rsidRPr="000761C1">
        <w:t xml:space="preserve">Table </w:t>
      </w:r>
      <w:r w:rsidR="000761C1" w:rsidRPr="000761C1">
        <w:rPr>
          <w:noProof/>
        </w:rPr>
        <w:t>15</w:t>
      </w:r>
      <w:r w:rsidR="004550F2" w:rsidRPr="003137F9">
        <w:fldChar w:fldCharType="end"/>
      </w:r>
      <w:r w:rsidR="004550F2" w:rsidRPr="003137F9">
        <w:t>.</w:t>
      </w:r>
    </w:p>
    <w:p w14:paraId="37B7E399" w14:textId="6A9F5E31" w:rsidR="00D158EB" w:rsidRPr="00210CB4" w:rsidRDefault="00D158EB" w:rsidP="006368E9">
      <w:pPr>
        <w:pStyle w:val="Figure"/>
        <w:keepNext/>
        <w:rPr>
          <w:sz w:val="20"/>
          <w:szCs w:val="20"/>
        </w:rPr>
      </w:pPr>
      <w:bookmarkStart w:id="326" w:name="_Ref152321800"/>
      <w:r w:rsidRPr="00210CB4">
        <w:rPr>
          <w:sz w:val="20"/>
          <w:szCs w:val="20"/>
        </w:rPr>
        <w:t xml:space="preserve">Table </w:t>
      </w:r>
      <w:r w:rsidRPr="00210CB4">
        <w:rPr>
          <w:sz w:val="20"/>
          <w:szCs w:val="20"/>
        </w:rPr>
        <w:fldChar w:fldCharType="begin"/>
      </w:r>
      <w:r w:rsidRPr="00210CB4">
        <w:rPr>
          <w:sz w:val="20"/>
          <w:szCs w:val="20"/>
        </w:rPr>
        <w:instrText>SEQ Table \* ARABIC</w:instrText>
      </w:r>
      <w:r w:rsidRPr="00210CB4">
        <w:rPr>
          <w:sz w:val="20"/>
          <w:szCs w:val="20"/>
        </w:rPr>
        <w:fldChar w:fldCharType="separate"/>
      </w:r>
      <w:r w:rsidR="000761C1">
        <w:rPr>
          <w:noProof/>
          <w:sz w:val="20"/>
          <w:szCs w:val="20"/>
        </w:rPr>
        <w:t>15</w:t>
      </w:r>
      <w:r w:rsidRPr="00210CB4">
        <w:rPr>
          <w:sz w:val="20"/>
          <w:szCs w:val="20"/>
        </w:rPr>
        <w:fldChar w:fldCharType="end"/>
      </w:r>
      <w:bookmarkEnd w:id="326"/>
      <w:r w:rsidRPr="00210CB4">
        <w:rPr>
          <w:sz w:val="20"/>
          <w:szCs w:val="20"/>
        </w:rPr>
        <w:t>: Summary of Damage Reduction Recommendations from SESOC Interim Design Guidance v</w:t>
      </w:r>
      <w:r w:rsidR="001C6888" w:rsidRPr="00210CB4">
        <w:rPr>
          <w:sz w:val="20"/>
          <w:szCs w:val="20"/>
        </w:rPr>
        <w:t>11</w:t>
      </w:r>
      <w:r w:rsidRPr="00210CB4">
        <w:rPr>
          <w:sz w:val="20"/>
          <w:szCs w:val="20"/>
        </w:rPr>
        <w:t xml:space="preserve"> </w:t>
      </w:r>
      <w:sdt>
        <w:sdtPr>
          <w:rPr>
            <w:sz w:val="20"/>
            <w:szCs w:val="20"/>
          </w:rPr>
          <w:id w:val="979104877"/>
          <w:citation/>
        </w:sdtPr>
        <w:sdtEndPr/>
        <w:sdtContent>
          <w:r w:rsidRPr="00210CB4">
            <w:rPr>
              <w:sz w:val="20"/>
              <w:szCs w:val="20"/>
            </w:rPr>
            <w:fldChar w:fldCharType="begin"/>
          </w:r>
          <w:r w:rsidRPr="00210CB4">
            <w:rPr>
              <w:sz w:val="20"/>
              <w:szCs w:val="20"/>
            </w:rPr>
            <w:instrText xml:space="preserve"> CITATION SES221 \l 1033 </w:instrText>
          </w:r>
          <w:r w:rsidRPr="00210CB4">
            <w:rPr>
              <w:sz w:val="20"/>
              <w:szCs w:val="20"/>
            </w:rPr>
            <w:fldChar w:fldCharType="separate"/>
          </w:r>
          <w:r w:rsidR="00222D65" w:rsidRPr="00210CB4">
            <w:rPr>
              <w:noProof/>
              <w:sz w:val="20"/>
              <w:szCs w:val="20"/>
            </w:rPr>
            <w:t>(SESOC, 2022)</w:t>
          </w:r>
          <w:r w:rsidRPr="00210CB4">
            <w:rPr>
              <w:sz w:val="20"/>
              <w:szCs w:val="20"/>
            </w:rPr>
            <w:fldChar w:fldCharType="end"/>
          </w:r>
        </w:sdtContent>
      </w:sdt>
      <w:r w:rsidR="001D250E" w:rsidRPr="00210CB4">
        <w:rPr>
          <w:sz w:val="20"/>
          <w:szCs w:val="20"/>
        </w:rPr>
        <w:t xml:space="preserve"> related to primary structure</w:t>
      </w:r>
      <w:r w:rsidR="00FC3312" w:rsidRPr="00210CB4">
        <w:rPr>
          <w:sz w:val="20"/>
          <w:szCs w:val="20"/>
        </w:rPr>
        <w:t xml:space="preserve"> asset protection.</w:t>
      </w:r>
    </w:p>
    <w:tbl>
      <w:tblPr>
        <w:tblStyle w:val="TeWhatuOra"/>
        <w:tblW w:w="9635" w:type="dxa"/>
        <w:tblBorders>
          <w:top w:val="single" w:sz="4" w:space="0" w:color="15284C" w:themeColor="text2"/>
          <w:left w:val="none" w:sz="0" w:space="0" w:color="auto"/>
          <w:bottom w:val="none" w:sz="0" w:space="0" w:color="auto"/>
          <w:right w:val="none" w:sz="0" w:space="0" w:color="auto"/>
          <w:insideH w:val="single" w:sz="8" w:space="0" w:color="BFBFBF"/>
          <w:insideV w:val="single" w:sz="8" w:space="0" w:color="BFBFBF"/>
        </w:tblBorders>
        <w:tblLook w:val="0620" w:firstRow="1" w:lastRow="0" w:firstColumn="0" w:lastColumn="0" w:noHBand="1" w:noVBand="1"/>
      </w:tblPr>
      <w:tblGrid>
        <w:gridCol w:w="1006"/>
        <w:gridCol w:w="1540"/>
        <w:gridCol w:w="5207"/>
        <w:gridCol w:w="1882"/>
      </w:tblGrid>
      <w:tr w:rsidR="00677129" w:rsidRPr="00210CB4" w14:paraId="16F9661C" w14:textId="57545FC3" w:rsidTr="00F1253A">
        <w:trPr>
          <w:cnfStyle w:val="100000000000" w:firstRow="1" w:lastRow="0" w:firstColumn="0" w:lastColumn="0" w:oddVBand="0" w:evenVBand="0" w:oddHBand="0" w:evenHBand="0" w:firstRowFirstColumn="0" w:firstRowLastColumn="0" w:lastRowFirstColumn="0" w:lastRowLastColumn="0"/>
          <w:cantSplit/>
          <w:tblHeader/>
        </w:trPr>
        <w:tc>
          <w:tcPr>
            <w:tcW w:w="1006" w:type="dxa"/>
            <w:tcBorders>
              <w:top w:val="single" w:sz="12" w:space="0" w:color="003399" w:themeColor="accent2"/>
              <w:bottom w:val="single" w:sz="12" w:space="0" w:color="003399" w:themeColor="accent2"/>
            </w:tcBorders>
            <w:shd w:val="clear" w:color="auto" w:fill="F6F4EC"/>
          </w:tcPr>
          <w:p w14:paraId="6B7D4127" w14:textId="5F254BF9" w:rsidR="00677129" w:rsidRPr="00210CB4" w:rsidRDefault="00AF0C6F" w:rsidP="00B6651A">
            <w:pPr>
              <w:pStyle w:val="TableText"/>
              <w:rPr>
                <w:sz w:val="20"/>
                <w:szCs w:val="20"/>
              </w:rPr>
            </w:pPr>
            <w:r w:rsidRPr="00210CB4">
              <w:rPr>
                <w:sz w:val="20"/>
                <w:szCs w:val="20"/>
              </w:rPr>
              <w:t xml:space="preserve">SESOC </w:t>
            </w:r>
            <w:r w:rsidR="00677129" w:rsidRPr="00210CB4">
              <w:rPr>
                <w:sz w:val="20"/>
                <w:szCs w:val="20"/>
              </w:rPr>
              <w:t>Section Ref.</w:t>
            </w:r>
          </w:p>
        </w:tc>
        <w:tc>
          <w:tcPr>
            <w:tcW w:w="1540" w:type="dxa"/>
            <w:tcBorders>
              <w:top w:val="single" w:sz="12" w:space="0" w:color="003399" w:themeColor="accent2"/>
              <w:bottom w:val="single" w:sz="12" w:space="0" w:color="003399" w:themeColor="accent2"/>
            </w:tcBorders>
            <w:shd w:val="clear" w:color="auto" w:fill="F6F4EC"/>
          </w:tcPr>
          <w:p w14:paraId="3F396676" w14:textId="77777777" w:rsidR="00677129" w:rsidRPr="00210CB4" w:rsidRDefault="00677129" w:rsidP="00B6651A">
            <w:pPr>
              <w:pStyle w:val="TableText"/>
              <w:rPr>
                <w:sz w:val="20"/>
                <w:szCs w:val="20"/>
              </w:rPr>
            </w:pPr>
            <w:r w:rsidRPr="00210CB4">
              <w:rPr>
                <w:sz w:val="20"/>
                <w:szCs w:val="20"/>
              </w:rPr>
              <w:t>Item</w:t>
            </w:r>
          </w:p>
        </w:tc>
        <w:tc>
          <w:tcPr>
            <w:tcW w:w="5207" w:type="dxa"/>
            <w:tcBorders>
              <w:top w:val="single" w:sz="12" w:space="0" w:color="003399" w:themeColor="accent2"/>
              <w:bottom w:val="single" w:sz="12" w:space="0" w:color="003399" w:themeColor="accent2"/>
            </w:tcBorders>
            <w:shd w:val="clear" w:color="auto" w:fill="F6F4EC"/>
          </w:tcPr>
          <w:p w14:paraId="19BD8739" w14:textId="5069B848" w:rsidR="00677129" w:rsidRPr="00210CB4" w:rsidRDefault="00677129" w:rsidP="00B6651A">
            <w:pPr>
              <w:pStyle w:val="TableText"/>
              <w:rPr>
                <w:sz w:val="20"/>
                <w:szCs w:val="20"/>
              </w:rPr>
            </w:pPr>
            <w:r w:rsidRPr="00210CB4">
              <w:rPr>
                <w:sz w:val="20"/>
                <w:szCs w:val="20"/>
              </w:rPr>
              <w:t>Damage Reduction Recommendation</w:t>
            </w:r>
            <w:r w:rsidR="00683F00" w:rsidRPr="00210CB4">
              <w:rPr>
                <w:sz w:val="20"/>
                <w:szCs w:val="20"/>
              </w:rPr>
              <w:br/>
            </w:r>
            <w:r w:rsidR="00570649" w:rsidRPr="00210CB4">
              <w:rPr>
                <w:sz w:val="20"/>
                <w:szCs w:val="20"/>
              </w:rPr>
              <w:t xml:space="preserve">(refer to </w:t>
            </w:r>
            <w:r w:rsidR="00FC4B94" w:rsidRPr="00210CB4">
              <w:rPr>
                <w:sz w:val="20"/>
                <w:szCs w:val="20"/>
              </w:rPr>
              <w:t>SESOC</w:t>
            </w:r>
            <w:r w:rsidR="00683F00" w:rsidRPr="00210CB4">
              <w:rPr>
                <w:sz w:val="20"/>
                <w:szCs w:val="20"/>
              </w:rPr>
              <w:t xml:space="preserve"> for full details)</w:t>
            </w:r>
          </w:p>
        </w:tc>
        <w:tc>
          <w:tcPr>
            <w:tcW w:w="1882" w:type="dxa"/>
            <w:tcBorders>
              <w:top w:val="single" w:sz="12" w:space="0" w:color="003399" w:themeColor="accent2"/>
              <w:bottom w:val="single" w:sz="12" w:space="0" w:color="003399" w:themeColor="accent2"/>
            </w:tcBorders>
            <w:shd w:val="clear" w:color="auto" w:fill="F6F4EC"/>
          </w:tcPr>
          <w:p w14:paraId="5AEAA856" w14:textId="066A9A2C" w:rsidR="00677129" w:rsidRPr="00210CB4" w:rsidRDefault="00D52A10" w:rsidP="00B6651A">
            <w:pPr>
              <w:pStyle w:val="TableText"/>
              <w:rPr>
                <w:sz w:val="20"/>
                <w:szCs w:val="20"/>
              </w:rPr>
            </w:pPr>
            <w:r w:rsidRPr="00210CB4">
              <w:rPr>
                <w:sz w:val="20"/>
                <w:szCs w:val="20"/>
              </w:rPr>
              <w:t>Applicable</w:t>
            </w:r>
            <w:r w:rsidR="009E47D2" w:rsidRPr="00210CB4">
              <w:rPr>
                <w:sz w:val="20"/>
                <w:szCs w:val="20"/>
              </w:rPr>
              <w:t xml:space="preserve"> </w:t>
            </w:r>
            <w:r w:rsidR="00677129" w:rsidRPr="00210CB4">
              <w:rPr>
                <w:sz w:val="20"/>
                <w:szCs w:val="20"/>
              </w:rPr>
              <w:t>Limit State</w:t>
            </w:r>
            <w:r w:rsidR="00F643DE" w:rsidRPr="00210CB4">
              <w:rPr>
                <w:sz w:val="20"/>
                <w:szCs w:val="20"/>
              </w:rPr>
              <w:t xml:space="preserve"> and </w:t>
            </w:r>
            <w:r w:rsidR="00B12F49" w:rsidRPr="00210CB4">
              <w:rPr>
                <w:sz w:val="20"/>
                <w:szCs w:val="20"/>
              </w:rPr>
              <w:t>APoE</w:t>
            </w:r>
            <w:r w:rsidRPr="00210CB4">
              <w:rPr>
                <w:sz w:val="20"/>
                <w:szCs w:val="20"/>
              </w:rPr>
              <w:br/>
            </w:r>
            <w:r w:rsidRPr="00210CB4">
              <w:rPr>
                <w:bCs/>
                <w:sz w:val="20"/>
                <w:szCs w:val="20"/>
              </w:rPr>
              <w:t>(</w:t>
            </w:r>
            <w:r w:rsidR="00F643DE" w:rsidRPr="00210CB4">
              <w:rPr>
                <w:bCs/>
                <w:sz w:val="20"/>
                <w:szCs w:val="20"/>
              </w:rPr>
              <w:t xml:space="preserve">to </w:t>
            </w:r>
            <w:r w:rsidRPr="00210CB4">
              <w:rPr>
                <w:bCs/>
                <w:sz w:val="20"/>
                <w:szCs w:val="20"/>
              </w:rPr>
              <w:t>this guideline)</w:t>
            </w:r>
          </w:p>
        </w:tc>
      </w:tr>
      <w:tr w:rsidR="00677129" w:rsidRPr="00210CB4" w14:paraId="794C854A" w14:textId="1D561AA4" w:rsidTr="00F1253A">
        <w:trPr>
          <w:cantSplit/>
        </w:trPr>
        <w:tc>
          <w:tcPr>
            <w:tcW w:w="1006" w:type="dxa"/>
            <w:tcBorders>
              <w:top w:val="single" w:sz="12" w:space="0" w:color="003399" w:themeColor="accent2"/>
            </w:tcBorders>
          </w:tcPr>
          <w:p w14:paraId="78CEEFD3" w14:textId="6171AEB4" w:rsidR="00677129" w:rsidRPr="00210CB4" w:rsidRDefault="00677129" w:rsidP="00B6651A">
            <w:pPr>
              <w:pStyle w:val="TableText"/>
              <w:rPr>
                <w:sz w:val="20"/>
                <w:szCs w:val="20"/>
              </w:rPr>
            </w:pPr>
            <w:r w:rsidRPr="00210CB4">
              <w:rPr>
                <w:sz w:val="20"/>
                <w:szCs w:val="20"/>
              </w:rPr>
              <w:t>2.2</w:t>
            </w:r>
          </w:p>
        </w:tc>
        <w:tc>
          <w:tcPr>
            <w:tcW w:w="1540" w:type="dxa"/>
            <w:tcBorders>
              <w:top w:val="single" w:sz="12" w:space="0" w:color="003399" w:themeColor="accent2"/>
            </w:tcBorders>
          </w:tcPr>
          <w:p w14:paraId="35D35F93" w14:textId="4C4B9F7B" w:rsidR="00677129" w:rsidRPr="00210CB4" w:rsidRDefault="00DA5F1C" w:rsidP="00B6651A">
            <w:pPr>
              <w:pStyle w:val="TableText"/>
              <w:rPr>
                <w:sz w:val="20"/>
                <w:szCs w:val="20"/>
              </w:rPr>
            </w:pPr>
            <w:r w:rsidRPr="00210CB4">
              <w:rPr>
                <w:sz w:val="20"/>
                <w:szCs w:val="20"/>
              </w:rPr>
              <w:t>SLS1</w:t>
            </w:r>
          </w:p>
        </w:tc>
        <w:tc>
          <w:tcPr>
            <w:tcW w:w="5207" w:type="dxa"/>
            <w:tcBorders>
              <w:top w:val="single" w:sz="12" w:space="0" w:color="003399" w:themeColor="accent2"/>
            </w:tcBorders>
          </w:tcPr>
          <w:p w14:paraId="5232935F" w14:textId="5B62893D" w:rsidR="00677129" w:rsidRPr="00210CB4" w:rsidRDefault="00DA5F1C" w:rsidP="00B6651A">
            <w:pPr>
              <w:pStyle w:val="TableText"/>
              <w:rPr>
                <w:sz w:val="20"/>
                <w:szCs w:val="20"/>
              </w:rPr>
            </w:pPr>
            <w:r w:rsidRPr="00210CB4">
              <w:rPr>
                <w:sz w:val="20"/>
                <w:szCs w:val="20"/>
              </w:rPr>
              <w:t xml:space="preserve">Consider </w:t>
            </w:r>
            <w:r w:rsidR="00996807" w:rsidRPr="00210CB4">
              <w:rPr>
                <w:sz w:val="20"/>
                <w:szCs w:val="20"/>
              </w:rPr>
              <w:t xml:space="preserve">increasing the </w:t>
            </w:r>
            <w:r w:rsidR="00B12F49" w:rsidRPr="00210CB4">
              <w:rPr>
                <w:sz w:val="20"/>
                <w:szCs w:val="20"/>
              </w:rPr>
              <w:t>APoE</w:t>
            </w:r>
            <w:r w:rsidR="00996807" w:rsidRPr="00210CB4">
              <w:rPr>
                <w:sz w:val="20"/>
                <w:szCs w:val="20"/>
              </w:rPr>
              <w:t xml:space="preserve"> of the earthquake demands used for</w:t>
            </w:r>
            <w:r w:rsidR="00A64A66" w:rsidRPr="00210CB4">
              <w:rPr>
                <w:sz w:val="20"/>
                <w:szCs w:val="20"/>
              </w:rPr>
              <w:t xml:space="preserve"> SLS1 from 1 / 25 to 1 / 50</w:t>
            </w:r>
            <w:r w:rsidR="0074790B" w:rsidRPr="00210CB4">
              <w:rPr>
                <w:sz w:val="20"/>
                <w:szCs w:val="20"/>
              </w:rPr>
              <w:t xml:space="preserve"> </w:t>
            </w:r>
            <w:r w:rsidR="0066048C" w:rsidRPr="00210CB4">
              <w:rPr>
                <w:rStyle w:val="FootnoteReference"/>
                <w:sz w:val="20"/>
                <w:szCs w:val="20"/>
              </w:rPr>
              <w:footnoteReference w:id="39"/>
            </w:r>
            <w:r w:rsidR="0074790B" w:rsidRPr="00210CB4">
              <w:rPr>
                <w:sz w:val="20"/>
                <w:szCs w:val="20"/>
              </w:rPr>
              <w:t>.</w:t>
            </w:r>
          </w:p>
        </w:tc>
        <w:tc>
          <w:tcPr>
            <w:tcW w:w="1882" w:type="dxa"/>
            <w:tcBorders>
              <w:top w:val="single" w:sz="12" w:space="0" w:color="003399" w:themeColor="accent2"/>
            </w:tcBorders>
          </w:tcPr>
          <w:p w14:paraId="0B48BE61" w14:textId="27A16A0D" w:rsidR="00677129" w:rsidRPr="00210CB4" w:rsidRDefault="00DA5F1C" w:rsidP="00B6651A">
            <w:pPr>
              <w:pStyle w:val="TableText"/>
              <w:rPr>
                <w:sz w:val="20"/>
                <w:szCs w:val="20"/>
              </w:rPr>
            </w:pPr>
            <w:r w:rsidRPr="00210CB4">
              <w:rPr>
                <w:sz w:val="20"/>
                <w:szCs w:val="20"/>
              </w:rPr>
              <w:t>SLS1</w:t>
            </w:r>
          </w:p>
        </w:tc>
      </w:tr>
      <w:tr w:rsidR="00DA5F1C" w:rsidRPr="00210CB4" w14:paraId="36CBE5BC" w14:textId="77777777" w:rsidTr="00F1253A">
        <w:trPr>
          <w:cantSplit/>
        </w:trPr>
        <w:tc>
          <w:tcPr>
            <w:tcW w:w="1006" w:type="dxa"/>
          </w:tcPr>
          <w:p w14:paraId="3EDE0762" w14:textId="28E1534F" w:rsidR="00DA5F1C" w:rsidRPr="00210CB4" w:rsidRDefault="00DA5F1C" w:rsidP="00B6651A">
            <w:pPr>
              <w:pStyle w:val="TableText"/>
              <w:rPr>
                <w:sz w:val="20"/>
                <w:szCs w:val="20"/>
              </w:rPr>
            </w:pPr>
            <w:r w:rsidRPr="00210CB4">
              <w:rPr>
                <w:sz w:val="20"/>
                <w:szCs w:val="20"/>
              </w:rPr>
              <w:t>2.2</w:t>
            </w:r>
          </w:p>
        </w:tc>
        <w:tc>
          <w:tcPr>
            <w:tcW w:w="1540" w:type="dxa"/>
          </w:tcPr>
          <w:p w14:paraId="66CE0D05" w14:textId="7A8ABBE9" w:rsidR="00DA5F1C" w:rsidRPr="00210CB4" w:rsidRDefault="00DA5F1C" w:rsidP="00B6651A">
            <w:pPr>
              <w:pStyle w:val="TableText"/>
              <w:rPr>
                <w:sz w:val="20"/>
                <w:szCs w:val="20"/>
              </w:rPr>
            </w:pPr>
            <w:r w:rsidRPr="00210CB4">
              <w:rPr>
                <w:sz w:val="20"/>
                <w:szCs w:val="20"/>
              </w:rPr>
              <w:t>Ductility</w:t>
            </w:r>
          </w:p>
        </w:tc>
        <w:tc>
          <w:tcPr>
            <w:tcW w:w="5207" w:type="dxa"/>
          </w:tcPr>
          <w:p w14:paraId="09D67188" w14:textId="6690ED0E" w:rsidR="00DA5F1C" w:rsidRPr="00210CB4" w:rsidRDefault="0051551D" w:rsidP="00B6651A">
            <w:pPr>
              <w:pStyle w:val="TableText"/>
              <w:rPr>
                <w:sz w:val="20"/>
                <w:szCs w:val="20"/>
              </w:rPr>
            </w:pPr>
            <w:r w:rsidRPr="00210CB4">
              <w:rPr>
                <w:sz w:val="20"/>
                <w:szCs w:val="20"/>
              </w:rPr>
              <w:t>To minimise the likelihood of requiring structural repair</w:t>
            </w:r>
            <w:r w:rsidR="00C231E0" w:rsidRPr="00210CB4">
              <w:rPr>
                <w:sz w:val="20"/>
                <w:szCs w:val="20"/>
              </w:rPr>
              <w:t xml:space="preserve"> in PPHZs</w:t>
            </w:r>
            <w:r w:rsidRPr="00210CB4">
              <w:rPr>
                <w:sz w:val="20"/>
                <w:szCs w:val="20"/>
              </w:rPr>
              <w:t>, l</w:t>
            </w:r>
            <w:r w:rsidR="00DA5F1C" w:rsidRPr="00210CB4">
              <w:rPr>
                <w:sz w:val="20"/>
                <w:szCs w:val="20"/>
              </w:rPr>
              <w:t xml:space="preserve">imit primary structure design ductility to </w:t>
            </w:r>
            <m:oMath>
              <m:r>
                <w:rPr>
                  <w:rFonts w:ascii="Cambria Math" w:hAnsi="Cambria Math"/>
                  <w:sz w:val="20"/>
                  <w:szCs w:val="20"/>
                </w:rPr>
                <m:t>μ</m:t>
              </m:r>
            </m:oMath>
            <w:r w:rsidR="00DA5F1C" w:rsidRPr="00210CB4">
              <w:rPr>
                <w:sz w:val="20"/>
                <w:szCs w:val="20"/>
              </w:rPr>
              <w:t xml:space="preserve"> ≤ 2.0</w:t>
            </w:r>
            <w:r w:rsidR="0074790B" w:rsidRPr="00210CB4">
              <w:rPr>
                <w:sz w:val="20"/>
                <w:szCs w:val="20"/>
              </w:rPr>
              <w:t>.</w:t>
            </w:r>
          </w:p>
        </w:tc>
        <w:tc>
          <w:tcPr>
            <w:tcW w:w="1882" w:type="dxa"/>
          </w:tcPr>
          <w:p w14:paraId="02CE136D" w14:textId="551D599A" w:rsidR="00DA5F1C" w:rsidRPr="00210CB4" w:rsidRDefault="00DA5F1C" w:rsidP="00B6651A">
            <w:pPr>
              <w:pStyle w:val="TableText"/>
              <w:rPr>
                <w:sz w:val="20"/>
                <w:szCs w:val="20"/>
              </w:rPr>
            </w:pPr>
            <w:r w:rsidRPr="00210CB4">
              <w:rPr>
                <w:sz w:val="20"/>
                <w:szCs w:val="20"/>
              </w:rPr>
              <w:t>DCLS</w:t>
            </w:r>
          </w:p>
        </w:tc>
      </w:tr>
      <w:tr w:rsidR="00677129" w:rsidRPr="00210CB4" w14:paraId="5CC38D26" w14:textId="77E00745" w:rsidTr="00F1253A">
        <w:trPr>
          <w:cantSplit/>
        </w:trPr>
        <w:tc>
          <w:tcPr>
            <w:tcW w:w="1006" w:type="dxa"/>
          </w:tcPr>
          <w:p w14:paraId="07A269AA" w14:textId="609335AB" w:rsidR="00677129" w:rsidRPr="00210CB4" w:rsidRDefault="00D52A10" w:rsidP="00B6651A">
            <w:pPr>
              <w:pStyle w:val="TableText"/>
              <w:rPr>
                <w:sz w:val="20"/>
                <w:szCs w:val="20"/>
              </w:rPr>
            </w:pPr>
            <w:r w:rsidRPr="00210CB4">
              <w:rPr>
                <w:sz w:val="20"/>
                <w:szCs w:val="20"/>
              </w:rPr>
              <w:lastRenderedPageBreak/>
              <w:t>2.2</w:t>
            </w:r>
          </w:p>
        </w:tc>
        <w:tc>
          <w:tcPr>
            <w:tcW w:w="1540" w:type="dxa"/>
          </w:tcPr>
          <w:p w14:paraId="7CBC42F2" w14:textId="4EC17E87" w:rsidR="00677129" w:rsidRPr="00210CB4" w:rsidRDefault="00D52A10" w:rsidP="00B6651A">
            <w:pPr>
              <w:pStyle w:val="TableText"/>
              <w:rPr>
                <w:sz w:val="20"/>
                <w:szCs w:val="20"/>
              </w:rPr>
            </w:pPr>
            <w:r w:rsidRPr="00210CB4">
              <w:rPr>
                <w:sz w:val="20"/>
                <w:szCs w:val="20"/>
              </w:rPr>
              <w:t>Residual drift</w:t>
            </w:r>
          </w:p>
        </w:tc>
        <w:tc>
          <w:tcPr>
            <w:tcW w:w="5207" w:type="dxa"/>
          </w:tcPr>
          <w:p w14:paraId="750F086F" w14:textId="0C5CC6E2" w:rsidR="00677129" w:rsidRPr="00210CB4" w:rsidRDefault="00B560C3" w:rsidP="00B6651A">
            <w:pPr>
              <w:pStyle w:val="TableText"/>
              <w:rPr>
                <w:sz w:val="20"/>
                <w:szCs w:val="20"/>
              </w:rPr>
            </w:pPr>
            <w:r w:rsidRPr="00210CB4">
              <w:rPr>
                <w:sz w:val="20"/>
                <w:szCs w:val="20"/>
              </w:rPr>
              <w:t xml:space="preserve">Limit </w:t>
            </w:r>
            <w:r w:rsidR="0025200C" w:rsidRPr="00210CB4">
              <w:rPr>
                <w:sz w:val="20"/>
                <w:szCs w:val="20"/>
              </w:rPr>
              <w:t>residual drift to ≤ 0.5%</w:t>
            </w:r>
            <w:r w:rsidR="000E2CB8" w:rsidRPr="00210CB4">
              <w:rPr>
                <w:sz w:val="20"/>
                <w:szCs w:val="20"/>
              </w:rPr>
              <w:t xml:space="preserve"> (</w:t>
            </w:r>
            <w:r w:rsidR="007D42D9" w:rsidRPr="00210CB4">
              <w:rPr>
                <w:sz w:val="20"/>
                <w:szCs w:val="20"/>
              </w:rPr>
              <w:t>a method can be found in Section 5.4 of FEMA P-58</w:t>
            </w:r>
            <w:r w:rsidR="0071146E" w:rsidRPr="00210CB4">
              <w:rPr>
                <w:sz w:val="20"/>
                <w:szCs w:val="20"/>
              </w:rPr>
              <w:t xml:space="preserve"> </w:t>
            </w:r>
            <w:sdt>
              <w:sdtPr>
                <w:rPr>
                  <w:sz w:val="20"/>
                  <w:szCs w:val="20"/>
                </w:rPr>
                <w:id w:val="237918120"/>
                <w:citation/>
              </w:sdtPr>
              <w:sdtEndPr/>
              <w:sdtContent>
                <w:r w:rsidR="008A7C77" w:rsidRPr="00210CB4">
                  <w:rPr>
                    <w:sz w:val="20"/>
                    <w:szCs w:val="20"/>
                  </w:rPr>
                  <w:fldChar w:fldCharType="begin"/>
                </w:r>
                <w:r w:rsidR="008A7C77" w:rsidRPr="00210CB4">
                  <w:rPr>
                    <w:sz w:val="20"/>
                    <w:szCs w:val="20"/>
                    <w:lang w:val="en-US"/>
                  </w:rPr>
                  <w:instrText xml:space="preserve"> CITATION FEM18 \l 1033 </w:instrText>
                </w:r>
                <w:r w:rsidR="008A7C77" w:rsidRPr="00210CB4">
                  <w:rPr>
                    <w:sz w:val="20"/>
                    <w:szCs w:val="20"/>
                  </w:rPr>
                  <w:fldChar w:fldCharType="separate"/>
                </w:r>
                <w:r w:rsidR="00222D65" w:rsidRPr="00210CB4">
                  <w:rPr>
                    <w:noProof/>
                    <w:sz w:val="20"/>
                    <w:szCs w:val="20"/>
                    <w:lang w:val="en-US"/>
                  </w:rPr>
                  <w:t>(FEMA, 2018)</w:t>
                </w:r>
                <w:r w:rsidR="008A7C77" w:rsidRPr="00210CB4">
                  <w:rPr>
                    <w:sz w:val="20"/>
                    <w:szCs w:val="20"/>
                  </w:rPr>
                  <w:fldChar w:fldCharType="end"/>
                </w:r>
              </w:sdtContent>
            </w:sdt>
            <w:r w:rsidR="00F67BD0" w:rsidRPr="00210CB4">
              <w:rPr>
                <w:rStyle w:val="FootnoteReference"/>
                <w:sz w:val="20"/>
                <w:szCs w:val="20"/>
              </w:rPr>
              <w:footnoteReference w:id="40"/>
            </w:r>
            <w:r w:rsidR="0074790B" w:rsidRPr="00210CB4">
              <w:rPr>
                <w:sz w:val="20"/>
                <w:szCs w:val="20"/>
              </w:rPr>
              <w:t>.</w:t>
            </w:r>
          </w:p>
        </w:tc>
        <w:tc>
          <w:tcPr>
            <w:tcW w:w="1882" w:type="dxa"/>
          </w:tcPr>
          <w:p w14:paraId="6883CBCA" w14:textId="5069993F" w:rsidR="00677129" w:rsidRPr="00210CB4" w:rsidRDefault="00677129" w:rsidP="00B6651A">
            <w:pPr>
              <w:pStyle w:val="TableText"/>
              <w:rPr>
                <w:sz w:val="20"/>
                <w:szCs w:val="20"/>
              </w:rPr>
            </w:pPr>
            <w:r w:rsidRPr="00210CB4">
              <w:rPr>
                <w:sz w:val="20"/>
                <w:szCs w:val="20"/>
              </w:rPr>
              <w:t>DCLS</w:t>
            </w:r>
          </w:p>
        </w:tc>
      </w:tr>
      <w:tr w:rsidR="00DA5F1C" w:rsidRPr="00210CB4" w14:paraId="25718C6A" w14:textId="77777777" w:rsidTr="00F1253A">
        <w:trPr>
          <w:cantSplit/>
        </w:trPr>
        <w:tc>
          <w:tcPr>
            <w:tcW w:w="1006" w:type="dxa"/>
          </w:tcPr>
          <w:p w14:paraId="6CB76236" w14:textId="569F7353" w:rsidR="00DA5F1C" w:rsidRPr="00210CB4" w:rsidRDefault="00DA5F1C" w:rsidP="00B6651A">
            <w:pPr>
              <w:pStyle w:val="TableText"/>
              <w:rPr>
                <w:sz w:val="20"/>
                <w:szCs w:val="20"/>
              </w:rPr>
            </w:pPr>
            <w:r w:rsidRPr="00210CB4">
              <w:rPr>
                <w:sz w:val="20"/>
                <w:szCs w:val="20"/>
              </w:rPr>
              <w:t>4.1.2</w:t>
            </w:r>
          </w:p>
        </w:tc>
        <w:tc>
          <w:tcPr>
            <w:tcW w:w="1540" w:type="dxa"/>
          </w:tcPr>
          <w:p w14:paraId="523F9B91" w14:textId="3E182B4B" w:rsidR="00DA5F1C" w:rsidRPr="00210CB4" w:rsidRDefault="00DA5F1C" w:rsidP="00B6651A">
            <w:pPr>
              <w:pStyle w:val="TableText"/>
              <w:rPr>
                <w:sz w:val="20"/>
                <w:szCs w:val="20"/>
              </w:rPr>
            </w:pPr>
            <w:r w:rsidRPr="00210CB4">
              <w:rPr>
                <w:sz w:val="20"/>
                <w:szCs w:val="20"/>
              </w:rPr>
              <w:t>Ductility</w:t>
            </w:r>
          </w:p>
        </w:tc>
        <w:tc>
          <w:tcPr>
            <w:tcW w:w="5207" w:type="dxa"/>
          </w:tcPr>
          <w:p w14:paraId="6D3FDD85" w14:textId="7D849AC8" w:rsidR="00DA5F1C" w:rsidRPr="00210CB4" w:rsidRDefault="00DA5F1C" w:rsidP="00B6651A">
            <w:pPr>
              <w:pStyle w:val="TableText"/>
              <w:rPr>
                <w:sz w:val="20"/>
                <w:szCs w:val="20"/>
              </w:rPr>
            </w:pPr>
            <w:r w:rsidRPr="00210CB4">
              <w:rPr>
                <w:sz w:val="20"/>
                <w:szCs w:val="20"/>
              </w:rPr>
              <w:t>Limit centre-to-centre spacing of stirrup ties in PPHRs should not exceed four times the diameter of any longitudinal bar to be restrained, to help limit damage under moderate ductility to that which can be repaired by epoxy injection only.</w:t>
            </w:r>
          </w:p>
        </w:tc>
        <w:tc>
          <w:tcPr>
            <w:tcW w:w="1882" w:type="dxa"/>
          </w:tcPr>
          <w:p w14:paraId="46221AF9" w14:textId="18E580B1" w:rsidR="00DA5F1C" w:rsidRPr="00210CB4" w:rsidRDefault="00DA5F1C" w:rsidP="00B6651A">
            <w:pPr>
              <w:pStyle w:val="TableText"/>
              <w:rPr>
                <w:sz w:val="20"/>
                <w:szCs w:val="20"/>
              </w:rPr>
            </w:pPr>
            <w:r w:rsidRPr="00210CB4">
              <w:rPr>
                <w:sz w:val="20"/>
                <w:szCs w:val="20"/>
              </w:rPr>
              <w:t>n/a</w:t>
            </w:r>
            <w:r w:rsidR="007B45F5" w:rsidRPr="00210CB4">
              <w:rPr>
                <w:sz w:val="20"/>
                <w:szCs w:val="20"/>
              </w:rPr>
              <w:br/>
            </w:r>
            <w:r w:rsidRPr="00210CB4">
              <w:rPr>
                <w:sz w:val="20"/>
                <w:szCs w:val="20"/>
              </w:rPr>
              <w:t>(detailing recommendation)</w:t>
            </w:r>
          </w:p>
        </w:tc>
      </w:tr>
      <w:tr w:rsidR="00DA5F1C" w:rsidRPr="00210CB4" w14:paraId="3A1D2C73" w14:textId="353DFC02" w:rsidTr="00F1253A">
        <w:trPr>
          <w:cantSplit/>
        </w:trPr>
        <w:tc>
          <w:tcPr>
            <w:tcW w:w="1006" w:type="dxa"/>
          </w:tcPr>
          <w:p w14:paraId="550ACA56" w14:textId="4096A355" w:rsidR="00DA5F1C" w:rsidRPr="00210CB4" w:rsidRDefault="00DA5F1C" w:rsidP="00B6651A">
            <w:pPr>
              <w:pStyle w:val="TableText"/>
              <w:rPr>
                <w:sz w:val="20"/>
                <w:szCs w:val="20"/>
              </w:rPr>
            </w:pPr>
            <w:r w:rsidRPr="00210CB4">
              <w:rPr>
                <w:sz w:val="20"/>
                <w:szCs w:val="20"/>
              </w:rPr>
              <w:t>4.2.1</w:t>
            </w:r>
          </w:p>
        </w:tc>
        <w:tc>
          <w:tcPr>
            <w:tcW w:w="1540" w:type="dxa"/>
          </w:tcPr>
          <w:p w14:paraId="1A0135CA" w14:textId="12A75AAF" w:rsidR="00DA5F1C" w:rsidRPr="00210CB4" w:rsidRDefault="00DA5F1C" w:rsidP="00B6651A">
            <w:pPr>
              <w:pStyle w:val="TableText"/>
              <w:rPr>
                <w:sz w:val="20"/>
                <w:szCs w:val="20"/>
              </w:rPr>
            </w:pPr>
            <w:r w:rsidRPr="00210CB4">
              <w:rPr>
                <w:sz w:val="20"/>
                <w:szCs w:val="20"/>
              </w:rPr>
              <w:t>Effective Stiffness</w:t>
            </w:r>
          </w:p>
        </w:tc>
        <w:tc>
          <w:tcPr>
            <w:tcW w:w="5207" w:type="dxa"/>
          </w:tcPr>
          <w:p w14:paraId="33AACA3C" w14:textId="0B70FB26" w:rsidR="00DA5F1C" w:rsidRPr="00210CB4" w:rsidRDefault="00DA5F1C" w:rsidP="00B6651A">
            <w:pPr>
              <w:pStyle w:val="TableText"/>
              <w:rPr>
                <w:sz w:val="20"/>
                <w:szCs w:val="20"/>
              </w:rPr>
            </w:pPr>
            <w:r w:rsidRPr="00210CB4">
              <w:rPr>
                <w:sz w:val="20"/>
                <w:szCs w:val="20"/>
              </w:rPr>
              <w:t>Review effective stiffness of walls when determining inter</w:t>
            </w:r>
            <w:r w:rsidR="00471663" w:rsidRPr="00210CB4">
              <w:rPr>
                <w:sz w:val="20"/>
                <w:szCs w:val="20"/>
              </w:rPr>
              <w:t>-</w:t>
            </w:r>
            <w:r w:rsidRPr="00210CB4">
              <w:rPr>
                <w:sz w:val="20"/>
                <w:szCs w:val="20"/>
              </w:rPr>
              <w:t>storey drifts for the DCLS</w:t>
            </w:r>
            <w:r w:rsidR="0074790B" w:rsidRPr="00210CB4">
              <w:rPr>
                <w:sz w:val="20"/>
                <w:szCs w:val="20"/>
              </w:rPr>
              <w:t>.</w:t>
            </w:r>
          </w:p>
        </w:tc>
        <w:tc>
          <w:tcPr>
            <w:tcW w:w="1882" w:type="dxa"/>
          </w:tcPr>
          <w:p w14:paraId="25F9B989" w14:textId="41C436B1" w:rsidR="00DA5F1C" w:rsidRPr="00210CB4" w:rsidRDefault="00DA5F1C" w:rsidP="00B6651A">
            <w:pPr>
              <w:pStyle w:val="TableText"/>
              <w:rPr>
                <w:sz w:val="20"/>
                <w:szCs w:val="20"/>
              </w:rPr>
            </w:pPr>
            <w:r w:rsidRPr="00210CB4">
              <w:rPr>
                <w:sz w:val="20"/>
                <w:szCs w:val="20"/>
              </w:rPr>
              <w:t>DCLS</w:t>
            </w:r>
          </w:p>
        </w:tc>
      </w:tr>
      <w:tr w:rsidR="00DA5F1C" w:rsidRPr="00210CB4" w14:paraId="236FED37" w14:textId="77777777" w:rsidTr="00F1253A">
        <w:trPr>
          <w:cantSplit/>
        </w:trPr>
        <w:tc>
          <w:tcPr>
            <w:tcW w:w="1006" w:type="dxa"/>
          </w:tcPr>
          <w:p w14:paraId="2B164A93" w14:textId="61F605EF" w:rsidR="00DA5F1C" w:rsidRPr="00210CB4" w:rsidRDefault="00DA5F1C" w:rsidP="00B6651A">
            <w:pPr>
              <w:pStyle w:val="TableText"/>
              <w:rPr>
                <w:sz w:val="20"/>
                <w:szCs w:val="20"/>
              </w:rPr>
            </w:pPr>
            <w:r w:rsidRPr="00210CB4">
              <w:rPr>
                <w:sz w:val="20"/>
                <w:szCs w:val="20"/>
              </w:rPr>
              <w:t>4.4</w:t>
            </w:r>
          </w:p>
        </w:tc>
        <w:tc>
          <w:tcPr>
            <w:tcW w:w="1540" w:type="dxa"/>
          </w:tcPr>
          <w:p w14:paraId="1137BDDA" w14:textId="7A019B6A" w:rsidR="00DA5F1C" w:rsidRPr="00210CB4" w:rsidRDefault="00DA5F1C" w:rsidP="00B6651A">
            <w:pPr>
              <w:pStyle w:val="TableText"/>
              <w:rPr>
                <w:sz w:val="20"/>
                <w:szCs w:val="20"/>
              </w:rPr>
            </w:pPr>
            <w:r w:rsidRPr="00210CB4">
              <w:rPr>
                <w:sz w:val="20"/>
                <w:szCs w:val="20"/>
              </w:rPr>
              <w:t>Precast seating</w:t>
            </w:r>
          </w:p>
        </w:tc>
        <w:tc>
          <w:tcPr>
            <w:tcW w:w="5207" w:type="dxa"/>
          </w:tcPr>
          <w:p w14:paraId="227AFC82" w14:textId="1944D17C" w:rsidR="00DA5F1C" w:rsidRPr="00210CB4" w:rsidRDefault="00DA5F1C" w:rsidP="00B6651A">
            <w:pPr>
              <w:pStyle w:val="TableText"/>
              <w:rPr>
                <w:sz w:val="20"/>
                <w:szCs w:val="20"/>
              </w:rPr>
            </w:pPr>
            <w:r w:rsidRPr="00210CB4">
              <w:rPr>
                <w:sz w:val="20"/>
                <w:szCs w:val="20"/>
              </w:rPr>
              <w:t>Apply best practice seating to reduce the effects of spalling and minimise effects of support beam rotation (refer to the SESOC guidance)</w:t>
            </w:r>
            <w:r w:rsidR="0074790B" w:rsidRPr="00210CB4">
              <w:rPr>
                <w:sz w:val="20"/>
                <w:szCs w:val="20"/>
              </w:rPr>
              <w:t>.</w:t>
            </w:r>
          </w:p>
        </w:tc>
        <w:tc>
          <w:tcPr>
            <w:tcW w:w="1882" w:type="dxa"/>
          </w:tcPr>
          <w:p w14:paraId="6335D66D" w14:textId="4A7FEBB3" w:rsidR="00DA5F1C" w:rsidRPr="00210CB4" w:rsidRDefault="00DA5F1C" w:rsidP="00B6651A">
            <w:pPr>
              <w:pStyle w:val="TableText"/>
              <w:rPr>
                <w:sz w:val="20"/>
                <w:szCs w:val="20"/>
              </w:rPr>
            </w:pPr>
            <w:r w:rsidRPr="00210CB4">
              <w:rPr>
                <w:sz w:val="20"/>
                <w:szCs w:val="20"/>
              </w:rPr>
              <w:t>n/a</w:t>
            </w:r>
            <w:r w:rsidR="007B45F5" w:rsidRPr="00210CB4">
              <w:rPr>
                <w:sz w:val="20"/>
                <w:szCs w:val="20"/>
              </w:rPr>
              <w:br/>
            </w:r>
            <w:r w:rsidRPr="00210CB4">
              <w:rPr>
                <w:sz w:val="20"/>
                <w:szCs w:val="20"/>
              </w:rPr>
              <w:t>(detailing recommendation)</w:t>
            </w:r>
          </w:p>
        </w:tc>
      </w:tr>
      <w:tr w:rsidR="00DA5F1C" w:rsidRPr="00210CB4" w14:paraId="35FCF360" w14:textId="77777777" w:rsidTr="00F1253A">
        <w:trPr>
          <w:cantSplit/>
        </w:trPr>
        <w:tc>
          <w:tcPr>
            <w:tcW w:w="1006" w:type="dxa"/>
          </w:tcPr>
          <w:p w14:paraId="5B01CB00" w14:textId="1180D06B" w:rsidR="00DA5F1C" w:rsidRPr="00210CB4" w:rsidRDefault="00DA5F1C" w:rsidP="00B6651A">
            <w:pPr>
              <w:pStyle w:val="TableText"/>
              <w:rPr>
                <w:sz w:val="20"/>
                <w:szCs w:val="20"/>
              </w:rPr>
            </w:pPr>
            <w:r w:rsidRPr="00210CB4">
              <w:rPr>
                <w:sz w:val="20"/>
                <w:szCs w:val="20"/>
              </w:rPr>
              <w:t>4.4</w:t>
            </w:r>
          </w:p>
        </w:tc>
        <w:tc>
          <w:tcPr>
            <w:tcW w:w="1540" w:type="dxa"/>
          </w:tcPr>
          <w:p w14:paraId="6ED5ABF1" w14:textId="4419AC5E" w:rsidR="00DA5F1C" w:rsidRPr="00210CB4" w:rsidRDefault="00DA5F1C" w:rsidP="00B6651A">
            <w:pPr>
              <w:pStyle w:val="TableText"/>
              <w:rPr>
                <w:sz w:val="20"/>
                <w:szCs w:val="20"/>
              </w:rPr>
            </w:pPr>
            <w:r w:rsidRPr="00210CB4">
              <w:rPr>
                <w:sz w:val="20"/>
                <w:szCs w:val="20"/>
              </w:rPr>
              <w:t>Seismic Separations</w:t>
            </w:r>
          </w:p>
        </w:tc>
        <w:tc>
          <w:tcPr>
            <w:tcW w:w="5207" w:type="dxa"/>
          </w:tcPr>
          <w:p w14:paraId="163240CD" w14:textId="69B32950" w:rsidR="00DA5F1C" w:rsidRPr="00210CB4" w:rsidRDefault="00DA5F1C" w:rsidP="00B6651A">
            <w:pPr>
              <w:pStyle w:val="TableText"/>
              <w:rPr>
                <w:sz w:val="20"/>
                <w:szCs w:val="20"/>
              </w:rPr>
            </w:pPr>
            <w:r w:rsidRPr="00210CB4">
              <w:rPr>
                <w:sz w:val="20"/>
                <w:szCs w:val="20"/>
              </w:rPr>
              <w:t>In precast concrete, apply double structure in preference to sliding joints (due to vulnerability of prestress anchorage)</w:t>
            </w:r>
            <w:r w:rsidR="0074790B" w:rsidRPr="00210CB4">
              <w:rPr>
                <w:sz w:val="20"/>
                <w:szCs w:val="20"/>
              </w:rPr>
              <w:t>.</w:t>
            </w:r>
          </w:p>
        </w:tc>
        <w:tc>
          <w:tcPr>
            <w:tcW w:w="1882" w:type="dxa"/>
          </w:tcPr>
          <w:p w14:paraId="20ECC2E1" w14:textId="3D9E3546" w:rsidR="00DA5F1C" w:rsidRPr="00210CB4" w:rsidRDefault="00DA5F1C" w:rsidP="00B6651A">
            <w:pPr>
              <w:pStyle w:val="TableText"/>
              <w:rPr>
                <w:sz w:val="20"/>
                <w:szCs w:val="20"/>
              </w:rPr>
            </w:pPr>
            <w:r w:rsidRPr="00210CB4">
              <w:rPr>
                <w:sz w:val="20"/>
                <w:szCs w:val="20"/>
              </w:rPr>
              <w:t>n/a</w:t>
            </w:r>
          </w:p>
        </w:tc>
      </w:tr>
      <w:tr w:rsidR="00DA5F1C" w:rsidRPr="00210CB4" w14:paraId="7E17591A" w14:textId="77777777" w:rsidTr="00F1253A">
        <w:trPr>
          <w:cantSplit/>
        </w:trPr>
        <w:tc>
          <w:tcPr>
            <w:tcW w:w="1006" w:type="dxa"/>
          </w:tcPr>
          <w:p w14:paraId="3EFF6746" w14:textId="545431B2" w:rsidR="00DA5F1C" w:rsidRPr="00210CB4" w:rsidRDefault="00DA5F1C" w:rsidP="00B6651A">
            <w:pPr>
              <w:pStyle w:val="TableText"/>
              <w:rPr>
                <w:sz w:val="20"/>
                <w:szCs w:val="20"/>
              </w:rPr>
            </w:pPr>
            <w:r w:rsidRPr="00210CB4">
              <w:rPr>
                <w:sz w:val="20"/>
                <w:szCs w:val="20"/>
              </w:rPr>
              <w:t>4.5</w:t>
            </w:r>
          </w:p>
        </w:tc>
        <w:tc>
          <w:tcPr>
            <w:tcW w:w="1540" w:type="dxa"/>
          </w:tcPr>
          <w:p w14:paraId="6729CBEF" w14:textId="432A21E2" w:rsidR="00DA5F1C" w:rsidRPr="00210CB4" w:rsidRDefault="00DA5F1C" w:rsidP="00B6651A">
            <w:pPr>
              <w:pStyle w:val="TableText"/>
              <w:rPr>
                <w:sz w:val="20"/>
                <w:szCs w:val="20"/>
              </w:rPr>
            </w:pPr>
            <w:r w:rsidRPr="00210CB4">
              <w:rPr>
                <w:sz w:val="20"/>
                <w:szCs w:val="20"/>
              </w:rPr>
              <w:t>Sliding joints</w:t>
            </w:r>
          </w:p>
        </w:tc>
        <w:tc>
          <w:tcPr>
            <w:tcW w:w="5207" w:type="dxa"/>
          </w:tcPr>
          <w:p w14:paraId="4981720E" w14:textId="4414FC8B" w:rsidR="00DA5F1C" w:rsidRPr="00210CB4" w:rsidRDefault="00DA5F1C" w:rsidP="00B6651A">
            <w:pPr>
              <w:pStyle w:val="TableText"/>
              <w:rPr>
                <w:sz w:val="20"/>
                <w:szCs w:val="20"/>
              </w:rPr>
            </w:pPr>
            <w:r w:rsidRPr="00210CB4">
              <w:rPr>
                <w:sz w:val="20"/>
                <w:szCs w:val="20"/>
              </w:rPr>
              <w:t>Apply good practice and deformation compatibility principles in detailing sliding joints, to ensure sliding is assured and joints will not seize up.</w:t>
            </w:r>
          </w:p>
        </w:tc>
        <w:tc>
          <w:tcPr>
            <w:tcW w:w="1882" w:type="dxa"/>
          </w:tcPr>
          <w:p w14:paraId="060161F3" w14:textId="1ECA81FF" w:rsidR="00DA5F1C" w:rsidRPr="00210CB4" w:rsidRDefault="00DA5F1C" w:rsidP="00B6651A">
            <w:pPr>
              <w:pStyle w:val="TableText"/>
              <w:rPr>
                <w:sz w:val="20"/>
                <w:szCs w:val="20"/>
              </w:rPr>
            </w:pPr>
            <w:r w:rsidRPr="00210CB4">
              <w:rPr>
                <w:sz w:val="20"/>
                <w:szCs w:val="20"/>
              </w:rPr>
              <w:t>n/a</w:t>
            </w:r>
            <w:r w:rsidRPr="00210CB4">
              <w:rPr>
                <w:sz w:val="20"/>
                <w:szCs w:val="20"/>
              </w:rPr>
              <w:br/>
              <w:t>(detailing recommendation)</w:t>
            </w:r>
          </w:p>
        </w:tc>
      </w:tr>
      <w:tr w:rsidR="00DA5F1C" w:rsidRPr="00210CB4" w14:paraId="78D7D0DE" w14:textId="77777777" w:rsidTr="00F1253A">
        <w:trPr>
          <w:cantSplit/>
        </w:trPr>
        <w:tc>
          <w:tcPr>
            <w:tcW w:w="1006" w:type="dxa"/>
          </w:tcPr>
          <w:p w14:paraId="515A67CC" w14:textId="76E4FF6E" w:rsidR="00DA5F1C" w:rsidRPr="00210CB4" w:rsidRDefault="00DA5F1C" w:rsidP="00B6651A">
            <w:pPr>
              <w:pStyle w:val="TableText"/>
              <w:rPr>
                <w:sz w:val="20"/>
                <w:szCs w:val="20"/>
              </w:rPr>
            </w:pPr>
            <w:r w:rsidRPr="00210CB4">
              <w:rPr>
                <w:sz w:val="20"/>
                <w:szCs w:val="20"/>
              </w:rPr>
              <w:t>5.1.1</w:t>
            </w:r>
          </w:p>
        </w:tc>
        <w:tc>
          <w:tcPr>
            <w:tcW w:w="1540" w:type="dxa"/>
          </w:tcPr>
          <w:p w14:paraId="144CD4EE" w14:textId="47958F32" w:rsidR="00DA5F1C" w:rsidRPr="00210CB4" w:rsidRDefault="00DA5F1C" w:rsidP="00B6651A">
            <w:pPr>
              <w:pStyle w:val="TableText"/>
              <w:rPr>
                <w:sz w:val="20"/>
                <w:szCs w:val="20"/>
              </w:rPr>
            </w:pPr>
            <w:r w:rsidRPr="00210CB4">
              <w:rPr>
                <w:sz w:val="20"/>
                <w:szCs w:val="20"/>
              </w:rPr>
              <w:t>Concurrency</w:t>
            </w:r>
          </w:p>
        </w:tc>
        <w:tc>
          <w:tcPr>
            <w:tcW w:w="5207" w:type="dxa"/>
          </w:tcPr>
          <w:p w14:paraId="62915D70" w14:textId="46F7AF96" w:rsidR="00DA5F1C" w:rsidRPr="00210CB4" w:rsidRDefault="00DA5F1C" w:rsidP="00B6651A">
            <w:pPr>
              <w:pStyle w:val="TableText"/>
              <w:rPr>
                <w:sz w:val="20"/>
                <w:szCs w:val="20"/>
              </w:rPr>
            </w:pPr>
            <w:r w:rsidRPr="00210CB4">
              <w:rPr>
                <w:sz w:val="20"/>
                <w:szCs w:val="20"/>
              </w:rPr>
              <w:t xml:space="preserve">Avoid unconservative combination of actions when considering concurrent actions on columns acting as part of category 2 and category 3 frames (refer also to Section </w:t>
            </w:r>
            <w:r w:rsidRPr="00210CB4">
              <w:rPr>
                <w:sz w:val="20"/>
                <w:szCs w:val="20"/>
              </w:rPr>
              <w:fldChar w:fldCharType="begin"/>
            </w:r>
            <w:r w:rsidRPr="00210CB4">
              <w:rPr>
                <w:sz w:val="20"/>
                <w:szCs w:val="20"/>
              </w:rPr>
              <w:instrText xml:space="preserve"> REF _Ref152313887 \r \h </w:instrText>
            </w:r>
            <w:r w:rsidR="003137F9" w:rsidRPr="00210CB4">
              <w:rPr>
                <w:sz w:val="20"/>
                <w:szCs w:val="20"/>
              </w:rPr>
              <w:instrText xml:space="preserve"> \* MERGEFORMAT </w:instrText>
            </w:r>
            <w:r w:rsidRPr="00210CB4">
              <w:rPr>
                <w:sz w:val="20"/>
                <w:szCs w:val="20"/>
              </w:rPr>
            </w:r>
            <w:r w:rsidRPr="00210CB4">
              <w:rPr>
                <w:sz w:val="20"/>
                <w:szCs w:val="20"/>
              </w:rPr>
              <w:fldChar w:fldCharType="separate"/>
            </w:r>
            <w:r w:rsidR="000761C1">
              <w:rPr>
                <w:sz w:val="20"/>
                <w:szCs w:val="20"/>
              </w:rPr>
              <w:t>B2.4</w:t>
            </w:r>
            <w:r w:rsidRPr="00210CB4">
              <w:rPr>
                <w:sz w:val="20"/>
                <w:szCs w:val="20"/>
              </w:rPr>
              <w:fldChar w:fldCharType="end"/>
            </w:r>
            <w:r w:rsidRPr="00210CB4">
              <w:rPr>
                <w:sz w:val="20"/>
                <w:szCs w:val="20"/>
              </w:rPr>
              <w:t xml:space="preserve"> of this guideline for ULS robustness requirements).</w:t>
            </w:r>
          </w:p>
        </w:tc>
        <w:tc>
          <w:tcPr>
            <w:tcW w:w="1882" w:type="dxa"/>
          </w:tcPr>
          <w:p w14:paraId="7DBA8D9E" w14:textId="0055DD0F" w:rsidR="00DA5F1C" w:rsidRPr="00210CB4" w:rsidRDefault="00DA5F1C" w:rsidP="00B6651A">
            <w:pPr>
              <w:pStyle w:val="TableText"/>
              <w:rPr>
                <w:sz w:val="20"/>
                <w:szCs w:val="20"/>
              </w:rPr>
            </w:pPr>
            <w:r w:rsidRPr="00210CB4">
              <w:rPr>
                <w:sz w:val="20"/>
                <w:szCs w:val="20"/>
              </w:rPr>
              <w:t>ULS</w:t>
            </w:r>
          </w:p>
        </w:tc>
      </w:tr>
      <w:tr w:rsidR="00DA5F1C" w:rsidRPr="00210CB4" w14:paraId="53206D01" w14:textId="77777777" w:rsidTr="00F1253A">
        <w:trPr>
          <w:cantSplit/>
        </w:trPr>
        <w:tc>
          <w:tcPr>
            <w:tcW w:w="1006" w:type="dxa"/>
          </w:tcPr>
          <w:p w14:paraId="08A60133" w14:textId="43F936C0" w:rsidR="00DA5F1C" w:rsidRPr="00210CB4" w:rsidRDefault="00DA5F1C" w:rsidP="00B6651A">
            <w:pPr>
              <w:pStyle w:val="TableText"/>
              <w:rPr>
                <w:sz w:val="20"/>
                <w:szCs w:val="20"/>
              </w:rPr>
            </w:pPr>
            <w:r w:rsidRPr="00210CB4">
              <w:rPr>
                <w:sz w:val="20"/>
                <w:szCs w:val="20"/>
              </w:rPr>
              <w:t>5.2.2</w:t>
            </w:r>
          </w:p>
        </w:tc>
        <w:tc>
          <w:tcPr>
            <w:tcW w:w="1540" w:type="dxa"/>
          </w:tcPr>
          <w:p w14:paraId="6388AF3B" w14:textId="7A27F564" w:rsidR="00DA5F1C" w:rsidRPr="00210CB4" w:rsidRDefault="00DA5F1C" w:rsidP="00B6651A">
            <w:pPr>
              <w:pStyle w:val="TableText"/>
              <w:rPr>
                <w:sz w:val="20"/>
                <w:szCs w:val="20"/>
              </w:rPr>
            </w:pPr>
            <w:r w:rsidRPr="00210CB4">
              <w:rPr>
                <w:sz w:val="20"/>
                <w:szCs w:val="20"/>
              </w:rPr>
              <w:t>Column-slab isolation</w:t>
            </w:r>
          </w:p>
        </w:tc>
        <w:tc>
          <w:tcPr>
            <w:tcW w:w="5207" w:type="dxa"/>
          </w:tcPr>
          <w:p w14:paraId="0DB762FF" w14:textId="3F60580D" w:rsidR="00DA5F1C" w:rsidRPr="00210CB4" w:rsidRDefault="00DA5F1C" w:rsidP="00B6651A">
            <w:pPr>
              <w:pStyle w:val="TableText"/>
              <w:rPr>
                <w:sz w:val="20"/>
                <w:szCs w:val="20"/>
              </w:rPr>
            </w:pPr>
            <w:r w:rsidRPr="00210CB4">
              <w:rPr>
                <w:sz w:val="20"/>
                <w:szCs w:val="20"/>
              </w:rPr>
              <w:t>Consider isolating columns from slabs when using ductile steel MRF where practical (i.e., for one-way frames) but recognise the importance of maintaining column lateral and twist restraint in detailing, and consideration of passive fire protection and spatial constraints.</w:t>
            </w:r>
          </w:p>
        </w:tc>
        <w:tc>
          <w:tcPr>
            <w:tcW w:w="1882" w:type="dxa"/>
          </w:tcPr>
          <w:p w14:paraId="4F5D8E14" w14:textId="224CFB75" w:rsidR="00DA5F1C" w:rsidRPr="00210CB4" w:rsidRDefault="00DA5F1C" w:rsidP="00B6651A">
            <w:pPr>
              <w:pStyle w:val="TableText"/>
              <w:rPr>
                <w:sz w:val="20"/>
                <w:szCs w:val="20"/>
              </w:rPr>
            </w:pPr>
            <w:r w:rsidRPr="00210CB4">
              <w:rPr>
                <w:sz w:val="20"/>
                <w:szCs w:val="20"/>
              </w:rPr>
              <w:t>n/a</w:t>
            </w:r>
            <w:r w:rsidR="007B45F5" w:rsidRPr="00210CB4">
              <w:rPr>
                <w:sz w:val="20"/>
                <w:szCs w:val="20"/>
              </w:rPr>
              <w:br/>
            </w:r>
            <w:r w:rsidRPr="00210CB4">
              <w:rPr>
                <w:sz w:val="20"/>
                <w:szCs w:val="20"/>
              </w:rPr>
              <w:t>(detailing recommendation)</w:t>
            </w:r>
          </w:p>
        </w:tc>
      </w:tr>
      <w:tr w:rsidR="000342E5" w:rsidRPr="00210CB4" w14:paraId="50FDC270" w14:textId="77777777" w:rsidTr="00F1253A">
        <w:trPr>
          <w:cantSplit/>
        </w:trPr>
        <w:tc>
          <w:tcPr>
            <w:tcW w:w="1006" w:type="dxa"/>
          </w:tcPr>
          <w:p w14:paraId="3A668543" w14:textId="2B2F0CD9" w:rsidR="00C307A7" w:rsidRPr="00210CB4" w:rsidRDefault="000342E5" w:rsidP="00B6651A">
            <w:pPr>
              <w:pStyle w:val="TableText"/>
              <w:rPr>
                <w:sz w:val="20"/>
                <w:szCs w:val="20"/>
              </w:rPr>
            </w:pPr>
            <w:r w:rsidRPr="00210CB4">
              <w:rPr>
                <w:sz w:val="20"/>
                <w:szCs w:val="20"/>
              </w:rPr>
              <w:lastRenderedPageBreak/>
              <w:t>5.3</w:t>
            </w:r>
            <w:r w:rsidR="00C307A7" w:rsidRPr="00210CB4">
              <w:rPr>
                <w:sz w:val="20"/>
                <w:szCs w:val="20"/>
              </w:rPr>
              <w:br/>
              <w:t>5.4</w:t>
            </w:r>
          </w:p>
        </w:tc>
        <w:tc>
          <w:tcPr>
            <w:tcW w:w="1540" w:type="dxa"/>
          </w:tcPr>
          <w:p w14:paraId="0A132E24" w14:textId="3FA93967" w:rsidR="000342E5" w:rsidRPr="00210CB4" w:rsidRDefault="00C307A7" w:rsidP="00B6651A">
            <w:pPr>
              <w:pStyle w:val="TableText"/>
              <w:rPr>
                <w:sz w:val="20"/>
                <w:szCs w:val="20"/>
              </w:rPr>
            </w:pPr>
            <w:r w:rsidRPr="00210CB4">
              <w:rPr>
                <w:sz w:val="20"/>
                <w:szCs w:val="20"/>
              </w:rPr>
              <w:t>Column Continuity</w:t>
            </w:r>
          </w:p>
        </w:tc>
        <w:tc>
          <w:tcPr>
            <w:tcW w:w="5207" w:type="dxa"/>
          </w:tcPr>
          <w:p w14:paraId="1CDDC38B" w14:textId="100D6089" w:rsidR="000342E5" w:rsidRPr="00210CB4" w:rsidRDefault="008154EE" w:rsidP="00B6651A">
            <w:pPr>
              <w:pStyle w:val="TableText"/>
              <w:rPr>
                <w:sz w:val="20"/>
                <w:szCs w:val="20"/>
              </w:rPr>
            </w:pPr>
            <w:r w:rsidRPr="00210CB4">
              <w:rPr>
                <w:sz w:val="20"/>
                <w:szCs w:val="20"/>
              </w:rPr>
              <w:t xml:space="preserve">The </w:t>
            </w:r>
            <w:r w:rsidR="002924F9" w:rsidRPr="00210CB4">
              <w:rPr>
                <w:i/>
                <w:iCs/>
                <w:sz w:val="20"/>
                <w:szCs w:val="20"/>
              </w:rPr>
              <w:t>SESOC Recommendation</w:t>
            </w:r>
            <w:r w:rsidRPr="00210CB4">
              <w:rPr>
                <w:sz w:val="20"/>
                <w:szCs w:val="20"/>
              </w:rPr>
              <w:t xml:space="preserve"> to </w:t>
            </w:r>
            <w:r w:rsidR="007D05FA" w:rsidRPr="00210CB4">
              <w:rPr>
                <w:sz w:val="20"/>
                <w:szCs w:val="20"/>
              </w:rPr>
              <w:t xml:space="preserve">use continuous </w:t>
            </w:r>
            <w:r w:rsidR="00273171" w:rsidRPr="00210CB4">
              <w:rPr>
                <w:sz w:val="20"/>
                <w:szCs w:val="20"/>
              </w:rPr>
              <w:t xml:space="preserve">columns including for </w:t>
            </w:r>
            <w:r w:rsidR="007D05FA" w:rsidRPr="00210CB4">
              <w:rPr>
                <w:sz w:val="20"/>
                <w:szCs w:val="20"/>
              </w:rPr>
              <w:t>primary gravity columns (</w:t>
            </w:r>
            <w:r w:rsidR="008A5AE4" w:rsidRPr="00210CB4">
              <w:rPr>
                <w:sz w:val="20"/>
                <w:szCs w:val="20"/>
              </w:rPr>
              <w:t xml:space="preserve">appropriately spliced to maintain continuity) is noted in Section </w:t>
            </w:r>
            <w:r w:rsidR="008A5AE4" w:rsidRPr="00210CB4">
              <w:rPr>
                <w:sz w:val="20"/>
                <w:szCs w:val="20"/>
              </w:rPr>
              <w:fldChar w:fldCharType="begin"/>
            </w:r>
            <w:r w:rsidR="008A5AE4" w:rsidRPr="00210CB4">
              <w:rPr>
                <w:sz w:val="20"/>
                <w:szCs w:val="20"/>
              </w:rPr>
              <w:instrText xml:space="preserve"> REF _Ref152313887 \r \h </w:instrText>
            </w:r>
            <w:r w:rsidR="003137F9" w:rsidRPr="00210CB4">
              <w:rPr>
                <w:sz w:val="20"/>
                <w:szCs w:val="20"/>
              </w:rPr>
              <w:instrText xml:space="preserve"> \* MERGEFORMAT </w:instrText>
            </w:r>
            <w:r w:rsidR="008A5AE4" w:rsidRPr="00210CB4">
              <w:rPr>
                <w:sz w:val="20"/>
                <w:szCs w:val="20"/>
              </w:rPr>
            </w:r>
            <w:r w:rsidR="008A5AE4" w:rsidRPr="00210CB4">
              <w:rPr>
                <w:sz w:val="20"/>
                <w:szCs w:val="20"/>
              </w:rPr>
              <w:fldChar w:fldCharType="separate"/>
            </w:r>
            <w:r w:rsidR="000761C1">
              <w:rPr>
                <w:sz w:val="20"/>
                <w:szCs w:val="20"/>
              </w:rPr>
              <w:t>B2.4</w:t>
            </w:r>
            <w:r w:rsidR="008A5AE4" w:rsidRPr="00210CB4">
              <w:rPr>
                <w:sz w:val="20"/>
                <w:szCs w:val="20"/>
              </w:rPr>
              <w:fldChar w:fldCharType="end"/>
            </w:r>
            <w:r w:rsidR="008A5AE4" w:rsidRPr="00210CB4">
              <w:rPr>
                <w:sz w:val="20"/>
                <w:szCs w:val="20"/>
              </w:rPr>
              <w:t xml:space="preserve"> </w:t>
            </w:r>
            <w:r w:rsidR="008A5AE4" w:rsidRPr="00210CB4">
              <w:rPr>
                <w:sz w:val="20"/>
                <w:szCs w:val="20"/>
              </w:rPr>
              <w:fldChar w:fldCharType="begin"/>
            </w:r>
            <w:r w:rsidR="008A5AE4" w:rsidRPr="00210CB4">
              <w:rPr>
                <w:sz w:val="20"/>
                <w:szCs w:val="20"/>
              </w:rPr>
              <w:instrText xml:space="preserve"> REF _Ref152326014 \h </w:instrText>
            </w:r>
            <w:r w:rsidR="003137F9" w:rsidRPr="00210CB4">
              <w:rPr>
                <w:sz w:val="20"/>
                <w:szCs w:val="20"/>
              </w:rPr>
              <w:instrText xml:space="preserve"> \* MERGEFORMAT </w:instrText>
            </w:r>
            <w:r w:rsidR="008A5AE4" w:rsidRPr="00210CB4">
              <w:rPr>
                <w:sz w:val="20"/>
                <w:szCs w:val="20"/>
              </w:rPr>
            </w:r>
            <w:r w:rsidR="008A5AE4" w:rsidRPr="00210CB4">
              <w:rPr>
                <w:sz w:val="20"/>
                <w:szCs w:val="20"/>
              </w:rPr>
              <w:fldChar w:fldCharType="separate"/>
            </w:r>
            <w:r w:rsidR="000761C1" w:rsidRPr="009275DD">
              <w:rPr>
                <w:noProof/>
                <w:sz w:val="20"/>
                <w:szCs w:val="20"/>
              </w:rPr>
              <w:t>Table</w:t>
            </w:r>
            <w:r w:rsidR="000761C1" w:rsidRPr="009275DD">
              <w:rPr>
                <w:sz w:val="20"/>
                <w:szCs w:val="20"/>
              </w:rPr>
              <w:t xml:space="preserve"> </w:t>
            </w:r>
            <w:r w:rsidR="000761C1">
              <w:rPr>
                <w:noProof/>
                <w:sz w:val="20"/>
                <w:szCs w:val="20"/>
              </w:rPr>
              <w:t>7</w:t>
            </w:r>
            <w:r w:rsidR="008A5AE4" w:rsidRPr="00210CB4">
              <w:rPr>
                <w:sz w:val="20"/>
                <w:szCs w:val="20"/>
              </w:rPr>
              <w:fldChar w:fldCharType="end"/>
            </w:r>
            <w:r w:rsidR="008A5AE4" w:rsidRPr="00210CB4">
              <w:rPr>
                <w:sz w:val="20"/>
                <w:szCs w:val="20"/>
              </w:rPr>
              <w:t xml:space="preserve"> for ULS </w:t>
            </w:r>
            <w:r w:rsidR="00273171" w:rsidRPr="00210CB4">
              <w:rPr>
                <w:sz w:val="20"/>
                <w:szCs w:val="20"/>
              </w:rPr>
              <w:t xml:space="preserve">redundancy and </w:t>
            </w:r>
            <w:r w:rsidR="008A5AE4" w:rsidRPr="00210CB4">
              <w:rPr>
                <w:sz w:val="20"/>
                <w:szCs w:val="20"/>
              </w:rPr>
              <w:t>robustness</w:t>
            </w:r>
            <w:r w:rsidR="0089278F" w:rsidRPr="00210CB4">
              <w:rPr>
                <w:sz w:val="20"/>
                <w:szCs w:val="20"/>
              </w:rPr>
              <w:t xml:space="preserve">. It </w:t>
            </w:r>
            <w:r w:rsidR="008A5AE4" w:rsidRPr="00210CB4">
              <w:rPr>
                <w:sz w:val="20"/>
                <w:szCs w:val="20"/>
              </w:rPr>
              <w:t xml:space="preserve">is reiterated here as </w:t>
            </w:r>
            <w:r w:rsidR="0036055D" w:rsidRPr="00210CB4">
              <w:rPr>
                <w:sz w:val="20"/>
                <w:szCs w:val="20"/>
              </w:rPr>
              <w:t xml:space="preserve">it can help to minimise damaging drift </w:t>
            </w:r>
            <w:r w:rsidR="0089278F" w:rsidRPr="00210CB4">
              <w:rPr>
                <w:sz w:val="20"/>
                <w:szCs w:val="20"/>
              </w:rPr>
              <w:t>concentration, especially for braced frame systems.</w:t>
            </w:r>
          </w:p>
        </w:tc>
        <w:tc>
          <w:tcPr>
            <w:tcW w:w="1882" w:type="dxa"/>
          </w:tcPr>
          <w:p w14:paraId="02A36246" w14:textId="676CE3A7" w:rsidR="000342E5" w:rsidRPr="00210CB4" w:rsidRDefault="008A5AE4" w:rsidP="00B6651A">
            <w:pPr>
              <w:pStyle w:val="TableText"/>
              <w:rPr>
                <w:sz w:val="20"/>
                <w:szCs w:val="20"/>
              </w:rPr>
            </w:pPr>
            <w:r w:rsidRPr="00210CB4">
              <w:rPr>
                <w:sz w:val="20"/>
                <w:szCs w:val="20"/>
              </w:rPr>
              <w:t>n/a</w:t>
            </w:r>
            <w:r w:rsidRPr="00210CB4">
              <w:rPr>
                <w:sz w:val="20"/>
                <w:szCs w:val="20"/>
              </w:rPr>
              <w:br/>
              <w:t>(detailing recommendation)</w:t>
            </w:r>
          </w:p>
        </w:tc>
      </w:tr>
      <w:tr w:rsidR="00DA5F1C" w:rsidRPr="00210CB4" w14:paraId="7AE8043A" w14:textId="77777777" w:rsidTr="00F1253A">
        <w:trPr>
          <w:cantSplit/>
        </w:trPr>
        <w:tc>
          <w:tcPr>
            <w:tcW w:w="1006" w:type="dxa"/>
          </w:tcPr>
          <w:p w14:paraId="5AB90307" w14:textId="3E2109BE" w:rsidR="00DA5F1C" w:rsidRPr="00210CB4" w:rsidRDefault="00DA5F1C" w:rsidP="00B6651A">
            <w:pPr>
              <w:pStyle w:val="TableText"/>
              <w:rPr>
                <w:sz w:val="20"/>
                <w:szCs w:val="20"/>
              </w:rPr>
            </w:pPr>
            <w:r w:rsidRPr="00210CB4">
              <w:rPr>
                <w:sz w:val="20"/>
                <w:szCs w:val="20"/>
              </w:rPr>
              <w:t>5.4</w:t>
            </w:r>
          </w:p>
        </w:tc>
        <w:tc>
          <w:tcPr>
            <w:tcW w:w="1540" w:type="dxa"/>
          </w:tcPr>
          <w:p w14:paraId="06B60B53" w14:textId="757B0531" w:rsidR="00DA5F1C" w:rsidRPr="00210CB4" w:rsidRDefault="00DA5F1C" w:rsidP="00B6651A">
            <w:pPr>
              <w:pStyle w:val="TableText"/>
              <w:rPr>
                <w:sz w:val="20"/>
                <w:szCs w:val="20"/>
              </w:rPr>
            </w:pPr>
            <w:r w:rsidRPr="00210CB4">
              <w:rPr>
                <w:sz w:val="20"/>
                <w:szCs w:val="20"/>
              </w:rPr>
              <w:t>CBF drift concentration</w:t>
            </w:r>
          </w:p>
        </w:tc>
        <w:tc>
          <w:tcPr>
            <w:tcW w:w="5207" w:type="dxa"/>
          </w:tcPr>
          <w:p w14:paraId="10DD1239" w14:textId="4350AD4F" w:rsidR="00DA5F1C" w:rsidRPr="00210CB4" w:rsidRDefault="00DA5F1C" w:rsidP="00B6651A">
            <w:pPr>
              <w:pStyle w:val="TableText"/>
              <w:rPr>
                <w:sz w:val="20"/>
                <w:szCs w:val="20"/>
              </w:rPr>
            </w:pPr>
            <w:r w:rsidRPr="00210CB4">
              <w:rPr>
                <w:sz w:val="20"/>
                <w:szCs w:val="20"/>
              </w:rPr>
              <w:t xml:space="preserve">Consider limiting the design ductility of ductile </w:t>
            </w:r>
            <w:r w:rsidR="00392AAF" w:rsidRPr="00210CB4">
              <w:rPr>
                <w:sz w:val="20"/>
                <w:szCs w:val="20"/>
              </w:rPr>
              <w:t xml:space="preserve">conventional </w:t>
            </w:r>
            <w:r w:rsidR="00273171" w:rsidRPr="00210CB4">
              <w:rPr>
                <w:sz w:val="20"/>
                <w:szCs w:val="20"/>
              </w:rPr>
              <w:t xml:space="preserve">concentrically </w:t>
            </w:r>
            <w:r w:rsidRPr="00210CB4">
              <w:rPr>
                <w:sz w:val="20"/>
                <w:szCs w:val="20"/>
              </w:rPr>
              <w:t xml:space="preserve">braced steel frame systems to </w:t>
            </w:r>
            <w:sdt>
              <w:sdtPr>
                <w:rPr>
                  <w:rFonts w:ascii="Cambria Math" w:hAnsi="Cambria Math"/>
                  <w:i/>
                  <w:sz w:val="20"/>
                  <w:szCs w:val="20"/>
                </w:rPr>
                <w:id w:val="1850223504"/>
                <w:placeholder>
                  <w:docPart w:val="DefaultPlaceholder_2098659788"/>
                </w:placeholder>
                <w:temporary/>
                <w:showingPlcHdr/>
                <w:equation/>
              </w:sdtPr>
              <w:sdtEndPr/>
              <w:sdtContent>
                <m:oMath>
                  <m:r>
                    <m:rPr>
                      <m:sty m:val="p"/>
                    </m:rPr>
                    <w:rPr>
                      <w:rStyle w:val="PlaceholderText"/>
                      <w:rFonts w:ascii="Cambria Math" w:hAnsi="Cambria Math"/>
                      <w:sz w:val="20"/>
                      <w:szCs w:val="20"/>
                    </w:rPr>
                    <m:t>Type equation here.</m:t>
                  </m:r>
                </m:oMath>
              </w:sdtContent>
            </w:sdt>
            <w:r w:rsidRPr="00210CB4">
              <w:rPr>
                <w:sz w:val="20"/>
                <w:szCs w:val="20"/>
              </w:rPr>
              <w:t xml:space="preserve"> &lt; 1.25 to minimise the potential for inelastic drift concentration in a single storey.</w:t>
            </w:r>
          </w:p>
        </w:tc>
        <w:tc>
          <w:tcPr>
            <w:tcW w:w="1882" w:type="dxa"/>
          </w:tcPr>
          <w:p w14:paraId="0C10C87C" w14:textId="3EE99EB0" w:rsidR="00DA5F1C" w:rsidRPr="00210CB4" w:rsidRDefault="00DA5F1C" w:rsidP="00B6651A">
            <w:pPr>
              <w:pStyle w:val="TableText"/>
              <w:rPr>
                <w:sz w:val="20"/>
                <w:szCs w:val="20"/>
              </w:rPr>
            </w:pPr>
            <w:r w:rsidRPr="00210CB4">
              <w:rPr>
                <w:sz w:val="20"/>
                <w:szCs w:val="20"/>
              </w:rPr>
              <w:t>DCLS</w:t>
            </w:r>
          </w:p>
        </w:tc>
      </w:tr>
      <w:tr w:rsidR="00DA5F1C" w:rsidRPr="00210CB4" w14:paraId="5832B1A6" w14:textId="77777777" w:rsidTr="00F1253A">
        <w:trPr>
          <w:cantSplit/>
        </w:trPr>
        <w:tc>
          <w:tcPr>
            <w:tcW w:w="1006" w:type="dxa"/>
          </w:tcPr>
          <w:p w14:paraId="7FF9D943" w14:textId="50476F8F" w:rsidR="00DA5F1C" w:rsidRPr="00210CB4" w:rsidRDefault="00DA5F1C" w:rsidP="00B6651A">
            <w:pPr>
              <w:pStyle w:val="TableText"/>
              <w:rPr>
                <w:sz w:val="20"/>
                <w:szCs w:val="20"/>
              </w:rPr>
            </w:pPr>
            <w:r w:rsidRPr="00210CB4">
              <w:rPr>
                <w:sz w:val="20"/>
                <w:szCs w:val="20"/>
              </w:rPr>
              <w:t>5.5</w:t>
            </w:r>
          </w:p>
        </w:tc>
        <w:tc>
          <w:tcPr>
            <w:tcW w:w="1540" w:type="dxa"/>
          </w:tcPr>
          <w:p w14:paraId="2F10DE45" w14:textId="1A8B8CC8" w:rsidR="00DA5F1C" w:rsidRPr="00210CB4" w:rsidRDefault="00DA5F1C" w:rsidP="00B6651A">
            <w:pPr>
              <w:pStyle w:val="TableText"/>
              <w:rPr>
                <w:sz w:val="20"/>
                <w:szCs w:val="20"/>
              </w:rPr>
            </w:pPr>
            <w:r w:rsidRPr="00210CB4">
              <w:rPr>
                <w:sz w:val="20"/>
                <w:szCs w:val="20"/>
              </w:rPr>
              <w:t>Composite beams</w:t>
            </w:r>
          </w:p>
        </w:tc>
        <w:tc>
          <w:tcPr>
            <w:tcW w:w="5207" w:type="dxa"/>
          </w:tcPr>
          <w:p w14:paraId="352BCB84" w14:textId="44994AE4" w:rsidR="00DA5F1C" w:rsidRPr="00210CB4" w:rsidRDefault="00DA5F1C" w:rsidP="00B6651A">
            <w:pPr>
              <w:pStyle w:val="TableText"/>
              <w:rPr>
                <w:sz w:val="20"/>
                <w:szCs w:val="20"/>
              </w:rPr>
            </w:pPr>
            <w:r w:rsidRPr="00210CB4">
              <w:rPr>
                <w:sz w:val="20"/>
                <w:szCs w:val="20"/>
              </w:rPr>
              <w:t xml:space="preserve">Avoid use of composite beams where shrinkage and creep strain concentrations (such as from precast floors) could impact performance </w:t>
            </w:r>
            <w:r w:rsidR="4CE62F83" w:rsidRPr="00210CB4">
              <w:rPr>
                <w:sz w:val="20"/>
                <w:szCs w:val="20"/>
              </w:rPr>
              <w:t>of</w:t>
            </w:r>
            <w:r w:rsidRPr="00210CB4">
              <w:rPr>
                <w:sz w:val="20"/>
                <w:szCs w:val="20"/>
              </w:rPr>
              <w:t xml:space="preserve"> shear connectors at ULS or SLS.</w:t>
            </w:r>
          </w:p>
        </w:tc>
        <w:tc>
          <w:tcPr>
            <w:tcW w:w="1882" w:type="dxa"/>
          </w:tcPr>
          <w:p w14:paraId="6C2B679C" w14:textId="7CAA459D" w:rsidR="00DA5F1C" w:rsidRPr="00210CB4" w:rsidRDefault="00DA5F1C" w:rsidP="00B6651A">
            <w:pPr>
              <w:pStyle w:val="TableText"/>
              <w:rPr>
                <w:sz w:val="20"/>
                <w:szCs w:val="20"/>
              </w:rPr>
            </w:pPr>
            <w:r w:rsidRPr="00210CB4">
              <w:rPr>
                <w:sz w:val="20"/>
                <w:szCs w:val="20"/>
              </w:rPr>
              <w:t>n/a</w:t>
            </w:r>
            <w:r w:rsidRPr="00210CB4">
              <w:rPr>
                <w:sz w:val="20"/>
                <w:szCs w:val="20"/>
              </w:rPr>
              <w:br/>
              <w:t>(detailing recommendation)</w:t>
            </w:r>
          </w:p>
        </w:tc>
      </w:tr>
      <w:tr w:rsidR="00DA5F1C" w:rsidRPr="00210CB4" w14:paraId="55BEAED5" w14:textId="77777777" w:rsidTr="00F1253A">
        <w:trPr>
          <w:cantSplit/>
        </w:trPr>
        <w:tc>
          <w:tcPr>
            <w:tcW w:w="1006" w:type="dxa"/>
          </w:tcPr>
          <w:p w14:paraId="59B915E5" w14:textId="4BEA709C" w:rsidR="00DA5F1C" w:rsidRPr="00210CB4" w:rsidRDefault="00DA5F1C" w:rsidP="00B6651A">
            <w:pPr>
              <w:pStyle w:val="TableText"/>
              <w:rPr>
                <w:sz w:val="20"/>
                <w:szCs w:val="20"/>
              </w:rPr>
            </w:pPr>
            <w:r w:rsidRPr="00210CB4">
              <w:rPr>
                <w:sz w:val="20"/>
                <w:szCs w:val="20"/>
              </w:rPr>
              <w:t>9.1</w:t>
            </w:r>
          </w:p>
        </w:tc>
        <w:tc>
          <w:tcPr>
            <w:tcW w:w="1540" w:type="dxa"/>
          </w:tcPr>
          <w:p w14:paraId="2C89C8BC" w14:textId="10123501" w:rsidR="00DA5F1C" w:rsidRPr="00210CB4" w:rsidRDefault="00DA5F1C" w:rsidP="00B6651A">
            <w:pPr>
              <w:pStyle w:val="TableText"/>
              <w:rPr>
                <w:sz w:val="20"/>
                <w:szCs w:val="20"/>
              </w:rPr>
            </w:pPr>
            <w:r w:rsidRPr="00210CB4">
              <w:rPr>
                <w:sz w:val="20"/>
                <w:szCs w:val="20"/>
              </w:rPr>
              <w:t>Seismic Joints</w:t>
            </w:r>
          </w:p>
        </w:tc>
        <w:tc>
          <w:tcPr>
            <w:tcW w:w="5207" w:type="dxa"/>
          </w:tcPr>
          <w:p w14:paraId="3CE6A645" w14:textId="569A9C4E" w:rsidR="00DA5F1C" w:rsidRPr="00210CB4" w:rsidRDefault="00DA5F1C" w:rsidP="00B6651A">
            <w:pPr>
              <w:pStyle w:val="TableText"/>
              <w:rPr>
                <w:sz w:val="20"/>
                <w:szCs w:val="20"/>
              </w:rPr>
            </w:pPr>
            <w:r w:rsidRPr="00210CB4">
              <w:rPr>
                <w:sz w:val="20"/>
                <w:szCs w:val="20"/>
              </w:rPr>
              <w:t>Consider increasing seismic gaps where pounding has the potential to cause significant damage.</w:t>
            </w:r>
          </w:p>
        </w:tc>
        <w:tc>
          <w:tcPr>
            <w:tcW w:w="1882" w:type="dxa"/>
          </w:tcPr>
          <w:p w14:paraId="778573F6" w14:textId="7E5CA1C9" w:rsidR="00DA5F1C" w:rsidRPr="00210CB4" w:rsidRDefault="00DA5F1C" w:rsidP="00B6651A">
            <w:pPr>
              <w:pStyle w:val="TableText"/>
              <w:rPr>
                <w:sz w:val="20"/>
                <w:szCs w:val="20"/>
              </w:rPr>
            </w:pPr>
            <w:r w:rsidRPr="00210CB4">
              <w:rPr>
                <w:sz w:val="20"/>
                <w:szCs w:val="20"/>
              </w:rPr>
              <w:t>ULS</w:t>
            </w:r>
          </w:p>
        </w:tc>
      </w:tr>
      <w:tr w:rsidR="00DA5F1C" w:rsidRPr="00210CB4" w14:paraId="1C08D560" w14:textId="77777777" w:rsidTr="00F1253A">
        <w:trPr>
          <w:cantSplit/>
        </w:trPr>
        <w:tc>
          <w:tcPr>
            <w:tcW w:w="1006" w:type="dxa"/>
          </w:tcPr>
          <w:p w14:paraId="17B2E579" w14:textId="39818E1F" w:rsidR="00DA5F1C" w:rsidRPr="00210CB4" w:rsidRDefault="00DA5F1C" w:rsidP="00B6651A">
            <w:pPr>
              <w:pStyle w:val="TableText"/>
              <w:rPr>
                <w:sz w:val="20"/>
                <w:szCs w:val="20"/>
              </w:rPr>
            </w:pPr>
            <w:r w:rsidRPr="00210CB4">
              <w:rPr>
                <w:sz w:val="20"/>
                <w:szCs w:val="20"/>
              </w:rPr>
              <w:t>9.2</w:t>
            </w:r>
          </w:p>
        </w:tc>
        <w:tc>
          <w:tcPr>
            <w:tcW w:w="1540" w:type="dxa"/>
          </w:tcPr>
          <w:p w14:paraId="451A011D" w14:textId="7A621CFA" w:rsidR="00DA5F1C" w:rsidRPr="00210CB4" w:rsidRDefault="00DA5F1C" w:rsidP="00B6651A">
            <w:pPr>
              <w:pStyle w:val="TableText"/>
              <w:rPr>
                <w:sz w:val="20"/>
                <w:szCs w:val="20"/>
              </w:rPr>
            </w:pPr>
            <w:r w:rsidRPr="00210CB4">
              <w:rPr>
                <w:sz w:val="20"/>
                <w:szCs w:val="20"/>
              </w:rPr>
              <w:t>Seismic Joints</w:t>
            </w:r>
          </w:p>
        </w:tc>
        <w:tc>
          <w:tcPr>
            <w:tcW w:w="5207" w:type="dxa"/>
          </w:tcPr>
          <w:p w14:paraId="11A98B2E" w14:textId="5E3C919E" w:rsidR="00DA5F1C" w:rsidRPr="00210CB4" w:rsidRDefault="00DA5F1C" w:rsidP="00B6651A">
            <w:pPr>
              <w:pStyle w:val="TableText"/>
              <w:rPr>
                <w:sz w:val="20"/>
                <w:szCs w:val="20"/>
              </w:rPr>
            </w:pPr>
            <w:r w:rsidRPr="00210CB4">
              <w:rPr>
                <w:sz w:val="20"/>
                <w:szCs w:val="20"/>
              </w:rPr>
              <w:t>Apply double structure in preference to sliding joints</w:t>
            </w:r>
          </w:p>
        </w:tc>
        <w:tc>
          <w:tcPr>
            <w:tcW w:w="1882" w:type="dxa"/>
          </w:tcPr>
          <w:p w14:paraId="304D2ECA" w14:textId="07E98B00" w:rsidR="00DA5F1C" w:rsidRPr="00210CB4" w:rsidRDefault="00DA5F1C" w:rsidP="00B6651A">
            <w:pPr>
              <w:pStyle w:val="TableText"/>
              <w:rPr>
                <w:sz w:val="20"/>
                <w:szCs w:val="20"/>
              </w:rPr>
            </w:pPr>
            <w:r w:rsidRPr="00210CB4">
              <w:rPr>
                <w:sz w:val="20"/>
                <w:szCs w:val="20"/>
              </w:rPr>
              <w:t>n/a</w:t>
            </w:r>
            <w:r w:rsidR="007B45F5" w:rsidRPr="00210CB4">
              <w:rPr>
                <w:sz w:val="20"/>
                <w:szCs w:val="20"/>
              </w:rPr>
              <w:t xml:space="preserve"> </w:t>
            </w:r>
            <w:r w:rsidRPr="00210CB4">
              <w:rPr>
                <w:sz w:val="20"/>
                <w:szCs w:val="20"/>
              </w:rPr>
              <w:t>(detailing recommendation)</w:t>
            </w:r>
          </w:p>
        </w:tc>
      </w:tr>
      <w:tr w:rsidR="00DA5F1C" w:rsidRPr="00210CB4" w14:paraId="533371B1" w14:textId="77777777" w:rsidTr="00F1253A">
        <w:trPr>
          <w:cantSplit/>
        </w:trPr>
        <w:tc>
          <w:tcPr>
            <w:tcW w:w="1006" w:type="dxa"/>
          </w:tcPr>
          <w:p w14:paraId="72FFDAF6" w14:textId="7E6BA079" w:rsidR="00DA5F1C" w:rsidRPr="00210CB4" w:rsidRDefault="00DA5F1C" w:rsidP="00B6651A">
            <w:pPr>
              <w:pStyle w:val="TableText"/>
              <w:rPr>
                <w:sz w:val="20"/>
                <w:szCs w:val="20"/>
              </w:rPr>
            </w:pPr>
            <w:r w:rsidRPr="00210CB4">
              <w:rPr>
                <w:sz w:val="20"/>
                <w:szCs w:val="20"/>
              </w:rPr>
              <w:t>10.7</w:t>
            </w:r>
          </w:p>
        </w:tc>
        <w:tc>
          <w:tcPr>
            <w:tcW w:w="1540" w:type="dxa"/>
          </w:tcPr>
          <w:p w14:paraId="5C7FFAF6" w14:textId="4E6A6BCF" w:rsidR="00DA5F1C" w:rsidRPr="00210CB4" w:rsidRDefault="00DA5F1C" w:rsidP="00B6651A">
            <w:pPr>
              <w:pStyle w:val="TableText"/>
              <w:rPr>
                <w:sz w:val="20"/>
                <w:szCs w:val="20"/>
              </w:rPr>
            </w:pPr>
            <w:r w:rsidRPr="00210CB4">
              <w:rPr>
                <w:sz w:val="20"/>
                <w:szCs w:val="20"/>
              </w:rPr>
              <w:t>Ground water pressures</w:t>
            </w:r>
          </w:p>
        </w:tc>
        <w:tc>
          <w:tcPr>
            <w:tcW w:w="5207" w:type="dxa"/>
          </w:tcPr>
          <w:p w14:paraId="34CBA947" w14:textId="6FDCE6BA" w:rsidR="00DA5F1C" w:rsidRPr="00210CB4" w:rsidRDefault="00DA5F1C" w:rsidP="00B6651A">
            <w:pPr>
              <w:pStyle w:val="TableText"/>
              <w:rPr>
                <w:sz w:val="20"/>
                <w:szCs w:val="20"/>
              </w:rPr>
            </w:pPr>
            <w:r w:rsidRPr="00210CB4">
              <w:rPr>
                <w:sz w:val="20"/>
                <w:szCs w:val="20"/>
              </w:rPr>
              <w:t>Consider impacts of liquefaction induced ground water pressures for submerged basements.</w:t>
            </w:r>
          </w:p>
        </w:tc>
        <w:tc>
          <w:tcPr>
            <w:tcW w:w="1882" w:type="dxa"/>
          </w:tcPr>
          <w:p w14:paraId="0429D094" w14:textId="5F50823F" w:rsidR="00DA5F1C" w:rsidRPr="00210CB4" w:rsidRDefault="00DA5F1C" w:rsidP="00B6651A">
            <w:pPr>
              <w:pStyle w:val="TableText"/>
              <w:rPr>
                <w:sz w:val="20"/>
                <w:szCs w:val="20"/>
              </w:rPr>
            </w:pPr>
            <w:r w:rsidRPr="00210CB4">
              <w:rPr>
                <w:sz w:val="20"/>
                <w:szCs w:val="20"/>
              </w:rPr>
              <w:t>DCLS/ULS</w:t>
            </w:r>
          </w:p>
        </w:tc>
      </w:tr>
      <w:tr w:rsidR="00DA5F1C" w:rsidRPr="00210CB4" w14:paraId="08E6ACE0" w14:textId="77777777" w:rsidTr="00F1253A">
        <w:trPr>
          <w:cantSplit/>
        </w:trPr>
        <w:tc>
          <w:tcPr>
            <w:tcW w:w="1006" w:type="dxa"/>
          </w:tcPr>
          <w:p w14:paraId="5DE40305" w14:textId="6B1F11FD" w:rsidR="00DA5F1C" w:rsidRPr="00210CB4" w:rsidRDefault="00DA5F1C" w:rsidP="00B6651A">
            <w:pPr>
              <w:pStyle w:val="TableText"/>
              <w:rPr>
                <w:sz w:val="20"/>
                <w:szCs w:val="20"/>
              </w:rPr>
            </w:pPr>
            <w:r w:rsidRPr="00210CB4">
              <w:rPr>
                <w:sz w:val="20"/>
                <w:szCs w:val="20"/>
              </w:rPr>
              <w:t>10.10</w:t>
            </w:r>
          </w:p>
        </w:tc>
        <w:tc>
          <w:tcPr>
            <w:tcW w:w="1540" w:type="dxa"/>
          </w:tcPr>
          <w:p w14:paraId="0F54C424" w14:textId="5CFC545E" w:rsidR="00DA5F1C" w:rsidRPr="00210CB4" w:rsidRDefault="00DA5F1C" w:rsidP="00B6651A">
            <w:pPr>
              <w:pStyle w:val="TableText"/>
              <w:rPr>
                <w:sz w:val="20"/>
                <w:szCs w:val="20"/>
              </w:rPr>
            </w:pPr>
            <w:r w:rsidRPr="00210CB4">
              <w:rPr>
                <w:sz w:val="20"/>
                <w:szCs w:val="20"/>
              </w:rPr>
              <w:t>Slabs on grade</w:t>
            </w:r>
          </w:p>
        </w:tc>
        <w:tc>
          <w:tcPr>
            <w:tcW w:w="5207" w:type="dxa"/>
          </w:tcPr>
          <w:p w14:paraId="41F5588B" w14:textId="63AA84F1" w:rsidR="00DA5F1C" w:rsidRPr="00210CB4" w:rsidRDefault="00DA5F1C" w:rsidP="00B6651A">
            <w:pPr>
              <w:pStyle w:val="TableText"/>
              <w:rPr>
                <w:sz w:val="20"/>
                <w:szCs w:val="20"/>
              </w:rPr>
            </w:pPr>
            <w:r w:rsidRPr="00210CB4">
              <w:rPr>
                <w:sz w:val="20"/>
                <w:szCs w:val="20"/>
              </w:rPr>
              <w:t>Carefully consider the design philosophy for slabs-on-grade in liquifiable areas, in respect to their structural and non-structural functions.</w:t>
            </w:r>
          </w:p>
        </w:tc>
        <w:tc>
          <w:tcPr>
            <w:tcW w:w="1882" w:type="dxa"/>
          </w:tcPr>
          <w:p w14:paraId="7C52A090" w14:textId="03F8940B" w:rsidR="00DA5F1C" w:rsidRPr="00210CB4" w:rsidRDefault="00DA5F1C" w:rsidP="00B6651A">
            <w:pPr>
              <w:pStyle w:val="TableText"/>
              <w:rPr>
                <w:sz w:val="20"/>
                <w:szCs w:val="20"/>
              </w:rPr>
            </w:pPr>
            <w:r w:rsidRPr="00210CB4">
              <w:rPr>
                <w:sz w:val="20"/>
                <w:szCs w:val="20"/>
              </w:rPr>
              <w:t>DCLS/ULS</w:t>
            </w:r>
          </w:p>
        </w:tc>
      </w:tr>
      <w:tr w:rsidR="00DA5F1C" w:rsidRPr="00210CB4" w14:paraId="67DF624A" w14:textId="77777777" w:rsidTr="00F1253A">
        <w:trPr>
          <w:cantSplit/>
        </w:trPr>
        <w:tc>
          <w:tcPr>
            <w:tcW w:w="1006" w:type="dxa"/>
          </w:tcPr>
          <w:p w14:paraId="37CF6448" w14:textId="4D07EFB3" w:rsidR="00DA5F1C" w:rsidRPr="00210CB4" w:rsidRDefault="00DA5F1C" w:rsidP="00B6651A">
            <w:pPr>
              <w:pStyle w:val="TableText"/>
              <w:rPr>
                <w:sz w:val="20"/>
                <w:szCs w:val="20"/>
              </w:rPr>
            </w:pPr>
            <w:r w:rsidRPr="00210CB4">
              <w:rPr>
                <w:sz w:val="20"/>
                <w:szCs w:val="20"/>
              </w:rPr>
              <w:t>10.11</w:t>
            </w:r>
          </w:p>
        </w:tc>
        <w:tc>
          <w:tcPr>
            <w:tcW w:w="1540" w:type="dxa"/>
          </w:tcPr>
          <w:p w14:paraId="2A470064" w14:textId="4BDEBC13" w:rsidR="00DA5F1C" w:rsidRPr="00210CB4" w:rsidRDefault="00DA5F1C" w:rsidP="00B6651A">
            <w:pPr>
              <w:pStyle w:val="TableText"/>
              <w:rPr>
                <w:sz w:val="20"/>
                <w:szCs w:val="20"/>
              </w:rPr>
            </w:pPr>
            <w:r w:rsidRPr="00210CB4">
              <w:rPr>
                <w:sz w:val="20"/>
                <w:szCs w:val="20"/>
              </w:rPr>
              <w:t>Raft and matt foundations</w:t>
            </w:r>
          </w:p>
        </w:tc>
        <w:tc>
          <w:tcPr>
            <w:tcW w:w="5207" w:type="dxa"/>
          </w:tcPr>
          <w:p w14:paraId="00E6B4D4" w14:textId="59A8A685" w:rsidR="00DA5F1C" w:rsidRPr="00210CB4" w:rsidRDefault="00DA5F1C" w:rsidP="00B6651A">
            <w:pPr>
              <w:pStyle w:val="TableText"/>
              <w:rPr>
                <w:sz w:val="20"/>
                <w:szCs w:val="20"/>
              </w:rPr>
            </w:pPr>
            <w:r w:rsidRPr="00210CB4">
              <w:rPr>
                <w:sz w:val="20"/>
                <w:szCs w:val="20"/>
              </w:rPr>
              <w:t>Where applicable, consider the performance benefits (and costs) of sufficiently stiff matt foundations (that act as far as practical as rafts)</w:t>
            </w:r>
          </w:p>
        </w:tc>
        <w:tc>
          <w:tcPr>
            <w:tcW w:w="1882" w:type="dxa"/>
          </w:tcPr>
          <w:p w14:paraId="2DB3DAD8" w14:textId="6BB96D7E" w:rsidR="00DA5F1C" w:rsidRPr="00210CB4" w:rsidRDefault="00DA5F1C" w:rsidP="00B6651A">
            <w:pPr>
              <w:pStyle w:val="TableText"/>
              <w:rPr>
                <w:sz w:val="20"/>
                <w:szCs w:val="20"/>
              </w:rPr>
            </w:pPr>
            <w:r w:rsidRPr="00210CB4">
              <w:rPr>
                <w:sz w:val="20"/>
                <w:szCs w:val="20"/>
              </w:rPr>
              <w:t>All</w:t>
            </w:r>
          </w:p>
        </w:tc>
      </w:tr>
      <w:tr w:rsidR="00DA5F1C" w:rsidRPr="00210CB4" w14:paraId="1509F5CA" w14:textId="77777777" w:rsidTr="00F1253A">
        <w:trPr>
          <w:cantSplit/>
        </w:trPr>
        <w:tc>
          <w:tcPr>
            <w:tcW w:w="1006" w:type="dxa"/>
          </w:tcPr>
          <w:p w14:paraId="4968C40F" w14:textId="663EBF67" w:rsidR="00DA5F1C" w:rsidRPr="00210CB4" w:rsidRDefault="00DA5F1C" w:rsidP="00B6651A">
            <w:pPr>
              <w:pStyle w:val="TableText"/>
              <w:rPr>
                <w:sz w:val="20"/>
                <w:szCs w:val="20"/>
              </w:rPr>
            </w:pPr>
            <w:r w:rsidRPr="00210CB4">
              <w:rPr>
                <w:sz w:val="20"/>
                <w:szCs w:val="20"/>
              </w:rPr>
              <w:t>11.3</w:t>
            </w:r>
          </w:p>
        </w:tc>
        <w:tc>
          <w:tcPr>
            <w:tcW w:w="1540" w:type="dxa"/>
          </w:tcPr>
          <w:p w14:paraId="53365BF9" w14:textId="281E2FA3" w:rsidR="00DA5F1C" w:rsidRPr="00210CB4" w:rsidRDefault="00DA5F1C" w:rsidP="00B6651A">
            <w:pPr>
              <w:pStyle w:val="TableText"/>
              <w:rPr>
                <w:sz w:val="20"/>
                <w:szCs w:val="20"/>
              </w:rPr>
            </w:pPr>
            <w:r w:rsidRPr="00210CB4">
              <w:rPr>
                <w:sz w:val="20"/>
                <w:szCs w:val="20"/>
              </w:rPr>
              <w:t>Reoccupation</w:t>
            </w:r>
          </w:p>
        </w:tc>
        <w:tc>
          <w:tcPr>
            <w:tcW w:w="5207" w:type="dxa"/>
          </w:tcPr>
          <w:p w14:paraId="67734834" w14:textId="3EC563E7" w:rsidR="00DA5F1C" w:rsidRPr="00210CB4" w:rsidRDefault="00DA5F1C" w:rsidP="00B6651A">
            <w:pPr>
              <w:pStyle w:val="TableText"/>
              <w:rPr>
                <w:sz w:val="20"/>
                <w:szCs w:val="20"/>
              </w:rPr>
            </w:pPr>
            <w:r w:rsidRPr="00210CB4">
              <w:rPr>
                <w:sz w:val="20"/>
                <w:szCs w:val="20"/>
              </w:rPr>
              <w:t xml:space="preserve">These aspects are sufficiently considered by the </w:t>
            </w:r>
            <w:r w:rsidRPr="00210CB4">
              <w:rPr>
                <w:i/>
                <w:iCs/>
                <w:sz w:val="20"/>
                <w:szCs w:val="20"/>
              </w:rPr>
              <w:t>Seismic Performance Framework</w:t>
            </w:r>
            <w:r w:rsidRPr="00210CB4">
              <w:rPr>
                <w:sz w:val="20"/>
                <w:szCs w:val="20"/>
              </w:rPr>
              <w:t xml:space="preserve"> in this guideline.</w:t>
            </w:r>
          </w:p>
        </w:tc>
        <w:tc>
          <w:tcPr>
            <w:tcW w:w="1882" w:type="dxa"/>
          </w:tcPr>
          <w:p w14:paraId="4CA5F08B" w14:textId="0AA57E27" w:rsidR="00DA5F1C" w:rsidRPr="00210CB4" w:rsidRDefault="00DA5F1C" w:rsidP="00B6651A">
            <w:pPr>
              <w:pStyle w:val="TableText"/>
              <w:rPr>
                <w:sz w:val="20"/>
                <w:szCs w:val="20"/>
              </w:rPr>
            </w:pPr>
            <w:r w:rsidRPr="00210CB4">
              <w:rPr>
                <w:sz w:val="20"/>
                <w:szCs w:val="20"/>
              </w:rPr>
              <w:t>n/a</w:t>
            </w:r>
          </w:p>
        </w:tc>
      </w:tr>
      <w:tr w:rsidR="00DA5F1C" w:rsidRPr="00210CB4" w14:paraId="44BC7777" w14:textId="77777777" w:rsidTr="00F1253A">
        <w:trPr>
          <w:cantSplit/>
        </w:trPr>
        <w:tc>
          <w:tcPr>
            <w:tcW w:w="1006" w:type="dxa"/>
          </w:tcPr>
          <w:p w14:paraId="0CFA310F" w14:textId="234CABB4" w:rsidR="00DA5F1C" w:rsidRPr="00210CB4" w:rsidRDefault="00DA5F1C" w:rsidP="00B6651A">
            <w:pPr>
              <w:pStyle w:val="TableText"/>
              <w:rPr>
                <w:sz w:val="20"/>
                <w:szCs w:val="20"/>
              </w:rPr>
            </w:pPr>
            <w:r w:rsidRPr="00210CB4">
              <w:rPr>
                <w:sz w:val="20"/>
                <w:szCs w:val="20"/>
              </w:rPr>
              <w:t>11.4</w:t>
            </w:r>
          </w:p>
        </w:tc>
        <w:tc>
          <w:tcPr>
            <w:tcW w:w="1540" w:type="dxa"/>
          </w:tcPr>
          <w:p w14:paraId="7538C22C" w14:textId="4D7869F5" w:rsidR="00DA5F1C" w:rsidRPr="00210CB4" w:rsidRDefault="00DA5F1C" w:rsidP="00B6651A">
            <w:pPr>
              <w:pStyle w:val="TableText"/>
              <w:rPr>
                <w:sz w:val="20"/>
                <w:szCs w:val="20"/>
              </w:rPr>
            </w:pPr>
            <w:r w:rsidRPr="00210CB4">
              <w:rPr>
                <w:sz w:val="20"/>
                <w:szCs w:val="20"/>
              </w:rPr>
              <w:t>Part Ductility</w:t>
            </w:r>
          </w:p>
        </w:tc>
        <w:tc>
          <w:tcPr>
            <w:tcW w:w="5207" w:type="dxa"/>
          </w:tcPr>
          <w:p w14:paraId="1D7E0065" w14:textId="327C949E" w:rsidR="00DA5F1C" w:rsidRPr="00210CB4" w:rsidRDefault="00DA5F1C" w:rsidP="00B6651A">
            <w:pPr>
              <w:pStyle w:val="TableText"/>
              <w:rPr>
                <w:sz w:val="20"/>
                <w:szCs w:val="20"/>
              </w:rPr>
            </w:pPr>
            <w:r w:rsidRPr="00210CB4">
              <w:rPr>
                <w:sz w:val="20"/>
                <w:szCs w:val="20"/>
              </w:rPr>
              <w:t xml:space="preserve">The requirements of this </w:t>
            </w:r>
            <w:r w:rsidR="007D5C79" w:rsidRPr="00210CB4">
              <w:rPr>
                <w:sz w:val="20"/>
                <w:szCs w:val="20"/>
              </w:rPr>
              <w:t xml:space="preserve">Health NZ </w:t>
            </w:r>
            <w:r w:rsidRPr="00210CB4">
              <w:rPr>
                <w:sz w:val="20"/>
                <w:szCs w:val="20"/>
              </w:rPr>
              <w:t>Hospital Design Guideline are more comprehensive and should be used in lieu of</w:t>
            </w:r>
            <w:r w:rsidR="00914FAC" w:rsidRPr="00210CB4">
              <w:rPr>
                <w:sz w:val="20"/>
                <w:szCs w:val="20"/>
              </w:rPr>
              <w:t xml:space="preserve"> the</w:t>
            </w:r>
            <w:r w:rsidRPr="00210CB4">
              <w:rPr>
                <w:sz w:val="20"/>
                <w:szCs w:val="20"/>
              </w:rPr>
              <w:t xml:space="preserve"> general recommendation in the SESOC guideline.</w:t>
            </w:r>
          </w:p>
        </w:tc>
        <w:tc>
          <w:tcPr>
            <w:tcW w:w="1882" w:type="dxa"/>
          </w:tcPr>
          <w:p w14:paraId="05E1DBDE" w14:textId="274AC784" w:rsidR="00DA5F1C" w:rsidRPr="00210CB4" w:rsidRDefault="00DA5F1C" w:rsidP="00B6651A">
            <w:pPr>
              <w:pStyle w:val="TableText"/>
              <w:rPr>
                <w:sz w:val="20"/>
                <w:szCs w:val="20"/>
              </w:rPr>
            </w:pPr>
            <w:r w:rsidRPr="00210CB4">
              <w:rPr>
                <w:sz w:val="20"/>
                <w:szCs w:val="20"/>
              </w:rPr>
              <w:t>n/a</w:t>
            </w:r>
          </w:p>
        </w:tc>
      </w:tr>
    </w:tbl>
    <w:p w14:paraId="0FC55A79" w14:textId="4A42F944" w:rsidR="00DA4ED3" w:rsidRPr="00064304" w:rsidRDefault="00DA4ED3" w:rsidP="00957359">
      <w:pPr>
        <w:pStyle w:val="Section3heading2"/>
      </w:pPr>
      <w:bookmarkStart w:id="327" w:name="_Ref162096751"/>
      <w:bookmarkStart w:id="328" w:name="_Toc203641996"/>
      <w:bookmarkStart w:id="329" w:name="_Ref151565226"/>
      <w:bookmarkStart w:id="330" w:name="_Ref151567235"/>
      <w:r w:rsidRPr="00064304">
        <w:lastRenderedPageBreak/>
        <w:t xml:space="preserve">Design of </w:t>
      </w:r>
      <w:r w:rsidR="00D55EEB" w:rsidRPr="00064304">
        <w:t>P</w:t>
      </w:r>
      <w:r w:rsidRPr="00064304">
        <w:t xml:space="preserve">hysical </w:t>
      </w:r>
      <w:r w:rsidR="00D55EEB" w:rsidRPr="00064304">
        <w:t>I</w:t>
      </w:r>
      <w:r w:rsidRPr="00064304">
        <w:t xml:space="preserve">nterfaces and </w:t>
      </w:r>
      <w:r w:rsidR="00D55EEB" w:rsidRPr="00064304">
        <w:t>S</w:t>
      </w:r>
      <w:r w:rsidRPr="00064304">
        <w:t xml:space="preserve">eismic </w:t>
      </w:r>
      <w:r w:rsidR="00D55EEB" w:rsidRPr="00064304">
        <w:t>S</w:t>
      </w:r>
      <w:r w:rsidRPr="00064304">
        <w:t xml:space="preserve">eparations </w:t>
      </w:r>
      <w:r w:rsidR="00D55EEB" w:rsidRPr="00064304">
        <w:t>B</w:t>
      </w:r>
      <w:r w:rsidRPr="00064304">
        <w:t xml:space="preserve">etween </w:t>
      </w:r>
      <w:r w:rsidR="00D55EEB" w:rsidRPr="00064304">
        <w:t>B</w:t>
      </w:r>
      <w:r w:rsidRPr="00064304">
        <w:t>uildings</w:t>
      </w:r>
      <w:bookmarkEnd w:id="327"/>
      <w:bookmarkEnd w:id="328"/>
    </w:p>
    <w:p w14:paraId="212C9B84" w14:textId="10C82240" w:rsidR="00DA4ED3" w:rsidRPr="00064304" w:rsidRDefault="00DA4ED3" w:rsidP="00666E06">
      <w:r w:rsidRPr="00064304">
        <w:t>The structural interfaces between link structures or adjoined but structurally separate buildings shall be designed to ensure that both structures meet Ultimate Limit State design requirements. This includes all requirements that apply to seismic separation dimensions and ledge supports</w:t>
      </w:r>
      <w:r w:rsidR="004C7A8C">
        <w:t xml:space="preserve"> </w:t>
      </w:r>
      <w:r w:rsidRPr="00064304">
        <w:t>noting that ledge support conditions are not preferred</w:t>
      </w:r>
      <w:r w:rsidR="00631861" w:rsidRPr="00064304">
        <w:t xml:space="preserve"> at these locations</w:t>
      </w:r>
      <w:r w:rsidRPr="00064304">
        <w:t xml:space="preserve"> (as per Sections </w:t>
      </w:r>
      <w:r w:rsidRPr="00064304">
        <w:fldChar w:fldCharType="begin"/>
      </w:r>
      <w:r w:rsidRPr="00064304">
        <w:instrText xml:space="preserve"> REF _Ref152313887 \r \h </w:instrText>
      </w:r>
      <w:r w:rsidR="00064304">
        <w:instrText xml:space="preserve"> \* MERGEFORMAT </w:instrText>
      </w:r>
      <w:r w:rsidRPr="00064304">
        <w:fldChar w:fldCharType="separate"/>
      </w:r>
      <w:r w:rsidR="000761C1">
        <w:t>B2.4</w:t>
      </w:r>
      <w:r w:rsidRPr="00064304">
        <w:fldChar w:fldCharType="end"/>
      </w:r>
      <w:r w:rsidRPr="00064304">
        <w:t xml:space="preserve"> and </w:t>
      </w:r>
      <w:r w:rsidRPr="00064304">
        <w:fldChar w:fldCharType="begin"/>
      </w:r>
      <w:r w:rsidRPr="00064304">
        <w:instrText xml:space="preserve"> REF _Ref152322416 \r \h </w:instrText>
      </w:r>
      <w:r w:rsidR="00064304">
        <w:instrText xml:space="preserve"> \* MERGEFORMAT </w:instrText>
      </w:r>
      <w:r w:rsidRPr="00064304">
        <w:fldChar w:fldCharType="separate"/>
      </w:r>
      <w:r w:rsidR="000761C1">
        <w:t>C3.1</w:t>
      </w:r>
      <w:r w:rsidRPr="00064304">
        <w:fldChar w:fldCharType="end"/>
      </w:r>
      <w:r w:rsidRPr="00064304">
        <w:t>).</w:t>
      </w:r>
    </w:p>
    <w:p w14:paraId="130D0A44" w14:textId="546471A1" w:rsidR="00CF4B4D" w:rsidRPr="00064304" w:rsidRDefault="00DA4ED3" w:rsidP="00666E06">
      <w:r w:rsidRPr="00064304">
        <w:t xml:space="preserve">For non-isolated new structures, the SESOC </w:t>
      </w:r>
      <w:r w:rsidRPr="001C6687">
        <w:rPr>
          <w:i/>
          <w:iCs/>
        </w:rPr>
        <w:t>Interim Design Guidance</w:t>
      </w:r>
      <w:r w:rsidRPr="00064304">
        <w:t xml:space="preserve">, Section 9.1 </w:t>
      </w:r>
      <w:sdt>
        <w:sdtPr>
          <w:id w:val="264439457"/>
          <w:citation/>
        </w:sdtPr>
        <w:sdtEndPr/>
        <w:sdtContent>
          <w:r w:rsidRPr="00064304">
            <w:fldChar w:fldCharType="begin"/>
          </w:r>
          <w:r w:rsidRPr="00064304">
            <w:rPr>
              <w:lang w:val="en-US"/>
            </w:rPr>
            <w:instrText xml:space="preserve"> CITATION SES221 \l 1033 </w:instrText>
          </w:r>
          <w:r w:rsidRPr="00064304">
            <w:fldChar w:fldCharType="separate"/>
          </w:r>
          <w:r w:rsidR="00222D65">
            <w:rPr>
              <w:noProof/>
              <w:lang w:val="en-US"/>
            </w:rPr>
            <w:t>(SESOC, 2022)</w:t>
          </w:r>
          <w:r w:rsidRPr="00064304">
            <w:fldChar w:fldCharType="end"/>
          </w:r>
        </w:sdtContent>
      </w:sdt>
      <w:r w:rsidRPr="00064304">
        <w:t xml:space="preserve"> can be used to determine the minimum required size of gaps</w:t>
      </w:r>
      <w:r w:rsidR="006B7FDB" w:rsidRPr="00064304">
        <w:t>. NZS 1170.5 gives the required dimensions of ledges</w:t>
      </w:r>
      <w:r w:rsidRPr="00064304">
        <w:t>.</w:t>
      </w:r>
    </w:p>
    <w:p w14:paraId="1D3D6114" w14:textId="6E600CBE" w:rsidR="00310FB6" w:rsidRPr="00064304" w:rsidRDefault="00CF4B4D" w:rsidP="00666E06">
      <w:r w:rsidRPr="00064304">
        <w:t xml:space="preserve">For new isolated structures, the requirements in the NZSEE </w:t>
      </w:r>
      <w:r w:rsidRPr="00064304">
        <w:rPr>
          <w:i/>
          <w:iCs/>
        </w:rPr>
        <w:t>Guideline for the Design of Seismic Isolation Systems for Buildings</w:t>
      </w:r>
      <w:r w:rsidRPr="00064304">
        <w:t xml:space="preserve"> </w:t>
      </w:r>
      <w:sdt>
        <w:sdtPr>
          <w:id w:val="-1417082378"/>
          <w:citation/>
        </w:sdtPr>
        <w:sdtEndPr/>
        <w:sdtContent>
          <w:r w:rsidRPr="00064304">
            <w:fldChar w:fldCharType="begin"/>
          </w:r>
          <w:r w:rsidRPr="00064304">
            <w:rPr>
              <w:lang w:val="en-US"/>
            </w:rPr>
            <w:instrText xml:space="preserve"> CITATION NZS19 \l 1033 </w:instrText>
          </w:r>
          <w:r w:rsidRPr="00064304">
            <w:fldChar w:fldCharType="separate"/>
          </w:r>
          <w:r w:rsidR="00222D65">
            <w:rPr>
              <w:noProof/>
              <w:lang w:val="en-US"/>
            </w:rPr>
            <w:t>(NZSEE, 2019)</w:t>
          </w:r>
          <w:r w:rsidRPr="00064304">
            <w:fldChar w:fldCharType="end"/>
          </w:r>
        </w:sdtContent>
      </w:sdt>
      <w:r w:rsidRPr="00064304">
        <w:t xml:space="preserve"> </w:t>
      </w:r>
      <w:r w:rsidR="00E6534A" w:rsidRPr="00064304">
        <w:t>should</w:t>
      </w:r>
      <w:r w:rsidRPr="00064304">
        <w:t xml:space="preserve"> be followed</w:t>
      </w:r>
      <w:r w:rsidR="00D61034" w:rsidRPr="00064304">
        <w:t>. For most isolated building types</w:t>
      </w:r>
      <w:r w:rsidR="008B29FA" w:rsidRPr="00064304">
        <w:t xml:space="preserve"> </w:t>
      </w:r>
      <w:r w:rsidR="00E6534A" w:rsidRPr="00064304">
        <w:t>this is based o</w:t>
      </w:r>
      <w:r w:rsidR="009773C8" w:rsidRPr="00064304">
        <w:t>f</w:t>
      </w:r>
      <w:r w:rsidR="00E6534A" w:rsidRPr="00064304">
        <w:t>f CALS maximum displacements</w:t>
      </w:r>
      <w:r w:rsidR="004C7A8C">
        <w:t xml:space="preserve"> </w:t>
      </w:r>
      <w:r w:rsidR="008B29FA" w:rsidRPr="00064304">
        <w:t>unless pounding effects have been explicitly considered</w:t>
      </w:r>
      <w:r w:rsidR="00F2264C" w:rsidRPr="00064304">
        <w:rPr>
          <w:rStyle w:val="FootnoteReference"/>
        </w:rPr>
        <w:footnoteReference w:id="41"/>
      </w:r>
      <w:r w:rsidR="00E6534A" w:rsidRPr="00064304">
        <w:t>.</w:t>
      </w:r>
      <w:r w:rsidR="00D61034" w:rsidRPr="00064304">
        <w:t xml:space="preserve"> </w:t>
      </w:r>
      <w:r w:rsidR="00E6534A" w:rsidRPr="00064304">
        <w:t>T</w:t>
      </w:r>
      <w:r w:rsidRPr="00064304">
        <w:t xml:space="preserve">he CALS </w:t>
      </w:r>
      <w:r w:rsidR="00E6534A" w:rsidRPr="00064304">
        <w:t xml:space="preserve">maximum </w:t>
      </w:r>
      <w:r w:rsidRPr="00064304">
        <w:t>displacements of the isolated building(s) shall be directly summed with neighbouring building ULS displacements factored in accordance with</w:t>
      </w:r>
      <w:r w:rsidR="00EE4E96">
        <w:t xml:space="preserve"> the SESOC Interim Design Guid</w:t>
      </w:r>
      <w:r w:rsidR="008E086A">
        <w:t>ance</w:t>
      </w:r>
      <w:r w:rsidRPr="00064304">
        <w:t xml:space="preserve"> </w:t>
      </w:r>
      <w:sdt>
        <w:sdtPr>
          <w:id w:val="1821313477"/>
          <w:citation/>
        </w:sdtPr>
        <w:sdtEndPr/>
        <w:sdtContent>
          <w:r w:rsidRPr="00064304">
            <w:fldChar w:fldCharType="begin"/>
          </w:r>
          <w:r w:rsidRPr="00064304">
            <w:rPr>
              <w:lang w:val="en-US"/>
            </w:rPr>
            <w:instrText xml:space="preserve"> CITATION SES221 \l 1033 </w:instrText>
          </w:r>
          <w:r w:rsidRPr="00064304">
            <w:fldChar w:fldCharType="separate"/>
          </w:r>
          <w:r w:rsidR="00222D65">
            <w:rPr>
              <w:noProof/>
              <w:lang w:val="en-US"/>
            </w:rPr>
            <w:t xml:space="preserve"> (SESOC, 2022)</w:t>
          </w:r>
          <w:r w:rsidRPr="00064304">
            <w:fldChar w:fldCharType="end"/>
          </w:r>
        </w:sdtContent>
      </w:sdt>
      <w:r w:rsidRPr="00064304">
        <w:t>.</w:t>
      </w:r>
    </w:p>
    <w:p w14:paraId="5953B95C" w14:textId="6DE30DF2" w:rsidR="00B401AD" w:rsidRPr="00957359" w:rsidRDefault="00B401AD" w:rsidP="00D56CAE">
      <w:pPr>
        <w:pStyle w:val="BodyHeading"/>
        <w:rPr>
          <w:color w:val="003399"/>
        </w:rPr>
      </w:pPr>
      <w:r w:rsidRPr="00957359">
        <w:rPr>
          <w:color w:val="003399"/>
        </w:rPr>
        <w:t>Separations between buildings of different Importance Levels</w:t>
      </w:r>
    </w:p>
    <w:p w14:paraId="4756DC56" w14:textId="7D173F12" w:rsidR="00DA4ED3" w:rsidRPr="00064304" w:rsidRDefault="00B020BC" w:rsidP="00666E06">
      <w:r w:rsidRPr="00064304">
        <w:t>For practical purposes (and to comply with the Building Code), t</w:t>
      </w:r>
      <w:r w:rsidR="00DA4ED3" w:rsidRPr="00064304">
        <w:t>hese checks can be based on</w:t>
      </w:r>
      <w:r w:rsidR="008278D4" w:rsidRPr="00064304">
        <w:t xml:space="preserve"> t</w:t>
      </w:r>
      <w:r w:rsidR="00DA4ED3" w:rsidRPr="00064304">
        <w:t>he displacements</w:t>
      </w:r>
      <w:r w:rsidR="008278D4" w:rsidRPr="00064304">
        <w:t xml:space="preserve"> calculated for each buildings own Importance Level</w:t>
      </w:r>
      <w:r w:rsidR="004C7A8C">
        <w:t xml:space="preserve"> </w:t>
      </w:r>
      <w:r w:rsidR="00DA4ED3" w:rsidRPr="00064304">
        <w:t>provided that the exhaustion of seismic separations or ledge supports is unlikely to cause structural damage to the structure of higher Importance Level that could cause any of its structural components to lose support.</w:t>
      </w:r>
    </w:p>
    <w:p w14:paraId="6A4FB0B9" w14:textId="685D6E40" w:rsidR="00DA4ED3" w:rsidRPr="00064304" w:rsidRDefault="00DA4ED3" w:rsidP="00666E06">
      <w:r w:rsidRPr="00064304">
        <w:t>If this is cannot be reasonably assured, then displacements of both buildings should be calculated based on the</w:t>
      </w:r>
      <w:r w:rsidR="00EA3FC3" w:rsidRPr="00064304">
        <w:t xml:space="preserve"> </w:t>
      </w:r>
      <w:r w:rsidRPr="00064304">
        <w:t xml:space="preserve">APoE </w:t>
      </w:r>
      <w:r w:rsidR="004B269D" w:rsidRPr="00064304">
        <w:t>of earthquake shaking applicable to</w:t>
      </w:r>
      <w:r w:rsidRPr="00064304">
        <w:t xml:space="preserve"> the higher importance level building</w:t>
      </w:r>
      <w:r w:rsidR="00012A43" w:rsidRPr="00064304">
        <w:t xml:space="preserve">. However, </w:t>
      </w:r>
      <w:r w:rsidRPr="00064304">
        <w:t xml:space="preserve">for this purpose it can </w:t>
      </w:r>
      <w:r w:rsidR="00E86BF9" w:rsidRPr="00064304">
        <w:t xml:space="preserve">generally </w:t>
      </w:r>
      <w:r w:rsidRPr="00064304">
        <w:t>be assumed that stiffness and strength properties remain the same</w:t>
      </w:r>
      <w:r w:rsidR="000B22D8" w:rsidRPr="00064304">
        <w:t xml:space="preserve">, irrespective of whether </w:t>
      </w:r>
      <w:r w:rsidR="00E726A4" w:rsidRPr="00064304">
        <w:t>ULS strength or displacement capacity has been exceeded</w:t>
      </w:r>
      <w:r w:rsidRPr="00064304">
        <w:t>.</w:t>
      </w:r>
      <w:r w:rsidR="000B22D8" w:rsidRPr="00064304">
        <w:t xml:space="preserve"> </w:t>
      </w:r>
      <w:r w:rsidR="001A4E66" w:rsidRPr="00064304">
        <w:t>This means that f</w:t>
      </w:r>
      <w:r w:rsidR="00780094" w:rsidRPr="00064304">
        <w:t xml:space="preserve">or ordinary B1/VM1 designs, </w:t>
      </w:r>
      <w:r w:rsidR="00E726A4" w:rsidRPr="00064304">
        <w:t xml:space="preserve">a relatively simple </w:t>
      </w:r>
      <w:r w:rsidR="00F260DF" w:rsidRPr="00064304">
        <w:t xml:space="preserve">rescaling and </w:t>
      </w:r>
      <w:r w:rsidR="003D314C" w:rsidRPr="00064304">
        <w:t>re-</w:t>
      </w:r>
      <w:r w:rsidR="00D05AD7" w:rsidRPr="00064304">
        <w:t xml:space="preserve">calculation </w:t>
      </w:r>
      <w:r w:rsidR="001A4E66" w:rsidRPr="00064304">
        <w:t>of displacements</w:t>
      </w:r>
      <w:r w:rsidR="00D05AD7" w:rsidRPr="00064304">
        <w:t xml:space="preserve"> </w:t>
      </w:r>
      <w:r w:rsidR="00780094" w:rsidRPr="00064304">
        <w:t>in accordance with NZS 1170.5</w:t>
      </w:r>
      <w:r w:rsidR="00FF6035" w:rsidRPr="00064304">
        <w:t>:2004 Cl. 7.2</w:t>
      </w:r>
      <w:r w:rsidR="001A4E66" w:rsidRPr="00064304">
        <w:t xml:space="preserve"> is all that is intended</w:t>
      </w:r>
      <w:r w:rsidR="00FF6035" w:rsidRPr="00064304">
        <w:t>.</w:t>
      </w:r>
    </w:p>
    <w:p w14:paraId="1FFDB1F8" w14:textId="78541EA8" w:rsidR="00E86BF9" w:rsidRPr="00957359" w:rsidRDefault="00E86BF9" w:rsidP="00D56CAE">
      <w:pPr>
        <w:pStyle w:val="BodyHeading"/>
        <w:rPr>
          <w:color w:val="003399"/>
        </w:rPr>
      </w:pPr>
      <w:r w:rsidRPr="00957359">
        <w:rPr>
          <w:color w:val="003399"/>
        </w:rPr>
        <w:t>Separations between new buildings and existing buildings</w:t>
      </w:r>
    </w:p>
    <w:p w14:paraId="59F0D9D7" w14:textId="575AEEAB" w:rsidR="00DA4ED3" w:rsidRPr="00064304" w:rsidRDefault="00E86BF9" w:rsidP="00666E06">
      <w:r w:rsidRPr="00064304">
        <w:t>The same requirements apply</w:t>
      </w:r>
      <w:r w:rsidR="00B61D13" w:rsidRPr="00064304">
        <w:t xml:space="preserve"> as for new buildings</w:t>
      </w:r>
      <w:r w:rsidR="00FB3A64" w:rsidRPr="00064304">
        <w:rPr>
          <w:rStyle w:val="FootnoteReference"/>
        </w:rPr>
        <w:footnoteReference w:id="42"/>
      </w:r>
      <w:r w:rsidR="00F33AB1" w:rsidRPr="00064304">
        <w:t>.</w:t>
      </w:r>
      <w:r w:rsidR="00B61D13" w:rsidRPr="00064304">
        <w:t xml:space="preserve"> </w:t>
      </w:r>
      <w:r w:rsidR="00F33AB1" w:rsidRPr="00064304">
        <w:t>T</w:t>
      </w:r>
      <w:r w:rsidR="00B61D13" w:rsidRPr="00064304">
        <w:t>his will require</w:t>
      </w:r>
      <w:r w:rsidR="008D23DE" w:rsidRPr="00064304">
        <w:t xml:space="preserve"> displacements of the existing building to be known or estimated</w:t>
      </w:r>
      <w:r w:rsidR="00B61D13" w:rsidRPr="00064304">
        <w:t xml:space="preserve">. Irrespective of the </w:t>
      </w:r>
      <w:r w:rsidR="00EB2F23" w:rsidRPr="00064304">
        <w:t>building</w:t>
      </w:r>
      <w:r w:rsidR="00B662A9" w:rsidRPr="00064304">
        <w:t>’</w:t>
      </w:r>
      <w:r w:rsidR="00EB2F23" w:rsidRPr="00064304">
        <w:t xml:space="preserve">s </w:t>
      </w:r>
      <w:r w:rsidR="00E55A2E" w:rsidRPr="00064304">
        <w:t xml:space="preserve">calculated </w:t>
      </w:r>
      <w:r w:rsidR="00E55A2E" w:rsidRPr="00064304">
        <w:rPr>
          <w:i/>
          <w:iCs/>
        </w:rPr>
        <w:lastRenderedPageBreak/>
        <w:t>Ultimate Capacity</w:t>
      </w:r>
      <w:r w:rsidR="00E55A2E" w:rsidRPr="00064304">
        <w:t xml:space="preserve"> and </w:t>
      </w:r>
      <w:r w:rsidR="00A848AC" w:rsidRPr="00064304">
        <w:rPr>
          <w:i/>
          <w:iCs/>
        </w:rPr>
        <w:t>Seismic</w:t>
      </w:r>
      <w:r w:rsidR="00E55A2E" w:rsidRPr="00064304">
        <w:rPr>
          <w:i/>
        </w:rPr>
        <w:t xml:space="preserve"> Grade</w:t>
      </w:r>
      <w:r w:rsidR="00E55A2E" w:rsidRPr="00064304">
        <w:t xml:space="preserve"> (if </w:t>
      </w:r>
      <w:r w:rsidR="0032716C" w:rsidRPr="00064304">
        <w:t>known</w:t>
      </w:r>
      <w:r w:rsidR="00E55A2E" w:rsidRPr="00064304">
        <w:t>), the displacements should be calculated for</w:t>
      </w:r>
      <w:r w:rsidR="0032716C" w:rsidRPr="00064304">
        <w:t xml:space="preserve"> 100% ULS demands</w:t>
      </w:r>
      <w:r w:rsidR="00CB3B26" w:rsidRPr="00064304">
        <w:t xml:space="preserve"> from B1/VM1</w:t>
      </w:r>
      <w:r w:rsidR="007176B1" w:rsidRPr="00064304">
        <w:t>, factored accordingly</w:t>
      </w:r>
      <w:r w:rsidR="00D13010" w:rsidRPr="00064304">
        <w:t xml:space="preserve"> to the various requirements for separations or ledges</w:t>
      </w:r>
      <w:r w:rsidR="0032716C" w:rsidRPr="00064304">
        <w:t>.</w:t>
      </w:r>
    </w:p>
    <w:p w14:paraId="456D09E0" w14:textId="74C3D7AB" w:rsidR="0002084E" w:rsidRPr="00064304" w:rsidRDefault="001A5F4D" w:rsidP="00666E06">
      <w:r w:rsidRPr="00064304">
        <w:t>F</w:t>
      </w:r>
      <w:r w:rsidR="0002084E" w:rsidRPr="00064304">
        <w:t xml:space="preserve">or this </w:t>
      </w:r>
      <w:r w:rsidR="00254F6F" w:rsidRPr="00064304">
        <w:t>purpose,</w:t>
      </w:r>
      <w:r w:rsidR="0002084E" w:rsidRPr="00064304">
        <w:t xml:space="preserve"> it can generally be assumed that stiffness and strength properties</w:t>
      </w:r>
      <w:r w:rsidR="00254F6F" w:rsidRPr="00064304">
        <w:t xml:space="preserve"> of the </w:t>
      </w:r>
      <w:r w:rsidR="00946666" w:rsidRPr="00064304">
        <w:t xml:space="preserve">existing </w:t>
      </w:r>
      <w:r w:rsidR="00254F6F" w:rsidRPr="00064304">
        <w:t>building</w:t>
      </w:r>
      <w:r w:rsidR="0002084E" w:rsidRPr="00064304">
        <w:t xml:space="preserve"> remain the same, irrespective of whether </w:t>
      </w:r>
      <w:r w:rsidR="0002084E" w:rsidRPr="00064304">
        <w:rPr>
          <w:i/>
          <w:iCs/>
        </w:rPr>
        <w:t>Ultimate Capacity</w:t>
      </w:r>
      <w:r w:rsidR="0002084E" w:rsidRPr="00064304">
        <w:t xml:space="preserve"> </w:t>
      </w:r>
      <w:r w:rsidR="00677611" w:rsidRPr="00064304">
        <w:t>has</w:t>
      </w:r>
      <w:r w:rsidR="0002084E" w:rsidRPr="00064304">
        <w:t xml:space="preserve"> been exceeded.</w:t>
      </w:r>
      <w:r w:rsidR="008D76A1" w:rsidRPr="00064304">
        <w:t xml:space="preserve"> </w:t>
      </w:r>
      <w:r w:rsidR="006F4488" w:rsidRPr="00064304">
        <w:t>That is, a relatively simple scaling exercise is all that is intended</w:t>
      </w:r>
      <w:r w:rsidR="0020016F" w:rsidRPr="00064304">
        <w:t xml:space="preserve"> here</w:t>
      </w:r>
      <w:r w:rsidR="00A911D7" w:rsidRPr="00064304">
        <w:t>—</w:t>
      </w:r>
      <w:r w:rsidR="000C0CAF" w:rsidRPr="00064304">
        <w:t>and engineers don’t need to consider</w:t>
      </w:r>
      <w:r w:rsidR="00A911D7" w:rsidRPr="00064304">
        <w:t xml:space="preserve"> how displacements might increase disproportionately if elements </w:t>
      </w:r>
      <w:r w:rsidR="00EE4ED8" w:rsidRPr="00064304">
        <w:t xml:space="preserve">started to lose lateral strength beyond the point of </w:t>
      </w:r>
      <w:r w:rsidR="00EE4ED8" w:rsidRPr="00064304">
        <w:rPr>
          <w:i/>
          <w:iCs/>
        </w:rPr>
        <w:t>Ultimate Capacity</w:t>
      </w:r>
      <w:r w:rsidR="00AC1BC7" w:rsidRPr="00064304">
        <w:rPr>
          <w:rStyle w:val="FootnoteReference"/>
        </w:rPr>
        <w:footnoteReference w:id="43"/>
      </w:r>
      <w:r w:rsidR="006F4488" w:rsidRPr="00064304">
        <w:t>.</w:t>
      </w:r>
      <w:r w:rsidR="00EF1730" w:rsidRPr="00064304">
        <w:t xml:space="preserve"> In some cases,</w:t>
      </w:r>
      <w:r w:rsidR="000B1AD9" w:rsidRPr="00064304">
        <w:t xml:space="preserve"> </w:t>
      </w:r>
      <w:r w:rsidR="00CF458E" w:rsidRPr="00064304">
        <w:t>an</w:t>
      </w:r>
      <w:r w:rsidR="000B1AD9" w:rsidRPr="00064304">
        <w:t xml:space="preserve"> existing building</w:t>
      </w:r>
      <w:r w:rsidR="00EF1730" w:rsidRPr="00064304">
        <w:t>’s</w:t>
      </w:r>
      <w:r w:rsidR="000B1AD9" w:rsidRPr="00064304">
        <w:t xml:space="preserve"> </w:t>
      </w:r>
      <w:r w:rsidR="00CF458E" w:rsidRPr="00064304">
        <w:t>possible b</w:t>
      </w:r>
      <w:r w:rsidR="000B1AD9" w:rsidRPr="00064304">
        <w:t>ehaviour</w:t>
      </w:r>
      <w:r w:rsidR="00CF458E" w:rsidRPr="00064304">
        <w:t>s</w:t>
      </w:r>
      <w:r w:rsidR="000B1AD9" w:rsidRPr="00064304">
        <w:t xml:space="preserve"> </w:t>
      </w:r>
      <w:r w:rsidR="00BF2A2E" w:rsidRPr="00064304">
        <w:t xml:space="preserve">may </w:t>
      </w:r>
      <w:r w:rsidR="000B1AD9" w:rsidRPr="00064304">
        <w:t xml:space="preserve">warrant </w:t>
      </w:r>
      <w:r w:rsidR="00EE4ED8" w:rsidRPr="00064304">
        <w:t xml:space="preserve">a </w:t>
      </w:r>
      <w:r w:rsidR="000B1AD9" w:rsidRPr="00064304">
        <w:t xml:space="preserve">more </w:t>
      </w:r>
      <w:r w:rsidR="00BF2A2E" w:rsidRPr="00064304">
        <w:t>rigorous assessment of displacements and displaced profiles</w:t>
      </w:r>
      <w:r w:rsidR="00EF1730" w:rsidRPr="00064304">
        <w:t xml:space="preserve"> and engineering judgement should be applied</w:t>
      </w:r>
      <w:r w:rsidR="00EE4ED8" w:rsidRPr="00064304">
        <w:t xml:space="preserve"> to all situations</w:t>
      </w:r>
      <w:r w:rsidR="00BF2A2E" w:rsidRPr="00064304">
        <w:t>.</w:t>
      </w:r>
    </w:p>
    <w:p w14:paraId="3CA30F12" w14:textId="3DBECF86" w:rsidR="0002084E" w:rsidRPr="00C85B4C" w:rsidRDefault="00CF458E" w:rsidP="00666E06">
      <w:r w:rsidRPr="00064304">
        <w:t>T</w:t>
      </w:r>
      <w:r w:rsidR="0002084E" w:rsidRPr="00064304">
        <w:t xml:space="preserve">he existing building </w:t>
      </w:r>
      <w:r w:rsidR="00E1633B" w:rsidRPr="00064304">
        <w:t>will</w:t>
      </w:r>
      <w:r w:rsidR="0002084E" w:rsidRPr="00064304">
        <w:t xml:space="preserve"> also </w:t>
      </w:r>
      <w:r w:rsidR="00E1633B" w:rsidRPr="00064304">
        <w:t xml:space="preserve">need to </w:t>
      </w:r>
      <w:r w:rsidR="0002084E" w:rsidRPr="00064304">
        <w:t xml:space="preserve">be considered </w:t>
      </w:r>
      <w:r w:rsidR="0002084E" w:rsidRPr="00064304">
        <w:rPr>
          <w:i/>
          <w:iCs/>
        </w:rPr>
        <w:t>closely adjacent</w:t>
      </w:r>
      <w:r w:rsidR="0002084E" w:rsidRPr="00064304">
        <w:t xml:space="preserve"> to the new building</w:t>
      </w:r>
      <w:r w:rsidR="004C7A8C">
        <w:t xml:space="preserve"> </w:t>
      </w:r>
      <w:r w:rsidR="00E1633B" w:rsidRPr="00064304">
        <w:t xml:space="preserve">and </w:t>
      </w:r>
      <w:r w:rsidR="0002084E" w:rsidRPr="00064304">
        <w:t xml:space="preserve">risks considered in </w:t>
      </w:r>
      <w:r w:rsidR="0002084E" w:rsidRPr="00C85B4C">
        <w:t>accordance with</w:t>
      </w:r>
      <w:r w:rsidR="00D8610D">
        <w:t xml:space="preserve"> </w:t>
      </w:r>
      <w:r w:rsidR="00CD40AE">
        <w:fldChar w:fldCharType="begin"/>
      </w:r>
      <w:r w:rsidR="00CD40AE">
        <w:instrText xml:space="preserve"> REF Appendix_1 \h </w:instrText>
      </w:r>
      <w:r w:rsidR="00CD40AE">
        <w:fldChar w:fldCharType="separate"/>
      </w:r>
      <w:r w:rsidR="000761C1" w:rsidRPr="00F301A3">
        <w:t>Appendix 1</w:t>
      </w:r>
      <w:r w:rsidR="00CD40AE">
        <w:fldChar w:fldCharType="end"/>
      </w:r>
      <w:r w:rsidR="00852AA4">
        <w:t xml:space="preserve"> (Section </w:t>
      </w:r>
      <w:r w:rsidR="00852AA4">
        <w:fldChar w:fldCharType="begin"/>
      </w:r>
      <w:r w:rsidR="00852AA4">
        <w:instrText xml:space="preserve"> REF _Ref180393885 \r \h </w:instrText>
      </w:r>
      <w:r w:rsidR="00852AA4">
        <w:fldChar w:fldCharType="separate"/>
      </w:r>
      <w:r w:rsidR="000761C1">
        <w:t>1.2</w:t>
      </w:r>
      <w:r w:rsidR="00852AA4">
        <w:fldChar w:fldCharType="end"/>
      </w:r>
      <w:r w:rsidR="00852AA4">
        <w:t>:</w:t>
      </w:r>
      <w:r w:rsidR="00D8610D">
        <w:t xml:space="preserve"> Adjacencies</w:t>
      </w:r>
      <w:r w:rsidR="00852AA4">
        <w:t>)</w:t>
      </w:r>
      <w:r w:rsidR="0002084E" w:rsidRPr="00C85B4C">
        <w:t>.</w:t>
      </w:r>
    </w:p>
    <w:p w14:paraId="49C3CA45" w14:textId="77777777" w:rsidR="0002084E" w:rsidRDefault="0002084E" w:rsidP="00666E06"/>
    <w:p w14:paraId="328B853B" w14:textId="77777777" w:rsidR="00392AAF" w:rsidRDefault="00392AAF" w:rsidP="00666E06">
      <w:r>
        <w:br w:type="page"/>
      </w:r>
    </w:p>
    <w:p w14:paraId="1AE39C4F" w14:textId="074E40DD" w:rsidR="00785CF0" w:rsidRPr="00A9001D" w:rsidRDefault="008456F4" w:rsidP="00957359">
      <w:pPr>
        <w:pStyle w:val="Section3heading1"/>
      </w:pPr>
      <w:bookmarkStart w:id="331" w:name="_Ref165301814"/>
      <w:bookmarkStart w:id="332" w:name="_Ref165301850"/>
      <w:bookmarkStart w:id="333" w:name="_Toc203641997"/>
      <w:r w:rsidRPr="00A9001D">
        <w:lastRenderedPageBreak/>
        <w:t>Non-</w:t>
      </w:r>
      <w:r w:rsidR="00941341" w:rsidRPr="00A9001D">
        <w:t>s</w:t>
      </w:r>
      <w:r w:rsidRPr="00A9001D">
        <w:t>tructural Element</w:t>
      </w:r>
      <w:r w:rsidR="00941341" w:rsidRPr="00A9001D">
        <w:t>s:</w:t>
      </w:r>
      <w:r w:rsidR="00A24A1C" w:rsidRPr="00A9001D">
        <w:t xml:space="preserve"> Detailing and Structural Support</w:t>
      </w:r>
      <w:bookmarkEnd w:id="329"/>
      <w:bookmarkEnd w:id="330"/>
      <w:bookmarkEnd w:id="331"/>
      <w:bookmarkEnd w:id="332"/>
      <w:bookmarkEnd w:id="333"/>
    </w:p>
    <w:p w14:paraId="0CD727C0" w14:textId="02A41A40" w:rsidR="002A7120" w:rsidRPr="00064304" w:rsidRDefault="00F422F0" w:rsidP="00957359">
      <w:pPr>
        <w:pStyle w:val="Section3heading2"/>
      </w:pPr>
      <w:bookmarkStart w:id="334" w:name="_Toc203641998"/>
      <w:r w:rsidRPr="00064304">
        <w:t>General</w:t>
      </w:r>
      <w:bookmarkEnd w:id="334"/>
    </w:p>
    <w:p w14:paraId="687356EC" w14:textId="23E95EAC" w:rsidR="00CA2923" w:rsidRPr="00064304" w:rsidRDefault="00CA2923" w:rsidP="00666E06">
      <w:r w:rsidRPr="00064304">
        <w:t xml:space="preserve">The </w:t>
      </w:r>
      <w:r w:rsidR="00103515" w:rsidRPr="00064304">
        <w:t xml:space="preserve">seismic </w:t>
      </w:r>
      <w:r w:rsidRPr="00064304">
        <w:t>design criteria</w:t>
      </w:r>
      <w:r w:rsidR="00103515" w:rsidRPr="00064304">
        <w:t xml:space="preserve"> in this section</w:t>
      </w:r>
      <w:r w:rsidRPr="00064304">
        <w:t xml:space="preserve"> should be read and applied against the </w:t>
      </w:r>
      <w:r w:rsidR="0060707C" w:rsidRPr="00064304">
        <w:t>performance requirements</w:t>
      </w:r>
      <w:r w:rsidR="0067524A" w:rsidRPr="00064304">
        <w:t xml:space="preserve"> of Part B</w:t>
      </w:r>
      <w:r w:rsidR="00C23CE7" w:rsidRPr="00064304">
        <w:t>,</w:t>
      </w:r>
      <w:r w:rsidR="0067524A" w:rsidRPr="00064304">
        <w:t xml:space="preserve"> and in particular the </w:t>
      </w:r>
      <w:r w:rsidR="00F957F4" w:rsidRPr="00064304">
        <w:t xml:space="preserve">Descriptions of Physical States in Section </w:t>
      </w:r>
      <w:r w:rsidR="00103515" w:rsidRPr="00064304">
        <w:fldChar w:fldCharType="begin"/>
      </w:r>
      <w:r w:rsidR="00103515" w:rsidRPr="00064304">
        <w:instrText xml:space="preserve"> REF _Ref150180900 \r \h </w:instrText>
      </w:r>
      <w:r w:rsidR="00064304">
        <w:instrText xml:space="preserve"> \* MERGEFORMAT </w:instrText>
      </w:r>
      <w:r w:rsidR="00103515" w:rsidRPr="00064304">
        <w:fldChar w:fldCharType="separate"/>
      </w:r>
      <w:r w:rsidR="000761C1">
        <w:t>B2.5</w:t>
      </w:r>
      <w:r w:rsidR="00103515" w:rsidRPr="00064304">
        <w:fldChar w:fldCharType="end"/>
      </w:r>
      <w:r w:rsidR="00103515" w:rsidRPr="00064304">
        <w:t>.</w:t>
      </w:r>
    </w:p>
    <w:p w14:paraId="27C1D6BD" w14:textId="2BC0B614" w:rsidR="00CF71B5" w:rsidRPr="00064304" w:rsidRDefault="009630BF" w:rsidP="00957359">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The content of this section</w:t>
      </w:r>
      <w:r w:rsidR="00CF71B5" w:rsidRPr="00064304">
        <w:t xml:space="preserve"> includes Heath New Zealand requirements, as well as general good</w:t>
      </w:r>
      <w:r w:rsidR="00AC5835" w:rsidRPr="00064304">
        <w:t>-</w:t>
      </w:r>
      <w:r w:rsidR="00CF71B5" w:rsidRPr="00064304">
        <w:t>practice guidance.</w:t>
      </w:r>
    </w:p>
    <w:p w14:paraId="0E3CAC5D" w14:textId="45D06D6A" w:rsidR="00A134DF" w:rsidRPr="00064304" w:rsidRDefault="00F2344C" w:rsidP="00957359">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It</w:t>
      </w:r>
      <w:r w:rsidR="00155C36" w:rsidRPr="00064304">
        <w:t xml:space="preserve"> is intended to be read alongside</w:t>
      </w:r>
      <w:r w:rsidR="00B452C4" w:rsidRPr="00064304">
        <w:t xml:space="preserve"> the Building Innovation Partnership (BIP) </w:t>
      </w:r>
      <w:r w:rsidR="00C51465" w:rsidRPr="00064304">
        <w:rPr>
          <w:iCs/>
        </w:rPr>
        <w:t>Code of Practice for the Seismic Performance of Non-Structural Elements</w:t>
      </w:r>
      <w:r w:rsidR="00650A3D" w:rsidRPr="00064304">
        <w:t xml:space="preserve"> (BIP</w:t>
      </w:r>
      <w:r w:rsidR="008805E1" w:rsidRPr="00064304">
        <w:t xml:space="preserve"> NSE</w:t>
      </w:r>
      <w:r w:rsidR="00650A3D" w:rsidRPr="00064304">
        <w:t xml:space="preserve"> CoP)</w:t>
      </w:r>
      <w:r w:rsidR="00A134DF" w:rsidRPr="00064304">
        <w:t xml:space="preserve"> </w:t>
      </w:r>
      <w:sdt>
        <w:sdtPr>
          <w:id w:val="-150679355"/>
          <w:citation/>
        </w:sdtPr>
        <w:sdtEndPr/>
        <w:sdtContent>
          <w:r w:rsidR="00A134DF" w:rsidRPr="00064304">
            <w:fldChar w:fldCharType="begin"/>
          </w:r>
          <w:r w:rsidR="004A6DA8">
            <w:rPr>
              <w:lang w:val="en-US"/>
            </w:rPr>
            <w:instrText xml:space="preserve">CITATION BIP24 \l 1033 </w:instrText>
          </w:r>
          <w:r w:rsidR="00A134DF" w:rsidRPr="00064304">
            <w:fldChar w:fldCharType="separate"/>
          </w:r>
          <w:r w:rsidR="00222D65">
            <w:rPr>
              <w:noProof/>
              <w:lang w:val="en-US"/>
            </w:rPr>
            <w:t>(BIP, BRANZ, 2024)</w:t>
          </w:r>
          <w:r w:rsidR="00A134DF" w:rsidRPr="00064304">
            <w:fldChar w:fldCharType="end"/>
          </w:r>
        </w:sdtContent>
      </w:sdt>
      <w:r w:rsidR="00C51465" w:rsidRPr="00064304">
        <w:t xml:space="preserve">. </w:t>
      </w:r>
      <w:r w:rsidR="001D2A41" w:rsidRPr="00064304">
        <w:t>This code of practice include</w:t>
      </w:r>
      <w:r w:rsidR="00B258A2" w:rsidRPr="00064304">
        <w:t>s</w:t>
      </w:r>
      <w:r w:rsidR="001D2A41" w:rsidRPr="00064304">
        <w:t xml:space="preserve"> additional general information </w:t>
      </w:r>
      <w:r w:rsidR="004E08BC" w:rsidRPr="00064304">
        <w:t xml:space="preserve">about the design of non-structural elements </w:t>
      </w:r>
      <w:r w:rsidR="001A05A0" w:rsidRPr="00064304">
        <w:t xml:space="preserve">and designers are encouraged to refer to it for </w:t>
      </w:r>
      <w:r w:rsidR="00AC5835" w:rsidRPr="00064304">
        <w:t>more detailed</w:t>
      </w:r>
      <w:r w:rsidR="001A05A0" w:rsidRPr="00064304">
        <w:t xml:space="preserve"> information.</w:t>
      </w:r>
    </w:p>
    <w:p w14:paraId="5968C2EF" w14:textId="71CE0C4F" w:rsidR="004E08BC" w:rsidRPr="00064304" w:rsidRDefault="00A134DF" w:rsidP="00957359">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The draft version referenced </w:t>
      </w:r>
      <w:sdt>
        <w:sdtPr>
          <w:id w:val="1930225704"/>
          <w:citation/>
        </w:sdtPr>
        <w:sdtEndPr/>
        <w:sdtContent>
          <w:r w:rsidRPr="00064304">
            <w:fldChar w:fldCharType="begin"/>
          </w:r>
          <w:r w:rsidR="004A6DA8">
            <w:rPr>
              <w:lang w:val="en-US"/>
            </w:rPr>
            <w:instrText xml:space="preserve">CITATION BIP24 \l 1033 </w:instrText>
          </w:r>
          <w:r w:rsidRPr="00064304">
            <w:fldChar w:fldCharType="separate"/>
          </w:r>
          <w:r w:rsidR="00222D65">
            <w:rPr>
              <w:noProof/>
              <w:lang w:val="en-US"/>
            </w:rPr>
            <w:t>(BIP, BRANZ, 2024)</w:t>
          </w:r>
          <w:r w:rsidRPr="00064304">
            <w:fldChar w:fldCharType="end"/>
          </w:r>
        </w:sdtContent>
      </w:sdt>
      <w:r w:rsidRPr="00064304">
        <w:t xml:space="preserve"> has been coordinated with this Design Guidance Note. Designers should refer to the most recent published version.</w:t>
      </w:r>
    </w:p>
    <w:p w14:paraId="6246B91C" w14:textId="77777777" w:rsidR="00A208B4" w:rsidRPr="00957359" w:rsidRDefault="00A208B4" w:rsidP="00D56CAE">
      <w:pPr>
        <w:pStyle w:val="BodyHeading"/>
        <w:rPr>
          <w:color w:val="003399"/>
        </w:rPr>
      </w:pPr>
      <w:r w:rsidRPr="00957359">
        <w:rPr>
          <w:color w:val="003399"/>
        </w:rPr>
        <w:t>Reference documents</w:t>
      </w:r>
    </w:p>
    <w:p w14:paraId="5D4932E5" w14:textId="6A9341C1" w:rsidR="00C9302B" w:rsidRPr="00064304" w:rsidRDefault="000816C7" w:rsidP="00666E06">
      <w:r w:rsidRPr="00064304">
        <w:t>I</w:t>
      </w:r>
      <w:r w:rsidR="00C9302B" w:rsidRPr="00064304">
        <w:t xml:space="preserve">nformation </w:t>
      </w:r>
      <w:r w:rsidRPr="00064304">
        <w:t>related to the expect</w:t>
      </w:r>
      <w:r w:rsidR="00BD2E11" w:rsidRPr="00064304">
        <w:t>ed</w:t>
      </w:r>
      <w:r w:rsidRPr="00064304">
        <w:t xml:space="preserve"> seismic performance of Non-</w:t>
      </w:r>
      <w:r w:rsidR="00AF219A" w:rsidRPr="00064304">
        <w:t>Structural</w:t>
      </w:r>
      <w:r w:rsidRPr="00064304">
        <w:t xml:space="preserve"> elements </w:t>
      </w:r>
      <w:r w:rsidR="00C9302B" w:rsidRPr="00064304">
        <w:t>can be found in:</w:t>
      </w:r>
    </w:p>
    <w:p w14:paraId="0E33B84F" w14:textId="1CC6F88B" w:rsidR="000816C7" w:rsidRPr="00064304" w:rsidRDefault="000816C7" w:rsidP="004D55F1">
      <w:pPr>
        <w:pStyle w:val="ListParagraph"/>
        <w:numPr>
          <w:ilvl w:val="0"/>
          <w:numId w:val="27"/>
        </w:numPr>
      </w:pPr>
      <w:r w:rsidRPr="00064304">
        <w:t xml:space="preserve">BRANZ - Building Innovation Partnership (BIP) funded project </w:t>
      </w:r>
      <w:r w:rsidRPr="00064304">
        <w:rPr>
          <w:i/>
          <w:iCs/>
        </w:rPr>
        <w:t>Code of Practice for the Seismic Performance of Non-Structural Elements</w:t>
      </w:r>
      <w:r w:rsidRPr="00064304">
        <w:t xml:space="preserve"> (</w:t>
      </w:r>
      <w:r w:rsidR="00ED54DE" w:rsidRPr="00064304">
        <w:t>referred to as the</w:t>
      </w:r>
      <w:r w:rsidRPr="00064304">
        <w:t xml:space="preserve"> BIP </w:t>
      </w:r>
      <w:r w:rsidR="00404A38" w:rsidRPr="00064304">
        <w:t xml:space="preserve">NSE </w:t>
      </w:r>
      <w:r w:rsidRPr="00064304">
        <w:t>CoP)</w:t>
      </w:r>
      <w:r w:rsidR="00ED54DE" w:rsidRPr="00064304">
        <w:t xml:space="preserve"> </w:t>
      </w:r>
      <w:sdt>
        <w:sdtPr>
          <w:id w:val="-1715495002"/>
          <w:citation/>
        </w:sdtPr>
        <w:sdtEndPr/>
        <w:sdtContent>
          <w:r w:rsidR="00ED54DE" w:rsidRPr="00064304">
            <w:fldChar w:fldCharType="begin"/>
          </w:r>
          <w:r w:rsidR="004A6DA8">
            <w:rPr>
              <w:lang w:val="en-US"/>
            </w:rPr>
            <w:instrText xml:space="preserve">CITATION BIP24 \l 1033 </w:instrText>
          </w:r>
          <w:r w:rsidR="00ED54DE" w:rsidRPr="00064304">
            <w:fldChar w:fldCharType="separate"/>
          </w:r>
          <w:r w:rsidR="00222D65">
            <w:rPr>
              <w:noProof/>
              <w:lang w:val="en-US"/>
            </w:rPr>
            <w:t>(BIP, BRANZ, 2024)</w:t>
          </w:r>
          <w:r w:rsidR="00ED54DE" w:rsidRPr="00064304">
            <w:fldChar w:fldCharType="end"/>
          </w:r>
        </w:sdtContent>
      </w:sdt>
      <w:r w:rsidR="00A43953">
        <w:t xml:space="preserve">. </w:t>
      </w:r>
    </w:p>
    <w:p w14:paraId="5C32504F" w14:textId="541E7447" w:rsidR="00C9302B" w:rsidRPr="00064304" w:rsidRDefault="00C9302B" w:rsidP="004D55F1">
      <w:pPr>
        <w:pStyle w:val="ListParagraph"/>
        <w:numPr>
          <w:ilvl w:val="0"/>
          <w:numId w:val="27"/>
        </w:numPr>
      </w:pPr>
      <w:r w:rsidRPr="00064304">
        <w:t xml:space="preserve">FEMA P-58-3 Supporting Electronic Materials and Background Documentation </w:t>
      </w:r>
      <w:sdt>
        <w:sdtPr>
          <w:id w:val="-1454626180"/>
          <w:citation/>
        </w:sdtPr>
        <w:sdtEndPr/>
        <w:sdtContent>
          <w:r w:rsidRPr="00064304">
            <w:fldChar w:fldCharType="begin"/>
          </w:r>
          <w:r w:rsidRPr="00064304">
            <w:rPr>
              <w:lang w:val="en-US"/>
            </w:rPr>
            <w:instrText xml:space="preserve"> CITATION FEM \l 1033 </w:instrText>
          </w:r>
          <w:r w:rsidRPr="00064304">
            <w:fldChar w:fldCharType="separate"/>
          </w:r>
          <w:r w:rsidR="00222D65">
            <w:rPr>
              <w:noProof/>
              <w:lang w:val="en-US"/>
            </w:rPr>
            <w:t>(FEMA)</w:t>
          </w:r>
          <w:r w:rsidRPr="00064304">
            <w:fldChar w:fldCharType="end"/>
          </w:r>
        </w:sdtContent>
      </w:sdt>
      <w:r w:rsidRPr="00064304">
        <w:t xml:space="preserve"> </w:t>
      </w:r>
      <w:hyperlink r:id="rId81" w:history="1">
        <w:r w:rsidRPr="00064304">
          <w:rPr>
            <w:rStyle w:val="Hyperlink"/>
            <w:color w:val="0070C0"/>
          </w:rPr>
          <w:t>https://femap58.atcouncil.org/supporting-materials</w:t>
        </w:r>
      </w:hyperlink>
    </w:p>
    <w:p w14:paraId="6D7C9588" w14:textId="3C3358F6" w:rsidR="00AF219A" w:rsidRPr="00064304" w:rsidRDefault="00A208B4" w:rsidP="00666E06">
      <w:r w:rsidRPr="00064304">
        <w:t>Several</w:t>
      </w:r>
      <w:r w:rsidR="00AF219A" w:rsidRPr="00064304">
        <w:t xml:space="preserve"> </w:t>
      </w:r>
      <w:r w:rsidR="003D79EB" w:rsidRPr="00064304">
        <w:t>other</w:t>
      </w:r>
      <w:r w:rsidR="00AF219A" w:rsidRPr="00064304">
        <w:t xml:space="preserve"> </w:t>
      </w:r>
      <w:r w:rsidR="003D79EB" w:rsidRPr="00064304">
        <w:t>c</w:t>
      </w:r>
      <w:r w:rsidR="00AF219A" w:rsidRPr="00064304">
        <w:t xml:space="preserve">odes of </w:t>
      </w:r>
      <w:r w:rsidR="003D79EB" w:rsidRPr="00064304">
        <w:t>p</w:t>
      </w:r>
      <w:r w:rsidR="00AF219A" w:rsidRPr="00064304">
        <w:t xml:space="preserve">ractice apply to </w:t>
      </w:r>
      <w:r w:rsidRPr="00064304">
        <w:t>non-structural element</w:t>
      </w:r>
      <w:r w:rsidR="00AF219A" w:rsidRPr="00064304">
        <w:t xml:space="preserve"> design</w:t>
      </w:r>
      <w:r w:rsidRPr="00064304">
        <w:t xml:space="preserve">, </w:t>
      </w:r>
      <w:r w:rsidR="000E42DE" w:rsidRPr="00064304">
        <w:t>including.</w:t>
      </w:r>
    </w:p>
    <w:p w14:paraId="5F81628A" w14:textId="15F14507" w:rsidR="00AF219A" w:rsidRPr="00064304" w:rsidRDefault="00AF219A" w:rsidP="004D55F1">
      <w:pPr>
        <w:pStyle w:val="ListParagraph"/>
        <w:numPr>
          <w:ilvl w:val="0"/>
          <w:numId w:val="33"/>
        </w:numPr>
      </w:pPr>
      <w:r w:rsidRPr="00064304">
        <w:t xml:space="preserve">Association of Wall &amp; Ceiling Industries (AWCI) Code of Practice for the seismic </w:t>
      </w:r>
      <w:r w:rsidR="00A208B4" w:rsidRPr="00064304">
        <w:t>d</w:t>
      </w:r>
      <w:r w:rsidRPr="00064304">
        <w:t xml:space="preserve">esign and installation of non-structural internal walls and partitions </w:t>
      </w:r>
      <w:sdt>
        <w:sdtPr>
          <w:id w:val="-1258741223"/>
          <w:citation/>
        </w:sdtPr>
        <w:sdtEndPr/>
        <w:sdtContent>
          <w:r w:rsidRPr="00064304">
            <w:fldChar w:fldCharType="begin"/>
          </w:r>
          <w:r w:rsidRPr="00064304">
            <w:rPr>
              <w:lang w:val="en-US"/>
            </w:rPr>
            <w:instrText xml:space="preserve"> CITATION AWC18 \l 1033 </w:instrText>
          </w:r>
          <w:r w:rsidRPr="00064304">
            <w:fldChar w:fldCharType="separate"/>
          </w:r>
          <w:r w:rsidR="00222D65">
            <w:rPr>
              <w:noProof/>
              <w:lang w:val="en-US"/>
            </w:rPr>
            <w:t>(AWCI, 2018)</w:t>
          </w:r>
          <w:r w:rsidRPr="00064304">
            <w:fldChar w:fldCharType="end"/>
          </w:r>
        </w:sdtContent>
      </w:sdt>
      <w:r w:rsidRPr="00064304">
        <w:t>.</w:t>
      </w:r>
    </w:p>
    <w:p w14:paraId="0A32CAD3" w14:textId="7F0B7DC6" w:rsidR="00A208B4" w:rsidRPr="00064304" w:rsidRDefault="00A208B4" w:rsidP="004D55F1">
      <w:pPr>
        <w:pStyle w:val="ListParagraph"/>
        <w:numPr>
          <w:ilvl w:val="0"/>
          <w:numId w:val="33"/>
        </w:numPr>
      </w:pPr>
      <w:r w:rsidRPr="00064304">
        <w:t xml:space="preserve">Association of Wall &amp; Ceiling Industries (AWCI) Code of Practice for Design, Installation and Seismic Restraint of Suspended Ceilings </w:t>
      </w:r>
      <w:sdt>
        <w:sdtPr>
          <w:id w:val="-1619145249"/>
          <w:citation/>
        </w:sdtPr>
        <w:sdtEndPr/>
        <w:sdtContent>
          <w:r w:rsidRPr="00064304">
            <w:fldChar w:fldCharType="begin"/>
          </w:r>
          <w:r w:rsidRPr="00064304">
            <w:rPr>
              <w:lang w:val="en-US"/>
            </w:rPr>
            <w:instrText xml:space="preserve"> CITATION AWC15 \l 1033 </w:instrText>
          </w:r>
          <w:r w:rsidRPr="00064304">
            <w:fldChar w:fldCharType="separate"/>
          </w:r>
          <w:r w:rsidR="00222D65">
            <w:rPr>
              <w:noProof/>
              <w:lang w:val="en-US"/>
            </w:rPr>
            <w:t>(AWCI, 2015)</w:t>
          </w:r>
          <w:r w:rsidRPr="00064304">
            <w:fldChar w:fldCharType="end"/>
          </w:r>
        </w:sdtContent>
      </w:sdt>
      <w:r w:rsidRPr="00064304">
        <w:t>.</w:t>
      </w:r>
    </w:p>
    <w:p w14:paraId="722927DA" w14:textId="1D3BAB02" w:rsidR="00A208B4" w:rsidRPr="00064304" w:rsidRDefault="00AF219A" w:rsidP="00666E06">
      <w:r w:rsidRPr="00064304">
        <w:t xml:space="preserve">For hospital design, the </w:t>
      </w:r>
      <w:r w:rsidR="00347BCC" w:rsidRPr="00064304">
        <w:t xml:space="preserve">BIP </w:t>
      </w:r>
      <w:r w:rsidR="003B733B" w:rsidRPr="00064304">
        <w:t>NSE CoP</w:t>
      </w:r>
      <w:r w:rsidRPr="00064304">
        <w:t xml:space="preserve"> should take precedence as </w:t>
      </w:r>
      <w:r w:rsidR="00A208B4" w:rsidRPr="00064304">
        <w:t xml:space="preserve">over the AWCI Codes of Practice as </w:t>
      </w:r>
      <w:r w:rsidRPr="00064304">
        <w:t>it set out an approach aligned to critical facilities such as hospitals. The AWCI Code</w:t>
      </w:r>
      <w:r w:rsidR="00A208B4" w:rsidRPr="00064304">
        <w:t>s</w:t>
      </w:r>
      <w:r w:rsidRPr="00064304">
        <w:t xml:space="preserve"> of Practice contains useful information describing the minimum requirements for the design of non-structural partitions generally. However, </w:t>
      </w:r>
      <w:r w:rsidR="00A208B4" w:rsidRPr="00064304">
        <w:t>they are primarily targeted towards more conventional buildings and</w:t>
      </w:r>
      <w:r w:rsidRPr="00064304">
        <w:t xml:space="preserve"> may not be sufficient to meet the seismic performance requirements for hospitals. </w:t>
      </w:r>
    </w:p>
    <w:p w14:paraId="31CF0152" w14:textId="77777777" w:rsidR="00A208B4" w:rsidRDefault="00A208B4" w:rsidP="00666E06"/>
    <w:p w14:paraId="63BBE02D" w14:textId="77777777" w:rsidR="001F3B5E" w:rsidRPr="00064304" w:rsidRDefault="001F3B5E" w:rsidP="00957359">
      <w:pPr>
        <w:pStyle w:val="Section3heading2"/>
      </w:pPr>
      <w:bookmarkStart w:id="335" w:name="_Ref152940422"/>
      <w:bookmarkStart w:id="336" w:name="_Ref153540181"/>
      <w:bookmarkStart w:id="337" w:name="_Toc203641999"/>
      <w:r w:rsidRPr="00064304">
        <w:lastRenderedPageBreak/>
        <w:t>Documentation and Process Related Requirements</w:t>
      </w:r>
      <w:bookmarkEnd w:id="335"/>
      <w:bookmarkEnd w:id="336"/>
      <w:bookmarkEnd w:id="337"/>
    </w:p>
    <w:p w14:paraId="782860A7" w14:textId="203E5662" w:rsidR="00943996" w:rsidRPr="00064304" w:rsidRDefault="00943996" w:rsidP="00957359">
      <w:pPr>
        <w:pStyle w:val="Section3heading3"/>
      </w:pPr>
      <w:bookmarkStart w:id="338" w:name="_Ref153540085"/>
      <w:r w:rsidRPr="00064304">
        <w:t xml:space="preserve">Role of the NSE </w:t>
      </w:r>
      <w:r w:rsidR="00712CB5" w:rsidRPr="00064304">
        <w:t>Seismic</w:t>
      </w:r>
      <w:r w:rsidRPr="00064304">
        <w:t xml:space="preserve"> Designer(s)</w:t>
      </w:r>
      <w:bookmarkEnd w:id="338"/>
    </w:p>
    <w:p w14:paraId="54CFB474" w14:textId="4A1C6BF4" w:rsidR="00C74DC9" w:rsidRPr="00064304" w:rsidRDefault="00C74DC9" w:rsidP="00666E06">
      <w:r w:rsidRPr="00064304">
        <w:t xml:space="preserve">The NSE </w:t>
      </w:r>
      <w:r w:rsidR="00712CB5" w:rsidRPr="00064304">
        <w:t>Seismic Designer</w:t>
      </w:r>
      <w:r w:rsidRPr="00064304">
        <w:t xml:space="preserve"> is responsible for the engineering design, coordination, documentation, and construction monitoring for the seismic </w:t>
      </w:r>
      <w:r w:rsidR="002415FA" w:rsidRPr="00064304">
        <w:t>restraint</w:t>
      </w:r>
      <w:r w:rsidRPr="00064304">
        <w:t xml:space="preserve"> o</w:t>
      </w:r>
      <w:r w:rsidR="002415FA" w:rsidRPr="00064304">
        <w:t>f</w:t>
      </w:r>
      <w:r w:rsidRPr="00064304">
        <w:t xml:space="preserve"> those elements identified within their scope.</w:t>
      </w:r>
    </w:p>
    <w:p w14:paraId="6AFF349C" w14:textId="4EF8B890" w:rsidR="00A82493" w:rsidRPr="00064304" w:rsidRDefault="00A82493" w:rsidP="00666E06">
      <w:pPr>
        <w:rPr>
          <w:iCs/>
        </w:rPr>
      </w:pPr>
      <w:r w:rsidRPr="00064304">
        <w:t xml:space="preserve">The NSE </w:t>
      </w:r>
      <w:r w:rsidR="00712CB5" w:rsidRPr="00064304">
        <w:t>Seismic Designer</w:t>
      </w:r>
      <w:r w:rsidRPr="00064304">
        <w:t xml:space="preserve"> is expected to play a strategic lead role in in-ceiling coordination (alongside other designers) and in the development of the </w:t>
      </w:r>
      <w:r w:rsidRPr="00064304">
        <w:rPr>
          <w:i/>
          <w:lang w:val="en-US"/>
        </w:rPr>
        <w:t>Non</w:t>
      </w:r>
      <w:r w:rsidRPr="00064304">
        <w:rPr>
          <w:i/>
          <w:iCs/>
          <w:lang w:val="en-US"/>
        </w:rPr>
        <w:t>-</w:t>
      </w:r>
      <w:r w:rsidRPr="00064304">
        <w:rPr>
          <w:i/>
          <w:lang w:val="en-US"/>
        </w:rPr>
        <w:t xml:space="preserve">Structural Element (NSE) Seismic Design Strategy, </w:t>
      </w:r>
      <w:r w:rsidRPr="00064304">
        <w:rPr>
          <w:iCs/>
          <w:lang w:val="en-US"/>
        </w:rPr>
        <w:t xml:space="preserve">a key deliverable required under Section </w:t>
      </w:r>
      <w:r w:rsidRPr="00064304">
        <w:rPr>
          <w:iCs/>
          <w:lang w:val="en-US"/>
        </w:rPr>
        <w:fldChar w:fldCharType="begin"/>
      </w:r>
      <w:r w:rsidRPr="00064304">
        <w:rPr>
          <w:iCs/>
          <w:lang w:val="en-US"/>
        </w:rPr>
        <w:instrText xml:space="preserve"> REF _Ref152139034 \r \h  \* MERGEFORMAT </w:instrText>
      </w:r>
      <w:r w:rsidRPr="00064304">
        <w:rPr>
          <w:iCs/>
          <w:lang w:val="en-US"/>
        </w:rPr>
      </w:r>
      <w:r w:rsidRPr="00064304">
        <w:rPr>
          <w:iCs/>
          <w:lang w:val="en-US"/>
        </w:rPr>
        <w:fldChar w:fldCharType="separate"/>
      </w:r>
      <w:r w:rsidR="000761C1">
        <w:rPr>
          <w:iCs/>
          <w:lang w:val="en-US"/>
        </w:rPr>
        <w:t>A3.2</w:t>
      </w:r>
      <w:r w:rsidRPr="00064304">
        <w:rPr>
          <w:iCs/>
          <w:lang w:val="en-US"/>
        </w:rPr>
        <w:fldChar w:fldCharType="end"/>
      </w:r>
      <w:r w:rsidRPr="00064304">
        <w:rPr>
          <w:iCs/>
        </w:rPr>
        <w:t>.</w:t>
      </w:r>
    </w:p>
    <w:p w14:paraId="3F4AAF1E" w14:textId="175265E1" w:rsidR="00C74DC9" w:rsidRPr="00064304" w:rsidRDefault="00C74DC9" w:rsidP="00666E06">
      <w:r w:rsidRPr="00064304">
        <w:t xml:space="preserve">The NSE </w:t>
      </w:r>
      <w:r w:rsidR="00055338" w:rsidRPr="00064304">
        <w:t>Seismic</w:t>
      </w:r>
      <w:r w:rsidRPr="00064304">
        <w:t xml:space="preserve"> </w:t>
      </w:r>
      <w:r w:rsidR="00055338" w:rsidRPr="00064304">
        <w:t>D</w:t>
      </w:r>
      <w:r w:rsidRPr="00064304">
        <w:t>esign</w:t>
      </w:r>
      <w:r w:rsidR="00055338" w:rsidRPr="00064304">
        <w:t>er</w:t>
      </w:r>
      <w:r w:rsidRPr="00064304">
        <w:t xml:space="preserve"> must be able to demonstrate experience in the design of non-structural elements. This includes sufficient understanding of NSE function to </w:t>
      </w:r>
      <w:r w:rsidR="0027142E" w:rsidRPr="00064304">
        <w:t>exchange advice with</w:t>
      </w:r>
      <w:r w:rsidRPr="00064304">
        <w:t xml:space="preserve"> the building services engineer and architect, such that functional continuity requirements can be achieved. It also includes sufficient understanding of seismic design actions (accelerations and deformations) to undertake the restraint design and liaise with the structural engineer.</w:t>
      </w:r>
    </w:p>
    <w:p w14:paraId="665D05DC" w14:textId="0301955F" w:rsidR="00C74DC9" w:rsidRPr="00064304" w:rsidRDefault="007232E6" w:rsidP="00666E06">
      <w:r w:rsidRPr="00064304">
        <w:t>Producer Statements for Design</w:t>
      </w:r>
      <w:r w:rsidR="00E27AD7">
        <w:t xml:space="preserve"> - </w:t>
      </w:r>
      <w:r w:rsidR="00C74DC9" w:rsidRPr="00064304">
        <w:t xml:space="preserve">PS1 and </w:t>
      </w:r>
      <w:r w:rsidRPr="00064304">
        <w:t>Construction Review</w:t>
      </w:r>
      <w:r w:rsidR="00E27AD7">
        <w:t xml:space="preserve"> - </w:t>
      </w:r>
      <w:r w:rsidR="00C74DC9" w:rsidRPr="00064304">
        <w:t xml:space="preserve">PS4 are required by </w:t>
      </w:r>
      <w:r w:rsidR="007D5C79">
        <w:t xml:space="preserve">Health NZ </w:t>
      </w:r>
      <w:r w:rsidR="00C74DC9" w:rsidRPr="00064304">
        <w:t xml:space="preserve">(and likely by </w:t>
      </w:r>
      <w:r w:rsidR="00B851D6" w:rsidRPr="00064304">
        <w:t>Building C</w:t>
      </w:r>
      <w:r w:rsidR="00C74DC9" w:rsidRPr="00064304">
        <w:t xml:space="preserve">onsent </w:t>
      </w:r>
      <w:r w:rsidR="00B851D6" w:rsidRPr="00064304">
        <w:t>A</w:t>
      </w:r>
      <w:r w:rsidR="00C74DC9" w:rsidRPr="00064304">
        <w:t xml:space="preserve">uthorities). This </w:t>
      </w:r>
      <w:r w:rsidR="0023134A" w:rsidRPr="00064304">
        <w:t>should</w:t>
      </w:r>
      <w:r w:rsidR="00C74DC9" w:rsidRPr="00064304">
        <w:t xml:space="preserve"> be </w:t>
      </w:r>
      <w:r w:rsidR="004279FC">
        <w:t>authored</w:t>
      </w:r>
      <w:r w:rsidR="00C74DC9" w:rsidRPr="00064304">
        <w:t xml:space="preserve"> by a </w:t>
      </w:r>
      <w:r w:rsidR="00F54B9D" w:rsidRPr="00064304">
        <w:t>suitably experienced</w:t>
      </w:r>
      <w:r w:rsidR="00C74DC9" w:rsidRPr="00064304">
        <w:t xml:space="preserve"> Chartered Profession Engineer</w:t>
      </w:r>
      <w:r w:rsidR="00E27AD7">
        <w:t>,</w:t>
      </w:r>
      <w:r w:rsidR="00C74DC9" w:rsidRPr="00064304">
        <w:t xml:space="preserve"> </w:t>
      </w:r>
      <w:r w:rsidR="00686D01" w:rsidRPr="00064304">
        <w:t xml:space="preserve">expected </w:t>
      </w:r>
      <w:r w:rsidR="00C74DC9" w:rsidRPr="00064304">
        <w:t xml:space="preserve">to be a structural engineer with </w:t>
      </w:r>
      <w:r w:rsidR="00ED515F" w:rsidRPr="00064304">
        <w:t xml:space="preserve">knowledge of seismic design of non-structural elements, or a specialist in achieving the seismic performance of non-structural elements. </w:t>
      </w:r>
    </w:p>
    <w:p w14:paraId="19B6BC77" w14:textId="77777777" w:rsidR="00C74DC9" w:rsidRPr="00957359" w:rsidRDefault="00C74DC9" w:rsidP="00D56CAE">
      <w:pPr>
        <w:pStyle w:val="BodyHeading"/>
        <w:rPr>
          <w:color w:val="003399"/>
        </w:rPr>
      </w:pPr>
      <w:r w:rsidRPr="00957359">
        <w:rPr>
          <w:color w:val="003399"/>
        </w:rPr>
        <w:t>Gravity Support to Non-Structural Elements</w:t>
      </w:r>
    </w:p>
    <w:p w14:paraId="1268D828" w14:textId="36C16373" w:rsidR="00C74DC9" w:rsidRPr="00064304" w:rsidRDefault="00C74DC9" w:rsidP="00666E06">
      <w:r w:rsidRPr="00064304">
        <w:t xml:space="preserve">Typically, the seismic restraint </w:t>
      </w:r>
      <w:r w:rsidR="004032A6" w:rsidRPr="00064304">
        <w:t xml:space="preserve">design scope for </w:t>
      </w:r>
      <w:r w:rsidRPr="00064304">
        <w:t>non-structural elements does not explicitly include the associated gravity support to those same elements</w:t>
      </w:r>
      <w:r w:rsidR="00A43953">
        <w:t xml:space="preserve">. </w:t>
      </w:r>
    </w:p>
    <w:p w14:paraId="5B392F7A" w14:textId="23E8D471" w:rsidR="00C74DC9" w:rsidRPr="00064304" w:rsidRDefault="00C74DC9" w:rsidP="00666E06">
      <w:r w:rsidRPr="00064304">
        <w:t xml:space="preserve">The following approach </w:t>
      </w:r>
      <w:r w:rsidR="004E3A74" w:rsidRPr="00064304">
        <w:t>is recommended</w:t>
      </w:r>
      <w:r w:rsidRPr="00064304">
        <w:t>:</w:t>
      </w:r>
    </w:p>
    <w:p w14:paraId="3BDF36F5" w14:textId="51AACA87" w:rsidR="00C74DC9" w:rsidRPr="00064304" w:rsidRDefault="00C74DC9" w:rsidP="004D55F1">
      <w:pPr>
        <w:pStyle w:val="ListParagraph"/>
        <w:numPr>
          <w:ilvl w:val="0"/>
          <w:numId w:val="19"/>
        </w:numPr>
      </w:pPr>
      <w:r w:rsidRPr="00064304">
        <w:t xml:space="preserve">The </w:t>
      </w:r>
      <w:r w:rsidR="00CA003A" w:rsidRPr="00064304">
        <w:t xml:space="preserve">NSE </w:t>
      </w:r>
      <w:r w:rsidR="00712CB5" w:rsidRPr="00064304">
        <w:t>Seismic</w:t>
      </w:r>
      <w:r w:rsidR="00CA003A" w:rsidRPr="00064304">
        <w:t xml:space="preserve"> Designer</w:t>
      </w:r>
      <w:r w:rsidRPr="00064304">
        <w:t xml:space="preserve"> </w:t>
      </w:r>
      <w:r w:rsidR="00B63C6F" w:rsidRPr="00064304">
        <w:t>i</w:t>
      </w:r>
      <w:r w:rsidRPr="00064304">
        <w:t>s responsible for the seismic restraint design, and for those parts of a NSE element gravity support inextricably connected to the seismic restraint. The seismic restraint design should look to facilitate easier gravity support design wherever possible.</w:t>
      </w:r>
    </w:p>
    <w:p w14:paraId="7D4C3476" w14:textId="0C54A420" w:rsidR="00C74DC9" w:rsidRPr="00064304" w:rsidRDefault="00C74DC9" w:rsidP="004D55F1">
      <w:pPr>
        <w:pStyle w:val="ListParagraph"/>
        <w:numPr>
          <w:ilvl w:val="0"/>
          <w:numId w:val="19"/>
        </w:numPr>
      </w:pPr>
      <w:r w:rsidRPr="00064304">
        <w:t xml:space="preserve">Generally, standalone gravity support </w:t>
      </w:r>
      <w:r w:rsidR="0083485D" w:rsidRPr="00064304">
        <w:t>can</w:t>
      </w:r>
      <w:r w:rsidRPr="00064304">
        <w:t xml:space="preserve"> be undertaken by the Contractor as a Design and Build element</w:t>
      </w:r>
      <w:r w:rsidR="00A43953">
        <w:t xml:space="preserve">. </w:t>
      </w:r>
    </w:p>
    <w:p w14:paraId="6F857C70" w14:textId="1F14042C" w:rsidR="00C74DC9" w:rsidRPr="00064304" w:rsidRDefault="00C74DC9" w:rsidP="004D55F1">
      <w:pPr>
        <w:pStyle w:val="ListParagraph"/>
        <w:numPr>
          <w:ilvl w:val="0"/>
          <w:numId w:val="19"/>
        </w:numPr>
      </w:pPr>
      <w:r w:rsidRPr="00064304">
        <w:t xml:space="preserve">The Design Team </w:t>
      </w:r>
      <w:r w:rsidR="0083485D" w:rsidRPr="00064304">
        <w:t>should</w:t>
      </w:r>
      <w:r w:rsidRPr="00064304">
        <w:t xml:space="preserve"> clearly articulate the gravity support (and coordination) strategy for NSE within the design phases.</w:t>
      </w:r>
    </w:p>
    <w:p w14:paraId="41257393" w14:textId="271AB4D2" w:rsidR="00C74DC9" w:rsidRPr="00064304" w:rsidRDefault="00C74DC9" w:rsidP="00666E06">
      <w:r w:rsidRPr="00064304">
        <w:t>In cases where gravity support by the design team is considered to add value, it could be undertaken within the design phases. This likely applies to complex areas where on-site determination of trapeze placement may not be practical.</w:t>
      </w:r>
    </w:p>
    <w:p w14:paraId="32AB4720" w14:textId="77777777" w:rsidR="00C70C7D" w:rsidRPr="00064304" w:rsidRDefault="00C70C7D" w:rsidP="00957359">
      <w:pPr>
        <w:pStyle w:val="Section3heading3"/>
      </w:pPr>
      <w:r w:rsidRPr="00064304">
        <w:t>Interfaces with other design disciplines</w:t>
      </w:r>
    </w:p>
    <w:p w14:paraId="31890FAE" w14:textId="45748096" w:rsidR="00957C13" w:rsidRPr="00064304" w:rsidRDefault="00DE7C4F" w:rsidP="00666E06">
      <w:r w:rsidRPr="00064304">
        <w:t xml:space="preserve">The NSE </w:t>
      </w:r>
      <w:r w:rsidR="00CC1E80" w:rsidRPr="00064304">
        <w:t xml:space="preserve">seismic </w:t>
      </w:r>
      <w:r w:rsidRPr="00064304">
        <w:t>designer needs to interface with many other design disciplines</w:t>
      </w:r>
      <w:r w:rsidR="009F65E0" w:rsidRPr="00064304">
        <w:t>, and to coordina</w:t>
      </w:r>
      <w:r w:rsidR="00CC1E80" w:rsidRPr="00064304">
        <w:t>te</w:t>
      </w:r>
      <w:r w:rsidR="009F65E0" w:rsidRPr="00064304">
        <w:t xml:space="preserve"> for geometry, loading, movements, detailing, and specification.</w:t>
      </w:r>
    </w:p>
    <w:p w14:paraId="24DABE9E" w14:textId="48733DF6" w:rsidR="009F65E0" w:rsidRPr="00064304" w:rsidRDefault="001E46FA" w:rsidP="00666E06">
      <w:r w:rsidRPr="00064304">
        <w:lastRenderedPageBreak/>
        <w:t xml:space="preserve">A detailed description of the expected interfaces in included in the BIP </w:t>
      </w:r>
      <w:r w:rsidR="00EE1B68" w:rsidRPr="00064304">
        <w:t xml:space="preserve">NSE </w:t>
      </w:r>
      <w:r w:rsidRPr="00064304">
        <w:t>Cod</w:t>
      </w:r>
      <w:r w:rsidR="009E1381" w:rsidRPr="00064304">
        <w:t>e of Practice</w:t>
      </w:r>
      <w:r w:rsidR="007B61F7" w:rsidRPr="00064304">
        <w:t>. This is considered good practice and should be followed for all hospital projects</w:t>
      </w:r>
      <w:r w:rsidR="00AF0D69" w:rsidRPr="00064304">
        <w:t>.</w:t>
      </w:r>
    </w:p>
    <w:p w14:paraId="023EE3F6" w14:textId="77777777" w:rsidR="00752C24" w:rsidRPr="00064304" w:rsidRDefault="00752C24" w:rsidP="00957359">
      <w:pPr>
        <w:pStyle w:val="Section3heading3"/>
      </w:pPr>
      <w:r w:rsidRPr="00064304">
        <w:t>Documentation for NSE Support and Restraint</w:t>
      </w:r>
    </w:p>
    <w:p w14:paraId="043339D2" w14:textId="7BE1ACA0" w:rsidR="003B5C7A" w:rsidRPr="00064304" w:rsidRDefault="003B5C7A" w:rsidP="00666E06">
      <w:r w:rsidRPr="00064304">
        <w:t>The following are expected from the Non-Structural Element designer(s). Where project specific requirements conflict with this list, the project specific requirements take precedence.</w:t>
      </w:r>
    </w:p>
    <w:p w14:paraId="63849EB6" w14:textId="7B094359" w:rsidR="00B669F1" w:rsidRPr="00064304" w:rsidRDefault="008234C8" w:rsidP="004D55F1">
      <w:pPr>
        <w:pStyle w:val="ListParagraph"/>
        <w:numPr>
          <w:ilvl w:val="0"/>
          <w:numId w:val="52"/>
        </w:numPr>
      </w:pPr>
      <w:r w:rsidRPr="00064304">
        <w:t xml:space="preserve">NSE Seismic Design Strategy (refer to Section </w:t>
      </w:r>
      <w:r w:rsidR="00F32901" w:rsidRPr="00064304">
        <w:fldChar w:fldCharType="begin"/>
      </w:r>
      <w:r w:rsidR="00F32901" w:rsidRPr="00064304">
        <w:instrText xml:space="preserve"> REF _Ref152139034 \r \h </w:instrText>
      </w:r>
      <w:r w:rsidR="00F422F0" w:rsidRPr="00064304">
        <w:instrText xml:space="preserve"> \* MERGEFORMAT </w:instrText>
      </w:r>
      <w:r w:rsidR="00F32901" w:rsidRPr="00064304">
        <w:fldChar w:fldCharType="separate"/>
      </w:r>
      <w:r w:rsidR="000761C1">
        <w:t>A3.2</w:t>
      </w:r>
      <w:r w:rsidR="00F32901" w:rsidRPr="00064304">
        <w:fldChar w:fldCharType="end"/>
      </w:r>
      <w:r w:rsidRPr="00064304">
        <w:t>)</w:t>
      </w:r>
    </w:p>
    <w:p w14:paraId="3C3DD42D" w14:textId="185DDA19" w:rsidR="003B5C7A" w:rsidRPr="00064304" w:rsidRDefault="003B5C7A" w:rsidP="004D55F1">
      <w:pPr>
        <w:pStyle w:val="ListParagraph"/>
        <w:numPr>
          <w:ilvl w:val="0"/>
          <w:numId w:val="52"/>
        </w:numPr>
      </w:pPr>
      <w:r w:rsidRPr="00064304">
        <w:t>2D Drawing</w:t>
      </w:r>
      <w:r w:rsidR="00C81679" w:rsidRPr="00064304">
        <w:t>s</w:t>
      </w:r>
      <w:r w:rsidRPr="00064304">
        <w:t>. In general, these are expected to be read in conjunction with those of the parent element (services, partitions, ceiling etc). They should therefore align with parent element drawings (for project zoning, nomenclature etc).</w:t>
      </w:r>
    </w:p>
    <w:p w14:paraId="2B01A69A" w14:textId="479B3051" w:rsidR="003B5C7A" w:rsidRPr="00064304" w:rsidRDefault="003B5C7A" w:rsidP="004D55F1">
      <w:pPr>
        <w:pStyle w:val="ListParagraph"/>
        <w:numPr>
          <w:ilvl w:val="0"/>
          <w:numId w:val="52"/>
        </w:numPr>
      </w:pPr>
      <w:r w:rsidRPr="00064304">
        <w:t>3D Model. The model is expected to be provide</w:t>
      </w:r>
      <w:r w:rsidR="008234C8" w:rsidRPr="00064304">
        <w:t>d</w:t>
      </w:r>
      <w:r w:rsidRPr="00064304">
        <w:t xml:space="preserve"> for coordination and information purposes. Refer to </w:t>
      </w:r>
      <w:r w:rsidR="003C3341" w:rsidRPr="00064304">
        <w:t>S</w:t>
      </w:r>
      <w:r w:rsidRPr="00064304">
        <w:t xml:space="preserve">ection </w:t>
      </w:r>
      <w:r w:rsidR="003C3341" w:rsidRPr="00064304">
        <w:fldChar w:fldCharType="begin"/>
      </w:r>
      <w:r w:rsidR="003C3341" w:rsidRPr="00064304">
        <w:instrText xml:space="preserve"> REF _Ref152819761 \r \h  \* MERGEFORMAT </w:instrText>
      </w:r>
      <w:r w:rsidR="003C3341" w:rsidRPr="00064304">
        <w:fldChar w:fldCharType="separate"/>
      </w:r>
      <w:r w:rsidR="000761C1">
        <w:t>C4.2.5</w:t>
      </w:r>
      <w:r w:rsidR="003C3341" w:rsidRPr="00064304">
        <w:fldChar w:fldCharType="end"/>
      </w:r>
      <w:r w:rsidR="003C3341" w:rsidRPr="00064304">
        <w:t xml:space="preserve"> </w:t>
      </w:r>
      <w:r w:rsidRPr="00064304">
        <w:t>for further information on modelling and coordination expectations.</w:t>
      </w:r>
    </w:p>
    <w:p w14:paraId="79613D21" w14:textId="0C4E8BDD" w:rsidR="003B5C7A" w:rsidRPr="00064304" w:rsidRDefault="003B5C7A" w:rsidP="004D55F1">
      <w:pPr>
        <w:pStyle w:val="ListParagraph"/>
        <w:numPr>
          <w:ilvl w:val="0"/>
          <w:numId w:val="52"/>
        </w:numPr>
      </w:pPr>
      <w:r w:rsidRPr="00064304">
        <w:t>Specifications. Material specifications shall be provided and coordinated with those of the parent element (services, partitions, ceiling etc).</w:t>
      </w:r>
    </w:p>
    <w:p w14:paraId="22731D5E" w14:textId="77777777" w:rsidR="003B5C7A" w:rsidRPr="00064304" w:rsidRDefault="003B5C7A" w:rsidP="004D55F1">
      <w:pPr>
        <w:pStyle w:val="ListParagraph"/>
        <w:numPr>
          <w:ilvl w:val="0"/>
          <w:numId w:val="52"/>
        </w:numPr>
      </w:pPr>
      <w:r w:rsidRPr="00064304">
        <w:t>Supporting calculations for Building Consent.</w:t>
      </w:r>
    </w:p>
    <w:p w14:paraId="10A4252F" w14:textId="1B67876B" w:rsidR="003B5C7A" w:rsidRPr="00064304" w:rsidRDefault="00C81679" w:rsidP="004D55F1">
      <w:pPr>
        <w:pStyle w:val="ListParagraph"/>
        <w:numPr>
          <w:ilvl w:val="0"/>
          <w:numId w:val="52"/>
        </w:numPr>
      </w:pPr>
      <w:r w:rsidRPr="00064304">
        <w:t>Producer Statements for Design and Construction Review</w:t>
      </w:r>
      <w:r w:rsidR="00C56C9D">
        <w:t xml:space="preserve"> - </w:t>
      </w:r>
      <w:r w:rsidR="003B5C7A" w:rsidRPr="00064304">
        <w:t>PS1 and PS4.</w:t>
      </w:r>
    </w:p>
    <w:p w14:paraId="0E998CE5" w14:textId="0C22F0F2" w:rsidR="00A858B1" w:rsidRPr="00064304" w:rsidRDefault="00A858B1" w:rsidP="00957359">
      <w:pPr>
        <w:pStyle w:val="Section3heading3"/>
      </w:pPr>
      <w:bookmarkStart w:id="339" w:name="_Ref157780708"/>
      <w:r w:rsidRPr="00064304">
        <w:t>Design Approach</w:t>
      </w:r>
      <w:bookmarkEnd w:id="339"/>
    </w:p>
    <w:p w14:paraId="1BC70904" w14:textId="77777777" w:rsidR="00A858B1" w:rsidRPr="00957359" w:rsidRDefault="00A858B1" w:rsidP="00D56CAE">
      <w:pPr>
        <w:pStyle w:val="BodyHeading"/>
        <w:rPr>
          <w:color w:val="003399"/>
          <w:lang w:val="en-US"/>
        </w:rPr>
      </w:pPr>
      <w:r w:rsidRPr="00957359">
        <w:rPr>
          <w:color w:val="003399"/>
          <w:lang w:val="en-US"/>
        </w:rPr>
        <w:t>Combined, Holistic Design</w:t>
      </w:r>
    </w:p>
    <w:p w14:paraId="3DB1AB68" w14:textId="77777777" w:rsidR="00A858B1" w:rsidRPr="00064304" w:rsidRDefault="00A858B1" w:rsidP="00666E06">
      <w:pPr>
        <w:rPr>
          <w:lang w:val="en-US"/>
        </w:rPr>
      </w:pPr>
      <w:r w:rsidRPr="00064304">
        <w:rPr>
          <w:lang w:val="en-US"/>
        </w:rPr>
        <w:t>Historically, the design of individual services, of ceilings, and of partitions has been undertaken by different designers, often operating in contractual silos. This rarely leads to best-for-project outcomes as it requires individual restraints to every individual element, with less opportunity for consolidation. Consolidation can reduce site clashes and improve efficiency.</w:t>
      </w:r>
    </w:p>
    <w:p w14:paraId="64097D29" w14:textId="77777777" w:rsidR="00A858B1" w:rsidRPr="00064304" w:rsidRDefault="00A858B1" w:rsidP="00666E06">
      <w:pPr>
        <w:rPr>
          <w:lang w:val="en-US"/>
        </w:rPr>
      </w:pPr>
      <w:r w:rsidRPr="00064304">
        <w:rPr>
          <w:lang w:val="en-US"/>
        </w:rPr>
        <w:t>Specific examples include the ability for partitions to resist the additional loads from edge-fixed ceilings, or services sub-frames being able to carry ceiling loads, and ceiling grids with suitable allowances for light equipment loading.</w:t>
      </w:r>
    </w:p>
    <w:p w14:paraId="5B137991" w14:textId="77777777" w:rsidR="00A858B1" w:rsidRPr="00064304" w:rsidRDefault="00A858B1" w:rsidP="00666E06">
      <w:pPr>
        <w:rPr>
          <w:lang w:val="en-US"/>
        </w:rPr>
      </w:pPr>
      <w:r w:rsidRPr="00064304">
        <w:rPr>
          <w:lang w:val="en-US"/>
        </w:rPr>
        <w:t>The Non-Structural Element Seismic Design Strategy should set out the holistic considerations for how different NSE restraints interact, and expectations for carrying loads from other NSEs.</w:t>
      </w:r>
    </w:p>
    <w:p w14:paraId="152B8A31" w14:textId="77777777" w:rsidR="00A858B1" w:rsidRPr="00064304" w:rsidRDefault="00A858B1" w:rsidP="00666E06">
      <w:pPr>
        <w:rPr>
          <w:lang w:val="en-US"/>
        </w:rPr>
      </w:pPr>
      <w:r w:rsidRPr="00064304">
        <w:rPr>
          <w:lang w:val="en-US"/>
        </w:rPr>
        <w:t>This should also consider the future needs of the hospitals and appropriate (reasonable) allowances for future modifications that may rely on the fixing back of new non-structural elements to existing non-structural elements. This could include:</w:t>
      </w:r>
    </w:p>
    <w:p w14:paraId="42613D76" w14:textId="77777777" w:rsidR="00A858B1" w:rsidRPr="00064304" w:rsidRDefault="00A858B1" w:rsidP="004D55F1">
      <w:pPr>
        <w:pStyle w:val="ListParagraph"/>
        <w:numPr>
          <w:ilvl w:val="0"/>
          <w:numId w:val="20"/>
        </w:numPr>
        <w:rPr>
          <w:lang w:val="en-US"/>
        </w:rPr>
      </w:pPr>
      <w:r w:rsidRPr="00064304">
        <w:rPr>
          <w:lang w:val="en-US"/>
        </w:rPr>
        <w:t>Partitions designed to resist tributary ceiling loads from adjacent small rooms, and to allow for face fixing of light finishes.</w:t>
      </w:r>
    </w:p>
    <w:p w14:paraId="277FB288" w14:textId="77777777" w:rsidR="00A858B1" w:rsidRPr="00064304" w:rsidRDefault="00A858B1" w:rsidP="004D55F1">
      <w:pPr>
        <w:pStyle w:val="ListParagraph"/>
        <w:numPr>
          <w:ilvl w:val="0"/>
          <w:numId w:val="20"/>
        </w:numPr>
        <w:rPr>
          <w:lang w:val="en-US"/>
        </w:rPr>
      </w:pPr>
      <w:r w:rsidRPr="00064304">
        <w:rPr>
          <w:lang w:val="en-US"/>
        </w:rPr>
        <w:t>Engineered frames for services designed to resist loadings from ceilings and services underneath.</w:t>
      </w:r>
    </w:p>
    <w:p w14:paraId="68F0DD00" w14:textId="77777777" w:rsidR="00A858B1" w:rsidRPr="00064304" w:rsidRDefault="00A858B1" w:rsidP="004D55F1">
      <w:pPr>
        <w:pStyle w:val="ListParagraph"/>
        <w:numPr>
          <w:ilvl w:val="0"/>
          <w:numId w:val="20"/>
        </w:numPr>
        <w:rPr>
          <w:lang w:val="en-US"/>
        </w:rPr>
      </w:pPr>
      <w:r w:rsidRPr="00064304">
        <w:rPr>
          <w:lang w:val="en-US"/>
        </w:rPr>
        <w:t>Ceilings designed to resist loads from lighting and lightweight equipment.</w:t>
      </w:r>
    </w:p>
    <w:p w14:paraId="7B5B41C8" w14:textId="77777777" w:rsidR="00A858B1" w:rsidRPr="00064304" w:rsidRDefault="00A858B1" w:rsidP="00666E06">
      <w:pPr>
        <w:rPr>
          <w:lang w:val="en-US"/>
        </w:rPr>
      </w:pPr>
      <w:r w:rsidRPr="00064304">
        <w:rPr>
          <w:lang w:val="en-US"/>
        </w:rPr>
        <w:lastRenderedPageBreak/>
        <w:t>The intent of these guiding principles is to create reasonable future flexibility without driving disproportionate costs.</w:t>
      </w:r>
    </w:p>
    <w:p w14:paraId="76F78E5D" w14:textId="77777777" w:rsidR="00A858B1" w:rsidRPr="00957359" w:rsidRDefault="00A858B1" w:rsidP="00D56CAE">
      <w:pPr>
        <w:pStyle w:val="BodyHeading"/>
        <w:rPr>
          <w:color w:val="003399"/>
          <w:lang w:val="en-US"/>
        </w:rPr>
      </w:pPr>
      <w:r w:rsidRPr="00957359">
        <w:rPr>
          <w:color w:val="003399"/>
          <w:lang w:val="en-US"/>
        </w:rPr>
        <w:t>Integration with overall building movement strategy</w:t>
      </w:r>
    </w:p>
    <w:p w14:paraId="121D779B" w14:textId="5045DE19" w:rsidR="00A858B1" w:rsidRPr="00064304" w:rsidRDefault="00A858B1" w:rsidP="00666E06">
      <w:pPr>
        <w:rPr>
          <w:lang w:val="en-US"/>
        </w:rPr>
      </w:pPr>
      <w:r w:rsidRPr="00064304">
        <w:rPr>
          <w:lang w:val="en-US"/>
        </w:rPr>
        <w:t xml:space="preserve">As well as designing the seismic restraints of NSEs, the NSE </w:t>
      </w:r>
      <w:r w:rsidR="00712CB5" w:rsidRPr="00064304">
        <w:rPr>
          <w:lang w:val="en-US"/>
        </w:rPr>
        <w:t>Seismic</w:t>
      </w:r>
      <w:r w:rsidRPr="00064304">
        <w:rPr>
          <w:lang w:val="en-US"/>
        </w:rPr>
        <w:t xml:space="preserve"> </w:t>
      </w:r>
      <w:r w:rsidR="00F17FBB" w:rsidRPr="00064304">
        <w:rPr>
          <w:lang w:val="en-US"/>
        </w:rPr>
        <w:t>D</w:t>
      </w:r>
      <w:r w:rsidRPr="00064304">
        <w:rPr>
          <w:lang w:val="en-US"/>
        </w:rPr>
        <w:t>esigner has a key role ensuring that NSE can accommodate building movements as defined and communicated by the structural engineer. This guideline provides information on levels of overall structural movements (interstorey drift) that can improve practicality of NSE design</w:t>
      </w:r>
      <w:r w:rsidR="00B624F1">
        <w:rPr>
          <w:lang w:val="en-US"/>
        </w:rPr>
        <w:t xml:space="preserve"> </w:t>
      </w:r>
      <w:r w:rsidRPr="00064304">
        <w:rPr>
          <w:lang w:val="en-US"/>
        </w:rPr>
        <w:t>so that this can be considered as part of structural system selection.</w:t>
      </w:r>
    </w:p>
    <w:p w14:paraId="0F82257E" w14:textId="6B79D972" w:rsidR="00A858B1" w:rsidRPr="00064304" w:rsidRDefault="00A858B1" w:rsidP="00666E06">
      <w:pPr>
        <w:rPr>
          <w:lang w:val="en-US"/>
        </w:rPr>
      </w:pPr>
      <w:r w:rsidRPr="00064304">
        <w:rPr>
          <w:lang w:val="en-US"/>
        </w:rPr>
        <w:t xml:space="preserve">The NSE </w:t>
      </w:r>
      <w:r w:rsidR="00712CB5" w:rsidRPr="00064304">
        <w:rPr>
          <w:lang w:val="en-US"/>
        </w:rPr>
        <w:t>Seismic</w:t>
      </w:r>
      <w:r w:rsidRPr="00064304">
        <w:rPr>
          <w:lang w:val="en-US"/>
        </w:rPr>
        <w:t xml:space="preserve"> </w:t>
      </w:r>
      <w:r w:rsidR="00F17FBB" w:rsidRPr="00064304">
        <w:rPr>
          <w:lang w:val="en-US"/>
        </w:rPr>
        <w:t>D</w:t>
      </w:r>
      <w:r w:rsidRPr="00064304">
        <w:rPr>
          <w:lang w:val="en-US"/>
        </w:rPr>
        <w:t xml:space="preserve">esigner should work with the architect and building services engineer to ensure that the strategy and the detailing will meet the project performance requirements. This is often most challenging for partitions and their interface with suspended services. Further guidance on these is provided in Sections </w:t>
      </w:r>
      <w:r w:rsidRPr="00064304">
        <w:rPr>
          <w:lang w:val="en-US"/>
        </w:rPr>
        <w:fldChar w:fldCharType="begin"/>
      </w:r>
      <w:r w:rsidRPr="00064304">
        <w:rPr>
          <w:lang w:val="en-US"/>
        </w:rPr>
        <w:instrText xml:space="preserve"> REF _Ref152820707 \r \h </w:instrText>
      </w:r>
      <w:r w:rsidR="00064304">
        <w:rPr>
          <w:lang w:val="en-US"/>
        </w:rPr>
        <w:instrText xml:space="preserve"> \* MERGEFORMAT </w:instrText>
      </w:r>
      <w:r w:rsidRPr="00064304">
        <w:rPr>
          <w:lang w:val="en-US"/>
        </w:rPr>
      </w:r>
      <w:r w:rsidRPr="00064304">
        <w:rPr>
          <w:lang w:val="en-US"/>
        </w:rPr>
        <w:fldChar w:fldCharType="separate"/>
      </w:r>
      <w:r w:rsidR="000761C1">
        <w:rPr>
          <w:lang w:val="en-US"/>
        </w:rPr>
        <w:t>C4.5</w:t>
      </w:r>
      <w:r w:rsidRPr="00064304">
        <w:rPr>
          <w:lang w:val="en-US"/>
        </w:rPr>
        <w:fldChar w:fldCharType="end"/>
      </w:r>
      <w:r w:rsidRPr="00064304">
        <w:rPr>
          <w:lang w:val="en-US"/>
        </w:rPr>
        <w:t xml:space="preserve"> and </w:t>
      </w:r>
      <w:r w:rsidRPr="00064304">
        <w:rPr>
          <w:lang w:val="en-US"/>
        </w:rPr>
        <w:fldChar w:fldCharType="begin"/>
      </w:r>
      <w:r w:rsidRPr="00064304">
        <w:rPr>
          <w:lang w:val="en-US"/>
        </w:rPr>
        <w:instrText xml:space="preserve"> REF _Ref152820724 \r \h </w:instrText>
      </w:r>
      <w:r w:rsidR="00064304">
        <w:rPr>
          <w:lang w:val="en-US"/>
        </w:rPr>
        <w:instrText xml:space="preserve"> \* MERGEFORMAT </w:instrText>
      </w:r>
      <w:r w:rsidRPr="00064304">
        <w:rPr>
          <w:lang w:val="en-US"/>
        </w:rPr>
      </w:r>
      <w:r w:rsidRPr="00064304">
        <w:rPr>
          <w:lang w:val="en-US"/>
        </w:rPr>
        <w:fldChar w:fldCharType="separate"/>
      </w:r>
      <w:r w:rsidR="000761C1">
        <w:rPr>
          <w:lang w:val="en-US"/>
        </w:rPr>
        <w:t>C4.7</w:t>
      </w:r>
      <w:r w:rsidRPr="00064304">
        <w:rPr>
          <w:lang w:val="en-US"/>
        </w:rPr>
        <w:fldChar w:fldCharType="end"/>
      </w:r>
      <w:r w:rsidRPr="00064304">
        <w:rPr>
          <w:lang w:val="en-US"/>
        </w:rPr>
        <w:t>.</w:t>
      </w:r>
    </w:p>
    <w:p w14:paraId="5B9878B9" w14:textId="77777777" w:rsidR="00601367" w:rsidRPr="00957359" w:rsidRDefault="00601367" w:rsidP="00D56CAE">
      <w:pPr>
        <w:pStyle w:val="BodyHeading"/>
        <w:rPr>
          <w:color w:val="003399"/>
          <w:lang w:val="en-US"/>
        </w:rPr>
      </w:pPr>
      <w:r w:rsidRPr="00957359">
        <w:rPr>
          <w:color w:val="003399"/>
          <w:lang w:val="en-US"/>
        </w:rPr>
        <w:t>In-Ceiling Coordination</w:t>
      </w:r>
    </w:p>
    <w:p w14:paraId="035C256E" w14:textId="64EBBB32" w:rsidR="00601367" w:rsidRPr="00064304" w:rsidRDefault="00601367" w:rsidP="00666E06">
      <w:pPr>
        <w:rPr>
          <w:lang w:val="en-US"/>
        </w:rPr>
      </w:pPr>
      <w:r w:rsidRPr="00064304">
        <w:rPr>
          <w:lang w:val="en-US"/>
        </w:rPr>
        <w:t>In-ceiling areas have historically been some of the most challenging areas of projects to coordinate effectively</w:t>
      </w:r>
      <w:r w:rsidR="00B53FEE">
        <w:rPr>
          <w:lang w:val="en-US"/>
        </w:rPr>
        <w:t xml:space="preserve"> </w:t>
      </w:r>
      <w:r w:rsidRPr="00064304">
        <w:rPr>
          <w:lang w:val="en-US"/>
        </w:rPr>
        <w:t xml:space="preserve">with part of the challenge being visibility of support and restraint systems. Therefore, notwithstanding lead coordination roles defined at a project level, the NSE </w:t>
      </w:r>
      <w:r w:rsidR="00712CB5" w:rsidRPr="00064304">
        <w:rPr>
          <w:lang w:val="en-US"/>
        </w:rPr>
        <w:t>Seismic Designer</w:t>
      </w:r>
      <w:r w:rsidRPr="00064304">
        <w:rPr>
          <w:lang w:val="en-US"/>
        </w:rPr>
        <w:t xml:space="preserve"> should provide key strategic inputs into in-ceiling coordination. This should be specifically addressed within the Non-Structural Element Seismic Design Strategy and should include:</w:t>
      </w:r>
    </w:p>
    <w:p w14:paraId="0114A6BC" w14:textId="77777777" w:rsidR="00601367" w:rsidRPr="00064304" w:rsidRDefault="00601367" w:rsidP="004D55F1">
      <w:pPr>
        <w:pStyle w:val="ListParagraph"/>
        <w:numPr>
          <w:ilvl w:val="0"/>
          <w:numId w:val="41"/>
        </w:numPr>
        <w:rPr>
          <w:lang w:val="en-US"/>
        </w:rPr>
      </w:pPr>
      <w:r w:rsidRPr="00064304">
        <w:rPr>
          <w:lang w:val="en-US"/>
        </w:rPr>
        <w:t>How lower elements (ceilings, partitions) will obtain their support/restraint past higher elements (services).</w:t>
      </w:r>
    </w:p>
    <w:p w14:paraId="104D2F80" w14:textId="13B9FC7F" w:rsidR="00601367" w:rsidRPr="00064304" w:rsidRDefault="00601367" w:rsidP="004D55F1">
      <w:pPr>
        <w:pStyle w:val="ListParagraph"/>
        <w:numPr>
          <w:ilvl w:val="0"/>
          <w:numId w:val="41"/>
        </w:numPr>
        <w:rPr>
          <w:lang w:val="en-US"/>
        </w:rPr>
      </w:pPr>
      <w:r w:rsidRPr="00064304">
        <w:rPr>
          <w:lang w:val="en-US"/>
        </w:rPr>
        <w:t>Where it is impossible for lower elements to obtain support/restraint directly past higher elements, what will be done</w:t>
      </w:r>
      <w:r w:rsidR="00A43953">
        <w:rPr>
          <w:lang w:val="en-US"/>
        </w:rPr>
        <w:t xml:space="preserve">. </w:t>
      </w:r>
      <w:r w:rsidRPr="00064304">
        <w:rPr>
          <w:lang w:val="en-US"/>
        </w:rPr>
        <w:t>For example, transfer elements or engineered frames.</w:t>
      </w:r>
    </w:p>
    <w:p w14:paraId="7C23F3A0" w14:textId="77777777" w:rsidR="00601367" w:rsidRPr="00064304" w:rsidRDefault="00601367" w:rsidP="004D55F1">
      <w:pPr>
        <w:pStyle w:val="ListParagraph"/>
        <w:numPr>
          <w:ilvl w:val="0"/>
          <w:numId w:val="41"/>
        </w:numPr>
        <w:rPr>
          <w:lang w:val="en-US"/>
        </w:rPr>
      </w:pPr>
      <w:r w:rsidRPr="00064304">
        <w:rPr>
          <w:lang w:val="en-US"/>
        </w:rPr>
        <w:t xml:space="preserve">Spatial requirements for supports and bracing. </w:t>
      </w:r>
    </w:p>
    <w:p w14:paraId="0A463A53" w14:textId="77777777" w:rsidR="00601367" w:rsidRPr="00064304" w:rsidRDefault="00601367" w:rsidP="004D55F1">
      <w:pPr>
        <w:pStyle w:val="ListParagraph"/>
        <w:numPr>
          <w:ilvl w:val="0"/>
          <w:numId w:val="41"/>
        </w:numPr>
        <w:rPr>
          <w:lang w:val="en-US"/>
        </w:rPr>
      </w:pPr>
      <w:r w:rsidRPr="00064304">
        <w:rPr>
          <w:lang w:val="en-US"/>
        </w:rPr>
        <w:t>Whether services will be consolidated on shared supports, and if so, guidance for doing so.</w:t>
      </w:r>
    </w:p>
    <w:p w14:paraId="43384151" w14:textId="7BD65FD3" w:rsidR="00601367" w:rsidRPr="00064304" w:rsidRDefault="00601367" w:rsidP="00666E06">
      <w:pPr>
        <w:rPr>
          <w:lang w:val="en-US"/>
        </w:rPr>
      </w:pPr>
      <w:r w:rsidRPr="00064304">
        <w:rPr>
          <w:lang w:val="en-US"/>
        </w:rPr>
        <w:t xml:space="preserve">The NSE </w:t>
      </w:r>
      <w:r w:rsidR="00712CB5" w:rsidRPr="00064304">
        <w:rPr>
          <w:lang w:val="en-US"/>
        </w:rPr>
        <w:t>Seismic Designer</w:t>
      </w:r>
      <w:r w:rsidRPr="00064304">
        <w:rPr>
          <w:lang w:val="en-US"/>
        </w:rPr>
        <w:t xml:space="preserve"> should take an active role in coordination through the developed and detailed design phases, including giving active feedback to parent element designers if a more buildable solution would be achieved by moving parent elements</w:t>
      </w:r>
      <w:r w:rsidR="00A43953">
        <w:rPr>
          <w:lang w:val="en-US"/>
        </w:rPr>
        <w:t xml:space="preserve">. </w:t>
      </w:r>
      <w:r w:rsidRPr="00064304">
        <w:rPr>
          <w:lang w:val="en-US"/>
        </w:rPr>
        <w:t xml:space="preserve">Because the coordination of seismic restraints is primarily driven by the position of the parent element, projects should agree an active communication and response loop between the NSE </w:t>
      </w:r>
      <w:r w:rsidR="00712CB5" w:rsidRPr="00064304">
        <w:rPr>
          <w:lang w:val="en-US"/>
        </w:rPr>
        <w:t>Seismic Designer</w:t>
      </w:r>
      <w:r w:rsidRPr="00064304">
        <w:rPr>
          <w:lang w:val="en-US"/>
        </w:rPr>
        <w:t xml:space="preserve"> and parent element designers.</w:t>
      </w:r>
    </w:p>
    <w:p w14:paraId="602E9EFC" w14:textId="42795DA2" w:rsidR="00601367" w:rsidRPr="00064304" w:rsidRDefault="00601367" w:rsidP="00536BD7">
      <w:pPr>
        <w:pStyle w:val="BoxBullet"/>
        <w:numPr>
          <w:ilvl w:val="0"/>
          <w:numId w:val="0"/>
        </w:numPr>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064304">
        <w:t>In general, many of the rules that experienced designers apply to building design can be applied to ceiling design. Examples include:</w:t>
      </w:r>
    </w:p>
    <w:p w14:paraId="77960C39" w14:textId="4509DBFB" w:rsidR="00601367" w:rsidRPr="00064304" w:rsidRDefault="00601367" w:rsidP="00536BD7">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60"/>
      </w:pPr>
      <w:r w:rsidRPr="00064304">
        <w:t>Primary services routes:  These can often be reflected into the ceiling by architectural requirements below, for example over primary corridors. These zones can be reinforced by early modelling of restraint-led elements (pre-engineered frames)</w:t>
      </w:r>
    </w:p>
    <w:p w14:paraId="525FEF60" w14:textId="0965CE97" w:rsidR="00601367" w:rsidRPr="00064304" w:rsidRDefault="00601367" w:rsidP="00536BD7">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60"/>
      </w:pPr>
      <w:r w:rsidRPr="00064304">
        <w:t>Vertical ‘zoning’ (comparable to overall floor-to-floor build-ups) should be applied within ceilings. This should be used to define horizontal bands that represent preferred zones to place specific services in</w:t>
      </w:r>
      <w:r w:rsidR="00A43953">
        <w:t xml:space="preserve">. </w:t>
      </w:r>
      <w:r w:rsidRPr="00064304">
        <w:t xml:space="preserve">Many zones might be shared – for </w:t>
      </w:r>
      <w:r w:rsidRPr="00064304">
        <w:lastRenderedPageBreak/>
        <w:t>example a lower 200mm zone might be appropriate for ceiling, lighting, and partition deflection heads</w:t>
      </w:r>
      <w:r w:rsidR="00A43953">
        <w:t xml:space="preserve">. </w:t>
      </w:r>
      <w:r w:rsidRPr="00064304">
        <w:t>An upper zone might be shared between structural beams and piped services</w:t>
      </w:r>
      <w:r w:rsidR="00B53FEE">
        <w:t xml:space="preserve"> </w:t>
      </w:r>
      <w:r w:rsidRPr="00064304">
        <w:t>and possibly ducted services depending on the strategies adopted for structural depth and perforations.</w:t>
      </w:r>
    </w:p>
    <w:p w14:paraId="456F1BB4" w14:textId="64185AAC" w:rsidR="00601367" w:rsidRPr="00064304" w:rsidRDefault="00601367" w:rsidP="00536BD7">
      <w:pPr>
        <w:pStyle w:val="BoxBullet"/>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ind w:left="360"/>
      </w:pPr>
      <w:r w:rsidRPr="00064304">
        <w:t xml:space="preserve">Ceiling subgrids. Just as grids are used to define primary structural locations, ceiling subgrids can assist in ceiling coordination. Useful subgrids may include that of the ceiling grid (often 1.2m) to align with ceiling hanger locations, or a multiple of hospital “bed grids” to align with room </w:t>
      </w:r>
      <w:r w:rsidR="00EB07D2" w:rsidRPr="00064304">
        <w:t>setout</w:t>
      </w:r>
      <w:r w:rsidRPr="00064304">
        <w:t>.</w:t>
      </w:r>
    </w:p>
    <w:p w14:paraId="3A844DDD" w14:textId="4CE99C52" w:rsidR="00F078FC" w:rsidRPr="00064304" w:rsidRDefault="00B00E93" w:rsidP="00957359">
      <w:pPr>
        <w:pStyle w:val="Section3heading3"/>
      </w:pPr>
      <w:bookmarkStart w:id="340" w:name="_Ref152819761"/>
      <w:r w:rsidRPr="00064304">
        <w:t>Coordination and BIM Processes</w:t>
      </w:r>
      <w:bookmarkEnd w:id="340"/>
    </w:p>
    <w:p w14:paraId="2EACCFAB" w14:textId="77777777" w:rsidR="005374DD" w:rsidRPr="00957359" w:rsidRDefault="005374DD" w:rsidP="00D56CAE">
      <w:pPr>
        <w:pStyle w:val="BodyHeading"/>
        <w:rPr>
          <w:color w:val="003399"/>
        </w:rPr>
      </w:pPr>
      <w:r w:rsidRPr="00957359">
        <w:rPr>
          <w:color w:val="003399"/>
        </w:rPr>
        <w:t>General modelling approaches for coordination purposes</w:t>
      </w:r>
    </w:p>
    <w:p w14:paraId="49A17AA5" w14:textId="0A4EC86E" w:rsidR="00E46981" w:rsidRPr="00064304" w:rsidRDefault="00E46981" w:rsidP="00666E06">
      <w:pPr>
        <w:rPr>
          <w:lang w:val="en-US"/>
        </w:rPr>
      </w:pPr>
      <w:r w:rsidRPr="00064304">
        <w:rPr>
          <w:lang w:val="en-US"/>
        </w:rPr>
        <w:t xml:space="preserve">Refer to the New Zealand BIM Handbook </w:t>
      </w:r>
      <w:sdt>
        <w:sdtPr>
          <w:rPr>
            <w:lang w:val="en-US"/>
          </w:rPr>
          <w:id w:val="1502541439"/>
          <w:citation/>
        </w:sdtPr>
        <w:sdtEndPr/>
        <w:sdtContent>
          <w:r w:rsidR="00854A30" w:rsidRPr="00064304">
            <w:rPr>
              <w:lang w:val="en-US"/>
            </w:rPr>
            <w:fldChar w:fldCharType="begin"/>
          </w:r>
          <w:r w:rsidR="00854A30" w:rsidRPr="00064304">
            <w:rPr>
              <w:lang w:val="en-US"/>
            </w:rPr>
            <w:instrText xml:space="preserve"> CITATION BIM23 \l 1033 </w:instrText>
          </w:r>
          <w:r w:rsidR="00854A30" w:rsidRPr="00064304">
            <w:rPr>
              <w:lang w:val="en-US"/>
            </w:rPr>
            <w:fldChar w:fldCharType="separate"/>
          </w:r>
          <w:r w:rsidR="00222D65">
            <w:rPr>
              <w:noProof/>
              <w:lang w:val="en-US"/>
            </w:rPr>
            <w:t>(BIMinNZ, 2023)</w:t>
          </w:r>
          <w:r w:rsidR="00854A30" w:rsidRPr="00064304">
            <w:rPr>
              <w:lang w:val="en-US"/>
            </w:rPr>
            <w:fldChar w:fldCharType="end"/>
          </w:r>
        </w:sdtContent>
      </w:sdt>
      <w:r w:rsidRPr="00064304">
        <w:rPr>
          <w:lang w:val="en-US"/>
        </w:rPr>
        <w:t xml:space="preserve"> for </w:t>
      </w:r>
      <w:r w:rsidR="0039287D" w:rsidRPr="00064304">
        <w:rPr>
          <w:lang w:val="en-US"/>
        </w:rPr>
        <w:t>terminology and general guidance.</w:t>
      </w:r>
    </w:p>
    <w:p w14:paraId="36A7ADA3" w14:textId="1A107228" w:rsidR="005374DD" w:rsidRPr="00064304" w:rsidRDefault="005374DD" w:rsidP="00666E06">
      <w:pPr>
        <w:rPr>
          <w:lang w:val="en-US"/>
        </w:rPr>
      </w:pPr>
      <w:r w:rsidRPr="00064304">
        <w:rPr>
          <w:lang w:val="en-US"/>
        </w:rPr>
        <w:t xml:space="preserve">Modelling of NSE restraint generally commences in Developed Design. The modelling of NSE </w:t>
      </w:r>
      <w:r w:rsidR="00EA5F7A" w:rsidRPr="00064304">
        <w:rPr>
          <w:lang w:val="en-US"/>
        </w:rPr>
        <w:t>restraint</w:t>
      </w:r>
      <w:r w:rsidRPr="00064304">
        <w:rPr>
          <w:lang w:val="en-US"/>
        </w:rPr>
        <w:t xml:space="preserve"> in a similar timeframe to the parent element is critical to the successful coordination of a project. However, it can also represent a considerable challenge for design teams. The following section sets out good practice recommendations to maximi</w:t>
      </w:r>
      <w:r w:rsidR="009F46D6">
        <w:rPr>
          <w:lang w:val="en-US"/>
        </w:rPr>
        <w:t>s</w:t>
      </w:r>
      <w:r w:rsidRPr="00064304">
        <w:rPr>
          <w:lang w:val="en-US"/>
        </w:rPr>
        <w:t>e coordination benefits whilst limiting additional design phase effort.</w:t>
      </w:r>
    </w:p>
    <w:p w14:paraId="59BD09E0" w14:textId="1C295B00" w:rsidR="005374DD" w:rsidRPr="00064304" w:rsidRDefault="005374DD" w:rsidP="00666E06">
      <w:pPr>
        <w:rPr>
          <w:lang w:val="en-US"/>
        </w:rPr>
      </w:pPr>
      <w:r w:rsidRPr="00064304">
        <w:rPr>
          <w:lang w:val="en-US"/>
        </w:rPr>
        <w:t>Two different approaches are often appropriate. One for more open areas of buildings where the restraints must follow the parent element, and the other for congested areas where pre-engineered frames are used and need to be modelled early.</w:t>
      </w:r>
    </w:p>
    <w:p w14:paraId="4430B10A" w14:textId="6910D4F5" w:rsidR="005374DD" w:rsidRPr="00957359" w:rsidRDefault="005374DD" w:rsidP="00666E06">
      <w:pPr>
        <w:pStyle w:val="EmphasisHeading"/>
        <w:rPr>
          <w:color w:val="003399"/>
          <w:lang w:val="en-US"/>
        </w:rPr>
      </w:pPr>
      <w:r w:rsidRPr="00957359">
        <w:rPr>
          <w:color w:val="003399"/>
          <w:lang w:val="en-US"/>
        </w:rPr>
        <w:t>Parent element led modelling (</w:t>
      </w:r>
      <w:r w:rsidR="00BB71A4" w:rsidRPr="00957359">
        <w:rPr>
          <w:color w:val="003399"/>
          <w:lang w:val="en-US"/>
        </w:rPr>
        <w:t>o</w:t>
      </w:r>
      <w:r w:rsidRPr="00957359">
        <w:rPr>
          <w:color w:val="003399"/>
          <w:lang w:val="en-US"/>
        </w:rPr>
        <w:t>pen areas with trapezes)</w:t>
      </w:r>
    </w:p>
    <w:p w14:paraId="1B049E3B" w14:textId="7994CFCF" w:rsidR="005374DD" w:rsidRPr="00064304" w:rsidRDefault="005374DD" w:rsidP="00666E06">
      <w:r w:rsidRPr="00064304">
        <w:t>The modelling of most restraints will, by necessity, lag the parent element. This</w:t>
      </w:r>
      <w:r w:rsidR="000C66A7" w:rsidRPr="00064304">
        <w:t xml:space="preserve"> modelling</w:t>
      </w:r>
      <w:r w:rsidRPr="00064304">
        <w:t xml:space="preserve"> lag might be as short as one week but should be no longer than half of a design phase length.</w:t>
      </w:r>
    </w:p>
    <w:p w14:paraId="1B370FDB" w14:textId="7F6239C4" w:rsidR="005374DD" w:rsidRPr="00064304" w:rsidRDefault="005374DD" w:rsidP="00666E06">
      <w:pPr>
        <w:rPr>
          <w:lang w:val="en-US"/>
        </w:rPr>
      </w:pPr>
      <w:r w:rsidRPr="00064304">
        <w:rPr>
          <w:lang w:val="en-US"/>
        </w:rPr>
        <w:t xml:space="preserve">There will often be a preference by NSE restraint designers to </w:t>
      </w:r>
      <w:r w:rsidR="00254FF8" w:rsidRPr="00064304">
        <w:rPr>
          <w:lang w:val="en-US"/>
        </w:rPr>
        <w:t>avoid</w:t>
      </w:r>
      <w:r w:rsidRPr="00064304">
        <w:rPr>
          <w:lang w:val="en-US"/>
        </w:rPr>
        <w:t xml:space="preserve"> model</w:t>
      </w:r>
      <w:r w:rsidR="00254FF8" w:rsidRPr="00064304">
        <w:rPr>
          <w:lang w:val="en-US"/>
        </w:rPr>
        <w:t>ing</w:t>
      </w:r>
      <w:r w:rsidRPr="00064304">
        <w:rPr>
          <w:lang w:val="en-US"/>
        </w:rPr>
        <w:t xml:space="preserve"> until the parent element is ‘frozen’</w:t>
      </w:r>
      <w:r w:rsidR="00A43953">
        <w:rPr>
          <w:lang w:val="en-US"/>
        </w:rPr>
        <w:t xml:space="preserve">. </w:t>
      </w:r>
      <w:r w:rsidRPr="00064304">
        <w:rPr>
          <w:lang w:val="en-US"/>
        </w:rPr>
        <w:t>However, the restraint is often the most difficult element to coordinate so their early inclusion in the model is essential so it can guide the adjusted placement of parent services or review of strategies. This is, after all, the purpose of an approach which progresses NSE support and restraint design in parallel with project design phases (rather than Design Build).</w:t>
      </w:r>
    </w:p>
    <w:p w14:paraId="10CC6657" w14:textId="512AFE69" w:rsidR="00DA0267" w:rsidRPr="00064304" w:rsidRDefault="005374DD" w:rsidP="00666E06">
      <w:pPr>
        <w:rPr>
          <w:lang w:val="en-US"/>
        </w:rPr>
      </w:pPr>
      <w:r w:rsidRPr="00064304">
        <w:rPr>
          <w:lang w:val="en-US"/>
        </w:rPr>
        <w:t>The NZCIC guidelines requires coordination to be substantially completed within developed design</w:t>
      </w:r>
      <w:r w:rsidR="00A43953">
        <w:rPr>
          <w:lang w:val="en-US"/>
        </w:rPr>
        <w:t xml:space="preserve">. </w:t>
      </w:r>
      <w:r w:rsidRPr="00064304">
        <w:rPr>
          <w:lang w:val="en-US"/>
        </w:rPr>
        <w:t xml:space="preserve">It should therefore be expected that restraints </w:t>
      </w:r>
      <w:r w:rsidRPr="00064304">
        <w:rPr>
          <w:i/>
          <w:iCs/>
          <w:lang w:val="en-US"/>
        </w:rPr>
        <w:t>that govern coordination</w:t>
      </w:r>
      <w:r w:rsidRPr="00064304">
        <w:rPr>
          <w:lang w:val="en-US"/>
        </w:rPr>
        <w:t xml:space="preserve"> are included within the developed design phase. </w:t>
      </w:r>
      <w:r w:rsidR="00DA0267" w:rsidRPr="00064304">
        <w:rPr>
          <w:lang w:val="en-US"/>
        </w:rPr>
        <w:t xml:space="preserve">A key goal of the NSE </w:t>
      </w:r>
      <w:r w:rsidR="00EA5F7A" w:rsidRPr="00064304">
        <w:rPr>
          <w:lang w:val="en-US"/>
        </w:rPr>
        <w:t>restraint</w:t>
      </w:r>
      <w:r w:rsidR="00DA0267" w:rsidRPr="00064304">
        <w:rPr>
          <w:lang w:val="en-US"/>
        </w:rPr>
        <w:t xml:space="preserve"> modelling in developed design is to ensure building services and architectural in-ceiling modelling occurs with buildability as a primary consideration.</w:t>
      </w:r>
    </w:p>
    <w:p w14:paraId="76438DA8" w14:textId="2C256DCA" w:rsidR="005374DD" w:rsidRPr="00064304" w:rsidRDefault="005374DD" w:rsidP="00666E06">
      <w:pPr>
        <w:rPr>
          <w:lang w:val="en-US"/>
        </w:rPr>
      </w:pPr>
      <w:r w:rsidRPr="00064304">
        <w:rPr>
          <w:lang w:val="en-US"/>
        </w:rPr>
        <w:t>Practical solutions to manage abortive design phase work include the use of LOD100 zones to ‘allocate space’ for restraint early</w:t>
      </w:r>
      <w:r w:rsidR="00A43953">
        <w:rPr>
          <w:lang w:val="en-US"/>
        </w:rPr>
        <w:t xml:space="preserve">. </w:t>
      </w:r>
      <w:r w:rsidRPr="00064304">
        <w:rPr>
          <w:lang w:val="en-US"/>
        </w:rPr>
        <w:t xml:space="preserve">A well-considered Non-Structural Element Seismic Design Strategy should have zones, rules and approaches for in-ceiling </w:t>
      </w:r>
      <w:r w:rsidRPr="00064304">
        <w:rPr>
          <w:lang w:val="en-US"/>
        </w:rPr>
        <w:lastRenderedPageBreak/>
        <w:t>coordination that helps inform the parent element modelers of good practice before they model.</w:t>
      </w:r>
    </w:p>
    <w:p w14:paraId="0E382F65" w14:textId="661E084D" w:rsidR="005374DD" w:rsidRPr="00064304" w:rsidRDefault="005374DD" w:rsidP="00666E06">
      <w:pPr>
        <w:rPr>
          <w:lang w:val="en-US"/>
        </w:rPr>
      </w:pPr>
      <w:r w:rsidRPr="00064304">
        <w:rPr>
          <w:lang w:val="en-US"/>
        </w:rPr>
        <w:t xml:space="preserve">The delivery of </w:t>
      </w:r>
      <w:r w:rsidR="00270A88" w:rsidRPr="00064304">
        <w:rPr>
          <w:lang w:val="en-US"/>
        </w:rPr>
        <w:t xml:space="preserve">formal </w:t>
      </w:r>
      <w:r w:rsidRPr="00064304">
        <w:rPr>
          <w:lang w:val="en-US"/>
        </w:rPr>
        <w:t xml:space="preserve">NSE </w:t>
      </w:r>
      <w:r w:rsidR="00270A88" w:rsidRPr="00064304">
        <w:rPr>
          <w:lang w:val="en-US"/>
        </w:rPr>
        <w:t>seismic design</w:t>
      </w:r>
      <w:r w:rsidRPr="00064304">
        <w:rPr>
          <w:lang w:val="en-US"/>
        </w:rPr>
        <w:t xml:space="preserve"> documentation (drawings) for both developed design and detailed design will lag behind that of the parent disciplines (building services and architecture). Typically, this is by several weeks, depending on scale of project.</w:t>
      </w:r>
    </w:p>
    <w:p w14:paraId="1C7EE8F2" w14:textId="6FA7A45C" w:rsidR="005374DD" w:rsidRPr="00957359" w:rsidRDefault="005374DD" w:rsidP="00666E06">
      <w:pPr>
        <w:pStyle w:val="EmphasisHeading"/>
        <w:rPr>
          <w:color w:val="003399"/>
          <w:lang w:val="en-US"/>
        </w:rPr>
      </w:pPr>
      <w:r w:rsidRPr="00957359">
        <w:rPr>
          <w:color w:val="003399"/>
          <w:lang w:val="en-US"/>
        </w:rPr>
        <w:t>Restraint led modelling (</w:t>
      </w:r>
      <w:r w:rsidR="00BB71A4" w:rsidRPr="00957359">
        <w:rPr>
          <w:color w:val="003399"/>
          <w:lang w:val="en-US"/>
        </w:rPr>
        <w:t>c</w:t>
      </w:r>
      <w:r w:rsidRPr="00957359">
        <w:rPr>
          <w:color w:val="003399"/>
          <w:lang w:val="en-US"/>
        </w:rPr>
        <w:t>ongested areas with pre-engineered frames)</w:t>
      </w:r>
    </w:p>
    <w:p w14:paraId="4BBB48AE" w14:textId="7DD93884" w:rsidR="005374DD" w:rsidRPr="00064304" w:rsidRDefault="005374DD" w:rsidP="00666E06">
      <w:pPr>
        <w:rPr>
          <w:lang w:val="en-US"/>
        </w:rPr>
      </w:pPr>
      <w:r w:rsidRPr="00064304">
        <w:rPr>
          <w:lang w:val="en-US"/>
        </w:rPr>
        <w:t xml:space="preserve">In certain areas, the seismic restraint approach </w:t>
      </w:r>
      <w:r w:rsidR="00A35084" w:rsidRPr="00064304">
        <w:rPr>
          <w:lang w:val="en-US"/>
        </w:rPr>
        <w:t>can benefit from the use of</w:t>
      </w:r>
      <w:r w:rsidRPr="00064304">
        <w:rPr>
          <w:lang w:val="en-US"/>
        </w:rPr>
        <w:t xml:space="preserve"> pre-engineered frames rather than individual supports</w:t>
      </w:r>
      <w:r w:rsidR="00A43953">
        <w:rPr>
          <w:lang w:val="en-US"/>
        </w:rPr>
        <w:t xml:space="preserve">. </w:t>
      </w:r>
      <w:r w:rsidRPr="00064304">
        <w:rPr>
          <w:lang w:val="en-US"/>
        </w:rPr>
        <w:t xml:space="preserve">This </w:t>
      </w:r>
      <w:r w:rsidR="00546715" w:rsidRPr="00064304">
        <w:rPr>
          <w:lang w:val="en-US"/>
        </w:rPr>
        <w:t>can be a suitable approach</w:t>
      </w:r>
      <w:r w:rsidRPr="00064304">
        <w:rPr>
          <w:lang w:val="en-US"/>
        </w:rPr>
        <w:t xml:space="preserve"> in congested areas such as:</w:t>
      </w:r>
    </w:p>
    <w:p w14:paraId="6AE020F6" w14:textId="77777777" w:rsidR="005374DD" w:rsidRPr="00064304" w:rsidRDefault="005374DD" w:rsidP="004D55F1">
      <w:pPr>
        <w:pStyle w:val="ListParagraph"/>
        <w:numPr>
          <w:ilvl w:val="0"/>
          <w:numId w:val="44"/>
        </w:numPr>
        <w:rPr>
          <w:lang w:val="en-US"/>
        </w:rPr>
      </w:pPr>
      <w:r w:rsidRPr="00064304">
        <w:rPr>
          <w:lang w:val="en-US"/>
        </w:rPr>
        <w:t>Plantrooms</w:t>
      </w:r>
    </w:p>
    <w:p w14:paraId="335D70D5" w14:textId="7E43E446" w:rsidR="005374DD" w:rsidRPr="00064304" w:rsidRDefault="005374DD" w:rsidP="004D55F1">
      <w:pPr>
        <w:pStyle w:val="ListParagraph"/>
        <w:numPr>
          <w:ilvl w:val="0"/>
          <w:numId w:val="44"/>
        </w:numPr>
        <w:rPr>
          <w:lang w:val="en-US"/>
        </w:rPr>
      </w:pPr>
      <w:r w:rsidRPr="00064304">
        <w:rPr>
          <w:lang w:val="en-US"/>
        </w:rPr>
        <w:t>Primary service rout</w:t>
      </w:r>
      <w:r w:rsidR="00521732" w:rsidRPr="00064304">
        <w:rPr>
          <w:lang w:val="en-US"/>
        </w:rPr>
        <w:t>e</w:t>
      </w:r>
      <w:r w:rsidRPr="00064304">
        <w:rPr>
          <w:lang w:val="en-US"/>
        </w:rPr>
        <w:t>s and corridors</w:t>
      </w:r>
    </w:p>
    <w:p w14:paraId="22BE71C6" w14:textId="77777777" w:rsidR="005374DD" w:rsidRPr="00064304" w:rsidRDefault="005374DD" w:rsidP="004D55F1">
      <w:pPr>
        <w:pStyle w:val="ListParagraph"/>
        <w:numPr>
          <w:ilvl w:val="0"/>
          <w:numId w:val="44"/>
        </w:numPr>
        <w:rPr>
          <w:lang w:val="en-US"/>
        </w:rPr>
      </w:pPr>
      <w:r w:rsidRPr="00064304">
        <w:rPr>
          <w:lang w:val="en-US"/>
        </w:rPr>
        <w:t>Risers</w:t>
      </w:r>
    </w:p>
    <w:p w14:paraId="7F1F7CF6" w14:textId="5F838453" w:rsidR="005374DD" w:rsidRPr="00064304" w:rsidRDefault="005374DD" w:rsidP="00666E06">
      <w:pPr>
        <w:rPr>
          <w:lang w:val="en-US"/>
        </w:rPr>
      </w:pPr>
      <w:r w:rsidRPr="00064304">
        <w:rPr>
          <w:lang w:val="en-US"/>
        </w:rPr>
        <w:t xml:space="preserve">These </w:t>
      </w:r>
      <w:r w:rsidR="00870F69" w:rsidRPr="00064304">
        <w:rPr>
          <w:lang w:val="en-US"/>
        </w:rPr>
        <w:t>generally comprise</w:t>
      </w:r>
      <w:r w:rsidRPr="00064304">
        <w:rPr>
          <w:lang w:val="en-US"/>
        </w:rPr>
        <w:t xml:space="preserve"> pre-engineered </w:t>
      </w:r>
      <w:r w:rsidR="00870F69" w:rsidRPr="00064304">
        <w:rPr>
          <w:lang w:val="en-US"/>
        </w:rPr>
        <w:t xml:space="preserve">frames </w:t>
      </w:r>
      <w:r w:rsidRPr="00064304">
        <w:rPr>
          <w:lang w:val="en-US"/>
        </w:rPr>
        <w:t>with geometry defined in conjunction with the parent element designer (typically the services engineer)</w:t>
      </w:r>
      <w:r w:rsidR="00EA68D2">
        <w:rPr>
          <w:lang w:val="en-US"/>
        </w:rPr>
        <w:t xml:space="preserve"> </w:t>
      </w:r>
      <w:r w:rsidR="00E32684" w:rsidRPr="00064304">
        <w:rPr>
          <w:lang w:val="en-US"/>
        </w:rPr>
        <w:t xml:space="preserve">informed by </w:t>
      </w:r>
      <w:r w:rsidR="00396F59" w:rsidRPr="00064304">
        <w:rPr>
          <w:lang w:val="en-US"/>
        </w:rPr>
        <w:t xml:space="preserve">proposed services routing </w:t>
      </w:r>
      <w:r w:rsidR="009D78AC" w:rsidRPr="00064304">
        <w:rPr>
          <w:lang w:val="en-US"/>
        </w:rPr>
        <w:t>but set</w:t>
      </w:r>
      <w:r w:rsidR="00787640" w:rsidRPr="00064304">
        <w:rPr>
          <w:lang w:val="en-US"/>
        </w:rPr>
        <w:t xml:space="preserve"> </w:t>
      </w:r>
      <w:r w:rsidR="009D78AC" w:rsidRPr="00064304">
        <w:rPr>
          <w:lang w:val="en-US"/>
        </w:rPr>
        <w:t xml:space="preserve">out </w:t>
      </w:r>
      <w:r w:rsidR="00B96BD4" w:rsidRPr="00064304">
        <w:rPr>
          <w:lang w:val="en-US"/>
        </w:rPr>
        <w:t>to a regular pattern in advance of</w:t>
      </w:r>
      <w:r w:rsidR="0015320D" w:rsidRPr="00064304">
        <w:rPr>
          <w:lang w:val="en-US"/>
        </w:rPr>
        <w:t xml:space="preserve"> detailed</w:t>
      </w:r>
      <w:r w:rsidR="00B96BD4" w:rsidRPr="00064304">
        <w:rPr>
          <w:lang w:val="en-US"/>
        </w:rPr>
        <w:t xml:space="preserve"> </w:t>
      </w:r>
      <w:r w:rsidR="00787640" w:rsidRPr="00064304">
        <w:rPr>
          <w:lang w:val="en-US"/>
        </w:rPr>
        <w:t>services</w:t>
      </w:r>
      <w:r w:rsidR="009611C8" w:rsidRPr="00064304">
        <w:rPr>
          <w:lang w:val="en-US"/>
        </w:rPr>
        <w:t xml:space="preserve"> </w:t>
      </w:r>
      <w:r w:rsidR="0015320D" w:rsidRPr="00064304">
        <w:rPr>
          <w:lang w:val="en-US"/>
        </w:rPr>
        <w:t>layouts</w:t>
      </w:r>
      <w:r w:rsidRPr="00064304">
        <w:rPr>
          <w:lang w:val="en-US"/>
        </w:rPr>
        <w:t>.</w:t>
      </w:r>
    </w:p>
    <w:p w14:paraId="7609E6DE" w14:textId="4643564D" w:rsidR="005374DD" w:rsidRPr="00064304" w:rsidRDefault="005374DD" w:rsidP="00666E06">
      <w:pPr>
        <w:rPr>
          <w:lang w:val="en-US"/>
        </w:rPr>
      </w:pPr>
      <w:r w:rsidRPr="00064304">
        <w:rPr>
          <w:lang w:val="en-US"/>
        </w:rPr>
        <w:t>As the geometry of these elements is pre-defined, they should be modelled before the associated services are modelled in order to assist building service engineers with buildability considerations</w:t>
      </w:r>
      <w:r w:rsidR="00A43953">
        <w:rPr>
          <w:lang w:val="en-US"/>
        </w:rPr>
        <w:t xml:space="preserve">. </w:t>
      </w:r>
    </w:p>
    <w:p w14:paraId="74EADC70" w14:textId="77777777" w:rsidR="005374DD" w:rsidRPr="00064304" w:rsidRDefault="005374DD" w:rsidP="00666E06">
      <w:pPr>
        <w:rPr>
          <w:lang w:val="en-US"/>
        </w:rPr>
      </w:pPr>
      <w:r w:rsidRPr="00064304">
        <w:rPr>
          <w:lang w:val="en-US"/>
        </w:rPr>
        <w:t>These frame-type restraints should typically follow a design and modelling programme similar to that for secondary structural elements.</w:t>
      </w:r>
    </w:p>
    <w:p w14:paraId="64D8F72F" w14:textId="77777777" w:rsidR="005374DD" w:rsidRPr="00957359" w:rsidRDefault="005374DD" w:rsidP="00D56CAE">
      <w:pPr>
        <w:pStyle w:val="BodyHeading"/>
        <w:rPr>
          <w:color w:val="003399"/>
          <w:lang w:val="en-US"/>
        </w:rPr>
      </w:pPr>
      <w:r w:rsidRPr="00957359">
        <w:rPr>
          <w:color w:val="003399"/>
          <w:lang w:val="en-US"/>
        </w:rPr>
        <w:t>Non-Structural Elements Seismic Restraint BIM requirements</w:t>
      </w:r>
    </w:p>
    <w:p w14:paraId="728FAFB8" w14:textId="65B098A3" w:rsidR="005374DD" w:rsidRPr="00064304" w:rsidRDefault="005374DD" w:rsidP="00666E06">
      <w:pPr>
        <w:rPr>
          <w:lang w:val="en-US"/>
        </w:rPr>
      </w:pPr>
      <w:r w:rsidRPr="00064304">
        <w:rPr>
          <w:lang w:val="en-US"/>
        </w:rPr>
        <w:t xml:space="preserve">The primary purpose </w:t>
      </w:r>
      <w:r w:rsidR="009C6A3C" w:rsidRPr="00064304">
        <w:rPr>
          <w:lang w:val="en-US"/>
        </w:rPr>
        <w:t>of</w:t>
      </w:r>
      <w:r w:rsidRPr="00064304">
        <w:rPr>
          <w:lang w:val="en-US"/>
        </w:rPr>
        <w:t xml:space="preserve"> BIM modelling for NSE restraint is to provide improved coordination, and to provide improved quantity estimation earlier in the project.</w:t>
      </w:r>
    </w:p>
    <w:p w14:paraId="0D552A65" w14:textId="01C91AEA" w:rsidR="005374DD" w:rsidRPr="00064304" w:rsidRDefault="005374DD" w:rsidP="00666E06">
      <w:pPr>
        <w:rPr>
          <w:lang w:val="en-US"/>
        </w:rPr>
      </w:pPr>
      <w:r w:rsidRPr="00064304">
        <w:rPr>
          <w:lang w:val="en-US"/>
        </w:rPr>
        <w:t>BIM models should be developed to LOD200</w:t>
      </w:r>
      <w:r w:rsidR="00A43953">
        <w:rPr>
          <w:lang w:val="en-US"/>
        </w:rPr>
        <w:t xml:space="preserve">. </w:t>
      </w:r>
      <w:r w:rsidRPr="00064304">
        <w:rPr>
          <w:lang w:val="en-US"/>
        </w:rPr>
        <w:t>That is, they should capture the spatial requirement of the restraint sufficient for coordination, and they should provide an easy means to quantify the number of restraint elements in the model</w:t>
      </w:r>
      <w:r w:rsidR="00A43953">
        <w:rPr>
          <w:lang w:val="en-US"/>
        </w:rPr>
        <w:t xml:space="preserve">. </w:t>
      </w:r>
      <w:r w:rsidRPr="00064304">
        <w:rPr>
          <w:lang w:val="en-US"/>
        </w:rPr>
        <w:t>They need not capture detailing.</w:t>
      </w:r>
    </w:p>
    <w:p w14:paraId="1748249C" w14:textId="34EF354A" w:rsidR="005374DD" w:rsidRPr="00064304" w:rsidRDefault="005374DD" w:rsidP="00666E06">
      <w:pPr>
        <w:rPr>
          <w:lang w:val="en-US"/>
        </w:rPr>
      </w:pPr>
      <w:r w:rsidRPr="00064304">
        <w:rPr>
          <w:lang w:val="en-US"/>
        </w:rPr>
        <w:t>Coordination should be considered sufficient if the restraint (and its parent element) can be built by a competent tradesperson with minimal interpretation</w:t>
      </w:r>
      <w:r w:rsidR="00A43953">
        <w:rPr>
          <w:lang w:val="en-US"/>
        </w:rPr>
        <w:t xml:space="preserve">. </w:t>
      </w:r>
      <w:r w:rsidRPr="00064304">
        <w:rPr>
          <w:lang w:val="en-US"/>
        </w:rPr>
        <w:t>Note this does not mean clash free. Seismic restraint models (more than other disciplines) are likely to have many minor clashes from restraints clipping other elements</w:t>
      </w:r>
      <w:r w:rsidR="00A43953">
        <w:rPr>
          <w:lang w:val="en-US"/>
        </w:rPr>
        <w:t xml:space="preserve">. </w:t>
      </w:r>
      <w:r w:rsidRPr="00064304">
        <w:rPr>
          <w:lang w:val="en-US"/>
        </w:rPr>
        <w:t xml:space="preserve">These should be resolvable on site by minor adjustments, and the NSE </w:t>
      </w:r>
      <w:r w:rsidR="00712CB5" w:rsidRPr="00064304">
        <w:rPr>
          <w:lang w:val="en-US"/>
        </w:rPr>
        <w:t>Seismic Designer</w:t>
      </w:r>
      <w:r w:rsidRPr="00064304">
        <w:rPr>
          <w:lang w:val="en-US"/>
        </w:rPr>
        <w:t xml:space="preserve"> should document rules and limits for these minor adjustments</w:t>
      </w:r>
      <w:r w:rsidR="00A43953">
        <w:rPr>
          <w:lang w:val="en-US"/>
        </w:rPr>
        <w:t xml:space="preserve">. </w:t>
      </w:r>
      <w:r w:rsidRPr="00064304">
        <w:rPr>
          <w:lang w:val="en-US"/>
        </w:rPr>
        <w:t xml:space="preserve">Where they are not resolvable/buildable on site, the NSE </w:t>
      </w:r>
      <w:r w:rsidR="00712CB5" w:rsidRPr="00064304">
        <w:rPr>
          <w:lang w:val="en-US"/>
        </w:rPr>
        <w:t>Seismic Designer</w:t>
      </w:r>
      <w:r w:rsidRPr="00064304">
        <w:rPr>
          <w:lang w:val="en-US"/>
        </w:rPr>
        <w:t xml:space="preserve"> should provide an updated design to the contractor</w:t>
      </w:r>
      <w:r w:rsidR="00A43953">
        <w:rPr>
          <w:lang w:val="en-US"/>
        </w:rPr>
        <w:t xml:space="preserve">. </w:t>
      </w:r>
      <w:r w:rsidR="00E62C20" w:rsidRPr="00064304">
        <w:rPr>
          <w:lang w:val="en-US"/>
        </w:rPr>
        <w:t xml:space="preserve">The flexibility provided in this approach is an important means to allow for the </w:t>
      </w:r>
      <w:r w:rsidR="008028D3" w:rsidRPr="00064304">
        <w:rPr>
          <w:lang w:val="en-US"/>
        </w:rPr>
        <w:t xml:space="preserve">supplier specific </w:t>
      </w:r>
      <w:r w:rsidR="00C25754" w:rsidRPr="00064304">
        <w:rPr>
          <w:lang w:val="en-US"/>
        </w:rPr>
        <w:t xml:space="preserve">substitutions </w:t>
      </w:r>
      <w:r w:rsidR="00111B5A" w:rsidRPr="00064304">
        <w:rPr>
          <w:lang w:val="en-US"/>
        </w:rPr>
        <w:t>that will likely be made by the contractor.</w:t>
      </w:r>
    </w:p>
    <w:p w14:paraId="45B125D3" w14:textId="16D5BB87" w:rsidR="005374DD" w:rsidRPr="00064304" w:rsidRDefault="005374DD" w:rsidP="00666E06">
      <w:pPr>
        <w:rPr>
          <w:lang w:val="en-US"/>
        </w:rPr>
      </w:pPr>
      <w:r w:rsidRPr="00064304">
        <w:rPr>
          <w:lang w:val="en-US"/>
        </w:rPr>
        <w:t>Quantification means the element data should be readily obtainable from the model, along with metadata describing it</w:t>
      </w:r>
      <w:r w:rsidR="00A43953">
        <w:rPr>
          <w:lang w:val="en-US"/>
        </w:rPr>
        <w:t xml:space="preserve">. </w:t>
      </w:r>
      <w:r w:rsidRPr="00064304">
        <w:rPr>
          <w:lang w:val="en-US"/>
        </w:rPr>
        <w:t>It does not mean those quantities themselves represent the complete quantities for the job</w:t>
      </w:r>
      <w:r w:rsidR="00A43953">
        <w:rPr>
          <w:lang w:val="en-US"/>
        </w:rPr>
        <w:t xml:space="preserve">. </w:t>
      </w:r>
      <w:r w:rsidRPr="00064304">
        <w:rPr>
          <w:lang w:val="en-US"/>
        </w:rPr>
        <w:t xml:space="preserve">It is extremely likely that the number of restraints in the model at any moment under-represents the total number of restraints required, especially </w:t>
      </w:r>
      <w:r w:rsidRPr="00064304">
        <w:rPr>
          <w:lang w:val="en-US"/>
        </w:rPr>
        <w:lastRenderedPageBreak/>
        <w:t>early in a project</w:t>
      </w:r>
      <w:r w:rsidR="00A43953">
        <w:rPr>
          <w:lang w:val="en-US"/>
        </w:rPr>
        <w:t xml:space="preserve">. </w:t>
      </w:r>
      <w:r w:rsidRPr="00064304">
        <w:rPr>
          <w:lang w:val="en-US"/>
        </w:rPr>
        <w:t>Instead, the quantity data should be seen as a useful reference point for the cost consultant</w:t>
      </w:r>
      <w:r w:rsidR="00A43953">
        <w:rPr>
          <w:lang w:val="en-US"/>
        </w:rPr>
        <w:t xml:space="preserve">. </w:t>
      </w:r>
    </w:p>
    <w:p w14:paraId="45E5678E" w14:textId="4590AD37" w:rsidR="00B236E0" w:rsidRPr="00064304" w:rsidRDefault="00B236E0" w:rsidP="00957359">
      <w:pPr>
        <w:pStyle w:val="Section3heading3"/>
      </w:pPr>
      <w:bookmarkStart w:id="341" w:name="_Ref152568304"/>
      <w:r w:rsidRPr="00064304">
        <w:t>Load Interfaces between Non-Structural Elements and Structure</w:t>
      </w:r>
      <w:bookmarkEnd w:id="341"/>
    </w:p>
    <w:p w14:paraId="09B32848" w14:textId="3B6C29CF" w:rsidR="0046768E" w:rsidRPr="00957359" w:rsidRDefault="0046768E" w:rsidP="00D56CAE">
      <w:pPr>
        <w:pStyle w:val="BodyHeading"/>
        <w:rPr>
          <w:color w:val="003399"/>
          <w:lang w:val="en-US"/>
        </w:rPr>
      </w:pPr>
      <w:r w:rsidRPr="00957359">
        <w:rPr>
          <w:color w:val="003399"/>
          <w:lang w:val="en-US"/>
        </w:rPr>
        <w:t>Compatibility of Loading</w:t>
      </w:r>
    </w:p>
    <w:p w14:paraId="2C6C8F1B" w14:textId="571EAB36" w:rsidR="00D7287C" w:rsidRPr="00064304" w:rsidRDefault="005C26CB" w:rsidP="00666E06">
      <w:pPr>
        <w:rPr>
          <w:lang w:val="en-US"/>
        </w:rPr>
      </w:pPr>
      <w:r w:rsidRPr="00064304">
        <w:rPr>
          <w:lang w:val="en-US"/>
        </w:rPr>
        <w:t>A collaborative effort between</w:t>
      </w:r>
      <w:r w:rsidR="0046768E" w:rsidRPr="00064304">
        <w:rPr>
          <w:lang w:val="en-US"/>
        </w:rPr>
        <w:t xml:space="preserve"> </w:t>
      </w:r>
      <w:r w:rsidR="41C32373" w:rsidRPr="00064304">
        <w:rPr>
          <w:lang w:val="en-US"/>
        </w:rPr>
        <w:t xml:space="preserve">the </w:t>
      </w:r>
      <w:r w:rsidR="0046768E" w:rsidRPr="00064304">
        <w:rPr>
          <w:lang w:val="en-US"/>
        </w:rPr>
        <w:t xml:space="preserve">NSE </w:t>
      </w:r>
      <w:r w:rsidR="00712CB5" w:rsidRPr="00064304">
        <w:rPr>
          <w:lang w:val="en-US"/>
        </w:rPr>
        <w:t>Seismic Designer</w:t>
      </w:r>
      <w:r w:rsidR="0046768E" w:rsidRPr="00064304">
        <w:rPr>
          <w:lang w:val="en-US"/>
        </w:rPr>
        <w:t xml:space="preserve"> and </w:t>
      </w:r>
      <w:r w:rsidR="5557532C" w:rsidRPr="00064304">
        <w:rPr>
          <w:lang w:val="en-US"/>
        </w:rPr>
        <w:t xml:space="preserve">the </w:t>
      </w:r>
      <w:r w:rsidR="0046768E" w:rsidRPr="00064304">
        <w:rPr>
          <w:lang w:val="en-US"/>
        </w:rPr>
        <w:t xml:space="preserve">structural engineer </w:t>
      </w:r>
      <w:r w:rsidRPr="00064304">
        <w:rPr>
          <w:lang w:val="en-US"/>
        </w:rPr>
        <w:t>is needed to ensure</w:t>
      </w:r>
      <w:r w:rsidR="00321E97" w:rsidRPr="00064304">
        <w:rPr>
          <w:lang w:val="en-US"/>
        </w:rPr>
        <w:t xml:space="preserve"> </w:t>
      </w:r>
      <w:r w:rsidR="00966BEE" w:rsidRPr="00064304">
        <w:rPr>
          <w:lang w:val="en-US"/>
        </w:rPr>
        <w:t xml:space="preserve">drift or acceleration induced </w:t>
      </w:r>
      <w:r w:rsidR="00C41359" w:rsidRPr="00064304">
        <w:rPr>
          <w:lang w:val="en-US"/>
        </w:rPr>
        <w:t xml:space="preserve">NSE </w:t>
      </w:r>
      <w:r w:rsidR="00321E97" w:rsidRPr="00064304">
        <w:rPr>
          <w:lang w:val="en-US"/>
        </w:rPr>
        <w:t>force</w:t>
      </w:r>
      <w:r w:rsidR="0046768E" w:rsidRPr="00064304">
        <w:rPr>
          <w:lang w:val="en-US"/>
        </w:rPr>
        <w:t xml:space="preserve"> </w:t>
      </w:r>
      <w:r w:rsidR="00453686" w:rsidRPr="00064304">
        <w:rPr>
          <w:lang w:val="en-US"/>
        </w:rPr>
        <w:t>reactions</w:t>
      </w:r>
      <w:r w:rsidR="00321E97" w:rsidRPr="00064304">
        <w:rPr>
          <w:lang w:val="en-US"/>
        </w:rPr>
        <w:t xml:space="preserve"> </w:t>
      </w:r>
      <w:r w:rsidR="007D2D46" w:rsidRPr="00064304">
        <w:rPr>
          <w:lang w:val="en-US"/>
        </w:rPr>
        <w:t>acting on</w:t>
      </w:r>
      <w:r w:rsidR="0046768E" w:rsidRPr="00064304">
        <w:rPr>
          <w:lang w:val="en-US"/>
        </w:rPr>
        <w:t xml:space="preserve"> </w:t>
      </w:r>
      <w:r w:rsidR="00C41359" w:rsidRPr="00064304">
        <w:rPr>
          <w:lang w:val="en-US"/>
        </w:rPr>
        <w:t>primary</w:t>
      </w:r>
      <w:r w:rsidR="0046768E" w:rsidRPr="00064304">
        <w:rPr>
          <w:lang w:val="en-US"/>
        </w:rPr>
        <w:t xml:space="preserve"> structure are compatible</w:t>
      </w:r>
      <w:r w:rsidR="00E73BCE" w:rsidRPr="00064304">
        <w:rPr>
          <w:lang w:val="en-US"/>
        </w:rPr>
        <w:t xml:space="preserve"> and practical</w:t>
      </w:r>
      <w:r w:rsidR="0046768E" w:rsidRPr="00064304">
        <w:rPr>
          <w:lang w:val="en-US"/>
        </w:rPr>
        <w:t>.</w:t>
      </w:r>
    </w:p>
    <w:p w14:paraId="289ABB0D" w14:textId="31266FB2" w:rsidR="00D7287C" w:rsidRPr="00064304" w:rsidRDefault="007D5C79" w:rsidP="00666E06">
      <w:pPr>
        <w:pStyle w:val="Requirement"/>
        <w:rPr>
          <w:lang w:val="en-US"/>
        </w:rPr>
      </w:pPr>
      <w:r w:rsidRPr="00B219C9">
        <w:rPr>
          <w:b/>
          <w:bCs/>
          <w:color w:val="0C818F" w:themeColor="accent3"/>
        </w:rPr>
        <w:t xml:space="preserve">Health NZ </w:t>
      </w:r>
      <w:r w:rsidR="00D7287C" w:rsidRPr="00B219C9">
        <w:rPr>
          <w:b/>
          <w:bCs/>
          <w:color w:val="0C818F" w:themeColor="accent3"/>
        </w:rPr>
        <w:t>requirement:</w:t>
      </w:r>
      <w:r w:rsidR="00D7287C" w:rsidRPr="00064304">
        <w:t xml:space="preserve"> Primary structural horizontal systems shall be sufficiently robust to allow for the direct fixing of well distributed, lighter-weight NSE’s (general in-ceiling services, ceilings, partitions, and reasonably distributed general plant) without placing significant constraints on the placement of these NSE elements or their restraints. Reasonable a</w:t>
      </w:r>
      <w:r w:rsidR="00D7287C" w:rsidRPr="00064304">
        <w:rPr>
          <w:rFonts w:eastAsia="Times New Roman"/>
        </w:rPr>
        <w:t>llowance should be made for actions due to offsets of the NSE from the primary structure (overturning</w:t>
      </w:r>
      <w:r w:rsidR="006F4A83" w:rsidRPr="00064304">
        <w:rPr>
          <w:rFonts w:eastAsia="Times New Roman"/>
        </w:rPr>
        <w:t>, typical connection eccentricities etc</w:t>
      </w:r>
      <w:r w:rsidR="00D7287C" w:rsidRPr="00064304">
        <w:rPr>
          <w:rFonts w:eastAsia="Times New Roman"/>
        </w:rPr>
        <w:t xml:space="preserve">). </w:t>
      </w:r>
      <w:r w:rsidR="00D7287C" w:rsidRPr="00064304">
        <w:t>This is intended to both facilitate well integrated design, and to allow for good future flexibility of services.</w:t>
      </w:r>
    </w:p>
    <w:p w14:paraId="4BE3A058" w14:textId="4E9B19BF" w:rsidR="00257B23" w:rsidRPr="00064304" w:rsidRDefault="0046768E" w:rsidP="00666E06">
      <w:r w:rsidRPr="00064304">
        <w:rPr>
          <w:lang w:val="en-US"/>
        </w:rPr>
        <w:t xml:space="preserve">NSE </w:t>
      </w:r>
      <w:r w:rsidR="00712CB5" w:rsidRPr="00064304">
        <w:rPr>
          <w:lang w:val="en-US"/>
        </w:rPr>
        <w:t>Seismic Designer</w:t>
      </w:r>
      <w:r w:rsidR="006F0994" w:rsidRPr="00064304">
        <w:rPr>
          <w:lang w:val="en-US"/>
        </w:rPr>
        <w:t>s</w:t>
      </w:r>
      <w:r w:rsidRPr="00064304">
        <w:rPr>
          <w:lang w:val="en-US"/>
        </w:rPr>
        <w:t xml:space="preserve"> </w:t>
      </w:r>
      <w:r w:rsidR="0074338B" w:rsidRPr="00064304">
        <w:rPr>
          <w:lang w:val="en-US"/>
        </w:rPr>
        <w:t>determine</w:t>
      </w:r>
      <w:r w:rsidRPr="00064304">
        <w:rPr>
          <w:lang w:val="en-US"/>
        </w:rPr>
        <w:t xml:space="preserve"> </w:t>
      </w:r>
      <w:r w:rsidR="00DF1251" w:rsidRPr="00064304">
        <w:rPr>
          <w:lang w:val="en-US"/>
        </w:rPr>
        <w:t xml:space="preserve">specific </w:t>
      </w:r>
      <w:r w:rsidRPr="00064304">
        <w:rPr>
          <w:lang w:val="en-US"/>
        </w:rPr>
        <w:t>reactions</w:t>
      </w:r>
      <w:r w:rsidR="0074338B" w:rsidRPr="00064304">
        <w:rPr>
          <w:lang w:val="en-US"/>
        </w:rPr>
        <w:t xml:space="preserve"> from </w:t>
      </w:r>
      <w:r w:rsidR="00767D0A" w:rsidRPr="00064304">
        <w:rPr>
          <w:lang w:val="en-US"/>
        </w:rPr>
        <w:t xml:space="preserve">NSE </w:t>
      </w:r>
      <w:r w:rsidR="0074338B" w:rsidRPr="00064304">
        <w:rPr>
          <w:lang w:val="en-US"/>
        </w:rPr>
        <w:t>restraint systems</w:t>
      </w:r>
      <w:r w:rsidR="003D428D" w:rsidRPr="00064304">
        <w:rPr>
          <w:lang w:val="en-US"/>
        </w:rPr>
        <w:t xml:space="preserve"> on structure as part of </w:t>
      </w:r>
      <w:r w:rsidR="00767D0A" w:rsidRPr="00064304">
        <w:rPr>
          <w:lang w:val="en-US"/>
        </w:rPr>
        <w:t xml:space="preserve">the </w:t>
      </w:r>
      <w:r w:rsidR="003D428D" w:rsidRPr="00064304">
        <w:rPr>
          <w:lang w:val="en-US"/>
        </w:rPr>
        <w:t>restraint and anchorage design.</w:t>
      </w:r>
      <w:r w:rsidRPr="00064304">
        <w:rPr>
          <w:lang w:val="en-US"/>
        </w:rPr>
        <w:t xml:space="preserve"> </w:t>
      </w:r>
      <w:r w:rsidR="00257B23" w:rsidRPr="00064304">
        <w:t xml:space="preserve">The structural engineer is responsible for </w:t>
      </w:r>
      <w:r w:rsidR="006A7FD3" w:rsidRPr="00064304">
        <w:t>calculating</w:t>
      </w:r>
      <w:r w:rsidR="00257B23" w:rsidRPr="00064304">
        <w:t xml:space="preserve"> the capacity provided in the primary structure to resist these forces. Both parties are responsible for communicating and collaboratively reviewing this load interface. The structural engineer remains responsible for superimposing loads applied to the structure from other sources.</w:t>
      </w:r>
    </w:p>
    <w:p w14:paraId="094E04FC" w14:textId="559BB9E8" w:rsidR="00245CDE" w:rsidRPr="00064304" w:rsidRDefault="001A03AF" w:rsidP="00666E06">
      <w:pPr>
        <w:rPr>
          <w:lang w:val="en-US"/>
        </w:rPr>
      </w:pPr>
      <w:r w:rsidRPr="00064304">
        <w:rPr>
          <w:lang w:val="en-US"/>
        </w:rPr>
        <w:t>T</w:t>
      </w:r>
      <w:r w:rsidR="00F4788F" w:rsidRPr="00064304">
        <w:rPr>
          <w:lang w:val="en-US"/>
        </w:rPr>
        <w:t xml:space="preserve">he following triaged approach </w:t>
      </w:r>
      <w:r w:rsidRPr="00064304">
        <w:rPr>
          <w:lang w:val="en-US"/>
        </w:rPr>
        <w:t>can be an effective means of managing this</w:t>
      </w:r>
      <w:r w:rsidR="00C22C16" w:rsidRPr="00064304">
        <w:rPr>
          <w:lang w:val="en-US"/>
        </w:rPr>
        <w:t xml:space="preserve"> NSE support integration</w:t>
      </w:r>
      <w:r w:rsidR="00AE0AB3" w:rsidRPr="00064304">
        <w:rPr>
          <w:lang w:val="en-US"/>
        </w:rPr>
        <w:t xml:space="preserve"> process</w:t>
      </w:r>
      <w:r w:rsidR="00C22C16" w:rsidRPr="00064304">
        <w:rPr>
          <w:lang w:val="en-US"/>
        </w:rPr>
        <w:t>.</w:t>
      </w:r>
    </w:p>
    <w:p w14:paraId="3A87161A" w14:textId="77777777" w:rsidR="000921E9" w:rsidRPr="000921E9" w:rsidRDefault="006E7AC4" w:rsidP="004D55F1">
      <w:pPr>
        <w:pStyle w:val="ListParagraph"/>
        <w:numPr>
          <w:ilvl w:val="0"/>
          <w:numId w:val="45"/>
        </w:numPr>
        <w:ind w:left="357" w:hanging="357"/>
        <w:contextualSpacing w:val="0"/>
        <w:rPr>
          <w:lang w:val="en-US"/>
        </w:rPr>
      </w:pPr>
      <w:r w:rsidRPr="000921E9">
        <w:rPr>
          <w:b/>
          <w:lang w:val="en-US"/>
        </w:rPr>
        <w:t>A</w:t>
      </w:r>
      <w:r w:rsidR="00C57D45" w:rsidRPr="000921E9">
        <w:rPr>
          <w:b/>
          <w:lang w:val="en-US"/>
        </w:rPr>
        <w:t xml:space="preserve">llowances </w:t>
      </w:r>
      <w:r w:rsidRPr="000921E9">
        <w:rPr>
          <w:b/>
          <w:lang w:val="en-US"/>
        </w:rPr>
        <w:t xml:space="preserve">for </w:t>
      </w:r>
      <w:r w:rsidR="003B7159" w:rsidRPr="000921E9">
        <w:rPr>
          <w:b/>
          <w:lang w:val="en-US"/>
        </w:rPr>
        <w:t xml:space="preserve">combined NSE gravity and seismic restraint </w:t>
      </w:r>
      <w:r w:rsidR="00063146" w:rsidRPr="000921E9">
        <w:rPr>
          <w:b/>
          <w:lang w:val="en-US"/>
        </w:rPr>
        <w:t>reactions</w:t>
      </w:r>
      <w:r w:rsidR="003B7159" w:rsidRPr="000921E9">
        <w:rPr>
          <w:b/>
          <w:lang w:val="en-US"/>
        </w:rPr>
        <w:t xml:space="preserve"> that </w:t>
      </w:r>
      <w:r w:rsidR="00063146" w:rsidRPr="000921E9">
        <w:rPr>
          <w:b/>
          <w:lang w:val="en-US"/>
        </w:rPr>
        <w:t xml:space="preserve">can be </w:t>
      </w:r>
      <w:r w:rsidR="00FF118D" w:rsidRPr="000921E9">
        <w:rPr>
          <w:b/>
          <w:lang w:val="en-US"/>
        </w:rPr>
        <w:t xml:space="preserve">expressed as a </w:t>
      </w:r>
      <w:r w:rsidR="004C4C3C" w:rsidRPr="000921E9">
        <w:rPr>
          <w:b/>
          <w:lang w:val="en-US"/>
        </w:rPr>
        <w:t>generali</w:t>
      </w:r>
      <w:r w:rsidR="009F46D6" w:rsidRPr="000921E9">
        <w:rPr>
          <w:b/>
          <w:lang w:val="en-US"/>
        </w:rPr>
        <w:t>s</w:t>
      </w:r>
      <w:r w:rsidR="004C4C3C" w:rsidRPr="000921E9">
        <w:rPr>
          <w:b/>
          <w:lang w:val="en-US"/>
        </w:rPr>
        <w:t>ed allowance</w:t>
      </w:r>
      <w:r w:rsidR="00300F47" w:rsidRPr="000921E9">
        <w:rPr>
          <w:b/>
          <w:lang w:val="en-US"/>
        </w:rPr>
        <w:t>.</w:t>
      </w:r>
    </w:p>
    <w:p w14:paraId="4C305FE9" w14:textId="77777777" w:rsidR="000921E9" w:rsidRDefault="00DC09C7" w:rsidP="000921E9">
      <w:pPr>
        <w:ind w:left="357"/>
        <w:rPr>
          <w:lang w:val="en-US"/>
        </w:rPr>
      </w:pPr>
      <w:r w:rsidRPr="000921E9">
        <w:rPr>
          <w:lang w:val="en-US"/>
        </w:rPr>
        <w:t xml:space="preserve">Most systems in conventional structural materials have capacities to resist concentrated loadings </w:t>
      </w:r>
      <w:r w:rsidR="005705F4" w:rsidRPr="000921E9">
        <w:rPr>
          <w:lang w:val="en-US"/>
        </w:rPr>
        <w:t xml:space="preserve">from </w:t>
      </w:r>
      <w:r w:rsidR="00A2461F" w:rsidRPr="000921E9">
        <w:rPr>
          <w:lang w:val="en-US"/>
        </w:rPr>
        <w:t>NSE</w:t>
      </w:r>
      <w:r w:rsidR="00C26679" w:rsidRPr="000921E9">
        <w:rPr>
          <w:lang w:val="en-US"/>
        </w:rPr>
        <w:t xml:space="preserve"> restraint induced </w:t>
      </w:r>
      <w:r w:rsidR="007F0CCE" w:rsidRPr="000921E9">
        <w:rPr>
          <w:lang w:val="en-US"/>
        </w:rPr>
        <w:t xml:space="preserve">forces </w:t>
      </w:r>
      <w:r w:rsidR="00A2461F" w:rsidRPr="000921E9">
        <w:rPr>
          <w:lang w:val="en-US"/>
        </w:rPr>
        <w:t xml:space="preserve">under seismic conditions that are </w:t>
      </w:r>
      <w:r w:rsidRPr="000921E9">
        <w:rPr>
          <w:lang w:val="en-US"/>
        </w:rPr>
        <w:t xml:space="preserve">well in excess of those stipulated on </w:t>
      </w:r>
      <w:r w:rsidR="00D3335A" w:rsidRPr="000921E9">
        <w:rPr>
          <w:lang w:val="en-US"/>
        </w:rPr>
        <w:t>NZS 1170.1</w:t>
      </w:r>
      <w:r w:rsidR="00BE1195" w:rsidRPr="000921E9">
        <w:rPr>
          <w:lang w:val="en-US"/>
        </w:rPr>
        <w:t xml:space="preserve"> </w:t>
      </w:r>
      <w:r w:rsidR="00D3335A" w:rsidRPr="000921E9">
        <w:rPr>
          <w:lang w:val="en-US"/>
        </w:rPr>
        <w:t xml:space="preserve">based </w:t>
      </w:r>
      <w:r w:rsidRPr="000921E9">
        <w:rPr>
          <w:lang w:val="en-US"/>
        </w:rPr>
        <w:t>loading plans</w:t>
      </w:r>
      <w:r w:rsidR="008507AE" w:rsidRPr="000921E9">
        <w:rPr>
          <w:lang w:val="en-US"/>
        </w:rPr>
        <w:t xml:space="preserve"> (which are normally representative of gravity </w:t>
      </w:r>
      <w:r w:rsidR="009F5750" w:rsidRPr="000921E9">
        <w:rPr>
          <w:lang w:val="en-US"/>
        </w:rPr>
        <w:t>loading</w:t>
      </w:r>
      <w:r w:rsidR="00D3335A" w:rsidRPr="000921E9">
        <w:rPr>
          <w:lang w:val="en-US"/>
        </w:rPr>
        <w:t xml:space="preserve"> conditions</w:t>
      </w:r>
      <w:r w:rsidR="009F5750" w:rsidRPr="000921E9">
        <w:rPr>
          <w:lang w:val="en-US"/>
        </w:rPr>
        <w:t>)</w:t>
      </w:r>
      <w:r w:rsidRPr="000921E9">
        <w:rPr>
          <w:lang w:val="en-US"/>
        </w:rPr>
        <w:t>. In most cases, it is expected that structural engineers should be able to make relatively simple and generali</w:t>
      </w:r>
      <w:r w:rsidR="00FA0197" w:rsidRPr="000921E9">
        <w:rPr>
          <w:lang w:val="en-US"/>
        </w:rPr>
        <w:t>s</w:t>
      </w:r>
      <w:r w:rsidRPr="000921E9">
        <w:rPr>
          <w:lang w:val="en-US"/>
        </w:rPr>
        <w:t xml:space="preserve">ed assessment of structural </w:t>
      </w:r>
      <w:r w:rsidR="000A29AF" w:rsidRPr="000921E9">
        <w:rPr>
          <w:lang w:val="en-US"/>
        </w:rPr>
        <w:t xml:space="preserve">concentrated load </w:t>
      </w:r>
      <w:r w:rsidRPr="000921E9">
        <w:rPr>
          <w:lang w:val="en-US"/>
        </w:rPr>
        <w:t xml:space="preserve">capacities </w:t>
      </w:r>
      <w:r w:rsidR="005E10C4" w:rsidRPr="000921E9">
        <w:rPr>
          <w:lang w:val="en-US"/>
        </w:rPr>
        <w:t xml:space="preserve">under seismic conditions </w:t>
      </w:r>
      <w:r w:rsidRPr="000921E9">
        <w:rPr>
          <w:lang w:val="en-US"/>
        </w:rPr>
        <w:t>to demonstrate that restriction to the placement and restraint of NSE</w:t>
      </w:r>
      <w:r w:rsidR="00EA1C8D" w:rsidRPr="000921E9">
        <w:rPr>
          <w:lang w:val="en-US"/>
        </w:rPr>
        <w:t xml:space="preserve"> to general areas</w:t>
      </w:r>
      <w:r w:rsidRPr="000921E9">
        <w:rPr>
          <w:lang w:val="en-US"/>
        </w:rPr>
        <w:t xml:space="preserve"> are not required.</w:t>
      </w:r>
    </w:p>
    <w:p w14:paraId="4726E5CD" w14:textId="77777777" w:rsidR="000921E9" w:rsidRPr="000921E9" w:rsidRDefault="004E2085" w:rsidP="000921E9">
      <w:pPr>
        <w:ind w:left="357"/>
        <w:rPr>
          <w:lang w:val="en-US"/>
        </w:rPr>
      </w:pPr>
      <w:r w:rsidRPr="000921E9">
        <w:rPr>
          <w:lang w:val="en-US"/>
        </w:rPr>
        <w:t>A c</w:t>
      </w:r>
      <w:r w:rsidR="00201E2B" w:rsidRPr="000921E9">
        <w:rPr>
          <w:lang w:val="en-US"/>
        </w:rPr>
        <w:t>ollaborative effort is needed to</w:t>
      </w:r>
      <w:r w:rsidR="006A119C" w:rsidRPr="000921E9">
        <w:rPr>
          <w:lang w:val="en-US"/>
        </w:rPr>
        <w:t xml:space="preserve"> </w:t>
      </w:r>
      <w:r w:rsidR="005C7A2C" w:rsidRPr="000921E9">
        <w:rPr>
          <w:lang w:val="en-US"/>
        </w:rPr>
        <w:t xml:space="preserve">guide the establishment </w:t>
      </w:r>
      <w:r w:rsidR="00B47D7B" w:rsidRPr="000921E9">
        <w:rPr>
          <w:lang w:val="en-US"/>
        </w:rPr>
        <w:t xml:space="preserve">and magnitude </w:t>
      </w:r>
      <w:r w:rsidR="005C7A2C" w:rsidRPr="000921E9">
        <w:rPr>
          <w:lang w:val="en-US"/>
        </w:rPr>
        <w:t xml:space="preserve">of these </w:t>
      </w:r>
      <w:r w:rsidR="00D52280" w:rsidRPr="000921E9">
        <w:rPr>
          <w:lang w:val="en-US"/>
        </w:rPr>
        <w:t>generali</w:t>
      </w:r>
      <w:r w:rsidR="00FA0197" w:rsidRPr="000921E9">
        <w:rPr>
          <w:lang w:val="en-US"/>
        </w:rPr>
        <w:t>s</w:t>
      </w:r>
      <w:r w:rsidR="00D52280" w:rsidRPr="000921E9">
        <w:rPr>
          <w:lang w:val="en-US"/>
        </w:rPr>
        <w:t xml:space="preserve">ed </w:t>
      </w:r>
      <w:r w:rsidR="00536736" w:rsidRPr="000921E9">
        <w:rPr>
          <w:lang w:val="en-US"/>
        </w:rPr>
        <w:t xml:space="preserve">floor and roof system capacity </w:t>
      </w:r>
      <w:r w:rsidR="005C7A2C" w:rsidRPr="000921E9">
        <w:rPr>
          <w:lang w:val="en-US"/>
        </w:rPr>
        <w:t>allowances</w:t>
      </w:r>
      <w:r w:rsidR="00C206D7" w:rsidRPr="000921E9">
        <w:rPr>
          <w:lang w:val="en-US"/>
        </w:rPr>
        <w:t xml:space="preserve"> </w:t>
      </w:r>
      <w:r w:rsidR="000A0BDD" w:rsidRPr="000921E9">
        <w:rPr>
          <w:lang w:val="en-US"/>
        </w:rPr>
        <w:t xml:space="preserve">in the earlier design phases, </w:t>
      </w:r>
      <w:r w:rsidR="00C206D7" w:rsidRPr="000921E9">
        <w:rPr>
          <w:lang w:val="en-US"/>
        </w:rPr>
        <w:t xml:space="preserve">and the way they </w:t>
      </w:r>
      <w:r w:rsidR="00585823" w:rsidRPr="000921E9">
        <w:rPr>
          <w:lang w:val="en-US"/>
        </w:rPr>
        <w:t xml:space="preserve">are </w:t>
      </w:r>
      <w:r w:rsidR="00455F4E" w:rsidRPr="000921E9">
        <w:rPr>
          <w:lang w:val="en-US"/>
        </w:rPr>
        <w:t>communicated</w:t>
      </w:r>
      <w:r w:rsidR="008772EE" w:rsidRPr="000921E9">
        <w:rPr>
          <w:lang w:val="en-US"/>
        </w:rPr>
        <w:t xml:space="preserve"> (</w:t>
      </w:r>
      <w:r w:rsidR="000E26D2" w:rsidRPr="000921E9">
        <w:rPr>
          <w:lang w:val="en-US"/>
        </w:rPr>
        <w:t xml:space="preserve">in </w:t>
      </w:r>
      <w:r w:rsidR="008772EE" w:rsidRPr="000921E9">
        <w:rPr>
          <w:lang w:val="en-US"/>
        </w:rPr>
        <w:t>a legible format</w:t>
      </w:r>
      <w:r w:rsidR="00670198" w:rsidRPr="000921E9">
        <w:rPr>
          <w:lang w:val="en-US"/>
        </w:rPr>
        <w:t xml:space="preserve"> that both parties can refer to)</w:t>
      </w:r>
      <w:r w:rsidR="00455F4E" w:rsidRPr="000921E9">
        <w:rPr>
          <w:lang w:val="en-US"/>
        </w:rPr>
        <w:t>.</w:t>
      </w:r>
      <w:r w:rsidR="00153549" w:rsidRPr="000921E9">
        <w:rPr>
          <w:lang w:val="en-US"/>
        </w:rPr>
        <w:t xml:space="preserve"> </w:t>
      </w:r>
      <w:r w:rsidR="00384208" w:rsidRPr="000921E9">
        <w:rPr>
          <w:lang w:val="en-US"/>
        </w:rPr>
        <w:t>However,</w:t>
      </w:r>
      <w:r w:rsidR="00153549" w:rsidRPr="000921E9">
        <w:rPr>
          <w:lang w:val="en-US"/>
        </w:rPr>
        <w:t xml:space="preserve"> beyond this, </w:t>
      </w:r>
      <w:r w:rsidR="00521677" w:rsidRPr="000921E9">
        <w:rPr>
          <w:lang w:val="en-US"/>
        </w:rPr>
        <w:t xml:space="preserve">generally little </w:t>
      </w:r>
      <w:r w:rsidR="00EE33D0" w:rsidRPr="000921E9">
        <w:rPr>
          <w:lang w:val="en-US"/>
        </w:rPr>
        <w:t>interaction is needed</w:t>
      </w:r>
      <w:r w:rsidR="0095182D" w:rsidRPr="000921E9">
        <w:rPr>
          <w:lang w:val="en-US"/>
        </w:rPr>
        <w:t xml:space="preserve"> beyond</w:t>
      </w:r>
      <w:r w:rsidR="00173BF1" w:rsidRPr="000921E9">
        <w:rPr>
          <w:lang w:val="en-US"/>
        </w:rPr>
        <w:t xml:space="preserve"> </w:t>
      </w:r>
      <w:r w:rsidR="00836603" w:rsidRPr="000921E9">
        <w:rPr>
          <w:lang w:val="en-US"/>
        </w:rPr>
        <w:t xml:space="preserve">a collaborative </w:t>
      </w:r>
      <w:r w:rsidR="00173BF1" w:rsidRPr="000921E9">
        <w:rPr>
          <w:lang w:val="en-US"/>
        </w:rPr>
        <w:lastRenderedPageBreak/>
        <w:t xml:space="preserve">review that the </w:t>
      </w:r>
      <w:r w:rsidR="00E2546F" w:rsidRPr="000921E9">
        <w:rPr>
          <w:lang w:val="en-US"/>
        </w:rPr>
        <w:t xml:space="preserve">information </w:t>
      </w:r>
      <w:r w:rsidR="00DB01E0" w:rsidRPr="000921E9">
        <w:rPr>
          <w:lang w:val="en-US"/>
        </w:rPr>
        <w:t>being transferred is being interpreted correctly</w:t>
      </w:r>
      <w:r w:rsidR="003E1053" w:rsidRPr="000921E9">
        <w:rPr>
          <w:lang w:val="en-US"/>
        </w:rPr>
        <w:t xml:space="preserve"> (and that the capacities </w:t>
      </w:r>
      <w:r w:rsidR="0042611D" w:rsidRPr="000921E9">
        <w:rPr>
          <w:lang w:val="en-US"/>
        </w:rPr>
        <w:t>provided are proving workable</w:t>
      </w:r>
      <w:r w:rsidR="003E1053" w:rsidRPr="000921E9">
        <w:rPr>
          <w:lang w:val="en-US"/>
        </w:rPr>
        <w:t>)</w:t>
      </w:r>
      <w:r w:rsidR="0042611D" w:rsidRPr="000921E9">
        <w:rPr>
          <w:lang w:val="en-US"/>
        </w:rPr>
        <w:t>.</w:t>
      </w:r>
    </w:p>
    <w:p w14:paraId="63166972" w14:textId="77777777" w:rsidR="003101C2" w:rsidRDefault="00553F6C" w:rsidP="004D55F1">
      <w:pPr>
        <w:pStyle w:val="ListParagraph"/>
        <w:numPr>
          <w:ilvl w:val="0"/>
          <w:numId w:val="45"/>
        </w:numPr>
        <w:ind w:left="357" w:hanging="357"/>
        <w:contextualSpacing w:val="0"/>
        <w:rPr>
          <w:lang w:val="en-US"/>
        </w:rPr>
      </w:pPr>
      <w:r w:rsidRPr="00064304">
        <w:rPr>
          <w:b/>
          <w:lang w:val="en-US"/>
        </w:rPr>
        <w:t xml:space="preserve">A process for </w:t>
      </w:r>
      <w:r w:rsidR="003267E0" w:rsidRPr="00064304">
        <w:rPr>
          <w:b/>
          <w:lang w:val="en-US"/>
        </w:rPr>
        <w:t xml:space="preserve">resolving </w:t>
      </w:r>
      <w:r w:rsidR="00C27F51" w:rsidRPr="00064304">
        <w:rPr>
          <w:b/>
          <w:lang w:val="en-US"/>
        </w:rPr>
        <w:t xml:space="preserve">restraint actions </w:t>
      </w:r>
      <w:r w:rsidR="5E2F5002" w:rsidRPr="00064304">
        <w:rPr>
          <w:b/>
          <w:bCs/>
          <w:lang w:val="en-US"/>
        </w:rPr>
        <w:t xml:space="preserve">via more detailed specific </w:t>
      </w:r>
      <w:r w:rsidR="710E69C2" w:rsidRPr="00064304">
        <w:rPr>
          <w:b/>
          <w:bCs/>
          <w:lang w:val="en-US"/>
        </w:rPr>
        <w:t>calculations</w:t>
      </w:r>
      <w:r w:rsidR="5E2F5002" w:rsidRPr="00064304">
        <w:rPr>
          <w:b/>
          <w:bCs/>
          <w:lang w:val="en-US"/>
        </w:rPr>
        <w:t>.</w:t>
      </w:r>
    </w:p>
    <w:p w14:paraId="41A4775A" w14:textId="77777777" w:rsidR="003101C2" w:rsidRDefault="5E2F5002" w:rsidP="003101C2">
      <w:pPr>
        <w:ind w:left="357"/>
        <w:rPr>
          <w:b/>
          <w:lang w:val="en-US"/>
        </w:rPr>
      </w:pPr>
      <w:r w:rsidRPr="003101C2">
        <w:rPr>
          <w:lang w:val="en-US"/>
        </w:rPr>
        <w:t xml:space="preserve">This </w:t>
      </w:r>
      <w:r w:rsidR="008460B9" w:rsidRPr="003101C2">
        <w:rPr>
          <w:lang w:val="en-US"/>
        </w:rPr>
        <w:t>relates to</w:t>
      </w:r>
      <w:r w:rsidRPr="003101C2">
        <w:rPr>
          <w:lang w:val="en-US"/>
        </w:rPr>
        <w:t xml:space="preserve"> items </w:t>
      </w:r>
      <w:r w:rsidR="00C27F51" w:rsidRPr="003101C2">
        <w:rPr>
          <w:lang w:val="en-US"/>
        </w:rPr>
        <w:t xml:space="preserve">which exceed </w:t>
      </w:r>
      <w:r w:rsidR="05B320DE" w:rsidRPr="003101C2">
        <w:rPr>
          <w:lang w:val="en-US"/>
        </w:rPr>
        <w:t>th</w:t>
      </w:r>
      <w:r w:rsidR="206BC23A" w:rsidRPr="003101C2">
        <w:rPr>
          <w:lang w:val="en-US"/>
        </w:rPr>
        <w:t>e</w:t>
      </w:r>
      <w:r w:rsidR="6E678539" w:rsidRPr="003101C2">
        <w:rPr>
          <w:lang w:val="en-US"/>
        </w:rPr>
        <w:t xml:space="preserve"> </w:t>
      </w:r>
      <w:r w:rsidR="004961CE" w:rsidRPr="003101C2">
        <w:rPr>
          <w:lang w:val="en-US"/>
        </w:rPr>
        <w:t>generali</w:t>
      </w:r>
      <w:r w:rsidR="00FA0197" w:rsidRPr="003101C2">
        <w:rPr>
          <w:lang w:val="en-US"/>
        </w:rPr>
        <w:t>s</w:t>
      </w:r>
      <w:r w:rsidR="004961CE" w:rsidRPr="003101C2">
        <w:rPr>
          <w:lang w:val="en-US"/>
        </w:rPr>
        <w:t>ed allowance</w:t>
      </w:r>
      <w:r w:rsidR="00A712F0" w:rsidRPr="003101C2">
        <w:rPr>
          <w:lang w:val="en-US"/>
        </w:rPr>
        <w:t>s</w:t>
      </w:r>
      <w:r w:rsidR="454EB1A3" w:rsidRPr="003101C2">
        <w:rPr>
          <w:lang w:val="en-US"/>
        </w:rPr>
        <w:t xml:space="preserve"> referred to above</w:t>
      </w:r>
      <w:r w:rsidR="004961CE" w:rsidRPr="003101C2">
        <w:rPr>
          <w:lang w:val="en-US"/>
        </w:rPr>
        <w:t>, but which may still be within the capacity of the structure subject to more detailed specific calculation</w:t>
      </w:r>
      <w:r w:rsidR="00847000" w:rsidRPr="003101C2">
        <w:rPr>
          <w:lang w:val="en-US"/>
        </w:rPr>
        <w:t xml:space="preserve"> that is specific to the area and loading conditions</w:t>
      </w:r>
      <w:r w:rsidR="004961CE" w:rsidRPr="003101C2">
        <w:rPr>
          <w:lang w:val="en-US"/>
        </w:rPr>
        <w:t>.</w:t>
      </w:r>
      <w:r w:rsidR="00A34875" w:rsidRPr="003101C2">
        <w:rPr>
          <w:lang w:val="en-US"/>
        </w:rPr>
        <w:t xml:space="preserve"> </w:t>
      </w:r>
      <w:r w:rsidR="00CA5819" w:rsidRPr="003101C2">
        <w:rPr>
          <w:lang w:val="en-US"/>
        </w:rPr>
        <w:t>For practical purposes</w:t>
      </w:r>
      <w:r w:rsidR="006D442B" w:rsidRPr="003101C2">
        <w:rPr>
          <w:lang w:val="en-US"/>
        </w:rPr>
        <w:t>,</w:t>
      </w:r>
      <w:r w:rsidR="00CA5819" w:rsidRPr="003101C2">
        <w:rPr>
          <w:lang w:val="en-US"/>
        </w:rPr>
        <w:t xml:space="preserve"> </w:t>
      </w:r>
      <w:r w:rsidR="00EC5160" w:rsidRPr="003101C2">
        <w:rPr>
          <w:lang w:val="en-US"/>
        </w:rPr>
        <w:t xml:space="preserve">the </w:t>
      </w:r>
      <w:r w:rsidR="006D442B" w:rsidRPr="003101C2">
        <w:rPr>
          <w:lang w:val="en-US"/>
        </w:rPr>
        <w:t xml:space="preserve">NSE </w:t>
      </w:r>
      <w:r w:rsidR="00B85A17" w:rsidRPr="003101C2">
        <w:rPr>
          <w:lang w:val="en-US"/>
        </w:rPr>
        <w:t xml:space="preserve">Seismic Design Strategy, and the </w:t>
      </w:r>
      <w:r w:rsidR="00EC5160" w:rsidRPr="003101C2">
        <w:rPr>
          <w:lang w:val="en-US"/>
        </w:rPr>
        <w:t xml:space="preserve">structural system selection </w:t>
      </w:r>
      <w:r w:rsidR="00504FBA" w:rsidRPr="003101C2">
        <w:rPr>
          <w:lang w:val="en-US"/>
        </w:rPr>
        <w:t>and</w:t>
      </w:r>
      <w:r w:rsidR="00B85A17" w:rsidRPr="003101C2">
        <w:rPr>
          <w:lang w:val="en-US"/>
        </w:rPr>
        <w:t xml:space="preserve"> corresponding</w:t>
      </w:r>
      <w:r w:rsidR="00504FBA" w:rsidRPr="003101C2">
        <w:rPr>
          <w:lang w:val="en-US"/>
        </w:rPr>
        <w:t xml:space="preserve"> generali</w:t>
      </w:r>
      <w:r w:rsidR="00FA0197" w:rsidRPr="003101C2">
        <w:rPr>
          <w:lang w:val="en-US"/>
        </w:rPr>
        <w:t>s</w:t>
      </w:r>
      <w:r w:rsidR="00504FBA" w:rsidRPr="003101C2">
        <w:rPr>
          <w:lang w:val="en-US"/>
        </w:rPr>
        <w:t xml:space="preserve">ed </w:t>
      </w:r>
      <w:r w:rsidR="00267C16" w:rsidRPr="003101C2">
        <w:rPr>
          <w:lang w:val="en-US"/>
        </w:rPr>
        <w:t>allowances</w:t>
      </w:r>
      <w:r w:rsidR="00897019" w:rsidRPr="003101C2">
        <w:rPr>
          <w:lang w:val="en-US"/>
        </w:rPr>
        <w:t xml:space="preserve"> </w:t>
      </w:r>
      <w:r w:rsidR="003F7D08" w:rsidRPr="003101C2">
        <w:rPr>
          <w:lang w:val="en-US"/>
        </w:rPr>
        <w:t xml:space="preserve">should seek to ensure </w:t>
      </w:r>
      <w:r w:rsidR="002D1985" w:rsidRPr="003101C2">
        <w:rPr>
          <w:lang w:val="en-US"/>
        </w:rPr>
        <w:t>that the requirement for additional checking</w:t>
      </w:r>
      <w:r w:rsidR="00822195" w:rsidRPr="003101C2">
        <w:rPr>
          <w:lang w:val="en-US"/>
        </w:rPr>
        <w:t xml:space="preserve"> </w:t>
      </w:r>
      <w:r w:rsidR="00465C18" w:rsidRPr="003101C2">
        <w:rPr>
          <w:lang w:val="en-US"/>
        </w:rPr>
        <w:t>is</w:t>
      </w:r>
      <w:r w:rsidR="00CA5819" w:rsidRPr="003101C2">
        <w:rPr>
          <w:lang w:val="en-US"/>
        </w:rPr>
        <w:t xml:space="preserve"> limited to atypical or unusually heavy items</w:t>
      </w:r>
      <w:r w:rsidR="007A1D94" w:rsidRPr="003101C2">
        <w:rPr>
          <w:lang w:val="en-US"/>
        </w:rPr>
        <w:t>.</w:t>
      </w:r>
      <w:r w:rsidR="00433ABE" w:rsidRPr="003101C2">
        <w:rPr>
          <w:lang w:val="en-US"/>
        </w:rPr>
        <w:t xml:space="preserve"> </w:t>
      </w:r>
      <w:r w:rsidR="007A1D94" w:rsidRPr="003101C2">
        <w:rPr>
          <w:lang w:val="en-US"/>
        </w:rPr>
        <w:t>S</w:t>
      </w:r>
      <w:r w:rsidR="00A34875" w:rsidRPr="003101C2">
        <w:rPr>
          <w:lang w:val="en-US"/>
        </w:rPr>
        <w:t>imilar comments apply to (3) regarding timing of inputs</w:t>
      </w:r>
      <w:r w:rsidR="00E71300" w:rsidRPr="003101C2">
        <w:rPr>
          <w:lang w:val="en-US"/>
        </w:rPr>
        <w:t xml:space="preserve"> to allow </w:t>
      </w:r>
      <w:r w:rsidR="00727C47" w:rsidRPr="003101C2">
        <w:rPr>
          <w:lang w:val="en-US"/>
        </w:rPr>
        <w:t>specific</w:t>
      </w:r>
      <w:r w:rsidR="00E71300" w:rsidRPr="003101C2">
        <w:rPr>
          <w:lang w:val="en-US"/>
        </w:rPr>
        <w:t xml:space="preserve"> </w:t>
      </w:r>
      <w:r w:rsidR="0052584C" w:rsidRPr="003101C2">
        <w:rPr>
          <w:lang w:val="en-US"/>
        </w:rPr>
        <w:t xml:space="preserve">capacity </w:t>
      </w:r>
      <w:r w:rsidR="00E71300" w:rsidRPr="003101C2">
        <w:rPr>
          <w:lang w:val="en-US"/>
        </w:rPr>
        <w:t>checks to be completed</w:t>
      </w:r>
      <w:r w:rsidR="00727C47" w:rsidRPr="003101C2">
        <w:rPr>
          <w:lang w:val="en-US"/>
        </w:rPr>
        <w:t xml:space="preserve"> by the structural engineer</w:t>
      </w:r>
      <w:r w:rsidR="00A34875" w:rsidRPr="003101C2">
        <w:rPr>
          <w:lang w:val="en-US"/>
        </w:rPr>
        <w:t>.</w:t>
      </w:r>
      <w:r w:rsidR="00EA1C8D" w:rsidRPr="003101C2">
        <w:rPr>
          <w:lang w:val="en-US"/>
        </w:rPr>
        <w:br/>
      </w:r>
    </w:p>
    <w:p w14:paraId="197CC891" w14:textId="77777777" w:rsidR="003101C2" w:rsidRDefault="00C61E2B" w:rsidP="004D55F1">
      <w:pPr>
        <w:pStyle w:val="ListParagraph"/>
        <w:numPr>
          <w:ilvl w:val="0"/>
          <w:numId w:val="45"/>
        </w:numPr>
        <w:ind w:left="357" w:hanging="357"/>
        <w:contextualSpacing w:val="0"/>
        <w:rPr>
          <w:lang w:val="en-US"/>
        </w:rPr>
      </w:pPr>
      <w:r w:rsidRPr="00064304">
        <w:rPr>
          <w:b/>
          <w:lang w:val="en-US"/>
        </w:rPr>
        <w:t xml:space="preserve">The provision of </w:t>
      </w:r>
      <w:r w:rsidR="001013AF" w:rsidRPr="00064304">
        <w:rPr>
          <w:b/>
          <w:lang w:val="en-US"/>
        </w:rPr>
        <w:t>specifically designed</w:t>
      </w:r>
      <w:r w:rsidRPr="00064304">
        <w:rPr>
          <w:b/>
          <w:lang w:val="en-US"/>
        </w:rPr>
        <w:t xml:space="preserve"> structural support </w:t>
      </w:r>
      <w:r w:rsidR="5155E23A" w:rsidRPr="00064304">
        <w:rPr>
          <w:b/>
          <w:bCs/>
          <w:lang w:val="en-US"/>
        </w:rPr>
        <w:t>where required</w:t>
      </w:r>
      <w:r w:rsidR="50BB4AFA" w:rsidRPr="00064304">
        <w:rPr>
          <w:lang w:val="en-US"/>
        </w:rPr>
        <w:t xml:space="preserve"> </w:t>
      </w:r>
      <w:r w:rsidRPr="00064304">
        <w:rPr>
          <w:lang w:val="en-US"/>
        </w:rPr>
        <w:t>(or a modification to the primary structural design</w:t>
      </w:r>
      <w:r w:rsidR="00144233" w:rsidRPr="00064304">
        <w:rPr>
          <w:lang w:val="en-US"/>
        </w:rPr>
        <w:t xml:space="preserve"> with specific provision for </w:t>
      </w:r>
      <w:r w:rsidR="002C1194" w:rsidRPr="00064304">
        <w:rPr>
          <w:lang w:val="en-US"/>
        </w:rPr>
        <w:t>heavy items</w:t>
      </w:r>
      <w:r w:rsidR="50BB4AFA" w:rsidRPr="00064304">
        <w:rPr>
          <w:lang w:val="en-US"/>
        </w:rPr>
        <w:t>)</w:t>
      </w:r>
      <w:r w:rsidR="330DA6D2" w:rsidRPr="00064304">
        <w:rPr>
          <w:lang w:val="en-US"/>
        </w:rPr>
        <w:t>.</w:t>
      </w:r>
    </w:p>
    <w:p w14:paraId="20F66392" w14:textId="77777777" w:rsidR="003101C2" w:rsidRDefault="16358F3A" w:rsidP="003101C2">
      <w:pPr>
        <w:ind w:left="357"/>
        <w:rPr>
          <w:lang w:val="en-US"/>
        </w:rPr>
      </w:pPr>
      <w:r w:rsidRPr="003101C2">
        <w:rPr>
          <w:lang w:val="en-US"/>
        </w:rPr>
        <w:t>In some situations, the seismic load case for NSEs may be a governing load case for structural systems</w:t>
      </w:r>
      <w:r w:rsidR="00760216" w:rsidRPr="003101C2">
        <w:rPr>
          <w:lang w:val="en-US"/>
        </w:rPr>
        <w:t xml:space="preserve"> requiring specific design for the </w:t>
      </w:r>
      <w:r w:rsidR="005E1421" w:rsidRPr="003101C2">
        <w:rPr>
          <w:lang w:val="en-US"/>
        </w:rPr>
        <w:t>equipment</w:t>
      </w:r>
      <w:r w:rsidRPr="003101C2">
        <w:rPr>
          <w:lang w:val="en-US"/>
        </w:rPr>
        <w:t xml:space="preserve">. This is </w:t>
      </w:r>
      <w:r w:rsidR="00B85A91" w:rsidRPr="003101C2">
        <w:rPr>
          <w:lang w:val="en-US"/>
        </w:rPr>
        <w:t>generally limited to unusually heavy</w:t>
      </w:r>
      <w:r w:rsidR="0078386F" w:rsidRPr="003101C2">
        <w:rPr>
          <w:lang w:val="en-US"/>
        </w:rPr>
        <w:t xml:space="preserve"> items</w:t>
      </w:r>
      <w:r w:rsidR="00531EB4" w:rsidRPr="003101C2">
        <w:rPr>
          <w:lang w:val="en-US"/>
        </w:rPr>
        <w:t xml:space="preserve"> which can be identified early</w:t>
      </w:r>
      <w:r w:rsidR="006440DF" w:rsidRPr="003101C2">
        <w:rPr>
          <w:lang w:val="en-US"/>
        </w:rPr>
        <w:t xml:space="preserve"> </w:t>
      </w:r>
      <w:r w:rsidR="00964FD5" w:rsidRPr="003101C2">
        <w:rPr>
          <w:lang w:val="en-US"/>
        </w:rPr>
        <w:t>enough for</w:t>
      </w:r>
      <w:r w:rsidR="006440DF" w:rsidRPr="003101C2">
        <w:rPr>
          <w:lang w:val="en-US"/>
        </w:rPr>
        <w:t xml:space="preserve"> </w:t>
      </w:r>
      <w:r w:rsidR="00072096" w:rsidRPr="003101C2">
        <w:rPr>
          <w:lang w:val="en-US"/>
        </w:rPr>
        <w:t xml:space="preserve">specific provision can be </w:t>
      </w:r>
      <w:r w:rsidR="00D66733" w:rsidRPr="003101C2">
        <w:rPr>
          <w:lang w:val="en-US"/>
        </w:rPr>
        <w:t>made</w:t>
      </w:r>
      <w:r w:rsidR="00BF03D6" w:rsidRPr="003101C2">
        <w:rPr>
          <w:lang w:val="en-US"/>
        </w:rPr>
        <w:t xml:space="preserve"> to base build structure</w:t>
      </w:r>
      <w:r w:rsidR="003834AE" w:rsidRPr="003101C2">
        <w:rPr>
          <w:lang w:val="en-US"/>
        </w:rPr>
        <w:t>. This provision should be</w:t>
      </w:r>
      <w:r w:rsidR="00D66733" w:rsidRPr="003101C2">
        <w:rPr>
          <w:lang w:val="en-US"/>
        </w:rPr>
        <w:t xml:space="preserve"> resolved within the design phases</w:t>
      </w:r>
      <w:r w:rsidR="00072096" w:rsidRPr="003101C2">
        <w:rPr>
          <w:lang w:val="en-US"/>
        </w:rPr>
        <w:t>.</w:t>
      </w:r>
      <w:r w:rsidR="007C5F6D" w:rsidRPr="003101C2">
        <w:rPr>
          <w:lang w:val="en-US"/>
        </w:rPr>
        <w:t xml:space="preserve"> Examples</w:t>
      </w:r>
      <w:r w:rsidR="002817BE" w:rsidRPr="003101C2">
        <w:rPr>
          <w:lang w:val="en-US"/>
        </w:rPr>
        <w:t xml:space="preserve"> </w:t>
      </w:r>
      <w:r w:rsidR="0046768E" w:rsidRPr="003101C2">
        <w:rPr>
          <w:lang w:val="en-US"/>
        </w:rPr>
        <w:t>include:</w:t>
      </w:r>
    </w:p>
    <w:p w14:paraId="7CA6A08B" w14:textId="758F993B" w:rsidR="0046768E" w:rsidRPr="003101C2" w:rsidRDefault="0046768E" w:rsidP="004D55F1">
      <w:pPr>
        <w:pStyle w:val="ListParagraph"/>
        <w:numPr>
          <w:ilvl w:val="0"/>
          <w:numId w:val="110"/>
        </w:numPr>
        <w:rPr>
          <w:lang w:val="en-US"/>
        </w:rPr>
      </w:pPr>
      <w:r w:rsidRPr="003101C2">
        <w:rPr>
          <w:lang w:val="en-US"/>
        </w:rPr>
        <w:t>Water tanks</w:t>
      </w:r>
      <w:r w:rsidR="00C92E15" w:rsidRPr="003101C2">
        <w:rPr>
          <w:lang w:val="en-US"/>
        </w:rPr>
        <w:t xml:space="preserve"> (depending on their capacity)</w:t>
      </w:r>
      <w:r w:rsidR="00BF05A2" w:rsidRPr="003101C2">
        <w:rPr>
          <w:lang w:val="en-US"/>
        </w:rPr>
        <w:t>.</w:t>
      </w:r>
    </w:p>
    <w:p w14:paraId="1F69E3B1" w14:textId="45DE9C2B" w:rsidR="0046768E" w:rsidRPr="00064304" w:rsidRDefault="0046768E" w:rsidP="004D55F1">
      <w:pPr>
        <w:pStyle w:val="ListParagraph"/>
        <w:numPr>
          <w:ilvl w:val="0"/>
          <w:numId w:val="21"/>
        </w:numPr>
        <w:rPr>
          <w:lang w:val="en-US"/>
        </w:rPr>
      </w:pPr>
      <w:r w:rsidRPr="00064304">
        <w:rPr>
          <w:lang w:val="en-US"/>
        </w:rPr>
        <w:t>Transformers</w:t>
      </w:r>
      <w:r w:rsidR="004777BE" w:rsidRPr="00064304">
        <w:rPr>
          <w:lang w:val="en-US"/>
        </w:rPr>
        <w:t>, chillers and cooling towers</w:t>
      </w:r>
      <w:r w:rsidR="00BF05A2" w:rsidRPr="00064304">
        <w:rPr>
          <w:lang w:val="en-US"/>
        </w:rPr>
        <w:t>.</w:t>
      </w:r>
    </w:p>
    <w:p w14:paraId="3C50C60F" w14:textId="77777777" w:rsidR="0046768E" w:rsidRPr="00064304" w:rsidRDefault="0046768E" w:rsidP="004D55F1">
      <w:pPr>
        <w:pStyle w:val="ListParagraph"/>
        <w:numPr>
          <w:ilvl w:val="0"/>
          <w:numId w:val="21"/>
        </w:numPr>
        <w:rPr>
          <w:lang w:val="en-US"/>
        </w:rPr>
      </w:pPr>
      <w:r w:rsidRPr="00064304">
        <w:rPr>
          <w:lang w:val="en-US"/>
        </w:rPr>
        <w:t>Concentrated suspended services on pre-engineered subframes.</w:t>
      </w:r>
    </w:p>
    <w:p w14:paraId="7FE8B7D2" w14:textId="3BC74441" w:rsidR="007357C8" w:rsidRPr="00064304" w:rsidRDefault="007357C8" w:rsidP="004D55F1">
      <w:pPr>
        <w:pStyle w:val="ListParagraph"/>
        <w:numPr>
          <w:ilvl w:val="0"/>
          <w:numId w:val="21"/>
        </w:numPr>
        <w:rPr>
          <w:lang w:val="en-US"/>
        </w:rPr>
      </w:pPr>
      <w:r w:rsidRPr="00064304">
        <w:rPr>
          <w:lang w:val="en-US"/>
        </w:rPr>
        <w:t>Heavy medical imaging equipment</w:t>
      </w:r>
      <w:r w:rsidR="00530541" w:rsidRPr="00064304">
        <w:rPr>
          <w:lang w:val="en-US"/>
        </w:rPr>
        <w:t>.</w:t>
      </w:r>
    </w:p>
    <w:p w14:paraId="01CAEF3E" w14:textId="1276A197" w:rsidR="0046768E" w:rsidRPr="00064304" w:rsidRDefault="0046768E" w:rsidP="004D55F1">
      <w:pPr>
        <w:pStyle w:val="ListParagraph"/>
        <w:numPr>
          <w:ilvl w:val="0"/>
          <w:numId w:val="21"/>
        </w:numPr>
        <w:rPr>
          <w:lang w:val="en-US"/>
        </w:rPr>
      </w:pPr>
      <w:r w:rsidRPr="00064304">
        <w:rPr>
          <w:lang w:val="en-US"/>
        </w:rPr>
        <w:t xml:space="preserve">Heavy </w:t>
      </w:r>
      <w:r w:rsidR="00BA5AA7" w:rsidRPr="00064304">
        <w:rPr>
          <w:lang w:val="en-US"/>
        </w:rPr>
        <w:t>suspended</w:t>
      </w:r>
      <w:r w:rsidRPr="00064304">
        <w:rPr>
          <w:lang w:val="en-US"/>
        </w:rPr>
        <w:t xml:space="preserve"> equipment, such as theatre pendan</w:t>
      </w:r>
      <w:r w:rsidR="00530541" w:rsidRPr="00064304">
        <w:rPr>
          <w:lang w:val="en-US"/>
        </w:rPr>
        <w:t>ts (suspended from primary structure over, or suspended from floor mounted frames)</w:t>
      </w:r>
      <w:r w:rsidR="007357C8" w:rsidRPr="00064304">
        <w:rPr>
          <w:lang w:val="en-US"/>
        </w:rPr>
        <w:t>.</w:t>
      </w:r>
    </w:p>
    <w:p w14:paraId="7FE883DF" w14:textId="56092120" w:rsidR="006D29A3" w:rsidRPr="00064304" w:rsidRDefault="0046768E" w:rsidP="003101C2">
      <w:pPr>
        <w:ind w:left="357"/>
        <w:rPr>
          <w:lang w:val="en-US"/>
        </w:rPr>
      </w:pPr>
      <w:r w:rsidRPr="00064304">
        <w:rPr>
          <w:lang w:val="en-US"/>
        </w:rPr>
        <w:t xml:space="preserve">These items need to be identified early, and their locations </w:t>
      </w:r>
      <w:r w:rsidR="00E713B7" w:rsidRPr="00064304">
        <w:rPr>
          <w:lang w:val="en-US"/>
        </w:rPr>
        <w:t>and support configurations agreed</w:t>
      </w:r>
      <w:r w:rsidRPr="00064304">
        <w:rPr>
          <w:lang w:val="en-US"/>
        </w:rPr>
        <w:t xml:space="preserve"> earlier than other plant/architectural items due to the impact they have on the primary structure</w:t>
      </w:r>
      <w:r w:rsidR="001F0F4E" w:rsidRPr="00064304">
        <w:rPr>
          <w:lang w:val="en-US"/>
        </w:rPr>
        <w:t xml:space="preserve"> and the disproportionately higher cost</w:t>
      </w:r>
      <w:r w:rsidR="00484201" w:rsidRPr="00064304">
        <w:rPr>
          <w:lang w:val="en-US"/>
        </w:rPr>
        <w:t xml:space="preserve"> of applying </w:t>
      </w:r>
      <w:r w:rsidR="00222B21" w:rsidRPr="00064304">
        <w:rPr>
          <w:lang w:val="en-US"/>
        </w:rPr>
        <w:t xml:space="preserve">structural modifications </w:t>
      </w:r>
      <w:r w:rsidR="00D75FC9" w:rsidRPr="00064304">
        <w:rPr>
          <w:lang w:val="en-US"/>
        </w:rPr>
        <w:t>late in primary structural procurement or during construction</w:t>
      </w:r>
      <w:r w:rsidRPr="00064304">
        <w:rPr>
          <w:lang w:val="en-US"/>
        </w:rPr>
        <w:t>.</w:t>
      </w:r>
    </w:p>
    <w:p w14:paraId="756DCDA7" w14:textId="2A83A78F" w:rsidR="007322E3" w:rsidRDefault="006D29A3" w:rsidP="003101C2">
      <w:pPr>
        <w:ind w:left="357"/>
        <w:rPr>
          <w:lang w:val="en-US"/>
        </w:rPr>
      </w:pPr>
      <w:r w:rsidRPr="00064304">
        <w:rPr>
          <w:lang w:val="en-US"/>
        </w:rPr>
        <w:t xml:space="preserve">Often, final sizing of heavy plant will </w:t>
      </w:r>
      <w:r w:rsidR="002267BC" w:rsidRPr="00064304">
        <w:rPr>
          <w:lang w:val="en-US"/>
        </w:rPr>
        <w:t>not be available until procurement has been complete</w:t>
      </w:r>
      <w:r w:rsidR="00955FFE" w:rsidRPr="00064304">
        <w:rPr>
          <w:lang w:val="en-US"/>
        </w:rPr>
        <w:t>d</w:t>
      </w:r>
      <w:r w:rsidR="002267BC" w:rsidRPr="00064304">
        <w:rPr>
          <w:lang w:val="en-US"/>
        </w:rPr>
        <w:t xml:space="preserve"> </w:t>
      </w:r>
      <w:r w:rsidR="002267BC" w:rsidRPr="00064304">
        <w:t xml:space="preserve">(i.e. during the construction phase), </w:t>
      </w:r>
      <w:r w:rsidR="00955FFE" w:rsidRPr="00064304">
        <w:t xml:space="preserve">so </w:t>
      </w:r>
      <w:r w:rsidR="00255815" w:rsidRPr="00064304">
        <w:t xml:space="preserve">the structural engineer </w:t>
      </w:r>
      <w:r w:rsidR="00343C57" w:rsidRPr="00064304">
        <w:t xml:space="preserve">shall </w:t>
      </w:r>
      <w:r w:rsidR="00255815" w:rsidRPr="00064304">
        <w:t>make reasonable allowance for plant applied loading</w:t>
      </w:r>
      <w:r w:rsidR="00985233" w:rsidRPr="00064304">
        <w:t xml:space="preserve"> in consultation with the Services and NSE</w:t>
      </w:r>
      <w:r w:rsidR="0000539E" w:rsidRPr="00064304">
        <w:t xml:space="preserve"> </w:t>
      </w:r>
      <w:r w:rsidR="00712CB5" w:rsidRPr="00064304">
        <w:t>Seismic</w:t>
      </w:r>
      <w:r w:rsidR="0000539E" w:rsidRPr="00064304">
        <w:t xml:space="preserve"> Designer</w:t>
      </w:r>
      <w:r w:rsidR="00255815" w:rsidRPr="00064304">
        <w:t>, including local effects such as overturning moments. W</w:t>
      </w:r>
      <w:r w:rsidR="00131F15" w:rsidRPr="00064304">
        <w:rPr>
          <w:lang w:val="en-US"/>
        </w:rPr>
        <w:t>here practical,</w:t>
      </w:r>
      <w:r w:rsidR="0046768E" w:rsidRPr="00064304">
        <w:rPr>
          <w:lang w:val="en-US"/>
        </w:rPr>
        <w:t xml:space="preserve"> </w:t>
      </w:r>
      <w:r w:rsidR="00131F15" w:rsidRPr="00064304">
        <w:rPr>
          <w:lang w:val="en-US"/>
        </w:rPr>
        <w:t xml:space="preserve">allowances should be made in primary structure design </w:t>
      </w:r>
      <w:r w:rsidR="00955FFE" w:rsidRPr="00064304">
        <w:rPr>
          <w:lang w:val="en-US"/>
        </w:rPr>
        <w:t xml:space="preserve">to accommodate construction phase adjustments in </w:t>
      </w:r>
      <w:r w:rsidR="0046768E" w:rsidRPr="00064304">
        <w:rPr>
          <w:lang w:val="en-US"/>
        </w:rPr>
        <w:t>heavy plant</w:t>
      </w:r>
      <w:r w:rsidR="00131F15" w:rsidRPr="00064304">
        <w:rPr>
          <w:lang w:val="en-US"/>
        </w:rPr>
        <w:t xml:space="preserve"> </w:t>
      </w:r>
      <w:r w:rsidR="00955FFE" w:rsidRPr="00064304">
        <w:rPr>
          <w:lang w:val="en-US"/>
        </w:rPr>
        <w:t>dimensions</w:t>
      </w:r>
      <w:r w:rsidR="00463D97" w:rsidRPr="00064304">
        <w:rPr>
          <w:lang w:val="en-US"/>
        </w:rPr>
        <w:t xml:space="preserve">, and adaptations in local support arrangements by the NSE </w:t>
      </w:r>
      <w:r w:rsidR="00712CB5" w:rsidRPr="00064304">
        <w:rPr>
          <w:lang w:val="en-US"/>
        </w:rPr>
        <w:t>Seismic</w:t>
      </w:r>
      <w:r w:rsidR="00463D97" w:rsidRPr="00064304">
        <w:rPr>
          <w:lang w:val="en-US"/>
        </w:rPr>
        <w:t xml:space="preserve"> Designer</w:t>
      </w:r>
      <w:r w:rsidR="000B3E89" w:rsidRPr="00064304">
        <w:rPr>
          <w:lang w:val="en-US"/>
        </w:rPr>
        <w:t xml:space="preserve"> (refer to Section </w:t>
      </w:r>
      <w:r w:rsidR="00980294" w:rsidRPr="00064304">
        <w:rPr>
          <w:lang w:val="en-US"/>
        </w:rPr>
        <w:fldChar w:fldCharType="begin"/>
      </w:r>
      <w:r w:rsidR="00980294" w:rsidRPr="00064304">
        <w:rPr>
          <w:lang w:val="en-US"/>
        </w:rPr>
        <w:instrText xml:space="preserve"> REF _Ref168511244 \r \h </w:instrText>
      </w:r>
      <w:r w:rsidR="00064304">
        <w:rPr>
          <w:lang w:val="en-US"/>
        </w:rPr>
        <w:instrText xml:space="preserve"> \* MERGEFORMAT </w:instrText>
      </w:r>
      <w:r w:rsidR="00980294" w:rsidRPr="00064304">
        <w:rPr>
          <w:lang w:val="en-US"/>
        </w:rPr>
      </w:r>
      <w:r w:rsidR="00980294" w:rsidRPr="00064304">
        <w:rPr>
          <w:lang w:val="en-US"/>
        </w:rPr>
        <w:fldChar w:fldCharType="separate"/>
      </w:r>
      <w:r w:rsidR="000761C1">
        <w:rPr>
          <w:lang w:val="en-US"/>
        </w:rPr>
        <w:t>C4.8.2</w:t>
      </w:r>
      <w:r w:rsidR="00980294" w:rsidRPr="00064304">
        <w:rPr>
          <w:lang w:val="en-US"/>
        </w:rPr>
        <w:fldChar w:fldCharType="end"/>
      </w:r>
      <w:r w:rsidR="000B3E89" w:rsidRPr="00064304">
        <w:rPr>
          <w:lang w:val="en-US"/>
        </w:rPr>
        <w:t>)</w:t>
      </w:r>
      <w:r w:rsidR="00A43953">
        <w:rPr>
          <w:lang w:val="en-US"/>
        </w:rPr>
        <w:t xml:space="preserve">. </w:t>
      </w:r>
    </w:p>
    <w:p w14:paraId="3AE4FE22" w14:textId="77777777" w:rsidR="00310C45" w:rsidRDefault="00310C45" w:rsidP="003101C2">
      <w:pPr>
        <w:ind w:left="357"/>
        <w:rPr>
          <w:lang w:val="en-US"/>
        </w:rPr>
      </w:pPr>
    </w:p>
    <w:p w14:paraId="69B9C2C3" w14:textId="77777777" w:rsidR="00310C45" w:rsidRDefault="00310C45" w:rsidP="003101C2">
      <w:pPr>
        <w:ind w:left="357"/>
        <w:rPr>
          <w:lang w:val="en-US"/>
        </w:rPr>
      </w:pPr>
    </w:p>
    <w:p w14:paraId="466019D7" w14:textId="77777777" w:rsidR="00512470" w:rsidRPr="00064304" w:rsidRDefault="00512470" w:rsidP="003101C2">
      <w:pPr>
        <w:ind w:left="357"/>
        <w:rPr>
          <w:lang w:val="en-US"/>
        </w:rPr>
      </w:pPr>
    </w:p>
    <w:p w14:paraId="3E8A2113" w14:textId="1F6AA5C2" w:rsidR="0046768E" w:rsidRPr="00925BCA" w:rsidRDefault="0046768E"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b/>
          <w:bCs/>
          <w:lang w:val="en-US"/>
        </w:rPr>
      </w:pPr>
      <w:r w:rsidRPr="00925BCA">
        <w:rPr>
          <w:b/>
          <w:bCs/>
          <w:lang w:val="en-US"/>
        </w:rPr>
        <w:lastRenderedPageBreak/>
        <w:t xml:space="preserve">Commentary on primary structure design for </w:t>
      </w:r>
      <w:r w:rsidR="00613748" w:rsidRPr="00925BCA">
        <w:rPr>
          <w:b/>
          <w:bCs/>
          <w:lang w:val="en-US"/>
        </w:rPr>
        <w:t>general</w:t>
      </w:r>
      <w:r w:rsidRPr="00925BCA">
        <w:rPr>
          <w:b/>
          <w:bCs/>
          <w:lang w:val="en-US"/>
        </w:rPr>
        <w:t xml:space="preserve"> distributed </w:t>
      </w:r>
      <w:r w:rsidR="00613748" w:rsidRPr="00925BCA">
        <w:rPr>
          <w:b/>
          <w:bCs/>
          <w:lang w:val="en-US"/>
        </w:rPr>
        <w:t>NSE</w:t>
      </w:r>
    </w:p>
    <w:p w14:paraId="5423B5F6" w14:textId="67D5E220" w:rsidR="0046768E" w:rsidRPr="00064304" w:rsidRDefault="009417D1"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064304">
        <w:rPr>
          <w:lang w:val="en-US"/>
        </w:rPr>
        <w:t xml:space="preserve">Routine NSE </w:t>
      </w:r>
      <w:r w:rsidR="00270A88" w:rsidRPr="00064304">
        <w:rPr>
          <w:lang w:val="en-US"/>
        </w:rPr>
        <w:t>seismic</w:t>
      </w:r>
      <w:r w:rsidRPr="00064304">
        <w:rPr>
          <w:lang w:val="en-US"/>
        </w:rPr>
        <w:t xml:space="preserve"> </w:t>
      </w:r>
      <w:r w:rsidR="00270A88" w:rsidRPr="00064304">
        <w:rPr>
          <w:lang w:val="en-US"/>
        </w:rPr>
        <w:t>d</w:t>
      </w:r>
      <w:r w:rsidRPr="00064304">
        <w:rPr>
          <w:lang w:val="en-US"/>
        </w:rPr>
        <w:t>esign practice</w:t>
      </w:r>
      <w:r w:rsidR="0046768E" w:rsidRPr="00064304">
        <w:rPr>
          <w:lang w:val="en-US"/>
        </w:rPr>
        <w:t xml:space="preserve"> </w:t>
      </w:r>
      <w:r w:rsidR="007E26AE" w:rsidRPr="00FA0197">
        <w:t>utili</w:t>
      </w:r>
      <w:r w:rsidR="009F46D6" w:rsidRPr="00FA0197">
        <w:t>s</w:t>
      </w:r>
      <w:r w:rsidR="007E26AE" w:rsidRPr="00FA0197">
        <w:t>es</w:t>
      </w:r>
      <w:r w:rsidRPr="00064304">
        <w:rPr>
          <w:lang w:val="en-US"/>
        </w:rPr>
        <w:t xml:space="preserve"> simplifying</w:t>
      </w:r>
      <w:r w:rsidR="0046768E" w:rsidRPr="00064304">
        <w:rPr>
          <w:lang w:val="en-US"/>
        </w:rPr>
        <w:t xml:space="preserve"> assumptions</w:t>
      </w:r>
      <w:r w:rsidR="0047151D" w:rsidRPr="00064304">
        <w:rPr>
          <w:lang w:val="en-US"/>
        </w:rPr>
        <w:t xml:space="preserve"> for practical reasons and to simplify communication of requirements to </w:t>
      </w:r>
      <w:r w:rsidR="0070005D" w:rsidRPr="00064304">
        <w:rPr>
          <w:lang w:val="en-US"/>
        </w:rPr>
        <w:t>installers</w:t>
      </w:r>
      <w:r w:rsidR="0046768E" w:rsidRPr="00064304">
        <w:rPr>
          <w:lang w:val="en-US"/>
        </w:rPr>
        <w:t xml:space="preserve">. </w:t>
      </w:r>
      <w:r w:rsidR="007879B4" w:rsidRPr="00064304">
        <w:rPr>
          <w:lang w:val="en-US"/>
        </w:rPr>
        <w:t>This can apply to d</w:t>
      </w:r>
      <w:r w:rsidR="0046768E" w:rsidRPr="00064304">
        <w:rPr>
          <w:lang w:val="en-US"/>
        </w:rPr>
        <w:t>esign assumptions for weight, restraint spacing, potential resonance with primary structure (i.e., parts load</w:t>
      </w:r>
      <w:r w:rsidR="00997021" w:rsidRPr="00064304">
        <w:rPr>
          <w:lang w:val="en-US"/>
        </w:rPr>
        <w:t xml:space="preserve"> derivation</w:t>
      </w:r>
      <w:r w:rsidR="0046768E" w:rsidRPr="00064304">
        <w:rPr>
          <w:lang w:val="en-US"/>
        </w:rPr>
        <w:t xml:space="preserve">), </w:t>
      </w:r>
      <w:r w:rsidR="789C6674" w:rsidRPr="00064304">
        <w:rPr>
          <w:lang w:val="en-US"/>
        </w:rPr>
        <w:t>concurrency of load</w:t>
      </w:r>
      <w:r w:rsidR="31B95603" w:rsidRPr="00064304">
        <w:rPr>
          <w:lang w:val="en-US"/>
        </w:rPr>
        <w:t>ing</w:t>
      </w:r>
      <w:r w:rsidR="789C6674" w:rsidRPr="00064304">
        <w:rPr>
          <w:lang w:val="en-US"/>
        </w:rPr>
        <w:t xml:space="preserve"> </w:t>
      </w:r>
      <w:r w:rsidR="0046768E" w:rsidRPr="00064304">
        <w:rPr>
          <w:lang w:val="en-US"/>
        </w:rPr>
        <w:t>and ductility</w:t>
      </w:r>
      <w:r w:rsidR="007879B4" w:rsidRPr="00064304">
        <w:rPr>
          <w:lang w:val="en-US"/>
        </w:rPr>
        <w:t>. The d</w:t>
      </w:r>
      <w:r w:rsidR="0046768E" w:rsidRPr="00064304">
        <w:rPr>
          <w:lang w:val="en-US"/>
        </w:rPr>
        <w:t xml:space="preserve">esign impact on the restraint itself is </w:t>
      </w:r>
      <w:r w:rsidR="007879B4" w:rsidRPr="00064304">
        <w:rPr>
          <w:lang w:val="en-US"/>
        </w:rPr>
        <w:t xml:space="preserve">usually </w:t>
      </w:r>
      <w:r w:rsidR="0046768E" w:rsidRPr="00064304">
        <w:rPr>
          <w:lang w:val="en-US"/>
        </w:rPr>
        <w:t>minimal</w:t>
      </w:r>
      <w:r w:rsidR="007879B4" w:rsidRPr="00064304">
        <w:rPr>
          <w:lang w:val="en-US"/>
        </w:rPr>
        <w:t xml:space="preserve"> and offset by </w:t>
      </w:r>
      <w:r w:rsidR="001944CA" w:rsidRPr="00064304">
        <w:rPr>
          <w:lang w:val="en-US"/>
        </w:rPr>
        <w:t xml:space="preserve">practical </w:t>
      </w:r>
      <w:r w:rsidR="007879B4" w:rsidRPr="00064304">
        <w:rPr>
          <w:lang w:val="en-US"/>
        </w:rPr>
        <w:t>construction efficiencies</w:t>
      </w:r>
      <w:r w:rsidR="0046768E" w:rsidRPr="00064304">
        <w:rPr>
          <w:lang w:val="en-US"/>
        </w:rPr>
        <w:t>.</w:t>
      </w:r>
    </w:p>
    <w:p w14:paraId="790872F5" w14:textId="40A5881A" w:rsidR="0046768E" w:rsidRPr="00064304" w:rsidRDefault="00BB0D1A"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064304">
        <w:rPr>
          <w:lang w:val="en-US"/>
        </w:rPr>
        <w:t>However, when these assumptions</w:t>
      </w:r>
      <w:r w:rsidR="0046768E" w:rsidRPr="00064304">
        <w:rPr>
          <w:lang w:val="en-US"/>
        </w:rPr>
        <w:t xml:space="preserve"> are </w:t>
      </w:r>
      <w:r w:rsidRPr="00064304">
        <w:rPr>
          <w:lang w:val="en-US"/>
        </w:rPr>
        <w:t>compounded</w:t>
      </w:r>
      <w:r w:rsidR="0046768E" w:rsidRPr="00064304">
        <w:rPr>
          <w:lang w:val="en-US"/>
        </w:rPr>
        <w:t xml:space="preserve"> with</w:t>
      </w:r>
      <w:r w:rsidRPr="00064304">
        <w:rPr>
          <w:lang w:val="en-US"/>
        </w:rPr>
        <w:t xml:space="preserve"> similar simplifying assumptions made</w:t>
      </w:r>
      <w:r w:rsidR="0046768E" w:rsidRPr="00064304">
        <w:rPr>
          <w:lang w:val="en-US"/>
        </w:rPr>
        <w:t xml:space="preserve"> by interfacing engineer</w:t>
      </w:r>
      <w:r w:rsidRPr="00064304">
        <w:rPr>
          <w:lang w:val="en-US"/>
        </w:rPr>
        <w:t>s for primary structure</w:t>
      </w:r>
      <w:r w:rsidR="0046768E" w:rsidRPr="00064304">
        <w:rPr>
          <w:lang w:val="en-US"/>
        </w:rPr>
        <w:t xml:space="preserve">, the outcomes can become </w:t>
      </w:r>
      <w:r w:rsidR="009C6DE5" w:rsidRPr="00064304">
        <w:rPr>
          <w:lang w:val="en-US"/>
        </w:rPr>
        <w:t>materially</w:t>
      </w:r>
      <w:r w:rsidR="0046768E" w:rsidRPr="00064304">
        <w:rPr>
          <w:lang w:val="en-US"/>
        </w:rPr>
        <w:t xml:space="preserve"> conservative. This can lead to theoretical scenarios where primary structure</w:t>
      </w:r>
      <w:r w:rsidR="009377DD">
        <w:rPr>
          <w:lang w:val="en-US"/>
        </w:rPr>
        <w:t xml:space="preserve"> - </w:t>
      </w:r>
      <w:r w:rsidR="0046768E" w:rsidRPr="00064304">
        <w:rPr>
          <w:lang w:val="en-US"/>
        </w:rPr>
        <w:t xml:space="preserve">floors and beams  </w:t>
      </w:r>
      <w:r w:rsidR="00503A18" w:rsidRPr="00064304">
        <w:rPr>
          <w:lang w:val="en-US"/>
        </w:rPr>
        <w:t xml:space="preserve">have </w:t>
      </w:r>
      <w:r w:rsidR="0081122F" w:rsidRPr="00064304">
        <w:rPr>
          <w:lang w:val="en-US"/>
        </w:rPr>
        <w:t>low</w:t>
      </w:r>
      <w:r w:rsidR="00503A18" w:rsidRPr="00064304">
        <w:rPr>
          <w:lang w:val="en-US"/>
        </w:rPr>
        <w:t xml:space="preserve"> calculated capacities relative to the assumed NSE </w:t>
      </w:r>
      <w:r w:rsidR="00A308C1" w:rsidRPr="00064304">
        <w:rPr>
          <w:lang w:val="en-US"/>
        </w:rPr>
        <w:t>restraint</w:t>
      </w:r>
      <w:r w:rsidR="00503A18" w:rsidRPr="00064304">
        <w:rPr>
          <w:lang w:val="en-US"/>
        </w:rPr>
        <w:t xml:space="preserve"> loading</w:t>
      </w:r>
      <w:r w:rsidR="0081122F" w:rsidRPr="00064304">
        <w:rPr>
          <w:lang w:val="en-US"/>
        </w:rPr>
        <w:t xml:space="preserve"> which poorly reflect</w:t>
      </w:r>
      <w:r w:rsidR="005C2021" w:rsidRPr="00064304">
        <w:rPr>
          <w:lang w:val="en-US"/>
        </w:rPr>
        <w:t xml:space="preserve"> the true capacity</w:t>
      </w:r>
      <w:r w:rsidR="00DF434F" w:rsidRPr="00064304">
        <w:rPr>
          <w:lang w:val="en-US"/>
        </w:rPr>
        <w:t xml:space="preserve"> available</w:t>
      </w:r>
      <w:r w:rsidR="0046768E" w:rsidRPr="00064304">
        <w:rPr>
          <w:lang w:val="en-US"/>
        </w:rPr>
        <w:t>.</w:t>
      </w:r>
    </w:p>
    <w:p w14:paraId="542F23FA" w14:textId="487E98F8" w:rsidR="0046768E" w:rsidRPr="00064304" w:rsidRDefault="0046768E"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064304">
        <w:rPr>
          <w:lang w:val="en-US"/>
        </w:rPr>
        <w:t xml:space="preserve">Structural engineers and NSE </w:t>
      </w:r>
      <w:r w:rsidR="00712CB5" w:rsidRPr="00064304">
        <w:rPr>
          <w:lang w:val="en-US"/>
        </w:rPr>
        <w:t>Seismic Designer</w:t>
      </w:r>
      <w:r w:rsidRPr="00064304">
        <w:rPr>
          <w:lang w:val="en-US"/>
        </w:rPr>
        <w:t xml:space="preserve">s </w:t>
      </w:r>
      <w:r w:rsidR="00C473B4" w:rsidRPr="00064304">
        <w:rPr>
          <w:lang w:val="en-US"/>
        </w:rPr>
        <w:t>should</w:t>
      </w:r>
      <w:r w:rsidRPr="00064304">
        <w:rPr>
          <w:lang w:val="en-US"/>
        </w:rPr>
        <w:t xml:space="preserve"> work together to ensure </w:t>
      </w:r>
      <w:r w:rsidR="00965EB1" w:rsidRPr="00064304">
        <w:rPr>
          <w:lang w:val="en-US"/>
        </w:rPr>
        <w:t xml:space="preserve">careful and pragmatic </w:t>
      </w:r>
      <w:r w:rsidR="00F11745" w:rsidRPr="00064304">
        <w:rPr>
          <w:lang w:val="en-US"/>
        </w:rPr>
        <w:t>management of simplifying assumptions</w:t>
      </w:r>
      <w:r w:rsidR="00EA68D2">
        <w:rPr>
          <w:lang w:val="en-US"/>
        </w:rPr>
        <w:t xml:space="preserve"> </w:t>
      </w:r>
      <w:r w:rsidR="00F11745" w:rsidRPr="00064304">
        <w:rPr>
          <w:lang w:val="en-US"/>
        </w:rPr>
        <w:t xml:space="preserve">which </w:t>
      </w:r>
      <w:r w:rsidR="00C432B7" w:rsidRPr="00064304">
        <w:rPr>
          <w:lang w:val="en-US"/>
        </w:rPr>
        <w:t>achieves the performance requirements</w:t>
      </w:r>
      <w:r w:rsidR="00692DE7" w:rsidRPr="00064304">
        <w:rPr>
          <w:lang w:val="en-US"/>
        </w:rPr>
        <w:t xml:space="preserve"> </w:t>
      </w:r>
      <w:r w:rsidR="00C432B7" w:rsidRPr="00064304">
        <w:rPr>
          <w:lang w:val="en-US"/>
        </w:rPr>
        <w:t xml:space="preserve">but </w:t>
      </w:r>
      <w:r w:rsidR="00F11745" w:rsidRPr="00064304">
        <w:rPr>
          <w:lang w:val="en-US"/>
        </w:rPr>
        <w:t xml:space="preserve">gives </w:t>
      </w:r>
      <w:r w:rsidR="00A65051" w:rsidRPr="00064304">
        <w:rPr>
          <w:lang w:val="en-US"/>
        </w:rPr>
        <w:t>enhanced</w:t>
      </w:r>
      <w:r w:rsidR="00F11745" w:rsidRPr="00064304">
        <w:rPr>
          <w:lang w:val="en-US"/>
        </w:rPr>
        <w:t xml:space="preserve"> </w:t>
      </w:r>
      <w:r w:rsidR="009503A8" w:rsidRPr="00064304">
        <w:rPr>
          <w:lang w:val="en-US"/>
        </w:rPr>
        <w:t>recognition to structural capacities</w:t>
      </w:r>
      <w:r w:rsidR="00C432B7" w:rsidRPr="00064304">
        <w:rPr>
          <w:lang w:val="en-US"/>
        </w:rPr>
        <w:t xml:space="preserve"> and is </w:t>
      </w:r>
      <w:r w:rsidR="00A20C89" w:rsidRPr="00064304">
        <w:rPr>
          <w:lang w:val="en-US"/>
        </w:rPr>
        <w:t xml:space="preserve">better </w:t>
      </w:r>
      <w:r w:rsidR="00C432B7" w:rsidRPr="00064304">
        <w:rPr>
          <w:lang w:val="en-US"/>
        </w:rPr>
        <w:t>reflective of real loading conditions and performance</w:t>
      </w:r>
      <w:r w:rsidRPr="00064304">
        <w:rPr>
          <w:lang w:val="en-US"/>
        </w:rPr>
        <w:t>.</w:t>
      </w:r>
    </w:p>
    <w:p w14:paraId="47E20767" w14:textId="44C5412C" w:rsidR="00FE2C17" w:rsidRPr="00064304" w:rsidRDefault="00FE2C17"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064304">
        <w:rPr>
          <w:lang w:val="en-US"/>
        </w:rPr>
        <w:t xml:space="preserve">Typically, </w:t>
      </w:r>
      <w:r w:rsidR="00433E94" w:rsidRPr="00064304">
        <w:rPr>
          <w:lang w:val="en-US"/>
        </w:rPr>
        <w:t xml:space="preserve">common </w:t>
      </w:r>
      <w:r w:rsidRPr="00064304">
        <w:rPr>
          <w:lang w:val="en-US"/>
        </w:rPr>
        <w:t xml:space="preserve">structural flooring systems will be able to </w:t>
      </w:r>
      <w:r w:rsidR="00963BE0" w:rsidRPr="00064304">
        <w:rPr>
          <w:lang w:val="en-US"/>
        </w:rPr>
        <w:t>support</w:t>
      </w:r>
      <w:r w:rsidRPr="00064304">
        <w:rPr>
          <w:lang w:val="en-US"/>
        </w:rPr>
        <w:t xml:space="preserve"> direct fixing of well distributed, lighter-weight NSE’s without </w:t>
      </w:r>
      <w:r w:rsidR="00963BE0" w:rsidRPr="00064304">
        <w:rPr>
          <w:lang w:val="en-US"/>
        </w:rPr>
        <w:t xml:space="preserve">undue constraint nor </w:t>
      </w:r>
      <w:r w:rsidRPr="00064304">
        <w:rPr>
          <w:lang w:val="en-US"/>
        </w:rPr>
        <w:t>the need for much, if any, additional strengthening/bracing. However</w:t>
      </w:r>
      <w:r w:rsidR="00433E94" w:rsidRPr="00064304">
        <w:rPr>
          <w:lang w:val="en-US"/>
        </w:rPr>
        <w:t>,</w:t>
      </w:r>
      <w:r w:rsidRPr="00064304">
        <w:rPr>
          <w:lang w:val="en-US"/>
        </w:rPr>
        <w:t xml:space="preserve"> lightweight systems, such as light gauge purlin roofs, can often require additional </w:t>
      </w:r>
      <w:r w:rsidR="00E53CF0" w:rsidRPr="00064304">
        <w:rPr>
          <w:lang w:val="en-US"/>
        </w:rPr>
        <w:t>measures</w:t>
      </w:r>
      <w:r w:rsidRPr="00064304">
        <w:rPr>
          <w:lang w:val="en-US"/>
        </w:rPr>
        <w:t xml:space="preserve"> to carry </w:t>
      </w:r>
      <w:r w:rsidR="00796476" w:rsidRPr="00064304">
        <w:rPr>
          <w:lang w:val="en-US"/>
        </w:rPr>
        <w:t>and restrain</w:t>
      </w:r>
      <w:r w:rsidR="0092617B" w:rsidRPr="00064304">
        <w:rPr>
          <w:lang w:val="en-US"/>
        </w:rPr>
        <w:t xml:space="preserve"> </w:t>
      </w:r>
      <w:r w:rsidRPr="00064304">
        <w:rPr>
          <w:lang w:val="en-US"/>
        </w:rPr>
        <w:t xml:space="preserve">rooftop plant </w:t>
      </w:r>
      <w:r w:rsidR="0092617B" w:rsidRPr="00064304">
        <w:rPr>
          <w:lang w:val="en-US"/>
        </w:rPr>
        <w:t>or access structures</w:t>
      </w:r>
      <w:r w:rsidR="00E53CF0" w:rsidRPr="00064304">
        <w:rPr>
          <w:lang w:val="en-US"/>
        </w:rPr>
        <w:t xml:space="preserve"> and suspended </w:t>
      </w:r>
      <w:r w:rsidR="007718F1" w:rsidRPr="00064304">
        <w:rPr>
          <w:lang w:val="en-US"/>
        </w:rPr>
        <w:t>NSEs</w:t>
      </w:r>
      <w:r w:rsidRPr="00064304">
        <w:rPr>
          <w:lang w:val="en-US"/>
        </w:rPr>
        <w:t>.</w:t>
      </w:r>
      <w:r w:rsidR="007718F1" w:rsidRPr="00064304">
        <w:rPr>
          <w:lang w:val="en-US"/>
        </w:rPr>
        <w:t xml:space="preserve"> This can include</w:t>
      </w:r>
      <w:r w:rsidR="00275F33" w:rsidRPr="00064304">
        <w:rPr>
          <w:lang w:val="en-US"/>
        </w:rPr>
        <w:t xml:space="preserve"> mixtures of</w:t>
      </w:r>
      <w:r w:rsidR="007718F1" w:rsidRPr="00064304">
        <w:rPr>
          <w:lang w:val="en-US"/>
        </w:rPr>
        <w:t xml:space="preserve"> additional bracing</w:t>
      </w:r>
      <w:r w:rsidR="00275F33" w:rsidRPr="00064304">
        <w:rPr>
          <w:lang w:val="en-US"/>
        </w:rPr>
        <w:t>, blocking</w:t>
      </w:r>
      <w:r w:rsidR="007718F1" w:rsidRPr="00064304">
        <w:rPr>
          <w:lang w:val="en-US"/>
        </w:rPr>
        <w:t xml:space="preserve"> and lacing, additional plywood or panel products and additional secondary steelwork.</w:t>
      </w:r>
      <w:r w:rsidRPr="00064304">
        <w:rPr>
          <w:lang w:val="en-US"/>
        </w:rPr>
        <w:t xml:space="preserve"> The cost of this additional secondary structure should be accounted for in determining </w:t>
      </w:r>
      <w:r w:rsidR="00C7234A" w:rsidRPr="00064304">
        <w:rPr>
          <w:lang w:val="en-US"/>
        </w:rPr>
        <w:t xml:space="preserve">and costing </w:t>
      </w:r>
      <w:r w:rsidRPr="00064304">
        <w:rPr>
          <w:lang w:val="en-US"/>
        </w:rPr>
        <w:t>the appropriate structural system</w:t>
      </w:r>
      <w:r w:rsidR="00C7234A" w:rsidRPr="00064304">
        <w:rPr>
          <w:lang w:val="en-US"/>
        </w:rPr>
        <w:t>, as it can be significant</w:t>
      </w:r>
      <w:r w:rsidRPr="00064304">
        <w:rPr>
          <w:lang w:val="en-US"/>
        </w:rPr>
        <w:t xml:space="preserve">. The </w:t>
      </w:r>
      <w:r w:rsidR="00C7234A" w:rsidRPr="00064304">
        <w:rPr>
          <w:lang w:val="en-US"/>
        </w:rPr>
        <w:t xml:space="preserve">simplicity and </w:t>
      </w:r>
      <w:r w:rsidRPr="00064304">
        <w:rPr>
          <w:lang w:val="en-US"/>
        </w:rPr>
        <w:t xml:space="preserve">improved future flexibility </w:t>
      </w:r>
      <w:r w:rsidR="00FD2E28" w:rsidRPr="00064304">
        <w:rPr>
          <w:lang w:val="en-US"/>
        </w:rPr>
        <w:t>offered</w:t>
      </w:r>
      <w:r w:rsidRPr="00064304">
        <w:rPr>
          <w:lang w:val="en-US"/>
        </w:rPr>
        <w:t xml:space="preserve"> by heavier structural systems should be </w:t>
      </w:r>
      <w:r w:rsidR="00FF584A" w:rsidRPr="00064304">
        <w:rPr>
          <w:lang w:val="en-US"/>
        </w:rPr>
        <w:t>considered</w:t>
      </w:r>
      <w:r w:rsidRPr="00064304">
        <w:rPr>
          <w:lang w:val="en-US"/>
        </w:rPr>
        <w:t xml:space="preserve">. The use of a typical structural flooring system at roof level </w:t>
      </w:r>
      <w:r w:rsidR="004846DC" w:rsidRPr="00064304">
        <w:rPr>
          <w:lang w:val="en-US"/>
        </w:rPr>
        <w:t>can</w:t>
      </w:r>
      <w:r w:rsidRPr="00064304">
        <w:rPr>
          <w:lang w:val="en-US"/>
        </w:rPr>
        <w:t xml:space="preserve"> be preferable in</w:t>
      </w:r>
      <w:r w:rsidR="00C7234A" w:rsidRPr="00064304">
        <w:rPr>
          <w:lang w:val="en-US"/>
        </w:rPr>
        <w:t xml:space="preserve"> some areas of </w:t>
      </w:r>
      <w:r w:rsidRPr="00064304">
        <w:rPr>
          <w:lang w:val="en-US"/>
        </w:rPr>
        <w:t>larger hospitals and should be considered as an option.</w:t>
      </w:r>
    </w:p>
    <w:p w14:paraId="74504EC2" w14:textId="3527924B" w:rsidR="00A34086" w:rsidRDefault="00A34086" w:rsidP="00666E06">
      <w:pPr>
        <w:rPr>
          <w:lang w:val="en-US"/>
        </w:rPr>
      </w:pPr>
      <w:r>
        <w:rPr>
          <w:lang w:val="en-US"/>
        </w:rPr>
        <w:br w:type="page"/>
      </w:r>
    </w:p>
    <w:p w14:paraId="48030722" w14:textId="77777777" w:rsidR="006768A9" w:rsidRPr="00064304" w:rsidRDefault="006768A9" w:rsidP="003101C2">
      <w:pPr>
        <w:pStyle w:val="Section3heading2"/>
      </w:pPr>
      <w:bookmarkStart w:id="342" w:name="_Toc203642000"/>
      <w:r w:rsidRPr="00064304">
        <w:lastRenderedPageBreak/>
        <w:t>General Design Requirements for Non-Structural Elements</w:t>
      </w:r>
      <w:bookmarkEnd w:id="342"/>
    </w:p>
    <w:p w14:paraId="2C4A6F50" w14:textId="4B4A5778" w:rsidR="00A65C1D" w:rsidRPr="00064304" w:rsidRDefault="005B6636" w:rsidP="003101C2">
      <w:pPr>
        <w:pStyle w:val="Section3heading3"/>
      </w:pPr>
      <w:r w:rsidRPr="00064304">
        <w:t>Seismic Loading and Part Ductility</w:t>
      </w:r>
    </w:p>
    <w:p w14:paraId="42E90495" w14:textId="6D98C6A8" w:rsidR="003409AB" w:rsidRPr="00064304" w:rsidRDefault="00EE1D4D" w:rsidP="00666E06">
      <w:r w:rsidRPr="00064304">
        <w:t xml:space="preserve">Refer to </w:t>
      </w:r>
      <w:r w:rsidRPr="003527D6">
        <w:t xml:space="preserve">Section </w:t>
      </w:r>
      <w:r w:rsidRPr="003527D6">
        <w:fldChar w:fldCharType="begin"/>
      </w:r>
      <w:r w:rsidRPr="003527D6">
        <w:instrText xml:space="preserve"> REF _Ref153543097 \r \h </w:instrText>
      </w:r>
      <w:r w:rsidR="00064304" w:rsidRPr="003527D6">
        <w:instrText xml:space="preserve"> \* MERGEFORMAT </w:instrText>
      </w:r>
      <w:r w:rsidRPr="003527D6">
        <w:fldChar w:fldCharType="separate"/>
      </w:r>
      <w:r w:rsidR="000761C1">
        <w:t>C1.3.6</w:t>
      </w:r>
      <w:r w:rsidRPr="003527D6">
        <w:fldChar w:fldCharType="end"/>
      </w:r>
      <w:r w:rsidRPr="003527D6">
        <w:t xml:space="preserve"> </w:t>
      </w:r>
      <w:r w:rsidRPr="003527D6">
        <w:fldChar w:fldCharType="begin"/>
      </w:r>
      <w:r w:rsidRPr="003527D6">
        <w:instrText xml:space="preserve"> REF _Ref153543097 \h </w:instrText>
      </w:r>
      <w:r w:rsidR="00064304" w:rsidRPr="003527D6">
        <w:instrText xml:space="preserve"> \* MERGEFORMAT </w:instrText>
      </w:r>
      <w:r w:rsidRPr="003527D6">
        <w:fldChar w:fldCharType="separate"/>
      </w:r>
      <w:r w:rsidR="000761C1" w:rsidRPr="006E61DB">
        <w:t>Requirements for Parts and Components</w:t>
      </w:r>
      <w:r w:rsidRPr="003527D6">
        <w:fldChar w:fldCharType="end"/>
      </w:r>
      <w:r w:rsidRPr="003527D6">
        <w:t xml:space="preserve">, and Section </w:t>
      </w:r>
      <w:r w:rsidR="00136665" w:rsidRPr="003527D6">
        <w:fldChar w:fldCharType="begin"/>
      </w:r>
      <w:r w:rsidR="00136665" w:rsidRPr="003527D6">
        <w:instrText xml:space="preserve"> REF _Ref152819641 \r \h </w:instrText>
      </w:r>
      <w:r w:rsidR="00064304" w:rsidRPr="003527D6">
        <w:instrText xml:space="preserve"> \* MERGEFORMAT </w:instrText>
      </w:r>
      <w:r w:rsidR="00136665" w:rsidRPr="003527D6">
        <w:fldChar w:fldCharType="separate"/>
      </w:r>
      <w:r w:rsidR="000761C1">
        <w:t>A3.1.1</w:t>
      </w:r>
      <w:r w:rsidR="00136665" w:rsidRPr="003527D6">
        <w:fldChar w:fldCharType="end"/>
      </w:r>
      <w:r w:rsidR="00136665" w:rsidRPr="003527D6">
        <w:t xml:space="preserve"> </w:t>
      </w:r>
      <w:r w:rsidR="00136665" w:rsidRPr="003527D6">
        <w:fldChar w:fldCharType="begin"/>
      </w:r>
      <w:r w:rsidR="00136665" w:rsidRPr="003527D6">
        <w:instrText xml:space="preserve"> REF _Ref152819641 \h </w:instrText>
      </w:r>
      <w:r w:rsidR="00064304" w:rsidRPr="003527D6">
        <w:instrText xml:space="preserve"> \* MERGEFORMAT </w:instrText>
      </w:r>
      <w:r w:rsidR="00136665" w:rsidRPr="003527D6">
        <w:fldChar w:fldCharType="separate"/>
      </w:r>
      <w:r w:rsidR="000761C1" w:rsidRPr="00076478">
        <w:t>Building Movement, Acceleration, and Loading Report for Non-Structural Elements</w:t>
      </w:r>
      <w:r w:rsidR="00136665" w:rsidRPr="003527D6">
        <w:fldChar w:fldCharType="end"/>
      </w:r>
      <w:r w:rsidR="00136665" w:rsidRPr="003527D6">
        <w:t>.</w:t>
      </w:r>
      <w:r w:rsidR="003B4CDA" w:rsidRPr="003527D6">
        <w:t xml:space="preserve"> </w:t>
      </w:r>
      <w:r w:rsidR="003409AB" w:rsidRPr="003527D6">
        <w:t xml:space="preserve">Section </w:t>
      </w:r>
      <w:r w:rsidR="0027742E" w:rsidRPr="003527D6">
        <w:fldChar w:fldCharType="begin"/>
      </w:r>
      <w:r w:rsidR="0027742E" w:rsidRPr="003527D6">
        <w:instrText xml:space="preserve"> REF _Ref149568362 \r \h </w:instrText>
      </w:r>
      <w:r w:rsidR="00064304" w:rsidRPr="003527D6">
        <w:instrText xml:space="preserve"> \* MERGEFORMAT </w:instrText>
      </w:r>
      <w:r w:rsidR="0027742E" w:rsidRPr="003527D6">
        <w:fldChar w:fldCharType="separate"/>
      </w:r>
      <w:r w:rsidR="000761C1">
        <w:t>C1.3.1</w:t>
      </w:r>
      <w:r w:rsidR="0027742E" w:rsidRPr="003527D6">
        <w:fldChar w:fldCharType="end"/>
      </w:r>
      <w:r w:rsidR="003409AB" w:rsidRPr="003527D6">
        <w:t xml:space="preserve"> provides further </w:t>
      </w:r>
      <w:r w:rsidR="00D5325D" w:rsidRPr="003527D6">
        <w:t xml:space="preserve">interim </w:t>
      </w:r>
      <w:r w:rsidR="003409AB" w:rsidRPr="003527D6">
        <w:t>recommendations</w:t>
      </w:r>
      <w:r w:rsidR="003409AB" w:rsidRPr="00064304">
        <w:t xml:space="preserve"> on the use of </w:t>
      </w:r>
      <w:r w:rsidR="00932DC5" w:rsidRPr="00064304">
        <w:t>TS</w:t>
      </w:r>
      <w:r w:rsidR="003409AB" w:rsidRPr="00064304">
        <w:t>1170.5</w:t>
      </w:r>
      <w:r w:rsidR="00D5325D" w:rsidRPr="00064304">
        <w:t xml:space="preserve"> in a transitional environment including</w:t>
      </w:r>
      <w:r w:rsidR="003409AB" w:rsidRPr="00064304">
        <w:t xml:space="preserve"> for the design of Parts</w:t>
      </w:r>
      <w:r w:rsidR="00E74DF7" w:rsidRPr="00064304">
        <w:t xml:space="preserve"> and Compone</w:t>
      </w:r>
      <w:r w:rsidR="003409AB" w:rsidRPr="00064304">
        <w:t xml:space="preserve">nts. </w:t>
      </w:r>
    </w:p>
    <w:p w14:paraId="2179439B" w14:textId="5ED54B39" w:rsidR="004838AA" w:rsidRPr="00064304" w:rsidRDefault="004838AA" w:rsidP="00666E06">
      <w:r w:rsidRPr="00064304">
        <w:t>The following general approaches for selection of appropriate part ductilities are recommended (</w:t>
      </w:r>
      <w:r w:rsidR="00DF2731" w:rsidRPr="00064304">
        <w:t xml:space="preserve">unless otherwise recommended within the respective component </w:t>
      </w:r>
      <w:r w:rsidR="00C46940" w:rsidRPr="00064304">
        <w:t>sub-</w:t>
      </w:r>
      <w:r w:rsidR="00DF2731" w:rsidRPr="00064304">
        <w:t>sections)</w:t>
      </w:r>
      <w:r w:rsidRPr="00064304">
        <w:t>:</w:t>
      </w:r>
    </w:p>
    <w:p w14:paraId="44234948" w14:textId="77777777" w:rsidR="004838AA" w:rsidRPr="00064304" w:rsidRDefault="004838AA" w:rsidP="004D55F1">
      <w:pPr>
        <w:pStyle w:val="ListParagraph"/>
        <w:numPr>
          <w:ilvl w:val="0"/>
          <w:numId w:val="28"/>
        </w:numPr>
      </w:pPr>
      <w:r w:rsidRPr="00064304">
        <w:t>SLS1:  µ = 1.0</w:t>
      </w:r>
    </w:p>
    <w:p w14:paraId="18BF1CEF" w14:textId="10A73FB3" w:rsidR="004838AA" w:rsidRPr="00064304" w:rsidRDefault="004838AA" w:rsidP="004D55F1">
      <w:pPr>
        <w:pStyle w:val="ListParagraph"/>
        <w:numPr>
          <w:ilvl w:val="0"/>
          <w:numId w:val="28"/>
        </w:numPr>
      </w:pPr>
      <w:r w:rsidRPr="00064304">
        <w:t>SLS2:  µ = 1.25</w:t>
      </w:r>
      <w:r w:rsidR="00A43953">
        <w:t xml:space="preserve">. </w:t>
      </w:r>
      <w:r w:rsidRPr="00064304">
        <w:t xml:space="preserve">Note, when using </w:t>
      </w:r>
      <w:r w:rsidR="00932DC5" w:rsidRPr="00064304">
        <w:t>TS</w:t>
      </w:r>
      <w:r w:rsidRPr="00064304">
        <w:t xml:space="preserve">1170.5, the µ=1.25 indicated in </w:t>
      </w:r>
      <w:r w:rsidR="00C46940" w:rsidRPr="00064304">
        <w:t>C</w:t>
      </w:r>
      <w:r w:rsidRPr="00064304">
        <w:t>l. 8.6 should be used on the project</w:t>
      </w:r>
      <w:r w:rsidR="00A43953">
        <w:t xml:space="preserve">. </w:t>
      </w:r>
      <w:r w:rsidRPr="00064304">
        <w:t xml:space="preserve">(Rather than the µ=1.0 for SLS2 suggested in </w:t>
      </w:r>
      <w:r w:rsidR="00C46940" w:rsidRPr="00064304">
        <w:t>T</w:t>
      </w:r>
      <w:r w:rsidRPr="00064304">
        <w:t>able C8.3).</w:t>
      </w:r>
    </w:p>
    <w:p w14:paraId="76C5C521" w14:textId="7E8C893F" w:rsidR="004838AA" w:rsidRPr="00064304" w:rsidRDefault="004838AA" w:rsidP="004D55F1">
      <w:pPr>
        <w:pStyle w:val="ListParagraph"/>
        <w:numPr>
          <w:ilvl w:val="0"/>
          <w:numId w:val="28"/>
        </w:numPr>
      </w:pPr>
      <w:r w:rsidRPr="00064304">
        <w:t>DCLS</w:t>
      </w:r>
      <w:r w:rsidR="00C46940" w:rsidRPr="00064304">
        <w:t>:</w:t>
      </w:r>
      <w:r w:rsidRPr="00064304">
        <w:t xml:space="preserve"> </w:t>
      </w:r>
      <w:r w:rsidR="00C46940" w:rsidRPr="00064304">
        <w:t>T</w:t>
      </w:r>
      <w:r w:rsidRPr="00064304">
        <w:t>he recommendations</w:t>
      </w:r>
      <w:r w:rsidR="00835FBD">
        <w:t xml:space="preserve"> given above</w:t>
      </w:r>
      <w:r w:rsidRPr="00064304">
        <w:t xml:space="preserve"> for SLS2 should </w:t>
      </w:r>
      <w:r w:rsidR="00C46940" w:rsidRPr="00064304">
        <w:t>be applied</w:t>
      </w:r>
      <w:r w:rsidRPr="00064304">
        <w:t>.</w:t>
      </w:r>
    </w:p>
    <w:p w14:paraId="1C2867B2" w14:textId="095B6D4C" w:rsidR="004838AA" w:rsidRPr="00064304" w:rsidRDefault="004838AA" w:rsidP="004D55F1">
      <w:pPr>
        <w:pStyle w:val="ListParagraph"/>
        <w:numPr>
          <w:ilvl w:val="0"/>
          <w:numId w:val="28"/>
        </w:numPr>
      </w:pPr>
      <w:r w:rsidRPr="00064304">
        <w:t xml:space="preserve">ULS:  </w:t>
      </w:r>
      <w:r w:rsidR="00C46940" w:rsidRPr="00064304">
        <w:t>Apply t</w:t>
      </w:r>
      <w:r w:rsidRPr="00064304">
        <w:t>able C8.3 of NZS1170.5 (</w:t>
      </w:r>
      <w:r w:rsidR="00C46940" w:rsidRPr="00064304">
        <w:t>o</w:t>
      </w:r>
      <w:r w:rsidRPr="00064304">
        <w:t xml:space="preserve">r </w:t>
      </w:r>
      <w:r w:rsidR="00932DC5" w:rsidRPr="00064304">
        <w:t>TS</w:t>
      </w:r>
      <w:r w:rsidRPr="00064304">
        <w:t>1170.5 if used on the project)</w:t>
      </w:r>
      <w:r w:rsidR="00D615DA" w:rsidRPr="00064304">
        <w:t>. These tables</w:t>
      </w:r>
      <w:r w:rsidRPr="00064304">
        <w:t xml:space="preserve"> provide ductility recommendations that reflect </w:t>
      </w:r>
      <w:r w:rsidR="00D615DA" w:rsidRPr="00064304">
        <w:t xml:space="preserve">inherent damping and </w:t>
      </w:r>
      <w:r w:rsidRPr="00064304">
        <w:t>non-linear behaviour of NSE (which can include slip of fasteners etc)</w:t>
      </w:r>
      <w:r w:rsidR="00A43953">
        <w:t xml:space="preserve">. </w:t>
      </w:r>
      <w:r w:rsidRPr="00064304">
        <w:t>There is limited available research currently available to suggest alternative values</w:t>
      </w:r>
      <w:r w:rsidR="00A43953">
        <w:t xml:space="preserve">. </w:t>
      </w:r>
    </w:p>
    <w:p w14:paraId="73488FD2" w14:textId="091FAC5E" w:rsidR="005B6636" w:rsidRPr="00064304" w:rsidRDefault="004838AA" w:rsidP="00666E06">
      <w:pPr>
        <w:rPr>
          <w:lang w:val="en-US"/>
        </w:rPr>
      </w:pPr>
      <w:r w:rsidRPr="00064304">
        <w:t xml:space="preserve">Larger values of ductility may be </w:t>
      </w:r>
      <w:r w:rsidR="00966285" w:rsidRPr="00064304">
        <w:t>justified</w:t>
      </w:r>
      <w:r w:rsidRPr="00064304">
        <w:t xml:space="preserve"> where a special ductility study or testing has been undertaken</w:t>
      </w:r>
      <w:r w:rsidR="00E44829" w:rsidRPr="00064304">
        <w:t>, or if supported by developing research</w:t>
      </w:r>
      <w:r w:rsidRPr="00064304">
        <w:t>.</w:t>
      </w:r>
    </w:p>
    <w:p w14:paraId="6182B4C0" w14:textId="51581923" w:rsidR="00695C46" w:rsidRPr="00064304" w:rsidRDefault="001A3D49" w:rsidP="003101C2">
      <w:pPr>
        <w:pStyle w:val="Section3heading3"/>
      </w:pPr>
      <w:r w:rsidRPr="00064304">
        <w:t xml:space="preserve">Maintenance and </w:t>
      </w:r>
      <w:r w:rsidR="00695C46" w:rsidRPr="00064304">
        <w:t>Repairability</w:t>
      </w:r>
    </w:p>
    <w:p w14:paraId="6E5D16B1" w14:textId="337BB6A5" w:rsidR="00695C46" w:rsidRPr="00064304" w:rsidRDefault="00695C46" w:rsidP="00666E06">
      <w:r w:rsidRPr="00064304">
        <w:t>Non-structural elements can often be subject to damage at lower levels of shaking than the primary structure</w:t>
      </w:r>
      <w:r w:rsidR="00A43953">
        <w:t xml:space="preserve">. </w:t>
      </w:r>
    </w:p>
    <w:p w14:paraId="043C888E" w14:textId="1529A6B9" w:rsidR="00695C46" w:rsidRPr="00064304" w:rsidRDefault="00695C46" w:rsidP="00666E06">
      <w:r w:rsidRPr="00064304">
        <w:t>The design of non-structural element</w:t>
      </w:r>
      <w:r w:rsidR="005A4ADC" w:rsidRPr="00064304">
        <w:t>s</w:t>
      </w:r>
      <w:r w:rsidRPr="00064304">
        <w:t xml:space="preserve">, </w:t>
      </w:r>
      <w:r w:rsidR="002B7097" w:rsidRPr="00064304">
        <w:t>the detailing chosen</w:t>
      </w:r>
      <w:r w:rsidR="00CD4325" w:rsidRPr="00064304">
        <w:t>,</w:t>
      </w:r>
      <w:r w:rsidRPr="00064304">
        <w:t xml:space="preserve"> and their seismic restraints shall be such that repair is not unduly difficult. In general, this means that restraints should be reasonably accessible, and that </w:t>
      </w:r>
      <w:r w:rsidR="0086094C" w:rsidRPr="00064304">
        <w:t>to gain access to undertake the necessary</w:t>
      </w:r>
      <w:r w:rsidRPr="00064304">
        <w:t xml:space="preserve"> repair</w:t>
      </w:r>
      <w:r w:rsidR="0086094C" w:rsidRPr="00064304">
        <w:t>s</w:t>
      </w:r>
      <w:r w:rsidRPr="00064304">
        <w:t xml:space="preserve"> should not result in significant works being undertaken to the primary structure, nor to the building envelope</w:t>
      </w:r>
      <w:r w:rsidR="00A43953">
        <w:t xml:space="preserve">. </w:t>
      </w:r>
      <w:r w:rsidRPr="00064304">
        <w:t>Consideration should be given to locating more vulnerable items that may be more prone to damage/require repair following an event at locations that are more easily accessible. For example, locate more vulnerable linear NSE on the lower tier of a shared trapeze</w:t>
      </w:r>
      <w:r w:rsidR="00A43953">
        <w:t xml:space="preserve">. </w:t>
      </w:r>
      <w:r w:rsidRPr="00064304">
        <w:t xml:space="preserve">   </w:t>
      </w:r>
    </w:p>
    <w:p w14:paraId="6FDBC0DE" w14:textId="2F67A586" w:rsidR="00887AF4" w:rsidRPr="00064304" w:rsidRDefault="00695C46" w:rsidP="00666E06">
      <w:r w:rsidRPr="00064304">
        <w:t>Often designing for repairability goes hand-in-hand with designing for maintenance</w:t>
      </w:r>
      <w:r w:rsidR="00A43953">
        <w:t xml:space="preserve">. </w:t>
      </w:r>
      <w:r w:rsidRPr="00064304">
        <w:t xml:space="preserve">The NSE </w:t>
      </w:r>
      <w:r w:rsidR="00712CB5" w:rsidRPr="00064304">
        <w:t>Seismic Designer</w:t>
      </w:r>
      <w:r w:rsidRPr="00064304">
        <w:t xml:space="preserve"> should therefore liaise with the services engineer and architect to align with the overall maintenance strategy.</w:t>
      </w:r>
    </w:p>
    <w:p w14:paraId="4296E52B" w14:textId="2B2F39F1" w:rsidR="00BB525C" w:rsidRPr="00064304" w:rsidRDefault="00BB525C" w:rsidP="00666E06">
      <w:r w:rsidRPr="00064304">
        <w:t>Examples to consider</w:t>
      </w:r>
      <w:r w:rsidR="00314CD9" w:rsidRPr="00064304">
        <w:t xml:space="preserve"> </w:t>
      </w:r>
      <w:r w:rsidR="00590D42" w:rsidRPr="00064304">
        <w:t>include</w:t>
      </w:r>
      <w:r w:rsidRPr="00064304">
        <w:t>:</w:t>
      </w:r>
    </w:p>
    <w:p w14:paraId="31E286E0" w14:textId="30D94BC9" w:rsidR="00BB525C" w:rsidRPr="00064304" w:rsidRDefault="00BB525C" w:rsidP="004D55F1">
      <w:pPr>
        <w:pStyle w:val="ListParagraph"/>
        <w:numPr>
          <w:ilvl w:val="0"/>
          <w:numId w:val="35"/>
        </w:numPr>
      </w:pPr>
      <w:r w:rsidRPr="00064304">
        <w:t>A wet NSE (e.g. pipe) located above other NSE and the potential for the wet NSE (pipe) to be damaged and an event and cause disproportionate damage to other NSEs</w:t>
      </w:r>
      <w:r w:rsidR="00A43953">
        <w:t xml:space="preserve">. </w:t>
      </w:r>
      <w:r w:rsidRPr="00064304">
        <w:t xml:space="preserve">   </w:t>
      </w:r>
    </w:p>
    <w:p w14:paraId="5A5D1A90" w14:textId="30526A42" w:rsidR="00BB525C" w:rsidRDefault="00BB525C" w:rsidP="004D55F1">
      <w:pPr>
        <w:pStyle w:val="ListParagraph"/>
        <w:numPr>
          <w:ilvl w:val="0"/>
          <w:numId w:val="35"/>
        </w:numPr>
      </w:pPr>
      <w:r w:rsidRPr="00064304">
        <w:lastRenderedPageBreak/>
        <w:t>A fragile NSE that is more likely to be damage and require remedial work being located above less vulnerable services meaning that the less vulnerable services may be effected to gain access to the damage NSE.</w:t>
      </w:r>
    </w:p>
    <w:p w14:paraId="3ED5A4A2" w14:textId="77777777" w:rsidR="00737654" w:rsidRPr="003101C2" w:rsidRDefault="00737654" w:rsidP="00D56CAE">
      <w:pPr>
        <w:pStyle w:val="BodyHeading"/>
        <w:rPr>
          <w:color w:val="003399"/>
        </w:rPr>
      </w:pPr>
      <w:r w:rsidRPr="003101C2">
        <w:rPr>
          <w:color w:val="003399"/>
        </w:rPr>
        <w:t>Durability</w:t>
      </w:r>
    </w:p>
    <w:p w14:paraId="2519BA63" w14:textId="1EFCC9B8" w:rsidR="00737654" w:rsidRPr="00737654" w:rsidRDefault="00737654" w:rsidP="00666E06">
      <w:pPr>
        <w:rPr>
          <w:rFonts w:eastAsia="Arial" w:cs="Arial"/>
        </w:rPr>
      </w:pPr>
      <w:r>
        <w:t xml:space="preserve">Where supports/restraints are expected to be replaced if the NSE they are supporting is replaced (e.g. ceiling bracing or service trapeze restraints), these </w:t>
      </w:r>
      <w:r w:rsidR="00E91070">
        <w:t>should</w:t>
      </w:r>
      <w:r>
        <w:t xml:space="preserve"> have the same </w:t>
      </w:r>
      <w:r w:rsidRPr="00737654">
        <w:rPr>
          <w:rFonts w:eastAsia="Arial" w:cs="Arial"/>
          <w:i/>
          <w:iCs/>
        </w:rPr>
        <w:t xml:space="preserve">Specified Intended Life </w:t>
      </w:r>
      <w:r w:rsidRPr="00737654">
        <w:rPr>
          <w:rFonts w:eastAsia="Arial" w:cs="Arial"/>
        </w:rPr>
        <w:t>as the NSE they are supporting.</w:t>
      </w:r>
    </w:p>
    <w:p w14:paraId="67103224" w14:textId="77777777" w:rsidR="00737654" w:rsidRPr="00064304" w:rsidRDefault="00737654" w:rsidP="00666E06">
      <w:r w:rsidRPr="00737654">
        <w:t xml:space="preserve">Where supports/restraints are expected to remain in place if the NSE they are supporting is replaced (e.g. combined support frames in plantrooms), these should generally be designed with a </w:t>
      </w:r>
      <w:r w:rsidRPr="00737654">
        <w:rPr>
          <w:i/>
          <w:iCs/>
        </w:rPr>
        <w:t xml:space="preserve">Specified Intended Life </w:t>
      </w:r>
      <w:r w:rsidRPr="00737654">
        <w:t>of 50 years.</w:t>
      </w:r>
    </w:p>
    <w:p w14:paraId="7B48091F" w14:textId="1C515D05" w:rsidR="00695C46" w:rsidRPr="00064304" w:rsidRDefault="00695C46" w:rsidP="003101C2">
      <w:pPr>
        <w:pStyle w:val="Section3heading3"/>
      </w:pPr>
      <w:bookmarkStart w:id="343" w:name="_Ref152825990"/>
      <w:r w:rsidRPr="00064304">
        <w:t>Supports, Fixings and Anchor</w:t>
      </w:r>
      <w:bookmarkEnd w:id="343"/>
      <w:r w:rsidR="00F24B8A" w:rsidRPr="00064304">
        <w:t>age</w:t>
      </w:r>
    </w:p>
    <w:p w14:paraId="6F724EEE" w14:textId="295450F8" w:rsidR="00B910FA" w:rsidRPr="00064304" w:rsidRDefault="00B910FA" w:rsidP="00666E06">
      <w:r w:rsidRPr="00064304">
        <w:t xml:space="preserve">Supports fixing and anchors should be designed to the appropriate </w:t>
      </w:r>
      <w:r w:rsidR="00005440" w:rsidRPr="00064304">
        <w:t xml:space="preserve">New Zealand standard. </w:t>
      </w:r>
      <w:r w:rsidR="00F2651C" w:rsidRPr="00064304">
        <w:t>T</w:t>
      </w:r>
      <w:r w:rsidR="00005440" w:rsidRPr="00064304">
        <w:t>here is some ambiguity about anchor design to the New Zealand standards</w:t>
      </w:r>
      <w:r w:rsidR="00F2651C" w:rsidRPr="00064304">
        <w:t xml:space="preserve"> (due to </w:t>
      </w:r>
      <w:r w:rsidR="003D2741" w:rsidRPr="00064304">
        <w:t xml:space="preserve">the use of </w:t>
      </w:r>
      <w:r w:rsidR="00F2651C" w:rsidRPr="00064304">
        <w:t xml:space="preserve">international </w:t>
      </w:r>
      <w:r w:rsidR="00641A53" w:rsidRPr="00064304">
        <w:t xml:space="preserve">standard </w:t>
      </w:r>
      <w:r w:rsidR="00F2651C" w:rsidRPr="00064304">
        <w:t>references</w:t>
      </w:r>
      <w:r w:rsidR="00641A53" w:rsidRPr="00064304">
        <w:t xml:space="preserve"> and transferability of some provisions</w:t>
      </w:r>
      <w:r w:rsidR="00F2651C" w:rsidRPr="00064304">
        <w:t>)</w:t>
      </w:r>
      <w:r w:rsidR="00005440" w:rsidRPr="00064304">
        <w:t xml:space="preserve">, </w:t>
      </w:r>
      <w:r w:rsidR="003D2741" w:rsidRPr="00064304">
        <w:t>and so</w:t>
      </w:r>
      <w:r w:rsidR="00005440" w:rsidRPr="00064304">
        <w:t xml:space="preserve"> further recommendations are provided here.</w:t>
      </w:r>
    </w:p>
    <w:p w14:paraId="6AC2EA0A" w14:textId="003BF25F" w:rsidR="00695C46" w:rsidRPr="003101C2" w:rsidRDefault="00EE6202" w:rsidP="00D56CAE">
      <w:pPr>
        <w:pStyle w:val="BodyHeading"/>
        <w:rPr>
          <w:color w:val="003399"/>
        </w:rPr>
      </w:pPr>
      <w:r w:rsidRPr="003101C2">
        <w:rPr>
          <w:color w:val="003399"/>
        </w:rPr>
        <w:t xml:space="preserve">Fixings and </w:t>
      </w:r>
      <w:r w:rsidR="00E24E5A" w:rsidRPr="003101C2">
        <w:rPr>
          <w:color w:val="003399"/>
        </w:rPr>
        <w:t>Anchor</w:t>
      </w:r>
    </w:p>
    <w:p w14:paraId="62792A0E" w14:textId="77777777" w:rsidR="00695C46" w:rsidRPr="003101C2" w:rsidRDefault="00695C46" w:rsidP="00666E06">
      <w:pPr>
        <w:pStyle w:val="EmphasisHeading"/>
        <w:rPr>
          <w:color w:val="003399"/>
        </w:rPr>
      </w:pPr>
      <w:r w:rsidRPr="003101C2">
        <w:rPr>
          <w:color w:val="003399"/>
        </w:rPr>
        <w:t>Selection of Anchors</w:t>
      </w:r>
    </w:p>
    <w:p w14:paraId="5D4F4B1A" w14:textId="1284336A" w:rsidR="00695C46" w:rsidRPr="00064304" w:rsidRDefault="00695C46" w:rsidP="00666E06">
      <w:r w:rsidRPr="00064304">
        <w:t>When selecting the anchor types the NSE design engineer should consider the location where the anchors will fix. They should consult with the structur</w:t>
      </w:r>
      <w:r w:rsidR="00BA27E1" w:rsidRPr="00064304">
        <w:t>al</w:t>
      </w:r>
      <w:r w:rsidRPr="00064304">
        <w:t xml:space="preserve"> engineer and agree appropriate fixing locations and strategies</w:t>
      </w:r>
      <w:r w:rsidR="00A43953">
        <w:t xml:space="preserve">. </w:t>
      </w:r>
    </w:p>
    <w:p w14:paraId="4601137D" w14:textId="6A4DE18B" w:rsidR="00695C46" w:rsidRPr="00064304" w:rsidRDefault="00695C46" w:rsidP="00666E06">
      <w:r w:rsidRPr="00064304">
        <w:t xml:space="preserve">There is no clear, New Zealand specific, recommendations related to the specification of </w:t>
      </w:r>
      <w:r w:rsidR="005B0C3F" w:rsidRPr="00064304">
        <w:t xml:space="preserve">appropriate seismic </w:t>
      </w:r>
      <w:r w:rsidR="00960490" w:rsidRPr="00064304">
        <w:t>qualifications</w:t>
      </w:r>
      <w:r w:rsidR="005B0C3F" w:rsidRPr="00064304">
        <w:t xml:space="preserve"> for </w:t>
      </w:r>
      <w:r w:rsidRPr="00064304">
        <w:t>post</w:t>
      </w:r>
      <w:r w:rsidR="4545A41A" w:rsidRPr="00064304">
        <w:t>-</w:t>
      </w:r>
      <w:r w:rsidRPr="00064304">
        <w:t xml:space="preserve">fixed anchors. Engineers will need to satisfy themselves of the appropriateness of selection in any application. The following </w:t>
      </w:r>
      <w:r w:rsidR="00861F2A" w:rsidRPr="00064304">
        <w:t xml:space="preserve">risk-based approach </w:t>
      </w:r>
      <w:r w:rsidR="00127976" w:rsidRPr="00064304">
        <w:t>could be considered</w:t>
      </w:r>
      <w:r w:rsidR="00861F2A" w:rsidRPr="00064304">
        <w:t>:</w:t>
      </w:r>
    </w:p>
    <w:p w14:paraId="4C65E9A0" w14:textId="556A4872" w:rsidR="00222B3B" w:rsidRPr="00064304" w:rsidRDefault="00D12E64" w:rsidP="004D55F1">
      <w:pPr>
        <w:pStyle w:val="ListParagraph"/>
        <w:numPr>
          <w:ilvl w:val="0"/>
          <w:numId w:val="25"/>
        </w:numPr>
      </w:pPr>
      <w:r w:rsidRPr="00064304">
        <w:rPr>
          <w:b/>
          <w:bCs/>
        </w:rPr>
        <w:t xml:space="preserve">Low </w:t>
      </w:r>
      <w:r w:rsidR="00697B7E" w:rsidRPr="00064304">
        <w:rPr>
          <w:b/>
          <w:bCs/>
        </w:rPr>
        <w:t>Risk Anchorage:</w:t>
      </w:r>
      <w:r w:rsidR="00697B7E" w:rsidRPr="00064304">
        <w:t xml:space="preserve"> </w:t>
      </w:r>
      <w:r w:rsidR="009952F7">
        <w:t>Many non-structural elements</w:t>
      </w:r>
      <w:r w:rsidR="009952F7" w:rsidRPr="00064304">
        <w:t xml:space="preserve"> constitute a significantly lower life safety risk than that associated with primary structural elements</w:t>
      </w:r>
      <w:r w:rsidR="009952F7">
        <w:t xml:space="preserve"> because they are lightweight (e.g. many ceilings), have high support redundancy (e.g. many linear services), or lower consequence of failure (e.g. floor mounted plant)</w:t>
      </w:r>
      <w:r w:rsidR="009952F7" w:rsidRPr="00064304">
        <w:t xml:space="preserve">. </w:t>
      </w:r>
      <w:r w:rsidR="00222B3B" w:rsidRPr="00064304">
        <w:t>Category C1 (or ACI 355.2)</w:t>
      </w:r>
      <w:r w:rsidR="00222B3B" w:rsidRPr="00064304">
        <w:rPr>
          <w:rStyle w:val="FootnoteReference"/>
        </w:rPr>
        <w:footnoteReference w:id="44"/>
      </w:r>
      <w:r w:rsidR="00222B3B" w:rsidRPr="00064304">
        <w:t xml:space="preserve"> anchors are generally considered appropriate for low risk applications.</w:t>
      </w:r>
    </w:p>
    <w:p w14:paraId="4638CD98" w14:textId="1577AEA9" w:rsidR="000A2B9F" w:rsidRPr="00064304" w:rsidRDefault="000A2B9F" w:rsidP="004D55F1">
      <w:pPr>
        <w:pStyle w:val="ListParagraph"/>
        <w:numPr>
          <w:ilvl w:val="0"/>
          <w:numId w:val="25"/>
        </w:numPr>
      </w:pPr>
      <w:r w:rsidRPr="00064304">
        <w:rPr>
          <w:b/>
          <w:bCs/>
        </w:rPr>
        <w:t>Higher Risk Anchorage:</w:t>
      </w:r>
      <w:r w:rsidRPr="00064304">
        <w:t xml:space="preserve"> For higher risk applications, including elements such as suspended heavy plant, there is less support redundancy and/or a higher consequence of failure. Category C2 anchors are generally consider appropriate.</w:t>
      </w:r>
    </w:p>
    <w:p w14:paraId="2E4EF3A3" w14:textId="6FBE1E90" w:rsidR="00695C46" w:rsidRPr="00064304" w:rsidRDefault="009E3859" w:rsidP="00666E06">
      <w:r w:rsidRPr="00064304">
        <w:lastRenderedPageBreak/>
        <w:t>S</w:t>
      </w:r>
      <w:r w:rsidR="00695C46" w:rsidRPr="00064304">
        <w:t xml:space="preserve">elect </w:t>
      </w:r>
      <w:r w:rsidR="00697B7E" w:rsidRPr="00064304">
        <w:t xml:space="preserve">and specify </w:t>
      </w:r>
      <w:r w:rsidR="00695C46" w:rsidRPr="00064304">
        <w:t xml:space="preserve">seismically qualified concrete anchors for the applicable gravity and seismic loads </w:t>
      </w:r>
      <w:r w:rsidRPr="00064304">
        <w:t>as follows</w:t>
      </w:r>
      <w:r w:rsidR="00695C46" w:rsidRPr="00064304">
        <w:t>:</w:t>
      </w:r>
    </w:p>
    <w:p w14:paraId="25E57375" w14:textId="626DC97E" w:rsidR="00695C46" w:rsidRPr="00064304" w:rsidRDefault="00695C46" w:rsidP="004D55F1">
      <w:pPr>
        <w:pStyle w:val="ListParagraph"/>
        <w:numPr>
          <w:ilvl w:val="0"/>
          <w:numId w:val="26"/>
        </w:numPr>
      </w:pPr>
      <w:r w:rsidRPr="00064304">
        <w:t>Design should be to NZS 3101, ACI 318 Appendix D, EOTA TR-045, or EN 1992-4</w:t>
      </w:r>
      <w:r w:rsidR="00A43953">
        <w:t xml:space="preserve">. </w:t>
      </w:r>
      <w:r w:rsidRPr="00064304">
        <w:t xml:space="preserve">Note that EN 1992-4 supersedes EOTA TR-045 and should generally be used, however it is not yet referenced by NZS 3101, so </w:t>
      </w:r>
      <w:r w:rsidR="00F4229F" w:rsidRPr="00064304">
        <w:t>should be listed as</w:t>
      </w:r>
      <w:r w:rsidRPr="00064304">
        <w:t xml:space="preserve"> an </w:t>
      </w:r>
      <w:r w:rsidR="00F4229F" w:rsidRPr="00064304">
        <w:t>A</w:t>
      </w:r>
      <w:r w:rsidRPr="00064304">
        <w:t xml:space="preserve">lternative </w:t>
      </w:r>
      <w:r w:rsidR="00F4229F" w:rsidRPr="00064304">
        <w:t>S</w:t>
      </w:r>
      <w:r w:rsidRPr="00064304">
        <w:t>olution.</w:t>
      </w:r>
    </w:p>
    <w:p w14:paraId="6E8B0EAA" w14:textId="2D89183F" w:rsidR="00695C46" w:rsidRPr="00064304" w:rsidRDefault="000A2B9F" w:rsidP="004D55F1">
      <w:pPr>
        <w:pStyle w:val="ListParagraph"/>
        <w:numPr>
          <w:ilvl w:val="0"/>
          <w:numId w:val="26"/>
        </w:numPr>
      </w:pPr>
      <w:r w:rsidRPr="00064304">
        <w:t>Follow m</w:t>
      </w:r>
      <w:r w:rsidR="00695C46" w:rsidRPr="00064304">
        <w:t xml:space="preserve">anufacturers recommendations (in particular for </w:t>
      </w:r>
      <w:r w:rsidR="00533462" w:rsidRPr="00064304">
        <w:t xml:space="preserve">installation into </w:t>
      </w:r>
      <w:r w:rsidR="00695C46" w:rsidRPr="00064304">
        <w:t>proprietary pre-cast and composite metal deck floor systems)</w:t>
      </w:r>
    </w:p>
    <w:p w14:paraId="02B254EF" w14:textId="77777777" w:rsidR="00533462" w:rsidRPr="00064304" w:rsidRDefault="00533462" w:rsidP="004D55F1">
      <w:pPr>
        <w:pStyle w:val="ListParagraph"/>
        <w:numPr>
          <w:ilvl w:val="0"/>
          <w:numId w:val="26"/>
        </w:numPr>
      </w:pPr>
      <w:r w:rsidRPr="00064304">
        <w:t>Fixings into potential plastic hinge zones should be avoided.</w:t>
      </w:r>
    </w:p>
    <w:p w14:paraId="204BCEBC" w14:textId="1C8E981A" w:rsidR="00533462" w:rsidRPr="00064304" w:rsidRDefault="00533462" w:rsidP="004D55F1">
      <w:pPr>
        <w:pStyle w:val="ListParagraph"/>
        <w:numPr>
          <w:ilvl w:val="0"/>
          <w:numId w:val="26"/>
        </w:numPr>
      </w:pPr>
      <w:r w:rsidRPr="00064304">
        <w:t>Anchors should be designed elastically. i.e., Assume µ=1.0 for anchors</w:t>
      </w:r>
      <w:r w:rsidR="00C20991" w:rsidRPr="00064304">
        <w:t>.</w:t>
      </w:r>
    </w:p>
    <w:p w14:paraId="67BE94AE" w14:textId="7D015F48" w:rsidR="00695C46" w:rsidRPr="00064304" w:rsidRDefault="00695C46" w:rsidP="005F75F4">
      <w:pPr>
        <w:pStyle w:val="ListBullet"/>
        <w:numPr>
          <w:ilvl w:val="0"/>
          <w:numId w:val="0"/>
        </w:numPr>
      </w:pPr>
      <w:r w:rsidRPr="00064304">
        <w:t xml:space="preserve">It is recommended that </w:t>
      </w:r>
      <w:r w:rsidR="00CC3278" w:rsidRPr="00064304">
        <w:t>if</w:t>
      </w:r>
      <w:r w:rsidRPr="00064304">
        <w:t xml:space="preserve"> practical, seismic qualified anchors be used for </w:t>
      </w:r>
      <w:r w:rsidR="00ED6DA3" w:rsidRPr="00064304">
        <w:t>all</w:t>
      </w:r>
      <w:r w:rsidRPr="00064304">
        <w:t xml:space="preserve"> support fixings. This avoids the risk that a non-qualified anchors are available on site and are used for a seismic application by mistake</w:t>
      </w:r>
      <w:r w:rsidR="00A43953">
        <w:t xml:space="preserve">. </w:t>
      </w:r>
      <w:r w:rsidRPr="00064304">
        <w:t xml:space="preserve">    </w:t>
      </w:r>
    </w:p>
    <w:p w14:paraId="155ABA0B" w14:textId="168F27B2" w:rsidR="00695C46" w:rsidRPr="00064304" w:rsidRDefault="00695C46" w:rsidP="00666E06">
      <w:r w:rsidRPr="00064304">
        <w:t xml:space="preserve">In practice, </w:t>
      </w:r>
      <w:r w:rsidR="00F71053" w:rsidRPr="00064304">
        <w:t xml:space="preserve">seismic </w:t>
      </w:r>
      <w:r w:rsidRPr="00064304">
        <w:t xml:space="preserve">fixings for some non-structural element support and </w:t>
      </w:r>
      <w:r w:rsidR="00F71053" w:rsidRPr="00064304">
        <w:t>restraints</w:t>
      </w:r>
      <w:r w:rsidRPr="00064304">
        <w:t xml:space="preserve"> may not be available. In these instances, the non-structural element designer is expected to provide a design appropriate to the lower levels of validated resilience. This may be done, through </w:t>
      </w:r>
      <w:r w:rsidR="00912FA5" w:rsidRPr="00064304">
        <w:t>redundancy in</w:t>
      </w:r>
      <w:r w:rsidRPr="00064304">
        <w:t xml:space="preserve"> load path or by providing residual capacity in these elements.</w:t>
      </w:r>
    </w:p>
    <w:p w14:paraId="5E7249FC" w14:textId="77777777" w:rsidR="00E05619" w:rsidRPr="003101C2" w:rsidRDefault="00E05619" w:rsidP="00666E06">
      <w:pPr>
        <w:pStyle w:val="EmphasisHeading"/>
        <w:rPr>
          <w:color w:val="003399"/>
        </w:rPr>
      </w:pPr>
      <w:r w:rsidRPr="003101C2">
        <w:rPr>
          <w:color w:val="003399"/>
        </w:rPr>
        <w:t>Fixings to Concrete – Qualifications</w:t>
      </w:r>
    </w:p>
    <w:p w14:paraId="618D1E6A" w14:textId="77777777" w:rsidR="00E05619" w:rsidRPr="00064304" w:rsidRDefault="00E05619" w:rsidP="00666E06">
      <w:r w:rsidRPr="00064304">
        <w:t>Concrete anchors (for both seismic and gravity fixings) shall be seismically qualified or designed in accordance with the Standards listed below.</w:t>
      </w:r>
    </w:p>
    <w:p w14:paraId="7DD4A87D" w14:textId="77777777" w:rsidR="00E05619" w:rsidRPr="00064304" w:rsidRDefault="00E05619" w:rsidP="004D55F1">
      <w:pPr>
        <w:pStyle w:val="ListParagraph"/>
        <w:numPr>
          <w:ilvl w:val="0"/>
          <w:numId w:val="23"/>
        </w:numPr>
      </w:pPr>
      <w:r w:rsidRPr="00064304">
        <w:t>ETAG 001 Annex E (2013)</w:t>
      </w:r>
    </w:p>
    <w:p w14:paraId="6250B766" w14:textId="29A521C1" w:rsidR="00E05619" w:rsidRPr="00064304" w:rsidRDefault="00E05619" w:rsidP="004D55F1">
      <w:pPr>
        <w:pStyle w:val="ListParagraph"/>
        <w:numPr>
          <w:ilvl w:val="1"/>
          <w:numId w:val="23"/>
        </w:numPr>
      </w:pPr>
      <w:r w:rsidRPr="00064304">
        <w:t>Seismic Category C1 (for low-risk anchorage only)</w:t>
      </w:r>
    </w:p>
    <w:p w14:paraId="4D98A4C9" w14:textId="77777777" w:rsidR="00E05619" w:rsidRPr="00064304" w:rsidRDefault="00E05619" w:rsidP="004D55F1">
      <w:pPr>
        <w:pStyle w:val="ListParagraph"/>
        <w:numPr>
          <w:ilvl w:val="1"/>
          <w:numId w:val="23"/>
        </w:numPr>
      </w:pPr>
      <w:r w:rsidRPr="00064304">
        <w:t>Seismic Category C2</w:t>
      </w:r>
    </w:p>
    <w:p w14:paraId="73F69FF6" w14:textId="5EC3BF4F" w:rsidR="00E05619" w:rsidRPr="00064304" w:rsidRDefault="00E05619" w:rsidP="004D55F1">
      <w:pPr>
        <w:pStyle w:val="ListParagraph"/>
        <w:numPr>
          <w:ilvl w:val="0"/>
          <w:numId w:val="23"/>
        </w:numPr>
      </w:pPr>
      <w:r w:rsidRPr="00064304">
        <w:t>ACI 355.2 (equivalent to ETAG 001 Annex E Seismic Category C1</w:t>
      </w:r>
      <w:r w:rsidR="00300FAF">
        <w:t xml:space="preserve"> </w:t>
      </w:r>
      <w:r w:rsidRPr="00064304">
        <w:t>for low-risk anchorage only)</w:t>
      </w:r>
    </w:p>
    <w:p w14:paraId="5763A49D" w14:textId="77777777" w:rsidR="00E05619" w:rsidRPr="00064304" w:rsidRDefault="00E05619" w:rsidP="004D55F1">
      <w:pPr>
        <w:pStyle w:val="ListParagraph"/>
        <w:numPr>
          <w:ilvl w:val="0"/>
          <w:numId w:val="23"/>
        </w:numPr>
      </w:pPr>
      <w:r w:rsidRPr="00064304">
        <w:t>ACI 355.4</w:t>
      </w:r>
    </w:p>
    <w:p w14:paraId="563C834E" w14:textId="01871FEE" w:rsidR="00D95C37" w:rsidRPr="00064304" w:rsidRDefault="00E05619" w:rsidP="004D55F1">
      <w:pPr>
        <w:pStyle w:val="ListParagraph"/>
        <w:numPr>
          <w:ilvl w:val="0"/>
          <w:numId w:val="23"/>
        </w:numPr>
      </w:pPr>
      <w:r w:rsidRPr="00064304">
        <w:t>ICC ES AC308</w:t>
      </w:r>
    </w:p>
    <w:p w14:paraId="54A001E0" w14:textId="77777777" w:rsidR="00695C46" w:rsidRPr="003101C2" w:rsidRDefault="00695C46" w:rsidP="00666E06">
      <w:pPr>
        <w:pStyle w:val="EmphasisHeading"/>
        <w:rPr>
          <w:color w:val="003399"/>
        </w:rPr>
      </w:pPr>
      <w:r w:rsidRPr="003101C2">
        <w:rPr>
          <w:color w:val="003399"/>
        </w:rPr>
        <w:t>Assumptions related to concrete cracking</w:t>
      </w:r>
    </w:p>
    <w:p w14:paraId="30C17130" w14:textId="41A9F4BD" w:rsidR="00695C46" w:rsidRPr="00064304" w:rsidRDefault="00695C46" w:rsidP="00666E06">
      <w:r w:rsidRPr="00064304">
        <w:t>Advice should be sought from the structural engineer as to which concrete elements are likely to remain uncracked during a design level event.</w:t>
      </w:r>
      <w:r w:rsidR="00EB25C2" w:rsidRPr="00064304">
        <w:t xml:space="preserve"> </w:t>
      </w:r>
      <w:r w:rsidRPr="00064304">
        <w:t>As a</w:t>
      </w:r>
      <w:r w:rsidR="00AC5E9A" w:rsidRPr="00064304">
        <w:t xml:space="preserve"> </w:t>
      </w:r>
      <w:r w:rsidRPr="00064304">
        <w:t xml:space="preserve">guide, </w:t>
      </w:r>
      <w:r w:rsidR="00AC5E9A" w:rsidRPr="00064304">
        <w:t>the following initial assumptions can usually be made</w:t>
      </w:r>
      <w:r w:rsidRPr="00064304">
        <w:t>:</w:t>
      </w:r>
    </w:p>
    <w:p w14:paraId="08200998" w14:textId="536A7867" w:rsidR="00695C46" w:rsidRPr="00064304" w:rsidRDefault="00695C46" w:rsidP="004D55F1">
      <w:pPr>
        <w:pStyle w:val="ListParagraph"/>
        <w:numPr>
          <w:ilvl w:val="0"/>
          <w:numId w:val="24"/>
        </w:numPr>
      </w:pPr>
      <w:r w:rsidRPr="00064304">
        <w:t>Concrete columns and beam</w:t>
      </w:r>
      <w:r w:rsidR="00B101C8" w:rsidRPr="00064304">
        <w:t>s (with structural engineer’s agreement)</w:t>
      </w:r>
      <w:r w:rsidRPr="00064304">
        <w:t>:  These will often be uncracked concrete. Do not fix within plastic hinge zones as defined by the Structural Engineer, as these can be subject to extreme cracking and spalling.</w:t>
      </w:r>
    </w:p>
    <w:p w14:paraId="501CC6D0" w14:textId="77777777" w:rsidR="00695C46" w:rsidRPr="00064304" w:rsidRDefault="00695C46" w:rsidP="004D55F1">
      <w:pPr>
        <w:pStyle w:val="ListParagraph"/>
        <w:numPr>
          <w:ilvl w:val="0"/>
          <w:numId w:val="24"/>
        </w:numPr>
      </w:pPr>
      <w:r w:rsidRPr="00064304">
        <w:t>Concrete walls: Generally uncracked. (Advice should be sought from the structural engineer about potential hinging zones to avoid)</w:t>
      </w:r>
    </w:p>
    <w:p w14:paraId="7B03F50C" w14:textId="77777777" w:rsidR="00695C46" w:rsidRPr="00064304" w:rsidRDefault="00695C46" w:rsidP="004D55F1">
      <w:pPr>
        <w:pStyle w:val="ListParagraph"/>
        <w:numPr>
          <w:ilvl w:val="0"/>
          <w:numId w:val="24"/>
        </w:numPr>
      </w:pPr>
      <w:r w:rsidRPr="00064304">
        <w:t>Floor slab on grade: Cracked.</w:t>
      </w:r>
    </w:p>
    <w:p w14:paraId="61DCC53E" w14:textId="06A0C0C6" w:rsidR="00695C46" w:rsidRPr="00064304" w:rsidRDefault="00A05EE5" w:rsidP="004D55F1">
      <w:pPr>
        <w:pStyle w:val="ListParagraph"/>
        <w:numPr>
          <w:ilvl w:val="0"/>
          <w:numId w:val="24"/>
        </w:numPr>
      </w:pPr>
      <w:r w:rsidRPr="00064304">
        <w:t xml:space="preserve">In-situ </w:t>
      </w:r>
      <w:r w:rsidR="00D61007" w:rsidRPr="00064304">
        <w:t xml:space="preserve">conventionally reinforced </w:t>
      </w:r>
      <w:r w:rsidRPr="00064304">
        <w:t>slabs including p</w:t>
      </w:r>
      <w:r w:rsidR="00695C46" w:rsidRPr="00064304">
        <w:t>roprietary composite metal deck floor systems: Uncracked</w:t>
      </w:r>
      <w:r w:rsidR="00B85FCE" w:rsidRPr="00064304">
        <w:t xml:space="preserve">, except in </w:t>
      </w:r>
      <w:r w:rsidR="00076461" w:rsidRPr="00064304">
        <w:t>high strain areas</w:t>
      </w:r>
      <w:r w:rsidR="00A43953">
        <w:t xml:space="preserve">. </w:t>
      </w:r>
      <w:r w:rsidR="00695C46" w:rsidRPr="00064304">
        <w:t xml:space="preserve">It is generally expected that floor diaphragms should be designed elastically and </w:t>
      </w:r>
      <w:r w:rsidR="00AA7838" w:rsidRPr="00064304">
        <w:t>can be assumed to</w:t>
      </w:r>
      <w:r w:rsidR="00695C46" w:rsidRPr="00064304">
        <w:t xml:space="preserve"> remain uncracked</w:t>
      </w:r>
      <w:r w:rsidR="00076461" w:rsidRPr="00064304">
        <w:t xml:space="preserve"> for the purposes of NSE design</w:t>
      </w:r>
      <w:r w:rsidR="00695C46" w:rsidRPr="00064304">
        <w:t>.</w:t>
      </w:r>
      <w:r w:rsidR="00076461" w:rsidRPr="00064304">
        <w:t xml:space="preserve"> However</w:t>
      </w:r>
      <w:r w:rsidR="00D35AFF" w:rsidRPr="00064304">
        <w:t>,</w:t>
      </w:r>
      <w:r w:rsidR="00076461" w:rsidRPr="00064304">
        <w:t xml:space="preserve"> exceptions may exist in areas which are </w:t>
      </w:r>
      <w:r w:rsidR="00076461" w:rsidRPr="00064304">
        <w:lastRenderedPageBreak/>
        <w:t>highly strained</w:t>
      </w:r>
      <w:r w:rsidR="008504F3" w:rsidRPr="00064304">
        <w:t xml:space="preserve"> due to deformation compatibility</w:t>
      </w:r>
      <w:r w:rsidR="00D35AFF" w:rsidRPr="00064304">
        <w:t xml:space="preserve"> with certain structural systems</w:t>
      </w:r>
      <w:r w:rsidR="00A5237F" w:rsidRPr="00064304">
        <w:t xml:space="preserve"> (for example, link slabs or areas of slab near EBF links)</w:t>
      </w:r>
      <w:r w:rsidR="008504F3" w:rsidRPr="00064304">
        <w:t>.</w:t>
      </w:r>
      <w:r w:rsidR="00695C46" w:rsidRPr="00064304">
        <w:t xml:space="preserve"> Confirmation should be sought from the structural </w:t>
      </w:r>
      <w:r w:rsidR="00E32764" w:rsidRPr="00064304">
        <w:t>engineer</w:t>
      </w:r>
      <w:r w:rsidR="00076461" w:rsidRPr="00064304">
        <w:t xml:space="preserve"> including identification of </w:t>
      </w:r>
      <w:r w:rsidR="00D35AFF" w:rsidRPr="00064304">
        <w:t xml:space="preserve">any </w:t>
      </w:r>
      <w:r w:rsidR="00076461" w:rsidRPr="00064304">
        <w:t>high strain areas</w:t>
      </w:r>
      <w:r w:rsidR="00E32764" w:rsidRPr="00064304">
        <w:t>.</w:t>
      </w:r>
    </w:p>
    <w:p w14:paraId="4C6E0D96" w14:textId="175B91D9" w:rsidR="00D61007" w:rsidRPr="00064304" w:rsidRDefault="00D61007" w:rsidP="004D55F1">
      <w:pPr>
        <w:pStyle w:val="ListParagraph"/>
        <w:numPr>
          <w:ilvl w:val="0"/>
          <w:numId w:val="24"/>
        </w:numPr>
      </w:pPr>
      <w:r w:rsidRPr="00064304">
        <w:t>Post-tensioned floor systems</w:t>
      </w:r>
      <w:r w:rsidR="00C52D0C" w:rsidRPr="00064304">
        <w:t xml:space="preserve"> and prestressed concrete: Uncracked, except at joints between precast units </w:t>
      </w:r>
      <w:r w:rsidR="000C5E50" w:rsidRPr="00064304">
        <w:t>or at high strain areas (as for conventionally reinforced slabs)</w:t>
      </w:r>
      <w:r w:rsidR="00A27ED5" w:rsidRPr="00064304">
        <w:t>.</w:t>
      </w:r>
    </w:p>
    <w:p w14:paraId="6D87CD56" w14:textId="77777777" w:rsidR="00695C46" w:rsidRPr="00064304" w:rsidRDefault="00695C46" w:rsidP="004D55F1">
      <w:pPr>
        <w:pStyle w:val="ListParagraph"/>
        <w:numPr>
          <w:ilvl w:val="0"/>
          <w:numId w:val="24"/>
        </w:numPr>
      </w:pPr>
      <w:r w:rsidRPr="00064304">
        <w:t xml:space="preserve">Concrete floors (other than above) and concrete/masonry walls: Uncracked </w:t>
      </w:r>
    </w:p>
    <w:p w14:paraId="7C0A4E6E" w14:textId="76F9F9DC" w:rsidR="00DE2F88" w:rsidRPr="00523117" w:rsidRDefault="00DE2F88" w:rsidP="003101C2">
      <w:pPr>
        <w:pStyle w:val="Section3heading2"/>
      </w:pPr>
      <w:bookmarkStart w:id="344" w:name="_Toc203642001"/>
      <w:bookmarkStart w:id="345" w:name="_Ref167700417"/>
      <w:r w:rsidRPr="00523117">
        <w:t>Exterior Cladding</w:t>
      </w:r>
      <w:bookmarkEnd w:id="344"/>
    </w:p>
    <w:bookmarkEnd w:id="345"/>
    <w:p w14:paraId="386993E9" w14:textId="65E506B3" w:rsidR="008B6B84" w:rsidRPr="00064304" w:rsidRDefault="008B6B84" w:rsidP="003101C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lang w:val="en-US"/>
        </w:rPr>
      </w:pPr>
      <w:r w:rsidRPr="00064304">
        <w:rPr>
          <w:lang w:val="en-US"/>
        </w:rPr>
        <w:t xml:space="preserve">This section </w:t>
      </w:r>
      <w:r w:rsidR="00C22FD0" w:rsidRPr="00064304">
        <w:rPr>
          <w:lang w:val="en-US"/>
        </w:rPr>
        <w:t>provides</w:t>
      </w:r>
      <w:r w:rsidRPr="00064304">
        <w:rPr>
          <w:lang w:val="en-US"/>
        </w:rPr>
        <w:t xml:space="preserve"> guidance for exterior cladding</w:t>
      </w:r>
      <w:r w:rsidR="00A43953">
        <w:rPr>
          <w:lang w:val="en-US"/>
        </w:rPr>
        <w:t xml:space="preserve">. </w:t>
      </w:r>
      <w:r w:rsidR="002C7D8B" w:rsidRPr="00064304">
        <w:rPr>
          <w:lang w:val="en-US"/>
        </w:rPr>
        <w:t xml:space="preserve">It is primarily intended to cover vertical facades, where the more complex seismic movements occur, </w:t>
      </w:r>
      <w:r w:rsidR="00D025ED" w:rsidRPr="00064304">
        <w:rPr>
          <w:lang w:val="en-US"/>
        </w:rPr>
        <w:t>but the principles covered here</w:t>
      </w:r>
      <w:r w:rsidR="002C7D8B" w:rsidRPr="00064304">
        <w:rPr>
          <w:lang w:val="en-US"/>
        </w:rPr>
        <w:t xml:space="preserve"> </w:t>
      </w:r>
      <w:r w:rsidR="00D025ED" w:rsidRPr="00064304">
        <w:rPr>
          <w:lang w:val="en-US"/>
        </w:rPr>
        <w:t>can also be extended to roofs.</w:t>
      </w:r>
    </w:p>
    <w:p w14:paraId="3CB431AD" w14:textId="766028D2" w:rsidR="008D31BA" w:rsidRPr="00064304" w:rsidRDefault="008D31BA" w:rsidP="004B258E">
      <w:pPr>
        <w:pStyle w:val="Section3heading3"/>
      </w:pPr>
      <w:r w:rsidRPr="00064304">
        <w:tab/>
      </w:r>
      <w:bookmarkStart w:id="346" w:name="_Ref181594169"/>
      <w:r w:rsidRPr="00064304">
        <w:t xml:space="preserve">Parties involved in the exterior cladding </w:t>
      </w:r>
      <w:r w:rsidR="00C22FD0" w:rsidRPr="00064304">
        <w:t>design</w:t>
      </w:r>
      <w:bookmarkEnd w:id="346"/>
      <w:r w:rsidRPr="00064304">
        <w:t xml:space="preserve"> </w:t>
      </w:r>
    </w:p>
    <w:p w14:paraId="67E29230" w14:textId="71642E82" w:rsidR="008D31BA" w:rsidRPr="00064304" w:rsidRDefault="008D31BA" w:rsidP="00666E06">
      <w:r w:rsidRPr="00064304">
        <w:t>It is expected that the following parties will be involved in the development of the strategy and coordination of requirements between different disciplines</w:t>
      </w:r>
      <w:r w:rsidR="00A43953">
        <w:t xml:space="preserve">. </w:t>
      </w:r>
    </w:p>
    <w:p w14:paraId="7A0F1B31" w14:textId="77777777" w:rsidR="008D31BA" w:rsidRPr="00064304" w:rsidRDefault="008D31BA" w:rsidP="00666E06">
      <w:r w:rsidRPr="00064304">
        <w:t>The coordination noted in this section is required during the design phase even when the façade is procured through a performance specification:</w:t>
      </w:r>
    </w:p>
    <w:p w14:paraId="30932C40" w14:textId="4E3BCE12" w:rsidR="008D31BA" w:rsidRPr="00064304" w:rsidRDefault="008D31BA" w:rsidP="00666E06">
      <w:pPr>
        <w:pStyle w:val="ListBullet"/>
      </w:pPr>
      <w:r w:rsidRPr="00064304">
        <w:t xml:space="preserve">Architect. </w:t>
      </w:r>
      <w:r w:rsidR="00F138BE" w:rsidRPr="00064304">
        <w:t>Overall r</w:t>
      </w:r>
      <w:r w:rsidRPr="00064304">
        <w:t>esponsib</w:t>
      </w:r>
      <w:r w:rsidR="00F138BE" w:rsidRPr="00064304">
        <w:t>ility</w:t>
      </w:r>
      <w:r w:rsidRPr="00064304">
        <w:t xml:space="preserve"> for the external cladding</w:t>
      </w:r>
      <w:r w:rsidR="00F138BE" w:rsidRPr="00064304">
        <w:t xml:space="preserve"> and</w:t>
      </w:r>
      <w:r w:rsidRPr="00064304">
        <w:t xml:space="preserve"> interface detailing with ceilings, partition, </w:t>
      </w:r>
      <w:r w:rsidR="00B833BB" w:rsidRPr="00064304">
        <w:t>and other elements</w:t>
      </w:r>
      <w:r w:rsidRPr="00064304">
        <w:t>.</w:t>
      </w:r>
    </w:p>
    <w:p w14:paraId="19155A0F" w14:textId="675D6D8A" w:rsidR="008D31BA" w:rsidRPr="00064304" w:rsidRDefault="008D31BA" w:rsidP="00666E06">
      <w:pPr>
        <w:pStyle w:val="ListBullet"/>
      </w:pPr>
      <w:r w:rsidRPr="00064304">
        <w:t>Structural engineer. Responsible for structural drifts</w:t>
      </w:r>
      <w:r w:rsidR="00130F47" w:rsidRPr="00064304">
        <w:t xml:space="preserve">, </w:t>
      </w:r>
      <w:r w:rsidRPr="00064304">
        <w:t>align</w:t>
      </w:r>
      <w:r w:rsidR="00130F47" w:rsidRPr="00064304">
        <w:t>ing these</w:t>
      </w:r>
      <w:r w:rsidRPr="00064304">
        <w:t xml:space="preserve"> </w:t>
      </w:r>
      <w:r w:rsidR="00130F47" w:rsidRPr="00064304">
        <w:t>with</w:t>
      </w:r>
      <w:r w:rsidRPr="00064304">
        <w:t xml:space="preserve"> </w:t>
      </w:r>
      <w:r w:rsidR="00130F47" w:rsidRPr="00064304">
        <w:t xml:space="preserve">selected </w:t>
      </w:r>
      <w:r w:rsidRPr="00064304">
        <w:t xml:space="preserve">cladding system performance, allowance for </w:t>
      </w:r>
      <w:r w:rsidR="00130F47" w:rsidRPr="00064304">
        <w:t>structural support of</w:t>
      </w:r>
      <w:r w:rsidRPr="00064304">
        <w:t xml:space="preserve"> cladding </w:t>
      </w:r>
      <w:r w:rsidR="00130F47" w:rsidRPr="00064304">
        <w:t xml:space="preserve">and its </w:t>
      </w:r>
      <w:r w:rsidRPr="00064304">
        <w:t>connection</w:t>
      </w:r>
      <w:r w:rsidR="00130F47" w:rsidRPr="00064304">
        <w:t>s,</w:t>
      </w:r>
      <w:r w:rsidRPr="00064304">
        <w:t xml:space="preserve"> and general interface of the cladding with the structure.</w:t>
      </w:r>
    </w:p>
    <w:p w14:paraId="4469F8D6" w14:textId="551D9E56" w:rsidR="0067765D" w:rsidRPr="00064304" w:rsidRDefault="008D31BA" w:rsidP="00666E06">
      <w:pPr>
        <w:pStyle w:val="ListBullet"/>
      </w:pPr>
      <w:r w:rsidRPr="00064304">
        <w:t xml:space="preserve">Façade Designer. Responsible for </w:t>
      </w:r>
      <w:r w:rsidR="0067765D" w:rsidRPr="00064304">
        <w:t xml:space="preserve">design of the façade system, including </w:t>
      </w:r>
      <w:r w:rsidRPr="00064304">
        <w:t>weathertightness</w:t>
      </w:r>
      <w:r w:rsidR="0067765D" w:rsidRPr="00064304">
        <w:t xml:space="preserve">, </w:t>
      </w:r>
      <w:r w:rsidRPr="00064304">
        <w:t>airtightness</w:t>
      </w:r>
      <w:r w:rsidR="0067765D" w:rsidRPr="00064304">
        <w:t xml:space="preserve">, structural capacity, connections, displacement </w:t>
      </w:r>
      <w:r w:rsidR="007336D8" w:rsidRPr="00064304">
        <w:t>compatibility</w:t>
      </w:r>
      <w:r w:rsidR="00C64162" w:rsidRPr="00064304">
        <w:t>, detailing, and coordination with other elements.</w:t>
      </w:r>
      <w:r w:rsidR="006E2731" w:rsidRPr="00064304">
        <w:t xml:space="preserve"> This role is analogous to the NSE designer </w:t>
      </w:r>
      <w:r w:rsidR="000D286F">
        <w:t xml:space="preserve">for </w:t>
      </w:r>
      <w:r w:rsidR="00B543D6" w:rsidRPr="00064304">
        <w:t>other elements.</w:t>
      </w:r>
    </w:p>
    <w:p w14:paraId="7E59BAA7" w14:textId="179EFC93" w:rsidR="00A51BCE" w:rsidRPr="00064304" w:rsidRDefault="00710357" w:rsidP="004B258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There are multiple different approaches to façade procurement </w:t>
      </w:r>
      <w:r w:rsidR="00C32164" w:rsidRPr="00064304">
        <w:t>that heavily influence who the façade designer is. It may be any combination of the architect, a façade engineer, or a supplier</w:t>
      </w:r>
      <w:r w:rsidR="00A43953">
        <w:t xml:space="preserve">. </w:t>
      </w:r>
    </w:p>
    <w:p w14:paraId="50EB6D51" w14:textId="52D5F4DB" w:rsidR="00846BE2" w:rsidRPr="00064304" w:rsidRDefault="00A51BCE" w:rsidP="004B258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For simple projects, the architect will </w:t>
      </w:r>
      <w:r w:rsidR="00532831" w:rsidRPr="00064304">
        <w:t>often directly design the cladding system</w:t>
      </w:r>
      <w:r w:rsidR="00A43953">
        <w:t xml:space="preserve">. </w:t>
      </w:r>
      <w:r w:rsidR="00532831" w:rsidRPr="00064304">
        <w:t xml:space="preserve">On more complex projects </w:t>
      </w:r>
      <w:r w:rsidR="00B543D6" w:rsidRPr="00064304">
        <w:t xml:space="preserve">the responsibilities </w:t>
      </w:r>
      <w:r w:rsidR="004B2EB6">
        <w:t xml:space="preserve">for specification and design </w:t>
      </w:r>
      <w:r w:rsidR="00532831" w:rsidRPr="00064304">
        <w:t>will often be split between architect, façade engineer and multiple suppliers.</w:t>
      </w:r>
      <w:r w:rsidR="00FB5757" w:rsidRPr="00064304">
        <w:t xml:space="preserve"> </w:t>
      </w:r>
      <w:r w:rsidR="00553F10" w:rsidRPr="00064304">
        <w:t>For every project it is necessary to clarify which party is responsible for each design aspect of the façade</w:t>
      </w:r>
      <w:r w:rsidR="00A43953">
        <w:t xml:space="preserve">. </w:t>
      </w:r>
    </w:p>
    <w:p w14:paraId="490FC18C" w14:textId="29747A5C" w:rsidR="008D31BA" w:rsidRPr="00064304" w:rsidRDefault="008D31BA" w:rsidP="004B258E">
      <w:pPr>
        <w:pStyle w:val="Section3heading3"/>
      </w:pPr>
      <w:r w:rsidRPr="00064304">
        <w:tab/>
        <w:t xml:space="preserve">Exterior cladding design strategy and considerations  </w:t>
      </w:r>
    </w:p>
    <w:p w14:paraId="6417E9B1" w14:textId="5D970B95" w:rsidR="00114074" w:rsidRPr="00064304" w:rsidRDefault="008D31BA" w:rsidP="00666E06">
      <w:r w:rsidRPr="00064304">
        <w:t xml:space="preserve">The stiffness of the primary structure will be a key consideration for the </w:t>
      </w:r>
      <w:r w:rsidR="00CC036C" w:rsidRPr="00064304">
        <w:t>e</w:t>
      </w:r>
      <w:r w:rsidRPr="00064304">
        <w:t xml:space="preserve">xterior </w:t>
      </w:r>
      <w:r w:rsidR="00CC036C" w:rsidRPr="00064304">
        <w:t>c</w:t>
      </w:r>
      <w:r w:rsidRPr="00064304">
        <w:t xml:space="preserve">ladding design. A stiff structure will result in smaller inter-storey drifts that in turn will result in less </w:t>
      </w:r>
      <w:r w:rsidRPr="00064304">
        <w:lastRenderedPageBreak/>
        <w:t>potential damage at differential movement joints and junctions with the primary structure and NSE</w:t>
      </w:r>
      <w:r w:rsidR="00A43953">
        <w:t xml:space="preserve">. </w:t>
      </w:r>
    </w:p>
    <w:p w14:paraId="7C80EFBF" w14:textId="458235DD" w:rsidR="008D31BA" w:rsidRPr="00064304" w:rsidRDefault="008D31BA" w:rsidP="00666E06">
      <w:r w:rsidRPr="00064304">
        <w:t>Th</w:t>
      </w:r>
      <w:r w:rsidR="00114074" w:rsidRPr="00064304">
        <w:t>ese</w:t>
      </w:r>
      <w:r w:rsidRPr="00064304">
        <w:t xml:space="preserve"> shall be coordinated with the</w:t>
      </w:r>
      <w:r w:rsidR="00114074" w:rsidRPr="00064304">
        <w:t xml:space="preserve"> architect and/or</w:t>
      </w:r>
      <w:r w:rsidRPr="00064304">
        <w:t xml:space="preserve"> façade </w:t>
      </w:r>
      <w:r w:rsidR="00114074" w:rsidRPr="00064304">
        <w:t xml:space="preserve">designer during the design phases. If the façade </w:t>
      </w:r>
      <w:r w:rsidR="00AA0BB6" w:rsidRPr="00064304">
        <w:t>design is completed by a supplier after the design phases are complete, the drifts shall be captured in the project facade</w:t>
      </w:r>
      <w:r w:rsidRPr="00064304">
        <w:t xml:space="preserve"> Performance Specification.</w:t>
      </w:r>
    </w:p>
    <w:p w14:paraId="797A750F" w14:textId="4D30AD66" w:rsidR="008D31BA" w:rsidRPr="00064304" w:rsidRDefault="008D31BA" w:rsidP="00666E06">
      <w:r w:rsidRPr="00064304">
        <w:t xml:space="preserve">The design team shall confirm the cladding strategy </w:t>
      </w:r>
      <w:r w:rsidR="00AA0BB6" w:rsidRPr="00064304">
        <w:t>for</w:t>
      </w:r>
      <w:r w:rsidRPr="00064304">
        <w:t>:</w:t>
      </w:r>
    </w:p>
    <w:p w14:paraId="69E9B842" w14:textId="32288F43" w:rsidR="008D31BA" w:rsidRPr="00064304" w:rsidRDefault="008D31BA" w:rsidP="00666E06">
      <w:pPr>
        <w:pStyle w:val="ListBullet"/>
      </w:pPr>
      <w:r w:rsidRPr="00064304">
        <w:t xml:space="preserve">Gravity support to the cladding system, </w:t>
      </w:r>
    </w:p>
    <w:p w14:paraId="464EA6E6" w14:textId="590CBBAE" w:rsidR="008D31BA" w:rsidRPr="00064304" w:rsidRDefault="008D31BA" w:rsidP="00666E06">
      <w:pPr>
        <w:pStyle w:val="ListBullet"/>
      </w:pPr>
      <w:r w:rsidRPr="00064304">
        <w:t xml:space="preserve">Out-of-plane (wind and seismic) restraint, </w:t>
      </w:r>
    </w:p>
    <w:p w14:paraId="5265A71C" w14:textId="5888E0D8" w:rsidR="008D31BA" w:rsidRPr="00064304" w:rsidRDefault="008D31BA" w:rsidP="00666E06">
      <w:pPr>
        <w:pStyle w:val="ListBullet"/>
      </w:pPr>
      <w:r w:rsidRPr="00064304">
        <w:t>In-plane restraint (seismic),</w:t>
      </w:r>
    </w:p>
    <w:p w14:paraId="20C8CA0B" w14:textId="1626A81F" w:rsidR="008D31BA" w:rsidRPr="00064304" w:rsidRDefault="008D31BA" w:rsidP="00666E06">
      <w:pPr>
        <w:pStyle w:val="ListBullet"/>
      </w:pPr>
      <w:r w:rsidRPr="00064304">
        <w:t>Detailing of interfaces to allow for drifts and differential movement,</w:t>
      </w:r>
    </w:p>
    <w:p w14:paraId="51FBDEEA" w14:textId="008360F7" w:rsidR="008D31BA" w:rsidRPr="00064304" w:rsidRDefault="008D31BA" w:rsidP="00666E06">
      <w:r w:rsidRPr="00064304">
        <w:t xml:space="preserve">Further considerations for design and coordination of any glazing aspect of the cladding system are provided in the </w:t>
      </w:r>
      <w:r w:rsidR="00AA0BB6" w:rsidRPr="00064304">
        <w:t>BIP</w:t>
      </w:r>
      <w:r w:rsidRPr="00064304">
        <w:t xml:space="preserve"> NSE CoP</w:t>
      </w:r>
      <w:r w:rsidR="00826F6A" w:rsidRPr="00064304">
        <w:t>.</w:t>
      </w:r>
      <w:r w:rsidRPr="00064304">
        <w:t xml:space="preserve"> </w:t>
      </w:r>
    </w:p>
    <w:p w14:paraId="1626395F" w14:textId="6460AC20" w:rsidR="00EC141C" w:rsidRPr="00064304" w:rsidRDefault="008D31BA" w:rsidP="00666E06">
      <w:r w:rsidRPr="00064304">
        <w:t xml:space="preserve">It is common practice for the </w:t>
      </w:r>
      <w:r w:rsidR="004F62D2" w:rsidRPr="00064304">
        <w:t>facade</w:t>
      </w:r>
      <w:r w:rsidRPr="00064304">
        <w:t xml:space="preserve"> </w:t>
      </w:r>
      <w:r w:rsidR="004F62D2" w:rsidRPr="00064304">
        <w:t>d</w:t>
      </w:r>
      <w:r w:rsidRPr="00064304">
        <w:t xml:space="preserve">esigner to provide out of plane connection restraints of the cladding system at each level the external cladding connects to. As noted in the </w:t>
      </w:r>
      <w:r w:rsidR="00B23F82" w:rsidRPr="00064304">
        <w:t xml:space="preserve">BIP NSE CoP </w:t>
      </w:r>
      <w:r w:rsidRPr="00064304">
        <w:t xml:space="preserve">the out-of-plane capacity of the glazing system is typically a function of the capacity of the extruded aluminium frame, and determining this should be responsibility </w:t>
      </w:r>
      <w:r w:rsidR="004B0130" w:rsidRPr="00064304">
        <w:t>façade designers (in practice, this is often the architect during the design phases)</w:t>
      </w:r>
      <w:r w:rsidR="00A43953">
        <w:t xml:space="preserve">. </w:t>
      </w:r>
    </w:p>
    <w:p w14:paraId="46A38575" w14:textId="2264F560" w:rsidR="008D31BA" w:rsidRPr="00064304" w:rsidRDefault="008D31BA" w:rsidP="00666E06">
      <w:r w:rsidRPr="00064304">
        <w:t xml:space="preserve">The responsibility for designing the out-of-plane capacity of the remaining components of the cladding system shall be confirmed early in the project to ensure the design is appropriately coordinated with the structure and building services. </w:t>
      </w:r>
    </w:p>
    <w:p w14:paraId="0A43BA2A" w14:textId="13C00EB2" w:rsidR="008D31BA" w:rsidRPr="00064304" w:rsidRDefault="008D31BA" w:rsidP="00666E06">
      <w:r w:rsidRPr="00064304">
        <w:t>The suppliers of glazing and/or panel systems, products and materials associated with the exterior envelope should also be consulted with, to understand how their systems or products will perform, in particular in relation to proposed drifts and differential movement at joints</w:t>
      </w:r>
      <w:r w:rsidR="00A43953">
        <w:t xml:space="preserve">. </w:t>
      </w:r>
    </w:p>
    <w:p w14:paraId="4618CE4E" w14:textId="2FBBACE6" w:rsidR="00BB2015" w:rsidRPr="00064304" w:rsidRDefault="00BB2015" w:rsidP="00666E06">
      <w:pPr>
        <w:rPr>
          <w:lang w:val="en-US"/>
        </w:rPr>
      </w:pPr>
      <w:r w:rsidRPr="00064304">
        <w:t xml:space="preserve">The design of most exterior </w:t>
      </w:r>
      <w:r w:rsidR="00384328" w:rsidRPr="00064304">
        <w:t>facades</w:t>
      </w:r>
      <w:r w:rsidRPr="00064304">
        <w:t xml:space="preserve"> </w:t>
      </w:r>
      <w:r w:rsidR="001C639D" w:rsidRPr="00064304">
        <w:t>is</w:t>
      </w:r>
      <w:r w:rsidRPr="00064304">
        <w:t xml:space="preserve"> complex and bespoke. </w:t>
      </w:r>
      <w:r w:rsidR="00384328" w:rsidRPr="00064304">
        <w:t xml:space="preserve">They require </w:t>
      </w:r>
      <w:r w:rsidRPr="00064304">
        <w:t xml:space="preserve">a coordinated, holistic, design approach. </w:t>
      </w:r>
      <w:r w:rsidR="00384328" w:rsidRPr="00064304">
        <w:t xml:space="preserve">An overall project façade movement strategy should be adopted, similar to the </w:t>
      </w:r>
      <w:r w:rsidRPr="00064304">
        <w:rPr>
          <w:i/>
          <w:iCs/>
          <w:lang w:val="en-US"/>
        </w:rPr>
        <w:t>Non-Structural Element (NSE) Seismic Design Strategy</w:t>
      </w:r>
      <w:r w:rsidR="00384328" w:rsidRPr="00064304">
        <w:rPr>
          <w:lang w:val="en-US"/>
        </w:rPr>
        <w:t xml:space="preserve"> detailed in Section </w:t>
      </w:r>
      <w:r w:rsidR="00384328" w:rsidRPr="00064304">
        <w:rPr>
          <w:lang w:val="en-US"/>
        </w:rPr>
        <w:fldChar w:fldCharType="begin"/>
      </w:r>
      <w:r w:rsidR="00384328" w:rsidRPr="00064304">
        <w:rPr>
          <w:lang w:val="en-US"/>
        </w:rPr>
        <w:instrText xml:space="preserve"> REF _Ref152139034 \r \h </w:instrText>
      </w:r>
      <w:r w:rsidR="00064304">
        <w:rPr>
          <w:lang w:val="en-US"/>
        </w:rPr>
        <w:instrText xml:space="preserve"> \* MERGEFORMAT </w:instrText>
      </w:r>
      <w:r w:rsidR="00384328" w:rsidRPr="00064304">
        <w:rPr>
          <w:lang w:val="en-US"/>
        </w:rPr>
      </w:r>
      <w:r w:rsidR="00384328" w:rsidRPr="00064304">
        <w:rPr>
          <w:lang w:val="en-US"/>
        </w:rPr>
        <w:fldChar w:fldCharType="separate"/>
      </w:r>
      <w:r w:rsidR="000761C1">
        <w:rPr>
          <w:lang w:val="en-US"/>
        </w:rPr>
        <w:t>A3.2</w:t>
      </w:r>
      <w:r w:rsidR="00384328" w:rsidRPr="00064304">
        <w:rPr>
          <w:lang w:val="en-US"/>
        </w:rPr>
        <w:fldChar w:fldCharType="end"/>
      </w:r>
      <w:r w:rsidR="00384328" w:rsidRPr="00064304">
        <w:rPr>
          <w:lang w:val="en-US"/>
        </w:rPr>
        <w:t>.</w:t>
      </w:r>
    </w:p>
    <w:p w14:paraId="1D93B1CD" w14:textId="0F94D3E9" w:rsidR="00BB2015" w:rsidRPr="00064304" w:rsidRDefault="007D5C79" w:rsidP="00666E06">
      <w:pPr>
        <w:pStyle w:val="Requirement"/>
      </w:pPr>
      <w:r>
        <w:rPr>
          <w:b/>
          <w:bCs/>
        </w:rPr>
        <w:t>Health NZ</w:t>
      </w:r>
      <w:r w:rsidR="00064304">
        <w:rPr>
          <w:b/>
          <w:bCs/>
        </w:rPr>
        <w:t xml:space="preserve"> </w:t>
      </w:r>
      <w:r w:rsidR="00BB2015" w:rsidRPr="00064304">
        <w:rPr>
          <w:b/>
          <w:bCs/>
        </w:rPr>
        <w:t>R</w:t>
      </w:r>
      <w:r w:rsidR="00384328" w:rsidRPr="00064304">
        <w:rPr>
          <w:b/>
          <w:bCs/>
        </w:rPr>
        <w:t>ecommendation</w:t>
      </w:r>
      <w:r w:rsidR="00BB2015" w:rsidRPr="00064304">
        <w:rPr>
          <w:b/>
          <w:bCs/>
        </w:rPr>
        <w:t>:</w:t>
      </w:r>
      <w:r w:rsidR="00BB2015" w:rsidRPr="00064304">
        <w:t xml:space="preserve"> A </w:t>
      </w:r>
      <w:r w:rsidR="00384328" w:rsidRPr="00064304">
        <w:rPr>
          <w:i/>
          <w:iCs/>
          <w:lang w:val="en-US"/>
        </w:rPr>
        <w:t>Facade</w:t>
      </w:r>
      <w:r w:rsidR="00BB2015" w:rsidRPr="00064304">
        <w:rPr>
          <w:i/>
          <w:iCs/>
          <w:lang w:val="en-US"/>
        </w:rPr>
        <w:t xml:space="preserve"> Seismic Design Strategy</w:t>
      </w:r>
      <w:r w:rsidR="00BB2015" w:rsidRPr="00064304">
        <w:rPr>
          <w:lang w:val="en-US"/>
        </w:rPr>
        <w:t xml:space="preserve"> </w:t>
      </w:r>
      <w:r w:rsidR="00BB2015" w:rsidRPr="00064304">
        <w:t>s</w:t>
      </w:r>
      <w:r w:rsidR="00384328" w:rsidRPr="00064304">
        <w:t>hould</w:t>
      </w:r>
      <w:r w:rsidR="00BB2015" w:rsidRPr="00064304">
        <w:t xml:space="preserve"> be prepared by the </w:t>
      </w:r>
      <w:r w:rsidR="00384328" w:rsidRPr="00064304">
        <w:t>Façade Designer</w:t>
      </w:r>
      <w:r w:rsidR="00BB2015" w:rsidRPr="00064304">
        <w:t>, updated at each design phase milestone.</w:t>
      </w:r>
    </w:p>
    <w:p w14:paraId="63499CDF" w14:textId="05CFF17A" w:rsidR="008D31BA" w:rsidRPr="00064304" w:rsidRDefault="008D31BA" w:rsidP="004B258E">
      <w:pPr>
        <w:pStyle w:val="Section3heading3"/>
      </w:pPr>
      <w:r w:rsidRPr="00064304">
        <w:t xml:space="preserve">Design Criteria    </w:t>
      </w:r>
    </w:p>
    <w:p w14:paraId="0B44FEC6" w14:textId="65A94422" w:rsidR="008D31BA" w:rsidRPr="00064304" w:rsidRDefault="008D31BA" w:rsidP="00666E06">
      <w:r w:rsidRPr="00064304">
        <w:t>The façade design must consider</w:t>
      </w:r>
      <w:r w:rsidR="0023362B" w:rsidRPr="00064304">
        <w:t xml:space="preserve"> two main</w:t>
      </w:r>
      <w:r w:rsidR="00C440E5" w:rsidRPr="00064304">
        <w:t xml:space="preserve"> seismic design aspects</w:t>
      </w:r>
      <w:r w:rsidR="00985DD8" w:rsidRPr="00064304">
        <w:t>:</w:t>
      </w:r>
    </w:p>
    <w:p w14:paraId="70EEB01E" w14:textId="3C6D8E2D" w:rsidR="008D31BA" w:rsidRPr="00064304" w:rsidRDefault="008D31BA" w:rsidP="00666E06">
      <w:pPr>
        <w:pStyle w:val="ListBullet"/>
      </w:pPr>
      <w:r w:rsidRPr="00064304">
        <w:t>Façade element design. This includes considering strength, stiffness, and fixing checks by the façade designer.</w:t>
      </w:r>
    </w:p>
    <w:p w14:paraId="0FE765F6" w14:textId="51F41A1B" w:rsidR="008D31BA" w:rsidRPr="00064304" w:rsidRDefault="008D31BA" w:rsidP="00666E06">
      <w:pPr>
        <w:pStyle w:val="ListBullet"/>
      </w:pPr>
      <w:r w:rsidRPr="00064304">
        <w:t xml:space="preserve">Displacement compatibility. This will require detailed coordination between multiple parties including the structural engineer, architect, façade </w:t>
      </w:r>
      <w:r w:rsidR="00C440E5" w:rsidRPr="00064304">
        <w:t>designer and suppliers.</w:t>
      </w:r>
    </w:p>
    <w:p w14:paraId="6CABDF0D" w14:textId="74C9F36D" w:rsidR="00D01CA6" w:rsidRPr="004B258E" w:rsidRDefault="00D01CA6" w:rsidP="005F75F4">
      <w:pPr>
        <w:pStyle w:val="Figure"/>
        <w:keepNext/>
        <w:rPr>
          <w:color w:val="003399"/>
        </w:rPr>
      </w:pPr>
      <w:r w:rsidRPr="004B258E">
        <w:rPr>
          <w:color w:val="003399"/>
        </w:rPr>
        <w:lastRenderedPageBreak/>
        <w:t xml:space="preserve">Façade Drifts    </w:t>
      </w:r>
    </w:p>
    <w:p w14:paraId="2EC13437" w14:textId="2E3F8D12" w:rsidR="00273EFB" w:rsidRPr="00064304" w:rsidRDefault="008D31BA" w:rsidP="00666E06">
      <w:r w:rsidRPr="00064304">
        <w:t xml:space="preserve">Research has indicated that exterior facades can be subjected to relatively high drifts without significant damage occurring, including loss of glazing. However, </w:t>
      </w:r>
      <w:r w:rsidR="00273EFB" w:rsidRPr="00064304">
        <w:t xml:space="preserve">other </w:t>
      </w:r>
      <w:r w:rsidRPr="00064304">
        <w:t>research has also shown that some façade systems can undergo less visible damage at low drifts that can result</w:t>
      </w:r>
      <w:r w:rsidR="004C33A4" w:rsidRPr="00064304">
        <w:t xml:space="preserve"> in</w:t>
      </w:r>
      <w:r w:rsidRPr="00064304">
        <w:t xml:space="preserve"> leaks occurring.</w:t>
      </w:r>
    </w:p>
    <w:p w14:paraId="1AD4E844" w14:textId="653574E2" w:rsidR="008D31BA" w:rsidRPr="00064304" w:rsidRDefault="008D31BA" w:rsidP="00666E06">
      <w:r w:rsidRPr="00064304">
        <w:t xml:space="preserve">Damage that could cause leaks </w:t>
      </w:r>
      <w:r w:rsidR="00273EFB" w:rsidRPr="00064304">
        <w:t>are generally considered to be a</w:t>
      </w:r>
      <w:r w:rsidRPr="00064304">
        <w:t xml:space="preserve"> repairability issue not a functionality issue</w:t>
      </w:r>
      <w:r w:rsidR="00C97E0E" w:rsidRPr="00064304">
        <w:t xml:space="preserve">. They should </w:t>
      </w:r>
      <w:r w:rsidR="00E60191" w:rsidRPr="00064304">
        <w:t xml:space="preserve">therefore need not impact the functionality requirements of this document. However, where practical, it is </w:t>
      </w:r>
      <w:r w:rsidR="00C97E0E" w:rsidRPr="00064304">
        <w:t>also preferable to minimise post-earthquake repair</w:t>
      </w:r>
      <w:r w:rsidR="004C33A4" w:rsidRPr="00064304">
        <w:t xml:space="preserve"> and associated disruption</w:t>
      </w:r>
      <w:r w:rsidR="00C97E0E" w:rsidRPr="00064304">
        <w:t>.</w:t>
      </w:r>
    </w:p>
    <w:p w14:paraId="54B6B1EC" w14:textId="219E9A25" w:rsidR="008D31BA" w:rsidRPr="00064304" w:rsidRDefault="008D31BA" w:rsidP="00666E06">
      <w:r w:rsidRPr="00064304">
        <w:t>In general, it is expe</w:t>
      </w:r>
      <w:r w:rsidR="002B7B8B" w:rsidRPr="00064304">
        <w:t>ct</w:t>
      </w:r>
      <w:r w:rsidRPr="00064304">
        <w:t>ed that a project will need to decide between the following two approaches to façade design:</w:t>
      </w:r>
    </w:p>
    <w:p w14:paraId="17702742" w14:textId="2D63D13C" w:rsidR="008D31BA" w:rsidRPr="00064304" w:rsidRDefault="008D31BA" w:rsidP="004D55F1">
      <w:pPr>
        <w:pStyle w:val="ListBullet"/>
        <w:numPr>
          <w:ilvl w:val="0"/>
          <w:numId w:val="78"/>
        </w:numPr>
      </w:pPr>
      <w:r w:rsidRPr="00064304">
        <w:t>Limit structural drifts to levels that will result in acceptable levels of damage to facades including glazing</w:t>
      </w:r>
      <w:r w:rsidR="00A43953">
        <w:t xml:space="preserve">. </w:t>
      </w:r>
      <w:r w:rsidRPr="00064304">
        <w:t>This typically results in simpler, cheaper external cladding and cladding detailing, and more expensive primary structure</w:t>
      </w:r>
      <w:r w:rsidR="00A43953">
        <w:t xml:space="preserve">. </w:t>
      </w:r>
    </w:p>
    <w:p w14:paraId="449EC872" w14:textId="73B5F25E" w:rsidR="008D31BA" w:rsidRPr="00064304" w:rsidRDefault="008D31BA" w:rsidP="004D55F1">
      <w:pPr>
        <w:pStyle w:val="ListBullet"/>
        <w:numPr>
          <w:ilvl w:val="0"/>
          <w:numId w:val="78"/>
        </w:numPr>
      </w:pPr>
      <w:r w:rsidRPr="00064304">
        <w:t>Specifically design the external cladding structure so that it can accommodate displacement incompatibility issues without significant damage, while being subjects to higher drifts</w:t>
      </w:r>
      <w:r w:rsidR="00A43953">
        <w:t xml:space="preserve">. </w:t>
      </w:r>
      <w:r w:rsidRPr="00064304">
        <w:t>This typically results in a more complex external cladding structure, and less expensive primary structure.</w:t>
      </w:r>
    </w:p>
    <w:p w14:paraId="1A7CA378" w14:textId="661BEA2B" w:rsidR="008D31BA" w:rsidRDefault="008D31BA" w:rsidP="00666E06">
      <w:r w:rsidRPr="00064304">
        <w:t>The appropriate decision will vary by project but should take account of all aspects of the building that are sensitive to drift including, but not limited to, partition walls and services within risers.</w:t>
      </w:r>
    </w:p>
    <w:p w14:paraId="2A09716E" w14:textId="77777777" w:rsidR="00DE2F88" w:rsidRPr="00064304" w:rsidRDefault="00DE2F88" w:rsidP="004B258E">
      <w:pPr>
        <w:pStyle w:val="Section3heading2"/>
      </w:pPr>
      <w:bookmarkStart w:id="347" w:name="_Ref152820707"/>
      <w:bookmarkStart w:id="348" w:name="_Toc203642002"/>
      <w:r w:rsidRPr="00064304">
        <w:t>Lightweight Partition Walls</w:t>
      </w:r>
      <w:bookmarkEnd w:id="347"/>
      <w:bookmarkEnd w:id="348"/>
    </w:p>
    <w:p w14:paraId="2038E899" w14:textId="77777777" w:rsidR="00092F95" w:rsidRPr="00064304" w:rsidRDefault="00092F95" w:rsidP="004B258E">
      <w:pPr>
        <w:pStyle w:val="Section3heading3"/>
      </w:pPr>
      <w:bookmarkStart w:id="349" w:name="_Ref152824537"/>
      <w:r w:rsidRPr="00064304">
        <w:t>Description and Performance Requirements</w:t>
      </w:r>
      <w:bookmarkEnd w:id="349"/>
    </w:p>
    <w:p w14:paraId="7699727F" w14:textId="5B162AFA" w:rsidR="00AF562E" w:rsidRPr="00064304" w:rsidRDefault="00AF562E" w:rsidP="00666E06">
      <w:r w:rsidRPr="00064304">
        <w:t xml:space="preserve">Partitions are one of the more complex interfaces on a project. They should be a key focus of the Non-Structural Element </w:t>
      </w:r>
      <w:r w:rsidR="00CA7B10" w:rsidRPr="00064304">
        <w:t xml:space="preserve">Seismic </w:t>
      </w:r>
      <w:r w:rsidRPr="00064304">
        <w:t>Design Strategy</w:t>
      </w:r>
      <w:r w:rsidR="000A6B9D" w:rsidRPr="00064304">
        <w:t xml:space="preserve"> and the NSE Seismic Designer role (refer Section </w:t>
      </w:r>
      <w:r w:rsidR="000A6B9D" w:rsidRPr="00064304">
        <w:fldChar w:fldCharType="begin"/>
      </w:r>
      <w:r w:rsidR="000A6B9D" w:rsidRPr="00064304">
        <w:instrText xml:space="preserve"> REF _Ref153540085 \r \h </w:instrText>
      </w:r>
      <w:r w:rsidR="00064304">
        <w:instrText xml:space="preserve"> \* MERGEFORMAT </w:instrText>
      </w:r>
      <w:r w:rsidR="000A6B9D" w:rsidRPr="00064304">
        <w:fldChar w:fldCharType="separate"/>
      </w:r>
      <w:r w:rsidR="000761C1">
        <w:t>C4.2.1</w:t>
      </w:r>
      <w:r w:rsidR="000A6B9D" w:rsidRPr="00064304">
        <w:fldChar w:fldCharType="end"/>
      </w:r>
      <w:r w:rsidR="000A6B9D" w:rsidRPr="00064304">
        <w:t>)</w:t>
      </w:r>
      <w:r w:rsidRPr="00064304">
        <w:t>.</w:t>
      </w:r>
      <w:r w:rsidR="00EB1917" w:rsidRPr="00064304">
        <w:t xml:space="preserve"> </w:t>
      </w:r>
      <w:r w:rsidRPr="00064304">
        <w:t xml:space="preserve">This guidance is written with typical </w:t>
      </w:r>
      <w:r w:rsidR="009211D7" w:rsidRPr="00064304">
        <w:t>plasterboard</w:t>
      </w:r>
      <w:r w:rsidRPr="00064304">
        <w:t xml:space="preserve"> lined partitions in mind. Designers may be able to infer to other forms of partition wall.</w:t>
      </w:r>
    </w:p>
    <w:p w14:paraId="3BAA7D84" w14:textId="77777777" w:rsidR="00720918" w:rsidRPr="00064304" w:rsidRDefault="00720918" w:rsidP="00666E06">
      <w:r w:rsidRPr="00064304">
        <w:t>Partitions are defined in the following categories for the seismic performance requirements:</w:t>
      </w:r>
    </w:p>
    <w:p w14:paraId="169DF6DD" w14:textId="6F2379B7" w:rsidR="00720918" w:rsidRPr="00064304" w:rsidRDefault="00720918" w:rsidP="004D55F1">
      <w:pPr>
        <w:pStyle w:val="ListParagraph"/>
        <w:numPr>
          <w:ilvl w:val="0"/>
          <w:numId w:val="51"/>
        </w:numPr>
      </w:pPr>
      <w:r w:rsidRPr="00064304">
        <w:t>General partitions</w:t>
      </w:r>
    </w:p>
    <w:p w14:paraId="451441D2" w14:textId="77777777" w:rsidR="00720918" w:rsidRPr="00064304" w:rsidRDefault="00720918" w:rsidP="004D55F1">
      <w:pPr>
        <w:pStyle w:val="ListParagraph"/>
        <w:numPr>
          <w:ilvl w:val="0"/>
          <w:numId w:val="51"/>
        </w:numPr>
      </w:pPr>
      <w:r w:rsidRPr="00064304">
        <w:t>Fire or smoke separations</w:t>
      </w:r>
    </w:p>
    <w:p w14:paraId="7072A685" w14:textId="6F4BF0FA" w:rsidR="00F354A2" w:rsidRPr="00064304" w:rsidRDefault="00720918" w:rsidP="004D55F1">
      <w:pPr>
        <w:pStyle w:val="ListParagraph"/>
        <w:numPr>
          <w:ilvl w:val="0"/>
          <w:numId w:val="51"/>
        </w:numPr>
      </w:pPr>
      <w:r w:rsidRPr="00064304">
        <w:t xml:space="preserve">Partitions requiring air tightness for clinical isolation or biocontainment reasons </w:t>
      </w:r>
    </w:p>
    <w:p w14:paraId="7BCACBAF" w14:textId="55712043" w:rsidR="006A5B21" w:rsidRDefault="006A5B21" w:rsidP="00666E06">
      <w:r>
        <w:t xml:space="preserve">The requirements for partitions can also generally be applied to ceiling bulkheads. </w:t>
      </w:r>
    </w:p>
    <w:p w14:paraId="77CA74BC" w14:textId="30A10DA3" w:rsidR="00AF562E" w:rsidRDefault="00AF562E" w:rsidP="00666E06">
      <w:r w:rsidRPr="00064304">
        <w:t xml:space="preserve">It is expected that the following </w:t>
      </w:r>
      <w:r w:rsidR="00F354A2" w:rsidRPr="00064304">
        <w:t xml:space="preserve">parties </w:t>
      </w:r>
      <w:r w:rsidRPr="00064304">
        <w:t>will be involved in the development of the strategy</w:t>
      </w:r>
      <w:r w:rsidR="000615DF" w:rsidRPr="00064304">
        <w:t xml:space="preserve"> and resolution of</w:t>
      </w:r>
      <w:r w:rsidR="00720918" w:rsidRPr="00064304">
        <w:t xml:space="preserve"> potentially</w:t>
      </w:r>
      <w:r w:rsidR="000615DF" w:rsidRPr="00064304">
        <w:t xml:space="preserve"> conflicting</w:t>
      </w:r>
      <w:r w:rsidR="00720918" w:rsidRPr="00064304">
        <w:t xml:space="preserve"> requirements</w:t>
      </w:r>
      <w:r w:rsidRPr="00064304">
        <w:t>:</w:t>
      </w:r>
    </w:p>
    <w:p w14:paraId="4EA862D0" w14:textId="77777777" w:rsidR="000355E2" w:rsidRPr="00064304" w:rsidRDefault="000355E2" w:rsidP="00666E06"/>
    <w:p w14:paraId="2CED4137" w14:textId="77777777" w:rsidR="00AF562E" w:rsidRPr="00064304" w:rsidRDefault="00AF562E" w:rsidP="004D55F1">
      <w:pPr>
        <w:pStyle w:val="ListParagraph"/>
        <w:numPr>
          <w:ilvl w:val="0"/>
          <w:numId w:val="22"/>
        </w:numPr>
      </w:pPr>
      <w:r w:rsidRPr="00064304">
        <w:lastRenderedPageBreak/>
        <w:t xml:space="preserve">Architect (Responsible for design of partitions) </w:t>
      </w:r>
    </w:p>
    <w:p w14:paraId="24EBAAA2" w14:textId="02D572DE" w:rsidR="00AF562E" w:rsidRPr="00064304" w:rsidRDefault="00AF562E" w:rsidP="004D55F1">
      <w:pPr>
        <w:pStyle w:val="ListParagraph"/>
        <w:numPr>
          <w:ilvl w:val="0"/>
          <w:numId w:val="22"/>
        </w:numPr>
      </w:pPr>
      <w:r w:rsidRPr="00064304">
        <w:t xml:space="preserve">NSE </w:t>
      </w:r>
      <w:r w:rsidR="00712CB5" w:rsidRPr="00064304">
        <w:t xml:space="preserve">Seismic </w:t>
      </w:r>
      <w:r w:rsidRPr="00064304">
        <w:t>Designer (Seismic design of partitions and their restraint. Overall coordination of partition seismic performance)</w:t>
      </w:r>
    </w:p>
    <w:p w14:paraId="7FFDBF8C" w14:textId="77777777" w:rsidR="00AF562E" w:rsidRPr="00064304" w:rsidRDefault="00AF562E" w:rsidP="004D55F1">
      <w:pPr>
        <w:pStyle w:val="ListParagraph"/>
        <w:numPr>
          <w:ilvl w:val="0"/>
          <w:numId w:val="22"/>
        </w:numPr>
      </w:pPr>
      <w:r w:rsidRPr="00064304">
        <w:t>Structural engineer (Building drifts and interface with structure)</w:t>
      </w:r>
    </w:p>
    <w:p w14:paraId="44AA4EA0" w14:textId="77777777" w:rsidR="00AF562E" w:rsidRPr="00064304" w:rsidRDefault="00AF562E" w:rsidP="004D55F1">
      <w:pPr>
        <w:pStyle w:val="ListParagraph"/>
        <w:numPr>
          <w:ilvl w:val="0"/>
          <w:numId w:val="22"/>
        </w:numPr>
      </w:pPr>
      <w:r w:rsidRPr="00064304">
        <w:t>Service engineer (Interface with services penetrating partitions)</w:t>
      </w:r>
    </w:p>
    <w:p w14:paraId="54973833" w14:textId="77777777" w:rsidR="00AF562E" w:rsidRPr="00064304" w:rsidRDefault="00AF562E" w:rsidP="004D55F1">
      <w:pPr>
        <w:pStyle w:val="ListParagraph"/>
        <w:numPr>
          <w:ilvl w:val="0"/>
          <w:numId w:val="22"/>
        </w:numPr>
      </w:pPr>
      <w:r w:rsidRPr="00064304">
        <w:t>Fire engineer (Responsible for fire performance of partition)</w:t>
      </w:r>
    </w:p>
    <w:p w14:paraId="4853E1D5" w14:textId="77777777" w:rsidR="00AF562E" w:rsidRPr="00064304" w:rsidRDefault="00AF562E" w:rsidP="004D55F1">
      <w:pPr>
        <w:pStyle w:val="ListParagraph"/>
        <w:numPr>
          <w:ilvl w:val="0"/>
          <w:numId w:val="22"/>
        </w:numPr>
      </w:pPr>
      <w:r w:rsidRPr="00064304">
        <w:t>Acoustic Engineer (Responsible for acoustic requirements at penetrations)</w:t>
      </w:r>
    </w:p>
    <w:p w14:paraId="18FD2068" w14:textId="3230ABAC" w:rsidR="00665502" w:rsidRPr="00064304" w:rsidRDefault="00AF562E" w:rsidP="004D55F1">
      <w:pPr>
        <w:pStyle w:val="ListParagraph"/>
        <w:numPr>
          <w:ilvl w:val="0"/>
          <w:numId w:val="22"/>
        </w:numPr>
      </w:pPr>
      <w:r w:rsidRPr="00064304">
        <w:t>Ceiling designer (interface with ceiling</w:t>
      </w:r>
      <w:r w:rsidR="00A43953">
        <w:t xml:space="preserve">. </w:t>
      </w:r>
      <w:r w:rsidRPr="00064304">
        <w:t>Ceiling type and coordination often by the architect).</w:t>
      </w:r>
    </w:p>
    <w:p w14:paraId="72C7F5BF" w14:textId="77777777" w:rsidR="002F4825" w:rsidRDefault="006571F7" w:rsidP="00666E06">
      <w:r w:rsidRPr="00064304">
        <w:t xml:space="preserve">Refer to the </w:t>
      </w:r>
      <w:r w:rsidR="00CB0D8E" w:rsidRPr="00064304">
        <w:t>BIP NSE CoP</w:t>
      </w:r>
      <w:r w:rsidR="00BD3A54" w:rsidRPr="00064304">
        <w:t xml:space="preserve"> for further detail on </w:t>
      </w:r>
      <w:r w:rsidR="007915D4" w:rsidRPr="00064304">
        <w:t>design team member responsibilities.</w:t>
      </w:r>
    </w:p>
    <w:p w14:paraId="70E3C27A" w14:textId="7C5E48A3" w:rsidR="00AF562E" w:rsidRPr="004B258E" w:rsidRDefault="00AF562E" w:rsidP="00D56CAE">
      <w:pPr>
        <w:pStyle w:val="BodyHeading"/>
        <w:rPr>
          <w:color w:val="003399"/>
        </w:rPr>
      </w:pPr>
      <w:r w:rsidRPr="004B258E">
        <w:rPr>
          <w:color w:val="003399"/>
        </w:rPr>
        <w:t>Partition Movements</w:t>
      </w:r>
    </w:p>
    <w:p w14:paraId="1E97F5D3" w14:textId="19F8CB0F" w:rsidR="00AF562E" w:rsidRPr="004B258E" w:rsidRDefault="00441212" w:rsidP="00666E06">
      <w:pPr>
        <w:pStyle w:val="EmphasisHeading"/>
        <w:rPr>
          <w:color w:val="003399"/>
        </w:rPr>
      </w:pPr>
      <w:r w:rsidRPr="004B258E">
        <w:rPr>
          <w:color w:val="003399"/>
        </w:rPr>
        <w:t xml:space="preserve">Descriptions of </w:t>
      </w:r>
      <w:r w:rsidR="00AF562E" w:rsidRPr="004B258E">
        <w:rPr>
          <w:color w:val="003399"/>
        </w:rPr>
        <w:t>Partition Movements</w:t>
      </w:r>
    </w:p>
    <w:p w14:paraId="46BE5A05" w14:textId="56C0300C" w:rsidR="00AF562E" w:rsidRPr="00064304" w:rsidRDefault="00AF562E" w:rsidP="00666E06">
      <w:r w:rsidRPr="00064304">
        <w:t xml:space="preserve">In general, partition </w:t>
      </w:r>
      <w:r w:rsidR="00312E73" w:rsidRPr="00064304">
        <w:t xml:space="preserve">lateral </w:t>
      </w:r>
      <w:r w:rsidRPr="00064304">
        <w:t>movements can be described in three ways:</w:t>
      </w:r>
    </w:p>
    <w:tbl>
      <w:tblPr>
        <w:tblStyle w:val="TableGrid"/>
        <w:tblW w:w="0" w:type="auto"/>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A0" w:firstRow="1" w:lastRow="0" w:firstColumn="1" w:lastColumn="0" w:noHBand="0" w:noVBand="1"/>
      </w:tblPr>
      <w:tblGrid>
        <w:gridCol w:w="3194"/>
        <w:gridCol w:w="3322"/>
        <w:gridCol w:w="3112"/>
      </w:tblGrid>
      <w:tr w:rsidR="0014495D" w14:paraId="6395D996" w14:textId="77777777" w:rsidTr="00016482">
        <w:tc>
          <w:tcPr>
            <w:tcW w:w="3194" w:type="dxa"/>
            <w:tcBorders>
              <w:right w:val="single" w:sz="4" w:space="0" w:color="FFFFFF" w:themeColor="accent6"/>
            </w:tcBorders>
            <w:shd w:val="clear" w:color="auto" w:fill="15284C" w:themeFill="text1"/>
          </w:tcPr>
          <w:p w14:paraId="0F905EC4" w14:textId="77777777" w:rsidR="00AF562E" w:rsidRPr="00806992" w:rsidRDefault="00AF562E" w:rsidP="00666E06">
            <w:r w:rsidRPr="00806992">
              <w:t>Out of Plane (Leaning)</w:t>
            </w:r>
          </w:p>
        </w:tc>
        <w:tc>
          <w:tcPr>
            <w:tcW w:w="3322" w:type="dxa"/>
            <w:tcBorders>
              <w:left w:val="single" w:sz="4" w:space="0" w:color="FFFFFF" w:themeColor="accent6"/>
              <w:right w:val="single" w:sz="4" w:space="0" w:color="FFFFFF" w:themeColor="accent6"/>
            </w:tcBorders>
            <w:shd w:val="clear" w:color="auto" w:fill="15284C" w:themeFill="text1"/>
          </w:tcPr>
          <w:p w14:paraId="30903CBA" w14:textId="77777777" w:rsidR="00AF562E" w:rsidRPr="00806992" w:rsidRDefault="00AF562E" w:rsidP="00666E06">
            <w:r w:rsidRPr="00806992">
              <w:t>Racking (in plane)</w:t>
            </w:r>
          </w:p>
        </w:tc>
        <w:tc>
          <w:tcPr>
            <w:tcW w:w="3112" w:type="dxa"/>
            <w:tcBorders>
              <w:left w:val="single" w:sz="4" w:space="0" w:color="FFFFFF" w:themeColor="accent6"/>
            </w:tcBorders>
            <w:shd w:val="clear" w:color="auto" w:fill="15284C" w:themeFill="text1"/>
          </w:tcPr>
          <w:p w14:paraId="287675E7" w14:textId="77777777" w:rsidR="00AF562E" w:rsidRPr="00806992" w:rsidRDefault="00AF562E" w:rsidP="00666E06">
            <w:r w:rsidRPr="00806992">
              <w:t>Sliding (in plane)</w:t>
            </w:r>
          </w:p>
        </w:tc>
      </w:tr>
      <w:tr w:rsidR="0014495D" w14:paraId="28BC7995" w14:textId="77777777" w:rsidTr="00016482">
        <w:tc>
          <w:tcPr>
            <w:tcW w:w="3194" w:type="dxa"/>
          </w:tcPr>
          <w:p w14:paraId="06C931F4" w14:textId="6C53A2D1" w:rsidR="00AF562E" w:rsidRDefault="00DD14D5" w:rsidP="00666E06">
            <w:r>
              <w:rPr>
                <w:noProof/>
              </w:rPr>
              <w:drawing>
                <wp:inline distT="0" distB="0" distL="0" distR="0" wp14:anchorId="51539932" wp14:editId="4186EDC2">
                  <wp:extent cx="1583266" cy="178711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7654" t="2214" r="10071"/>
                          <a:stretch/>
                        </pic:blipFill>
                        <pic:spPr bwMode="auto">
                          <a:xfrm>
                            <a:off x="0" y="0"/>
                            <a:ext cx="1609429" cy="18166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2" w:type="dxa"/>
          </w:tcPr>
          <w:p w14:paraId="6F8E04AD" w14:textId="18487E66" w:rsidR="00AF562E" w:rsidRDefault="00BD2C1F" w:rsidP="00666E06">
            <w:r>
              <w:rPr>
                <w:noProof/>
              </w:rPr>
              <w:drawing>
                <wp:inline distT="0" distB="0" distL="0" distR="0" wp14:anchorId="007460AA" wp14:editId="3AD802E4">
                  <wp:extent cx="1705073" cy="17047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1956" r="4857"/>
                          <a:stretch/>
                        </pic:blipFill>
                        <pic:spPr bwMode="auto">
                          <a:xfrm>
                            <a:off x="0" y="0"/>
                            <a:ext cx="1710321" cy="17099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2" w:type="dxa"/>
          </w:tcPr>
          <w:p w14:paraId="3656530A" w14:textId="18617F12" w:rsidR="00AF562E" w:rsidRPr="004A6ACE" w:rsidRDefault="0014495D" w:rsidP="00666E06">
            <w:pPr>
              <w:rPr>
                <w:color w:val="FF0000"/>
              </w:rPr>
            </w:pPr>
            <w:r>
              <w:rPr>
                <w:noProof/>
              </w:rPr>
              <w:drawing>
                <wp:inline distT="0" distB="0" distL="0" distR="0" wp14:anchorId="32DB0D51" wp14:editId="1E250666">
                  <wp:extent cx="1488537" cy="17571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3177" r="8861"/>
                          <a:stretch/>
                        </pic:blipFill>
                        <pic:spPr bwMode="auto">
                          <a:xfrm>
                            <a:off x="0" y="0"/>
                            <a:ext cx="1499488" cy="17700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43DAEF" w14:textId="77777777" w:rsidR="00794B6C" w:rsidRDefault="00794B6C" w:rsidP="00666E06">
      <w:pPr>
        <w:pStyle w:val="EmphasisHeading"/>
      </w:pPr>
    </w:p>
    <w:p w14:paraId="6190FF86" w14:textId="2AA945A9" w:rsidR="00AF562E" w:rsidRPr="004B258E" w:rsidRDefault="00AF562E" w:rsidP="00666E06">
      <w:pPr>
        <w:pStyle w:val="EmphasisHeading"/>
        <w:rPr>
          <w:color w:val="003399"/>
        </w:rPr>
      </w:pPr>
      <w:r w:rsidRPr="004B258E">
        <w:rPr>
          <w:color w:val="003399"/>
        </w:rPr>
        <w:t>Displacement Incompatibility</w:t>
      </w:r>
    </w:p>
    <w:p w14:paraId="12A7B2F1" w14:textId="529D2C38" w:rsidR="00AF562E" w:rsidRPr="00064304" w:rsidRDefault="00273492" w:rsidP="00666E06">
      <w:r w:rsidRPr="00064304">
        <w:t>Partition movements involve many interfaces, and t</w:t>
      </w:r>
      <w:r w:rsidR="00AF562E" w:rsidRPr="00064304">
        <w:t xml:space="preserve">here </w:t>
      </w:r>
      <w:r w:rsidRPr="00064304">
        <w:t>can be</w:t>
      </w:r>
      <w:r w:rsidR="00AF562E" w:rsidRPr="00064304">
        <w:t xml:space="preserve"> multiple potential displacement incompatibility locations. The two most common are shown below:</w:t>
      </w:r>
    </w:p>
    <w:tbl>
      <w:tblPr>
        <w:tblStyle w:val="TableGrid"/>
        <w:tblW w:w="0" w:type="auto"/>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A0" w:firstRow="1" w:lastRow="0" w:firstColumn="1" w:lastColumn="0" w:noHBand="0" w:noVBand="1"/>
      </w:tblPr>
      <w:tblGrid>
        <w:gridCol w:w="5098"/>
        <w:gridCol w:w="4530"/>
      </w:tblGrid>
      <w:tr w:rsidR="0025476C" w14:paraId="08B5B5A3" w14:textId="77777777" w:rsidTr="00016482">
        <w:tc>
          <w:tcPr>
            <w:tcW w:w="5098" w:type="dxa"/>
            <w:tcBorders>
              <w:right w:val="single" w:sz="4" w:space="0" w:color="FFFFFF" w:themeColor="accent6"/>
            </w:tcBorders>
            <w:shd w:val="clear" w:color="auto" w:fill="15284C" w:themeFill="text1"/>
          </w:tcPr>
          <w:p w14:paraId="4688734F" w14:textId="77777777" w:rsidR="00AF562E" w:rsidRPr="00806992" w:rsidRDefault="00AF562E" w:rsidP="00666E06">
            <w:r w:rsidRPr="00806992">
              <w:t>Partition to Partition incompatibility</w:t>
            </w:r>
          </w:p>
        </w:tc>
        <w:tc>
          <w:tcPr>
            <w:tcW w:w="4530" w:type="dxa"/>
            <w:tcBorders>
              <w:left w:val="single" w:sz="4" w:space="0" w:color="FFFFFF" w:themeColor="accent6"/>
            </w:tcBorders>
            <w:shd w:val="clear" w:color="auto" w:fill="15284C" w:themeFill="text1"/>
          </w:tcPr>
          <w:p w14:paraId="7BBC7A88" w14:textId="77777777" w:rsidR="00AF562E" w:rsidRPr="00806992" w:rsidRDefault="00AF562E" w:rsidP="00666E06">
            <w:r w:rsidRPr="00806992">
              <w:t>Partition to Service/Ceiling incompatibility</w:t>
            </w:r>
          </w:p>
        </w:tc>
      </w:tr>
      <w:tr w:rsidR="00AF562E" w14:paraId="72FF0C6D" w14:textId="77777777" w:rsidTr="00016482">
        <w:tc>
          <w:tcPr>
            <w:tcW w:w="5098" w:type="dxa"/>
          </w:tcPr>
          <w:p w14:paraId="3E05D601" w14:textId="6957C41D" w:rsidR="00AF562E" w:rsidRDefault="00CD5644" w:rsidP="00666E06">
            <w:r>
              <w:rPr>
                <w:noProof/>
              </w:rPr>
              <w:drawing>
                <wp:inline distT="0" distB="0" distL="0" distR="0" wp14:anchorId="2DA4AA09" wp14:editId="124E79BB">
                  <wp:extent cx="2645229" cy="2274436"/>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3599" cy="2298829"/>
                          </a:xfrm>
                          <a:prstGeom prst="rect">
                            <a:avLst/>
                          </a:prstGeom>
                          <a:noFill/>
                          <a:ln>
                            <a:noFill/>
                          </a:ln>
                        </pic:spPr>
                      </pic:pic>
                    </a:graphicData>
                  </a:graphic>
                </wp:inline>
              </w:drawing>
            </w:r>
          </w:p>
        </w:tc>
        <w:tc>
          <w:tcPr>
            <w:tcW w:w="4530" w:type="dxa"/>
          </w:tcPr>
          <w:p w14:paraId="102CE0BA" w14:textId="77777777" w:rsidR="00AF562E" w:rsidRDefault="0025476C" w:rsidP="00666E06">
            <w:pPr>
              <w:rPr>
                <w:color w:val="FF0000"/>
              </w:rPr>
            </w:pPr>
            <w:r>
              <w:rPr>
                <w:noProof/>
              </w:rPr>
              <w:drawing>
                <wp:inline distT="0" distB="0" distL="0" distR="0" wp14:anchorId="3DDB6933" wp14:editId="0C0D72C0">
                  <wp:extent cx="2240807" cy="229044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6">
                            <a:extLst>
                              <a:ext uri="{28A0092B-C50C-407E-A947-70E740481C1C}">
                                <a14:useLocalDpi xmlns:a14="http://schemas.microsoft.com/office/drawing/2010/main" val="0"/>
                              </a:ext>
                            </a:extLst>
                          </a:blip>
                          <a:srcRect l="8744" t="4249" r="12294" b="4211"/>
                          <a:stretch/>
                        </pic:blipFill>
                        <pic:spPr bwMode="auto">
                          <a:xfrm>
                            <a:off x="0" y="0"/>
                            <a:ext cx="2250761" cy="2300620"/>
                          </a:xfrm>
                          <a:prstGeom prst="rect">
                            <a:avLst/>
                          </a:prstGeom>
                          <a:noFill/>
                          <a:ln>
                            <a:noFill/>
                          </a:ln>
                          <a:extLst>
                            <a:ext uri="{53640926-AAD7-44D8-BBD7-CCE9431645EC}">
                              <a14:shadowObscured xmlns:a14="http://schemas.microsoft.com/office/drawing/2010/main"/>
                            </a:ext>
                          </a:extLst>
                        </pic:spPr>
                      </pic:pic>
                    </a:graphicData>
                  </a:graphic>
                </wp:inline>
              </w:drawing>
            </w:r>
          </w:p>
          <w:p w14:paraId="0538E6E8" w14:textId="037620F9" w:rsidR="00282F86" w:rsidRPr="003A4B9E" w:rsidRDefault="00282F86" w:rsidP="00666E06"/>
        </w:tc>
      </w:tr>
    </w:tbl>
    <w:p w14:paraId="3D8C9523" w14:textId="636C197E" w:rsidR="00AF562E" w:rsidRPr="004B258E" w:rsidRDefault="00AF562E" w:rsidP="00D56CAE">
      <w:pPr>
        <w:pStyle w:val="BodyHeading"/>
        <w:rPr>
          <w:color w:val="003399"/>
        </w:rPr>
      </w:pPr>
      <w:r w:rsidRPr="004B258E">
        <w:rPr>
          <w:color w:val="003399"/>
        </w:rPr>
        <w:lastRenderedPageBreak/>
        <w:t>Partition Movement Strategies</w:t>
      </w:r>
    </w:p>
    <w:p w14:paraId="55422AB8" w14:textId="585259DC" w:rsidR="00AF562E" w:rsidRDefault="00AF562E" w:rsidP="00666E06">
      <w:r w:rsidRPr="00064304">
        <w:t>There are three common approaches for partition strategies. Each approach has positives and negatives that should be evaluated on a project specific basis. The approach that offers the best overall outcomes for the project should be selected.</w:t>
      </w:r>
    </w:p>
    <w:p w14:paraId="18341242" w14:textId="499CF95E" w:rsidR="00CE0E57" w:rsidRPr="00064304" w:rsidRDefault="00CE0E57" w:rsidP="00666E06">
      <w:r w:rsidRPr="00064304">
        <w:t>“Box type” construction is sometimes used for stand-alone rooms. In this situation the ceiling forms an integrated box with the walls. This makes the wall and ceiling interfaces fairly simple but does result in more complex movement between the ‘box’ and the rest of the building.</w:t>
      </w:r>
    </w:p>
    <w:p w14:paraId="6157CF20" w14:textId="7D334DCD" w:rsidR="000E6333" w:rsidRPr="00210CB4" w:rsidRDefault="000E6333" w:rsidP="007B713F">
      <w:pPr>
        <w:pStyle w:val="Figure"/>
        <w:keepNext/>
        <w:rPr>
          <w:sz w:val="20"/>
          <w:szCs w:val="20"/>
        </w:rPr>
      </w:pPr>
      <w:bookmarkStart w:id="350" w:name="_Ref182817180"/>
      <w:r w:rsidRPr="00210CB4">
        <w:rPr>
          <w:sz w:val="20"/>
          <w:szCs w:val="20"/>
        </w:rPr>
        <w:t xml:space="preserve">Table </w:t>
      </w:r>
      <w:r w:rsidR="0062088B" w:rsidRPr="00210CB4">
        <w:rPr>
          <w:sz w:val="20"/>
          <w:szCs w:val="20"/>
        </w:rPr>
        <w:fldChar w:fldCharType="begin"/>
      </w:r>
      <w:r w:rsidR="0062088B" w:rsidRPr="00210CB4">
        <w:rPr>
          <w:sz w:val="20"/>
          <w:szCs w:val="20"/>
        </w:rPr>
        <w:instrText xml:space="preserve"> SEQ Table \* ARABIC </w:instrText>
      </w:r>
      <w:r w:rsidR="0062088B" w:rsidRPr="00210CB4">
        <w:rPr>
          <w:sz w:val="20"/>
          <w:szCs w:val="20"/>
        </w:rPr>
        <w:fldChar w:fldCharType="separate"/>
      </w:r>
      <w:r w:rsidR="000761C1">
        <w:rPr>
          <w:noProof/>
          <w:sz w:val="20"/>
          <w:szCs w:val="20"/>
        </w:rPr>
        <w:t>16</w:t>
      </w:r>
      <w:r w:rsidR="0062088B" w:rsidRPr="00210CB4">
        <w:rPr>
          <w:noProof/>
          <w:sz w:val="20"/>
          <w:szCs w:val="20"/>
        </w:rPr>
        <w:fldChar w:fldCharType="end"/>
      </w:r>
      <w:bookmarkEnd w:id="350"/>
      <w:r w:rsidRPr="00210CB4">
        <w:rPr>
          <w:sz w:val="20"/>
          <w:szCs w:val="20"/>
        </w:rPr>
        <w:t>: Partition movement strategies</w:t>
      </w:r>
    </w:p>
    <w:tbl>
      <w:tblPr>
        <w:tblStyle w:val="TableGrid"/>
        <w:tblW w:w="9966" w:type="dxa"/>
        <w:tblBorders>
          <w:top w:val="single" w:sz="4" w:space="0" w:color="15284C" w:themeColor="text2"/>
          <w:left w:val="none" w:sz="0" w:space="0" w:color="auto"/>
          <w:bottom w:val="single" w:sz="4" w:space="0" w:color="15284C" w:themeColor="text2"/>
          <w:right w:val="none" w:sz="0" w:space="0" w:color="auto"/>
          <w:insideH w:val="single" w:sz="8" w:space="0" w:color="BFBFBF"/>
          <w:insideV w:val="single" w:sz="8" w:space="0" w:color="BFBFBF"/>
        </w:tblBorders>
        <w:tblLayout w:type="fixed"/>
        <w:tblLook w:val="04A0" w:firstRow="1" w:lastRow="0" w:firstColumn="1" w:lastColumn="0" w:noHBand="0" w:noVBand="1"/>
      </w:tblPr>
      <w:tblGrid>
        <w:gridCol w:w="1560"/>
        <w:gridCol w:w="2551"/>
        <w:gridCol w:w="2977"/>
        <w:gridCol w:w="2878"/>
      </w:tblGrid>
      <w:tr w:rsidR="007F64F5" w:rsidRPr="00210CB4" w14:paraId="1B5BC5FE" w14:textId="77777777" w:rsidTr="00CF445A">
        <w:trPr>
          <w:cantSplit/>
          <w:tblHeader/>
        </w:trPr>
        <w:tc>
          <w:tcPr>
            <w:tcW w:w="1560" w:type="dxa"/>
            <w:tcBorders>
              <w:top w:val="single" w:sz="12" w:space="0" w:color="003399" w:themeColor="accent2"/>
              <w:bottom w:val="single" w:sz="12" w:space="0" w:color="003399" w:themeColor="accent2"/>
            </w:tcBorders>
            <w:shd w:val="clear" w:color="auto" w:fill="F6F4EC"/>
          </w:tcPr>
          <w:p w14:paraId="666DA7DD" w14:textId="77777777" w:rsidR="00AF562E" w:rsidRPr="00210CB4" w:rsidRDefault="00AF562E" w:rsidP="00210CB4">
            <w:pPr>
              <w:spacing w:before="120"/>
              <w:rPr>
                <w:rFonts w:cs="Arial"/>
                <w:b/>
                <w:bCs/>
                <w:sz w:val="20"/>
                <w:szCs w:val="20"/>
              </w:rPr>
            </w:pPr>
            <w:r w:rsidRPr="00210CB4">
              <w:rPr>
                <w:rFonts w:cs="Arial"/>
                <w:b/>
                <w:bCs/>
                <w:sz w:val="20"/>
                <w:szCs w:val="20"/>
              </w:rPr>
              <w:t>Aspect</w:t>
            </w:r>
          </w:p>
        </w:tc>
        <w:tc>
          <w:tcPr>
            <w:tcW w:w="2551" w:type="dxa"/>
            <w:tcBorders>
              <w:top w:val="single" w:sz="12" w:space="0" w:color="003399" w:themeColor="accent2"/>
              <w:bottom w:val="single" w:sz="12" w:space="0" w:color="003399" w:themeColor="accent2"/>
            </w:tcBorders>
            <w:shd w:val="clear" w:color="auto" w:fill="F6F4EC"/>
          </w:tcPr>
          <w:p w14:paraId="17CDAD04" w14:textId="77777777" w:rsidR="00AF562E" w:rsidRPr="00210CB4" w:rsidRDefault="00AF562E" w:rsidP="00210CB4">
            <w:pPr>
              <w:spacing w:before="120"/>
              <w:rPr>
                <w:rFonts w:cs="Arial"/>
                <w:b/>
                <w:bCs/>
                <w:sz w:val="20"/>
                <w:szCs w:val="20"/>
              </w:rPr>
            </w:pPr>
            <w:r w:rsidRPr="00210CB4">
              <w:rPr>
                <w:rFonts w:cs="Arial"/>
                <w:b/>
                <w:bCs/>
                <w:sz w:val="20"/>
                <w:szCs w:val="20"/>
              </w:rPr>
              <w:t>Raking (connected to structure above)</w:t>
            </w:r>
          </w:p>
        </w:tc>
        <w:tc>
          <w:tcPr>
            <w:tcW w:w="2977" w:type="dxa"/>
            <w:tcBorders>
              <w:top w:val="single" w:sz="12" w:space="0" w:color="003399" w:themeColor="accent2"/>
              <w:bottom w:val="single" w:sz="12" w:space="0" w:color="003399" w:themeColor="accent2"/>
            </w:tcBorders>
            <w:shd w:val="clear" w:color="auto" w:fill="F6F4EC"/>
          </w:tcPr>
          <w:p w14:paraId="4873433A" w14:textId="77777777" w:rsidR="00AF562E" w:rsidRPr="00210CB4" w:rsidRDefault="00AF562E" w:rsidP="00210CB4">
            <w:pPr>
              <w:spacing w:before="120"/>
              <w:rPr>
                <w:rFonts w:cs="Arial"/>
                <w:b/>
                <w:bCs/>
                <w:sz w:val="20"/>
                <w:szCs w:val="20"/>
              </w:rPr>
            </w:pPr>
            <w:r w:rsidRPr="00210CB4">
              <w:rPr>
                <w:rFonts w:cs="Arial"/>
                <w:b/>
                <w:bCs/>
                <w:sz w:val="20"/>
                <w:szCs w:val="20"/>
              </w:rPr>
              <w:t>Sliding (just above ceiling level)</w:t>
            </w:r>
          </w:p>
        </w:tc>
        <w:tc>
          <w:tcPr>
            <w:tcW w:w="2878" w:type="dxa"/>
            <w:tcBorders>
              <w:top w:val="single" w:sz="12" w:space="0" w:color="003399" w:themeColor="accent2"/>
              <w:bottom w:val="single" w:sz="12" w:space="0" w:color="003399" w:themeColor="accent2"/>
            </w:tcBorders>
            <w:shd w:val="clear" w:color="auto" w:fill="F6F4EC"/>
          </w:tcPr>
          <w:p w14:paraId="08E6DA92" w14:textId="77777777" w:rsidR="00AF562E" w:rsidRPr="00210CB4" w:rsidRDefault="00AF562E" w:rsidP="00210CB4">
            <w:pPr>
              <w:spacing w:before="120"/>
              <w:rPr>
                <w:rFonts w:cs="Arial"/>
                <w:b/>
                <w:bCs/>
                <w:sz w:val="20"/>
                <w:szCs w:val="20"/>
              </w:rPr>
            </w:pPr>
            <w:r w:rsidRPr="00210CB4">
              <w:rPr>
                <w:rFonts w:cs="Arial"/>
                <w:b/>
                <w:bCs/>
                <w:sz w:val="20"/>
                <w:szCs w:val="20"/>
              </w:rPr>
              <w:t>Sliding (at level of structure above)</w:t>
            </w:r>
          </w:p>
        </w:tc>
      </w:tr>
      <w:tr w:rsidR="007F64F5" w:rsidRPr="00210CB4" w14:paraId="5E176A0E" w14:textId="77777777" w:rsidTr="00CF445A">
        <w:tc>
          <w:tcPr>
            <w:tcW w:w="1560" w:type="dxa"/>
            <w:tcBorders>
              <w:top w:val="single" w:sz="12" w:space="0" w:color="003399" w:themeColor="accent2"/>
            </w:tcBorders>
            <w:vAlign w:val="center"/>
          </w:tcPr>
          <w:p w14:paraId="2AC76888" w14:textId="77777777" w:rsidR="00AF562E" w:rsidRPr="00210CB4" w:rsidRDefault="00AF562E" w:rsidP="00210CB4">
            <w:pPr>
              <w:spacing w:before="120"/>
              <w:rPr>
                <w:rFonts w:cs="Arial"/>
                <w:sz w:val="20"/>
                <w:szCs w:val="20"/>
              </w:rPr>
            </w:pPr>
            <w:r w:rsidRPr="00210CB4">
              <w:rPr>
                <w:rFonts w:cs="Arial"/>
                <w:sz w:val="20"/>
                <w:szCs w:val="20"/>
              </w:rPr>
              <w:t>Arrangement</w:t>
            </w:r>
          </w:p>
        </w:tc>
        <w:tc>
          <w:tcPr>
            <w:tcW w:w="2551" w:type="dxa"/>
            <w:tcBorders>
              <w:top w:val="single" w:sz="12" w:space="0" w:color="003399" w:themeColor="accent2"/>
            </w:tcBorders>
            <w:vAlign w:val="center"/>
          </w:tcPr>
          <w:p w14:paraId="3F01F948" w14:textId="21EE3E6C" w:rsidR="00AF562E" w:rsidRPr="00210CB4" w:rsidRDefault="007E126D" w:rsidP="00210CB4">
            <w:pPr>
              <w:spacing w:before="120"/>
              <w:rPr>
                <w:rFonts w:cs="Arial"/>
                <w:sz w:val="20"/>
                <w:szCs w:val="20"/>
              </w:rPr>
            </w:pPr>
            <w:r w:rsidRPr="00210CB4">
              <w:rPr>
                <w:rFonts w:cs="Arial"/>
                <w:noProof/>
                <w:sz w:val="20"/>
                <w:szCs w:val="20"/>
              </w:rPr>
              <w:drawing>
                <wp:inline distT="0" distB="0" distL="0" distR="0" wp14:anchorId="6E03E361" wp14:editId="4B825B2C">
                  <wp:extent cx="1460315" cy="1262743"/>
                  <wp:effectExtent l="0" t="0" r="6985" b="0"/>
                  <wp:docPr id="179610752" name="Picture 17961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655" t="10597" r="6916" b="2826"/>
                          <a:stretch/>
                        </pic:blipFill>
                        <pic:spPr bwMode="auto">
                          <a:xfrm>
                            <a:off x="0" y="0"/>
                            <a:ext cx="1484110" cy="12833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Borders>
              <w:top w:val="single" w:sz="12" w:space="0" w:color="003399" w:themeColor="accent2"/>
            </w:tcBorders>
            <w:vAlign w:val="center"/>
          </w:tcPr>
          <w:p w14:paraId="49C50AC2" w14:textId="11678290" w:rsidR="00AF562E" w:rsidRPr="00210CB4" w:rsidRDefault="00DE27C7" w:rsidP="00210CB4">
            <w:pPr>
              <w:spacing w:before="120"/>
              <w:rPr>
                <w:rFonts w:cs="Arial"/>
                <w:sz w:val="20"/>
                <w:szCs w:val="20"/>
              </w:rPr>
            </w:pPr>
            <w:r w:rsidRPr="00210CB4">
              <w:rPr>
                <w:rFonts w:cs="Arial"/>
                <w:noProof/>
                <w:sz w:val="20"/>
                <w:szCs w:val="20"/>
              </w:rPr>
              <w:drawing>
                <wp:inline distT="0" distB="0" distL="0" distR="0" wp14:anchorId="27BB6B12" wp14:editId="4718ECF7">
                  <wp:extent cx="1593273" cy="1156855"/>
                  <wp:effectExtent l="0" t="0" r="6985" b="5715"/>
                  <wp:docPr id="179610753" name="Picture 17961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8">
                            <a:extLst>
                              <a:ext uri="{28A0092B-C50C-407E-A947-70E740481C1C}">
                                <a14:useLocalDpi xmlns:a14="http://schemas.microsoft.com/office/drawing/2010/main" val="0"/>
                              </a:ext>
                            </a:extLst>
                          </a:blip>
                          <a:srcRect l="4809" t="10228" r="2982" b="4324"/>
                          <a:stretch/>
                        </pic:blipFill>
                        <pic:spPr bwMode="auto">
                          <a:xfrm>
                            <a:off x="0" y="0"/>
                            <a:ext cx="1599967" cy="1161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8" w:type="dxa"/>
            <w:tcBorders>
              <w:top w:val="single" w:sz="12" w:space="0" w:color="003399" w:themeColor="accent2"/>
            </w:tcBorders>
            <w:vAlign w:val="center"/>
          </w:tcPr>
          <w:p w14:paraId="0E07D8DE" w14:textId="7E82FB9F" w:rsidR="00AF562E" w:rsidRPr="00210CB4" w:rsidRDefault="007F64F5" w:rsidP="00210CB4">
            <w:pPr>
              <w:spacing w:before="120"/>
              <w:rPr>
                <w:rFonts w:cs="Arial"/>
                <w:color w:val="FF0000"/>
                <w:sz w:val="20"/>
                <w:szCs w:val="20"/>
              </w:rPr>
            </w:pPr>
            <w:r w:rsidRPr="00210CB4">
              <w:rPr>
                <w:rFonts w:cs="Arial"/>
                <w:noProof/>
                <w:sz w:val="20"/>
                <w:szCs w:val="20"/>
              </w:rPr>
              <w:drawing>
                <wp:inline distT="0" distB="0" distL="0" distR="0" wp14:anchorId="54805443" wp14:editId="7EF5E4EA">
                  <wp:extent cx="1714182" cy="1225346"/>
                  <wp:effectExtent l="0" t="0" r="635" b="0"/>
                  <wp:docPr id="179610754" name="Picture 17961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9">
                            <a:extLst>
                              <a:ext uri="{28A0092B-C50C-407E-A947-70E740481C1C}">
                                <a14:useLocalDpi xmlns:a14="http://schemas.microsoft.com/office/drawing/2010/main" val="0"/>
                              </a:ext>
                            </a:extLst>
                          </a:blip>
                          <a:srcRect l="3942" t="7521" r="9623" b="13910"/>
                          <a:stretch/>
                        </pic:blipFill>
                        <pic:spPr bwMode="auto">
                          <a:xfrm>
                            <a:off x="0" y="0"/>
                            <a:ext cx="1726256" cy="12339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64F5" w:rsidRPr="00210CB4" w14:paraId="071E92EE" w14:textId="77777777" w:rsidTr="00CF445A">
        <w:tc>
          <w:tcPr>
            <w:tcW w:w="1560" w:type="dxa"/>
            <w:vAlign w:val="center"/>
          </w:tcPr>
          <w:p w14:paraId="434C77C6" w14:textId="77777777" w:rsidR="00AF562E" w:rsidRPr="00210CB4" w:rsidRDefault="00AF562E" w:rsidP="00210CB4">
            <w:pPr>
              <w:spacing w:before="120"/>
              <w:rPr>
                <w:rFonts w:cs="Arial"/>
                <w:sz w:val="20"/>
                <w:szCs w:val="20"/>
              </w:rPr>
            </w:pPr>
            <w:r w:rsidRPr="00210CB4">
              <w:rPr>
                <w:rFonts w:cs="Arial"/>
                <w:sz w:val="20"/>
                <w:szCs w:val="20"/>
              </w:rPr>
              <w:t>Implication for structure</w:t>
            </w:r>
          </w:p>
        </w:tc>
        <w:tc>
          <w:tcPr>
            <w:tcW w:w="2551" w:type="dxa"/>
            <w:vAlign w:val="center"/>
          </w:tcPr>
          <w:p w14:paraId="679BB4DA"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0B248238" wp14:editId="12A44FE0">
                  <wp:extent cx="337457" cy="337457"/>
                  <wp:effectExtent l="0" t="0" r="0" b="5715"/>
                  <wp:docPr id="1985244611" name="Graphic 198524461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5B760BCD" w14:textId="77777777" w:rsidR="00AF562E" w:rsidRPr="00210CB4" w:rsidRDefault="00AF562E" w:rsidP="00210CB4">
            <w:pPr>
              <w:spacing w:before="120"/>
              <w:rPr>
                <w:rFonts w:cs="Arial"/>
                <w:sz w:val="20"/>
                <w:szCs w:val="20"/>
              </w:rPr>
            </w:pPr>
            <w:r w:rsidRPr="00210CB4">
              <w:rPr>
                <w:rFonts w:cs="Arial"/>
                <w:sz w:val="20"/>
                <w:szCs w:val="20"/>
              </w:rPr>
              <w:t>Requires very stiff structure.</w:t>
            </w:r>
          </w:p>
        </w:tc>
        <w:tc>
          <w:tcPr>
            <w:tcW w:w="2977" w:type="dxa"/>
            <w:vAlign w:val="center"/>
          </w:tcPr>
          <w:p w14:paraId="5AAF93EF"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4498FA53" wp14:editId="3BC8139A">
                  <wp:extent cx="326572" cy="326572"/>
                  <wp:effectExtent l="0" t="0" r="0" b="0"/>
                  <wp:docPr id="1985244614" name="Graphic 1985244614"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1CCB1736" w14:textId="77777777" w:rsidR="00AF562E" w:rsidRPr="00210CB4" w:rsidRDefault="00AF562E" w:rsidP="00210CB4">
            <w:pPr>
              <w:spacing w:before="120"/>
              <w:rPr>
                <w:rFonts w:cs="Arial"/>
                <w:sz w:val="20"/>
                <w:szCs w:val="20"/>
              </w:rPr>
            </w:pPr>
            <w:r w:rsidRPr="00210CB4">
              <w:rPr>
                <w:rFonts w:cs="Arial"/>
                <w:sz w:val="20"/>
                <w:szCs w:val="20"/>
              </w:rPr>
              <w:t>Can accommodate flexible structure.</w:t>
            </w:r>
          </w:p>
        </w:tc>
        <w:tc>
          <w:tcPr>
            <w:tcW w:w="2878" w:type="dxa"/>
            <w:vAlign w:val="center"/>
          </w:tcPr>
          <w:p w14:paraId="36462EDC"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05A4BF6F" wp14:editId="1C50B98D">
                  <wp:extent cx="326572" cy="326572"/>
                  <wp:effectExtent l="0" t="0" r="0" b="0"/>
                  <wp:docPr id="1985244615" name="Graphic 19852446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3D808943" w14:textId="77777777" w:rsidR="00AF562E" w:rsidRPr="00210CB4" w:rsidRDefault="00AF562E" w:rsidP="00210CB4">
            <w:pPr>
              <w:spacing w:before="120"/>
              <w:rPr>
                <w:rFonts w:cs="Arial"/>
                <w:sz w:val="20"/>
                <w:szCs w:val="20"/>
              </w:rPr>
            </w:pPr>
            <w:r w:rsidRPr="00210CB4">
              <w:rPr>
                <w:rFonts w:cs="Arial"/>
                <w:sz w:val="20"/>
                <w:szCs w:val="20"/>
              </w:rPr>
              <w:t>Can accommodate flexible structure.</w:t>
            </w:r>
          </w:p>
        </w:tc>
      </w:tr>
      <w:tr w:rsidR="007F64F5" w:rsidRPr="00210CB4" w14:paraId="66496066" w14:textId="77777777" w:rsidTr="00CF445A">
        <w:tc>
          <w:tcPr>
            <w:tcW w:w="1560" w:type="dxa"/>
            <w:vAlign w:val="center"/>
          </w:tcPr>
          <w:p w14:paraId="3AF761CB" w14:textId="77777777" w:rsidR="00AF562E" w:rsidRPr="00210CB4" w:rsidRDefault="00AF562E" w:rsidP="00210CB4">
            <w:pPr>
              <w:spacing w:before="120"/>
              <w:rPr>
                <w:rFonts w:cs="Arial"/>
                <w:sz w:val="20"/>
                <w:szCs w:val="20"/>
              </w:rPr>
            </w:pPr>
            <w:r w:rsidRPr="00210CB4">
              <w:rPr>
                <w:rFonts w:cs="Arial"/>
                <w:sz w:val="20"/>
                <w:szCs w:val="20"/>
              </w:rPr>
              <w:t>Ceiling interface</w:t>
            </w:r>
          </w:p>
        </w:tc>
        <w:tc>
          <w:tcPr>
            <w:tcW w:w="2551" w:type="dxa"/>
            <w:vAlign w:val="center"/>
          </w:tcPr>
          <w:p w14:paraId="3F6F7E77" w14:textId="77777777" w:rsidR="00AF562E" w:rsidRPr="00210CB4" w:rsidRDefault="00AF562E" w:rsidP="00210CB4">
            <w:pPr>
              <w:spacing w:before="120"/>
              <w:rPr>
                <w:rFonts w:cs="Arial"/>
                <w:sz w:val="20"/>
                <w:szCs w:val="20"/>
              </w:rPr>
            </w:pPr>
            <w:r w:rsidRPr="00210CB4">
              <w:rPr>
                <w:rFonts w:cs="Arial"/>
                <w:sz w:val="20"/>
                <w:szCs w:val="20"/>
              </w:rPr>
              <w:t>–</w:t>
            </w:r>
          </w:p>
          <w:p w14:paraId="33536D47" w14:textId="77777777" w:rsidR="00AF562E" w:rsidRPr="00210CB4" w:rsidRDefault="00AF562E" w:rsidP="00210CB4">
            <w:pPr>
              <w:spacing w:before="120"/>
              <w:rPr>
                <w:rFonts w:cs="Arial"/>
                <w:sz w:val="20"/>
                <w:szCs w:val="20"/>
              </w:rPr>
            </w:pPr>
            <w:r w:rsidRPr="00210CB4">
              <w:rPr>
                <w:rFonts w:cs="Arial"/>
                <w:sz w:val="20"/>
                <w:szCs w:val="20"/>
              </w:rPr>
              <w:t>Moderate ceiling to partition movements.</w:t>
            </w:r>
          </w:p>
        </w:tc>
        <w:tc>
          <w:tcPr>
            <w:tcW w:w="2977" w:type="dxa"/>
            <w:vAlign w:val="center"/>
          </w:tcPr>
          <w:p w14:paraId="229412AA"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5FEB20DA" wp14:editId="5A5821BC">
                  <wp:extent cx="326572" cy="326572"/>
                  <wp:effectExtent l="0" t="0" r="0" b="0"/>
                  <wp:docPr id="1985244616" name="Graphic 1985244616"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259CBD61" w14:textId="77777777" w:rsidR="00AF562E" w:rsidRPr="00210CB4" w:rsidRDefault="00AF562E" w:rsidP="00210CB4">
            <w:pPr>
              <w:spacing w:before="120"/>
              <w:rPr>
                <w:rFonts w:cs="Arial"/>
                <w:sz w:val="20"/>
                <w:szCs w:val="20"/>
              </w:rPr>
            </w:pPr>
            <w:r w:rsidRPr="00210CB4">
              <w:rPr>
                <w:rFonts w:cs="Arial"/>
                <w:sz w:val="20"/>
                <w:szCs w:val="20"/>
              </w:rPr>
              <w:t>Low ceiling to partition movements</w:t>
            </w:r>
          </w:p>
        </w:tc>
        <w:tc>
          <w:tcPr>
            <w:tcW w:w="2878" w:type="dxa"/>
            <w:vAlign w:val="center"/>
          </w:tcPr>
          <w:p w14:paraId="0919FFDE"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021321A3" wp14:editId="32FE12C1">
                  <wp:extent cx="337457" cy="337457"/>
                  <wp:effectExtent l="0" t="0" r="0" b="5715"/>
                  <wp:docPr id="1985244617" name="Graphic 1985244617"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4579A204" w14:textId="77777777" w:rsidR="00AF562E" w:rsidRPr="00210CB4" w:rsidRDefault="00AF562E" w:rsidP="00210CB4">
            <w:pPr>
              <w:spacing w:before="120"/>
              <w:rPr>
                <w:rFonts w:cs="Arial"/>
                <w:sz w:val="20"/>
                <w:szCs w:val="20"/>
              </w:rPr>
            </w:pPr>
            <w:r w:rsidRPr="00210CB4">
              <w:rPr>
                <w:rFonts w:cs="Arial"/>
                <w:sz w:val="20"/>
                <w:szCs w:val="20"/>
              </w:rPr>
              <w:t>High ceiling to partition movement.</w:t>
            </w:r>
          </w:p>
        </w:tc>
      </w:tr>
      <w:tr w:rsidR="007F64F5" w:rsidRPr="00210CB4" w14:paraId="53F78F0A" w14:textId="77777777" w:rsidTr="00CF445A">
        <w:tc>
          <w:tcPr>
            <w:tcW w:w="1560" w:type="dxa"/>
            <w:vAlign w:val="center"/>
          </w:tcPr>
          <w:p w14:paraId="280406F1" w14:textId="77777777" w:rsidR="00AF562E" w:rsidRPr="00210CB4" w:rsidRDefault="00AF562E" w:rsidP="00210CB4">
            <w:pPr>
              <w:spacing w:before="120"/>
              <w:rPr>
                <w:rFonts w:cs="Arial"/>
                <w:sz w:val="20"/>
                <w:szCs w:val="20"/>
              </w:rPr>
            </w:pPr>
            <w:r w:rsidRPr="00210CB4">
              <w:rPr>
                <w:rFonts w:cs="Arial"/>
                <w:sz w:val="20"/>
                <w:szCs w:val="20"/>
              </w:rPr>
              <w:t>Horizontal services interface</w:t>
            </w:r>
          </w:p>
        </w:tc>
        <w:tc>
          <w:tcPr>
            <w:tcW w:w="2551" w:type="dxa"/>
            <w:vAlign w:val="center"/>
          </w:tcPr>
          <w:p w14:paraId="3D8B15E1"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582233DB" wp14:editId="332C3CD0">
                  <wp:extent cx="206828" cy="206828"/>
                  <wp:effectExtent l="0" t="0" r="3175" b="3175"/>
                  <wp:docPr id="1985244618" name="Graphic 1985244618"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11107" cy="211107"/>
                          </a:xfrm>
                          <a:prstGeom prst="rect">
                            <a:avLst/>
                          </a:prstGeom>
                        </pic:spPr>
                      </pic:pic>
                    </a:graphicData>
                  </a:graphic>
                </wp:inline>
              </w:drawing>
            </w:r>
          </w:p>
          <w:p w14:paraId="1BD339C6" w14:textId="77777777" w:rsidR="00AF562E" w:rsidRPr="00210CB4" w:rsidRDefault="00AF562E" w:rsidP="00210CB4">
            <w:pPr>
              <w:spacing w:before="120"/>
              <w:rPr>
                <w:rFonts w:cs="Arial"/>
                <w:sz w:val="20"/>
                <w:szCs w:val="20"/>
              </w:rPr>
            </w:pPr>
            <w:r w:rsidRPr="00210CB4">
              <w:rPr>
                <w:rFonts w:cs="Arial"/>
                <w:sz w:val="20"/>
                <w:szCs w:val="20"/>
              </w:rPr>
              <w:t>(Relatively) low partition to services differential movement</w:t>
            </w:r>
          </w:p>
        </w:tc>
        <w:tc>
          <w:tcPr>
            <w:tcW w:w="2977" w:type="dxa"/>
            <w:vAlign w:val="center"/>
          </w:tcPr>
          <w:p w14:paraId="115C1D06"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4325D2C0" wp14:editId="1D12EBC4">
                  <wp:extent cx="326572" cy="326572"/>
                  <wp:effectExtent l="0" t="0" r="0" b="0"/>
                  <wp:docPr id="1985244619" name="Graphic 1985244619"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15D23C95" w14:textId="77777777" w:rsidR="00AF562E" w:rsidRPr="00210CB4" w:rsidRDefault="00AF562E" w:rsidP="00210CB4">
            <w:pPr>
              <w:spacing w:before="120"/>
              <w:rPr>
                <w:rFonts w:cs="Arial"/>
                <w:sz w:val="20"/>
                <w:szCs w:val="20"/>
              </w:rPr>
            </w:pPr>
            <w:r w:rsidRPr="00210CB4">
              <w:rPr>
                <w:rFonts w:cs="Arial"/>
                <w:sz w:val="20"/>
                <w:szCs w:val="20"/>
              </w:rPr>
              <w:t>Low partition to services differential movement</w:t>
            </w:r>
          </w:p>
        </w:tc>
        <w:tc>
          <w:tcPr>
            <w:tcW w:w="2878" w:type="dxa"/>
            <w:vAlign w:val="center"/>
          </w:tcPr>
          <w:p w14:paraId="3D6AEBF5"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79EB73C6" wp14:editId="58C56E43">
                  <wp:extent cx="337457" cy="337457"/>
                  <wp:effectExtent l="0" t="0" r="0" b="5715"/>
                  <wp:docPr id="1985244620" name="Graphic 1985244620"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49EAE8F3" w14:textId="77777777" w:rsidR="00AF562E" w:rsidRPr="00210CB4" w:rsidRDefault="00AF562E" w:rsidP="00210CB4">
            <w:pPr>
              <w:spacing w:before="120"/>
              <w:rPr>
                <w:rFonts w:cs="Arial"/>
                <w:sz w:val="20"/>
                <w:szCs w:val="20"/>
              </w:rPr>
            </w:pPr>
            <w:r w:rsidRPr="00210CB4">
              <w:rPr>
                <w:rFonts w:cs="Arial"/>
                <w:sz w:val="20"/>
                <w:szCs w:val="20"/>
              </w:rPr>
              <w:t>High partition to services differential movement</w:t>
            </w:r>
          </w:p>
        </w:tc>
      </w:tr>
      <w:tr w:rsidR="007F64F5" w:rsidRPr="00210CB4" w14:paraId="62DDC717" w14:textId="77777777" w:rsidTr="00CF445A">
        <w:tc>
          <w:tcPr>
            <w:tcW w:w="1560" w:type="dxa"/>
            <w:vAlign w:val="center"/>
          </w:tcPr>
          <w:p w14:paraId="5B374786" w14:textId="77777777" w:rsidR="00AF562E" w:rsidRPr="00210CB4" w:rsidRDefault="00AF562E" w:rsidP="00210CB4">
            <w:pPr>
              <w:spacing w:before="120"/>
              <w:rPr>
                <w:rFonts w:cs="Arial"/>
                <w:sz w:val="20"/>
                <w:szCs w:val="20"/>
              </w:rPr>
            </w:pPr>
            <w:r w:rsidRPr="00210CB4">
              <w:rPr>
                <w:rFonts w:cs="Arial"/>
                <w:sz w:val="20"/>
                <w:szCs w:val="20"/>
              </w:rPr>
              <w:t>Vertical services interface</w:t>
            </w:r>
          </w:p>
        </w:tc>
        <w:tc>
          <w:tcPr>
            <w:tcW w:w="2551" w:type="dxa"/>
            <w:vAlign w:val="center"/>
          </w:tcPr>
          <w:p w14:paraId="72BFD829" w14:textId="77777777" w:rsidR="00AF562E" w:rsidRPr="00210CB4" w:rsidRDefault="00AF562E" w:rsidP="00210CB4">
            <w:pPr>
              <w:spacing w:before="120"/>
              <w:rPr>
                <w:rFonts w:cs="Arial"/>
                <w:noProof/>
                <w:sz w:val="20"/>
                <w:szCs w:val="20"/>
              </w:rPr>
            </w:pPr>
            <w:r w:rsidRPr="00210CB4">
              <w:rPr>
                <w:rFonts w:cs="Arial"/>
                <w:noProof/>
                <w:sz w:val="20"/>
                <w:szCs w:val="20"/>
              </w:rPr>
              <w:t>NA</w:t>
            </w:r>
          </w:p>
        </w:tc>
        <w:tc>
          <w:tcPr>
            <w:tcW w:w="2977" w:type="dxa"/>
            <w:vAlign w:val="center"/>
          </w:tcPr>
          <w:p w14:paraId="44D4A018"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2923D995" wp14:editId="5F5EE96A">
                  <wp:extent cx="337457" cy="337457"/>
                  <wp:effectExtent l="0" t="0" r="0" b="5715"/>
                  <wp:docPr id="985799666" name="Graphic 985799666"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2C0E94A8" w14:textId="24F552C6" w:rsidR="00AF562E" w:rsidRPr="00210CB4" w:rsidRDefault="00AF562E" w:rsidP="00210CB4">
            <w:pPr>
              <w:spacing w:before="120"/>
              <w:rPr>
                <w:rFonts w:cs="Arial"/>
                <w:noProof/>
                <w:sz w:val="20"/>
                <w:szCs w:val="20"/>
              </w:rPr>
            </w:pPr>
            <w:r w:rsidRPr="00210CB4">
              <w:rPr>
                <w:rFonts w:cs="Arial"/>
                <w:sz w:val="20"/>
                <w:szCs w:val="20"/>
              </w:rPr>
              <w:t xml:space="preserve">High differential movement for </w:t>
            </w:r>
            <w:r w:rsidR="009E51BD" w:rsidRPr="00210CB4">
              <w:rPr>
                <w:rFonts w:cs="Arial"/>
                <w:sz w:val="20"/>
                <w:szCs w:val="20"/>
              </w:rPr>
              <w:t xml:space="preserve">vertical </w:t>
            </w:r>
            <w:r w:rsidRPr="00210CB4">
              <w:rPr>
                <w:rFonts w:cs="Arial"/>
                <w:sz w:val="20"/>
                <w:szCs w:val="20"/>
              </w:rPr>
              <w:t>services cross</w:t>
            </w:r>
            <w:r w:rsidR="009E51BD" w:rsidRPr="00210CB4">
              <w:rPr>
                <w:rFonts w:cs="Arial"/>
                <w:sz w:val="20"/>
                <w:szCs w:val="20"/>
              </w:rPr>
              <w:t>ing</w:t>
            </w:r>
            <w:r w:rsidRPr="00210CB4">
              <w:rPr>
                <w:rFonts w:cs="Arial"/>
                <w:sz w:val="20"/>
                <w:szCs w:val="20"/>
              </w:rPr>
              <w:t xml:space="preserve"> the slip plane</w:t>
            </w:r>
          </w:p>
        </w:tc>
        <w:tc>
          <w:tcPr>
            <w:tcW w:w="2878" w:type="dxa"/>
            <w:vAlign w:val="center"/>
          </w:tcPr>
          <w:p w14:paraId="4669C600" w14:textId="77777777" w:rsidR="00AF562E" w:rsidRPr="00210CB4" w:rsidRDefault="00AF562E" w:rsidP="00210CB4">
            <w:pPr>
              <w:spacing w:before="120"/>
              <w:rPr>
                <w:rFonts w:cs="Arial"/>
                <w:noProof/>
                <w:sz w:val="20"/>
                <w:szCs w:val="20"/>
              </w:rPr>
            </w:pPr>
            <w:r w:rsidRPr="00210CB4">
              <w:rPr>
                <w:rFonts w:cs="Arial"/>
                <w:sz w:val="20"/>
                <w:szCs w:val="20"/>
              </w:rPr>
              <w:t>NA</w:t>
            </w:r>
          </w:p>
        </w:tc>
      </w:tr>
      <w:tr w:rsidR="007F64F5" w:rsidRPr="00210CB4" w14:paraId="13A72392" w14:textId="77777777" w:rsidTr="00CF445A">
        <w:tc>
          <w:tcPr>
            <w:tcW w:w="1560" w:type="dxa"/>
            <w:vAlign w:val="center"/>
          </w:tcPr>
          <w:p w14:paraId="712B9611" w14:textId="77777777" w:rsidR="00AF562E" w:rsidRPr="00210CB4" w:rsidRDefault="00AF562E" w:rsidP="00210CB4">
            <w:pPr>
              <w:spacing w:before="120"/>
              <w:rPr>
                <w:rFonts w:cs="Arial"/>
                <w:sz w:val="20"/>
                <w:szCs w:val="20"/>
              </w:rPr>
            </w:pPr>
            <w:r w:rsidRPr="00210CB4">
              <w:rPr>
                <w:rFonts w:cs="Arial"/>
                <w:sz w:val="20"/>
                <w:szCs w:val="20"/>
              </w:rPr>
              <w:t>Fire Stopping implications</w:t>
            </w:r>
          </w:p>
        </w:tc>
        <w:tc>
          <w:tcPr>
            <w:tcW w:w="2551" w:type="dxa"/>
            <w:vAlign w:val="center"/>
          </w:tcPr>
          <w:p w14:paraId="30290CC7"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572D81DD" wp14:editId="07DBECE1">
                  <wp:extent cx="206828" cy="206828"/>
                  <wp:effectExtent l="0" t="0" r="3175" b="3175"/>
                  <wp:docPr id="1985244625" name="Graphic 198524462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11107" cy="211107"/>
                          </a:xfrm>
                          <a:prstGeom prst="rect">
                            <a:avLst/>
                          </a:prstGeom>
                        </pic:spPr>
                      </pic:pic>
                    </a:graphicData>
                  </a:graphic>
                </wp:inline>
              </w:drawing>
            </w:r>
          </w:p>
          <w:p w14:paraId="31DBF8D9" w14:textId="77777777" w:rsidR="00AF562E" w:rsidRPr="00210CB4" w:rsidRDefault="00AF562E" w:rsidP="00210CB4">
            <w:pPr>
              <w:spacing w:before="120"/>
              <w:rPr>
                <w:rFonts w:cs="Arial"/>
                <w:noProof/>
                <w:sz w:val="20"/>
                <w:szCs w:val="20"/>
              </w:rPr>
            </w:pPr>
            <w:r w:rsidRPr="00210CB4">
              <w:rPr>
                <w:rFonts w:cs="Arial"/>
                <w:sz w:val="20"/>
                <w:szCs w:val="20"/>
              </w:rPr>
              <w:t>(Relatively) simple fire stropping</w:t>
            </w:r>
          </w:p>
        </w:tc>
        <w:tc>
          <w:tcPr>
            <w:tcW w:w="2977" w:type="dxa"/>
            <w:vAlign w:val="center"/>
          </w:tcPr>
          <w:p w14:paraId="5EE66C68"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1B1B354E" wp14:editId="7DD8A256">
                  <wp:extent cx="326572" cy="326572"/>
                  <wp:effectExtent l="0" t="0" r="0" b="0"/>
                  <wp:docPr id="1985244626" name="Graphic 1985244626"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48D9A7E0" w14:textId="77777777" w:rsidR="00AF562E" w:rsidRPr="00210CB4" w:rsidRDefault="00AF562E" w:rsidP="00210CB4">
            <w:pPr>
              <w:spacing w:before="120"/>
              <w:rPr>
                <w:rFonts w:cs="Arial"/>
                <w:noProof/>
                <w:sz w:val="20"/>
                <w:szCs w:val="20"/>
              </w:rPr>
            </w:pPr>
            <w:r w:rsidRPr="00210CB4">
              <w:rPr>
                <w:rFonts w:cs="Arial"/>
                <w:sz w:val="20"/>
                <w:szCs w:val="20"/>
              </w:rPr>
              <w:t>Simple fire stopping</w:t>
            </w:r>
          </w:p>
        </w:tc>
        <w:tc>
          <w:tcPr>
            <w:tcW w:w="2878" w:type="dxa"/>
            <w:vAlign w:val="center"/>
          </w:tcPr>
          <w:p w14:paraId="610A0AE6"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7AD8B580" wp14:editId="66B7DDDE">
                  <wp:extent cx="337457" cy="337457"/>
                  <wp:effectExtent l="0" t="0" r="0" b="5715"/>
                  <wp:docPr id="1985244627" name="Graphic 1985244627"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5951012E" w14:textId="77777777" w:rsidR="00AF562E" w:rsidRPr="00210CB4" w:rsidRDefault="00AF562E" w:rsidP="00210CB4">
            <w:pPr>
              <w:spacing w:before="120"/>
              <w:rPr>
                <w:rFonts w:cs="Arial"/>
                <w:noProof/>
                <w:sz w:val="20"/>
                <w:szCs w:val="20"/>
              </w:rPr>
            </w:pPr>
            <w:r w:rsidRPr="00210CB4">
              <w:rPr>
                <w:rFonts w:cs="Arial"/>
                <w:sz w:val="20"/>
                <w:szCs w:val="20"/>
              </w:rPr>
              <w:t>Complex fire stopping</w:t>
            </w:r>
          </w:p>
        </w:tc>
      </w:tr>
      <w:tr w:rsidR="007F64F5" w:rsidRPr="00210CB4" w14:paraId="25D3BCF3" w14:textId="77777777" w:rsidTr="00CF445A">
        <w:tc>
          <w:tcPr>
            <w:tcW w:w="1560" w:type="dxa"/>
            <w:vAlign w:val="center"/>
          </w:tcPr>
          <w:p w14:paraId="0E0C540F" w14:textId="77777777" w:rsidR="00AF562E" w:rsidRPr="00210CB4" w:rsidRDefault="00AF562E" w:rsidP="00210CB4">
            <w:pPr>
              <w:spacing w:before="120"/>
              <w:rPr>
                <w:rFonts w:cs="Arial"/>
                <w:sz w:val="20"/>
                <w:szCs w:val="20"/>
              </w:rPr>
            </w:pPr>
            <w:r w:rsidRPr="00210CB4">
              <w:rPr>
                <w:rFonts w:cs="Arial"/>
                <w:sz w:val="20"/>
                <w:szCs w:val="20"/>
              </w:rPr>
              <w:t>Partition head detailing</w:t>
            </w:r>
          </w:p>
        </w:tc>
        <w:tc>
          <w:tcPr>
            <w:tcW w:w="2551" w:type="dxa"/>
            <w:vAlign w:val="center"/>
          </w:tcPr>
          <w:p w14:paraId="0A0189E3"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36C77CEB" wp14:editId="1E101319">
                  <wp:extent cx="326572" cy="326572"/>
                  <wp:effectExtent l="0" t="0" r="0" b="0"/>
                  <wp:docPr id="1985244630" name="Graphic 198524463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7813730C" w14:textId="77777777" w:rsidR="00AF562E" w:rsidRPr="00210CB4" w:rsidRDefault="00AF562E" w:rsidP="00210CB4">
            <w:pPr>
              <w:spacing w:before="120"/>
              <w:rPr>
                <w:rFonts w:cs="Arial"/>
                <w:sz w:val="20"/>
                <w:szCs w:val="20"/>
              </w:rPr>
            </w:pPr>
            <w:r w:rsidRPr="00210CB4">
              <w:rPr>
                <w:rFonts w:cs="Arial"/>
                <w:sz w:val="20"/>
                <w:szCs w:val="20"/>
              </w:rPr>
              <w:t>Simple partition head detailing</w:t>
            </w:r>
          </w:p>
        </w:tc>
        <w:tc>
          <w:tcPr>
            <w:tcW w:w="2977" w:type="dxa"/>
            <w:vAlign w:val="center"/>
          </w:tcPr>
          <w:p w14:paraId="1D318C4C"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69B963BF" wp14:editId="08348309">
                  <wp:extent cx="337457" cy="337457"/>
                  <wp:effectExtent l="0" t="0" r="0" b="5715"/>
                  <wp:docPr id="1985244629" name="Graphic 1985244629"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10DFF9AF" w14:textId="77777777" w:rsidR="00AF562E" w:rsidRPr="00210CB4" w:rsidRDefault="00AF562E" w:rsidP="00210CB4">
            <w:pPr>
              <w:spacing w:before="120"/>
              <w:rPr>
                <w:rFonts w:cs="Arial"/>
                <w:sz w:val="20"/>
                <w:szCs w:val="20"/>
              </w:rPr>
            </w:pPr>
            <w:r w:rsidRPr="00210CB4">
              <w:rPr>
                <w:rFonts w:cs="Arial"/>
                <w:sz w:val="20"/>
                <w:szCs w:val="20"/>
              </w:rPr>
              <w:t>Complex partition head detailing</w:t>
            </w:r>
          </w:p>
        </w:tc>
        <w:tc>
          <w:tcPr>
            <w:tcW w:w="2878" w:type="dxa"/>
            <w:vAlign w:val="center"/>
          </w:tcPr>
          <w:p w14:paraId="7B7A5948"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6193B248" wp14:editId="7A2B4EF7">
                  <wp:extent cx="337457" cy="337457"/>
                  <wp:effectExtent l="0" t="0" r="0" b="5715"/>
                  <wp:docPr id="1985244628" name="Graphic 1985244628"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1FC00D87" w14:textId="77777777" w:rsidR="00AF562E" w:rsidRPr="00210CB4" w:rsidRDefault="00AF562E" w:rsidP="00210CB4">
            <w:pPr>
              <w:spacing w:before="120"/>
              <w:rPr>
                <w:rFonts w:cs="Arial"/>
                <w:sz w:val="20"/>
                <w:szCs w:val="20"/>
              </w:rPr>
            </w:pPr>
            <w:r w:rsidRPr="00210CB4">
              <w:rPr>
                <w:rFonts w:cs="Arial"/>
                <w:sz w:val="20"/>
                <w:szCs w:val="20"/>
              </w:rPr>
              <w:t>Complex partition head detailing</w:t>
            </w:r>
          </w:p>
        </w:tc>
      </w:tr>
      <w:tr w:rsidR="007F64F5" w:rsidRPr="00210CB4" w14:paraId="60D16173" w14:textId="77777777" w:rsidTr="00CF445A">
        <w:tc>
          <w:tcPr>
            <w:tcW w:w="1560" w:type="dxa"/>
            <w:vAlign w:val="center"/>
          </w:tcPr>
          <w:p w14:paraId="47048600" w14:textId="77777777" w:rsidR="00AF562E" w:rsidRPr="00210CB4" w:rsidRDefault="00AF562E" w:rsidP="00210CB4">
            <w:pPr>
              <w:spacing w:before="120"/>
              <w:rPr>
                <w:rFonts w:cs="Arial"/>
                <w:sz w:val="20"/>
                <w:szCs w:val="20"/>
              </w:rPr>
            </w:pPr>
            <w:r w:rsidRPr="00210CB4">
              <w:rPr>
                <w:rFonts w:cs="Arial"/>
                <w:sz w:val="20"/>
                <w:szCs w:val="20"/>
              </w:rPr>
              <w:lastRenderedPageBreak/>
              <w:t>Acoustic detailing</w:t>
            </w:r>
          </w:p>
        </w:tc>
        <w:tc>
          <w:tcPr>
            <w:tcW w:w="2551" w:type="dxa"/>
            <w:vAlign w:val="center"/>
          </w:tcPr>
          <w:p w14:paraId="13959208"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6A815FA0" wp14:editId="003E6DBF">
                  <wp:extent cx="326572" cy="326572"/>
                  <wp:effectExtent l="0" t="0" r="0" b="0"/>
                  <wp:docPr id="1538643829" name="Graphic 1538643829"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6C100330" w14:textId="7C2C00A7" w:rsidR="00AF562E" w:rsidRPr="00210CB4" w:rsidRDefault="00AF562E" w:rsidP="00210CB4">
            <w:pPr>
              <w:spacing w:before="120"/>
              <w:rPr>
                <w:rFonts w:cs="Arial"/>
                <w:noProof/>
                <w:sz w:val="20"/>
                <w:szCs w:val="20"/>
              </w:rPr>
            </w:pPr>
            <w:r w:rsidRPr="00210CB4">
              <w:rPr>
                <w:rFonts w:cs="Arial"/>
                <w:sz w:val="20"/>
                <w:szCs w:val="20"/>
              </w:rPr>
              <w:t xml:space="preserve">Simple </w:t>
            </w:r>
            <w:r w:rsidR="00173B93" w:rsidRPr="00210CB4">
              <w:rPr>
                <w:rFonts w:cs="Arial"/>
                <w:sz w:val="20"/>
                <w:szCs w:val="20"/>
              </w:rPr>
              <w:t>acoustic</w:t>
            </w:r>
            <w:r w:rsidRPr="00210CB4">
              <w:rPr>
                <w:rFonts w:cs="Arial"/>
                <w:sz w:val="20"/>
                <w:szCs w:val="20"/>
              </w:rPr>
              <w:t xml:space="preserve"> detailing</w:t>
            </w:r>
          </w:p>
        </w:tc>
        <w:tc>
          <w:tcPr>
            <w:tcW w:w="2977" w:type="dxa"/>
            <w:vAlign w:val="center"/>
          </w:tcPr>
          <w:p w14:paraId="3D5730D0"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7604EC16" wp14:editId="35E1EE92">
                  <wp:extent cx="337457" cy="337457"/>
                  <wp:effectExtent l="0" t="0" r="0" b="5715"/>
                  <wp:docPr id="526489682" name="Graphic 52648968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54F87673" w14:textId="6145BF4D" w:rsidR="00AF562E" w:rsidRPr="00210CB4" w:rsidRDefault="00AF562E" w:rsidP="00210CB4">
            <w:pPr>
              <w:spacing w:before="120"/>
              <w:rPr>
                <w:rFonts w:cs="Arial"/>
                <w:noProof/>
                <w:sz w:val="20"/>
                <w:szCs w:val="20"/>
              </w:rPr>
            </w:pPr>
            <w:r w:rsidRPr="00210CB4">
              <w:rPr>
                <w:rFonts w:cs="Arial"/>
                <w:sz w:val="20"/>
                <w:szCs w:val="20"/>
              </w:rPr>
              <w:t xml:space="preserve">Complex </w:t>
            </w:r>
            <w:r w:rsidR="00173B93" w:rsidRPr="00210CB4">
              <w:rPr>
                <w:rFonts w:cs="Arial"/>
                <w:sz w:val="20"/>
                <w:szCs w:val="20"/>
              </w:rPr>
              <w:t xml:space="preserve">acoustic </w:t>
            </w:r>
            <w:r w:rsidRPr="00210CB4">
              <w:rPr>
                <w:rFonts w:cs="Arial"/>
                <w:sz w:val="20"/>
                <w:szCs w:val="20"/>
              </w:rPr>
              <w:t>detailing</w:t>
            </w:r>
          </w:p>
        </w:tc>
        <w:tc>
          <w:tcPr>
            <w:tcW w:w="2878" w:type="dxa"/>
            <w:vAlign w:val="center"/>
          </w:tcPr>
          <w:p w14:paraId="5AE50047" w14:textId="77777777" w:rsidR="00AF562E" w:rsidRPr="00210CB4" w:rsidRDefault="00AF562E" w:rsidP="00210CB4">
            <w:pPr>
              <w:spacing w:before="120"/>
              <w:rPr>
                <w:rFonts w:cs="Arial"/>
                <w:sz w:val="20"/>
                <w:szCs w:val="20"/>
              </w:rPr>
            </w:pPr>
            <w:r w:rsidRPr="00210CB4">
              <w:rPr>
                <w:rFonts w:cs="Arial"/>
                <w:noProof/>
                <w:sz w:val="20"/>
                <w:szCs w:val="20"/>
              </w:rPr>
              <w:drawing>
                <wp:inline distT="0" distB="0" distL="0" distR="0" wp14:anchorId="378A3287" wp14:editId="4BC13691">
                  <wp:extent cx="337457" cy="337457"/>
                  <wp:effectExtent l="0" t="0" r="0" b="5715"/>
                  <wp:docPr id="2069324407" name="Graphic 2069324407"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1E489037" w14:textId="5AB7B754" w:rsidR="00AF562E" w:rsidRPr="00210CB4" w:rsidRDefault="00AF562E" w:rsidP="00210CB4">
            <w:pPr>
              <w:spacing w:before="120"/>
              <w:rPr>
                <w:rFonts w:cs="Arial"/>
                <w:noProof/>
                <w:sz w:val="20"/>
                <w:szCs w:val="20"/>
              </w:rPr>
            </w:pPr>
            <w:r w:rsidRPr="00210CB4">
              <w:rPr>
                <w:rFonts w:cs="Arial"/>
                <w:sz w:val="20"/>
                <w:szCs w:val="20"/>
              </w:rPr>
              <w:t xml:space="preserve">Complex </w:t>
            </w:r>
            <w:r w:rsidR="00173B93" w:rsidRPr="00210CB4">
              <w:rPr>
                <w:rFonts w:cs="Arial"/>
                <w:sz w:val="20"/>
                <w:szCs w:val="20"/>
              </w:rPr>
              <w:t xml:space="preserve">acoustic </w:t>
            </w:r>
            <w:r w:rsidRPr="00210CB4">
              <w:rPr>
                <w:rFonts w:cs="Arial"/>
                <w:sz w:val="20"/>
                <w:szCs w:val="20"/>
              </w:rPr>
              <w:t>detailing</w:t>
            </w:r>
          </w:p>
        </w:tc>
      </w:tr>
      <w:tr w:rsidR="00210677" w:rsidRPr="00210CB4" w14:paraId="6C599E28" w14:textId="77777777" w:rsidTr="00CF445A">
        <w:tc>
          <w:tcPr>
            <w:tcW w:w="1560" w:type="dxa"/>
            <w:tcBorders>
              <w:bottom w:val="single" w:sz="8" w:space="0" w:color="BFBFBF"/>
            </w:tcBorders>
            <w:vAlign w:val="center"/>
          </w:tcPr>
          <w:p w14:paraId="7D9800D6" w14:textId="66D819CB" w:rsidR="00210677" w:rsidRPr="00210CB4" w:rsidRDefault="00006427" w:rsidP="00210CB4">
            <w:pPr>
              <w:spacing w:before="120"/>
              <w:rPr>
                <w:rFonts w:cs="Arial"/>
                <w:sz w:val="20"/>
                <w:szCs w:val="20"/>
              </w:rPr>
            </w:pPr>
            <w:r w:rsidRPr="00210CB4">
              <w:rPr>
                <w:rFonts w:cs="Arial"/>
                <w:sz w:val="20"/>
                <w:szCs w:val="20"/>
              </w:rPr>
              <w:t>Stud size/gauge and centres</w:t>
            </w:r>
          </w:p>
        </w:tc>
        <w:tc>
          <w:tcPr>
            <w:tcW w:w="2551" w:type="dxa"/>
            <w:tcBorders>
              <w:bottom w:val="single" w:sz="8" w:space="0" w:color="BFBFBF"/>
            </w:tcBorders>
            <w:vAlign w:val="center"/>
          </w:tcPr>
          <w:p w14:paraId="197E8037" w14:textId="77777777" w:rsidR="002B4B3E" w:rsidRPr="00210CB4" w:rsidRDefault="002B4B3E" w:rsidP="00210CB4">
            <w:pPr>
              <w:spacing w:before="120"/>
              <w:rPr>
                <w:rFonts w:cs="Arial"/>
                <w:sz w:val="20"/>
                <w:szCs w:val="20"/>
              </w:rPr>
            </w:pPr>
            <w:r w:rsidRPr="00210CB4">
              <w:rPr>
                <w:rFonts w:cs="Arial"/>
                <w:noProof/>
                <w:sz w:val="20"/>
                <w:szCs w:val="20"/>
              </w:rPr>
              <w:drawing>
                <wp:inline distT="0" distB="0" distL="0" distR="0" wp14:anchorId="76A2E38D" wp14:editId="620097AD">
                  <wp:extent cx="337457" cy="337457"/>
                  <wp:effectExtent l="0" t="0" r="0" b="5715"/>
                  <wp:docPr id="1283027303" name="Graphic 1283027303"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4B650954" w14:textId="7DC4598C" w:rsidR="00210677" w:rsidRPr="00210CB4" w:rsidRDefault="00C02E27" w:rsidP="00210CB4">
            <w:pPr>
              <w:spacing w:before="120"/>
              <w:rPr>
                <w:rFonts w:cs="Arial"/>
                <w:noProof/>
                <w:sz w:val="20"/>
                <w:szCs w:val="20"/>
              </w:rPr>
            </w:pPr>
            <w:r w:rsidRPr="00210CB4">
              <w:rPr>
                <w:rFonts w:cs="Arial"/>
                <w:sz w:val="20"/>
                <w:szCs w:val="20"/>
              </w:rPr>
              <w:t>Higher</w:t>
            </w:r>
            <w:r w:rsidR="00DF60DB" w:rsidRPr="00210CB4">
              <w:rPr>
                <w:rFonts w:cs="Arial"/>
                <w:sz w:val="20"/>
                <w:szCs w:val="20"/>
              </w:rPr>
              <w:t xml:space="preserve"> stud</w:t>
            </w:r>
            <w:r w:rsidRPr="00210CB4">
              <w:rPr>
                <w:rFonts w:cs="Arial"/>
                <w:sz w:val="20"/>
                <w:szCs w:val="20"/>
              </w:rPr>
              <w:t xml:space="preserve"> spans</w:t>
            </w:r>
            <w:r w:rsidR="002066C8" w:rsidRPr="00210CB4">
              <w:rPr>
                <w:rFonts w:cs="Arial"/>
                <w:sz w:val="20"/>
                <w:szCs w:val="20"/>
              </w:rPr>
              <w:t xml:space="preserve"> could lead to larger </w:t>
            </w:r>
            <w:r w:rsidR="000F2BB4" w:rsidRPr="00210CB4">
              <w:rPr>
                <w:rFonts w:cs="Arial"/>
                <w:sz w:val="20"/>
                <w:szCs w:val="20"/>
              </w:rPr>
              <w:t xml:space="preserve">wall </w:t>
            </w:r>
            <w:r w:rsidR="002066C8" w:rsidRPr="00210CB4">
              <w:rPr>
                <w:rFonts w:cs="Arial"/>
                <w:sz w:val="20"/>
                <w:szCs w:val="20"/>
              </w:rPr>
              <w:t>stud</w:t>
            </w:r>
            <w:r w:rsidR="00632568" w:rsidRPr="00210CB4">
              <w:rPr>
                <w:rFonts w:cs="Arial"/>
                <w:sz w:val="20"/>
                <w:szCs w:val="20"/>
              </w:rPr>
              <w:t xml:space="preserve"> framing</w:t>
            </w:r>
            <w:r w:rsidR="002066C8" w:rsidRPr="00210CB4">
              <w:rPr>
                <w:rFonts w:cs="Arial"/>
                <w:sz w:val="20"/>
                <w:szCs w:val="20"/>
              </w:rPr>
              <w:t>.</w:t>
            </w:r>
          </w:p>
        </w:tc>
        <w:tc>
          <w:tcPr>
            <w:tcW w:w="2977" w:type="dxa"/>
            <w:tcBorders>
              <w:bottom w:val="single" w:sz="8" w:space="0" w:color="BFBFBF"/>
            </w:tcBorders>
            <w:vAlign w:val="center"/>
          </w:tcPr>
          <w:p w14:paraId="63D6E98E" w14:textId="77777777" w:rsidR="00006427" w:rsidRPr="00210CB4" w:rsidRDefault="00006427" w:rsidP="00210CB4">
            <w:pPr>
              <w:spacing w:before="120"/>
              <w:rPr>
                <w:rFonts w:cs="Arial"/>
                <w:sz w:val="20"/>
                <w:szCs w:val="20"/>
              </w:rPr>
            </w:pPr>
            <w:r w:rsidRPr="00210CB4">
              <w:rPr>
                <w:rFonts w:cs="Arial"/>
                <w:noProof/>
                <w:sz w:val="20"/>
                <w:szCs w:val="20"/>
              </w:rPr>
              <w:drawing>
                <wp:inline distT="0" distB="0" distL="0" distR="0" wp14:anchorId="70B46105" wp14:editId="52FAED48">
                  <wp:extent cx="326572" cy="326572"/>
                  <wp:effectExtent l="0" t="0" r="0" b="0"/>
                  <wp:docPr id="2140371026" name="Graphic 2140371026"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7E23B174" w14:textId="2728F7F9" w:rsidR="00210677" w:rsidRPr="00210CB4" w:rsidRDefault="00006427" w:rsidP="00210CB4">
            <w:pPr>
              <w:spacing w:before="120"/>
              <w:rPr>
                <w:rFonts w:cs="Arial"/>
                <w:noProof/>
                <w:sz w:val="20"/>
                <w:szCs w:val="20"/>
              </w:rPr>
            </w:pPr>
            <w:r w:rsidRPr="00210CB4">
              <w:rPr>
                <w:rFonts w:cs="Arial"/>
                <w:sz w:val="20"/>
                <w:szCs w:val="20"/>
              </w:rPr>
              <w:t xml:space="preserve">Lowest demands on </w:t>
            </w:r>
            <w:r w:rsidR="00632568" w:rsidRPr="00210CB4">
              <w:rPr>
                <w:rFonts w:cs="Arial"/>
                <w:sz w:val="20"/>
                <w:szCs w:val="20"/>
              </w:rPr>
              <w:t xml:space="preserve">wall </w:t>
            </w:r>
            <w:r w:rsidRPr="00210CB4">
              <w:rPr>
                <w:rFonts w:cs="Arial"/>
                <w:sz w:val="20"/>
                <w:szCs w:val="20"/>
              </w:rPr>
              <w:t>stud</w:t>
            </w:r>
            <w:r w:rsidR="00632568" w:rsidRPr="00210CB4">
              <w:rPr>
                <w:rFonts w:cs="Arial"/>
                <w:sz w:val="20"/>
                <w:szCs w:val="20"/>
              </w:rPr>
              <w:t xml:space="preserve"> framing</w:t>
            </w:r>
          </w:p>
        </w:tc>
        <w:tc>
          <w:tcPr>
            <w:tcW w:w="2878" w:type="dxa"/>
            <w:tcBorders>
              <w:bottom w:val="single" w:sz="8" w:space="0" w:color="BFBFBF"/>
            </w:tcBorders>
            <w:vAlign w:val="center"/>
          </w:tcPr>
          <w:p w14:paraId="4C52887A" w14:textId="77777777" w:rsidR="00DF60DB" w:rsidRPr="00210CB4" w:rsidRDefault="00DF60DB" w:rsidP="00210CB4">
            <w:pPr>
              <w:spacing w:before="120"/>
              <w:rPr>
                <w:rFonts w:cs="Arial"/>
                <w:sz w:val="20"/>
                <w:szCs w:val="20"/>
              </w:rPr>
            </w:pPr>
            <w:r w:rsidRPr="00210CB4">
              <w:rPr>
                <w:rFonts w:cs="Arial"/>
                <w:noProof/>
                <w:sz w:val="20"/>
                <w:szCs w:val="20"/>
              </w:rPr>
              <w:drawing>
                <wp:inline distT="0" distB="0" distL="0" distR="0" wp14:anchorId="67EAF555" wp14:editId="3BD2A355">
                  <wp:extent cx="337457" cy="337457"/>
                  <wp:effectExtent l="0" t="0" r="0" b="5715"/>
                  <wp:docPr id="1286643454" name="Graphic 1286643454"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3A5BBC75" w14:textId="334456B0" w:rsidR="00210677" w:rsidRPr="00210CB4" w:rsidRDefault="002066C8" w:rsidP="00210CB4">
            <w:pPr>
              <w:spacing w:before="120"/>
              <w:rPr>
                <w:rFonts w:cs="Arial"/>
                <w:noProof/>
                <w:sz w:val="20"/>
                <w:szCs w:val="20"/>
              </w:rPr>
            </w:pPr>
            <w:r w:rsidRPr="00210CB4">
              <w:rPr>
                <w:rFonts w:cs="Arial"/>
                <w:sz w:val="20"/>
                <w:szCs w:val="20"/>
              </w:rPr>
              <w:t xml:space="preserve">Higher stud spans could lead to larger </w:t>
            </w:r>
            <w:r w:rsidR="000F2BB4" w:rsidRPr="00210CB4">
              <w:rPr>
                <w:rFonts w:cs="Arial"/>
                <w:sz w:val="20"/>
                <w:szCs w:val="20"/>
              </w:rPr>
              <w:t xml:space="preserve">wall </w:t>
            </w:r>
            <w:r w:rsidRPr="00210CB4">
              <w:rPr>
                <w:rFonts w:cs="Arial"/>
                <w:sz w:val="20"/>
                <w:szCs w:val="20"/>
              </w:rPr>
              <w:t>stud</w:t>
            </w:r>
            <w:r w:rsidR="00632568" w:rsidRPr="00210CB4">
              <w:rPr>
                <w:rFonts w:cs="Arial"/>
                <w:sz w:val="20"/>
                <w:szCs w:val="20"/>
              </w:rPr>
              <w:t xml:space="preserve"> framing</w:t>
            </w:r>
            <w:r w:rsidRPr="00210CB4">
              <w:rPr>
                <w:rFonts w:cs="Arial"/>
                <w:sz w:val="20"/>
                <w:szCs w:val="20"/>
              </w:rPr>
              <w:t>.</w:t>
            </w:r>
          </w:p>
        </w:tc>
      </w:tr>
      <w:tr w:rsidR="00006427" w:rsidRPr="00210CB4" w14:paraId="23AC3D60" w14:textId="77777777" w:rsidTr="00CF445A">
        <w:tc>
          <w:tcPr>
            <w:tcW w:w="1560" w:type="dxa"/>
            <w:tcBorders>
              <w:top w:val="single" w:sz="8" w:space="0" w:color="BFBFBF"/>
              <w:bottom w:val="nil"/>
            </w:tcBorders>
            <w:vAlign w:val="center"/>
          </w:tcPr>
          <w:p w14:paraId="1F910B57" w14:textId="6E5A4DCE" w:rsidR="00006427" w:rsidRPr="00210CB4" w:rsidRDefault="001B54B0" w:rsidP="00210CB4">
            <w:pPr>
              <w:spacing w:before="120"/>
              <w:rPr>
                <w:rFonts w:cs="Arial"/>
                <w:sz w:val="20"/>
                <w:szCs w:val="20"/>
              </w:rPr>
            </w:pPr>
            <w:r w:rsidRPr="00210CB4">
              <w:rPr>
                <w:rFonts w:cs="Arial"/>
                <w:sz w:val="20"/>
                <w:szCs w:val="20"/>
              </w:rPr>
              <w:t>Out-of-plane support (bracing)</w:t>
            </w:r>
          </w:p>
        </w:tc>
        <w:tc>
          <w:tcPr>
            <w:tcW w:w="2551" w:type="dxa"/>
            <w:tcBorders>
              <w:top w:val="single" w:sz="8" w:space="0" w:color="BFBFBF"/>
              <w:bottom w:val="nil"/>
            </w:tcBorders>
            <w:vAlign w:val="center"/>
          </w:tcPr>
          <w:p w14:paraId="75D9FC03" w14:textId="77777777" w:rsidR="001B54B0" w:rsidRPr="00210CB4" w:rsidRDefault="001B54B0" w:rsidP="00210CB4">
            <w:pPr>
              <w:spacing w:before="120"/>
              <w:rPr>
                <w:rFonts w:cs="Arial"/>
                <w:sz w:val="20"/>
                <w:szCs w:val="20"/>
              </w:rPr>
            </w:pPr>
            <w:r w:rsidRPr="00210CB4">
              <w:rPr>
                <w:rFonts w:cs="Arial"/>
                <w:noProof/>
                <w:sz w:val="20"/>
                <w:szCs w:val="20"/>
              </w:rPr>
              <w:drawing>
                <wp:inline distT="0" distB="0" distL="0" distR="0" wp14:anchorId="695F50A5" wp14:editId="08A5AA4E">
                  <wp:extent cx="326572" cy="326572"/>
                  <wp:effectExtent l="0" t="0" r="0" b="0"/>
                  <wp:docPr id="1317399754" name="Graphic 1317399754"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1A6CBB1C" w14:textId="315E9B72" w:rsidR="00006427" w:rsidRPr="00210CB4" w:rsidRDefault="00587B0D" w:rsidP="00210CB4">
            <w:pPr>
              <w:spacing w:before="120"/>
              <w:rPr>
                <w:rFonts w:cs="Arial"/>
                <w:noProof/>
                <w:sz w:val="20"/>
                <w:szCs w:val="20"/>
              </w:rPr>
            </w:pPr>
            <w:r w:rsidRPr="00210CB4">
              <w:rPr>
                <w:rFonts w:cs="Arial"/>
                <w:sz w:val="20"/>
                <w:szCs w:val="20"/>
              </w:rPr>
              <w:t>Lowest</w:t>
            </w:r>
            <w:r w:rsidR="00B274B6" w:rsidRPr="00210CB4">
              <w:rPr>
                <w:rFonts w:cs="Arial"/>
                <w:sz w:val="20"/>
                <w:szCs w:val="20"/>
              </w:rPr>
              <w:t xml:space="preserve"> bracing requirement</w:t>
            </w:r>
            <w:r w:rsidR="00C02E27" w:rsidRPr="00210CB4">
              <w:rPr>
                <w:rFonts w:cs="Arial"/>
                <w:sz w:val="20"/>
                <w:szCs w:val="20"/>
              </w:rPr>
              <w:t xml:space="preserve"> </w:t>
            </w:r>
          </w:p>
        </w:tc>
        <w:tc>
          <w:tcPr>
            <w:tcW w:w="2977" w:type="dxa"/>
            <w:tcBorders>
              <w:top w:val="single" w:sz="8" w:space="0" w:color="BFBFBF"/>
              <w:bottom w:val="nil"/>
            </w:tcBorders>
            <w:vAlign w:val="center"/>
          </w:tcPr>
          <w:p w14:paraId="3178058E" w14:textId="77777777" w:rsidR="001B54B0" w:rsidRPr="00210CB4" w:rsidRDefault="001B54B0" w:rsidP="00210CB4">
            <w:pPr>
              <w:spacing w:before="120"/>
              <w:rPr>
                <w:rFonts w:cs="Arial"/>
                <w:sz w:val="20"/>
                <w:szCs w:val="20"/>
              </w:rPr>
            </w:pPr>
            <w:r w:rsidRPr="00210CB4">
              <w:rPr>
                <w:rFonts w:cs="Arial"/>
                <w:noProof/>
                <w:sz w:val="20"/>
                <w:szCs w:val="20"/>
              </w:rPr>
              <w:drawing>
                <wp:inline distT="0" distB="0" distL="0" distR="0" wp14:anchorId="3516D41E" wp14:editId="47D443DC">
                  <wp:extent cx="337457" cy="337457"/>
                  <wp:effectExtent l="0" t="0" r="0" b="5715"/>
                  <wp:docPr id="320206278" name="Graphic 320206278"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 with solid fill"/>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40895" cy="340895"/>
                          </a:xfrm>
                          <a:prstGeom prst="rect">
                            <a:avLst/>
                          </a:prstGeom>
                        </pic:spPr>
                      </pic:pic>
                    </a:graphicData>
                  </a:graphic>
                </wp:inline>
              </w:drawing>
            </w:r>
          </w:p>
          <w:p w14:paraId="5852E4FB" w14:textId="4FE701DA" w:rsidR="00006427" w:rsidRPr="00210CB4" w:rsidRDefault="001B54B0" w:rsidP="00210CB4">
            <w:pPr>
              <w:spacing w:before="120"/>
              <w:rPr>
                <w:rFonts w:cs="Arial"/>
                <w:noProof/>
                <w:sz w:val="20"/>
                <w:szCs w:val="20"/>
              </w:rPr>
            </w:pPr>
            <w:r w:rsidRPr="00210CB4">
              <w:rPr>
                <w:rFonts w:cs="Arial"/>
                <w:sz w:val="20"/>
                <w:szCs w:val="20"/>
              </w:rPr>
              <w:t>Requires more diagonal or cantilevered bracing from slab soffit to brace slip plane</w:t>
            </w:r>
          </w:p>
        </w:tc>
        <w:tc>
          <w:tcPr>
            <w:tcW w:w="2878" w:type="dxa"/>
            <w:tcBorders>
              <w:top w:val="single" w:sz="8" w:space="0" w:color="BFBFBF"/>
              <w:bottom w:val="nil"/>
            </w:tcBorders>
            <w:vAlign w:val="center"/>
          </w:tcPr>
          <w:p w14:paraId="5F06760C" w14:textId="77777777" w:rsidR="001B54B0" w:rsidRPr="00210CB4" w:rsidRDefault="001B54B0" w:rsidP="00210CB4">
            <w:pPr>
              <w:spacing w:before="120"/>
              <w:rPr>
                <w:rFonts w:cs="Arial"/>
                <w:sz w:val="20"/>
                <w:szCs w:val="20"/>
              </w:rPr>
            </w:pPr>
            <w:r w:rsidRPr="00210CB4">
              <w:rPr>
                <w:rFonts w:cs="Arial"/>
                <w:noProof/>
                <w:sz w:val="20"/>
                <w:szCs w:val="20"/>
              </w:rPr>
              <w:drawing>
                <wp:inline distT="0" distB="0" distL="0" distR="0" wp14:anchorId="07D6A338" wp14:editId="50405603">
                  <wp:extent cx="326572" cy="326572"/>
                  <wp:effectExtent l="0" t="0" r="0" b="0"/>
                  <wp:docPr id="969480032" name="Graphic 969480032"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Checkmark with solid fill"/>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29836" cy="329836"/>
                          </a:xfrm>
                          <a:prstGeom prst="rect">
                            <a:avLst/>
                          </a:prstGeom>
                        </pic:spPr>
                      </pic:pic>
                    </a:graphicData>
                  </a:graphic>
                </wp:inline>
              </w:drawing>
            </w:r>
          </w:p>
          <w:p w14:paraId="7F2759C8" w14:textId="42DBBB2A" w:rsidR="00006427" w:rsidRPr="00210CB4" w:rsidRDefault="002066C8" w:rsidP="00210CB4">
            <w:pPr>
              <w:spacing w:before="120"/>
              <w:rPr>
                <w:rFonts w:cs="Arial"/>
                <w:noProof/>
                <w:sz w:val="20"/>
                <w:szCs w:val="20"/>
              </w:rPr>
            </w:pPr>
            <w:r w:rsidRPr="00210CB4">
              <w:rPr>
                <w:rFonts w:cs="Arial"/>
                <w:sz w:val="20"/>
                <w:szCs w:val="20"/>
              </w:rPr>
              <w:t>Lowest bracing requirement</w:t>
            </w:r>
          </w:p>
        </w:tc>
      </w:tr>
    </w:tbl>
    <w:p w14:paraId="0CA71B93" w14:textId="2171D67D" w:rsidR="007B713F" w:rsidRPr="007B713F" w:rsidRDefault="007B713F" w:rsidP="00666E06"/>
    <w:p w14:paraId="42400994" w14:textId="7544751A" w:rsidR="00092F95" w:rsidRPr="00064304" w:rsidRDefault="00092F95" w:rsidP="00CF445A">
      <w:pPr>
        <w:pStyle w:val="Section3heading3"/>
      </w:pPr>
      <w:r w:rsidRPr="00064304">
        <w:t>Design Criteria</w:t>
      </w:r>
    </w:p>
    <w:p w14:paraId="2F85AA68" w14:textId="77777777" w:rsidR="001F426C" w:rsidRPr="00CF445A" w:rsidRDefault="001F426C" w:rsidP="00D56CAE">
      <w:pPr>
        <w:pStyle w:val="BodyHeading"/>
        <w:rPr>
          <w:color w:val="003399"/>
        </w:rPr>
      </w:pPr>
      <w:r w:rsidRPr="00CF445A">
        <w:rPr>
          <w:color w:val="003399"/>
        </w:rPr>
        <w:t>In Plane Design Capacity</w:t>
      </w:r>
    </w:p>
    <w:p w14:paraId="14ABE952" w14:textId="4B7CAF03" w:rsidR="001F426C" w:rsidRPr="00064304" w:rsidRDefault="001F426C" w:rsidP="00666E06">
      <w:r w:rsidRPr="00064304">
        <w:t xml:space="preserve">Whilst the in-plane design of plasterboard lined partitions will often be displacement compatibility (drift) governed, the strength capacity should also be checked. For many </w:t>
      </w:r>
      <w:r w:rsidR="000F0EEA" w:rsidRPr="00064304">
        <w:t>non-structural</w:t>
      </w:r>
      <w:r w:rsidRPr="00064304">
        <w:t xml:space="preserve"> partitions</w:t>
      </w:r>
      <w:r w:rsidR="000F0EEA" w:rsidRPr="00064304">
        <w:t>,</w:t>
      </w:r>
      <w:r w:rsidRPr="00064304">
        <w:t xml:space="preserve"> the loading is sufficiently small </w:t>
      </w:r>
      <w:r w:rsidR="00BA692F" w:rsidRPr="00064304">
        <w:t>for this to</w:t>
      </w:r>
      <w:r w:rsidRPr="00064304">
        <w:t xml:space="preserve"> be a simple and generalised exercise.</w:t>
      </w:r>
    </w:p>
    <w:p w14:paraId="41A545DB" w14:textId="0BA241F4" w:rsidR="00424CC6" w:rsidRPr="00064304" w:rsidRDefault="00CF43D0" w:rsidP="00666E06">
      <w:r w:rsidRPr="00064304">
        <w:t>I</w:t>
      </w:r>
      <w:r w:rsidR="00A52D26" w:rsidRPr="00064304">
        <w:t xml:space="preserve">t is common </w:t>
      </w:r>
      <w:r w:rsidR="00C41BFF" w:rsidRPr="00064304">
        <w:t xml:space="preserve">and acceptable </w:t>
      </w:r>
      <w:r w:rsidR="00A52D26" w:rsidRPr="00064304">
        <w:t>practice to rely on the inherent in-plane stability of non-rated partition wall types in low-risk and low-demand configurations within interior fitouts.</w:t>
      </w:r>
      <w:r w:rsidR="007C6EB3" w:rsidRPr="00064304">
        <w:t xml:space="preserve"> </w:t>
      </w:r>
      <w:r w:rsidR="00406048" w:rsidRPr="00064304">
        <w:t>W</w:t>
      </w:r>
      <w:r w:rsidR="00FF0370" w:rsidRPr="00064304">
        <w:t xml:space="preserve">alls </w:t>
      </w:r>
      <w:r w:rsidR="00406048" w:rsidRPr="00064304">
        <w:t xml:space="preserve">of a reasonable </w:t>
      </w:r>
      <w:r w:rsidR="00FF0370" w:rsidRPr="00064304">
        <w:t>length will</w:t>
      </w:r>
      <w:r w:rsidR="00F141ED" w:rsidRPr="00064304">
        <w:t xml:space="preserve"> have </w:t>
      </w:r>
      <w:r w:rsidR="00FB4C4E" w:rsidRPr="00064304">
        <w:t>enough</w:t>
      </w:r>
      <w:r w:rsidR="00F141ED" w:rsidRPr="00064304">
        <w:t xml:space="preserve"> capacity to support</w:t>
      </w:r>
      <w:r w:rsidR="00C07FEB" w:rsidRPr="00064304">
        <w:t xml:space="preserve"> themselves</w:t>
      </w:r>
      <w:r w:rsidR="00382107" w:rsidRPr="00064304">
        <w:t xml:space="preserve"> in-plane</w:t>
      </w:r>
      <w:r w:rsidR="00F141ED" w:rsidRPr="00064304">
        <w:t xml:space="preserve"> </w:t>
      </w:r>
      <w:r w:rsidR="00E475A9" w:rsidRPr="00064304">
        <w:t xml:space="preserve">and </w:t>
      </w:r>
      <w:r w:rsidR="00C07FEB" w:rsidRPr="00064304">
        <w:t xml:space="preserve">proportionate extents of </w:t>
      </w:r>
      <w:r w:rsidR="00AA28FE" w:rsidRPr="00064304">
        <w:t>intersectin</w:t>
      </w:r>
      <w:r w:rsidR="00C07FEB" w:rsidRPr="00064304">
        <w:t>g</w:t>
      </w:r>
      <w:r w:rsidR="00AA28FE" w:rsidRPr="00064304">
        <w:t xml:space="preserve"> walls </w:t>
      </w:r>
      <w:r w:rsidR="00C07FEB" w:rsidRPr="00064304">
        <w:t xml:space="preserve">out-of-plane </w:t>
      </w:r>
      <w:r w:rsidR="00AA28FE" w:rsidRPr="00064304">
        <w:t>(provided adequate top plate connection is made).</w:t>
      </w:r>
    </w:p>
    <w:p w14:paraId="5A57E28E" w14:textId="1DCF7B55" w:rsidR="00A573D2" w:rsidRPr="00064304" w:rsidRDefault="00A573D2" w:rsidP="00666E06">
      <w:r w:rsidRPr="00064304">
        <w:t xml:space="preserve">The guidance in </w:t>
      </w:r>
      <w:r w:rsidRPr="00064304">
        <w:rPr>
          <w:i/>
          <w:iCs/>
        </w:rPr>
        <w:t>BRANZ Study Report SR305 Bracing Ratings for non-proprietary bracing walls</w:t>
      </w:r>
      <w:r w:rsidRPr="00064304">
        <w:t xml:space="preserve"> </w:t>
      </w:r>
      <w:sdt>
        <w:sdtPr>
          <w:id w:val="-476535005"/>
          <w:citation/>
        </w:sdtPr>
        <w:sdtEndPr/>
        <w:sdtContent>
          <w:r w:rsidR="00650BD4" w:rsidRPr="00064304">
            <w:fldChar w:fldCharType="begin"/>
          </w:r>
          <w:r w:rsidR="00650BD4" w:rsidRPr="00064304">
            <w:rPr>
              <w:lang w:val="en-US"/>
            </w:rPr>
            <w:instrText xml:space="preserve"> CITATION BRA13 \l 1033 </w:instrText>
          </w:r>
          <w:r w:rsidR="00650BD4" w:rsidRPr="00064304">
            <w:fldChar w:fldCharType="separate"/>
          </w:r>
          <w:r w:rsidR="00222D65">
            <w:rPr>
              <w:noProof/>
              <w:lang w:val="en-US"/>
            </w:rPr>
            <w:t>(BRANZ, 2013)</w:t>
          </w:r>
          <w:r w:rsidR="00650BD4" w:rsidRPr="00064304">
            <w:fldChar w:fldCharType="end"/>
          </w:r>
        </w:sdtContent>
      </w:sdt>
      <w:r w:rsidR="00481AB6" w:rsidRPr="00064304">
        <w:t xml:space="preserve"> is a</w:t>
      </w:r>
      <w:r w:rsidRPr="00064304">
        <w:t xml:space="preserve"> practical </w:t>
      </w:r>
      <w:r w:rsidR="00481AB6" w:rsidRPr="00064304">
        <w:t>resource</w:t>
      </w:r>
      <w:r w:rsidR="005B564E" w:rsidRPr="00064304">
        <w:t xml:space="preserve"> that may assist with appropriate judgements</w:t>
      </w:r>
      <w:r w:rsidR="00481AB6" w:rsidRPr="00064304">
        <w:t xml:space="preserve">, </w:t>
      </w:r>
      <w:r w:rsidR="005B564E" w:rsidRPr="00064304">
        <w:t>and this</w:t>
      </w:r>
      <w:r w:rsidR="0086100D" w:rsidRPr="00064304">
        <w:t xml:space="preserve"> could also be supplemented with information on rated systems (e.g. P21 tested </w:t>
      </w:r>
      <w:r w:rsidR="00E92FAA" w:rsidRPr="00064304">
        <w:t>bracing elements) if needed</w:t>
      </w:r>
      <w:r w:rsidR="005B564E" w:rsidRPr="00064304">
        <w:t xml:space="preserve"> </w:t>
      </w:r>
      <w:sdt>
        <w:sdtPr>
          <w:id w:val="-1130474956"/>
          <w:citation/>
        </w:sdtPr>
        <w:sdtEndPr/>
        <w:sdtContent>
          <w:r w:rsidR="005B564E" w:rsidRPr="00064304">
            <w:fldChar w:fldCharType="begin"/>
          </w:r>
          <w:r w:rsidR="005B564E" w:rsidRPr="00064304">
            <w:rPr>
              <w:lang w:val="en-US"/>
            </w:rPr>
            <w:instrText xml:space="preserve"> CITATION BRA10 \l 1033 </w:instrText>
          </w:r>
          <w:r w:rsidR="005B564E" w:rsidRPr="00064304">
            <w:fldChar w:fldCharType="separate"/>
          </w:r>
          <w:r w:rsidR="00222D65">
            <w:rPr>
              <w:noProof/>
              <w:lang w:val="en-US"/>
            </w:rPr>
            <w:t>(BRANZ, 2010)</w:t>
          </w:r>
          <w:r w:rsidR="005B564E" w:rsidRPr="00064304">
            <w:fldChar w:fldCharType="end"/>
          </w:r>
        </w:sdtContent>
      </w:sdt>
      <w:r w:rsidRPr="00064304">
        <w:t>.</w:t>
      </w:r>
    </w:p>
    <w:p w14:paraId="3D2A9172" w14:textId="5FD6B857" w:rsidR="00D5058B" w:rsidRPr="00064304" w:rsidRDefault="00424CC6" w:rsidP="00666E06">
      <w:r w:rsidRPr="00064304">
        <w:t xml:space="preserve">NSE designers </w:t>
      </w:r>
      <w:r w:rsidR="00815C05" w:rsidRPr="00064304">
        <w:t>will need to</w:t>
      </w:r>
      <w:r w:rsidRPr="00064304">
        <w:t xml:space="preserve"> </w:t>
      </w:r>
      <w:r w:rsidR="00C14885" w:rsidRPr="00064304">
        <w:t xml:space="preserve">identify </w:t>
      </w:r>
      <w:r w:rsidRPr="00064304">
        <w:t>ar</w:t>
      </w:r>
      <w:r w:rsidR="008D5FE1" w:rsidRPr="00064304">
        <w:t>eas that require</w:t>
      </w:r>
      <w:r w:rsidR="00EC0337" w:rsidRPr="00064304">
        <w:t xml:space="preserve"> check</w:t>
      </w:r>
      <w:r w:rsidR="008D5FE1" w:rsidRPr="00064304">
        <w:t xml:space="preserve">ing </w:t>
      </w:r>
      <w:r w:rsidR="006C1B44" w:rsidRPr="00064304">
        <w:t>and</w:t>
      </w:r>
      <w:r w:rsidR="000B0726" w:rsidRPr="00064304">
        <w:t>/or</w:t>
      </w:r>
      <w:r w:rsidR="008D5FE1" w:rsidRPr="00064304">
        <w:t xml:space="preserve"> specific </w:t>
      </w:r>
      <w:r w:rsidR="00815C05" w:rsidRPr="00064304">
        <w:t xml:space="preserve">in-plane </w:t>
      </w:r>
      <w:r w:rsidR="008D5FE1" w:rsidRPr="00064304">
        <w:t>design due to their relative slenderness</w:t>
      </w:r>
      <w:r w:rsidR="00FA17E9" w:rsidRPr="00064304">
        <w:t xml:space="preserve">, </w:t>
      </w:r>
      <w:r w:rsidR="006C1B44" w:rsidRPr="00064304">
        <w:t xml:space="preserve">higher than normal </w:t>
      </w:r>
      <w:r w:rsidR="00FA17E9" w:rsidRPr="00064304">
        <w:t>imposed loading</w:t>
      </w:r>
      <w:r w:rsidR="006C1B44" w:rsidRPr="00064304">
        <w:t xml:space="preserve">, or their function </w:t>
      </w:r>
      <w:r w:rsidR="00A573D2" w:rsidRPr="00064304">
        <w:t xml:space="preserve">in a higher-demand </w:t>
      </w:r>
      <w:r w:rsidR="006C1B44" w:rsidRPr="00064304">
        <w:t>system</w:t>
      </w:r>
      <w:r w:rsidR="00FA17E9" w:rsidRPr="00064304">
        <w:t>. This could include “box in box” type construction of specific enclosures</w:t>
      </w:r>
      <w:r w:rsidR="00D613D9" w:rsidRPr="00064304">
        <w:t xml:space="preserve"> (such as </w:t>
      </w:r>
      <w:r w:rsidR="00C3725E" w:rsidRPr="00064304">
        <w:t xml:space="preserve">MRI </w:t>
      </w:r>
      <w:r w:rsidR="00005742" w:rsidRPr="00064304">
        <w:t xml:space="preserve">enclosures supporting </w:t>
      </w:r>
      <w:r w:rsidR="00C3725E" w:rsidRPr="00064304">
        <w:t xml:space="preserve">RF </w:t>
      </w:r>
      <w:r w:rsidR="00005742" w:rsidRPr="00064304">
        <w:t>shielding</w:t>
      </w:r>
      <w:r w:rsidR="000B0726" w:rsidRPr="00064304">
        <w:t xml:space="preserve">, and </w:t>
      </w:r>
      <w:r w:rsidR="00736507" w:rsidRPr="00064304">
        <w:t>theatre suites depending on approach</w:t>
      </w:r>
      <w:r w:rsidR="006C7789" w:rsidRPr="00064304">
        <w:t>es</w:t>
      </w:r>
      <w:r w:rsidR="00736507" w:rsidRPr="00064304">
        <w:t xml:space="preserve"> to </w:t>
      </w:r>
      <w:r w:rsidR="006C7789" w:rsidRPr="00064304">
        <w:t>partition, ceiling, and pendant/equipment support</w:t>
      </w:r>
      <w:r w:rsidR="00005742" w:rsidRPr="00064304">
        <w:t>)</w:t>
      </w:r>
      <w:r w:rsidR="00B017A4" w:rsidRPr="00064304">
        <w:t>.</w:t>
      </w:r>
      <w:r w:rsidR="00F575E8" w:rsidRPr="00064304">
        <w:t xml:space="preserve"> </w:t>
      </w:r>
      <w:r w:rsidR="00FF0BFF" w:rsidRPr="00064304">
        <w:t>NSE Designers</w:t>
      </w:r>
      <w:r w:rsidR="00F575E8" w:rsidRPr="00064304">
        <w:t xml:space="preserve"> should also ensure the detailing applicable to partition wall systems</w:t>
      </w:r>
      <w:r w:rsidR="00EA18AB" w:rsidRPr="00064304">
        <w:t xml:space="preserve"> and their intersections and restraints</w:t>
      </w:r>
      <w:r w:rsidR="00F575E8" w:rsidRPr="00064304">
        <w:t xml:space="preserve"> is clearly documented</w:t>
      </w:r>
      <w:r w:rsidR="00B017A4" w:rsidRPr="00064304">
        <w:t xml:space="preserve">, and any areas requiring specific in-plane bracing specification or detailing are </w:t>
      </w:r>
      <w:r w:rsidR="00D5058B" w:rsidRPr="00064304">
        <w:t>identified</w:t>
      </w:r>
      <w:r w:rsidR="00EC0337" w:rsidRPr="00064304">
        <w:t>.</w:t>
      </w:r>
    </w:p>
    <w:p w14:paraId="24278F0C" w14:textId="3DAC3896" w:rsidR="003D7310" w:rsidRPr="007B713F" w:rsidRDefault="003D7310"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rPr>
          <w:rFonts w:cs="Arial"/>
        </w:rPr>
      </w:pPr>
      <w:r w:rsidRPr="00064304">
        <w:lastRenderedPageBreak/>
        <w:t>The</w:t>
      </w:r>
      <w:r w:rsidR="00684FE1" w:rsidRPr="00064304">
        <w:t xml:space="preserve"> above</w:t>
      </w:r>
      <w:r w:rsidRPr="00064304">
        <w:t xml:space="preserve"> </w:t>
      </w:r>
      <w:r w:rsidR="00684FE1" w:rsidRPr="00064304">
        <w:t>guidance is</w:t>
      </w:r>
      <w:r w:rsidRPr="00064304">
        <w:t xml:space="preserve"> limited to non-structural partitions forming part of interior fitouts. For guidance </w:t>
      </w:r>
      <w:r w:rsidR="008C2572" w:rsidRPr="00064304">
        <w:t xml:space="preserve">(and some suggested restrictions) </w:t>
      </w:r>
      <w:r w:rsidRPr="00064304">
        <w:t>on the use of in-plane capacity of lightweight walls as part of primary structural system</w:t>
      </w:r>
      <w:r w:rsidR="00684FE1" w:rsidRPr="00064304">
        <w:t>s</w:t>
      </w:r>
      <w:r w:rsidRPr="00064304">
        <w:t xml:space="preserve">, refer to Section </w:t>
      </w:r>
      <w:r w:rsidRPr="00064304">
        <w:fldChar w:fldCharType="begin"/>
      </w:r>
      <w:r w:rsidRPr="00064304">
        <w:instrText xml:space="preserve"> REF _Ref165527855 \r \h  \* MERGEFORMAT </w:instrText>
      </w:r>
      <w:r w:rsidRPr="00064304">
        <w:fldChar w:fldCharType="separate"/>
      </w:r>
      <w:r w:rsidR="000761C1">
        <w:t>C5</w:t>
      </w:r>
      <w:r w:rsidRPr="00064304">
        <w:fldChar w:fldCharType="end"/>
      </w:r>
      <w:r w:rsidRPr="00064304">
        <w:t xml:space="preserve"> </w:t>
      </w:r>
      <w:r w:rsidRPr="007B713F">
        <w:rPr>
          <w:rFonts w:cs="Arial"/>
        </w:rPr>
        <w:t>(</w:t>
      </w:r>
      <w:r w:rsidRPr="007B713F">
        <w:rPr>
          <w:rFonts w:cs="Arial"/>
        </w:rPr>
        <w:fldChar w:fldCharType="begin"/>
      </w:r>
      <w:r w:rsidRPr="007B713F">
        <w:rPr>
          <w:rFonts w:cs="Arial"/>
        </w:rPr>
        <w:instrText xml:space="preserve"> REF _Ref165527855 \h  \* MERGEFORMAT </w:instrText>
      </w:r>
      <w:r w:rsidRPr="007B713F">
        <w:rPr>
          <w:rFonts w:cs="Arial"/>
        </w:rPr>
      </w:r>
      <w:r w:rsidRPr="007B713F">
        <w:rPr>
          <w:rFonts w:cs="Arial"/>
        </w:rPr>
        <w:fldChar w:fldCharType="separate"/>
      </w:r>
      <w:r w:rsidR="000761C1" w:rsidRPr="000761C1">
        <w:rPr>
          <w:rFonts w:cs="Arial"/>
        </w:rPr>
        <w:t>Design of Lightweight and Low-rise Hospital Infrastructure</w:t>
      </w:r>
      <w:r w:rsidRPr="007B713F">
        <w:rPr>
          <w:rFonts w:cs="Arial"/>
        </w:rPr>
        <w:fldChar w:fldCharType="end"/>
      </w:r>
      <w:r w:rsidRPr="007B713F">
        <w:rPr>
          <w:rFonts w:cs="Arial"/>
        </w:rPr>
        <w:t>).</w:t>
      </w:r>
    </w:p>
    <w:p w14:paraId="5D292491" w14:textId="59781F2E" w:rsidR="00056A9A" w:rsidRPr="00064304" w:rsidRDefault="00056A9A"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The use of </w:t>
      </w:r>
      <w:r w:rsidR="00173DBC" w:rsidRPr="00064304">
        <w:t xml:space="preserve">P21-tested </w:t>
      </w:r>
      <w:r w:rsidR="005842A7" w:rsidRPr="00064304">
        <w:t>plasterboard</w:t>
      </w:r>
      <w:r w:rsidR="00845691" w:rsidRPr="00064304">
        <w:t xml:space="preserve"> bracing</w:t>
      </w:r>
      <w:r w:rsidR="00173DBC" w:rsidRPr="00064304">
        <w:t xml:space="preserve"> elements is </w:t>
      </w:r>
      <w:r w:rsidR="003D7310" w:rsidRPr="00064304">
        <w:t xml:space="preserve">also </w:t>
      </w:r>
      <w:r w:rsidR="00173DBC" w:rsidRPr="00064304">
        <w:t xml:space="preserve">generally discouraged for specific situations </w:t>
      </w:r>
      <w:r w:rsidR="00920677" w:rsidRPr="00064304">
        <w:t>where significant imposed loads are applied</w:t>
      </w:r>
      <w:r w:rsidR="003235CF" w:rsidRPr="00064304">
        <w:t xml:space="preserve"> and tolerance to damage is low. S</w:t>
      </w:r>
      <w:r w:rsidR="00920677" w:rsidRPr="00064304">
        <w:t xml:space="preserve">uch as theatre suites </w:t>
      </w:r>
      <w:r w:rsidR="005A1A80" w:rsidRPr="00064304">
        <w:t>whe</w:t>
      </w:r>
      <w:r w:rsidR="000C3298" w:rsidRPr="00064304">
        <w:t>re</w:t>
      </w:r>
      <w:r w:rsidR="00334168" w:rsidRPr="00064304">
        <w:t xml:space="preserve"> </w:t>
      </w:r>
      <w:r w:rsidR="00AE5035" w:rsidRPr="00064304">
        <w:t>equipment</w:t>
      </w:r>
      <w:r w:rsidR="003235CF" w:rsidRPr="00064304">
        <w:t xml:space="preserve">, </w:t>
      </w:r>
      <w:r w:rsidR="00AE5035" w:rsidRPr="00064304">
        <w:t>pendant</w:t>
      </w:r>
      <w:r w:rsidR="003235CF" w:rsidRPr="00064304">
        <w:t xml:space="preserve">, and </w:t>
      </w:r>
      <w:r w:rsidR="001414CB" w:rsidRPr="00064304">
        <w:t>hepa filter support framing</w:t>
      </w:r>
      <w:r w:rsidR="00D518F9" w:rsidRPr="00064304">
        <w:t xml:space="preserve"> is enclosed </w:t>
      </w:r>
      <w:r w:rsidR="003B04BA" w:rsidRPr="00064304">
        <w:t>and supported within walls</w:t>
      </w:r>
      <w:r w:rsidR="001414CB" w:rsidRPr="00064304">
        <w:t>.</w:t>
      </w:r>
      <w:r w:rsidR="001B70A5" w:rsidRPr="00064304">
        <w:t xml:space="preserve"> </w:t>
      </w:r>
      <w:r w:rsidR="000E754B" w:rsidRPr="00064304">
        <w:t>S</w:t>
      </w:r>
      <w:r w:rsidR="00920677" w:rsidRPr="00064304">
        <w:t>pecific in-plane design to B1/VM1</w:t>
      </w:r>
      <w:r w:rsidR="00F171C7" w:rsidRPr="00064304">
        <w:t xml:space="preserve"> should be carried out in order to meet </w:t>
      </w:r>
      <w:r w:rsidR="0064767A" w:rsidRPr="00064304">
        <w:t>ULS requirements</w:t>
      </w:r>
      <w:r w:rsidR="005A1A80" w:rsidRPr="00064304">
        <w:t xml:space="preserve"> (for heavy parts)</w:t>
      </w:r>
      <w:r w:rsidR="0064767A" w:rsidRPr="00064304">
        <w:t xml:space="preserve"> and the</w:t>
      </w:r>
      <w:r w:rsidR="00F171C7" w:rsidRPr="00064304">
        <w:t xml:space="preserve"> Continued Functionality (SLS2) objective</w:t>
      </w:r>
      <w:r w:rsidR="003B04BA" w:rsidRPr="00064304">
        <w:t>—as part of a holistic approach to NSE Seismic Design in these areas</w:t>
      </w:r>
      <w:r w:rsidR="00F171C7" w:rsidRPr="00064304">
        <w:t>.</w:t>
      </w:r>
    </w:p>
    <w:p w14:paraId="2222A03E" w14:textId="77777777" w:rsidR="001F426C" w:rsidRPr="00CF445A" w:rsidRDefault="001F426C" w:rsidP="00D56CAE">
      <w:pPr>
        <w:pStyle w:val="BodyHeading"/>
        <w:rPr>
          <w:color w:val="003399"/>
        </w:rPr>
      </w:pPr>
      <w:r w:rsidRPr="00CF445A">
        <w:rPr>
          <w:color w:val="003399"/>
        </w:rPr>
        <w:t>Displacement Compatibility Checks</w:t>
      </w:r>
    </w:p>
    <w:p w14:paraId="256A3FDE" w14:textId="77777777" w:rsidR="001F426C" w:rsidRPr="00064304" w:rsidRDefault="001F426C" w:rsidP="00666E06">
      <w:r w:rsidRPr="00064304">
        <w:t>Designers are also required to undertake displacement compatibility checks to demonstrate that deformations remain within the performance criteria requirements of this document.</w:t>
      </w:r>
    </w:p>
    <w:p w14:paraId="7820FD37" w14:textId="28ECF232" w:rsidR="001F426C" w:rsidRPr="00064304" w:rsidRDefault="001F426C" w:rsidP="00666E06">
      <w:r w:rsidRPr="00064304">
        <w:t>Due to the complex interactions between elements, it is not possible to provide a universal set of design criteria</w:t>
      </w:r>
      <w:r w:rsidR="00A43953">
        <w:t xml:space="preserve">. </w:t>
      </w:r>
      <w:r w:rsidRPr="00064304">
        <w:t>Designers are expected to adopt a combination of first principles approaches, as well as references to available industry publications and research.</w:t>
      </w:r>
    </w:p>
    <w:p w14:paraId="249F1175" w14:textId="3D0A7F8D" w:rsidR="001F426C" w:rsidRPr="00CF445A" w:rsidRDefault="001F426C" w:rsidP="00D56CAE">
      <w:pPr>
        <w:pStyle w:val="BodyHeading"/>
        <w:rPr>
          <w:color w:val="003399"/>
        </w:rPr>
      </w:pPr>
      <w:r w:rsidRPr="00CF445A">
        <w:rPr>
          <w:color w:val="003399"/>
        </w:rPr>
        <w:t xml:space="preserve">Partition </w:t>
      </w:r>
      <w:r w:rsidR="005E0645" w:rsidRPr="00CF445A">
        <w:rPr>
          <w:color w:val="003399"/>
        </w:rPr>
        <w:t>Damage States</w:t>
      </w:r>
      <w:r w:rsidR="00A51970" w:rsidRPr="00CF445A">
        <w:rPr>
          <w:color w:val="003399"/>
        </w:rPr>
        <w:t xml:space="preserve"> from Imposed Interstorey Drift</w:t>
      </w:r>
    </w:p>
    <w:p w14:paraId="370AF728" w14:textId="56CC178B" w:rsidR="00804FF0" w:rsidRPr="00064304" w:rsidRDefault="001F426C" w:rsidP="00666E06">
      <w:r w:rsidRPr="00064304">
        <w:t xml:space="preserve">A summary of expected partition drift behaviour </w:t>
      </w:r>
      <w:r w:rsidR="00001C97" w:rsidRPr="00064304">
        <w:t>is provided</w:t>
      </w:r>
      <w:r w:rsidRPr="00064304">
        <w:t>, with the intention of informing design approaches</w:t>
      </w:r>
      <w:r w:rsidR="00804FF0" w:rsidRPr="00064304">
        <w:t>.</w:t>
      </w:r>
    </w:p>
    <w:p w14:paraId="1ACEBD8E" w14:textId="0C1A7411" w:rsidR="00A51970" w:rsidRPr="00064304" w:rsidRDefault="00A51970"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Importantly, these should </w:t>
      </w:r>
      <w:r w:rsidRPr="00064304">
        <w:rPr>
          <w:b/>
          <w:bCs/>
        </w:rPr>
        <w:t>not</w:t>
      </w:r>
      <w:r w:rsidRPr="00064304">
        <w:t xml:space="preserve"> be interpreted as primary structure interstorey drift limits. They represent the general levels of damage that might be expected should the interstorey drift be imposed on the partition system</w:t>
      </w:r>
      <w:r w:rsidR="00C025FC">
        <w:t xml:space="preserve"> </w:t>
      </w:r>
      <w:r w:rsidRPr="00064304">
        <w:t>and thus could represent a primary structural drift target only if partitions were hard fixed between floors.</w:t>
      </w:r>
    </w:p>
    <w:p w14:paraId="369BA7F4" w14:textId="37ECD377" w:rsidR="009F0F6A" w:rsidRPr="00064304" w:rsidRDefault="00A51970"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As described in other parts of this section, partition systems can be engineered or configured to minimise the </w:t>
      </w:r>
      <w:r w:rsidR="00BE3165" w:rsidRPr="00064304">
        <w:t>proportion</w:t>
      </w:r>
      <w:r w:rsidRPr="00064304">
        <w:t xml:space="preserve"> of </w:t>
      </w:r>
      <w:r w:rsidR="00BE3165" w:rsidRPr="00064304">
        <w:t xml:space="preserve">structural </w:t>
      </w:r>
      <w:r w:rsidRPr="00064304">
        <w:t xml:space="preserve">drift that is imposed on </w:t>
      </w:r>
      <w:r w:rsidR="00BE3165" w:rsidRPr="00064304">
        <w:t>them</w:t>
      </w:r>
      <w:r w:rsidRPr="00064304">
        <w:t xml:space="preserve">. However, it can be impractical (or expensive) to </w:t>
      </w:r>
      <w:r w:rsidR="00E06572" w:rsidRPr="00064304">
        <w:t>explicitly accommodate all</w:t>
      </w:r>
      <w:r w:rsidR="003F4733" w:rsidRPr="00064304">
        <w:t xml:space="preserve"> </w:t>
      </w:r>
      <w:r w:rsidRPr="00064304">
        <w:t>applied deformations</w:t>
      </w:r>
      <w:r w:rsidR="006A32BA">
        <w:t xml:space="preserve">, </w:t>
      </w:r>
      <w:r w:rsidRPr="00064304">
        <w:t xml:space="preserve">particularly considering wall intersections and interactions with ceilings, services and equipment. This information is intended to aid Structural Engineers and </w:t>
      </w:r>
      <w:r w:rsidR="00DB29B6" w:rsidRPr="00064304">
        <w:t>NSE Seismic</w:t>
      </w:r>
      <w:r w:rsidRPr="00064304">
        <w:t xml:space="preserve"> Designers agree strategies</w:t>
      </w:r>
      <w:r w:rsidR="00153452" w:rsidRPr="00064304">
        <w:t xml:space="preserve"> that balance structural efficiency with </w:t>
      </w:r>
      <w:r w:rsidR="00103DBE" w:rsidRPr="00064304">
        <w:t xml:space="preserve">practical </w:t>
      </w:r>
      <w:r w:rsidR="006D1919" w:rsidRPr="00064304">
        <w:t>detailing.</w:t>
      </w:r>
    </w:p>
    <w:p w14:paraId="1DCA2B32" w14:textId="0F0569E8" w:rsidR="00A51970" w:rsidRDefault="0021297A"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 xml:space="preserve">It should be possible to accept some areas of damage and still meet the performance goals described in Section </w:t>
      </w:r>
      <w:r w:rsidRPr="00064304">
        <w:fldChar w:fldCharType="begin"/>
      </w:r>
      <w:r w:rsidRPr="00064304">
        <w:instrText xml:space="preserve"> REF _Ref157204226 \r \h </w:instrText>
      </w:r>
      <w:r w:rsidR="00064304">
        <w:instrText xml:space="preserve"> \* MERGEFORMAT </w:instrText>
      </w:r>
      <w:r w:rsidRPr="00064304">
        <w:fldChar w:fldCharType="separate"/>
      </w:r>
      <w:r w:rsidR="000761C1">
        <w:t>B2.3</w:t>
      </w:r>
      <w:r w:rsidRPr="00064304">
        <w:fldChar w:fldCharType="end"/>
      </w:r>
      <w:r w:rsidR="00C025FC">
        <w:t xml:space="preserve"> </w:t>
      </w:r>
      <w:r w:rsidRPr="00064304">
        <w:t>provided the extent is limited.</w:t>
      </w:r>
    </w:p>
    <w:p w14:paraId="4DDBB72C" w14:textId="15034D41" w:rsidR="00E73A27" w:rsidRDefault="00E73A27" w:rsidP="00CF445A">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064304">
        <w:t>The 0.5% drift limit has been adopted on previous hospital projects and is in alignment with other guidance, such as Ministry of Education guidance, the BIP NSE CoP, and Low Damage Seismic Design guidance currently in development. FEMA P-58/BD-3.9.32 testing shows that, for commonly used partition types, this drift is associated with the DS1 damage state, where damage is present, but unlikely to impair function.</w:t>
      </w:r>
    </w:p>
    <w:p w14:paraId="409FB403" w14:textId="356EF0A1" w:rsidR="00E73A27" w:rsidRPr="00064304" w:rsidRDefault="00E73A27" w:rsidP="00666E06">
      <w:pPr>
        <w:sectPr w:rsidR="00E73A27" w:rsidRPr="00064304" w:rsidSect="00D75C2E">
          <w:headerReference w:type="even" r:id="rId94"/>
          <w:headerReference w:type="default" r:id="rId95"/>
          <w:footerReference w:type="default" r:id="rId96"/>
          <w:headerReference w:type="first" r:id="rId97"/>
          <w:footnotePr>
            <w:numRestart w:val="eachPage"/>
          </w:footnotePr>
          <w:pgSz w:w="11906" w:h="16838" w:code="187"/>
          <w:pgMar w:top="1560" w:right="1134" w:bottom="1418" w:left="1134" w:header="709" w:footer="709" w:gutter="0"/>
          <w:cols w:space="708"/>
          <w:docGrid w:linePitch="360"/>
        </w:sectPr>
      </w:pPr>
    </w:p>
    <w:p w14:paraId="391DB445" w14:textId="4B163A3A" w:rsidR="00084CF9" w:rsidRPr="00210CB4" w:rsidRDefault="00084CF9" w:rsidP="00FE425A">
      <w:pPr>
        <w:pStyle w:val="Figure"/>
        <w:rPr>
          <w:sz w:val="20"/>
          <w:szCs w:val="20"/>
        </w:rPr>
      </w:pPr>
      <w:bookmarkStart w:id="351" w:name="_Ref152824069"/>
      <w:r w:rsidRPr="00210CB4">
        <w:rPr>
          <w:sz w:val="20"/>
          <w:szCs w:val="20"/>
        </w:rPr>
        <w:lastRenderedPageBreak/>
        <w:t xml:space="preserve">Table </w:t>
      </w:r>
      <w:r w:rsidRPr="00210CB4">
        <w:rPr>
          <w:sz w:val="20"/>
          <w:szCs w:val="20"/>
        </w:rPr>
        <w:fldChar w:fldCharType="begin"/>
      </w:r>
      <w:r w:rsidRPr="00210CB4">
        <w:rPr>
          <w:sz w:val="20"/>
          <w:szCs w:val="20"/>
        </w:rPr>
        <w:instrText>SEQ Table \* ARABIC</w:instrText>
      </w:r>
      <w:r w:rsidRPr="00210CB4">
        <w:rPr>
          <w:sz w:val="20"/>
          <w:szCs w:val="20"/>
        </w:rPr>
        <w:fldChar w:fldCharType="separate"/>
      </w:r>
      <w:r w:rsidR="000761C1">
        <w:rPr>
          <w:noProof/>
          <w:sz w:val="20"/>
          <w:szCs w:val="20"/>
        </w:rPr>
        <w:t>17</w:t>
      </w:r>
      <w:r w:rsidRPr="00210CB4">
        <w:rPr>
          <w:sz w:val="20"/>
          <w:szCs w:val="20"/>
        </w:rPr>
        <w:fldChar w:fldCharType="end"/>
      </w:r>
      <w:bookmarkEnd w:id="351"/>
      <w:r w:rsidRPr="00210CB4">
        <w:rPr>
          <w:sz w:val="20"/>
          <w:szCs w:val="20"/>
        </w:rPr>
        <w:t xml:space="preserve">: </w:t>
      </w:r>
      <w:r w:rsidR="00B5354A" w:rsidRPr="00210CB4">
        <w:rPr>
          <w:sz w:val="20"/>
          <w:szCs w:val="20"/>
        </w:rPr>
        <w:t>Descriptions of physical damage states</w:t>
      </w:r>
      <w:r w:rsidR="002B68B2" w:rsidRPr="00210CB4">
        <w:rPr>
          <w:sz w:val="20"/>
          <w:szCs w:val="20"/>
        </w:rPr>
        <w:t xml:space="preserve"> due to in-plane deformation</w:t>
      </w:r>
      <w:r w:rsidR="00E25273" w:rsidRPr="00210CB4">
        <w:rPr>
          <w:sz w:val="20"/>
          <w:szCs w:val="20"/>
        </w:rPr>
        <w:t xml:space="preserve"> for</w:t>
      </w:r>
      <w:r w:rsidR="003C617C" w:rsidRPr="00210CB4">
        <w:rPr>
          <w:sz w:val="20"/>
          <w:szCs w:val="20"/>
        </w:rPr>
        <w:t xml:space="preserve"> </w:t>
      </w:r>
      <w:r w:rsidR="00E25273" w:rsidRPr="00210CB4">
        <w:rPr>
          <w:sz w:val="20"/>
          <w:szCs w:val="20"/>
        </w:rPr>
        <w:t>traditional plasterboard partitions subject to imposed</w:t>
      </w:r>
      <w:r w:rsidR="003C617C" w:rsidRPr="00210CB4">
        <w:rPr>
          <w:sz w:val="20"/>
          <w:szCs w:val="20"/>
        </w:rPr>
        <w:t xml:space="preserve"> interstorey drift</w:t>
      </w:r>
    </w:p>
    <w:tbl>
      <w:tblPr>
        <w:tblStyle w:val="TableGrid"/>
        <w:tblW w:w="14879"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A0" w:firstRow="1" w:lastRow="0" w:firstColumn="1" w:lastColumn="0" w:noHBand="0" w:noVBand="1"/>
      </w:tblPr>
      <w:tblGrid>
        <w:gridCol w:w="2396"/>
        <w:gridCol w:w="5591"/>
        <w:gridCol w:w="1650"/>
        <w:gridCol w:w="5242"/>
      </w:tblGrid>
      <w:tr w:rsidR="00084CF9" w:rsidRPr="00210CB4" w14:paraId="09171964" w14:textId="77777777" w:rsidTr="001D00F0">
        <w:trPr>
          <w:tblHeader/>
        </w:trPr>
        <w:tc>
          <w:tcPr>
            <w:tcW w:w="2396" w:type="dxa"/>
            <w:tcBorders>
              <w:top w:val="single" w:sz="12" w:space="0" w:color="003399" w:themeColor="accent2"/>
              <w:left w:val="nil"/>
              <w:bottom w:val="single" w:sz="12" w:space="0" w:color="003399" w:themeColor="accent2"/>
              <w:right w:val="single" w:sz="8" w:space="0" w:color="BFBFBF"/>
            </w:tcBorders>
            <w:shd w:val="clear" w:color="auto" w:fill="F6F4EC" w:themeFill="background1"/>
            <w:vAlign w:val="center"/>
          </w:tcPr>
          <w:p w14:paraId="7AAE24DC" w14:textId="3C6AE0B4" w:rsidR="00084CF9" w:rsidRPr="00210CB4" w:rsidRDefault="00084CF9" w:rsidP="00B179EB">
            <w:pPr>
              <w:spacing w:before="120" w:after="120"/>
              <w:rPr>
                <w:rFonts w:cs="Arial"/>
                <w:b/>
                <w:bCs/>
                <w:sz w:val="20"/>
                <w:szCs w:val="20"/>
              </w:rPr>
            </w:pPr>
            <w:r w:rsidRPr="00210CB4">
              <w:rPr>
                <w:rFonts w:cs="Arial"/>
                <w:b/>
                <w:bCs/>
                <w:sz w:val="20"/>
                <w:szCs w:val="20"/>
              </w:rPr>
              <w:t>Limit State and Wall Type</w:t>
            </w:r>
          </w:p>
        </w:tc>
        <w:tc>
          <w:tcPr>
            <w:tcW w:w="5591"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hemeFill="background1"/>
            <w:vAlign w:val="center"/>
          </w:tcPr>
          <w:p w14:paraId="05C8FAD2" w14:textId="37210A8C" w:rsidR="00084CF9" w:rsidRPr="00210CB4" w:rsidRDefault="001779AA" w:rsidP="00B179EB">
            <w:pPr>
              <w:spacing w:before="120" w:after="120"/>
              <w:rPr>
                <w:rFonts w:cs="Arial"/>
                <w:b/>
                <w:bCs/>
                <w:sz w:val="20"/>
                <w:szCs w:val="20"/>
              </w:rPr>
            </w:pPr>
            <w:r w:rsidRPr="00210CB4">
              <w:rPr>
                <w:rFonts w:cs="Arial"/>
                <w:b/>
                <w:bCs/>
                <w:sz w:val="20"/>
                <w:szCs w:val="20"/>
              </w:rPr>
              <w:t xml:space="preserve">Required </w:t>
            </w:r>
            <w:r w:rsidR="00084CF9" w:rsidRPr="00210CB4">
              <w:rPr>
                <w:rFonts w:cs="Arial"/>
                <w:b/>
                <w:bCs/>
                <w:sz w:val="20"/>
                <w:szCs w:val="20"/>
              </w:rPr>
              <w:t>Physical State</w:t>
            </w:r>
          </w:p>
        </w:tc>
        <w:tc>
          <w:tcPr>
            <w:tcW w:w="1650"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hemeFill="background1"/>
            <w:vAlign w:val="center"/>
          </w:tcPr>
          <w:p w14:paraId="0A4AF72D" w14:textId="77777777" w:rsidR="00084CF9" w:rsidRPr="00210CB4" w:rsidRDefault="00084CF9" w:rsidP="00B179EB">
            <w:pPr>
              <w:spacing w:before="120" w:after="120"/>
              <w:rPr>
                <w:rFonts w:cs="Arial"/>
                <w:b/>
                <w:bCs/>
                <w:sz w:val="20"/>
                <w:szCs w:val="20"/>
              </w:rPr>
            </w:pPr>
            <w:r w:rsidRPr="00210CB4">
              <w:rPr>
                <w:rFonts w:cs="Arial"/>
                <w:b/>
                <w:bCs/>
                <w:sz w:val="20"/>
                <w:szCs w:val="20"/>
              </w:rPr>
              <w:t>Recommended Drift Limit</w:t>
            </w:r>
          </w:p>
        </w:tc>
        <w:tc>
          <w:tcPr>
            <w:tcW w:w="5242" w:type="dxa"/>
            <w:tcBorders>
              <w:top w:val="single" w:sz="12" w:space="0" w:color="003399" w:themeColor="accent2"/>
              <w:left w:val="single" w:sz="8" w:space="0" w:color="BFBFBF"/>
              <w:bottom w:val="single" w:sz="12" w:space="0" w:color="003399" w:themeColor="accent2"/>
              <w:right w:val="nil"/>
            </w:tcBorders>
            <w:shd w:val="clear" w:color="auto" w:fill="F6F4EC" w:themeFill="background1"/>
            <w:vAlign w:val="center"/>
          </w:tcPr>
          <w:p w14:paraId="78F92541" w14:textId="3ECF0036" w:rsidR="00084CF9" w:rsidRPr="00210CB4" w:rsidRDefault="00084CF9" w:rsidP="00B179EB">
            <w:pPr>
              <w:spacing w:before="120" w:after="120"/>
              <w:rPr>
                <w:rFonts w:cs="Arial"/>
                <w:b/>
                <w:bCs/>
                <w:sz w:val="20"/>
                <w:szCs w:val="20"/>
              </w:rPr>
            </w:pPr>
            <w:r w:rsidRPr="00210CB4">
              <w:rPr>
                <w:rFonts w:cs="Arial"/>
                <w:b/>
                <w:bCs/>
                <w:sz w:val="20"/>
                <w:szCs w:val="20"/>
              </w:rPr>
              <w:t>Commentary</w:t>
            </w:r>
            <w:r w:rsidR="00A52714" w:rsidRPr="00210CB4">
              <w:rPr>
                <w:rFonts w:cs="Arial"/>
                <w:b/>
                <w:bCs/>
                <w:sz w:val="20"/>
                <w:szCs w:val="20"/>
              </w:rPr>
              <w:t xml:space="preserve"> on the damage state at the recommended drift limit</w:t>
            </w:r>
          </w:p>
        </w:tc>
      </w:tr>
      <w:tr w:rsidR="00084CF9" w:rsidRPr="00210CB4" w14:paraId="55A3E09E" w14:textId="77777777" w:rsidTr="00764430">
        <w:trPr>
          <w:cantSplit/>
        </w:trPr>
        <w:tc>
          <w:tcPr>
            <w:tcW w:w="2396" w:type="dxa"/>
            <w:tcBorders>
              <w:top w:val="single" w:sz="12" w:space="0" w:color="003399" w:themeColor="accent2"/>
              <w:left w:val="nil"/>
              <w:bottom w:val="single" w:sz="8" w:space="0" w:color="BFBFBF"/>
              <w:right w:val="single" w:sz="8" w:space="0" w:color="BFBFBF"/>
            </w:tcBorders>
            <w:vAlign w:val="center"/>
          </w:tcPr>
          <w:p w14:paraId="5635BEA9" w14:textId="77777777" w:rsidR="00084CF9" w:rsidRPr="00210CB4" w:rsidRDefault="00084CF9" w:rsidP="00B179EB">
            <w:pPr>
              <w:spacing w:before="120"/>
              <w:rPr>
                <w:rFonts w:cs="Arial"/>
                <w:sz w:val="20"/>
                <w:szCs w:val="20"/>
              </w:rPr>
            </w:pPr>
            <w:r w:rsidRPr="00210CB4">
              <w:rPr>
                <w:rFonts w:cs="Arial"/>
                <w:sz w:val="20"/>
                <w:szCs w:val="20"/>
              </w:rPr>
              <w:t>(Reference only)</w:t>
            </w:r>
          </w:p>
        </w:tc>
        <w:tc>
          <w:tcPr>
            <w:tcW w:w="5591" w:type="dxa"/>
            <w:tcBorders>
              <w:top w:val="single" w:sz="12" w:space="0" w:color="003399" w:themeColor="accent2"/>
              <w:left w:val="single" w:sz="8" w:space="0" w:color="BFBFBF"/>
              <w:bottom w:val="single" w:sz="8" w:space="0" w:color="BFBFBF"/>
              <w:right w:val="single" w:sz="8" w:space="0" w:color="BFBFBF"/>
            </w:tcBorders>
            <w:vAlign w:val="center"/>
          </w:tcPr>
          <w:p w14:paraId="66E02F1C" w14:textId="324454C6" w:rsidR="00084CF9" w:rsidRPr="00210CB4" w:rsidRDefault="00084CF9" w:rsidP="00B179EB">
            <w:pPr>
              <w:spacing w:before="120"/>
              <w:rPr>
                <w:rFonts w:cs="Arial"/>
                <w:b/>
                <w:bCs/>
                <w:sz w:val="20"/>
                <w:szCs w:val="20"/>
              </w:rPr>
            </w:pPr>
            <w:r w:rsidRPr="00210CB4">
              <w:rPr>
                <w:rFonts w:cs="Arial"/>
                <w:b/>
                <w:bCs/>
                <w:sz w:val="20"/>
                <w:szCs w:val="20"/>
              </w:rPr>
              <w:t>Significant Damage</w:t>
            </w:r>
          </w:p>
        </w:tc>
        <w:tc>
          <w:tcPr>
            <w:tcW w:w="1650" w:type="dxa"/>
            <w:tcBorders>
              <w:top w:val="single" w:sz="12" w:space="0" w:color="003399" w:themeColor="accent2"/>
              <w:left w:val="single" w:sz="8" w:space="0" w:color="BFBFBF"/>
              <w:bottom w:val="single" w:sz="8" w:space="0" w:color="BFBFBF"/>
              <w:right w:val="single" w:sz="8" w:space="0" w:color="BFBFBF"/>
            </w:tcBorders>
            <w:vAlign w:val="center"/>
          </w:tcPr>
          <w:p w14:paraId="417C3D95" w14:textId="0D774BBB" w:rsidR="00084CF9" w:rsidRPr="00210CB4" w:rsidRDefault="00084CF9" w:rsidP="00B179EB">
            <w:pPr>
              <w:spacing w:before="120"/>
              <w:jc w:val="center"/>
              <w:rPr>
                <w:rFonts w:cs="Arial"/>
                <w:sz w:val="20"/>
                <w:szCs w:val="20"/>
              </w:rPr>
            </w:pPr>
            <w:r w:rsidRPr="00210CB4">
              <w:rPr>
                <w:rFonts w:cs="Arial"/>
                <w:sz w:val="20"/>
                <w:szCs w:val="20"/>
              </w:rPr>
              <w:t>1.0%</w:t>
            </w:r>
          </w:p>
        </w:tc>
        <w:tc>
          <w:tcPr>
            <w:tcW w:w="5242" w:type="dxa"/>
            <w:tcBorders>
              <w:top w:val="single" w:sz="12" w:space="0" w:color="003399" w:themeColor="accent2"/>
              <w:left w:val="single" w:sz="8" w:space="0" w:color="BFBFBF"/>
              <w:bottom w:val="single" w:sz="8" w:space="0" w:color="BFBFBF"/>
              <w:right w:val="nil"/>
            </w:tcBorders>
            <w:vAlign w:val="center"/>
          </w:tcPr>
          <w:p w14:paraId="565352FF" w14:textId="77777777" w:rsidR="00084CF9" w:rsidRPr="00210CB4" w:rsidRDefault="00084CF9" w:rsidP="00B179EB">
            <w:pPr>
              <w:spacing w:before="120"/>
              <w:rPr>
                <w:rFonts w:cs="Arial"/>
                <w:sz w:val="20"/>
                <w:szCs w:val="20"/>
                <w:highlight w:val="yellow"/>
              </w:rPr>
            </w:pPr>
            <w:r w:rsidRPr="00210CB4">
              <w:rPr>
                <w:rFonts w:cs="Arial"/>
                <w:sz w:val="20"/>
                <w:szCs w:val="20"/>
              </w:rPr>
              <w:t>Severe cracking, crushing or out of plane buckling of the gypsum wallboards such that replacement of the wallboards becomes necessary. (FEMA P-58/BD-3.9.32 damage state 2). Deemed unacceptable for hospitals at SLS2.</w:t>
            </w:r>
          </w:p>
        </w:tc>
      </w:tr>
      <w:tr w:rsidR="00084CF9" w:rsidRPr="00210CB4" w14:paraId="242C3E48" w14:textId="77777777" w:rsidTr="00764430">
        <w:trPr>
          <w:cantSplit/>
        </w:trPr>
        <w:tc>
          <w:tcPr>
            <w:tcW w:w="2396" w:type="dxa"/>
            <w:tcBorders>
              <w:top w:val="single" w:sz="8" w:space="0" w:color="BFBFBF"/>
              <w:left w:val="nil"/>
              <w:bottom w:val="single" w:sz="8" w:space="0" w:color="BFBFBF"/>
              <w:right w:val="single" w:sz="8" w:space="0" w:color="BFBFBF"/>
            </w:tcBorders>
            <w:vAlign w:val="center"/>
          </w:tcPr>
          <w:p w14:paraId="13D44909" w14:textId="77777777" w:rsidR="001779AA" w:rsidRPr="00210CB4" w:rsidRDefault="00084CF9" w:rsidP="00B179EB">
            <w:pPr>
              <w:spacing w:before="120"/>
              <w:rPr>
                <w:rFonts w:cs="Arial"/>
                <w:sz w:val="20"/>
                <w:szCs w:val="20"/>
              </w:rPr>
            </w:pPr>
            <w:r w:rsidRPr="00210CB4">
              <w:rPr>
                <w:rFonts w:cs="Arial"/>
                <w:sz w:val="20"/>
                <w:szCs w:val="20"/>
              </w:rPr>
              <w:t>General partitions.</w:t>
            </w:r>
          </w:p>
          <w:p w14:paraId="0AED0164" w14:textId="4C696C62" w:rsidR="00084CF9" w:rsidRPr="00210CB4" w:rsidRDefault="00084CF9" w:rsidP="00B179EB">
            <w:pPr>
              <w:spacing w:before="120"/>
              <w:rPr>
                <w:rFonts w:cs="Arial"/>
                <w:sz w:val="20"/>
                <w:szCs w:val="20"/>
              </w:rPr>
            </w:pPr>
            <w:r w:rsidRPr="00210CB4">
              <w:rPr>
                <w:rFonts w:cs="Arial"/>
                <w:sz w:val="20"/>
                <w:szCs w:val="20"/>
              </w:rPr>
              <w:t xml:space="preserve">SLS2/DCLS </w:t>
            </w:r>
            <w:r w:rsidR="001779AA" w:rsidRPr="00210CB4">
              <w:rPr>
                <w:rFonts w:cs="Arial"/>
                <w:sz w:val="20"/>
                <w:szCs w:val="20"/>
              </w:rPr>
              <w:t>limit</w:t>
            </w:r>
          </w:p>
        </w:tc>
        <w:tc>
          <w:tcPr>
            <w:tcW w:w="5591" w:type="dxa"/>
            <w:tcBorders>
              <w:top w:val="single" w:sz="8" w:space="0" w:color="BFBFBF"/>
              <w:left w:val="single" w:sz="8" w:space="0" w:color="BFBFBF"/>
              <w:bottom w:val="single" w:sz="8" w:space="0" w:color="BFBFBF"/>
              <w:right w:val="single" w:sz="8" w:space="0" w:color="BFBFBF"/>
            </w:tcBorders>
            <w:vAlign w:val="center"/>
          </w:tcPr>
          <w:p w14:paraId="36D1B98C" w14:textId="7FC8183B" w:rsidR="002920E5" w:rsidRPr="00210CB4" w:rsidRDefault="00084CF9" w:rsidP="00B179EB">
            <w:pPr>
              <w:spacing w:before="120"/>
              <w:rPr>
                <w:rFonts w:cs="Arial"/>
                <w:b/>
                <w:bCs/>
                <w:sz w:val="20"/>
                <w:szCs w:val="20"/>
              </w:rPr>
            </w:pPr>
            <w:r w:rsidRPr="00210CB4">
              <w:rPr>
                <w:rFonts w:cs="Arial"/>
                <w:b/>
                <w:bCs/>
                <w:sz w:val="20"/>
                <w:szCs w:val="20"/>
              </w:rPr>
              <w:t>Damage locali</w:t>
            </w:r>
            <w:r w:rsidR="00FA0197" w:rsidRPr="00210CB4">
              <w:rPr>
                <w:rFonts w:cs="Arial"/>
                <w:b/>
                <w:bCs/>
                <w:sz w:val="20"/>
                <w:szCs w:val="20"/>
              </w:rPr>
              <w:t>s</w:t>
            </w:r>
            <w:r w:rsidRPr="00210CB4">
              <w:rPr>
                <w:rFonts w:cs="Arial"/>
                <w:b/>
                <w:bCs/>
                <w:sz w:val="20"/>
                <w:szCs w:val="20"/>
              </w:rPr>
              <w:t>ed, easily repairable and not impacting basic function.</w:t>
            </w:r>
          </w:p>
          <w:p w14:paraId="082E3DA0" w14:textId="77777777" w:rsidR="002920E5" w:rsidRPr="00210CB4" w:rsidRDefault="00084CF9" w:rsidP="00B179EB">
            <w:pPr>
              <w:spacing w:before="120"/>
              <w:rPr>
                <w:rFonts w:cs="Arial"/>
                <w:sz w:val="20"/>
                <w:szCs w:val="20"/>
              </w:rPr>
            </w:pPr>
            <w:r w:rsidRPr="00210CB4">
              <w:rPr>
                <w:rFonts w:cs="Arial"/>
                <w:sz w:val="20"/>
                <w:szCs w:val="20"/>
              </w:rPr>
              <w:t>Localised means not all walls should require repair, with most of the damage located around non-standard or stiff wall intersections or areas which are less practical to design for movement tolerance (i.e., the exception rather than the rule).</w:t>
            </w:r>
          </w:p>
          <w:p w14:paraId="415B13B3" w14:textId="63C142D8" w:rsidR="00084CF9" w:rsidRPr="00210CB4" w:rsidRDefault="00084CF9" w:rsidP="00B179EB">
            <w:pPr>
              <w:spacing w:before="120"/>
              <w:rPr>
                <w:rFonts w:cs="Arial"/>
                <w:sz w:val="20"/>
                <w:szCs w:val="20"/>
              </w:rPr>
            </w:pPr>
            <w:r w:rsidRPr="00210CB4">
              <w:rPr>
                <w:rFonts w:cs="Arial"/>
                <w:sz w:val="20"/>
                <w:szCs w:val="20"/>
              </w:rPr>
              <w:t>Easily repairable means mainly limited to cracking in plaster and paint along panel edges, isolated pull through or popping of fasteners. Repair should be predominantly sealant and/or plaster and paint. Repair may require some refixing in a handful of areas, but sheet replacement should not be required.</w:t>
            </w:r>
          </w:p>
        </w:tc>
        <w:tc>
          <w:tcPr>
            <w:tcW w:w="1650" w:type="dxa"/>
            <w:tcBorders>
              <w:top w:val="single" w:sz="8" w:space="0" w:color="BFBFBF"/>
              <w:left w:val="single" w:sz="8" w:space="0" w:color="BFBFBF"/>
              <w:bottom w:val="single" w:sz="8" w:space="0" w:color="BFBFBF"/>
              <w:right w:val="single" w:sz="8" w:space="0" w:color="BFBFBF"/>
            </w:tcBorders>
            <w:vAlign w:val="center"/>
          </w:tcPr>
          <w:p w14:paraId="5E0F809C" w14:textId="3F924C63" w:rsidR="00084CF9" w:rsidRPr="00210CB4" w:rsidRDefault="00084CF9" w:rsidP="00B179EB">
            <w:pPr>
              <w:spacing w:before="120"/>
              <w:jc w:val="center"/>
              <w:rPr>
                <w:rFonts w:cs="Arial"/>
                <w:sz w:val="20"/>
                <w:szCs w:val="20"/>
              </w:rPr>
            </w:pPr>
            <w:r w:rsidRPr="00210CB4">
              <w:rPr>
                <w:rFonts w:cs="Arial"/>
                <w:sz w:val="20"/>
                <w:szCs w:val="20"/>
              </w:rPr>
              <w:t>0.5%</w:t>
            </w:r>
          </w:p>
        </w:tc>
        <w:tc>
          <w:tcPr>
            <w:tcW w:w="5242" w:type="dxa"/>
            <w:tcBorders>
              <w:top w:val="single" w:sz="8" w:space="0" w:color="BFBFBF"/>
              <w:left w:val="single" w:sz="8" w:space="0" w:color="BFBFBF"/>
              <w:bottom w:val="single" w:sz="8" w:space="0" w:color="BFBFBF"/>
              <w:right w:val="nil"/>
            </w:tcBorders>
            <w:vAlign w:val="center"/>
          </w:tcPr>
          <w:p w14:paraId="13C5BE8F" w14:textId="10F0A32F" w:rsidR="00084CF9" w:rsidRPr="00210CB4" w:rsidRDefault="00A52714" w:rsidP="00B179EB">
            <w:pPr>
              <w:spacing w:before="120"/>
              <w:rPr>
                <w:rFonts w:cs="Arial"/>
                <w:sz w:val="20"/>
                <w:szCs w:val="20"/>
                <w:highlight w:val="yellow"/>
              </w:rPr>
            </w:pPr>
            <w:r w:rsidRPr="00210CB4">
              <w:rPr>
                <w:rFonts w:cs="Arial"/>
                <w:sz w:val="20"/>
                <w:szCs w:val="20"/>
              </w:rPr>
              <w:t>S</w:t>
            </w:r>
            <w:r w:rsidR="00084CF9" w:rsidRPr="00210CB4">
              <w:rPr>
                <w:rFonts w:cs="Arial"/>
                <w:sz w:val="20"/>
                <w:szCs w:val="20"/>
              </w:rPr>
              <w:t>crew pop</w:t>
            </w:r>
            <w:r w:rsidR="00084CF9" w:rsidRPr="00210CB4">
              <w:rPr>
                <w:rFonts w:ascii="Cambria Math" w:hAnsi="Cambria Math" w:cs="Cambria Math"/>
                <w:sz w:val="20"/>
                <w:szCs w:val="20"/>
              </w:rPr>
              <w:t>‐</w:t>
            </w:r>
            <w:r w:rsidR="00084CF9" w:rsidRPr="00210CB4">
              <w:rPr>
                <w:rFonts w:cs="Arial"/>
                <w:sz w:val="20"/>
                <w:szCs w:val="20"/>
              </w:rPr>
              <w:t>out, cracking of wall board, warping or cracking of tape, slight crushing of wall panel at corners</w:t>
            </w:r>
            <w:r w:rsidR="00A43953" w:rsidRPr="00210CB4">
              <w:rPr>
                <w:rFonts w:cs="Arial"/>
                <w:sz w:val="20"/>
                <w:szCs w:val="20"/>
              </w:rPr>
              <w:t xml:space="preserve">. </w:t>
            </w:r>
            <w:r w:rsidR="00084CF9" w:rsidRPr="00210CB4">
              <w:rPr>
                <w:rFonts w:cs="Arial"/>
                <w:sz w:val="20"/>
                <w:szCs w:val="20"/>
              </w:rPr>
              <w:t>(FEMA P-58/BD-3.9.32 damage state 1). Aligned to Ministry of Education and LDSD recommendations.</w:t>
            </w:r>
          </w:p>
        </w:tc>
      </w:tr>
      <w:tr w:rsidR="00084CF9" w:rsidRPr="00210CB4" w14:paraId="021C3762" w14:textId="77777777" w:rsidTr="001D00F0">
        <w:tc>
          <w:tcPr>
            <w:tcW w:w="2396" w:type="dxa"/>
            <w:tcBorders>
              <w:top w:val="single" w:sz="8" w:space="0" w:color="BFBFBF"/>
              <w:left w:val="nil"/>
              <w:bottom w:val="single" w:sz="8" w:space="0" w:color="BFBFBF"/>
              <w:right w:val="single" w:sz="8" w:space="0" w:color="BFBFBF"/>
            </w:tcBorders>
            <w:vAlign w:val="center"/>
          </w:tcPr>
          <w:p w14:paraId="2CB8611E" w14:textId="77777777" w:rsidR="001779AA" w:rsidRPr="00210CB4" w:rsidRDefault="001779AA" w:rsidP="00B179EB">
            <w:pPr>
              <w:spacing w:before="120"/>
              <w:rPr>
                <w:rFonts w:cs="Arial"/>
                <w:sz w:val="20"/>
                <w:szCs w:val="20"/>
              </w:rPr>
            </w:pPr>
            <w:r w:rsidRPr="00210CB4">
              <w:rPr>
                <w:rFonts w:cs="Arial"/>
                <w:sz w:val="20"/>
                <w:szCs w:val="20"/>
              </w:rPr>
              <w:t>Plasterboard f</w:t>
            </w:r>
            <w:r w:rsidR="00084CF9" w:rsidRPr="00210CB4">
              <w:rPr>
                <w:rFonts w:cs="Arial"/>
                <w:sz w:val="20"/>
                <w:szCs w:val="20"/>
              </w:rPr>
              <w:t xml:space="preserve">ire </w:t>
            </w:r>
            <w:r w:rsidRPr="00210CB4">
              <w:rPr>
                <w:rFonts w:cs="Arial"/>
                <w:sz w:val="20"/>
                <w:szCs w:val="20"/>
              </w:rPr>
              <w:t>separations</w:t>
            </w:r>
            <w:r w:rsidR="00084CF9" w:rsidRPr="00210CB4">
              <w:rPr>
                <w:rFonts w:cs="Arial"/>
                <w:sz w:val="20"/>
                <w:szCs w:val="20"/>
              </w:rPr>
              <w:t>.</w:t>
            </w:r>
          </w:p>
          <w:p w14:paraId="505E0AD3" w14:textId="107E0755" w:rsidR="00084CF9" w:rsidRPr="00210CB4" w:rsidRDefault="00084CF9" w:rsidP="00B179EB">
            <w:pPr>
              <w:spacing w:before="120"/>
              <w:rPr>
                <w:rFonts w:cs="Arial"/>
                <w:sz w:val="20"/>
                <w:szCs w:val="20"/>
              </w:rPr>
            </w:pPr>
            <w:r w:rsidRPr="00210CB4">
              <w:rPr>
                <w:rFonts w:cs="Arial"/>
                <w:sz w:val="20"/>
                <w:szCs w:val="20"/>
              </w:rPr>
              <w:t xml:space="preserve">SLS2/DCLS </w:t>
            </w:r>
            <w:r w:rsidR="001779AA" w:rsidRPr="00210CB4">
              <w:rPr>
                <w:rFonts w:cs="Arial"/>
                <w:sz w:val="20"/>
                <w:szCs w:val="20"/>
              </w:rPr>
              <w:t>limit</w:t>
            </w:r>
          </w:p>
        </w:tc>
        <w:tc>
          <w:tcPr>
            <w:tcW w:w="5591" w:type="dxa"/>
            <w:tcBorders>
              <w:top w:val="single" w:sz="8" w:space="0" w:color="BFBFBF"/>
              <w:left w:val="single" w:sz="8" w:space="0" w:color="BFBFBF"/>
              <w:bottom w:val="single" w:sz="8" w:space="0" w:color="BFBFBF"/>
              <w:right w:val="single" w:sz="8" w:space="0" w:color="BFBFBF"/>
            </w:tcBorders>
            <w:vAlign w:val="center"/>
          </w:tcPr>
          <w:p w14:paraId="016E72F4" w14:textId="77777777" w:rsidR="002920E5" w:rsidRPr="00210CB4" w:rsidRDefault="00084CF9" w:rsidP="00B179EB">
            <w:pPr>
              <w:spacing w:before="120"/>
              <w:rPr>
                <w:rFonts w:cs="Arial"/>
                <w:b/>
                <w:bCs/>
                <w:sz w:val="20"/>
                <w:szCs w:val="20"/>
              </w:rPr>
            </w:pPr>
            <w:r w:rsidRPr="00210CB4">
              <w:rPr>
                <w:rFonts w:cs="Arial"/>
                <w:b/>
                <w:bCs/>
                <w:sz w:val="20"/>
                <w:szCs w:val="20"/>
              </w:rPr>
              <w:t>Damage limited to that which can maintain reasonably adequate passive fire resistance.</w:t>
            </w:r>
          </w:p>
          <w:p w14:paraId="49AC175B" w14:textId="5F4BFE7A" w:rsidR="00537D5E" w:rsidRPr="00210CB4" w:rsidRDefault="00084CF9" w:rsidP="00B179EB">
            <w:pPr>
              <w:spacing w:before="120"/>
              <w:rPr>
                <w:rFonts w:cs="Arial"/>
                <w:sz w:val="20"/>
                <w:szCs w:val="20"/>
              </w:rPr>
            </w:pPr>
            <w:r w:rsidRPr="00210CB4">
              <w:rPr>
                <w:rFonts w:cs="Arial"/>
                <w:sz w:val="20"/>
                <w:szCs w:val="20"/>
              </w:rPr>
              <w:t>This means that the level of assurance in the performance of fire safety systems can be reduced compared with newly installed compliant/tested systems. However, there should be reasonable confidence in the expected performance of safety systems to provide basic protection in the event of a credible fire scenario—in conjunction with practical enhanced management strategies.</w:t>
            </w:r>
          </w:p>
          <w:p w14:paraId="3F6D7519" w14:textId="203AC2B6" w:rsidR="002920E5" w:rsidRPr="00210CB4" w:rsidRDefault="00084CF9" w:rsidP="00B179EB">
            <w:pPr>
              <w:spacing w:before="120"/>
              <w:rPr>
                <w:rFonts w:cs="Arial"/>
                <w:sz w:val="20"/>
                <w:szCs w:val="20"/>
              </w:rPr>
            </w:pPr>
            <w:r w:rsidRPr="00210CB4">
              <w:rPr>
                <w:rFonts w:cs="Arial"/>
                <w:sz w:val="20"/>
                <w:szCs w:val="20"/>
              </w:rPr>
              <w:t>This will need to deliver the required level of functional continuity (as defined in the Outcome Objectives and Building Performance Goals) until repairs can be carried out as part of a return to Normal Operations</w:t>
            </w:r>
            <w:r w:rsidR="00A43953" w:rsidRPr="00210CB4">
              <w:rPr>
                <w:rFonts w:cs="Arial"/>
                <w:sz w:val="20"/>
                <w:szCs w:val="20"/>
              </w:rPr>
              <w:t xml:space="preserve">. </w:t>
            </w:r>
            <w:r w:rsidRPr="00210CB4">
              <w:rPr>
                <w:rFonts w:cs="Arial"/>
                <w:sz w:val="20"/>
                <w:szCs w:val="20"/>
              </w:rPr>
              <w:t xml:space="preserve">This is indicated graphically in Section </w:t>
            </w:r>
            <w:r w:rsidR="00F760C3">
              <w:rPr>
                <w:rFonts w:cs="Arial"/>
                <w:sz w:val="20"/>
                <w:szCs w:val="20"/>
              </w:rPr>
              <w:fldChar w:fldCharType="begin"/>
            </w:r>
            <w:r w:rsidR="00F760C3">
              <w:rPr>
                <w:rFonts w:cs="Arial"/>
                <w:sz w:val="20"/>
                <w:szCs w:val="20"/>
              </w:rPr>
              <w:instrText xml:space="preserve"> REF _Ref157204226 \r \h </w:instrText>
            </w:r>
            <w:r w:rsidR="00F760C3">
              <w:rPr>
                <w:rFonts w:cs="Arial"/>
                <w:sz w:val="20"/>
                <w:szCs w:val="20"/>
              </w:rPr>
            </w:r>
            <w:r w:rsidR="00F760C3">
              <w:rPr>
                <w:rFonts w:cs="Arial"/>
                <w:sz w:val="20"/>
                <w:szCs w:val="20"/>
              </w:rPr>
              <w:fldChar w:fldCharType="separate"/>
            </w:r>
            <w:r w:rsidR="00F760C3">
              <w:rPr>
                <w:rFonts w:cs="Arial"/>
                <w:sz w:val="20"/>
                <w:szCs w:val="20"/>
              </w:rPr>
              <w:t>B2.3</w:t>
            </w:r>
            <w:r w:rsidR="00F760C3">
              <w:rPr>
                <w:rFonts w:cs="Arial"/>
                <w:sz w:val="20"/>
                <w:szCs w:val="20"/>
              </w:rPr>
              <w:fldChar w:fldCharType="end"/>
            </w:r>
            <w:r w:rsidRPr="00210CB4">
              <w:rPr>
                <w:rFonts w:cs="Arial"/>
                <w:sz w:val="20"/>
                <w:szCs w:val="20"/>
              </w:rPr>
              <w:t xml:space="preserve">, </w:t>
            </w:r>
            <w:r w:rsidR="0064366B">
              <w:rPr>
                <w:rFonts w:cs="Arial"/>
                <w:sz w:val="20"/>
                <w:szCs w:val="20"/>
              </w:rPr>
              <w:fldChar w:fldCharType="begin"/>
            </w:r>
            <w:r w:rsidR="0064366B">
              <w:rPr>
                <w:rFonts w:cs="Arial"/>
                <w:sz w:val="20"/>
                <w:szCs w:val="20"/>
              </w:rPr>
              <w:instrText xml:space="preserve"> REF _Ref151968348 \h </w:instrText>
            </w:r>
            <w:r w:rsidR="0064366B">
              <w:rPr>
                <w:rFonts w:cs="Arial"/>
                <w:sz w:val="20"/>
                <w:szCs w:val="20"/>
              </w:rPr>
            </w:r>
            <w:r w:rsidR="0064366B">
              <w:rPr>
                <w:rFonts w:cs="Arial"/>
                <w:sz w:val="20"/>
                <w:szCs w:val="20"/>
              </w:rPr>
              <w:fldChar w:fldCharType="separate"/>
            </w:r>
            <w:r w:rsidR="0064366B" w:rsidRPr="003B67C8">
              <w:rPr>
                <w:sz w:val="20"/>
                <w:szCs w:val="20"/>
              </w:rPr>
              <w:t xml:space="preserve">Figure </w:t>
            </w:r>
            <w:r w:rsidR="0064366B">
              <w:rPr>
                <w:noProof/>
                <w:sz w:val="20"/>
                <w:szCs w:val="20"/>
              </w:rPr>
              <w:t>6</w:t>
            </w:r>
            <w:r w:rsidR="0064366B">
              <w:rPr>
                <w:rFonts w:cs="Arial"/>
                <w:sz w:val="20"/>
                <w:szCs w:val="20"/>
              </w:rPr>
              <w:fldChar w:fldCharType="end"/>
            </w:r>
            <w:r w:rsidRPr="0064366B">
              <w:rPr>
                <w:rFonts w:cs="Arial"/>
                <w:sz w:val="20"/>
                <w:szCs w:val="20"/>
              </w:rPr>
              <w:t>.</w:t>
            </w:r>
          </w:p>
          <w:p w14:paraId="42D2231C" w14:textId="039D2A53" w:rsidR="00084CF9" w:rsidRPr="00210CB4" w:rsidRDefault="00084CF9" w:rsidP="00B179EB">
            <w:pPr>
              <w:spacing w:before="120"/>
              <w:rPr>
                <w:rFonts w:cs="Arial"/>
                <w:sz w:val="20"/>
                <w:szCs w:val="20"/>
              </w:rPr>
            </w:pPr>
            <w:r w:rsidRPr="00210CB4">
              <w:rPr>
                <w:rFonts w:cs="Arial"/>
                <w:sz w:val="20"/>
                <w:szCs w:val="20"/>
              </w:rPr>
              <w:lastRenderedPageBreak/>
              <w:t>Refer also to Fitout Elements—Partitions section.</w:t>
            </w:r>
          </w:p>
        </w:tc>
        <w:tc>
          <w:tcPr>
            <w:tcW w:w="1650" w:type="dxa"/>
            <w:tcBorders>
              <w:top w:val="single" w:sz="8" w:space="0" w:color="BFBFBF"/>
              <w:left w:val="single" w:sz="8" w:space="0" w:color="BFBFBF"/>
              <w:bottom w:val="single" w:sz="8" w:space="0" w:color="BFBFBF"/>
              <w:right w:val="single" w:sz="8" w:space="0" w:color="BFBFBF"/>
            </w:tcBorders>
            <w:vAlign w:val="center"/>
          </w:tcPr>
          <w:p w14:paraId="1299B693" w14:textId="14B1A96C" w:rsidR="00084CF9" w:rsidRPr="00210CB4" w:rsidRDefault="00084CF9" w:rsidP="00B179EB">
            <w:pPr>
              <w:spacing w:before="120"/>
              <w:jc w:val="center"/>
              <w:rPr>
                <w:rFonts w:cs="Arial"/>
                <w:sz w:val="20"/>
                <w:szCs w:val="20"/>
              </w:rPr>
            </w:pPr>
            <w:r w:rsidRPr="00210CB4">
              <w:rPr>
                <w:rFonts w:cs="Arial"/>
                <w:sz w:val="20"/>
                <w:szCs w:val="20"/>
              </w:rPr>
              <w:lastRenderedPageBreak/>
              <w:t>0.</w:t>
            </w:r>
            <w:r w:rsidR="00892361" w:rsidRPr="00210CB4">
              <w:rPr>
                <w:rFonts w:cs="Arial"/>
                <w:sz w:val="20"/>
                <w:szCs w:val="20"/>
              </w:rPr>
              <w:t>5</w:t>
            </w:r>
            <w:r w:rsidRPr="00210CB4">
              <w:rPr>
                <w:rFonts w:cs="Arial"/>
                <w:sz w:val="20"/>
                <w:szCs w:val="20"/>
              </w:rPr>
              <w:t>%</w:t>
            </w:r>
          </w:p>
        </w:tc>
        <w:tc>
          <w:tcPr>
            <w:tcW w:w="5242" w:type="dxa"/>
            <w:tcBorders>
              <w:top w:val="single" w:sz="8" w:space="0" w:color="BFBFBF"/>
              <w:left w:val="single" w:sz="8" w:space="0" w:color="BFBFBF"/>
              <w:bottom w:val="single" w:sz="8" w:space="0" w:color="BFBFBF"/>
              <w:right w:val="nil"/>
            </w:tcBorders>
            <w:vAlign w:val="center"/>
          </w:tcPr>
          <w:p w14:paraId="2DFDF13B" w14:textId="70F6D2EC" w:rsidR="00084CF9" w:rsidRPr="00210CB4" w:rsidRDefault="005B43F5" w:rsidP="00B179EB">
            <w:pPr>
              <w:spacing w:before="120"/>
              <w:rPr>
                <w:rFonts w:cs="Arial"/>
                <w:sz w:val="20"/>
                <w:szCs w:val="20"/>
                <w:highlight w:val="yellow"/>
              </w:rPr>
            </w:pPr>
            <w:r w:rsidRPr="00210CB4">
              <w:rPr>
                <w:rFonts w:cs="Arial"/>
                <w:sz w:val="20"/>
                <w:szCs w:val="20"/>
              </w:rPr>
              <w:t>S</w:t>
            </w:r>
            <w:r w:rsidR="00084CF9" w:rsidRPr="00210CB4">
              <w:rPr>
                <w:rFonts w:cs="Arial"/>
                <w:sz w:val="20"/>
                <w:szCs w:val="20"/>
              </w:rPr>
              <w:t>crew pop</w:t>
            </w:r>
            <w:r w:rsidR="00084CF9" w:rsidRPr="00210CB4">
              <w:rPr>
                <w:rFonts w:ascii="Cambria Math" w:hAnsi="Cambria Math" w:cs="Cambria Math"/>
                <w:sz w:val="20"/>
                <w:szCs w:val="20"/>
              </w:rPr>
              <w:t>‐</w:t>
            </w:r>
            <w:r w:rsidR="00084CF9" w:rsidRPr="00210CB4">
              <w:rPr>
                <w:rFonts w:cs="Arial"/>
                <w:sz w:val="20"/>
                <w:szCs w:val="20"/>
              </w:rPr>
              <w:t xml:space="preserve">out, cracking of wall board, warping, or cracking of tape, slight crushing of wall panel at corners (FEMA P-58/BD-3.9.32 damage state 1). Aligned to median </w:t>
            </w:r>
            <w:r w:rsidR="004D3BCA" w:rsidRPr="00210CB4">
              <w:rPr>
                <w:rFonts w:cs="Arial"/>
                <w:sz w:val="20"/>
                <w:szCs w:val="20"/>
              </w:rPr>
              <w:t>demand data</w:t>
            </w:r>
            <w:r w:rsidR="00084CF9" w:rsidRPr="00210CB4">
              <w:rPr>
                <w:rFonts w:cs="Arial"/>
                <w:sz w:val="20"/>
                <w:szCs w:val="20"/>
              </w:rPr>
              <w:t xml:space="preserve"> from FEMA P-58/BD-3.9.32.</w:t>
            </w:r>
          </w:p>
        </w:tc>
      </w:tr>
      <w:tr w:rsidR="00011A14" w:rsidRPr="00210CB4" w14:paraId="6281F4D9" w14:textId="32AA2552" w:rsidTr="00E41FD1">
        <w:trPr>
          <w:cantSplit/>
        </w:trPr>
        <w:tc>
          <w:tcPr>
            <w:tcW w:w="2396" w:type="dxa"/>
            <w:tcBorders>
              <w:top w:val="single" w:sz="8" w:space="0" w:color="BFBFBF"/>
              <w:left w:val="nil"/>
              <w:bottom w:val="single" w:sz="8" w:space="0" w:color="BFBFBF"/>
              <w:right w:val="single" w:sz="8" w:space="0" w:color="BFBFBF"/>
            </w:tcBorders>
            <w:vAlign w:val="bottom"/>
          </w:tcPr>
          <w:p w14:paraId="0F856101" w14:textId="77777777" w:rsidR="00011A14" w:rsidRPr="00210CB4" w:rsidRDefault="00011A14" w:rsidP="00E41FD1">
            <w:pPr>
              <w:spacing w:before="120"/>
              <w:rPr>
                <w:rFonts w:cs="Arial"/>
                <w:sz w:val="20"/>
                <w:szCs w:val="20"/>
              </w:rPr>
            </w:pPr>
            <w:r w:rsidRPr="00210CB4">
              <w:rPr>
                <w:rFonts w:cs="Arial"/>
                <w:sz w:val="20"/>
                <w:szCs w:val="20"/>
              </w:rPr>
              <w:t>Partitions requiring air tightness for clinical isolation or biocontainment. SLS2/DCLS requirement</w:t>
            </w:r>
          </w:p>
        </w:tc>
        <w:tc>
          <w:tcPr>
            <w:tcW w:w="5591" w:type="dxa"/>
            <w:tcBorders>
              <w:top w:val="single" w:sz="8" w:space="0" w:color="BFBFBF"/>
              <w:left w:val="single" w:sz="8" w:space="0" w:color="BFBFBF"/>
              <w:bottom w:val="single" w:sz="8" w:space="0" w:color="BFBFBF"/>
              <w:right w:val="single" w:sz="8" w:space="0" w:color="BFBFBF"/>
            </w:tcBorders>
            <w:vAlign w:val="center"/>
          </w:tcPr>
          <w:p w14:paraId="5B431A98" w14:textId="77777777" w:rsidR="002920E5" w:rsidRPr="00210CB4" w:rsidRDefault="00011A14" w:rsidP="00B179EB">
            <w:pPr>
              <w:spacing w:before="120"/>
              <w:rPr>
                <w:rFonts w:cs="Arial"/>
                <w:b/>
                <w:bCs/>
                <w:sz w:val="20"/>
                <w:szCs w:val="20"/>
              </w:rPr>
            </w:pPr>
            <w:r w:rsidRPr="00210CB4">
              <w:rPr>
                <w:rFonts w:cs="Arial"/>
                <w:b/>
                <w:bCs/>
                <w:sz w:val="20"/>
                <w:szCs w:val="20"/>
              </w:rPr>
              <w:t>Essentially undamaged where partitions perform an air tightness function for clinical isolation.</w:t>
            </w:r>
          </w:p>
          <w:p w14:paraId="0AE711E6" w14:textId="13DBD435" w:rsidR="00011A14" w:rsidRPr="00210CB4" w:rsidRDefault="00011A14" w:rsidP="00B179EB">
            <w:pPr>
              <w:spacing w:before="120"/>
              <w:rPr>
                <w:rFonts w:cs="Arial"/>
                <w:sz w:val="20"/>
                <w:szCs w:val="20"/>
              </w:rPr>
            </w:pPr>
            <w:r w:rsidRPr="00210CB4">
              <w:rPr>
                <w:rFonts w:cs="Arial"/>
                <w:sz w:val="20"/>
                <w:szCs w:val="20"/>
              </w:rPr>
              <w:t>However, some compromise tolerable if this level of protection is impractical or where additional flexible air barriers are provided.</w:t>
            </w:r>
            <w:r w:rsidR="00D36A00" w:rsidRPr="00210CB4">
              <w:rPr>
                <w:rFonts w:cs="Arial"/>
                <w:sz w:val="20"/>
                <w:szCs w:val="20"/>
              </w:rPr>
              <w:t xml:space="preserve"> Refer</w:t>
            </w:r>
            <w:r w:rsidR="004B2375" w:rsidRPr="00210CB4">
              <w:rPr>
                <w:rFonts w:cs="Arial"/>
                <w:sz w:val="20"/>
                <w:szCs w:val="20"/>
              </w:rPr>
              <w:t xml:space="preserve"> to the</w:t>
            </w:r>
            <w:r w:rsidR="00D36A00" w:rsidRPr="00210CB4">
              <w:rPr>
                <w:rFonts w:cs="Arial"/>
                <w:sz w:val="20"/>
                <w:szCs w:val="20"/>
              </w:rPr>
              <w:t xml:space="preserve"> additional commentary in footnote to </w:t>
            </w:r>
            <w:r w:rsidR="00D84668" w:rsidRPr="00210CB4">
              <w:rPr>
                <w:rFonts w:cs="Arial"/>
                <w:sz w:val="20"/>
                <w:szCs w:val="20"/>
              </w:rPr>
              <w:fldChar w:fldCharType="begin"/>
            </w:r>
            <w:r w:rsidR="00D84668" w:rsidRPr="00764430">
              <w:rPr>
                <w:rFonts w:cs="Arial"/>
                <w:sz w:val="22"/>
                <w:szCs w:val="22"/>
              </w:rPr>
              <w:instrText xml:space="preserve"> REF _Ref152824069 \h </w:instrText>
            </w:r>
            <w:r w:rsidR="002B590D" w:rsidRPr="00764430">
              <w:rPr>
                <w:rFonts w:cs="Arial"/>
                <w:sz w:val="22"/>
                <w:szCs w:val="22"/>
              </w:rPr>
              <w:instrText xml:space="preserve"> \* MERGEFORMAT </w:instrText>
            </w:r>
            <w:r w:rsidR="00D84668" w:rsidRPr="00210CB4">
              <w:rPr>
                <w:rFonts w:cs="Arial"/>
                <w:sz w:val="20"/>
                <w:szCs w:val="20"/>
              </w:rPr>
            </w:r>
            <w:r w:rsidR="00D84668" w:rsidRPr="00210CB4">
              <w:rPr>
                <w:rFonts w:cs="Arial"/>
                <w:sz w:val="20"/>
                <w:szCs w:val="20"/>
              </w:rPr>
              <w:fldChar w:fldCharType="separate"/>
            </w:r>
            <w:r w:rsidR="000761C1" w:rsidRPr="000761C1">
              <w:rPr>
                <w:rFonts w:cs="Arial"/>
                <w:sz w:val="20"/>
                <w:szCs w:val="20"/>
              </w:rPr>
              <w:t xml:space="preserve">Table </w:t>
            </w:r>
            <w:r w:rsidR="000761C1" w:rsidRPr="000761C1">
              <w:rPr>
                <w:rFonts w:cs="Arial"/>
                <w:noProof/>
                <w:sz w:val="20"/>
                <w:szCs w:val="20"/>
              </w:rPr>
              <w:t>17</w:t>
            </w:r>
            <w:r w:rsidR="00D84668" w:rsidRPr="00210CB4">
              <w:rPr>
                <w:rFonts w:cs="Arial"/>
                <w:sz w:val="20"/>
                <w:szCs w:val="20"/>
              </w:rPr>
              <w:fldChar w:fldCharType="end"/>
            </w:r>
            <w:r w:rsidR="002B590D" w:rsidRPr="00210CB4">
              <w:rPr>
                <w:rFonts w:cs="Arial"/>
                <w:sz w:val="20"/>
                <w:szCs w:val="20"/>
              </w:rPr>
              <w:t>.</w:t>
            </w:r>
          </w:p>
        </w:tc>
        <w:tc>
          <w:tcPr>
            <w:tcW w:w="1650" w:type="dxa"/>
            <w:tcBorders>
              <w:top w:val="single" w:sz="8" w:space="0" w:color="BFBFBF"/>
              <w:left w:val="single" w:sz="8" w:space="0" w:color="BFBFBF"/>
              <w:bottom w:val="single" w:sz="8" w:space="0" w:color="BFBFBF"/>
              <w:right w:val="single" w:sz="8" w:space="0" w:color="BFBFBF"/>
            </w:tcBorders>
            <w:vAlign w:val="center"/>
          </w:tcPr>
          <w:p w14:paraId="5DA66750" w14:textId="781CE52D" w:rsidR="00011A14" w:rsidRPr="00210CB4" w:rsidRDefault="00011A14" w:rsidP="00A71CDB">
            <w:pPr>
              <w:jc w:val="center"/>
              <w:rPr>
                <w:rFonts w:cs="Arial"/>
                <w:sz w:val="20"/>
                <w:szCs w:val="20"/>
              </w:rPr>
            </w:pPr>
            <w:r w:rsidRPr="00210CB4">
              <w:rPr>
                <w:rFonts w:cs="Arial"/>
                <w:sz w:val="20"/>
                <w:szCs w:val="20"/>
              </w:rPr>
              <w:t>0.</w:t>
            </w:r>
            <w:r w:rsidR="00892361" w:rsidRPr="00210CB4">
              <w:rPr>
                <w:rFonts w:cs="Arial"/>
                <w:sz w:val="20"/>
                <w:szCs w:val="20"/>
              </w:rPr>
              <w:t>5</w:t>
            </w:r>
            <w:r w:rsidRPr="00210CB4">
              <w:rPr>
                <w:rFonts w:cs="Arial"/>
                <w:sz w:val="20"/>
                <w:szCs w:val="20"/>
              </w:rPr>
              <w:t>%</w:t>
            </w:r>
          </w:p>
          <w:p w14:paraId="62CE59DF" w14:textId="5DB2C546" w:rsidR="00C558FA" w:rsidRPr="00210CB4" w:rsidRDefault="00C558FA" w:rsidP="00A71CDB">
            <w:pPr>
              <w:jc w:val="center"/>
              <w:rPr>
                <w:rFonts w:cs="Arial"/>
                <w:sz w:val="20"/>
                <w:szCs w:val="20"/>
              </w:rPr>
            </w:pPr>
            <w:r w:rsidRPr="00210CB4">
              <w:rPr>
                <w:rFonts w:cs="Arial"/>
                <w:sz w:val="20"/>
                <w:szCs w:val="20"/>
              </w:rPr>
              <w:br/>
            </w:r>
          </w:p>
          <w:p w14:paraId="53D66232" w14:textId="64EC6D70" w:rsidR="00011A14" w:rsidRPr="00210CB4" w:rsidRDefault="00011A14" w:rsidP="00A71CDB">
            <w:pPr>
              <w:jc w:val="center"/>
              <w:rPr>
                <w:rFonts w:cs="Arial"/>
                <w:sz w:val="20"/>
                <w:szCs w:val="20"/>
                <w:highlight w:val="yellow"/>
              </w:rPr>
            </w:pPr>
            <w:r w:rsidRPr="00210CB4">
              <w:rPr>
                <w:rFonts w:cs="Arial"/>
                <w:sz w:val="20"/>
                <w:szCs w:val="20"/>
              </w:rPr>
              <w:t>0.2%</w:t>
            </w:r>
          </w:p>
        </w:tc>
        <w:tc>
          <w:tcPr>
            <w:tcW w:w="5242" w:type="dxa"/>
            <w:tcBorders>
              <w:top w:val="single" w:sz="8" w:space="0" w:color="BFBFBF"/>
              <w:left w:val="single" w:sz="8" w:space="0" w:color="BFBFBF"/>
              <w:bottom w:val="single" w:sz="8" w:space="0" w:color="BFBFBF"/>
              <w:right w:val="nil"/>
            </w:tcBorders>
            <w:vAlign w:val="center"/>
          </w:tcPr>
          <w:p w14:paraId="672C569C" w14:textId="181B4463" w:rsidR="00011A14" w:rsidRPr="00210CB4" w:rsidRDefault="00011A14" w:rsidP="00B179EB">
            <w:pPr>
              <w:spacing w:before="120"/>
              <w:rPr>
                <w:rFonts w:cs="Arial"/>
                <w:sz w:val="20"/>
                <w:szCs w:val="20"/>
              </w:rPr>
            </w:pPr>
            <w:r w:rsidRPr="00210CB4">
              <w:rPr>
                <w:rFonts w:cs="Arial"/>
                <w:sz w:val="20"/>
                <w:szCs w:val="20"/>
              </w:rPr>
              <w:t>Where (normal) mechanical air control measures are likely to remain active and aid air tightness</w:t>
            </w:r>
            <w:r w:rsidR="00C558FA" w:rsidRPr="00210CB4">
              <w:rPr>
                <w:rFonts w:cs="Arial"/>
                <w:sz w:val="20"/>
                <w:szCs w:val="20"/>
              </w:rPr>
              <w:t xml:space="preserve"> (or where additional flexible air barriers are provided)</w:t>
            </w:r>
            <w:r w:rsidRPr="00210CB4">
              <w:rPr>
                <w:rFonts w:cs="Arial"/>
                <w:sz w:val="20"/>
                <w:szCs w:val="20"/>
              </w:rPr>
              <w:t xml:space="preserve">, </w:t>
            </w:r>
            <w:r w:rsidR="000559A2" w:rsidRPr="00210CB4">
              <w:rPr>
                <w:rFonts w:cs="Arial"/>
                <w:sz w:val="20"/>
                <w:szCs w:val="20"/>
              </w:rPr>
              <w:t>similar to f</w:t>
            </w:r>
            <w:r w:rsidRPr="00210CB4">
              <w:rPr>
                <w:rFonts w:cs="Arial"/>
                <w:sz w:val="20"/>
                <w:szCs w:val="20"/>
              </w:rPr>
              <w:t xml:space="preserve">ire </w:t>
            </w:r>
            <w:r w:rsidR="000559A2" w:rsidRPr="00210CB4">
              <w:rPr>
                <w:rFonts w:cs="Arial"/>
                <w:sz w:val="20"/>
                <w:szCs w:val="20"/>
              </w:rPr>
              <w:t>separations</w:t>
            </w:r>
            <w:r w:rsidR="0091270D" w:rsidRPr="00210CB4">
              <w:rPr>
                <w:rFonts w:cs="Arial"/>
                <w:sz w:val="20"/>
                <w:szCs w:val="20"/>
              </w:rPr>
              <w:t>.</w:t>
            </w:r>
          </w:p>
          <w:p w14:paraId="4466923B" w14:textId="5891B859" w:rsidR="0091270D" w:rsidRPr="00210CB4" w:rsidRDefault="0091270D" w:rsidP="00B179EB">
            <w:pPr>
              <w:spacing w:before="120"/>
              <w:rPr>
                <w:rFonts w:cs="Arial"/>
                <w:sz w:val="20"/>
                <w:szCs w:val="20"/>
                <w:highlight w:val="yellow"/>
              </w:rPr>
            </w:pPr>
            <w:r w:rsidRPr="00210CB4">
              <w:rPr>
                <w:rFonts w:cs="Arial"/>
                <w:sz w:val="20"/>
                <w:szCs w:val="20"/>
              </w:rPr>
              <w:t>Otherwise</w:t>
            </w:r>
            <w:r w:rsidR="00467479" w:rsidRPr="00210CB4">
              <w:rPr>
                <w:rFonts w:cs="Arial"/>
                <w:sz w:val="20"/>
                <w:szCs w:val="20"/>
              </w:rPr>
              <w:t xml:space="preserve">, </w:t>
            </w:r>
            <w:r w:rsidRPr="00210CB4">
              <w:rPr>
                <w:rFonts w:cs="Arial"/>
                <w:sz w:val="20"/>
                <w:szCs w:val="20"/>
              </w:rPr>
              <w:t>‘essentially undamaged’</w:t>
            </w:r>
            <w:r w:rsidR="00C558FA" w:rsidRPr="00210CB4">
              <w:rPr>
                <w:rFonts w:cs="Arial"/>
                <w:sz w:val="20"/>
                <w:szCs w:val="20"/>
              </w:rPr>
              <w:t>.</w:t>
            </w:r>
          </w:p>
        </w:tc>
      </w:tr>
      <w:tr w:rsidR="0045711B" w:rsidRPr="00210CB4" w14:paraId="7A3DAA5F" w14:textId="77777777" w:rsidTr="00764430">
        <w:trPr>
          <w:cantSplit/>
        </w:trPr>
        <w:tc>
          <w:tcPr>
            <w:tcW w:w="2396" w:type="dxa"/>
            <w:tcBorders>
              <w:top w:val="single" w:sz="8" w:space="0" w:color="BFBFBF"/>
              <w:left w:val="nil"/>
              <w:bottom w:val="single" w:sz="8" w:space="0" w:color="BFBFBF"/>
              <w:right w:val="single" w:sz="8" w:space="0" w:color="BFBFBF"/>
            </w:tcBorders>
            <w:vAlign w:val="center"/>
          </w:tcPr>
          <w:p w14:paraId="2E9B1D1F" w14:textId="3F229AA2" w:rsidR="0045711B" w:rsidRPr="00210CB4" w:rsidRDefault="0045711B" w:rsidP="00B179EB">
            <w:pPr>
              <w:spacing w:before="120"/>
              <w:rPr>
                <w:rFonts w:cs="Arial"/>
                <w:sz w:val="20"/>
                <w:szCs w:val="20"/>
              </w:rPr>
            </w:pPr>
            <w:r w:rsidRPr="00210CB4">
              <w:rPr>
                <w:rFonts w:cs="Arial"/>
                <w:sz w:val="20"/>
                <w:szCs w:val="20"/>
              </w:rPr>
              <w:t>Partitions in wet areas, and partitions providing radiation containment</w:t>
            </w:r>
          </w:p>
        </w:tc>
        <w:tc>
          <w:tcPr>
            <w:tcW w:w="12483" w:type="dxa"/>
            <w:gridSpan w:val="3"/>
            <w:tcBorders>
              <w:top w:val="single" w:sz="8" w:space="0" w:color="BFBFBF"/>
              <w:left w:val="single" w:sz="8" w:space="0" w:color="BFBFBF"/>
              <w:bottom w:val="single" w:sz="8" w:space="0" w:color="BFBFBF"/>
              <w:right w:val="nil"/>
            </w:tcBorders>
            <w:vAlign w:val="center"/>
          </w:tcPr>
          <w:p w14:paraId="2949408A" w14:textId="515B5F79" w:rsidR="0045711B" w:rsidRPr="00210CB4" w:rsidRDefault="0045711B" w:rsidP="00B179EB">
            <w:pPr>
              <w:spacing w:before="120"/>
              <w:rPr>
                <w:rFonts w:cs="Arial"/>
                <w:sz w:val="20"/>
                <w:szCs w:val="20"/>
              </w:rPr>
            </w:pPr>
            <w:r w:rsidRPr="00210CB4">
              <w:rPr>
                <w:rFonts w:cs="Arial"/>
                <w:sz w:val="20"/>
                <w:szCs w:val="20"/>
              </w:rPr>
              <w:t>See commentary below.</w:t>
            </w:r>
          </w:p>
        </w:tc>
      </w:tr>
      <w:tr w:rsidR="0074625A" w:rsidRPr="00210CB4" w14:paraId="3B0B6A33" w14:textId="77777777" w:rsidTr="00764430">
        <w:trPr>
          <w:cantSplit/>
        </w:trPr>
        <w:tc>
          <w:tcPr>
            <w:tcW w:w="2396" w:type="dxa"/>
            <w:tcBorders>
              <w:top w:val="single" w:sz="8" w:space="0" w:color="BFBFBF"/>
              <w:left w:val="nil"/>
              <w:bottom w:val="nil"/>
              <w:right w:val="single" w:sz="8" w:space="0" w:color="BFBFBF"/>
            </w:tcBorders>
            <w:vAlign w:val="center"/>
          </w:tcPr>
          <w:p w14:paraId="75C6C6CF" w14:textId="33ED3E34" w:rsidR="0074625A" w:rsidRPr="00210CB4" w:rsidRDefault="0074625A" w:rsidP="00B179EB">
            <w:pPr>
              <w:spacing w:before="120"/>
              <w:rPr>
                <w:rFonts w:cs="Arial"/>
                <w:sz w:val="20"/>
                <w:szCs w:val="20"/>
              </w:rPr>
            </w:pPr>
            <w:r w:rsidRPr="00210CB4">
              <w:rPr>
                <w:rFonts w:cs="Arial"/>
                <w:sz w:val="20"/>
                <w:szCs w:val="20"/>
              </w:rPr>
              <w:t>(Reference only)</w:t>
            </w:r>
          </w:p>
        </w:tc>
        <w:tc>
          <w:tcPr>
            <w:tcW w:w="5591" w:type="dxa"/>
            <w:tcBorders>
              <w:top w:val="single" w:sz="8" w:space="0" w:color="BFBFBF"/>
              <w:left w:val="single" w:sz="8" w:space="0" w:color="BFBFBF"/>
              <w:bottom w:val="nil"/>
              <w:right w:val="single" w:sz="8" w:space="0" w:color="BFBFBF"/>
            </w:tcBorders>
            <w:vAlign w:val="center"/>
          </w:tcPr>
          <w:p w14:paraId="65C5E995" w14:textId="2F780D36" w:rsidR="0074625A" w:rsidRPr="00210CB4" w:rsidRDefault="0074625A" w:rsidP="00B179EB">
            <w:pPr>
              <w:spacing w:before="120"/>
              <w:rPr>
                <w:rFonts w:cs="Arial"/>
                <w:b/>
                <w:bCs/>
                <w:sz w:val="20"/>
                <w:szCs w:val="20"/>
              </w:rPr>
            </w:pPr>
            <w:r w:rsidRPr="00210CB4">
              <w:rPr>
                <w:rFonts w:cs="Arial"/>
                <w:b/>
                <w:bCs/>
                <w:sz w:val="20"/>
                <w:szCs w:val="20"/>
              </w:rPr>
              <w:t>Essentially undamaged</w:t>
            </w:r>
          </w:p>
        </w:tc>
        <w:tc>
          <w:tcPr>
            <w:tcW w:w="1650" w:type="dxa"/>
            <w:tcBorders>
              <w:top w:val="single" w:sz="8" w:space="0" w:color="BFBFBF"/>
              <w:left w:val="single" w:sz="8" w:space="0" w:color="BFBFBF"/>
              <w:bottom w:val="nil"/>
              <w:right w:val="single" w:sz="8" w:space="0" w:color="BFBFBF"/>
            </w:tcBorders>
            <w:vAlign w:val="center"/>
          </w:tcPr>
          <w:p w14:paraId="749EF907" w14:textId="4EF13330" w:rsidR="0074625A" w:rsidRPr="00210CB4" w:rsidRDefault="0074625A" w:rsidP="00B179EB">
            <w:pPr>
              <w:spacing w:before="120"/>
              <w:jc w:val="center"/>
              <w:rPr>
                <w:rFonts w:cs="Arial"/>
                <w:sz w:val="20"/>
                <w:szCs w:val="20"/>
              </w:rPr>
            </w:pPr>
            <w:r w:rsidRPr="00210CB4">
              <w:rPr>
                <w:rFonts w:cs="Arial"/>
                <w:sz w:val="20"/>
                <w:szCs w:val="20"/>
              </w:rPr>
              <w:t>0.2%</w:t>
            </w:r>
          </w:p>
        </w:tc>
        <w:tc>
          <w:tcPr>
            <w:tcW w:w="5242" w:type="dxa"/>
            <w:tcBorders>
              <w:top w:val="single" w:sz="8" w:space="0" w:color="BFBFBF"/>
              <w:left w:val="single" w:sz="8" w:space="0" w:color="BFBFBF"/>
              <w:bottom w:val="nil"/>
              <w:right w:val="nil"/>
            </w:tcBorders>
            <w:vAlign w:val="center"/>
          </w:tcPr>
          <w:p w14:paraId="11C48412" w14:textId="37787B8F" w:rsidR="0074625A" w:rsidRPr="00210CB4" w:rsidRDefault="0074625A" w:rsidP="00B179EB">
            <w:pPr>
              <w:spacing w:before="120"/>
              <w:rPr>
                <w:rFonts w:cs="Arial"/>
                <w:sz w:val="20"/>
                <w:szCs w:val="20"/>
              </w:rPr>
            </w:pPr>
            <w:r w:rsidRPr="00210CB4">
              <w:rPr>
                <w:rFonts w:cs="Arial"/>
                <w:sz w:val="20"/>
                <w:szCs w:val="20"/>
              </w:rPr>
              <w:t>Hairline cracking of wall board or joints, visible screw pop out, light warping or cracking of tape</w:t>
            </w:r>
            <w:r w:rsidR="00A43953" w:rsidRPr="00210CB4">
              <w:rPr>
                <w:rFonts w:cs="Arial"/>
                <w:sz w:val="20"/>
                <w:szCs w:val="20"/>
              </w:rPr>
              <w:t xml:space="preserve">. </w:t>
            </w:r>
            <w:r w:rsidRPr="00210CB4">
              <w:rPr>
                <w:rFonts w:cs="Arial"/>
                <w:sz w:val="20"/>
                <w:szCs w:val="20"/>
              </w:rPr>
              <w:t>Damage could be taken for normal wear and tear (FEMA P-58/BD-3.9.32 damage state 0).</w:t>
            </w:r>
          </w:p>
        </w:tc>
      </w:tr>
    </w:tbl>
    <w:p w14:paraId="636A28DA" w14:textId="77777777" w:rsidR="00084CF9" w:rsidRDefault="00084CF9" w:rsidP="00666E06"/>
    <w:p w14:paraId="27B7ED58" w14:textId="77777777" w:rsidR="00E73A27" w:rsidRDefault="00E73A27" w:rsidP="00666E06"/>
    <w:p w14:paraId="49C9A04B" w14:textId="6DE3A1AE" w:rsidR="00084CF9" w:rsidRDefault="00084CF9" w:rsidP="00666E06">
      <w:pPr>
        <w:sectPr w:rsidR="00084CF9" w:rsidSect="005445CA">
          <w:headerReference w:type="default" r:id="rId98"/>
          <w:footerReference w:type="default" r:id="rId99"/>
          <w:footerReference w:type="first" r:id="rId100"/>
          <w:footnotePr>
            <w:numRestart w:val="eachPage"/>
          </w:footnotePr>
          <w:pgSz w:w="16838" w:h="11906" w:orient="landscape" w:code="187"/>
          <w:pgMar w:top="1134" w:right="1134" w:bottom="1134" w:left="1134" w:header="709" w:footer="709" w:gutter="0"/>
          <w:cols w:space="708"/>
          <w:docGrid w:linePitch="360"/>
        </w:sectPr>
      </w:pPr>
    </w:p>
    <w:p w14:paraId="25040621" w14:textId="51899CCE" w:rsidR="00C3560B" w:rsidRPr="00EB3260" w:rsidRDefault="00C3560B" w:rsidP="00D56CAE">
      <w:pPr>
        <w:pStyle w:val="BodyHeading"/>
        <w:rPr>
          <w:color w:val="003399"/>
        </w:rPr>
      </w:pPr>
      <w:r w:rsidRPr="00EB3260">
        <w:rPr>
          <w:color w:val="003399"/>
        </w:rPr>
        <w:lastRenderedPageBreak/>
        <w:t>Partitions in Wet Areas and</w:t>
      </w:r>
      <w:r w:rsidR="000A4CBA" w:rsidRPr="00EB3260">
        <w:rPr>
          <w:color w:val="003399"/>
        </w:rPr>
        <w:t xml:space="preserve"> providing radiation containment</w:t>
      </w:r>
    </w:p>
    <w:p w14:paraId="4158667E" w14:textId="73A1932D" w:rsidR="000A4CBA" w:rsidRPr="00064304" w:rsidRDefault="000A4CBA" w:rsidP="00666E06">
      <w:r w:rsidRPr="00064304">
        <w:t>For wet area</w:t>
      </w:r>
      <w:r w:rsidR="005F08A1" w:rsidRPr="00064304">
        <w:t xml:space="preserve"> </w:t>
      </w:r>
      <w:r w:rsidRPr="00064304">
        <w:t xml:space="preserve">membranes, and </w:t>
      </w:r>
      <w:r w:rsidR="002D0097" w:rsidRPr="00064304">
        <w:t xml:space="preserve">radiation equipment </w:t>
      </w:r>
      <w:r w:rsidR="005F08A1" w:rsidRPr="00064304">
        <w:t xml:space="preserve">containment </w:t>
      </w:r>
      <w:r w:rsidR="002D0097" w:rsidRPr="00064304">
        <w:t xml:space="preserve">to be fully functional after an earthquake, </w:t>
      </w:r>
      <w:r w:rsidR="007D7C18" w:rsidRPr="00064304">
        <w:t>it is expected these partitions would need to remain ‘essentially undamaged’.</w:t>
      </w:r>
      <w:r w:rsidR="002D0097" w:rsidRPr="00064304">
        <w:t xml:space="preserve"> </w:t>
      </w:r>
    </w:p>
    <w:p w14:paraId="68D4D42E" w14:textId="5179A199" w:rsidR="007D7C18" w:rsidRPr="00064304" w:rsidRDefault="007D7C18" w:rsidP="00666E06">
      <w:r w:rsidRPr="00064304">
        <w:t xml:space="preserve">However the drift limits associated </w:t>
      </w:r>
      <w:r w:rsidR="00C47CAE" w:rsidRPr="00064304">
        <w:t>essentially un</w:t>
      </w:r>
      <w:r w:rsidR="00643FC7" w:rsidRPr="00064304">
        <w:t>damaged partitions are onerous, and it is generally not economically feasible to achieve these</w:t>
      </w:r>
      <w:r w:rsidR="00884CFE" w:rsidRPr="00064304">
        <w:t xml:space="preserve"> </w:t>
      </w:r>
      <w:r w:rsidR="00B64224" w:rsidRPr="00064304">
        <w:t>by</w:t>
      </w:r>
      <w:r w:rsidR="00884CFE" w:rsidRPr="00064304">
        <w:t xml:space="preserve"> limiting structur</w:t>
      </w:r>
      <w:r w:rsidR="00B64224" w:rsidRPr="00064304">
        <w:t>al</w:t>
      </w:r>
      <w:r w:rsidR="00884CFE" w:rsidRPr="00064304">
        <w:t xml:space="preserve"> drifts</w:t>
      </w:r>
      <w:r w:rsidR="00A43953">
        <w:t xml:space="preserve">. </w:t>
      </w:r>
      <w:r w:rsidR="00643FC7" w:rsidRPr="00064304">
        <w:t>Project specific alternatives should instead be investigated, including:</w:t>
      </w:r>
    </w:p>
    <w:p w14:paraId="3C5A007A" w14:textId="2C5B79E1" w:rsidR="00643FC7" w:rsidRPr="00064304" w:rsidRDefault="00643FC7" w:rsidP="00666E06">
      <w:pPr>
        <w:pStyle w:val="ListBullet"/>
      </w:pPr>
      <w:r w:rsidRPr="00064304">
        <w:t>Accept damage to membranes</w:t>
      </w:r>
      <w:r w:rsidR="005A11EA" w:rsidRPr="00064304">
        <w:t xml:space="preserve"> in wet areas, </w:t>
      </w:r>
      <w:r w:rsidRPr="00064304">
        <w:t xml:space="preserve">and the need for </w:t>
      </w:r>
      <w:r w:rsidR="004703E7" w:rsidRPr="00064304">
        <w:t>repair after an earthquake</w:t>
      </w:r>
      <w:r w:rsidR="00A43953">
        <w:t xml:space="preserve">. </w:t>
      </w:r>
      <w:r w:rsidR="004703E7" w:rsidRPr="00064304">
        <w:t>This may be appropriate for localised wet areas</w:t>
      </w:r>
      <w:r w:rsidR="00BD6FC7" w:rsidRPr="00064304">
        <w:t>, especially those without critical post-emergency function.</w:t>
      </w:r>
    </w:p>
    <w:p w14:paraId="0B41B044" w14:textId="10661F83" w:rsidR="008074FA" w:rsidRPr="00064304" w:rsidRDefault="008074FA" w:rsidP="00666E06">
      <w:pPr>
        <w:pStyle w:val="ListBullet"/>
      </w:pPr>
      <w:r w:rsidRPr="00064304">
        <w:t xml:space="preserve">Use special detailing, </w:t>
      </w:r>
      <w:r w:rsidR="0060177E" w:rsidRPr="00064304">
        <w:t>box-in-box type construction, or other means to limit partition damage w</w:t>
      </w:r>
      <w:r w:rsidR="008440D7" w:rsidRPr="00064304">
        <w:t>hilst still allowing larger superstructure drifts.</w:t>
      </w:r>
    </w:p>
    <w:p w14:paraId="48880749" w14:textId="05116C17" w:rsidR="00C3560B" w:rsidRPr="00064304" w:rsidRDefault="0063445C" w:rsidP="00666E06">
      <w:pPr>
        <w:pStyle w:val="ListBullet"/>
      </w:pPr>
      <w:r w:rsidRPr="00064304">
        <w:t>Large hospital projects are likely to have specialist advice regarding radiation containment requirements</w:t>
      </w:r>
      <w:r w:rsidR="00A43953">
        <w:t xml:space="preserve">. </w:t>
      </w:r>
      <w:r w:rsidR="00E131E4" w:rsidRPr="00064304">
        <w:t xml:space="preserve">The architect and NSE seismic designer should consult with this specialist </w:t>
      </w:r>
      <w:r w:rsidR="00B763AD" w:rsidRPr="00064304">
        <w:t>to determine a project specific strategy depending on equipment and use.</w:t>
      </w:r>
    </w:p>
    <w:p w14:paraId="243CD117" w14:textId="1CA03117" w:rsidR="00BA7A16" w:rsidRPr="00EB3260" w:rsidRDefault="00BA7A16" w:rsidP="00D56CAE">
      <w:pPr>
        <w:pStyle w:val="BodyHeading"/>
        <w:rPr>
          <w:color w:val="003399"/>
        </w:rPr>
      </w:pPr>
      <w:r w:rsidRPr="00EB3260">
        <w:rPr>
          <w:color w:val="003399"/>
        </w:rPr>
        <w:t>Weight allowances and imposed loads</w:t>
      </w:r>
    </w:p>
    <w:p w14:paraId="4C2E1946" w14:textId="77777777" w:rsidR="00BA7A16" w:rsidRPr="00064304" w:rsidRDefault="00BA7A16" w:rsidP="00666E06">
      <w:r w:rsidRPr="00064304">
        <w:t>Partitions should be designed to accommodate the following:</w:t>
      </w:r>
    </w:p>
    <w:p w14:paraId="1F8C7BEE" w14:textId="43843C6F" w:rsidR="00BA7A16" w:rsidRPr="00064304" w:rsidRDefault="00BA7A16" w:rsidP="004D55F1">
      <w:pPr>
        <w:pStyle w:val="ListParagraph"/>
        <w:numPr>
          <w:ilvl w:val="0"/>
          <w:numId w:val="27"/>
        </w:numPr>
      </w:pPr>
      <w:r w:rsidRPr="00064304">
        <w:t>General weight allowance for joinery, shelving, drug cabinets, medical equipment, etc:  It is recommended that 10kg/m</w:t>
      </w:r>
      <w:r w:rsidRPr="00064304">
        <w:rPr>
          <w:vertAlign w:val="superscript"/>
        </w:rPr>
        <w:t>2</w:t>
      </w:r>
      <w:r w:rsidRPr="00064304">
        <w:t xml:space="preserve"> surface allowance is allowed for partition walls with basic equipment (pictures, TVs etc). In areas that are likely to require significant amounts of shelving, joinery etc, higher loads should be allowed for. Historically loading of approximately 25kg/m</w:t>
      </w:r>
      <w:r w:rsidRPr="00064304">
        <w:rPr>
          <w:vertAlign w:val="superscript"/>
        </w:rPr>
        <w:t>2</w:t>
      </w:r>
      <w:r w:rsidRPr="00064304">
        <w:t xml:space="preserve"> can be required in more heavily loaded areas</w:t>
      </w:r>
      <w:r w:rsidR="00A43953">
        <w:t xml:space="preserve">. </w:t>
      </w:r>
      <w:r w:rsidRPr="00064304">
        <w:t>Full height shelving fixed to walls can require higher loading. Historically approximately 50kg/m</w:t>
      </w:r>
      <w:r w:rsidRPr="00064304">
        <w:rPr>
          <w:vertAlign w:val="superscript"/>
        </w:rPr>
        <w:t>2</w:t>
      </w:r>
      <w:r w:rsidRPr="00064304">
        <w:t>.</w:t>
      </w:r>
    </w:p>
    <w:p w14:paraId="6B7B29B5" w14:textId="36EDC0A0" w:rsidR="00BA7A16" w:rsidRPr="00064304" w:rsidRDefault="00BA7A16" w:rsidP="004D55F1">
      <w:pPr>
        <w:pStyle w:val="ListParagraph"/>
        <w:numPr>
          <w:ilvl w:val="0"/>
          <w:numId w:val="27"/>
        </w:numPr>
      </w:pPr>
      <w:r w:rsidRPr="00064304">
        <w:t>Loading from edge restrained ceilings. Determined on a project specific basis.</w:t>
      </w:r>
    </w:p>
    <w:p w14:paraId="1E00CD3E" w14:textId="77591BA6" w:rsidR="001820A7" w:rsidRPr="003F3F41" w:rsidRDefault="00BA7A16" w:rsidP="004D55F1">
      <w:pPr>
        <w:pStyle w:val="ListParagraph"/>
        <w:numPr>
          <w:ilvl w:val="0"/>
          <w:numId w:val="27"/>
        </w:numPr>
        <w:rPr>
          <w:rFonts w:asciiTheme="majorHAnsi" w:eastAsiaTheme="majorEastAsia" w:hAnsiTheme="majorHAnsi" w:cstheme="majorBidi"/>
          <w:b/>
          <w:color w:val="15284C" w:themeColor="text2"/>
        </w:rPr>
      </w:pPr>
      <w:r w:rsidRPr="00064304">
        <w:t>Loading from heavier, non-standard wall mounted equipment. Determined on a project specific basis.</w:t>
      </w:r>
      <w:bookmarkStart w:id="352" w:name="_Ref152824522"/>
    </w:p>
    <w:p w14:paraId="2DBC3DFF" w14:textId="5B6A7469" w:rsidR="00092F95" w:rsidRPr="00064304" w:rsidRDefault="00092F95" w:rsidP="00EB3260">
      <w:pPr>
        <w:pStyle w:val="Section3heading3"/>
      </w:pPr>
      <w:bookmarkStart w:id="353" w:name="_Ref182583500"/>
      <w:r w:rsidRPr="00064304">
        <w:t>Other Design Considerations</w:t>
      </w:r>
      <w:bookmarkEnd w:id="352"/>
      <w:bookmarkEnd w:id="353"/>
    </w:p>
    <w:p w14:paraId="723C986A" w14:textId="19CA44F0" w:rsidR="004C7316" w:rsidRPr="0074792E" w:rsidRDefault="00250A33" w:rsidP="00D56CAE">
      <w:pPr>
        <w:pStyle w:val="BodyHeading"/>
        <w:rPr>
          <w:color w:val="003399"/>
        </w:rPr>
      </w:pPr>
      <w:r w:rsidRPr="0074792E">
        <w:rPr>
          <w:color w:val="003399"/>
        </w:rPr>
        <w:t>Trade-offs between b</w:t>
      </w:r>
      <w:r w:rsidR="004C7316" w:rsidRPr="0074792E">
        <w:rPr>
          <w:color w:val="003399"/>
        </w:rPr>
        <w:t xml:space="preserve">uilding </w:t>
      </w:r>
      <w:r w:rsidRPr="0074792E">
        <w:rPr>
          <w:color w:val="003399"/>
        </w:rPr>
        <w:t>d</w:t>
      </w:r>
      <w:r w:rsidR="004C7316" w:rsidRPr="0074792E">
        <w:rPr>
          <w:color w:val="003399"/>
        </w:rPr>
        <w:t xml:space="preserve">rift </w:t>
      </w:r>
      <w:r w:rsidRPr="0074792E">
        <w:rPr>
          <w:color w:val="003399"/>
        </w:rPr>
        <w:t>and</w:t>
      </w:r>
      <w:r w:rsidR="004C7316" w:rsidRPr="0074792E">
        <w:rPr>
          <w:color w:val="003399"/>
        </w:rPr>
        <w:t xml:space="preserve"> </w:t>
      </w:r>
      <w:r w:rsidRPr="0074792E">
        <w:rPr>
          <w:color w:val="003399"/>
        </w:rPr>
        <w:t>p</w:t>
      </w:r>
      <w:r w:rsidR="004C7316" w:rsidRPr="0074792E">
        <w:rPr>
          <w:color w:val="003399"/>
        </w:rPr>
        <w:t xml:space="preserve">artition </w:t>
      </w:r>
      <w:r w:rsidRPr="0074792E">
        <w:rPr>
          <w:color w:val="003399"/>
        </w:rPr>
        <w:t>d</w:t>
      </w:r>
      <w:r w:rsidR="004C7316" w:rsidRPr="0074792E">
        <w:rPr>
          <w:color w:val="003399"/>
        </w:rPr>
        <w:t>etailing</w:t>
      </w:r>
    </w:p>
    <w:p w14:paraId="19B018D7" w14:textId="77777777" w:rsidR="004C7316" w:rsidRPr="00064304" w:rsidRDefault="004C7316" w:rsidP="00666E06">
      <w:r w:rsidRPr="00064304">
        <w:t>In general, it is expected that a project will need to decide between the following two approaches to partition design:</w:t>
      </w:r>
    </w:p>
    <w:p w14:paraId="13B5AD2D" w14:textId="3B949C4B" w:rsidR="004C7316" w:rsidRPr="00064304" w:rsidRDefault="004C7316" w:rsidP="004D55F1">
      <w:pPr>
        <w:pStyle w:val="ListParagraph"/>
        <w:numPr>
          <w:ilvl w:val="0"/>
          <w:numId w:val="29"/>
        </w:numPr>
      </w:pPr>
      <w:r w:rsidRPr="00064304">
        <w:t>Use traditional partitions and limit structural drifts to acceptable levels of damage of the partitions (and connecting services).</w:t>
      </w:r>
      <w:r w:rsidR="001C7C8D">
        <w:t xml:space="preserve"> </w:t>
      </w:r>
      <w:r w:rsidRPr="00064304">
        <w:t>This typically results in simpler, cheaper partitions, and more expensive structure.</w:t>
      </w:r>
    </w:p>
    <w:p w14:paraId="3BC14C3F" w14:textId="5695394C" w:rsidR="004C7316" w:rsidRPr="00064304" w:rsidRDefault="004C7316" w:rsidP="004D55F1">
      <w:pPr>
        <w:pStyle w:val="ListParagraph"/>
        <w:numPr>
          <w:ilvl w:val="0"/>
          <w:numId w:val="29"/>
        </w:numPr>
      </w:pPr>
      <w:r w:rsidRPr="00064304">
        <w:t>Specially design partitions that can accommodate displacement incompatibility issues without damage, whilst be subject to higher drifts. This typically results in more complex, expensive partitions, and less expensive structure.</w:t>
      </w:r>
    </w:p>
    <w:p w14:paraId="4C1F72B0" w14:textId="6339EFDD" w:rsidR="004867FF" w:rsidRPr="00064304" w:rsidRDefault="004C7316" w:rsidP="00666E06">
      <w:r w:rsidRPr="00064304">
        <w:lastRenderedPageBreak/>
        <w:t>The appropriate decision will vary by project but should take account of all aspects of a building that are sensitive to drift including, but not limited to, cladding system, services within risers, operability of doors to critical areas.</w:t>
      </w:r>
    </w:p>
    <w:p w14:paraId="51FB7D93" w14:textId="63407F72" w:rsidR="004C7316" w:rsidRPr="0074792E" w:rsidRDefault="004C7316" w:rsidP="00D56CAE">
      <w:pPr>
        <w:pStyle w:val="BodyHeading"/>
        <w:rPr>
          <w:color w:val="003399"/>
        </w:rPr>
      </w:pPr>
      <w:r w:rsidRPr="0074792E">
        <w:rPr>
          <w:color w:val="003399"/>
        </w:rPr>
        <w:t xml:space="preserve">Partition </w:t>
      </w:r>
      <w:r w:rsidR="008213CB" w:rsidRPr="0074792E">
        <w:rPr>
          <w:color w:val="003399"/>
        </w:rPr>
        <w:t>w</w:t>
      </w:r>
      <w:r w:rsidRPr="0074792E">
        <w:rPr>
          <w:color w:val="003399"/>
        </w:rPr>
        <w:t>all detailing</w:t>
      </w:r>
    </w:p>
    <w:p w14:paraId="380D5179" w14:textId="4F3CAD35" w:rsidR="004C7316" w:rsidRPr="00064304" w:rsidRDefault="004C7316" w:rsidP="00666E06">
      <w:r w:rsidRPr="00064304">
        <w:t>Deflection head detailing is often complex on hospital projects. The following aspects should be considered in design:</w:t>
      </w:r>
    </w:p>
    <w:p w14:paraId="71FB61AD" w14:textId="65CD9A6D" w:rsidR="004C7316" w:rsidRPr="00064304" w:rsidRDefault="004C7316" w:rsidP="004D55F1">
      <w:pPr>
        <w:pStyle w:val="ListParagraph"/>
        <w:numPr>
          <w:ilvl w:val="0"/>
          <w:numId w:val="30"/>
        </w:numPr>
      </w:pPr>
      <w:r w:rsidRPr="00064304">
        <w:t xml:space="preserve">The use of deflection head tracks located 150-250mm above ceiling level is a commonly adopted and effective means to manage displacement compatibility issues. When using this approach, early detailing coordination between architect, services engineer, and NSE </w:t>
      </w:r>
      <w:r w:rsidR="00712CB5" w:rsidRPr="00064304">
        <w:t>Seismic Designer</w:t>
      </w:r>
      <w:r w:rsidRPr="00064304">
        <w:t xml:space="preserve"> should be undertaken to consider detailing practicalities and spatial implications.</w:t>
      </w:r>
    </w:p>
    <w:p w14:paraId="53DF1811" w14:textId="5E488C33" w:rsidR="004C7316" w:rsidRPr="00064304" w:rsidRDefault="004C7316" w:rsidP="004D55F1">
      <w:pPr>
        <w:pStyle w:val="ListParagraph"/>
        <w:numPr>
          <w:ilvl w:val="0"/>
          <w:numId w:val="30"/>
        </w:numPr>
      </w:pPr>
      <w:r w:rsidRPr="00064304">
        <w:t>Deflection heads should be at consistent level across floor level (as much as possible). Vertical slip joints are required where deflection head heights change, which can add significant cost</w:t>
      </w:r>
      <w:r w:rsidR="007713A9" w:rsidRPr="00064304">
        <w:t>/complexity and performance risk</w:t>
      </w:r>
      <w:r w:rsidRPr="00064304">
        <w:t>.</w:t>
      </w:r>
    </w:p>
    <w:p w14:paraId="30AB2582" w14:textId="55E569C7" w:rsidR="004C7316" w:rsidRPr="00064304" w:rsidRDefault="004C7316" w:rsidP="00666E06">
      <w:r w:rsidRPr="00064304">
        <w:t>Where full height walls are not required for acoustics or fire rating, they should be avoided to minimise displacement incompatibilities between services and partitions in the ceiling plenum.</w:t>
      </w:r>
    </w:p>
    <w:p w14:paraId="30CAC432" w14:textId="28DEE0D7" w:rsidR="004C7316" w:rsidRPr="0074792E" w:rsidRDefault="004C7316" w:rsidP="00D56CAE">
      <w:pPr>
        <w:pStyle w:val="BodyHeading"/>
        <w:rPr>
          <w:color w:val="003399"/>
        </w:rPr>
      </w:pPr>
      <w:r w:rsidRPr="0074792E">
        <w:rPr>
          <w:color w:val="003399"/>
        </w:rPr>
        <w:t>Commentary for Fire Stopping and Acoustic</w:t>
      </w:r>
      <w:r w:rsidR="00603B2B" w:rsidRPr="0074792E">
        <w:rPr>
          <w:color w:val="003399"/>
        </w:rPr>
        <w:t>s</w:t>
      </w:r>
    </w:p>
    <w:p w14:paraId="6DD56F14" w14:textId="77777777" w:rsidR="004C7316" w:rsidRPr="0074792E" w:rsidRDefault="004C7316" w:rsidP="00666E06">
      <w:pPr>
        <w:pStyle w:val="EmphasisHeading"/>
        <w:rPr>
          <w:color w:val="003399"/>
        </w:rPr>
      </w:pPr>
      <w:r w:rsidRPr="0074792E">
        <w:rPr>
          <w:color w:val="003399"/>
        </w:rPr>
        <w:t>Performance requirements</w:t>
      </w:r>
    </w:p>
    <w:p w14:paraId="567DAA2B" w14:textId="53116C4D" w:rsidR="008C7346" w:rsidRPr="00DB04D9" w:rsidRDefault="008C7346" w:rsidP="00666E06">
      <w:r w:rsidRPr="00F0604E">
        <w:t xml:space="preserve">Refer to </w:t>
      </w:r>
      <w:r w:rsidRPr="00DB04D9">
        <w:t xml:space="preserve">Section </w:t>
      </w:r>
      <w:r w:rsidR="0001578C" w:rsidRPr="00DB04D9">
        <w:fldChar w:fldCharType="begin"/>
      </w:r>
      <w:r w:rsidR="0001578C" w:rsidRPr="00DB04D9">
        <w:instrText xml:space="preserve"> REF _Ref170379979 \r \h </w:instrText>
      </w:r>
      <w:r w:rsidR="00F0604E" w:rsidRPr="00DB04D9">
        <w:instrText xml:space="preserve"> \* MERGEFORMAT </w:instrText>
      </w:r>
      <w:r w:rsidR="0001578C" w:rsidRPr="00DB04D9">
        <w:fldChar w:fldCharType="separate"/>
      </w:r>
      <w:r w:rsidR="000761C1">
        <w:t>B5.2</w:t>
      </w:r>
      <w:r w:rsidR="0001578C" w:rsidRPr="00DB04D9">
        <w:fldChar w:fldCharType="end"/>
      </w:r>
      <w:r w:rsidR="00F024D2" w:rsidRPr="00DB04D9">
        <w:t xml:space="preserve"> (</w:t>
      </w:r>
      <w:r w:rsidR="00F024D2" w:rsidRPr="00DB04D9">
        <w:fldChar w:fldCharType="begin"/>
      </w:r>
      <w:r w:rsidR="00F024D2" w:rsidRPr="00DB04D9">
        <w:instrText xml:space="preserve"> REF _Ref170379979 \h </w:instrText>
      </w:r>
      <w:r w:rsidR="00F0604E" w:rsidRPr="00DB04D9">
        <w:instrText xml:space="preserve"> \* MERGEFORMAT </w:instrText>
      </w:r>
      <w:r w:rsidR="00F024D2" w:rsidRPr="00DB04D9">
        <w:fldChar w:fldCharType="separate"/>
      </w:r>
      <w:r w:rsidR="000761C1" w:rsidRPr="00CF097C">
        <w:t>Structural Performance in Fire</w:t>
      </w:r>
      <w:r w:rsidR="00F024D2" w:rsidRPr="00DB04D9">
        <w:fldChar w:fldCharType="end"/>
      </w:r>
      <w:r w:rsidR="00F024D2" w:rsidRPr="00DB04D9">
        <w:t xml:space="preserve">) and in particular Section </w:t>
      </w:r>
      <w:r w:rsidR="00F024D2" w:rsidRPr="00DB04D9">
        <w:fldChar w:fldCharType="begin"/>
      </w:r>
      <w:r w:rsidR="00F024D2" w:rsidRPr="00DB04D9">
        <w:instrText xml:space="preserve"> REF _Ref170379988 \r \h </w:instrText>
      </w:r>
      <w:r w:rsidR="00F0604E" w:rsidRPr="00DB04D9">
        <w:instrText xml:space="preserve"> \* MERGEFORMAT </w:instrText>
      </w:r>
      <w:r w:rsidR="00F024D2" w:rsidRPr="00DB04D9">
        <w:fldChar w:fldCharType="separate"/>
      </w:r>
      <w:r w:rsidR="000761C1">
        <w:t>B5.2.2</w:t>
      </w:r>
      <w:r w:rsidR="00F024D2" w:rsidRPr="00DB04D9">
        <w:fldChar w:fldCharType="end"/>
      </w:r>
      <w:r w:rsidR="00F024D2" w:rsidRPr="00DB04D9">
        <w:t xml:space="preserve"> </w:t>
      </w:r>
      <w:r w:rsidR="003A5285" w:rsidRPr="00DB04D9">
        <w:t>(</w:t>
      </w:r>
      <w:r w:rsidR="00F024D2" w:rsidRPr="00DB04D9">
        <w:fldChar w:fldCharType="begin"/>
      </w:r>
      <w:r w:rsidR="00F024D2" w:rsidRPr="00DB04D9">
        <w:instrText xml:space="preserve"> REF _Ref170379988 \h </w:instrText>
      </w:r>
      <w:r w:rsidR="00F0604E" w:rsidRPr="00DB04D9">
        <w:instrText xml:space="preserve"> \* MERGEFORMAT </w:instrText>
      </w:r>
      <w:r w:rsidR="00F024D2" w:rsidRPr="00DB04D9">
        <w:fldChar w:fldCharType="separate"/>
      </w:r>
      <w:r w:rsidR="000761C1" w:rsidRPr="00661BB3">
        <w:t>Fire Safety Following Earthquake</w:t>
      </w:r>
      <w:r w:rsidR="00F024D2" w:rsidRPr="00DB04D9">
        <w:fldChar w:fldCharType="end"/>
      </w:r>
      <w:r w:rsidR="003A5285" w:rsidRPr="00DB04D9">
        <w:t>)</w:t>
      </w:r>
      <w:r w:rsidR="00F024D2" w:rsidRPr="00DB04D9">
        <w:t>.</w:t>
      </w:r>
    </w:p>
    <w:p w14:paraId="11EB8915" w14:textId="2FAF5DE0" w:rsidR="005C62A0" w:rsidRDefault="004C7316"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F0604E">
        <w:t>Fire rated walls</w:t>
      </w:r>
      <w:r w:rsidR="00484E8A">
        <w:t xml:space="preserve"> (separations)</w:t>
      </w:r>
      <w:r w:rsidRPr="00F0604E">
        <w:t xml:space="preserve"> add further complexity to the partition wall interactions. In particular, the design basis for fire </w:t>
      </w:r>
      <w:r w:rsidR="003F3B15">
        <w:t>and smoke separations in normal conditions</w:t>
      </w:r>
      <w:r w:rsidRPr="00F0604E">
        <w:t xml:space="preserve"> </w:t>
      </w:r>
      <w:r w:rsidR="000A3B31">
        <w:t>generally</w:t>
      </w:r>
      <w:r w:rsidRPr="00F0604E">
        <w:t xml:space="preserve"> </w:t>
      </w:r>
      <w:r w:rsidR="000A3B31">
        <w:t>utilises</w:t>
      </w:r>
      <w:r w:rsidRPr="00F0604E">
        <w:t xml:space="preserve"> </w:t>
      </w:r>
      <w:r w:rsidR="000A3B31">
        <w:t>prescriptive</w:t>
      </w:r>
      <w:r w:rsidR="000A3B31" w:rsidRPr="00F0604E">
        <w:t xml:space="preserve"> </w:t>
      </w:r>
      <w:r w:rsidRPr="00F0604E">
        <w:t xml:space="preserve">compliance pathways </w:t>
      </w:r>
      <w:r w:rsidR="000A3B31">
        <w:t xml:space="preserve">based on the </w:t>
      </w:r>
      <w:r w:rsidR="006D5624">
        <w:t>specification</w:t>
      </w:r>
      <w:r w:rsidR="000A3B31">
        <w:t xml:space="preserve"> of</w:t>
      </w:r>
      <w:r w:rsidRPr="00F0604E">
        <w:t xml:space="preserve"> </w:t>
      </w:r>
      <w:r w:rsidR="000A3B31" w:rsidRPr="00F0604E">
        <w:t>test</w:t>
      </w:r>
      <w:r w:rsidR="000A3B31">
        <w:t>ed</w:t>
      </w:r>
      <w:r w:rsidR="000A3B31" w:rsidRPr="00F0604E">
        <w:t xml:space="preserve"> </w:t>
      </w:r>
      <w:r w:rsidRPr="00F0604E">
        <w:t xml:space="preserve">of components and systems. </w:t>
      </w:r>
      <w:r w:rsidR="00DD6CB8">
        <w:t>Testing</w:t>
      </w:r>
      <w:r w:rsidRPr="00F0604E">
        <w:t xml:space="preserve"> </w:t>
      </w:r>
      <w:r w:rsidR="007A1FC0">
        <w:t xml:space="preserve">does not </w:t>
      </w:r>
      <w:r w:rsidR="004A14C3">
        <w:t xml:space="preserve">usually </w:t>
      </w:r>
      <w:r w:rsidR="007A1FC0">
        <w:t xml:space="preserve">extend to </w:t>
      </w:r>
      <w:r w:rsidRPr="00F0604E">
        <w:t>post-earthquake scenarios</w:t>
      </w:r>
      <w:r w:rsidR="007A1FC0">
        <w:t xml:space="preserve"> and the impact of earthquake induced damage on the performance of the system</w:t>
      </w:r>
      <w:r w:rsidR="004A14C3">
        <w:t xml:space="preserve"> in fire conditions</w:t>
      </w:r>
      <w:r w:rsidRPr="00F0604E">
        <w:t>.</w:t>
      </w:r>
    </w:p>
    <w:p w14:paraId="6E6F8CDC" w14:textId="762BED2A" w:rsidR="004C7316" w:rsidRPr="00F0604E" w:rsidRDefault="004C7316"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F0604E">
        <w:t>There is not a</w:t>
      </w:r>
      <w:r w:rsidR="005C62A0">
        <w:t xml:space="preserve"> </w:t>
      </w:r>
      <w:r w:rsidRPr="00F0604E">
        <w:t xml:space="preserve">clearly established means to quantify how well these walls may continue to perform their fire protection </w:t>
      </w:r>
      <w:r w:rsidR="00BB08EA">
        <w:t>function</w:t>
      </w:r>
      <w:r w:rsidR="00BB08EA" w:rsidRPr="00F0604E">
        <w:t xml:space="preserve"> </w:t>
      </w:r>
      <w:r w:rsidRPr="00F0604E">
        <w:t xml:space="preserve">after </w:t>
      </w:r>
      <w:r w:rsidR="00BB08EA">
        <w:t>suffering</w:t>
      </w:r>
      <w:r w:rsidRPr="00F0604E">
        <w:t xml:space="preserve"> modest damage</w:t>
      </w:r>
      <w:r w:rsidR="00C8117D" w:rsidRPr="00F0604E">
        <w:t xml:space="preserve">, and </w:t>
      </w:r>
      <w:r w:rsidR="00E737A7" w:rsidRPr="00F0604E">
        <w:t xml:space="preserve">so </w:t>
      </w:r>
      <w:r w:rsidR="00C8117D" w:rsidRPr="00F0604E">
        <w:t>a rational assessment is required</w:t>
      </w:r>
      <w:r w:rsidRPr="00F0604E">
        <w:t>.</w:t>
      </w:r>
      <w:r w:rsidR="007E0E71">
        <w:t xml:space="preserve"> </w:t>
      </w:r>
      <w:r w:rsidR="000A4603">
        <w:t>Full height w</w:t>
      </w:r>
      <w:r w:rsidR="007E0E71">
        <w:t>al</w:t>
      </w:r>
      <w:r w:rsidR="00A54F0C">
        <w:t>l systems</w:t>
      </w:r>
      <w:r w:rsidR="007E0E71">
        <w:t xml:space="preserve"> </w:t>
      </w:r>
      <w:r w:rsidR="00A67375">
        <w:t xml:space="preserve">that are subject to imposed drifts which are within the limits of </w:t>
      </w:r>
      <w:r w:rsidR="00A67375">
        <w:fldChar w:fldCharType="begin"/>
      </w:r>
      <w:r w:rsidR="00A67375">
        <w:instrText xml:space="preserve"> REF _Ref152824069 \h </w:instrText>
      </w:r>
      <w:r w:rsidR="0074792E">
        <w:instrText xml:space="preserve"> \* MERGEFORMAT </w:instrText>
      </w:r>
      <w:r w:rsidR="00A67375">
        <w:fldChar w:fldCharType="separate"/>
      </w:r>
      <w:r w:rsidR="000761C1" w:rsidRPr="000761C1">
        <w:t xml:space="preserve">Table </w:t>
      </w:r>
      <w:r w:rsidR="000761C1" w:rsidRPr="000761C1">
        <w:rPr>
          <w:noProof/>
        </w:rPr>
        <w:t>17</w:t>
      </w:r>
      <w:r w:rsidR="00A67375">
        <w:fldChar w:fldCharType="end"/>
      </w:r>
      <w:r w:rsidR="00A67375">
        <w:t xml:space="preserve"> are deemed to satisfy the requirements.</w:t>
      </w:r>
      <w:r w:rsidR="000A4603">
        <w:t xml:space="preserve"> </w:t>
      </w:r>
      <w:r w:rsidR="00F226C1">
        <w:t xml:space="preserve">Otherwise, a rational assessment against the principles of Section </w:t>
      </w:r>
      <w:r w:rsidR="00F226C1" w:rsidRPr="00F0604E">
        <w:fldChar w:fldCharType="begin"/>
      </w:r>
      <w:r w:rsidR="00F226C1" w:rsidRPr="00F0604E">
        <w:instrText xml:space="preserve"> REF _Ref170379988 \r \h </w:instrText>
      </w:r>
      <w:r w:rsidR="00F226C1">
        <w:instrText xml:space="preserve"> \* MERGEFORMAT </w:instrText>
      </w:r>
      <w:r w:rsidR="00F226C1" w:rsidRPr="00F0604E">
        <w:fldChar w:fldCharType="separate"/>
      </w:r>
      <w:r w:rsidR="000761C1">
        <w:t>B5.2.2</w:t>
      </w:r>
      <w:r w:rsidR="00F226C1" w:rsidRPr="00F0604E">
        <w:fldChar w:fldCharType="end"/>
      </w:r>
      <w:r w:rsidR="00F226C1">
        <w:t xml:space="preserve"> </w:t>
      </w:r>
      <w:r w:rsidR="00773EED">
        <w:t>can be made</w:t>
      </w:r>
      <w:r w:rsidR="00510EA9">
        <w:t xml:space="preserve">—and further commentary is given below </w:t>
      </w:r>
      <w:r w:rsidR="000F2181">
        <w:t>where</w:t>
      </w:r>
      <w:r w:rsidR="00510EA9">
        <w:t xml:space="preserve"> horizontal slip planes are proposed as part of th</w:t>
      </w:r>
      <w:r w:rsidR="00773EED">
        <w:t>e solution to this</w:t>
      </w:r>
      <w:r w:rsidR="00510EA9">
        <w:t>.</w:t>
      </w:r>
    </w:p>
    <w:p w14:paraId="487BD15A" w14:textId="5934438B" w:rsidR="004C7316" w:rsidRDefault="00B37A7C"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t>Designers should note</w:t>
      </w:r>
      <w:r w:rsidR="004C7316" w:rsidRPr="00F0604E">
        <w:t xml:space="preserve"> that full pre-earthquake functionality is not required in the immediate aftermath of earthquakes. </w:t>
      </w:r>
      <w:r w:rsidR="000F2181">
        <w:t>However</w:t>
      </w:r>
      <w:r w:rsidR="004C7316" w:rsidRPr="00F0604E">
        <w:t xml:space="preserve">, damage </w:t>
      </w:r>
      <w:r w:rsidR="00466A63">
        <w:t xml:space="preserve">to </w:t>
      </w:r>
      <w:r w:rsidR="00E9561D">
        <w:t xml:space="preserve">partition systems that function as fire separations </w:t>
      </w:r>
      <w:r w:rsidR="000F2181">
        <w:t>should</w:t>
      </w:r>
      <w:r w:rsidR="004C7316" w:rsidRPr="00F0604E">
        <w:t xml:space="preserve"> be controlled</w:t>
      </w:r>
      <w:r w:rsidR="00ED236E">
        <w:t xml:space="preserve"> </w:t>
      </w:r>
      <w:r w:rsidR="005628C0">
        <w:t>so as to satisfy</w:t>
      </w:r>
      <w:r w:rsidR="005628C0" w:rsidRPr="005628C0">
        <w:t xml:space="preserve"> </w:t>
      </w:r>
      <w:r w:rsidR="005628C0" w:rsidRPr="00F0604E">
        <w:t xml:space="preserve">the principles set out in Section </w:t>
      </w:r>
      <w:r w:rsidR="005628C0" w:rsidRPr="00F0604E">
        <w:fldChar w:fldCharType="begin"/>
      </w:r>
      <w:r w:rsidR="005628C0" w:rsidRPr="00F0604E">
        <w:instrText xml:space="preserve"> REF _Ref170379988 \r \h </w:instrText>
      </w:r>
      <w:r w:rsidR="005628C0">
        <w:instrText xml:space="preserve"> \* MERGEFORMAT </w:instrText>
      </w:r>
      <w:r w:rsidR="005628C0" w:rsidRPr="00F0604E">
        <w:fldChar w:fldCharType="separate"/>
      </w:r>
      <w:r w:rsidR="000761C1">
        <w:t>B5.2.2</w:t>
      </w:r>
      <w:r w:rsidR="005628C0" w:rsidRPr="00F0604E">
        <w:fldChar w:fldCharType="end"/>
      </w:r>
      <w:r w:rsidR="004C7316" w:rsidRPr="00F0604E">
        <w:t xml:space="preserve">, </w:t>
      </w:r>
      <w:r w:rsidR="00372B79" w:rsidRPr="00F0604E">
        <w:t xml:space="preserve">with </w:t>
      </w:r>
      <w:r w:rsidR="008B6E16">
        <w:t>a</w:t>
      </w:r>
      <w:r w:rsidR="004C7316" w:rsidRPr="00F0604E">
        <w:t xml:space="preserve"> pathway for </w:t>
      </w:r>
      <w:r w:rsidR="004211CD">
        <w:t xml:space="preserve">reasonable extents of </w:t>
      </w:r>
      <w:r w:rsidR="004C7316" w:rsidRPr="00F0604E">
        <w:t>repair</w:t>
      </w:r>
      <w:r w:rsidR="005628C0">
        <w:t xml:space="preserve"> in a return to Normal Operations</w:t>
      </w:r>
      <w:r w:rsidR="004C7316" w:rsidRPr="00F0604E">
        <w:t>.</w:t>
      </w:r>
    </w:p>
    <w:p w14:paraId="355083AD" w14:textId="77777777" w:rsidR="000C608A" w:rsidRDefault="000C608A"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p>
    <w:p w14:paraId="6708B659" w14:textId="5AF648B7" w:rsidR="002B57C6" w:rsidRPr="00A0504E" w:rsidRDefault="002B57C6"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A0504E">
        <w:rPr>
          <w:b/>
          <w:bCs/>
        </w:rPr>
        <w:lastRenderedPageBreak/>
        <w:t xml:space="preserve">Engineered horizontal </w:t>
      </w:r>
      <w:r w:rsidR="00965DC3" w:rsidRPr="00A0504E">
        <w:rPr>
          <w:b/>
          <w:bCs/>
        </w:rPr>
        <w:t>movement</w:t>
      </w:r>
      <w:r w:rsidRPr="00A0504E">
        <w:rPr>
          <w:b/>
          <w:bCs/>
        </w:rPr>
        <w:t xml:space="preserve"> planes</w:t>
      </w:r>
      <w:r w:rsidR="00965DC3" w:rsidRPr="00A0504E">
        <w:rPr>
          <w:b/>
          <w:bCs/>
        </w:rPr>
        <w:t xml:space="preserve"> (slip </w:t>
      </w:r>
      <w:r w:rsidR="006F7BAA" w:rsidRPr="00A0504E">
        <w:rPr>
          <w:b/>
          <w:bCs/>
        </w:rPr>
        <w:t>planes</w:t>
      </w:r>
      <w:r w:rsidR="00965DC3" w:rsidRPr="00A0504E">
        <w:rPr>
          <w:b/>
          <w:bCs/>
        </w:rPr>
        <w:t>)</w:t>
      </w:r>
    </w:p>
    <w:p w14:paraId="7BF88345" w14:textId="6F97C6D8" w:rsidR="000323F9" w:rsidRPr="00D467CE" w:rsidRDefault="000323F9"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D467CE">
        <w:t>Depending on the Seismic Design Strategy, engineered slip planes within the ceiling plenum may be considered</w:t>
      </w:r>
      <w:r w:rsidR="00A05799">
        <w:t xml:space="preserve"> (</w:t>
      </w:r>
      <w:r w:rsidR="00AE397A">
        <w:t xml:space="preserve">see </w:t>
      </w:r>
      <w:r w:rsidR="008842FB">
        <w:fldChar w:fldCharType="begin"/>
      </w:r>
      <w:r w:rsidR="008842FB">
        <w:instrText xml:space="preserve"> REF _Ref182817180 \h </w:instrText>
      </w:r>
      <w:r w:rsidR="0074792E">
        <w:instrText xml:space="preserve"> \* MERGEFORMAT </w:instrText>
      </w:r>
      <w:r w:rsidR="008842FB">
        <w:fldChar w:fldCharType="separate"/>
      </w:r>
      <w:r w:rsidR="000761C1" w:rsidRPr="000761C1">
        <w:t xml:space="preserve">Table </w:t>
      </w:r>
      <w:r w:rsidR="000761C1" w:rsidRPr="000761C1">
        <w:rPr>
          <w:noProof/>
        </w:rPr>
        <w:t>16</w:t>
      </w:r>
      <w:r w:rsidR="008842FB">
        <w:fldChar w:fldCharType="end"/>
      </w:r>
      <w:r w:rsidR="00C43D79">
        <w:t>)</w:t>
      </w:r>
      <w:r w:rsidRPr="00D467CE">
        <w:t xml:space="preserve"> in order to allow larger primary structure deformations to be accommodated, without imposing drifts on the partition systems which are greater than the limiting values suggested in Section </w:t>
      </w:r>
      <w:r w:rsidRPr="00D467CE">
        <w:fldChar w:fldCharType="begin"/>
      </w:r>
      <w:r w:rsidRPr="00D467CE">
        <w:instrText xml:space="preserve"> REF _Ref152820707 \r \h  \* MERGEFORMAT </w:instrText>
      </w:r>
      <w:r w:rsidRPr="00D467CE">
        <w:fldChar w:fldCharType="separate"/>
      </w:r>
      <w:r w:rsidR="000761C1">
        <w:t>C4.5</w:t>
      </w:r>
      <w:r w:rsidRPr="00D467CE">
        <w:fldChar w:fldCharType="end"/>
      </w:r>
      <w:r w:rsidRPr="00D467CE">
        <w:t>.</w:t>
      </w:r>
    </w:p>
    <w:p w14:paraId="07D0DD44" w14:textId="18030172" w:rsidR="000323F9" w:rsidRPr="00D467CE" w:rsidRDefault="000323F9"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D467CE">
        <w:t>Priority should be given to the fire safety performance of the detail in normal conditions. Second priority should be given to the likely function of the detail after subject</w:t>
      </w:r>
      <w:r w:rsidR="00FA44D3">
        <w:t>ing</w:t>
      </w:r>
      <w:r w:rsidRPr="00D467CE">
        <w:t xml:space="preserve"> to the forces and displacements associated with SLS2 </w:t>
      </w:r>
      <w:r w:rsidR="00FA44D3">
        <w:t xml:space="preserve">earthquake </w:t>
      </w:r>
      <w:r w:rsidRPr="00D467CE">
        <w:t>demands, assessed against the principles listed above</w:t>
      </w:r>
      <w:r w:rsidR="00CA34F7">
        <w:t xml:space="preserve"> (Section </w:t>
      </w:r>
      <w:r w:rsidR="00CA34F7" w:rsidRPr="00F0604E">
        <w:fldChar w:fldCharType="begin"/>
      </w:r>
      <w:r w:rsidR="00CA34F7" w:rsidRPr="00F0604E">
        <w:instrText xml:space="preserve"> REF _Ref170379988 \r \h </w:instrText>
      </w:r>
      <w:r w:rsidR="00CA34F7">
        <w:instrText xml:space="preserve"> \* MERGEFORMAT </w:instrText>
      </w:r>
      <w:r w:rsidR="00CA34F7" w:rsidRPr="00F0604E">
        <w:fldChar w:fldCharType="separate"/>
      </w:r>
      <w:r w:rsidR="000761C1">
        <w:t>B5.2.2</w:t>
      </w:r>
      <w:r w:rsidR="00CA34F7" w:rsidRPr="00F0604E">
        <w:fldChar w:fldCharType="end"/>
      </w:r>
      <w:r w:rsidR="00CA34F7">
        <w:t>)</w:t>
      </w:r>
      <w:r w:rsidRPr="00D467CE">
        <w:t>.</w:t>
      </w:r>
    </w:p>
    <w:p w14:paraId="09E93942" w14:textId="49191473" w:rsidR="000323F9" w:rsidRPr="00F0604E" w:rsidRDefault="000323F9" w:rsidP="0074792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D467CE">
        <w:t xml:space="preserve">Health NZ is aware of research proposals which intend to improve the confidence in the </w:t>
      </w:r>
      <w:r w:rsidR="00D702CB">
        <w:t>performance</w:t>
      </w:r>
      <w:r w:rsidRPr="00D467CE">
        <w:t xml:space="preserve"> of common details under fire conditions following</w:t>
      </w:r>
      <w:r w:rsidR="00D702CB">
        <w:t xml:space="preserve"> earthquake induced deformations</w:t>
      </w:r>
      <w:r w:rsidRPr="00D467CE">
        <w:t>, and which may allow the development of standardised approaches which can be used to meet these requirements.</w:t>
      </w:r>
    </w:p>
    <w:p w14:paraId="511B463B" w14:textId="77777777" w:rsidR="004C7316" w:rsidRPr="0074792E" w:rsidRDefault="004C7316" w:rsidP="00666E06">
      <w:pPr>
        <w:pStyle w:val="EmphasisHeading"/>
        <w:rPr>
          <w:color w:val="003399"/>
        </w:rPr>
      </w:pPr>
      <w:r w:rsidRPr="0074792E">
        <w:rPr>
          <w:color w:val="003399"/>
        </w:rPr>
        <w:t>Fire stopping displacement compatibility considerations.</w:t>
      </w:r>
    </w:p>
    <w:p w14:paraId="1E622BCA" w14:textId="3E8C4B32" w:rsidR="004C7316" w:rsidRPr="00F0604E" w:rsidRDefault="004C7316" w:rsidP="00666E06">
      <w:r w:rsidRPr="00F0604E">
        <w:t>Designers are expected to develop a means to account for displacement incompatibility as it relates to fire stopping, especially for services passing through fire walls</w:t>
      </w:r>
      <w:r w:rsidR="00A43953">
        <w:t xml:space="preserve">. </w:t>
      </w:r>
    </w:p>
    <w:p w14:paraId="37369C81" w14:textId="5249ECE9" w:rsidR="004C7316" w:rsidRPr="00F0604E" w:rsidRDefault="004C7316" w:rsidP="00666E06">
      <w:r w:rsidRPr="00F0604E">
        <w:t xml:space="preserve">Further guidance on the interaction of services, restraints, partitions and structure can be found in </w:t>
      </w:r>
      <w:r w:rsidRPr="00F0604E">
        <w:rPr>
          <w:i/>
          <w:iCs/>
        </w:rPr>
        <w:t>BRANZ FACTS: Seismically Resilient Non-Structural Elements #4, Seismic clearance at penetrations</w:t>
      </w:r>
      <w:r w:rsidR="002D523B" w:rsidRPr="00F0604E">
        <w:t xml:space="preserve"> </w:t>
      </w:r>
      <w:sdt>
        <w:sdtPr>
          <w:id w:val="-477611134"/>
          <w:citation/>
        </w:sdtPr>
        <w:sdtEndPr/>
        <w:sdtContent>
          <w:r w:rsidR="002D523B" w:rsidRPr="00F0604E">
            <w:fldChar w:fldCharType="begin"/>
          </w:r>
          <w:r w:rsidR="002D523B" w:rsidRPr="00F0604E">
            <w:rPr>
              <w:lang w:val="en-US"/>
            </w:rPr>
            <w:instrText xml:space="preserve"> CITATION BRA15 \l 1033 </w:instrText>
          </w:r>
          <w:r w:rsidR="002D523B" w:rsidRPr="00F0604E">
            <w:fldChar w:fldCharType="separate"/>
          </w:r>
          <w:r w:rsidR="00222D65">
            <w:rPr>
              <w:noProof/>
              <w:lang w:val="en-US"/>
            </w:rPr>
            <w:t>(BRANZ, 2015)</w:t>
          </w:r>
          <w:r w:rsidR="002D523B" w:rsidRPr="00F0604E">
            <w:fldChar w:fldCharType="end"/>
          </w:r>
        </w:sdtContent>
      </w:sdt>
      <w:r w:rsidR="002D523B" w:rsidRPr="00F0604E">
        <w:t>.</w:t>
      </w:r>
    </w:p>
    <w:p w14:paraId="451EDC93" w14:textId="298A9E45" w:rsidR="004C7316" w:rsidRPr="00F0604E" w:rsidRDefault="004C7316" w:rsidP="00666E06">
      <w:r w:rsidRPr="00F0604E">
        <w:t>The displacement incompatibility at fire walls can sometimes be accommodated by accounting for the many small flexibilities that exist within the whole system</w:t>
      </w:r>
      <w:r w:rsidR="00A43953">
        <w:t xml:space="preserve">. </w:t>
      </w:r>
      <w:r w:rsidRPr="00F0604E">
        <w:t>These include:</w:t>
      </w:r>
    </w:p>
    <w:p w14:paraId="4C00D9D4" w14:textId="6571D3D5" w:rsidR="004C7316" w:rsidRPr="00F0604E" w:rsidRDefault="004C7316" w:rsidP="004D55F1">
      <w:pPr>
        <w:pStyle w:val="ListParagraph"/>
        <w:numPr>
          <w:ilvl w:val="0"/>
          <w:numId w:val="31"/>
        </w:numPr>
      </w:pPr>
      <w:r w:rsidRPr="00F0604E">
        <w:t>Flexibility of services between their nearest restraint and the wall. This can often be in the order of 5-10mm. For this reason, services should not be transversely restrained close to partition walls.</w:t>
      </w:r>
    </w:p>
    <w:p w14:paraId="57B17F78" w14:textId="729773CA" w:rsidR="004C7316" w:rsidRPr="00F0604E" w:rsidRDefault="004C7316" w:rsidP="004D55F1">
      <w:pPr>
        <w:pStyle w:val="ListParagraph"/>
        <w:numPr>
          <w:ilvl w:val="0"/>
          <w:numId w:val="31"/>
        </w:numPr>
      </w:pPr>
      <w:r w:rsidRPr="00F0604E">
        <w:t>Flexibility in the restraints (to services and to walls)</w:t>
      </w:r>
      <w:r w:rsidR="00A43953">
        <w:t xml:space="preserve">. </w:t>
      </w:r>
      <w:r w:rsidRPr="00F0604E">
        <w:t>This can often be in the order of 5mm</w:t>
      </w:r>
      <w:r w:rsidR="00A43953">
        <w:t xml:space="preserve">. </w:t>
      </w:r>
    </w:p>
    <w:p w14:paraId="4F73F62F" w14:textId="664CB382" w:rsidR="004C7316" w:rsidRPr="00F0604E" w:rsidRDefault="004C7316" w:rsidP="004D55F1">
      <w:pPr>
        <w:pStyle w:val="ListParagraph"/>
        <w:numPr>
          <w:ilvl w:val="0"/>
          <w:numId w:val="31"/>
        </w:numPr>
      </w:pPr>
      <w:r w:rsidRPr="00F0604E">
        <w:t>Local wall flexibility. This may include some local damage around stiff services if considered acceptable by the design team</w:t>
      </w:r>
      <w:r w:rsidR="00A43953">
        <w:t xml:space="preserve">. </w:t>
      </w:r>
      <w:r w:rsidRPr="00F0604E">
        <w:t>This can often be in the order of 5mm</w:t>
      </w:r>
      <w:r w:rsidR="00A43953">
        <w:t xml:space="preserve">. </w:t>
      </w:r>
    </w:p>
    <w:p w14:paraId="2EB84FE1" w14:textId="0D95AF5C" w:rsidR="004C7316" w:rsidRPr="00F0604E" w:rsidRDefault="004C7316" w:rsidP="004D55F1">
      <w:pPr>
        <w:pStyle w:val="ListParagraph"/>
        <w:numPr>
          <w:ilvl w:val="0"/>
          <w:numId w:val="31"/>
        </w:numPr>
      </w:pPr>
      <w:r w:rsidRPr="00F0604E">
        <w:t>Flexibility of fire stopping</w:t>
      </w:r>
      <w:r w:rsidR="00A43953">
        <w:t xml:space="preserve">. </w:t>
      </w:r>
      <w:r w:rsidRPr="00F0604E">
        <w:t>This should be determined in consultation with the fire stopping supply</w:t>
      </w:r>
      <w:r w:rsidR="00A43953">
        <w:t xml:space="preserve">. </w:t>
      </w:r>
      <w:r w:rsidRPr="00F0604E">
        <w:t>Typical fire stopping products only</w:t>
      </w:r>
      <w:r w:rsidR="2F7CE651" w:rsidRPr="00F0604E">
        <w:t xml:space="preserve"> provide</w:t>
      </w:r>
      <w:r w:rsidRPr="00F0604E">
        <w:t xml:space="preserve"> approximately 5mm </w:t>
      </w:r>
      <w:r w:rsidR="48EEE5CB" w:rsidRPr="00F0604E">
        <w:t xml:space="preserve">of </w:t>
      </w:r>
      <w:r w:rsidRPr="00F0604E">
        <w:t>flexibility</w:t>
      </w:r>
      <w:r w:rsidR="00A43953">
        <w:t xml:space="preserve">. </w:t>
      </w:r>
      <w:r w:rsidRPr="00F0604E">
        <w:t xml:space="preserve">Some products are available on the market that provide flexibility up to 20mm, though these need to be specifically discussed with suppliers. </w:t>
      </w:r>
    </w:p>
    <w:p w14:paraId="6FDD264E" w14:textId="77777777" w:rsidR="004C7316" w:rsidRPr="00F0604E" w:rsidRDefault="004C7316" w:rsidP="00666E06">
      <w:r w:rsidRPr="00F0604E">
        <w:t>The acceptability (or otherwise) of the fire stopping detailing will be highly dependent on the partition movement strategy (racking, sliding at ceiling, sliding at top) that is chosen.</w:t>
      </w:r>
    </w:p>
    <w:p w14:paraId="63B16FB1" w14:textId="77777777" w:rsidR="00622816" w:rsidRDefault="004C7316" w:rsidP="00666E06">
      <w:r w:rsidRPr="00F0604E">
        <w:t xml:space="preserve">Fire rated walls </w:t>
      </w:r>
      <w:r w:rsidR="00E42EB4" w:rsidRPr="00F0604E">
        <w:t xml:space="preserve">that use braces for support </w:t>
      </w:r>
      <w:r w:rsidRPr="00F0604E">
        <w:t xml:space="preserve">should </w:t>
      </w:r>
      <w:r w:rsidR="00E42EB4" w:rsidRPr="00F0604E">
        <w:t xml:space="preserve">preferably </w:t>
      </w:r>
      <w:r w:rsidRPr="00F0604E">
        <w:t xml:space="preserve">be braced on </w:t>
      </w:r>
      <w:r w:rsidRPr="00F0604E">
        <w:rPr>
          <w:u w:val="single"/>
        </w:rPr>
        <w:t>both sides</w:t>
      </w:r>
      <w:r w:rsidRPr="00F0604E">
        <w:t>. This means that one brace will always be on the protected side of the wall, and thus avoids the need for fire rating of braces.</w:t>
      </w:r>
    </w:p>
    <w:p w14:paraId="07753231" w14:textId="19908D48" w:rsidR="00F13981" w:rsidRPr="0074792E" w:rsidRDefault="00F13981" w:rsidP="00D56CAE">
      <w:pPr>
        <w:pStyle w:val="BodyHeading"/>
        <w:rPr>
          <w:color w:val="003399"/>
        </w:rPr>
      </w:pPr>
      <w:r w:rsidRPr="0074792E">
        <w:rPr>
          <w:color w:val="003399"/>
        </w:rPr>
        <w:lastRenderedPageBreak/>
        <w:t>Integrated supported systems for specialist areas</w:t>
      </w:r>
      <w:r w:rsidR="00692C69" w:rsidRPr="0074792E">
        <w:rPr>
          <w:color w:val="003399"/>
        </w:rPr>
        <w:t xml:space="preserve"> containing suspended medical equipment</w:t>
      </w:r>
    </w:p>
    <w:p w14:paraId="0174D4FC" w14:textId="2A462599" w:rsidR="007A20C6" w:rsidRDefault="005B6224" w:rsidP="00666E06">
      <w:r>
        <w:t xml:space="preserve">Some specialist rooms </w:t>
      </w:r>
      <w:r w:rsidR="007A20C6">
        <w:t xml:space="preserve">may </w:t>
      </w:r>
      <w:r>
        <w:t>benefit from specific consideration to integration of lateral and vertical support systems for partitions, ceilings, and suspended medical equipment</w:t>
      </w:r>
      <w:r w:rsidR="00F67DBB">
        <w:t xml:space="preserve"> support framing</w:t>
      </w:r>
      <w:r w:rsidR="00B101E5">
        <w:t xml:space="preserve">, </w:t>
      </w:r>
      <w:r w:rsidR="00F67DBB">
        <w:t>(</w:t>
      </w:r>
      <w:r w:rsidR="004D06C7">
        <w:t>and an adjustment in approach compared with typical areas</w:t>
      </w:r>
      <w:r w:rsidR="00F67DBB">
        <w:t>)</w:t>
      </w:r>
      <w:r>
        <w:t>.</w:t>
      </w:r>
      <w:r w:rsidR="007A20C6">
        <w:t xml:space="preserve"> This may include:</w:t>
      </w:r>
    </w:p>
    <w:p w14:paraId="622C3697" w14:textId="5874E601" w:rsidR="007A20C6" w:rsidRDefault="007A20C6" w:rsidP="004D55F1">
      <w:pPr>
        <w:pStyle w:val="ListParagraph"/>
        <w:numPr>
          <w:ilvl w:val="0"/>
          <w:numId w:val="105"/>
        </w:numPr>
      </w:pPr>
      <w:r>
        <w:t>Operating theatre suites</w:t>
      </w:r>
      <w:r w:rsidR="009D7CD7">
        <w:t>;</w:t>
      </w:r>
    </w:p>
    <w:p w14:paraId="65BA9F65" w14:textId="37ACCAE9" w:rsidR="007A20C6" w:rsidRDefault="00692C69" w:rsidP="004D55F1">
      <w:pPr>
        <w:pStyle w:val="ListParagraph"/>
        <w:numPr>
          <w:ilvl w:val="0"/>
          <w:numId w:val="105"/>
        </w:numPr>
      </w:pPr>
      <w:r>
        <w:t>ICU/HDU</w:t>
      </w:r>
      <w:r w:rsidR="009D7CD7">
        <w:t>;</w:t>
      </w:r>
    </w:p>
    <w:p w14:paraId="27B90BB6" w14:textId="413E5D99" w:rsidR="007A20C6" w:rsidRDefault="009D7CD7" w:rsidP="004D55F1">
      <w:pPr>
        <w:pStyle w:val="ListParagraph"/>
        <w:numPr>
          <w:ilvl w:val="0"/>
          <w:numId w:val="105"/>
        </w:numPr>
      </w:pPr>
      <w:r>
        <w:t>Some</w:t>
      </w:r>
      <w:r w:rsidR="007A20C6">
        <w:t xml:space="preserve"> </w:t>
      </w:r>
      <w:r>
        <w:t>areas of</w:t>
      </w:r>
      <w:r w:rsidR="007A20C6">
        <w:t xml:space="preserve"> radiology and imaging.</w:t>
      </w:r>
    </w:p>
    <w:p w14:paraId="361337AD" w14:textId="2C2E4DAA" w:rsidR="00F13981" w:rsidRPr="00064304" w:rsidRDefault="00CD2F72" w:rsidP="00666E06">
      <w:r>
        <w:t xml:space="preserve">The strategy for support of </w:t>
      </w:r>
      <w:r w:rsidR="004D132F">
        <w:t>suspended medical equipment</w:t>
      </w:r>
      <w:r>
        <w:t xml:space="preserve"> </w:t>
      </w:r>
      <w:r w:rsidR="005C4675">
        <w:t>influences</w:t>
      </w:r>
      <w:r w:rsidR="00897B56">
        <w:t xml:space="preserve"> the most pragmatic and buildable solution. </w:t>
      </w:r>
      <w:r>
        <w:t xml:space="preserve">Refer to the commentary in Section </w:t>
      </w:r>
      <w:r>
        <w:fldChar w:fldCharType="begin"/>
      </w:r>
      <w:r>
        <w:instrText xml:space="preserve"> REF _Ref180565012 \r \h </w:instrText>
      </w:r>
      <w:r>
        <w:fldChar w:fldCharType="separate"/>
      </w:r>
      <w:r w:rsidR="000761C1">
        <w:t>B5.1.5</w:t>
      </w:r>
      <w:r>
        <w:fldChar w:fldCharType="end"/>
      </w:r>
      <w:r>
        <w:t xml:space="preserve"> </w:t>
      </w:r>
      <w:r w:rsidR="00897B56">
        <w:t>(</w:t>
      </w:r>
      <w:r>
        <w:fldChar w:fldCharType="begin"/>
      </w:r>
      <w:r>
        <w:instrText xml:space="preserve"> REF _Ref180565012 \h </w:instrText>
      </w:r>
      <w:r>
        <w:fldChar w:fldCharType="separate"/>
      </w:r>
      <w:r w:rsidR="000761C1">
        <w:t>Considerations for Soffit Mounted Equipment</w:t>
      </w:r>
      <w:r>
        <w:fldChar w:fldCharType="end"/>
      </w:r>
      <w:r w:rsidR="00897B56">
        <w:t>)</w:t>
      </w:r>
      <w:r>
        <w:t>.</w:t>
      </w:r>
    </w:p>
    <w:p w14:paraId="54030C93" w14:textId="77777777" w:rsidR="006738BA" w:rsidRPr="00F0604E" w:rsidRDefault="006738BA" w:rsidP="0074792E">
      <w:pPr>
        <w:pStyle w:val="Section3heading2"/>
      </w:pPr>
      <w:bookmarkStart w:id="354" w:name="_Toc151717207"/>
      <w:bookmarkStart w:id="355" w:name="_Ref165301898"/>
      <w:bookmarkStart w:id="356" w:name="_Toc203642003"/>
      <w:r w:rsidRPr="00F0604E">
        <w:t>Suspended Ceilings</w:t>
      </w:r>
      <w:bookmarkEnd w:id="354"/>
      <w:bookmarkEnd w:id="355"/>
      <w:bookmarkEnd w:id="356"/>
    </w:p>
    <w:p w14:paraId="555D00A1" w14:textId="77777777" w:rsidR="00DA3124" w:rsidRPr="00F0604E" w:rsidRDefault="00DA3124" w:rsidP="00666E06">
      <w:r w:rsidRPr="00F0604E">
        <w:t>Suspended ceilings typically fall into one of two categories:</w:t>
      </w:r>
    </w:p>
    <w:p w14:paraId="6BEE0AE2" w14:textId="77777777" w:rsidR="00DA3124" w:rsidRPr="00F0604E" w:rsidRDefault="00DA3124" w:rsidP="004D55F1">
      <w:pPr>
        <w:pStyle w:val="ListParagraph"/>
        <w:numPr>
          <w:ilvl w:val="0"/>
          <w:numId w:val="32"/>
        </w:numPr>
      </w:pPr>
      <w:r w:rsidRPr="00F0604E">
        <w:t>Exposed grid ceilings – suspended support structure visible (e.g., tile and grid ceilings)</w:t>
      </w:r>
    </w:p>
    <w:p w14:paraId="26247D9C" w14:textId="77777777" w:rsidR="00DA3124" w:rsidRPr="00F0604E" w:rsidRDefault="00DA3124" w:rsidP="004D55F1">
      <w:pPr>
        <w:pStyle w:val="ListParagraph"/>
        <w:numPr>
          <w:ilvl w:val="0"/>
          <w:numId w:val="32"/>
        </w:numPr>
      </w:pPr>
      <w:r w:rsidRPr="00F0604E">
        <w:t>Concealed grid ceilings - suspended support structure hidden (e.g., plasterboard lined ceilings)</w:t>
      </w:r>
    </w:p>
    <w:p w14:paraId="60F386BD" w14:textId="77777777" w:rsidR="00DA3124" w:rsidRPr="00F0604E" w:rsidRDefault="00DA3124" w:rsidP="00666E06">
      <w:r w:rsidRPr="00F0604E">
        <w:t>This document primarily considers exposed grid ceilings, though designers may be able to extrapolate to other ceiling types.</w:t>
      </w:r>
    </w:p>
    <w:p w14:paraId="277AA98D" w14:textId="77777777" w:rsidR="00092F95" w:rsidRPr="00F0604E" w:rsidRDefault="00092F95" w:rsidP="0074792E">
      <w:pPr>
        <w:pStyle w:val="Section3heading3"/>
      </w:pPr>
      <w:r w:rsidRPr="00F0604E">
        <w:t>Design Criteria</w:t>
      </w:r>
    </w:p>
    <w:p w14:paraId="3E51D1F6" w14:textId="3AD0B108" w:rsidR="008F09C5" w:rsidRPr="0074792E" w:rsidRDefault="008F09C5" w:rsidP="00D56CAE">
      <w:pPr>
        <w:pStyle w:val="BodyHeading"/>
        <w:rPr>
          <w:color w:val="003399"/>
        </w:rPr>
      </w:pPr>
      <w:r w:rsidRPr="0074792E">
        <w:rPr>
          <w:color w:val="003399"/>
        </w:rPr>
        <w:t xml:space="preserve">Design </w:t>
      </w:r>
      <w:r w:rsidR="00382565" w:rsidRPr="0074792E">
        <w:rPr>
          <w:color w:val="003399"/>
        </w:rPr>
        <w:t>Strategy and Checks</w:t>
      </w:r>
    </w:p>
    <w:p w14:paraId="1233335C" w14:textId="0855AAB6" w:rsidR="0015213A" w:rsidRPr="00F0604E" w:rsidRDefault="000A06EE" w:rsidP="00666E06">
      <w:pPr>
        <w:rPr>
          <w:noProof/>
        </w:rPr>
      </w:pPr>
      <w:r w:rsidRPr="00F0604E">
        <w:rPr>
          <w:noProof/>
        </w:rPr>
        <w:t xml:space="preserve">For general design requirements, refer to the </w:t>
      </w:r>
      <w:r w:rsidR="00A4144A" w:rsidRPr="00F0604E">
        <w:rPr>
          <w:noProof/>
        </w:rPr>
        <w:t>BIP NSE CoP</w:t>
      </w:r>
      <w:r w:rsidRPr="00F0604E">
        <w:rPr>
          <w:noProof/>
        </w:rPr>
        <w:t>.</w:t>
      </w:r>
    </w:p>
    <w:p w14:paraId="7168B560" w14:textId="749109BF" w:rsidR="006F095B" w:rsidRPr="00F0604E" w:rsidRDefault="006F095B" w:rsidP="00666E06">
      <w:pPr>
        <w:rPr>
          <w:noProof/>
        </w:rPr>
      </w:pPr>
      <w:r w:rsidRPr="00F0604E">
        <w:rPr>
          <w:noProof/>
        </w:rPr>
        <w:t xml:space="preserve">The NSE </w:t>
      </w:r>
      <w:r w:rsidR="00712CB5" w:rsidRPr="00F0604E">
        <w:rPr>
          <w:noProof/>
        </w:rPr>
        <w:t>Seismic</w:t>
      </w:r>
      <w:r w:rsidRPr="00F0604E">
        <w:rPr>
          <w:noProof/>
        </w:rPr>
        <w:t xml:space="preserve"> Designer is expected to develop the </w:t>
      </w:r>
      <w:r w:rsidR="00C24BE7" w:rsidRPr="00F0604E">
        <w:rPr>
          <w:noProof/>
        </w:rPr>
        <w:t>d</w:t>
      </w:r>
      <w:r w:rsidRPr="00F0604E">
        <w:rPr>
          <w:noProof/>
        </w:rPr>
        <w:t xml:space="preserve">esign </w:t>
      </w:r>
      <w:r w:rsidR="00C24BE7" w:rsidRPr="00F0604E">
        <w:rPr>
          <w:noProof/>
        </w:rPr>
        <w:t>s</w:t>
      </w:r>
      <w:r w:rsidRPr="00F0604E">
        <w:rPr>
          <w:noProof/>
        </w:rPr>
        <w:t>trategy for the ceilings</w:t>
      </w:r>
      <w:r w:rsidR="00A43953">
        <w:rPr>
          <w:noProof/>
        </w:rPr>
        <w:t xml:space="preserve">. </w:t>
      </w:r>
      <w:r w:rsidRPr="00F0604E">
        <w:rPr>
          <w:noProof/>
        </w:rPr>
        <w:t>This should delineate how the checks above are to be undertaken</w:t>
      </w:r>
      <w:r w:rsidR="00A43953">
        <w:rPr>
          <w:noProof/>
        </w:rPr>
        <w:t xml:space="preserve">. </w:t>
      </w:r>
      <w:r w:rsidRPr="00F0604E">
        <w:rPr>
          <w:noProof/>
        </w:rPr>
        <w:t xml:space="preserve">Often this will involve: </w:t>
      </w:r>
    </w:p>
    <w:p w14:paraId="59032A5F" w14:textId="3F77CFFC" w:rsidR="006F095B" w:rsidRPr="00F0604E" w:rsidRDefault="006F095B" w:rsidP="0074792E">
      <w:pPr>
        <w:pStyle w:val="ListBullet"/>
        <w:rPr>
          <w:noProof/>
        </w:rPr>
      </w:pPr>
      <w:r w:rsidRPr="00F0604E">
        <w:rPr>
          <w:noProof/>
        </w:rPr>
        <w:t xml:space="preserve">Direct bracing checks being undertaken by the NSE </w:t>
      </w:r>
      <w:r w:rsidR="00712CB5" w:rsidRPr="00F0604E">
        <w:rPr>
          <w:noProof/>
        </w:rPr>
        <w:t>Seismic</w:t>
      </w:r>
      <w:r w:rsidRPr="00F0604E">
        <w:rPr>
          <w:noProof/>
        </w:rPr>
        <w:t xml:space="preserve"> Designer </w:t>
      </w:r>
    </w:p>
    <w:p w14:paraId="08F84344" w14:textId="732B5706" w:rsidR="006F095B" w:rsidRPr="00F0604E" w:rsidRDefault="006F095B" w:rsidP="00666E06">
      <w:pPr>
        <w:pStyle w:val="ListBullet"/>
        <w:rPr>
          <w:noProof/>
        </w:rPr>
      </w:pPr>
      <w:r w:rsidRPr="00F0604E">
        <w:rPr>
          <w:noProof/>
        </w:rPr>
        <w:t>Ceiling (grid, diaphragm, connection) checks being undertaken by a proprietary</w:t>
      </w:r>
      <w:r w:rsidR="001F241C" w:rsidRPr="00F0604E">
        <w:rPr>
          <w:noProof/>
        </w:rPr>
        <w:t xml:space="preserve"> </w:t>
      </w:r>
      <w:r w:rsidRPr="00F0604E">
        <w:rPr>
          <w:noProof/>
        </w:rPr>
        <w:t>ceiling supplier</w:t>
      </w:r>
      <w:r w:rsidR="00A43953">
        <w:rPr>
          <w:noProof/>
        </w:rPr>
        <w:t xml:space="preserve">. </w:t>
      </w:r>
      <w:r w:rsidRPr="00F0604E">
        <w:rPr>
          <w:noProof/>
        </w:rPr>
        <w:t xml:space="preserve">In this case, the NSE </w:t>
      </w:r>
      <w:r w:rsidR="00712CB5" w:rsidRPr="00F0604E">
        <w:rPr>
          <w:noProof/>
        </w:rPr>
        <w:t>Seismic Designer</w:t>
      </w:r>
      <w:r w:rsidRPr="00F0604E">
        <w:rPr>
          <w:noProof/>
        </w:rPr>
        <w:t xml:space="preserve"> should: </w:t>
      </w:r>
    </w:p>
    <w:p w14:paraId="2BFBCA3A" w14:textId="0573F672" w:rsidR="006F095B" w:rsidRPr="00F0604E" w:rsidRDefault="006F095B" w:rsidP="004D55F1">
      <w:pPr>
        <w:pStyle w:val="ListBullet"/>
        <w:numPr>
          <w:ilvl w:val="1"/>
          <w:numId w:val="47"/>
        </w:numPr>
        <w:rPr>
          <w:noProof/>
        </w:rPr>
      </w:pPr>
      <w:r w:rsidRPr="00F0604E">
        <w:rPr>
          <w:noProof/>
        </w:rPr>
        <w:t>Engage with the architect and proprietary ceiling designers early in the</w:t>
      </w:r>
      <w:r w:rsidR="001F241C" w:rsidRPr="00F0604E">
        <w:rPr>
          <w:noProof/>
        </w:rPr>
        <w:t xml:space="preserve"> </w:t>
      </w:r>
      <w:r w:rsidRPr="00F0604E">
        <w:rPr>
          <w:noProof/>
        </w:rPr>
        <w:t xml:space="preserve">project to select systems with appropriate capacity for the project. </w:t>
      </w:r>
    </w:p>
    <w:p w14:paraId="798DCCE3" w14:textId="3C4E24A0" w:rsidR="006F095B" w:rsidRPr="00F0604E" w:rsidRDefault="006F095B" w:rsidP="004D55F1">
      <w:pPr>
        <w:pStyle w:val="ListBullet"/>
        <w:numPr>
          <w:ilvl w:val="1"/>
          <w:numId w:val="47"/>
        </w:numPr>
        <w:rPr>
          <w:noProof/>
        </w:rPr>
      </w:pPr>
      <w:r w:rsidRPr="00F0604E">
        <w:rPr>
          <w:noProof/>
        </w:rPr>
        <w:t xml:space="preserve">Assist the architect with developing an appropriate performance specification that requires the appropriate capacity checks to be undertaken by the supplier and submitted to the project. </w:t>
      </w:r>
    </w:p>
    <w:p w14:paraId="4FFA28AF" w14:textId="79ACE777" w:rsidR="006F095B" w:rsidRPr="00F0604E" w:rsidRDefault="006F095B" w:rsidP="00666E06">
      <w:pPr>
        <w:pStyle w:val="ListBullet"/>
        <w:rPr>
          <w:noProof/>
        </w:rPr>
      </w:pPr>
      <w:r w:rsidRPr="00F0604E">
        <w:rPr>
          <w:noProof/>
        </w:rPr>
        <w:t xml:space="preserve">Review submittals from the ceiling supplier for compliance </w:t>
      </w:r>
    </w:p>
    <w:p w14:paraId="3E0C4E55" w14:textId="37F54794" w:rsidR="006F095B" w:rsidRPr="00F0604E" w:rsidRDefault="006F095B" w:rsidP="00666E06">
      <w:pPr>
        <w:pStyle w:val="ListBullet"/>
        <w:rPr>
          <w:noProof/>
        </w:rPr>
      </w:pPr>
      <w:r w:rsidRPr="00F0604E">
        <w:rPr>
          <w:noProof/>
        </w:rPr>
        <w:t>Review (or directly design if within their scope) the supporting walls to confirm they</w:t>
      </w:r>
      <w:r w:rsidR="001F241C" w:rsidRPr="00F0604E">
        <w:rPr>
          <w:noProof/>
        </w:rPr>
        <w:t xml:space="preserve"> h</w:t>
      </w:r>
      <w:r w:rsidRPr="00F0604E">
        <w:rPr>
          <w:noProof/>
        </w:rPr>
        <w:t>ave been designed to restrain the ceilings where required.</w:t>
      </w:r>
    </w:p>
    <w:p w14:paraId="406F177B" w14:textId="77777777" w:rsidR="008F09C5" w:rsidRPr="0074792E" w:rsidRDefault="008F09C5" w:rsidP="00D56CAE">
      <w:pPr>
        <w:pStyle w:val="BodyHeading"/>
        <w:rPr>
          <w:color w:val="003399"/>
        </w:rPr>
      </w:pPr>
      <w:r w:rsidRPr="0074792E">
        <w:rPr>
          <w:color w:val="003399"/>
        </w:rPr>
        <w:lastRenderedPageBreak/>
        <w:t>Ceiling Capacity Validation</w:t>
      </w:r>
    </w:p>
    <w:p w14:paraId="00E4A3C0" w14:textId="362072F5" w:rsidR="008F09C5" w:rsidRPr="00F0604E" w:rsidRDefault="008F09C5" w:rsidP="00666E06">
      <w:r w:rsidRPr="00F0604E">
        <w:t>There is limited information available from supplier’s detailing capacities of ceiling grids, connections, and overall systems. Some of the information that is available is not supported by appropriate testing or similar validation. Some products on the market may have seismic performance below expectations.</w:t>
      </w:r>
    </w:p>
    <w:p w14:paraId="5E6ABCF6" w14:textId="50610E75" w:rsidR="008F09C5" w:rsidRPr="00F0604E" w:rsidRDefault="008F09C5" w:rsidP="00666E06">
      <w:r w:rsidRPr="00F0604E">
        <w:t>Designers shall take steps to reasonably demonstrate that selected ceiling systems perform as required by the design</w:t>
      </w:r>
      <w:r w:rsidR="00A43953">
        <w:t xml:space="preserve">. </w:t>
      </w:r>
      <w:r w:rsidRPr="00F0604E">
        <w:t>For major hospital projects, this is expected to include testing, by a reputable third party, to demonstrate the capacity of the element/system. This testing should be carried out in accordance with AS/NZS 2785:2020</w:t>
      </w:r>
      <w:r w:rsidR="0072579F" w:rsidRPr="00F0604E">
        <w:t xml:space="preserve"> (</w:t>
      </w:r>
      <w:r w:rsidR="007477C2" w:rsidRPr="00F0604E">
        <w:t>or for ceilings restrained by partitions walls, ASTM E580</w:t>
      </w:r>
      <w:r w:rsidR="00CF5CB3" w:rsidRPr="00F0604E">
        <w:t xml:space="preserve"> may be used</w:t>
      </w:r>
      <w:r w:rsidR="007477C2" w:rsidRPr="00F0604E">
        <w:t>).</w:t>
      </w:r>
    </w:p>
    <w:p w14:paraId="3FE01CC2" w14:textId="2DFA30FA" w:rsidR="008F09C5" w:rsidRPr="00F0604E" w:rsidRDefault="00BE4468" w:rsidP="00666E06">
      <w:r w:rsidRPr="00F0604E">
        <w:t>All information on any testing completed should be included in the NSE Seismic Design Strategy report</w:t>
      </w:r>
      <w:r w:rsidR="00A43953">
        <w:t xml:space="preserve">. </w:t>
      </w:r>
    </w:p>
    <w:p w14:paraId="27C7490F" w14:textId="77777777" w:rsidR="00092F95" w:rsidRPr="00F0604E" w:rsidRDefault="00092F95" w:rsidP="0074792E">
      <w:pPr>
        <w:pStyle w:val="Section3heading3"/>
      </w:pPr>
      <w:r w:rsidRPr="00F0604E">
        <w:t>Other Design Considerations</w:t>
      </w:r>
    </w:p>
    <w:p w14:paraId="4FD373C3" w14:textId="4AC3ACE6" w:rsidR="000943A0" w:rsidRPr="0074792E" w:rsidRDefault="003A61F3" w:rsidP="00D56CAE">
      <w:pPr>
        <w:pStyle w:val="BodyHeading"/>
        <w:rPr>
          <w:color w:val="003399"/>
        </w:rPr>
      </w:pPr>
      <w:r w:rsidRPr="0074792E">
        <w:rPr>
          <w:color w:val="003399"/>
        </w:rPr>
        <w:t>Seismic Securing of</w:t>
      </w:r>
      <w:r w:rsidR="000943A0" w:rsidRPr="0074792E">
        <w:rPr>
          <w:color w:val="003399"/>
        </w:rPr>
        <w:t xml:space="preserve"> Ceiling Tiles</w:t>
      </w:r>
    </w:p>
    <w:p w14:paraId="698C6409" w14:textId="15E6FC7F" w:rsidR="000943A0" w:rsidRPr="00F0604E" w:rsidRDefault="000943A0" w:rsidP="00666E06">
      <w:r w:rsidRPr="00F0604E">
        <w:t xml:space="preserve">The complete avoidance of tile loss generally requires </w:t>
      </w:r>
      <w:r w:rsidR="003A61F3" w:rsidRPr="00F0604E">
        <w:t xml:space="preserve">securing ceiling tiles. This </w:t>
      </w:r>
      <w:r w:rsidR="00C34E51" w:rsidRPr="00F0604E">
        <w:t xml:space="preserve">has </w:t>
      </w:r>
      <w:r w:rsidR="00E75BBC" w:rsidRPr="00F0604E">
        <w:t xml:space="preserve">often </w:t>
      </w:r>
      <w:r w:rsidR="00C34E51" w:rsidRPr="00F0604E">
        <w:t>been achieve</w:t>
      </w:r>
      <w:r w:rsidR="003A61F3" w:rsidRPr="00F0604E">
        <w:t xml:space="preserve">d </w:t>
      </w:r>
      <w:r w:rsidR="00C34E51" w:rsidRPr="00F0604E">
        <w:t>via</w:t>
      </w:r>
      <w:r w:rsidR="003A61F3" w:rsidRPr="00F0604E">
        <w:t xml:space="preserve"> </w:t>
      </w:r>
      <w:r w:rsidRPr="00F0604E">
        <w:t xml:space="preserve">taping or clipping of </w:t>
      </w:r>
      <w:r w:rsidR="006E60DF" w:rsidRPr="00F0604E">
        <w:t>the ceiling</w:t>
      </w:r>
      <w:r w:rsidRPr="00F0604E">
        <w:t xml:space="preserve"> tiles. </w:t>
      </w:r>
      <w:r w:rsidR="00B6768B" w:rsidRPr="00F0604E">
        <w:t xml:space="preserve">However, clipping or taping </w:t>
      </w:r>
      <w:r w:rsidR="00F54BB6" w:rsidRPr="00F0604E">
        <w:t>can preclude</w:t>
      </w:r>
      <w:r w:rsidRPr="00F0604E">
        <w:t xml:space="preserve"> straightforward maintenance access to the ceiling plenum. </w:t>
      </w:r>
    </w:p>
    <w:p w14:paraId="72A7080A" w14:textId="6D1851A8" w:rsidR="00C34E51" w:rsidRPr="00F0604E" w:rsidRDefault="00C34E51" w:rsidP="00666E06">
      <w:r w:rsidRPr="00F0604E">
        <w:t xml:space="preserve">The need for in-ceiling maintenance is critical in hospitals, </w:t>
      </w:r>
      <w:r w:rsidR="004E4954" w:rsidRPr="00F0604E">
        <w:t xml:space="preserve">so securing systems that limit maintenance (such as clips) are considered </w:t>
      </w:r>
      <w:r w:rsidR="00836356" w:rsidRPr="00F0604E">
        <w:t>undesirable from an operational perspective, and unreliable from a seismic performance perspective</w:t>
      </w:r>
      <w:r w:rsidR="000703AB" w:rsidRPr="00F0604E">
        <w:t xml:space="preserve"> (as they are likely to be removed)</w:t>
      </w:r>
      <w:r w:rsidR="00836356" w:rsidRPr="00F0604E">
        <w:t>.</w:t>
      </w:r>
    </w:p>
    <w:p w14:paraId="47C82B1D" w14:textId="11F952E8" w:rsidR="0072720C" w:rsidRPr="00F0604E" w:rsidRDefault="005F1F74" w:rsidP="00666E06">
      <w:r w:rsidRPr="00F0604E">
        <w:t xml:space="preserve">Designers </w:t>
      </w:r>
      <w:r w:rsidR="000703AB" w:rsidRPr="00F0604E">
        <w:t xml:space="preserve">are therefore encouraged to explore </w:t>
      </w:r>
      <w:r w:rsidR="001A304A" w:rsidRPr="00F0604E">
        <w:t xml:space="preserve">systems that </w:t>
      </w:r>
      <w:r w:rsidR="00067BBE" w:rsidRPr="00F0604E">
        <w:t>can secure ceiling tiles</w:t>
      </w:r>
      <w:r w:rsidR="00A01442" w:rsidRPr="00F0604E">
        <w:t xml:space="preserve"> without hindering access.</w:t>
      </w:r>
      <w:r w:rsidR="00C07991" w:rsidRPr="00F0604E">
        <w:t xml:space="preserve"> </w:t>
      </w:r>
      <w:r w:rsidR="0072720C" w:rsidRPr="00F0604E">
        <w:t xml:space="preserve">Initial research </w:t>
      </w:r>
      <w:r w:rsidR="008F6640" w:rsidRPr="00F0604E">
        <w:t xml:space="preserve">findings </w:t>
      </w:r>
      <w:r w:rsidR="0072720C" w:rsidRPr="00F0604E">
        <w:t xml:space="preserve">as part of the ROBUST programme, suggests that good seismic performance can be achieved with </w:t>
      </w:r>
      <w:r w:rsidR="008F6640" w:rsidRPr="00F0604E">
        <w:t>very simple, low-cost systems such Velcro fasteners</w:t>
      </w:r>
      <w:r w:rsidR="00A43953">
        <w:t xml:space="preserve">. </w:t>
      </w:r>
      <w:r w:rsidR="000370AA" w:rsidRPr="00F0604E">
        <w:t>Designers are also encouraged to work with suppliers to implement ceiling tile</w:t>
      </w:r>
      <w:r w:rsidR="00166DE8" w:rsidRPr="00F0604E">
        <w:t xml:space="preserve"> securing systems that also allow for </w:t>
      </w:r>
      <w:r w:rsidR="002137F2" w:rsidRPr="00F0604E">
        <w:t xml:space="preserve">easy </w:t>
      </w:r>
      <w:r w:rsidR="00051E4C" w:rsidRPr="00F0604E">
        <w:t>maintenance access.</w:t>
      </w:r>
    </w:p>
    <w:p w14:paraId="503560CB" w14:textId="7FB51097" w:rsidR="000943A0" w:rsidRPr="00F0604E" w:rsidRDefault="005B7971" w:rsidP="00666E06">
      <w:r w:rsidRPr="00F0604E">
        <w:t>Clipping or taping is considered appropriate where it can be practically achieved without interfering with maintenance requirements. This is particularly true for ceilings where tile loss could adversely impact post-disaster function, such as key egress routes</w:t>
      </w:r>
      <w:r w:rsidR="00ED217B" w:rsidRPr="00F0604E">
        <w:t>, or where dis</w:t>
      </w:r>
      <w:r w:rsidR="00F02B16" w:rsidRPr="00F0604E">
        <w:t xml:space="preserve">lodged tiles might </w:t>
      </w:r>
      <w:r w:rsidR="00566361" w:rsidRPr="00F0604E">
        <w:t xml:space="preserve">damage </w:t>
      </w:r>
      <w:r w:rsidR="000943A0" w:rsidRPr="00F0604E">
        <w:t xml:space="preserve">emergency lighting and sprinkler heads. </w:t>
      </w:r>
    </w:p>
    <w:p w14:paraId="2ACF2B48" w14:textId="77777777" w:rsidR="000943A0" w:rsidRPr="0074792E" w:rsidRDefault="000943A0" w:rsidP="00D56CAE">
      <w:pPr>
        <w:pStyle w:val="BodyHeading"/>
        <w:rPr>
          <w:color w:val="003399"/>
        </w:rPr>
      </w:pPr>
      <w:r w:rsidRPr="0074792E">
        <w:rPr>
          <w:color w:val="003399"/>
        </w:rPr>
        <w:t>Clearances</w:t>
      </w:r>
    </w:p>
    <w:p w14:paraId="68BC3355" w14:textId="604A6691" w:rsidR="000943A0" w:rsidRPr="00F0604E" w:rsidRDefault="000943A0" w:rsidP="00666E06">
      <w:r w:rsidRPr="00F0604E">
        <w:t>Ceilings are displacement and acceleration sensitive elements</w:t>
      </w:r>
      <w:r w:rsidR="00ED1A5F" w:rsidRPr="00F0604E">
        <w:t>. W</w:t>
      </w:r>
      <w:r w:rsidRPr="00F0604E">
        <w:t>here these systems interact with other elements (such as at perimeter walls or across seismic joints) the clearances should be assessed by the designer and specified on the construction documentation.</w:t>
      </w:r>
    </w:p>
    <w:p w14:paraId="170A3D57" w14:textId="77777777" w:rsidR="000943A0" w:rsidRPr="0074792E" w:rsidRDefault="000943A0" w:rsidP="00D56CAE">
      <w:pPr>
        <w:pStyle w:val="BodyHeading"/>
        <w:rPr>
          <w:color w:val="003399"/>
        </w:rPr>
      </w:pPr>
      <w:r w:rsidRPr="0074792E">
        <w:rPr>
          <w:color w:val="003399"/>
        </w:rPr>
        <w:t>Ceiling weight allowances</w:t>
      </w:r>
    </w:p>
    <w:p w14:paraId="7EDFF6F0" w14:textId="2F07C6AD" w:rsidR="000943A0" w:rsidRPr="00F0604E" w:rsidRDefault="000943A0" w:rsidP="00666E06">
      <w:r w:rsidRPr="00F0604E">
        <w:t>Allowance should be made for the project specific suspended services weight on the ceiling</w:t>
      </w:r>
      <w:r w:rsidR="00A43953">
        <w:t xml:space="preserve">. </w:t>
      </w:r>
      <w:r w:rsidRPr="00F0604E">
        <w:t>Appropriate allowance should be developed in conjunction with the services engineer</w:t>
      </w:r>
      <w:r w:rsidR="00A43953">
        <w:t xml:space="preserve">. </w:t>
      </w:r>
    </w:p>
    <w:p w14:paraId="71114833" w14:textId="51503E8C" w:rsidR="000943A0" w:rsidRPr="00F0604E" w:rsidRDefault="7CEC1B8A" w:rsidP="00666E06">
      <w:r w:rsidRPr="00F0604E">
        <w:lastRenderedPageBreak/>
        <w:t xml:space="preserve">The </w:t>
      </w:r>
      <w:r w:rsidR="007D5C79">
        <w:t>Health</w:t>
      </w:r>
      <w:r w:rsidR="00C30946">
        <w:t xml:space="preserve"> </w:t>
      </w:r>
      <w:r w:rsidR="007D5C79">
        <w:t xml:space="preserve">NZ </w:t>
      </w:r>
      <w:r w:rsidR="00773104" w:rsidRPr="00F0604E">
        <w:t>recommended</w:t>
      </w:r>
      <w:r w:rsidR="000943A0" w:rsidRPr="00F0604E">
        <w:t xml:space="preserve"> minimum loading allowances required for ceilings is as follows:</w:t>
      </w:r>
    </w:p>
    <w:p w14:paraId="3F0BC5D6" w14:textId="44FDD143" w:rsidR="000943A0" w:rsidRPr="00F0604E" w:rsidRDefault="000943A0" w:rsidP="004D55F1">
      <w:pPr>
        <w:pStyle w:val="ListParagraph"/>
        <w:numPr>
          <w:ilvl w:val="0"/>
          <w:numId w:val="42"/>
        </w:numPr>
      </w:pPr>
      <w:r w:rsidRPr="00F0604E">
        <w:t>For localised gravity load checks, suspended ceilings should be designed for a minimum services load allowance of 3kg</w:t>
      </w:r>
      <w:r w:rsidR="00D71C5E" w:rsidRPr="00F0604E">
        <w:t>/</w:t>
      </w:r>
      <w:r w:rsidRPr="00F0604E">
        <w:t>m² (as per NZS</w:t>
      </w:r>
      <w:r w:rsidR="00373B2C">
        <w:t xml:space="preserve"> </w:t>
      </w:r>
      <w:r w:rsidRPr="00F0604E">
        <w:t>4219) plus 3kg/m² for incidental live loads (as per AS/NZS 2785)</w:t>
      </w:r>
    </w:p>
    <w:p w14:paraId="41B17F94" w14:textId="77777777" w:rsidR="000943A0" w:rsidRPr="00F0604E" w:rsidRDefault="000943A0" w:rsidP="004D55F1">
      <w:pPr>
        <w:pStyle w:val="ListParagraph"/>
        <w:numPr>
          <w:ilvl w:val="0"/>
          <w:numId w:val="42"/>
        </w:numPr>
      </w:pPr>
      <w:r w:rsidRPr="00F0604E">
        <w:t>For seismic load cases, the services load allowance (minimum 3kg/m</w:t>
      </w:r>
      <w:r w:rsidRPr="00F0604E">
        <w:rPr>
          <w:vertAlign w:val="superscript"/>
        </w:rPr>
        <w:t>2</w:t>
      </w:r>
      <w:r w:rsidRPr="00F0604E">
        <w:t>) shall be included in the seismic weight of the suspended ceiling. The incidental live load allowance can be taken as zero (as per AS/NZS 2785)</w:t>
      </w:r>
    </w:p>
    <w:p w14:paraId="55E94CD6" w14:textId="77777777" w:rsidR="005E27DD" w:rsidRDefault="000943A0" w:rsidP="00666E06">
      <w:r w:rsidRPr="00F0604E">
        <w:t>For a hospital, the minimum services load allowance of 3kg/m</w:t>
      </w:r>
      <w:r w:rsidRPr="00F0604E">
        <w:rPr>
          <w:vertAlign w:val="superscript"/>
        </w:rPr>
        <w:t>2</w:t>
      </w:r>
      <w:r w:rsidRPr="00F0604E">
        <w:t xml:space="preserve"> may not be sufficient, and advice shall be sought from the services engineer for an appropriate project specific allowance.</w:t>
      </w:r>
    </w:p>
    <w:p w14:paraId="43630BF7" w14:textId="77777777" w:rsidR="005E27DD" w:rsidRPr="0074792E" w:rsidRDefault="005E27DD" w:rsidP="00D56CAE">
      <w:pPr>
        <w:pStyle w:val="BodyHeading"/>
        <w:rPr>
          <w:color w:val="003399"/>
        </w:rPr>
      </w:pPr>
      <w:r w:rsidRPr="0074792E">
        <w:rPr>
          <w:color w:val="003399"/>
        </w:rPr>
        <w:t>Integrated supported systems for specialist areas containing suspended medical equipment</w:t>
      </w:r>
    </w:p>
    <w:p w14:paraId="2BE45C79" w14:textId="636643BD" w:rsidR="005E27DD" w:rsidRPr="00064304" w:rsidRDefault="005E27DD" w:rsidP="00666E06">
      <w:r>
        <w:t xml:space="preserve">Refer to the corresponding subheading in Section </w:t>
      </w:r>
      <w:r>
        <w:fldChar w:fldCharType="begin"/>
      </w:r>
      <w:r>
        <w:instrText xml:space="preserve"> REF _Ref152820707 \r \h </w:instrText>
      </w:r>
      <w:r>
        <w:fldChar w:fldCharType="separate"/>
      </w:r>
      <w:r w:rsidR="000761C1">
        <w:t>C4.5</w:t>
      </w:r>
      <w:r>
        <w:fldChar w:fldCharType="end"/>
      </w:r>
      <w:r>
        <w:t xml:space="preserve"> (</w:t>
      </w:r>
      <w:r>
        <w:fldChar w:fldCharType="begin"/>
      </w:r>
      <w:r>
        <w:instrText xml:space="preserve"> REF _Ref152820707 \h </w:instrText>
      </w:r>
      <w:r>
        <w:fldChar w:fldCharType="separate"/>
      </w:r>
      <w:r w:rsidR="000761C1" w:rsidRPr="00064304">
        <w:t>Lightweight Partition Walls</w:t>
      </w:r>
      <w:r>
        <w:fldChar w:fldCharType="end"/>
      </w:r>
      <w:r>
        <w:t xml:space="preserve">) and the commentary in Section </w:t>
      </w:r>
      <w:r>
        <w:fldChar w:fldCharType="begin"/>
      </w:r>
      <w:r>
        <w:instrText xml:space="preserve"> REF _Ref180565012 \r \h </w:instrText>
      </w:r>
      <w:r>
        <w:fldChar w:fldCharType="separate"/>
      </w:r>
      <w:r w:rsidR="000761C1">
        <w:t>B5.1.5</w:t>
      </w:r>
      <w:r>
        <w:fldChar w:fldCharType="end"/>
      </w:r>
      <w:r>
        <w:t xml:space="preserve"> (</w:t>
      </w:r>
      <w:r>
        <w:fldChar w:fldCharType="begin"/>
      </w:r>
      <w:r>
        <w:instrText xml:space="preserve"> REF _Ref180565012 \h </w:instrText>
      </w:r>
      <w:r>
        <w:fldChar w:fldCharType="separate"/>
      </w:r>
      <w:r w:rsidR="000761C1">
        <w:t>Considerations for Soffit Mounted Equipment</w:t>
      </w:r>
      <w:r>
        <w:fldChar w:fldCharType="end"/>
      </w:r>
      <w:r>
        <w:t>).</w:t>
      </w:r>
    </w:p>
    <w:p w14:paraId="26FDE151" w14:textId="77777777" w:rsidR="009D6D9D" w:rsidRPr="00F0604E" w:rsidRDefault="009D6D9D" w:rsidP="0074792E">
      <w:pPr>
        <w:pStyle w:val="Section3heading2"/>
      </w:pPr>
      <w:bookmarkStart w:id="357" w:name="_Toc151717208"/>
      <w:bookmarkStart w:id="358" w:name="_Ref152820724"/>
      <w:bookmarkStart w:id="359" w:name="_Toc203642004"/>
      <w:r w:rsidRPr="00F0604E">
        <w:t>Suspended Building Services</w:t>
      </w:r>
      <w:bookmarkEnd w:id="357"/>
      <w:bookmarkEnd w:id="358"/>
      <w:bookmarkEnd w:id="359"/>
    </w:p>
    <w:p w14:paraId="74B99E50" w14:textId="77777777" w:rsidR="009D6D9D" w:rsidRPr="00F0604E" w:rsidRDefault="009D6D9D" w:rsidP="0074792E">
      <w:pPr>
        <w:pStyle w:val="Section3heading3"/>
      </w:pPr>
      <w:r w:rsidRPr="00F0604E">
        <w:t>Description and Performance Requirements</w:t>
      </w:r>
    </w:p>
    <w:p w14:paraId="614DD48A" w14:textId="1D261E68" w:rsidR="00A56DF6" w:rsidRPr="00F0604E" w:rsidRDefault="00A56DF6" w:rsidP="00666E06">
      <w:r w:rsidRPr="00F0604E">
        <w:t>Suspended Building Services includes, but is not limited to, linear items such as duct, cable tray and pipework as well as in line or individually suspended items of plant and equipment</w:t>
      </w:r>
      <w:r w:rsidR="00A43953">
        <w:t xml:space="preserve">. </w:t>
      </w:r>
    </w:p>
    <w:p w14:paraId="295C9F09" w14:textId="7F63D6BD" w:rsidR="00A56DF6" w:rsidRPr="00F0604E" w:rsidRDefault="00A56DF6" w:rsidP="00666E06">
      <w:r w:rsidRPr="00F0604E">
        <w:t xml:space="preserve">The performance requirements for this element are defined in Section </w:t>
      </w:r>
      <w:r w:rsidRPr="00F0604E">
        <w:fldChar w:fldCharType="begin"/>
      </w:r>
      <w:r w:rsidRPr="00F0604E">
        <w:instrText xml:space="preserve"> REF _Ref152824068 \r \h  \* MERGEFORMAT </w:instrText>
      </w:r>
      <w:r w:rsidRPr="00F0604E">
        <w:fldChar w:fldCharType="separate"/>
      </w:r>
      <w:r w:rsidR="000761C1">
        <w:t>B2</w:t>
      </w:r>
      <w:r w:rsidRPr="00F0604E">
        <w:fldChar w:fldCharType="end"/>
      </w:r>
      <w:r w:rsidRPr="00F0604E">
        <w:t xml:space="preserve"> of this document. Refer in particular to the Descriptions of Physical States in Section </w:t>
      </w:r>
      <w:r w:rsidRPr="00F0604E">
        <w:fldChar w:fldCharType="begin"/>
      </w:r>
      <w:r w:rsidRPr="00F0604E">
        <w:instrText xml:space="preserve"> REF _Ref150180900 \r \h </w:instrText>
      </w:r>
      <w:r w:rsidR="00F0604E">
        <w:instrText xml:space="preserve"> \* MERGEFORMAT </w:instrText>
      </w:r>
      <w:r w:rsidRPr="00F0604E">
        <w:fldChar w:fldCharType="separate"/>
      </w:r>
      <w:r w:rsidR="000761C1">
        <w:t>B2.5</w:t>
      </w:r>
      <w:r w:rsidRPr="00F0604E">
        <w:fldChar w:fldCharType="end"/>
      </w:r>
      <w:r w:rsidRPr="00F0604E">
        <w:t xml:space="preserve"> </w:t>
      </w:r>
      <w:r w:rsidRPr="00F0604E">
        <w:fldChar w:fldCharType="begin"/>
      </w:r>
      <w:r w:rsidRPr="00F0604E">
        <w:instrText xml:space="preserve"> REF _Ref152824069 \h </w:instrText>
      </w:r>
      <w:r w:rsidR="00F0604E">
        <w:instrText xml:space="preserve"> \* MERGEFORMAT </w:instrText>
      </w:r>
      <w:r w:rsidRPr="00F0604E">
        <w:fldChar w:fldCharType="separate"/>
      </w:r>
      <w:r w:rsidR="000761C1" w:rsidRPr="000761C1">
        <w:t xml:space="preserve">Table </w:t>
      </w:r>
      <w:r w:rsidR="000761C1" w:rsidRPr="000761C1">
        <w:rPr>
          <w:noProof/>
        </w:rPr>
        <w:t>17</w:t>
      </w:r>
      <w:r w:rsidRPr="00F0604E">
        <w:fldChar w:fldCharType="end"/>
      </w:r>
      <w:r w:rsidR="008F11E1">
        <w:t xml:space="preserve"> </w:t>
      </w:r>
      <w:r w:rsidRPr="00F0604E">
        <w:t>for definitions of post-earthquake expectations for individual elements.</w:t>
      </w:r>
    </w:p>
    <w:p w14:paraId="663E8B07" w14:textId="36B6B539" w:rsidR="005002F6" w:rsidRPr="00F0604E" w:rsidRDefault="005002F6" w:rsidP="0074792E">
      <w:pPr>
        <w:pStyle w:val="Section3heading3"/>
      </w:pPr>
      <w:r w:rsidRPr="00F0604E">
        <w:t>Design Criteria</w:t>
      </w:r>
    </w:p>
    <w:p w14:paraId="3BC4A246" w14:textId="3F6D8800" w:rsidR="007A60DF" w:rsidRPr="0074792E" w:rsidRDefault="007A60DF" w:rsidP="00D56CAE">
      <w:pPr>
        <w:pStyle w:val="BodyHeading"/>
        <w:rPr>
          <w:color w:val="003399"/>
        </w:rPr>
      </w:pPr>
      <w:r w:rsidRPr="0074792E">
        <w:rPr>
          <w:color w:val="003399"/>
        </w:rPr>
        <w:t>Reference documents</w:t>
      </w:r>
    </w:p>
    <w:p w14:paraId="69A8AA1E" w14:textId="2DC54BA7" w:rsidR="00EB06B2" w:rsidRPr="00F0604E" w:rsidRDefault="00EB06B2" w:rsidP="00666E06">
      <w:r w:rsidRPr="00F0604E">
        <w:t>Refer to NZS</w:t>
      </w:r>
      <w:r w:rsidR="00256F60" w:rsidRPr="00F0604E">
        <w:t xml:space="preserve"> </w:t>
      </w:r>
      <w:r w:rsidRPr="00F0604E">
        <w:t>4219 for general guidance for design of seismic restraint for engineering systems</w:t>
      </w:r>
      <w:r w:rsidR="007A59DF" w:rsidRPr="00F0604E">
        <w:t xml:space="preserve"> </w:t>
      </w:r>
      <w:sdt>
        <w:sdtPr>
          <w:id w:val="-904905956"/>
          <w:citation/>
        </w:sdtPr>
        <w:sdtEndPr/>
        <w:sdtContent>
          <w:r w:rsidR="00E17631" w:rsidRPr="00F0604E">
            <w:fldChar w:fldCharType="begin"/>
          </w:r>
          <w:r w:rsidR="00E17631" w:rsidRPr="00F0604E">
            <w:rPr>
              <w:lang w:val="en-US"/>
            </w:rPr>
            <w:instrText xml:space="preserve"> CITATION SNZ09 \l 1033 </w:instrText>
          </w:r>
          <w:r w:rsidR="00E17631" w:rsidRPr="00F0604E">
            <w:fldChar w:fldCharType="separate"/>
          </w:r>
          <w:r w:rsidR="00222D65">
            <w:rPr>
              <w:noProof/>
              <w:lang w:val="en-US"/>
            </w:rPr>
            <w:t>(SNZ, 2009)</w:t>
          </w:r>
          <w:r w:rsidR="00E17631" w:rsidRPr="00F0604E">
            <w:fldChar w:fldCharType="end"/>
          </w:r>
        </w:sdtContent>
      </w:sdt>
      <w:r w:rsidRPr="00F0604E">
        <w:t>.</w:t>
      </w:r>
    </w:p>
    <w:p w14:paraId="008320B3" w14:textId="3DB5842E" w:rsidR="001C0024" w:rsidRPr="00F0604E" w:rsidRDefault="001C0024" w:rsidP="00666E06">
      <w:r w:rsidRPr="00F0604E">
        <w:t xml:space="preserve">The BIP </w:t>
      </w:r>
      <w:r w:rsidR="00D34538" w:rsidRPr="00F0604E">
        <w:t>NSE CoP</w:t>
      </w:r>
      <w:r w:rsidRPr="00F0604E">
        <w:t xml:space="preserve"> contains general guidance for seismic design of services</w:t>
      </w:r>
      <w:r w:rsidR="0035195B" w:rsidRPr="00F0604E">
        <w:t>.</w:t>
      </w:r>
      <w:r w:rsidR="00843A05" w:rsidRPr="00F0604E">
        <w:t xml:space="preserve"> </w:t>
      </w:r>
      <w:r w:rsidR="00440BB4" w:rsidRPr="00F0604E">
        <w:t>Th</w:t>
      </w:r>
      <w:r w:rsidR="000414A1" w:rsidRPr="00F0604E">
        <w:t>is</w:t>
      </w:r>
      <w:r w:rsidR="00440BB4" w:rsidRPr="00F0604E">
        <w:t xml:space="preserve"> should be followed for hospitals.</w:t>
      </w:r>
    </w:p>
    <w:p w14:paraId="0F11E5AD" w14:textId="6AB91E52" w:rsidR="00AC7A2E" w:rsidRPr="00F0604E" w:rsidRDefault="00440BB4" w:rsidP="00666E06">
      <w:r w:rsidRPr="00F0604E">
        <w:t>Additional</w:t>
      </w:r>
      <w:r w:rsidR="00AC7A2E" w:rsidRPr="00F0604E">
        <w:t xml:space="preserve"> requirements to meet elevated performance criteria </w:t>
      </w:r>
      <w:r w:rsidRPr="00F0604E">
        <w:t xml:space="preserve">of hospitals </w:t>
      </w:r>
      <w:r w:rsidR="00AC7A2E" w:rsidRPr="00F0604E">
        <w:t>are provided below</w:t>
      </w:r>
      <w:r w:rsidR="0035195B" w:rsidRPr="00F0604E">
        <w:t>.</w:t>
      </w:r>
    </w:p>
    <w:p w14:paraId="271DCAEE" w14:textId="77777777" w:rsidR="00EB06B2" w:rsidRPr="0074792E" w:rsidRDefault="00EB06B2" w:rsidP="00D56CAE">
      <w:pPr>
        <w:pStyle w:val="BodyHeading"/>
        <w:rPr>
          <w:color w:val="003399"/>
        </w:rPr>
      </w:pPr>
      <w:r w:rsidRPr="0074792E">
        <w:rPr>
          <w:color w:val="003399"/>
        </w:rPr>
        <w:t>Design Criteria for Elements Requiring Liquid Containment</w:t>
      </w:r>
    </w:p>
    <w:p w14:paraId="3CFEC52F" w14:textId="5889A121" w:rsidR="00EB06B2" w:rsidRPr="00F0604E" w:rsidRDefault="00EB06B2" w:rsidP="00666E06">
      <w:r w:rsidRPr="00F0604E">
        <w:t>The performance requirements for many elements include a requirement to maintain liquid containment</w:t>
      </w:r>
      <w:r w:rsidR="00956DB4" w:rsidRPr="00F0604E">
        <w:rPr>
          <w:rFonts w:ascii="Calibri" w:eastAsia="Calibri" w:hAnsi="Calibri" w:cs="Calibri"/>
          <w:color w:val="15284C" w:themeColor="text1"/>
        </w:rPr>
        <w:t xml:space="preserve"> </w:t>
      </w:r>
      <w:r w:rsidRPr="00F0604E">
        <w:t>due to that disruption that loss of containment can cause.</w:t>
      </w:r>
    </w:p>
    <w:p w14:paraId="14DF62CF" w14:textId="77777777" w:rsidR="00EB06B2" w:rsidRPr="00F0604E" w:rsidRDefault="00EB06B2" w:rsidP="00666E06">
      <w:r w:rsidRPr="00F0604E">
        <w:lastRenderedPageBreak/>
        <w:t>For design purposes, this shall generally be taken as:</w:t>
      </w:r>
    </w:p>
    <w:p w14:paraId="58DE64A8" w14:textId="4143B64E" w:rsidR="00EB06B2" w:rsidRPr="00F0604E" w:rsidRDefault="00EB06B2" w:rsidP="004D55F1">
      <w:pPr>
        <w:pStyle w:val="ListParagraph"/>
        <w:numPr>
          <w:ilvl w:val="0"/>
          <w:numId w:val="36"/>
        </w:numPr>
      </w:pPr>
      <w:r w:rsidRPr="00F0604E">
        <w:t>Where liquid containing systems are considered to behave in a nominally ductile manner, limiting system ductility demands to µ=1.25 is considered appropriate</w:t>
      </w:r>
      <w:r w:rsidR="00A43953">
        <w:t xml:space="preserve">. </w:t>
      </w:r>
      <w:r w:rsidRPr="00F0604E">
        <w:t xml:space="preserve"> Where systems are known to be ductile, higher ductility limits should not be adopted unless specific testing is available showing that these higher ductilities can be achieved whilst still maintaining liquid containment.</w:t>
      </w:r>
    </w:p>
    <w:p w14:paraId="66C8697B" w14:textId="77777777" w:rsidR="00EB06B2" w:rsidRPr="00F0604E" w:rsidRDefault="00EB06B2" w:rsidP="004D55F1">
      <w:pPr>
        <w:pStyle w:val="ListParagraph"/>
        <w:numPr>
          <w:ilvl w:val="1"/>
          <w:numId w:val="36"/>
        </w:numPr>
      </w:pPr>
      <w:r w:rsidRPr="00F0604E">
        <w:t>This is considered applicable to most modern plastic and metal piping systems.</w:t>
      </w:r>
    </w:p>
    <w:p w14:paraId="31837577" w14:textId="1C386113" w:rsidR="00EB06B2" w:rsidRPr="00F0604E" w:rsidRDefault="00EB06B2" w:rsidP="004D55F1">
      <w:pPr>
        <w:pStyle w:val="ListParagraph"/>
        <w:numPr>
          <w:ilvl w:val="0"/>
          <w:numId w:val="36"/>
        </w:numPr>
      </w:pPr>
      <w:r w:rsidRPr="00F0604E">
        <w:t>Where liquid containing systems are considered to be at risk of brittle behaviour, limiting system ductility demands to µ=1.0 is considered appropriate</w:t>
      </w:r>
      <w:r w:rsidR="00A43953">
        <w:t xml:space="preserve">. </w:t>
      </w:r>
      <w:r w:rsidRPr="00F0604E">
        <w:t>Ideally brittle systems would not be used on hospital buildings.</w:t>
      </w:r>
    </w:p>
    <w:p w14:paraId="1B3E31A5" w14:textId="77777777" w:rsidR="00EB06B2" w:rsidRPr="00F0604E" w:rsidRDefault="00EB06B2" w:rsidP="004D55F1">
      <w:pPr>
        <w:pStyle w:val="ListParagraph"/>
        <w:numPr>
          <w:ilvl w:val="1"/>
          <w:numId w:val="36"/>
        </w:numPr>
      </w:pPr>
      <w:r w:rsidRPr="00F0604E">
        <w:t>This is considered applicable to (for example) water tanks that are not designed for seismic actions.</w:t>
      </w:r>
    </w:p>
    <w:p w14:paraId="3C03517F" w14:textId="0C641067" w:rsidR="00EB06B2" w:rsidRPr="0074792E" w:rsidRDefault="00EB06B2" w:rsidP="00D56CAE">
      <w:pPr>
        <w:pStyle w:val="BodyHeading"/>
        <w:rPr>
          <w:color w:val="003399"/>
        </w:rPr>
      </w:pPr>
      <w:r w:rsidRPr="0074792E">
        <w:rPr>
          <w:color w:val="003399"/>
        </w:rPr>
        <w:t xml:space="preserve">ULS design requirements for elements imposing </w:t>
      </w:r>
      <w:r w:rsidR="008213CB" w:rsidRPr="0074792E">
        <w:rPr>
          <w:color w:val="003399"/>
        </w:rPr>
        <w:t xml:space="preserve">a </w:t>
      </w:r>
      <w:r w:rsidRPr="0074792E">
        <w:rPr>
          <w:color w:val="003399"/>
        </w:rPr>
        <w:t>direct life safety hazard</w:t>
      </w:r>
    </w:p>
    <w:p w14:paraId="665A44B5" w14:textId="18F7A1CF" w:rsidR="00EB06B2" w:rsidRPr="00A8798D" w:rsidRDefault="00EB06B2" w:rsidP="00666E06">
      <w:r w:rsidRPr="00A8798D">
        <w:t>Some systems pose a direct life safety risk due to the hazardous materials they contain. This includes steam pipework, very hot water systems, and hazardous medical gases. For these systems it is important that a loss of containment is avoided at the Ultimate Limit State</w:t>
      </w:r>
    </w:p>
    <w:p w14:paraId="300AD036" w14:textId="77777777" w:rsidR="00EB06B2" w:rsidRPr="00A8798D" w:rsidRDefault="00EB06B2" w:rsidP="00666E06">
      <w:r w:rsidRPr="00A8798D">
        <w:t>This shall be done by:</w:t>
      </w:r>
    </w:p>
    <w:p w14:paraId="29E27625" w14:textId="6855BE49" w:rsidR="00EB06B2" w:rsidRPr="00A8798D" w:rsidRDefault="00EB06B2" w:rsidP="004D55F1">
      <w:pPr>
        <w:pStyle w:val="ListParagraph"/>
        <w:numPr>
          <w:ilvl w:val="0"/>
          <w:numId w:val="34"/>
        </w:numPr>
      </w:pPr>
      <w:r w:rsidRPr="00A8798D">
        <w:t>Limiting system ductility demands for systems containing materials that impose a direct life safety hazard to µ=1.0 at ULS</w:t>
      </w:r>
      <w:r w:rsidR="00A43953">
        <w:t xml:space="preserve">. </w:t>
      </w:r>
    </w:p>
    <w:p w14:paraId="6FDB2AB4" w14:textId="77777777" w:rsidR="00EB06B2" w:rsidRDefault="00EB06B2" w:rsidP="004D55F1">
      <w:pPr>
        <w:pStyle w:val="ListParagraph"/>
        <w:numPr>
          <w:ilvl w:val="0"/>
          <w:numId w:val="34"/>
        </w:numPr>
      </w:pPr>
      <w:r w:rsidRPr="00A8798D">
        <w:t>Unless a special study is undertaken to demonstrate that the system is able to maintain containment of hazardous materials at ULS.</w:t>
      </w:r>
    </w:p>
    <w:p w14:paraId="44BCEAFB" w14:textId="00EEE21F" w:rsidR="00FD2D7D" w:rsidRPr="00A8798D" w:rsidRDefault="00FD2D7D" w:rsidP="004D55F1">
      <w:pPr>
        <w:pStyle w:val="ListParagraph"/>
        <w:numPr>
          <w:ilvl w:val="0"/>
          <w:numId w:val="34"/>
        </w:numPr>
      </w:pPr>
      <w:r>
        <w:t>Where it can be demonstrated, via material standards or NZS 1170.5, that structural performance (S</w:t>
      </w:r>
      <w:r w:rsidRPr="00C25AB2">
        <w:rPr>
          <w:vertAlign w:val="subscript"/>
        </w:rPr>
        <w:t>p</w:t>
      </w:r>
      <w:r>
        <w:t>)values less can 1.0 are applicable (i.e. due to system ductility capacity greater than 1.0), these may be used.</w:t>
      </w:r>
    </w:p>
    <w:p w14:paraId="675408EE" w14:textId="26E1D7EE" w:rsidR="00775FD7" w:rsidRPr="00A8798D" w:rsidRDefault="00EB06B2" w:rsidP="00666E06">
      <w:r w:rsidRPr="00A8798D">
        <w:t xml:space="preserve">It should be noted that this rigorous ductility limit applies to systems that could lead to a direct loss of life should they fail. It does </w:t>
      </w:r>
      <w:r w:rsidRPr="00A8798D">
        <w:rPr>
          <w:u w:val="single"/>
        </w:rPr>
        <w:t>not</w:t>
      </w:r>
      <w:r w:rsidRPr="00A8798D">
        <w:t xml:space="preserve"> extend to systems serving an </w:t>
      </w:r>
      <w:r w:rsidRPr="00A8798D">
        <w:rPr>
          <w:u w:val="single"/>
        </w:rPr>
        <w:t>indirect life-safety protection</w:t>
      </w:r>
      <w:r w:rsidRPr="00A8798D">
        <w:t xml:space="preserve"> function</w:t>
      </w:r>
      <w:r w:rsidR="006B5B9D">
        <w:t xml:space="preserve">, </w:t>
      </w:r>
      <w:r w:rsidRPr="00A8798D">
        <w:t>for example, sprinkler systems.</w:t>
      </w:r>
    </w:p>
    <w:p w14:paraId="52A635D4" w14:textId="1FCE88FC" w:rsidR="005002F6" w:rsidRPr="00A8798D" w:rsidRDefault="005002F6" w:rsidP="0036094C">
      <w:pPr>
        <w:pStyle w:val="Section3heading3"/>
      </w:pPr>
      <w:r w:rsidRPr="00A8798D">
        <w:t>Other Design Considerations</w:t>
      </w:r>
    </w:p>
    <w:p w14:paraId="374C75E9" w14:textId="77777777" w:rsidR="008B3CFB" w:rsidRPr="0036094C" w:rsidRDefault="008B3CFB" w:rsidP="00D56CAE">
      <w:pPr>
        <w:pStyle w:val="BodyHeading"/>
        <w:rPr>
          <w:color w:val="003399"/>
        </w:rPr>
      </w:pPr>
      <w:r w:rsidRPr="0036094C">
        <w:rPr>
          <w:color w:val="003399"/>
        </w:rPr>
        <w:t>Clearances between Linear NSE</w:t>
      </w:r>
    </w:p>
    <w:p w14:paraId="0B5442F1" w14:textId="75A96736" w:rsidR="008B3CFB" w:rsidRPr="00A8798D" w:rsidRDefault="008B3CFB" w:rsidP="00666E06">
      <w:r w:rsidRPr="00A8798D">
        <w:t>The are two main reasons to provide clearance between NSEs. Firstly, to prevent NSEs from damaging each other due to collision in a seismic event. Secondly, to prevent NSEs on one restrained system from impacting and imparting additional demand onto the restrained system of a second NSE</w:t>
      </w:r>
      <w:r w:rsidR="00A43953">
        <w:t xml:space="preserve">. </w:t>
      </w:r>
    </w:p>
    <w:p w14:paraId="3A98BC1E" w14:textId="5851BEF8" w:rsidR="008B3CFB" w:rsidRPr="00A8798D" w:rsidRDefault="008B3CFB" w:rsidP="00666E06">
      <w:r w:rsidRPr="00A8798D">
        <w:t>There are clearance requirements indicated in table 15 in NZS</w:t>
      </w:r>
      <w:r w:rsidR="00373B2C">
        <w:t xml:space="preserve"> </w:t>
      </w:r>
      <w:r w:rsidRPr="00A8798D">
        <w:t>4219. Where possible these clearances should be provided. There may be situations where it is not possible to achieve these clearances</w:t>
      </w:r>
      <w:r w:rsidR="00A43953">
        <w:t xml:space="preserve">. </w:t>
      </w:r>
    </w:p>
    <w:p w14:paraId="107596F4" w14:textId="531822CF" w:rsidR="008B3CFB" w:rsidRPr="00A8798D" w:rsidRDefault="008B3CFB" w:rsidP="00666E06">
      <w:r w:rsidRPr="00A8798D">
        <w:lastRenderedPageBreak/>
        <w:t>Where it is not possible to achieve the clearance specified in table 15 in NZS</w:t>
      </w:r>
      <w:r w:rsidR="00373B2C">
        <w:t xml:space="preserve"> </w:t>
      </w:r>
      <w:r w:rsidRPr="00A8798D">
        <w:t xml:space="preserve">4219 specific assessment could be carried out that to demonstrate that the risk of damage to the elements is sufficiently low. Whilst there is no formalised methodology for such assessment, it is expected to consider relative displacements, likely force of impact, and robustness of materials. </w:t>
      </w:r>
    </w:p>
    <w:p w14:paraId="0A2CD022" w14:textId="4C8A8B21" w:rsidR="008B3CFB" w:rsidRPr="00A8798D" w:rsidRDefault="008B3CFB" w:rsidP="00666E06">
      <w:r w:rsidRPr="00A8798D">
        <w:t>For NSEs that are supported and restrained on the same frames/trapeze/gravity supports ideally provide 50mm clearance between services. However, this is not as critical as the services will be constrained to similar displacements and will be less likely to impact causing damage</w:t>
      </w:r>
      <w:r w:rsidR="00A43953">
        <w:t xml:space="preserve">. </w:t>
      </w:r>
    </w:p>
    <w:p w14:paraId="31A8BA23" w14:textId="77777777" w:rsidR="008B3CFB" w:rsidRPr="0036094C" w:rsidRDefault="008B3CFB" w:rsidP="00D56CAE">
      <w:pPr>
        <w:pStyle w:val="BodyHeading"/>
        <w:rPr>
          <w:color w:val="003399"/>
        </w:rPr>
      </w:pPr>
      <w:r w:rsidRPr="0036094C">
        <w:rPr>
          <w:color w:val="003399"/>
        </w:rPr>
        <w:t>Interface with Partition Walls</w:t>
      </w:r>
    </w:p>
    <w:p w14:paraId="517AE1F7" w14:textId="15F880A7" w:rsidR="006D0078" w:rsidRDefault="008B3CFB" w:rsidP="00666E06">
      <w:r w:rsidRPr="00A8798D">
        <w:t xml:space="preserve">The interface of services with partition walls, especially fire walls or acoustic walls </w:t>
      </w:r>
      <w:r w:rsidR="00CD35BB" w:rsidRPr="00A8798D">
        <w:t>can be</w:t>
      </w:r>
      <w:r w:rsidRPr="00A8798D">
        <w:t xml:space="preserve"> complex</w:t>
      </w:r>
      <w:r w:rsidR="00A43953">
        <w:t xml:space="preserve">. </w:t>
      </w:r>
      <w:r w:rsidRPr="00A8798D">
        <w:t xml:space="preserve">Refer </w:t>
      </w:r>
      <w:r w:rsidR="00CD35BB" w:rsidRPr="00A8798D">
        <w:t xml:space="preserve">to </w:t>
      </w:r>
      <w:r w:rsidR="0082793E" w:rsidRPr="00A8798D">
        <w:t>S</w:t>
      </w:r>
      <w:r w:rsidRPr="00A8798D">
        <w:t xml:space="preserve">ection </w:t>
      </w:r>
      <w:r w:rsidR="004E3D83" w:rsidRPr="00A8798D">
        <w:fldChar w:fldCharType="begin"/>
      </w:r>
      <w:r w:rsidR="004E3D83" w:rsidRPr="00A8798D">
        <w:instrText xml:space="preserve"> REF _Ref152820707 \r \h  \* MERGEFORMAT </w:instrText>
      </w:r>
      <w:r w:rsidR="004E3D83" w:rsidRPr="00A8798D">
        <w:fldChar w:fldCharType="separate"/>
      </w:r>
      <w:r w:rsidR="000761C1">
        <w:t>C4.5</w:t>
      </w:r>
      <w:r w:rsidR="004E3D83" w:rsidRPr="00A8798D">
        <w:fldChar w:fldCharType="end"/>
      </w:r>
      <w:r w:rsidR="00CD35BB" w:rsidRPr="00A8798D">
        <w:t xml:space="preserve"> </w:t>
      </w:r>
      <w:r w:rsidR="00CD35BB" w:rsidRPr="004D723F">
        <w:rPr>
          <w:rFonts w:cs="Arial"/>
        </w:rPr>
        <w:fldChar w:fldCharType="begin"/>
      </w:r>
      <w:r w:rsidR="00CD35BB" w:rsidRPr="004D723F">
        <w:rPr>
          <w:rFonts w:cs="Arial"/>
        </w:rPr>
        <w:instrText xml:space="preserve"> REF _Ref152820707 \h </w:instrText>
      </w:r>
      <w:r w:rsidR="004E3D83" w:rsidRPr="004D723F">
        <w:rPr>
          <w:rFonts w:cs="Arial"/>
        </w:rPr>
        <w:instrText xml:space="preserve"> \* MERGEFORMAT </w:instrText>
      </w:r>
      <w:r w:rsidR="00CD35BB" w:rsidRPr="004D723F">
        <w:rPr>
          <w:rFonts w:cs="Arial"/>
        </w:rPr>
      </w:r>
      <w:r w:rsidR="00CD35BB" w:rsidRPr="004D723F">
        <w:rPr>
          <w:rFonts w:cs="Arial"/>
        </w:rPr>
        <w:fldChar w:fldCharType="separate"/>
      </w:r>
      <w:r w:rsidR="000761C1" w:rsidRPr="000761C1">
        <w:rPr>
          <w:rFonts w:cs="Arial"/>
        </w:rPr>
        <w:t>Lightweight Partition Walls</w:t>
      </w:r>
      <w:r w:rsidR="00CD35BB" w:rsidRPr="004D723F">
        <w:rPr>
          <w:rFonts w:cs="Arial"/>
        </w:rPr>
        <w:fldChar w:fldCharType="end"/>
      </w:r>
      <w:r w:rsidR="00CD35BB" w:rsidRPr="00A8798D">
        <w:t xml:space="preserve"> </w:t>
      </w:r>
      <w:r w:rsidRPr="00A8798D">
        <w:t>for further commentary.</w:t>
      </w:r>
    </w:p>
    <w:p w14:paraId="4C7838B6" w14:textId="77777777" w:rsidR="00137C8A" w:rsidRPr="0036094C" w:rsidRDefault="00137C8A" w:rsidP="00D56CAE">
      <w:pPr>
        <w:pStyle w:val="BodyHeading"/>
        <w:rPr>
          <w:color w:val="003399"/>
        </w:rPr>
      </w:pPr>
      <w:r w:rsidRPr="0036094C">
        <w:rPr>
          <w:color w:val="003399"/>
        </w:rPr>
        <w:t>Integrated supported systems for specialist areas containing suspended medical equipment</w:t>
      </w:r>
    </w:p>
    <w:p w14:paraId="1DFC40C5" w14:textId="21EEB666" w:rsidR="00137C8A" w:rsidRPr="00A8798D" w:rsidRDefault="00137C8A" w:rsidP="00666E06">
      <w:r>
        <w:t xml:space="preserve">Refer to the corresponding subheading in Section </w:t>
      </w:r>
      <w:r>
        <w:fldChar w:fldCharType="begin"/>
      </w:r>
      <w:r>
        <w:instrText xml:space="preserve"> REF _Ref152820707 \r \h </w:instrText>
      </w:r>
      <w:r>
        <w:fldChar w:fldCharType="separate"/>
      </w:r>
      <w:r w:rsidR="000761C1">
        <w:t>C4.5</w:t>
      </w:r>
      <w:r>
        <w:fldChar w:fldCharType="end"/>
      </w:r>
      <w:r>
        <w:t xml:space="preserve"> (</w:t>
      </w:r>
      <w:r>
        <w:fldChar w:fldCharType="begin"/>
      </w:r>
      <w:r>
        <w:instrText xml:space="preserve"> REF _Ref152820707 \h </w:instrText>
      </w:r>
      <w:r>
        <w:fldChar w:fldCharType="separate"/>
      </w:r>
      <w:r w:rsidR="000761C1" w:rsidRPr="00064304">
        <w:t>Lightweight Partition Walls</w:t>
      </w:r>
      <w:r>
        <w:fldChar w:fldCharType="end"/>
      </w:r>
      <w:r>
        <w:t xml:space="preserve">) and the commentary in Section </w:t>
      </w:r>
      <w:r>
        <w:fldChar w:fldCharType="begin"/>
      </w:r>
      <w:r>
        <w:instrText xml:space="preserve"> REF _Ref180565012 \r \h </w:instrText>
      </w:r>
      <w:r>
        <w:fldChar w:fldCharType="separate"/>
      </w:r>
      <w:r w:rsidR="000761C1">
        <w:t>B5.1.5</w:t>
      </w:r>
      <w:r>
        <w:fldChar w:fldCharType="end"/>
      </w:r>
      <w:r>
        <w:t xml:space="preserve"> (</w:t>
      </w:r>
      <w:r>
        <w:fldChar w:fldCharType="begin"/>
      </w:r>
      <w:r>
        <w:instrText xml:space="preserve"> REF _Ref180565012 \h </w:instrText>
      </w:r>
      <w:r>
        <w:fldChar w:fldCharType="separate"/>
      </w:r>
      <w:r w:rsidR="000761C1">
        <w:t>Considerations for Soffit Mounted Equipment</w:t>
      </w:r>
      <w:r>
        <w:fldChar w:fldCharType="end"/>
      </w:r>
      <w:r>
        <w:t>).</w:t>
      </w:r>
    </w:p>
    <w:p w14:paraId="4B854FD1" w14:textId="673E95EA" w:rsidR="006C2710" w:rsidRPr="00A8798D" w:rsidRDefault="006C2710" w:rsidP="0036094C">
      <w:pPr>
        <w:pStyle w:val="Section3heading3"/>
      </w:pPr>
      <w:r w:rsidRPr="00A8798D">
        <w:t>Special Considerations for Fire Sprinkler Systems</w:t>
      </w:r>
    </w:p>
    <w:p w14:paraId="6EAB1389" w14:textId="516A9336" w:rsidR="003329D3" w:rsidRPr="00A8798D" w:rsidRDefault="003329D3" w:rsidP="00666E06">
      <w:r w:rsidRPr="00A8798D">
        <w:t>Detailed design consideration</w:t>
      </w:r>
      <w:r w:rsidR="007038A5" w:rsidRPr="00A8798D">
        <w:t>s</w:t>
      </w:r>
      <w:r w:rsidRPr="00A8798D">
        <w:t xml:space="preserve"> for sprinkler systems are detailed above. However, there are certain particularities of sprinkler systems that need to be considered</w:t>
      </w:r>
      <w:r w:rsidR="00DB2EF0" w:rsidRPr="00A8798D">
        <w:t>.</w:t>
      </w:r>
    </w:p>
    <w:p w14:paraId="34196528" w14:textId="77777777" w:rsidR="003329D3" w:rsidRPr="0036094C" w:rsidRDefault="003329D3" w:rsidP="00D56CAE">
      <w:pPr>
        <w:pStyle w:val="BodyHeading"/>
        <w:rPr>
          <w:color w:val="003399"/>
        </w:rPr>
      </w:pPr>
      <w:r w:rsidRPr="0036094C">
        <w:rPr>
          <w:color w:val="003399"/>
        </w:rPr>
        <w:t>Seismic Performance vs Compliance</w:t>
      </w:r>
    </w:p>
    <w:p w14:paraId="4D4A8912" w14:textId="75BDD69E" w:rsidR="003329D3" w:rsidRPr="00A8798D" w:rsidRDefault="003329D3" w:rsidP="00666E06">
      <w:r w:rsidRPr="00A8798D">
        <w:t xml:space="preserve">The design of new sprinkler systems is significantly more compliance focused than many other systems. As such, there can be an inclination amongst sprinkler designers and specifiers to expect compliance is maintained after an earthquake. </w:t>
      </w:r>
      <w:r w:rsidR="07E57903" w:rsidRPr="00A8798D">
        <w:t>The</w:t>
      </w:r>
      <w:r w:rsidRPr="00A8798D">
        <w:t xml:space="preserve"> post</w:t>
      </w:r>
      <w:r w:rsidR="789DF7CF" w:rsidRPr="00A8798D">
        <w:t>-</w:t>
      </w:r>
      <w:r w:rsidRPr="00A8798D">
        <w:t xml:space="preserve">earthquake expectations </w:t>
      </w:r>
      <w:r w:rsidR="07E57903" w:rsidRPr="00A8798D">
        <w:t xml:space="preserve">of </w:t>
      </w:r>
      <w:r w:rsidR="007D5C79">
        <w:t xml:space="preserve">Health NZ </w:t>
      </w:r>
      <w:r w:rsidRPr="00A8798D">
        <w:t>relate to expected performance, not to compliance.</w:t>
      </w:r>
    </w:p>
    <w:p w14:paraId="3F7953B4" w14:textId="2A1EDC7D" w:rsidR="003329D3" w:rsidRPr="00A8798D" w:rsidRDefault="003329D3" w:rsidP="00666E06">
      <w:r w:rsidRPr="00A8798D">
        <w:t>As defined in the performance requirements section, post-earthquake full functionality does not imply code compliance. It is expected that some systems will not be code compliant after a large earthquake, however they are expected to still maintain reasonably adequate performance—this may mean operating under slightly elevated levels of risk which are tolerable for a time under the circumstances, and which might be mitigated by additional management strategies (to mitigate any compromise to parts of fire safety systems, for example). Return to normal operations describes the resolution of these compromises as part of the medium to longer term recovery. Note that in large earthquakes, disruption and return to full function can often be controlled by aspects beyond the building envelope, such as cordons, utility outages, and labour shortages.</w:t>
      </w:r>
    </w:p>
    <w:p w14:paraId="2C8CE3E7" w14:textId="77777777" w:rsidR="003329D3" w:rsidRPr="0036094C" w:rsidRDefault="003329D3" w:rsidP="00D56CAE">
      <w:pPr>
        <w:pStyle w:val="BodyHeading"/>
        <w:rPr>
          <w:color w:val="003399"/>
        </w:rPr>
      </w:pPr>
      <w:r w:rsidRPr="0036094C">
        <w:rPr>
          <w:color w:val="003399"/>
        </w:rPr>
        <w:t>Sprinkler head to ceiling displacement compatibility</w:t>
      </w:r>
    </w:p>
    <w:p w14:paraId="340FE1A5" w14:textId="7CFD7EC6" w:rsidR="003329D3" w:rsidRPr="00A8798D" w:rsidRDefault="003329D3" w:rsidP="00666E06">
      <w:r w:rsidRPr="00A8798D">
        <w:t>The interactions of sprinkler heads with ceilings are extremely important for avoiding significant disruption from loss of containment of the water in the pipework. The sprinkler heads represent a key seismic vulnerability in hospital buildings.</w:t>
      </w:r>
    </w:p>
    <w:p w14:paraId="605050C7" w14:textId="102AC305" w:rsidR="003329D3" w:rsidRPr="00A8798D" w:rsidRDefault="003329D3" w:rsidP="00666E06">
      <w:r w:rsidRPr="00A8798D">
        <w:lastRenderedPageBreak/>
        <w:t xml:space="preserve">The Fire Engineer, Architect, and NSE </w:t>
      </w:r>
      <w:r w:rsidR="00712CB5" w:rsidRPr="00A8798D">
        <w:t>Seismic</w:t>
      </w:r>
      <w:r w:rsidRPr="00A8798D">
        <w:t xml:space="preserve"> Designer all have a responsibility in coordinating this interface.</w:t>
      </w:r>
    </w:p>
    <w:p w14:paraId="0437DA55" w14:textId="77777777" w:rsidR="003329D3" w:rsidRPr="00A8798D" w:rsidRDefault="003329D3" w:rsidP="00666E06">
      <w:r w:rsidRPr="00A8798D">
        <w:t>It is expected, in all cases, that:</w:t>
      </w:r>
    </w:p>
    <w:p w14:paraId="6DBFA1E7" w14:textId="77777777" w:rsidR="003329D3" w:rsidRPr="00A8798D" w:rsidRDefault="003329D3" w:rsidP="004D55F1">
      <w:pPr>
        <w:pStyle w:val="ListParagraph"/>
        <w:numPr>
          <w:ilvl w:val="0"/>
          <w:numId w:val="37"/>
        </w:numPr>
      </w:pPr>
      <w:r w:rsidRPr="00A8798D">
        <w:t>Flexible droppers to heads shall be provided, and that these shall have ample redundancy to move beyond the calculated differential movements.</w:t>
      </w:r>
    </w:p>
    <w:p w14:paraId="6BB30F81" w14:textId="77777777" w:rsidR="003329D3" w:rsidRPr="00A8798D" w:rsidRDefault="003329D3" w:rsidP="004D55F1">
      <w:pPr>
        <w:pStyle w:val="ListParagraph"/>
        <w:numPr>
          <w:ilvl w:val="0"/>
          <w:numId w:val="37"/>
        </w:numPr>
      </w:pPr>
      <w:r w:rsidRPr="00A8798D">
        <w:t>Ceilings and sprinkler pipework shall be designed to have generally compatible movements (for example, both rigidly fixed to floors above).</w:t>
      </w:r>
    </w:p>
    <w:p w14:paraId="4F66B9FA" w14:textId="070E7D3E" w:rsidR="003329D3" w:rsidRPr="00A8798D" w:rsidRDefault="003329D3" w:rsidP="004D55F1">
      <w:pPr>
        <w:pStyle w:val="ListParagraph"/>
        <w:numPr>
          <w:ilvl w:val="0"/>
          <w:numId w:val="37"/>
        </w:numPr>
      </w:pPr>
      <w:r w:rsidRPr="00A8798D">
        <w:t>Ceiling</w:t>
      </w:r>
      <w:r w:rsidR="0089720C" w:rsidRPr="00A8798D">
        <w:t>s</w:t>
      </w:r>
      <w:r w:rsidRPr="00A8798D">
        <w:t xml:space="preserve"> housing sprinkler heads shall be specifically designed to meet seismic the requirements of the sprinkler system (which will likely be more onerous than the requirements of the ceiling system itself)</w:t>
      </w:r>
    </w:p>
    <w:p w14:paraId="2D384BA6" w14:textId="7C647DF7" w:rsidR="003329D3" w:rsidRPr="00A8798D" w:rsidRDefault="003329D3" w:rsidP="004D55F1">
      <w:pPr>
        <w:pStyle w:val="ListParagraph"/>
        <w:numPr>
          <w:ilvl w:val="0"/>
          <w:numId w:val="37"/>
        </w:numPr>
      </w:pPr>
      <w:r w:rsidRPr="00A8798D">
        <w:t>Ceiling tiles housing sprinkler heads shall be clipped, taped, or otherwise detailed so as to avoid damage to the sprinkler heads.</w:t>
      </w:r>
    </w:p>
    <w:p w14:paraId="63BAEFB3" w14:textId="77777777" w:rsidR="003329D3" w:rsidRPr="0036094C" w:rsidRDefault="003329D3" w:rsidP="00D56CAE">
      <w:pPr>
        <w:pStyle w:val="BodyHeading"/>
        <w:rPr>
          <w:color w:val="003399"/>
        </w:rPr>
      </w:pPr>
      <w:r w:rsidRPr="0036094C">
        <w:rPr>
          <w:color w:val="003399"/>
        </w:rPr>
        <w:t>Considerations for minimising post-earthquake leaks</w:t>
      </w:r>
    </w:p>
    <w:p w14:paraId="158AA269" w14:textId="3FB68BDA" w:rsidR="003329D3" w:rsidRPr="00A8798D" w:rsidRDefault="003329D3" w:rsidP="00666E06">
      <w:r w:rsidRPr="00A8798D">
        <w:t>The design of sprinkler piping systems should consider the selection of appropriate brace spacing for horizontal piping as per Table 4.11 of NZS 4541.</w:t>
      </w:r>
      <w:r w:rsidR="00501842">
        <w:t xml:space="preserve"> </w:t>
      </w:r>
      <w:r w:rsidRPr="00A8798D">
        <w:t>After the selection of brace spacing, simple but appropriate engineering checks should be performed to ensure that leakage will not occur. NZS 4541 does not provide any guidance on bracing piping segments to avoid leakage as the design criteria behind Table 4.11 is not provided in the Standard. It is recommended that the simple mechanics-based check involving the comparison of plastic moment capacity of piping sections with moment demand from seismic forces be used to check if leakage would occur. This design approach is used by the US Standard for fire sprinkler systems (NFPA 13).</w:t>
      </w:r>
    </w:p>
    <w:p w14:paraId="4650FC5C" w14:textId="77777777" w:rsidR="0036094C" w:rsidRDefault="003329D3" w:rsidP="00666E06">
      <w:r w:rsidRPr="00A8798D">
        <w:t>Another design check involves the comparison of force capacity of the proprietary braces and their anchorage with the force demand. It is also recommended that capacity design principles be followed to avoid brittle failure in the components of brace assembly or the anchorage if ductility-based reduction factors are used in the design.</w:t>
      </w:r>
    </w:p>
    <w:p w14:paraId="3D4FAFAD" w14:textId="77777777" w:rsidR="00252D58" w:rsidRDefault="00252D58" w:rsidP="00666E06"/>
    <w:p w14:paraId="4108B642" w14:textId="77777777" w:rsidR="00252D58" w:rsidRDefault="00252D58" w:rsidP="00666E06"/>
    <w:p w14:paraId="3ACB1D26" w14:textId="77777777" w:rsidR="00252D58" w:rsidRDefault="00252D58" w:rsidP="00666E06"/>
    <w:p w14:paraId="4945127D" w14:textId="77777777" w:rsidR="00252D58" w:rsidRDefault="00252D58" w:rsidP="00666E06"/>
    <w:p w14:paraId="64E29402" w14:textId="77777777" w:rsidR="00252D58" w:rsidRDefault="00252D58" w:rsidP="00666E06"/>
    <w:p w14:paraId="542A0082" w14:textId="77777777" w:rsidR="00252D58" w:rsidRDefault="00252D58" w:rsidP="00666E06"/>
    <w:p w14:paraId="1AA5BB8B" w14:textId="77777777" w:rsidR="006D0078" w:rsidRPr="00A8798D" w:rsidRDefault="006D0078" w:rsidP="0036094C">
      <w:pPr>
        <w:pStyle w:val="Section3heading2"/>
      </w:pPr>
      <w:bookmarkStart w:id="360" w:name="_Toc151717210"/>
      <w:bookmarkStart w:id="361" w:name="_Ref169064351"/>
      <w:bookmarkStart w:id="362" w:name="_Toc203642005"/>
      <w:r w:rsidRPr="00A8798D">
        <w:lastRenderedPageBreak/>
        <w:t>Plant and Other Mounted Equipment</w:t>
      </w:r>
      <w:bookmarkEnd w:id="360"/>
      <w:bookmarkEnd w:id="361"/>
      <w:bookmarkEnd w:id="362"/>
    </w:p>
    <w:p w14:paraId="63188DE6" w14:textId="77777777" w:rsidR="006D0078" w:rsidRPr="00A8798D" w:rsidRDefault="006D0078" w:rsidP="0036094C">
      <w:pPr>
        <w:pStyle w:val="Section3heading3"/>
      </w:pPr>
      <w:r w:rsidRPr="00A8798D">
        <w:t>Description and Performance Requirements</w:t>
      </w:r>
    </w:p>
    <w:p w14:paraId="7A468EEA" w14:textId="35ABB71B" w:rsidR="00DA24CE" w:rsidRPr="00A8798D" w:rsidRDefault="00DA24CE" w:rsidP="00666E06">
      <w:r w:rsidRPr="00A8798D">
        <w:t>This section applies to plant and other rigidly mounted equipment sat directly on structural floors and fixed directly to those floors. Similar principles can be applied to mounted equipment mounted on other structure such as rooftop plant.</w:t>
      </w:r>
    </w:p>
    <w:p w14:paraId="44974533" w14:textId="4DC59BBE" w:rsidR="00DA24CE" w:rsidRPr="00A8798D" w:rsidRDefault="00DA24CE" w:rsidP="00666E06">
      <w:r w:rsidRPr="00A8798D">
        <w:t xml:space="preserve">The performance requirements for this element are defined in Section </w:t>
      </w:r>
      <w:r w:rsidRPr="00A8798D">
        <w:fldChar w:fldCharType="begin"/>
      </w:r>
      <w:r w:rsidRPr="00A8798D">
        <w:instrText xml:space="preserve"> REF _Ref152824068 \r \h  \* MERGEFORMAT </w:instrText>
      </w:r>
      <w:r w:rsidRPr="00A8798D">
        <w:fldChar w:fldCharType="separate"/>
      </w:r>
      <w:r w:rsidR="000761C1">
        <w:t>B2</w:t>
      </w:r>
      <w:r w:rsidRPr="00A8798D">
        <w:fldChar w:fldCharType="end"/>
      </w:r>
      <w:r w:rsidRPr="00A8798D">
        <w:t xml:space="preserve"> of this document. Refer in particular to the Descriptions of Physical States in Section </w:t>
      </w:r>
      <w:r w:rsidRPr="00A8798D">
        <w:fldChar w:fldCharType="begin"/>
      </w:r>
      <w:r w:rsidRPr="00A8798D">
        <w:instrText xml:space="preserve"> REF _Ref150180900 \r \h </w:instrText>
      </w:r>
      <w:r w:rsidR="00A8798D">
        <w:instrText xml:space="preserve"> \* MERGEFORMAT </w:instrText>
      </w:r>
      <w:r w:rsidRPr="00A8798D">
        <w:fldChar w:fldCharType="separate"/>
      </w:r>
      <w:r w:rsidR="000761C1">
        <w:t>B2.5</w:t>
      </w:r>
      <w:r w:rsidRPr="00A8798D">
        <w:fldChar w:fldCharType="end"/>
      </w:r>
      <w:r w:rsidRPr="00A8798D">
        <w:t xml:space="preserve"> </w:t>
      </w:r>
      <w:r w:rsidRPr="00A8798D">
        <w:fldChar w:fldCharType="begin"/>
      </w:r>
      <w:r w:rsidRPr="00A8798D">
        <w:instrText xml:space="preserve"> REF _Ref152824069 \h </w:instrText>
      </w:r>
      <w:r w:rsidR="00A8798D">
        <w:instrText xml:space="preserve"> \* MERGEFORMAT </w:instrText>
      </w:r>
      <w:r w:rsidRPr="00A8798D">
        <w:fldChar w:fldCharType="separate"/>
      </w:r>
      <w:r w:rsidR="000761C1" w:rsidRPr="000761C1">
        <w:t xml:space="preserve">Table </w:t>
      </w:r>
      <w:r w:rsidR="000761C1" w:rsidRPr="000761C1">
        <w:rPr>
          <w:noProof/>
        </w:rPr>
        <w:t>17</w:t>
      </w:r>
      <w:r w:rsidRPr="00A8798D">
        <w:fldChar w:fldCharType="end"/>
      </w:r>
      <w:r w:rsidRPr="00A8798D">
        <w:t xml:space="preserve"> for definitions of post-earthquake expectations for individual elements. </w:t>
      </w:r>
    </w:p>
    <w:p w14:paraId="5D2B89DD" w14:textId="77777777" w:rsidR="00092F95" w:rsidRPr="008768DE" w:rsidRDefault="00092F95" w:rsidP="0036094C">
      <w:pPr>
        <w:pStyle w:val="Section3heading3"/>
      </w:pPr>
      <w:bookmarkStart w:id="363" w:name="_Ref168511244"/>
      <w:r w:rsidRPr="008768DE">
        <w:t>Design Criteria</w:t>
      </w:r>
      <w:bookmarkEnd w:id="363"/>
    </w:p>
    <w:p w14:paraId="22C6874F" w14:textId="77777777" w:rsidR="00904102" w:rsidRPr="0036094C" w:rsidRDefault="00904102" w:rsidP="00D56CAE">
      <w:pPr>
        <w:pStyle w:val="BodyHeading"/>
        <w:rPr>
          <w:color w:val="003399"/>
        </w:rPr>
      </w:pPr>
      <w:r w:rsidRPr="0036094C">
        <w:rPr>
          <w:color w:val="003399"/>
        </w:rPr>
        <w:t>Design Checks</w:t>
      </w:r>
    </w:p>
    <w:p w14:paraId="3541B7DE" w14:textId="34096BEC" w:rsidR="00904102" w:rsidRPr="0013335A" w:rsidRDefault="00904102" w:rsidP="00666E06">
      <w:r w:rsidRPr="008768DE">
        <w:t xml:space="preserve">The design of floor mounted plant primarily consists of the design of anchorages to the primary structure. Refer to Section </w:t>
      </w:r>
      <w:r w:rsidR="00CC0C37" w:rsidRPr="008768DE">
        <w:fldChar w:fldCharType="begin"/>
      </w:r>
      <w:r w:rsidR="00CC0C37" w:rsidRPr="008768DE">
        <w:instrText xml:space="preserve"> REF _Ref152825990 \r \h  \* MERGEFORMAT </w:instrText>
      </w:r>
      <w:r w:rsidR="00CC0C37" w:rsidRPr="008768DE">
        <w:fldChar w:fldCharType="separate"/>
      </w:r>
      <w:r w:rsidR="000761C1">
        <w:t>C4.3.3</w:t>
      </w:r>
      <w:r w:rsidR="00CC0C37" w:rsidRPr="008768DE">
        <w:fldChar w:fldCharType="end"/>
      </w:r>
      <w:r w:rsidR="00CC0C37" w:rsidRPr="008768DE">
        <w:t xml:space="preserve"> </w:t>
      </w:r>
      <w:r w:rsidRPr="008768DE">
        <w:t>for anchorage design information.</w:t>
      </w:r>
      <w:r w:rsidRPr="0013335A">
        <w:t xml:space="preserve"> Equipment shall be connected to the structure with a minimum of 4 fasteners.</w:t>
      </w:r>
    </w:p>
    <w:p w14:paraId="35379525" w14:textId="7198AAEB" w:rsidR="00904102" w:rsidRPr="0013335A" w:rsidRDefault="00904102" w:rsidP="00666E06">
      <w:r w:rsidRPr="008768DE">
        <w:t>Components that do not have an</w:t>
      </w:r>
      <w:r w:rsidRPr="0013335A">
        <w:t xml:space="preserve"> </w:t>
      </w:r>
      <w:r w:rsidRPr="008768DE">
        <w:t>easily defined centre of gravity</w:t>
      </w:r>
      <w:r w:rsidRPr="0013335A">
        <w:t xml:space="preserve"> </w:t>
      </w:r>
      <w:r w:rsidRPr="008768DE">
        <w:t>require</w:t>
      </w:r>
      <w:r w:rsidRPr="0013335A">
        <w:t xml:space="preserve"> </w:t>
      </w:r>
      <w:r w:rsidRPr="008768DE">
        <w:t>specific design, refer to NZS 4219 Section 4</w:t>
      </w:r>
      <w:r w:rsidR="00A43953">
        <w:t xml:space="preserve">. </w:t>
      </w:r>
    </w:p>
    <w:p w14:paraId="30616996" w14:textId="5FFC3C8F" w:rsidR="00904102" w:rsidRPr="0013335A" w:rsidRDefault="00904102" w:rsidP="00666E06">
      <w:r w:rsidRPr="0013335A">
        <w:t>Vibration isolated equipment shall be designed in accordance with NZS</w:t>
      </w:r>
      <w:r w:rsidR="00373B2C">
        <w:t xml:space="preserve"> </w:t>
      </w:r>
      <w:r w:rsidRPr="0013335A">
        <w:t>4219. Note that amplification effects due to AV mounts and snubbers must be accounted for in the design. This may involve increased demands on anchor connections</w:t>
      </w:r>
      <w:r w:rsidR="00A43953">
        <w:t xml:space="preserve">. </w:t>
      </w:r>
    </w:p>
    <w:p w14:paraId="241C5B5D" w14:textId="77777777" w:rsidR="00904102" w:rsidRPr="008768DE" w:rsidRDefault="00904102" w:rsidP="00666E06">
      <w:r w:rsidRPr="008768DE">
        <w:t>Plinths shall comply with</w:t>
      </w:r>
      <w:r w:rsidRPr="0013335A">
        <w:t xml:space="preserve"> </w:t>
      </w:r>
      <w:r w:rsidRPr="008768DE">
        <w:t>NZS 4219 Section 5.4.</w:t>
      </w:r>
    </w:p>
    <w:p w14:paraId="6EE9B747" w14:textId="77777777" w:rsidR="00904102" w:rsidRPr="0013335A" w:rsidRDefault="00904102" w:rsidP="00666E06">
      <w:r w:rsidRPr="008768DE">
        <w:t xml:space="preserve">Wall mounted equipment requiring specific design to be as per NZS 4219, Section 3.9 </w:t>
      </w:r>
    </w:p>
    <w:p w14:paraId="17291D5A" w14:textId="48F28E8A" w:rsidR="00904102" w:rsidRPr="008768DE" w:rsidRDefault="00904102" w:rsidP="00666E06">
      <w:r w:rsidRPr="008768DE">
        <w:t xml:space="preserve">The design of the supporting floor system is the responsibility of the structural engineer. It is expected that the floor </w:t>
      </w:r>
      <w:r w:rsidR="00E3714F" w:rsidRPr="008768DE">
        <w:t>systems</w:t>
      </w:r>
      <w:r w:rsidRPr="008768DE">
        <w:t xml:space="preserve"> will be design</w:t>
      </w:r>
      <w:r w:rsidR="00E3714F" w:rsidRPr="008768DE">
        <w:t>ed</w:t>
      </w:r>
      <w:r w:rsidRPr="008768DE">
        <w:t xml:space="preserve"> </w:t>
      </w:r>
      <w:r w:rsidR="00F37DFB" w:rsidRPr="008768DE">
        <w:t>to</w:t>
      </w:r>
      <w:r w:rsidRPr="008768DE">
        <w:t xml:space="preserve"> accommodate the reactions from </w:t>
      </w:r>
      <w:r w:rsidR="00E3714F" w:rsidRPr="008768DE">
        <w:t>most</w:t>
      </w:r>
      <w:r w:rsidRPr="008768DE">
        <w:t xml:space="preserve"> floor mounted plant without the need for additional localised supports o</w:t>
      </w:r>
      <w:r w:rsidR="00032CAC" w:rsidRPr="008768DE">
        <w:t>r</w:t>
      </w:r>
      <w:r w:rsidRPr="008768DE">
        <w:t xml:space="preserve"> strengthening.</w:t>
      </w:r>
      <w:r w:rsidR="00E3714F" w:rsidRPr="008768DE">
        <w:t xml:space="preserve"> Refer to </w:t>
      </w:r>
      <w:r w:rsidR="000E2239">
        <w:t>S</w:t>
      </w:r>
      <w:r w:rsidR="00E3714F" w:rsidRPr="008768DE">
        <w:t xml:space="preserve">ection </w:t>
      </w:r>
      <w:r w:rsidR="00E3714F" w:rsidRPr="008768DE">
        <w:fldChar w:fldCharType="begin"/>
      </w:r>
      <w:r w:rsidR="00E3714F" w:rsidRPr="008768DE">
        <w:instrText xml:space="preserve"> REF _Ref152568304 \r \h </w:instrText>
      </w:r>
      <w:r w:rsidR="008768DE">
        <w:instrText xml:space="preserve"> \* MERGEFORMAT </w:instrText>
      </w:r>
      <w:r w:rsidR="00E3714F" w:rsidRPr="008768DE">
        <w:fldChar w:fldCharType="separate"/>
      </w:r>
      <w:r w:rsidR="000761C1">
        <w:t>C4.2.6</w:t>
      </w:r>
      <w:r w:rsidR="00E3714F" w:rsidRPr="008768DE">
        <w:fldChar w:fldCharType="end"/>
      </w:r>
      <w:r w:rsidR="00E3714F" w:rsidRPr="008768DE">
        <w:t xml:space="preserve"> for further detail.</w:t>
      </w:r>
    </w:p>
    <w:p w14:paraId="1F57B13B" w14:textId="6740A300" w:rsidR="00904102" w:rsidRPr="008768DE" w:rsidRDefault="00904102" w:rsidP="00666E06">
      <w:r w:rsidRPr="008768DE">
        <w:t xml:space="preserve">Particularly heavy plant, such as water tanks or transformers may require supporting beams to distribute their seismic loading. Ideally, this would be done via secondary structural beams designed by the structural engineer, but if project procurement timeframes do not allow for this (due to final positioning of this plant happening in detailed design or later), then these may need to be tertiary beams designed by the NSE </w:t>
      </w:r>
      <w:r w:rsidR="00712CB5" w:rsidRPr="008768DE">
        <w:t>Seismic</w:t>
      </w:r>
      <w:r w:rsidRPr="008768DE">
        <w:t xml:space="preserve"> Designer</w:t>
      </w:r>
      <w:r w:rsidR="00A43953">
        <w:t xml:space="preserve">. </w:t>
      </w:r>
      <w:r w:rsidRPr="008768DE">
        <w:t>The project shall determine</w:t>
      </w:r>
      <w:r w:rsidR="00E5308E">
        <w:t xml:space="preserve">, </w:t>
      </w:r>
      <w:r w:rsidRPr="008768DE">
        <w:t xml:space="preserve">as part of the </w:t>
      </w:r>
      <w:r w:rsidRPr="008768DE">
        <w:rPr>
          <w:i/>
          <w:iCs/>
        </w:rPr>
        <w:t xml:space="preserve">NSE </w:t>
      </w:r>
      <w:r w:rsidR="000F32E9" w:rsidRPr="008768DE">
        <w:rPr>
          <w:i/>
          <w:iCs/>
        </w:rPr>
        <w:t xml:space="preserve">Seismic </w:t>
      </w:r>
      <w:r w:rsidRPr="008768DE">
        <w:rPr>
          <w:i/>
          <w:iCs/>
        </w:rPr>
        <w:t>Design Strategy</w:t>
      </w:r>
      <w:r w:rsidR="000C596E">
        <w:rPr>
          <w:i/>
          <w:iCs/>
        </w:rPr>
        <w:t>,</w:t>
      </w:r>
      <w:r w:rsidRPr="008768DE">
        <w:t xml:space="preserve"> the approach to be undertaken for the project.</w:t>
      </w:r>
    </w:p>
    <w:p w14:paraId="0FC394AE" w14:textId="1830CE5A" w:rsidR="00092F95" w:rsidRPr="00AA75B0" w:rsidRDefault="00092F95" w:rsidP="0036094C">
      <w:pPr>
        <w:pStyle w:val="Section3heading3"/>
      </w:pPr>
      <w:r w:rsidRPr="00AA75B0">
        <w:t>Other Design Considerations</w:t>
      </w:r>
    </w:p>
    <w:p w14:paraId="76679F5A" w14:textId="77777777" w:rsidR="002E75F3" w:rsidRPr="0036094C" w:rsidRDefault="002E75F3" w:rsidP="00D56CAE">
      <w:pPr>
        <w:pStyle w:val="BodyHeading"/>
        <w:rPr>
          <w:color w:val="003399"/>
        </w:rPr>
      </w:pPr>
      <w:r w:rsidRPr="0036094C">
        <w:rPr>
          <w:color w:val="003399"/>
        </w:rPr>
        <w:t>Location and Access</w:t>
      </w:r>
    </w:p>
    <w:p w14:paraId="00593CAE" w14:textId="2B774454" w:rsidR="002E75F3" w:rsidRPr="00AA75B0" w:rsidRDefault="002E75F3" w:rsidP="00666E06">
      <w:r w:rsidRPr="00AA75B0">
        <w:t>One of the most important considerations for the seismic resilience of plant is their physical location. This includes considerations such as:</w:t>
      </w:r>
    </w:p>
    <w:p w14:paraId="7A7991C9" w14:textId="3AAB2731" w:rsidR="002E75F3" w:rsidRPr="00AA75B0" w:rsidRDefault="002E75F3" w:rsidP="004D55F1">
      <w:pPr>
        <w:pStyle w:val="ListParagraph"/>
        <w:numPr>
          <w:ilvl w:val="0"/>
          <w:numId w:val="39"/>
        </w:numPr>
      </w:pPr>
      <w:r w:rsidRPr="00AA75B0">
        <w:lastRenderedPageBreak/>
        <w:t>Vulnerable plant or equipment is more resilien</w:t>
      </w:r>
      <w:r w:rsidR="00087342" w:rsidRPr="00AA75B0">
        <w:t>t</w:t>
      </w:r>
      <w:r w:rsidRPr="00AA75B0">
        <w:t xml:space="preserve"> if placed at lower levels. Ground level equipment is much easier to repair than roof mounted equipment. It is also subject to lower accelerations.</w:t>
      </w:r>
    </w:p>
    <w:p w14:paraId="24DABD2A" w14:textId="4C3F2C01" w:rsidR="002E75F3" w:rsidRPr="00AA75B0" w:rsidRDefault="002E75F3" w:rsidP="004D55F1">
      <w:pPr>
        <w:pStyle w:val="ListParagraph"/>
        <w:numPr>
          <w:ilvl w:val="0"/>
          <w:numId w:val="39"/>
        </w:numPr>
      </w:pPr>
      <w:r w:rsidRPr="00AA75B0">
        <w:t>Basement areas</w:t>
      </w:r>
      <w:r w:rsidR="00F1572A" w:rsidRPr="00AA75B0">
        <w:t>, especially the lowermost level,</w:t>
      </w:r>
      <w:r w:rsidRPr="00AA75B0">
        <w:t xml:space="preserve"> can be prone to flooding following earthquakes</w:t>
      </w:r>
      <w:r w:rsidR="00087342" w:rsidRPr="00AA75B0">
        <w:t>.</w:t>
      </w:r>
    </w:p>
    <w:p w14:paraId="7697C0C2" w14:textId="77777777" w:rsidR="002E75F3" w:rsidRPr="00AA75B0" w:rsidRDefault="002E75F3" w:rsidP="004D55F1">
      <w:pPr>
        <w:pStyle w:val="ListParagraph"/>
        <w:numPr>
          <w:ilvl w:val="0"/>
          <w:numId w:val="39"/>
        </w:numPr>
      </w:pPr>
      <w:r w:rsidRPr="00AA75B0">
        <w:t>Liquid tanks are particularly vulnerable, and their failure can cause widespread impacts – especially if they are high in the building above critical facilities.</w:t>
      </w:r>
    </w:p>
    <w:p w14:paraId="1ADF32F8" w14:textId="0828EEB3" w:rsidR="002E75F3" w:rsidRPr="00AA75B0" w:rsidRDefault="002E75F3" w:rsidP="004D55F1">
      <w:pPr>
        <w:pStyle w:val="ListParagraph"/>
        <w:numPr>
          <w:ilvl w:val="0"/>
          <w:numId w:val="39"/>
        </w:numPr>
      </w:pPr>
      <w:r w:rsidRPr="00AA75B0">
        <w:t>Primary service route to plant areas are often highly congested areas. These can be difficult to access, and thus to repair, after an earthquake.</w:t>
      </w:r>
    </w:p>
    <w:p w14:paraId="7FB305FE" w14:textId="3F39108E" w:rsidR="002E75F3" w:rsidRPr="0036094C" w:rsidRDefault="002E75F3" w:rsidP="00D56CAE">
      <w:pPr>
        <w:pStyle w:val="BodyHeading"/>
        <w:rPr>
          <w:color w:val="003399"/>
        </w:rPr>
      </w:pPr>
      <w:r w:rsidRPr="0036094C">
        <w:rPr>
          <w:color w:val="003399"/>
        </w:rPr>
        <w:t>Seismic qualification of equipment for continued functionality following earthquake</w:t>
      </w:r>
    </w:p>
    <w:p w14:paraId="3A2398E1" w14:textId="3B1C31DB" w:rsidR="002E75F3" w:rsidRPr="00AA75B0" w:rsidRDefault="002E75F3" w:rsidP="00666E06">
      <w:r w:rsidRPr="00AA75B0">
        <w:t xml:space="preserve">The </w:t>
      </w:r>
      <w:r w:rsidRPr="00AA75B0">
        <w:rPr>
          <w:i/>
        </w:rPr>
        <w:t>Seismic Performance Framework</w:t>
      </w:r>
      <w:r w:rsidRPr="00AA75B0">
        <w:t xml:space="preserve"> (Part B) requires some equipment to maintain a level of reliability and continued operability following earthquake, appropriate to its function (as described in the description of physical states in Section </w:t>
      </w:r>
      <w:r w:rsidR="00627FA9" w:rsidRPr="00AA75B0">
        <w:fldChar w:fldCharType="begin"/>
      </w:r>
      <w:r w:rsidR="00627FA9" w:rsidRPr="00AA75B0">
        <w:instrText xml:space="preserve"> REF _Ref150180900 \r \h </w:instrText>
      </w:r>
      <w:r w:rsidR="00FC6DD9" w:rsidRPr="00AA75B0">
        <w:instrText xml:space="preserve"> \* MERGEFORMAT </w:instrText>
      </w:r>
      <w:r w:rsidR="00627FA9" w:rsidRPr="00AA75B0">
        <w:fldChar w:fldCharType="separate"/>
      </w:r>
      <w:r w:rsidR="000761C1">
        <w:t>B2.5</w:t>
      </w:r>
      <w:r w:rsidR="00627FA9" w:rsidRPr="00AA75B0">
        <w:fldChar w:fldCharType="end"/>
      </w:r>
      <w:r w:rsidRPr="00AA75B0">
        <w:t>)</w:t>
      </w:r>
      <w:r w:rsidR="00537559">
        <w:t>.</w:t>
      </w:r>
    </w:p>
    <w:p w14:paraId="02ACBD11" w14:textId="4174D3A0" w:rsidR="002E75F3" w:rsidRPr="00AA75B0" w:rsidRDefault="002E75F3" w:rsidP="00666E06">
      <w:r w:rsidRPr="00AA75B0">
        <w:t>Responsibility for the specification of plant (including specification of seismic performance, and which elements of plant are required to maintain functional continuity) lies with the services engineer</w:t>
      </w:r>
      <w:r w:rsidR="00A43953">
        <w:t xml:space="preserve">. </w:t>
      </w:r>
      <w:r w:rsidRPr="00AA75B0">
        <w:t xml:space="preserve">The </w:t>
      </w:r>
      <w:r w:rsidR="00712CB5" w:rsidRPr="00AA75B0">
        <w:t>NSE Seismic Designer</w:t>
      </w:r>
      <w:r w:rsidRPr="00AA75B0">
        <w:t xml:space="preserve"> should provide support to the services engineer in relation to seismic matters. </w:t>
      </w:r>
    </w:p>
    <w:p w14:paraId="3ABF893C" w14:textId="4817C831" w:rsidR="00F166E0" w:rsidRPr="00AA75B0" w:rsidRDefault="00F166E0" w:rsidP="00666E06">
      <w:r w:rsidRPr="00AA75B0">
        <w:t>Details on the appropriate means of seismically qualifying equipment can be found in Health New Zealand</w:t>
      </w:r>
      <w:r w:rsidR="00F220BE" w:rsidRPr="00AA75B0">
        <w:t>’s Building Services Design Guide Note.</w:t>
      </w:r>
    </w:p>
    <w:p w14:paraId="2F02183A" w14:textId="77777777" w:rsidR="002E75F3" w:rsidRPr="0036094C" w:rsidRDefault="002E75F3" w:rsidP="00D56CAE">
      <w:pPr>
        <w:pStyle w:val="BodyHeading"/>
        <w:rPr>
          <w:color w:val="003399"/>
        </w:rPr>
      </w:pPr>
      <w:r w:rsidRPr="0036094C">
        <w:rPr>
          <w:color w:val="003399"/>
        </w:rPr>
        <w:t>Liquid Retaining Tanks</w:t>
      </w:r>
    </w:p>
    <w:p w14:paraId="7E684335" w14:textId="09836134" w:rsidR="002E75F3" w:rsidRPr="00AA75B0" w:rsidRDefault="002E75F3" w:rsidP="00666E06">
      <w:r w:rsidRPr="00AA75B0">
        <w:t>Liquid retaining tanks are often some of the most vulnerable aspects of a hospital building, and their failures have historically resulted in significant disruption. This disruption can be in the form of losing the building services they are associated with, or due to the consequential impacts of liquid spilling into the broader hospital.</w:t>
      </w:r>
    </w:p>
    <w:p w14:paraId="00E735CE" w14:textId="141A58ED" w:rsidR="002E75F3" w:rsidRPr="00AA75B0" w:rsidRDefault="002E75F3" w:rsidP="00666E06">
      <w:r w:rsidRPr="00AA75B0">
        <w:t xml:space="preserve">The design of liquid retaining tanks should address collapse prevention, loss of support, </w:t>
      </w:r>
      <w:r w:rsidR="008B4AC5" w:rsidRPr="00AA75B0">
        <w:t>rupture,</w:t>
      </w:r>
      <w:r w:rsidRPr="00AA75B0">
        <w:t xml:space="preserve"> or loss of contents at the applicable Limit State.</w:t>
      </w:r>
    </w:p>
    <w:p w14:paraId="4107C287" w14:textId="77777777" w:rsidR="002E75F3" w:rsidRPr="00AA75B0" w:rsidRDefault="002E75F3" w:rsidP="00666E06">
      <w:r w:rsidRPr="00AA75B0">
        <w:t>As well as the design checks associated with most plant (i.e., anchorage checks), liquid retaining tanks shall either:</w:t>
      </w:r>
    </w:p>
    <w:p w14:paraId="61BE92B4" w14:textId="77777777" w:rsidR="002E75F3" w:rsidRPr="00AA75B0" w:rsidRDefault="002E75F3" w:rsidP="004D55F1">
      <w:pPr>
        <w:pStyle w:val="ListParagraph"/>
        <w:numPr>
          <w:ilvl w:val="0"/>
          <w:numId w:val="38"/>
        </w:numPr>
      </w:pPr>
      <w:r w:rsidRPr="00AA75B0">
        <w:t>Be specifically designed to resist the seismic loads imposed on them, OR</w:t>
      </w:r>
    </w:p>
    <w:p w14:paraId="670EEAA4" w14:textId="77777777" w:rsidR="002E75F3" w:rsidRPr="00AA75B0" w:rsidRDefault="002E75F3" w:rsidP="004D55F1">
      <w:pPr>
        <w:pStyle w:val="ListParagraph"/>
        <w:numPr>
          <w:ilvl w:val="0"/>
          <w:numId w:val="38"/>
        </w:numPr>
      </w:pPr>
      <w:r w:rsidRPr="00AA75B0">
        <w:t xml:space="preserve">Be separately restrained by a seismic frame. </w:t>
      </w:r>
    </w:p>
    <w:p w14:paraId="424C7AF5" w14:textId="35F48973" w:rsidR="002E75F3" w:rsidRPr="00AA75B0" w:rsidRDefault="002E75F3" w:rsidP="00666E06">
      <w:r w:rsidRPr="00AA75B0">
        <w:t>The method to be used shall be determi</w:t>
      </w:r>
      <w:r w:rsidR="00AE0A9E" w:rsidRPr="00AA75B0">
        <w:t>ned</w:t>
      </w:r>
      <w:r w:rsidRPr="00AA75B0">
        <w:t xml:space="preserve"> early in the project as part of the Non-Structural Element Design Strategy</w:t>
      </w:r>
      <w:r w:rsidR="00A43953">
        <w:t xml:space="preserve">. </w:t>
      </w:r>
      <w:r w:rsidRPr="00AA75B0">
        <w:t xml:space="preserve">This will require the input of the building services engineer and NSE </w:t>
      </w:r>
      <w:r w:rsidR="00712CB5" w:rsidRPr="00AA75B0">
        <w:t>Seismic</w:t>
      </w:r>
      <w:r w:rsidRPr="00AA75B0">
        <w:t xml:space="preserve"> Designer</w:t>
      </w:r>
      <w:r w:rsidR="00A43953">
        <w:t xml:space="preserve">. </w:t>
      </w:r>
    </w:p>
    <w:p w14:paraId="0B15D9A1" w14:textId="1EFD5D52" w:rsidR="002E75F3" w:rsidRPr="00AA75B0" w:rsidRDefault="002E75F3" w:rsidP="00666E06">
      <w:r w:rsidRPr="00AA75B0">
        <w:t xml:space="preserve">It is unlikely that proprietary thin-wall tanks will be capable of resisting significant seismic actions without supplementary strengthening and/or bracing. (The majority of tank design and construction </w:t>
      </w:r>
      <w:r w:rsidR="00AF1C28" w:rsidRPr="00AA75B0">
        <w:t>s</w:t>
      </w:r>
      <w:r w:rsidRPr="00AA75B0">
        <w:t>tandards do NOT provide design criteria for superimposed hydrostatic and seismic forces, and require special design consideration where seismic actions apply</w:t>
      </w:r>
      <w:r w:rsidR="00AF1C28" w:rsidRPr="00AA75B0">
        <w:t>).</w:t>
      </w:r>
      <w:r w:rsidRPr="00AA75B0">
        <w:t xml:space="preserve"> </w:t>
      </w:r>
    </w:p>
    <w:p w14:paraId="2DD03FEB" w14:textId="10A69E4A" w:rsidR="002E75F3" w:rsidRPr="00AA75B0" w:rsidRDefault="002E75F3" w:rsidP="00666E06">
      <w:r w:rsidRPr="00AA75B0">
        <w:lastRenderedPageBreak/>
        <w:t>Historically, this is an area that has not been well addressed, and the Cost Consultant should therefore be included in conversations to help understand the impact.</w:t>
      </w:r>
    </w:p>
    <w:p w14:paraId="2930E0E1" w14:textId="77777777" w:rsidR="002E75F3" w:rsidRPr="0036094C" w:rsidRDefault="002E75F3" w:rsidP="00666E06">
      <w:pPr>
        <w:pStyle w:val="EmphasisHeading"/>
        <w:rPr>
          <w:color w:val="003399"/>
        </w:rPr>
      </w:pPr>
      <w:r w:rsidRPr="0036094C">
        <w:rPr>
          <w:color w:val="003399"/>
        </w:rPr>
        <w:t>Seismically designed tanks</w:t>
      </w:r>
    </w:p>
    <w:p w14:paraId="532FEEA7" w14:textId="00F05C86" w:rsidR="002E75F3" w:rsidRPr="00AA75B0" w:rsidRDefault="00336FAA" w:rsidP="00666E06">
      <w:r w:rsidRPr="00AA75B0">
        <w:t xml:space="preserve">The seismic design of </w:t>
      </w:r>
      <w:r w:rsidR="00533512" w:rsidRPr="00AA75B0">
        <w:t>l</w:t>
      </w:r>
      <w:r w:rsidR="002E75F3" w:rsidRPr="00AA75B0">
        <w:t>iquid retaining tanks</w:t>
      </w:r>
      <w:r w:rsidR="008A151C" w:rsidRPr="00AA75B0">
        <w:t xml:space="preserve"> may</w:t>
      </w:r>
      <w:r w:rsidR="002E75F3" w:rsidRPr="00AA75B0">
        <w:t xml:space="preserve"> be designed in accordance with </w:t>
      </w:r>
      <w:r w:rsidRPr="00AA75B0">
        <w:t>the</w:t>
      </w:r>
      <w:r w:rsidR="006654C5" w:rsidRPr="00AA75B0">
        <w:t xml:space="preserve"> NZSEE </w:t>
      </w:r>
      <w:r w:rsidRPr="00AA75B0">
        <w:t>Study Group</w:t>
      </w:r>
      <w:r w:rsidR="00533512" w:rsidRPr="00AA75B0">
        <w:t xml:space="preserve"> recommendations in Seismic Design of Storage Tanks </w:t>
      </w:r>
      <w:sdt>
        <w:sdtPr>
          <w:id w:val="1580411869"/>
          <w:citation/>
        </w:sdtPr>
        <w:sdtEndPr/>
        <w:sdtContent>
          <w:r w:rsidR="00713BF9" w:rsidRPr="00AA75B0">
            <w:fldChar w:fldCharType="begin"/>
          </w:r>
          <w:r w:rsidR="00713BF9" w:rsidRPr="00AA75B0">
            <w:rPr>
              <w:lang w:val="en-US"/>
            </w:rPr>
            <w:instrText xml:space="preserve"> CITATION NZS09 \l 1033 </w:instrText>
          </w:r>
          <w:r w:rsidR="00713BF9" w:rsidRPr="00AA75B0">
            <w:fldChar w:fldCharType="separate"/>
          </w:r>
          <w:r w:rsidR="00222D65">
            <w:rPr>
              <w:noProof/>
              <w:lang w:val="en-US"/>
            </w:rPr>
            <w:t>(NZSEE, 2009)</w:t>
          </w:r>
          <w:r w:rsidR="00713BF9" w:rsidRPr="00AA75B0">
            <w:fldChar w:fldCharType="end"/>
          </w:r>
        </w:sdtContent>
      </w:sdt>
      <w:r w:rsidR="002E75F3" w:rsidRPr="00AA75B0">
        <w:t xml:space="preserve">, </w:t>
      </w:r>
      <w:r w:rsidR="000D4B10" w:rsidRPr="00AA75B0">
        <w:t>or to API 650 13</w:t>
      </w:r>
      <w:r w:rsidR="000D4B10" w:rsidRPr="00AA75B0">
        <w:rPr>
          <w:vertAlign w:val="superscript"/>
        </w:rPr>
        <w:t>th</w:t>
      </w:r>
      <w:r w:rsidR="000D4B10" w:rsidRPr="00AA75B0">
        <w:t xml:space="preserve"> edition</w:t>
      </w:r>
      <w:r w:rsidR="00826A75" w:rsidRPr="00AA75B0">
        <w:t xml:space="preserve"> </w:t>
      </w:r>
      <w:sdt>
        <w:sdtPr>
          <w:id w:val="-853576671"/>
          <w:citation/>
        </w:sdtPr>
        <w:sdtEndPr/>
        <w:sdtContent>
          <w:r w:rsidR="00826A75" w:rsidRPr="00AA75B0">
            <w:fldChar w:fldCharType="begin"/>
          </w:r>
          <w:r w:rsidR="00E96954" w:rsidRPr="00AA75B0">
            <w:rPr>
              <w:lang w:val="en-US"/>
            </w:rPr>
            <w:instrText xml:space="preserve">CITATION API21 \l 1033 </w:instrText>
          </w:r>
          <w:r w:rsidR="00826A75" w:rsidRPr="00AA75B0">
            <w:fldChar w:fldCharType="separate"/>
          </w:r>
          <w:r w:rsidR="00222D65">
            <w:rPr>
              <w:noProof/>
              <w:lang w:val="en-US"/>
            </w:rPr>
            <w:t>(API, 2021)</w:t>
          </w:r>
          <w:r w:rsidR="00826A75" w:rsidRPr="00AA75B0">
            <w:fldChar w:fldCharType="end"/>
          </w:r>
        </w:sdtContent>
      </w:sdt>
      <w:r w:rsidR="000D4B10" w:rsidRPr="00AA75B0">
        <w:t xml:space="preserve"> </w:t>
      </w:r>
      <w:r w:rsidR="002E75F3" w:rsidRPr="00AA75B0">
        <w:t>and to the project design coefficients for NSE</w:t>
      </w:r>
      <w:r w:rsidR="00A43953">
        <w:t xml:space="preserve">. </w:t>
      </w:r>
      <w:r w:rsidR="002E75F3" w:rsidRPr="00AA75B0">
        <w:t>These tanks are typically supplier designed items, and their seismic design requirements will need to be included in the Building Services performance specification</w:t>
      </w:r>
      <w:r w:rsidR="00A43953">
        <w:t xml:space="preserve">. </w:t>
      </w:r>
      <w:r w:rsidR="002E75F3" w:rsidRPr="00AA75B0">
        <w:t>Generally, these specifications should include requirements for fixing/restraining to prevent sliding (without relying on friction between tank and supporting pads) and overturning failure. Generally, seismically designed tanks should include certification from the manufacturer’s CPEng designer.</w:t>
      </w:r>
    </w:p>
    <w:p w14:paraId="70E3717A" w14:textId="5EB3E60D" w:rsidR="002E75F3" w:rsidRPr="00AA75B0" w:rsidRDefault="002E75F3" w:rsidP="00666E06">
      <w:r w:rsidRPr="00AA75B0">
        <w:t xml:space="preserve">Due to the specialised nature of the seismic design of liquid retaining tanks, the NSE </w:t>
      </w:r>
      <w:r w:rsidR="00712CB5" w:rsidRPr="00AA75B0">
        <w:t>Seismic</w:t>
      </w:r>
      <w:r w:rsidRPr="00AA75B0">
        <w:t xml:space="preserve"> Designer is expected assist the services engineer with both the preparation of an appropriate performance specification, and the review of supplier submissions.</w:t>
      </w:r>
    </w:p>
    <w:p w14:paraId="60855C57" w14:textId="77777777" w:rsidR="002E75F3" w:rsidRPr="0036094C" w:rsidRDefault="002E75F3" w:rsidP="00666E06">
      <w:pPr>
        <w:pStyle w:val="EmphasisHeading"/>
        <w:rPr>
          <w:color w:val="003399"/>
        </w:rPr>
      </w:pPr>
      <w:r w:rsidRPr="0036094C">
        <w:rPr>
          <w:color w:val="003399"/>
        </w:rPr>
        <w:t>Separate Seismic Frame</w:t>
      </w:r>
    </w:p>
    <w:p w14:paraId="77345BBB" w14:textId="368D6FB1" w:rsidR="002E75F3" w:rsidRPr="00AA75B0" w:rsidRDefault="002E75F3" w:rsidP="00666E06">
      <w:r w:rsidRPr="00AA75B0">
        <w:t xml:space="preserve">Where a separate seismic frame is to be provided, this should be designed by the NSE </w:t>
      </w:r>
      <w:r w:rsidR="00712CB5" w:rsidRPr="00AA75B0">
        <w:t>Seismic Designer</w:t>
      </w:r>
      <w:r w:rsidRPr="00AA75B0">
        <w:t>.</w:t>
      </w:r>
    </w:p>
    <w:p w14:paraId="31B7ED9A" w14:textId="15D6EAA1" w:rsidR="002E75F3" w:rsidRPr="00AA75B0" w:rsidRDefault="002E75F3" w:rsidP="00666E06">
      <w:r w:rsidRPr="00AA75B0">
        <w:t>This is generally a less desirable option, as it often ends up more expensive, and with more potential seismic vulnerabilities</w:t>
      </w:r>
      <w:r w:rsidR="00A43953">
        <w:t xml:space="preserve">. </w:t>
      </w:r>
      <w:r w:rsidRPr="00AA75B0">
        <w:t>However, it may be a necessary approach when seismically rated tanks are not readily available.</w:t>
      </w:r>
    </w:p>
    <w:p w14:paraId="7822F9D2" w14:textId="77777777" w:rsidR="002E75F3" w:rsidRPr="0036094C" w:rsidRDefault="002E75F3" w:rsidP="00D56CAE">
      <w:pPr>
        <w:pStyle w:val="BodyHeading"/>
        <w:rPr>
          <w:color w:val="003399"/>
        </w:rPr>
      </w:pPr>
      <w:r w:rsidRPr="0036094C">
        <w:rPr>
          <w:color w:val="003399"/>
        </w:rPr>
        <w:t>Hot Water Cylinders</w:t>
      </w:r>
    </w:p>
    <w:p w14:paraId="0FED8E59" w14:textId="70D6D510" w:rsidR="00092F95" w:rsidRPr="00AA75B0" w:rsidRDefault="002E75F3" w:rsidP="00666E06">
      <w:r w:rsidRPr="00AA75B0">
        <w:t>NZBC G12/AS1 Section 6.11.4 and Figure 14 is an acceptable solution for seismic restraint of hot water cylinders up to 360 litres. Figure 14 is suitable for a seismic lateral force coefficient, C ≤ 3.6 (the maximum obtainable under NZS 4219). Hence the extra centre strap shown in Figure 14 for 200 – 360 litre cylinders is only required where C &gt; 2/3 x 3.6 = 2.4.</w:t>
      </w:r>
    </w:p>
    <w:p w14:paraId="70274049" w14:textId="7A516070" w:rsidR="00256FE1" w:rsidRPr="00AA75B0" w:rsidRDefault="003D082A" w:rsidP="0036094C">
      <w:pPr>
        <w:pStyle w:val="Section3heading2"/>
      </w:pPr>
      <w:bookmarkStart w:id="364" w:name="_Toc203642006"/>
      <w:r w:rsidRPr="00AA75B0">
        <w:t>Vertical Transportation (Lifts)</w:t>
      </w:r>
      <w:bookmarkEnd w:id="364"/>
    </w:p>
    <w:p w14:paraId="3BA25ECF" w14:textId="136BEAAC" w:rsidR="006A5340" w:rsidRPr="00AA75B0" w:rsidRDefault="006A5340" w:rsidP="0036094C">
      <w:pPr>
        <w:pStyle w:val="Section3heading3"/>
      </w:pPr>
      <w:bookmarkStart w:id="365" w:name="_Ref166393454"/>
      <w:r w:rsidRPr="00AA75B0">
        <w:t>Design Criteria</w:t>
      </w:r>
      <w:bookmarkEnd w:id="365"/>
    </w:p>
    <w:p w14:paraId="0958741D" w14:textId="446E3824" w:rsidR="00522F1F" w:rsidRPr="0036094C" w:rsidRDefault="00522F1F" w:rsidP="00D56CAE">
      <w:pPr>
        <w:pStyle w:val="BodyHeading"/>
        <w:rPr>
          <w:color w:val="003399"/>
        </w:rPr>
      </w:pPr>
      <w:r w:rsidRPr="0036094C">
        <w:rPr>
          <w:color w:val="003399"/>
        </w:rPr>
        <w:t>Design Working Life for Loadings</w:t>
      </w:r>
    </w:p>
    <w:p w14:paraId="07D827B1" w14:textId="07F20EEC" w:rsidR="00522F1F" w:rsidRPr="00AA75B0" w:rsidRDefault="00522F1F" w:rsidP="00666E06">
      <w:r w:rsidRPr="00AA75B0">
        <w:t xml:space="preserve">The </w:t>
      </w:r>
      <w:r w:rsidR="00C5112B" w:rsidRPr="00AA75B0">
        <w:rPr>
          <w:i/>
          <w:iCs/>
        </w:rPr>
        <w:t>D</w:t>
      </w:r>
      <w:r w:rsidRPr="00AA75B0">
        <w:rPr>
          <w:i/>
          <w:iCs/>
        </w:rPr>
        <w:t xml:space="preserve">esign </w:t>
      </w:r>
      <w:r w:rsidR="00C5112B" w:rsidRPr="00AA75B0">
        <w:rPr>
          <w:i/>
          <w:iCs/>
        </w:rPr>
        <w:t>W</w:t>
      </w:r>
      <w:r w:rsidRPr="00AA75B0">
        <w:rPr>
          <w:i/>
          <w:iCs/>
        </w:rPr>
        <w:t xml:space="preserve">orking </w:t>
      </w:r>
      <w:r w:rsidR="00C5112B" w:rsidRPr="00AA75B0">
        <w:rPr>
          <w:i/>
          <w:iCs/>
        </w:rPr>
        <w:t>L</w:t>
      </w:r>
      <w:r w:rsidRPr="00AA75B0">
        <w:rPr>
          <w:i/>
          <w:iCs/>
        </w:rPr>
        <w:t>ife</w:t>
      </w:r>
      <w:r w:rsidRPr="00AA75B0">
        <w:t xml:space="preserve"> for</w:t>
      </w:r>
      <w:r w:rsidR="00C172C3" w:rsidRPr="00AA75B0">
        <w:t xml:space="preserve"> </w:t>
      </w:r>
      <w:r w:rsidR="001759FC" w:rsidRPr="00AA75B0">
        <w:t>determining</w:t>
      </w:r>
      <w:r w:rsidRPr="00AA75B0">
        <w:t xml:space="preserve"> loading</w:t>
      </w:r>
      <w:r w:rsidR="00C172C3" w:rsidRPr="00AA75B0">
        <w:t xml:space="preserve"> on lift installations (including seismic loading)</w:t>
      </w:r>
      <w:r w:rsidR="00F504C0" w:rsidRPr="00AA75B0">
        <w:t xml:space="preserve"> should be </w:t>
      </w:r>
      <w:r w:rsidR="00584FF9" w:rsidRPr="00AA75B0">
        <w:t xml:space="preserve">an ordinary </w:t>
      </w:r>
      <w:r w:rsidR="00F504C0" w:rsidRPr="00AA75B0">
        <w:t>50-years, representing an indefinite life</w:t>
      </w:r>
      <w:r w:rsidR="00C5112B" w:rsidRPr="00AA75B0">
        <w:t xml:space="preserve">, in accordance with the Building Code and Section </w:t>
      </w:r>
      <w:r w:rsidR="00B06976" w:rsidRPr="00AA75B0">
        <w:fldChar w:fldCharType="begin"/>
      </w:r>
      <w:r w:rsidR="00B06976" w:rsidRPr="00AA75B0">
        <w:instrText xml:space="preserve"> REF _Ref161737292 \r \h </w:instrText>
      </w:r>
      <w:r w:rsidR="00AA75B0">
        <w:instrText xml:space="preserve"> \* MERGEFORMAT </w:instrText>
      </w:r>
      <w:r w:rsidR="00B06976" w:rsidRPr="00AA75B0">
        <w:fldChar w:fldCharType="separate"/>
      </w:r>
      <w:r w:rsidR="000761C1">
        <w:t>C1.1.1</w:t>
      </w:r>
      <w:r w:rsidR="00B06976" w:rsidRPr="00AA75B0">
        <w:fldChar w:fldCharType="end"/>
      </w:r>
      <w:r w:rsidR="00F504C0" w:rsidRPr="00AA75B0">
        <w:t xml:space="preserve">. Whilst the </w:t>
      </w:r>
      <w:r w:rsidR="00205FD4" w:rsidRPr="00AA75B0">
        <w:t>intended life</w:t>
      </w:r>
      <w:r w:rsidR="00584FF9" w:rsidRPr="00AA75B0">
        <w:t>span</w:t>
      </w:r>
      <w:r w:rsidR="00205FD4" w:rsidRPr="00AA75B0">
        <w:t xml:space="preserve"> of the </w:t>
      </w:r>
      <w:r w:rsidR="009F1561" w:rsidRPr="00AA75B0">
        <w:t xml:space="preserve">lifting </w:t>
      </w:r>
      <w:r w:rsidR="00205FD4" w:rsidRPr="00AA75B0">
        <w:t>equipment itself</w:t>
      </w:r>
      <w:r w:rsidR="004D166E" w:rsidRPr="00AA75B0">
        <w:t xml:space="preserve"> may be </w:t>
      </w:r>
      <w:r w:rsidR="009F1561" w:rsidRPr="00AA75B0">
        <w:t>a shorter period</w:t>
      </w:r>
      <w:r w:rsidR="002F76E8" w:rsidRPr="00AA75B0">
        <w:t xml:space="preserve"> (before</w:t>
      </w:r>
      <w:r w:rsidR="004D166E" w:rsidRPr="00AA75B0">
        <w:t xml:space="preserve"> </w:t>
      </w:r>
      <w:r w:rsidR="009F1561" w:rsidRPr="00AA75B0">
        <w:t xml:space="preserve">major maintenance or replacement </w:t>
      </w:r>
      <w:r w:rsidR="00044613" w:rsidRPr="00AA75B0">
        <w:t>would be expected</w:t>
      </w:r>
      <w:r w:rsidR="002F76E8" w:rsidRPr="00AA75B0">
        <w:t xml:space="preserve">), </w:t>
      </w:r>
      <w:r w:rsidR="00F65674" w:rsidRPr="00AA75B0">
        <w:t xml:space="preserve">this </w:t>
      </w:r>
      <w:r w:rsidR="000D3C81" w:rsidRPr="00AA75B0">
        <w:t>does not reduce</w:t>
      </w:r>
      <w:r w:rsidR="00F65674" w:rsidRPr="00AA75B0">
        <w:t xml:space="preserve"> the</w:t>
      </w:r>
      <w:r w:rsidR="002F76E8" w:rsidRPr="00AA75B0">
        <w:t xml:space="preserve"> risk exposure</w:t>
      </w:r>
      <w:r w:rsidR="000D3C81" w:rsidRPr="00AA75B0">
        <w:t xml:space="preserve"> and so a </w:t>
      </w:r>
      <w:r w:rsidR="002125CD" w:rsidRPr="00AA75B0">
        <w:t xml:space="preserve">correspondingly low </w:t>
      </w:r>
      <w:r w:rsidR="002125CD" w:rsidRPr="00AA75B0">
        <w:rPr>
          <w:i/>
          <w:iCs/>
        </w:rPr>
        <w:t>Design Working Life</w:t>
      </w:r>
      <w:r w:rsidR="002125CD" w:rsidRPr="00AA75B0">
        <w:t xml:space="preserve"> is not appropriate</w:t>
      </w:r>
      <w:r w:rsidR="000D5629" w:rsidRPr="00AA75B0">
        <w:t>.</w:t>
      </w:r>
    </w:p>
    <w:p w14:paraId="357C1433" w14:textId="06B248BC" w:rsidR="00491655" w:rsidRPr="0036094C" w:rsidRDefault="00491655" w:rsidP="00D56CAE">
      <w:pPr>
        <w:pStyle w:val="BodyHeading"/>
        <w:rPr>
          <w:color w:val="003399"/>
        </w:rPr>
      </w:pPr>
      <w:r w:rsidRPr="0036094C">
        <w:rPr>
          <w:color w:val="003399"/>
        </w:rPr>
        <w:lastRenderedPageBreak/>
        <w:t xml:space="preserve">Design </w:t>
      </w:r>
      <w:r w:rsidR="00305E2E" w:rsidRPr="0036094C">
        <w:rPr>
          <w:color w:val="003399"/>
        </w:rPr>
        <w:t>of lift guide rails and their supporting structure</w:t>
      </w:r>
    </w:p>
    <w:p w14:paraId="68DDBBA7" w14:textId="469B987C" w:rsidR="003362CF" w:rsidRPr="00AA75B0" w:rsidRDefault="00491655" w:rsidP="00666E06">
      <w:r w:rsidRPr="00AA75B0">
        <w:t xml:space="preserve">Refer to EN 81-77 </w:t>
      </w:r>
      <w:r w:rsidRPr="00905021">
        <w:rPr>
          <w:i/>
          <w:iCs/>
        </w:rPr>
        <w:t>Safety rules for the construction and installations of lifts - Particular applications for passenger and goods passenger lifts - Part 77: Lifts subject to seismic conditions</w:t>
      </w:r>
      <w:r w:rsidRPr="00AA75B0">
        <w:t xml:space="preserve"> for detailed design </w:t>
      </w:r>
      <w:r w:rsidR="001B5626" w:rsidRPr="00AA75B0">
        <w:t>requirements</w:t>
      </w:r>
      <w:r w:rsidR="00E43729" w:rsidRPr="00AA75B0">
        <w:t xml:space="preserve"> </w:t>
      </w:r>
      <w:sdt>
        <w:sdtPr>
          <w:id w:val="663829478"/>
          <w:citation/>
        </w:sdtPr>
        <w:sdtEndPr/>
        <w:sdtContent>
          <w:r w:rsidR="00E43729" w:rsidRPr="00AA75B0">
            <w:fldChar w:fldCharType="begin"/>
          </w:r>
          <w:r w:rsidR="00E43729" w:rsidRPr="00AA75B0">
            <w:rPr>
              <w:lang w:val="en-US"/>
            </w:rPr>
            <w:instrText xml:space="preserve"> CITATION DIN13 \l 1033 </w:instrText>
          </w:r>
          <w:r w:rsidR="00E43729" w:rsidRPr="00AA75B0">
            <w:fldChar w:fldCharType="separate"/>
          </w:r>
          <w:r w:rsidR="00222D65">
            <w:rPr>
              <w:noProof/>
              <w:lang w:val="en-US"/>
            </w:rPr>
            <w:t>(DIN, 2013)</w:t>
          </w:r>
          <w:r w:rsidR="00E43729" w:rsidRPr="00AA75B0">
            <w:fldChar w:fldCharType="end"/>
          </w:r>
        </w:sdtContent>
      </w:sdt>
      <w:r w:rsidRPr="00AA75B0">
        <w:t>. NZBC D2/AS1 provides for this as a compliance pathway for B1 Structural Design, as it relates to passenger carrying lifts.</w:t>
      </w:r>
    </w:p>
    <w:p w14:paraId="7B106B3B" w14:textId="5B0F0AEB" w:rsidR="00522F1F" w:rsidRPr="00AA75B0" w:rsidRDefault="00E7043C" w:rsidP="00666E06">
      <w:r w:rsidRPr="00AA75B0">
        <w:t>The EN 8</w:t>
      </w:r>
      <w:r w:rsidR="003362CF" w:rsidRPr="00AA75B0">
        <w:t>1</w:t>
      </w:r>
      <w:r w:rsidRPr="00AA75B0">
        <w:t xml:space="preserve"> pathway </w:t>
      </w:r>
      <w:r w:rsidR="00517E98" w:rsidRPr="00AA75B0">
        <w:t xml:space="preserve">under D2/AS1 </w:t>
      </w:r>
      <w:r w:rsidRPr="00AA75B0">
        <w:t>is preferred</w:t>
      </w:r>
      <w:r w:rsidR="008A0E14" w:rsidRPr="00AA75B0">
        <w:t xml:space="preserve">, </w:t>
      </w:r>
      <w:r w:rsidR="00A6692D" w:rsidRPr="00AA75B0">
        <w:t>citing</w:t>
      </w:r>
      <w:r w:rsidR="00FF01E3" w:rsidRPr="00AA75B0">
        <w:t xml:space="preserve"> standards</w:t>
      </w:r>
      <w:r w:rsidR="008A0E14" w:rsidRPr="00AA75B0">
        <w:t xml:space="preserve"> EN 81-20, EN 81-50 and EN 81-77 </w:t>
      </w:r>
      <w:sdt>
        <w:sdtPr>
          <w:id w:val="2068291541"/>
          <w:citation/>
        </w:sdtPr>
        <w:sdtEndPr/>
        <w:sdtContent>
          <w:r w:rsidR="008A0E14" w:rsidRPr="00AA75B0">
            <w:fldChar w:fldCharType="begin"/>
          </w:r>
          <w:r w:rsidR="008A0E14" w:rsidRPr="00AA75B0">
            <w:rPr>
              <w:lang w:val="en-US"/>
            </w:rPr>
            <w:instrText xml:space="preserve"> CITATION BSI14 \l 1033 </w:instrText>
          </w:r>
          <w:r w:rsidR="008A0E14" w:rsidRPr="00AA75B0">
            <w:fldChar w:fldCharType="separate"/>
          </w:r>
          <w:r w:rsidR="00222D65">
            <w:rPr>
              <w:noProof/>
              <w:lang w:val="en-US"/>
            </w:rPr>
            <w:t>(BSI, 2014)</w:t>
          </w:r>
          <w:r w:rsidR="008A0E14" w:rsidRPr="00AA75B0">
            <w:fldChar w:fldCharType="end"/>
          </w:r>
        </w:sdtContent>
      </w:sdt>
      <w:sdt>
        <w:sdtPr>
          <w:id w:val="-677114684"/>
          <w:citation/>
        </w:sdtPr>
        <w:sdtEndPr/>
        <w:sdtContent>
          <w:r w:rsidR="008A0E14" w:rsidRPr="00AA75B0">
            <w:fldChar w:fldCharType="begin"/>
          </w:r>
          <w:r w:rsidR="008A0E14" w:rsidRPr="00AA75B0">
            <w:rPr>
              <w:lang w:val="en-US"/>
            </w:rPr>
            <w:instrText xml:space="preserve"> CITATION BSI141 \l 1033 </w:instrText>
          </w:r>
          <w:r w:rsidR="008A0E14" w:rsidRPr="00AA75B0">
            <w:fldChar w:fldCharType="separate"/>
          </w:r>
          <w:r w:rsidR="00222D65">
            <w:rPr>
              <w:noProof/>
              <w:lang w:val="en-US"/>
            </w:rPr>
            <w:t xml:space="preserve"> (BSI, 2014)</w:t>
          </w:r>
          <w:r w:rsidR="008A0E14" w:rsidRPr="00AA75B0">
            <w:fldChar w:fldCharType="end"/>
          </w:r>
        </w:sdtContent>
      </w:sdt>
      <w:sdt>
        <w:sdtPr>
          <w:id w:val="-900905325"/>
          <w:citation/>
        </w:sdtPr>
        <w:sdtEndPr/>
        <w:sdtContent>
          <w:r w:rsidR="008A0E14" w:rsidRPr="00AA75B0">
            <w:fldChar w:fldCharType="begin"/>
          </w:r>
          <w:r w:rsidR="008A0E14" w:rsidRPr="00AA75B0">
            <w:rPr>
              <w:lang w:val="en-US"/>
            </w:rPr>
            <w:instrText xml:space="preserve"> CITATION DIN13 \l 1033 </w:instrText>
          </w:r>
          <w:r w:rsidR="008A0E14" w:rsidRPr="00AA75B0">
            <w:fldChar w:fldCharType="separate"/>
          </w:r>
          <w:r w:rsidR="00222D65">
            <w:rPr>
              <w:noProof/>
              <w:lang w:val="en-US"/>
            </w:rPr>
            <w:t xml:space="preserve"> (DIN, 2013)</w:t>
          </w:r>
          <w:r w:rsidR="008A0E14" w:rsidRPr="00AA75B0">
            <w:fldChar w:fldCharType="end"/>
          </w:r>
        </w:sdtContent>
      </w:sdt>
      <w:r w:rsidR="008C76B9" w:rsidRPr="00AA75B0">
        <w:rPr>
          <w:rStyle w:val="FootnoteReference"/>
        </w:rPr>
        <w:footnoteReference w:id="45"/>
      </w:r>
      <w:r w:rsidR="003362CF" w:rsidRPr="00AA75B0">
        <w:t>.</w:t>
      </w:r>
      <w:r w:rsidRPr="00AA75B0">
        <w:t xml:space="preserve"> </w:t>
      </w:r>
      <w:r w:rsidR="00517E98" w:rsidRPr="00AA75B0">
        <w:t>The EN 81 suite</w:t>
      </w:r>
      <w:r w:rsidR="003362CF" w:rsidRPr="00AA75B0">
        <w:t xml:space="preserve"> will need to be referred to by lift suppliers, as well as by the Structural Engineer responsible for design</w:t>
      </w:r>
      <w:r w:rsidR="001E7914" w:rsidRPr="00AA75B0">
        <w:t xml:space="preserve">ing </w:t>
      </w:r>
      <w:r w:rsidR="003362CF" w:rsidRPr="00AA75B0">
        <w:rPr>
          <w:i/>
          <w:iCs/>
        </w:rPr>
        <w:t>structure supporting lift installations</w:t>
      </w:r>
      <w:r w:rsidR="00FF01E3" w:rsidRPr="00AA75B0">
        <w:t xml:space="preserve"> as defined by those standards</w:t>
      </w:r>
      <w:r w:rsidR="003362CF" w:rsidRPr="00AA75B0">
        <w:t xml:space="preserve">. </w:t>
      </w:r>
      <w:r w:rsidR="00BD784A" w:rsidRPr="00AA75B0">
        <w:t xml:space="preserve">D2/AS1 contains important clarifications around the </w:t>
      </w:r>
      <w:r w:rsidR="00870C68" w:rsidRPr="00AA75B0">
        <w:t xml:space="preserve">way that </w:t>
      </w:r>
      <w:r w:rsidR="003309EF" w:rsidRPr="00AA75B0">
        <w:t xml:space="preserve">the </w:t>
      </w:r>
      <w:r w:rsidR="00870C68" w:rsidRPr="00AA75B0">
        <w:t>EN 81</w:t>
      </w:r>
      <w:r w:rsidR="006524BE" w:rsidRPr="00AA75B0">
        <w:t xml:space="preserve"> suite of standards</w:t>
      </w:r>
      <w:r w:rsidR="00870C68" w:rsidRPr="00AA75B0">
        <w:t xml:space="preserve"> is applied in the New Zealand regulatory environment, including how earthquake loadings should be obtained.</w:t>
      </w:r>
    </w:p>
    <w:p w14:paraId="0E3FC49E" w14:textId="0D858B5A" w:rsidR="004F3905" w:rsidRPr="00AA75B0" w:rsidRDefault="00EB6C33" w:rsidP="00666E06">
      <w:r w:rsidRPr="00AA75B0">
        <w:t xml:space="preserve">The design of lift rails and their supporting structures can be deflection controlled in some cases. </w:t>
      </w:r>
      <w:r w:rsidR="004F3905" w:rsidRPr="00AA75B0">
        <w:t xml:space="preserve">For </w:t>
      </w:r>
      <w:r w:rsidR="006524BE" w:rsidRPr="00AA75B0">
        <w:t>deflection-controlled</w:t>
      </w:r>
      <w:r w:rsidR="004F3905" w:rsidRPr="00AA75B0">
        <w:t xml:space="preserve"> elements</w:t>
      </w:r>
      <w:r w:rsidR="006A6873" w:rsidRPr="00AA75B0">
        <w:t xml:space="preserve"> where </w:t>
      </w:r>
      <w:r w:rsidR="001E7914" w:rsidRPr="00AA75B0">
        <w:t>earthquake</w:t>
      </w:r>
      <w:r w:rsidR="006A6873" w:rsidRPr="00AA75B0">
        <w:t xml:space="preserve"> actions are based on Parts and </w:t>
      </w:r>
      <w:r w:rsidR="006F383E" w:rsidRPr="00AA75B0">
        <w:t>Components loadings and assume ductility, the calculated deflections are the elastic component</w:t>
      </w:r>
      <w:r w:rsidR="006524BE" w:rsidRPr="00AA75B0">
        <w:t xml:space="preserve"> only. They</w:t>
      </w:r>
      <w:r w:rsidR="006F383E" w:rsidRPr="00AA75B0">
        <w:t xml:space="preserve"> are required to be scaled by</w:t>
      </w:r>
      <w:r w:rsidR="00BD784A" w:rsidRPr="00AA75B0">
        <w:t xml:space="preserve"> the design ductility to obtain the total deflections for comparison against the limits given in the above standards.</w:t>
      </w:r>
    </w:p>
    <w:p w14:paraId="206A9FAB" w14:textId="51EE8A38" w:rsidR="00491655" w:rsidRPr="00AA75B0" w:rsidRDefault="00305E2E" w:rsidP="0036094C">
      <w:pPr>
        <w:pStyle w:val="Section3heading3"/>
      </w:pPr>
      <w:r w:rsidRPr="00AA75B0">
        <w:t>Other Design Considerations</w:t>
      </w:r>
    </w:p>
    <w:p w14:paraId="18E9FC2E" w14:textId="1BC5D880" w:rsidR="005C5A0C" w:rsidRPr="0036094C" w:rsidRDefault="005C5A0C" w:rsidP="00D56CAE">
      <w:pPr>
        <w:pStyle w:val="BodyHeading"/>
        <w:rPr>
          <w:color w:val="003399"/>
        </w:rPr>
      </w:pPr>
      <w:r w:rsidRPr="0036094C">
        <w:rPr>
          <w:color w:val="003399"/>
        </w:rPr>
        <w:t xml:space="preserve">Coordination </w:t>
      </w:r>
      <w:r w:rsidR="002E322B" w:rsidRPr="0036094C">
        <w:rPr>
          <w:color w:val="003399"/>
        </w:rPr>
        <w:t>between Structural Engineer and Lift Supplier</w:t>
      </w:r>
    </w:p>
    <w:p w14:paraId="51442DFB" w14:textId="03F0CCC6" w:rsidR="002E322B" w:rsidRPr="00513B38" w:rsidRDefault="002E322B" w:rsidP="00666E06">
      <w:r w:rsidRPr="00513B38">
        <w:t>The following items a</w:t>
      </w:r>
      <w:r w:rsidR="006F0035" w:rsidRPr="00513B38">
        <w:t xml:space="preserve">re a minimum of those that require direct communication </w:t>
      </w:r>
      <w:r w:rsidR="00AF1EB4" w:rsidRPr="00513B38">
        <w:t xml:space="preserve">and record of resolution </w:t>
      </w:r>
      <w:r w:rsidR="00625C95" w:rsidRPr="00513B38">
        <w:t xml:space="preserve">between the Structural Engineer and lift supplier </w:t>
      </w:r>
      <w:r w:rsidR="00A7075F" w:rsidRPr="00513B38">
        <w:t>(</w:t>
      </w:r>
      <w:r w:rsidR="00625C95" w:rsidRPr="00513B38">
        <w:t>with</w:t>
      </w:r>
      <w:r w:rsidR="00AF1EB4" w:rsidRPr="00513B38">
        <w:t xml:space="preserve"> reference to the Vertical Transportation specification and</w:t>
      </w:r>
      <w:r w:rsidR="00625C95" w:rsidRPr="00513B38">
        <w:t xml:space="preserve"> input from </w:t>
      </w:r>
      <w:r w:rsidR="00AF1EB4" w:rsidRPr="00513B38">
        <w:t>the project’s v</w:t>
      </w:r>
      <w:r w:rsidR="00625C95" w:rsidRPr="00513B38">
        <w:t xml:space="preserve">ertical </w:t>
      </w:r>
      <w:r w:rsidR="00AF1EB4" w:rsidRPr="00513B38">
        <w:t>t</w:t>
      </w:r>
      <w:r w:rsidR="00625C95" w:rsidRPr="00513B38">
        <w:t>ransportation engineers as appropriate</w:t>
      </w:r>
      <w:r w:rsidR="00A7075F" w:rsidRPr="00513B38">
        <w:t>)</w:t>
      </w:r>
      <w:r w:rsidR="00625C95" w:rsidRPr="00513B38">
        <w:t>.</w:t>
      </w:r>
    </w:p>
    <w:p w14:paraId="62FCFF04" w14:textId="174D2E57" w:rsidR="00AF1EB4" w:rsidRPr="00CB424E" w:rsidRDefault="003D18BA" w:rsidP="00666E06">
      <w:pPr>
        <w:rPr>
          <w:b/>
          <w:bCs/>
          <w:color w:val="003399"/>
        </w:rPr>
      </w:pPr>
      <w:r w:rsidRPr="00CB424E">
        <w:rPr>
          <w:b/>
          <w:bCs/>
          <w:color w:val="003399"/>
        </w:rPr>
        <w:t>Designing Structure Supporting Lift Installations</w:t>
      </w:r>
    </w:p>
    <w:p w14:paraId="70CCBCD5" w14:textId="69124E4F" w:rsidR="002F0565" w:rsidRPr="00513B38" w:rsidRDefault="00960A7F" w:rsidP="004D55F1">
      <w:pPr>
        <w:pStyle w:val="ListParagraph"/>
        <w:numPr>
          <w:ilvl w:val="0"/>
          <w:numId w:val="72"/>
        </w:numPr>
      </w:pPr>
      <w:r w:rsidRPr="00513B38">
        <w:t xml:space="preserve">Confirm </w:t>
      </w:r>
      <w:r w:rsidR="00D72312" w:rsidRPr="00513B38">
        <w:t xml:space="preserve">the </w:t>
      </w:r>
      <w:r w:rsidRPr="00513B38">
        <w:t>compliance pathway (NZS 4332 or EN 81). EN 81 is preferred.</w:t>
      </w:r>
    </w:p>
    <w:p w14:paraId="4131DBD8" w14:textId="308ECACE" w:rsidR="00766CFF" w:rsidRPr="00513B38" w:rsidRDefault="00766CFF" w:rsidP="004D55F1">
      <w:pPr>
        <w:pStyle w:val="ListParagraph"/>
        <w:numPr>
          <w:ilvl w:val="0"/>
          <w:numId w:val="72"/>
        </w:numPr>
      </w:pPr>
      <w:r w:rsidRPr="00513B38">
        <w:t xml:space="preserve">Confirm the lift supplier has clarity on </w:t>
      </w:r>
      <w:r w:rsidR="00A01447" w:rsidRPr="00513B38">
        <w:t>SLS2 and DCLS requirements which should be contained in the vertical transportation specification.</w:t>
      </w:r>
    </w:p>
    <w:p w14:paraId="69766FCD" w14:textId="71F2BDDF" w:rsidR="00960A7F" w:rsidRPr="00513B38" w:rsidRDefault="00177148" w:rsidP="004D55F1">
      <w:pPr>
        <w:pStyle w:val="ListParagraph"/>
        <w:numPr>
          <w:ilvl w:val="0"/>
          <w:numId w:val="72"/>
        </w:numPr>
      </w:pPr>
      <w:r w:rsidRPr="00513B38">
        <w:t>Obtain car and counterweight</w:t>
      </w:r>
      <w:r w:rsidR="00367EDB" w:rsidRPr="00513B38">
        <w:t xml:space="preserve"> rail seismic loads from lift supplier, as well as other normal/safety gear operation loads (lifting beam Safe Working Loads, hitch/motor beams if needed, machine room loads, dynamic rail/pit loads, and door loads).</w:t>
      </w:r>
      <w:r w:rsidR="009E013F" w:rsidRPr="00513B38">
        <w:t xml:space="preserve"> Confirm any requirements for concurrent application of loads.</w:t>
      </w:r>
    </w:p>
    <w:p w14:paraId="56BAD96D" w14:textId="5735F253" w:rsidR="000F6DC9" w:rsidRPr="00513B38" w:rsidRDefault="000F6DC9" w:rsidP="004D55F1">
      <w:pPr>
        <w:pStyle w:val="ListParagraph"/>
        <w:numPr>
          <w:ilvl w:val="0"/>
          <w:numId w:val="72"/>
        </w:numPr>
      </w:pPr>
      <w:r w:rsidRPr="00513B38">
        <w:t>Confirm any suspended lift pits with occupied spaces under</w:t>
      </w:r>
      <w:r w:rsidR="00287A91" w:rsidRPr="00513B38">
        <w:t xml:space="preserve"> are reflected in the lift </w:t>
      </w:r>
      <w:r w:rsidR="006B73B5" w:rsidRPr="00513B38">
        <w:t>supplier’s</w:t>
      </w:r>
      <w:r w:rsidR="00287A91" w:rsidRPr="00513B38">
        <w:t xml:space="preserve"> documentation and indicated on the shop drawings (not </w:t>
      </w:r>
      <w:r w:rsidR="006B73B5" w:rsidRPr="00513B38">
        <w:t>‘</w:t>
      </w:r>
      <w:r w:rsidR="00287A91" w:rsidRPr="00513B38">
        <w:t>solid earth</w:t>
      </w:r>
      <w:r w:rsidR="006B73B5" w:rsidRPr="00513B38">
        <w:t>’</w:t>
      </w:r>
      <w:r w:rsidR="00287A91" w:rsidRPr="00513B38">
        <w:t xml:space="preserve"> unde</w:t>
      </w:r>
      <w:r w:rsidR="006B73B5" w:rsidRPr="00513B38">
        <w:t>r</w:t>
      </w:r>
      <w:r w:rsidR="00287A91" w:rsidRPr="00513B38">
        <w:t xml:space="preserve">). This </w:t>
      </w:r>
      <w:r w:rsidR="006B73B5" w:rsidRPr="00513B38">
        <w:t>can affect the required safety requirements for the lift installation (and could require higher pit loads for counterweight safety gear, or other requirements).</w:t>
      </w:r>
    </w:p>
    <w:p w14:paraId="24B933A2" w14:textId="19D76859" w:rsidR="00FB3A1D" w:rsidRPr="00513B38" w:rsidRDefault="00FB3A1D" w:rsidP="004D55F1">
      <w:pPr>
        <w:pStyle w:val="ListParagraph"/>
        <w:numPr>
          <w:ilvl w:val="0"/>
          <w:numId w:val="72"/>
        </w:numPr>
      </w:pPr>
      <w:r w:rsidRPr="00513B38">
        <w:lastRenderedPageBreak/>
        <w:t>Confirm</w:t>
      </w:r>
      <w:r w:rsidR="00253EBE" w:rsidRPr="00513B38">
        <w:t xml:space="preserve"> the</w:t>
      </w:r>
      <w:r w:rsidRPr="00513B38">
        <w:t xml:space="preserve"> design standard used</w:t>
      </w:r>
      <w:r w:rsidR="00544990" w:rsidRPr="00513B38">
        <w:t xml:space="preserve"> for Earthquake Actions</w:t>
      </w:r>
      <w:r w:rsidRPr="00513B38">
        <w:t xml:space="preserve"> and what part ductility factors have been used</w:t>
      </w:r>
      <w:r w:rsidR="00D72312" w:rsidRPr="00513B38">
        <w:t xml:space="preserve"> for deriving seismic actions</w:t>
      </w:r>
      <w:r w:rsidR="002D56DF" w:rsidRPr="00513B38">
        <w:t>, so any necessary adjustments can be made by the Structural Engineer in the design of structure supporting the lift installation.</w:t>
      </w:r>
    </w:p>
    <w:p w14:paraId="1AA6F0C7" w14:textId="03C9F965" w:rsidR="006F08AB" w:rsidRPr="00513B38" w:rsidRDefault="006F08AB" w:rsidP="004D55F1">
      <w:pPr>
        <w:pStyle w:val="ListParagraph"/>
        <w:numPr>
          <w:ilvl w:val="0"/>
          <w:numId w:val="72"/>
        </w:numPr>
      </w:pPr>
      <w:r w:rsidRPr="00513B38">
        <w:t>Confirm deflection criteria used</w:t>
      </w:r>
      <w:r w:rsidR="001D0920" w:rsidRPr="00513B38">
        <w:t xml:space="preserve"> (and provide clarity on the required deflection scaling where ductility has been assumed</w:t>
      </w:r>
      <w:r w:rsidR="00D72312" w:rsidRPr="00513B38">
        <w:t xml:space="preserve">, as noted in Section </w:t>
      </w:r>
      <w:r w:rsidR="00D72312" w:rsidRPr="00513B38">
        <w:fldChar w:fldCharType="begin"/>
      </w:r>
      <w:r w:rsidR="00D72312" w:rsidRPr="00513B38">
        <w:instrText xml:space="preserve"> REF _Ref166393454 \r \h </w:instrText>
      </w:r>
      <w:r w:rsidR="00513B38">
        <w:instrText xml:space="preserve"> \* MERGEFORMAT </w:instrText>
      </w:r>
      <w:r w:rsidR="00D72312" w:rsidRPr="00513B38">
        <w:fldChar w:fldCharType="separate"/>
      </w:r>
      <w:r w:rsidR="000761C1">
        <w:t>C4.9.1</w:t>
      </w:r>
      <w:r w:rsidR="00D72312" w:rsidRPr="00513B38">
        <w:fldChar w:fldCharType="end"/>
      </w:r>
      <w:r w:rsidR="001D0920" w:rsidRPr="00513B38">
        <w:t>)</w:t>
      </w:r>
      <w:r w:rsidRPr="00513B38">
        <w:t>.</w:t>
      </w:r>
      <w:r w:rsidR="007C2931" w:rsidRPr="00513B38">
        <w:t xml:space="preserve"> EN 81 stipulates combined rail and supporting structure limits, which depend on the configuration</w:t>
      </w:r>
      <w:r w:rsidR="007C640E" w:rsidRPr="00513B38">
        <w:t xml:space="preserve"> (presence of car/counterweight safety gear, inclusion of seismic retainers)</w:t>
      </w:r>
      <w:r w:rsidR="007C2931" w:rsidRPr="00513B38">
        <w:t>.</w:t>
      </w:r>
    </w:p>
    <w:p w14:paraId="33D9DE84" w14:textId="7E84B698" w:rsidR="001D5E57" w:rsidRPr="00513B38" w:rsidRDefault="00452ACA"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When following the EN 81 pathway (preferred) l</w:t>
      </w:r>
      <w:r w:rsidR="00481CB2" w:rsidRPr="00513B38">
        <w:t xml:space="preserve">ift guide rail deflection limits under earthquake conditions are specified in EN 81-77, which references EN 81-20 (EN 81-20 supersedes </w:t>
      </w:r>
      <w:r w:rsidR="00836E13" w:rsidRPr="00513B38">
        <w:t xml:space="preserve">EN </w:t>
      </w:r>
      <w:r w:rsidR="00481CB2" w:rsidRPr="00513B38">
        <w:t xml:space="preserve">81-1 but the values are the same). They apply to combined deflections of the guide rails </w:t>
      </w:r>
      <w:r w:rsidR="00481CB2" w:rsidRPr="00513B38">
        <w:rPr>
          <w:u w:val="single"/>
        </w:rPr>
        <w:t>and</w:t>
      </w:r>
      <w:r w:rsidR="00481CB2" w:rsidRPr="00513B38">
        <w:t xml:space="preserve"> supporting structure</w:t>
      </w:r>
      <w:r w:rsidR="00057474">
        <w:t xml:space="preserve"> </w:t>
      </w:r>
      <w:r w:rsidR="00E57288" w:rsidRPr="00513B38">
        <w:t>and are applied at ULS</w:t>
      </w:r>
      <w:r w:rsidR="00481CB2" w:rsidRPr="00513B38">
        <w:t xml:space="preserve">. </w:t>
      </w:r>
      <w:r w:rsidRPr="00513B38">
        <w:t>The basic value is 5mm for cars</w:t>
      </w:r>
      <w:r w:rsidR="00954882" w:rsidRPr="00513B38">
        <w:t xml:space="preserve"> or </w:t>
      </w:r>
      <w:r w:rsidRPr="00513B38">
        <w:t>counterweights</w:t>
      </w:r>
      <w:r w:rsidR="001502E9" w:rsidRPr="00513B38">
        <w:t xml:space="preserve"> with safety gear, and 10mm for those without.</w:t>
      </w:r>
      <w:r w:rsidR="001D5E57" w:rsidRPr="00513B38">
        <w:t xml:space="preserve"> For earthquake conditions, it is usually interpreted as applying to relative movement between opposing rails that could cause the rails to separate and reduce rolling gear seating.</w:t>
      </w:r>
    </w:p>
    <w:p w14:paraId="41B7B30F" w14:textId="3341B727" w:rsidR="00DA1601" w:rsidRPr="00513B38" w:rsidRDefault="001502E9"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 xml:space="preserve">These values </w:t>
      </w:r>
      <w:r w:rsidR="001D5E57" w:rsidRPr="00513B38">
        <w:t>can</w:t>
      </w:r>
      <w:r w:rsidRPr="00513B38">
        <w:t xml:space="preserve"> be difficult to meet for combined rail/support structure deflections in steel framed lift shafts</w:t>
      </w:r>
      <w:r w:rsidR="00544990" w:rsidRPr="00513B38">
        <w:t xml:space="preserve"> </w:t>
      </w:r>
      <w:r w:rsidR="00954882" w:rsidRPr="00513B38">
        <w:t>(</w:t>
      </w:r>
      <w:r w:rsidR="00544990" w:rsidRPr="00513B38">
        <w:t>depending on the applicable Parts and Components loadings</w:t>
      </w:r>
      <w:r w:rsidR="00954882" w:rsidRPr="00513B38">
        <w:t>)</w:t>
      </w:r>
      <w:r w:rsidR="00544990" w:rsidRPr="00513B38">
        <w:t>.</w:t>
      </w:r>
    </w:p>
    <w:p w14:paraId="1EAEAE0D" w14:textId="2B8672ED" w:rsidR="00DA1601" w:rsidRPr="00513B38" w:rsidRDefault="00A72CDF"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Therefore, f</w:t>
      </w:r>
      <w:r w:rsidR="00EC2F0F" w:rsidRPr="00513B38">
        <w:t>or the ULS, i</w:t>
      </w:r>
      <w:r w:rsidR="00DA1601" w:rsidRPr="00513B38">
        <w:t xml:space="preserve">t is recommended designers consider justifying their increase by </w:t>
      </w:r>
      <w:r w:rsidR="001D5E57" w:rsidRPr="00513B38">
        <w:t>specifying</w:t>
      </w:r>
      <w:r w:rsidR="00DA1601" w:rsidRPr="00513B38">
        <w:t xml:space="preserve"> </w:t>
      </w:r>
      <w:r w:rsidR="009938D1" w:rsidRPr="00513B38">
        <w:t xml:space="preserve">EN 81-77 </w:t>
      </w:r>
      <w:r w:rsidR="00DA1601" w:rsidRPr="00513B38">
        <w:t>seismic retainers</w:t>
      </w:r>
      <w:r w:rsidR="00096F52" w:rsidRPr="00513B38">
        <w:t xml:space="preserve"> to rolling gear on cars and/or counterweights. S</w:t>
      </w:r>
      <w:r w:rsidR="00DA1601" w:rsidRPr="00513B38">
        <w:t>tructural engineers and vertical transportation engineers should coordinat</w:t>
      </w:r>
      <w:r w:rsidR="000F63A3" w:rsidRPr="00513B38">
        <w:t>e</w:t>
      </w:r>
      <w:r w:rsidR="00DA1601" w:rsidRPr="00513B38">
        <w:t xml:space="preserve"> the inclusion of this requirement in lift specifications.</w:t>
      </w:r>
      <w:r w:rsidR="00C94C91" w:rsidRPr="00513B38">
        <w:t xml:space="preserve"> </w:t>
      </w:r>
      <w:r w:rsidR="00355069" w:rsidRPr="00513B38">
        <w:t>Higher deflections are permitted subject to the geometry of retainers (</w:t>
      </w:r>
      <w:r w:rsidR="00C94C91" w:rsidRPr="00513B38">
        <w:t xml:space="preserve">up to a maximum </w:t>
      </w:r>
      <w:r w:rsidR="000E3DD2" w:rsidRPr="00513B38">
        <w:t xml:space="preserve">combined deflection </w:t>
      </w:r>
      <w:r w:rsidR="00C94C91" w:rsidRPr="00513B38">
        <w:t>of 40mm</w:t>
      </w:r>
      <w:r w:rsidR="00355069" w:rsidRPr="00513B38">
        <w:t>)</w:t>
      </w:r>
      <w:r w:rsidR="000E3DD2" w:rsidRPr="00513B38">
        <w:t>.</w:t>
      </w:r>
      <w:r w:rsidR="00551A46" w:rsidRPr="00513B38">
        <w:t xml:space="preserve"> </w:t>
      </w:r>
      <w:r w:rsidR="004A4187" w:rsidRPr="00513B38">
        <w:t>Reliance on retainers is not recommended at the DCLS or SLS2 limit states.</w:t>
      </w:r>
    </w:p>
    <w:p w14:paraId="47EB5C03" w14:textId="6081F4D0" w:rsidR="001D5E57" w:rsidRPr="00513B38" w:rsidRDefault="001D5E57"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T</w:t>
      </w:r>
      <w:r w:rsidR="002511DC" w:rsidRPr="00513B38">
        <w:t>he previous standard NZS 4332 stipulated a 6mm deflection limit for structure supporting lift installations</w:t>
      </w:r>
      <w:r w:rsidR="00B44CDE" w:rsidRPr="00513B38">
        <w:t xml:space="preserve"> </w:t>
      </w:r>
      <w:r w:rsidR="007869DA" w:rsidRPr="00513B38">
        <w:t>only</w:t>
      </w:r>
      <w:r w:rsidR="009315DD" w:rsidRPr="00513B38">
        <w:t xml:space="preserve"> (i.e. not including rail deflection). </w:t>
      </w:r>
      <w:r w:rsidR="00B44CDE" w:rsidRPr="00513B38">
        <w:t xml:space="preserve">It could be practical to continue to apply this </w:t>
      </w:r>
      <w:r w:rsidR="009315DD" w:rsidRPr="00513B38">
        <w:t xml:space="preserve">6mm </w:t>
      </w:r>
      <w:r w:rsidR="00140537" w:rsidRPr="00513B38">
        <w:t>value as a preliminary design allowance</w:t>
      </w:r>
      <w:r w:rsidR="009315DD" w:rsidRPr="00513B38">
        <w:t xml:space="preserve"> for supporting structure only </w:t>
      </w:r>
      <w:r w:rsidR="00132C0D" w:rsidRPr="00513B38">
        <w:t xml:space="preserve">(to more easily separate design responsibilities) </w:t>
      </w:r>
      <w:r w:rsidR="009315DD" w:rsidRPr="00513B38">
        <w:t>and advise the lift supplier accordingly</w:t>
      </w:r>
      <w:r w:rsidR="00140537" w:rsidRPr="00513B38">
        <w:t>.</w:t>
      </w:r>
      <w:r w:rsidR="000541B5" w:rsidRPr="00513B38">
        <w:t xml:space="preserve"> However </w:t>
      </w:r>
      <w:r w:rsidR="000E2D92" w:rsidRPr="00513B38">
        <w:t xml:space="preserve">as noted above, </w:t>
      </w:r>
      <w:r w:rsidR="000541B5" w:rsidRPr="00513B38">
        <w:t>larger total combined limits are available</w:t>
      </w:r>
      <w:r w:rsidR="00FC4524" w:rsidRPr="00513B38">
        <w:t xml:space="preserve"> under EN 81</w:t>
      </w:r>
      <w:r w:rsidR="000541B5" w:rsidRPr="00513B38">
        <w:t xml:space="preserve"> (especially where seismic retainers are included on rolling gear)</w:t>
      </w:r>
      <w:r w:rsidR="005D2D09" w:rsidRPr="00513B38">
        <w:t xml:space="preserve"> and this can be taken advantage of with appropriate lift supplier coordination</w:t>
      </w:r>
      <w:r w:rsidR="009656C0" w:rsidRPr="00513B38">
        <w:t>.</w:t>
      </w:r>
    </w:p>
    <w:p w14:paraId="10F2554A" w14:textId="0D43B0F1" w:rsidR="006B73B5" w:rsidRPr="00F01B3E" w:rsidRDefault="009656A2" w:rsidP="00D56CAE">
      <w:pPr>
        <w:pStyle w:val="BodyHeading"/>
        <w:rPr>
          <w:color w:val="003399"/>
        </w:rPr>
      </w:pPr>
      <w:r w:rsidRPr="00F01B3E">
        <w:rPr>
          <w:color w:val="003399"/>
        </w:rPr>
        <w:t xml:space="preserve">Using supplied lift installation loads for structural </w:t>
      </w:r>
      <w:r w:rsidR="00136017" w:rsidRPr="00F01B3E">
        <w:rPr>
          <w:color w:val="003399"/>
        </w:rPr>
        <w:t xml:space="preserve">limit state </w:t>
      </w:r>
      <w:r w:rsidRPr="00F01B3E">
        <w:rPr>
          <w:color w:val="003399"/>
        </w:rPr>
        <w:t>design</w:t>
      </w:r>
    </w:p>
    <w:p w14:paraId="4A483B80" w14:textId="7F8285B3" w:rsidR="00874DF2" w:rsidRPr="00513B38" w:rsidRDefault="00874DF2" w:rsidP="00666E06">
      <w:r w:rsidRPr="00513B38">
        <w:t>Generally, the following requirements will apply</w:t>
      </w:r>
      <w:r w:rsidR="00B63087" w:rsidRPr="00513B38">
        <w:t xml:space="preserve"> when incorporating loading requirements from the lift installation supplier with the supporting structure design</w:t>
      </w:r>
      <w:r w:rsidRPr="00513B38">
        <w:t>. Consult with the lift supplier if not clear.</w:t>
      </w:r>
    </w:p>
    <w:p w14:paraId="339D1783" w14:textId="57EEEA24" w:rsidR="009656A2" w:rsidRPr="00513B38" w:rsidRDefault="00874DF2" w:rsidP="004D55F1">
      <w:pPr>
        <w:pStyle w:val="ListParagraph"/>
        <w:numPr>
          <w:ilvl w:val="0"/>
          <w:numId w:val="73"/>
        </w:numPr>
      </w:pPr>
      <w:r w:rsidRPr="00513B38">
        <w:rPr>
          <w:b/>
          <w:bCs/>
        </w:rPr>
        <w:t>Lifting Beams</w:t>
      </w:r>
      <w:r w:rsidR="00C70F05" w:rsidRPr="00513B38">
        <w:rPr>
          <w:b/>
          <w:bCs/>
        </w:rPr>
        <w:t>, and hitch</w:t>
      </w:r>
      <w:r w:rsidR="00005DF3" w:rsidRPr="00513B38">
        <w:rPr>
          <w:b/>
          <w:bCs/>
        </w:rPr>
        <w:t>/motor</w:t>
      </w:r>
      <w:r w:rsidR="00C70F05" w:rsidRPr="00513B38">
        <w:rPr>
          <w:b/>
          <w:bCs/>
        </w:rPr>
        <w:t xml:space="preserve"> beams</w:t>
      </w:r>
      <w:r w:rsidRPr="00513B38">
        <w:rPr>
          <w:b/>
          <w:bCs/>
        </w:rPr>
        <w:t>:</w:t>
      </w:r>
      <w:r w:rsidRPr="00513B38">
        <w:t xml:space="preserve"> </w:t>
      </w:r>
      <w:r w:rsidR="004D720E" w:rsidRPr="00513B38">
        <w:t>Requirements are u</w:t>
      </w:r>
      <w:r w:rsidR="00C70F05" w:rsidRPr="00513B38">
        <w:t xml:space="preserve">sually </w:t>
      </w:r>
      <w:r w:rsidR="00FF0EDE" w:rsidRPr="00513B38">
        <w:t>presented</w:t>
      </w:r>
      <w:r w:rsidR="00C70F05" w:rsidRPr="00513B38">
        <w:t xml:space="preserve"> as a required Safe Working Load (SWL). Treat lifting beam SWL as live load Q, and apply the normal 1.5 load factor as part of a limit state design in addition to the NZS 1170.</w:t>
      </w:r>
      <w:r w:rsidR="00205EDB" w:rsidRPr="00513B38">
        <w:t>1</w:t>
      </w:r>
      <w:r w:rsidR="00C70F05" w:rsidRPr="00513B38">
        <w:t xml:space="preserve">:2002 </w:t>
      </w:r>
      <w:r w:rsidR="00163CBB" w:rsidRPr="00513B38">
        <w:t xml:space="preserve">Table 3.4 </w:t>
      </w:r>
      <w:r w:rsidR="00C70F05" w:rsidRPr="00513B38">
        <w:t>dynamic factor of 1.25 (ULS Design Action = 1.5 x 1.25 x SWL).</w:t>
      </w:r>
      <w:r w:rsidR="00FF0EDE" w:rsidRPr="00513B38">
        <w:t xml:space="preserve"> </w:t>
      </w:r>
      <w:r w:rsidR="00C70F05" w:rsidRPr="00513B38">
        <w:t>Hitch</w:t>
      </w:r>
      <w:r w:rsidR="00005DF3" w:rsidRPr="00513B38">
        <w:t>/motor</w:t>
      </w:r>
      <w:r w:rsidR="00C70F05" w:rsidRPr="00513B38">
        <w:t xml:space="preserve"> beams </w:t>
      </w:r>
      <w:r w:rsidR="00005DF3" w:rsidRPr="00513B38">
        <w:t xml:space="preserve">usually include dynamic factors from the lift standards, so only need the 1.5 load factor—but this </w:t>
      </w:r>
      <w:r w:rsidR="00B152F1" w:rsidRPr="00513B38">
        <w:t xml:space="preserve">should be queried to lift suppliers </w:t>
      </w:r>
      <w:r w:rsidR="00005DF3" w:rsidRPr="00513B38">
        <w:t>if</w:t>
      </w:r>
      <w:r w:rsidR="00B152F1" w:rsidRPr="00513B38">
        <w:t xml:space="preserve"> it is</w:t>
      </w:r>
      <w:r w:rsidR="00005DF3" w:rsidRPr="00513B38">
        <w:t xml:space="preserve"> unclear.</w:t>
      </w:r>
    </w:p>
    <w:p w14:paraId="50C0F3F5" w14:textId="13E59555" w:rsidR="00453AFC" w:rsidRPr="00513B38" w:rsidRDefault="00005DF3" w:rsidP="004D55F1">
      <w:pPr>
        <w:pStyle w:val="ListParagraph"/>
        <w:numPr>
          <w:ilvl w:val="0"/>
          <w:numId w:val="73"/>
        </w:numPr>
      </w:pPr>
      <w:r w:rsidRPr="00513B38">
        <w:rPr>
          <w:b/>
          <w:bCs/>
        </w:rPr>
        <w:lastRenderedPageBreak/>
        <w:t xml:space="preserve">Lift </w:t>
      </w:r>
      <w:r w:rsidR="00453AFC" w:rsidRPr="00513B38">
        <w:rPr>
          <w:b/>
          <w:bCs/>
        </w:rPr>
        <w:t xml:space="preserve">pit loads: </w:t>
      </w:r>
      <w:r w:rsidR="00453AFC" w:rsidRPr="00513B38">
        <w:t>Treat all loads as live load Q and apply the normal 1.5 load factor for strength design.</w:t>
      </w:r>
    </w:p>
    <w:p w14:paraId="51118C01" w14:textId="15584594" w:rsidR="009E50A6" w:rsidRPr="00513B38" w:rsidRDefault="00C71E65"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 xml:space="preserve">The supplied lift pit loads (in tabulated summarised form or on lift shop drawings) should already contain </w:t>
      </w:r>
      <w:r w:rsidR="005C6F8D" w:rsidRPr="00513B38">
        <w:t>the impact/dy</w:t>
      </w:r>
      <w:r w:rsidR="008B481F" w:rsidRPr="00513B38">
        <w:t>n</w:t>
      </w:r>
      <w:r w:rsidR="005C6F8D" w:rsidRPr="00513B38">
        <w:t>amic fa</w:t>
      </w:r>
      <w:r w:rsidR="008B481F" w:rsidRPr="00513B38">
        <w:t>c</w:t>
      </w:r>
      <w:r w:rsidR="005C6F8D" w:rsidRPr="00513B38">
        <w:t>tors which are specified in the lift standard. As these are being combined with other gravity/live loads in the structure, the</w:t>
      </w:r>
      <w:r w:rsidR="009410D5" w:rsidRPr="00513B38">
        <w:t xml:space="preserve"> supplied loads under normal operations/safety gear operation</w:t>
      </w:r>
      <w:r w:rsidR="005C6F8D" w:rsidRPr="00513B38">
        <w:t xml:space="preserve"> are treated as an additional </w:t>
      </w:r>
      <w:r w:rsidR="009410D5" w:rsidRPr="00513B38">
        <w:t>imposed action including impact in accordance with AS/NZS 1170.</w:t>
      </w:r>
      <w:r w:rsidR="00DC0E49" w:rsidRPr="00513B38">
        <w:t>0</w:t>
      </w:r>
      <w:r w:rsidR="009410D5" w:rsidRPr="00513B38">
        <w:t>:2002</w:t>
      </w:r>
      <w:r w:rsidR="00B83E45" w:rsidRPr="00513B38">
        <w:t xml:space="preserve"> Cl. 4.2.2</w:t>
      </w:r>
      <w:r w:rsidR="009410D5" w:rsidRPr="00513B38">
        <w:t>.</w:t>
      </w:r>
      <w:r w:rsidR="00B83E45" w:rsidRPr="00513B38">
        <w:t xml:space="preserve"> </w:t>
      </w:r>
      <w:r w:rsidR="00E151AE" w:rsidRPr="00513B38">
        <w:t xml:space="preserve">This requires taking Q as [Q + Impact]. </w:t>
      </w:r>
      <w:r w:rsidR="00DC0E49" w:rsidRPr="00513B38">
        <w:t>Therefore,</w:t>
      </w:r>
      <w:r w:rsidR="00E151AE" w:rsidRPr="00513B38">
        <w:t xml:space="preserve"> the required design load combination for strength</w:t>
      </w:r>
      <w:r w:rsidR="009A3A2A" w:rsidRPr="00513B38">
        <w:t xml:space="preserve"> for lift pit design is:</w:t>
      </w:r>
    </w:p>
    <w:p w14:paraId="2285C7D7" w14:textId="296CE830" w:rsidR="009A3A2A" w:rsidRPr="00513B38" w:rsidRDefault="009A3A2A"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jc w:val="center"/>
      </w:pPr>
      <w:r w:rsidRPr="00513B38">
        <w:t>E</w:t>
      </w:r>
      <w:r w:rsidRPr="00513B38">
        <w:rPr>
          <w:vertAlign w:val="subscript"/>
        </w:rPr>
        <w:t>d</w:t>
      </w:r>
      <w:r w:rsidRPr="00513B38">
        <w:t xml:space="preserve"> = [1.2G + 1.5(</w:t>
      </w:r>
      <w:r w:rsidR="00DC0E49" w:rsidRPr="00513B38">
        <w:rPr>
          <w:rFonts w:ascii="Symbol" w:hAnsi="Symbol"/>
        </w:rPr>
        <w:t>y</w:t>
      </w:r>
      <w:r w:rsidRPr="00513B38">
        <w:rPr>
          <w:vertAlign w:val="subscript"/>
        </w:rPr>
        <w:t>c</w:t>
      </w:r>
      <w:r w:rsidRPr="00513B38">
        <w:t>Q</w:t>
      </w:r>
      <w:r w:rsidRPr="00513B38">
        <w:rPr>
          <w:vertAlign w:val="subscript"/>
        </w:rPr>
        <w:t>bldg</w:t>
      </w:r>
      <w:r w:rsidRPr="00513B38">
        <w:t xml:space="preserve"> + Q</w:t>
      </w:r>
      <w:r w:rsidRPr="00513B38">
        <w:rPr>
          <w:vertAlign w:val="subscript"/>
        </w:rPr>
        <w:t>lift</w:t>
      </w:r>
      <w:r w:rsidR="00DC0E49" w:rsidRPr="00513B38">
        <w:t>)]</w:t>
      </w:r>
    </w:p>
    <w:p w14:paraId="3B325927" w14:textId="3A7CBFE4" w:rsidR="008C5107" w:rsidRPr="00513B38" w:rsidRDefault="00F8288C"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 xml:space="preserve">Some information </w:t>
      </w:r>
      <w:r w:rsidR="009E013F" w:rsidRPr="00513B38">
        <w:t xml:space="preserve">by lift </w:t>
      </w:r>
      <w:r w:rsidR="006777C6" w:rsidRPr="00513B38">
        <w:t>manufacturers/suppliers</w:t>
      </w:r>
      <w:r w:rsidR="009E013F" w:rsidRPr="00513B38">
        <w:t xml:space="preserve"> </w:t>
      </w:r>
      <w:r w:rsidRPr="00513B38">
        <w:t xml:space="preserve">includes comments such as “loads are already factored”. This comment generally refers to the including of impact or dynamic </w:t>
      </w:r>
      <w:r w:rsidR="00766CFF" w:rsidRPr="00513B38">
        <w:t>factors and may not include awareness of the specific requirements of NZS 1170.0 and NZS 1170.1</w:t>
      </w:r>
      <w:r w:rsidR="003A73C2" w:rsidRPr="00513B38">
        <w:t xml:space="preserve"> for</w:t>
      </w:r>
      <w:r w:rsidR="009D505D" w:rsidRPr="00513B38">
        <w:t xml:space="preserve"> load and resistance factored structural design</w:t>
      </w:r>
      <w:r w:rsidR="00766CFF" w:rsidRPr="00513B38">
        <w:t xml:space="preserve">. Therefore, </w:t>
      </w:r>
      <w:r w:rsidRPr="00513B38">
        <w:t>the above combinations are still likely to appl</w:t>
      </w:r>
      <w:r w:rsidR="00766CFF" w:rsidRPr="00513B38">
        <w:t>y</w:t>
      </w:r>
      <w:r w:rsidR="006777C6" w:rsidRPr="00513B38">
        <w:t xml:space="preserve"> where this comment appears on manufacturer supplied shop drawings</w:t>
      </w:r>
      <w:r w:rsidR="009E013F" w:rsidRPr="00513B38">
        <w:t>.</w:t>
      </w:r>
    </w:p>
    <w:p w14:paraId="56C30474" w14:textId="2F36A11C" w:rsidR="00491655" w:rsidRPr="00F01B3E" w:rsidRDefault="00491655" w:rsidP="00D56CAE">
      <w:pPr>
        <w:pStyle w:val="BodyHeading"/>
        <w:rPr>
          <w:color w:val="003399"/>
        </w:rPr>
      </w:pPr>
      <w:r w:rsidRPr="00F01B3E">
        <w:rPr>
          <w:color w:val="003399"/>
        </w:rPr>
        <w:t xml:space="preserve">Functional </w:t>
      </w:r>
      <w:r w:rsidR="005A1EDE" w:rsidRPr="00F01B3E">
        <w:rPr>
          <w:color w:val="003399"/>
        </w:rPr>
        <w:t>c</w:t>
      </w:r>
      <w:r w:rsidRPr="00F01B3E">
        <w:rPr>
          <w:color w:val="003399"/>
        </w:rPr>
        <w:t xml:space="preserve">ontinuity of </w:t>
      </w:r>
      <w:r w:rsidR="005A1EDE" w:rsidRPr="00F01B3E">
        <w:rPr>
          <w:color w:val="003399"/>
        </w:rPr>
        <w:t>l</w:t>
      </w:r>
      <w:r w:rsidRPr="00F01B3E">
        <w:rPr>
          <w:color w:val="003399"/>
        </w:rPr>
        <w:t>ifts</w:t>
      </w:r>
      <w:r w:rsidR="005A1EDE" w:rsidRPr="00F01B3E">
        <w:rPr>
          <w:color w:val="003399"/>
        </w:rPr>
        <w:t xml:space="preserve"> following earthquake</w:t>
      </w:r>
    </w:p>
    <w:p w14:paraId="77BD1010" w14:textId="445DF156" w:rsidR="00D93205" w:rsidRPr="00513B38" w:rsidRDefault="00D93205" w:rsidP="00666E06">
      <w:r w:rsidRPr="00513B38">
        <w:t xml:space="preserve">The functional continuity requirements for lifts </w:t>
      </w:r>
      <w:r w:rsidR="005A1EDE" w:rsidRPr="00513B38">
        <w:t xml:space="preserve">(following earthquakes) </w:t>
      </w:r>
      <w:r w:rsidRPr="00513B38">
        <w:t>are relatively onerous, due to the critical role they play in many hospitals.</w:t>
      </w:r>
      <w:r w:rsidR="002F3E6C" w:rsidRPr="00513B38">
        <w:t xml:space="preserve"> </w:t>
      </w:r>
      <w:r w:rsidRPr="00513B38">
        <w:t>However, most lifts have a fail-safe system that trips the lift out-of-action should significant displacements occur. This is to ensure that lifts do not continue to travel in a scenario where guide rails may be damaged.</w:t>
      </w:r>
      <w:r w:rsidR="002F3E6C" w:rsidRPr="00513B38">
        <w:t xml:space="preserve"> </w:t>
      </w:r>
      <w:r w:rsidRPr="00513B38">
        <w:t>Lift systems that continue to operate reliably through and after earthquakes without tripping are not currently readily available.</w:t>
      </w:r>
    </w:p>
    <w:p w14:paraId="2B1E27DB" w14:textId="0B227DFD" w:rsidR="00D93205" w:rsidRPr="00513B38" w:rsidRDefault="00D93205" w:rsidP="00666E06">
      <w:r w:rsidRPr="00513B38">
        <w:t>It is therefore expected that hospitals will need to take an operational approach to provide lift functional continuity</w:t>
      </w:r>
      <w:r w:rsidR="00A43953">
        <w:t xml:space="preserve">. </w:t>
      </w:r>
      <w:r w:rsidRPr="00513B38">
        <w:t xml:space="preserve">This </w:t>
      </w:r>
      <w:r w:rsidR="000F71F2" w:rsidRPr="00513B38">
        <w:t>can</w:t>
      </w:r>
      <w:r w:rsidRPr="00513B38">
        <w:t xml:space="preserve"> be done by via a </w:t>
      </w:r>
      <w:r w:rsidR="002D65CC" w:rsidRPr="00513B38">
        <w:rPr>
          <w:i/>
          <w:iCs/>
        </w:rPr>
        <w:t>P</w:t>
      </w:r>
      <w:r w:rsidRPr="00513B38">
        <w:rPr>
          <w:i/>
          <w:iCs/>
        </w:rPr>
        <w:t xml:space="preserve">riority </w:t>
      </w:r>
      <w:r w:rsidR="002D65CC" w:rsidRPr="00513B38">
        <w:rPr>
          <w:i/>
          <w:iCs/>
        </w:rPr>
        <w:t>R</w:t>
      </w:r>
      <w:r w:rsidRPr="00513B38">
        <w:rPr>
          <w:i/>
          <w:iCs/>
        </w:rPr>
        <w:t xml:space="preserve">esponse </w:t>
      </w:r>
      <w:r w:rsidR="002D65CC" w:rsidRPr="00513B38">
        <w:rPr>
          <w:i/>
          <w:iCs/>
        </w:rPr>
        <w:t>A</w:t>
      </w:r>
      <w:r w:rsidRPr="00513B38">
        <w:rPr>
          <w:i/>
          <w:iCs/>
        </w:rPr>
        <w:t>greement</w:t>
      </w:r>
      <w:r w:rsidRPr="00513B38">
        <w:t xml:space="preserve"> (PRA) with the lift supplier. These PRAs should include: </w:t>
      </w:r>
    </w:p>
    <w:p w14:paraId="3EEBC1B8" w14:textId="6E83E151" w:rsidR="00D93205" w:rsidRPr="00513B38" w:rsidRDefault="00D93205" w:rsidP="004D55F1">
      <w:pPr>
        <w:pStyle w:val="ListParagraph"/>
        <w:numPr>
          <w:ilvl w:val="0"/>
          <w:numId w:val="40"/>
        </w:numPr>
      </w:pPr>
      <w:r w:rsidRPr="00513B38">
        <w:t xml:space="preserve">Rapidly respond to the hospital in case of earthquake (target timeframes should be within </w:t>
      </w:r>
      <w:r w:rsidR="001707A6" w:rsidRPr="00513B38">
        <w:t>an h</w:t>
      </w:r>
      <w:r w:rsidRPr="00513B38">
        <w:t>our, ideally sooner)</w:t>
      </w:r>
    </w:p>
    <w:p w14:paraId="75737C6B" w14:textId="77777777" w:rsidR="00D93205" w:rsidRPr="00513B38" w:rsidRDefault="00D93205" w:rsidP="004D55F1">
      <w:pPr>
        <w:pStyle w:val="ListParagraph"/>
        <w:numPr>
          <w:ilvl w:val="0"/>
          <w:numId w:val="40"/>
        </w:numPr>
      </w:pPr>
      <w:r w:rsidRPr="00513B38">
        <w:t>Visually inspect lifts and guide rails for damage.</w:t>
      </w:r>
    </w:p>
    <w:p w14:paraId="6A790722" w14:textId="77777777" w:rsidR="00D93205" w:rsidRPr="00513B38" w:rsidRDefault="00D93205" w:rsidP="004D55F1">
      <w:pPr>
        <w:pStyle w:val="ListParagraph"/>
        <w:numPr>
          <w:ilvl w:val="0"/>
          <w:numId w:val="40"/>
        </w:numPr>
      </w:pPr>
      <w:r w:rsidRPr="00513B38">
        <w:t>Reset the lifts for operational use.</w:t>
      </w:r>
    </w:p>
    <w:p w14:paraId="78A535E5" w14:textId="3D82A6B5" w:rsidR="008343A9" w:rsidRPr="00513B38" w:rsidRDefault="007D5C79"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t>Health NZ</w:t>
      </w:r>
      <w:r w:rsidR="00513B38">
        <w:t xml:space="preserve"> </w:t>
      </w:r>
      <w:r w:rsidR="00D93205" w:rsidRPr="00513B38">
        <w:t xml:space="preserve">currently has </w:t>
      </w:r>
      <w:r w:rsidR="009079BE" w:rsidRPr="00513B38">
        <w:rPr>
          <w:iCs/>
        </w:rPr>
        <w:t>P</w:t>
      </w:r>
      <w:r w:rsidR="00D93205" w:rsidRPr="00513B38">
        <w:rPr>
          <w:iCs/>
        </w:rPr>
        <w:t xml:space="preserve">riority </w:t>
      </w:r>
      <w:r w:rsidR="009079BE" w:rsidRPr="00513B38">
        <w:rPr>
          <w:iCs/>
        </w:rPr>
        <w:t>R</w:t>
      </w:r>
      <w:r w:rsidR="00D93205" w:rsidRPr="00513B38">
        <w:rPr>
          <w:iCs/>
        </w:rPr>
        <w:t xml:space="preserve">esponse </w:t>
      </w:r>
      <w:r w:rsidR="009079BE" w:rsidRPr="00513B38">
        <w:rPr>
          <w:iCs/>
        </w:rPr>
        <w:t>A</w:t>
      </w:r>
      <w:r w:rsidR="00D93205" w:rsidRPr="00513B38">
        <w:rPr>
          <w:iCs/>
        </w:rPr>
        <w:t>greements</w:t>
      </w:r>
      <w:r w:rsidR="00D93205" w:rsidRPr="00513B38">
        <w:t xml:space="preserve"> </w:t>
      </w:r>
      <w:r w:rsidR="00D20DFD" w:rsidRPr="00513B38">
        <w:t xml:space="preserve">in </w:t>
      </w:r>
      <w:r w:rsidR="00D93205" w:rsidRPr="00513B38">
        <w:t xml:space="preserve">place </w:t>
      </w:r>
      <w:r w:rsidR="009079BE" w:rsidRPr="00513B38">
        <w:t xml:space="preserve">between </w:t>
      </w:r>
      <w:r w:rsidR="00D93205" w:rsidRPr="00513B38">
        <w:t>structural engineering consultancies</w:t>
      </w:r>
      <w:r w:rsidR="009079BE" w:rsidRPr="00513B38">
        <w:t xml:space="preserve"> </w:t>
      </w:r>
      <w:r w:rsidR="005A1EDE" w:rsidRPr="00513B38">
        <w:t>and</w:t>
      </w:r>
      <w:r w:rsidR="009079BE" w:rsidRPr="00513B38">
        <w:t xml:space="preserve"> a number of major hospitals</w:t>
      </w:r>
      <w:r w:rsidR="00D93205" w:rsidRPr="00513B38">
        <w:t xml:space="preserve">. </w:t>
      </w:r>
      <w:r w:rsidR="000F71F2" w:rsidRPr="00513B38">
        <w:t>A</w:t>
      </w:r>
      <w:r w:rsidR="002D65CC" w:rsidRPr="00513B38">
        <w:t xml:space="preserve">greements between </w:t>
      </w:r>
      <w:r w:rsidR="00D93205" w:rsidRPr="00513B38">
        <w:t>lift supplier</w:t>
      </w:r>
      <w:r w:rsidR="002D65CC" w:rsidRPr="00513B38">
        <w:t>s</w:t>
      </w:r>
      <w:r w:rsidR="00D93205" w:rsidRPr="00513B38">
        <w:t xml:space="preserve"> </w:t>
      </w:r>
      <w:r w:rsidR="002D65CC" w:rsidRPr="00513B38">
        <w:t>and hospitals could</w:t>
      </w:r>
      <w:r w:rsidR="00D93205" w:rsidRPr="00513B38">
        <w:t xml:space="preserve"> follow a similar form.</w:t>
      </w:r>
    </w:p>
    <w:p w14:paraId="2F5A0EF4" w14:textId="79732A0B" w:rsidR="00197FD3" w:rsidRDefault="00197FD3" w:rsidP="00666E06">
      <w:r>
        <w:br w:type="page"/>
      </w:r>
    </w:p>
    <w:p w14:paraId="66E9AC47" w14:textId="77777777" w:rsidR="00197FD3" w:rsidRPr="00A9001D" w:rsidRDefault="00197FD3" w:rsidP="00F01B3E">
      <w:pPr>
        <w:pStyle w:val="Section3heading1"/>
      </w:pPr>
      <w:bookmarkStart w:id="366" w:name="_Ref165527855"/>
      <w:bookmarkStart w:id="367" w:name="_Ref165527871"/>
      <w:bookmarkStart w:id="368" w:name="_Toc203642007"/>
      <w:r w:rsidRPr="00A9001D">
        <w:lastRenderedPageBreak/>
        <w:t>Design of Lightweight and Low-rise Hospital Infrastructure</w:t>
      </w:r>
      <w:bookmarkEnd w:id="366"/>
      <w:bookmarkEnd w:id="367"/>
      <w:bookmarkEnd w:id="368"/>
    </w:p>
    <w:p w14:paraId="38E5E721" w14:textId="6A89ED75" w:rsidR="00C6292B" w:rsidRPr="00513B38" w:rsidRDefault="005F49BC" w:rsidP="00F01B3E">
      <w:pPr>
        <w:pStyle w:val="Section3heading2"/>
      </w:pPr>
      <w:bookmarkStart w:id="369" w:name="_Toc203642008"/>
      <w:r w:rsidRPr="00513B38">
        <w:t>Scope</w:t>
      </w:r>
      <w:bookmarkEnd w:id="369"/>
    </w:p>
    <w:p w14:paraId="21BDC34F" w14:textId="77851BB6" w:rsidR="003B3186" w:rsidRPr="00513B38" w:rsidRDefault="005F49BC" w:rsidP="00666E06">
      <w:r w:rsidRPr="00513B38">
        <w:t xml:space="preserve">This section applies to </w:t>
      </w:r>
      <w:r w:rsidR="004B1A9B" w:rsidRPr="00513B38">
        <w:t>l</w:t>
      </w:r>
      <w:r w:rsidRPr="00513B38">
        <w:t xml:space="preserve">ow-rise </w:t>
      </w:r>
      <w:r w:rsidR="004B1A9B" w:rsidRPr="00513B38">
        <w:t>h</w:t>
      </w:r>
      <w:r w:rsidRPr="00513B38">
        <w:t xml:space="preserve">ospital </w:t>
      </w:r>
      <w:r w:rsidR="004B1A9B" w:rsidRPr="00513B38">
        <w:t>buildings</w:t>
      </w:r>
      <w:r w:rsidR="00A04F95" w:rsidRPr="00513B38">
        <w:t xml:space="preserve"> </w:t>
      </w:r>
      <w:r w:rsidR="00BE1D23" w:rsidRPr="00513B38">
        <w:t>of</w:t>
      </w:r>
      <w:r w:rsidR="00A04F95" w:rsidRPr="00513B38">
        <w:t xml:space="preserve"> all Importance Levels </w:t>
      </w:r>
      <w:r w:rsidR="00F01D69" w:rsidRPr="00513B38">
        <w:t>and</w:t>
      </w:r>
      <w:r w:rsidR="00A04F95" w:rsidRPr="00513B38">
        <w:t xml:space="preserve"> </w:t>
      </w:r>
      <w:r w:rsidR="00A04F95" w:rsidRPr="00513B38">
        <w:rPr>
          <w:i/>
          <w:iCs/>
        </w:rPr>
        <w:t>Service Categories</w:t>
      </w:r>
      <w:r w:rsidR="00A82FED" w:rsidRPr="00513B38">
        <w:t xml:space="preserve">. </w:t>
      </w:r>
      <w:r w:rsidR="00F01D69" w:rsidRPr="00513B38">
        <w:t xml:space="preserve">This </w:t>
      </w:r>
      <w:r w:rsidR="00B437A3" w:rsidRPr="00513B38">
        <w:t>content intends reference</w:t>
      </w:r>
      <w:r w:rsidR="00AA6C92" w:rsidRPr="00513B38">
        <w:t xml:space="preserve"> to one or two storey facilities (excluding small appendages or rooftop plant platforms and enclosures)</w:t>
      </w:r>
      <w:r w:rsidR="00C201A1" w:rsidRPr="00513B38">
        <w:t xml:space="preserve">. </w:t>
      </w:r>
      <w:r w:rsidR="007239C0" w:rsidRPr="00513B38">
        <w:t>However,</w:t>
      </w:r>
      <w:r w:rsidR="00AA6C92" w:rsidRPr="00513B38">
        <w:t xml:space="preserve"> </w:t>
      </w:r>
      <w:r w:rsidR="00C201A1" w:rsidRPr="00513B38">
        <w:t>t</w:t>
      </w:r>
      <w:r w:rsidR="00A82FED" w:rsidRPr="00513B38">
        <w:t>he scope includes</w:t>
      </w:r>
      <w:r w:rsidR="00A04F95" w:rsidRPr="00513B38">
        <w:t xml:space="preserve"> </w:t>
      </w:r>
      <w:r w:rsidR="00C201A1" w:rsidRPr="00513B38">
        <w:t>all situations where l</w:t>
      </w:r>
      <w:r w:rsidR="00BE2999" w:rsidRPr="00513B38">
        <w:t xml:space="preserve">ightweight construction </w:t>
      </w:r>
      <w:r w:rsidR="00211EF1" w:rsidRPr="00513B38">
        <w:t xml:space="preserve">techniques </w:t>
      </w:r>
      <w:r w:rsidR="00C201A1" w:rsidRPr="00513B38">
        <w:t xml:space="preserve">are proposed </w:t>
      </w:r>
      <w:r w:rsidR="00211EF1" w:rsidRPr="00513B38">
        <w:t xml:space="preserve">as part of the primary structural system supporting floors and </w:t>
      </w:r>
      <w:r w:rsidR="00B437A3" w:rsidRPr="00513B38">
        <w:t xml:space="preserve">the </w:t>
      </w:r>
      <w:r w:rsidR="00211EF1" w:rsidRPr="00513B38">
        <w:t>building enclosure</w:t>
      </w:r>
      <w:r w:rsidR="003B3186" w:rsidRPr="00513B38">
        <w:t>. This includes:</w:t>
      </w:r>
    </w:p>
    <w:p w14:paraId="7A6108C9" w14:textId="02404CA3" w:rsidR="00BE2999" w:rsidRPr="00513B38" w:rsidRDefault="007239C0" w:rsidP="004D55F1">
      <w:pPr>
        <w:pStyle w:val="ListParagraph"/>
        <w:numPr>
          <w:ilvl w:val="0"/>
          <w:numId w:val="68"/>
        </w:numPr>
      </w:pPr>
      <w:r w:rsidRPr="00513B38">
        <w:t>Construction types</w:t>
      </w:r>
      <w:r w:rsidR="00211EF1" w:rsidRPr="00513B38">
        <w:t xml:space="preserve"> typically used in </w:t>
      </w:r>
      <w:r w:rsidRPr="00513B38">
        <w:t xml:space="preserve">one to two storey </w:t>
      </w:r>
      <w:r w:rsidR="00D060A5" w:rsidRPr="00513B38">
        <w:t>residential construction</w:t>
      </w:r>
      <w:r w:rsidR="00BE2999" w:rsidRPr="00513B38">
        <w:t xml:space="preserve"> </w:t>
      </w:r>
      <w:r w:rsidR="00211EF1" w:rsidRPr="00513B38">
        <w:t>(</w:t>
      </w:r>
      <w:r w:rsidR="00D060A5" w:rsidRPr="00513B38">
        <w:t>light</w:t>
      </w:r>
      <w:r w:rsidR="00BE2999" w:rsidRPr="00513B38">
        <w:t xml:space="preserve"> timber framing, light-gauge steel framing </w:t>
      </w:r>
      <w:r w:rsidR="00C630EE" w:rsidRPr="00513B38">
        <w:t>or</w:t>
      </w:r>
      <w:r w:rsidR="00BE2999" w:rsidRPr="00513B38">
        <w:t xml:space="preserve"> reinforced masonry</w:t>
      </w:r>
      <w:r w:rsidR="00D060A5" w:rsidRPr="00513B38">
        <w:t>)</w:t>
      </w:r>
      <w:r w:rsidR="003A6F04" w:rsidRPr="00513B38">
        <w:t>.</w:t>
      </w:r>
    </w:p>
    <w:p w14:paraId="3956A488" w14:textId="0D10F5F6" w:rsidR="003A6F04" w:rsidRPr="00513B38" w:rsidRDefault="00E41D49" w:rsidP="004D55F1">
      <w:pPr>
        <w:pStyle w:val="ListParagraph"/>
        <w:numPr>
          <w:ilvl w:val="0"/>
          <w:numId w:val="67"/>
        </w:numPr>
      </w:pPr>
      <w:r w:rsidRPr="00513B38">
        <w:t>'</w:t>
      </w:r>
      <w:r w:rsidR="003B3186" w:rsidRPr="00513B38">
        <w:t>Light industrial/commercial</w:t>
      </w:r>
      <w:r w:rsidRPr="00513B38">
        <w:t>’</w:t>
      </w:r>
      <w:r w:rsidR="003B3186" w:rsidRPr="00513B38">
        <w:t xml:space="preserve"> typologies, </w:t>
      </w:r>
      <w:r w:rsidR="00E601ED" w:rsidRPr="00513B38">
        <w:t>typically using</w:t>
      </w:r>
      <w:r w:rsidR="008C17A7" w:rsidRPr="00513B38">
        <w:t xml:space="preserve"> mixtures of</w:t>
      </w:r>
      <w:r w:rsidR="00E601ED" w:rsidRPr="00513B38">
        <w:t>:</w:t>
      </w:r>
    </w:p>
    <w:p w14:paraId="4BF66277" w14:textId="48CB74FB" w:rsidR="00E601ED" w:rsidRPr="00513B38" w:rsidRDefault="00E601ED" w:rsidP="004D55F1">
      <w:pPr>
        <w:pStyle w:val="ListParagraph"/>
        <w:numPr>
          <w:ilvl w:val="1"/>
          <w:numId w:val="67"/>
        </w:numPr>
      </w:pPr>
      <w:r w:rsidRPr="00513B38">
        <w:t xml:space="preserve">Steel </w:t>
      </w:r>
      <w:r w:rsidR="00E41D49" w:rsidRPr="00513B38">
        <w:t xml:space="preserve">(structural steelwork or light gauge steel) or timber </w:t>
      </w:r>
      <w:r w:rsidRPr="00513B38">
        <w:t>portal frames</w:t>
      </w:r>
      <w:r w:rsidR="007239C0" w:rsidRPr="00513B38">
        <w:t>,</w:t>
      </w:r>
    </w:p>
    <w:p w14:paraId="4E27879C" w14:textId="530987D8" w:rsidR="00E601ED" w:rsidRPr="00513B38" w:rsidRDefault="00E601ED" w:rsidP="004D55F1">
      <w:pPr>
        <w:pStyle w:val="ListParagraph"/>
        <w:numPr>
          <w:ilvl w:val="1"/>
          <w:numId w:val="67"/>
        </w:numPr>
      </w:pPr>
      <w:r w:rsidRPr="00513B38">
        <w:t xml:space="preserve">Wall </w:t>
      </w:r>
      <w:r w:rsidR="00393474" w:rsidRPr="00513B38">
        <w:t>or roof plane cross bracing</w:t>
      </w:r>
      <w:r w:rsidR="007239C0" w:rsidRPr="00513B38">
        <w:t>,</w:t>
      </w:r>
    </w:p>
    <w:p w14:paraId="53FA5AB9" w14:textId="2FAD4568" w:rsidR="00393474" w:rsidRPr="00513B38" w:rsidRDefault="00393474" w:rsidP="004D55F1">
      <w:pPr>
        <w:pStyle w:val="ListParagraph"/>
        <w:numPr>
          <w:ilvl w:val="1"/>
          <w:numId w:val="67"/>
        </w:numPr>
      </w:pPr>
      <w:r w:rsidRPr="00513B38">
        <w:t>Concrete or masonry wall panels</w:t>
      </w:r>
      <w:r w:rsidR="00414EB2" w:rsidRPr="00513B38">
        <w:t xml:space="preserve"> (self-supporting or partly supported by steel framing or other lightweight structure)</w:t>
      </w:r>
      <w:r w:rsidR="007239C0" w:rsidRPr="00513B38">
        <w:t>,</w:t>
      </w:r>
    </w:p>
    <w:p w14:paraId="174986AC" w14:textId="3FAC18E5" w:rsidR="00D92785" w:rsidRPr="00513B38" w:rsidRDefault="0020385F" w:rsidP="004D55F1">
      <w:pPr>
        <w:pStyle w:val="ListParagraph"/>
        <w:numPr>
          <w:ilvl w:val="1"/>
          <w:numId w:val="67"/>
        </w:numPr>
      </w:pPr>
      <w:r w:rsidRPr="00513B38">
        <w:t>Panel</w:t>
      </w:r>
      <w:r w:rsidR="00F87E3B" w:rsidRPr="00513B38">
        <w:t xml:space="preserve"> shear walls </w:t>
      </w:r>
      <w:r w:rsidR="00891CCE" w:rsidRPr="00513B38">
        <w:t>using</w:t>
      </w:r>
      <w:r w:rsidRPr="00513B38">
        <w:t xml:space="preserve"> </w:t>
      </w:r>
      <w:r w:rsidR="00F87E3B" w:rsidRPr="00513B38">
        <w:t>plywood or other panel products</w:t>
      </w:r>
      <w:r w:rsidR="00891CCE" w:rsidRPr="00513B38">
        <w:t xml:space="preserve">, and/or panel </w:t>
      </w:r>
      <w:r w:rsidR="004B1A9B" w:rsidRPr="00513B38">
        <w:t xml:space="preserve">roof and floor </w:t>
      </w:r>
      <w:r w:rsidR="00891CCE" w:rsidRPr="00513B38">
        <w:t>diaphragms</w:t>
      </w:r>
      <w:r w:rsidR="00F87E3B" w:rsidRPr="00513B38">
        <w:t>.</w:t>
      </w:r>
    </w:p>
    <w:p w14:paraId="69A8DE2C" w14:textId="02260AA7" w:rsidR="00E41D49" w:rsidRPr="00513B38" w:rsidRDefault="00E41D49" w:rsidP="004D55F1">
      <w:pPr>
        <w:pStyle w:val="ListParagraph"/>
        <w:numPr>
          <w:ilvl w:val="1"/>
          <w:numId w:val="67"/>
        </w:numPr>
      </w:pPr>
      <w:r w:rsidRPr="00513B38">
        <w:t>Can include areas of heavy suspended floors or plant platforms.</w:t>
      </w:r>
    </w:p>
    <w:p w14:paraId="18C82414" w14:textId="71581992" w:rsidR="000629EB" w:rsidRPr="00513B38" w:rsidRDefault="000629EB" w:rsidP="00666E06">
      <w:r w:rsidRPr="00513B38">
        <w:t>This section does not apply to non-structural partitions</w:t>
      </w:r>
      <w:r w:rsidR="00850EEB" w:rsidRPr="00513B38">
        <w:t xml:space="preserve"> (refer Section </w:t>
      </w:r>
      <w:r w:rsidR="00850EEB" w:rsidRPr="00513B38">
        <w:fldChar w:fldCharType="begin"/>
      </w:r>
      <w:r w:rsidR="00850EEB" w:rsidRPr="00513B38">
        <w:instrText xml:space="preserve"> REF _Ref152820707 \r \h </w:instrText>
      </w:r>
      <w:r w:rsidR="00513B38">
        <w:instrText xml:space="preserve"> \* MERGEFORMAT </w:instrText>
      </w:r>
      <w:r w:rsidR="00850EEB" w:rsidRPr="00513B38">
        <w:fldChar w:fldCharType="separate"/>
      </w:r>
      <w:r w:rsidR="000761C1">
        <w:t>C4.5</w:t>
      </w:r>
      <w:r w:rsidR="00850EEB" w:rsidRPr="00513B38">
        <w:fldChar w:fldCharType="end"/>
      </w:r>
      <w:r w:rsidR="00850EEB" w:rsidRPr="00513B38">
        <w:t>)</w:t>
      </w:r>
      <w:r w:rsidRPr="00513B38">
        <w:t>.</w:t>
      </w:r>
    </w:p>
    <w:p w14:paraId="032F7B99" w14:textId="443DEBEE" w:rsidR="00E41D49" w:rsidRDefault="006D4607" w:rsidP="00666E06">
      <w:r>
        <w:rPr>
          <w:noProof/>
        </w:rPr>
        <w:drawing>
          <wp:inline distT="0" distB="0" distL="0" distR="0" wp14:anchorId="5E71754E" wp14:editId="2FEEF60F">
            <wp:extent cx="3506525" cy="1756902"/>
            <wp:effectExtent l="0" t="0" r="0" b="0"/>
            <wp:docPr id="489223473" name="Picture 489223473" descr="A building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23473" name="Picture 1" descr="A building with a roof&#10;&#10;Description automatically generated"/>
                    <pic:cNvPicPr/>
                  </pic:nvPicPr>
                  <pic:blipFill>
                    <a:blip r:embed="rId101"/>
                    <a:stretch>
                      <a:fillRect/>
                    </a:stretch>
                  </pic:blipFill>
                  <pic:spPr>
                    <a:xfrm>
                      <a:off x="0" y="0"/>
                      <a:ext cx="3540426" cy="1773888"/>
                    </a:xfrm>
                    <a:prstGeom prst="rect">
                      <a:avLst/>
                    </a:prstGeom>
                  </pic:spPr>
                </pic:pic>
              </a:graphicData>
            </a:graphic>
          </wp:inline>
        </w:drawing>
      </w:r>
      <w:r w:rsidR="000D2F8F" w:rsidRPr="000D2F8F">
        <w:rPr>
          <w:noProof/>
        </w:rPr>
        <w:t xml:space="preserve"> </w:t>
      </w:r>
      <w:r w:rsidR="00E41D49">
        <w:rPr>
          <w:noProof/>
        </w:rPr>
        <w:t xml:space="preserve">    </w:t>
      </w:r>
      <w:r w:rsidR="000D2F8F">
        <w:rPr>
          <w:noProof/>
        </w:rPr>
        <w:drawing>
          <wp:inline distT="0" distB="0" distL="0" distR="0" wp14:anchorId="10B14A74" wp14:editId="1764D31C">
            <wp:extent cx="2360930" cy="1766656"/>
            <wp:effectExtent l="0" t="0" r="1270" b="5080"/>
            <wp:docPr id="798477058" name="Picture 798477058" descr="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77058" name="Picture 1" descr="Aerial view of a building&#10;&#10;Description automatically generated"/>
                    <pic:cNvPicPr/>
                  </pic:nvPicPr>
                  <pic:blipFill>
                    <a:blip r:embed="rId102"/>
                    <a:stretch>
                      <a:fillRect/>
                    </a:stretch>
                  </pic:blipFill>
                  <pic:spPr>
                    <a:xfrm>
                      <a:off x="0" y="0"/>
                      <a:ext cx="2412466" cy="1805220"/>
                    </a:xfrm>
                    <a:prstGeom prst="rect">
                      <a:avLst/>
                    </a:prstGeom>
                  </pic:spPr>
                </pic:pic>
              </a:graphicData>
            </a:graphic>
          </wp:inline>
        </w:drawing>
      </w:r>
    </w:p>
    <w:p w14:paraId="562AA7A3" w14:textId="30B41D60" w:rsidR="006D4607" w:rsidRPr="00CA1D50" w:rsidRDefault="00E41D49" w:rsidP="00F01B3E">
      <w:pPr>
        <w:pStyle w:val="Figure"/>
        <w:rPr>
          <w:sz w:val="20"/>
          <w:szCs w:val="20"/>
        </w:rPr>
      </w:pPr>
      <w:r w:rsidRPr="00CA1D50">
        <w:rPr>
          <w:sz w:val="20"/>
          <w:szCs w:val="20"/>
        </w:rPr>
        <w:t xml:space="preserve">Figure </w:t>
      </w:r>
      <w:r w:rsidR="0062088B" w:rsidRPr="00CA1D50">
        <w:rPr>
          <w:sz w:val="20"/>
          <w:szCs w:val="20"/>
        </w:rPr>
        <w:fldChar w:fldCharType="begin"/>
      </w:r>
      <w:r w:rsidR="0062088B" w:rsidRPr="00CA1D50">
        <w:rPr>
          <w:sz w:val="20"/>
          <w:szCs w:val="20"/>
        </w:rPr>
        <w:instrText xml:space="preserve"> SEQ Figure \* ARABIC </w:instrText>
      </w:r>
      <w:r w:rsidR="0062088B" w:rsidRPr="00CA1D50">
        <w:rPr>
          <w:sz w:val="20"/>
          <w:szCs w:val="20"/>
        </w:rPr>
        <w:fldChar w:fldCharType="separate"/>
      </w:r>
      <w:r w:rsidR="00CA1D50">
        <w:rPr>
          <w:noProof/>
          <w:sz w:val="20"/>
          <w:szCs w:val="20"/>
        </w:rPr>
        <w:t>13</w:t>
      </w:r>
      <w:r w:rsidR="0062088B" w:rsidRPr="00CA1D50">
        <w:rPr>
          <w:noProof/>
          <w:sz w:val="20"/>
          <w:szCs w:val="20"/>
        </w:rPr>
        <w:fldChar w:fldCharType="end"/>
      </w:r>
      <w:r w:rsidRPr="00CA1D50">
        <w:rPr>
          <w:sz w:val="20"/>
          <w:szCs w:val="20"/>
        </w:rPr>
        <w:t>: Example of a</w:t>
      </w:r>
      <w:r w:rsidR="00216E0F" w:rsidRPr="00CA1D50">
        <w:rPr>
          <w:sz w:val="20"/>
          <w:szCs w:val="20"/>
        </w:rPr>
        <w:t>n</w:t>
      </w:r>
      <w:r w:rsidRPr="00CA1D50">
        <w:rPr>
          <w:sz w:val="20"/>
          <w:szCs w:val="20"/>
        </w:rPr>
        <w:t xml:space="preserve"> IL2</w:t>
      </w:r>
      <w:r w:rsidR="009101EB" w:rsidRPr="00CA1D50">
        <w:rPr>
          <w:sz w:val="20"/>
          <w:szCs w:val="20"/>
        </w:rPr>
        <w:t xml:space="preserve"> Oral Health Centre (</w:t>
      </w:r>
      <w:r w:rsidR="00AC0B84" w:rsidRPr="00CA1D50">
        <w:rPr>
          <w:sz w:val="20"/>
          <w:szCs w:val="20"/>
        </w:rPr>
        <w:t>d</w:t>
      </w:r>
      <w:r w:rsidR="009101EB" w:rsidRPr="00CA1D50">
        <w:rPr>
          <w:sz w:val="20"/>
          <w:szCs w:val="20"/>
        </w:rPr>
        <w:t xml:space="preserve">ental </w:t>
      </w:r>
      <w:r w:rsidR="00AC0B84" w:rsidRPr="00CA1D50">
        <w:rPr>
          <w:sz w:val="20"/>
          <w:szCs w:val="20"/>
        </w:rPr>
        <w:t>c</w:t>
      </w:r>
      <w:r w:rsidR="009101EB" w:rsidRPr="00CA1D50">
        <w:rPr>
          <w:sz w:val="20"/>
          <w:szCs w:val="20"/>
        </w:rPr>
        <w:t>linic) generally using</w:t>
      </w:r>
      <w:r w:rsidRPr="00CA1D50">
        <w:rPr>
          <w:sz w:val="20"/>
          <w:szCs w:val="20"/>
        </w:rPr>
        <w:t xml:space="preserve"> NZS 3604</w:t>
      </w:r>
      <w:r w:rsidR="009101EB" w:rsidRPr="00CA1D50">
        <w:rPr>
          <w:sz w:val="20"/>
          <w:szCs w:val="20"/>
        </w:rPr>
        <w:t xml:space="preserve"> and B2/AS1 (left); and a </w:t>
      </w:r>
      <w:r w:rsidR="00216E0F" w:rsidRPr="00CA1D50">
        <w:rPr>
          <w:sz w:val="20"/>
          <w:szCs w:val="20"/>
        </w:rPr>
        <w:t xml:space="preserve">single storey </w:t>
      </w:r>
      <w:r w:rsidR="009101EB" w:rsidRPr="00CA1D50">
        <w:rPr>
          <w:sz w:val="20"/>
          <w:szCs w:val="20"/>
        </w:rPr>
        <w:t>IL4 Acute Facility</w:t>
      </w:r>
      <w:r w:rsidR="00216E0F" w:rsidRPr="00CA1D50">
        <w:rPr>
          <w:sz w:val="20"/>
          <w:szCs w:val="20"/>
        </w:rPr>
        <w:t xml:space="preserve">, </w:t>
      </w:r>
      <w:r w:rsidR="00F33C6C" w:rsidRPr="00CA1D50">
        <w:rPr>
          <w:sz w:val="20"/>
          <w:szCs w:val="20"/>
        </w:rPr>
        <w:t>constructed in a mixture of timber framing and structural steelwork (right).</w:t>
      </w:r>
    </w:p>
    <w:p w14:paraId="4ABEF966" w14:textId="1B14A149" w:rsidR="00932607" w:rsidRPr="00F01B3E" w:rsidRDefault="00932607" w:rsidP="00D56CAE">
      <w:pPr>
        <w:pStyle w:val="BodyHeading"/>
        <w:rPr>
          <w:color w:val="003399"/>
        </w:rPr>
      </w:pPr>
      <w:r w:rsidRPr="00F01B3E">
        <w:rPr>
          <w:color w:val="003399"/>
        </w:rPr>
        <w:t>Exemption from Documentation Requirements</w:t>
      </w:r>
      <w:r w:rsidR="002C10D9" w:rsidRPr="00F01B3E">
        <w:rPr>
          <w:color w:val="003399"/>
        </w:rPr>
        <w:t xml:space="preserve"> for Importance Level 2 Support</w:t>
      </w:r>
      <w:r w:rsidR="00C620B5" w:rsidRPr="00F01B3E">
        <w:rPr>
          <w:color w:val="003399"/>
        </w:rPr>
        <w:t xml:space="preserve"> Services</w:t>
      </w:r>
    </w:p>
    <w:p w14:paraId="08B29D5E" w14:textId="505563F5" w:rsidR="00932607" w:rsidRPr="00513B38" w:rsidRDefault="003E6F59" w:rsidP="00666E06">
      <w:r>
        <w:t xml:space="preserve">Refer to the commentary to Section </w:t>
      </w:r>
      <w:r>
        <w:fldChar w:fldCharType="begin"/>
      </w:r>
      <w:r>
        <w:instrText xml:space="preserve"> REF _Ref157151090 \r \h </w:instrText>
      </w:r>
      <w:r>
        <w:fldChar w:fldCharType="separate"/>
      </w:r>
      <w:r w:rsidR="000761C1">
        <w:t>A1.6.1</w:t>
      </w:r>
      <w:r>
        <w:fldChar w:fldCharType="end"/>
      </w:r>
      <w:r w:rsidR="00932607" w:rsidRPr="00513B38">
        <w:t>.</w:t>
      </w:r>
    </w:p>
    <w:p w14:paraId="1A0E73F1" w14:textId="77777777" w:rsidR="00432323" w:rsidRPr="00513B38" w:rsidRDefault="00432323" w:rsidP="00F01B3E">
      <w:pPr>
        <w:pStyle w:val="Section3heading2"/>
      </w:pPr>
      <w:bookmarkStart w:id="370" w:name="_Ref170372851"/>
      <w:bookmarkStart w:id="371" w:name="_Toc203642009"/>
      <w:r w:rsidRPr="00513B38">
        <w:lastRenderedPageBreak/>
        <w:t>Structural Robustness</w:t>
      </w:r>
      <w:bookmarkEnd w:id="370"/>
      <w:bookmarkEnd w:id="371"/>
    </w:p>
    <w:p w14:paraId="3782ACB5" w14:textId="207624FA" w:rsidR="00432323" w:rsidRPr="00C13A3C" w:rsidRDefault="00432323" w:rsidP="00666E06">
      <w:pPr>
        <w:rPr>
          <w:rFonts w:cs="Arial"/>
        </w:rPr>
      </w:pPr>
      <w:r w:rsidRPr="00513B38">
        <w:t xml:space="preserve">The general requirements of the following Sections </w:t>
      </w:r>
      <w:r w:rsidRPr="00513B38">
        <w:fldChar w:fldCharType="begin"/>
      </w:r>
      <w:r w:rsidRPr="00513B38">
        <w:instrText xml:space="preserve"> REF _Ref152313887 \r \h </w:instrText>
      </w:r>
      <w:r w:rsidR="00513B38">
        <w:instrText xml:space="preserve"> \* MERGEFORMAT </w:instrText>
      </w:r>
      <w:r w:rsidRPr="00513B38">
        <w:fldChar w:fldCharType="separate"/>
      </w:r>
      <w:r w:rsidR="000761C1">
        <w:t>B2.4</w:t>
      </w:r>
      <w:r w:rsidRPr="00513B38">
        <w:fldChar w:fldCharType="end"/>
      </w:r>
      <w:r w:rsidRPr="00513B38">
        <w:t xml:space="preserve"> (</w:t>
      </w:r>
      <w:r w:rsidRPr="00C13A3C">
        <w:rPr>
          <w:rFonts w:cs="Arial"/>
        </w:rPr>
        <w:fldChar w:fldCharType="begin"/>
      </w:r>
      <w:r w:rsidRPr="00C13A3C">
        <w:rPr>
          <w:rFonts w:cs="Arial"/>
        </w:rPr>
        <w:instrText xml:space="preserve"> REF _Ref152313887 \h </w:instrText>
      </w:r>
      <w:r w:rsidR="00513B38" w:rsidRPr="00C13A3C">
        <w:rPr>
          <w:rFonts w:cs="Arial"/>
        </w:rPr>
        <w:instrText xml:space="preserve"> \* MERGEFORMAT </w:instrText>
      </w:r>
      <w:r w:rsidRPr="00C13A3C">
        <w:rPr>
          <w:rFonts w:cs="Arial"/>
        </w:rPr>
      </w:r>
      <w:r w:rsidRPr="00C13A3C">
        <w:rPr>
          <w:rFonts w:cs="Arial"/>
        </w:rPr>
        <w:fldChar w:fldCharType="separate"/>
      </w:r>
      <w:r w:rsidR="000761C1" w:rsidRPr="000761C1">
        <w:rPr>
          <w:rFonts w:cs="Arial"/>
          <w:lang w:val="en-GB"/>
        </w:rPr>
        <w:t>Structural Robustness Requirements for the ULS Design Limit State</w:t>
      </w:r>
      <w:r w:rsidRPr="00C13A3C">
        <w:rPr>
          <w:rFonts w:cs="Arial"/>
        </w:rPr>
        <w:fldChar w:fldCharType="end"/>
      </w:r>
      <w:r w:rsidRPr="00C13A3C">
        <w:rPr>
          <w:rFonts w:cs="Arial"/>
        </w:rPr>
        <w:t xml:space="preserve">) and </w:t>
      </w:r>
      <w:r w:rsidRPr="00C13A3C">
        <w:rPr>
          <w:rFonts w:cs="Arial"/>
        </w:rPr>
        <w:fldChar w:fldCharType="begin"/>
      </w:r>
      <w:r w:rsidRPr="00C13A3C">
        <w:rPr>
          <w:rFonts w:cs="Arial"/>
        </w:rPr>
        <w:instrText xml:space="preserve"> REF _Ref152322416 \r \h </w:instrText>
      </w:r>
      <w:r w:rsidR="00513B38" w:rsidRPr="00C13A3C">
        <w:rPr>
          <w:rFonts w:cs="Arial"/>
        </w:rPr>
        <w:instrText xml:space="preserve"> \* MERGEFORMAT </w:instrText>
      </w:r>
      <w:r w:rsidRPr="00C13A3C">
        <w:rPr>
          <w:rFonts w:cs="Arial"/>
        </w:rPr>
      </w:r>
      <w:r w:rsidRPr="00C13A3C">
        <w:rPr>
          <w:rFonts w:cs="Arial"/>
        </w:rPr>
        <w:fldChar w:fldCharType="separate"/>
      </w:r>
      <w:r w:rsidR="000761C1">
        <w:rPr>
          <w:rFonts w:cs="Arial"/>
        </w:rPr>
        <w:t>C3.1</w:t>
      </w:r>
      <w:r w:rsidRPr="00C13A3C">
        <w:rPr>
          <w:rFonts w:cs="Arial"/>
        </w:rPr>
        <w:fldChar w:fldCharType="end"/>
      </w:r>
      <w:r w:rsidRPr="00C13A3C">
        <w:rPr>
          <w:rFonts w:cs="Arial"/>
        </w:rPr>
        <w:t xml:space="preserve"> (</w:t>
      </w:r>
      <w:r w:rsidRPr="00C13A3C">
        <w:rPr>
          <w:rFonts w:cs="Arial"/>
        </w:rPr>
        <w:fldChar w:fldCharType="begin"/>
      </w:r>
      <w:r w:rsidRPr="00C13A3C">
        <w:rPr>
          <w:rFonts w:cs="Arial"/>
        </w:rPr>
        <w:instrText xml:space="preserve"> REF _Ref152322416 \h </w:instrText>
      </w:r>
      <w:r w:rsidR="00513B38" w:rsidRPr="00C13A3C">
        <w:rPr>
          <w:rFonts w:cs="Arial"/>
        </w:rPr>
        <w:instrText xml:space="preserve"> \* MERGEFORMAT </w:instrText>
      </w:r>
      <w:r w:rsidRPr="00C13A3C">
        <w:rPr>
          <w:rFonts w:cs="Arial"/>
        </w:rPr>
      </w:r>
      <w:r w:rsidRPr="00C13A3C">
        <w:rPr>
          <w:rFonts w:cs="Arial"/>
        </w:rPr>
        <w:fldChar w:fldCharType="separate"/>
      </w:r>
      <w:r w:rsidR="000761C1" w:rsidRPr="000761C1">
        <w:rPr>
          <w:rFonts w:cs="Arial"/>
        </w:rPr>
        <w:t>Control of Structural Damage from Earthquake</w:t>
      </w:r>
      <w:r w:rsidRPr="00C13A3C">
        <w:rPr>
          <w:rFonts w:cs="Arial"/>
        </w:rPr>
        <w:fldChar w:fldCharType="end"/>
      </w:r>
      <w:r w:rsidRPr="00C13A3C">
        <w:rPr>
          <w:rFonts w:cs="Arial"/>
        </w:rPr>
        <w:t xml:space="preserve">) continue to apply, as for all </w:t>
      </w:r>
      <w:r w:rsidR="007D5C79" w:rsidRPr="00C13A3C">
        <w:rPr>
          <w:rFonts w:cs="Arial"/>
        </w:rPr>
        <w:t xml:space="preserve">Health NZ </w:t>
      </w:r>
      <w:r w:rsidRPr="00C13A3C">
        <w:rPr>
          <w:rFonts w:cs="Arial"/>
        </w:rPr>
        <w:t xml:space="preserve">projects. </w:t>
      </w:r>
    </w:p>
    <w:p w14:paraId="2B287286" w14:textId="2DCA39E3" w:rsidR="00432323" w:rsidRPr="00513B38" w:rsidRDefault="00432323" w:rsidP="00666E06">
      <w:r w:rsidRPr="00513B38">
        <w:t xml:space="preserve">The following Building Code and </w:t>
      </w:r>
      <w:r w:rsidR="007D5C79">
        <w:t xml:space="preserve">Health NZ </w:t>
      </w:r>
      <w:r w:rsidRPr="00513B38">
        <w:t>Requirements are specifically clarified in the context of low-rise hospital buildings and infrastructure. Specific commentary for common low-rise typologies follows.</w:t>
      </w:r>
    </w:p>
    <w:p w14:paraId="49BE3F31" w14:textId="080E2A8D" w:rsidR="00432323" w:rsidRPr="00513B38" w:rsidRDefault="00432323" w:rsidP="00666E06">
      <w:pPr>
        <w:pStyle w:val="Requirement"/>
      </w:pPr>
      <w:r w:rsidRPr="00513B38">
        <w:rPr>
          <w:rStyle w:val="Strong"/>
        </w:rPr>
        <w:t>NZBC Requirement (B1/VM1):</w:t>
      </w:r>
      <w:r w:rsidRPr="00513B38">
        <w:t xml:space="preserve"> Structures should have a reasonable margin against the assessed performance at the ULS and structural failure associated significant loss of strength or stability</w:t>
      </w:r>
      <w:r w:rsidR="0022513A">
        <w:t xml:space="preserve">, </w:t>
      </w:r>
      <w:r w:rsidRPr="00513B38">
        <w:t>both in terms of strength and displacement.</w:t>
      </w:r>
    </w:p>
    <w:p w14:paraId="228B23B4" w14:textId="78D94CAC" w:rsidR="00432323" w:rsidRPr="00513B38" w:rsidRDefault="007D5C79" w:rsidP="00666E06">
      <w:pPr>
        <w:pStyle w:val="Requirement"/>
      </w:pPr>
      <w:r w:rsidRPr="00A76C78">
        <w:rPr>
          <w:rStyle w:val="Strong"/>
          <w:color w:val="0C818F" w:themeColor="accent3"/>
        </w:rPr>
        <w:t xml:space="preserve">Health NZ </w:t>
      </w:r>
      <w:r w:rsidR="00432323" w:rsidRPr="00A76C78">
        <w:rPr>
          <w:rStyle w:val="Strong"/>
          <w:color w:val="0C818F" w:themeColor="accent3"/>
        </w:rPr>
        <w:t>Requirement:</w:t>
      </w:r>
      <w:r w:rsidR="00432323" w:rsidRPr="00A76C78">
        <w:rPr>
          <w:color w:val="0C818F" w:themeColor="accent3"/>
        </w:rPr>
        <w:t xml:space="preserve"> </w:t>
      </w:r>
      <w:r w:rsidR="00432323" w:rsidRPr="00513B38">
        <w:t xml:space="preserve">All structures, including low rise structures designed to respond elastically at the Ultimate Limit State, shall have the ability to accommodate inelastic deformation. </w:t>
      </w:r>
      <w:r w:rsidR="00432323" w:rsidRPr="00513B38">
        <w:rPr>
          <w:i/>
          <w:iCs/>
        </w:rPr>
        <w:t>Brittle Structures</w:t>
      </w:r>
      <w:r w:rsidR="00432323" w:rsidRPr="00513B38">
        <w:t xml:space="preserve"> (as defined by NZS 1170.5:2004) are not permitted.</w:t>
      </w:r>
    </w:p>
    <w:p w14:paraId="4EE56F41" w14:textId="77777777" w:rsidR="00432323" w:rsidRPr="00F01B3E" w:rsidRDefault="00432323" w:rsidP="00D56CAE">
      <w:pPr>
        <w:pStyle w:val="BodyHeading"/>
        <w:rPr>
          <w:color w:val="003399"/>
        </w:rPr>
      </w:pPr>
      <w:r w:rsidRPr="00F01B3E">
        <w:rPr>
          <w:color w:val="003399"/>
        </w:rPr>
        <w:t>Connection hierarchy, and detailing</w:t>
      </w:r>
    </w:p>
    <w:p w14:paraId="52E9F9A9" w14:textId="77777777" w:rsidR="00432323" w:rsidRPr="00513B38" w:rsidRDefault="00432323" w:rsidP="00666E06">
      <w:r w:rsidRPr="00513B38">
        <w:t>For lateral stability structure, capacity designing key connections such that they can develop plasticity in the connected members and provide robustness and overall system ductility capacity is desirable. This is required where ductility is being relied upon at the Ultimate Limit State. Specific examples include limited ductile moment endplates (SCNZ MEP-G 100/50 Limited Ductile), or bracing connections and compression struts that are designed to develop the capacity of tension only bracing (rather than being sized to resist an analysed design action).</w:t>
      </w:r>
    </w:p>
    <w:p w14:paraId="751BBB8E" w14:textId="2F4A269D" w:rsidR="00432323" w:rsidRPr="00513B38" w:rsidRDefault="00432323" w:rsidP="00666E06">
      <w:r w:rsidRPr="00513B38">
        <w:t>For lightweight structures responding elastically at ULS, some connection types will afford enough inelastic deformation capacity within the connection itself (through their standardised earthquake design procedures) to satisfy robustness requirements</w:t>
      </w:r>
      <w:r w:rsidR="0022513A">
        <w:t xml:space="preserve"> </w:t>
      </w:r>
      <w:r w:rsidRPr="00513B38">
        <w:t>and capacity design of connections is not required. This would include Moment End Plates designed to SCNZ R14-1, or connections in timber designed to NZS AS 1720.1:2002 such that ductile mechanisms control the connection capacity.</w:t>
      </w:r>
    </w:p>
    <w:p w14:paraId="43F73DC2" w14:textId="1098B937" w:rsidR="00432323" w:rsidRPr="00513B38" w:rsidRDefault="00432323" w:rsidP="00666E06">
      <w:r w:rsidRPr="00513B38">
        <w:t>However</w:t>
      </w:r>
      <w:r w:rsidR="00882F86">
        <w:t>,</w:t>
      </w:r>
      <w:r w:rsidRPr="00513B38">
        <w:t xml:space="preserve"> transmitting load between members and between different components of a lateral system where there are not standardised connection types or where there are more complex geometries requires considerably more engineering input to execute well, especially in mixed/hybrid structures. This is especially the case where there is considerable length to a load path</w:t>
      </w:r>
      <w:r w:rsidR="00882F86">
        <w:t xml:space="preserve"> </w:t>
      </w:r>
      <w:r w:rsidRPr="00513B38">
        <w:t>or many components to a load path.</w:t>
      </w:r>
    </w:p>
    <w:p w14:paraId="7F090906" w14:textId="77777777" w:rsidR="00432323" w:rsidRPr="00513B38" w:rsidRDefault="00432323" w:rsidP="00666E06">
      <w:r w:rsidRPr="00513B38">
        <w:t>The following general recommendations apply:</w:t>
      </w:r>
    </w:p>
    <w:p w14:paraId="18AC2B4F" w14:textId="77777777" w:rsidR="00432323" w:rsidRPr="00513B38" w:rsidRDefault="00432323" w:rsidP="004D55F1">
      <w:pPr>
        <w:pStyle w:val="ListParagraph"/>
        <w:numPr>
          <w:ilvl w:val="0"/>
          <w:numId w:val="70"/>
        </w:numPr>
      </w:pPr>
      <w:r w:rsidRPr="00513B38">
        <w:t>Use capacity designed connections in the primary lateral system, or alternatively use design procedures or standardised connection types which provide inelastic deformation capacity beyond the calculated strength.</w:t>
      </w:r>
    </w:p>
    <w:p w14:paraId="2006408E" w14:textId="77777777" w:rsidR="00432323" w:rsidRPr="00513B38" w:rsidRDefault="00432323" w:rsidP="004D55F1">
      <w:pPr>
        <w:pStyle w:val="ListParagraph"/>
        <w:numPr>
          <w:ilvl w:val="0"/>
          <w:numId w:val="70"/>
        </w:numPr>
      </w:pPr>
      <w:r w:rsidRPr="00513B38">
        <w:t>Specifically design hold-downs connections to bracing walls and braced bays to develop the lateral capacity of the bracing panel.</w:t>
      </w:r>
    </w:p>
    <w:p w14:paraId="2AE74CAC" w14:textId="0BF532F7" w:rsidR="00432323" w:rsidRDefault="00432323" w:rsidP="004D55F1">
      <w:pPr>
        <w:pStyle w:val="ListParagraph"/>
        <w:numPr>
          <w:ilvl w:val="0"/>
          <w:numId w:val="70"/>
        </w:numPr>
      </w:pPr>
      <w:r w:rsidRPr="00513B38">
        <w:lastRenderedPageBreak/>
        <w:t>Minimise nodal eccentricities at bracing intersections. Where it is impractical to avoid eccentricities entirely, resolve in equilibrium and ensure the members themselves are of the appropriate type, shape and orientation</w:t>
      </w:r>
      <w:r w:rsidR="00391BBB">
        <w:t xml:space="preserve"> </w:t>
      </w:r>
      <w:r w:rsidRPr="00513B38">
        <w:t>sized to carry the forces induced by eccentricities along with the primary actions.</w:t>
      </w:r>
    </w:p>
    <w:p w14:paraId="1D155D91" w14:textId="7261E6EE" w:rsidR="00BA625B" w:rsidRPr="00513B38" w:rsidRDefault="004B70DE" w:rsidP="004D55F1">
      <w:pPr>
        <w:pStyle w:val="ListParagraph"/>
        <w:numPr>
          <w:ilvl w:val="0"/>
          <w:numId w:val="70"/>
        </w:numPr>
      </w:pPr>
      <w:r>
        <w:t>The compression capacity of l</w:t>
      </w:r>
      <w:r w:rsidR="00BA625B">
        <w:t xml:space="preserve">ight-gauge steel purlins </w:t>
      </w:r>
      <w:r>
        <w:t xml:space="preserve">can be recognised in </w:t>
      </w:r>
      <w:r w:rsidR="005A154F">
        <w:t>parts of roof framing</w:t>
      </w:r>
      <w:r w:rsidR="008C0E1B">
        <w:t xml:space="preserve"> (</w:t>
      </w:r>
      <w:r w:rsidR="0017507E">
        <w:t>recognising and resolving all eccentricities present in the load path</w:t>
      </w:r>
      <w:r w:rsidR="008C0E1B">
        <w:t>)</w:t>
      </w:r>
      <w:r w:rsidR="0017507E">
        <w:t>. However,</w:t>
      </w:r>
      <w:r w:rsidR="005A154F">
        <w:t xml:space="preserve"> they </w:t>
      </w:r>
      <w:r w:rsidR="00BA625B">
        <w:t xml:space="preserve">should generally not be used as struts as part of </w:t>
      </w:r>
      <w:r w:rsidR="003673FF">
        <w:t xml:space="preserve">the </w:t>
      </w:r>
      <w:r w:rsidR="00BA625B">
        <w:t>roof</w:t>
      </w:r>
      <w:r w:rsidR="00053050">
        <w:t>’</w:t>
      </w:r>
      <w:r w:rsidR="00894682">
        <w:t>s</w:t>
      </w:r>
      <w:r w:rsidR="00BA625B">
        <w:t xml:space="preserve"> </w:t>
      </w:r>
      <w:r w:rsidR="009A04F6">
        <w:t xml:space="preserve">primary </w:t>
      </w:r>
      <w:r w:rsidR="00BA625B">
        <w:t>bracings system.</w:t>
      </w:r>
    </w:p>
    <w:p w14:paraId="06752819" w14:textId="77777777" w:rsidR="00432323" w:rsidRPr="00513B38" w:rsidRDefault="00432323" w:rsidP="004D55F1">
      <w:pPr>
        <w:pStyle w:val="ListParagraph"/>
        <w:numPr>
          <w:ilvl w:val="0"/>
          <w:numId w:val="70"/>
        </w:numPr>
      </w:pPr>
      <w:r w:rsidRPr="00513B38">
        <w:t>Generally avoid the use of open sections for eaves struts or collectors where there are high accumulating compression forces, difficulty in assuring appropriate restraint, and difficulty in minimising eccentricities at load transfer into braced bays.</w:t>
      </w:r>
    </w:p>
    <w:p w14:paraId="578FF0BE" w14:textId="77777777" w:rsidR="00432323" w:rsidRPr="00513B38" w:rsidRDefault="00432323" w:rsidP="004D55F1">
      <w:pPr>
        <w:pStyle w:val="ListParagraph"/>
        <w:numPr>
          <w:ilvl w:val="0"/>
          <w:numId w:val="70"/>
        </w:numPr>
      </w:pPr>
      <w:r w:rsidRPr="00513B38">
        <w:t>For simple (nominally pinned) baseplates on concrete slabs or footings supporting primary structural columns, use cast-in anchorage that engages footing reinforcing. Shallow post-installed anchorage should be assessed for its ability to accommodate column base rotation without premature pry out of anchors due to baseplate rigidity.</w:t>
      </w:r>
    </w:p>
    <w:p w14:paraId="48138290" w14:textId="77777777" w:rsidR="00432323" w:rsidRPr="00513B38" w:rsidRDefault="00432323" w:rsidP="004D55F1">
      <w:pPr>
        <w:pStyle w:val="ListParagraph"/>
        <w:numPr>
          <w:ilvl w:val="0"/>
          <w:numId w:val="70"/>
        </w:numPr>
      </w:pPr>
      <w:r w:rsidRPr="00513B38">
        <w:t>Detail and document complex intersections of multiple structural members and bracing components in their full context (instead of relying on interpretation of individual typical details that overlap at a single intersection).</w:t>
      </w:r>
    </w:p>
    <w:p w14:paraId="2F84AA7A" w14:textId="7F87BF6B" w:rsidR="00432323" w:rsidRPr="00513B38" w:rsidRDefault="00432323" w:rsidP="00666E06">
      <w:r w:rsidRPr="00513B38">
        <w:t xml:space="preserve">Refer to Section </w:t>
      </w:r>
      <w:r w:rsidRPr="00513B38">
        <w:fldChar w:fldCharType="begin"/>
      </w:r>
      <w:r w:rsidRPr="00513B38">
        <w:instrText xml:space="preserve"> REF _Ref166069579 \r \h </w:instrText>
      </w:r>
      <w:r w:rsidR="00513B38">
        <w:instrText xml:space="preserve"> \* MERGEFORMAT </w:instrText>
      </w:r>
      <w:r w:rsidRPr="00513B38">
        <w:fldChar w:fldCharType="separate"/>
      </w:r>
      <w:r w:rsidR="000761C1">
        <w:t>C5.4</w:t>
      </w:r>
      <w:r w:rsidRPr="00513B38">
        <w:fldChar w:fldCharType="end"/>
      </w:r>
      <w:r w:rsidRPr="00513B38">
        <w:t xml:space="preserve"> for some examples further clarifying this intent, and to the </w:t>
      </w:r>
      <w:r w:rsidRPr="00513B38">
        <w:rPr>
          <w:i/>
          <w:iCs/>
        </w:rPr>
        <w:t>Engineering New Zealand Warehouse Review Findings Report</w:t>
      </w:r>
      <w:r w:rsidRPr="00513B38">
        <w:t xml:space="preserve"> which contains additional examples and useful references </w:t>
      </w:r>
      <w:sdt>
        <w:sdtPr>
          <w:id w:val="-445544234"/>
          <w:citation/>
        </w:sdtPr>
        <w:sdtEndPr/>
        <w:sdtContent>
          <w:r w:rsidRPr="00513B38">
            <w:fldChar w:fldCharType="begin"/>
          </w:r>
          <w:r w:rsidRPr="00513B38">
            <w:rPr>
              <w:lang w:val="en-US"/>
            </w:rPr>
            <w:instrText xml:space="preserve"> CITATION ENZ23 \l 1033 </w:instrText>
          </w:r>
          <w:r w:rsidRPr="00513B38">
            <w:fldChar w:fldCharType="separate"/>
          </w:r>
          <w:r w:rsidR="00222D65">
            <w:rPr>
              <w:noProof/>
              <w:lang w:val="en-US"/>
            </w:rPr>
            <w:t>(ENZ, 2023)</w:t>
          </w:r>
          <w:r w:rsidRPr="00513B38">
            <w:fldChar w:fldCharType="end"/>
          </w:r>
        </w:sdtContent>
      </w:sdt>
      <w:r w:rsidRPr="00513B38">
        <w:t>.</w:t>
      </w:r>
    </w:p>
    <w:p w14:paraId="0F8CCDD6" w14:textId="77777777" w:rsidR="00432323" w:rsidRPr="00F01B3E" w:rsidRDefault="00432323" w:rsidP="00D56CAE">
      <w:pPr>
        <w:pStyle w:val="BodyHeading"/>
        <w:rPr>
          <w:color w:val="003399"/>
        </w:rPr>
      </w:pPr>
      <w:r w:rsidRPr="00F01B3E">
        <w:rPr>
          <w:color w:val="003399"/>
        </w:rPr>
        <w:t>Regularity and Redundancy</w:t>
      </w:r>
    </w:p>
    <w:p w14:paraId="27C1311B" w14:textId="77777777" w:rsidR="00432323" w:rsidRPr="00513B38" w:rsidRDefault="00432323" w:rsidP="00666E06">
      <w:r w:rsidRPr="00513B38">
        <w:t>Regular buildings with redundant lateral stability structure generally perform better in earthquakes. The following considerations should be applied.</w:t>
      </w:r>
    </w:p>
    <w:p w14:paraId="3985B2A6" w14:textId="77777777" w:rsidR="00432323" w:rsidRPr="00513B38" w:rsidRDefault="00432323" w:rsidP="004D55F1">
      <w:pPr>
        <w:pStyle w:val="ListParagraph"/>
        <w:numPr>
          <w:ilvl w:val="0"/>
          <w:numId w:val="71"/>
        </w:numPr>
      </w:pPr>
      <w:r w:rsidRPr="00513B38">
        <w:t>Distribute and tie lateral structure sufficiently in each direction such that the removal (failure) of a bracing component would not lead to overall structural instability or torsional instability.</w:t>
      </w:r>
    </w:p>
    <w:p w14:paraId="59235BFA" w14:textId="3A1BB95D" w:rsidR="00432323" w:rsidRPr="00513B38" w:rsidRDefault="00432323" w:rsidP="004D55F1">
      <w:pPr>
        <w:pStyle w:val="ListParagraph"/>
        <w:numPr>
          <w:ilvl w:val="0"/>
          <w:numId w:val="71"/>
        </w:numPr>
      </w:pPr>
      <w:r w:rsidRPr="00513B38">
        <w:t>Minimise the length of roof or floor diaphragm and collector load paths, and concentration of demands, by using distributed vertical bracing elements across a floor plate (which also improves redundancy). This needs to be balanced against a desire to avoid over-constraining spaces</w:t>
      </w:r>
      <w:r w:rsidR="00391BBB">
        <w:t xml:space="preserve"> </w:t>
      </w:r>
      <w:r w:rsidRPr="00513B38">
        <w:t>but very large floor plates or roof areas with only a few lateral bracing elements should be avoided.</w:t>
      </w:r>
    </w:p>
    <w:p w14:paraId="3C8C5F36" w14:textId="77777777" w:rsidR="00432323" w:rsidRPr="00513B38" w:rsidRDefault="00432323" w:rsidP="004D55F1">
      <w:pPr>
        <w:pStyle w:val="ListParagraph"/>
        <w:numPr>
          <w:ilvl w:val="0"/>
          <w:numId w:val="71"/>
        </w:numPr>
      </w:pPr>
      <w:r w:rsidRPr="00513B38">
        <w:t>Consider limiting overall building dimensions and avoiding the need to carry lateral stability loads and tying over long distances. This may involve introducing seismic separations at logical locations.</w:t>
      </w:r>
    </w:p>
    <w:p w14:paraId="702D68D7" w14:textId="77777777" w:rsidR="00432323" w:rsidRPr="00513B38" w:rsidRDefault="00432323"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If large or irregularly shaped floor plates are proposed, then the benefits of providing expansion joints to ground floor slabs (or fully restrained slab reinforcing design) and seismic joints to superstructure should be considered. Example configurations and suggested proportions applicable to low-rise structures are shown in the figures below.</w:t>
      </w:r>
    </w:p>
    <w:p w14:paraId="191BF239" w14:textId="77777777" w:rsidR="00432323" w:rsidRPr="00513B38" w:rsidRDefault="00432323"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t>It is important to balance the cost and complexity of introducing superstructure seismic joints against enhanced performance that is realised through regular structural design.</w:t>
      </w:r>
    </w:p>
    <w:p w14:paraId="602840C2" w14:textId="77F5FF94" w:rsidR="00432323" w:rsidRPr="00513B38" w:rsidRDefault="00432323"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513B38">
        <w:lastRenderedPageBreak/>
        <w:t>Seismic separations do create upfront cost, area inefficiencies, everyday enclosure performance and maintenance risks. Within reason, longer plan aspect ratios and some irregular plans can perform satisfactorily</w:t>
      </w:r>
      <w:r w:rsidR="00391BBB">
        <w:t xml:space="preserve"> </w:t>
      </w:r>
      <w:r w:rsidRPr="00513B38">
        <w:t>if the lateral structure is regularly placed and well tied. More engineering consideration will need to be given to proportioning of floor and roof diaphragm ties in such cases. This generally results in the specific provision of additional struts</w:t>
      </w:r>
      <w:r w:rsidR="00391BBB">
        <w:t xml:space="preserve"> </w:t>
      </w:r>
      <w:r w:rsidRPr="00513B38">
        <w:t>and less reliance on the inherent capacity of purlins and the like (which due to their stability, end connections and eccentricities, are limited in their ability to provide the necessary tying at this scale).</w:t>
      </w:r>
    </w:p>
    <w:p w14:paraId="03493A55" w14:textId="77777777" w:rsidR="00432323" w:rsidRPr="00513B38" w:rsidRDefault="00432323" w:rsidP="00F01B3E">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color w:val="FF0000"/>
        </w:rPr>
      </w:pPr>
      <w:r w:rsidRPr="00513B38">
        <w:t>Performance considerations must include ground deformation such as liquefaction induced lateral spread, and differential settlements.</w:t>
      </w:r>
    </w:p>
    <w:p w14:paraId="2B4F78EA" w14:textId="77777777" w:rsidR="00432323" w:rsidRDefault="00432323" w:rsidP="00666E06">
      <w:r w:rsidRPr="00EB0E06">
        <w:rPr>
          <w:noProof/>
          <w:lang w:eastAsia="en-NZ"/>
        </w:rPr>
        <w:drawing>
          <wp:inline distT="0" distB="0" distL="0" distR="0" wp14:anchorId="4CBC0E1A" wp14:editId="6575DE20">
            <wp:extent cx="3443684" cy="3455893"/>
            <wp:effectExtent l="0" t="0" r="4445" b="0"/>
            <wp:docPr id="1335211686" name="Picture 1335211686" descr="A diagram of a rectangular object with red and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11686" name="Picture 1335211686" descr="A diagram of a rectangular object with red and green lines&#10;&#10;Description automatically generated"/>
                    <pic:cNvPicPr/>
                  </pic:nvPicPr>
                  <pic:blipFill>
                    <a:blip r:embed="rId103" cstate="print">
                      <a:extLst>
                        <a:ext uri="{28A0092B-C50C-407E-A947-70E740481C1C}">
                          <a14:useLocalDpi xmlns:a14="http://schemas.microsoft.com/office/drawing/2010/main"/>
                        </a:ext>
                      </a:extLst>
                    </a:blip>
                    <a:stretch>
                      <a:fillRect/>
                    </a:stretch>
                  </pic:blipFill>
                  <pic:spPr>
                    <a:xfrm>
                      <a:off x="0" y="0"/>
                      <a:ext cx="3457374" cy="3469632"/>
                    </a:xfrm>
                    <a:prstGeom prst="rect">
                      <a:avLst/>
                    </a:prstGeom>
                  </pic:spPr>
                </pic:pic>
              </a:graphicData>
            </a:graphic>
          </wp:inline>
        </w:drawing>
      </w:r>
      <w:r w:rsidR="00950BA2" w:rsidRPr="00EB0E06">
        <w:rPr>
          <w:noProof/>
        </w:rPr>
        <w:object w:dxaOrig="7709" w:dyaOrig="4591" w14:anchorId="5B9C6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108pt" o:ole="">
            <v:imagedata r:id="rId104" o:title=""/>
          </v:shape>
          <o:OLEObject Type="Embed" ProgID="Visio.Drawing.11" ShapeID="_x0000_i1025" DrawAspect="Content" ObjectID="_1814600687" r:id="rId105"/>
        </w:object>
      </w:r>
    </w:p>
    <w:p w14:paraId="22DE7F08" w14:textId="2F0BA4CB" w:rsidR="00432323" w:rsidRDefault="00432323" w:rsidP="00F01B3E">
      <w:pPr>
        <w:pStyle w:val="Figure"/>
        <w:rPr>
          <w:sz w:val="20"/>
          <w:szCs w:val="20"/>
        </w:rPr>
      </w:pPr>
      <w:bookmarkStart w:id="372" w:name="_Ref180128007"/>
      <w:r w:rsidRPr="00513B01">
        <w:rPr>
          <w:sz w:val="20"/>
          <w:szCs w:val="20"/>
        </w:rPr>
        <w:t xml:space="preserve">Figure </w:t>
      </w:r>
      <w:r w:rsidR="0062088B" w:rsidRPr="00513B01">
        <w:rPr>
          <w:sz w:val="20"/>
          <w:szCs w:val="20"/>
        </w:rPr>
        <w:fldChar w:fldCharType="begin"/>
      </w:r>
      <w:r w:rsidR="0062088B" w:rsidRPr="00513B01">
        <w:rPr>
          <w:sz w:val="20"/>
          <w:szCs w:val="20"/>
        </w:rPr>
        <w:instrText xml:space="preserve"> SEQ Figure \* ARABIC </w:instrText>
      </w:r>
      <w:r w:rsidR="0062088B" w:rsidRPr="00513B01">
        <w:rPr>
          <w:sz w:val="20"/>
          <w:szCs w:val="20"/>
        </w:rPr>
        <w:fldChar w:fldCharType="separate"/>
      </w:r>
      <w:r w:rsidR="00513B01">
        <w:rPr>
          <w:noProof/>
          <w:sz w:val="20"/>
          <w:szCs w:val="20"/>
        </w:rPr>
        <w:t>14</w:t>
      </w:r>
      <w:r w:rsidR="0062088B" w:rsidRPr="00513B01">
        <w:rPr>
          <w:noProof/>
          <w:sz w:val="20"/>
          <w:szCs w:val="20"/>
        </w:rPr>
        <w:fldChar w:fldCharType="end"/>
      </w:r>
      <w:bookmarkEnd w:id="372"/>
      <w:r w:rsidRPr="00513B01">
        <w:rPr>
          <w:sz w:val="20"/>
          <w:szCs w:val="20"/>
        </w:rPr>
        <w:t>: Indicative positioning of expansion joints in floor slabs and seismic joints in superstructures of single storey structures to maximise regularity. Floor slab joints can be minimised by design of fully restrained slab systems, generally requiring higher reinforcing contents to manage crack control.</w:t>
      </w:r>
    </w:p>
    <w:p w14:paraId="7F617D31" w14:textId="77777777" w:rsidR="00252D58" w:rsidRDefault="00252D58" w:rsidP="00F01B3E">
      <w:pPr>
        <w:pStyle w:val="Figure"/>
        <w:rPr>
          <w:sz w:val="20"/>
          <w:szCs w:val="20"/>
        </w:rPr>
      </w:pPr>
    </w:p>
    <w:p w14:paraId="5DB8E562" w14:textId="77777777" w:rsidR="00252D58" w:rsidRDefault="00252D58" w:rsidP="00F01B3E">
      <w:pPr>
        <w:pStyle w:val="Figure"/>
        <w:rPr>
          <w:sz w:val="20"/>
          <w:szCs w:val="20"/>
        </w:rPr>
      </w:pPr>
    </w:p>
    <w:p w14:paraId="6AA8D3BC" w14:textId="77777777" w:rsidR="00252D58" w:rsidRDefault="00252D58" w:rsidP="00F01B3E">
      <w:pPr>
        <w:pStyle w:val="Figure"/>
        <w:rPr>
          <w:sz w:val="20"/>
          <w:szCs w:val="20"/>
        </w:rPr>
      </w:pPr>
    </w:p>
    <w:p w14:paraId="2D830DF0" w14:textId="571859B3" w:rsidR="00197FD3" w:rsidRPr="00513B38" w:rsidRDefault="00197FD3" w:rsidP="00F01B3E">
      <w:pPr>
        <w:pStyle w:val="Section3heading2"/>
      </w:pPr>
      <w:bookmarkStart w:id="373" w:name="_Ref166328881"/>
      <w:bookmarkStart w:id="374" w:name="_Toc203642010"/>
      <w:r w:rsidRPr="00513B38">
        <w:lastRenderedPageBreak/>
        <w:t>Lightweight Construction Techniques used in non-Specific Engineering Design</w:t>
      </w:r>
      <w:bookmarkEnd w:id="373"/>
      <w:bookmarkEnd w:id="374"/>
    </w:p>
    <w:p w14:paraId="63A24CA1" w14:textId="7FA942CE" w:rsidR="00756A08" w:rsidRPr="00B2286F" w:rsidRDefault="00737A38" w:rsidP="00F01B3E">
      <w:pPr>
        <w:pStyle w:val="Section3heading3"/>
      </w:pPr>
      <w:r w:rsidRPr="00B2286F">
        <w:t>Background</w:t>
      </w:r>
    </w:p>
    <w:p w14:paraId="4797A2BF" w14:textId="364B338D" w:rsidR="00756A08" w:rsidRPr="00B2286F" w:rsidRDefault="00756A08" w:rsidP="00666E06">
      <w:r w:rsidRPr="00B2286F">
        <w:t>In low-rise</w:t>
      </w:r>
      <w:r w:rsidR="00333D5A" w:rsidRPr="00B2286F">
        <w:t xml:space="preserve"> and single storey healthcare facilities, </w:t>
      </w:r>
      <w:r w:rsidR="008F5671" w:rsidRPr="00B2286F">
        <w:t>when selecting</w:t>
      </w:r>
      <w:r w:rsidR="008D4889" w:rsidRPr="00B2286F">
        <w:t xml:space="preserve"> primary structural systems</w:t>
      </w:r>
      <w:r w:rsidR="00B14385" w:rsidRPr="00B2286F">
        <w:t xml:space="preserve">, </w:t>
      </w:r>
      <w:r w:rsidR="005450E1" w:rsidRPr="00B2286F">
        <w:t>many will</w:t>
      </w:r>
      <w:r w:rsidR="00416D90" w:rsidRPr="00B2286F">
        <w:t xml:space="preserve"> explor</w:t>
      </w:r>
      <w:r w:rsidR="00942F56" w:rsidRPr="00B2286F">
        <w:t>e</w:t>
      </w:r>
      <w:r w:rsidR="00416D90" w:rsidRPr="00B2286F">
        <w:t xml:space="preserve"> </w:t>
      </w:r>
      <w:r w:rsidR="00431F39" w:rsidRPr="00B2286F">
        <w:t xml:space="preserve">the </w:t>
      </w:r>
      <w:r w:rsidR="007C4E3F" w:rsidRPr="00B2286F">
        <w:t xml:space="preserve">use of lightweight </w:t>
      </w:r>
      <w:r w:rsidR="00280CA4" w:rsidRPr="00B2286F">
        <w:t>building</w:t>
      </w:r>
      <w:r w:rsidR="00431F39" w:rsidRPr="00B2286F">
        <w:t xml:space="preserve"> </w:t>
      </w:r>
      <w:r w:rsidR="00833F1A" w:rsidRPr="00B2286F">
        <w:t xml:space="preserve">techniques commonly </w:t>
      </w:r>
      <w:r w:rsidR="006D1CE0" w:rsidRPr="00B2286F">
        <w:t xml:space="preserve">used in </w:t>
      </w:r>
      <w:r w:rsidR="005E1F42" w:rsidRPr="00B2286F">
        <w:t xml:space="preserve">construction </w:t>
      </w:r>
      <w:r w:rsidR="00C65AD7" w:rsidRPr="00B2286F">
        <w:t>which</w:t>
      </w:r>
      <w:r w:rsidR="005E1F42" w:rsidRPr="00B2286F">
        <w:t xml:space="preserve"> doesn’t require </w:t>
      </w:r>
      <w:r w:rsidR="006D1CE0" w:rsidRPr="00B2286F">
        <w:t>specific</w:t>
      </w:r>
      <w:r w:rsidR="005E1F42" w:rsidRPr="00B2286F">
        <w:t xml:space="preserve"> engineer</w:t>
      </w:r>
      <w:r w:rsidR="00C65AD7" w:rsidRPr="00B2286F">
        <w:t>ing</w:t>
      </w:r>
      <w:r w:rsidR="006D1CE0" w:rsidRPr="00B2286F">
        <w:t xml:space="preserve"> design.</w:t>
      </w:r>
      <w:r w:rsidR="00714C2B" w:rsidRPr="00B2286F">
        <w:t xml:space="preserve"> </w:t>
      </w:r>
      <w:r w:rsidR="008726E0" w:rsidRPr="00B2286F">
        <w:t xml:space="preserve">In some </w:t>
      </w:r>
      <w:r w:rsidR="009C7DDA" w:rsidRPr="00B2286F">
        <w:t>cases,</w:t>
      </w:r>
      <w:r w:rsidR="00714C2B" w:rsidRPr="00B2286F">
        <w:t xml:space="preserve"> the</w:t>
      </w:r>
      <w:r w:rsidR="00431F39" w:rsidRPr="00B2286F">
        <w:t>ir</w:t>
      </w:r>
      <w:r w:rsidR="00714C2B" w:rsidRPr="00B2286F">
        <w:t xml:space="preserve"> </w:t>
      </w:r>
      <w:r w:rsidR="003154CC" w:rsidRPr="00B2286F">
        <w:t xml:space="preserve">application </w:t>
      </w:r>
      <w:r w:rsidR="00B14385" w:rsidRPr="00B2286F">
        <w:t>will</w:t>
      </w:r>
      <w:r w:rsidR="003154CC" w:rsidRPr="00B2286F">
        <w:t xml:space="preserve"> be outside the </w:t>
      </w:r>
      <w:r w:rsidR="009852EB" w:rsidRPr="00B2286F">
        <w:t xml:space="preserve">defined </w:t>
      </w:r>
      <w:r w:rsidR="003154CC" w:rsidRPr="00B2286F">
        <w:t xml:space="preserve">scope of the </w:t>
      </w:r>
      <w:r w:rsidR="00714C2B" w:rsidRPr="00B2286F">
        <w:t xml:space="preserve">Acceptable </w:t>
      </w:r>
      <w:r w:rsidR="003154CC" w:rsidRPr="00B2286F">
        <w:t xml:space="preserve">Solutions (B1/AS1), but designers </w:t>
      </w:r>
      <w:r w:rsidR="00AE18DC" w:rsidRPr="00B2286F">
        <w:t>often</w:t>
      </w:r>
      <w:r w:rsidR="003154CC" w:rsidRPr="00B2286F">
        <w:t xml:space="preserve"> consider utilising similar </w:t>
      </w:r>
      <w:r w:rsidR="00AD6473" w:rsidRPr="00B2286F">
        <w:t>construction techniques with specific engineering design</w:t>
      </w:r>
      <w:r w:rsidR="00184E15">
        <w:t xml:space="preserve"> (SED)</w:t>
      </w:r>
      <w:r w:rsidR="00AD6473" w:rsidRPr="00B2286F">
        <w:t xml:space="preserve"> input.</w:t>
      </w:r>
      <w:r w:rsidR="00560EB5" w:rsidRPr="00B2286F">
        <w:t xml:space="preserve"> </w:t>
      </w:r>
      <w:r w:rsidR="005851EE" w:rsidRPr="00B2286F">
        <w:t>Examples</w:t>
      </w:r>
      <w:r w:rsidR="00560EB5" w:rsidRPr="00B2286F">
        <w:t xml:space="preserve"> include:</w:t>
      </w:r>
    </w:p>
    <w:p w14:paraId="2118155B" w14:textId="6DFA2C8C" w:rsidR="007F6574" w:rsidRPr="00B2286F" w:rsidRDefault="006C7B80" w:rsidP="004D55F1">
      <w:pPr>
        <w:pStyle w:val="ListParagraph"/>
        <w:numPr>
          <w:ilvl w:val="0"/>
          <w:numId w:val="65"/>
        </w:numPr>
      </w:pPr>
      <w:r w:rsidRPr="00B2286F">
        <w:t>Applying aspects of NZS 3604</w:t>
      </w:r>
      <w:r w:rsidR="00EA33C8" w:rsidRPr="00B2286F">
        <w:t xml:space="preserve"> </w:t>
      </w:r>
      <w:sdt>
        <w:sdtPr>
          <w:id w:val="253563453"/>
          <w:citation/>
        </w:sdtPr>
        <w:sdtEndPr/>
        <w:sdtContent>
          <w:r w:rsidR="00EA33C8" w:rsidRPr="00B2286F">
            <w:fldChar w:fldCharType="begin"/>
          </w:r>
          <w:r w:rsidR="00EA33C8" w:rsidRPr="00B2286F">
            <w:rPr>
              <w:lang w:val="en-US"/>
            </w:rPr>
            <w:instrText xml:space="preserve"> CITATION SNZ111 \l 1033 </w:instrText>
          </w:r>
          <w:r w:rsidR="00EA33C8" w:rsidRPr="00B2286F">
            <w:fldChar w:fldCharType="separate"/>
          </w:r>
          <w:r w:rsidR="00222D65">
            <w:rPr>
              <w:noProof/>
              <w:lang w:val="en-US"/>
            </w:rPr>
            <w:t>(SNZ, 2011)</w:t>
          </w:r>
          <w:r w:rsidR="00EA33C8" w:rsidRPr="00B2286F">
            <w:fldChar w:fldCharType="end"/>
          </w:r>
        </w:sdtContent>
      </w:sdt>
      <w:r w:rsidR="00EA33C8" w:rsidRPr="00B2286F">
        <w:t xml:space="preserve"> for</w:t>
      </w:r>
      <w:r w:rsidR="00635EBE" w:rsidRPr="00B2286F">
        <w:t xml:space="preserve"> light timber framed </w:t>
      </w:r>
      <w:r w:rsidRPr="00B2286F">
        <w:t>buildings</w:t>
      </w:r>
      <w:r w:rsidR="00EA33C8" w:rsidRPr="00B2286F">
        <w:t xml:space="preserve"> or NASH Standard</w:t>
      </w:r>
      <w:r w:rsidR="00100C9D" w:rsidRPr="00B2286F">
        <w:t xml:space="preserve"> Part 2 </w:t>
      </w:r>
      <w:sdt>
        <w:sdtPr>
          <w:id w:val="1569536749"/>
          <w:citation/>
        </w:sdtPr>
        <w:sdtEndPr/>
        <w:sdtContent>
          <w:r w:rsidR="00100C9D" w:rsidRPr="00B2286F">
            <w:fldChar w:fldCharType="begin"/>
          </w:r>
          <w:r w:rsidR="00100C9D" w:rsidRPr="00B2286F">
            <w:rPr>
              <w:lang w:val="en-US"/>
            </w:rPr>
            <w:instrText xml:space="preserve"> CITATION NAS19 \l 1033 </w:instrText>
          </w:r>
          <w:r w:rsidR="00100C9D" w:rsidRPr="00B2286F">
            <w:fldChar w:fldCharType="separate"/>
          </w:r>
          <w:r w:rsidR="00222D65">
            <w:rPr>
              <w:noProof/>
              <w:lang w:val="en-US"/>
            </w:rPr>
            <w:t>(NASH, 2019)</w:t>
          </w:r>
          <w:r w:rsidR="00100C9D" w:rsidRPr="00B2286F">
            <w:fldChar w:fldCharType="end"/>
          </w:r>
        </w:sdtContent>
      </w:sdt>
      <w:r w:rsidR="00100C9D" w:rsidRPr="00B2286F">
        <w:t xml:space="preserve"> for light steel framed buildings </w:t>
      </w:r>
      <w:r w:rsidRPr="00B2286F">
        <w:t xml:space="preserve">(whether or not </w:t>
      </w:r>
      <w:r w:rsidR="00100C9D" w:rsidRPr="00B2286F">
        <w:t>these documents and B1/AS1 are followed as the compliance pathway</w:t>
      </w:r>
      <w:r w:rsidRPr="00B2286F">
        <w:t>)</w:t>
      </w:r>
      <w:r w:rsidR="007F6574" w:rsidRPr="00B2286F">
        <w:t>.</w:t>
      </w:r>
    </w:p>
    <w:p w14:paraId="19687081" w14:textId="41F21623" w:rsidR="001E48D1" w:rsidRPr="00B2286F" w:rsidRDefault="001E48D1" w:rsidP="004D55F1">
      <w:pPr>
        <w:pStyle w:val="ListParagraph"/>
        <w:numPr>
          <w:ilvl w:val="0"/>
          <w:numId w:val="65"/>
        </w:numPr>
      </w:pPr>
      <w:r w:rsidRPr="00B2286F">
        <w:t xml:space="preserve">Use of </w:t>
      </w:r>
      <w:r w:rsidR="007A0261" w:rsidRPr="00B2286F">
        <w:t>bracing walls</w:t>
      </w:r>
      <w:r w:rsidR="00DA57D6" w:rsidRPr="00B2286F">
        <w:t xml:space="preserve"> with </w:t>
      </w:r>
      <w:r w:rsidR="005767C1" w:rsidRPr="00B2286F">
        <w:t>specifically rated Bracing Unit</w:t>
      </w:r>
      <w:r w:rsidR="00560BD3" w:rsidRPr="00B2286F">
        <w:t xml:space="preserve"> (BU)</w:t>
      </w:r>
      <w:r w:rsidR="005767C1" w:rsidRPr="00B2286F">
        <w:t xml:space="preserve"> capacities </w:t>
      </w:r>
      <w:r w:rsidR="008201ED" w:rsidRPr="00B2286F">
        <w:t xml:space="preserve">using the </w:t>
      </w:r>
      <w:r w:rsidR="005767C1" w:rsidRPr="00B2286F">
        <w:rPr>
          <w:i/>
          <w:iCs/>
        </w:rPr>
        <w:t xml:space="preserve">BRANZ P21 </w:t>
      </w:r>
      <w:r w:rsidR="00560BD3" w:rsidRPr="00B2286F">
        <w:rPr>
          <w:i/>
          <w:iCs/>
        </w:rPr>
        <w:t>bracing wall</w:t>
      </w:r>
      <w:r w:rsidR="007E252D" w:rsidRPr="00B2286F">
        <w:rPr>
          <w:i/>
          <w:iCs/>
        </w:rPr>
        <w:t xml:space="preserve"> test and evaluation procedure</w:t>
      </w:r>
      <w:r w:rsidR="007E252D" w:rsidRPr="00B2286F">
        <w:t xml:space="preserve"> </w:t>
      </w:r>
      <w:sdt>
        <w:sdtPr>
          <w:id w:val="122345755"/>
          <w:citation/>
        </w:sdtPr>
        <w:sdtEndPr/>
        <w:sdtContent>
          <w:r w:rsidR="007E252D" w:rsidRPr="00B2286F">
            <w:fldChar w:fldCharType="begin"/>
          </w:r>
          <w:r w:rsidR="00796981" w:rsidRPr="00B2286F">
            <w:rPr>
              <w:lang w:val="en-US"/>
            </w:rPr>
            <w:instrText xml:space="preserve">CITATION BRA10 \l 1033 </w:instrText>
          </w:r>
          <w:r w:rsidR="007E252D" w:rsidRPr="00B2286F">
            <w:fldChar w:fldCharType="separate"/>
          </w:r>
          <w:r w:rsidR="00222D65">
            <w:rPr>
              <w:noProof/>
              <w:lang w:val="en-US"/>
            </w:rPr>
            <w:t>(BRANZ, 2010)</w:t>
          </w:r>
          <w:r w:rsidR="007E252D" w:rsidRPr="00B2286F">
            <w:fldChar w:fldCharType="end"/>
          </w:r>
        </w:sdtContent>
      </w:sdt>
      <w:r w:rsidR="008201ED" w:rsidRPr="00B2286F">
        <w:t xml:space="preserve"> intended for use with NZS 3604</w:t>
      </w:r>
      <w:r w:rsidR="00953425" w:rsidRPr="00B2286F">
        <w:t xml:space="preserve"> or the NASH Standard Part 2 both under </w:t>
      </w:r>
      <w:r w:rsidR="008201ED" w:rsidRPr="00B2286F">
        <w:t>B1/AS1.</w:t>
      </w:r>
    </w:p>
    <w:p w14:paraId="14223B72" w14:textId="7760EF52" w:rsidR="0082577A" w:rsidRPr="00B2286F" w:rsidRDefault="0082577A" w:rsidP="004D55F1">
      <w:pPr>
        <w:pStyle w:val="ListParagraph"/>
        <w:numPr>
          <w:ilvl w:val="0"/>
          <w:numId w:val="65"/>
        </w:numPr>
      </w:pPr>
      <w:r w:rsidRPr="00B2286F">
        <w:t xml:space="preserve">Reinforced concrete masonry </w:t>
      </w:r>
      <w:r w:rsidR="0019317B" w:rsidRPr="00B2286F">
        <w:t xml:space="preserve">NZS </w:t>
      </w:r>
      <w:r w:rsidR="00B10E42" w:rsidRPr="00B2286F">
        <w:t xml:space="preserve">4210 or NZS 4229 </w:t>
      </w:r>
      <w:r w:rsidRPr="00B2286F">
        <w:t>(specifically engineered</w:t>
      </w:r>
      <w:r w:rsidR="0019317B" w:rsidRPr="00B2286F">
        <w:t xml:space="preserve"> or not subject to specific engineering design</w:t>
      </w:r>
      <w:r w:rsidR="00E54139">
        <w:t>, respectively</w:t>
      </w:r>
      <w:r w:rsidRPr="00B2286F">
        <w:t>)</w:t>
      </w:r>
      <w:r w:rsidR="0019317B" w:rsidRPr="00B2286F">
        <w:t>.</w:t>
      </w:r>
    </w:p>
    <w:p w14:paraId="5C97C02A" w14:textId="1C559FB4" w:rsidR="004215FF" w:rsidRPr="00B2286F" w:rsidRDefault="004215FF" w:rsidP="004D55F1">
      <w:pPr>
        <w:pStyle w:val="ListParagraph"/>
        <w:numPr>
          <w:ilvl w:val="0"/>
          <w:numId w:val="65"/>
        </w:numPr>
      </w:pPr>
      <w:r w:rsidRPr="00B2286F">
        <w:t>Hybrid</w:t>
      </w:r>
      <w:r w:rsidR="00DA57D6" w:rsidRPr="00B2286F">
        <w:t xml:space="preserve"> structures using a mixture of materials and standards, often in conjunction with</w:t>
      </w:r>
      <w:r w:rsidR="00237156" w:rsidRPr="00B2286F">
        <w:t xml:space="preserve"> varying extents of</w:t>
      </w:r>
      <w:r w:rsidR="00DA57D6" w:rsidRPr="00B2286F">
        <w:t xml:space="preserve"> structural steelwork.</w:t>
      </w:r>
    </w:p>
    <w:p w14:paraId="39FE34F3" w14:textId="14C854B6" w:rsidR="005C5148" w:rsidRPr="00B2286F" w:rsidRDefault="007D5C79" w:rsidP="00666E06">
      <w:r>
        <w:t xml:space="preserve">Health NZ </w:t>
      </w:r>
      <w:r w:rsidR="00572298" w:rsidRPr="00B2286F">
        <w:t>recognise that t</w:t>
      </w:r>
      <w:r w:rsidR="00133F13" w:rsidRPr="00B2286F">
        <w:t xml:space="preserve">here can be benefits in </w:t>
      </w:r>
      <w:r w:rsidR="00237156" w:rsidRPr="00B2286F">
        <w:t>us</w:t>
      </w:r>
      <w:r w:rsidR="00074860" w:rsidRPr="00B2286F">
        <w:t>ing</w:t>
      </w:r>
      <w:r w:rsidR="00133F13" w:rsidRPr="00B2286F">
        <w:t xml:space="preserve"> </w:t>
      </w:r>
      <w:r w:rsidR="00E54139">
        <w:t xml:space="preserve">simple </w:t>
      </w:r>
      <w:r w:rsidR="00133F13" w:rsidRPr="00B2286F">
        <w:t>construction types</w:t>
      </w:r>
      <w:r w:rsidR="005253E3" w:rsidRPr="00B2286F">
        <w:t xml:space="preserve"> with a more widely accessible skill base, and in utilising fitout elements </w:t>
      </w:r>
      <w:r w:rsidR="0059153B" w:rsidRPr="00B2286F">
        <w:t>(</w:t>
      </w:r>
      <w:r w:rsidR="001764AA" w:rsidRPr="00B2286F">
        <w:t>that are already proposed</w:t>
      </w:r>
      <w:r w:rsidR="0059153B" w:rsidRPr="00B2286F">
        <w:t>) for primary structural support as well</w:t>
      </w:r>
      <w:r w:rsidR="005253E3" w:rsidRPr="00B2286F">
        <w:t xml:space="preserve">. </w:t>
      </w:r>
      <w:r w:rsidR="000109D5" w:rsidRPr="00B2286F">
        <w:rPr>
          <w:b/>
          <w:bCs/>
        </w:rPr>
        <w:t>However,</w:t>
      </w:r>
      <w:r w:rsidR="005253E3" w:rsidRPr="00B2286F">
        <w:rPr>
          <w:b/>
          <w:bCs/>
        </w:rPr>
        <w:t xml:space="preserve"> there are </w:t>
      </w:r>
      <w:r w:rsidR="00E42FD8" w:rsidRPr="00B2286F">
        <w:rPr>
          <w:b/>
          <w:bCs/>
        </w:rPr>
        <w:t xml:space="preserve">also </w:t>
      </w:r>
      <w:r w:rsidR="005253E3" w:rsidRPr="00B2286F">
        <w:rPr>
          <w:b/>
          <w:bCs/>
        </w:rPr>
        <w:t xml:space="preserve">some significant performance risks </w:t>
      </w:r>
      <w:r w:rsidR="005851EE" w:rsidRPr="00B2286F">
        <w:rPr>
          <w:b/>
          <w:bCs/>
        </w:rPr>
        <w:t>a</w:t>
      </w:r>
      <w:r w:rsidR="00133F13" w:rsidRPr="00B2286F">
        <w:rPr>
          <w:b/>
          <w:bCs/>
        </w:rPr>
        <w:t>nd risks in execution</w:t>
      </w:r>
      <w:r w:rsidR="005851EE" w:rsidRPr="00B2286F">
        <w:rPr>
          <w:b/>
          <w:bCs/>
        </w:rPr>
        <w:t xml:space="preserve"> that need to be considered</w:t>
      </w:r>
      <w:r w:rsidR="002155D7" w:rsidRPr="00B2286F">
        <w:t>, including</w:t>
      </w:r>
      <w:r w:rsidR="005851EE" w:rsidRPr="00B2286F">
        <w:t>:</w:t>
      </w:r>
    </w:p>
    <w:p w14:paraId="4A92D95D" w14:textId="0EB95914" w:rsidR="00133F13" w:rsidRPr="00B2286F" w:rsidRDefault="000109D5" w:rsidP="004D55F1">
      <w:pPr>
        <w:pStyle w:val="ListParagraph"/>
        <w:numPr>
          <w:ilvl w:val="0"/>
          <w:numId w:val="66"/>
        </w:numPr>
      </w:pPr>
      <w:r w:rsidRPr="00B2286F">
        <w:t xml:space="preserve">Understanding appropriate use </w:t>
      </w:r>
      <w:r w:rsidR="00F46D17" w:rsidRPr="00B2286F">
        <w:t>of</w:t>
      </w:r>
      <w:r w:rsidR="006A1503" w:rsidRPr="00B2286F">
        <w:t xml:space="preserve"> P21 </w:t>
      </w:r>
      <w:r w:rsidR="000D356F" w:rsidRPr="00B2286F">
        <w:t>tested</w:t>
      </w:r>
      <w:r w:rsidR="006A1503" w:rsidRPr="00B2286F">
        <w:t xml:space="preserve"> bracing</w:t>
      </w:r>
      <w:r w:rsidR="002155D7" w:rsidRPr="00B2286F">
        <w:t xml:space="preserve"> walls</w:t>
      </w:r>
      <w:r w:rsidR="006A1503" w:rsidRPr="00B2286F">
        <w:t>, which</w:t>
      </w:r>
      <w:r w:rsidR="00A561C4" w:rsidRPr="00B2286F">
        <w:t xml:space="preserve"> </w:t>
      </w:r>
      <w:r w:rsidR="006A1503" w:rsidRPr="00B2286F">
        <w:t>is an Alternative Solution to the Building Code</w:t>
      </w:r>
      <w:r w:rsidR="000D356F" w:rsidRPr="00B2286F">
        <w:t xml:space="preserve"> </w:t>
      </w:r>
      <w:r w:rsidR="000B5C09" w:rsidRPr="00B2286F">
        <w:t xml:space="preserve">for Importance Levels 3 and 4 </w:t>
      </w:r>
      <w:sdt>
        <w:sdtPr>
          <w:id w:val="-2052531487"/>
          <w:citation/>
        </w:sdtPr>
        <w:sdtEndPr/>
        <w:sdtContent>
          <w:r w:rsidR="00724F0B" w:rsidRPr="00B2286F">
            <w:fldChar w:fldCharType="begin"/>
          </w:r>
          <w:r w:rsidR="00724F0B" w:rsidRPr="00B2286F">
            <w:rPr>
              <w:lang w:val="en-US"/>
            </w:rPr>
            <w:instrText xml:space="preserve"> CITATION Pra22 \l 1033 </w:instrText>
          </w:r>
          <w:r w:rsidR="00724F0B" w:rsidRPr="00B2286F">
            <w:fldChar w:fldCharType="separate"/>
          </w:r>
          <w:r w:rsidR="00222D65">
            <w:rPr>
              <w:noProof/>
              <w:lang w:val="en-US"/>
            </w:rPr>
            <w:t>(Pratchett, 2022)</w:t>
          </w:r>
          <w:r w:rsidR="00724F0B" w:rsidRPr="00B2286F">
            <w:fldChar w:fldCharType="end"/>
          </w:r>
        </w:sdtContent>
      </w:sdt>
      <w:r w:rsidR="000D356F" w:rsidRPr="00B2286F">
        <w:t>.</w:t>
      </w:r>
    </w:p>
    <w:p w14:paraId="4F753EF4" w14:textId="4D160339" w:rsidR="00E87EA5" w:rsidRPr="00B2286F" w:rsidRDefault="00E87EA5" w:rsidP="004D55F1">
      <w:pPr>
        <w:pStyle w:val="ListParagraph"/>
        <w:numPr>
          <w:ilvl w:val="0"/>
          <w:numId w:val="66"/>
        </w:numPr>
      </w:pPr>
      <w:r w:rsidRPr="00B2286F">
        <w:t>The</w:t>
      </w:r>
      <w:r w:rsidR="00BC16E2" w:rsidRPr="00B2286F">
        <w:t xml:space="preserve"> earthquake</w:t>
      </w:r>
      <w:r w:rsidRPr="00B2286F">
        <w:t xml:space="preserve"> damage potential of P21 tested bracing </w:t>
      </w:r>
      <w:r w:rsidR="008E765D" w:rsidRPr="00B2286F">
        <w:t>systems</w:t>
      </w:r>
      <w:r w:rsidR="00AA081E" w:rsidRPr="00B2286F">
        <w:t xml:space="preserve"> and plasterboard ceiling diaphragm systems</w:t>
      </w:r>
      <w:r w:rsidRPr="00B2286F">
        <w:t xml:space="preserve">, </w:t>
      </w:r>
      <w:r w:rsidR="00A552C0" w:rsidRPr="00B2286F">
        <w:t xml:space="preserve">which </w:t>
      </w:r>
      <w:r w:rsidR="00532A78" w:rsidRPr="00B2286F">
        <w:t>are</w:t>
      </w:r>
      <w:r w:rsidR="00A552C0" w:rsidRPr="00B2286F">
        <w:t xml:space="preserve"> unlikely to meet</w:t>
      </w:r>
      <w:r w:rsidRPr="00B2286F">
        <w:t xml:space="preserve"> </w:t>
      </w:r>
      <w:r w:rsidRPr="00B2286F">
        <w:rPr>
          <w:b/>
        </w:rPr>
        <w:t>Asset Protection</w:t>
      </w:r>
      <w:r w:rsidR="000817B7" w:rsidRPr="00B2286F">
        <w:t xml:space="preserve"> and </w:t>
      </w:r>
      <w:r w:rsidR="000817B7" w:rsidRPr="00B2286F">
        <w:rPr>
          <w:b/>
        </w:rPr>
        <w:t>Continued Functionality</w:t>
      </w:r>
      <w:r w:rsidR="000817B7" w:rsidRPr="00B2286F">
        <w:t xml:space="preserve"> objectives </w:t>
      </w:r>
      <w:r w:rsidR="00A552C0" w:rsidRPr="00B2286F">
        <w:t xml:space="preserve">without </w:t>
      </w:r>
      <w:r w:rsidR="00D83E58">
        <w:t xml:space="preserve">some </w:t>
      </w:r>
      <w:r w:rsidR="00A552C0" w:rsidRPr="00B2286F">
        <w:t>special engineering considerations</w:t>
      </w:r>
      <w:r w:rsidR="000817B7" w:rsidRPr="00B2286F">
        <w:t>.</w:t>
      </w:r>
    </w:p>
    <w:p w14:paraId="33523408" w14:textId="78230345" w:rsidR="00BC16E2" w:rsidRPr="00B2286F" w:rsidRDefault="00845D89" w:rsidP="004D55F1">
      <w:pPr>
        <w:pStyle w:val="ListParagraph"/>
        <w:numPr>
          <w:ilvl w:val="0"/>
          <w:numId w:val="66"/>
        </w:numPr>
      </w:pPr>
      <w:r w:rsidRPr="00B2286F">
        <w:t>R</w:t>
      </w:r>
      <w:r w:rsidR="00E0226F" w:rsidRPr="00B2286F">
        <w:t xml:space="preserve">isk </w:t>
      </w:r>
      <w:r w:rsidR="003B1443" w:rsidRPr="00B2286F">
        <w:t>of load path discontinuities from mis-conveyed design intent</w:t>
      </w:r>
      <w:r w:rsidR="002530DF" w:rsidRPr="00B2286F">
        <w:t xml:space="preserve">. This </w:t>
      </w:r>
      <w:r w:rsidR="008A1572" w:rsidRPr="00B2286F">
        <w:t xml:space="preserve">can </w:t>
      </w:r>
      <w:r w:rsidR="002530DF" w:rsidRPr="00B2286F">
        <w:t>include</w:t>
      </w:r>
      <w:r w:rsidR="008A1572" w:rsidRPr="00B2286F">
        <w:t xml:space="preserve"> </w:t>
      </w:r>
      <w:r w:rsidR="003B1443" w:rsidRPr="00B2286F">
        <w:t xml:space="preserve">over-reliance on </w:t>
      </w:r>
      <w:r w:rsidR="004C19D1" w:rsidRPr="00B2286F">
        <w:t>“</w:t>
      </w:r>
      <w:r w:rsidR="003B1443" w:rsidRPr="00B2286F">
        <w:t>builders work</w:t>
      </w:r>
      <w:r w:rsidR="004C19D1" w:rsidRPr="00B2286F">
        <w:t>”</w:t>
      </w:r>
      <w:r w:rsidR="003B1443" w:rsidRPr="00B2286F">
        <w:t xml:space="preserve"> </w:t>
      </w:r>
      <w:r w:rsidR="008A1572" w:rsidRPr="00B2286F">
        <w:t xml:space="preserve">to adapt </w:t>
      </w:r>
      <w:r w:rsidR="004C19D1" w:rsidRPr="00B2286F">
        <w:t xml:space="preserve">details </w:t>
      </w:r>
      <w:r w:rsidR="007A7EAC" w:rsidRPr="00B2286F">
        <w:t>to</w:t>
      </w:r>
      <w:r w:rsidR="004C19D1" w:rsidRPr="00B2286F">
        <w:t xml:space="preserve"> intersections that are not common</w:t>
      </w:r>
      <w:r w:rsidR="005B3F10" w:rsidRPr="00B2286F">
        <w:t xml:space="preserve"> </w:t>
      </w:r>
      <w:r w:rsidR="004A377F" w:rsidRPr="00B2286F">
        <w:t>(</w:t>
      </w:r>
      <w:r w:rsidR="005B3F10" w:rsidRPr="00B2286F">
        <w:t xml:space="preserve">instead of </w:t>
      </w:r>
      <w:r w:rsidR="007A7EAC" w:rsidRPr="00B2286F">
        <w:t xml:space="preserve">them </w:t>
      </w:r>
      <w:r w:rsidR="00373D62" w:rsidRPr="00B2286F">
        <w:t xml:space="preserve">being </w:t>
      </w:r>
      <w:r w:rsidR="008A1572" w:rsidRPr="00B2286F">
        <w:t>specifically</w:t>
      </w:r>
      <w:r w:rsidR="00373D62" w:rsidRPr="00B2286F">
        <w:t xml:space="preserve"> engineered and detailed</w:t>
      </w:r>
      <w:r w:rsidR="004C19D1" w:rsidRPr="00B2286F">
        <w:t>)</w:t>
      </w:r>
      <w:r w:rsidR="007053BB" w:rsidRPr="00B2286F">
        <w:t xml:space="preserve">. </w:t>
      </w:r>
    </w:p>
    <w:p w14:paraId="55C20FB1" w14:textId="1AC578BB" w:rsidR="004C19D1" w:rsidRPr="00B2286F" w:rsidRDefault="004C19D1" w:rsidP="004D55F1">
      <w:pPr>
        <w:pStyle w:val="ListParagraph"/>
        <w:numPr>
          <w:ilvl w:val="0"/>
          <w:numId w:val="66"/>
        </w:numPr>
      </w:pPr>
      <w:r w:rsidRPr="00B2286F">
        <w:t xml:space="preserve">Difficulty in </w:t>
      </w:r>
      <w:r w:rsidR="00726D7D" w:rsidRPr="00B2286F">
        <w:t>managing alterations</w:t>
      </w:r>
      <w:r w:rsidR="00625E4E" w:rsidRPr="00B2286F">
        <w:t xml:space="preserve"> in the </w:t>
      </w:r>
      <w:r w:rsidR="007053BB" w:rsidRPr="00B2286F">
        <w:t>future and</w:t>
      </w:r>
      <w:r w:rsidR="00625E4E" w:rsidRPr="00B2286F">
        <w:t xml:space="preserve"> maintaining appropriate levels of compliance</w:t>
      </w:r>
      <w:r w:rsidR="00726D7D" w:rsidRPr="00B2286F">
        <w:t>.</w:t>
      </w:r>
      <w:r w:rsidR="00552D5B" w:rsidRPr="00B2286F">
        <w:t xml:space="preserve"> This also includes changes during design or construction that compromise or sever load paths</w:t>
      </w:r>
      <w:r w:rsidR="004908C5">
        <w:t xml:space="preserve"> </w:t>
      </w:r>
      <w:r w:rsidR="00552D5B" w:rsidRPr="00B2286F">
        <w:t xml:space="preserve">and </w:t>
      </w:r>
      <w:r w:rsidR="00664BDF" w:rsidRPr="00B2286F">
        <w:t xml:space="preserve">in practice </w:t>
      </w:r>
      <w:r w:rsidR="00552D5B" w:rsidRPr="00B2286F">
        <w:t xml:space="preserve">are </w:t>
      </w:r>
      <w:r w:rsidR="00664BDF" w:rsidRPr="00B2286F">
        <w:t xml:space="preserve">often </w:t>
      </w:r>
      <w:r w:rsidR="00552D5B" w:rsidRPr="00B2286F">
        <w:t>not sufficiently resolved.</w:t>
      </w:r>
    </w:p>
    <w:p w14:paraId="515EF0A0" w14:textId="7D29CD38" w:rsidR="00551E4F" w:rsidRPr="00B2286F" w:rsidRDefault="00551E4F" w:rsidP="00FC44A3">
      <w:pPr>
        <w:pStyle w:val="Section3heading3"/>
      </w:pPr>
      <w:r w:rsidRPr="00B2286F">
        <w:lastRenderedPageBreak/>
        <w:t xml:space="preserve">Considerations and Design </w:t>
      </w:r>
      <w:r w:rsidR="00823E71" w:rsidRPr="00B2286F">
        <w:t>Requirements</w:t>
      </w:r>
    </w:p>
    <w:p w14:paraId="56202803" w14:textId="74315802" w:rsidR="00573006" w:rsidRPr="00FC44A3" w:rsidRDefault="00B82DD8" w:rsidP="00D56CAE">
      <w:pPr>
        <w:pStyle w:val="BodyHeading"/>
        <w:rPr>
          <w:color w:val="003399"/>
        </w:rPr>
      </w:pPr>
      <w:r w:rsidRPr="00FC44A3">
        <w:rPr>
          <w:color w:val="003399"/>
        </w:rPr>
        <w:t xml:space="preserve">Damage Minimisation, Load Path Continuity, </w:t>
      </w:r>
      <w:r w:rsidR="006F1B2E" w:rsidRPr="00FC44A3">
        <w:rPr>
          <w:color w:val="003399"/>
        </w:rPr>
        <w:t>and Compatibility of Systems</w:t>
      </w:r>
    </w:p>
    <w:p w14:paraId="24E514E3" w14:textId="48724A78" w:rsidR="00202F42" w:rsidRPr="00B2286F" w:rsidRDefault="00AB5327" w:rsidP="00666E06">
      <w:r w:rsidRPr="00B2286F">
        <w:t>Light framed structures</w:t>
      </w:r>
      <w:r w:rsidR="006465FE" w:rsidRPr="00B2286F">
        <w:t xml:space="preserve"> (</w:t>
      </w:r>
      <w:r w:rsidR="00051810" w:rsidRPr="00B2286F">
        <w:t>light steel or timber framed</w:t>
      </w:r>
      <w:r w:rsidR="006465FE" w:rsidRPr="00B2286F">
        <w:t>)</w:t>
      </w:r>
      <w:r w:rsidRPr="00B2286F">
        <w:t xml:space="preserve"> that make</w:t>
      </w:r>
      <w:r w:rsidR="001162CA" w:rsidRPr="00B2286F">
        <w:t xml:space="preserve"> use of P21 tested bracing </w:t>
      </w:r>
      <w:r w:rsidR="008E765D" w:rsidRPr="00B2286F">
        <w:t>systems</w:t>
      </w:r>
      <w:r w:rsidR="001162CA" w:rsidRPr="00B2286F">
        <w:t xml:space="preserve"> </w:t>
      </w:r>
      <w:r w:rsidR="00317766" w:rsidRPr="00B2286F">
        <w:t>usually rely</w:t>
      </w:r>
      <w:r w:rsidR="00CF0A48" w:rsidRPr="00B2286F">
        <w:t xml:space="preserve"> heavily on energy dissipation from ductility</w:t>
      </w:r>
      <w:r w:rsidR="00051810" w:rsidRPr="00B2286F">
        <w:t xml:space="preserve"> which</w:t>
      </w:r>
      <w:r w:rsidR="005F11D0" w:rsidRPr="00B2286F">
        <w:t xml:space="preserve"> can</w:t>
      </w:r>
      <w:r w:rsidR="00051810" w:rsidRPr="00B2286F">
        <w:t xml:space="preserve"> </w:t>
      </w:r>
      <w:r w:rsidR="00176DF3" w:rsidRPr="00B2286F">
        <w:t>result in damage to</w:t>
      </w:r>
      <w:r w:rsidR="00A70F02" w:rsidRPr="00B2286F">
        <w:t xml:space="preserve"> the wall elements </w:t>
      </w:r>
      <w:r w:rsidR="00C11D20" w:rsidRPr="00B2286F">
        <w:t>and can reduce their</w:t>
      </w:r>
      <w:r w:rsidR="00A70F02" w:rsidRPr="00B2286F">
        <w:t xml:space="preserve"> stiffness and their capacity to resist subsequent earthquakes</w:t>
      </w:r>
      <w:r w:rsidR="002164AE" w:rsidRPr="00B2286F">
        <w:t xml:space="preserve"> without repair</w:t>
      </w:r>
      <w:r w:rsidR="00051810" w:rsidRPr="00B2286F">
        <w:t xml:space="preserve">. </w:t>
      </w:r>
      <w:r w:rsidR="00202F42" w:rsidRPr="00B2286F">
        <w:rPr>
          <w:b/>
          <w:bCs/>
        </w:rPr>
        <w:t xml:space="preserve">The Asset Protection and Continued Functionality objectives cannot be demonstrated </w:t>
      </w:r>
      <w:r w:rsidR="0084578B" w:rsidRPr="00B2286F">
        <w:rPr>
          <w:b/>
          <w:bCs/>
        </w:rPr>
        <w:t xml:space="preserve">in these structures </w:t>
      </w:r>
      <w:r w:rsidR="00202F42" w:rsidRPr="00B2286F">
        <w:rPr>
          <w:b/>
          <w:bCs/>
        </w:rPr>
        <w:t>by use of P21 ratings alone</w:t>
      </w:r>
      <w:r w:rsidR="00202F42" w:rsidRPr="00B2286F">
        <w:t>.</w:t>
      </w:r>
    </w:p>
    <w:p w14:paraId="64BBFD5A" w14:textId="47BC7BFA" w:rsidR="00202F42" w:rsidRPr="00B2286F" w:rsidRDefault="00023B96" w:rsidP="00666E06">
      <w:r w:rsidRPr="00B2286F">
        <w:t>S</w:t>
      </w:r>
      <w:r w:rsidR="006C3C9A" w:rsidRPr="00B2286F">
        <w:t>tructures</w:t>
      </w:r>
      <w:r w:rsidR="00051810" w:rsidRPr="00B2286F">
        <w:t xml:space="preserve"> </w:t>
      </w:r>
      <w:r w:rsidRPr="00B2286F">
        <w:t xml:space="preserve">using P21 tested bracing elements </w:t>
      </w:r>
      <w:r w:rsidR="00127084" w:rsidRPr="00B2286F">
        <w:t>also rel</w:t>
      </w:r>
      <w:r w:rsidR="000B1F76" w:rsidRPr="00B2286F">
        <w:t xml:space="preserve">y </w:t>
      </w:r>
      <w:r w:rsidR="00176DF3" w:rsidRPr="00B2286F">
        <w:t xml:space="preserve">on </w:t>
      </w:r>
      <w:r w:rsidR="00120F4B" w:rsidRPr="00B2286F">
        <w:t>multiple redundancies, alternative load paths and reasonably high levels of symmetry and regularity</w:t>
      </w:r>
      <w:r w:rsidR="00176DF3" w:rsidRPr="00B2286F">
        <w:t xml:space="preserve"> to perform well</w:t>
      </w:r>
      <w:r w:rsidR="00B4460F" w:rsidRPr="00B2286F">
        <w:t xml:space="preserve"> </w:t>
      </w:r>
      <w:sdt>
        <w:sdtPr>
          <w:id w:val="-1789262065"/>
          <w:citation/>
        </w:sdtPr>
        <w:sdtEndPr/>
        <w:sdtContent>
          <w:r w:rsidR="00B4460F" w:rsidRPr="00B2286F">
            <w:fldChar w:fldCharType="begin"/>
          </w:r>
          <w:r w:rsidR="00B4460F" w:rsidRPr="00B2286F">
            <w:rPr>
              <w:lang w:val="en-US"/>
            </w:rPr>
            <w:instrText xml:space="preserve"> CITATION Pra22 \l 1033 </w:instrText>
          </w:r>
          <w:r w:rsidR="00B4460F" w:rsidRPr="00B2286F">
            <w:fldChar w:fldCharType="separate"/>
          </w:r>
          <w:r w:rsidR="00222D65">
            <w:rPr>
              <w:noProof/>
              <w:lang w:val="en-US"/>
            </w:rPr>
            <w:t>(Pratchett, 2022)</w:t>
          </w:r>
          <w:r w:rsidR="00B4460F" w:rsidRPr="00B2286F">
            <w:fldChar w:fldCharType="end"/>
          </w:r>
        </w:sdtContent>
      </w:sdt>
      <w:r w:rsidR="00A70F02" w:rsidRPr="00B2286F">
        <w:t>.</w:t>
      </w:r>
      <w:r w:rsidR="00202F42" w:rsidRPr="00B2286F">
        <w:t xml:space="preserve"> </w:t>
      </w:r>
      <w:r w:rsidR="000B1F76" w:rsidRPr="00B2286F">
        <w:t xml:space="preserve">This makes them less suitable for situations where </w:t>
      </w:r>
      <w:r w:rsidR="00E26BE6" w:rsidRPr="00B2286F">
        <w:t>such</w:t>
      </w:r>
      <w:r w:rsidR="000B1F76" w:rsidRPr="00B2286F">
        <w:t xml:space="preserve"> redundancies </w:t>
      </w:r>
      <w:r w:rsidR="000344E3" w:rsidRPr="00B2286F">
        <w:t xml:space="preserve">and regularities </w:t>
      </w:r>
      <w:r w:rsidR="00037FAD" w:rsidRPr="00B2286F">
        <w:t>may</w:t>
      </w:r>
      <w:r w:rsidR="000344E3" w:rsidRPr="00B2286F">
        <w:t xml:space="preserve"> not exist</w:t>
      </w:r>
      <w:r w:rsidR="001275E7" w:rsidRPr="00B2286F">
        <w:t>. Experience</w:t>
      </w:r>
      <w:r w:rsidR="00037FAD" w:rsidRPr="00B2286F">
        <w:t xml:space="preserve"> in hospital infrastructure</w:t>
      </w:r>
      <w:r w:rsidR="001275E7" w:rsidRPr="00B2286F">
        <w:t xml:space="preserve"> has found that the presence of alternative load paths and redundancies is often heavily compromised by the mixture </w:t>
      </w:r>
      <w:r w:rsidR="0081086E" w:rsidRPr="00B2286F">
        <w:t xml:space="preserve">of common carpentry techniques into more </w:t>
      </w:r>
      <w:r w:rsidR="00E2007B" w:rsidRPr="00B2286F">
        <w:t>‘</w:t>
      </w:r>
      <w:r w:rsidR="0081086E" w:rsidRPr="00B2286F">
        <w:t>commercial</w:t>
      </w:r>
      <w:r w:rsidR="00E26BE6" w:rsidRPr="00B2286F">
        <w:t>-</w:t>
      </w:r>
      <w:r w:rsidR="0081086E" w:rsidRPr="00B2286F">
        <w:t>scale</w:t>
      </w:r>
      <w:r w:rsidR="00E2007B" w:rsidRPr="00B2286F">
        <w:t>’</w:t>
      </w:r>
      <w:r w:rsidR="0081086E" w:rsidRPr="00B2286F">
        <w:t xml:space="preserve"> shells or roof structures</w:t>
      </w:r>
      <w:r w:rsidR="00EE0A92">
        <w:t xml:space="preserve"> </w:t>
      </w:r>
      <w:r w:rsidR="005039C5" w:rsidRPr="00B2286F">
        <w:t xml:space="preserve">where the </w:t>
      </w:r>
      <w:r w:rsidR="004E58D2" w:rsidRPr="00B2286F">
        <w:t>level of tying</w:t>
      </w:r>
      <w:r w:rsidR="005039C5" w:rsidRPr="00B2286F">
        <w:t xml:space="preserve"> is poo</w:t>
      </w:r>
      <w:r w:rsidR="004E58D2" w:rsidRPr="00B2286F">
        <w:t xml:space="preserve">rer and not assured to the same extent as buildings constructed entirely in accordance with the </w:t>
      </w:r>
      <w:r w:rsidR="00763EBA" w:rsidRPr="00B2286F">
        <w:t>intent</w:t>
      </w:r>
      <w:r w:rsidR="004E58D2" w:rsidRPr="00B2286F">
        <w:t xml:space="preserve"> of standards </w:t>
      </w:r>
      <w:r w:rsidR="00763EBA" w:rsidRPr="00B2286F">
        <w:t>such as NZS 3604</w:t>
      </w:r>
      <w:r w:rsidR="005039C5" w:rsidRPr="00B2286F">
        <w:t>.</w:t>
      </w:r>
    </w:p>
    <w:p w14:paraId="2AA7D762" w14:textId="74AE052C" w:rsidR="000B1F76" w:rsidRPr="00B2286F" w:rsidRDefault="008C1E11" w:rsidP="00666E06">
      <w:r w:rsidRPr="00B2286F">
        <w:t xml:space="preserve">In hybrid construction, it is also common to encounter </w:t>
      </w:r>
      <w:r w:rsidR="00402AA1" w:rsidRPr="00B2286F">
        <w:t>incompatibilities</w:t>
      </w:r>
      <w:r w:rsidRPr="00B2286F">
        <w:t xml:space="preserve"> </w:t>
      </w:r>
      <w:r w:rsidR="00402AA1" w:rsidRPr="00B2286F">
        <w:t>with the performance of P21 tested bracing systems, and other engineered structural bracing systems</w:t>
      </w:r>
      <w:r w:rsidR="005A3AF3" w:rsidRPr="00B2286F">
        <w:t xml:space="preserve"> that are intended to perform in parallel</w:t>
      </w:r>
      <w:r w:rsidR="00402AA1" w:rsidRPr="00B2286F">
        <w:t>.</w:t>
      </w:r>
    </w:p>
    <w:p w14:paraId="1D8B4D50" w14:textId="1F950CA9" w:rsidR="00CF2B60" w:rsidRPr="00B2286F" w:rsidRDefault="00737A5A" w:rsidP="00666E06">
      <w:r w:rsidRPr="00B2286F">
        <w:t xml:space="preserve">Instead, </w:t>
      </w:r>
      <w:r w:rsidR="00FD0461" w:rsidRPr="00B2286F">
        <w:t xml:space="preserve">bracing elements </w:t>
      </w:r>
      <w:r w:rsidR="00CF2B60" w:rsidRPr="00B2286F">
        <w:t xml:space="preserve">including </w:t>
      </w:r>
      <w:r w:rsidR="001B0E04" w:rsidRPr="00B2286F">
        <w:t xml:space="preserve">roof </w:t>
      </w:r>
      <w:r w:rsidR="00CF2B60" w:rsidRPr="00B2286F">
        <w:t xml:space="preserve">diaphragms and </w:t>
      </w:r>
      <w:r w:rsidR="00410C59" w:rsidRPr="00B2286F">
        <w:t xml:space="preserve">all </w:t>
      </w:r>
      <w:r w:rsidR="00CF2B60" w:rsidRPr="00B2286F">
        <w:t xml:space="preserve">interconnecting </w:t>
      </w:r>
      <w:r w:rsidR="00410C59" w:rsidRPr="00B2286F">
        <w:t>components</w:t>
      </w:r>
      <w:r w:rsidR="00CF2B60" w:rsidRPr="00B2286F">
        <w:t xml:space="preserve"> </w:t>
      </w:r>
      <w:r w:rsidR="00FD0461" w:rsidRPr="00B2286F">
        <w:t xml:space="preserve">should be specifically </w:t>
      </w:r>
      <w:r w:rsidR="00410C59" w:rsidRPr="00B2286F">
        <w:t xml:space="preserve">and holistically </w:t>
      </w:r>
      <w:r w:rsidR="00FD0461" w:rsidRPr="00B2286F">
        <w:t>designed</w:t>
      </w:r>
      <w:r w:rsidR="00BD7049" w:rsidRPr="00B2286F">
        <w:t xml:space="preserve"> in </w:t>
      </w:r>
      <w:r w:rsidR="0018788E" w:rsidRPr="00B2286F">
        <w:t>alignment</w:t>
      </w:r>
      <w:r w:rsidR="00BD7049" w:rsidRPr="00B2286F">
        <w:t xml:space="preserve"> with B1/VM1</w:t>
      </w:r>
      <w:r w:rsidR="00295EC4" w:rsidRPr="00B2286F">
        <w:t>. This guideline does not necessarily preclude the application of Alternative Solution pathways</w:t>
      </w:r>
      <w:r w:rsidR="007B7EBF" w:rsidRPr="00B2286F">
        <w:t xml:space="preserve"> to aspects of the design if appropriate (such as where </w:t>
      </w:r>
      <w:r w:rsidR="009F3EE5" w:rsidRPr="00B2286F">
        <w:t xml:space="preserve">capacities </w:t>
      </w:r>
      <w:r w:rsidR="00931C85" w:rsidRPr="00B2286F">
        <w:t xml:space="preserve">are </w:t>
      </w:r>
      <w:r w:rsidR="009F3EE5" w:rsidRPr="00B2286F">
        <w:t>derived from test or Special Stud</w:t>
      </w:r>
      <w:r w:rsidR="00931C85" w:rsidRPr="00B2286F">
        <w:t>ies</w:t>
      </w:r>
      <w:r w:rsidR="009F3EE5" w:rsidRPr="00B2286F">
        <w:t xml:space="preserve"> are being applied</w:t>
      </w:r>
      <w:r w:rsidR="007B7EBF" w:rsidRPr="00B2286F">
        <w:t>)</w:t>
      </w:r>
      <w:r w:rsidR="009F3EE5" w:rsidRPr="00B2286F">
        <w:t>. H</w:t>
      </w:r>
      <w:r w:rsidR="00295EC4" w:rsidRPr="00B2286F">
        <w:t>owever</w:t>
      </w:r>
      <w:r w:rsidR="009F3EE5" w:rsidRPr="00B2286F">
        <w:t>,</w:t>
      </w:r>
      <w:r w:rsidR="00295EC4" w:rsidRPr="00B2286F">
        <w:t xml:space="preserve"> these must be applied </w:t>
      </w:r>
      <w:r w:rsidR="00E539BC" w:rsidRPr="00B2286F">
        <w:t xml:space="preserve">in accordance with the intent of B1/VM1and </w:t>
      </w:r>
      <w:r w:rsidR="00931C85" w:rsidRPr="00B2286F">
        <w:t xml:space="preserve">this </w:t>
      </w:r>
      <w:r w:rsidR="00E539BC" w:rsidRPr="00B2286F">
        <w:t>require</w:t>
      </w:r>
      <w:r w:rsidR="00931C85" w:rsidRPr="00B2286F">
        <w:t>s</w:t>
      </w:r>
      <w:r w:rsidR="00E539BC" w:rsidRPr="00B2286F">
        <w:t xml:space="preserve"> specific </w:t>
      </w:r>
      <w:r w:rsidR="004D2717" w:rsidRPr="00B2286F">
        <w:t xml:space="preserve">verification </w:t>
      </w:r>
      <w:r w:rsidR="00931C85" w:rsidRPr="00B2286F">
        <w:t xml:space="preserve">and documentation </w:t>
      </w:r>
      <w:r w:rsidR="004D2717" w:rsidRPr="00B2286F">
        <w:t>of all parts of the load path.</w:t>
      </w:r>
    </w:p>
    <w:p w14:paraId="011A5766" w14:textId="4DA8389D" w:rsidR="00737A5A" w:rsidRPr="00B2286F" w:rsidRDefault="004D2717" w:rsidP="00666E06">
      <w:r w:rsidRPr="00B2286F">
        <w:t>E</w:t>
      </w:r>
      <w:r w:rsidR="00FD0461" w:rsidRPr="00B2286F">
        <w:t xml:space="preserve">xplicit consideration </w:t>
      </w:r>
      <w:r w:rsidRPr="00B2286F">
        <w:t>should be given</w:t>
      </w:r>
      <w:r w:rsidR="00FD0461" w:rsidRPr="00B2286F">
        <w:t xml:space="preserve"> to the levels of ductility accepted in the SLS2 and DCLS limit states</w:t>
      </w:r>
      <w:r w:rsidR="002223D5" w:rsidRPr="00B2286F">
        <w:t>, and to the capacity design of non-yielding parts of the load path in ductile systems</w:t>
      </w:r>
      <w:r w:rsidR="00FD0461" w:rsidRPr="00B2286F">
        <w:t>.</w:t>
      </w:r>
      <w:r w:rsidR="009007FB" w:rsidRPr="00B2286F">
        <w:t xml:space="preserve"> </w:t>
      </w:r>
    </w:p>
    <w:p w14:paraId="76CA0996" w14:textId="04C0990B" w:rsidR="00A36DFF" w:rsidRPr="00B2286F" w:rsidRDefault="00A36DFF" w:rsidP="00666E06">
      <w:pPr>
        <w:pStyle w:val="Requirement"/>
      </w:pPr>
      <w:r w:rsidRPr="00B2286F">
        <w:rPr>
          <w:rStyle w:val="Strong"/>
        </w:rPr>
        <w:t>NZBC Requirement:</w:t>
      </w:r>
      <w:r w:rsidRPr="00B2286F">
        <w:t xml:space="preserve"> The use of P21 tested bracing elements for primary structural systems outside the scope of B</w:t>
      </w:r>
      <w:r w:rsidR="00091AE0" w:rsidRPr="00B2286F">
        <w:t>1</w:t>
      </w:r>
      <w:r w:rsidRPr="00B2286F">
        <w:t xml:space="preserve">/AS1 and NZS 3604 (including for Importance Level 3 or 4 facilities) requires specific engineering design and </w:t>
      </w:r>
      <w:r w:rsidR="00CD47FA" w:rsidRPr="00B2286F">
        <w:t xml:space="preserve">is </w:t>
      </w:r>
      <w:r w:rsidRPr="00B2286F">
        <w:t>an Alternative Solution pathway to Building Code compliance.</w:t>
      </w:r>
    </w:p>
    <w:p w14:paraId="4BA24036" w14:textId="5FA74FD7" w:rsidR="00266347" w:rsidRPr="00B2286F" w:rsidRDefault="007D5C79" w:rsidP="00666E06">
      <w:pPr>
        <w:pStyle w:val="Requirement"/>
      </w:pPr>
      <w:r w:rsidRPr="00B219C9">
        <w:rPr>
          <w:b/>
          <w:bCs/>
          <w:color w:val="0C818F" w:themeColor="accent3"/>
        </w:rPr>
        <w:t xml:space="preserve">Health NZ </w:t>
      </w:r>
      <w:r w:rsidR="00266347" w:rsidRPr="00B219C9">
        <w:rPr>
          <w:b/>
          <w:bCs/>
          <w:color w:val="0C818F" w:themeColor="accent3"/>
        </w:rPr>
        <w:t>Requirement:</w:t>
      </w:r>
      <w:r w:rsidR="00266347" w:rsidRPr="00B2286F">
        <w:t xml:space="preserve"> P21 tested bracing elements should not be used for primary structural systems in</w:t>
      </w:r>
      <w:r w:rsidR="004673AB" w:rsidRPr="00B2286F">
        <w:t xml:space="preserve"> clinical</w:t>
      </w:r>
      <w:r w:rsidR="00266347" w:rsidRPr="00B2286F">
        <w:t xml:space="preserve"> </w:t>
      </w:r>
      <w:r w:rsidR="008D2A4B" w:rsidRPr="00FA047D">
        <w:t xml:space="preserve">buildings in </w:t>
      </w:r>
      <w:r w:rsidR="00266347" w:rsidRPr="00FA047D">
        <w:t xml:space="preserve">secondary or tertiary healthcare </w:t>
      </w:r>
      <w:r w:rsidR="0045084B" w:rsidRPr="00FA047D">
        <w:t>settings</w:t>
      </w:r>
      <w:r w:rsidR="00266347" w:rsidRPr="00FA047D">
        <w:t xml:space="preserve">. </w:t>
      </w:r>
      <w:r w:rsidR="00266347" w:rsidRPr="00B2286F">
        <w:t>Bracing elements</w:t>
      </w:r>
      <w:r w:rsidR="00450547">
        <w:t xml:space="preserve"> (including panel bracing elements)</w:t>
      </w:r>
      <w:r w:rsidR="00266347" w:rsidRPr="00B2286F">
        <w:t xml:space="preserve"> should be specifically designed using capacity design principles for non-yielding components, and limitations on design ductility appropriate to the limit state under consideration (</w:t>
      </w:r>
      <w:r w:rsidR="00340201" w:rsidRPr="00B2286F">
        <w:t>including the</w:t>
      </w:r>
      <w:r w:rsidR="00266347" w:rsidRPr="00B2286F">
        <w:t xml:space="preserve"> SLS2 and DCLS limits states).</w:t>
      </w:r>
    </w:p>
    <w:p w14:paraId="3FDEBD26" w14:textId="2B5A3FB1" w:rsidR="00A36DFF" w:rsidRPr="00B2286F" w:rsidRDefault="007D5C79" w:rsidP="00666E06">
      <w:pPr>
        <w:pStyle w:val="Requirement"/>
      </w:pPr>
      <w:r>
        <w:rPr>
          <w:b/>
          <w:bCs/>
        </w:rPr>
        <w:lastRenderedPageBreak/>
        <w:t xml:space="preserve">Health NZ </w:t>
      </w:r>
      <w:r w:rsidR="00A36DFF" w:rsidRPr="00B2286F">
        <w:rPr>
          <w:b/>
          <w:bCs/>
        </w:rPr>
        <w:t>Recommendation:</w:t>
      </w:r>
      <w:r w:rsidR="00A36DFF" w:rsidRPr="00B2286F">
        <w:t xml:space="preserve"> </w:t>
      </w:r>
      <w:r w:rsidR="00A36DFF" w:rsidRPr="00FA047D">
        <w:t xml:space="preserve">For secondary and tertiary healthcare facilities, opportunistic use of intra-departmental fitout elements for primary structural support of </w:t>
      </w:r>
      <w:r w:rsidR="00A36DFF" w:rsidRPr="00B2286F">
        <w:t>the building enclosure and its floors is not recommended. Specifically engineered structural systems should be provided</w:t>
      </w:r>
      <w:r w:rsidR="00F45DEE">
        <w:t xml:space="preserve"> </w:t>
      </w:r>
      <w:r w:rsidR="00A36DFF" w:rsidRPr="00B2286F">
        <w:t xml:space="preserve">in which all parts of primary structural load paths are fully detailed </w:t>
      </w:r>
      <w:r w:rsidR="002264AD" w:rsidRPr="00B2286F">
        <w:t xml:space="preserve">and documented </w:t>
      </w:r>
      <w:r w:rsidR="00A36DFF" w:rsidRPr="00B2286F">
        <w:t>in the structural drawings.</w:t>
      </w:r>
    </w:p>
    <w:p w14:paraId="36BE8A55" w14:textId="0B3393B1" w:rsidR="006F1B2E" w:rsidRPr="00FC44A3" w:rsidRDefault="006F1B2E" w:rsidP="00D56CAE">
      <w:pPr>
        <w:pStyle w:val="BodyHeading"/>
        <w:rPr>
          <w:color w:val="003399"/>
        </w:rPr>
      </w:pPr>
      <w:r w:rsidRPr="00FC44A3">
        <w:rPr>
          <w:color w:val="003399"/>
        </w:rPr>
        <w:t>Alternative</w:t>
      </w:r>
      <w:r w:rsidR="00B60FC7" w:rsidRPr="00FC44A3">
        <w:rPr>
          <w:color w:val="003399"/>
        </w:rPr>
        <w:t xml:space="preserve"> (preferred)</w:t>
      </w:r>
      <w:r w:rsidRPr="00FC44A3">
        <w:rPr>
          <w:color w:val="003399"/>
        </w:rPr>
        <w:t xml:space="preserve"> </w:t>
      </w:r>
      <w:r w:rsidR="00B60FC7" w:rsidRPr="00FC44A3">
        <w:rPr>
          <w:color w:val="003399"/>
        </w:rPr>
        <w:t>d</w:t>
      </w:r>
      <w:r w:rsidRPr="00FC44A3">
        <w:rPr>
          <w:color w:val="003399"/>
        </w:rPr>
        <w:t xml:space="preserve">esign </w:t>
      </w:r>
      <w:r w:rsidR="00B60FC7" w:rsidRPr="00FC44A3">
        <w:rPr>
          <w:color w:val="003399"/>
        </w:rPr>
        <w:t>a</w:t>
      </w:r>
      <w:r w:rsidRPr="00FC44A3">
        <w:rPr>
          <w:color w:val="003399"/>
        </w:rPr>
        <w:t>pproaches</w:t>
      </w:r>
    </w:p>
    <w:p w14:paraId="4F572A02" w14:textId="2DE5FB8A" w:rsidR="00CB6897" w:rsidRPr="006D4CB4" w:rsidRDefault="008A05CA" w:rsidP="00666E06">
      <w:pPr>
        <w:rPr>
          <w:rFonts w:cs="Arial"/>
        </w:rPr>
      </w:pPr>
      <w:r w:rsidRPr="00B2286F">
        <w:t xml:space="preserve">The preferred alternative is to utilise </w:t>
      </w:r>
      <w:r w:rsidR="00EE7F31" w:rsidRPr="00B2286F">
        <w:t xml:space="preserve">structural systems supporting building enclosures and floors on a regular/reasonable grid, </w:t>
      </w:r>
      <w:r w:rsidR="00C42C0A" w:rsidRPr="00B2286F">
        <w:t xml:space="preserve">with any concentrated bracing elements (where used) suitably </w:t>
      </w:r>
      <w:r w:rsidR="00BB764D" w:rsidRPr="00B2286F">
        <w:t xml:space="preserve">anchored to parts </w:t>
      </w:r>
      <w:r w:rsidR="00BB764D" w:rsidRPr="006D4CB4">
        <w:rPr>
          <w:rFonts w:cs="Arial"/>
        </w:rPr>
        <w:t>of the plan where they are least likely to impinge on alterations to fitout</w:t>
      </w:r>
      <w:r w:rsidR="00E06721" w:rsidRPr="006D4CB4">
        <w:rPr>
          <w:rFonts w:cs="Arial"/>
        </w:rPr>
        <w:t>, and where their</w:t>
      </w:r>
      <w:r w:rsidR="000E380F" w:rsidRPr="006D4CB4">
        <w:rPr>
          <w:rFonts w:cs="Arial"/>
        </w:rPr>
        <w:t xml:space="preserve"> execution in construction can be carefully managed</w:t>
      </w:r>
      <w:r w:rsidR="00BB764D" w:rsidRPr="006D4CB4">
        <w:rPr>
          <w:rFonts w:cs="Arial"/>
        </w:rPr>
        <w:t>.</w:t>
      </w:r>
      <w:r w:rsidR="00CB6897" w:rsidRPr="006D4CB4">
        <w:rPr>
          <w:rFonts w:cs="Arial"/>
        </w:rPr>
        <w:t xml:space="preserve"> Refer to Section </w:t>
      </w:r>
      <w:r w:rsidR="00CB6897" w:rsidRPr="006D4CB4">
        <w:rPr>
          <w:rFonts w:cs="Arial"/>
        </w:rPr>
        <w:fldChar w:fldCharType="begin"/>
      </w:r>
      <w:r w:rsidR="00CB6897" w:rsidRPr="006D4CB4">
        <w:rPr>
          <w:rFonts w:cs="Arial"/>
        </w:rPr>
        <w:instrText xml:space="preserve"> REF _Ref165531972 \r \h </w:instrText>
      </w:r>
      <w:r w:rsidR="00B2286F" w:rsidRPr="006D4CB4">
        <w:rPr>
          <w:rFonts w:cs="Arial"/>
        </w:rPr>
        <w:instrText xml:space="preserve"> \* MERGEFORMAT </w:instrText>
      </w:r>
      <w:r w:rsidR="00CB6897" w:rsidRPr="006D4CB4">
        <w:rPr>
          <w:rFonts w:cs="Arial"/>
        </w:rPr>
      </w:r>
      <w:r w:rsidR="00CB6897" w:rsidRPr="006D4CB4">
        <w:rPr>
          <w:rFonts w:cs="Arial"/>
        </w:rPr>
        <w:fldChar w:fldCharType="separate"/>
      </w:r>
      <w:r w:rsidR="000761C1">
        <w:rPr>
          <w:rFonts w:cs="Arial"/>
        </w:rPr>
        <w:t>B6</w:t>
      </w:r>
      <w:r w:rsidR="00CB6897" w:rsidRPr="006D4CB4">
        <w:rPr>
          <w:rFonts w:cs="Arial"/>
        </w:rPr>
        <w:fldChar w:fldCharType="end"/>
      </w:r>
      <w:r w:rsidR="00CB6897" w:rsidRPr="006D4CB4">
        <w:rPr>
          <w:rFonts w:cs="Arial"/>
        </w:rPr>
        <w:t xml:space="preserve"> </w:t>
      </w:r>
      <w:r w:rsidR="00CB6897" w:rsidRPr="006D4CB4">
        <w:rPr>
          <w:rFonts w:cs="Arial"/>
        </w:rPr>
        <w:fldChar w:fldCharType="begin"/>
      </w:r>
      <w:r w:rsidR="00CB6897" w:rsidRPr="006D4CB4">
        <w:rPr>
          <w:rFonts w:cs="Arial"/>
        </w:rPr>
        <w:instrText xml:space="preserve"> REF _Ref165531972 \h </w:instrText>
      </w:r>
      <w:r w:rsidR="00B2286F" w:rsidRPr="006D4CB4">
        <w:rPr>
          <w:rFonts w:cs="Arial"/>
        </w:rPr>
        <w:instrText xml:space="preserve"> \* MERGEFORMAT </w:instrText>
      </w:r>
      <w:r w:rsidR="00CB6897" w:rsidRPr="006D4CB4">
        <w:rPr>
          <w:rFonts w:cs="Arial"/>
        </w:rPr>
      </w:r>
      <w:r w:rsidR="00CB6897" w:rsidRPr="006D4CB4">
        <w:rPr>
          <w:rFonts w:cs="Arial"/>
        </w:rPr>
        <w:fldChar w:fldCharType="separate"/>
      </w:r>
      <w:r w:rsidR="000761C1" w:rsidRPr="000761C1">
        <w:rPr>
          <w:rFonts w:cs="Arial"/>
        </w:rPr>
        <w:t>Structural Requirements for Adaptable Spaces</w:t>
      </w:r>
      <w:r w:rsidR="00CB6897" w:rsidRPr="006D4CB4">
        <w:rPr>
          <w:rFonts w:cs="Arial"/>
        </w:rPr>
        <w:fldChar w:fldCharType="end"/>
      </w:r>
      <w:r w:rsidR="00CB6897" w:rsidRPr="006D4CB4">
        <w:rPr>
          <w:rFonts w:cs="Arial"/>
        </w:rPr>
        <w:t>.</w:t>
      </w:r>
    </w:p>
    <w:p w14:paraId="71EFC0B7" w14:textId="2879E39B" w:rsidR="00120D4F" w:rsidRPr="00B2286F" w:rsidRDefault="00CB6897" w:rsidP="00666E06">
      <w:r w:rsidRPr="00B2286F">
        <w:t xml:space="preserve">Where </w:t>
      </w:r>
      <w:r w:rsidR="00187A3D" w:rsidRPr="00B2286F">
        <w:t xml:space="preserve">there </w:t>
      </w:r>
      <w:r w:rsidR="00F22156" w:rsidRPr="00B2286F">
        <w:t>is</w:t>
      </w:r>
      <w:r w:rsidR="00187A3D" w:rsidRPr="00B2286F">
        <w:t xml:space="preserve"> considerable efficiency from utilising </w:t>
      </w:r>
      <w:r w:rsidR="008E0F55" w:rsidRPr="00B2286F">
        <w:t xml:space="preserve">intra-departmental </w:t>
      </w:r>
      <w:r w:rsidR="00187A3D" w:rsidRPr="00B2286F">
        <w:t>fitout elements as primary structure</w:t>
      </w:r>
      <w:r w:rsidR="00444749" w:rsidRPr="00B2286F">
        <w:t xml:space="preserve">, and this is being proposed as an option, careful consideration of the design and construction execution risks </w:t>
      </w:r>
      <w:r w:rsidR="00E41C67" w:rsidRPr="00B2286F">
        <w:t xml:space="preserve">listed above </w:t>
      </w:r>
      <w:r w:rsidR="00444749" w:rsidRPr="00B2286F">
        <w:t>will need to be managed</w:t>
      </w:r>
      <w:r w:rsidR="006E1C0C" w:rsidRPr="00B2286F">
        <w:t xml:space="preserve">, </w:t>
      </w:r>
      <w:r w:rsidR="00E41C67" w:rsidRPr="00B2286F">
        <w:t>and this will</w:t>
      </w:r>
      <w:r w:rsidR="006E1C0C" w:rsidRPr="00B2286F">
        <w:t xml:space="preserve"> be scrutinised as part of </w:t>
      </w:r>
      <w:r w:rsidR="007D5C79">
        <w:t xml:space="preserve">Health NZ </w:t>
      </w:r>
      <w:r w:rsidR="00697FB8">
        <w:t>’s</w:t>
      </w:r>
      <w:r w:rsidR="006E1C0C" w:rsidRPr="00B2286F">
        <w:t xml:space="preserve"> Design Assurance and Engineering Review processes.</w:t>
      </w:r>
    </w:p>
    <w:p w14:paraId="597230B3" w14:textId="1279CDA3" w:rsidR="000A1484" w:rsidRPr="00AB5322" w:rsidRDefault="000458D4" w:rsidP="00FC44A3">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rPr>
          <w:b/>
          <w:bCs/>
        </w:rPr>
      </w:pPr>
      <w:r w:rsidRPr="00AB5322">
        <w:rPr>
          <w:b/>
          <w:bCs/>
        </w:rPr>
        <w:t>Using t</w:t>
      </w:r>
      <w:r w:rsidR="00D81BF4" w:rsidRPr="00AB5322">
        <w:rPr>
          <w:b/>
          <w:bCs/>
        </w:rPr>
        <w:t>imber (panel) bracing walls, and panel diap</w:t>
      </w:r>
      <w:r w:rsidR="0076604E" w:rsidRPr="00AB5322">
        <w:rPr>
          <w:b/>
          <w:bCs/>
        </w:rPr>
        <w:t>h</w:t>
      </w:r>
      <w:r w:rsidR="00D81BF4" w:rsidRPr="00AB5322">
        <w:rPr>
          <w:b/>
          <w:bCs/>
        </w:rPr>
        <w:t>ragms</w:t>
      </w:r>
    </w:p>
    <w:p w14:paraId="74D14334" w14:textId="64976136" w:rsidR="00964CFB" w:rsidRPr="00B2286F" w:rsidRDefault="00964CFB" w:rsidP="00FC44A3">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B2286F">
        <w:t>Where timber shear walls are proposed for primary structure, careful consideration, design and detailing of hold-downs and connections to diaphragms is required</w:t>
      </w:r>
      <w:r w:rsidR="00CE7310">
        <w:t xml:space="preserve">, </w:t>
      </w:r>
      <w:r w:rsidR="00126EFC" w:rsidRPr="00B2286F">
        <w:t>usually requiring consideration of overstrength</w:t>
      </w:r>
      <w:r w:rsidRPr="00B2286F">
        <w:t>.</w:t>
      </w:r>
    </w:p>
    <w:p w14:paraId="13961202" w14:textId="1CD14D21" w:rsidR="00147F0A" w:rsidRPr="00B2286F" w:rsidRDefault="00147F0A" w:rsidP="00FC44A3">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themeFill="background1"/>
      </w:pPr>
      <w:r w:rsidRPr="00B2286F">
        <w:t>Span and flexibility of ceiling diaphragms</w:t>
      </w:r>
      <w:r w:rsidR="006E3022" w:rsidRPr="00B2286F">
        <w:t xml:space="preserve">, and their </w:t>
      </w:r>
      <w:r w:rsidR="00205F2F" w:rsidRPr="00B2286F">
        <w:t>inter</w:t>
      </w:r>
      <w:r w:rsidR="006E3022" w:rsidRPr="00B2286F">
        <w:t xml:space="preserve">connection </w:t>
      </w:r>
      <w:r w:rsidR="008C1DBD" w:rsidRPr="00B2286F">
        <w:t xml:space="preserve">to other </w:t>
      </w:r>
      <w:r w:rsidR="00205F2F" w:rsidRPr="00B2286F">
        <w:t>components</w:t>
      </w:r>
      <w:r w:rsidR="008C1DBD" w:rsidRPr="00B2286F">
        <w:t xml:space="preserve"> of the lateral stability system </w:t>
      </w:r>
      <w:r w:rsidRPr="00B2286F">
        <w:t xml:space="preserve">needs careful consideration against asset protection </w:t>
      </w:r>
      <w:r w:rsidR="008C1DBD" w:rsidRPr="00B2286F">
        <w:t xml:space="preserve">and continued functionality </w:t>
      </w:r>
      <w:r w:rsidRPr="00B2286F">
        <w:t>requirements. La</w:t>
      </w:r>
      <w:r w:rsidR="009E55E7" w:rsidRPr="00B2286F">
        <w:t>r</w:t>
      </w:r>
      <w:r w:rsidRPr="00B2286F">
        <w:t xml:space="preserve">ge span diaphragms </w:t>
      </w:r>
      <w:r w:rsidR="004A3B90" w:rsidRPr="00B2286F">
        <w:t>with potentially significant in</w:t>
      </w:r>
      <w:r w:rsidR="002A45FE" w:rsidRPr="00B2286F">
        <w:t>-</w:t>
      </w:r>
      <w:r w:rsidR="004A3B90" w:rsidRPr="00B2286F">
        <w:t xml:space="preserve">plane flexibility </w:t>
      </w:r>
      <w:r w:rsidRPr="00B2286F">
        <w:t>will be difficult to demonstrate compliance with the performance requirements of this document.</w:t>
      </w:r>
    </w:p>
    <w:p w14:paraId="5E40A602" w14:textId="77777777" w:rsidR="00DF1FEC" w:rsidRDefault="00DF1FEC" w:rsidP="00666E06"/>
    <w:p w14:paraId="40A8C5F3" w14:textId="6B91DCFC" w:rsidR="00DF1FEC" w:rsidRDefault="00DF1FEC" w:rsidP="00666E06">
      <w:pPr>
        <w:sectPr w:rsidR="00DF1FEC" w:rsidSect="00E32E36">
          <w:headerReference w:type="default" r:id="rId106"/>
          <w:footerReference w:type="default" r:id="rId107"/>
          <w:footerReference w:type="first" r:id="rId108"/>
          <w:footnotePr>
            <w:numRestart w:val="eachPage"/>
          </w:footnotePr>
          <w:pgSz w:w="11906" w:h="16838" w:code="187"/>
          <w:pgMar w:top="1560" w:right="1134" w:bottom="1418" w:left="1134" w:header="709" w:footer="709" w:gutter="0"/>
          <w:cols w:space="708"/>
          <w:docGrid w:linePitch="360"/>
        </w:sectPr>
      </w:pPr>
    </w:p>
    <w:p w14:paraId="2C369792" w14:textId="3D8B596F" w:rsidR="00A61647" w:rsidRPr="00B2286F" w:rsidRDefault="00A61647" w:rsidP="00853E73">
      <w:pPr>
        <w:pStyle w:val="Section3heading2"/>
      </w:pPr>
      <w:bookmarkStart w:id="375" w:name="_Ref166069579"/>
      <w:bookmarkStart w:id="376" w:name="_Toc203642011"/>
      <w:r w:rsidRPr="00B2286F">
        <w:lastRenderedPageBreak/>
        <w:t>Examples</w:t>
      </w:r>
      <w:bookmarkEnd w:id="375"/>
      <w:bookmarkEnd w:id="376"/>
    </w:p>
    <w:p w14:paraId="43A572C4" w14:textId="5AB4D9AB" w:rsidR="00C04C6F" w:rsidRPr="00210CB4" w:rsidRDefault="00C04C6F" w:rsidP="00853E73">
      <w:pPr>
        <w:pStyle w:val="Figure"/>
        <w:rPr>
          <w:sz w:val="20"/>
          <w:szCs w:val="20"/>
        </w:rPr>
      </w:pPr>
      <w:r w:rsidRPr="00210CB4">
        <w:rPr>
          <w:sz w:val="20"/>
          <w:szCs w:val="20"/>
        </w:rPr>
        <w:t xml:space="preserve">Table </w:t>
      </w:r>
      <w:r w:rsidR="0062088B" w:rsidRPr="00210CB4">
        <w:rPr>
          <w:sz w:val="20"/>
          <w:szCs w:val="20"/>
        </w:rPr>
        <w:fldChar w:fldCharType="begin"/>
      </w:r>
      <w:r w:rsidR="0062088B" w:rsidRPr="00210CB4">
        <w:rPr>
          <w:sz w:val="20"/>
          <w:szCs w:val="20"/>
        </w:rPr>
        <w:instrText xml:space="preserve"> SEQ Table \* ARABIC </w:instrText>
      </w:r>
      <w:r w:rsidR="0062088B" w:rsidRPr="00210CB4">
        <w:rPr>
          <w:sz w:val="20"/>
          <w:szCs w:val="20"/>
        </w:rPr>
        <w:fldChar w:fldCharType="separate"/>
      </w:r>
      <w:r w:rsidR="000761C1">
        <w:rPr>
          <w:noProof/>
          <w:sz w:val="20"/>
          <w:szCs w:val="20"/>
        </w:rPr>
        <w:t>18</w:t>
      </w:r>
      <w:r w:rsidR="0062088B" w:rsidRPr="00210CB4">
        <w:rPr>
          <w:noProof/>
          <w:sz w:val="20"/>
          <w:szCs w:val="20"/>
        </w:rPr>
        <w:fldChar w:fldCharType="end"/>
      </w:r>
      <w:r w:rsidRPr="00210CB4">
        <w:rPr>
          <w:sz w:val="20"/>
          <w:szCs w:val="20"/>
        </w:rPr>
        <w:t xml:space="preserve">: </w:t>
      </w:r>
      <w:r w:rsidR="00EB39BB" w:rsidRPr="00210CB4">
        <w:rPr>
          <w:sz w:val="20"/>
          <w:szCs w:val="20"/>
        </w:rPr>
        <w:t>Some common e</w:t>
      </w:r>
      <w:r w:rsidRPr="00210CB4">
        <w:rPr>
          <w:sz w:val="20"/>
          <w:szCs w:val="20"/>
        </w:rPr>
        <w:t>xamples of poor</w:t>
      </w:r>
      <w:r w:rsidR="00EB39BB" w:rsidRPr="00210CB4">
        <w:rPr>
          <w:sz w:val="20"/>
          <w:szCs w:val="20"/>
        </w:rPr>
        <w:t>er</w:t>
      </w:r>
      <w:r w:rsidRPr="00210CB4">
        <w:rPr>
          <w:sz w:val="20"/>
          <w:szCs w:val="20"/>
        </w:rPr>
        <w:t xml:space="preserve"> practice and recommended improvements</w:t>
      </w:r>
    </w:p>
    <w:tbl>
      <w:tblPr>
        <w:tblStyle w:val="TeWhatuOra"/>
        <w:tblW w:w="15090" w:type="dxa"/>
        <w:tblBorders>
          <w:top w:val="single" w:sz="4" w:space="0" w:color="15284C" w:themeColor="text2"/>
          <w:left w:val="single" w:sz="4" w:space="0" w:color="15284C" w:themeColor="text2"/>
          <w:bottom w:val="single" w:sz="4" w:space="0" w:color="15284C" w:themeColor="text2"/>
          <w:right w:val="single" w:sz="4" w:space="0" w:color="15284C" w:themeColor="text2"/>
          <w:insideH w:val="single" w:sz="4" w:space="0" w:color="15284C" w:themeColor="text2"/>
          <w:insideV w:val="single" w:sz="4" w:space="0" w:color="15284C" w:themeColor="text2"/>
        </w:tblBorders>
        <w:tblLook w:val="0420" w:firstRow="1" w:lastRow="0" w:firstColumn="0" w:lastColumn="0" w:noHBand="0" w:noVBand="1"/>
      </w:tblPr>
      <w:tblGrid>
        <w:gridCol w:w="562"/>
        <w:gridCol w:w="5278"/>
        <w:gridCol w:w="4503"/>
        <w:gridCol w:w="4747"/>
      </w:tblGrid>
      <w:tr w:rsidR="00E80DC5" w:rsidRPr="00210CB4" w14:paraId="6868BC73" w14:textId="77777777" w:rsidTr="00853E73">
        <w:trPr>
          <w:cnfStyle w:val="100000000000" w:firstRow="1" w:lastRow="0" w:firstColumn="0" w:lastColumn="0" w:oddVBand="0" w:evenVBand="0" w:oddHBand="0" w:evenHBand="0" w:firstRowFirstColumn="0" w:firstRowLastColumn="0" w:lastRowFirstColumn="0" w:lastRowLastColumn="0"/>
          <w:tblHeader/>
        </w:trPr>
        <w:tc>
          <w:tcPr>
            <w:tcW w:w="562" w:type="dxa"/>
            <w:tcBorders>
              <w:top w:val="single" w:sz="12" w:space="0" w:color="003399" w:themeColor="accent2"/>
              <w:left w:val="nil"/>
              <w:bottom w:val="single" w:sz="12" w:space="0" w:color="003399" w:themeColor="accent2"/>
              <w:right w:val="single" w:sz="8" w:space="0" w:color="BFBFBF"/>
            </w:tcBorders>
            <w:shd w:val="clear" w:color="auto" w:fill="F6F4EC" w:themeFill="background1"/>
          </w:tcPr>
          <w:p w14:paraId="4D6F9156" w14:textId="7031F4B4" w:rsidR="00A5352F" w:rsidRPr="00210CB4" w:rsidRDefault="00A5352F" w:rsidP="00853E73">
            <w:pPr>
              <w:rPr>
                <w:sz w:val="20"/>
                <w:szCs w:val="20"/>
              </w:rPr>
            </w:pPr>
            <w:r w:rsidRPr="00210CB4">
              <w:rPr>
                <w:sz w:val="20"/>
                <w:szCs w:val="20"/>
              </w:rPr>
              <w:t>ID</w:t>
            </w:r>
          </w:p>
        </w:tc>
        <w:tc>
          <w:tcPr>
            <w:tcW w:w="5278"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hemeFill="background1"/>
          </w:tcPr>
          <w:p w14:paraId="0706FA28" w14:textId="538868EB" w:rsidR="00A5352F" w:rsidRPr="00210CB4" w:rsidRDefault="00A5352F" w:rsidP="00666E06">
            <w:pPr>
              <w:rPr>
                <w:sz w:val="20"/>
                <w:szCs w:val="20"/>
              </w:rPr>
            </w:pPr>
            <w:r w:rsidRPr="00210CB4">
              <w:rPr>
                <w:sz w:val="20"/>
                <w:szCs w:val="20"/>
              </w:rPr>
              <w:t>Photograph</w:t>
            </w:r>
          </w:p>
        </w:tc>
        <w:tc>
          <w:tcPr>
            <w:tcW w:w="4503"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themeFill="background1"/>
          </w:tcPr>
          <w:p w14:paraId="4C276489" w14:textId="3A1F19A5" w:rsidR="00A5352F" w:rsidRPr="00210CB4" w:rsidRDefault="00CB2897" w:rsidP="00666E06">
            <w:pPr>
              <w:rPr>
                <w:sz w:val="20"/>
                <w:szCs w:val="20"/>
              </w:rPr>
            </w:pPr>
            <w:r w:rsidRPr="00210CB4">
              <w:rPr>
                <w:sz w:val="20"/>
                <w:szCs w:val="20"/>
              </w:rPr>
              <w:t>Comments</w:t>
            </w:r>
          </w:p>
        </w:tc>
        <w:tc>
          <w:tcPr>
            <w:tcW w:w="4747" w:type="dxa"/>
            <w:tcBorders>
              <w:top w:val="single" w:sz="12" w:space="0" w:color="003399" w:themeColor="accent2"/>
              <w:left w:val="single" w:sz="8" w:space="0" w:color="BFBFBF"/>
              <w:bottom w:val="single" w:sz="12" w:space="0" w:color="003399" w:themeColor="accent2"/>
              <w:right w:val="nil"/>
            </w:tcBorders>
            <w:shd w:val="clear" w:color="auto" w:fill="F6F4EC" w:themeFill="background1"/>
          </w:tcPr>
          <w:p w14:paraId="1E48C2E0" w14:textId="41198333" w:rsidR="00A5352F" w:rsidRPr="00210CB4" w:rsidRDefault="004D4C5F" w:rsidP="00666E06">
            <w:pPr>
              <w:rPr>
                <w:sz w:val="20"/>
                <w:szCs w:val="20"/>
              </w:rPr>
            </w:pPr>
            <w:r w:rsidRPr="00210CB4">
              <w:rPr>
                <w:sz w:val="20"/>
                <w:szCs w:val="20"/>
              </w:rPr>
              <w:t>Recommendation</w:t>
            </w:r>
          </w:p>
        </w:tc>
      </w:tr>
      <w:tr w:rsidR="00E80DC5" w:rsidRPr="00210CB4" w14:paraId="66C6E8DE" w14:textId="77777777" w:rsidTr="00853E73">
        <w:tc>
          <w:tcPr>
            <w:tcW w:w="562" w:type="dxa"/>
            <w:tcBorders>
              <w:top w:val="single" w:sz="12" w:space="0" w:color="003399" w:themeColor="accent2"/>
              <w:left w:val="nil"/>
              <w:bottom w:val="single" w:sz="8" w:space="0" w:color="BFBFBF"/>
              <w:right w:val="single" w:sz="8" w:space="0" w:color="BFBFBF"/>
            </w:tcBorders>
          </w:tcPr>
          <w:p w14:paraId="15128702" w14:textId="77777777" w:rsidR="00A5352F" w:rsidRPr="00210CB4" w:rsidRDefault="00A5352F" w:rsidP="004D55F1">
            <w:pPr>
              <w:pStyle w:val="ListParagraph"/>
              <w:numPr>
                <w:ilvl w:val="0"/>
                <w:numId w:val="69"/>
              </w:numPr>
              <w:ind w:left="0" w:firstLine="0"/>
              <w:rPr>
                <w:sz w:val="20"/>
                <w:szCs w:val="20"/>
              </w:rPr>
            </w:pPr>
            <w:bookmarkStart w:id="377" w:name="_Ref173858436"/>
          </w:p>
        </w:tc>
        <w:bookmarkEnd w:id="377"/>
        <w:tc>
          <w:tcPr>
            <w:tcW w:w="5278" w:type="dxa"/>
            <w:tcBorders>
              <w:top w:val="single" w:sz="12" w:space="0" w:color="003399" w:themeColor="accent2"/>
              <w:left w:val="single" w:sz="8" w:space="0" w:color="BFBFBF"/>
              <w:bottom w:val="single" w:sz="8" w:space="0" w:color="BFBFBF"/>
              <w:right w:val="single" w:sz="8" w:space="0" w:color="BFBFBF"/>
            </w:tcBorders>
          </w:tcPr>
          <w:p w14:paraId="24E37FA6" w14:textId="77777777" w:rsidR="00A5352F" w:rsidRPr="00210CB4" w:rsidRDefault="00AE4163" w:rsidP="00666E06">
            <w:pPr>
              <w:rPr>
                <w:sz w:val="20"/>
                <w:szCs w:val="20"/>
              </w:rPr>
            </w:pPr>
            <w:r w:rsidRPr="00210CB4">
              <w:rPr>
                <w:noProof/>
                <w:sz w:val="20"/>
                <w:szCs w:val="20"/>
              </w:rPr>
              <w:drawing>
                <wp:inline distT="0" distB="0" distL="0" distR="0" wp14:anchorId="0432EBC7" wp14:editId="0B725B2F">
                  <wp:extent cx="2912679" cy="2226366"/>
                  <wp:effectExtent l="0" t="0" r="2540" b="2540"/>
                  <wp:docPr id="842242666" name="Picture 84224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42666" name=""/>
                          <pic:cNvPicPr/>
                        </pic:nvPicPr>
                        <pic:blipFill>
                          <a:blip r:embed="rId109"/>
                          <a:stretch>
                            <a:fillRect/>
                          </a:stretch>
                        </pic:blipFill>
                        <pic:spPr>
                          <a:xfrm>
                            <a:off x="0" y="0"/>
                            <a:ext cx="2912679" cy="2226366"/>
                          </a:xfrm>
                          <a:prstGeom prst="rect">
                            <a:avLst/>
                          </a:prstGeom>
                        </pic:spPr>
                      </pic:pic>
                    </a:graphicData>
                  </a:graphic>
                </wp:inline>
              </w:drawing>
            </w:r>
          </w:p>
          <w:p w14:paraId="7B81EFF2" w14:textId="77777777" w:rsidR="00E80DC5" w:rsidRPr="00210CB4" w:rsidRDefault="00E80DC5" w:rsidP="00666E06">
            <w:pPr>
              <w:rPr>
                <w:noProof/>
                <w:sz w:val="20"/>
                <w:szCs w:val="20"/>
              </w:rPr>
            </w:pPr>
            <w:r w:rsidRPr="00210CB4">
              <w:rPr>
                <w:noProof/>
                <w:sz w:val="20"/>
                <w:szCs w:val="20"/>
              </w:rPr>
              <w:drawing>
                <wp:inline distT="0" distB="0" distL="0" distR="0" wp14:anchorId="3CCA915D" wp14:editId="7CF3C2FF">
                  <wp:extent cx="3244133" cy="2100746"/>
                  <wp:effectExtent l="0" t="0" r="0" b="0"/>
                  <wp:docPr id="1204666587" name="Picture 120466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66587" name=""/>
                          <pic:cNvPicPr/>
                        </pic:nvPicPr>
                        <pic:blipFill>
                          <a:blip r:embed="rId110"/>
                          <a:stretch>
                            <a:fillRect/>
                          </a:stretch>
                        </pic:blipFill>
                        <pic:spPr>
                          <a:xfrm>
                            <a:off x="0" y="0"/>
                            <a:ext cx="3266942" cy="2115516"/>
                          </a:xfrm>
                          <a:prstGeom prst="rect">
                            <a:avLst/>
                          </a:prstGeom>
                        </pic:spPr>
                      </pic:pic>
                    </a:graphicData>
                  </a:graphic>
                </wp:inline>
              </w:drawing>
            </w:r>
          </w:p>
          <w:p w14:paraId="2367B8BF" w14:textId="46A4D6A0" w:rsidR="003B6DC5" w:rsidRPr="00210CB4" w:rsidRDefault="003B6DC5" w:rsidP="00666E06">
            <w:pPr>
              <w:rPr>
                <w:sz w:val="20"/>
                <w:szCs w:val="20"/>
              </w:rPr>
            </w:pPr>
          </w:p>
        </w:tc>
        <w:tc>
          <w:tcPr>
            <w:tcW w:w="4503" w:type="dxa"/>
            <w:tcBorders>
              <w:top w:val="single" w:sz="12" w:space="0" w:color="003399" w:themeColor="accent2"/>
              <w:left w:val="single" w:sz="8" w:space="0" w:color="BFBFBF"/>
              <w:bottom w:val="single" w:sz="8" w:space="0" w:color="BFBFBF"/>
              <w:right w:val="single" w:sz="8" w:space="0" w:color="BFBFBF"/>
            </w:tcBorders>
          </w:tcPr>
          <w:p w14:paraId="1F62F4DB" w14:textId="2E57A4B7" w:rsidR="00A5352F" w:rsidRPr="00210CB4" w:rsidRDefault="000248AB" w:rsidP="00666E06">
            <w:pPr>
              <w:rPr>
                <w:sz w:val="20"/>
                <w:szCs w:val="20"/>
              </w:rPr>
            </w:pPr>
            <w:r w:rsidRPr="00210CB4">
              <w:rPr>
                <w:sz w:val="20"/>
                <w:szCs w:val="20"/>
              </w:rPr>
              <w:t xml:space="preserve">Load path discontinuity: </w:t>
            </w:r>
            <w:r w:rsidR="00AE4163" w:rsidRPr="00210CB4">
              <w:rPr>
                <w:sz w:val="20"/>
                <w:szCs w:val="20"/>
              </w:rPr>
              <w:t xml:space="preserve">Bracing </w:t>
            </w:r>
            <w:r w:rsidR="002B6384" w:rsidRPr="00210CB4">
              <w:rPr>
                <w:sz w:val="20"/>
                <w:szCs w:val="20"/>
              </w:rPr>
              <w:t xml:space="preserve">wall </w:t>
            </w:r>
            <w:r w:rsidR="008B5577" w:rsidRPr="00210CB4">
              <w:rPr>
                <w:sz w:val="20"/>
                <w:szCs w:val="20"/>
              </w:rPr>
              <w:t>specified</w:t>
            </w:r>
            <w:r w:rsidR="002B6384" w:rsidRPr="00210CB4">
              <w:rPr>
                <w:sz w:val="20"/>
                <w:szCs w:val="20"/>
              </w:rPr>
              <w:t>—n</w:t>
            </w:r>
            <w:r w:rsidRPr="00210CB4">
              <w:rPr>
                <w:sz w:val="20"/>
                <w:szCs w:val="20"/>
              </w:rPr>
              <w:t>ot fixed off to top plate</w:t>
            </w:r>
            <w:r w:rsidR="00073A86" w:rsidRPr="00210CB4">
              <w:rPr>
                <w:sz w:val="20"/>
                <w:szCs w:val="20"/>
              </w:rPr>
              <w:t xml:space="preserve"> (</w:t>
            </w:r>
            <w:r w:rsidR="005E3D6D" w:rsidRPr="00210CB4">
              <w:rPr>
                <w:sz w:val="20"/>
                <w:szCs w:val="20"/>
              </w:rPr>
              <w:t xml:space="preserve">and </w:t>
            </w:r>
            <w:r w:rsidR="00073A86" w:rsidRPr="00210CB4">
              <w:rPr>
                <w:sz w:val="20"/>
                <w:szCs w:val="20"/>
              </w:rPr>
              <w:t>not engaging boundary joist and roof diaphragm)</w:t>
            </w:r>
            <w:r w:rsidR="005B128A" w:rsidRPr="00210CB4">
              <w:rPr>
                <w:sz w:val="20"/>
                <w:szCs w:val="20"/>
              </w:rPr>
              <w:t xml:space="preserve">, </w:t>
            </w:r>
            <w:r w:rsidR="00AE46A5" w:rsidRPr="00210CB4">
              <w:rPr>
                <w:sz w:val="20"/>
                <w:szCs w:val="20"/>
              </w:rPr>
              <w:t>and in case of lower image, not perimeter fixed</w:t>
            </w:r>
            <w:r w:rsidR="0059788E" w:rsidRPr="00210CB4">
              <w:rPr>
                <w:sz w:val="20"/>
                <w:szCs w:val="20"/>
              </w:rPr>
              <w:t>.</w:t>
            </w:r>
            <w:r w:rsidR="006971B7" w:rsidRPr="00210CB4">
              <w:rPr>
                <w:sz w:val="20"/>
                <w:szCs w:val="20"/>
              </w:rPr>
              <w:t xml:space="preserve"> High damage risk and potential ultimate strength</w:t>
            </w:r>
            <w:r w:rsidR="00C818E9" w:rsidRPr="00210CB4">
              <w:rPr>
                <w:sz w:val="20"/>
                <w:szCs w:val="20"/>
              </w:rPr>
              <w:t xml:space="preserve"> risk.</w:t>
            </w:r>
          </w:p>
          <w:p w14:paraId="02D21B8A" w14:textId="556AAA5C" w:rsidR="00DD6F1D" w:rsidRPr="00210CB4" w:rsidRDefault="00F30CD1" w:rsidP="00666E06">
            <w:pPr>
              <w:rPr>
                <w:sz w:val="20"/>
                <w:szCs w:val="20"/>
              </w:rPr>
            </w:pPr>
            <w:r w:rsidRPr="00210CB4">
              <w:rPr>
                <w:sz w:val="20"/>
                <w:szCs w:val="20"/>
              </w:rPr>
              <w:t xml:space="preserve">Did not sufficiently recognise </w:t>
            </w:r>
            <w:r w:rsidR="00BA1846" w:rsidRPr="00210CB4">
              <w:rPr>
                <w:sz w:val="20"/>
                <w:szCs w:val="20"/>
              </w:rPr>
              <w:t xml:space="preserve">that the </w:t>
            </w:r>
            <w:r w:rsidRPr="00210CB4">
              <w:rPr>
                <w:sz w:val="20"/>
                <w:szCs w:val="20"/>
              </w:rPr>
              <w:t xml:space="preserve">difference in </w:t>
            </w:r>
            <w:r w:rsidR="000B7F21" w:rsidRPr="00210CB4">
              <w:rPr>
                <w:sz w:val="20"/>
                <w:szCs w:val="20"/>
              </w:rPr>
              <w:t>roof makeup and</w:t>
            </w:r>
            <w:r w:rsidR="005E3D6D" w:rsidRPr="00210CB4">
              <w:rPr>
                <w:sz w:val="20"/>
                <w:szCs w:val="20"/>
              </w:rPr>
              <w:t xml:space="preserve"> suspended</w:t>
            </w:r>
            <w:r w:rsidR="000B7F21" w:rsidRPr="00210CB4">
              <w:rPr>
                <w:sz w:val="20"/>
                <w:szCs w:val="20"/>
              </w:rPr>
              <w:t xml:space="preserve"> </w:t>
            </w:r>
            <w:r w:rsidRPr="00210CB4">
              <w:rPr>
                <w:sz w:val="20"/>
                <w:szCs w:val="20"/>
              </w:rPr>
              <w:t>ceiling detailing</w:t>
            </w:r>
            <w:r w:rsidR="000B7F21" w:rsidRPr="00210CB4">
              <w:rPr>
                <w:sz w:val="20"/>
                <w:szCs w:val="20"/>
              </w:rPr>
              <w:t xml:space="preserve"> </w:t>
            </w:r>
            <w:r w:rsidR="00BA1846" w:rsidRPr="00210CB4">
              <w:rPr>
                <w:sz w:val="20"/>
                <w:szCs w:val="20"/>
              </w:rPr>
              <w:t>(</w:t>
            </w:r>
            <w:r w:rsidR="000B7F21" w:rsidRPr="00210CB4">
              <w:rPr>
                <w:sz w:val="20"/>
                <w:szCs w:val="20"/>
              </w:rPr>
              <w:t xml:space="preserve">compared with </w:t>
            </w:r>
            <w:r w:rsidR="00BA1846" w:rsidRPr="00210CB4">
              <w:rPr>
                <w:sz w:val="20"/>
                <w:szCs w:val="20"/>
              </w:rPr>
              <w:t>typical NZS 3604 application)</w:t>
            </w:r>
            <w:r w:rsidR="00D465E6" w:rsidRPr="00210CB4">
              <w:rPr>
                <w:sz w:val="20"/>
                <w:szCs w:val="20"/>
              </w:rPr>
              <w:t xml:space="preserve"> would create ambiguity</w:t>
            </w:r>
            <w:r w:rsidR="002E42A2" w:rsidRPr="00210CB4">
              <w:rPr>
                <w:sz w:val="20"/>
                <w:szCs w:val="20"/>
              </w:rPr>
              <w:t xml:space="preserve"> to the builder</w:t>
            </w:r>
            <w:r w:rsidR="00D465E6" w:rsidRPr="00210CB4">
              <w:rPr>
                <w:sz w:val="20"/>
                <w:szCs w:val="20"/>
              </w:rPr>
              <w:t>.</w:t>
            </w:r>
          </w:p>
        </w:tc>
        <w:tc>
          <w:tcPr>
            <w:tcW w:w="4747" w:type="dxa"/>
            <w:tcBorders>
              <w:top w:val="single" w:sz="12" w:space="0" w:color="003399" w:themeColor="accent2"/>
              <w:left w:val="single" w:sz="8" w:space="0" w:color="BFBFBF"/>
              <w:bottom w:val="single" w:sz="8" w:space="0" w:color="BFBFBF"/>
              <w:right w:val="nil"/>
            </w:tcBorders>
          </w:tcPr>
          <w:p w14:paraId="5985B487" w14:textId="209F7134" w:rsidR="00A5352F" w:rsidRPr="00210CB4" w:rsidRDefault="005A11DA" w:rsidP="00666E06">
            <w:pPr>
              <w:rPr>
                <w:sz w:val="20"/>
                <w:szCs w:val="20"/>
              </w:rPr>
            </w:pPr>
            <w:r w:rsidRPr="00210CB4">
              <w:rPr>
                <w:sz w:val="20"/>
                <w:szCs w:val="20"/>
              </w:rPr>
              <w:t xml:space="preserve">Specifically document </w:t>
            </w:r>
            <w:r w:rsidR="00CB2897" w:rsidRPr="00210CB4">
              <w:rPr>
                <w:sz w:val="20"/>
                <w:szCs w:val="20"/>
              </w:rPr>
              <w:t>bracing wall detail</w:t>
            </w:r>
            <w:r w:rsidR="000B7F21" w:rsidRPr="00210CB4">
              <w:rPr>
                <w:sz w:val="20"/>
                <w:szCs w:val="20"/>
              </w:rPr>
              <w:t>s</w:t>
            </w:r>
            <w:r w:rsidR="00CB2897" w:rsidRPr="00210CB4">
              <w:rPr>
                <w:sz w:val="20"/>
                <w:szCs w:val="20"/>
              </w:rPr>
              <w:t xml:space="preserve"> in context</w:t>
            </w:r>
            <w:r w:rsidR="001D4EF1" w:rsidRPr="00210CB4">
              <w:rPr>
                <w:sz w:val="20"/>
                <w:szCs w:val="20"/>
              </w:rPr>
              <w:t xml:space="preserve"> (i.e. including the load path</w:t>
            </w:r>
            <w:r w:rsidR="002B19E7" w:rsidRPr="00210CB4">
              <w:rPr>
                <w:sz w:val="20"/>
                <w:szCs w:val="20"/>
              </w:rPr>
              <w:t xml:space="preserve"> to the roof diaphragm and other intersecting elements</w:t>
            </w:r>
            <w:r w:rsidR="001D4EF1" w:rsidRPr="00210CB4">
              <w:rPr>
                <w:sz w:val="20"/>
                <w:szCs w:val="20"/>
              </w:rPr>
              <w:t>)</w:t>
            </w:r>
            <w:r w:rsidR="00CB2897" w:rsidRPr="00210CB4">
              <w:rPr>
                <w:sz w:val="20"/>
                <w:szCs w:val="20"/>
              </w:rPr>
              <w:t>.</w:t>
            </w:r>
          </w:p>
          <w:p w14:paraId="49221274" w14:textId="77777777" w:rsidR="00CB2897" w:rsidRPr="00210CB4" w:rsidRDefault="00CB2897" w:rsidP="00666E06">
            <w:pPr>
              <w:rPr>
                <w:sz w:val="20"/>
                <w:szCs w:val="20"/>
              </w:rPr>
            </w:pPr>
            <w:r w:rsidRPr="00210CB4">
              <w:rPr>
                <w:sz w:val="20"/>
                <w:szCs w:val="20"/>
              </w:rPr>
              <w:t>Reduce reliance on numerous opportunistically placed</w:t>
            </w:r>
            <w:r w:rsidR="00E6119E" w:rsidRPr="00210CB4">
              <w:rPr>
                <w:sz w:val="20"/>
                <w:szCs w:val="20"/>
              </w:rPr>
              <w:t xml:space="preserve"> bracing elements</w:t>
            </w:r>
            <w:r w:rsidR="00C818E9" w:rsidRPr="00210CB4">
              <w:rPr>
                <w:sz w:val="20"/>
                <w:szCs w:val="20"/>
              </w:rPr>
              <w:t xml:space="preserve"> (which create </w:t>
            </w:r>
            <w:r w:rsidR="000B7F21" w:rsidRPr="00210CB4">
              <w:rPr>
                <w:sz w:val="20"/>
                <w:szCs w:val="20"/>
              </w:rPr>
              <w:t>many opportunities for similar deficiencies)</w:t>
            </w:r>
            <w:r w:rsidR="00E6119E" w:rsidRPr="00210CB4">
              <w:rPr>
                <w:sz w:val="20"/>
                <w:szCs w:val="20"/>
              </w:rPr>
              <w:t>.</w:t>
            </w:r>
          </w:p>
          <w:p w14:paraId="51773F5E" w14:textId="420B1232" w:rsidR="00C04C6F" w:rsidRPr="00210CB4" w:rsidRDefault="00C067D2" w:rsidP="00666E06">
            <w:pPr>
              <w:rPr>
                <w:sz w:val="20"/>
                <w:szCs w:val="20"/>
              </w:rPr>
            </w:pPr>
            <w:r w:rsidRPr="00210CB4">
              <w:rPr>
                <w:sz w:val="20"/>
                <w:szCs w:val="20"/>
              </w:rPr>
              <w:t>Specify a</w:t>
            </w:r>
            <w:r w:rsidR="00C04C6F" w:rsidRPr="00210CB4">
              <w:rPr>
                <w:sz w:val="20"/>
                <w:szCs w:val="20"/>
              </w:rPr>
              <w:t>ppropriate construction monitoring</w:t>
            </w:r>
            <w:r w:rsidR="002E42A2" w:rsidRPr="00210CB4">
              <w:rPr>
                <w:sz w:val="20"/>
                <w:szCs w:val="20"/>
              </w:rPr>
              <w:t>. However,</w:t>
            </w:r>
            <w:r w:rsidR="00C04C6F" w:rsidRPr="00210CB4">
              <w:rPr>
                <w:sz w:val="20"/>
                <w:szCs w:val="20"/>
              </w:rPr>
              <w:t xml:space="preserve"> recognise </w:t>
            </w:r>
            <w:r w:rsidR="00DD6F1D" w:rsidRPr="00210CB4">
              <w:rPr>
                <w:sz w:val="20"/>
                <w:szCs w:val="20"/>
              </w:rPr>
              <w:t>that most construction monitoring is risk-based</w:t>
            </w:r>
            <w:r w:rsidRPr="00210CB4">
              <w:rPr>
                <w:sz w:val="20"/>
                <w:szCs w:val="20"/>
              </w:rPr>
              <w:t xml:space="preserve">, </w:t>
            </w:r>
            <w:r w:rsidR="00852538" w:rsidRPr="00210CB4">
              <w:rPr>
                <w:sz w:val="20"/>
                <w:szCs w:val="20"/>
              </w:rPr>
              <w:t xml:space="preserve">and reliance </w:t>
            </w:r>
            <w:r w:rsidR="00AC30DE" w:rsidRPr="00210CB4">
              <w:rPr>
                <w:sz w:val="20"/>
                <w:szCs w:val="20"/>
              </w:rPr>
              <w:t>can be minimised by</w:t>
            </w:r>
            <w:r w:rsidR="002E42A2" w:rsidRPr="00210CB4">
              <w:rPr>
                <w:sz w:val="20"/>
                <w:szCs w:val="20"/>
              </w:rPr>
              <w:t xml:space="preserve"> good design (</w:t>
            </w:r>
            <w:r w:rsidR="00D83E58" w:rsidRPr="00210CB4">
              <w:rPr>
                <w:sz w:val="20"/>
                <w:szCs w:val="20"/>
              </w:rPr>
              <w:t>d</w:t>
            </w:r>
            <w:r w:rsidR="00AC30DE" w:rsidRPr="00210CB4">
              <w:rPr>
                <w:sz w:val="20"/>
                <w:szCs w:val="20"/>
              </w:rPr>
              <w:t>esign</w:t>
            </w:r>
            <w:r w:rsidR="000176A2" w:rsidRPr="00210CB4">
              <w:rPr>
                <w:sz w:val="20"/>
                <w:szCs w:val="20"/>
              </w:rPr>
              <w:t xml:space="preserve"> for </w:t>
            </w:r>
            <w:r w:rsidR="00D83E58" w:rsidRPr="00210CB4">
              <w:rPr>
                <w:sz w:val="20"/>
                <w:szCs w:val="20"/>
              </w:rPr>
              <w:t>c</w:t>
            </w:r>
            <w:r w:rsidR="000176A2" w:rsidRPr="00210CB4">
              <w:rPr>
                <w:sz w:val="20"/>
                <w:szCs w:val="20"/>
              </w:rPr>
              <w:t xml:space="preserve">onstruction </w:t>
            </w:r>
            <w:r w:rsidR="00D83E58" w:rsidRPr="00210CB4">
              <w:rPr>
                <w:sz w:val="20"/>
                <w:szCs w:val="20"/>
              </w:rPr>
              <w:t>e</w:t>
            </w:r>
            <w:r w:rsidR="000176A2" w:rsidRPr="00210CB4">
              <w:rPr>
                <w:sz w:val="20"/>
                <w:szCs w:val="20"/>
              </w:rPr>
              <w:t>xecution</w:t>
            </w:r>
            <w:r w:rsidR="00C04C6F" w:rsidRPr="00210CB4">
              <w:rPr>
                <w:sz w:val="20"/>
                <w:szCs w:val="20"/>
              </w:rPr>
              <w:t>).</w:t>
            </w:r>
          </w:p>
        </w:tc>
      </w:tr>
      <w:tr w:rsidR="00803562" w:rsidRPr="00210CB4" w14:paraId="07E23B11" w14:textId="77777777" w:rsidTr="00853E73">
        <w:tc>
          <w:tcPr>
            <w:tcW w:w="562" w:type="dxa"/>
            <w:tcBorders>
              <w:top w:val="single" w:sz="8" w:space="0" w:color="BFBFBF"/>
              <w:left w:val="nil"/>
              <w:bottom w:val="single" w:sz="8" w:space="0" w:color="BFBFBF"/>
              <w:right w:val="single" w:sz="8" w:space="0" w:color="BFBFBF"/>
            </w:tcBorders>
          </w:tcPr>
          <w:p w14:paraId="3F26045D" w14:textId="77777777" w:rsidR="00803562" w:rsidRPr="00210CB4" w:rsidRDefault="00803562" w:rsidP="004D55F1">
            <w:pPr>
              <w:pStyle w:val="ListParagraph"/>
              <w:numPr>
                <w:ilvl w:val="0"/>
                <w:numId w:val="69"/>
              </w:numPr>
              <w:ind w:left="0" w:firstLine="0"/>
              <w:rPr>
                <w:sz w:val="20"/>
                <w:szCs w:val="20"/>
              </w:rPr>
            </w:pPr>
          </w:p>
        </w:tc>
        <w:tc>
          <w:tcPr>
            <w:tcW w:w="5278" w:type="dxa"/>
            <w:tcBorders>
              <w:top w:val="single" w:sz="8" w:space="0" w:color="BFBFBF"/>
              <w:left w:val="single" w:sz="8" w:space="0" w:color="BFBFBF"/>
              <w:bottom w:val="single" w:sz="8" w:space="0" w:color="BFBFBF"/>
              <w:right w:val="single" w:sz="8" w:space="0" w:color="BFBFBF"/>
            </w:tcBorders>
          </w:tcPr>
          <w:p w14:paraId="30823BE7" w14:textId="2FDFC952" w:rsidR="00803562" w:rsidRPr="00210CB4" w:rsidRDefault="00803562" w:rsidP="00666E06">
            <w:pPr>
              <w:rPr>
                <w:noProof/>
                <w:sz w:val="20"/>
                <w:szCs w:val="20"/>
              </w:rPr>
            </w:pPr>
            <w:r w:rsidRPr="00210CB4">
              <w:rPr>
                <w:noProof/>
                <w:sz w:val="20"/>
                <w:szCs w:val="20"/>
              </w:rPr>
              <w:drawing>
                <wp:inline distT="0" distB="0" distL="0" distR="0" wp14:anchorId="373B1273" wp14:editId="400C2DAF">
                  <wp:extent cx="2767330" cy="1957543"/>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87610" cy="1971888"/>
                          </a:xfrm>
                          <a:prstGeom prst="rect">
                            <a:avLst/>
                          </a:prstGeom>
                        </pic:spPr>
                      </pic:pic>
                    </a:graphicData>
                  </a:graphic>
                </wp:inline>
              </w:drawing>
            </w:r>
          </w:p>
        </w:tc>
        <w:tc>
          <w:tcPr>
            <w:tcW w:w="4503" w:type="dxa"/>
            <w:tcBorders>
              <w:top w:val="single" w:sz="8" w:space="0" w:color="BFBFBF"/>
              <w:left w:val="single" w:sz="8" w:space="0" w:color="BFBFBF"/>
              <w:bottom w:val="single" w:sz="8" w:space="0" w:color="BFBFBF"/>
              <w:right w:val="single" w:sz="8" w:space="0" w:color="BFBFBF"/>
            </w:tcBorders>
          </w:tcPr>
          <w:p w14:paraId="3E95A2B8" w14:textId="5531D88D" w:rsidR="00E866F1" w:rsidRPr="00210CB4" w:rsidRDefault="00E866F1" w:rsidP="00666E06">
            <w:pPr>
              <w:rPr>
                <w:sz w:val="20"/>
                <w:szCs w:val="20"/>
              </w:rPr>
            </w:pPr>
            <w:r w:rsidRPr="00210CB4">
              <w:rPr>
                <w:sz w:val="20"/>
                <w:szCs w:val="20"/>
              </w:rPr>
              <w:t xml:space="preserve">Generally similar to </w:t>
            </w:r>
            <w:r w:rsidR="00B55059" w:rsidRPr="00210CB4">
              <w:rPr>
                <w:sz w:val="20"/>
                <w:szCs w:val="20"/>
              </w:rPr>
              <w:t>(</w:t>
            </w:r>
            <w:r w:rsidR="00B55059" w:rsidRPr="00210CB4">
              <w:rPr>
                <w:sz w:val="20"/>
                <w:szCs w:val="20"/>
              </w:rPr>
              <w:fldChar w:fldCharType="begin"/>
            </w:r>
            <w:r w:rsidR="00B55059" w:rsidRPr="00210CB4">
              <w:rPr>
                <w:sz w:val="20"/>
                <w:szCs w:val="20"/>
              </w:rPr>
              <w:instrText xml:space="preserve"> REF _Ref173858436 \r \h </w:instrText>
            </w:r>
            <w:r w:rsidR="00853E73" w:rsidRPr="00210CB4">
              <w:rPr>
                <w:sz w:val="20"/>
                <w:szCs w:val="20"/>
              </w:rPr>
              <w:instrText xml:space="preserve"> \* MERGEFORMAT </w:instrText>
            </w:r>
            <w:r w:rsidR="00B55059" w:rsidRPr="00210CB4">
              <w:rPr>
                <w:sz w:val="20"/>
                <w:szCs w:val="20"/>
              </w:rPr>
            </w:r>
            <w:r w:rsidR="00B55059" w:rsidRPr="00210CB4">
              <w:rPr>
                <w:sz w:val="20"/>
                <w:szCs w:val="20"/>
              </w:rPr>
              <w:fldChar w:fldCharType="separate"/>
            </w:r>
            <w:r w:rsidR="000761C1">
              <w:rPr>
                <w:sz w:val="20"/>
                <w:szCs w:val="20"/>
              </w:rPr>
              <w:t>1</w:t>
            </w:r>
            <w:r w:rsidR="00B55059" w:rsidRPr="00210CB4">
              <w:rPr>
                <w:sz w:val="20"/>
                <w:szCs w:val="20"/>
              </w:rPr>
              <w:fldChar w:fldCharType="end"/>
            </w:r>
            <w:r w:rsidR="00B55059" w:rsidRPr="00210CB4">
              <w:rPr>
                <w:sz w:val="20"/>
                <w:szCs w:val="20"/>
              </w:rPr>
              <w:t>)</w:t>
            </w:r>
            <w:r w:rsidR="00060B3F" w:rsidRPr="00210CB4">
              <w:rPr>
                <w:sz w:val="20"/>
                <w:szCs w:val="20"/>
              </w:rPr>
              <w:t>.</w:t>
            </w:r>
            <w:r w:rsidR="00DB2439" w:rsidRPr="00210CB4">
              <w:rPr>
                <w:sz w:val="20"/>
                <w:szCs w:val="20"/>
              </w:rPr>
              <w:t xml:space="preserve"> Suspended ceiling adopted in a building with otherwise relies heavily on NZS 3604 construction.</w:t>
            </w:r>
          </w:p>
          <w:p w14:paraId="0F40D7C6" w14:textId="072C03AC" w:rsidR="00803562" w:rsidRPr="00210CB4" w:rsidRDefault="001F2F79" w:rsidP="00666E06">
            <w:pPr>
              <w:rPr>
                <w:sz w:val="20"/>
                <w:szCs w:val="20"/>
              </w:rPr>
            </w:pPr>
            <w:r w:rsidRPr="00210CB4">
              <w:rPr>
                <w:sz w:val="20"/>
                <w:szCs w:val="20"/>
              </w:rPr>
              <w:t>Suspended ceiling provides no direct restraint, stability or load transfer to truss bottom chord.</w:t>
            </w:r>
          </w:p>
        </w:tc>
        <w:tc>
          <w:tcPr>
            <w:tcW w:w="4747" w:type="dxa"/>
            <w:tcBorders>
              <w:top w:val="single" w:sz="8" w:space="0" w:color="BFBFBF"/>
              <w:left w:val="single" w:sz="8" w:space="0" w:color="BFBFBF"/>
              <w:bottom w:val="single" w:sz="8" w:space="0" w:color="BFBFBF"/>
              <w:right w:val="nil"/>
            </w:tcBorders>
          </w:tcPr>
          <w:p w14:paraId="4FDCABC6" w14:textId="40BEE8F8" w:rsidR="00740AAD" w:rsidRPr="00210CB4" w:rsidRDefault="00740AAD" w:rsidP="00666E06">
            <w:pPr>
              <w:rPr>
                <w:sz w:val="20"/>
                <w:szCs w:val="20"/>
              </w:rPr>
            </w:pPr>
            <w:r w:rsidRPr="00210CB4">
              <w:rPr>
                <w:sz w:val="20"/>
                <w:szCs w:val="20"/>
              </w:rPr>
              <w:t>Provide clear details on structural plans specifying all bracing system requirements</w:t>
            </w:r>
            <w:r w:rsidR="00A43953" w:rsidRPr="00210CB4">
              <w:rPr>
                <w:sz w:val="20"/>
                <w:szCs w:val="20"/>
              </w:rPr>
              <w:t xml:space="preserve">. </w:t>
            </w:r>
          </w:p>
          <w:p w14:paraId="45A28C03" w14:textId="5A824C4A" w:rsidR="00803562" w:rsidRPr="00210CB4" w:rsidRDefault="00740AAD" w:rsidP="00666E06">
            <w:pPr>
              <w:rPr>
                <w:sz w:val="20"/>
                <w:szCs w:val="20"/>
              </w:rPr>
            </w:pPr>
            <w:r w:rsidRPr="00210CB4">
              <w:rPr>
                <w:sz w:val="20"/>
                <w:szCs w:val="20"/>
              </w:rPr>
              <w:t>Recognise that acceptable solutions (NZS</w:t>
            </w:r>
            <w:r w:rsidR="00DB2439" w:rsidRPr="00210CB4">
              <w:rPr>
                <w:sz w:val="20"/>
                <w:szCs w:val="20"/>
              </w:rPr>
              <w:t xml:space="preserve"> </w:t>
            </w:r>
            <w:r w:rsidRPr="00210CB4">
              <w:rPr>
                <w:sz w:val="20"/>
                <w:szCs w:val="20"/>
              </w:rPr>
              <w:t xml:space="preserve">3604) type systems rely on </w:t>
            </w:r>
            <w:r w:rsidR="008D4D61" w:rsidRPr="00210CB4">
              <w:rPr>
                <w:sz w:val="20"/>
                <w:szCs w:val="20"/>
              </w:rPr>
              <w:t xml:space="preserve">components </w:t>
            </w:r>
            <w:r w:rsidRPr="00210CB4">
              <w:rPr>
                <w:sz w:val="20"/>
                <w:szCs w:val="20"/>
              </w:rPr>
              <w:t xml:space="preserve">which </w:t>
            </w:r>
            <w:r w:rsidR="008D4D61" w:rsidRPr="00210CB4">
              <w:rPr>
                <w:sz w:val="20"/>
                <w:szCs w:val="20"/>
              </w:rPr>
              <w:t>may</w:t>
            </w:r>
            <w:r w:rsidRPr="00210CB4">
              <w:rPr>
                <w:sz w:val="20"/>
                <w:szCs w:val="20"/>
              </w:rPr>
              <w:t xml:space="preserve"> not </w:t>
            </w:r>
            <w:r w:rsidR="008D4D61" w:rsidRPr="00210CB4">
              <w:rPr>
                <w:sz w:val="20"/>
                <w:szCs w:val="20"/>
              </w:rPr>
              <w:t xml:space="preserve">be </w:t>
            </w:r>
            <w:r w:rsidRPr="00210CB4">
              <w:rPr>
                <w:sz w:val="20"/>
                <w:szCs w:val="20"/>
              </w:rPr>
              <w:t>present</w:t>
            </w:r>
            <w:r w:rsidR="00433420" w:rsidRPr="00210CB4">
              <w:rPr>
                <w:sz w:val="20"/>
                <w:szCs w:val="20"/>
              </w:rPr>
              <w:t xml:space="preserve"> (such as ceiling joints and/or ceiling diaphragm direct fixed to roof framing or proprietary truss bottom chord)</w:t>
            </w:r>
            <w:r w:rsidR="008D4D61" w:rsidRPr="00210CB4">
              <w:rPr>
                <w:sz w:val="20"/>
                <w:szCs w:val="20"/>
              </w:rPr>
              <w:t xml:space="preserve"> and therefore require specific design.</w:t>
            </w:r>
          </w:p>
        </w:tc>
      </w:tr>
      <w:tr w:rsidR="00E80DC5" w:rsidRPr="00210CB4" w14:paraId="319ED939" w14:textId="77777777" w:rsidTr="00853E73">
        <w:tc>
          <w:tcPr>
            <w:tcW w:w="562" w:type="dxa"/>
            <w:tcBorders>
              <w:top w:val="single" w:sz="8" w:space="0" w:color="BFBFBF"/>
              <w:left w:val="nil"/>
              <w:bottom w:val="single" w:sz="8" w:space="0" w:color="BFBFBF"/>
              <w:right w:val="single" w:sz="8" w:space="0" w:color="BFBFBF"/>
            </w:tcBorders>
          </w:tcPr>
          <w:p w14:paraId="2CD040C4" w14:textId="77777777" w:rsidR="00A5352F" w:rsidRPr="00210CB4" w:rsidRDefault="00A5352F" w:rsidP="004D55F1">
            <w:pPr>
              <w:pStyle w:val="ListParagraph"/>
              <w:numPr>
                <w:ilvl w:val="0"/>
                <w:numId w:val="69"/>
              </w:numPr>
              <w:ind w:left="0" w:firstLine="0"/>
              <w:rPr>
                <w:sz w:val="20"/>
                <w:szCs w:val="20"/>
              </w:rPr>
            </w:pPr>
            <w:bookmarkStart w:id="378" w:name="_Ref173858470"/>
          </w:p>
        </w:tc>
        <w:bookmarkEnd w:id="378"/>
        <w:tc>
          <w:tcPr>
            <w:tcW w:w="5278" w:type="dxa"/>
            <w:tcBorders>
              <w:top w:val="single" w:sz="8" w:space="0" w:color="BFBFBF"/>
              <w:left w:val="single" w:sz="8" w:space="0" w:color="BFBFBF"/>
              <w:bottom w:val="single" w:sz="8" w:space="0" w:color="BFBFBF"/>
              <w:right w:val="single" w:sz="8" w:space="0" w:color="BFBFBF"/>
            </w:tcBorders>
          </w:tcPr>
          <w:p w14:paraId="4C5158AC" w14:textId="4ACC0180" w:rsidR="00A5352F" w:rsidRPr="00210CB4" w:rsidRDefault="00B75436" w:rsidP="00666E06">
            <w:pPr>
              <w:rPr>
                <w:sz w:val="20"/>
                <w:szCs w:val="20"/>
              </w:rPr>
            </w:pPr>
            <w:r w:rsidRPr="00210CB4">
              <w:rPr>
                <w:noProof/>
                <w:sz w:val="20"/>
                <w:szCs w:val="20"/>
              </w:rPr>
              <w:drawing>
                <wp:inline distT="0" distB="0" distL="0" distR="0" wp14:anchorId="0F625EC0" wp14:editId="24CCDFDA">
                  <wp:extent cx="2003728" cy="2036909"/>
                  <wp:effectExtent l="0" t="0" r="0" b="1905"/>
                  <wp:docPr id="40437803" name="Picture 4043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03" name=""/>
                          <pic:cNvPicPr/>
                        </pic:nvPicPr>
                        <pic:blipFill rotWithShape="1">
                          <a:blip r:embed="rId112"/>
                          <a:srcRect b="28984"/>
                          <a:stretch/>
                        </pic:blipFill>
                        <pic:spPr bwMode="auto">
                          <a:xfrm>
                            <a:off x="0" y="0"/>
                            <a:ext cx="2030355" cy="2063977"/>
                          </a:xfrm>
                          <a:prstGeom prst="rect">
                            <a:avLst/>
                          </a:prstGeom>
                          <a:ln>
                            <a:noFill/>
                          </a:ln>
                          <a:extLst>
                            <a:ext uri="{53640926-AAD7-44D8-BBD7-CCE9431645EC}">
                              <a14:shadowObscured xmlns:a14="http://schemas.microsoft.com/office/drawing/2010/main"/>
                            </a:ext>
                          </a:extLst>
                        </pic:spPr>
                      </pic:pic>
                    </a:graphicData>
                  </a:graphic>
                </wp:inline>
              </w:drawing>
            </w:r>
          </w:p>
        </w:tc>
        <w:tc>
          <w:tcPr>
            <w:tcW w:w="4503" w:type="dxa"/>
            <w:tcBorders>
              <w:top w:val="single" w:sz="8" w:space="0" w:color="BFBFBF"/>
              <w:left w:val="single" w:sz="8" w:space="0" w:color="BFBFBF"/>
              <w:bottom w:val="single" w:sz="8" w:space="0" w:color="BFBFBF"/>
              <w:right w:val="single" w:sz="8" w:space="0" w:color="BFBFBF"/>
            </w:tcBorders>
          </w:tcPr>
          <w:p w14:paraId="1AA9ABB0" w14:textId="19D95050" w:rsidR="00A5352F" w:rsidRPr="00210CB4" w:rsidRDefault="00FE102B" w:rsidP="00666E06">
            <w:pPr>
              <w:rPr>
                <w:sz w:val="20"/>
                <w:szCs w:val="20"/>
              </w:rPr>
            </w:pPr>
            <w:r w:rsidRPr="00210CB4">
              <w:rPr>
                <w:sz w:val="20"/>
                <w:szCs w:val="20"/>
              </w:rPr>
              <w:t>Poorly proportioned</w:t>
            </w:r>
            <w:r w:rsidR="0006092C" w:rsidRPr="00210CB4">
              <w:rPr>
                <w:sz w:val="20"/>
                <w:szCs w:val="20"/>
              </w:rPr>
              <w:t xml:space="preserve"> and discontinuous load path</w:t>
            </w:r>
            <w:r w:rsidRPr="00210CB4">
              <w:rPr>
                <w:sz w:val="20"/>
                <w:szCs w:val="20"/>
              </w:rPr>
              <w:t xml:space="preserve"> from the </w:t>
            </w:r>
            <w:r w:rsidR="005F6ED4" w:rsidRPr="00210CB4">
              <w:rPr>
                <w:sz w:val="20"/>
                <w:szCs w:val="20"/>
              </w:rPr>
              <w:t>PFC collector, into the vertical bracing</w:t>
            </w:r>
            <w:r w:rsidR="00D12698" w:rsidRPr="00210CB4">
              <w:rPr>
                <w:sz w:val="20"/>
                <w:szCs w:val="20"/>
              </w:rPr>
              <w:t xml:space="preserve"> bay via weak axis plate bending and a significant unresolved eccentricity. </w:t>
            </w:r>
            <w:r w:rsidR="00556160" w:rsidRPr="00210CB4">
              <w:rPr>
                <w:sz w:val="20"/>
                <w:szCs w:val="20"/>
              </w:rPr>
              <w:t>D</w:t>
            </w:r>
            <w:r w:rsidR="005F6ED4" w:rsidRPr="00210CB4">
              <w:rPr>
                <w:sz w:val="20"/>
                <w:szCs w:val="20"/>
              </w:rPr>
              <w:t>amage risk and potential ultimate strength risk.</w:t>
            </w:r>
          </w:p>
          <w:p w14:paraId="67C3A489" w14:textId="146222D8" w:rsidR="00D12698" w:rsidRPr="00210CB4" w:rsidRDefault="009E302B" w:rsidP="00666E06">
            <w:pPr>
              <w:rPr>
                <w:sz w:val="20"/>
                <w:szCs w:val="20"/>
              </w:rPr>
            </w:pPr>
            <w:r w:rsidRPr="00210CB4">
              <w:rPr>
                <w:sz w:val="20"/>
                <w:szCs w:val="20"/>
              </w:rPr>
              <w:t xml:space="preserve">Poor section selection for an eaves strut which carries significant axial load a long </w:t>
            </w:r>
            <w:r w:rsidR="002E42A2" w:rsidRPr="00210CB4">
              <w:rPr>
                <w:sz w:val="20"/>
                <w:szCs w:val="20"/>
              </w:rPr>
              <w:t>distance and</w:t>
            </w:r>
            <w:r w:rsidRPr="00210CB4">
              <w:rPr>
                <w:sz w:val="20"/>
                <w:szCs w:val="20"/>
              </w:rPr>
              <w:t xml:space="preserve"> has poor restraint.</w:t>
            </w:r>
          </w:p>
        </w:tc>
        <w:tc>
          <w:tcPr>
            <w:tcW w:w="4747" w:type="dxa"/>
            <w:tcBorders>
              <w:top w:val="single" w:sz="8" w:space="0" w:color="BFBFBF"/>
              <w:left w:val="single" w:sz="8" w:space="0" w:color="BFBFBF"/>
              <w:bottom w:val="single" w:sz="8" w:space="0" w:color="BFBFBF"/>
              <w:right w:val="nil"/>
            </w:tcBorders>
          </w:tcPr>
          <w:p w14:paraId="568CAEFA" w14:textId="395DC5F7" w:rsidR="00B40A94" w:rsidRPr="00210CB4" w:rsidRDefault="00EE2DD6" w:rsidP="00666E06">
            <w:pPr>
              <w:rPr>
                <w:sz w:val="20"/>
                <w:szCs w:val="20"/>
              </w:rPr>
            </w:pPr>
            <w:r w:rsidRPr="00210CB4">
              <w:rPr>
                <w:sz w:val="20"/>
                <w:szCs w:val="20"/>
              </w:rPr>
              <w:t>Appropriate member selection for eaves strut</w:t>
            </w:r>
            <w:r w:rsidR="007D4B65" w:rsidRPr="00210CB4">
              <w:rPr>
                <w:sz w:val="20"/>
                <w:szCs w:val="20"/>
              </w:rPr>
              <w:t xml:space="preserve">, such as SHS </w:t>
            </w:r>
            <w:r w:rsidR="0037558F" w:rsidRPr="00210CB4">
              <w:rPr>
                <w:sz w:val="20"/>
                <w:szCs w:val="20"/>
              </w:rPr>
              <w:t>would</w:t>
            </w:r>
            <w:r w:rsidR="007D4B65" w:rsidRPr="00210CB4">
              <w:rPr>
                <w:sz w:val="20"/>
                <w:szCs w:val="20"/>
              </w:rPr>
              <w:t xml:space="preserve"> requires less restraint</w:t>
            </w:r>
            <w:r w:rsidR="00055A8F" w:rsidRPr="00210CB4">
              <w:rPr>
                <w:sz w:val="20"/>
                <w:szCs w:val="20"/>
              </w:rPr>
              <w:t xml:space="preserve"> (and are materially efficient)</w:t>
            </w:r>
            <w:r w:rsidR="007D4B65" w:rsidRPr="00210CB4">
              <w:rPr>
                <w:sz w:val="20"/>
                <w:szCs w:val="20"/>
              </w:rPr>
              <w:t xml:space="preserve">, and </w:t>
            </w:r>
            <w:r w:rsidR="0037558F" w:rsidRPr="00210CB4">
              <w:rPr>
                <w:sz w:val="20"/>
                <w:szCs w:val="20"/>
              </w:rPr>
              <w:t xml:space="preserve">would </w:t>
            </w:r>
            <w:r w:rsidR="007D4B65" w:rsidRPr="00210CB4">
              <w:rPr>
                <w:sz w:val="20"/>
                <w:szCs w:val="20"/>
              </w:rPr>
              <w:t>ha</w:t>
            </w:r>
            <w:r w:rsidR="0037558F" w:rsidRPr="00210CB4">
              <w:rPr>
                <w:sz w:val="20"/>
                <w:szCs w:val="20"/>
              </w:rPr>
              <w:t>ve</w:t>
            </w:r>
            <w:r w:rsidR="007D4B65" w:rsidRPr="00210CB4">
              <w:rPr>
                <w:sz w:val="20"/>
                <w:szCs w:val="20"/>
              </w:rPr>
              <w:t xml:space="preserve"> more bending capacity to resolve eccentricities</w:t>
            </w:r>
            <w:r w:rsidR="0037558F" w:rsidRPr="00210CB4">
              <w:rPr>
                <w:sz w:val="20"/>
                <w:szCs w:val="20"/>
              </w:rPr>
              <w:t xml:space="preserve"> that aren’t </w:t>
            </w:r>
            <w:r w:rsidR="00055A8F" w:rsidRPr="00210CB4">
              <w:rPr>
                <w:sz w:val="20"/>
                <w:szCs w:val="20"/>
              </w:rPr>
              <w:t>able to be practically reduced</w:t>
            </w:r>
            <w:r w:rsidR="00DF6FB3" w:rsidRPr="00210CB4">
              <w:rPr>
                <w:sz w:val="20"/>
                <w:szCs w:val="20"/>
              </w:rPr>
              <w:t>.</w:t>
            </w:r>
          </w:p>
          <w:p w14:paraId="578C04BE" w14:textId="6FFA19B3" w:rsidR="00A5352F" w:rsidRPr="00210CB4" w:rsidRDefault="00DF6FB3" w:rsidP="00666E06">
            <w:pPr>
              <w:rPr>
                <w:sz w:val="20"/>
                <w:szCs w:val="20"/>
              </w:rPr>
            </w:pPr>
            <w:r w:rsidRPr="00210CB4">
              <w:rPr>
                <w:sz w:val="20"/>
                <w:szCs w:val="20"/>
              </w:rPr>
              <w:t xml:space="preserve">Align nodes or specifically engineer </w:t>
            </w:r>
            <w:r w:rsidR="00B40A94" w:rsidRPr="00210CB4">
              <w:rPr>
                <w:sz w:val="20"/>
                <w:szCs w:val="20"/>
              </w:rPr>
              <w:t xml:space="preserve">for reasonable eccentricities, ensuring </w:t>
            </w:r>
            <w:r w:rsidR="000935E7" w:rsidRPr="00210CB4">
              <w:rPr>
                <w:sz w:val="20"/>
                <w:szCs w:val="20"/>
              </w:rPr>
              <w:t xml:space="preserve">forces can pass locally through connection elements, and that members can resolve </w:t>
            </w:r>
            <w:r w:rsidR="002E42A2" w:rsidRPr="00210CB4">
              <w:rPr>
                <w:sz w:val="20"/>
                <w:szCs w:val="20"/>
              </w:rPr>
              <w:t xml:space="preserve">global </w:t>
            </w:r>
            <w:r w:rsidR="00B40A94" w:rsidRPr="00210CB4">
              <w:rPr>
                <w:sz w:val="20"/>
                <w:szCs w:val="20"/>
              </w:rPr>
              <w:t>equilibrium.</w:t>
            </w:r>
          </w:p>
        </w:tc>
      </w:tr>
      <w:tr w:rsidR="00F05C42" w:rsidRPr="00210CB4" w14:paraId="239D0C25" w14:textId="77777777" w:rsidTr="00853E73">
        <w:tc>
          <w:tcPr>
            <w:tcW w:w="562" w:type="dxa"/>
            <w:tcBorders>
              <w:top w:val="single" w:sz="8" w:space="0" w:color="BFBFBF"/>
              <w:left w:val="nil"/>
              <w:bottom w:val="single" w:sz="8" w:space="0" w:color="BFBFBF"/>
              <w:right w:val="single" w:sz="8" w:space="0" w:color="BFBFBF"/>
            </w:tcBorders>
          </w:tcPr>
          <w:p w14:paraId="16864136" w14:textId="77777777" w:rsidR="00F05C42" w:rsidRPr="00210CB4" w:rsidRDefault="00F05C42" w:rsidP="004D55F1">
            <w:pPr>
              <w:pStyle w:val="ListParagraph"/>
              <w:numPr>
                <w:ilvl w:val="0"/>
                <w:numId w:val="69"/>
              </w:numPr>
              <w:ind w:left="0" w:firstLine="0"/>
              <w:rPr>
                <w:sz w:val="20"/>
                <w:szCs w:val="20"/>
              </w:rPr>
            </w:pPr>
          </w:p>
        </w:tc>
        <w:tc>
          <w:tcPr>
            <w:tcW w:w="5278" w:type="dxa"/>
            <w:tcBorders>
              <w:top w:val="single" w:sz="8" w:space="0" w:color="BFBFBF"/>
              <w:left w:val="single" w:sz="8" w:space="0" w:color="BFBFBF"/>
              <w:bottom w:val="single" w:sz="8" w:space="0" w:color="BFBFBF"/>
              <w:right w:val="single" w:sz="8" w:space="0" w:color="BFBFBF"/>
            </w:tcBorders>
          </w:tcPr>
          <w:p w14:paraId="37805F41" w14:textId="5AE7ACC0" w:rsidR="00F05C42" w:rsidRPr="00210CB4" w:rsidRDefault="00F05C42" w:rsidP="00666E06">
            <w:pPr>
              <w:rPr>
                <w:noProof/>
                <w:sz w:val="20"/>
                <w:szCs w:val="20"/>
              </w:rPr>
            </w:pPr>
            <w:r w:rsidRPr="00210CB4">
              <w:rPr>
                <w:noProof/>
                <w:sz w:val="20"/>
                <w:szCs w:val="20"/>
              </w:rPr>
              <w:drawing>
                <wp:inline distT="0" distB="0" distL="0" distR="0" wp14:anchorId="04DB1C44" wp14:editId="75D11AA1">
                  <wp:extent cx="2526638" cy="1542553"/>
                  <wp:effectExtent l="0" t="0" r="762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brightnessContrast bright="40000"/>
                                    </a14:imgEffect>
                                  </a14:imgLayer>
                                </a14:imgProps>
                              </a:ext>
                            </a:extLst>
                          </a:blip>
                          <a:srcRect b="28984"/>
                          <a:stretch/>
                        </pic:blipFill>
                        <pic:spPr bwMode="auto">
                          <a:xfrm>
                            <a:off x="0" y="0"/>
                            <a:ext cx="2554171" cy="1559362"/>
                          </a:xfrm>
                          <a:prstGeom prst="rect">
                            <a:avLst/>
                          </a:prstGeom>
                          <a:ln>
                            <a:noFill/>
                          </a:ln>
                          <a:extLst>
                            <a:ext uri="{53640926-AAD7-44D8-BBD7-CCE9431645EC}">
                              <a14:shadowObscured xmlns:a14="http://schemas.microsoft.com/office/drawing/2010/main"/>
                            </a:ext>
                          </a:extLst>
                        </pic:spPr>
                      </pic:pic>
                    </a:graphicData>
                  </a:graphic>
                </wp:inline>
              </w:drawing>
            </w:r>
          </w:p>
        </w:tc>
        <w:tc>
          <w:tcPr>
            <w:tcW w:w="4503" w:type="dxa"/>
            <w:tcBorders>
              <w:top w:val="single" w:sz="8" w:space="0" w:color="BFBFBF"/>
              <w:left w:val="single" w:sz="8" w:space="0" w:color="BFBFBF"/>
              <w:bottom w:val="single" w:sz="8" w:space="0" w:color="BFBFBF"/>
              <w:right w:val="single" w:sz="8" w:space="0" w:color="BFBFBF"/>
            </w:tcBorders>
          </w:tcPr>
          <w:p w14:paraId="52D301A6" w14:textId="559585D8" w:rsidR="00D510D3" w:rsidRPr="00210CB4" w:rsidRDefault="00174CE8" w:rsidP="00666E06">
            <w:pPr>
              <w:rPr>
                <w:sz w:val="20"/>
                <w:szCs w:val="20"/>
              </w:rPr>
            </w:pPr>
            <w:r w:rsidRPr="00210CB4">
              <w:rPr>
                <w:sz w:val="20"/>
                <w:szCs w:val="20"/>
              </w:rPr>
              <w:t xml:space="preserve">Large </w:t>
            </w:r>
            <w:r w:rsidR="00F756E2" w:rsidRPr="00210CB4">
              <w:rPr>
                <w:sz w:val="20"/>
                <w:szCs w:val="20"/>
              </w:rPr>
              <w:t>number of eccentricities, and p</w:t>
            </w:r>
            <w:r w:rsidRPr="00210CB4">
              <w:rPr>
                <w:sz w:val="20"/>
                <w:szCs w:val="20"/>
              </w:rPr>
              <w:t>otentially discontinuous load paths</w:t>
            </w:r>
            <w:r w:rsidR="00D510D3" w:rsidRPr="00210CB4">
              <w:rPr>
                <w:sz w:val="20"/>
                <w:szCs w:val="20"/>
              </w:rPr>
              <w:t xml:space="preserve">. Load paths do exist in this </w:t>
            </w:r>
            <w:r w:rsidR="009A0202" w:rsidRPr="00210CB4">
              <w:rPr>
                <w:sz w:val="20"/>
                <w:szCs w:val="20"/>
              </w:rPr>
              <w:t>example</w:t>
            </w:r>
            <w:r w:rsidR="00D510D3" w:rsidRPr="00210CB4">
              <w:rPr>
                <w:sz w:val="20"/>
                <w:szCs w:val="20"/>
              </w:rPr>
              <w:t xml:space="preserve"> to resolve </w:t>
            </w:r>
            <w:r w:rsidR="000F1EDE" w:rsidRPr="00210CB4">
              <w:rPr>
                <w:sz w:val="20"/>
                <w:szCs w:val="20"/>
              </w:rPr>
              <w:t>eccentricities</w:t>
            </w:r>
            <w:r w:rsidR="009A0202" w:rsidRPr="00210CB4">
              <w:rPr>
                <w:sz w:val="20"/>
                <w:szCs w:val="20"/>
              </w:rPr>
              <w:t xml:space="preserve"> (if properly proportioned and calculated). </w:t>
            </w:r>
            <w:r w:rsidR="000F1EDE" w:rsidRPr="00210CB4">
              <w:rPr>
                <w:sz w:val="20"/>
                <w:szCs w:val="20"/>
              </w:rPr>
              <w:t>However,</w:t>
            </w:r>
            <w:r w:rsidR="00D510D3" w:rsidRPr="00210CB4">
              <w:rPr>
                <w:sz w:val="20"/>
                <w:szCs w:val="20"/>
              </w:rPr>
              <w:t xml:space="preserve"> these are prone to poor design</w:t>
            </w:r>
            <w:r w:rsidR="000F1EDE" w:rsidRPr="00210CB4">
              <w:rPr>
                <w:sz w:val="20"/>
                <w:szCs w:val="20"/>
              </w:rPr>
              <w:t xml:space="preserve"> execution (due to calculation and drawing coordination effort involved)</w:t>
            </w:r>
            <w:r w:rsidR="00D510D3" w:rsidRPr="00210CB4">
              <w:rPr>
                <w:sz w:val="20"/>
                <w:szCs w:val="20"/>
              </w:rPr>
              <w:t xml:space="preserve"> </w:t>
            </w:r>
            <w:r w:rsidR="009A0202" w:rsidRPr="00210CB4">
              <w:rPr>
                <w:sz w:val="20"/>
                <w:szCs w:val="20"/>
              </w:rPr>
              <w:t xml:space="preserve">and more commonly </w:t>
            </w:r>
            <w:r w:rsidR="00E70D52" w:rsidRPr="00210CB4">
              <w:rPr>
                <w:sz w:val="20"/>
                <w:szCs w:val="20"/>
              </w:rPr>
              <w:t>lead to damage or strength risks than noded connections with better member selection.</w:t>
            </w:r>
          </w:p>
        </w:tc>
        <w:tc>
          <w:tcPr>
            <w:tcW w:w="4747" w:type="dxa"/>
            <w:tcBorders>
              <w:top w:val="single" w:sz="8" w:space="0" w:color="BFBFBF"/>
              <w:left w:val="single" w:sz="8" w:space="0" w:color="BFBFBF"/>
              <w:bottom w:val="single" w:sz="8" w:space="0" w:color="BFBFBF"/>
              <w:right w:val="nil"/>
            </w:tcBorders>
          </w:tcPr>
          <w:p w14:paraId="03F330A0" w14:textId="5A77BC28" w:rsidR="00F05C42" w:rsidRPr="00210CB4" w:rsidRDefault="00DA1B3D" w:rsidP="00666E06">
            <w:pPr>
              <w:rPr>
                <w:sz w:val="20"/>
                <w:szCs w:val="20"/>
              </w:rPr>
            </w:pPr>
            <w:r w:rsidRPr="00210CB4">
              <w:rPr>
                <w:sz w:val="20"/>
                <w:szCs w:val="20"/>
              </w:rPr>
              <w:t>Similar to</w:t>
            </w:r>
            <w:r w:rsidR="00002AC3" w:rsidRPr="00210CB4">
              <w:rPr>
                <w:sz w:val="20"/>
                <w:szCs w:val="20"/>
              </w:rPr>
              <w:t xml:space="preserve"> (</w:t>
            </w:r>
            <w:r w:rsidR="00002AC3" w:rsidRPr="00210CB4">
              <w:rPr>
                <w:sz w:val="20"/>
                <w:szCs w:val="20"/>
              </w:rPr>
              <w:fldChar w:fldCharType="begin"/>
            </w:r>
            <w:r w:rsidR="00002AC3" w:rsidRPr="00210CB4">
              <w:rPr>
                <w:sz w:val="20"/>
                <w:szCs w:val="20"/>
              </w:rPr>
              <w:instrText xml:space="preserve"> REF _Ref173858470 \r \h </w:instrText>
            </w:r>
            <w:r w:rsidR="00853E73" w:rsidRPr="00210CB4">
              <w:rPr>
                <w:sz w:val="20"/>
                <w:szCs w:val="20"/>
              </w:rPr>
              <w:instrText xml:space="preserve"> \* MERGEFORMAT </w:instrText>
            </w:r>
            <w:r w:rsidR="00002AC3" w:rsidRPr="00210CB4">
              <w:rPr>
                <w:sz w:val="20"/>
                <w:szCs w:val="20"/>
              </w:rPr>
            </w:r>
            <w:r w:rsidR="00002AC3" w:rsidRPr="00210CB4">
              <w:rPr>
                <w:sz w:val="20"/>
                <w:szCs w:val="20"/>
              </w:rPr>
              <w:fldChar w:fldCharType="separate"/>
            </w:r>
            <w:r w:rsidR="000761C1">
              <w:rPr>
                <w:sz w:val="20"/>
                <w:szCs w:val="20"/>
              </w:rPr>
              <w:t>3</w:t>
            </w:r>
            <w:r w:rsidR="00002AC3" w:rsidRPr="00210CB4">
              <w:rPr>
                <w:sz w:val="20"/>
                <w:szCs w:val="20"/>
              </w:rPr>
              <w:fldChar w:fldCharType="end"/>
            </w:r>
            <w:r w:rsidR="00002AC3" w:rsidRPr="00210CB4">
              <w:rPr>
                <w:sz w:val="20"/>
                <w:szCs w:val="20"/>
              </w:rPr>
              <w:t>)</w:t>
            </w:r>
            <w:r w:rsidR="00A27756" w:rsidRPr="00210CB4">
              <w:rPr>
                <w:sz w:val="20"/>
                <w:szCs w:val="20"/>
              </w:rPr>
              <w:t>.</w:t>
            </w:r>
          </w:p>
        </w:tc>
      </w:tr>
      <w:tr w:rsidR="00E10961" w:rsidRPr="00210CB4" w14:paraId="7F44CDC8" w14:textId="77777777" w:rsidTr="00853E73">
        <w:tc>
          <w:tcPr>
            <w:tcW w:w="562" w:type="dxa"/>
            <w:tcBorders>
              <w:top w:val="single" w:sz="8" w:space="0" w:color="BFBFBF"/>
              <w:left w:val="nil"/>
              <w:bottom w:val="single" w:sz="8" w:space="0" w:color="BFBFBF"/>
              <w:right w:val="single" w:sz="8" w:space="0" w:color="BFBFBF"/>
            </w:tcBorders>
          </w:tcPr>
          <w:p w14:paraId="3C6D0A2F" w14:textId="77777777" w:rsidR="00E10961" w:rsidRPr="00210CB4" w:rsidRDefault="00E10961" w:rsidP="004D55F1">
            <w:pPr>
              <w:pStyle w:val="ListParagraph"/>
              <w:numPr>
                <w:ilvl w:val="0"/>
                <w:numId w:val="69"/>
              </w:numPr>
              <w:ind w:left="0" w:firstLine="0"/>
              <w:rPr>
                <w:sz w:val="20"/>
                <w:szCs w:val="20"/>
              </w:rPr>
            </w:pPr>
          </w:p>
        </w:tc>
        <w:tc>
          <w:tcPr>
            <w:tcW w:w="5278" w:type="dxa"/>
            <w:tcBorders>
              <w:top w:val="single" w:sz="8" w:space="0" w:color="BFBFBF"/>
              <w:left w:val="single" w:sz="8" w:space="0" w:color="BFBFBF"/>
              <w:bottom w:val="single" w:sz="8" w:space="0" w:color="BFBFBF"/>
              <w:right w:val="single" w:sz="8" w:space="0" w:color="BFBFBF"/>
            </w:tcBorders>
          </w:tcPr>
          <w:p w14:paraId="3E2C8CAF" w14:textId="1648B3DD" w:rsidR="00E10961" w:rsidRPr="00210CB4" w:rsidRDefault="0057251C" w:rsidP="00666E06">
            <w:pPr>
              <w:rPr>
                <w:noProof/>
                <w:sz w:val="20"/>
                <w:szCs w:val="20"/>
              </w:rPr>
            </w:pPr>
            <w:r w:rsidRPr="00210CB4">
              <w:rPr>
                <w:noProof/>
                <w:sz w:val="20"/>
                <w:szCs w:val="20"/>
              </w:rPr>
              <w:drawing>
                <wp:inline distT="0" distB="0" distL="0" distR="0" wp14:anchorId="7E28F501" wp14:editId="308DAAA6">
                  <wp:extent cx="2226365" cy="1940118"/>
                  <wp:effectExtent l="0" t="0" r="254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brightnessContrast bright="20000"/>
                                    </a14:imgEffect>
                                  </a14:imgLayer>
                                </a14:imgProps>
                              </a:ext>
                            </a:extLst>
                          </a:blip>
                          <a:stretch>
                            <a:fillRect/>
                          </a:stretch>
                        </pic:blipFill>
                        <pic:spPr>
                          <a:xfrm>
                            <a:off x="0" y="0"/>
                            <a:ext cx="2247236" cy="1958306"/>
                          </a:xfrm>
                          <a:prstGeom prst="rect">
                            <a:avLst/>
                          </a:prstGeom>
                        </pic:spPr>
                      </pic:pic>
                    </a:graphicData>
                  </a:graphic>
                </wp:inline>
              </w:drawing>
            </w:r>
          </w:p>
        </w:tc>
        <w:tc>
          <w:tcPr>
            <w:tcW w:w="4503" w:type="dxa"/>
            <w:tcBorders>
              <w:top w:val="single" w:sz="8" w:space="0" w:color="BFBFBF"/>
              <w:left w:val="single" w:sz="8" w:space="0" w:color="BFBFBF"/>
              <w:bottom w:val="single" w:sz="8" w:space="0" w:color="BFBFBF"/>
              <w:right w:val="single" w:sz="8" w:space="0" w:color="BFBFBF"/>
            </w:tcBorders>
          </w:tcPr>
          <w:p w14:paraId="4E1DE6B9" w14:textId="25F7AA50" w:rsidR="00E10961" w:rsidRPr="00210CB4" w:rsidRDefault="00970AD0" w:rsidP="00666E06">
            <w:pPr>
              <w:rPr>
                <w:sz w:val="20"/>
                <w:szCs w:val="20"/>
              </w:rPr>
            </w:pPr>
            <w:r w:rsidRPr="00210CB4">
              <w:rPr>
                <w:sz w:val="20"/>
                <w:szCs w:val="20"/>
              </w:rPr>
              <w:t>Eccentric load path from the DHS purlins acting as struts to the roof plane bracing.</w:t>
            </w:r>
            <w:r w:rsidR="001C3984" w:rsidRPr="00210CB4">
              <w:rPr>
                <w:sz w:val="20"/>
                <w:szCs w:val="20"/>
              </w:rPr>
              <w:t xml:space="preserve"> No fly brace to aid in resolution of eccentricity.</w:t>
            </w:r>
            <w:r w:rsidRPr="00210CB4">
              <w:rPr>
                <w:sz w:val="20"/>
                <w:szCs w:val="20"/>
              </w:rPr>
              <w:t xml:space="preserve"> Increased damage risk and potential ultimate strength risk.</w:t>
            </w:r>
          </w:p>
        </w:tc>
        <w:tc>
          <w:tcPr>
            <w:tcW w:w="4747" w:type="dxa"/>
            <w:tcBorders>
              <w:top w:val="single" w:sz="8" w:space="0" w:color="BFBFBF"/>
              <w:left w:val="single" w:sz="8" w:space="0" w:color="BFBFBF"/>
              <w:bottom w:val="single" w:sz="8" w:space="0" w:color="BFBFBF"/>
              <w:right w:val="nil"/>
            </w:tcBorders>
          </w:tcPr>
          <w:p w14:paraId="6C29162E" w14:textId="69FFE5F3" w:rsidR="00E10961" w:rsidRPr="00210CB4" w:rsidRDefault="0056551A" w:rsidP="00666E06">
            <w:pPr>
              <w:rPr>
                <w:sz w:val="20"/>
                <w:szCs w:val="20"/>
              </w:rPr>
            </w:pPr>
            <w:r w:rsidRPr="00210CB4">
              <w:rPr>
                <w:sz w:val="20"/>
                <w:szCs w:val="20"/>
              </w:rPr>
              <w:t>Provide specific structural members</w:t>
            </w:r>
            <w:r w:rsidR="00A52B59" w:rsidRPr="00210CB4">
              <w:rPr>
                <w:sz w:val="20"/>
                <w:szCs w:val="20"/>
              </w:rPr>
              <w:t xml:space="preserve"> (struts) in an</w:t>
            </w:r>
            <w:r w:rsidRPr="00210CB4">
              <w:rPr>
                <w:sz w:val="20"/>
                <w:szCs w:val="20"/>
              </w:rPr>
              <w:t xml:space="preserve"> aligned </w:t>
            </w:r>
            <w:r w:rsidR="00A52B59" w:rsidRPr="00210CB4">
              <w:rPr>
                <w:sz w:val="20"/>
                <w:szCs w:val="20"/>
              </w:rPr>
              <w:t>bracing plane</w:t>
            </w:r>
            <w:r w:rsidRPr="00210CB4">
              <w:rPr>
                <w:sz w:val="20"/>
                <w:szCs w:val="20"/>
              </w:rPr>
              <w:t xml:space="preserve"> and design connections to ensure forces can pass locally through connection elements, and that members can resolve global equilibrium</w:t>
            </w:r>
            <w:r w:rsidR="00AD5A0B" w:rsidRPr="00210CB4">
              <w:rPr>
                <w:sz w:val="20"/>
                <w:szCs w:val="20"/>
              </w:rPr>
              <w:t xml:space="preserve"> (especially where roof </w:t>
            </w:r>
            <w:r w:rsidR="006E3D6C" w:rsidRPr="00210CB4">
              <w:rPr>
                <w:sz w:val="20"/>
                <w:szCs w:val="20"/>
              </w:rPr>
              <w:t xml:space="preserve">lateral </w:t>
            </w:r>
            <w:r w:rsidR="00AD5A0B" w:rsidRPr="00210CB4">
              <w:rPr>
                <w:sz w:val="20"/>
                <w:szCs w:val="20"/>
              </w:rPr>
              <w:t>loads are being</w:t>
            </w:r>
            <w:r w:rsidR="006E3D6C" w:rsidRPr="00210CB4">
              <w:rPr>
                <w:sz w:val="20"/>
                <w:szCs w:val="20"/>
              </w:rPr>
              <w:t xml:space="preserve"> carried long distances over multiple bays).</w:t>
            </w:r>
          </w:p>
        </w:tc>
      </w:tr>
      <w:tr w:rsidR="009238EB" w:rsidRPr="00210CB4" w14:paraId="3A1BD1B7" w14:textId="77777777" w:rsidTr="00853E73">
        <w:tc>
          <w:tcPr>
            <w:tcW w:w="562" w:type="dxa"/>
            <w:tcBorders>
              <w:top w:val="single" w:sz="8" w:space="0" w:color="BFBFBF"/>
              <w:left w:val="nil"/>
              <w:bottom w:val="single" w:sz="8" w:space="0" w:color="BFBFBF"/>
              <w:right w:val="single" w:sz="8" w:space="0" w:color="BFBFBF"/>
            </w:tcBorders>
          </w:tcPr>
          <w:p w14:paraId="2ABB9FE0" w14:textId="77777777" w:rsidR="009238EB" w:rsidRPr="00210CB4" w:rsidRDefault="009238EB" w:rsidP="004D55F1">
            <w:pPr>
              <w:pStyle w:val="ListParagraph"/>
              <w:numPr>
                <w:ilvl w:val="0"/>
                <w:numId w:val="69"/>
              </w:numPr>
              <w:ind w:left="0" w:firstLine="0"/>
              <w:rPr>
                <w:sz w:val="20"/>
                <w:szCs w:val="20"/>
              </w:rPr>
            </w:pPr>
          </w:p>
        </w:tc>
        <w:tc>
          <w:tcPr>
            <w:tcW w:w="5278" w:type="dxa"/>
            <w:tcBorders>
              <w:top w:val="single" w:sz="8" w:space="0" w:color="BFBFBF"/>
              <w:left w:val="single" w:sz="8" w:space="0" w:color="BFBFBF"/>
              <w:bottom w:val="single" w:sz="8" w:space="0" w:color="BFBFBF"/>
              <w:right w:val="single" w:sz="8" w:space="0" w:color="BFBFBF"/>
            </w:tcBorders>
          </w:tcPr>
          <w:p w14:paraId="7AF11F13" w14:textId="22CA54CE" w:rsidR="009238EB" w:rsidRPr="00210CB4" w:rsidRDefault="00E50A9D" w:rsidP="00666E06">
            <w:pPr>
              <w:rPr>
                <w:noProof/>
                <w:sz w:val="20"/>
                <w:szCs w:val="20"/>
              </w:rPr>
            </w:pPr>
            <w:r w:rsidRPr="00210CB4">
              <w:rPr>
                <w:noProof/>
                <w:sz w:val="20"/>
                <w:szCs w:val="20"/>
              </w:rPr>
              <w:drawing>
                <wp:inline distT="0" distB="0" distL="0" distR="0" wp14:anchorId="47241B68" wp14:editId="404161C4">
                  <wp:extent cx="2345634" cy="1780567"/>
                  <wp:effectExtent l="0" t="0" r="0" b="0"/>
                  <wp:docPr id="476620781" name="Picture 47662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20781" name=""/>
                          <pic:cNvPicPr/>
                        </pic:nvPicPr>
                        <pic:blipFill>
                          <a:blip r:embed="rId117"/>
                          <a:stretch>
                            <a:fillRect/>
                          </a:stretch>
                        </pic:blipFill>
                        <pic:spPr>
                          <a:xfrm>
                            <a:off x="0" y="0"/>
                            <a:ext cx="2363578" cy="1794189"/>
                          </a:xfrm>
                          <a:prstGeom prst="rect">
                            <a:avLst/>
                          </a:prstGeom>
                        </pic:spPr>
                      </pic:pic>
                    </a:graphicData>
                  </a:graphic>
                </wp:inline>
              </w:drawing>
            </w:r>
          </w:p>
        </w:tc>
        <w:tc>
          <w:tcPr>
            <w:tcW w:w="4503" w:type="dxa"/>
            <w:tcBorders>
              <w:top w:val="single" w:sz="8" w:space="0" w:color="BFBFBF"/>
              <w:left w:val="single" w:sz="8" w:space="0" w:color="BFBFBF"/>
              <w:bottom w:val="single" w:sz="8" w:space="0" w:color="BFBFBF"/>
              <w:right w:val="single" w:sz="8" w:space="0" w:color="BFBFBF"/>
            </w:tcBorders>
          </w:tcPr>
          <w:p w14:paraId="0F421FC8" w14:textId="72F67A4D" w:rsidR="009238EB" w:rsidRPr="00210CB4" w:rsidRDefault="002A3847" w:rsidP="00666E06">
            <w:pPr>
              <w:rPr>
                <w:sz w:val="20"/>
                <w:szCs w:val="20"/>
              </w:rPr>
            </w:pPr>
            <w:r w:rsidRPr="00210CB4">
              <w:rPr>
                <w:sz w:val="20"/>
                <w:szCs w:val="20"/>
              </w:rPr>
              <w:t>S</w:t>
            </w:r>
            <w:r w:rsidR="00FB3D81" w:rsidRPr="00210CB4">
              <w:rPr>
                <w:sz w:val="20"/>
                <w:szCs w:val="20"/>
              </w:rPr>
              <w:t xml:space="preserve">tructural system </w:t>
            </w:r>
            <w:r w:rsidR="00C55732" w:rsidRPr="00210CB4">
              <w:rPr>
                <w:sz w:val="20"/>
                <w:szCs w:val="20"/>
              </w:rPr>
              <w:t xml:space="preserve">selected in isolation, </w:t>
            </w:r>
            <w:r w:rsidR="00FB3D81" w:rsidRPr="00210CB4">
              <w:rPr>
                <w:sz w:val="20"/>
                <w:szCs w:val="20"/>
              </w:rPr>
              <w:t>not well coordinated with services installation.</w:t>
            </w:r>
            <w:r w:rsidR="00B76517" w:rsidRPr="00210CB4">
              <w:rPr>
                <w:sz w:val="20"/>
                <w:szCs w:val="20"/>
              </w:rPr>
              <w:t xml:space="preserve"> Prone to poor execution.</w:t>
            </w:r>
          </w:p>
        </w:tc>
        <w:tc>
          <w:tcPr>
            <w:tcW w:w="4747" w:type="dxa"/>
            <w:tcBorders>
              <w:top w:val="single" w:sz="8" w:space="0" w:color="BFBFBF"/>
              <w:left w:val="single" w:sz="8" w:space="0" w:color="BFBFBF"/>
              <w:bottom w:val="single" w:sz="8" w:space="0" w:color="BFBFBF"/>
              <w:right w:val="nil"/>
            </w:tcBorders>
          </w:tcPr>
          <w:p w14:paraId="2A767EE6" w14:textId="77777777" w:rsidR="009238EB" w:rsidRPr="00210CB4" w:rsidRDefault="002A3847" w:rsidP="00666E06">
            <w:pPr>
              <w:rPr>
                <w:sz w:val="20"/>
                <w:szCs w:val="20"/>
              </w:rPr>
            </w:pPr>
            <w:r w:rsidRPr="00210CB4">
              <w:rPr>
                <w:sz w:val="20"/>
                <w:szCs w:val="20"/>
              </w:rPr>
              <w:t>Consider the extent of services required in a hospital ceiling space when choosing design and construction form.</w:t>
            </w:r>
          </w:p>
          <w:p w14:paraId="76C9E324" w14:textId="512CD461" w:rsidR="00C55732" w:rsidRPr="00210CB4" w:rsidRDefault="00B30FD2" w:rsidP="00666E06">
            <w:pPr>
              <w:rPr>
                <w:sz w:val="20"/>
                <w:szCs w:val="20"/>
              </w:rPr>
            </w:pPr>
            <w:r w:rsidRPr="00210CB4">
              <w:rPr>
                <w:sz w:val="20"/>
                <w:szCs w:val="20"/>
              </w:rPr>
              <w:t>Adopt</w:t>
            </w:r>
            <w:r w:rsidR="00C55732" w:rsidRPr="00210CB4">
              <w:rPr>
                <w:sz w:val="20"/>
                <w:szCs w:val="20"/>
              </w:rPr>
              <w:t xml:space="preserve"> strategies </w:t>
            </w:r>
            <w:r w:rsidRPr="00210CB4">
              <w:rPr>
                <w:sz w:val="20"/>
                <w:szCs w:val="20"/>
              </w:rPr>
              <w:t>to plenum structure and bracing that are clear and obvious and unlikely to be compromised in construction or building maintenance and alterations.</w:t>
            </w:r>
          </w:p>
        </w:tc>
      </w:tr>
      <w:tr w:rsidR="002603CF" w:rsidRPr="00210CB4" w14:paraId="526D3C22" w14:textId="77777777" w:rsidTr="00853E73">
        <w:tc>
          <w:tcPr>
            <w:tcW w:w="562" w:type="dxa"/>
            <w:tcBorders>
              <w:top w:val="single" w:sz="8" w:space="0" w:color="BFBFBF"/>
              <w:left w:val="nil"/>
              <w:bottom w:val="nil"/>
              <w:right w:val="single" w:sz="8" w:space="0" w:color="BFBFBF"/>
            </w:tcBorders>
          </w:tcPr>
          <w:p w14:paraId="198431F0" w14:textId="77777777" w:rsidR="002603CF" w:rsidRPr="00210CB4" w:rsidRDefault="002603CF" w:rsidP="004D55F1">
            <w:pPr>
              <w:pStyle w:val="ListParagraph"/>
              <w:numPr>
                <w:ilvl w:val="0"/>
                <w:numId w:val="69"/>
              </w:numPr>
              <w:ind w:left="0" w:firstLine="0"/>
              <w:rPr>
                <w:sz w:val="20"/>
                <w:szCs w:val="20"/>
              </w:rPr>
            </w:pPr>
          </w:p>
        </w:tc>
        <w:tc>
          <w:tcPr>
            <w:tcW w:w="5278" w:type="dxa"/>
            <w:tcBorders>
              <w:top w:val="single" w:sz="8" w:space="0" w:color="BFBFBF"/>
              <w:left w:val="single" w:sz="8" w:space="0" w:color="BFBFBF"/>
              <w:bottom w:val="nil"/>
              <w:right w:val="single" w:sz="8" w:space="0" w:color="BFBFBF"/>
            </w:tcBorders>
          </w:tcPr>
          <w:p w14:paraId="7F7C7B7B" w14:textId="18EA0768" w:rsidR="002603CF" w:rsidRPr="00210CB4" w:rsidRDefault="006546E7" w:rsidP="00666E06">
            <w:pPr>
              <w:rPr>
                <w:noProof/>
                <w:sz w:val="20"/>
                <w:szCs w:val="20"/>
              </w:rPr>
            </w:pPr>
            <w:r w:rsidRPr="00210CB4">
              <w:rPr>
                <w:noProof/>
                <w:sz w:val="20"/>
                <w:szCs w:val="20"/>
              </w:rPr>
              <w:drawing>
                <wp:inline distT="0" distB="0" distL="0" distR="0" wp14:anchorId="442C9A96" wp14:editId="6811A06E">
                  <wp:extent cx="1637120" cy="1610222"/>
                  <wp:effectExtent l="0" t="0" r="127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650778" cy="1623655"/>
                          </a:xfrm>
                          <a:prstGeom prst="rect">
                            <a:avLst/>
                          </a:prstGeom>
                        </pic:spPr>
                      </pic:pic>
                    </a:graphicData>
                  </a:graphic>
                </wp:inline>
              </w:drawing>
            </w:r>
            <w:r w:rsidR="00915F35" w:rsidRPr="00210CB4">
              <w:rPr>
                <w:noProof/>
                <w:sz w:val="20"/>
                <w:szCs w:val="20"/>
              </w:rPr>
              <w:t xml:space="preserve"> </w:t>
            </w:r>
            <w:r w:rsidR="00915F35" w:rsidRPr="00210CB4">
              <w:rPr>
                <w:noProof/>
                <w:sz w:val="20"/>
                <w:szCs w:val="20"/>
              </w:rPr>
              <w:drawing>
                <wp:inline distT="0" distB="0" distL="0" distR="0" wp14:anchorId="2F97D26C" wp14:editId="389DCDB9">
                  <wp:extent cx="1546671" cy="16061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557448" cy="1617356"/>
                          </a:xfrm>
                          <a:prstGeom prst="rect">
                            <a:avLst/>
                          </a:prstGeom>
                        </pic:spPr>
                      </pic:pic>
                    </a:graphicData>
                  </a:graphic>
                </wp:inline>
              </w:drawing>
            </w:r>
          </w:p>
        </w:tc>
        <w:tc>
          <w:tcPr>
            <w:tcW w:w="4503" w:type="dxa"/>
            <w:tcBorders>
              <w:top w:val="single" w:sz="8" w:space="0" w:color="BFBFBF"/>
              <w:left w:val="single" w:sz="8" w:space="0" w:color="BFBFBF"/>
              <w:bottom w:val="nil"/>
              <w:right w:val="single" w:sz="8" w:space="0" w:color="BFBFBF"/>
            </w:tcBorders>
          </w:tcPr>
          <w:p w14:paraId="659A1FD5" w14:textId="25D26FD1" w:rsidR="002603CF" w:rsidRPr="00210CB4" w:rsidRDefault="00915F35" w:rsidP="00666E06">
            <w:pPr>
              <w:rPr>
                <w:sz w:val="20"/>
                <w:szCs w:val="20"/>
              </w:rPr>
            </w:pPr>
            <w:r w:rsidRPr="00210CB4">
              <w:rPr>
                <w:sz w:val="20"/>
                <w:szCs w:val="20"/>
              </w:rPr>
              <w:t>Early onset of corrosion</w:t>
            </w:r>
            <w:r w:rsidR="00B738C1" w:rsidRPr="00210CB4">
              <w:rPr>
                <w:sz w:val="20"/>
                <w:szCs w:val="20"/>
              </w:rPr>
              <w:t xml:space="preserve"> likely to require premature major maintenance</w:t>
            </w:r>
            <w:r w:rsidRPr="00210CB4">
              <w:rPr>
                <w:sz w:val="20"/>
                <w:szCs w:val="20"/>
              </w:rPr>
              <w:t>.</w:t>
            </w:r>
            <w:r w:rsidR="00F659AD" w:rsidRPr="00210CB4">
              <w:rPr>
                <w:sz w:val="20"/>
                <w:szCs w:val="20"/>
              </w:rPr>
              <w:t xml:space="preserve"> Poor coating selection, </w:t>
            </w:r>
            <w:r w:rsidR="009B3D09" w:rsidRPr="00210CB4">
              <w:rPr>
                <w:sz w:val="20"/>
                <w:szCs w:val="20"/>
              </w:rPr>
              <w:t xml:space="preserve">inadequate repair of coatings after site welding (including heat damaged areas). No </w:t>
            </w:r>
            <w:r w:rsidR="00831798" w:rsidRPr="00210CB4">
              <w:rPr>
                <w:sz w:val="20"/>
                <w:szCs w:val="20"/>
              </w:rPr>
              <w:t xml:space="preserve">protection to shot fired nails (which are especially vulnerable </w:t>
            </w:r>
            <w:r w:rsidR="000D1E36" w:rsidRPr="00210CB4">
              <w:rPr>
                <w:sz w:val="20"/>
                <w:szCs w:val="20"/>
              </w:rPr>
              <w:t>due to their small size and</w:t>
            </w:r>
            <w:r w:rsidR="00831798" w:rsidRPr="00210CB4">
              <w:rPr>
                <w:sz w:val="20"/>
                <w:szCs w:val="20"/>
              </w:rPr>
              <w:t xml:space="preserve"> </w:t>
            </w:r>
            <w:r w:rsidR="000D1E36" w:rsidRPr="00210CB4">
              <w:rPr>
                <w:sz w:val="20"/>
                <w:szCs w:val="20"/>
              </w:rPr>
              <w:t>accelerated corrosion from galvanic effects</w:t>
            </w:r>
            <w:r w:rsidR="00831798" w:rsidRPr="00210CB4">
              <w:rPr>
                <w:sz w:val="20"/>
                <w:szCs w:val="20"/>
              </w:rPr>
              <w:t>).</w:t>
            </w:r>
          </w:p>
        </w:tc>
        <w:tc>
          <w:tcPr>
            <w:tcW w:w="4747" w:type="dxa"/>
            <w:tcBorders>
              <w:top w:val="single" w:sz="8" w:space="0" w:color="BFBFBF"/>
              <w:left w:val="single" w:sz="8" w:space="0" w:color="BFBFBF"/>
              <w:bottom w:val="nil"/>
              <w:right w:val="nil"/>
            </w:tcBorders>
          </w:tcPr>
          <w:p w14:paraId="64C41BD9" w14:textId="32027609" w:rsidR="002603CF" w:rsidRPr="00210CB4" w:rsidRDefault="004C6450" w:rsidP="00666E06">
            <w:pPr>
              <w:rPr>
                <w:sz w:val="20"/>
                <w:szCs w:val="20"/>
              </w:rPr>
            </w:pPr>
            <w:r w:rsidRPr="00210CB4">
              <w:rPr>
                <w:sz w:val="20"/>
                <w:szCs w:val="20"/>
              </w:rPr>
              <w:t>Correctly assign corrosivity category and protecti</w:t>
            </w:r>
            <w:r w:rsidR="00F4724C" w:rsidRPr="00210CB4">
              <w:rPr>
                <w:sz w:val="20"/>
                <w:szCs w:val="20"/>
              </w:rPr>
              <w:t>ve coating</w:t>
            </w:r>
            <w:r w:rsidRPr="00210CB4">
              <w:rPr>
                <w:sz w:val="20"/>
                <w:szCs w:val="20"/>
              </w:rPr>
              <w:t xml:space="preserve"> specification in high</w:t>
            </w:r>
            <w:r w:rsidR="0008470E" w:rsidRPr="00210CB4">
              <w:rPr>
                <w:sz w:val="20"/>
                <w:szCs w:val="20"/>
              </w:rPr>
              <w:t>er risk areas, such as internal damp areas as defined by TS 3404</w:t>
            </w:r>
            <w:r w:rsidRPr="00210CB4">
              <w:rPr>
                <w:sz w:val="20"/>
                <w:szCs w:val="20"/>
              </w:rPr>
              <w:t xml:space="preserve"> </w:t>
            </w:r>
            <w:r w:rsidR="00E43F87" w:rsidRPr="00210CB4">
              <w:rPr>
                <w:sz w:val="20"/>
                <w:szCs w:val="20"/>
              </w:rPr>
              <w:t xml:space="preserve">Tables 2 and 3 </w:t>
            </w:r>
            <w:r w:rsidR="00377801" w:rsidRPr="00210CB4">
              <w:rPr>
                <w:sz w:val="20"/>
                <w:szCs w:val="20"/>
              </w:rPr>
              <w:t>(</w:t>
            </w:r>
            <w:r w:rsidR="00E43F87" w:rsidRPr="00210CB4">
              <w:rPr>
                <w:sz w:val="20"/>
                <w:szCs w:val="20"/>
              </w:rPr>
              <w:t xml:space="preserve">steelwork </w:t>
            </w:r>
            <w:r w:rsidRPr="00210CB4">
              <w:rPr>
                <w:sz w:val="20"/>
                <w:szCs w:val="20"/>
              </w:rPr>
              <w:t xml:space="preserve">within </w:t>
            </w:r>
            <w:r w:rsidR="00377801" w:rsidRPr="00210CB4">
              <w:rPr>
                <w:sz w:val="20"/>
                <w:szCs w:val="20"/>
              </w:rPr>
              <w:t xml:space="preserve">the external wall and roof </w:t>
            </w:r>
            <w:r w:rsidRPr="00210CB4">
              <w:rPr>
                <w:sz w:val="20"/>
                <w:szCs w:val="20"/>
              </w:rPr>
              <w:t>cavit</w:t>
            </w:r>
            <w:r w:rsidR="00377801" w:rsidRPr="00210CB4">
              <w:rPr>
                <w:sz w:val="20"/>
                <w:szCs w:val="20"/>
              </w:rPr>
              <w:t xml:space="preserve">y with the steel on the cold side of the </w:t>
            </w:r>
            <w:r w:rsidRPr="00210CB4">
              <w:rPr>
                <w:sz w:val="20"/>
                <w:szCs w:val="20"/>
              </w:rPr>
              <w:t>dew point</w:t>
            </w:r>
            <w:r w:rsidR="00E43F87" w:rsidRPr="00210CB4">
              <w:rPr>
                <w:sz w:val="20"/>
                <w:szCs w:val="20"/>
              </w:rPr>
              <w:t>).</w:t>
            </w:r>
            <w:r w:rsidR="000D1E36" w:rsidRPr="00210CB4">
              <w:rPr>
                <w:sz w:val="20"/>
                <w:szCs w:val="20"/>
              </w:rPr>
              <w:t xml:space="preserve"> </w:t>
            </w:r>
            <w:r w:rsidR="006908C4" w:rsidRPr="00210CB4">
              <w:rPr>
                <w:sz w:val="20"/>
                <w:szCs w:val="20"/>
              </w:rPr>
              <w:t xml:space="preserve">Coordinate with architectural elements. </w:t>
            </w:r>
            <w:r w:rsidR="000D1E36" w:rsidRPr="00210CB4">
              <w:rPr>
                <w:sz w:val="20"/>
                <w:szCs w:val="20"/>
              </w:rPr>
              <w:t xml:space="preserve">Consider </w:t>
            </w:r>
            <w:r w:rsidR="006908C4" w:rsidRPr="00210CB4">
              <w:rPr>
                <w:sz w:val="20"/>
                <w:szCs w:val="20"/>
              </w:rPr>
              <w:t>predrill</w:t>
            </w:r>
            <w:r w:rsidR="00DC4554" w:rsidRPr="00210CB4">
              <w:rPr>
                <w:sz w:val="20"/>
                <w:szCs w:val="20"/>
              </w:rPr>
              <w:t xml:space="preserve"> for galvanised bolt fixings (to</w:t>
            </w:r>
            <w:r w:rsidR="003277FE" w:rsidRPr="00210CB4">
              <w:rPr>
                <w:sz w:val="20"/>
                <w:szCs w:val="20"/>
              </w:rPr>
              <w:t xml:space="preserve"> minimise need for coating repair).</w:t>
            </w:r>
          </w:p>
        </w:tc>
      </w:tr>
    </w:tbl>
    <w:p w14:paraId="75C4EB99" w14:textId="77777777" w:rsidR="00AF271B" w:rsidRDefault="00AF271B" w:rsidP="00666E06"/>
    <w:p w14:paraId="0F0F153D" w14:textId="77777777" w:rsidR="00DC206D" w:rsidRDefault="00DC206D" w:rsidP="00666E06">
      <w:pPr>
        <w:sectPr w:rsidR="00DC206D" w:rsidSect="005445CA">
          <w:headerReference w:type="default" r:id="rId120"/>
          <w:footerReference w:type="default" r:id="rId121"/>
          <w:footnotePr>
            <w:numRestart w:val="eachPage"/>
          </w:footnotePr>
          <w:pgSz w:w="16838" w:h="11906" w:orient="landscape" w:code="187"/>
          <w:pgMar w:top="1134" w:right="1134" w:bottom="1134" w:left="1134" w:header="709" w:footer="709" w:gutter="0"/>
          <w:cols w:space="708"/>
          <w:docGrid w:linePitch="360"/>
        </w:sectPr>
      </w:pPr>
    </w:p>
    <w:p w14:paraId="55AF595D" w14:textId="471E3242" w:rsidR="009A630A" w:rsidRPr="00C970D4" w:rsidRDefault="009A630A" w:rsidP="009A630A">
      <w:pPr>
        <w:pStyle w:val="Dividerheading"/>
        <w:ind w:left="0"/>
        <w:rPr>
          <w:color w:val="4D2379"/>
        </w:rPr>
      </w:pPr>
      <w:bookmarkStart w:id="379" w:name="Glossary"/>
      <w:bookmarkStart w:id="380" w:name="_Toc203642012"/>
      <w:bookmarkStart w:id="381" w:name="_Ref166337141"/>
      <w:r w:rsidRPr="00C970D4">
        <w:rPr>
          <w:noProof/>
          <w:color w:val="4D2379"/>
          <w14:ligatures w14:val="none"/>
        </w:rPr>
        <w:lastRenderedPageBreak/>
        <w:drawing>
          <wp:anchor distT="0" distB="0" distL="114300" distR="114300" simplePos="0" relativeHeight="251658244" behindDoc="1" locked="0" layoutInCell="1" allowOverlap="1" wp14:anchorId="7A736246" wp14:editId="5F3E2A14">
            <wp:simplePos x="0" y="0"/>
            <wp:positionH relativeFrom="column">
              <wp:posOffset>-730250</wp:posOffset>
            </wp:positionH>
            <wp:positionV relativeFrom="paragraph">
              <wp:posOffset>-969010</wp:posOffset>
            </wp:positionV>
            <wp:extent cx="7559999" cy="9598547"/>
            <wp:effectExtent l="0" t="0" r="3175" b="3175"/>
            <wp:wrapNone/>
            <wp:docPr id="9894416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4163" name="Picture 6">
                      <a:extLst>
                        <a:ext uri="{C183D7F6-B498-43B3-948B-1728B52AA6E4}">
                          <adec:decorative xmlns:adec="http://schemas.microsoft.com/office/drawing/2017/decorative" val="1"/>
                        </a:ext>
                      </a:extLst>
                    </pic:cNvPr>
                    <pic:cNvPicPr/>
                  </pic:nvPicPr>
                  <pic:blipFill>
                    <a:blip r:embed="rId122">
                      <a:extLst>
                        <a:ext uri="{28A0092B-C50C-407E-A947-70E740481C1C}">
                          <a14:useLocalDpi xmlns:a14="http://schemas.microsoft.com/office/drawing/2010/main" val="0"/>
                        </a:ext>
                      </a:extLst>
                    </a:blip>
                    <a:stretch>
                      <a:fillRect/>
                    </a:stretch>
                  </pic:blipFill>
                  <pic:spPr>
                    <a:xfrm>
                      <a:off x="0" y="0"/>
                      <a:ext cx="7559999" cy="9598547"/>
                    </a:xfrm>
                    <a:prstGeom prst="rect">
                      <a:avLst/>
                    </a:prstGeom>
                  </pic:spPr>
                </pic:pic>
              </a:graphicData>
            </a:graphic>
            <wp14:sizeRelH relativeFrom="page">
              <wp14:pctWidth>0</wp14:pctWidth>
            </wp14:sizeRelH>
            <wp14:sizeRelV relativeFrom="page">
              <wp14:pctHeight>0</wp14:pctHeight>
            </wp14:sizeRelV>
          </wp:anchor>
        </w:drawing>
      </w:r>
      <w:r w:rsidRPr="00C970D4">
        <w:rPr>
          <w:color w:val="4D2379"/>
        </w:rPr>
        <w:t>Glossary of terms, definitions, and acronyms</w:t>
      </w:r>
      <w:bookmarkEnd w:id="379"/>
      <w:bookmarkEnd w:id="380"/>
    </w:p>
    <w:p w14:paraId="0BAEF992" w14:textId="08733753" w:rsidR="00D269C8" w:rsidRDefault="00D269C8" w:rsidP="001862B3">
      <w:pPr>
        <w:pStyle w:val="Heading1"/>
      </w:pPr>
      <w:r>
        <w:br w:type="page"/>
      </w:r>
    </w:p>
    <w:bookmarkEnd w:id="381"/>
    <w:p w14:paraId="7322F709" w14:textId="459FEF35" w:rsidR="00E97540" w:rsidRPr="003E3FEA" w:rsidRDefault="00E97540" w:rsidP="00666E06">
      <w:pPr>
        <w:pStyle w:val="Glossary"/>
      </w:pPr>
      <w:r w:rsidRPr="003E3FEA">
        <w:rPr>
          <w:b/>
          <w:bCs/>
        </w:rPr>
        <w:lastRenderedPageBreak/>
        <w:t xml:space="preserve">Adjacency (Closely Adjacent): </w:t>
      </w:r>
      <w:r w:rsidRPr="003E3FEA">
        <w:t xml:space="preserve">In </w:t>
      </w:r>
      <w:r w:rsidR="007357A4" w:rsidRPr="003E3FEA">
        <w:t xml:space="preserve">an </w:t>
      </w:r>
      <w:r w:rsidRPr="003E3FEA">
        <w:t xml:space="preserve">earthquake </w:t>
      </w:r>
      <w:r w:rsidR="00E867FC" w:rsidRPr="003E3FEA">
        <w:t xml:space="preserve">risk </w:t>
      </w:r>
      <w:r w:rsidRPr="003E3FEA">
        <w:t>context</w:t>
      </w:r>
      <w:r w:rsidR="00EE3897" w:rsidRPr="003E3FEA">
        <w:t xml:space="preserve"> </w:t>
      </w:r>
      <w:r w:rsidR="00CA04CA" w:rsidRPr="003E3FEA">
        <w:t>(</w:t>
      </w:r>
      <w:r w:rsidR="00EE3897" w:rsidRPr="003E3FEA">
        <w:t xml:space="preserve">considering the </w:t>
      </w:r>
      <w:r w:rsidR="00F072E6" w:rsidRPr="003E3FEA">
        <w:t>risk of collapse debris from neighbouring buildings</w:t>
      </w:r>
      <w:r w:rsidR="00CA04CA" w:rsidRPr="003E3FEA">
        <w:t>)</w:t>
      </w:r>
      <w:r w:rsidRPr="003E3FEA">
        <w:t>, a building that is</w:t>
      </w:r>
      <w:r w:rsidR="00707357" w:rsidRPr="003E3FEA">
        <w:t xml:space="preserve"> situated within a distance </w:t>
      </w:r>
      <w:r w:rsidR="0026542D">
        <w:t xml:space="preserve">generally </w:t>
      </w:r>
      <w:r w:rsidR="00707357" w:rsidRPr="003E3FEA">
        <w:t xml:space="preserve">less than </w:t>
      </w:r>
      <w:r w:rsidR="00895E63">
        <w:t>one</w:t>
      </w:r>
      <w:r w:rsidR="00707357" w:rsidRPr="003E3FEA">
        <w:t xml:space="preserve"> times its own height</w:t>
      </w:r>
      <w:r w:rsidR="007357A4" w:rsidRPr="003E3FEA">
        <w:t xml:space="preserve"> generally (or as </w:t>
      </w:r>
      <w:r w:rsidR="001F5ECD" w:rsidRPr="003E3FEA">
        <w:t xml:space="preserve">specifically </w:t>
      </w:r>
      <w:r w:rsidR="007357A4" w:rsidRPr="003E3FEA">
        <w:t xml:space="preserve">clarified in </w:t>
      </w:r>
      <w:r w:rsidR="00CD40AE">
        <w:fldChar w:fldCharType="begin"/>
      </w:r>
      <w:r w:rsidR="00CD40AE">
        <w:instrText xml:space="preserve"> REF Appendix_1 \h </w:instrText>
      </w:r>
      <w:r w:rsidR="00CD40AE">
        <w:fldChar w:fldCharType="separate"/>
      </w:r>
      <w:r w:rsidR="000761C1" w:rsidRPr="00F301A3">
        <w:t>Appendix 1</w:t>
      </w:r>
      <w:r w:rsidR="00CD40AE">
        <w:fldChar w:fldCharType="end"/>
      </w:r>
      <w:r w:rsidR="007357A4" w:rsidRPr="003E3FEA">
        <w:t>)</w:t>
      </w:r>
      <w:r w:rsidR="00707357" w:rsidRPr="003E3FEA">
        <w:t xml:space="preserve"> </w:t>
      </w:r>
      <w:r w:rsidR="00E867FC" w:rsidRPr="003E3FEA">
        <w:t>is considered to be</w:t>
      </w:r>
      <w:r w:rsidRPr="003E3FEA">
        <w:t xml:space="preserve"> </w:t>
      </w:r>
      <w:r w:rsidRPr="003E3FEA">
        <w:rPr>
          <w:i/>
          <w:iCs/>
        </w:rPr>
        <w:t>closely adjacent</w:t>
      </w:r>
      <w:r w:rsidRPr="003E3FEA">
        <w:t xml:space="preserve"> to </w:t>
      </w:r>
      <w:r w:rsidR="00E867FC" w:rsidRPr="003E3FEA">
        <w:t>the building or site in question.</w:t>
      </w:r>
    </w:p>
    <w:p w14:paraId="1AB28A3F" w14:textId="23F613E7" w:rsidR="00EA04E5" w:rsidRPr="00CF2A7B" w:rsidRDefault="00EA04E5" w:rsidP="00666E06">
      <w:pPr>
        <w:pStyle w:val="Glossary"/>
      </w:pPr>
      <w:r w:rsidRPr="003E3FEA">
        <w:rPr>
          <w:b/>
          <w:bCs/>
        </w:rPr>
        <w:t>APoE</w:t>
      </w:r>
      <w:r w:rsidR="00263E34" w:rsidRPr="003E3FEA">
        <w:rPr>
          <w:b/>
          <w:bCs/>
        </w:rPr>
        <w:t xml:space="preserve"> (Annual Probability of Exceedance)</w:t>
      </w:r>
      <w:r w:rsidR="00F963EF">
        <w:rPr>
          <w:b/>
          <w:bCs/>
        </w:rPr>
        <w:t xml:space="preserve">: </w:t>
      </w:r>
      <w:r w:rsidR="00F963EF" w:rsidRPr="00CF2A7B">
        <w:t xml:space="preserve">This term is generally used in preference to </w:t>
      </w:r>
      <w:r w:rsidR="00CF2A7B">
        <w:t xml:space="preserve">expressing </w:t>
      </w:r>
      <w:r w:rsidR="00CF2A7B" w:rsidRPr="00CF2A7B">
        <w:t>earthquake return periods</w:t>
      </w:r>
      <w:r w:rsidR="00CF2A7B">
        <w:t xml:space="preserve"> in years</w:t>
      </w:r>
      <w:r w:rsidR="00CF2A7B" w:rsidRPr="00CF2A7B">
        <w:t>, as it better conveys the statistical intent</w:t>
      </w:r>
      <w:r w:rsidR="00CF2A7B">
        <w:t xml:space="preserve"> and avoids misinterpretation.</w:t>
      </w:r>
    </w:p>
    <w:p w14:paraId="615A606E" w14:textId="06241DE5" w:rsidR="00442087" w:rsidRPr="003E3FEA" w:rsidRDefault="00442087" w:rsidP="00666E06">
      <w:pPr>
        <w:pStyle w:val="Glossary"/>
      </w:pPr>
      <w:r w:rsidRPr="003E3FEA">
        <w:rPr>
          <w:b/>
          <w:bCs/>
        </w:rPr>
        <w:t xml:space="preserve">ANARP </w:t>
      </w:r>
      <w:r w:rsidR="00030098" w:rsidRPr="003E3FEA">
        <w:rPr>
          <w:b/>
          <w:bCs/>
        </w:rPr>
        <w:t>(A</w:t>
      </w:r>
      <w:r w:rsidRPr="003E3FEA">
        <w:rPr>
          <w:b/>
          <w:bCs/>
        </w:rPr>
        <w:t xml:space="preserve">s </w:t>
      </w:r>
      <w:r w:rsidR="00030098" w:rsidRPr="003E3FEA">
        <w:rPr>
          <w:b/>
          <w:bCs/>
        </w:rPr>
        <w:t>n</w:t>
      </w:r>
      <w:r w:rsidRPr="003E3FEA">
        <w:rPr>
          <w:b/>
          <w:bCs/>
        </w:rPr>
        <w:t xml:space="preserve">ear </w:t>
      </w:r>
      <w:r w:rsidR="00030098" w:rsidRPr="003E3FEA">
        <w:rPr>
          <w:b/>
          <w:bCs/>
        </w:rPr>
        <w:t>a</w:t>
      </w:r>
      <w:r w:rsidRPr="003E3FEA">
        <w:rPr>
          <w:b/>
          <w:bCs/>
        </w:rPr>
        <w:t xml:space="preserve">s is </w:t>
      </w:r>
      <w:r w:rsidR="00030098" w:rsidRPr="003E3FEA">
        <w:rPr>
          <w:b/>
          <w:bCs/>
        </w:rPr>
        <w:t>r</w:t>
      </w:r>
      <w:r w:rsidRPr="003E3FEA">
        <w:rPr>
          <w:b/>
          <w:bCs/>
        </w:rPr>
        <w:t xml:space="preserve">easonably </w:t>
      </w:r>
      <w:r w:rsidR="00030098" w:rsidRPr="003E3FEA">
        <w:rPr>
          <w:b/>
          <w:bCs/>
        </w:rPr>
        <w:t>p</w:t>
      </w:r>
      <w:r w:rsidRPr="003E3FEA">
        <w:rPr>
          <w:b/>
          <w:bCs/>
        </w:rPr>
        <w:t>racticable</w:t>
      </w:r>
      <w:r w:rsidR="00030098" w:rsidRPr="003E3FEA">
        <w:rPr>
          <w:b/>
          <w:bCs/>
        </w:rPr>
        <w:t>)</w:t>
      </w:r>
      <w:r w:rsidRPr="003E3FEA">
        <w:rPr>
          <w:b/>
          <w:bCs/>
        </w:rPr>
        <w:t>:</w:t>
      </w:r>
      <w:r w:rsidRPr="003E3FEA">
        <w:t xml:space="preserve"> </w:t>
      </w:r>
      <w:r w:rsidR="004844D6" w:rsidRPr="003E3FEA">
        <w:t xml:space="preserve">A concept used in some sections of the </w:t>
      </w:r>
      <w:r w:rsidR="0042062E" w:rsidRPr="003E3FEA">
        <w:t>B</w:t>
      </w:r>
      <w:r w:rsidR="004844D6" w:rsidRPr="003E3FEA">
        <w:t xml:space="preserve">uilding </w:t>
      </w:r>
      <w:r w:rsidR="0042062E" w:rsidRPr="003E3FEA">
        <w:t>A</w:t>
      </w:r>
      <w:r w:rsidR="004844D6" w:rsidRPr="003E3FEA">
        <w:t>ct allowing flexibility</w:t>
      </w:r>
      <w:r w:rsidR="0042062E" w:rsidRPr="003E3FEA">
        <w:t xml:space="preserve"> in the level of compliance with the Building Regulations</w:t>
      </w:r>
      <w:r w:rsidR="004705A1" w:rsidRPr="003E3FEA">
        <w:t xml:space="preserve"> (the ANARP test)</w:t>
      </w:r>
      <w:r w:rsidR="0042062E" w:rsidRPr="003E3FEA">
        <w:t>.</w:t>
      </w:r>
      <w:r w:rsidR="005F0EBC" w:rsidRPr="003E3FEA">
        <w:t xml:space="preserve"> </w:t>
      </w:r>
      <w:r w:rsidR="004705A1" w:rsidRPr="003E3FEA">
        <w:t>T</w:t>
      </w:r>
      <w:r w:rsidR="005F0EBC" w:rsidRPr="003E3FEA">
        <w:t xml:space="preserve">his document </w:t>
      </w:r>
      <w:r w:rsidR="00100549" w:rsidRPr="003E3FEA">
        <w:t>also uses the same</w:t>
      </w:r>
      <w:r w:rsidR="005F0EBC" w:rsidRPr="003E3FEA">
        <w:t xml:space="preserve"> term </w:t>
      </w:r>
      <w:r w:rsidR="002665C1" w:rsidRPr="003E3FEA">
        <w:t>in</w:t>
      </w:r>
      <w:r w:rsidR="00100549" w:rsidRPr="003E3FEA">
        <w:t xml:space="preserve"> specific situations </w:t>
      </w:r>
      <w:r w:rsidR="002665C1" w:rsidRPr="003E3FEA">
        <w:t>that</w:t>
      </w:r>
      <w:r w:rsidR="004705A1" w:rsidRPr="003E3FEA">
        <w:t xml:space="preserve"> </w:t>
      </w:r>
      <w:r w:rsidR="002665C1" w:rsidRPr="003E3FEA">
        <w:t>give flexibility</w:t>
      </w:r>
      <w:r w:rsidR="004705A1" w:rsidRPr="003E3FEA">
        <w:t xml:space="preserve"> </w:t>
      </w:r>
      <w:r w:rsidR="002665C1" w:rsidRPr="003E3FEA">
        <w:t>to t</w:t>
      </w:r>
      <w:r w:rsidR="004705A1" w:rsidRPr="003E3FEA">
        <w:t>he level of compliance achieved with this guideline</w:t>
      </w:r>
      <w:r w:rsidR="00391C4E" w:rsidRPr="003E3FEA">
        <w:t>’s additional requirements</w:t>
      </w:r>
      <w:r w:rsidR="004705A1" w:rsidRPr="003E3FEA">
        <w:t>.</w:t>
      </w:r>
    </w:p>
    <w:p w14:paraId="308DD018" w14:textId="726CF08E" w:rsidR="00AA267E" w:rsidRPr="003E3FEA" w:rsidRDefault="00AA267E" w:rsidP="00666E06">
      <w:pPr>
        <w:pStyle w:val="Glossary"/>
      </w:pPr>
      <w:r w:rsidRPr="003E3FEA">
        <w:rPr>
          <w:b/>
          <w:bCs/>
        </w:rPr>
        <w:t xml:space="preserve">Burnout: </w:t>
      </w:r>
      <w:r w:rsidR="003761E3" w:rsidRPr="003E3FEA">
        <w:t xml:space="preserve">Defined by NZBC </w:t>
      </w:r>
      <w:r w:rsidR="00BF1E2C" w:rsidRPr="003E3FEA">
        <w:t>Verification Method</w:t>
      </w:r>
      <w:r w:rsidR="003761E3" w:rsidRPr="003E3FEA">
        <w:t xml:space="preserve"> C/VM2 </w:t>
      </w:r>
      <w:r w:rsidR="00D41796" w:rsidRPr="003E3FEA">
        <w:t>as exposure to fire for a time that includes fire growth, full development, and decay in the absence of intervention or automatic suppression, beyond which the fire is no longer a threat to building elements intended to perform loadbearing or fire separation functions, or both.</w:t>
      </w:r>
    </w:p>
    <w:p w14:paraId="0D316681" w14:textId="271C9282" w:rsidR="00716DEC" w:rsidRPr="003E3FEA" w:rsidRDefault="00716DEC" w:rsidP="00666E06">
      <w:pPr>
        <w:pStyle w:val="Glossary"/>
      </w:pPr>
      <w:r w:rsidRPr="003E3FEA">
        <w:rPr>
          <w:b/>
          <w:bCs/>
        </w:rPr>
        <w:t>Carbon:</w:t>
      </w:r>
      <w:r w:rsidRPr="003E3FEA">
        <w:t xml:space="preserve"> In relation to </w:t>
      </w:r>
      <w:r w:rsidR="00396F06" w:rsidRPr="003E3FEA">
        <w:t>climate change mitigation and emissions reduction objectives</w:t>
      </w:r>
      <w:r w:rsidR="00BE1557" w:rsidRPr="003E3FEA">
        <w:t xml:space="preserve">, </w:t>
      </w:r>
      <w:r w:rsidR="00D572E2" w:rsidRPr="003E3FEA">
        <w:t>all</w:t>
      </w:r>
      <w:r w:rsidR="00BE1557" w:rsidRPr="003E3FEA">
        <w:t xml:space="preserve"> terms have the meanings</w:t>
      </w:r>
      <w:r w:rsidR="009350C7" w:rsidRPr="003E3FEA">
        <w:t xml:space="preserve"> given in the NZGBC</w:t>
      </w:r>
      <w:r w:rsidR="00FC265D" w:rsidRPr="003E3FEA">
        <w:t xml:space="preserve"> Greenstar</w:t>
      </w:r>
      <w:r w:rsidR="00207C26" w:rsidRPr="003E3FEA">
        <w:t xml:space="preserve"> NZ reference documents</w:t>
      </w:r>
      <w:r w:rsidR="006820B8" w:rsidRPr="003E3FEA">
        <w:t>, including the following terms used within this document</w:t>
      </w:r>
      <w:r w:rsidR="008860EA" w:rsidRPr="003E3FEA">
        <w:t xml:space="preserve"> (refer </w:t>
      </w:r>
      <w:r w:rsidR="001A616D" w:rsidRPr="003E3FEA">
        <w:t xml:space="preserve">also </w:t>
      </w:r>
      <w:r w:rsidR="008860EA" w:rsidRPr="003E3FEA">
        <w:t xml:space="preserve">to Section </w:t>
      </w:r>
      <w:r w:rsidR="008860EA" w:rsidRPr="003E3FEA">
        <w:fldChar w:fldCharType="begin"/>
      </w:r>
      <w:r w:rsidR="008860EA" w:rsidRPr="003E3FEA">
        <w:instrText xml:space="preserve"> REF _Ref151529784 \r \h </w:instrText>
      </w:r>
      <w:r w:rsidR="003E3FEA">
        <w:instrText xml:space="preserve"> \* MERGEFORMAT </w:instrText>
      </w:r>
      <w:r w:rsidR="008860EA" w:rsidRPr="003E3FEA">
        <w:fldChar w:fldCharType="separate"/>
      </w:r>
      <w:r w:rsidR="000761C1">
        <w:t>B4</w:t>
      </w:r>
      <w:r w:rsidR="008860EA" w:rsidRPr="003E3FEA">
        <w:fldChar w:fldCharType="end"/>
      </w:r>
      <w:r w:rsidR="001A616D" w:rsidRPr="003E3FEA">
        <w:t xml:space="preserve">, </w:t>
      </w:r>
      <w:r w:rsidR="00572D92">
        <w:fldChar w:fldCharType="begin"/>
      </w:r>
      <w:r w:rsidR="00572D92">
        <w:instrText xml:space="preserve"> REF _Ref151451100 \h </w:instrText>
      </w:r>
      <w:r w:rsidR="00572D92">
        <w:fldChar w:fldCharType="separate"/>
      </w:r>
      <w:r w:rsidR="00957E01" w:rsidRPr="00BD1621">
        <w:t xml:space="preserve">Figure </w:t>
      </w:r>
      <w:r w:rsidR="00957E01">
        <w:rPr>
          <w:noProof/>
        </w:rPr>
        <w:t>8</w:t>
      </w:r>
      <w:r w:rsidR="00572D92">
        <w:fldChar w:fldCharType="end"/>
      </w:r>
      <w:r w:rsidR="008860EA" w:rsidRPr="003E3FEA">
        <w:t>)</w:t>
      </w:r>
      <w:r w:rsidRPr="003E3FEA">
        <w:t>:</w:t>
      </w:r>
    </w:p>
    <w:p w14:paraId="3B3623AD" w14:textId="15189CCC" w:rsidR="00716DEC" w:rsidRPr="003E3FEA" w:rsidRDefault="00396F06" w:rsidP="00C3437F">
      <w:pPr>
        <w:pStyle w:val="Glossary"/>
        <w:ind w:left="567"/>
      </w:pPr>
      <w:r w:rsidRPr="003E3FEA">
        <w:rPr>
          <w:b/>
          <w:bCs/>
        </w:rPr>
        <w:t>Up-front Carbon</w:t>
      </w:r>
      <w:r w:rsidR="00716DEC" w:rsidRPr="003E3FEA">
        <w:rPr>
          <w:b/>
          <w:bCs/>
        </w:rPr>
        <w:t>:</w:t>
      </w:r>
      <w:r w:rsidR="00295FDF" w:rsidRPr="003E3FEA">
        <w:rPr>
          <w:b/>
          <w:bCs/>
        </w:rPr>
        <w:t xml:space="preserve"> </w:t>
      </w:r>
      <w:r w:rsidR="00551B81" w:rsidRPr="003E3FEA">
        <w:t>Embodied c</w:t>
      </w:r>
      <w:r w:rsidR="00295FDF" w:rsidRPr="003E3FEA">
        <w:t>arbon emissions caused by the production of materials, transport of materials to the construction site and construction of the building(s), prior to the building(s) being occupied (</w:t>
      </w:r>
      <w:r w:rsidR="00B86C79" w:rsidRPr="003E3FEA">
        <w:t>M</w:t>
      </w:r>
      <w:r w:rsidR="00295FDF" w:rsidRPr="003E3FEA">
        <w:t>odules A1-A5).</w:t>
      </w:r>
    </w:p>
    <w:p w14:paraId="27038242" w14:textId="163B1CC3" w:rsidR="00716DEC" w:rsidRPr="003E3FEA" w:rsidRDefault="00396F06" w:rsidP="00C3437F">
      <w:pPr>
        <w:pStyle w:val="Glossary"/>
        <w:ind w:left="567"/>
      </w:pPr>
      <w:r w:rsidRPr="003E3FEA">
        <w:rPr>
          <w:b/>
          <w:bCs/>
        </w:rPr>
        <w:t>Whole</w:t>
      </w:r>
      <w:r w:rsidR="00F442F3" w:rsidRPr="003E3FEA">
        <w:rPr>
          <w:b/>
          <w:bCs/>
        </w:rPr>
        <w:t>-</w:t>
      </w:r>
      <w:r w:rsidRPr="003E3FEA">
        <w:rPr>
          <w:b/>
          <w:bCs/>
        </w:rPr>
        <w:t>of</w:t>
      </w:r>
      <w:r w:rsidR="00F442F3" w:rsidRPr="003E3FEA">
        <w:rPr>
          <w:b/>
          <w:bCs/>
        </w:rPr>
        <w:t>-</w:t>
      </w:r>
      <w:r w:rsidRPr="003E3FEA">
        <w:rPr>
          <w:b/>
          <w:bCs/>
        </w:rPr>
        <w:t>Life Embodied Carbon</w:t>
      </w:r>
      <w:r w:rsidR="00716DEC" w:rsidRPr="003E3FEA">
        <w:rPr>
          <w:b/>
          <w:bCs/>
        </w:rPr>
        <w:t>:</w:t>
      </w:r>
      <w:r w:rsidR="00716DEC" w:rsidRPr="003E3FEA">
        <w:t xml:space="preserve"> </w:t>
      </w:r>
      <w:r w:rsidR="00F96436" w:rsidRPr="003E3FEA">
        <w:t xml:space="preserve">Carbon emissions associated with materials and construction processes throughout the whole lifecycle of a building, </w:t>
      </w:r>
      <w:r w:rsidR="002E1EBC" w:rsidRPr="003E3FEA">
        <w:t xml:space="preserve">but </w:t>
      </w:r>
      <w:r w:rsidR="00F96436" w:rsidRPr="003E3FEA">
        <w:t xml:space="preserve">excluding </w:t>
      </w:r>
      <w:r w:rsidR="002E1EBC" w:rsidRPr="003E3FEA">
        <w:t xml:space="preserve">Operational Carbon </w:t>
      </w:r>
      <w:r w:rsidR="00F96436" w:rsidRPr="003E3FEA">
        <w:t>(</w:t>
      </w:r>
      <w:r w:rsidR="004963BD" w:rsidRPr="003E3FEA">
        <w:t>i.e.,</w:t>
      </w:r>
      <w:r w:rsidR="00A76F8E" w:rsidRPr="003E3FEA">
        <w:t xml:space="preserve"> excluding </w:t>
      </w:r>
      <w:r w:rsidR="00B86C79" w:rsidRPr="003E3FEA">
        <w:t>M</w:t>
      </w:r>
      <w:r w:rsidR="00F96436" w:rsidRPr="003E3FEA">
        <w:t xml:space="preserve">odules B6 and B7). Depending on the standard followed, it may include or exclude </w:t>
      </w:r>
      <w:r w:rsidR="00B86C79" w:rsidRPr="003E3FEA">
        <w:t>M</w:t>
      </w:r>
      <w:r w:rsidR="00F96436" w:rsidRPr="003E3FEA">
        <w:t>odule D (benefits and loads beyond the system boundary)</w:t>
      </w:r>
      <w:r w:rsidR="00716DEC" w:rsidRPr="003E3FEA">
        <w:t>.</w:t>
      </w:r>
    </w:p>
    <w:p w14:paraId="10EFA5BF" w14:textId="386BB6F4" w:rsidR="004F598D" w:rsidRPr="003E3FEA" w:rsidRDefault="004F598D" w:rsidP="00C3437F">
      <w:pPr>
        <w:pStyle w:val="Glossary"/>
        <w:ind w:left="567"/>
      </w:pPr>
      <w:r w:rsidRPr="003E3FEA">
        <w:rPr>
          <w:b/>
          <w:bCs/>
        </w:rPr>
        <w:t>Operational Carbon:</w:t>
      </w:r>
      <w:r w:rsidR="00372CD8" w:rsidRPr="003E3FEA">
        <w:t xml:space="preserve"> The carbon emissions associated with energy used to operate the building (</w:t>
      </w:r>
      <w:r w:rsidR="00B86C79" w:rsidRPr="003E3FEA">
        <w:t>M</w:t>
      </w:r>
      <w:r w:rsidR="00372CD8" w:rsidRPr="003E3FEA">
        <w:t>odule B6), operational water use (</w:t>
      </w:r>
      <w:r w:rsidR="00B86C79" w:rsidRPr="003E3FEA">
        <w:t>M</w:t>
      </w:r>
      <w:r w:rsidR="00372CD8" w:rsidRPr="003E3FEA">
        <w:t>odule B7) and fugitive emissions of refrigerants (module B1).</w:t>
      </w:r>
    </w:p>
    <w:p w14:paraId="2DA86791" w14:textId="25669C7E" w:rsidR="00C166F8" w:rsidRPr="000B77B2" w:rsidRDefault="00DE1016" w:rsidP="00C3437F">
      <w:pPr>
        <w:pStyle w:val="Glossary"/>
        <w:ind w:left="567"/>
      </w:pPr>
      <w:r w:rsidRPr="003E3FEA">
        <w:rPr>
          <w:b/>
          <w:bCs/>
        </w:rPr>
        <w:t>Life Cycle Assessment (LCA)</w:t>
      </w:r>
      <w:r w:rsidR="004F598D" w:rsidRPr="003E3FEA">
        <w:rPr>
          <w:b/>
          <w:bCs/>
        </w:rPr>
        <w:t>:</w:t>
      </w:r>
      <w:r w:rsidR="00444ACB" w:rsidRPr="003E3FEA">
        <w:rPr>
          <w:b/>
          <w:bCs/>
        </w:rPr>
        <w:t xml:space="preserve"> </w:t>
      </w:r>
      <w:r w:rsidR="00444ACB" w:rsidRPr="003E3FEA">
        <w:t>A method for the quantitative evaluation of the potential environmental impacts of a product or service system through its life cycle</w:t>
      </w:r>
      <w:r w:rsidR="007A1189" w:rsidRPr="003E3FEA">
        <w:t>,</w:t>
      </w:r>
      <w:r w:rsidR="00444ACB" w:rsidRPr="003E3FEA">
        <w:t xml:space="preserve"> </w:t>
      </w:r>
      <w:r w:rsidR="007A1189" w:rsidRPr="003E3FEA">
        <w:t xml:space="preserve">defined </w:t>
      </w:r>
      <w:r w:rsidR="00551B81" w:rsidRPr="003E3FEA">
        <w:t>in this guide by</w:t>
      </w:r>
      <w:r w:rsidR="007A1189" w:rsidRPr="003E3FEA">
        <w:t xml:space="preserve"> reference to the NZGBC Life Cycle Impacts Calculator Guide </w:t>
      </w:r>
      <w:sdt>
        <w:sdtPr>
          <w:id w:val="464626724"/>
          <w:citation/>
        </w:sdtPr>
        <w:sdtEndPr/>
        <w:sdtContent>
          <w:r w:rsidR="007A1189" w:rsidRPr="003E3FEA">
            <w:fldChar w:fldCharType="begin"/>
          </w:r>
          <w:r w:rsidR="007A1189" w:rsidRPr="003E3FEA">
            <w:rPr>
              <w:lang w:val="en-US"/>
            </w:rPr>
            <w:instrText xml:space="preserve"> CITATION NZG231 \l 1033 </w:instrText>
          </w:r>
          <w:r w:rsidR="007A1189" w:rsidRPr="003E3FEA">
            <w:fldChar w:fldCharType="separate"/>
          </w:r>
          <w:r w:rsidR="00222D65">
            <w:rPr>
              <w:noProof/>
              <w:lang w:val="en-US"/>
            </w:rPr>
            <w:t>(NZGBC, 2023)</w:t>
          </w:r>
          <w:r w:rsidR="007A1189" w:rsidRPr="003E3FEA">
            <w:fldChar w:fldCharType="end"/>
          </w:r>
        </w:sdtContent>
      </w:sdt>
      <w:r w:rsidR="00444ACB" w:rsidRPr="003E3FEA">
        <w:t>.</w:t>
      </w:r>
      <w:r w:rsidR="007A1189" w:rsidRPr="003E3FEA">
        <w:t xml:space="preserve"> It includes both Embodied and Operational Carbon.</w:t>
      </w:r>
    </w:p>
    <w:p w14:paraId="196B3CD0" w14:textId="0235FAB4" w:rsidR="00C166F8" w:rsidRDefault="00C166F8" w:rsidP="00666E06">
      <w:pPr>
        <w:pStyle w:val="Glossary"/>
      </w:pPr>
      <w:r w:rsidRPr="003E3FEA">
        <w:rPr>
          <w:b/>
          <w:bCs/>
        </w:rPr>
        <w:t>Containment:</w:t>
      </w:r>
      <w:r w:rsidRPr="003E3FEA">
        <w:t xml:space="preserve"> </w:t>
      </w:r>
      <w:r w:rsidR="007C6F04" w:rsidRPr="003E3FEA">
        <w:t xml:space="preserve">As used in Section </w:t>
      </w:r>
      <w:r w:rsidR="007C6F04" w:rsidRPr="003E3FEA">
        <w:fldChar w:fldCharType="begin"/>
      </w:r>
      <w:r w:rsidR="007C6F04" w:rsidRPr="003E3FEA">
        <w:instrText xml:space="preserve"> REF _Ref150180900 \r \h </w:instrText>
      </w:r>
      <w:r w:rsidR="003E3FEA">
        <w:instrText xml:space="preserve"> \* MERGEFORMAT </w:instrText>
      </w:r>
      <w:r w:rsidR="007C6F04" w:rsidRPr="003E3FEA">
        <w:fldChar w:fldCharType="separate"/>
      </w:r>
      <w:r w:rsidR="000761C1">
        <w:t>B2.5</w:t>
      </w:r>
      <w:r w:rsidR="007C6F04" w:rsidRPr="003E3FEA">
        <w:fldChar w:fldCharType="end"/>
      </w:r>
      <w:r w:rsidR="007C6F04" w:rsidRPr="003E3FEA">
        <w:t xml:space="preserve"> (</w:t>
      </w:r>
      <w:r w:rsidR="008428C5">
        <w:t>descriptions of physical states for the DCLS/SLS2</w:t>
      </w:r>
      <w:r w:rsidR="007C6F04" w:rsidRPr="003E3FEA">
        <w:t>)</w:t>
      </w:r>
      <w:r w:rsidR="00073B62" w:rsidRPr="003E3FEA">
        <w:t xml:space="preserve"> and related sections</w:t>
      </w:r>
      <w:r w:rsidR="007C6F04" w:rsidRPr="003E3FEA">
        <w:t xml:space="preserve">, </w:t>
      </w:r>
      <w:r w:rsidR="00994D38" w:rsidRPr="003E3FEA">
        <w:t xml:space="preserve">and unless noted otherwise, </w:t>
      </w:r>
      <w:r w:rsidR="007C6F04" w:rsidRPr="003E3FEA">
        <w:t xml:space="preserve">this refers to </w:t>
      </w:r>
      <w:r w:rsidR="00F64889" w:rsidRPr="003E3FEA">
        <w:t xml:space="preserve">maintaining </w:t>
      </w:r>
      <w:r w:rsidR="00F57DF9" w:rsidRPr="003E3FEA">
        <w:t xml:space="preserve">the </w:t>
      </w:r>
      <w:r w:rsidR="00F64889" w:rsidRPr="003E3FEA">
        <w:t>containment of</w:t>
      </w:r>
      <w:r w:rsidR="007C6F04" w:rsidRPr="003E3FEA">
        <w:t xml:space="preserve"> liquid, </w:t>
      </w:r>
      <w:r w:rsidR="00F64889" w:rsidRPr="003E3FEA">
        <w:t xml:space="preserve">steam, </w:t>
      </w:r>
      <w:r w:rsidR="007C6F04" w:rsidRPr="003E3FEA">
        <w:t xml:space="preserve">gas or hazardous </w:t>
      </w:r>
      <w:r w:rsidR="00F64889" w:rsidRPr="003E3FEA">
        <w:t>contents</w:t>
      </w:r>
      <w:r w:rsidR="007C6F04" w:rsidRPr="003E3FEA">
        <w:t xml:space="preserve"> within tanks</w:t>
      </w:r>
      <w:r w:rsidR="00994D38" w:rsidRPr="003E3FEA">
        <w:t xml:space="preserve">/pressure vessels and reticulated services by </w:t>
      </w:r>
      <w:r w:rsidR="00F57DF9" w:rsidRPr="003E3FEA">
        <w:t>avoiding</w:t>
      </w:r>
      <w:r w:rsidR="00994D38" w:rsidRPr="003E3FEA">
        <w:t xml:space="preserve"> rupture</w:t>
      </w:r>
      <w:r w:rsidR="00A439F5" w:rsidRPr="003E3FEA">
        <w:t xml:space="preserve"> of those components</w:t>
      </w:r>
      <w:r w:rsidR="00994D38" w:rsidRPr="003E3FEA">
        <w:t xml:space="preserve"> (as opposed to containment of </w:t>
      </w:r>
      <w:r w:rsidR="000444FD" w:rsidRPr="003E3FEA">
        <w:t xml:space="preserve">spilled </w:t>
      </w:r>
      <w:r w:rsidR="00994D38" w:rsidRPr="003E3FEA">
        <w:t>hazardous contents</w:t>
      </w:r>
      <w:r w:rsidR="00F57DF9" w:rsidRPr="003E3FEA">
        <w:t xml:space="preserve"> </w:t>
      </w:r>
      <w:r w:rsidR="00F62C04" w:rsidRPr="003E3FEA">
        <w:t xml:space="preserve">from ruptured tanks </w:t>
      </w:r>
      <w:r w:rsidR="00F57DF9" w:rsidRPr="003E3FEA">
        <w:t>within bunded areas</w:t>
      </w:r>
      <w:r w:rsidR="000444FD" w:rsidRPr="003E3FEA">
        <w:t>)</w:t>
      </w:r>
      <w:r w:rsidR="00F64889" w:rsidRPr="003E3FEA">
        <w:t>.</w:t>
      </w:r>
    </w:p>
    <w:p w14:paraId="2FBE2406" w14:textId="73EB4215" w:rsidR="0075260F" w:rsidRPr="00FE3E54" w:rsidRDefault="0075260F" w:rsidP="00666E06">
      <w:pPr>
        <w:pStyle w:val="Glossary"/>
      </w:pPr>
      <w:r w:rsidRPr="0075260F">
        <w:rPr>
          <w:b/>
          <w:bCs/>
        </w:rPr>
        <w:t xml:space="preserve">Damage Control Limit State: </w:t>
      </w:r>
      <w:r w:rsidR="00DF23D4" w:rsidRPr="00FE3E54">
        <w:t xml:space="preserve">An additional </w:t>
      </w:r>
      <w:r w:rsidR="00572AFF" w:rsidRPr="00FE3E54">
        <w:t xml:space="preserve">design </w:t>
      </w:r>
      <w:r w:rsidR="00DF23D4" w:rsidRPr="00FE3E54">
        <w:t>limit state, introduced</w:t>
      </w:r>
      <w:r w:rsidR="00572AFF" w:rsidRPr="00FE3E54">
        <w:t xml:space="preserve"> to help control the risk of </w:t>
      </w:r>
      <w:r w:rsidR="00FE3E54" w:rsidRPr="00FE3E54">
        <w:t xml:space="preserve">building </w:t>
      </w:r>
      <w:r w:rsidR="00572AFF" w:rsidRPr="00FE3E54">
        <w:t>damage</w:t>
      </w:r>
      <w:r w:rsidR="00FE3E54" w:rsidRPr="00FE3E54">
        <w:t xml:space="preserve"> and losses in earthquakes</w:t>
      </w:r>
      <w:r w:rsidR="00FE3E54">
        <w:t>.</w:t>
      </w:r>
    </w:p>
    <w:p w14:paraId="36E6C9DB" w14:textId="045CA5A1" w:rsidR="00D96CA9" w:rsidRPr="003E3FEA" w:rsidRDefault="00D96CA9" w:rsidP="00666E06">
      <w:pPr>
        <w:pStyle w:val="Glossary"/>
      </w:pPr>
      <w:r w:rsidRPr="003E3FEA">
        <w:rPr>
          <w:b/>
          <w:bCs/>
        </w:rPr>
        <w:lastRenderedPageBreak/>
        <w:t xml:space="preserve">Departure: </w:t>
      </w:r>
      <w:r w:rsidRPr="003E3FEA">
        <w:t>A departure from the</w:t>
      </w:r>
      <w:r w:rsidR="00AC42BD" w:rsidRPr="003E3FEA">
        <w:t xml:space="preserve"> </w:t>
      </w:r>
      <w:r w:rsidR="007D5C79">
        <w:rPr>
          <w:i/>
          <w:iCs/>
        </w:rPr>
        <w:t xml:space="preserve">Health NZ </w:t>
      </w:r>
      <w:r w:rsidR="00627562" w:rsidRPr="003E3FEA">
        <w:rPr>
          <w:i/>
          <w:iCs/>
        </w:rPr>
        <w:t>R</w:t>
      </w:r>
      <w:r w:rsidR="00AC42BD" w:rsidRPr="003E3FEA">
        <w:rPr>
          <w:i/>
          <w:iCs/>
        </w:rPr>
        <w:t>equirement</w:t>
      </w:r>
      <w:r w:rsidR="00627562" w:rsidRPr="003E3FEA">
        <w:rPr>
          <w:i/>
          <w:iCs/>
        </w:rPr>
        <w:t>s</w:t>
      </w:r>
      <w:r w:rsidR="00627562" w:rsidRPr="003E3FEA">
        <w:t xml:space="preserve"> contained in this document, as</w:t>
      </w:r>
      <w:r w:rsidR="00AC42BD" w:rsidRPr="003E3FEA">
        <w:t xml:space="preserve"> summarised in </w:t>
      </w:r>
      <w:r w:rsidR="00AC42BD" w:rsidRPr="003E3FEA">
        <w:fldChar w:fldCharType="begin"/>
      </w:r>
      <w:r w:rsidR="00AC42BD" w:rsidRPr="003E3FEA">
        <w:instrText xml:space="preserve"> REF _Ref157151090 \r \h </w:instrText>
      </w:r>
      <w:r w:rsidR="003E3FEA">
        <w:instrText xml:space="preserve"> \* MERGEFORMAT </w:instrText>
      </w:r>
      <w:r w:rsidR="00AC42BD" w:rsidRPr="003E3FEA">
        <w:fldChar w:fldCharType="separate"/>
      </w:r>
      <w:r w:rsidR="000761C1">
        <w:t>A1.6.1</w:t>
      </w:r>
      <w:r w:rsidR="00AC42BD" w:rsidRPr="003E3FEA">
        <w:fldChar w:fldCharType="end"/>
      </w:r>
      <w:r w:rsidR="001F39DD" w:rsidRPr="003E3FEA">
        <w:t xml:space="preserve"> (i.e. a proposed non-compliance)</w:t>
      </w:r>
      <w:r w:rsidR="00AC42BD" w:rsidRPr="003E3FEA">
        <w:t xml:space="preserve">. The departure process is described in </w:t>
      </w:r>
      <w:r w:rsidR="00AC42BD" w:rsidRPr="003E3FEA">
        <w:fldChar w:fldCharType="begin"/>
      </w:r>
      <w:r w:rsidR="00AC42BD" w:rsidRPr="003E3FEA">
        <w:instrText xml:space="preserve"> REF _Ref166337388 \r \h </w:instrText>
      </w:r>
      <w:r w:rsidR="003E3FEA">
        <w:instrText xml:space="preserve"> \* MERGEFORMAT </w:instrText>
      </w:r>
      <w:r w:rsidR="00AC42BD" w:rsidRPr="003E3FEA">
        <w:fldChar w:fldCharType="separate"/>
      </w:r>
      <w:r w:rsidR="000761C1">
        <w:t>A1.6.2</w:t>
      </w:r>
      <w:r w:rsidR="00AC42BD" w:rsidRPr="003E3FEA">
        <w:fldChar w:fldCharType="end"/>
      </w:r>
      <w:r w:rsidR="00AC42BD" w:rsidRPr="003E3FEA">
        <w:t>.</w:t>
      </w:r>
    </w:p>
    <w:p w14:paraId="571AFBC7" w14:textId="533F1A75" w:rsidR="00D22143" w:rsidRPr="003E3FEA" w:rsidRDefault="00D22143" w:rsidP="00666E06">
      <w:pPr>
        <w:pStyle w:val="Glossary"/>
      </w:pPr>
      <w:r w:rsidRPr="003E3FEA">
        <w:rPr>
          <w:b/>
          <w:bCs/>
        </w:rPr>
        <w:t>Dependencies</w:t>
      </w:r>
      <w:r w:rsidRPr="003E3FEA">
        <w:t xml:space="preserve">: </w:t>
      </w:r>
      <w:r w:rsidR="00CD010F" w:rsidRPr="003E3FEA">
        <w:t xml:space="preserve">In an earthquake resilience context, </w:t>
      </w:r>
      <w:r w:rsidR="00CE3763" w:rsidRPr="003E3FEA">
        <w:t xml:space="preserve">this describes </w:t>
      </w:r>
      <w:r w:rsidR="00CD010F" w:rsidRPr="003E3FEA">
        <w:t xml:space="preserve">dependencies that a building </w:t>
      </w:r>
      <w:r w:rsidR="00CE3763" w:rsidRPr="003E3FEA">
        <w:t xml:space="preserve">has </w:t>
      </w:r>
      <w:r w:rsidR="00CD010F" w:rsidRPr="003E3FEA">
        <w:t>on sitewide</w:t>
      </w:r>
      <w:r w:rsidR="00B067C9" w:rsidRPr="003E3FEA">
        <w:t xml:space="preserve"> utilities and engineering systems, and public utilities</w:t>
      </w:r>
      <w:r w:rsidR="00CE3763" w:rsidRPr="003E3FEA">
        <w:t>, in order to fulfil its function</w:t>
      </w:r>
      <w:r w:rsidR="00EE3742" w:rsidRPr="003E3FEA">
        <w:t>. These may or may not be beyond the boundary of specific projects.</w:t>
      </w:r>
    </w:p>
    <w:p w14:paraId="48ED54E6" w14:textId="36C85D2E" w:rsidR="00C172C3" w:rsidRPr="00EB4559" w:rsidRDefault="00C172C3" w:rsidP="00666E06">
      <w:pPr>
        <w:pStyle w:val="Glossary"/>
        <w:rPr>
          <w:rStyle w:val="Strong"/>
          <w:b w:val="0"/>
          <w:bCs w:val="0"/>
        </w:rPr>
      </w:pPr>
      <w:r w:rsidRPr="003E3FEA">
        <w:rPr>
          <w:rStyle w:val="Strong"/>
        </w:rPr>
        <w:t xml:space="preserve">Design Working Life: </w:t>
      </w:r>
      <w:r w:rsidR="003F548F" w:rsidRPr="00EB4559">
        <w:rPr>
          <w:rStyle w:val="Strong"/>
          <w:b w:val="0"/>
          <w:bCs w:val="0"/>
        </w:rPr>
        <w:t xml:space="preserve">As defined </w:t>
      </w:r>
      <w:r w:rsidR="00EB4559" w:rsidRPr="00EB4559">
        <w:rPr>
          <w:rStyle w:val="Strong"/>
          <w:b w:val="0"/>
          <w:bCs w:val="0"/>
        </w:rPr>
        <w:t xml:space="preserve">in </w:t>
      </w:r>
      <w:r w:rsidR="00D23C25">
        <w:rPr>
          <w:rStyle w:val="Strong"/>
          <w:b w:val="0"/>
          <w:bCs w:val="0"/>
        </w:rPr>
        <w:t xml:space="preserve">Cl. 1.4 of </w:t>
      </w:r>
      <w:r w:rsidR="00EB4559" w:rsidRPr="00EB4559">
        <w:rPr>
          <w:rStyle w:val="Strong"/>
          <w:b w:val="0"/>
          <w:bCs w:val="0"/>
        </w:rPr>
        <w:t>AS/NZS 1170.0</w:t>
      </w:r>
      <w:r w:rsidR="00D23C25">
        <w:rPr>
          <w:rStyle w:val="Strong"/>
          <w:b w:val="0"/>
          <w:bCs w:val="0"/>
        </w:rPr>
        <w:t>:2002</w:t>
      </w:r>
      <w:r w:rsidR="00E463A2">
        <w:rPr>
          <w:rStyle w:val="Strong"/>
          <w:b w:val="0"/>
          <w:bCs w:val="0"/>
        </w:rPr>
        <w:t>. A ‘reference period’ usually stated in years,</w:t>
      </w:r>
      <w:r w:rsidR="00600641">
        <w:rPr>
          <w:rStyle w:val="Strong"/>
          <w:b w:val="0"/>
          <w:bCs w:val="0"/>
        </w:rPr>
        <w:t xml:space="preserve"> </w:t>
      </w:r>
      <w:r w:rsidR="00D23C25">
        <w:rPr>
          <w:rStyle w:val="Strong"/>
          <w:b w:val="0"/>
          <w:bCs w:val="0"/>
        </w:rPr>
        <w:t xml:space="preserve">which is </w:t>
      </w:r>
      <w:r w:rsidR="00600641">
        <w:rPr>
          <w:rStyle w:val="Strong"/>
          <w:b w:val="0"/>
          <w:bCs w:val="0"/>
        </w:rPr>
        <w:t>used to select the probability of exceedance of different design actions.</w:t>
      </w:r>
    </w:p>
    <w:p w14:paraId="7DC93E18" w14:textId="54FC25D1" w:rsidR="00E3621D" w:rsidRDefault="00225551" w:rsidP="00666E06">
      <w:pPr>
        <w:pStyle w:val="Glossary"/>
        <w:rPr>
          <w:rStyle w:val="Strong"/>
          <w:b w:val="0"/>
          <w:bCs w:val="0"/>
        </w:rPr>
      </w:pPr>
      <w:r>
        <w:rPr>
          <w:rStyle w:val="Strong"/>
        </w:rPr>
        <w:t>Earthquake Severity (Intensity) and Frequency:</w:t>
      </w:r>
      <w:r>
        <w:rPr>
          <w:rStyle w:val="Strong"/>
          <w:b w:val="0"/>
          <w:bCs w:val="0"/>
        </w:rPr>
        <w:t xml:space="preserve"> The following descriptors are generally used to convey a sense of the scale and rarity of an earthquake scenario. The use of the term ‘moderate’ is the common/general sense of the word, and not a specific correlation to the legal term ‘moderate earthquake’</w:t>
      </w:r>
      <w:r w:rsidR="00CB1CAB">
        <w:rPr>
          <w:rStyle w:val="Strong"/>
          <w:b w:val="0"/>
          <w:bCs w:val="0"/>
        </w:rPr>
        <w:t xml:space="preserve"> defined in the building act for earthquake prone buildings</w:t>
      </w:r>
      <w:r w:rsidR="008967CA">
        <w:rPr>
          <w:rStyle w:val="Strong"/>
          <w:b w:val="0"/>
          <w:bCs w:val="0"/>
        </w:rPr>
        <w:t>.</w:t>
      </w:r>
    </w:p>
    <w:tbl>
      <w:tblPr>
        <w:tblStyle w:val="Style1"/>
        <w:tblW w:w="0" w:type="auto"/>
        <w:tblLook w:val="04A0" w:firstRow="1" w:lastRow="0" w:firstColumn="1" w:lastColumn="0" w:noHBand="0" w:noVBand="1"/>
      </w:tblPr>
      <w:tblGrid>
        <w:gridCol w:w="2127"/>
        <w:gridCol w:w="2273"/>
        <w:gridCol w:w="3113"/>
      </w:tblGrid>
      <w:tr w:rsidR="00666EB3" w:rsidRPr="002F194B" w14:paraId="1F3E6359" w14:textId="77777777" w:rsidTr="000C4D01">
        <w:trPr>
          <w:cnfStyle w:val="100000000000" w:firstRow="1" w:lastRow="0" w:firstColumn="0" w:lastColumn="0" w:oddVBand="0" w:evenVBand="0" w:oddHBand="0" w:evenHBand="0" w:firstRowFirstColumn="0" w:firstRowLastColumn="0" w:lastRowFirstColumn="0" w:lastRowLastColumn="0"/>
        </w:trPr>
        <w:tc>
          <w:tcPr>
            <w:tcW w:w="2127" w:type="dxa"/>
            <w:tcBorders>
              <w:top w:val="single" w:sz="12" w:space="0" w:color="003399" w:themeColor="accent2"/>
              <w:left w:val="nil"/>
              <w:bottom w:val="single" w:sz="12" w:space="0" w:color="003399" w:themeColor="accent2"/>
              <w:right w:val="single" w:sz="8" w:space="0" w:color="BFBFBF"/>
            </w:tcBorders>
            <w:shd w:val="clear" w:color="auto" w:fill="F6F4EC"/>
            <w:vAlign w:val="center"/>
          </w:tcPr>
          <w:p w14:paraId="254BDBEF" w14:textId="77777777" w:rsidR="00666EB3" w:rsidRPr="002F194B" w:rsidRDefault="00666EB3" w:rsidP="002F194B">
            <w:pPr>
              <w:pStyle w:val="Glossary"/>
              <w:jc w:val="left"/>
              <w:rPr>
                <w:rStyle w:val="Strong"/>
                <w:b/>
                <w:bCs w:val="0"/>
                <w:sz w:val="22"/>
                <w:szCs w:val="22"/>
              </w:rPr>
            </w:pPr>
            <w:r w:rsidRPr="002F194B">
              <w:rPr>
                <w:rStyle w:val="Strong"/>
                <w:b/>
                <w:bCs w:val="0"/>
                <w:sz w:val="22"/>
                <w:szCs w:val="22"/>
              </w:rPr>
              <w:t>Intensity</w:t>
            </w:r>
          </w:p>
        </w:tc>
        <w:tc>
          <w:tcPr>
            <w:tcW w:w="2273" w:type="dxa"/>
            <w:tcBorders>
              <w:top w:val="single" w:sz="12" w:space="0" w:color="003399" w:themeColor="accent2"/>
              <w:left w:val="single" w:sz="8" w:space="0" w:color="BFBFBF"/>
              <w:bottom w:val="single" w:sz="12" w:space="0" w:color="003399" w:themeColor="accent2"/>
              <w:right w:val="single" w:sz="8" w:space="0" w:color="BFBFBF"/>
            </w:tcBorders>
            <w:shd w:val="clear" w:color="auto" w:fill="F6F4EC"/>
            <w:vAlign w:val="center"/>
          </w:tcPr>
          <w:p w14:paraId="6A413012" w14:textId="77777777" w:rsidR="00666EB3" w:rsidRPr="002F194B" w:rsidRDefault="00666EB3" w:rsidP="002F194B">
            <w:pPr>
              <w:pStyle w:val="Glossary"/>
              <w:jc w:val="left"/>
              <w:rPr>
                <w:rStyle w:val="Strong"/>
                <w:b/>
                <w:bCs w:val="0"/>
                <w:sz w:val="22"/>
                <w:szCs w:val="22"/>
              </w:rPr>
            </w:pPr>
            <w:r w:rsidRPr="002F194B">
              <w:rPr>
                <w:rStyle w:val="Strong"/>
                <w:b/>
                <w:bCs w:val="0"/>
                <w:sz w:val="22"/>
                <w:szCs w:val="22"/>
              </w:rPr>
              <w:t>Frequency</w:t>
            </w:r>
          </w:p>
        </w:tc>
        <w:tc>
          <w:tcPr>
            <w:tcW w:w="3113" w:type="dxa"/>
            <w:tcBorders>
              <w:top w:val="single" w:sz="12" w:space="0" w:color="003399" w:themeColor="accent2"/>
              <w:left w:val="single" w:sz="8" w:space="0" w:color="BFBFBF"/>
              <w:bottom w:val="single" w:sz="12" w:space="0" w:color="003399" w:themeColor="accent2"/>
              <w:right w:val="nil"/>
            </w:tcBorders>
            <w:shd w:val="clear" w:color="auto" w:fill="F6F4EC"/>
            <w:vAlign w:val="center"/>
          </w:tcPr>
          <w:p w14:paraId="61DE10FB" w14:textId="77777777" w:rsidR="00666EB3" w:rsidRPr="002F194B" w:rsidRDefault="00666EB3" w:rsidP="002F194B">
            <w:pPr>
              <w:pStyle w:val="Glossary"/>
              <w:jc w:val="left"/>
              <w:rPr>
                <w:rStyle w:val="Strong"/>
                <w:b/>
                <w:bCs w:val="0"/>
                <w:sz w:val="22"/>
                <w:szCs w:val="22"/>
              </w:rPr>
            </w:pPr>
            <w:r w:rsidRPr="002F194B">
              <w:rPr>
                <w:rStyle w:val="Strong"/>
                <w:b/>
                <w:bCs w:val="0"/>
                <w:sz w:val="22"/>
                <w:szCs w:val="22"/>
              </w:rPr>
              <w:t>Indicative Annual Probability of Exceedance</w:t>
            </w:r>
          </w:p>
        </w:tc>
      </w:tr>
      <w:tr w:rsidR="00666EB3" w:rsidRPr="002F194B" w14:paraId="6DFDB613" w14:textId="77777777" w:rsidTr="000C4D01">
        <w:tc>
          <w:tcPr>
            <w:tcW w:w="2127" w:type="dxa"/>
            <w:tcBorders>
              <w:top w:val="single" w:sz="12" w:space="0" w:color="003399" w:themeColor="accent2"/>
              <w:left w:val="nil"/>
              <w:bottom w:val="single" w:sz="8" w:space="0" w:color="BFBFBF"/>
              <w:right w:val="single" w:sz="8" w:space="0" w:color="BFBFBF"/>
            </w:tcBorders>
            <w:vAlign w:val="center"/>
          </w:tcPr>
          <w:p w14:paraId="377611F8"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Moderate</w:t>
            </w:r>
          </w:p>
        </w:tc>
        <w:tc>
          <w:tcPr>
            <w:tcW w:w="2273" w:type="dxa"/>
            <w:tcBorders>
              <w:top w:val="single" w:sz="12" w:space="0" w:color="003399" w:themeColor="accent2"/>
              <w:left w:val="single" w:sz="8" w:space="0" w:color="BFBFBF"/>
              <w:bottom w:val="single" w:sz="8" w:space="0" w:color="BFBFBF"/>
              <w:right w:val="single" w:sz="8" w:space="0" w:color="BFBFBF"/>
            </w:tcBorders>
            <w:vAlign w:val="center"/>
          </w:tcPr>
          <w:p w14:paraId="479C1941"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Infrequent</w:t>
            </w:r>
          </w:p>
        </w:tc>
        <w:tc>
          <w:tcPr>
            <w:tcW w:w="3113" w:type="dxa"/>
            <w:tcBorders>
              <w:top w:val="single" w:sz="12" w:space="0" w:color="003399" w:themeColor="accent2"/>
              <w:left w:val="single" w:sz="8" w:space="0" w:color="BFBFBF"/>
              <w:bottom w:val="single" w:sz="8" w:space="0" w:color="BFBFBF"/>
              <w:right w:val="nil"/>
            </w:tcBorders>
            <w:vAlign w:val="center"/>
          </w:tcPr>
          <w:p w14:paraId="4A81BB5D"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1 / 100</w:t>
            </w:r>
          </w:p>
        </w:tc>
      </w:tr>
      <w:tr w:rsidR="00666EB3" w:rsidRPr="002F194B" w14:paraId="0463CEC8" w14:textId="77777777" w:rsidTr="000C4D01">
        <w:tc>
          <w:tcPr>
            <w:tcW w:w="2127" w:type="dxa"/>
            <w:tcBorders>
              <w:top w:val="single" w:sz="8" w:space="0" w:color="BFBFBF"/>
              <w:left w:val="nil"/>
              <w:bottom w:val="single" w:sz="8" w:space="0" w:color="BFBFBF"/>
              <w:right w:val="single" w:sz="8" w:space="0" w:color="BFBFBF"/>
            </w:tcBorders>
            <w:vAlign w:val="center"/>
          </w:tcPr>
          <w:p w14:paraId="393EE832"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Significant</w:t>
            </w:r>
          </w:p>
        </w:tc>
        <w:tc>
          <w:tcPr>
            <w:tcW w:w="2273" w:type="dxa"/>
            <w:tcBorders>
              <w:top w:val="single" w:sz="8" w:space="0" w:color="BFBFBF"/>
              <w:left w:val="single" w:sz="8" w:space="0" w:color="BFBFBF"/>
              <w:bottom w:val="single" w:sz="8" w:space="0" w:color="BFBFBF"/>
              <w:right w:val="single" w:sz="8" w:space="0" w:color="BFBFBF"/>
            </w:tcBorders>
            <w:vAlign w:val="center"/>
          </w:tcPr>
          <w:p w14:paraId="3D5E9237"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Less frequent</w:t>
            </w:r>
          </w:p>
        </w:tc>
        <w:tc>
          <w:tcPr>
            <w:tcW w:w="3113" w:type="dxa"/>
            <w:tcBorders>
              <w:top w:val="single" w:sz="8" w:space="0" w:color="BFBFBF"/>
              <w:left w:val="single" w:sz="8" w:space="0" w:color="BFBFBF"/>
              <w:bottom w:val="single" w:sz="8" w:space="0" w:color="BFBFBF"/>
              <w:right w:val="nil"/>
            </w:tcBorders>
            <w:vAlign w:val="center"/>
          </w:tcPr>
          <w:p w14:paraId="701C2FD4"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1 / 500</w:t>
            </w:r>
          </w:p>
        </w:tc>
      </w:tr>
      <w:tr w:rsidR="00666EB3" w:rsidRPr="002F194B" w14:paraId="04F8AC21" w14:textId="77777777" w:rsidTr="000C4D01">
        <w:tc>
          <w:tcPr>
            <w:tcW w:w="2127" w:type="dxa"/>
            <w:tcBorders>
              <w:top w:val="single" w:sz="8" w:space="0" w:color="BFBFBF"/>
              <w:left w:val="nil"/>
              <w:bottom w:val="single" w:sz="8" w:space="0" w:color="BFBFBF"/>
              <w:right w:val="single" w:sz="8" w:space="0" w:color="BFBFBF"/>
            </w:tcBorders>
            <w:vAlign w:val="center"/>
          </w:tcPr>
          <w:p w14:paraId="04007E64"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Major</w:t>
            </w:r>
          </w:p>
        </w:tc>
        <w:tc>
          <w:tcPr>
            <w:tcW w:w="2273" w:type="dxa"/>
            <w:tcBorders>
              <w:top w:val="single" w:sz="8" w:space="0" w:color="BFBFBF"/>
              <w:left w:val="single" w:sz="8" w:space="0" w:color="BFBFBF"/>
              <w:bottom w:val="single" w:sz="8" w:space="0" w:color="BFBFBF"/>
              <w:right w:val="single" w:sz="8" w:space="0" w:color="BFBFBF"/>
            </w:tcBorders>
            <w:vAlign w:val="center"/>
          </w:tcPr>
          <w:p w14:paraId="21FD6A7E"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Rare</w:t>
            </w:r>
          </w:p>
        </w:tc>
        <w:tc>
          <w:tcPr>
            <w:tcW w:w="3113" w:type="dxa"/>
            <w:tcBorders>
              <w:top w:val="single" w:sz="8" w:space="0" w:color="BFBFBF"/>
              <w:left w:val="single" w:sz="8" w:space="0" w:color="BFBFBF"/>
              <w:bottom w:val="single" w:sz="8" w:space="0" w:color="BFBFBF"/>
              <w:right w:val="nil"/>
            </w:tcBorders>
            <w:vAlign w:val="center"/>
          </w:tcPr>
          <w:p w14:paraId="11EB250A"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1 / 1000</w:t>
            </w:r>
          </w:p>
        </w:tc>
      </w:tr>
      <w:tr w:rsidR="00666EB3" w:rsidRPr="002F194B" w14:paraId="3013920B" w14:textId="77777777" w:rsidTr="000C4D01">
        <w:tc>
          <w:tcPr>
            <w:tcW w:w="2127" w:type="dxa"/>
            <w:tcBorders>
              <w:top w:val="single" w:sz="8" w:space="0" w:color="BFBFBF"/>
              <w:left w:val="nil"/>
              <w:bottom w:val="nil"/>
              <w:right w:val="single" w:sz="8" w:space="0" w:color="BFBFBF"/>
            </w:tcBorders>
            <w:vAlign w:val="center"/>
          </w:tcPr>
          <w:p w14:paraId="52F02A01"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Severe</w:t>
            </w:r>
          </w:p>
        </w:tc>
        <w:tc>
          <w:tcPr>
            <w:tcW w:w="2273" w:type="dxa"/>
            <w:tcBorders>
              <w:top w:val="single" w:sz="8" w:space="0" w:color="BFBFBF"/>
              <w:left w:val="single" w:sz="8" w:space="0" w:color="BFBFBF"/>
              <w:bottom w:val="nil"/>
              <w:right w:val="single" w:sz="8" w:space="0" w:color="BFBFBF"/>
            </w:tcBorders>
            <w:vAlign w:val="center"/>
          </w:tcPr>
          <w:p w14:paraId="62885528"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Very Rare</w:t>
            </w:r>
          </w:p>
        </w:tc>
        <w:tc>
          <w:tcPr>
            <w:tcW w:w="3113" w:type="dxa"/>
            <w:tcBorders>
              <w:top w:val="single" w:sz="8" w:space="0" w:color="BFBFBF"/>
              <w:left w:val="single" w:sz="8" w:space="0" w:color="BFBFBF"/>
              <w:bottom w:val="nil"/>
              <w:right w:val="nil"/>
            </w:tcBorders>
            <w:vAlign w:val="center"/>
          </w:tcPr>
          <w:p w14:paraId="2337D5D8" w14:textId="77777777" w:rsidR="00666EB3" w:rsidRPr="002F194B" w:rsidRDefault="00666EB3" w:rsidP="00666E06">
            <w:pPr>
              <w:pStyle w:val="Glossary"/>
              <w:rPr>
                <w:rStyle w:val="Strong"/>
                <w:b w:val="0"/>
                <w:bCs w:val="0"/>
                <w:sz w:val="22"/>
                <w:szCs w:val="22"/>
              </w:rPr>
            </w:pPr>
            <w:r w:rsidRPr="002F194B">
              <w:rPr>
                <w:rStyle w:val="Strong"/>
                <w:b w:val="0"/>
                <w:bCs w:val="0"/>
                <w:sz w:val="22"/>
                <w:szCs w:val="22"/>
              </w:rPr>
              <w:t>1 / 2500</w:t>
            </w:r>
          </w:p>
        </w:tc>
      </w:tr>
    </w:tbl>
    <w:p w14:paraId="49DE5348" w14:textId="77777777" w:rsidR="00666EB3" w:rsidRDefault="00666EB3" w:rsidP="00666E06">
      <w:pPr>
        <w:pStyle w:val="Glossary"/>
        <w:rPr>
          <w:rStyle w:val="Strong"/>
        </w:rPr>
      </w:pPr>
    </w:p>
    <w:p w14:paraId="6B4EDC3A" w14:textId="4E21A80F" w:rsidR="007617C1" w:rsidRPr="002A59CB" w:rsidRDefault="007617C1" w:rsidP="00666E06">
      <w:pPr>
        <w:pStyle w:val="Glossary"/>
        <w:rPr>
          <w:rStyle w:val="Strong"/>
          <w:b w:val="0"/>
          <w:bCs w:val="0"/>
        </w:rPr>
      </w:pPr>
      <w:r>
        <w:rPr>
          <w:rStyle w:val="Strong"/>
        </w:rPr>
        <w:t xml:space="preserve">Egress </w:t>
      </w:r>
      <w:r w:rsidRPr="002A59CB">
        <w:rPr>
          <w:rStyle w:val="Strong"/>
        </w:rPr>
        <w:t>Routes:</w:t>
      </w:r>
      <w:r w:rsidRPr="002A59CB">
        <w:rPr>
          <w:rStyle w:val="Strong"/>
          <w:b w:val="0"/>
          <w:bCs w:val="0"/>
        </w:rPr>
        <w:t xml:space="preserve"> For the purposes of this document, and for application of NZS 1170.5, </w:t>
      </w:r>
      <w:r w:rsidR="00B81D35" w:rsidRPr="002A59CB">
        <w:rPr>
          <w:rStyle w:val="Strong"/>
          <w:b w:val="0"/>
          <w:bCs w:val="0"/>
        </w:rPr>
        <w:t>this term refers to</w:t>
      </w:r>
      <w:r w:rsidRPr="002A59CB">
        <w:rPr>
          <w:rStyle w:val="Strong"/>
          <w:b w:val="0"/>
          <w:bCs w:val="0"/>
        </w:rPr>
        <w:t xml:space="preserve"> primary egress routes</w:t>
      </w:r>
      <w:r w:rsidR="00C405B1" w:rsidRPr="002A59CB">
        <w:rPr>
          <w:rStyle w:val="Strong"/>
          <w:b w:val="0"/>
          <w:bCs w:val="0"/>
        </w:rPr>
        <w:t xml:space="preserve">. Generally, </w:t>
      </w:r>
      <w:r w:rsidR="00B43768" w:rsidRPr="002A59CB">
        <w:rPr>
          <w:rStyle w:val="Strong"/>
          <w:b w:val="0"/>
          <w:bCs w:val="0"/>
        </w:rPr>
        <w:t xml:space="preserve">interpretation should be similar to </w:t>
      </w:r>
      <w:r w:rsidR="00184EEF" w:rsidRPr="002A59CB">
        <w:rPr>
          <w:rStyle w:val="Strong"/>
          <w:b w:val="0"/>
          <w:bCs w:val="0"/>
        </w:rPr>
        <w:t>c</w:t>
      </w:r>
      <w:r w:rsidR="00B81D35" w:rsidRPr="002A59CB">
        <w:rPr>
          <w:rStyle w:val="Strong"/>
          <w:b w:val="0"/>
          <w:bCs w:val="0"/>
        </w:rPr>
        <w:t xml:space="preserve">irculation </w:t>
      </w:r>
      <w:r w:rsidR="007E790E" w:rsidRPr="002A59CB">
        <w:rPr>
          <w:rStyle w:val="Strong"/>
          <w:b w:val="0"/>
          <w:bCs w:val="0"/>
        </w:rPr>
        <w:t>areas</w:t>
      </w:r>
      <w:r w:rsidR="00D62026" w:rsidRPr="002A59CB">
        <w:rPr>
          <w:rStyle w:val="Strong"/>
          <w:b w:val="0"/>
          <w:bCs w:val="0"/>
        </w:rPr>
        <w:t xml:space="preserve"> (NZS 1170.1 Occupancy Category C3)</w:t>
      </w:r>
      <w:r w:rsidR="007E790E" w:rsidRPr="002A59CB">
        <w:rPr>
          <w:rStyle w:val="Strong"/>
          <w:b w:val="0"/>
          <w:bCs w:val="0"/>
        </w:rPr>
        <w:t xml:space="preserve"> </w:t>
      </w:r>
      <w:r w:rsidR="00B81D35" w:rsidRPr="002A59CB">
        <w:rPr>
          <w:rStyle w:val="Strong"/>
          <w:b w:val="0"/>
          <w:bCs w:val="0"/>
        </w:rPr>
        <w:t xml:space="preserve">as </w:t>
      </w:r>
      <w:r w:rsidR="00184EEF" w:rsidRPr="002A59CB">
        <w:rPr>
          <w:rStyle w:val="Strong"/>
          <w:b w:val="0"/>
          <w:bCs w:val="0"/>
        </w:rPr>
        <w:t>clarified</w:t>
      </w:r>
      <w:r w:rsidR="00B81D35" w:rsidRPr="002A59CB">
        <w:rPr>
          <w:rStyle w:val="Strong"/>
          <w:b w:val="0"/>
          <w:bCs w:val="0"/>
        </w:rPr>
        <w:t xml:space="preserve"> in </w:t>
      </w:r>
      <w:r w:rsidR="00184EEF" w:rsidRPr="002A59CB">
        <w:rPr>
          <w:rStyle w:val="Strong"/>
          <w:b w:val="0"/>
          <w:bCs w:val="0"/>
        </w:rPr>
        <w:t xml:space="preserve">the note to </w:t>
      </w:r>
      <w:r w:rsidR="00184EEF" w:rsidRPr="009341E2">
        <w:rPr>
          <w:rStyle w:val="Strong"/>
          <w:b w:val="0"/>
          <w:bCs w:val="0"/>
        </w:rPr>
        <w:fldChar w:fldCharType="begin"/>
      </w:r>
      <w:r w:rsidR="00184EEF" w:rsidRPr="009341E2">
        <w:rPr>
          <w:rStyle w:val="Strong"/>
          <w:b w:val="0"/>
          <w:bCs w:val="0"/>
        </w:rPr>
        <w:instrText xml:space="preserve"> REF _Ref166603474 \h </w:instrText>
      </w:r>
      <w:r w:rsidR="009341E2">
        <w:rPr>
          <w:rStyle w:val="Strong"/>
          <w:b w:val="0"/>
          <w:bCs w:val="0"/>
        </w:rPr>
        <w:instrText xml:space="preserve"> \* MERGEFORMAT </w:instrText>
      </w:r>
      <w:r w:rsidR="00184EEF" w:rsidRPr="009341E2">
        <w:rPr>
          <w:rStyle w:val="Strong"/>
          <w:b w:val="0"/>
          <w:bCs w:val="0"/>
        </w:rPr>
      </w:r>
      <w:r w:rsidR="00184EEF" w:rsidRPr="009341E2">
        <w:rPr>
          <w:rStyle w:val="Strong"/>
          <w:b w:val="0"/>
          <w:bCs w:val="0"/>
        </w:rPr>
        <w:fldChar w:fldCharType="separate"/>
      </w:r>
      <w:r w:rsidR="000761C1" w:rsidRPr="009341E2">
        <w:t xml:space="preserve">Table </w:t>
      </w:r>
      <w:r w:rsidR="000761C1" w:rsidRPr="009341E2">
        <w:rPr>
          <w:noProof/>
        </w:rPr>
        <w:t>13</w:t>
      </w:r>
      <w:r w:rsidR="00184EEF" w:rsidRPr="009341E2">
        <w:rPr>
          <w:rStyle w:val="Strong"/>
          <w:b w:val="0"/>
          <w:bCs w:val="0"/>
        </w:rPr>
        <w:fldChar w:fldCharType="end"/>
      </w:r>
      <w:r w:rsidR="00F96C98" w:rsidRPr="009341E2">
        <w:rPr>
          <w:rStyle w:val="Strong"/>
          <w:b w:val="0"/>
          <w:bCs w:val="0"/>
        </w:rPr>
        <w:t xml:space="preserve"> </w:t>
      </w:r>
      <w:r w:rsidR="00F96C98">
        <w:rPr>
          <w:rStyle w:val="Strong"/>
          <w:b w:val="0"/>
          <w:bCs w:val="0"/>
        </w:rPr>
        <w:t xml:space="preserve">(Section </w:t>
      </w:r>
      <w:r w:rsidR="00F96C98">
        <w:rPr>
          <w:rStyle w:val="Strong"/>
          <w:b w:val="0"/>
          <w:bCs w:val="0"/>
        </w:rPr>
        <w:fldChar w:fldCharType="begin"/>
      </w:r>
      <w:r w:rsidR="00F96C98">
        <w:rPr>
          <w:rStyle w:val="Strong"/>
          <w:b w:val="0"/>
          <w:bCs w:val="0"/>
        </w:rPr>
        <w:instrText xml:space="preserve"> REF _Ref151128808 \r \h </w:instrText>
      </w:r>
      <w:r w:rsidR="00F96C98">
        <w:rPr>
          <w:rStyle w:val="Strong"/>
          <w:b w:val="0"/>
          <w:bCs w:val="0"/>
        </w:rPr>
      </w:r>
      <w:r w:rsidR="00F96C98">
        <w:rPr>
          <w:rStyle w:val="Strong"/>
          <w:b w:val="0"/>
          <w:bCs w:val="0"/>
        </w:rPr>
        <w:fldChar w:fldCharType="separate"/>
      </w:r>
      <w:r w:rsidR="000761C1">
        <w:rPr>
          <w:rStyle w:val="Strong"/>
          <w:b w:val="0"/>
          <w:bCs w:val="0"/>
        </w:rPr>
        <w:t>C1.2</w:t>
      </w:r>
      <w:r w:rsidR="00F96C98">
        <w:rPr>
          <w:rStyle w:val="Strong"/>
          <w:b w:val="0"/>
          <w:bCs w:val="0"/>
        </w:rPr>
        <w:fldChar w:fldCharType="end"/>
      </w:r>
      <w:r w:rsidR="00F96C98">
        <w:rPr>
          <w:rStyle w:val="Strong"/>
          <w:b w:val="0"/>
          <w:bCs w:val="0"/>
        </w:rPr>
        <w:t>)</w:t>
      </w:r>
      <w:r w:rsidR="00321CC8">
        <w:rPr>
          <w:rStyle w:val="Strong"/>
          <w:b w:val="0"/>
          <w:bCs w:val="0"/>
        </w:rPr>
        <w:t xml:space="preserve"> and</w:t>
      </w:r>
      <w:r w:rsidR="004017B6">
        <w:rPr>
          <w:rStyle w:val="Strong"/>
          <w:b w:val="0"/>
          <w:bCs w:val="0"/>
        </w:rPr>
        <w:t xml:space="preserve"> includes</w:t>
      </w:r>
      <w:r w:rsidR="00321CC8">
        <w:rPr>
          <w:rStyle w:val="Strong"/>
          <w:b w:val="0"/>
          <w:bCs w:val="0"/>
        </w:rPr>
        <w:t xml:space="preserve"> the path</w:t>
      </w:r>
      <w:r w:rsidR="00FB3B55">
        <w:rPr>
          <w:rStyle w:val="Strong"/>
          <w:b w:val="0"/>
          <w:bCs w:val="0"/>
        </w:rPr>
        <w:t xml:space="preserve"> from vertical circulation shafts to a place of safety outside the building. It</w:t>
      </w:r>
      <w:r w:rsidR="00F70BB8" w:rsidRPr="002A59CB">
        <w:rPr>
          <w:rStyle w:val="Strong"/>
          <w:b w:val="0"/>
          <w:bCs w:val="0"/>
        </w:rPr>
        <w:t xml:space="preserve"> excludes general corridors within individual </w:t>
      </w:r>
      <w:r w:rsidR="002A59CB" w:rsidRPr="002A59CB">
        <w:rPr>
          <w:rStyle w:val="Strong"/>
          <w:b w:val="0"/>
          <w:bCs w:val="0"/>
        </w:rPr>
        <w:t>tenancies, departments or wards.</w:t>
      </w:r>
    </w:p>
    <w:p w14:paraId="60B723C2" w14:textId="6F152766" w:rsidR="008A1CDC" w:rsidRPr="003E3FEA" w:rsidRDefault="008A1CDC" w:rsidP="00666E06">
      <w:pPr>
        <w:pStyle w:val="Glossary"/>
        <w:rPr>
          <w:rStyle w:val="Strong"/>
          <w:b w:val="0"/>
          <w:bCs w:val="0"/>
        </w:rPr>
      </w:pPr>
      <w:r w:rsidRPr="003E3FEA">
        <w:rPr>
          <w:rStyle w:val="Strong"/>
        </w:rPr>
        <w:t>Engineering Assessment Guidelines (EAG):</w:t>
      </w:r>
      <w:r w:rsidRPr="003E3FEA">
        <w:rPr>
          <w:rStyle w:val="Strong"/>
          <w:b w:val="0"/>
          <w:bCs w:val="0"/>
        </w:rPr>
        <w:t xml:space="preserve"> </w:t>
      </w:r>
      <w:r w:rsidR="00E07DCF" w:rsidRPr="003E3FEA">
        <w:rPr>
          <w:rStyle w:val="Strong"/>
          <w:b w:val="0"/>
          <w:bCs w:val="0"/>
        </w:rPr>
        <w:t xml:space="preserve">Refer </w:t>
      </w:r>
      <w:r w:rsidR="00E07DCF" w:rsidRPr="003E3FEA">
        <w:rPr>
          <w:rStyle w:val="Strong"/>
          <w:b w:val="0"/>
          <w:bCs w:val="0"/>
          <w:i/>
          <w:iCs/>
        </w:rPr>
        <w:t>Seismic Assessment</w:t>
      </w:r>
      <w:r w:rsidR="00E07DCF" w:rsidRPr="003E3FEA">
        <w:rPr>
          <w:rStyle w:val="Strong"/>
          <w:b w:val="0"/>
          <w:bCs w:val="0"/>
        </w:rPr>
        <w:t>.</w:t>
      </w:r>
    </w:p>
    <w:p w14:paraId="6A6E39A2" w14:textId="773A605C" w:rsidR="00307583" w:rsidRPr="003E3FEA" w:rsidRDefault="00307583" w:rsidP="00666E06">
      <w:pPr>
        <w:pStyle w:val="Glossary"/>
      </w:pPr>
      <w:r w:rsidRPr="003E3FEA">
        <w:rPr>
          <w:rStyle w:val="Strong"/>
        </w:rPr>
        <w:t xml:space="preserve">Environmentally Sustainable Design </w:t>
      </w:r>
      <w:r w:rsidR="00621DA4" w:rsidRPr="003E3FEA">
        <w:rPr>
          <w:rStyle w:val="Strong"/>
        </w:rPr>
        <w:t>(ESD) Consultant</w:t>
      </w:r>
      <w:r w:rsidRPr="003E3FEA">
        <w:rPr>
          <w:rStyle w:val="Strong"/>
        </w:rPr>
        <w:t>:</w:t>
      </w:r>
      <w:r w:rsidRPr="003E3FEA">
        <w:t xml:space="preserve"> Refer to Section</w:t>
      </w:r>
      <w:r w:rsidR="005314A3" w:rsidRPr="003E3FEA">
        <w:t xml:space="preserve"> </w:t>
      </w:r>
      <w:r w:rsidR="005314A3" w:rsidRPr="003E3FEA">
        <w:fldChar w:fldCharType="begin"/>
      </w:r>
      <w:r w:rsidR="005314A3" w:rsidRPr="003E3FEA">
        <w:instrText xml:space="preserve"> REF _Ref157140572 \r \h </w:instrText>
      </w:r>
      <w:r w:rsidR="003E3FEA">
        <w:instrText xml:space="preserve"> \* MERGEFORMAT </w:instrText>
      </w:r>
      <w:r w:rsidR="005314A3" w:rsidRPr="003E3FEA">
        <w:fldChar w:fldCharType="separate"/>
      </w:r>
      <w:r w:rsidR="000761C1">
        <w:t>A2.3</w:t>
      </w:r>
      <w:r w:rsidR="005314A3" w:rsidRPr="003E3FEA">
        <w:fldChar w:fldCharType="end"/>
      </w:r>
      <w:r w:rsidR="005314A3" w:rsidRPr="003E3FEA">
        <w:t xml:space="preserve"> </w:t>
      </w:r>
      <w:r w:rsidR="005314A3" w:rsidRPr="003E3FEA">
        <w:fldChar w:fldCharType="begin"/>
      </w:r>
      <w:r w:rsidR="005314A3" w:rsidRPr="003E3FEA">
        <w:instrText xml:space="preserve"> REF _Ref157140577 \h </w:instrText>
      </w:r>
      <w:r w:rsidR="003E3FEA">
        <w:instrText xml:space="preserve"> \* MERGEFORMAT </w:instrText>
      </w:r>
      <w:r w:rsidR="005314A3" w:rsidRPr="003E3FEA">
        <w:fldChar w:fldCharType="separate"/>
      </w:r>
      <w:r w:rsidR="000761C1" w:rsidRPr="000761C1">
        <w:rPr>
          <w:rFonts w:asciiTheme="minorHAnsi" w:hAnsiTheme="minorHAnsi"/>
        </w:rPr>
        <w:t>Design Roles</w:t>
      </w:r>
      <w:r w:rsidR="005314A3" w:rsidRPr="003E3FEA">
        <w:fldChar w:fldCharType="end"/>
      </w:r>
      <w:r w:rsidRPr="003E3FEA">
        <w:t>.</w:t>
      </w:r>
    </w:p>
    <w:p w14:paraId="7105D544" w14:textId="55A15376" w:rsidR="00A64C49" w:rsidRDefault="00A64C49" w:rsidP="00666E06">
      <w:pPr>
        <w:pStyle w:val="Glossary"/>
      </w:pPr>
      <w:r w:rsidRPr="003E3FEA">
        <w:rPr>
          <w:b/>
          <w:bCs/>
        </w:rPr>
        <w:t>Externalities</w:t>
      </w:r>
      <w:r w:rsidR="00961886" w:rsidRPr="003E3FEA">
        <w:rPr>
          <w:b/>
          <w:bCs/>
        </w:rPr>
        <w:t xml:space="preserve"> (or external dependencies)</w:t>
      </w:r>
      <w:r w:rsidRPr="003E3FEA">
        <w:rPr>
          <w:b/>
          <w:bCs/>
        </w:rPr>
        <w:t>:</w:t>
      </w:r>
      <w:r w:rsidRPr="003E3FEA">
        <w:t xml:space="preserve"> A term used in an earthquake resilience and functional recovery context, referring to </w:t>
      </w:r>
      <w:r w:rsidR="00F85096" w:rsidRPr="003E3FEA">
        <w:t>risks from hazards considered to be “beyond the project boundary” or outside the scope or direct control of a project</w:t>
      </w:r>
      <w:r w:rsidR="00B7481C" w:rsidRPr="003E3FEA">
        <w:t xml:space="preserve"> to eliminate or mitigate</w:t>
      </w:r>
      <w:r w:rsidR="00F85096" w:rsidRPr="003E3FEA">
        <w:t>.</w:t>
      </w:r>
    </w:p>
    <w:p w14:paraId="7618C185" w14:textId="3F68FF1E" w:rsidR="0045509D" w:rsidRPr="0045509D" w:rsidRDefault="0045509D" w:rsidP="00666E06">
      <w:pPr>
        <w:pStyle w:val="Glossary"/>
        <w:rPr>
          <w:b/>
          <w:bCs/>
        </w:rPr>
      </w:pPr>
      <w:r w:rsidRPr="0045509D">
        <w:rPr>
          <w:b/>
          <w:bCs/>
        </w:rPr>
        <w:t xml:space="preserve">Façade Designer: </w:t>
      </w:r>
      <w:r w:rsidR="00397B32" w:rsidRPr="00A62767">
        <w:t xml:space="preserve">The </w:t>
      </w:r>
      <w:r w:rsidR="00A62767">
        <w:t>design professional</w:t>
      </w:r>
      <w:r w:rsidR="00397B32" w:rsidRPr="00A62767">
        <w:t xml:space="preserve"> re</w:t>
      </w:r>
      <w:r w:rsidR="00397B32" w:rsidRPr="00064304">
        <w:t>sponsible for design of the façade system</w:t>
      </w:r>
      <w:r w:rsidR="00397B32">
        <w:t xml:space="preserve">, as clarified in Section </w:t>
      </w:r>
      <w:r w:rsidR="00A62767">
        <w:fldChar w:fldCharType="begin"/>
      </w:r>
      <w:r w:rsidR="00A62767">
        <w:instrText xml:space="preserve"> REF _Ref181594169 \r \h </w:instrText>
      </w:r>
      <w:r w:rsidR="00A62767">
        <w:fldChar w:fldCharType="separate"/>
      </w:r>
      <w:r w:rsidR="000761C1">
        <w:t>C4.4.1</w:t>
      </w:r>
      <w:r w:rsidR="00A62767">
        <w:fldChar w:fldCharType="end"/>
      </w:r>
      <w:r w:rsidR="00A62767">
        <w:t>.</w:t>
      </w:r>
    </w:p>
    <w:p w14:paraId="0B8BEBC9" w14:textId="1F76907B" w:rsidR="00D26EFD" w:rsidRPr="00C4594B" w:rsidRDefault="00D26EFD" w:rsidP="00666E06">
      <w:pPr>
        <w:pStyle w:val="Glossary"/>
      </w:pPr>
      <w:r w:rsidRPr="003E3FEA">
        <w:rPr>
          <w:b/>
          <w:bCs/>
        </w:rPr>
        <w:lastRenderedPageBreak/>
        <w:t>Fire Engineering Brief</w:t>
      </w:r>
      <w:r w:rsidR="002F05FD">
        <w:rPr>
          <w:b/>
          <w:bCs/>
        </w:rPr>
        <w:t xml:space="preserve"> (FEB)</w:t>
      </w:r>
      <w:r w:rsidRPr="003E3FEA">
        <w:rPr>
          <w:b/>
          <w:bCs/>
        </w:rPr>
        <w:t>:</w:t>
      </w:r>
      <w:r w:rsidR="00C4594B" w:rsidRPr="00C4594B">
        <w:t xml:space="preserve"> The FEB is a process in which relevant stakeholders are engaged at an early stage in the project to agree on the design methodology, and any specific requirements stakeholders may have. Typically, this will involve the preparation of the FEB document at the concept stage, followed by an iterative process to establish and agree the design methodology, inputs and acceptance criteria. The FEB process is set out in the International Fire Engineering Guidelines (IFEG)</w:t>
      </w:r>
      <w:r w:rsidR="00C4594B">
        <w:t xml:space="preserve">. Refer to the </w:t>
      </w:r>
      <w:r w:rsidR="00DE0C56">
        <w:t>Health NZ Design Guidance Note for f</w:t>
      </w:r>
      <w:r w:rsidR="00C4594B">
        <w:t xml:space="preserve">ire </w:t>
      </w:r>
      <w:r w:rsidR="00DE0C56">
        <w:t>e</w:t>
      </w:r>
      <w:r w:rsidR="00C4594B">
        <w:t>ngineering</w:t>
      </w:r>
      <w:r w:rsidR="00DE0C56">
        <w:t xml:space="preserve"> design.</w:t>
      </w:r>
    </w:p>
    <w:p w14:paraId="43EEFFF5" w14:textId="4B0A4D52" w:rsidR="00D2210F" w:rsidRPr="003E3FEA" w:rsidRDefault="00D2210F" w:rsidP="00666E06">
      <w:pPr>
        <w:pStyle w:val="Glossary"/>
      </w:pPr>
      <w:r w:rsidRPr="003E3FEA">
        <w:rPr>
          <w:b/>
          <w:bCs/>
        </w:rPr>
        <w:t>Functionality</w:t>
      </w:r>
      <w:r w:rsidR="009F74C5" w:rsidRPr="003E3FEA">
        <w:rPr>
          <w:b/>
          <w:bCs/>
        </w:rPr>
        <w:t xml:space="preserve">: </w:t>
      </w:r>
      <w:r w:rsidR="00706405" w:rsidRPr="003E3FEA">
        <w:t xml:space="preserve">Refer to </w:t>
      </w:r>
      <w:r w:rsidR="00706405" w:rsidRPr="003E3FEA">
        <w:rPr>
          <w:i/>
          <w:iCs/>
        </w:rPr>
        <w:t xml:space="preserve">Operational State </w:t>
      </w:r>
      <w:r w:rsidR="00706405" w:rsidRPr="003E3FEA">
        <w:t xml:space="preserve">which defines </w:t>
      </w:r>
      <w:r w:rsidR="00D346D9" w:rsidRPr="003E3FEA">
        <w:t>levels of functionality</w:t>
      </w:r>
      <w:r w:rsidR="00706405" w:rsidRPr="003E3FEA">
        <w:t>.</w:t>
      </w:r>
    </w:p>
    <w:p w14:paraId="4814E12D" w14:textId="09C31F49" w:rsidR="00D267E2" w:rsidRPr="003E3FEA" w:rsidRDefault="00D267E2" w:rsidP="00666E06">
      <w:pPr>
        <w:pStyle w:val="Glossary"/>
      </w:pPr>
      <w:r w:rsidRPr="003E3FEA">
        <w:rPr>
          <w:rStyle w:val="Strong"/>
        </w:rPr>
        <w:t>Health Engineering Advisory Group (HEAG):</w:t>
      </w:r>
      <w:r w:rsidRPr="003E3FEA">
        <w:t xml:space="preserve"> </w:t>
      </w:r>
      <w:r w:rsidR="51298A46" w:rsidRPr="003E3FEA">
        <w:t>The</w:t>
      </w:r>
      <w:r w:rsidR="00C36884" w:rsidRPr="003E3FEA">
        <w:t xml:space="preserve"> nominated </w:t>
      </w:r>
      <w:r w:rsidR="00553A90" w:rsidRPr="003E3FEA">
        <w:t>technical engineering advisory group</w:t>
      </w:r>
      <w:r w:rsidR="17DFBBB7" w:rsidRPr="003E3FEA">
        <w:t xml:space="preserve"> for </w:t>
      </w:r>
      <w:r w:rsidR="00F463E6">
        <w:t>Health NZ</w:t>
      </w:r>
      <w:r w:rsidR="00553A90" w:rsidRPr="003E3FEA">
        <w:t>.</w:t>
      </w:r>
    </w:p>
    <w:p w14:paraId="7150F591" w14:textId="77777777" w:rsidR="00536BD7" w:rsidRPr="003E3FEA" w:rsidRDefault="00536BD7" w:rsidP="00536BD7">
      <w:pPr>
        <w:pStyle w:val="Glossary"/>
      </w:pPr>
      <w:r>
        <w:rPr>
          <w:rStyle w:val="Strong"/>
        </w:rPr>
        <w:t xml:space="preserve">Health New Zealand </w:t>
      </w:r>
      <w:r w:rsidRPr="003E3FEA">
        <w:rPr>
          <w:rStyle w:val="Strong"/>
        </w:rPr>
        <w:t xml:space="preserve">| </w:t>
      </w:r>
      <w:r>
        <w:rPr>
          <w:rStyle w:val="Strong"/>
        </w:rPr>
        <w:t>Te Whatu Ora (Health NZ)</w:t>
      </w:r>
      <w:r w:rsidRPr="003E3FEA">
        <w:rPr>
          <w:rStyle w:val="Strong"/>
        </w:rPr>
        <w:t>:</w:t>
      </w:r>
      <w:r w:rsidRPr="003E3FEA">
        <w:t xml:space="preserve"> Replaced the role of District Health Boards from July 2022, and is responsible for planning and commissioning hospital, primary and community health services.</w:t>
      </w:r>
    </w:p>
    <w:p w14:paraId="49E9AB18" w14:textId="77777777" w:rsidR="00536BD7" w:rsidRPr="003E3FEA" w:rsidRDefault="00536BD7" w:rsidP="00536BD7">
      <w:pPr>
        <w:pStyle w:val="Glossary"/>
      </w:pPr>
      <w:r>
        <w:rPr>
          <w:rStyle w:val="Strong"/>
        </w:rPr>
        <w:t xml:space="preserve">Health NZ </w:t>
      </w:r>
      <w:r w:rsidRPr="003E3FEA">
        <w:rPr>
          <w:rStyle w:val="Strong"/>
        </w:rPr>
        <w:t>Project Technical Brief (project brief):</w:t>
      </w:r>
      <w:r w:rsidRPr="003E3FEA">
        <w:t xml:space="preserve"> Project briefing documents supplied by </w:t>
      </w:r>
      <w:r>
        <w:t xml:space="preserve">Health NZ </w:t>
      </w:r>
      <w:r w:rsidRPr="003E3FEA">
        <w:t>for the project containing technical requirements.</w:t>
      </w:r>
    </w:p>
    <w:p w14:paraId="24559575" w14:textId="5553DF44" w:rsidR="00536BD7" w:rsidRPr="003E3FEA" w:rsidRDefault="00536BD7" w:rsidP="00536BD7">
      <w:pPr>
        <w:pStyle w:val="Glossary"/>
        <w:rPr>
          <w:b/>
          <w:bCs/>
        </w:rPr>
      </w:pPr>
      <w:r w:rsidRPr="00B917D0">
        <w:rPr>
          <w:b/>
          <w:bCs/>
          <w:color w:val="0C818F" w:themeColor="accent3"/>
        </w:rPr>
        <w:t>Health NZ Requirement:</w:t>
      </w:r>
      <w:r w:rsidRPr="00B917D0">
        <w:t xml:space="preserve"> A specific technical requirement for Health NZ projects that must be followed in order to meet the requirements of projects that reference these guidelines</w:t>
      </w:r>
      <w:r>
        <w:t xml:space="preserve"> (refer to Sections </w:t>
      </w:r>
      <w:r>
        <w:fldChar w:fldCharType="begin"/>
      </w:r>
      <w:r>
        <w:instrText xml:space="preserve"> REF _Ref173911966 \r \h </w:instrText>
      </w:r>
      <w:r>
        <w:fldChar w:fldCharType="separate"/>
      </w:r>
      <w:r w:rsidR="000761C1">
        <w:t>A1.3</w:t>
      </w:r>
      <w:r>
        <w:fldChar w:fldCharType="end"/>
      </w:r>
      <w:r>
        <w:t xml:space="preserve"> and </w:t>
      </w:r>
      <w:r>
        <w:fldChar w:fldCharType="begin"/>
      </w:r>
      <w:r>
        <w:instrText xml:space="preserve"> REF _Ref173911969 \r \h </w:instrText>
      </w:r>
      <w:r>
        <w:fldChar w:fldCharType="separate"/>
      </w:r>
      <w:r w:rsidR="000761C1">
        <w:t>A1.6</w:t>
      </w:r>
      <w:r>
        <w:fldChar w:fldCharType="end"/>
      </w:r>
      <w:r>
        <w:t>)</w:t>
      </w:r>
      <w:r w:rsidRPr="00B917D0">
        <w:t>.</w:t>
      </w:r>
    </w:p>
    <w:p w14:paraId="3108F096" w14:textId="1B907344" w:rsidR="00783DB9" w:rsidRPr="003E3FEA" w:rsidRDefault="00783DB9" w:rsidP="00666E06">
      <w:pPr>
        <w:pStyle w:val="Glossary"/>
      </w:pPr>
      <w:r w:rsidRPr="003E3FEA">
        <w:rPr>
          <w:rStyle w:val="Strong"/>
        </w:rPr>
        <w:t>Infrastructure</w:t>
      </w:r>
      <w:r w:rsidR="003C0199" w:rsidRPr="003E3FEA">
        <w:rPr>
          <w:rStyle w:val="Strong"/>
        </w:rPr>
        <w:t xml:space="preserve"> and</w:t>
      </w:r>
      <w:r w:rsidRPr="003E3FEA">
        <w:rPr>
          <w:rStyle w:val="Strong"/>
        </w:rPr>
        <w:t xml:space="preserve"> Investment Group (IIG):</w:t>
      </w:r>
      <w:r w:rsidRPr="003E3FEA">
        <w:t xml:space="preserve"> </w:t>
      </w:r>
      <w:r w:rsidR="00B82B8D" w:rsidRPr="003E3FEA">
        <w:t xml:space="preserve">The group within </w:t>
      </w:r>
      <w:r w:rsidR="007D5C79">
        <w:t xml:space="preserve">Health NZ </w:t>
      </w:r>
      <w:r w:rsidR="00B82B8D" w:rsidRPr="003E3FEA">
        <w:t xml:space="preserve">responsible for </w:t>
      </w:r>
      <w:r w:rsidR="0047192A" w:rsidRPr="003E3FEA">
        <w:t>asset manag</w:t>
      </w:r>
      <w:r w:rsidR="003A17B0" w:rsidRPr="003E3FEA">
        <w:t>ement, investment planning, facility design and advisory and</w:t>
      </w:r>
      <w:r w:rsidR="00F41989" w:rsidRPr="003E3FEA">
        <w:t xml:space="preserve"> programme/project delivery.</w:t>
      </w:r>
    </w:p>
    <w:p w14:paraId="08C9D565" w14:textId="10E535C5" w:rsidR="00F442F3" w:rsidRPr="003E3FEA" w:rsidRDefault="00F442F3" w:rsidP="00666E06">
      <w:pPr>
        <w:pStyle w:val="Glossary"/>
      </w:pPr>
      <w:r w:rsidRPr="00737F79">
        <w:rPr>
          <w:b/>
          <w:bCs/>
        </w:rPr>
        <w:t xml:space="preserve">Life Cycle </w:t>
      </w:r>
      <w:r w:rsidR="001B248B" w:rsidRPr="00737F79">
        <w:rPr>
          <w:b/>
          <w:bCs/>
        </w:rPr>
        <w:t>Assessment (LCA)</w:t>
      </w:r>
      <w:r w:rsidRPr="00737F79">
        <w:rPr>
          <w:b/>
          <w:bCs/>
        </w:rPr>
        <w:t>:</w:t>
      </w:r>
      <w:r w:rsidRPr="003E3FEA">
        <w:t xml:space="preserve"> Refer </w:t>
      </w:r>
      <w:r w:rsidRPr="003E3FEA">
        <w:rPr>
          <w:i/>
          <w:iCs/>
        </w:rPr>
        <w:t>Carbon</w:t>
      </w:r>
      <w:r w:rsidRPr="003E3FEA">
        <w:t>.</w:t>
      </w:r>
    </w:p>
    <w:p w14:paraId="606A6D9F" w14:textId="2D5ED24B" w:rsidR="003D085D" w:rsidRPr="003E3FEA" w:rsidRDefault="003D085D" w:rsidP="00666E06">
      <w:pPr>
        <w:pStyle w:val="Glossary"/>
      </w:pPr>
      <w:r w:rsidRPr="003E3FEA">
        <w:rPr>
          <w:rStyle w:val="Strong"/>
        </w:rPr>
        <w:t>Low Damage Seismic Design</w:t>
      </w:r>
      <w:r w:rsidR="00F3689A" w:rsidRPr="003E3FEA">
        <w:rPr>
          <w:rStyle w:val="Strong"/>
        </w:rPr>
        <w:t xml:space="preserve"> (LDSD)</w:t>
      </w:r>
      <w:r w:rsidR="008F0B40" w:rsidRPr="003E3FEA">
        <w:rPr>
          <w:rStyle w:val="Strong"/>
        </w:rPr>
        <w:t>:</w:t>
      </w:r>
      <w:r w:rsidR="008F0B40" w:rsidRPr="003E3FEA">
        <w:t xml:space="preserve"> </w:t>
      </w:r>
      <w:r w:rsidR="00D35F3F" w:rsidRPr="003E3FEA">
        <w:t xml:space="preserve">A term used in reference to the Low Damage Seismic Design </w:t>
      </w:r>
      <w:r w:rsidR="00D7057E" w:rsidRPr="003E3FEA">
        <w:t xml:space="preserve">guidelines </w:t>
      </w:r>
      <w:r w:rsidR="00D35F3F" w:rsidRPr="003E3FEA">
        <w:t>project and framework, in development</w:t>
      </w:r>
      <w:r w:rsidR="00D7057E" w:rsidRPr="003E3FEA">
        <w:t xml:space="preserve"> (refer to Section </w:t>
      </w:r>
      <w:r w:rsidR="000D787F" w:rsidRPr="003E3FEA">
        <w:fldChar w:fldCharType="begin"/>
      </w:r>
      <w:r w:rsidR="000D787F" w:rsidRPr="003E3FEA">
        <w:instrText xml:space="preserve"> REF _Ref169154519 \r \h </w:instrText>
      </w:r>
      <w:r w:rsidR="003E3FEA">
        <w:instrText xml:space="preserve"> \* MERGEFORMAT </w:instrText>
      </w:r>
      <w:r w:rsidR="000D787F" w:rsidRPr="003E3FEA">
        <w:fldChar w:fldCharType="separate"/>
      </w:r>
      <w:r w:rsidR="000761C1">
        <w:t>A1.5</w:t>
      </w:r>
      <w:r w:rsidR="000D787F" w:rsidRPr="003E3FEA">
        <w:fldChar w:fldCharType="end"/>
      </w:r>
      <w:r w:rsidR="00611B1C">
        <w:t xml:space="preserve"> and to </w:t>
      </w:r>
      <w:r w:rsidR="004170E4">
        <w:t xml:space="preserve">information available online at </w:t>
      </w:r>
      <w:hyperlink r:id="rId123" w:history="1">
        <w:r w:rsidR="004170E4" w:rsidRPr="004170E4">
          <w:rPr>
            <w:rStyle w:val="Hyperlink"/>
            <w:color w:val="0070C0"/>
          </w:rPr>
          <w:t>Low Damage Seismic Design resources | Building Performance</w:t>
        </w:r>
      </w:hyperlink>
      <w:r w:rsidR="004170E4" w:rsidRPr="004170E4">
        <w:rPr>
          <w:color w:val="0070C0"/>
        </w:rPr>
        <w:t xml:space="preserve"> </w:t>
      </w:r>
      <w:r w:rsidR="004170E4" w:rsidRPr="004170E4">
        <w:rPr>
          <w:b/>
          <w:bCs/>
        </w:rPr>
        <w:t>(</w:t>
      </w:r>
      <w:hyperlink r:id="rId124" w:history="1">
        <w:r w:rsidR="004170E4" w:rsidRPr="004170E4">
          <w:rPr>
            <w:rStyle w:val="Hyperlink"/>
            <w:b w:val="0"/>
            <w:bCs/>
            <w:u w:val="none"/>
          </w:rPr>
          <w:t>https://www.building.govt.nz/getting-started/seismic-work-programme/seismic-risk-series/low-damage-seismic-design</w:t>
        </w:r>
      </w:hyperlink>
      <w:r w:rsidR="004170E4" w:rsidRPr="004170E4">
        <w:rPr>
          <w:b/>
          <w:bCs/>
        </w:rPr>
        <w:t>)</w:t>
      </w:r>
      <w:r w:rsidR="00D35F3F" w:rsidRPr="004170E4">
        <w:rPr>
          <w:b/>
          <w:bCs/>
        </w:rPr>
        <w:t>.</w:t>
      </w:r>
    </w:p>
    <w:p w14:paraId="261C3F36" w14:textId="01581160" w:rsidR="00327E23" w:rsidRPr="003E3FEA" w:rsidRDefault="00327E23" w:rsidP="00666E06">
      <w:pPr>
        <w:pStyle w:val="Glossary"/>
      </w:pPr>
      <w:r w:rsidRPr="003E3FEA">
        <w:rPr>
          <w:b/>
          <w:bCs/>
        </w:rPr>
        <w:t>Ministry of Health</w:t>
      </w:r>
      <w:r w:rsidR="00951D67">
        <w:rPr>
          <w:b/>
          <w:bCs/>
        </w:rPr>
        <w:t xml:space="preserve"> | </w:t>
      </w:r>
      <w:r w:rsidR="00951D67" w:rsidRPr="003E3FEA">
        <w:rPr>
          <w:b/>
          <w:bCs/>
        </w:rPr>
        <w:t>Manatū Hauora</w:t>
      </w:r>
      <w:r w:rsidRPr="003E3FEA">
        <w:rPr>
          <w:b/>
          <w:bCs/>
        </w:rPr>
        <w:t>:</w:t>
      </w:r>
      <w:r w:rsidRPr="003E3FEA">
        <w:t xml:space="preserve"> </w:t>
      </w:r>
      <w:r w:rsidR="00F22972" w:rsidRPr="003E3FEA">
        <w:t>The New Zealand Government’s principal advisor on health and disability policy. It is responsible for funding, monitoring and ensuring the sector is compliant with accountability expectations.</w:t>
      </w:r>
    </w:p>
    <w:p w14:paraId="4A5C873F" w14:textId="5310CDAD" w:rsidR="000B655C" w:rsidRPr="003E3FEA" w:rsidRDefault="000B655C" w:rsidP="00666E06">
      <w:pPr>
        <w:pStyle w:val="Glossary"/>
        <w:rPr>
          <w:rStyle w:val="Strong"/>
        </w:rPr>
      </w:pPr>
      <w:r w:rsidRPr="003E3FEA">
        <w:rPr>
          <w:b/>
          <w:bCs/>
        </w:rPr>
        <w:t>Minor Alteration</w:t>
      </w:r>
      <w:r w:rsidR="005805FB" w:rsidRPr="003E3FEA">
        <w:rPr>
          <w:b/>
          <w:bCs/>
        </w:rPr>
        <w:t>s</w:t>
      </w:r>
      <w:r w:rsidRPr="003E3FEA">
        <w:t xml:space="preserve">: Structural or non-structural alterations works of a minor nature that </w:t>
      </w:r>
      <w:r w:rsidR="00122C6D" w:rsidRPr="003E3FEA">
        <w:t xml:space="preserve">generally </w:t>
      </w:r>
      <w:r w:rsidR="005805FB" w:rsidRPr="003E3FEA">
        <w:t>suit</w:t>
      </w:r>
      <w:r w:rsidR="00122C6D" w:rsidRPr="003E3FEA">
        <w:t xml:space="preserve"> simpler application of Section 112</w:t>
      </w:r>
      <w:r w:rsidR="00686615" w:rsidRPr="003E3FEA">
        <w:t>—</w:t>
      </w:r>
      <w:r w:rsidR="005805FB" w:rsidRPr="003E3FEA">
        <w:t>requiring that</w:t>
      </w:r>
      <w:r w:rsidR="00686615" w:rsidRPr="003E3FEA">
        <w:t xml:space="preserve"> the level of structural compliance is made no worse than before</w:t>
      </w:r>
      <w:r w:rsidR="00122C6D" w:rsidRPr="003E3FEA">
        <w:t>. Defined in Section</w:t>
      </w:r>
      <w:r w:rsidR="005F3913">
        <w:t xml:space="preserve"> </w:t>
      </w:r>
      <w:r w:rsidR="005F3913">
        <w:fldChar w:fldCharType="begin"/>
      </w:r>
      <w:r w:rsidR="005F3913">
        <w:instrText xml:space="preserve"> REF _Ref180393938 \r \h </w:instrText>
      </w:r>
      <w:r w:rsidR="005F3913">
        <w:fldChar w:fldCharType="separate"/>
      </w:r>
      <w:r w:rsidR="000761C1">
        <w:t>B7.2</w:t>
      </w:r>
      <w:r w:rsidR="005F3913">
        <w:fldChar w:fldCharType="end"/>
      </w:r>
      <w:r w:rsidR="00724B2F" w:rsidRPr="003E3FEA">
        <w:t xml:space="preserve">. See also </w:t>
      </w:r>
      <w:r w:rsidR="00724B2F" w:rsidRPr="003E3FEA">
        <w:rPr>
          <w:i/>
          <w:iCs/>
        </w:rPr>
        <w:t>Significant Alterations and Additions.</w:t>
      </w:r>
    </w:p>
    <w:p w14:paraId="7EB34F17" w14:textId="61648667" w:rsidR="00DC597F" w:rsidRPr="003E3FEA" w:rsidRDefault="00A64F8B" w:rsidP="00666E06">
      <w:pPr>
        <w:pStyle w:val="Glossary"/>
      </w:pPr>
      <w:r w:rsidRPr="003E3FEA">
        <w:rPr>
          <w:rStyle w:val="Strong"/>
        </w:rPr>
        <w:t>National Seismic Hazard Model (NSHM)</w:t>
      </w:r>
      <w:r w:rsidR="008135FE" w:rsidRPr="003E3FEA">
        <w:rPr>
          <w:rStyle w:val="Strong"/>
        </w:rPr>
        <w:t>:</w:t>
      </w:r>
      <w:r w:rsidR="00DC597F" w:rsidRPr="003E3FEA">
        <w:t xml:space="preserve"> </w:t>
      </w:r>
      <w:r w:rsidR="005D4946" w:rsidRPr="003E3FEA">
        <w:t>The scientific model that calculates the likelihood and strength of earthquake shaking that may occur in different parts of Aotearoa New Zealand over specified time periods</w:t>
      </w:r>
      <w:r w:rsidR="004A19D9" w:rsidRPr="003E3FEA">
        <w:t xml:space="preserve">. </w:t>
      </w:r>
      <w:r w:rsidR="00EE2F7D" w:rsidRPr="003E3FEA">
        <w:rPr>
          <w:b/>
          <w:bCs/>
        </w:rPr>
        <w:t>NSHM 2022</w:t>
      </w:r>
      <w:r w:rsidR="00EE2F7D" w:rsidRPr="003E3FEA">
        <w:t xml:space="preserve"> refers </w:t>
      </w:r>
      <w:r w:rsidR="004A19D9" w:rsidRPr="003E3FEA">
        <w:t>to the 2022 revision of the model,</w:t>
      </w:r>
      <w:r w:rsidR="00C27854" w:rsidRPr="003E3FEA">
        <w:t xml:space="preserve"> </w:t>
      </w:r>
      <w:r w:rsidR="00375836" w:rsidRPr="003E3FEA">
        <w:t>available</w:t>
      </w:r>
      <w:r w:rsidR="00C27854" w:rsidRPr="003E3FEA">
        <w:t xml:space="preserve"> online at </w:t>
      </w:r>
      <w:hyperlink r:id="rId125" w:history="1">
        <w:r w:rsidR="00C27854" w:rsidRPr="003E3FEA">
          <w:rPr>
            <w:rStyle w:val="Hyperlink"/>
            <w:color w:val="0070C0"/>
          </w:rPr>
          <w:t>GNS – National Seismic Hazard Model</w:t>
        </w:r>
      </w:hyperlink>
      <w:r w:rsidR="00C27854" w:rsidRPr="003E3FEA">
        <w:t xml:space="preserve"> (</w:t>
      </w:r>
      <w:r w:rsidR="008907DF" w:rsidRPr="003E3FEA">
        <w:t>https://www.gns.cri.nz/research-projects/national-seismic-hazard-model/</w:t>
      </w:r>
      <w:r w:rsidR="00C27854" w:rsidRPr="003E3FEA">
        <w:t>)</w:t>
      </w:r>
      <w:r w:rsidR="00375836" w:rsidRPr="003E3FEA">
        <w:t>.</w:t>
      </w:r>
    </w:p>
    <w:p w14:paraId="098FF393" w14:textId="0353DA8E" w:rsidR="00AF48C3" w:rsidRPr="003E3FEA" w:rsidRDefault="00AF48C3" w:rsidP="00666E06">
      <w:pPr>
        <w:pStyle w:val="Glossary"/>
      </w:pPr>
      <w:r w:rsidRPr="003E3FEA">
        <w:rPr>
          <w:b/>
          <w:bCs/>
        </w:rPr>
        <w:t>NSE S</w:t>
      </w:r>
      <w:r w:rsidR="00044389" w:rsidRPr="003E3FEA">
        <w:rPr>
          <w:b/>
          <w:bCs/>
        </w:rPr>
        <w:t>eismic</w:t>
      </w:r>
      <w:r w:rsidR="00AF5814" w:rsidRPr="003E3FEA">
        <w:rPr>
          <w:b/>
          <w:bCs/>
        </w:rPr>
        <w:t xml:space="preserve"> Designer: </w:t>
      </w:r>
      <w:r w:rsidR="00AF5814" w:rsidRPr="003E3FEA">
        <w:t xml:space="preserve">Non-structural </w:t>
      </w:r>
      <w:r w:rsidR="00D03078" w:rsidRPr="003E3FEA">
        <w:t>Element Seismic D</w:t>
      </w:r>
      <w:r w:rsidR="00AF5814" w:rsidRPr="003E3FEA">
        <w:t>esigner</w:t>
      </w:r>
      <w:r w:rsidR="00A43953">
        <w:t xml:space="preserve">. </w:t>
      </w:r>
    </w:p>
    <w:p w14:paraId="4D5134CD" w14:textId="4AE64339" w:rsidR="002D06F9" w:rsidRPr="003E3FEA" w:rsidRDefault="002D06F9" w:rsidP="00666E06">
      <w:pPr>
        <w:pStyle w:val="Glossary"/>
      </w:pPr>
      <w:r w:rsidRPr="003E3FEA">
        <w:rPr>
          <w:b/>
          <w:bCs/>
        </w:rPr>
        <w:lastRenderedPageBreak/>
        <w:t>Non-Structural Element (NSE) Seismic Design Strategy:</w:t>
      </w:r>
      <w:r w:rsidR="0062106A" w:rsidRPr="0062106A">
        <w:t xml:space="preserve"> A document </w:t>
      </w:r>
      <w:r w:rsidR="00C62C3E">
        <w:t xml:space="preserve">describing the approach for seismic design and restraint of non-structural elements, and their integration with primary structure. Described in Section </w:t>
      </w:r>
      <w:r w:rsidR="00C62C3E">
        <w:fldChar w:fldCharType="begin"/>
      </w:r>
      <w:r w:rsidR="00C62C3E">
        <w:instrText xml:space="preserve"> REF _Ref152139034 \r \h </w:instrText>
      </w:r>
      <w:r w:rsidR="00C62C3E">
        <w:fldChar w:fldCharType="separate"/>
      </w:r>
      <w:r w:rsidR="000761C1">
        <w:t>A3.2</w:t>
      </w:r>
      <w:r w:rsidR="00C62C3E">
        <w:fldChar w:fldCharType="end"/>
      </w:r>
      <w:r w:rsidR="00C62C3E">
        <w:t>.</w:t>
      </w:r>
      <w:r w:rsidR="00C86772">
        <w:t xml:space="preserve"> The document is initiated at concept desi</w:t>
      </w:r>
      <w:r w:rsidR="00CF2FC0">
        <w:t>gn.</w:t>
      </w:r>
    </w:p>
    <w:p w14:paraId="4B19BCC7" w14:textId="03F7E842" w:rsidR="008907DF" w:rsidRPr="003E3FEA" w:rsidRDefault="008907DF" w:rsidP="00666E06">
      <w:pPr>
        <w:pStyle w:val="Glossary"/>
      </w:pPr>
      <w:r w:rsidRPr="00737F79">
        <w:rPr>
          <w:b/>
          <w:bCs/>
        </w:rPr>
        <w:t>Operational Carbon</w:t>
      </w:r>
      <w:r w:rsidR="003A3910" w:rsidRPr="00737F79">
        <w:rPr>
          <w:b/>
          <w:bCs/>
        </w:rPr>
        <w:t>:</w:t>
      </w:r>
      <w:r w:rsidR="003A3910" w:rsidRPr="003E3FEA">
        <w:t xml:space="preserve"> refer </w:t>
      </w:r>
      <w:r w:rsidR="003A3910" w:rsidRPr="003E3FEA">
        <w:rPr>
          <w:i/>
          <w:iCs/>
        </w:rPr>
        <w:t>Carbon</w:t>
      </w:r>
      <w:r w:rsidR="00F442F3" w:rsidRPr="003E3FEA">
        <w:t>.</w:t>
      </w:r>
    </w:p>
    <w:p w14:paraId="15D4AA39" w14:textId="7CD98ADC" w:rsidR="00260AAB" w:rsidRPr="003E3FEA" w:rsidRDefault="00DB32F9" w:rsidP="00666E06">
      <w:pPr>
        <w:pStyle w:val="Glossary"/>
      </w:pPr>
      <w:r w:rsidRPr="003E3FEA">
        <w:rPr>
          <w:b/>
          <w:bCs/>
        </w:rPr>
        <w:t>Operational State:</w:t>
      </w:r>
      <w:r w:rsidR="001D64D5" w:rsidRPr="003E3FEA">
        <w:t xml:space="preserve"> A description of the operational state of a building, independent of time.</w:t>
      </w:r>
      <w:r w:rsidR="00B52412" w:rsidRPr="003E3FEA">
        <w:t xml:space="preserve"> The definitions below</w:t>
      </w:r>
      <w:r w:rsidR="00AF0EA7" w:rsidRPr="003E3FEA">
        <w:t xml:space="preserve"> are given in the context of healthcare infrastructure:</w:t>
      </w:r>
    </w:p>
    <w:p w14:paraId="37B6D4C2" w14:textId="59E87B96" w:rsidR="00982C2B" w:rsidRPr="003E3FEA" w:rsidRDefault="00982C2B" w:rsidP="00C97C1E">
      <w:pPr>
        <w:pStyle w:val="Glossary"/>
        <w:ind w:left="567"/>
      </w:pPr>
      <w:r w:rsidRPr="003E3FEA">
        <w:rPr>
          <w:b/>
          <w:bCs/>
        </w:rPr>
        <w:t xml:space="preserve">Normal </w:t>
      </w:r>
      <w:r w:rsidR="00EE3668" w:rsidRPr="003E3FEA">
        <w:rPr>
          <w:b/>
          <w:bCs/>
        </w:rPr>
        <w:t>O</w:t>
      </w:r>
      <w:r w:rsidRPr="003E3FEA">
        <w:rPr>
          <w:b/>
          <w:bCs/>
        </w:rPr>
        <w:t>perations:</w:t>
      </w:r>
      <w:r w:rsidRPr="003E3FEA">
        <w:t xml:space="preserve"> The building’s pre-earthquake </w:t>
      </w:r>
      <w:r w:rsidR="001A74CC" w:rsidRPr="003E3FEA">
        <w:t xml:space="preserve">physical and operational </w:t>
      </w:r>
      <w:r w:rsidRPr="003E3FEA">
        <w:t>state</w:t>
      </w:r>
      <w:r w:rsidR="00AA7707" w:rsidRPr="003E3FEA">
        <w:t xml:space="preserve"> (pre-earthquake safety and functionality)</w:t>
      </w:r>
      <w:r w:rsidR="001A74CC" w:rsidRPr="003E3FEA">
        <w:t>.</w:t>
      </w:r>
      <w:r w:rsidR="00284AD1" w:rsidRPr="003E3FEA">
        <w:t xml:space="preserve"> “Full Recovery” is a term defined in FEMA P-2090</w:t>
      </w:r>
      <w:r w:rsidR="002D1C8B" w:rsidRPr="003E3FEA">
        <w:t xml:space="preserve"> </w:t>
      </w:r>
      <w:sdt>
        <w:sdtPr>
          <w:id w:val="1569609200"/>
          <w:citation/>
        </w:sdtPr>
        <w:sdtEndPr/>
        <w:sdtContent>
          <w:r w:rsidR="002D1C8B" w:rsidRPr="003E3FEA">
            <w:fldChar w:fldCharType="begin"/>
          </w:r>
          <w:r w:rsidR="002D1C8B" w:rsidRPr="003E3FEA">
            <w:rPr>
              <w:lang w:val="en-US"/>
            </w:rPr>
            <w:instrText xml:space="preserve"> CITATION FEM21 \l 1033 </w:instrText>
          </w:r>
          <w:r w:rsidR="002D1C8B" w:rsidRPr="003E3FEA">
            <w:fldChar w:fldCharType="separate"/>
          </w:r>
          <w:r w:rsidR="00222D65">
            <w:rPr>
              <w:noProof/>
              <w:lang w:val="en-US"/>
            </w:rPr>
            <w:t>(FEMA, NIST, 2021)</w:t>
          </w:r>
          <w:r w:rsidR="002D1C8B" w:rsidRPr="003E3FEA">
            <w:fldChar w:fldCharType="end"/>
          </w:r>
        </w:sdtContent>
      </w:sdt>
      <w:r w:rsidR="00284AD1" w:rsidRPr="003E3FEA">
        <w:t xml:space="preserve"> which describes the return to </w:t>
      </w:r>
      <w:r w:rsidR="00284AD1" w:rsidRPr="003E3FEA">
        <w:rPr>
          <w:i/>
          <w:iCs/>
        </w:rPr>
        <w:t>Normal Operations</w:t>
      </w:r>
      <w:r w:rsidR="00284AD1" w:rsidRPr="003E3FEA">
        <w:t xml:space="preserve"> (the restoration of the building’s pre-earthquake safety and functionality).</w:t>
      </w:r>
    </w:p>
    <w:p w14:paraId="7BC0FBE4" w14:textId="3C515BFA" w:rsidR="002269E3" w:rsidRPr="003E3FEA" w:rsidRDefault="002269E3" w:rsidP="00C97C1E">
      <w:pPr>
        <w:pStyle w:val="Glossary"/>
        <w:ind w:left="567"/>
      </w:pPr>
      <w:r w:rsidRPr="003E3FEA">
        <w:rPr>
          <w:b/>
          <w:bCs/>
        </w:rPr>
        <w:t xml:space="preserve">Full </w:t>
      </w:r>
      <w:r w:rsidR="00BB2EAB" w:rsidRPr="003E3FEA">
        <w:rPr>
          <w:b/>
          <w:bCs/>
        </w:rPr>
        <w:t>F</w:t>
      </w:r>
      <w:r w:rsidRPr="003E3FEA">
        <w:rPr>
          <w:b/>
          <w:bCs/>
        </w:rPr>
        <w:t>unctionalit</w:t>
      </w:r>
      <w:r w:rsidR="003129AC" w:rsidRPr="003E3FEA">
        <w:rPr>
          <w:b/>
          <w:bCs/>
        </w:rPr>
        <w:t>y</w:t>
      </w:r>
      <w:r w:rsidRPr="003E3FEA">
        <w:rPr>
          <w:b/>
          <w:bCs/>
        </w:rPr>
        <w:t>:</w:t>
      </w:r>
      <w:r w:rsidR="000A4AD4" w:rsidRPr="003E3FEA">
        <w:t xml:space="preserve"> A building for which post-earthquake structural and non-structural capacity is </w:t>
      </w:r>
      <w:r w:rsidR="00AF0EA7" w:rsidRPr="003E3FEA">
        <w:t xml:space="preserve">essentially </w:t>
      </w:r>
      <w:r w:rsidR="000A4AD4" w:rsidRPr="003E3FEA">
        <w:t>maintained</w:t>
      </w:r>
      <w:r w:rsidR="00E21510" w:rsidRPr="003E3FEA">
        <w:t>—</w:t>
      </w:r>
      <w:r w:rsidR="001B0084" w:rsidRPr="003E3FEA">
        <w:t>initially to fulfil a specific post-disaster response function</w:t>
      </w:r>
      <w:r w:rsidR="00AA7707" w:rsidRPr="003E3FEA">
        <w:t xml:space="preserve"> in the immediate aftermath of an event</w:t>
      </w:r>
      <w:r w:rsidR="001B0084" w:rsidRPr="003E3FEA">
        <w:t xml:space="preserve"> and then eventually </w:t>
      </w:r>
      <w:r w:rsidR="00F204FD" w:rsidRPr="003E3FEA">
        <w:t>to continue the</w:t>
      </w:r>
      <w:r w:rsidR="000A4AD4" w:rsidRPr="003E3FEA">
        <w:t xml:space="preserve"> intended functions of the building’s pre-earthquake use</w:t>
      </w:r>
      <w:r w:rsidR="006C439B" w:rsidRPr="003E3FEA">
        <w:t xml:space="preserve">. </w:t>
      </w:r>
      <w:r w:rsidR="001349C4" w:rsidRPr="003E3FEA">
        <w:rPr>
          <w:u w:val="single"/>
        </w:rPr>
        <w:t xml:space="preserve">It does not mean </w:t>
      </w:r>
      <w:r w:rsidR="00063A58" w:rsidRPr="003E3FEA">
        <w:rPr>
          <w:u w:val="single"/>
        </w:rPr>
        <w:t xml:space="preserve">there is </w:t>
      </w:r>
      <w:r w:rsidR="001349C4" w:rsidRPr="003E3FEA">
        <w:rPr>
          <w:u w:val="single"/>
        </w:rPr>
        <w:t>no damage</w:t>
      </w:r>
      <w:r w:rsidR="001349C4" w:rsidRPr="003E3FEA">
        <w:t xml:space="preserve">. </w:t>
      </w:r>
      <w:r w:rsidR="006C439B" w:rsidRPr="003E3FEA">
        <w:t>A level of compromise in conditions</w:t>
      </w:r>
      <w:r w:rsidR="00DD2134" w:rsidRPr="003E3FEA">
        <w:t>, safety</w:t>
      </w:r>
      <w:r w:rsidR="006C439B" w:rsidRPr="003E3FEA">
        <w:t xml:space="preserve"> </w:t>
      </w:r>
      <w:r w:rsidR="002E598C" w:rsidRPr="003E3FEA">
        <w:t xml:space="preserve">or risk tolerance </w:t>
      </w:r>
      <w:r w:rsidR="006C439B" w:rsidRPr="003E3FEA">
        <w:t xml:space="preserve">relative to </w:t>
      </w:r>
      <w:r w:rsidR="00E33D3C" w:rsidRPr="003E3FEA">
        <w:rPr>
          <w:i/>
          <w:iCs/>
        </w:rPr>
        <w:t>N</w:t>
      </w:r>
      <w:r w:rsidR="006C439B" w:rsidRPr="003E3FEA">
        <w:rPr>
          <w:i/>
          <w:iCs/>
        </w:rPr>
        <w:t xml:space="preserve">ormal </w:t>
      </w:r>
      <w:r w:rsidR="00E33D3C" w:rsidRPr="003E3FEA">
        <w:rPr>
          <w:i/>
          <w:iCs/>
        </w:rPr>
        <w:t>O</w:t>
      </w:r>
      <w:r w:rsidR="006C439B" w:rsidRPr="003E3FEA">
        <w:rPr>
          <w:i/>
          <w:iCs/>
        </w:rPr>
        <w:t>perations</w:t>
      </w:r>
      <w:r w:rsidR="006C439B" w:rsidRPr="003E3FEA">
        <w:t xml:space="preserve"> </w:t>
      </w:r>
      <w:r w:rsidR="00553B94" w:rsidRPr="003E3FEA">
        <w:t>may</w:t>
      </w:r>
      <w:r w:rsidR="006C439B" w:rsidRPr="003E3FEA">
        <w:t xml:space="preserve"> be present.</w:t>
      </w:r>
    </w:p>
    <w:p w14:paraId="14779A4A" w14:textId="414A9F45" w:rsidR="002269E3" w:rsidRPr="003E3FEA" w:rsidRDefault="002269E3" w:rsidP="00C97C1E">
      <w:pPr>
        <w:pStyle w:val="Glossary"/>
        <w:ind w:left="567"/>
      </w:pPr>
      <w:r w:rsidRPr="003E3FEA">
        <w:rPr>
          <w:b/>
          <w:bCs/>
        </w:rPr>
        <w:t>Partial (</w:t>
      </w:r>
      <w:r w:rsidR="00E33D3C" w:rsidRPr="003E3FEA">
        <w:rPr>
          <w:b/>
          <w:bCs/>
        </w:rPr>
        <w:t>B</w:t>
      </w:r>
      <w:r w:rsidRPr="003E3FEA">
        <w:rPr>
          <w:b/>
          <w:bCs/>
        </w:rPr>
        <w:t xml:space="preserve">asic) </w:t>
      </w:r>
      <w:r w:rsidR="00E33D3C" w:rsidRPr="003E3FEA">
        <w:rPr>
          <w:b/>
          <w:bCs/>
        </w:rPr>
        <w:t>F</w:t>
      </w:r>
      <w:r w:rsidRPr="003E3FEA">
        <w:rPr>
          <w:b/>
          <w:bCs/>
        </w:rPr>
        <w:t>unctionality:</w:t>
      </w:r>
      <w:r w:rsidR="00412843" w:rsidRPr="003E3FEA">
        <w:t xml:space="preserve"> </w:t>
      </w:r>
      <w:r w:rsidR="002846B4" w:rsidRPr="003E3FEA">
        <w:t>A building for which post-earthquake structural and non</w:t>
      </w:r>
      <w:r w:rsidR="00A350CF" w:rsidRPr="003E3FEA">
        <w:t>-</w:t>
      </w:r>
      <w:r w:rsidR="002846B4" w:rsidRPr="003E3FEA">
        <w:t xml:space="preserve">structural capacity </w:t>
      </w:r>
      <w:r w:rsidR="00833875" w:rsidRPr="003E3FEA">
        <w:t xml:space="preserve">may be </w:t>
      </w:r>
      <w:r w:rsidR="00E33D3C" w:rsidRPr="003E3FEA">
        <w:t>reduced</w:t>
      </w:r>
      <w:r w:rsidR="000359AC" w:rsidRPr="003E3FEA">
        <w:t>,</w:t>
      </w:r>
      <w:r w:rsidR="00833875" w:rsidRPr="003E3FEA">
        <w:t xml:space="preserve"> but </w:t>
      </w:r>
      <w:r w:rsidR="00FA1ED2" w:rsidRPr="003E3FEA">
        <w:t>is</w:t>
      </w:r>
      <w:r w:rsidR="002846B4" w:rsidRPr="003E3FEA">
        <w:t xml:space="preserve"> </w:t>
      </w:r>
      <w:r w:rsidR="00833875" w:rsidRPr="003E3FEA">
        <w:t xml:space="preserve">sufficiently </w:t>
      </w:r>
      <w:r w:rsidR="002846B4" w:rsidRPr="003E3FEA">
        <w:t xml:space="preserve">maintained </w:t>
      </w:r>
      <w:r w:rsidR="003F2749" w:rsidRPr="003E3FEA">
        <w:t>(</w:t>
      </w:r>
      <w:r w:rsidR="002846B4" w:rsidRPr="003E3FEA">
        <w:t>or can be restored</w:t>
      </w:r>
      <w:r w:rsidR="003F2749" w:rsidRPr="003E3FEA">
        <w:t>)</w:t>
      </w:r>
      <w:r w:rsidR="002846B4" w:rsidRPr="003E3FEA">
        <w:t xml:space="preserve"> to support the basic intended functions of the building’s pre-earthquake use</w:t>
      </w:r>
      <w:r w:rsidR="007C789D" w:rsidRPr="003E3FEA">
        <w:t>—</w:t>
      </w:r>
      <w:r w:rsidR="000359AC" w:rsidRPr="003E3FEA">
        <w:t xml:space="preserve">or a significant </w:t>
      </w:r>
      <w:r w:rsidR="004E7E72" w:rsidRPr="003E3FEA">
        <w:t xml:space="preserve">enough </w:t>
      </w:r>
      <w:r w:rsidR="000359AC" w:rsidRPr="003E3FEA">
        <w:t>portion thereof</w:t>
      </w:r>
      <w:r w:rsidR="004E7E72" w:rsidRPr="003E3FEA">
        <w:t xml:space="preserve"> to be useful</w:t>
      </w:r>
      <w:r w:rsidR="00833875" w:rsidRPr="003E3FEA">
        <w:t>.</w:t>
      </w:r>
      <w:r w:rsidR="004D3F83" w:rsidRPr="003E3FEA">
        <w:t xml:space="preserve"> It is similar to the term “Functional Recovery” defined in FEMA </w:t>
      </w:r>
      <w:r w:rsidR="00284AD1" w:rsidRPr="003E3FEA">
        <w:t>P-</w:t>
      </w:r>
      <w:r w:rsidR="004D3F83" w:rsidRPr="003E3FEA">
        <w:t>2090</w:t>
      </w:r>
      <w:r w:rsidR="001D6906" w:rsidRPr="003E3FEA">
        <w:t xml:space="preserve"> </w:t>
      </w:r>
      <w:sdt>
        <w:sdtPr>
          <w:id w:val="-1018627665"/>
          <w:citation/>
        </w:sdtPr>
        <w:sdtEndPr/>
        <w:sdtContent>
          <w:r w:rsidR="001D6906" w:rsidRPr="003E3FEA">
            <w:fldChar w:fldCharType="begin"/>
          </w:r>
          <w:r w:rsidR="001D6906" w:rsidRPr="003E3FEA">
            <w:rPr>
              <w:lang w:val="en-US"/>
            </w:rPr>
            <w:instrText xml:space="preserve"> CITATION FEM21 \l 1033 </w:instrText>
          </w:r>
          <w:r w:rsidR="001D6906" w:rsidRPr="003E3FEA">
            <w:fldChar w:fldCharType="separate"/>
          </w:r>
          <w:r w:rsidR="00222D65">
            <w:rPr>
              <w:noProof/>
              <w:lang w:val="en-US"/>
            </w:rPr>
            <w:t>(FEMA, NIST, 2021)</w:t>
          </w:r>
          <w:r w:rsidR="001D6906" w:rsidRPr="003E3FEA">
            <w:fldChar w:fldCharType="end"/>
          </w:r>
        </w:sdtContent>
      </w:sdt>
      <w:r w:rsidR="004D3F83" w:rsidRPr="003E3FEA">
        <w:t xml:space="preserve"> which describes the </w:t>
      </w:r>
      <w:r w:rsidR="002761B2" w:rsidRPr="003E3FEA">
        <w:t>re-establishment of basic functionality</w:t>
      </w:r>
      <w:r w:rsidR="009D0B19" w:rsidRPr="003E3FEA">
        <w:t xml:space="preserve"> and gives additional examples</w:t>
      </w:r>
      <w:r w:rsidR="002761B2" w:rsidRPr="003E3FEA">
        <w:t>.</w:t>
      </w:r>
    </w:p>
    <w:p w14:paraId="386BAC6D" w14:textId="51468090" w:rsidR="00C86BF0" w:rsidRPr="003E3FEA" w:rsidRDefault="002269E3" w:rsidP="00C97C1E">
      <w:pPr>
        <w:pStyle w:val="Glossary"/>
        <w:ind w:left="567"/>
      </w:pPr>
      <w:r w:rsidRPr="003E3FEA">
        <w:rPr>
          <w:b/>
          <w:bCs/>
        </w:rPr>
        <w:t>Shelter in Place:</w:t>
      </w:r>
      <w:r w:rsidR="005F612D" w:rsidRPr="003E3FEA">
        <w:t xml:space="preserve"> </w:t>
      </w:r>
      <w:r w:rsidR="00A51F8D" w:rsidRPr="003E3FEA">
        <w:t xml:space="preserve">A building </w:t>
      </w:r>
      <w:r w:rsidR="004D7964" w:rsidRPr="003E3FEA">
        <w:t xml:space="preserve">for which </w:t>
      </w:r>
      <w:r w:rsidR="00A51F8D" w:rsidRPr="003E3FEA">
        <w:t xml:space="preserve">post-earthquake non-structural capacity </w:t>
      </w:r>
      <w:r w:rsidR="002A0B5A" w:rsidRPr="003E3FEA">
        <w:t xml:space="preserve">may </w:t>
      </w:r>
      <w:r w:rsidR="00A51F8D" w:rsidRPr="003E3FEA">
        <w:t xml:space="preserve">be </w:t>
      </w:r>
      <w:r w:rsidR="00D418DD" w:rsidRPr="003E3FEA">
        <w:t>significantly reduced</w:t>
      </w:r>
      <w:r w:rsidR="004D7964" w:rsidRPr="003E3FEA">
        <w:t xml:space="preserve">—but supports the SPUR definition of “shelter in place” </w:t>
      </w:r>
      <w:sdt>
        <w:sdtPr>
          <w:id w:val="-495951753"/>
          <w:citation/>
        </w:sdtPr>
        <w:sdtEndPr/>
        <w:sdtContent>
          <w:r w:rsidR="00835950" w:rsidRPr="003E3FEA">
            <w:fldChar w:fldCharType="begin"/>
          </w:r>
          <w:r w:rsidR="007A0E22" w:rsidRPr="003E3FEA">
            <w:rPr>
              <w:lang w:val="en-US"/>
            </w:rPr>
            <w:instrText xml:space="preserve">CITATION SPU12 \l 1033 </w:instrText>
          </w:r>
          <w:r w:rsidR="00835950" w:rsidRPr="003E3FEA">
            <w:fldChar w:fldCharType="separate"/>
          </w:r>
          <w:r w:rsidR="00222D65">
            <w:rPr>
              <w:noProof/>
              <w:lang w:val="en-US"/>
            </w:rPr>
            <w:t>(SPUR, 2012)</w:t>
          </w:r>
          <w:r w:rsidR="00835950" w:rsidRPr="003E3FEA">
            <w:fldChar w:fldCharType="end"/>
          </w:r>
        </w:sdtContent>
      </w:sdt>
      <w:r w:rsidR="002A0B5A" w:rsidRPr="003E3FEA">
        <w:t>.</w:t>
      </w:r>
      <w:r w:rsidR="00B332AD" w:rsidRPr="003E3FEA">
        <w:t xml:space="preserve"> It is similar to the term “</w:t>
      </w:r>
      <w:r w:rsidR="007D6199">
        <w:t>r</w:t>
      </w:r>
      <w:r w:rsidR="00B332AD" w:rsidRPr="003E3FEA">
        <w:t xml:space="preserve">eoccupancy” defined in FEMA P-2090 </w:t>
      </w:r>
      <w:sdt>
        <w:sdtPr>
          <w:id w:val="-1817407990"/>
          <w:citation/>
        </w:sdtPr>
        <w:sdtEndPr/>
        <w:sdtContent>
          <w:r w:rsidR="00B332AD" w:rsidRPr="003E3FEA">
            <w:fldChar w:fldCharType="begin"/>
          </w:r>
          <w:r w:rsidR="00B332AD" w:rsidRPr="003E3FEA">
            <w:rPr>
              <w:lang w:val="en-US"/>
            </w:rPr>
            <w:instrText xml:space="preserve"> CITATION FEM21 \l 1033 </w:instrText>
          </w:r>
          <w:r w:rsidR="00B332AD" w:rsidRPr="003E3FEA">
            <w:fldChar w:fldCharType="separate"/>
          </w:r>
          <w:r w:rsidR="00222D65">
            <w:rPr>
              <w:noProof/>
              <w:lang w:val="en-US"/>
            </w:rPr>
            <w:t>(FEMA, NIST, 2021)</w:t>
          </w:r>
          <w:r w:rsidR="00B332AD" w:rsidRPr="003E3FEA">
            <w:fldChar w:fldCharType="end"/>
          </w:r>
        </w:sdtContent>
      </w:sdt>
      <w:r w:rsidR="00B332AD" w:rsidRPr="003E3FEA">
        <w:t>.</w:t>
      </w:r>
      <w:r w:rsidR="00412843" w:rsidRPr="003E3FEA">
        <w:t xml:space="preserve"> Building services such as HVAC, </w:t>
      </w:r>
      <w:r w:rsidR="0085290A" w:rsidRPr="003E3FEA">
        <w:t xml:space="preserve">electrical systems, sewer and </w:t>
      </w:r>
      <w:r w:rsidR="00412843" w:rsidRPr="003E3FEA">
        <w:t>water supply may be damaged and unavailable until necessary repairs are completed</w:t>
      </w:r>
      <w:r w:rsidR="00DF7D23" w:rsidRPr="003E3FEA">
        <w:t xml:space="preserve">—necessitating </w:t>
      </w:r>
      <w:r w:rsidR="0085290A" w:rsidRPr="003E3FEA">
        <w:t>neighbourhood support within walking distance</w:t>
      </w:r>
      <w:r w:rsidR="00752910" w:rsidRPr="003E3FEA">
        <w:t>.</w:t>
      </w:r>
      <w:r w:rsidR="003608CC" w:rsidRPr="003E3FEA">
        <w:t xml:space="preserve"> </w:t>
      </w:r>
      <w:r w:rsidR="00C80BA1" w:rsidRPr="003E3FEA">
        <w:t xml:space="preserve">The structure </w:t>
      </w:r>
      <w:r w:rsidR="00DF7D23" w:rsidRPr="003E3FEA">
        <w:t xml:space="preserve">may be damaged but </w:t>
      </w:r>
      <w:r w:rsidR="00C80BA1" w:rsidRPr="003E3FEA">
        <w:t>is still considered safe to occupy and can provide basic shelter.</w:t>
      </w:r>
      <w:r w:rsidR="00033D0C" w:rsidRPr="003E3FEA">
        <w:t xml:space="preserve"> This definition is normally only applied to place</w:t>
      </w:r>
      <w:r w:rsidR="00655F85" w:rsidRPr="003E3FEA">
        <w:t>s</w:t>
      </w:r>
      <w:r w:rsidR="00033D0C" w:rsidRPr="003E3FEA">
        <w:t xml:space="preserve"> of residence.</w:t>
      </w:r>
    </w:p>
    <w:p w14:paraId="6048C194" w14:textId="4CAF77D2" w:rsidR="00752910" w:rsidRDefault="00752910" w:rsidP="00C97C1E">
      <w:pPr>
        <w:pStyle w:val="Glossary"/>
        <w:ind w:left="567"/>
      </w:pPr>
      <w:r w:rsidRPr="003E3FEA">
        <w:rPr>
          <w:b/>
          <w:bCs/>
        </w:rPr>
        <w:t>Not occupiable</w:t>
      </w:r>
      <w:r w:rsidR="003129AC" w:rsidRPr="003E3FEA">
        <w:rPr>
          <w:b/>
          <w:bCs/>
        </w:rPr>
        <w:t>:</w:t>
      </w:r>
      <w:r w:rsidR="003129AC" w:rsidRPr="003E3FEA">
        <w:t xml:space="preserve"> </w:t>
      </w:r>
      <w:r w:rsidR="00995864" w:rsidRPr="003E3FEA">
        <w:t xml:space="preserve">A building which is </w:t>
      </w:r>
      <w:r w:rsidR="00CF0CBD" w:rsidRPr="003E3FEA">
        <w:t xml:space="preserve">either </w:t>
      </w:r>
      <w:r w:rsidR="00995864" w:rsidRPr="003E3FEA">
        <w:t xml:space="preserve">not safe to occupy </w:t>
      </w:r>
      <w:r w:rsidR="000C615F" w:rsidRPr="003E3FEA">
        <w:t>or has non-structural damage to the point that</w:t>
      </w:r>
      <w:r w:rsidR="00405E23" w:rsidRPr="003E3FEA">
        <w:t xml:space="preserve"> it cannot </w:t>
      </w:r>
      <w:r w:rsidR="00CD53F2" w:rsidRPr="003E3FEA">
        <w:t xml:space="preserve">fulfil even basic </w:t>
      </w:r>
      <w:r w:rsidR="00405E23" w:rsidRPr="003E3FEA">
        <w:t>function</w:t>
      </w:r>
      <w:r w:rsidR="00CF0CBD" w:rsidRPr="003E3FEA">
        <w:t xml:space="preserve"> and </w:t>
      </w:r>
      <w:r w:rsidR="00CD53F2" w:rsidRPr="003E3FEA">
        <w:t xml:space="preserve">thus </w:t>
      </w:r>
      <w:r w:rsidR="00CF0CBD" w:rsidRPr="003E3FEA">
        <w:t>has no purpose to occupy.</w:t>
      </w:r>
    </w:p>
    <w:p w14:paraId="4534BCA6" w14:textId="3BAA208E" w:rsidR="00FF1119" w:rsidRPr="003E3FEA" w:rsidRDefault="001B13B6" w:rsidP="00666E06">
      <w:pPr>
        <w:pStyle w:val="Glossary"/>
      </w:pPr>
      <w:r w:rsidRPr="003E3FEA">
        <w:rPr>
          <w:rStyle w:val="Strong"/>
        </w:rPr>
        <w:lastRenderedPageBreak/>
        <w:t>Primary Structure:</w:t>
      </w:r>
      <w:r w:rsidRPr="003E3FEA">
        <w:t xml:space="preserve"> The</w:t>
      </w:r>
      <w:r w:rsidR="0067231E" w:rsidRPr="003E3FEA">
        <w:t xml:space="preserve"> use of the term</w:t>
      </w:r>
      <w:r w:rsidRPr="003E3FEA">
        <w:t xml:space="preserve"> </w:t>
      </w:r>
      <w:r w:rsidR="0067231E" w:rsidRPr="003E3FEA">
        <w:rPr>
          <w:i/>
          <w:iCs/>
        </w:rPr>
        <w:t>P</w:t>
      </w:r>
      <w:r w:rsidRPr="003E3FEA">
        <w:rPr>
          <w:i/>
          <w:iCs/>
        </w:rPr>
        <w:t xml:space="preserve">rimary </w:t>
      </w:r>
      <w:r w:rsidR="0067231E" w:rsidRPr="003E3FEA">
        <w:rPr>
          <w:i/>
          <w:iCs/>
        </w:rPr>
        <w:t>S</w:t>
      </w:r>
      <w:r w:rsidRPr="003E3FEA">
        <w:rPr>
          <w:i/>
          <w:iCs/>
        </w:rPr>
        <w:t>tructure</w:t>
      </w:r>
      <w:r w:rsidR="00F83374" w:rsidRPr="003E3FEA">
        <w:t xml:space="preserve"> </w:t>
      </w:r>
      <w:r w:rsidR="0067231E" w:rsidRPr="003E3FEA">
        <w:t xml:space="preserve">in this guideline </w:t>
      </w:r>
      <w:r w:rsidR="00F83374" w:rsidRPr="003E3FEA">
        <w:t>refers to the primary</w:t>
      </w:r>
      <w:r w:rsidR="00481813" w:rsidRPr="003E3FEA">
        <w:t xml:space="preserve"> structure </w:t>
      </w:r>
      <w:r w:rsidR="000D724F" w:rsidRPr="003E3FEA">
        <w:t>required for</w:t>
      </w:r>
      <w:r w:rsidR="0078630F" w:rsidRPr="003E3FEA">
        <w:t xml:space="preserve"> the vertical and lateral</w:t>
      </w:r>
      <w:r w:rsidR="000D724F" w:rsidRPr="003E3FEA">
        <w:t xml:space="preserve"> </w:t>
      </w:r>
      <w:r w:rsidR="00481813" w:rsidRPr="003E3FEA">
        <w:t>support</w:t>
      </w:r>
      <w:r w:rsidR="000D724F" w:rsidRPr="003E3FEA">
        <w:t xml:space="preserve"> of</w:t>
      </w:r>
      <w:r w:rsidR="00481813" w:rsidRPr="003E3FEA">
        <w:t xml:space="preserve"> a </w:t>
      </w:r>
      <w:r w:rsidR="0078630F" w:rsidRPr="003E3FEA">
        <w:t>building’s</w:t>
      </w:r>
      <w:r w:rsidR="00481813" w:rsidRPr="003E3FEA">
        <w:t xml:space="preserve"> floors and enclosure</w:t>
      </w:r>
      <w:r w:rsidR="000D724F" w:rsidRPr="003E3FEA">
        <w:t>—and includes floor</w:t>
      </w:r>
      <w:r w:rsidR="00FF1119" w:rsidRPr="003E3FEA">
        <w:t xml:space="preserve"> structure itself</w:t>
      </w:r>
      <w:r w:rsidR="000D724F" w:rsidRPr="003E3FEA">
        <w:t xml:space="preserve"> and also</w:t>
      </w:r>
      <w:r w:rsidR="009D6D67" w:rsidRPr="003E3FEA">
        <w:t xml:space="preserve"> primary roof framing</w:t>
      </w:r>
      <w:r w:rsidR="00342862" w:rsidRPr="003E3FEA">
        <w:t xml:space="preserve"> such as posts, rafters and bracing that supports main structural bays</w:t>
      </w:r>
      <w:r w:rsidRPr="003E3FEA">
        <w:t>.</w:t>
      </w:r>
      <w:r w:rsidR="009D6D67" w:rsidRPr="003E3FEA">
        <w:t xml:space="preserve"> It excludes the enclosure</w:t>
      </w:r>
      <w:r w:rsidR="00342862" w:rsidRPr="003E3FEA">
        <w:t xml:space="preserve"> itself.</w:t>
      </w:r>
      <w:r w:rsidR="001A46EA" w:rsidRPr="003E3FEA">
        <w:t xml:space="preserve"> </w:t>
      </w:r>
      <w:r w:rsidR="001A46EA" w:rsidRPr="003E3FEA">
        <w:rPr>
          <w:rStyle w:val="FootnoteReference"/>
        </w:rPr>
        <w:footnoteReference w:id="46"/>
      </w:r>
    </w:p>
    <w:p w14:paraId="4A80DA19" w14:textId="1D897888" w:rsidR="00E96E69" w:rsidRPr="003E3FEA" w:rsidRDefault="00E96E69" w:rsidP="00666E06">
      <w:pPr>
        <w:pStyle w:val="Glossary"/>
      </w:pPr>
      <w:r w:rsidRPr="003E3FEA">
        <w:rPr>
          <w:b/>
          <w:bCs/>
        </w:rPr>
        <w:t>Priority Response Agreement (PRA):</w:t>
      </w:r>
      <w:r w:rsidRPr="003E3FEA">
        <w:t xml:space="preserve"> A best endeavours agreement put in place between hospital facilities staff and </w:t>
      </w:r>
      <w:r w:rsidR="005E5F09" w:rsidRPr="003E3FEA">
        <w:t xml:space="preserve">local engineers, to facilitate rapid building assessments </w:t>
      </w:r>
      <w:r w:rsidR="00260AAB" w:rsidRPr="003E3FEA">
        <w:t>following significant natural disaster events such as earthquakes.</w:t>
      </w:r>
    </w:p>
    <w:p w14:paraId="1BA52B36" w14:textId="2E862AAD" w:rsidR="00721025" w:rsidRPr="003E3FEA" w:rsidRDefault="009C373E" w:rsidP="00666E06">
      <w:pPr>
        <w:pStyle w:val="Glossary"/>
      </w:pPr>
      <w:r w:rsidRPr="003E3FEA">
        <w:rPr>
          <w:rStyle w:val="Strong"/>
        </w:rPr>
        <w:t>Probabilistic</w:t>
      </w:r>
      <w:r w:rsidR="00721025" w:rsidRPr="003E3FEA">
        <w:rPr>
          <w:rStyle w:val="Strong"/>
        </w:rPr>
        <w:t xml:space="preserve"> Seismic Hazard Analysis (PSHA):</w:t>
      </w:r>
      <w:r w:rsidR="00721025" w:rsidRPr="003E3FEA">
        <w:t xml:space="preserve"> To be completed. </w:t>
      </w:r>
      <w:r w:rsidRPr="003E3FEA">
        <w:t xml:space="preserve">Used to represent broader concept of </w:t>
      </w:r>
      <w:r w:rsidR="00324777" w:rsidRPr="003E3FEA">
        <w:t>site-specific</w:t>
      </w:r>
      <w:r w:rsidRPr="003E3FEA">
        <w:t xml:space="preserve"> hazard analysis, including the concept of site response analysis.</w:t>
      </w:r>
    </w:p>
    <w:p w14:paraId="235D3167" w14:textId="39E1757E" w:rsidR="00332630" w:rsidRPr="003E3FEA" w:rsidRDefault="00332630" w:rsidP="00666E06">
      <w:pPr>
        <w:pStyle w:val="Glossary"/>
      </w:pPr>
      <w:r w:rsidRPr="003E3FEA">
        <w:rPr>
          <w:b/>
          <w:bCs/>
        </w:rPr>
        <w:t xml:space="preserve">Rapid Assessment Plan (RAP): </w:t>
      </w:r>
      <w:r w:rsidR="00E8155B" w:rsidRPr="003E3FEA">
        <w:t xml:space="preserve">A document </w:t>
      </w:r>
      <w:r w:rsidR="00A1197B" w:rsidRPr="003E3FEA">
        <w:t xml:space="preserve">compiled jointly by parties to a </w:t>
      </w:r>
      <w:r w:rsidR="00A1197B" w:rsidRPr="003E3FEA">
        <w:rPr>
          <w:i/>
          <w:iCs/>
        </w:rPr>
        <w:t xml:space="preserve">Priority Response Agreement </w:t>
      </w:r>
      <w:r w:rsidR="00A1197B" w:rsidRPr="003E3FEA">
        <w:t xml:space="preserve">(PRA) </w:t>
      </w:r>
      <w:r w:rsidR="00E8155B" w:rsidRPr="003E3FEA">
        <w:t xml:space="preserve">containing </w:t>
      </w:r>
      <w:r w:rsidR="00B40BC1" w:rsidRPr="003E3FEA">
        <w:t>planning</w:t>
      </w:r>
      <w:r w:rsidR="0076660E" w:rsidRPr="003E3FEA">
        <w:t xml:space="preserve">, operational and technical information </w:t>
      </w:r>
      <w:r w:rsidR="00E8155B" w:rsidRPr="003E3FEA">
        <w:t>that supports the operation</w:t>
      </w:r>
      <w:r w:rsidR="00B40BC1" w:rsidRPr="003E3FEA">
        <w:t xml:space="preserve"> of </w:t>
      </w:r>
      <w:r w:rsidR="00A1197B" w:rsidRPr="003E3FEA">
        <w:t>the PRA for post-earthquake response</w:t>
      </w:r>
      <w:r w:rsidR="00B40BC1" w:rsidRPr="003E3FEA">
        <w:t>.</w:t>
      </w:r>
    </w:p>
    <w:p w14:paraId="594BBFD4" w14:textId="2A13BD8B" w:rsidR="00793D16" w:rsidRPr="003E3FEA" w:rsidRDefault="00793D16" w:rsidP="00666E06">
      <w:pPr>
        <w:pStyle w:val="Glossary"/>
      </w:pPr>
      <w:r w:rsidRPr="003E3FEA">
        <w:rPr>
          <w:b/>
          <w:bCs/>
        </w:rPr>
        <w:t>Seismic Assessment</w:t>
      </w:r>
      <w:r w:rsidR="00E07DCF" w:rsidRPr="003E3FEA">
        <w:t xml:space="preserve">: The following definitions apply in relation to </w:t>
      </w:r>
      <w:r w:rsidR="00E07DCF" w:rsidRPr="003E3FEA">
        <w:rPr>
          <w:i/>
          <w:iCs/>
        </w:rPr>
        <w:t>Seismic Assessment</w:t>
      </w:r>
      <w:r w:rsidR="00E07DCF" w:rsidRPr="003E3FEA">
        <w:t>:</w:t>
      </w:r>
    </w:p>
    <w:p w14:paraId="04B801B6" w14:textId="09CBC0D0" w:rsidR="00C50AF7" w:rsidRPr="003E3FEA" w:rsidRDefault="008A7D5E" w:rsidP="00C97C1E">
      <w:pPr>
        <w:pStyle w:val="Glossary"/>
        <w:ind w:left="567"/>
      </w:pPr>
      <w:r w:rsidRPr="003E3FEA">
        <w:rPr>
          <w:b/>
          <w:bCs/>
        </w:rPr>
        <w:t>Engineering Assessment Guidelines (EAG)</w:t>
      </w:r>
      <w:r w:rsidR="008B0CD5" w:rsidRPr="003E3FEA">
        <w:rPr>
          <w:b/>
          <w:bCs/>
        </w:rPr>
        <w:t xml:space="preserve"> </w:t>
      </w:r>
      <w:r w:rsidR="008B0CD5" w:rsidRPr="003E3FEA">
        <w:t>or</w:t>
      </w:r>
      <w:r w:rsidR="008B0CD5" w:rsidRPr="003E3FEA">
        <w:rPr>
          <w:b/>
          <w:bCs/>
        </w:rPr>
        <w:t xml:space="preserve"> Seismic Assessment Guidelines</w:t>
      </w:r>
      <w:r w:rsidR="00C50AF7" w:rsidRPr="003E3FEA">
        <w:rPr>
          <w:b/>
          <w:bCs/>
        </w:rPr>
        <w:t>:</w:t>
      </w:r>
      <w:r w:rsidR="00C50AF7" w:rsidRPr="003E3FEA">
        <w:t xml:space="preserve"> The Seismic Assessment of Existing Buildings, Technical Guidelines for Engineering Assessments </w:t>
      </w:r>
      <w:sdt>
        <w:sdtPr>
          <w:id w:val="-1172644310"/>
          <w:citation/>
        </w:sdtPr>
        <w:sdtEndPr/>
        <w:sdtContent>
          <w:r w:rsidR="00C50AF7" w:rsidRPr="003E3FEA">
            <w:fldChar w:fldCharType="begin"/>
          </w:r>
          <w:r w:rsidR="008A104E">
            <w:rPr>
              <w:lang w:val="en-US"/>
            </w:rPr>
            <w:instrText xml:space="preserve">CITATION Placeholder2 \l 1033 </w:instrText>
          </w:r>
          <w:r w:rsidR="00C50AF7" w:rsidRPr="003E3FEA">
            <w:fldChar w:fldCharType="separate"/>
          </w:r>
          <w:r w:rsidR="00222D65">
            <w:rPr>
              <w:noProof/>
              <w:lang w:val="en-US"/>
            </w:rPr>
            <w:t>(MBIE, EQC, NZSEE, SESOC, NZGS, 2017)</w:t>
          </w:r>
          <w:r w:rsidR="00C50AF7" w:rsidRPr="003E3FEA">
            <w:fldChar w:fldCharType="end"/>
          </w:r>
        </w:sdtContent>
      </w:sdt>
      <w:r w:rsidR="00211C16" w:rsidRPr="003E3FEA">
        <w:t>, including</w:t>
      </w:r>
      <w:r w:rsidR="005401E0" w:rsidRPr="003E3FEA">
        <w:t xml:space="preserve"> (for non-EPB purposes only)</w:t>
      </w:r>
      <w:r w:rsidR="00DD62C5" w:rsidRPr="003E3FEA">
        <w:t xml:space="preserve"> </w:t>
      </w:r>
      <w:r w:rsidR="00672573" w:rsidRPr="003E3FEA">
        <w:t xml:space="preserve">sections that have been revised and issued for use including the </w:t>
      </w:r>
      <w:r w:rsidR="00381B38" w:rsidRPr="003E3FEA">
        <w:rPr>
          <w:i/>
          <w:iCs/>
        </w:rPr>
        <w:t>Chapter C5 Concrete Buildings:</w:t>
      </w:r>
      <w:r w:rsidR="00381B38" w:rsidRPr="003E3FEA">
        <w:t xml:space="preserve"> T</w:t>
      </w:r>
      <w:r w:rsidR="006A3B73" w:rsidRPr="003E3FEA">
        <w:rPr>
          <w:i/>
          <w:iCs/>
        </w:rPr>
        <w:t>echnical Proposal</w:t>
      </w:r>
      <w:r w:rsidR="008C6AE1" w:rsidRPr="003E3FEA">
        <w:rPr>
          <w:i/>
          <w:iCs/>
        </w:rPr>
        <w:t xml:space="preserve"> to revised the Engineering Assessment Guidelines, </w:t>
      </w:r>
      <w:sdt>
        <w:sdtPr>
          <w:id w:val="-1525546360"/>
          <w:citation/>
        </w:sdtPr>
        <w:sdtEndPr/>
        <w:sdtContent>
          <w:r w:rsidR="008C6AE1" w:rsidRPr="003E3FEA">
            <w:fldChar w:fldCharType="begin"/>
          </w:r>
          <w:r w:rsidR="008C6AE1" w:rsidRPr="003E3FEA">
            <w:rPr>
              <w:lang w:val="en-US"/>
            </w:rPr>
            <w:instrText xml:space="preserve"> CITATION Con18 \l 1033 </w:instrText>
          </w:r>
          <w:r w:rsidR="008C6AE1" w:rsidRPr="003E3FEA">
            <w:fldChar w:fldCharType="separate"/>
          </w:r>
          <w:r w:rsidR="00222D65">
            <w:rPr>
              <w:noProof/>
              <w:lang w:val="en-US"/>
            </w:rPr>
            <w:t>(MBIE, EQC, NZSEE, SESOC, NZGS, 2018)</w:t>
          </w:r>
          <w:r w:rsidR="008C6AE1" w:rsidRPr="003E3FEA">
            <w:fldChar w:fldCharType="end"/>
          </w:r>
        </w:sdtContent>
      </w:sdt>
      <w:r w:rsidR="00C50AF7" w:rsidRPr="003E3FEA">
        <w:t>.</w:t>
      </w:r>
    </w:p>
    <w:p w14:paraId="6C0C5D5C" w14:textId="78EE9F3A" w:rsidR="00903DD5" w:rsidRPr="003E3FEA" w:rsidRDefault="00903DD5" w:rsidP="00C97C1E">
      <w:pPr>
        <w:pStyle w:val="Glossary"/>
        <w:ind w:left="567"/>
      </w:pPr>
      <w:r w:rsidRPr="003E3FEA">
        <w:rPr>
          <w:b/>
          <w:bCs/>
        </w:rPr>
        <w:t xml:space="preserve">Engineering Assessment: </w:t>
      </w:r>
      <w:r w:rsidRPr="003E3FEA">
        <w:t xml:space="preserve">An assessment (either an ISA or a DSA) that meets the requirements for an Engineering Assessment in accordance with </w:t>
      </w:r>
      <w:r w:rsidR="007140CF" w:rsidRPr="003E3FEA">
        <w:t>Section 2 of the Earthquake-prone Building (EPB) Methodology.</w:t>
      </w:r>
    </w:p>
    <w:p w14:paraId="41ECED6A" w14:textId="436BB2B3" w:rsidR="007B0DF7" w:rsidRPr="003E3FEA" w:rsidRDefault="007B0DF7" w:rsidP="00C97C1E">
      <w:pPr>
        <w:pStyle w:val="Glossary"/>
        <w:ind w:left="567"/>
        <w:rPr>
          <w:b/>
          <w:bCs/>
        </w:rPr>
      </w:pPr>
      <w:r w:rsidRPr="003E3FEA">
        <w:rPr>
          <w:b/>
          <w:bCs/>
        </w:rPr>
        <w:t>Initial Seismic Assessment</w:t>
      </w:r>
      <w:r w:rsidR="00E07DCF" w:rsidRPr="003E3FEA">
        <w:rPr>
          <w:b/>
          <w:bCs/>
        </w:rPr>
        <w:t xml:space="preserve"> (ISA)</w:t>
      </w:r>
      <w:r w:rsidR="00DD62C5" w:rsidRPr="003E3FEA">
        <w:rPr>
          <w:b/>
          <w:bCs/>
        </w:rPr>
        <w:t>:</w:t>
      </w:r>
      <w:r w:rsidR="00E07DCF" w:rsidRPr="003E3FEA">
        <w:rPr>
          <w:b/>
          <w:bCs/>
        </w:rPr>
        <w:t xml:space="preserve"> </w:t>
      </w:r>
      <w:r w:rsidR="00E07DCF" w:rsidRPr="003E3FEA">
        <w:t xml:space="preserve">An Initial Seismic Assessment completed in accordance with Parts A and B of the </w:t>
      </w:r>
      <w:r w:rsidR="00E07DCF" w:rsidRPr="003E3FEA">
        <w:rPr>
          <w:i/>
          <w:iCs/>
        </w:rPr>
        <w:t>Engineering Assessment Guidelines</w:t>
      </w:r>
      <w:r w:rsidR="00E07DCF" w:rsidRPr="003E3FEA">
        <w:t>.</w:t>
      </w:r>
    </w:p>
    <w:p w14:paraId="291B2810" w14:textId="2D3BCD11" w:rsidR="007B0DF7" w:rsidRPr="003E3FEA" w:rsidRDefault="007B0DF7" w:rsidP="00C97C1E">
      <w:pPr>
        <w:pStyle w:val="Glossary"/>
        <w:ind w:left="567"/>
        <w:rPr>
          <w:b/>
          <w:bCs/>
        </w:rPr>
      </w:pPr>
      <w:r w:rsidRPr="003E3FEA">
        <w:rPr>
          <w:b/>
          <w:bCs/>
        </w:rPr>
        <w:t>Qualitative Drawing and Load Path Review</w:t>
      </w:r>
      <w:r w:rsidR="00DD62C5" w:rsidRPr="003E3FEA">
        <w:rPr>
          <w:b/>
          <w:bCs/>
        </w:rPr>
        <w:t>:</w:t>
      </w:r>
      <w:r w:rsidR="00664803" w:rsidRPr="003E3FEA">
        <w:t xml:space="preserve"> A qualitative review </w:t>
      </w:r>
      <w:r w:rsidR="00887171" w:rsidRPr="003E3FEA">
        <w:t>of drawings</w:t>
      </w:r>
      <w:r w:rsidR="00234B5F" w:rsidRPr="003E3FEA">
        <w:t xml:space="preserve"> to identify load paths</w:t>
      </w:r>
      <w:r w:rsidR="00AE0892" w:rsidRPr="003E3FEA">
        <w:t xml:space="preserve"> and potential </w:t>
      </w:r>
      <w:r w:rsidR="0035474F" w:rsidRPr="003E3FEA">
        <w:t xml:space="preserve">seismic </w:t>
      </w:r>
      <w:r w:rsidR="00AE0892" w:rsidRPr="003E3FEA">
        <w:t>risks, usually supported by some representative calculations</w:t>
      </w:r>
      <w:r w:rsidR="00F65759" w:rsidRPr="003E3FEA">
        <w:t xml:space="preserve"> (</w:t>
      </w:r>
      <w:r w:rsidR="009E1B4D" w:rsidRPr="003E3FEA">
        <w:t>described in</w:t>
      </w:r>
      <w:r w:rsidR="00F65759" w:rsidRPr="003E3FEA">
        <w:t xml:space="preserve"> Section</w:t>
      </w:r>
      <w:r w:rsidR="00CB5D8F">
        <w:t xml:space="preserve"> </w:t>
      </w:r>
      <w:r w:rsidR="00CB5D8F">
        <w:fldChar w:fldCharType="begin"/>
      </w:r>
      <w:r w:rsidR="00CB5D8F">
        <w:instrText xml:space="preserve"> REF _Ref180394330 \r \h </w:instrText>
      </w:r>
      <w:r w:rsidR="00CB5D8F">
        <w:fldChar w:fldCharType="separate"/>
      </w:r>
      <w:r w:rsidR="000761C1">
        <w:t>B8.2</w:t>
      </w:r>
      <w:r w:rsidR="00CB5D8F">
        <w:fldChar w:fldCharType="end"/>
      </w:r>
      <w:r w:rsidR="00F65759" w:rsidRPr="003E3FEA">
        <w:t>)</w:t>
      </w:r>
      <w:r w:rsidR="00AE0892" w:rsidRPr="003E3FEA">
        <w:t>.</w:t>
      </w:r>
    </w:p>
    <w:p w14:paraId="4581F61C" w14:textId="54A95E8C" w:rsidR="007B0DF7" w:rsidRPr="003E3FEA" w:rsidRDefault="009B454C" w:rsidP="00C97C1E">
      <w:pPr>
        <w:pStyle w:val="Glossary"/>
        <w:ind w:left="567"/>
      </w:pPr>
      <w:r w:rsidRPr="003E3FEA">
        <w:rPr>
          <w:b/>
          <w:bCs/>
        </w:rPr>
        <w:t>Targeted Seismic Assessment</w:t>
      </w:r>
      <w:r w:rsidR="00DD62C5" w:rsidRPr="003E3FEA">
        <w:rPr>
          <w:b/>
          <w:bCs/>
        </w:rPr>
        <w:t>:</w:t>
      </w:r>
      <w:r w:rsidR="00C7209E" w:rsidRPr="003E3FEA">
        <w:rPr>
          <w:b/>
          <w:bCs/>
        </w:rPr>
        <w:t xml:space="preserve"> </w:t>
      </w:r>
      <w:r w:rsidR="00C7209E" w:rsidRPr="003E3FEA">
        <w:t xml:space="preserve">Quantitative assessment </w:t>
      </w:r>
      <w:r w:rsidR="009F4BFD" w:rsidRPr="003E3FEA">
        <w:t xml:space="preserve">of certain </w:t>
      </w:r>
      <w:r w:rsidR="00493577" w:rsidRPr="003E3FEA">
        <w:t>limited scope areas</w:t>
      </w:r>
      <w:r w:rsidR="009E1B4D" w:rsidRPr="003E3FEA">
        <w:t xml:space="preserve"> of a building</w:t>
      </w:r>
      <w:r w:rsidR="009F4BFD" w:rsidRPr="003E3FEA">
        <w:t xml:space="preserve">, such as potentially significant </w:t>
      </w:r>
      <w:r w:rsidR="0035474F" w:rsidRPr="003E3FEA">
        <w:t xml:space="preserve">seismic </w:t>
      </w:r>
      <w:r w:rsidR="009F4BFD" w:rsidRPr="003E3FEA">
        <w:t xml:space="preserve">risks identified in a qualitative review, in order to better understand </w:t>
      </w:r>
      <w:r w:rsidR="006D133A" w:rsidRPr="003E3FEA">
        <w:t>selected key risks</w:t>
      </w:r>
      <w:r w:rsidR="008F1D6D" w:rsidRPr="003E3FEA">
        <w:t xml:space="preserve"> (</w:t>
      </w:r>
      <w:r w:rsidR="009E1B4D" w:rsidRPr="003E3FEA">
        <w:t xml:space="preserve">described in </w:t>
      </w:r>
      <w:r w:rsidR="008F1D6D" w:rsidRPr="003E3FEA">
        <w:t>Section</w:t>
      </w:r>
      <w:r w:rsidR="005104DC">
        <w:t xml:space="preserve"> </w:t>
      </w:r>
      <w:r w:rsidR="00012D43">
        <w:fldChar w:fldCharType="begin"/>
      </w:r>
      <w:r w:rsidR="00012D43">
        <w:instrText xml:space="preserve"> REF _Ref180394026 \r \h </w:instrText>
      </w:r>
      <w:r w:rsidR="00012D43">
        <w:fldChar w:fldCharType="separate"/>
      </w:r>
      <w:r w:rsidR="000761C1">
        <w:t>B8.2</w:t>
      </w:r>
      <w:r w:rsidR="00012D43">
        <w:fldChar w:fldCharType="end"/>
      </w:r>
      <w:r w:rsidR="008F1D6D" w:rsidRPr="003E3FEA">
        <w:t>)</w:t>
      </w:r>
      <w:r w:rsidR="009F4BFD" w:rsidRPr="003E3FEA">
        <w:t>.</w:t>
      </w:r>
    </w:p>
    <w:p w14:paraId="14E0F251" w14:textId="126ED7C3" w:rsidR="007B0DF7" w:rsidRPr="003E3FEA" w:rsidRDefault="007B0DF7" w:rsidP="00C97C1E">
      <w:pPr>
        <w:pStyle w:val="Glossary"/>
        <w:ind w:left="567"/>
        <w:rPr>
          <w:b/>
          <w:bCs/>
        </w:rPr>
      </w:pPr>
      <w:r w:rsidRPr="003E3FEA">
        <w:rPr>
          <w:b/>
          <w:bCs/>
        </w:rPr>
        <w:lastRenderedPageBreak/>
        <w:t>Detailed Seismic Assessment</w:t>
      </w:r>
      <w:r w:rsidR="00E07DCF" w:rsidRPr="003E3FEA">
        <w:rPr>
          <w:b/>
          <w:bCs/>
        </w:rPr>
        <w:t xml:space="preserve"> (DSA)</w:t>
      </w:r>
      <w:r w:rsidR="00DD62C5" w:rsidRPr="003E3FEA">
        <w:rPr>
          <w:b/>
          <w:bCs/>
        </w:rPr>
        <w:t>:</w:t>
      </w:r>
      <w:r w:rsidR="00381B38" w:rsidRPr="003E3FEA">
        <w:rPr>
          <w:b/>
          <w:bCs/>
        </w:rPr>
        <w:t xml:space="preserve"> </w:t>
      </w:r>
      <w:r w:rsidR="00CD5915" w:rsidRPr="003E3FEA">
        <w:t>F</w:t>
      </w:r>
      <w:r w:rsidR="00883FC9">
        <w:t>or</w:t>
      </w:r>
      <w:r w:rsidR="00CD5915" w:rsidRPr="003E3FEA">
        <w:t xml:space="preserve"> new assessments, a</w:t>
      </w:r>
      <w:r w:rsidR="00381B38" w:rsidRPr="003E3FEA">
        <w:t xml:space="preserve"> Detailed Seismic Assessment </w:t>
      </w:r>
      <w:r w:rsidR="00BB4062" w:rsidRPr="003E3FEA">
        <w:t>compl</w:t>
      </w:r>
      <w:r w:rsidR="00CD5915" w:rsidRPr="003E3FEA">
        <w:t xml:space="preserve">ying with Parts A and C of the </w:t>
      </w:r>
      <w:r w:rsidR="00CD5915" w:rsidRPr="003E3FEA">
        <w:rPr>
          <w:i/>
          <w:iCs/>
        </w:rPr>
        <w:t>Engineering Assessment Guidelines</w:t>
      </w:r>
      <w:r w:rsidR="00CD5915" w:rsidRPr="003E3FEA">
        <w:t xml:space="preserve">. For existing assessments, this may also refer to a Detailed Seismic Assessment completed to a different </w:t>
      </w:r>
      <w:r w:rsidR="007F6484" w:rsidRPr="003E3FEA">
        <w:t xml:space="preserve">guideline </w:t>
      </w:r>
      <w:r w:rsidR="00CD5915" w:rsidRPr="003E3FEA">
        <w:t xml:space="preserve">or prior edition </w:t>
      </w:r>
      <w:r w:rsidR="00AB4FE7" w:rsidRPr="003E3FEA">
        <w:t xml:space="preserve">of the </w:t>
      </w:r>
      <w:r w:rsidR="00AB4FE7" w:rsidRPr="003E3FEA">
        <w:rPr>
          <w:i/>
          <w:iCs/>
        </w:rPr>
        <w:t>Engineering Assessment Guidelines</w:t>
      </w:r>
      <w:r w:rsidR="00AB4FE7" w:rsidRPr="003E3FEA">
        <w:t>.</w:t>
      </w:r>
    </w:p>
    <w:p w14:paraId="6781B67C" w14:textId="29A6B6E8" w:rsidR="00A848AC" w:rsidRPr="003E3FEA" w:rsidRDefault="00A848AC" w:rsidP="00C97C1E">
      <w:pPr>
        <w:pStyle w:val="Glossary"/>
        <w:ind w:left="567"/>
      </w:pPr>
      <w:r w:rsidRPr="003E3FEA">
        <w:rPr>
          <w:b/>
          <w:bCs/>
        </w:rPr>
        <w:t>Seismic Grade</w:t>
      </w:r>
      <w:r w:rsidR="0025171D" w:rsidRPr="003E3FEA">
        <w:rPr>
          <w:b/>
          <w:bCs/>
        </w:rPr>
        <w:t>, Seismic Rating or Earthquake Rating</w:t>
      </w:r>
      <w:r w:rsidRPr="003E3FEA">
        <w:t>:</w:t>
      </w:r>
      <w:r w:rsidR="00987B68" w:rsidRPr="003E3FEA">
        <w:t xml:space="preserve"> As defined by the </w:t>
      </w:r>
      <w:r w:rsidR="00987B68" w:rsidRPr="003E3FEA">
        <w:rPr>
          <w:i/>
          <w:iCs/>
        </w:rPr>
        <w:t>Engineering Assessment Guidelines</w:t>
      </w:r>
      <w:r w:rsidR="0082422D">
        <w:rPr>
          <w:i/>
          <w:iCs/>
        </w:rPr>
        <w:t xml:space="preserve"> </w:t>
      </w:r>
      <w:sdt>
        <w:sdtPr>
          <w:rPr>
            <w:i/>
            <w:iCs/>
          </w:rPr>
          <w:id w:val="-1021546474"/>
          <w:citation/>
        </w:sdtPr>
        <w:sdtEndPr/>
        <w:sdtContent>
          <w:r w:rsidR="0085057A">
            <w:rPr>
              <w:i/>
              <w:iCs/>
            </w:rPr>
            <w:fldChar w:fldCharType="begin"/>
          </w:r>
          <w:r w:rsidR="008A104E">
            <w:rPr>
              <w:i/>
              <w:iCs/>
              <w:lang w:val="en-US"/>
            </w:rPr>
            <w:instrText xml:space="preserve">CITATION Placeholder2 \l 1033 </w:instrText>
          </w:r>
          <w:r w:rsidR="0085057A">
            <w:rPr>
              <w:i/>
              <w:iCs/>
            </w:rPr>
            <w:fldChar w:fldCharType="separate"/>
          </w:r>
          <w:r w:rsidR="00222D65">
            <w:rPr>
              <w:noProof/>
              <w:lang w:val="en-US"/>
            </w:rPr>
            <w:t>(MBIE, EQC, NZSEE, SESOC, NZGS, 2017)</w:t>
          </w:r>
          <w:r w:rsidR="0085057A">
            <w:rPr>
              <w:i/>
              <w:iCs/>
            </w:rPr>
            <w:fldChar w:fldCharType="end"/>
          </w:r>
        </w:sdtContent>
      </w:sdt>
      <w:r w:rsidR="00987B68" w:rsidRPr="003E3FEA">
        <w:t>.</w:t>
      </w:r>
    </w:p>
    <w:p w14:paraId="7D9950DF" w14:textId="1ECB0A55" w:rsidR="007E7902" w:rsidRPr="00695E79" w:rsidRDefault="007E7902" w:rsidP="00666E06">
      <w:pPr>
        <w:pStyle w:val="Glossary"/>
        <w:rPr>
          <w:rStyle w:val="Strong"/>
          <w:b w:val="0"/>
          <w:bCs w:val="0"/>
        </w:rPr>
      </w:pPr>
      <w:r w:rsidRPr="003E3FEA">
        <w:rPr>
          <w:rStyle w:val="Strong"/>
        </w:rPr>
        <w:t>Seismic Risk Working Group</w:t>
      </w:r>
      <w:r w:rsidR="008F0B40" w:rsidRPr="003E3FEA">
        <w:rPr>
          <w:rStyle w:val="Strong"/>
        </w:rPr>
        <w:t xml:space="preserve"> (SRWG):</w:t>
      </w:r>
      <w:r w:rsidR="00143FB9">
        <w:rPr>
          <w:rStyle w:val="Strong"/>
        </w:rPr>
        <w:t xml:space="preserve"> </w:t>
      </w:r>
      <w:r w:rsidR="00143FB9" w:rsidRPr="00695E79">
        <w:rPr>
          <w:rStyle w:val="Strong"/>
          <w:b w:val="0"/>
          <w:bCs w:val="0"/>
        </w:rPr>
        <w:t>A group of experts</w:t>
      </w:r>
      <w:r w:rsidR="002B0E9C" w:rsidRPr="00695E79">
        <w:rPr>
          <w:rStyle w:val="Strong"/>
          <w:b w:val="0"/>
          <w:bCs w:val="0"/>
        </w:rPr>
        <w:t xml:space="preserve"> including MBIE</w:t>
      </w:r>
      <w:r w:rsidR="00695E79">
        <w:rPr>
          <w:rStyle w:val="Strong"/>
          <w:b w:val="0"/>
          <w:bCs w:val="0"/>
        </w:rPr>
        <w:t>,</w:t>
      </w:r>
      <w:r w:rsidR="00B4137A" w:rsidRPr="00695E79">
        <w:rPr>
          <w:rStyle w:val="Strong"/>
          <w:b w:val="0"/>
          <w:bCs w:val="0"/>
        </w:rPr>
        <w:t xml:space="preserve"> initially established </w:t>
      </w:r>
      <w:r w:rsidR="00B31658">
        <w:rPr>
          <w:rStyle w:val="Strong"/>
          <w:b w:val="0"/>
          <w:bCs w:val="0"/>
        </w:rPr>
        <w:t xml:space="preserve">in 2020 </w:t>
      </w:r>
      <w:r w:rsidR="00B4137A" w:rsidRPr="00695E79">
        <w:rPr>
          <w:rStyle w:val="Strong"/>
          <w:b w:val="0"/>
          <w:bCs w:val="0"/>
        </w:rPr>
        <w:t>to</w:t>
      </w:r>
      <w:r w:rsidR="00695E79">
        <w:rPr>
          <w:rStyle w:val="Strong"/>
          <w:b w:val="0"/>
          <w:bCs w:val="0"/>
        </w:rPr>
        <w:t xml:space="preserve"> consider </w:t>
      </w:r>
      <w:r w:rsidR="00825DBF">
        <w:rPr>
          <w:rStyle w:val="Strong"/>
          <w:b w:val="0"/>
          <w:bCs w:val="0"/>
        </w:rPr>
        <w:t xml:space="preserve">how the findings of </w:t>
      </w:r>
      <w:r w:rsidR="00771DB1">
        <w:rPr>
          <w:rStyle w:val="Strong"/>
          <w:b w:val="0"/>
          <w:bCs w:val="0"/>
        </w:rPr>
        <w:t xml:space="preserve">the NSHM </w:t>
      </w:r>
      <w:r w:rsidR="009B63E5">
        <w:rPr>
          <w:rStyle w:val="Strong"/>
          <w:b w:val="0"/>
          <w:bCs w:val="0"/>
        </w:rPr>
        <w:t>update</w:t>
      </w:r>
      <w:r w:rsidR="00192DA8">
        <w:rPr>
          <w:rStyle w:val="Strong"/>
          <w:b w:val="0"/>
          <w:bCs w:val="0"/>
        </w:rPr>
        <w:t xml:space="preserve"> </w:t>
      </w:r>
      <w:r w:rsidR="00825DBF">
        <w:rPr>
          <w:rStyle w:val="Strong"/>
          <w:b w:val="0"/>
          <w:bCs w:val="0"/>
        </w:rPr>
        <w:t>could be integrated into the</w:t>
      </w:r>
      <w:r w:rsidR="00192DA8">
        <w:rPr>
          <w:rStyle w:val="Strong"/>
          <w:b w:val="0"/>
          <w:bCs w:val="0"/>
        </w:rPr>
        <w:t xml:space="preserve"> building regulatory system</w:t>
      </w:r>
      <w:r w:rsidR="00695E79" w:rsidRPr="00695E79">
        <w:rPr>
          <w:rStyle w:val="Strong"/>
          <w:b w:val="0"/>
          <w:bCs w:val="0"/>
        </w:rPr>
        <w:t xml:space="preserve">, and </w:t>
      </w:r>
      <w:r w:rsidR="009304CD">
        <w:rPr>
          <w:rStyle w:val="Strong"/>
          <w:b w:val="0"/>
          <w:bCs w:val="0"/>
        </w:rPr>
        <w:t>who now guide</w:t>
      </w:r>
      <w:r w:rsidR="00695E79" w:rsidRPr="00695E79">
        <w:rPr>
          <w:rStyle w:val="Strong"/>
          <w:b w:val="0"/>
          <w:bCs w:val="0"/>
        </w:rPr>
        <w:t xml:space="preserve"> MBIE’s </w:t>
      </w:r>
      <w:r w:rsidR="00192DA8">
        <w:rPr>
          <w:rStyle w:val="Strong"/>
          <w:b w:val="0"/>
          <w:bCs w:val="0"/>
        </w:rPr>
        <w:t xml:space="preserve">ongoing </w:t>
      </w:r>
      <w:r w:rsidR="00695E79" w:rsidRPr="00695E79">
        <w:rPr>
          <w:rStyle w:val="Strong"/>
          <w:b w:val="0"/>
          <w:bCs w:val="0"/>
        </w:rPr>
        <w:t>Seismic Risk Work Programme.</w:t>
      </w:r>
    </w:p>
    <w:p w14:paraId="51697365" w14:textId="4C8C747E" w:rsidR="00B9261D" w:rsidRPr="003E3FEA" w:rsidRDefault="00B9261D" w:rsidP="00666E06">
      <w:pPr>
        <w:pStyle w:val="Glossary"/>
        <w:rPr>
          <w:rStyle w:val="Strong"/>
          <w:b w:val="0"/>
          <w:bCs w:val="0"/>
        </w:rPr>
      </w:pPr>
      <w:r w:rsidRPr="003E3FEA">
        <w:rPr>
          <w:rStyle w:val="Strong"/>
        </w:rPr>
        <w:t>Service Category:</w:t>
      </w:r>
      <w:r w:rsidR="00E82AA9" w:rsidRPr="003E3FEA">
        <w:rPr>
          <w:rStyle w:val="Strong"/>
        </w:rPr>
        <w:t xml:space="preserve"> </w:t>
      </w:r>
      <w:r w:rsidR="00E82AA9" w:rsidRPr="003E3FEA">
        <w:rPr>
          <w:rStyle w:val="Strong"/>
          <w:b w:val="0"/>
          <w:bCs w:val="0"/>
        </w:rPr>
        <w:t xml:space="preserve">The overall groupings of </w:t>
      </w:r>
      <w:r w:rsidR="00080996" w:rsidRPr="003E3FEA">
        <w:rPr>
          <w:rStyle w:val="Strong"/>
          <w:b w:val="0"/>
          <w:bCs w:val="0"/>
        </w:rPr>
        <w:t xml:space="preserve">medical service and function categories that determine overall structural/geotechnical and seismic performance requirements </w:t>
      </w:r>
      <w:r w:rsidR="007C0C6B" w:rsidRPr="003E3FEA">
        <w:rPr>
          <w:rStyle w:val="Strong"/>
          <w:b w:val="0"/>
          <w:bCs w:val="0"/>
        </w:rPr>
        <w:t>in this document</w:t>
      </w:r>
      <w:r w:rsidR="00612FB1">
        <w:rPr>
          <w:rStyle w:val="Strong"/>
          <w:b w:val="0"/>
          <w:bCs w:val="0"/>
        </w:rPr>
        <w:t xml:space="preserve"> </w:t>
      </w:r>
      <w:r w:rsidR="007C0C6B" w:rsidRPr="003E3FEA">
        <w:rPr>
          <w:rStyle w:val="Strong"/>
          <w:b w:val="0"/>
          <w:bCs w:val="0"/>
        </w:rPr>
        <w:t xml:space="preserve">defined in Section </w:t>
      </w:r>
      <w:r w:rsidR="003C7B4B" w:rsidRPr="003E3FEA">
        <w:rPr>
          <w:rStyle w:val="Strong"/>
          <w:b w:val="0"/>
          <w:bCs w:val="0"/>
        </w:rPr>
        <w:fldChar w:fldCharType="begin"/>
      </w:r>
      <w:r w:rsidR="003C7B4B" w:rsidRPr="003E3FEA">
        <w:rPr>
          <w:rStyle w:val="Strong"/>
          <w:b w:val="0"/>
          <w:bCs w:val="0"/>
        </w:rPr>
        <w:instrText xml:space="preserve"> REF _Ref162338794 \r \h </w:instrText>
      </w:r>
      <w:r w:rsidR="003E3FEA">
        <w:rPr>
          <w:rStyle w:val="Strong"/>
          <w:b w:val="0"/>
          <w:bCs w:val="0"/>
        </w:rPr>
        <w:instrText xml:space="preserve"> \* MERGEFORMAT </w:instrText>
      </w:r>
      <w:r w:rsidR="003C7B4B" w:rsidRPr="003E3FEA">
        <w:rPr>
          <w:rStyle w:val="Strong"/>
          <w:b w:val="0"/>
          <w:bCs w:val="0"/>
        </w:rPr>
      </w:r>
      <w:r w:rsidR="003C7B4B" w:rsidRPr="003E3FEA">
        <w:rPr>
          <w:rStyle w:val="Strong"/>
          <w:b w:val="0"/>
          <w:bCs w:val="0"/>
        </w:rPr>
        <w:fldChar w:fldCharType="separate"/>
      </w:r>
      <w:r w:rsidR="000761C1">
        <w:rPr>
          <w:rStyle w:val="Strong"/>
          <w:b w:val="0"/>
          <w:bCs w:val="0"/>
        </w:rPr>
        <w:t>B1</w:t>
      </w:r>
      <w:r w:rsidR="003C7B4B" w:rsidRPr="003E3FEA">
        <w:rPr>
          <w:rStyle w:val="Strong"/>
          <w:b w:val="0"/>
          <w:bCs w:val="0"/>
        </w:rPr>
        <w:fldChar w:fldCharType="end"/>
      </w:r>
      <w:r w:rsidR="00ED74EA">
        <w:rPr>
          <w:rStyle w:val="Strong"/>
          <w:b w:val="0"/>
          <w:bCs w:val="0"/>
        </w:rPr>
        <w:t xml:space="preserve"> </w:t>
      </w:r>
      <w:r w:rsidR="00ED74EA">
        <w:rPr>
          <w:rStyle w:val="Strong"/>
          <w:b w:val="0"/>
          <w:bCs w:val="0"/>
        </w:rPr>
        <w:fldChar w:fldCharType="begin"/>
      </w:r>
      <w:r w:rsidR="00ED74EA">
        <w:rPr>
          <w:rStyle w:val="Strong"/>
          <w:b w:val="0"/>
          <w:bCs w:val="0"/>
        </w:rPr>
        <w:instrText xml:space="preserve"> REF _Ref162338794 \h </w:instrText>
      </w:r>
      <w:r w:rsidR="00ED74EA">
        <w:rPr>
          <w:rStyle w:val="Strong"/>
          <w:b w:val="0"/>
          <w:bCs w:val="0"/>
        </w:rPr>
      </w:r>
      <w:r w:rsidR="00ED74EA">
        <w:rPr>
          <w:rStyle w:val="Strong"/>
          <w:b w:val="0"/>
          <w:bCs w:val="0"/>
        </w:rPr>
        <w:fldChar w:fldCharType="separate"/>
      </w:r>
      <w:r w:rsidR="000761C1" w:rsidRPr="009F14BC">
        <w:t xml:space="preserve">Classifying </w:t>
      </w:r>
      <w:r w:rsidR="000761C1" w:rsidRPr="009D6238">
        <w:t>Hospital</w:t>
      </w:r>
      <w:r w:rsidR="000761C1" w:rsidRPr="009F14BC">
        <w:t xml:space="preserve"> Building Functions and Importance Levels</w:t>
      </w:r>
      <w:r w:rsidR="00ED74EA">
        <w:rPr>
          <w:rStyle w:val="Strong"/>
          <w:b w:val="0"/>
          <w:bCs w:val="0"/>
        </w:rPr>
        <w:fldChar w:fldCharType="end"/>
      </w:r>
      <w:r w:rsidR="007C0C6B" w:rsidRPr="003E3FEA">
        <w:rPr>
          <w:rStyle w:val="Strong"/>
          <w:b w:val="0"/>
          <w:bCs w:val="0"/>
        </w:rPr>
        <w:t>. They are also used to determine the Importance Level.</w:t>
      </w:r>
      <w:r w:rsidR="00E82AA9" w:rsidRPr="003E3FEA">
        <w:rPr>
          <w:rStyle w:val="Strong"/>
          <w:b w:val="0"/>
          <w:bCs w:val="0"/>
        </w:rPr>
        <w:t xml:space="preserve"> </w:t>
      </w:r>
    </w:p>
    <w:p w14:paraId="52B16D23" w14:textId="06075CCD" w:rsidR="00014BAE" w:rsidRPr="003E3FEA" w:rsidRDefault="00014BAE" w:rsidP="00666E06">
      <w:pPr>
        <w:pStyle w:val="Glossary"/>
      </w:pPr>
      <w:r w:rsidRPr="003E3FEA">
        <w:rPr>
          <w:rStyle w:val="Strong"/>
        </w:rPr>
        <w:t>Significant Alteration</w:t>
      </w:r>
      <w:r w:rsidR="005805FB" w:rsidRPr="003E3FEA">
        <w:rPr>
          <w:rStyle w:val="Strong"/>
        </w:rPr>
        <w:t>s</w:t>
      </w:r>
      <w:r w:rsidR="0042371E" w:rsidRPr="003E3FEA">
        <w:rPr>
          <w:rStyle w:val="Strong"/>
        </w:rPr>
        <w:t xml:space="preserve"> and/or Addition</w:t>
      </w:r>
      <w:r w:rsidR="005805FB" w:rsidRPr="003E3FEA">
        <w:rPr>
          <w:rStyle w:val="Strong"/>
        </w:rPr>
        <w:t>s</w:t>
      </w:r>
      <w:r w:rsidRPr="003E3FEA">
        <w:rPr>
          <w:rStyle w:val="Strong"/>
        </w:rPr>
        <w:t>:</w:t>
      </w:r>
      <w:r w:rsidR="0042371E" w:rsidRPr="003E3FEA">
        <w:rPr>
          <w:rStyle w:val="Strong"/>
        </w:rPr>
        <w:t xml:space="preserve"> </w:t>
      </w:r>
      <w:r w:rsidR="0042371E" w:rsidRPr="003E3FEA">
        <w:rPr>
          <w:rStyle w:val="Strong"/>
          <w:b w:val="0"/>
          <w:bCs w:val="0"/>
        </w:rPr>
        <w:t>Significant alterations</w:t>
      </w:r>
      <w:r w:rsidR="005805FB" w:rsidRPr="003E3FEA">
        <w:rPr>
          <w:rStyle w:val="Strong"/>
          <w:b w:val="0"/>
          <w:bCs w:val="0"/>
        </w:rPr>
        <w:t xml:space="preserve"> or additions that must comply with Section 112 (no worse than before), but may also require further consideration of the level of compliance of existing structure in order to demonstrate that the new work complies</w:t>
      </w:r>
      <w:r w:rsidR="007D545F" w:rsidRPr="003E3FEA">
        <w:rPr>
          <w:rStyle w:val="Strong"/>
          <w:b w:val="0"/>
          <w:bCs w:val="0"/>
        </w:rPr>
        <w:t xml:space="preserve"> and can be supported</w:t>
      </w:r>
      <w:r w:rsidR="0042371E" w:rsidRPr="003E3FEA">
        <w:rPr>
          <w:rStyle w:val="Strong"/>
          <w:b w:val="0"/>
          <w:bCs w:val="0"/>
        </w:rPr>
        <w:t xml:space="preserve">, defined in </w:t>
      </w:r>
      <w:r w:rsidR="004F41D1" w:rsidRPr="003E3FEA">
        <w:rPr>
          <w:rStyle w:val="Strong"/>
          <w:b w:val="0"/>
          <w:bCs w:val="0"/>
        </w:rPr>
        <w:t>Section</w:t>
      </w:r>
      <w:r w:rsidR="00012D43">
        <w:rPr>
          <w:rStyle w:val="Strong"/>
          <w:b w:val="0"/>
          <w:bCs w:val="0"/>
        </w:rPr>
        <w:t xml:space="preserve"> </w:t>
      </w:r>
      <w:r w:rsidR="00012D43">
        <w:rPr>
          <w:rStyle w:val="Strong"/>
          <w:b w:val="0"/>
          <w:bCs w:val="0"/>
        </w:rPr>
        <w:fldChar w:fldCharType="begin"/>
      </w:r>
      <w:r w:rsidR="00012D43">
        <w:rPr>
          <w:rStyle w:val="Strong"/>
          <w:b w:val="0"/>
          <w:bCs w:val="0"/>
        </w:rPr>
        <w:instrText xml:space="preserve"> REF _Ref180394044 \r \h </w:instrText>
      </w:r>
      <w:r w:rsidR="00012D43">
        <w:rPr>
          <w:rStyle w:val="Strong"/>
          <w:b w:val="0"/>
          <w:bCs w:val="0"/>
        </w:rPr>
      </w:r>
      <w:r w:rsidR="00012D43">
        <w:rPr>
          <w:rStyle w:val="Strong"/>
          <w:b w:val="0"/>
          <w:bCs w:val="0"/>
        </w:rPr>
        <w:fldChar w:fldCharType="separate"/>
      </w:r>
      <w:r w:rsidR="000761C1">
        <w:rPr>
          <w:rStyle w:val="Strong"/>
          <w:b w:val="0"/>
          <w:bCs w:val="0"/>
        </w:rPr>
        <w:t>B7.3</w:t>
      </w:r>
      <w:r w:rsidR="00012D43">
        <w:rPr>
          <w:rStyle w:val="Strong"/>
          <w:b w:val="0"/>
          <w:bCs w:val="0"/>
        </w:rPr>
        <w:fldChar w:fldCharType="end"/>
      </w:r>
      <w:r w:rsidR="0042371E" w:rsidRPr="003E3FEA">
        <w:rPr>
          <w:rStyle w:val="Strong"/>
          <w:b w:val="0"/>
          <w:bCs w:val="0"/>
        </w:rPr>
        <w:t xml:space="preserve">. Refer also </w:t>
      </w:r>
      <w:r w:rsidR="0042371E" w:rsidRPr="003E3FEA">
        <w:rPr>
          <w:rStyle w:val="Strong"/>
          <w:b w:val="0"/>
          <w:bCs w:val="0"/>
          <w:i/>
          <w:iCs/>
        </w:rPr>
        <w:t>minor alteration</w:t>
      </w:r>
      <w:r w:rsidR="005805FB" w:rsidRPr="003E3FEA">
        <w:rPr>
          <w:rStyle w:val="Strong"/>
          <w:b w:val="0"/>
          <w:bCs w:val="0"/>
          <w:i/>
          <w:iCs/>
        </w:rPr>
        <w:t>s</w:t>
      </w:r>
      <w:r w:rsidR="0042371E" w:rsidRPr="003E3FEA">
        <w:rPr>
          <w:rStyle w:val="Strong"/>
          <w:b w:val="0"/>
          <w:bCs w:val="0"/>
        </w:rPr>
        <w:t>.</w:t>
      </w:r>
      <w:r w:rsidR="00485B93" w:rsidRPr="003E3FEA">
        <w:rPr>
          <w:rStyle w:val="Strong"/>
          <w:b w:val="0"/>
          <w:bCs w:val="0"/>
        </w:rPr>
        <w:t xml:space="preserve"> This is not the same as </w:t>
      </w:r>
      <w:r w:rsidR="00485B93" w:rsidRPr="003E3FEA">
        <w:rPr>
          <w:rStyle w:val="Strong"/>
          <w:b w:val="0"/>
          <w:bCs w:val="0"/>
          <w:i/>
          <w:iCs/>
        </w:rPr>
        <w:t xml:space="preserve">Substantial Alterations </w:t>
      </w:r>
      <w:r w:rsidR="00485B93" w:rsidRPr="003E3FEA">
        <w:rPr>
          <w:rStyle w:val="Strong"/>
          <w:b w:val="0"/>
          <w:bCs w:val="0"/>
        </w:rPr>
        <w:t>term used in the Building Act</w:t>
      </w:r>
      <w:r w:rsidR="000824BA" w:rsidRPr="003E3FEA">
        <w:rPr>
          <w:rStyle w:val="Strong"/>
          <w:b w:val="0"/>
          <w:bCs w:val="0"/>
        </w:rPr>
        <w:t xml:space="preserve"> (refer below)</w:t>
      </w:r>
      <w:r w:rsidR="00485B93" w:rsidRPr="003E3FEA">
        <w:rPr>
          <w:rStyle w:val="Strong"/>
          <w:b w:val="0"/>
          <w:bCs w:val="0"/>
        </w:rPr>
        <w:t>.</w:t>
      </w:r>
    </w:p>
    <w:p w14:paraId="6831C4C5" w14:textId="2FC004D5" w:rsidR="009C373E" w:rsidRPr="003E3FEA" w:rsidRDefault="009C373E" w:rsidP="00666E06">
      <w:pPr>
        <w:pStyle w:val="Glossary"/>
      </w:pPr>
      <w:r w:rsidRPr="003E3FEA">
        <w:rPr>
          <w:rStyle w:val="Strong"/>
        </w:rPr>
        <w:t>Site Response Analysis:</w:t>
      </w:r>
      <w:r w:rsidR="007F5F75" w:rsidRPr="009C71C5">
        <w:rPr>
          <w:rStyle w:val="Strong"/>
          <w:b w:val="0"/>
          <w:bCs w:val="0"/>
        </w:rPr>
        <w:t xml:space="preserve"> A method </w:t>
      </w:r>
      <w:r w:rsidR="005D230F">
        <w:rPr>
          <w:rStyle w:val="Strong"/>
          <w:b w:val="0"/>
          <w:bCs w:val="0"/>
        </w:rPr>
        <w:t xml:space="preserve">for determining ground motion parameters at a site, using a combination of </w:t>
      </w:r>
      <w:r w:rsidR="008434C2">
        <w:rPr>
          <w:rStyle w:val="Strong"/>
          <w:b w:val="0"/>
          <w:bCs w:val="0"/>
        </w:rPr>
        <w:t>site-specific</w:t>
      </w:r>
      <w:r w:rsidR="003B7E0C">
        <w:rPr>
          <w:rStyle w:val="Strong"/>
          <w:b w:val="0"/>
          <w:bCs w:val="0"/>
        </w:rPr>
        <w:t xml:space="preserve"> </w:t>
      </w:r>
      <w:r w:rsidR="005D230F">
        <w:rPr>
          <w:rStyle w:val="Strong"/>
          <w:b w:val="0"/>
          <w:bCs w:val="0"/>
        </w:rPr>
        <w:t xml:space="preserve">probabilistic </w:t>
      </w:r>
      <w:r w:rsidR="00C66652">
        <w:rPr>
          <w:rStyle w:val="Strong"/>
          <w:b w:val="0"/>
          <w:bCs w:val="0"/>
        </w:rPr>
        <w:t xml:space="preserve">hazard analysis and specific modelling of </w:t>
      </w:r>
      <w:r w:rsidR="003B7E0C">
        <w:rPr>
          <w:rStyle w:val="Strong"/>
          <w:b w:val="0"/>
          <w:bCs w:val="0"/>
        </w:rPr>
        <w:t xml:space="preserve">the soil profile </w:t>
      </w:r>
      <w:r w:rsidR="00506FDD">
        <w:rPr>
          <w:rStyle w:val="Strong"/>
          <w:b w:val="0"/>
          <w:bCs w:val="0"/>
        </w:rPr>
        <w:t xml:space="preserve">to </w:t>
      </w:r>
      <w:r w:rsidR="00DA39C2">
        <w:rPr>
          <w:rStyle w:val="Strong"/>
          <w:b w:val="0"/>
          <w:bCs w:val="0"/>
        </w:rPr>
        <w:t xml:space="preserve">consider </w:t>
      </w:r>
      <w:r w:rsidR="00506FDD">
        <w:rPr>
          <w:rStyle w:val="Strong"/>
          <w:b w:val="0"/>
          <w:bCs w:val="0"/>
        </w:rPr>
        <w:t>site specific amplification</w:t>
      </w:r>
      <w:r w:rsidR="0094077D">
        <w:rPr>
          <w:rStyle w:val="Strong"/>
          <w:b w:val="0"/>
          <w:bCs w:val="0"/>
        </w:rPr>
        <w:t>s</w:t>
      </w:r>
      <w:r w:rsidR="00506FDD">
        <w:rPr>
          <w:rStyle w:val="Strong"/>
          <w:b w:val="0"/>
          <w:bCs w:val="0"/>
        </w:rPr>
        <w:t>.</w:t>
      </w:r>
      <w:r w:rsidR="008434C2">
        <w:rPr>
          <w:rStyle w:val="Strong"/>
          <w:b w:val="0"/>
          <w:bCs w:val="0"/>
        </w:rPr>
        <w:t xml:space="preserve"> Refer to </w:t>
      </w:r>
      <w:r w:rsidR="00165731" w:rsidRPr="006E61DB">
        <w:rPr>
          <w:rFonts w:eastAsiaTheme="minorEastAsia"/>
        </w:rPr>
        <w:t xml:space="preserve">MBIE/NZGS </w:t>
      </w:r>
      <w:r w:rsidR="00074FC6">
        <w:rPr>
          <w:rFonts w:eastAsiaTheme="minorEastAsia"/>
        </w:rPr>
        <w:t xml:space="preserve">Earthquake Geotechnical Practice </w:t>
      </w:r>
      <w:r w:rsidR="00990FAF">
        <w:rPr>
          <w:rStyle w:val="Strong"/>
          <w:b w:val="0"/>
          <w:bCs w:val="0"/>
        </w:rPr>
        <w:t>Module 1.</w:t>
      </w:r>
    </w:p>
    <w:p w14:paraId="36D9077E" w14:textId="713BF0F0" w:rsidR="00B54494" w:rsidRPr="003E3FEA" w:rsidRDefault="001B13B6" w:rsidP="00666E06">
      <w:pPr>
        <w:pStyle w:val="Glossary"/>
      </w:pPr>
      <w:r w:rsidRPr="003E3FEA">
        <w:rPr>
          <w:rStyle w:val="Strong"/>
        </w:rPr>
        <w:t>S</w:t>
      </w:r>
      <w:r w:rsidR="00B54494" w:rsidRPr="003E3FEA">
        <w:rPr>
          <w:rStyle w:val="Strong"/>
        </w:rPr>
        <w:t>pecified Intended Life:</w:t>
      </w:r>
      <w:r w:rsidR="00B54494" w:rsidRPr="003E3FEA">
        <w:t xml:space="preserve"> </w:t>
      </w:r>
      <w:r w:rsidR="006B49BF" w:rsidRPr="003E3FEA">
        <w:t>Specified Intended Life of the building, having</w:t>
      </w:r>
      <w:r w:rsidR="00B54494" w:rsidRPr="003E3FEA">
        <w:t xml:space="preserve"> the meaning </w:t>
      </w:r>
      <w:r w:rsidR="00C52DC3" w:rsidRPr="003E3FEA">
        <w:t>given in Section 113 of the Building Act. In relation to a building</w:t>
      </w:r>
      <w:r w:rsidR="006B49BF" w:rsidRPr="003E3FEA">
        <w:t xml:space="preserve">, it means the </w:t>
      </w:r>
      <w:r w:rsidR="00FD2455" w:rsidRPr="003E3FEA">
        <w:t>period of time, as stated in the application for a building consent or in the con</w:t>
      </w:r>
      <w:r w:rsidR="00AC00AD" w:rsidRPr="003E3FEA">
        <w:t>s</w:t>
      </w:r>
      <w:r w:rsidR="00FD2455" w:rsidRPr="003E3FEA">
        <w:t>ent itself, for which the building is proposed to be used for its intended use.</w:t>
      </w:r>
    </w:p>
    <w:p w14:paraId="7FD63A53" w14:textId="305D23AA" w:rsidR="00485B93" w:rsidRPr="003E3FEA" w:rsidRDefault="00485B93" w:rsidP="00666E06">
      <w:pPr>
        <w:pStyle w:val="Glossary"/>
      </w:pPr>
      <w:r w:rsidRPr="003E3FEA">
        <w:rPr>
          <w:b/>
          <w:bCs/>
        </w:rPr>
        <w:t>Substantial Alterations:</w:t>
      </w:r>
      <w:r w:rsidRPr="003E3FEA">
        <w:t xml:space="preserve"> </w:t>
      </w:r>
      <w:r w:rsidR="00850B0A" w:rsidRPr="003E3FEA">
        <w:t>A value-based threshold</w:t>
      </w:r>
      <w:r w:rsidR="005A720B" w:rsidRPr="003E3FEA">
        <w:t xml:space="preserve"> defined in the Building (Specified Systems, Change the Use, and Earthquake-prone Buildings) Regulations 2005, clause 11</w:t>
      </w:r>
      <w:r w:rsidR="00850B0A" w:rsidRPr="003E3FEA">
        <w:t>, for the purposes of Section 133AT of the Building (Earthquake-prone Buildings</w:t>
      </w:r>
      <w:r w:rsidR="00A95974" w:rsidRPr="003E3FEA">
        <w:t>)</w:t>
      </w:r>
      <w:r w:rsidR="00850B0A" w:rsidRPr="003E3FEA">
        <w:t xml:space="preserve"> Amendment Act</w:t>
      </w:r>
      <w:r w:rsidR="00A95974" w:rsidRPr="003E3FEA">
        <w:t xml:space="preserve"> 2016</w:t>
      </w:r>
      <w:r w:rsidR="00850B0A" w:rsidRPr="003E3FEA">
        <w:t>.</w:t>
      </w:r>
    </w:p>
    <w:p w14:paraId="37AD73D0" w14:textId="00D928EA" w:rsidR="00FA4411" w:rsidRPr="003E3FEA" w:rsidRDefault="00FA4411" w:rsidP="00666E06">
      <w:pPr>
        <w:pStyle w:val="Glossary"/>
      </w:pPr>
      <w:r w:rsidRPr="003E3FEA">
        <w:rPr>
          <w:b/>
          <w:bCs/>
        </w:rPr>
        <w:t xml:space="preserve">Ultimate Capacity: </w:t>
      </w:r>
      <w:r w:rsidRPr="003E3FEA">
        <w:t xml:space="preserve">As defined by the </w:t>
      </w:r>
      <w:r w:rsidRPr="003245F8">
        <w:t>Engineering Assessment Guidelines</w:t>
      </w:r>
      <w:r w:rsidRPr="003E3FEA">
        <w:t xml:space="preserve"> (refer Seismic Assessment).</w:t>
      </w:r>
    </w:p>
    <w:p w14:paraId="552D88D0" w14:textId="4DBAC9F7" w:rsidR="00030A7C" w:rsidRPr="003E3FEA" w:rsidRDefault="00030A7C" w:rsidP="00666E06">
      <w:pPr>
        <w:pStyle w:val="Glossary"/>
      </w:pPr>
      <w:r w:rsidRPr="003E3FEA">
        <w:rPr>
          <w:rStyle w:val="Strong"/>
        </w:rPr>
        <w:t>Up-front Carbon:</w:t>
      </w:r>
      <w:r w:rsidRPr="003E3FEA">
        <w:t xml:space="preserve"> </w:t>
      </w:r>
      <w:r w:rsidR="007A0779" w:rsidRPr="003E3FEA">
        <w:t xml:space="preserve">Refer </w:t>
      </w:r>
      <w:r w:rsidR="007A0779" w:rsidRPr="003E3FEA">
        <w:rPr>
          <w:i/>
          <w:iCs/>
        </w:rPr>
        <w:t>Carbon</w:t>
      </w:r>
      <w:r w:rsidR="007A0779" w:rsidRPr="003E3FEA">
        <w:t>.</w:t>
      </w:r>
    </w:p>
    <w:p w14:paraId="051E1EA8" w14:textId="31CB0E3B" w:rsidR="001A14B3" w:rsidRDefault="00F442F3" w:rsidP="00666E06">
      <w:pPr>
        <w:pStyle w:val="Glossary"/>
      </w:pPr>
      <w:r w:rsidRPr="00D40143">
        <w:rPr>
          <w:b/>
          <w:bCs/>
        </w:rPr>
        <w:t>Whole-of-Life Embodied Carbon:</w:t>
      </w:r>
      <w:r w:rsidRPr="003E3FEA">
        <w:t xml:space="preserve"> Refer </w:t>
      </w:r>
      <w:r w:rsidRPr="003E3FEA">
        <w:rPr>
          <w:i/>
          <w:iCs/>
        </w:rPr>
        <w:t>Carbon</w:t>
      </w:r>
      <w:r w:rsidRPr="003E3FEA">
        <w:t>.</w:t>
      </w:r>
    </w:p>
    <w:p w14:paraId="2D3BBC32" w14:textId="77777777" w:rsidR="008652EE" w:rsidRDefault="008652EE" w:rsidP="00666E06">
      <w:pPr>
        <w:pStyle w:val="Glossary"/>
        <w:sectPr w:rsidR="008652EE" w:rsidSect="003A3B9A">
          <w:headerReference w:type="even" r:id="rId126"/>
          <w:headerReference w:type="default" r:id="rId127"/>
          <w:footerReference w:type="default" r:id="rId128"/>
          <w:headerReference w:type="first" r:id="rId129"/>
          <w:footnotePr>
            <w:numRestart w:val="eachPage"/>
          </w:footnotePr>
          <w:pgSz w:w="11906" w:h="16838"/>
          <w:pgMar w:top="1560" w:right="1134" w:bottom="1418" w:left="1134" w:header="709" w:footer="709" w:gutter="0"/>
          <w:cols w:space="708"/>
          <w:docGrid w:linePitch="360"/>
        </w:sectPr>
      </w:pPr>
    </w:p>
    <w:p w14:paraId="7E39468F" w14:textId="45D1697A" w:rsidR="008652EE" w:rsidRPr="006B5494" w:rsidRDefault="00062E6A" w:rsidP="006B5494">
      <w:pPr>
        <w:pStyle w:val="Dividerheading"/>
        <w:ind w:left="0"/>
        <w:rPr>
          <w:color w:val="006060"/>
        </w:rPr>
      </w:pPr>
      <w:bookmarkStart w:id="382" w:name="_Toc203642013"/>
      <w:r w:rsidRPr="00201348">
        <w:rPr>
          <w:noProof/>
          <w:color w:val="15284C" w:themeColor="accent5"/>
          <w14:ligatures w14:val="none"/>
        </w:rPr>
        <w:lastRenderedPageBreak/>
        <w:drawing>
          <wp:anchor distT="0" distB="0" distL="114300" distR="114300" simplePos="0" relativeHeight="251658245" behindDoc="1" locked="0" layoutInCell="1" allowOverlap="1" wp14:anchorId="0DC83987" wp14:editId="24C80255">
            <wp:simplePos x="0" y="0"/>
            <wp:positionH relativeFrom="column">
              <wp:posOffset>-730250</wp:posOffset>
            </wp:positionH>
            <wp:positionV relativeFrom="paragraph">
              <wp:posOffset>-978535</wp:posOffset>
            </wp:positionV>
            <wp:extent cx="7559999" cy="9598547"/>
            <wp:effectExtent l="0" t="0" r="3175" b="3175"/>
            <wp:wrapNone/>
            <wp:docPr id="8206610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61011" name="Picture 7">
                      <a:extLst>
                        <a:ext uri="{C183D7F6-B498-43B3-948B-1728B52AA6E4}">
                          <adec:decorative xmlns:adec="http://schemas.microsoft.com/office/drawing/2017/decorative" val="1"/>
                        </a:ext>
                      </a:extLst>
                    </pic:cNvPr>
                    <pic:cNvPicPr/>
                  </pic:nvPicPr>
                  <pic:blipFill>
                    <a:blip r:embed="rId130">
                      <a:extLst>
                        <a:ext uri="{28A0092B-C50C-407E-A947-70E740481C1C}">
                          <a14:useLocalDpi xmlns:a14="http://schemas.microsoft.com/office/drawing/2010/main" val="0"/>
                        </a:ext>
                      </a:extLst>
                    </a:blip>
                    <a:stretch>
                      <a:fillRect/>
                    </a:stretch>
                  </pic:blipFill>
                  <pic:spPr>
                    <a:xfrm>
                      <a:off x="0" y="0"/>
                      <a:ext cx="7559999" cy="9598547"/>
                    </a:xfrm>
                    <a:prstGeom prst="rect">
                      <a:avLst/>
                    </a:prstGeom>
                  </pic:spPr>
                </pic:pic>
              </a:graphicData>
            </a:graphic>
            <wp14:sizeRelH relativeFrom="page">
              <wp14:pctWidth>0</wp14:pctWidth>
            </wp14:sizeRelH>
            <wp14:sizeRelV relativeFrom="page">
              <wp14:pctHeight>0</wp14:pctHeight>
            </wp14:sizeRelV>
          </wp:anchor>
        </w:drawing>
      </w:r>
      <w:r w:rsidR="006B5494" w:rsidRPr="006B5494">
        <w:rPr>
          <w:noProof/>
          <w:color w:val="006060"/>
        </w:rPr>
        <w:t>References</w:t>
      </w:r>
      <w:bookmarkEnd w:id="382"/>
      <w:r w:rsidR="006B5494" w:rsidRPr="006B5494">
        <w:rPr>
          <w:noProof/>
          <w:color w:val="006060"/>
        </w:rPr>
        <w:t xml:space="preserve"> </w:t>
      </w:r>
    </w:p>
    <w:p w14:paraId="41DD855C" w14:textId="671428FD" w:rsidR="000673D8" w:rsidRDefault="000673D8" w:rsidP="00666E06">
      <w:pPr>
        <w:pStyle w:val="Glossary"/>
      </w:pPr>
      <w:r>
        <w:br w:type="page"/>
      </w:r>
    </w:p>
    <w:sdt>
      <w:sdtPr>
        <w:rPr>
          <w:rFonts w:asciiTheme="minorHAnsi" w:eastAsiaTheme="minorEastAsia" w:hAnsiTheme="minorHAnsi" w:cstheme="minorBidi"/>
          <w:b w:val="0"/>
          <w:color w:val="auto"/>
          <w:sz w:val="22"/>
          <w:szCs w:val="22"/>
        </w:rPr>
        <w:id w:val="-663472076"/>
        <w:docPartObj>
          <w:docPartGallery w:val="Bibliographies"/>
          <w:docPartUnique/>
        </w:docPartObj>
      </w:sdtPr>
      <w:sdtEndPr>
        <w:rPr>
          <w:sz w:val="24"/>
          <w:szCs w:val="24"/>
        </w:rPr>
      </w:sdtEndPr>
      <w:sdtContent>
        <w:p w14:paraId="558003C6" w14:textId="370B9D00" w:rsidR="00A93932" w:rsidRPr="002C1643" w:rsidRDefault="00A93932" w:rsidP="00155C3B">
          <w:pPr>
            <w:pStyle w:val="Heading1"/>
            <w:rPr>
              <w:rStyle w:val="Heading3Char"/>
              <w:b w:val="0"/>
              <w:bCs/>
              <w:color w:val="006060"/>
              <w:sz w:val="36"/>
              <w:szCs w:val="28"/>
            </w:rPr>
          </w:pPr>
        </w:p>
        <w:sdt>
          <w:sdtPr>
            <w:rPr>
              <w:rFonts w:eastAsiaTheme="majorEastAsia" w:cs="Arial"/>
              <w:color w:val="15284C" w:themeColor="text2"/>
              <w:sz w:val="32"/>
            </w:rPr>
            <w:id w:val="-573587230"/>
            <w:bibliography/>
          </w:sdtPr>
          <w:sdtEndPr>
            <w:rPr>
              <w:rFonts w:eastAsiaTheme="minorHAnsi" w:cstheme="minorBidi"/>
              <w:color w:val="auto"/>
              <w:sz w:val="24"/>
            </w:rPr>
          </w:sdtEndPr>
          <w:sdtContent>
            <w:p w14:paraId="3F808034" w14:textId="77777777" w:rsidR="00222D65" w:rsidRDefault="00A93932" w:rsidP="00222D65">
              <w:pPr>
                <w:pStyle w:val="Bibliography"/>
                <w:ind w:left="720" w:hanging="720"/>
                <w:rPr>
                  <w:noProof/>
                </w:rPr>
              </w:pPr>
              <w:r w:rsidRPr="003E3FEA">
                <w:fldChar w:fldCharType="begin"/>
              </w:r>
              <w:r w:rsidRPr="003E3FEA">
                <w:instrText xml:space="preserve"> BIBLIOGRAPHY </w:instrText>
              </w:r>
              <w:r w:rsidRPr="003E3FEA">
                <w:fldChar w:fldCharType="separate"/>
              </w:r>
              <w:r w:rsidR="00222D65">
                <w:rPr>
                  <w:noProof/>
                </w:rPr>
                <w:t xml:space="preserve">API. (2021). </w:t>
              </w:r>
              <w:r w:rsidR="00222D65">
                <w:rPr>
                  <w:i/>
                  <w:iCs/>
                  <w:noProof/>
                </w:rPr>
                <w:t>API 650:2020 Welded Tanks for Oil Storage, 13th Edition Inc. Errata 1.</w:t>
              </w:r>
              <w:r w:rsidR="00222D65">
                <w:rPr>
                  <w:noProof/>
                </w:rPr>
                <w:t xml:space="preserve"> American Petroleum Institute.</w:t>
              </w:r>
            </w:p>
            <w:p w14:paraId="3FC3240E" w14:textId="77777777" w:rsidR="00222D65" w:rsidRDefault="00222D65" w:rsidP="00222D65">
              <w:pPr>
                <w:pStyle w:val="Bibliography"/>
                <w:ind w:left="720" w:hanging="720"/>
                <w:rPr>
                  <w:noProof/>
                </w:rPr>
              </w:pPr>
              <w:r>
                <w:rPr>
                  <w:noProof/>
                </w:rPr>
                <w:t xml:space="preserve">ASCE/SEI. (2022). </w:t>
              </w:r>
              <w:r>
                <w:rPr>
                  <w:i/>
                  <w:iCs/>
                  <w:noProof/>
                </w:rPr>
                <w:t>ASCE/SEI 7-22 Minimum Design Loads and Associated Criteria for Buildings and Other Structures.</w:t>
              </w:r>
              <w:r>
                <w:rPr>
                  <w:noProof/>
                </w:rPr>
                <w:t xml:space="preserve"> American Society of Civil Engineers.</w:t>
              </w:r>
            </w:p>
            <w:p w14:paraId="3C4B0CC5" w14:textId="77777777" w:rsidR="00222D65" w:rsidRDefault="00222D65" w:rsidP="00222D65">
              <w:pPr>
                <w:pStyle w:val="Bibliography"/>
                <w:ind w:left="720" w:hanging="720"/>
                <w:rPr>
                  <w:noProof/>
                </w:rPr>
              </w:pPr>
              <w:r>
                <w:rPr>
                  <w:noProof/>
                </w:rPr>
                <w:t xml:space="preserve">ASHRAE. (2012). </w:t>
              </w:r>
              <w:r>
                <w:rPr>
                  <w:i/>
                  <w:iCs/>
                  <w:noProof/>
                </w:rPr>
                <w:t>Practical Guide to Seismic Restraint: Second Edition.</w:t>
              </w:r>
              <w:r>
                <w:rPr>
                  <w:noProof/>
                </w:rPr>
                <w:t xml:space="preserve"> American Society of Heating, Refrigerating and Air-Conditioning Engineerings, Inc.</w:t>
              </w:r>
            </w:p>
            <w:p w14:paraId="2635B9AF" w14:textId="77777777" w:rsidR="00222D65" w:rsidRDefault="00222D65" w:rsidP="00222D65">
              <w:pPr>
                <w:pStyle w:val="Bibliography"/>
                <w:ind w:left="720" w:hanging="720"/>
                <w:rPr>
                  <w:noProof/>
                </w:rPr>
              </w:pPr>
              <w:r>
                <w:rPr>
                  <w:noProof/>
                </w:rPr>
                <w:t xml:space="preserve">ASHRAE. (2015). </w:t>
              </w:r>
              <w:r>
                <w:rPr>
                  <w:i/>
                  <w:iCs/>
                  <w:noProof/>
                </w:rPr>
                <w:t>ASHRAE Handbook - HVAC Applications, SI Edition (Chapter 48 - Noise and Vibration Control).</w:t>
              </w:r>
              <w:r>
                <w:rPr>
                  <w:noProof/>
                </w:rPr>
                <w:t xml:space="preserve"> ASHRAE.</w:t>
              </w:r>
            </w:p>
            <w:p w14:paraId="7621396D" w14:textId="77777777" w:rsidR="00222D65" w:rsidRDefault="00222D65" w:rsidP="00222D65">
              <w:pPr>
                <w:pStyle w:val="Bibliography"/>
                <w:ind w:left="720" w:hanging="720"/>
                <w:rPr>
                  <w:noProof/>
                </w:rPr>
              </w:pPr>
              <w:r>
                <w:rPr>
                  <w:noProof/>
                </w:rPr>
                <w:t xml:space="preserve">AWCI. (2015). </w:t>
              </w:r>
              <w:r>
                <w:rPr>
                  <w:i/>
                  <w:iCs/>
                  <w:noProof/>
                </w:rPr>
                <w:t>Code of Practice for Design, Installation and Seismic Restraint of Suspended Ceilings - Version 1, October 2015.</w:t>
              </w:r>
              <w:r>
                <w:rPr>
                  <w:noProof/>
                </w:rPr>
                <w:t xml:space="preserve"> Association of Wall &amp; Ceiling Industries.</w:t>
              </w:r>
            </w:p>
            <w:p w14:paraId="73A4F60B" w14:textId="77777777" w:rsidR="00222D65" w:rsidRDefault="00222D65" w:rsidP="00222D65">
              <w:pPr>
                <w:pStyle w:val="Bibliography"/>
                <w:ind w:left="720" w:hanging="720"/>
                <w:rPr>
                  <w:noProof/>
                </w:rPr>
              </w:pPr>
              <w:r>
                <w:rPr>
                  <w:noProof/>
                </w:rPr>
                <w:t xml:space="preserve">AWCI. (2018). </w:t>
              </w:r>
              <w:r>
                <w:rPr>
                  <w:i/>
                  <w:iCs/>
                  <w:noProof/>
                </w:rPr>
                <w:t>Code of Practice for the seismic design and installation of non-strutural internal walls and partitions - 1st Edition, July 2018.</w:t>
              </w:r>
              <w:r>
                <w:rPr>
                  <w:noProof/>
                </w:rPr>
                <w:t xml:space="preserve"> Association of Wall &amp; Ceiling Industries.</w:t>
              </w:r>
            </w:p>
            <w:p w14:paraId="1A7FF01F" w14:textId="77777777" w:rsidR="00222D65" w:rsidRDefault="00222D65" w:rsidP="00222D65">
              <w:pPr>
                <w:pStyle w:val="Bibliography"/>
                <w:ind w:left="720" w:hanging="720"/>
                <w:rPr>
                  <w:noProof/>
                </w:rPr>
              </w:pPr>
              <w:r>
                <w:rPr>
                  <w:noProof/>
                </w:rPr>
                <w:t xml:space="preserve">Beca. (2022). </w:t>
              </w:r>
              <w:r>
                <w:rPr>
                  <w:i/>
                  <w:iCs/>
                  <w:noProof/>
                </w:rPr>
                <w:t>Seismic Design Basis Guidance for Storage Tanks-vessels - Rev. 1, July 2022.</w:t>
              </w:r>
              <w:r>
                <w:rPr>
                  <w:noProof/>
                </w:rPr>
                <w:t xml:space="preserve"> Beca Limited.</w:t>
              </w:r>
            </w:p>
            <w:p w14:paraId="392B8CEF" w14:textId="77777777" w:rsidR="00222D65" w:rsidRDefault="00222D65" w:rsidP="00222D65">
              <w:pPr>
                <w:pStyle w:val="Bibliography"/>
                <w:ind w:left="720" w:hanging="720"/>
                <w:rPr>
                  <w:noProof/>
                </w:rPr>
              </w:pPr>
              <w:r>
                <w:rPr>
                  <w:noProof/>
                </w:rPr>
                <w:t xml:space="preserve">BIMinNZ. (2023). </w:t>
              </w:r>
              <w:r>
                <w:rPr>
                  <w:i/>
                  <w:iCs/>
                  <w:noProof/>
                </w:rPr>
                <w:t>The New Zealand BIM Handbook, Fourth Edition (v4.1) 2023.</w:t>
              </w:r>
              <w:r>
                <w:rPr>
                  <w:noProof/>
                </w:rPr>
                <w:t xml:space="preserve"> BIMinNZ, NZ Institute of Building.</w:t>
              </w:r>
            </w:p>
            <w:p w14:paraId="56CA8517" w14:textId="77777777" w:rsidR="00222D65" w:rsidRDefault="00222D65" w:rsidP="00222D65">
              <w:pPr>
                <w:pStyle w:val="Bibliography"/>
                <w:ind w:left="720" w:hanging="720"/>
                <w:rPr>
                  <w:noProof/>
                </w:rPr>
              </w:pPr>
              <w:r>
                <w:rPr>
                  <w:noProof/>
                </w:rPr>
                <w:t xml:space="preserve">BIP, BRANZ. (2024). </w:t>
              </w:r>
              <w:r>
                <w:rPr>
                  <w:i/>
                  <w:iCs/>
                  <w:noProof/>
                </w:rPr>
                <w:t>Code of Practice for the Seismic Performance of Non-Structural Elements (BRANZ ER95) - Version 2.1, September 2024.</w:t>
              </w:r>
              <w:r>
                <w:rPr>
                  <w:noProof/>
                </w:rPr>
                <w:t xml:space="preserve"> Building Innovation Partnership.</w:t>
              </w:r>
            </w:p>
            <w:p w14:paraId="32609C26" w14:textId="77777777" w:rsidR="00222D65" w:rsidRDefault="00222D65" w:rsidP="00222D65">
              <w:pPr>
                <w:pStyle w:val="Bibliography"/>
                <w:ind w:left="720" w:hanging="720"/>
                <w:rPr>
                  <w:noProof/>
                </w:rPr>
              </w:pPr>
              <w:r>
                <w:rPr>
                  <w:noProof/>
                </w:rPr>
                <w:t xml:space="preserve">BRANZ. (2010). </w:t>
              </w:r>
              <w:r>
                <w:rPr>
                  <w:i/>
                  <w:iCs/>
                  <w:noProof/>
                </w:rPr>
                <w:t>P21 A wall bracing test and evaluation procedure.</w:t>
              </w:r>
              <w:r>
                <w:rPr>
                  <w:noProof/>
                </w:rPr>
                <w:t xml:space="preserve"> Building Research Association of New Zealand.</w:t>
              </w:r>
            </w:p>
            <w:p w14:paraId="3F531AA6" w14:textId="77777777" w:rsidR="00222D65" w:rsidRDefault="00222D65" w:rsidP="00222D65">
              <w:pPr>
                <w:pStyle w:val="Bibliography"/>
                <w:ind w:left="720" w:hanging="720"/>
                <w:rPr>
                  <w:noProof/>
                </w:rPr>
              </w:pPr>
              <w:r>
                <w:rPr>
                  <w:noProof/>
                </w:rPr>
                <w:t xml:space="preserve">BRANZ. (2013). </w:t>
              </w:r>
              <w:r>
                <w:rPr>
                  <w:i/>
                  <w:iCs/>
                  <w:noProof/>
                </w:rPr>
                <w:t>Study Report SR 305 (2013) Bracing ratings for non-proprietary bracing walls.</w:t>
              </w:r>
              <w:r>
                <w:rPr>
                  <w:noProof/>
                </w:rPr>
                <w:t xml:space="preserve"> Building Research Associated of New Zealand.</w:t>
              </w:r>
            </w:p>
            <w:p w14:paraId="723218A9" w14:textId="77777777" w:rsidR="00222D65" w:rsidRDefault="00222D65" w:rsidP="00222D65">
              <w:pPr>
                <w:pStyle w:val="Bibliography"/>
                <w:ind w:left="720" w:hanging="720"/>
                <w:rPr>
                  <w:noProof/>
                </w:rPr>
              </w:pPr>
              <w:r>
                <w:rPr>
                  <w:noProof/>
                </w:rPr>
                <w:t xml:space="preserve">BRANZ. (2015). Seismically Resilient Non-structural Elements #4 - Seismic Clearance at Penetrations. </w:t>
              </w:r>
              <w:r>
                <w:rPr>
                  <w:i/>
                  <w:iCs/>
                  <w:noProof/>
                </w:rPr>
                <w:t>BRANZ Facts</w:t>
              </w:r>
              <w:r>
                <w:rPr>
                  <w:noProof/>
                </w:rPr>
                <w:t>. Retrieved from https://www.branz.co.nz/pubs/branz-facts/non-structural-elements/</w:t>
              </w:r>
            </w:p>
            <w:p w14:paraId="06E8FABE" w14:textId="77777777" w:rsidR="00222D65" w:rsidRDefault="00222D65" w:rsidP="00222D65">
              <w:pPr>
                <w:pStyle w:val="Bibliography"/>
                <w:ind w:left="720" w:hanging="720"/>
                <w:rPr>
                  <w:noProof/>
                </w:rPr>
              </w:pPr>
              <w:r>
                <w:rPr>
                  <w:noProof/>
                </w:rPr>
                <w:t xml:space="preserve">BSI. (2008). </w:t>
              </w:r>
              <w:r>
                <w:rPr>
                  <w:i/>
                  <w:iCs/>
                  <w:noProof/>
                </w:rPr>
                <w:t>BS 6472-1:2008 Guide to evaluation of human exposure to vibration in buildings: Vibration sources other than blasting.</w:t>
              </w:r>
              <w:r>
                <w:rPr>
                  <w:noProof/>
                </w:rPr>
                <w:t xml:space="preserve"> British Standards Institute.</w:t>
              </w:r>
            </w:p>
            <w:p w14:paraId="32E7FB81" w14:textId="77777777" w:rsidR="00222D65" w:rsidRDefault="00222D65" w:rsidP="00222D65">
              <w:pPr>
                <w:pStyle w:val="Bibliography"/>
                <w:ind w:left="720" w:hanging="720"/>
                <w:rPr>
                  <w:noProof/>
                </w:rPr>
              </w:pPr>
              <w:r>
                <w:rPr>
                  <w:noProof/>
                </w:rPr>
                <w:t xml:space="preserve">BSI. (2014). </w:t>
              </w:r>
              <w:r>
                <w:rPr>
                  <w:i/>
                  <w:iCs/>
                  <w:noProof/>
                </w:rPr>
                <w:t>BS EN 81-20:2014 Safety Rules for the Construction and Installation of Lifts - Part 20: Passenger and goods passenger lifts.</w:t>
              </w:r>
              <w:r>
                <w:rPr>
                  <w:noProof/>
                </w:rPr>
                <w:t xml:space="preserve"> Brussels: British Standards Institution/European Committee for Standardisation.</w:t>
              </w:r>
            </w:p>
            <w:p w14:paraId="08A84B59" w14:textId="77777777" w:rsidR="00222D65" w:rsidRDefault="00222D65" w:rsidP="00222D65">
              <w:pPr>
                <w:pStyle w:val="Bibliography"/>
                <w:ind w:left="720" w:hanging="720"/>
                <w:rPr>
                  <w:noProof/>
                </w:rPr>
              </w:pPr>
              <w:r>
                <w:rPr>
                  <w:noProof/>
                </w:rPr>
                <w:t xml:space="preserve">BSI. (2014). </w:t>
              </w:r>
              <w:r>
                <w:rPr>
                  <w:i/>
                  <w:iCs/>
                  <w:noProof/>
                </w:rPr>
                <w:t>BS EN 81-50:2014 Safety Rules for the Construction and Installation of Lifts - Part 50: Design Rules, Calculations, Examinations and Tests of Lift Components.</w:t>
              </w:r>
              <w:r>
                <w:rPr>
                  <w:noProof/>
                </w:rPr>
                <w:t xml:space="preserve"> Brussels: British Standards Insitution/European Committee for Standardisation.</w:t>
              </w:r>
            </w:p>
            <w:p w14:paraId="3B5F53BF" w14:textId="77777777" w:rsidR="00222D65" w:rsidRDefault="00222D65" w:rsidP="00222D65">
              <w:pPr>
                <w:pStyle w:val="Bibliography"/>
                <w:ind w:left="720" w:hanging="720"/>
                <w:rPr>
                  <w:noProof/>
                </w:rPr>
              </w:pPr>
              <w:r>
                <w:rPr>
                  <w:noProof/>
                </w:rPr>
                <w:lastRenderedPageBreak/>
                <w:t xml:space="preserve">Department of Health. (2013). </w:t>
              </w:r>
              <w:r>
                <w:rPr>
                  <w:i/>
                  <w:iCs/>
                  <w:noProof/>
                </w:rPr>
                <w:t>Health Technical Memorandum HTM 08-01: Acoustics.</w:t>
              </w:r>
              <w:r>
                <w:rPr>
                  <w:noProof/>
                </w:rPr>
                <w:t xml:space="preserve"> Department of Health/NHS (UK). Retrieved from https://www.england.nhs.uk/wp-content/uploads/2021/05/HTM_08-01.pdf</w:t>
              </w:r>
            </w:p>
            <w:p w14:paraId="531CABFD" w14:textId="77777777" w:rsidR="00222D65" w:rsidRDefault="00222D65" w:rsidP="00222D65">
              <w:pPr>
                <w:pStyle w:val="Bibliography"/>
                <w:ind w:left="720" w:hanging="720"/>
                <w:rPr>
                  <w:noProof/>
                </w:rPr>
              </w:pPr>
              <w:r>
                <w:rPr>
                  <w:noProof/>
                </w:rPr>
                <w:t xml:space="preserve">DIN. (2013). </w:t>
              </w:r>
              <w:r>
                <w:rPr>
                  <w:i/>
                  <w:iCs/>
                  <w:noProof/>
                </w:rPr>
                <w:t>DIN EN 81-77:2013 Safety Rules for the Construction and Installation of Lifts: Lifts Subject to Seismic Conditions.</w:t>
              </w:r>
              <w:r>
                <w:rPr>
                  <w:noProof/>
                </w:rPr>
                <w:t xml:space="preserve"> Berlin: DIN/European Committee for Standardisation.</w:t>
              </w:r>
            </w:p>
            <w:p w14:paraId="0DFEEE71" w14:textId="77777777" w:rsidR="00222D65" w:rsidRDefault="00222D65" w:rsidP="00222D65">
              <w:pPr>
                <w:pStyle w:val="Bibliography"/>
                <w:ind w:left="720" w:hanging="720"/>
                <w:rPr>
                  <w:noProof/>
                </w:rPr>
              </w:pPr>
              <w:r>
                <w:rPr>
                  <w:noProof/>
                </w:rPr>
                <w:t xml:space="preserve">ENZ. (2018). </w:t>
              </w:r>
              <w:r>
                <w:rPr>
                  <w:i/>
                  <w:iCs/>
                  <w:noProof/>
                </w:rPr>
                <w:t>Practice Note 2: Peer Review - Version 2, April 2018.</w:t>
              </w:r>
              <w:r>
                <w:rPr>
                  <w:noProof/>
                </w:rPr>
                <w:t xml:space="preserve"> Engineering New Zealand.</w:t>
              </w:r>
            </w:p>
            <w:p w14:paraId="080E1D40" w14:textId="77777777" w:rsidR="00222D65" w:rsidRDefault="00222D65" w:rsidP="00222D65">
              <w:pPr>
                <w:pStyle w:val="Bibliography"/>
                <w:ind w:left="720" w:hanging="720"/>
                <w:rPr>
                  <w:noProof/>
                </w:rPr>
              </w:pPr>
              <w:r>
                <w:rPr>
                  <w:noProof/>
                </w:rPr>
                <w:t xml:space="preserve">ENZ. (2019). </w:t>
              </w:r>
              <w:r>
                <w:rPr>
                  <w:i/>
                  <w:iCs/>
                  <w:noProof/>
                </w:rPr>
                <w:t>Practice Note 19: Seismic Resistance of Pressure Equipment and its Supports - Version 5, December 2019.</w:t>
              </w:r>
              <w:r>
                <w:rPr>
                  <w:noProof/>
                </w:rPr>
                <w:t xml:space="preserve"> Engineering New Zealand.</w:t>
              </w:r>
            </w:p>
            <w:p w14:paraId="2084DC92" w14:textId="77777777" w:rsidR="00222D65" w:rsidRDefault="00222D65" w:rsidP="00222D65">
              <w:pPr>
                <w:pStyle w:val="Bibliography"/>
                <w:ind w:left="720" w:hanging="720"/>
                <w:rPr>
                  <w:noProof/>
                </w:rPr>
              </w:pPr>
              <w:r>
                <w:rPr>
                  <w:noProof/>
                </w:rPr>
                <w:t xml:space="preserve">ENZ. (2023). </w:t>
              </w:r>
              <w:r>
                <w:rPr>
                  <w:i/>
                  <w:iCs/>
                  <w:noProof/>
                </w:rPr>
                <w:t>Warehouse Review Findings Report, February 2023.</w:t>
              </w:r>
              <w:r>
                <w:rPr>
                  <w:noProof/>
                </w:rPr>
                <w:t xml:space="preserve"> Engineering New Zealand.</w:t>
              </w:r>
            </w:p>
            <w:p w14:paraId="240E88FC" w14:textId="77777777" w:rsidR="00222D65" w:rsidRDefault="00222D65" w:rsidP="00222D65">
              <w:pPr>
                <w:pStyle w:val="Bibliography"/>
                <w:ind w:left="720" w:hanging="720"/>
                <w:rPr>
                  <w:noProof/>
                </w:rPr>
              </w:pPr>
              <w:r>
                <w:rPr>
                  <w:noProof/>
                </w:rPr>
                <w:t xml:space="preserve">FEMA. (2018). </w:t>
              </w:r>
              <w:r>
                <w:rPr>
                  <w:i/>
                  <w:iCs/>
                  <w:noProof/>
                </w:rPr>
                <w:t>FEMA P-58-1 Seismic Performance Assessment of Buildings: Volume 1 - Methodology (Second Edition).</w:t>
              </w:r>
              <w:r>
                <w:rPr>
                  <w:noProof/>
                </w:rPr>
                <w:t xml:space="preserve"> Washington, D.C.: Federal Emergency Managment Agency.</w:t>
              </w:r>
            </w:p>
            <w:p w14:paraId="5CA9EB02" w14:textId="77777777" w:rsidR="00222D65" w:rsidRDefault="00222D65" w:rsidP="00222D65">
              <w:pPr>
                <w:pStyle w:val="Bibliography"/>
                <w:ind w:left="720" w:hanging="720"/>
                <w:rPr>
                  <w:noProof/>
                </w:rPr>
              </w:pPr>
              <w:r>
                <w:rPr>
                  <w:noProof/>
                </w:rPr>
                <w:t xml:space="preserve">FEMA. (2023). </w:t>
              </w:r>
              <w:r>
                <w:rPr>
                  <w:i/>
                  <w:iCs/>
                  <w:noProof/>
                </w:rPr>
                <w:t>FEMA P-2055-2 Recommendations for Cordoning Earthquake-Damaged Buildings.</w:t>
              </w:r>
              <w:r>
                <w:rPr>
                  <w:noProof/>
                </w:rPr>
                <w:t xml:space="preserve"> Federal Emergency Management Agency.</w:t>
              </w:r>
            </w:p>
            <w:p w14:paraId="7DA9A628" w14:textId="77777777" w:rsidR="00222D65" w:rsidRDefault="00222D65" w:rsidP="00222D65">
              <w:pPr>
                <w:pStyle w:val="Bibliography"/>
                <w:ind w:left="720" w:hanging="720"/>
                <w:rPr>
                  <w:noProof/>
                </w:rPr>
              </w:pPr>
              <w:r>
                <w:rPr>
                  <w:noProof/>
                </w:rPr>
                <w:t xml:space="preserve">FEMA. (n.d.). </w:t>
              </w:r>
              <w:r>
                <w:rPr>
                  <w:i/>
                  <w:iCs/>
                  <w:noProof/>
                </w:rPr>
                <w:t>FEMA P-58-3 Seismic Performance Assessment of Buildings: Volume 3 - Supporting Electronic Materials and Background.</w:t>
              </w:r>
              <w:r>
                <w:rPr>
                  <w:noProof/>
                </w:rPr>
                <w:t xml:space="preserve"> Federal Emergency Management Agency. Retrieved from https://femap58.atcouncil.org/supporting-materials</w:t>
              </w:r>
            </w:p>
            <w:p w14:paraId="70584517" w14:textId="77777777" w:rsidR="00222D65" w:rsidRDefault="00222D65" w:rsidP="00222D65">
              <w:pPr>
                <w:pStyle w:val="Bibliography"/>
                <w:ind w:left="720" w:hanging="720"/>
                <w:rPr>
                  <w:noProof/>
                </w:rPr>
              </w:pPr>
              <w:r>
                <w:rPr>
                  <w:noProof/>
                </w:rPr>
                <w:t xml:space="preserve">FEMA, NIST. (2021). </w:t>
              </w:r>
              <w:r>
                <w:rPr>
                  <w:i/>
                  <w:iCs/>
                  <w:noProof/>
                </w:rPr>
                <w:t>FEMA P-2090/NIST SP-1254 Recommended Options for Improving the Built Environment for Post-Earthquake Reoccupancy and Functional Recovery Time, Final Report, January 2021.</w:t>
              </w:r>
              <w:r>
                <w:rPr>
                  <w:noProof/>
                </w:rPr>
                <w:t xml:space="preserve"> Federal Emergency Management Agency, National Institute of Standards and Technology.</w:t>
              </w:r>
            </w:p>
            <w:p w14:paraId="055F673D" w14:textId="77777777" w:rsidR="00222D65" w:rsidRDefault="00222D65" w:rsidP="00222D65">
              <w:pPr>
                <w:pStyle w:val="Bibliography"/>
                <w:ind w:left="720" w:hanging="720"/>
                <w:rPr>
                  <w:noProof/>
                </w:rPr>
              </w:pPr>
              <w:r>
                <w:rPr>
                  <w:noProof/>
                </w:rPr>
                <w:t xml:space="preserve">IEST. (2005). </w:t>
              </w:r>
              <w:r>
                <w:rPr>
                  <w:i/>
                  <w:iCs/>
                  <w:noProof/>
                </w:rPr>
                <w:t>Recommended Practice RP-012: IES-RP-CC012.2 Considerations in Clean Room Design (Appendix C).</w:t>
              </w:r>
              <w:r>
                <w:rPr>
                  <w:noProof/>
                </w:rPr>
                <w:t xml:space="preserve"> Institute of Environmental Sciences.</w:t>
              </w:r>
            </w:p>
            <w:p w14:paraId="38084795" w14:textId="77777777" w:rsidR="00222D65" w:rsidRDefault="00222D65" w:rsidP="00222D65">
              <w:pPr>
                <w:pStyle w:val="Bibliography"/>
                <w:ind w:left="720" w:hanging="720"/>
                <w:rPr>
                  <w:noProof/>
                </w:rPr>
              </w:pPr>
              <w:r>
                <w:rPr>
                  <w:noProof/>
                </w:rPr>
                <w:t xml:space="preserve">ISO. (2007). </w:t>
              </w:r>
              <w:r>
                <w:rPr>
                  <w:i/>
                  <w:iCs/>
                  <w:noProof/>
                </w:rPr>
                <w:t>ISO 10137:2007 Bases for Design of Structures - Serviceability of buildings and walkways against vibrations.</w:t>
              </w:r>
              <w:r>
                <w:rPr>
                  <w:noProof/>
                </w:rPr>
                <w:t xml:space="preserve"> International Organization for Standardization.</w:t>
              </w:r>
            </w:p>
            <w:p w14:paraId="30AEF05A" w14:textId="77777777" w:rsidR="00222D65" w:rsidRDefault="00222D65" w:rsidP="00222D65">
              <w:pPr>
                <w:pStyle w:val="Bibliography"/>
                <w:ind w:left="720" w:hanging="720"/>
                <w:rPr>
                  <w:noProof/>
                </w:rPr>
              </w:pPr>
              <w:r>
                <w:rPr>
                  <w:noProof/>
                </w:rPr>
                <w:t xml:space="preserve">Kestrel Group. (2022). </w:t>
              </w:r>
              <w:r>
                <w:rPr>
                  <w:i/>
                  <w:iCs/>
                  <w:noProof/>
                </w:rPr>
                <w:t>Understanding and Improving the Seismic Resilience of Hospital Buildings, Summary and Technical Reports, 3 June 2022.</w:t>
              </w:r>
              <w:r>
                <w:rPr>
                  <w:noProof/>
                </w:rPr>
                <w:t xml:space="preserve"> Wellington: Kestrel Group.</w:t>
              </w:r>
            </w:p>
            <w:p w14:paraId="424782A3" w14:textId="77777777" w:rsidR="00222D65" w:rsidRDefault="00222D65" w:rsidP="00222D65">
              <w:pPr>
                <w:pStyle w:val="Bibliography"/>
                <w:ind w:left="720" w:hanging="720"/>
                <w:rPr>
                  <w:noProof/>
                </w:rPr>
              </w:pPr>
              <w:r>
                <w:rPr>
                  <w:noProof/>
                </w:rPr>
                <w:t xml:space="preserve">Mason Industries. (2016). </w:t>
              </w:r>
              <w:r>
                <w:rPr>
                  <w:i/>
                  <w:iCs/>
                  <w:noProof/>
                </w:rPr>
                <w:t>Seismic Restraint Guidelines: 11th Edition, January 2016.</w:t>
              </w:r>
              <w:r>
                <w:rPr>
                  <w:noProof/>
                </w:rPr>
                <w:t xml:space="preserve"> Mason Industries.</w:t>
              </w:r>
            </w:p>
            <w:p w14:paraId="4C6B8E2A" w14:textId="77777777" w:rsidR="00222D65" w:rsidRDefault="00222D65" w:rsidP="00222D65">
              <w:pPr>
                <w:pStyle w:val="Bibliography"/>
                <w:ind w:left="720" w:hanging="720"/>
                <w:rPr>
                  <w:noProof/>
                </w:rPr>
              </w:pPr>
              <w:r>
                <w:rPr>
                  <w:noProof/>
                </w:rPr>
                <w:t xml:space="preserve">MBIE. (2018). </w:t>
              </w:r>
              <w:r>
                <w:rPr>
                  <w:i/>
                  <w:iCs/>
                  <w:noProof/>
                </w:rPr>
                <w:t>Managing Buildings in an Emergency: Guidance for decision makers and territorial authorities - Ver. 1, June 2018.</w:t>
              </w:r>
              <w:r>
                <w:rPr>
                  <w:noProof/>
                </w:rPr>
                <w:t xml:space="preserve"> Ministry of Business, Innovation and Employment.</w:t>
              </w:r>
            </w:p>
            <w:p w14:paraId="5539D120" w14:textId="77777777" w:rsidR="00222D65" w:rsidRDefault="00222D65" w:rsidP="00222D65">
              <w:pPr>
                <w:pStyle w:val="Bibliography"/>
                <w:ind w:left="720" w:hanging="720"/>
                <w:rPr>
                  <w:noProof/>
                </w:rPr>
              </w:pPr>
              <w:r>
                <w:rPr>
                  <w:noProof/>
                </w:rPr>
                <w:t xml:space="preserve">MBIE. (2020). </w:t>
              </w:r>
              <w:r>
                <w:rPr>
                  <w:i/>
                  <w:iCs/>
                  <w:noProof/>
                </w:rPr>
                <w:t>Whole-of-Life Embodied Carbon Emissions Reduction Framework.</w:t>
              </w:r>
              <w:r>
                <w:rPr>
                  <w:noProof/>
                </w:rPr>
                <w:t xml:space="preserve"> Wellington: Ministry of Business, Innovation and Employment.</w:t>
              </w:r>
            </w:p>
            <w:p w14:paraId="261899BC" w14:textId="77777777" w:rsidR="00222D65" w:rsidRDefault="00222D65" w:rsidP="00222D65">
              <w:pPr>
                <w:pStyle w:val="Bibliography"/>
                <w:ind w:left="720" w:hanging="720"/>
                <w:rPr>
                  <w:noProof/>
                </w:rPr>
              </w:pPr>
              <w:r>
                <w:rPr>
                  <w:noProof/>
                </w:rPr>
                <w:lastRenderedPageBreak/>
                <w:t xml:space="preserve">MBIE. (2022). </w:t>
              </w:r>
              <w:r>
                <w:rPr>
                  <w:i/>
                  <w:iCs/>
                  <w:noProof/>
                </w:rPr>
                <w:t>Whole-of-Life Embodied Carbon Assessment: Technical Methodology, February 2022.</w:t>
              </w:r>
              <w:r>
                <w:rPr>
                  <w:noProof/>
                </w:rPr>
                <w:t xml:space="preserve"> Ministry of Business, Innovation and Employment.</w:t>
              </w:r>
            </w:p>
            <w:p w14:paraId="18CE845C" w14:textId="77777777" w:rsidR="00222D65" w:rsidRDefault="00222D65" w:rsidP="00222D65">
              <w:pPr>
                <w:pStyle w:val="Bibliography"/>
                <w:ind w:left="720" w:hanging="720"/>
                <w:rPr>
                  <w:noProof/>
                </w:rPr>
              </w:pPr>
              <w:r>
                <w:rPr>
                  <w:noProof/>
                </w:rPr>
                <w:t xml:space="preserve">MBIE. (2024). </w:t>
              </w:r>
              <w:r>
                <w:rPr>
                  <w:i/>
                  <w:iCs/>
                  <w:noProof/>
                </w:rPr>
                <w:t>Low Damage Seismic Design - Volume 1: Benefits, Options and Getting Started, December 2024.</w:t>
              </w:r>
              <w:r>
                <w:rPr>
                  <w:noProof/>
                </w:rPr>
                <w:t xml:space="preserve"> Ministry of Business, Innovation and Employment. Retrieved from https://www.building.govt.nz/getting-started/seismic-work-programme/seismic-risk-series/low-damage-seismic-design</w:t>
              </w:r>
            </w:p>
            <w:p w14:paraId="45B886B4" w14:textId="77777777" w:rsidR="00222D65" w:rsidRDefault="00222D65" w:rsidP="00222D65">
              <w:pPr>
                <w:pStyle w:val="Bibliography"/>
                <w:ind w:left="720" w:hanging="720"/>
                <w:rPr>
                  <w:noProof/>
                </w:rPr>
              </w:pPr>
              <w:r>
                <w:rPr>
                  <w:noProof/>
                </w:rPr>
                <w:t xml:space="preserve">MBIE, EQC, NZSEE, SESOC, NZGS. (2017). </w:t>
              </w:r>
              <w:r>
                <w:rPr>
                  <w:i/>
                  <w:iCs/>
                  <w:noProof/>
                </w:rPr>
                <w:t>The Seismic Assessment of Existing Buildings, Technical Guidelines for Engineering Assessments, Initial Release July 2017.</w:t>
              </w:r>
              <w:r>
                <w:rPr>
                  <w:noProof/>
                </w:rPr>
                <w:t xml:space="preserve"> Wellington: Ministry of Business, Innovation and Employment.</w:t>
              </w:r>
            </w:p>
            <w:p w14:paraId="53147398" w14:textId="77777777" w:rsidR="00222D65" w:rsidRDefault="00222D65" w:rsidP="00222D65">
              <w:pPr>
                <w:pStyle w:val="Bibliography"/>
                <w:ind w:left="720" w:hanging="720"/>
                <w:rPr>
                  <w:noProof/>
                </w:rPr>
              </w:pPr>
              <w:r>
                <w:rPr>
                  <w:noProof/>
                </w:rPr>
                <w:t xml:space="preserve">MBIE, EQC, NZSEE, SESOC, NZGS. (2018). </w:t>
              </w:r>
              <w:r>
                <w:rPr>
                  <w:i/>
                  <w:iCs/>
                  <w:noProof/>
                </w:rPr>
                <w:t>Concrete Buildings C5, Technical Proposal to Revise the Engineering Assessment Guidelines, Vers. 1A, November 2018.</w:t>
              </w:r>
              <w:r>
                <w:rPr>
                  <w:noProof/>
                </w:rPr>
                <w:t xml:space="preserve"> Wellington: Ministry of Business, Innovation and Employment.</w:t>
              </w:r>
            </w:p>
            <w:p w14:paraId="52A35DA4" w14:textId="77777777" w:rsidR="00222D65" w:rsidRDefault="00222D65" w:rsidP="00222D65">
              <w:pPr>
                <w:pStyle w:val="Bibliography"/>
                <w:ind w:left="720" w:hanging="720"/>
                <w:rPr>
                  <w:noProof/>
                </w:rPr>
              </w:pPr>
              <w:r>
                <w:rPr>
                  <w:noProof/>
                </w:rPr>
                <w:t xml:space="preserve">NASH. (2019). </w:t>
              </w:r>
              <w:r>
                <w:rPr>
                  <w:i/>
                  <w:iCs/>
                  <w:noProof/>
                </w:rPr>
                <w:t>NASH Standard Part 2:2019 Light Steel Framed Buildings.</w:t>
              </w:r>
              <w:r>
                <w:rPr>
                  <w:noProof/>
                </w:rPr>
                <w:t xml:space="preserve"> National Association of Steel-Framed Housing Inc.</w:t>
              </w:r>
            </w:p>
            <w:p w14:paraId="604C4B19" w14:textId="77777777" w:rsidR="00222D65" w:rsidRDefault="00222D65" w:rsidP="00222D65">
              <w:pPr>
                <w:pStyle w:val="Bibliography"/>
                <w:ind w:left="720" w:hanging="720"/>
                <w:rPr>
                  <w:noProof/>
                </w:rPr>
              </w:pPr>
              <w:r>
                <w:rPr>
                  <w:noProof/>
                </w:rPr>
                <w:t xml:space="preserve">NZCIC. (2023). </w:t>
              </w:r>
              <w:r>
                <w:rPr>
                  <w:i/>
                  <w:iCs/>
                  <w:noProof/>
                </w:rPr>
                <w:t>NZCIC Design Guidelines 2023.</w:t>
              </w:r>
              <w:r>
                <w:rPr>
                  <w:noProof/>
                </w:rPr>
                <w:t xml:space="preserve"> New Zealand Construction Industry Council. Retrieved from https://nzcic.co.nz/resources/nzcic-guidelines/</w:t>
              </w:r>
            </w:p>
            <w:p w14:paraId="69E9D4D9" w14:textId="77777777" w:rsidR="00222D65" w:rsidRDefault="00222D65" w:rsidP="00222D65">
              <w:pPr>
                <w:pStyle w:val="Bibliography"/>
                <w:ind w:left="720" w:hanging="720"/>
                <w:rPr>
                  <w:noProof/>
                </w:rPr>
              </w:pPr>
              <w:r>
                <w:rPr>
                  <w:noProof/>
                </w:rPr>
                <w:t xml:space="preserve">NZGBC. (2023). </w:t>
              </w:r>
              <w:r>
                <w:rPr>
                  <w:i/>
                  <w:iCs/>
                  <w:noProof/>
                </w:rPr>
                <w:t>Life Cycle Impacts Calculator Guide, Version 1.0 - May 2023.</w:t>
              </w:r>
              <w:r>
                <w:rPr>
                  <w:noProof/>
                </w:rPr>
                <w:t xml:space="preserve"> New Zealand Green Building Council.</w:t>
              </w:r>
            </w:p>
            <w:p w14:paraId="4A976FB5" w14:textId="77777777" w:rsidR="00222D65" w:rsidRDefault="00222D65" w:rsidP="00222D65">
              <w:pPr>
                <w:pStyle w:val="Bibliography"/>
                <w:ind w:left="720" w:hanging="720"/>
                <w:rPr>
                  <w:noProof/>
                </w:rPr>
              </w:pPr>
              <w:r>
                <w:rPr>
                  <w:noProof/>
                </w:rPr>
                <w:t xml:space="preserve">NZGBC. (2024). </w:t>
              </w:r>
              <w:r>
                <w:rPr>
                  <w:i/>
                  <w:iCs/>
                  <w:noProof/>
                </w:rPr>
                <w:t>NZGBC Embodied Carbon Methodology, Version 2.0 - December 2024.</w:t>
              </w:r>
              <w:r>
                <w:rPr>
                  <w:noProof/>
                </w:rPr>
                <w:t xml:space="preserve"> New Zealand Green Building Council.</w:t>
              </w:r>
            </w:p>
            <w:p w14:paraId="2EA55BA8" w14:textId="77777777" w:rsidR="00222D65" w:rsidRDefault="00222D65" w:rsidP="00222D65">
              <w:pPr>
                <w:pStyle w:val="Bibliography"/>
                <w:ind w:left="720" w:hanging="720"/>
                <w:rPr>
                  <w:noProof/>
                </w:rPr>
              </w:pPr>
              <w:r>
                <w:rPr>
                  <w:noProof/>
                </w:rPr>
                <w:t xml:space="preserve">NZGS, MBIE. (2021). </w:t>
              </w:r>
              <w:r>
                <w:rPr>
                  <w:i/>
                  <w:iCs/>
                  <w:noProof/>
                </w:rPr>
                <w:t>Earthquake Geotechnical Earthquake Practice Modules 1-6, Rev. 1, November 2021.</w:t>
              </w:r>
              <w:r>
                <w:rPr>
                  <w:noProof/>
                </w:rPr>
                <w:t xml:space="preserve"> Wellington: New Zealand Geotechnical Society, Ministry of Business, Innovation and Employment.</w:t>
              </w:r>
            </w:p>
            <w:p w14:paraId="18B9FAE6" w14:textId="77777777" w:rsidR="00222D65" w:rsidRDefault="00222D65" w:rsidP="00222D65">
              <w:pPr>
                <w:pStyle w:val="Bibliography"/>
                <w:ind w:left="720" w:hanging="720"/>
                <w:rPr>
                  <w:noProof/>
                </w:rPr>
              </w:pPr>
              <w:r>
                <w:rPr>
                  <w:noProof/>
                </w:rPr>
                <w:t xml:space="preserve">NZSEE. (2009). </w:t>
              </w:r>
              <w:r>
                <w:rPr>
                  <w:i/>
                  <w:iCs/>
                  <w:noProof/>
                </w:rPr>
                <w:t>Recommednations of a NZSEE Study Group on Seismic Design of Storage Tanks, November 2009.</w:t>
              </w:r>
              <w:r>
                <w:rPr>
                  <w:noProof/>
                </w:rPr>
                <w:t xml:space="preserve"> New Zealand Society for Earthquake Engineering.</w:t>
              </w:r>
            </w:p>
            <w:p w14:paraId="31DB0C3E" w14:textId="77777777" w:rsidR="00222D65" w:rsidRDefault="00222D65" w:rsidP="00222D65">
              <w:pPr>
                <w:pStyle w:val="Bibliography"/>
                <w:ind w:left="720" w:hanging="720"/>
                <w:rPr>
                  <w:noProof/>
                </w:rPr>
              </w:pPr>
              <w:r>
                <w:rPr>
                  <w:noProof/>
                </w:rPr>
                <w:t xml:space="preserve">NZSEE. (2019). </w:t>
              </w:r>
              <w:r>
                <w:rPr>
                  <w:i/>
                  <w:iCs/>
                  <w:noProof/>
                </w:rPr>
                <w:t>Guideline for the Design of Seismic Isolation Systems for Buildings - June 2019 Draft for Trial Use.</w:t>
              </w:r>
              <w:r>
                <w:rPr>
                  <w:noProof/>
                </w:rPr>
                <w:t xml:space="preserve"> New Zealand Society for Earthquake Engineering.</w:t>
              </w:r>
            </w:p>
            <w:p w14:paraId="3B717353" w14:textId="77777777" w:rsidR="00222D65" w:rsidRDefault="00222D65" w:rsidP="00222D65">
              <w:pPr>
                <w:pStyle w:val="Bibliography"/>
                <w:ind w:left="720" w:hanging="720"/>
                <w:rPr>
                  <w:noProof/>
                </w:rPr>
              </w:pPr>
              <w:r>
                <w:rPr>
                  <w:noProof/>
                </w:rPr>
                <w:t xml:space="preserve">NZSEE, SESOC, NZGS. (2022, August). </w:t>
              </w:r>
              <w:r>
                <w:rPr>
                  <w:i/>
                  <w:iCs/>
                  <w:noProof/>
                </w:rPr>
                <w:t>Earthquake Design for Uncertainty: Advisory, Rev. 1.</w:t>
              </w:r>
              <w:r>
                <w:rPr>
                  <w:noProof/>
                </w:rPr>
                <w:t xml:space="preserve"> Retrieved August 24, 2022, from https://www.nzsee.org.nz/db/PUBS/Earthquake-Design-for-Uncertainty-Advisory_Rev1_August-2022-NZSEE-SESOC-NZGS.pdf</w:t>
              </w:r>
            </w:p>
            <w:p w14:paraId="0A6217F7" w14:textId="77777777" w:rsidR="00222D65" w:rsidRDefault="00222D65" w:rsidP="00222D65">
              <w:pPr>
                <w:pStyle w:val="Bibliography"/>
                <w:ind w:left="720" w:hanging="720"/>
                <w:rPr>
                  <w:noProof/>
                </w:rPr>
              </w:pPr>
              <w:r>
                <w:rPr>
                  <w:noProof/>
                </w:rPr>
                <w:t xml:space="preserve">Pratchett, M. (2022). </w:t>
              </w:r>
              <w:r>
                <w:rPr>
                  <w:i/>
                  <w:iCs/>
                  <w:noProof/>
                </w:rPr>
                <w:t>Using P21-tested Bracing Units Outside the Scope of NZS 3604, September 2022.</w:t>
              </w:r>
              <w:r>
                <w:rPr>
                  <w:noProof/>
                </w:rPr>
                <w:t xml:space="preserve"> Engineering New Zealand.</w:t>
              </w:r>
            </w:p>
            <w:p w14:paraId="703E05EA" w14:textId="77777777" w:rsidR="00222D65" w:rsidRDefault="00222D65" w:rsidP="00222D65">
              <w:pPr>
                <w:pStyle w:val="Bibliography"/>
                <w:ind w:left="720" w:hanging="720"/>
                <w:rPr>
                  <w:noProof/>
                </w:rPr>
              </w:pPr>
              <w:r>
                <w:rPr>
                  <w:noProof/>
                </w:rPr>
                <w:t xml:space="preserve">SESOC. (2010). </w:t>
              </w:r>
              <w:r>
                <w:rPr>
                  <w:i/>
                  <w:iCs/>
                  <w:noProof/>
                </w:rPr>
                <w:t>SESOC Practice Guideline: Independent Review of Structural Designs for Building Consent.</w:t>
              </w:r>
              <w:r>
                <w:rPr>
                  <w:noProof/>
                </w:rPr>
                <w:t xml:space="preserve"> Strutural Engineering Society of New Zealand.</w:t>
              </w:r>
            </w:p>
            <w:p w14:paraId="1675E223" w14:textId="77777777" w:rsidR="00222D65" w:rsidRDefault="00222D65" w:rsidP="00222D65">
              <w:pPr>
                <w:pStyle w:val="Bibliography"/>
                <w:ind w:left="720" w:hanging="720"/>
                <w:rPr>
                  <w:noProof/>
                </w:rPr>
              </w:pPr>
              <w:r>
                <w:rPr>
                  <w:noProof/>
                </w:rPr>
                <w:t xml:space="preserve">SESOC. (2022). </w:t>
              </w:r>
              <w:r>
                <w:rPr>
                  <w:i/>
                  <w:iCs/>
                  <w:noProof/>
                </w:rPr>
                <w:t>Interim Design Guidelines: Design of Conventional Structural Systems v11, October 2022.</w:t>
              </w:r>
              <w:r>
                <w:rPr>
                  <w:noProof/>
                </w:rPr>
                <w:t xml:space="preserve"> Strutural Engineering Society of New Zealand.</w:t>
              </w:r>
            </w:p>
            <w:p w14:paraId="43712391" w14:textId="77777777" w:rsidR="00222D65" w:rsidRDefault="00222D65" w:rsidP="00222D65">
              <w:pPr>
                <w:pStyle w:val="Bibliography"/>
                <w:ind w:left="720" w:hanging="720"/>
                <w:rPr>
                  <w:noProof/>
                </w:rPr>
              </w:pPr>
              <w:r>
                <w:rPr>
                  <w:noProof/>
                </w:rPr>
                <w:lastRenderedPageBreak/>
                <w:t xml:space="preserve">SESOC. (2024). </w:t>
              </w:r>
              <w:r>
                <w:rPr>
                  <w:i/>
                  <w:iCs/>
                  <w:noProof/>
                </w:rPr>
                <w:t>SESOC Low Carbon Design Resource Map.</w:t>
              </w:r>
              <w:r>
                <w:rPr>
                  <w:noProof/>
                </w:rPr>
                <w:t xml:space="preserve"> SESOC Sustainability Task Force. Retrieved from https://www.sesoc.org.nz/wp-content/uploads/2024/05/SESOC_BRANZ_Resource_Map_Printable.pdf</w:t>
              </w:r>
            </w:p>
            <w:p w14:paraId="666E5D1F" w14:textId="77777777" w:rsidR="00222D65" w:rsidRDefault="00222D65" w:rsidP="00222D65">
              <w:pPr>
                <w:pStyle w:val="Bibliography"/>
                <w:ind w:left="720" w:hanging="720"/>
                <w:rPr>
                  <w:noProof/>
                </w:rPr>
              </w:pPr>
              <w:r>
                <w:rPr>
                  <w:noProof/>
                </w:rPr>
                <w:t xml:space="preserve">SESOC. (2024). </w:t>
              </w:r>
              <w:r>
                <w:rPr>
                  <w:i/>
                  <w:iCs/>
                  <w:noProof/>
                </w:rPr>
                <w:t>Top Tips for Low Carbon Design, v1, May 2024.</w:t>
              </w:r>
              <w:r>
                <w:rPr>
                  <w:noProof/>
                </w:rPr>
                <w:t xml:space="preserve"> SESOC Sustainability Task Force. Retrieved from https://www.sesoc.org.nz/wp-content/uploads/2024/05/SESOC-Top-Tips_-V1-2024.pdf</w:t>
              </w:r>
            </w:p>
            <w:p w14:paraId="32F75A3C" w14:textId="77777777" w:rsidR="00222D65" w:rsidRDefault="00222D65" w:rsidP="00222D65">
              <w:pPr>
                <w:pStyle w:val="Bibliography"/>
                <w:ind w:left="720" w:hanging="720"/>
                <w:rPr>
                  <w:noProof/>
                </w:rPr>
              </w:pPr>
              <w:r>
                <w:rPr>
                  <w:noProof/>
                </w:rPr>
                <w:t xml:space="preserve">SESOC, NZSEE, NZGS. (2022, October). </w:t>
              </w:r>
              <w:r>
                <w:rPr>
                  <w:i/>
                  <w:iCs/>
                  <w:noProof/>
                </w:rPr>
                <w:t>Interim Advice on the 2022 National Seismic Hazard Model Release.</w:t>
              </w:r>
              <w:r>
                <w:rPr>
                  <w:noProof/>
                </w:rPr>
                <w:t xml:space="preserve"> Retrieved October 4, 2022, from https://www.nzsee.org.nz/db/PUBS/2022-NSHM-Advisory_Rev1.0_October-2022-SESOC-NZSEE-NZGS.pdf</w:t>
              </w:r>
            </w:p>
            <w:p w14:paraId="564D7FD2" w14:textId="77777777" w:rsidR="00222D65" w:rsidRDefault="00222D65" w:rsidP="00222D65">
              <w:pPr>
                <w:pStyle w:val="Bibliography"/>
                <w:ind w:left="720" w:hanging="720"/>
                <w:rPr>
                  <w:noProof/>
                </w:rPr>
              </w:pPr>
              <w:r>
                <w:rPr>
                  <w:noProof/>
                </w:rPr>
                <w:t xml:space="preserve">Smith, A. L., Hicks, S. J., &amp; Devine, P. J. (2009). </w:t>
              </w:r>
              <w:r>
                <w:rPr>
                  <w:i/>
                  <w:iCs/>
                  <w:noProof/>
                </w:rPr>
                <w:t>SCI P354: Design of Floors for Vibration: A New Approach (Revised Edition, February 2009).</w:t>
              </w:r>
              <w:r>
                <w:rPr>
                  <w:noProof/>
                </w:rPr>
                <w:t xml:space="preserve"> Steel Construction Institute (UK).</w:t>
              </w:r>
            </w:p>
            <w:p w14:paraId="762D74D3" w14:textId="77777777" w:rsidR="00222D65" w:rsidRDefault="00222D65" w:rsidP="00222D65">
              <w:pPr>
                <w:pStyle w:val="Bibliography"/>
                <w:ind w:left="720" w:hanging="720"/>
                <w:rPr>
                  <w:noProof/>
                </w:rPr>
              </w:pPr>
              <w:r>
                <w:rPr>
                  <w:noProof/>
                </w:rPr>
                <w:t xml:space="preserve">SNZ. (2000). </w:t>
              </w:r>
              <w:r>
                <w:rPr>
                  <w:i/>
                  <w:iCs/>
                  <w:noProof/>
                </w:rPr>
                <w:t>AS/NZS 2785:2000 Suspended Ceilings - Design and Installation.</w:t>
              </w:r>
              <w:r>
                <w:rPr>
                  <w:noProof/>
                </w:rPr>
                <w:t xml:space="preserve"> Wellington: Standards New Zealand.</w:t>
              </w:r>
            </w:p>
            <w:p w14:paraId="48E7C52D" w14:textId="77777777" w:rsidR="00222D65" w:rsidRDefault="00222D65" w:rsidP="00222D65">
              <w:pPr>
                <w:pStyle w:val="Bibliography"/>
                <w:ind w:left="720" w:hanging="720"/>
                <w:rPr>
                  <w:noProof/>
                </w:rPr>
              </w:pPr>
              <w:r>
                <w:rPr>
                  <w:noProof/>
                </w:rPr>
                <w:t xml:space="preserve">SNZ. (2009). </w:t>
              </w:r>
              <w:r>
                <w:rPr>
                  <w:i/>
                  <w:iCs/>
                  <w:noProof/>
                </w:rPr>
                <w:t>AS/NZS 1170.1:2002 Inc. Amd. 1-2 Stru tural Design Actions - Part 1: Permanent, Imposed and other actions.</w:t>
              </w:r>
              <w:r>
                <w:rPr>
                  <w:noProof/>
                </w:rPr>
                <w:t xml:space="preserve"> Standards New Zealand.</w:t>
              </w:r>
            </w:p>
            <w:p w14:paraId="7E84395E" w14:textId="77777777" w:rsidR="00222D65" w:rsidRDefault="00222D65" w:rsidP="00222D65">
              <w:pPr>
                <w:pStyle w:val="Bibliography"/>
                <w:ind w:left="720" w:hanging="720"/>
                <w:rPr>
                  <w:noProof/>
                </w:rPr>
              </w:pPr>
              <w:r>
                <w:rPr>
                  <w:noProof/>
                </w:rPr>
                <w:t xml:space="preserve">SNZ. (2009). </w:t>
              </w:r>
              <w:r>
                <w:rPr>
                  <w:i/>
                  <w:iCs/>
                  <w:noProof/>
                </w:rPr>
                <w:t>NZS 4219:2009 Seismic Performance of Engineering Systems in Buildings.</w:t>
              </w:r>
              <w:r>
                <w:rPr>
                  <w:noProof/>
                </w:rPr>
                <w:t xml:space="preserve"> Wellington: Standards New Zealand.</w:t>
              </w:r>
            </w:p>
            <w:p w14:paraId="3199CC2D" w14:textId="77777777" w:rsidR="00222D65" w:rsidRDefault="00222D65" w:rsidP="00222D65">
              <w:pPr>
                <w:pStyle w:val="Bibliography"/>
                <w:ind w:left="720" w:hanging="720"/>
                <w:rPr>
                  <w:noProof/>
                </w:rPr>
              </w:pPr>
              <w:r>
                <w:rPr>
                  <w:noProof/>
                </w:rPr>
                <w:t xml:space="preserve">SNZ. (2011). </w:t>
              </w:r>
              <w:r>
                <w:rPr>
                  <w:i/>
                  <w:iCs/>
                  <w:noProof/>
                </w:rPr>
                <w:t>AS/NZS 1170.0:2002 Inc. Amd. 1-5 Structural Design Actions - Part 0: General Principles.</w:t>
              </w:r>
              <w:r>
                <w:rPr>
                  <w:noProof/>
                </w:rPr>
                <w:t xml:space="preserve"> Standards New Zealand.</w:t>
              </w:r>
            </w:p>
            <w:p w14:paraId="743AAC17" w14:textId="77777777" w:rsidR="00222D65" w:rsidRDefault="00222D65" w:rsidP="00222D65">
              <w:pPr>
                <w:pStyle w:val="Bibliography"/>
                <w:ind w:left="720" w:hanging="720"/>
                <w:rPr>
                  <w:noProof/>
                </w:rPr>
              </w:pPr>
              <w:r>
                <w:rPr>
                  <w:noProof/>
                </w:rPr>
                <w:t xml:space="preserve">SNZ. (2011). </w:t>
              </w:r>
              <w:r>
                <w:rPr>
                  <w:i/>
                  <w:iCs/>
                  <w:noProof/>
                </w:rPr>
                <w:t>NZS 3604:2011 Timber-framed buildings.</w:t>
              </w:r>
              <w:r>
                <w:rPr>
                  <w:noProof/>
                </w:rPr>
                <w:t xml:space="preserve"> Standards New Zealand.</w:t>
              </w:r>
            </w:p>
            <w:p w14:paraId="09E8F515" w14:textId="77777777" w:rsidR="00222D65" w:rsidRDefault="00222D65" w:rsidP="00222D65">
              <w:pPr>
                <w:pStyle w:val="Bibliography"/>
                <w:ind w:left="720" w:hanging="720"/>
                <w:rPr>
                  <w:noProof/>
                </w:rPr>
              </w:pPr>
              <w:r>
                <w:rPr>
                  <w:noProof/>
                </w:rPr>
                <w:t xml:space="preserve">SNZ. (2017). </w:t>
              </w:r>
              <w:r>
                <w:rPr>
                  <w:i/>
                  <w:iCs/>
                  <w:noProof/>
                </w:rPr>
                <w:t>NZS 3101:2006 Inc. Amd. 1-3 Concrete Structures Standard.</w:t>
              </w:r>
              <w:r>
                <w:rPr>
                  <w:noProof/>
                </w:rPr>
                <w:t xml:space="preserve"> Standards New Zealand.</w:t>
              </w:r>
            </w:p>
            <w:p w14:paraId="490ECA85" w14:textId="77777777" w:rsidR="00222D65" w:rsidRDefault="00222D65" w:rsidP="00222D65">
              <w:pPr>
                <w:pStyle w:val="Bibliography"/>
                <w:ind w:left="720" w:hanging="720"/>
                <w:rPr>
                  <w:noProof/>
                </w:rPr>
              </w:pPr>
              <w:r>
                <w:rPr>
                  <w:noProof/>
                </w:rPr>
                <w:t xml:space="preserve">SNZ. (2018). </w:t>
              </w:r>
              <w:r>
                <w:rPr>
                  <w:i/>
                  <w:iCs/>
                  <w:noProof/>
                </w:rPr>
                <w:t>SNZ TS 3404:2018 Durability Requirements for Steel Structures and Components.</w:t>
              </w:r>
              <w:r>
                <w:rPr>
                  <w:noProof/>
                </w:rPr>
                <w:t xml:space="preserve"> Standards New Zealand.</w:t>
              </w:r>
            </w:p>
            <w:p w14:paraId="577C2A61" w14:textId="77777777" w:rsidR="00222D65" w:rsidRDefault="00222D65" w:rsidP="00222D65">
              <w:pPr>
                <w:pStyle w:val="Bibliography"/>
                <w:ind w:left="720" w:hanging="720"/>
                <w:rPr>
                  <w:noProof/>
                </w:rPr>
              </w:pPr>
              <w:r>
                <w:rPr>
                  <w:noProof/>
                </w:rPr>
                <w:t xml:space="preserve">SPUR. (2012). </w:t>
              </w:r>
              <w:r>
                <w:rPr>
                  <w:i/>
                  <w:iCs/>
                  <w:noProof/>
                </w:rPr>
                <w:t>Spur Report 01/2012 Safe Enough to Stay.</w:t>
              </w:r>
              <w:r>
                <w:rPr>
                  <w:noProof/>
                </w:rPr>
                <w:t xml:space="preserve"> San Fransisco: San Francisco Bay Area Planning and Urban Rescue Association. Retrieved from https://www.spur.org/sites/default/files/2013-09/SPUR_Safe_Enough_to_Stay.pdf</w:t>
              </w:r>
            </w:p>
            <w:p w14:paraId="5172B1D0" w14:textId="77777777" w:rsidR="00222D65" w:rsidRDefault="00222D65" w:rsidP="00222D65">
              <w:pPr>
                <w:pStyle w:val="Bibliography"/>
                <w:ind w:left="720" w:hanging="720"/>
                <w:rPr>
                  <w:noProof/>
                </w:rPr>
              </w:pPr>
              <w:r>
                <w:rPr>
                  <w:noProof/>
                </w:rPr>
                <w:t xml:space="preserve">Te Whatu Ora. (2022). </w:t>
              </w:r>
              <w:r>
                <w:rPr>
                  <w:i/>
                  <w:iCs/>
                  <w:noProof/>
                </w:rPr>
                <w:t>NZ Health Facility Design Guidance Note DGN V2.0: NZ Health Facility Design, September 2022.</w:t>
              </w:r>
              <w:r>
                <w:rPr>
                  <w:noProof/>
                </w:rPr>
                <w:t xml:space="preserve"> Te Whatu Ora. Retrieved from https://www.tewhatuora.govt.nz/publications/health-facility-design-guidance-note/</w:t>
              </w:r>
            </w:p>
            <w:p w14:paraId="381C6BF4" w14:textId="77777777" w:rsidR="00222D65" w:rsidRDefault="00222D65" w:rsidP="00222D65">
              <w:pPr>
                <w:pStyle w:val="Bibliography"/>
                <w:ind w:left="720" w:hanging="720"/>
                <w:rPr>
                  <w:noProof/>
                </w:rPr>
              </w:pPr>
              <w:r>
                <w:rPr>
                  <w:noProof/>
                </w:rPr>
                <w:t xml:space="preserve">Te Whatu Ora. (2024). </w:t>
              </w:r>
              <w:r>
                <w:rPr>
                  <w:i/>
                  <w:iCs/>
                  <w:noProof/>
                </w:rPr>
                <w:t>Fire Engineering Design for New Zealand Public Hospitals - Design Guidance Version 1, 1 July 2024.</w:t>
              </w:r>
              <w:r>
                <w:rPr>
                  <w:noProof/>
                </w:rPr>
                <w:t xml:space="preserve"> Te Whatu Ora.</w:t>
              </w:r>
            </w:p>
            <w:p w14:paraId="35663EFE" w14:textId="77777777" w:rsidR="00222D65" w:rsidRDefault="00222D65" w:rsidP="00222D65">
              <w:pPr>
                <w:pStyle w:val="Bibliography"/>
                <w:ind w:left="720" w:hanging="720"/>
                <w:rPr>
                  <w:noProof/>
                </w:rPr>
              </w:pPr>
              <w:r>
                <w:rPr>
                  <w:noProof/>
                </w:rPr>
                <w:t xml:space="preserve">Te Whatu Ora. (2024). </w:t>
              </w:r>
              <w:r>
                <w:rPr>
                  <w:i/>
                  <w:iCs/>
                  <w:noProof/>
                </w:rPr>
                <w:t>Te Whatu Ora Seismic Policy HNZ7001, February 2024.</w:t>
              </w:r>
              <w:r>
                <w:rPr>
                  <w:noProof/>
                </w:rPr>
                <w:t xml:space="preserve"> Te Whatu Ora | Health NZ, Infrastruture and Investment Group.</w:t>
              </w:r>
            </w:p>
            <w:p w14:paraId="2E8B5776" w14:textId="77777777" w:rsidR="00222D65" w:rsidRDefault="00222D65" w:rsidP="00222D65">
              <w:pPr>
                <w:pStyle w:val="Bibliography"/>
                <w:ind w:left="720" w:hanging="720"/>
                <w:rPr>
                  <w:noProof/>
                </w:rPr>
              </w:pPr>
              <w:r>
                <w:rPr>
                  <w:noProof/>
                </w:rPr>
                <w:lastRenderedPageBreak/>
                <w:t xml:space="preserve">Te Whatu Ora, Te Aka Whai Ora. (2022). </w:t>
              </w:r>
              <w:r>
                <w:rPr>
                  <w:i/>
                  <w:iCs/>
                  <w:noProof/>
                </w:rPr>
                <w:t>Te Pae Tata Interim New Zealand Health Plan, October 2022.</w:t>
              </w:r>
              <w:r>
                <w:rPr>
                  <w:noProof/>
                </w:rPr>
                <w:t xml:space="preserve"> Te Whatu Ora - Maori Health Authority, Te Aka Whai Ora - Health New Zealand.</w:t>
              </w:r>
            </w:p>
            <w:p w14:paraId="32A724C2" w14:textId="77777777" w:rsidR="00222D65" w:rsidRDefault="00222D65" w:rsidP="00222D65">
              <w:pPr>
                <w:pStyle w:val="Bibliography"/>
                <w:ind w:left="720" w:hanging="720"/>
                <w:rPr>
                  <w:noProof/>
                </w:rPr>
              </w:pPr>
              <w:r>
                <w:rPr>
                  <w:noProof/>
                </w:rPr>
                <w:t xml:space="preserve">Watson, N. (2020, August). Lean Design: 10 things to do now. </w:t>
              </w:r>
              <w:r>
                <w:rPr>
                  <w:i/>
                  <w:iCs/>
                  <w:noProof/>
                </w:rPr>
                <w:t>The Structural Engineer</w:t>
              </w:r>
              <w:r>
                <w:rPr>
                  <w:noProof/>
                </w:rPr>
                <w:t>, pp. 12-14.</w:t>
              </w:r>
            </w:p>
            <w:p w14:paraId="5139E69D" w14:textId="77777777" w:rsidR="00222D65" w:rsidRDefault="00222D65" w:rsidP="00222D65">
              <w:pPr>
                <w:pStyle w:val="Bibliography"/>
                <w:ind w:left="720" w:hanging="720"/>
                <w:rPr>
                  <w:noProof/>
                </w:rPr>
              </w:pPr>
              <w:r>
                <w:rPr>
                  <w:noProof/>
                </w:rPr>
                <w:t xml:space="preserve">Wilford, M. R., &amp; Young, P. (2006). </w:t>
              </w:r>
              <w:r>
                <w:rPr>
                  <w:i/>
                  <w:iCs/>
                  <w:noProof/>
                </w:rPr>
                <w:t>CCIP-016 A Design Guide for Footfall Induced Vibration of Structures.</w:t>
              </w:r>
              <w:r>
                <w:rPr>
                  <w:noProof/>
                </w:rPr>
                <w:t xml:space="preserve"> The Concrete Society, UK on behalf of the Cement and Concrete Industry Publications Forum.</w:t>
              </w:r>
            </w:p>
            <w:p w14:paraId="23C2ED3D" w14:textId="7FB1B8F8" w:rsidR="000673D8" w:rsidRDefault="00A93932" w:rsidP="00222D65">
              <w:pPr>
                <w:pStyle w:val="Bibliography"/>
                <w:sectPr w:rsidR="000673D8" w:rsidSect="003A3B9A">
                  <w:headerReference w:type="default" r:id="rId131"/>
                  <w:footerReference w:type="default" r:id="rId132"/>
                  <w:footnotePr>
                    <w:numRestart w:val="eachPage"/>
                  </w:footnotePr>
                  <w:pgSz w:w="11906" w:h="16838"/>
                  <w:pgMar w:top="1560" w:right="1134" w:bottom="1418" w:left="1134" w:header="709" w:footer="709" w:gutter="0"/>
                  <w:cols w:space="708"/>
                  <w:docGrid w:linePitch="360"/>
                </w:sectPr>
              </w:pPr>
              <w:r w:rsidRPr="003E3FEA">
                <w:rPr>
                  <w:b/>
                  <w:bCs/>
                  <w:noProof/>
                </w:rPr>
                <w:fldChar w:fldCharType="end"/>
              </w:r>
            </w:p>
          </w:sdtContent>
        </w:sdt>
      </w:sdtContent>
    </w:sdt>
    <w:p w14:paraId="2D73F162" w14:textId="1B832E4C" w:rsidR="00062E6A" w:rsidRPr="00BE5F7C" w:rsidRDefault="00BB4125" w:rsidP="00BE5F7C">
      <w:pPr>
        <w:pStyle w:val="Dividerheading"/>
        <w:ind w:left="0"/>
        <w:rPr>
          <w:color w:val="660033"/>
        </w:rPr>
      </w:pPr>
      <w:bookmarkStart w:id="383" w:name="_Toc203642014"/>
      <w:r w:rsidRPr="00363B9E">
        <w:rPr>
          <w:noProof/>
          <w:color w:val="FFFFFF" w:themeColor="accent6"/>
          <w14:ligatures w14:val="none"/>
        </w:rPr>
        <w:lastRenderedPageBreak/>
        <w:drawing>
          <wp:anchor distT="0" distB="0" distL="114300" distR="114300" simplePos="0" relativeHeight="251658246" behindDoc="1" locked="0" layoutInCell="1" allowOverlap="1" wp14:anchorId="1293DD93" wp14:editId="11302F41">
            <wp:simplePos x="0" y="0"/>
            <wp:positionH relativeFrom="column">
              <wp:posOffset>-698500</wp:posOffset>
            </wp:positionH>
            <wp:positionV relativeFrom="paragraph">
              <wp:posOffset>-972185</wp:posOffset>
            </wp:positionV>
            <wp:extent cx="7559999" cy="9598547"/>
            <wp:effectExtent l="0" t="0" r="3175" b="3175"/>
            <wp:wrapNone/>
            <wp:docPr id="180400070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00707" name="Picture 8">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val="0"/>
                        </a:ext>
                      </a:extLst>
                    </a:blip>
                    <a:stretch>
                      <a:fillRect/>
                    </a:stretch>
                  </pic:blipFill>
                  <pic:spPr>
                    <a:xfrm>
                      <a:off x="0" y="0"/>
                      <a:ext cx="7559999" cy="9598547"/>
                    </a:xfrm>
                    <a:prstGeom prst="rect">
                      <a:avLst/>
                    </a:prstGeom>
                  </pic:spPr>
                </pic:pic>
              </a:graphicData>
            </a:graphic>
            <wp14:sizeRelH relativeFrom="page">
              <wp14:pctWidth>0</wp14:pctWidth>
            </wp14:sizeRelH>
            <wp14:sizeRelV relativeFrom="page">
              <wp14:pctHeight>0</wp14:pctHeight>
            </wp14:sizeRelV>
          </wp:anchor>
        </w:drawing>
      </w:r>
      <w:r w:rsidR="00915065" w:rsidRPr="00BE5F7C">
        <w:rPr>
          <w:color w:val="660033"/>
        </w:rPr>
        <w:t>Appendice</w:t>
      </w:r>
      <w:r w:rsidR="00BE5F7C" w:rsidRPr="00BE5F7C">
        <w:rPr>
          <w:color w:val="660033"/>
        </w:rPr>
        <w:t>s</w:t>
      </w:r>
      <w:bookmarkEnd w:id="383"/>
    </w:p>
    <w:p w14:paraId="3295AE3D" w14:textId="77777777" w:rsidR="00062E6A" w:rsidRDefault="00062E6A">
      <w:pPr>
        <w:rPr>
          <w:rFonts w:eastAsiaTheme="majorEastAsia" w:cs="Arial"/>
          <w:b/>
          <w:color w:val="15284C" w:themeColor="text2"/>
          <w:sz w:val="52"/>
          <w:szCs w:val="32"/>
        </w:rPr>
      </w:pPr>
      <w:r>
        <w:br w:type="page"/>
      </w:r>
    </w:p>
    <w:p w14:paraId="7329E276" w14:textId="78CC7CCF" w:rsidR="00176157" w:rsidRPr="00F301A3" w:rsidRDefault="00BB4125" w:rsidP="00C40AC7">
      <w:pPr>
        <w:pStyle w:val="Section6Heading1"/>
      </w:pPr>
      <w:bookmarkStart w:id="384" w:name="Appendix_1"/>
      <w:bookmarkStart w:id="385" w:name="_Ref179555291"/>
      <w:bookmarkStart w:id="386" w:name="Appendix_1_Full_title"/>
      <w:bookmarkStart w:id="387" w:name="_Toc203642015"/>
      <w:r w:rsidRPr="00F301A3">
        <w:lastRenderedPageBreak/>
        <w:t>Appendix 1</w:t>
      </w:r>
      <w:bookmarkEnd w:id="384"/>
      <w:r w:rsidRPr="00F301A3">
        <w:t xml:space="preserve">. </w:t>
      </w:r>
      <w:r w:rsidR="00176157" w:rsidRPr="00C40AC7">
        <w:t>Campus</w:t>
      </w:r>
      <w:r w:rsidR="00176157" w:rsidRPr="00F301A3">
        <w:t xml:space="preserve"> Earthquake Resilience (Structural Considerations)</w:t>
      </w:r>
      <w:bookmarkEnd w:id="385"/>
      <w:bookmarkEnd w:id="386"/>
      <w:bookmarkEnd w:id="387"/>
    </w:p>
    <w:p w14:paraId="1A2F353C" w14:textId="6BA497C8" w:rsidR="00C67A58" w:rsidRPr="00A43A21" w:rsidRDefault="000C60B6" w:rsidP="00A35E3C">
      <w:pPr>
        <w:pStyle w:val="Section6Heading2"/>
      </w:pPr>
      <w:bookmarkStart w:id="388" w:name="_Toc203642016"/>
      <w:r w:rsidRPr="00A43A21">
        <w:t>Purpose of this Information</w:t>
      </w:r>
      <w:bookmarkEnd w:id="388"/>
    </w:p>
    <w:p w14:paraId="477D135F" w14:textId="00D8D2F0" w:rsidR="007D61A9" w:rsidRDefault="008A7147" w:rsidP="00666E06">
      <w:r>
        <w:t xml:space="preserve">The content </w:t>
      </w:r>
      <w:r w:rsidR="00692A3E">
        <w:t xml:space="preserve">in Parts A to C </w:t>
      </w:r>
      <w:r>
        <w:t xml:space="preserve">of this guideline </w:t>
      </w:r>
      <w:r w:rsidR="00330AD3">
        <w:t xml:space="preserve">are </w:t>
      </w:r>
      <w:r>
        <w:t>generall</w:t>
      </w:r>
      <w:r w:rsidR="00692A3E">
        <w:t>y appl</w:t>
      </w:r>
      <w:r w:rsidR="00330AD3">
        <w:t>ied</w:t>
      </w:r>
      <w:r w:rsidR="00692A3E">
        <w:t xml:space="preserve"> </w:t>
      </w:r>
      <w:r w:rsidR="00330AD3">
        <w:t>in</w:t>
      </w:r>
      <w:r w:rsidR="000E6CF5">
        <w:t xml:space="preserve"> the context of an engagement to carry out a </w:t>
      </w:r>
      <w:r w:rsidR="000E527E">
        <w:t>single building or alteration project</w:t>
      </w:r>
      <w:r w:rsidR="00692A3E">
        <w:t xml:space="preserve">. </w:t>
      </w:r>
      <w:r w:rsidR="00607492">
        <w:t>Th</w:t>
      </w:r>
      <w:r w:rsidR="00052016">
        <w:t>e reference</w:t>
      </w:r>
      <w:r w:rsidR="00607492">
        <w:t xml:space="preserve"> information in this appendix is </w:t>
      </w:r>
      <w:r w:rsidR="00452114">
        <w:t>intended</w:t>
      </w:r>
      <w:r w:rsidR="00607492">
        <w:t xml:space="preserve"> to support </w:t>
      </w:r>
      <w:r>
        <w:t xml:space="preserve">wider </w:t>
      </w:r>
      <w:r w:rsidR="00052016">
        <w:t>considerations</w:t>
      </w:r>
      <w:r w:rsidR="00607492">
        <w:t xml:space="preserve"> </w:t>
      </w:r>
      <w:r>
        <w:t>around campus resilience.</w:t>
      </w:r>
      <w:r w:rsidR="00047B32">
        <w:t xml:space="preserve"> It is expected that the information will be </w:t>
      </w:r>
      <w:r w:rsidR="00452114">
        <w:t>referenced</w:t>
      </w:r>
      <w:r w:rsidR="00047B32">
        <w:t xml:space="preserve"> by:</w:t>
      </w:r>
    </w:p>
    <w:p w14:paraId="5D97C668" w14:textId="11AFB487" w:rsidR="00047B32" w:rsidRDefault="00047B32" w:rsidP="004D55F1">
      <w:pPr>
        <w:pStyle w:val="ListParagraph"/>
        <w:numPr>
          <w:ilvl w:val="0"/>
          <w:numId w:val="104"/>
        </w:numPr>
      </w:pPr>
      <w:r>
        <w:t>Masterplanning teams, and specifically, by structural and geotechnical engineers providing advice as part of masterplanning work or business case development</w:t>
      </w:r>
      <w:r w:rsidR="00290778">
        <w:t xml:space="preserve"> (refer to Section </w:t>
      </w:r>
      <w:r w:rsidR="00290778">
        <w:fldChar w:fldCharType="begin"/>
      </w:r>
      <w:r w:rsidR="00290778">
        <w:instrText xml:space="preserve"> REF _Ref160119380 \r \h </w:instrText>
      </w:r>
      <w:r w:rsidR="00290778">
        <w:fldChar w:fldCharType="separate"/>
      </w:r>
      <w:r w:rsidR="000761C1">
        <w:t>A1.7</w:t>
      </w:r>
      <w:r w:rsidR="00290778">
        <w:fldChar w:fldCharType="end"/>
      </w:r>
      <w:r w:rsidR="00290778">
        <w:t xml:space="preserve"> </w:t>
      </w:r>
      <w:r w:rsidR="00290778">
        <w:fldChar w:fldCharType="begin"/>
      </w:r>
      <w:r w:rsidR="00290778">
        <w:instrText xml:space="preserve"> REF _Ref160119380 \h </w:instrText>
      </w:r>
      <w:r w:rsidR="00290778">
        <w:fldChar w:fldCharType="separate"/>
      </w:r>
      <w:r w:rsidR="000761C1" w:rsidRPr="005B2E8D">
        <w:t>Masterplanning and Site Context</w:t>
      </w:r>
      <w:r w:rsidR="00290778">
        <w:fldChar w:fldCharType="end"/>
      </w:r>
      <w:r w:rsidR="00290778">
        <w:t>)</w:t>
      </w:r>
      <w:r w:rsidR="000D7AB0">
        <w:t>.</w:t>
      </w:r>
    </w:p>
    <w:p w14:paraId="1734A805" w14:textId="3509F099" w:rsidR="000D7AB0" w:rsidRDefault="000D7AB0" w:rsidP="004D55F1">
      <w:pPr>
        <w:pStyle w:val="ListParagraph"/>
        <w:numPr>
          <w:ilvl w:val="0"/>
          <w:numId w:val="104"/>
        </w:numPr>
      </w:pPr>
      <w:r>
        <w:t xml:space="preserve">By </w:t>
      </w:r>
      <w:r w:rsidR="00AC5EFA">
        <w:t xml:space="preserve">engineers giving advice to </w:t>
      </w:r>
      <w:r>
        <w:t xml:space="preserve">hospital emergency </w:t>
      </w:r>
      <w:r w:rsidR="004364B0">
        <w:t>management</w:t>
      </w:r>
      <w:r>
        <w:t xml:space="preserve"> </w:t>
      </w:r>
      <w:r w:rsidR="004364B0">
        <w:t>teams</w:t>
      </w:r>
      <w:r>
        <w:t>, when</w:t>
      </w:r>
      <w:r w:rsidR="00452114">
        <w:t xml:space="preserve"> </w:t>
      </w:r>
      <w:r w:rsidR="004364B0">
        <w:t>updating emergency planning</w:t>
      </w:r>
      <w:r w:rsidR="00AC5EFA">
        <w:t xml:space="preserve"> for earthquake scenarios.</w:t>
      </w:r>
    </w:p>
    <w:p w14:paraId="366E8E1C" w14:textId="33629A6A" w:rsidR="00290778" w:rsidRPr="007D61A9" w:rsidRDefault="00AC5EFA" w:rsidP="004D55F1">
      <w:pPr>
        <w:pStyle w:val="ListParagraph"/>
        <w:numPr>
          <w:ilvl w:val="0"/>
          <w:numId w:val="104"/>
        </w:numPr>
      </w:pPr>
      <w:r>
        <w:t xml:space="preserve">By design teams on projects, </w:t>
      </w:r>
      <w:r w:rsidR="00792F6F">
        <w:t xml:space="preserve">when </w:t>
      </w:r>
      <w:r w:rsidR="00350D3A">
        <w:t xml:space="preserve">making specific decisions </w:t>
      </w:r>
      <w:r w:rsidR="00792F6F">
        <w:t xml:space="preserve">that impact sitewide resilience </w:t>
      </w:r>
      <w:r w:rsidR="00935123">
        <w:t>or managing/highlighting risks that are outside the project</w:t>
      </w:r>
      <w:r w:rsidR="00792F6F">
        <w:t xml:space="preserve"> scope</w:t>
      </w:r>
      <w:r w:rsidR="00935123">
        <w:t xml:space="preserve"> boundary.</w:t>
      </w:r>
    </w:p>
    <w:p w14:paraId="28E1AC00" w14:textId="198F5BE7" w:rsidR="00176157" w:rsidRDefault="00176157" w:rsidP="00A35E3C">
      <w:pPr>
        <w:pStyle w:val="Section6Heading2"/>
      </w:pPr>
      <w:bookmarkStart w:id="389" w:name="_Ref180130876"/>
      <w:bookmarkStart w:id="390" w:name="_Ref180324178"/>
      <w:bookmarkStart w:id="391" w:name="_Ref180393885"/>
      <w:bookmarkStart w:id="392" w:name="_Toc203642017"/>
      <w:r w:rsidRPr="006B657B">
        <w:t>Adjacencies—</w:t>
      </w:r>
      <w:r w:rsidRPr="00A35E3C">
        <w:t>Managing</w:t>
      </w:r>
      <w:r w:rsidRPr="006B657B">
        <w:t xml:space="preserve"> Physical Risks Posed by Adjacent Structures</w:t>
      </w:r>
      <w:bookmarkEnd w:id="389"/>
      <w:bookmarkEnd w:id="390"/>
      <w:bookmarkEnd w:id="391"/>
      <w:bookmarkEnd w:id="392"/>
    </w:p>
    <w:p w14:paraId="74903B76" w14:textId="77777777" w:rsidR="00176157" w:rsidRPr="00AB3B5B" w:rsidRDefault="00176157" w:rsidP="00A35E3C">
      <w:pPr>
        <w:pStyle w:val="Section6Heading3"/>
      </w:pPr>
      <w:bookmarkStart w:id="393" w:name="_Ref179555930"/>
      <w:r w:rsidRPr="00AB3B5B">
        <w:t>General</w:t>
      </w:r>
      <w:bookmarkEnd w:id="393"/>
    </w:p>
    <w:p w14:paraId="5C46184C" w14:textId="6E1126D2" w:rsidR="00176157" w:rsidRPr="006B657B" w:rsidRDefault="00176157" w:rsidP="00666E06">
      <w:r w:rsidRPr="006B657B">
        <w:t>It is important to consider how the earthquake performance of adjacent buildings</w:t>
      </w:r>
      <w:r w:rsidR="00110B5B">
        <w:t xml:space="preserve"> or structures</w:t>
      </w:r>
      <w:r w:rsidRPr="006B657B">
        <w:t xml:space="preserve"> can affect earthquake performance and risk across a hospital campus. These considerations are especially important as part of masterplanning and business case development. This is the best time to review earthquake risks related to building adjacencies (across various options) and allows project scopes and timeframes to be defined accordingly.</w:t>
      </w:r>
    </w:p>
    <w:p w14:paraId="081F1453" w14:textId="06E2E722" w:rsidR="00176157" w:rsidRDefault="00070115" w:rsidP="00666E06">
      <w:r>
        <w:t>S</w:t>
      </w:r>
      <w:r w:rsidR="00176157" w:rsidRPr="006B657B">
        <w:t>ection</w:t>
      </w:r>
      <w:r>
        <w:t xml:space="preserve"> </w:t>
      </w:r>
      <w:r w:rsidR="003460BD">
        <w:fldChar w:fldCharType="begin"/>
      </w:r>
      <w:r w:rsidR="003460BD">
        <w:instrText xml:space="preserve"> REF _Ref180130876 \r \h </w:instrText>
      </w:r>
      <w:r w:rsidR="003460BD">
        <w:fldChar w:fldCharType="separate"/>
      </w:r>
      <w:r w:rsidR="000761C1">
        <w:t>1.2</w:t>
      </w:r>
      <w:r w:rsidR="003460BD">
        <w:fldChar w:fldCharType="end"/>
      </w:r>
      <w:r w:rsidR="003460BD">
        <w:t xml:space="preserve"> </w:t>
      </w:r>
      <w:r w:rsidR="00176157" w:rsidRPr="006B657B">
        <w:t xml:space="preserve">deals with physical risk (to people) posed by adjacent buildings or structures. </w:t>
      </w:r>
      <w:r w:rsidR="0011457E">
        <w:t xml:space="preserve">The </w:t>
      </w:r>
      <w:r w:rsidR="007E0808">
        <w:t xml:space="preserve">wording generally refers to buildings—but </w:t>
      </w:r>
      <w:r w:rsidR="0021563E">
        <w:t xml:space="preserve">can </w:t>
      </w:r>
      <w:r w:rsidR="007E0808">
        <w:t>appl</w:t>
      </w:r>
      <w:r w:rsidR="0021563E">
        <w:t>y</w:t>
      </w:r>
      <w:r w:rsidR="007E0808">
        <w:t xml:space="preserve"> similar</w:t>
      </w:r>
      <w:r w:rsidR="00E86E5C">
        <w:t>ly</w:t>
      </w:r>
      <w:r w:rsidR="007E0808">
        <w:t xml:space="preserve"> to some other large structures, such as tall chimneys. </w:t>
      </w:r>
      <w:r w:rsidR="00176157" w:rsidRPr="006B657B">
        <w:t>External dependencies to network utilities, and dependencies on services and engineering systems in or passing through other buildings in a hospital campus are discussed in Section</w:t>
      </w:r>
      <w:r w:rsidR="00AE472F">
        <w:t xml:space="preserve"> </w:t>
      </w:r>
      <w:r w:rsidR="00AE472F">
        <w:fldChar w:fldCharType="begin"/>
      </w:r>
      <w:r w:rsidR="00AE472F">
        <w:instrText xml:space="preserve"> REF _Ref179555824 \r \h </w:instrText>
      </w:r>
      <w:r w:rsidR="00AE472F">
        <w:fldChar w:fldCharType="separate"/>
      </w:r>
      <w:r w:rsidR="000761C1">
        <w:t>1.3</w:t>
      </w:r>
      <w:r w:rsidR="00AE472F">
        <w:fldChar w:fldCharType="end"/>
      </w:r>
      <w:r w:rsidR="00176157" w:rsidRPr="006B657B">
        <w:t>.</w:t>
      </w:r>
    </w:p>
    <w:p w14:paraId="3494A07F" w14:textId="34DEAFC3" w:rsidR="0039423D" w:rsidRPr="00A35E3C" w:rsidRDefault="0039423D" w:rsidP="00D56CAE">
      <w:pPr>
        <w:pStyle w:val="BodyHeading"/>
        <w:rPr>
          <w:color w:val="660033"/>
        </w:rPr>
      </w:pPr>
      <w:r w:rsidRPr="00A35E3C">
        <w:rPr>
          <w:color w:val="660033"/>
        </w:rPr>
        <w:t xml:space="preserve">Closely adjacent </w:t>
      </w:r>
      <w:r w:rsidR="00110C31" w:rsidRPr="00A35E3C">
        <w:rPr>
          <w:color w:val="660033"/>
        </w:rPr>
        <w:t xml:space="preserve">buildings or </w:t>
      </w:r>
      <w:r w:rsidRPr="00A35E3C">
        <w:rPr>
          <w:color w:val="660033"/>
        </w:rPr>
        <w:t>structures</w:t>
      </w:r>
    </w:p>
    <w:p w14:paraId="2B5B592B" w14:textId="175E9850" w:rsidR="00176157" w:rsidRPr="006B657B" w:rsidRDefault="00176157" w:rsidP="00666E06">
      <w:r w:rsidRPr="006B657B">
        <w:t xml:space="preserve">This document defines buildings as </w:t>
      </w:r>
      <w:r w:rsidRPr="006B657B">
        <w:rPr>
          <w:i/>
          <w:iCs/>
        </w:rPr>
        <w:t>closely adjacent</w:t>
      </w:r>
      <w:r w:rsidRPr="006B657B">
        <w:t xml:space="preserve"> when the distance between the buildings (excluding canopies) is less than a distance </w:t>
      </w:r>
      <w:r w:rsidRPr="006B657B">
        <w:rPr>
          <w:u w:val="single"/>
        </w:rPr>
        <w:t>generally</w:t>
      </w:r>
      <w:r w:rsidRPr="006B657B">
        <w:t xml:space="preserve"> equivalent to the maximum </w:t>
      </w:r>
      <w:r w:rsidRPr="006B657B">
        <w:lastRenderedPageBreak/>
        <w:t>height of either building</w:t>
      </w:r>
      <w:r w:rsidRPr="006B657B">
        <w:rPr>
          <w:rStyle w:val="FootnoteReference"/>
        </w:rPr>
        <w:footnoteReference w:id="47"/>
      </w:r>
      <w:r w:rsidRPr="006B657B">
        <w:t xml:space="preserve"> (</w:t>
      </w:r>
      <w:r w:rsidRPr="00A71DC9">
        <w:t>refer</w:t>
      </w:r>
      <w:r w:rsidR="00AE472F" w:rsidRPr="00A71DC9">
        <w:t xml:space="preserve"> </w:t>
      </w:r>
      <w:r w:rsidR="00AE472F" w:rsidRPr="00A71DC9">
        <w:fldChar w:fldCharType="begin"/>
      </w:r>
      <w:r w:rsidR="00AE472F" w:rsidRPr="00A71DC9">
        <w:instrText xml:space="preserve"> REF _Ref179555825 \h </w:instrText>
      </w:r>
      <w:r w:rsidR="00A71DC9">
        <w:instrText xml:space="preserve"> \* MERGEFORMAT </w:instrText>
      </w:r>
      <w:r w:rsidR="00AE472F" w:rsidRPr="00A71DC9">
        <w:fldChar w:fldCharType="separate"/>
      </w:r>
      <w:r w:rsidR="00A71DC9" w:rsidRPr="00A71DC9">
        <w:t xml:space="preserve">Figure </w:t>
      </w:r>
      <w:r w:rsidR="00A71DC9" w:rsidRPr="00A71DC9">
        <w:rPr>
          <w:noProof/>
        </w:rPr>
        <w:t>15</w:t>
      </w:r>
      <w:r w:rsidR="00AE472F" w:rsidRPr="00A71DC9">
        <w:fldChar w:fldCharType="end"/>
      </w:r>
      <w:r w:rsidRPr="006B657B">
        <w:t xml:space="preserve">). The Building Code does not require consideration of adjacencies, but </w:t>
      </w:r>
      <w:r>
        <w:t>Health NZ</w:t>
      </w:r>
      <w:r w:rsidR="00A852AD">
        <w:t xml:space="preserve">’s interests in </w:t>
      </w:r>
      <w:r w:rsidR="00FA621D">
        <w:t xml:space="preserve">hospital </w:t>
      </w:r>
      <w:r w:rsidR="00A852AD">
        <w:t>resilience</w:t>
      </w:r>
      <w:r>
        <w:t xml:space="preserve"> </w:t>
      </w:r>
      <w:r w:rsidR="0036307A">
        <w:t xml:space="preserve">mean </w:t>
      </w:r>
      <w:r w:rsidRPr="006B657B">
        <w:t xml:space="preserve">the physical risks </w:t>
      </w:r>
      <w:r w:rsidR="00FA621D">
        <w:t xml:space="preserve">posed by </w:t>
      </w:r>
      <w:r w:rsidRPr="006B657B">
        <w:rPr>
          <w:i/>
          <w:iCs/>
        </w:rPr>
        <w:t>closely adjacent</w:t>
      </w:r>
      <w:r w:rsidRPr="006B657B">
        <w:t xml:space="preserve"> structures </w:t>
      </w:r>
      <w:r w:rsidR="00F32687">
        <w:t>should be given some consideration</w:t>
      </w:r>
      <w:r w:rsidRPr="006B657B">
        <w:t>.</w:t>
      </w:r>
    </w:p>
    <w:p w14:paraId="6A78961E" w14:textId="77777777" w:rsidR="00176157" w:rsidRDefault="00176157" w:rsidP="00666E06">
      <w:r>
        <w:rPr>
          <w:noProof/>
        </w:rPr>
        <w:drawing>
          <wp:inline distT="0" distB="0" distL="0" distR="0" wp14:anchorId="62DCE29E" wp14:editId="4EEEB624">
            <wp:extent cx="3491321" cy="1960474"/>
            <wp:effectExtent l="0" t="0" r="0" b="1905"/>
            <wp:docPr id="1557599433" name="Picture 1557599433" descr="A diagram of a building with a light coming from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30416" name="Picture 1493330416" descr="A diagram of a building with a light coming from it&#10;&#10;Description automatically generated with medium confidence"/>
                    <pic:cNvPicPr/>
                  </pic:nvPicPr>
                  <pic:blipFill>
                    <a:blip r:embed="rId134"/>
                    <a:stretch>
                      <a:fillRect/>
                    </a:stretch>
                  </pic:blipFill>
                  <pic:spPr>
                    <a:xfrm>
                      <a:off x="0" y="0"/>
                      <a:ext cx="3547827" cy="1992204"/>
                    </a:xfrm>
                    <a:prstGeom prst="rect">
                      <a:avLst/>
                    </a:prstGeom>
                  </pic:spPr>
                </pic:pic>
              </a:graphicData>
            </a:graphic>
          </wp:inline>
        </w:drawing>
      </w:r>
    </w:p>
    <w:p w14:paraId="2F23F263" w14:textId="3B2A247C" w:rsidR="00176157" w:rsidRDefault="00176157" w:rsidP="00E464B6">
      <w:pPr>
        <w:pStyle w:val="Figure"/>
        <w:rPr>
          <w:sz w:val="20"/>
          <w:szCs w:val="20"/>
        </w:rPr>
      </w:pPr>
      <w:bookmarkStart w:id="394" w:name="_Ref179555825"/>
      <w:r w:rsidRPr="00A71DC9">
        <w:rPr>
          <w:sz w:val="20"/>
          <w:szCs w:val="20"/>
        </w:rPr>
        <w:t xml:space="preserve">Figure </w:t>
      </w:r>
      <w:r w:rsidRPr="00A71DC9">
        <w:rPr>
          <w:sz w:val="20"/>
          <w:szCs w:val="20"/>
        </w:rPr>
        <w:fldChar w:fldCharType="begin"/>
      </w:r>
      <w:r w:rsidRPr="00A71DC9">
        <w:rPr>
          <w:sz w:val="20"/>
          <w:szCs w:val="20"/>
        </w:rPr>
        <w:instrText>SEQ Figure \* ARABIC</w:instrText>
      </w:r>
      <w:r w:rsidRPr="00A71DC9">
        <w:rPr>
          <w:sz w:val="20"/>
          <w:szCs w:val="20"/>
        </w:rPr>
        <w:fldChar w:fldCharType="separate"/>
      </w:r>
      <w:r w:rsidR="00A71DC9">
        <w:rPr>
          <w:noProof/>
          <w:sz w:val="20"/>
          <w:szCs w:val="20"/>
        </w:rPr>
        <w:t>15</w:t>
      </w:r>
      <w:r w:rsidRPr="00A71DC9">
        <w:rPr>
          <w:sz w:val="20"/>
          <w:szCs w:val="20"/>
        </w:rPr>
        <w:fldChar w:fldCharType="end"/>
      </w:r>
      <w:bookmarkEnd w:id="394"/>
      <w:r w:rsidRPr="00A71DC9">
        <w:rPr>
          <w:sz w:val="20"/>
          <w:szCs w:val="20"/>
        </w:rPr>
        <w:t>: Definition of an adjacent building for earthquake risk assessment (using a 1:1 height ratio as a starting point). Building A poses a risk to building B, as it could present a hazard if it were significantly damaged or if it collapsed in an earthquake. Refer to text and footnote for comments on the height ratio (which can be reviewed).</w:t>
      </w:r>
    </w:p>
    <w:p w14:paraId="49E09EA5" w14:textId="77777777" w:rsidR="000D0B09" w:rsidRPr="00A71DC9" w:rsidRDefault="000D0B09" w:rsidP="00E464B6">
      <w:pPr>
        <w:pStyle w:val="Figure"/>
        <w:rPr>
          <w:sz w:val="20"/>
          <w:szCs w:val="20"/>
        </w:rPr>
      </w:pPr>
    </w:p>
    <w:p w14:paraId="1116929D" w14:textId="77777777" w:rsidR="00176157" w:rsidRPr="006B657B"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From a masterplanning process perspective, a</w:t>
      </w:r>
      <w:r w:rsidRPr="006B657B">
        <w:t>djacency risk only needs to be explored in any depth where there are concerns about an adjacent building’s seismic status. Otherwise, the low likelihood of failure would preclude any need to review further.</w:t>
      </w:r>
    </w:p>
    <w:p w14:paraId="2A0351ED" w14:textId="4502B2C4" w:rsidR="00176157" w:rsidRPr="00FA6A2F"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B657B">
        <w:t xml:space="preserve">Where there are concerns, the appropriate value for the height to horizontal distance ratio will depend on the plausible mode(s) of failure. Rather than a prescribing a fixed rule for the ratio, a more reasonable risk-based approach is appropriate. Engineers providing advice are encouraged to qualitatively assess (for example via a drawing review) plausible modes of failure, and be guided by information in FEMA P-2055-2 </w:t>
      </w:r>
      <w:sdt>
        <w:sdtPr>
          <w:id w:val="474796012"/>
          <w:citation/>
        </w:sdtPr>
        <w:sdtEndPr/>
        <w:sdtContent>
          <w:r w:rsidRPr="006B657B">
            <w:fldChar w:fldCharType="begin"/>
          </w:r>
          <w:r w:rsidRPr="006B657B">
            <w:rPr>
              <w:lang w:val="en-US"/>
            </w:rPr>
            <w:instrText xml:space="preserve"> CITATION FEM23 \l 1033 </w:instrText>
          </w:r>
          <w:r w:rsidRPr="006B657B">
            <w:fldChar w:fldCharType="separate"/>
          </w:r>
          <w:r w:rsidR="00222D65">
            <w:rPr>
              <w:noProof/>
              <w:lang w:val="en-US"/>
            </w:rPr>
            <w:t>(FEMA, 2023)</w:t>
          </w:r>
          <w:r w:rsidRPr="006B657B">
            <w:fldChar w:fldCharType="end"/>
          </w:r>
        </w:sdtContent>
      </w:sdt>
      <w:r w:rsidRPr="006B657B">
        <w:t>. There is no expectation of any attempt to explicitly quantify collapse modes and capacities in any detail.</w:t>
      </w:r>
    </w:p>
    <w:p w14:paraId="2BB4702B" w14:textId="77777777" w:rsidR="000D0B09" w:rsidRDefault="000D0B09" w:rsidP="00666E06"/>
    <w:p w14:paraId="64290059" w14:textId="77777777" w:rsidR="000D0B09" w:rsidRDefault="000D0B09" w:rsidP="00666E06"/>
    <w:p w14:paraId="45629A8C" w14:textId="77777777" w:rsidR="000D0B09" w:rsidRDefault="000D0B09" w:rsidP="00666E06"/>
    <w:p w14:paraId="5C6AB01C" w14:textId="13FF54BD" w:rsidR="00176157" w:rsidRPr="006B657B" w:rsidRDefault="00176157" w:rsidP="00666E06">
      <w:r w:rsidRPr="006B657B">
        <w:lastRenderedPageBreak/>
        <w:t xml:space="preserve">For physical earthquake risk, two distinct risks need to be </w:t>
      </w:r>
      <w:r>
        <w:t>considered</w:t>
      </w:r>
      <w:r w:rsidRPr="006B657B">
        <w:t xml:space="preserve"> and managed.</w:t>
      </w:r>
    </w:p>
    <w:p w14:paraId="03F31929" w14:textId="77777777" w:rsidR="00176157" w:rsidRPr="006B657B" w:rsidRDefault="00176157" w:rsidP="004D55F1">
      <w:pPr>
        <w:pStyle w:val="ListParagraph"/>
        <w:numPr>
          <w:ilvl w:val="0"/>
          <w:numId w:val="53"/>
        </w:numPr>
      </w:pPr>
      <w:r w:rsidRPr="006B657B">
        <w:t xml:space="preserve">The </w:t>
      </w:r>
      <w:r w:rsidRPr="006B657B">
        <w:rPr>
          <w:b/>
          <w:bCs/>
        </w:rPr>
        <w:t>life safety risks</w:t>
      </w:r>
      <w:r w:rsidRPr="006B657B">
        <w:t xml:space="preserve"> posed by debris hazards from the </w:t>
      </w:r>
      <w:r w:rsidRPr="006B657B">
        <w:rPr>
          <w:i/>
          <w:iCs/>
        </w:rPr>
        <w:t>closely adjacent</w:t>
      </w:r>
      <w:r w:rsidRPr="006B657B">
        <w:t xml:space="preserve"> building to occupants of the building in consideration (if elements of the </w:t>
      </w:r>
      <w:r w:rsidRPr="006B657B">
        <w:rPr>
          <w:i/>
          <w:iCs/>
        </w:rPr>
        <w:t>closely adjacent</w:t>
      </w:r>
      <w:r w:rsidRPr="006B657B">
        <w:t xml:space="preserve"> building were to fail).</w:t>
      </w:r>
    </w:p>
    <w:p w14:paraId="2018FE75" w14:textId="77777777" w:rsidR="00176157" w:rsidRPr="006B657B" w:rsidRDefault="00176157" w:rsidP="004D55F1">
      <w:pPr>
        <w:pStyle w:val="ListParagraph"/>
        <w:numPr>
          <w:ilvl w:val="0"/>
          <w:numId w:val="53"/>
        </w:numPr>
      </w:pPr>
      <w:r w:rsidRPr="006B657B">
        <w:t xml:space="preserve">The </w:t>
      </w:r>
      <w:r w:rsidRPr="006B657B">
        <w:rPr>
          <w:b/>
          <w:bCs/>
        </w:rPr>
        <w:t>risk to functional continuity</w:t>
      </w:r>
      <w:r w:rsidRPr="006B657B">
        <w:t xml:space="preserve">, if the </w:t>
      </w:r>
      <w:r w:rsidRPr="006B657B">
        <w:rPr>
          <w:i/>
          <w:iCs/>
        </w:rPr>
        <w:t>closely adjacent</w:t>
      </w:r>
      <w:r w:rsidRPr="006B657B">
        <w:t xml:space="preserve"> building was significantly damaged in an earthquake (but had not collapsed), and a Rapid Assessment (or any subsequent post-earthquake assessment) required barricading or restricted access to all or part of building under consideration due to an unacceptable failure risk posed by the </w:t>
      </w:r>
      <w:r w:rsidRPr="006B657B">
        <w:rPr>
          <w:i/>
          <w:iCs/>
        </w:rPr>
        <w:t>closely adjacent</w:t>
      </w:r>
      <w:r w:rsidRPr="006B657B">
        <w:t xml:space="preserve"> building.</w:t>
      </w:r>
    </w:p>
    <w:p w14:paraId="79E689B2" w14:textId="77777777" w:rsidR="00176157" w:rsidRPr="006B657B" w:rsidRDefault="00176157" w:rsidP="00A35E3C">
      <w:pPr>
        <w:pStyle w:val="Section6Heading3"/>
      </w:pPr>
      <w:r w:rsidRPr="006B657B">
        <w:t>Managing Life Safety Risks</w:t>
      </w:r>
    </w:p>
    <w:p w14:paraId="1C3D5E8A" w14:textId="57FC0FC0" w:rsidR="00176157" w:rsidRPr="006B657B" w:rsidRDefault="00176157" w:rsidP="00666E06">
      <w:r w:rsidRPr="006B657B">
        <w:t xml:space="preserve">Life safety risks </w:t>
      </w:r>
      <w:r w:rsidRPr="009E0CA2">
        <w:t>can be assessed using ordinary existing building seismic assessment processes (Section</w:t>
      </w:r>
      <w:r w:rsidR="002A76EF">
        <w:t xml:space="preserve"> </w:t>
      </w:r>
      <w:r w:rsidR="003B25ED">
        <w:fldChar w:fldCharType="begin"/>
      </w:r>
      <w:r w:rsidR="003B25ED">
        <w:instrText xml:space="preserve"> REF _Ref203130413 \r \h </w:instrText>
      </w:r>
      <w:r w:rsidR="003B25ED">
        <w:fldChar w:fldCharType="separate"/>
      </w:r>
      <w:r w:rsidR="000761C1">
        <w:t>B8</w:t>
      </w:r>
      <w:r w:rsidR="003B25ED">
        <w:fldChar w:fldCharType="end"/>
      </w:r>
      <w:r w:rsidR="001D371C">
        <w:t xml:space="preserve"> </w:t>
      </w:r>
      <w:r w:rsidR="001D371C">
        <w:fldChar w:fldCharType="begin"/>
      </w:r>
      <w:r w:rsidR="001D371C">
        <w:instrText xml:space="preserve"> REF B8_Seismic_Assessment_and_Retrofit_Work \h </w:instrText>
      </w:r>
      <w:r w:rsidR="001D371C">
        <w:fldChar w:fldCharType="separate"/>
      </w:r>
      <w:r w:rsidR="001D371C" w:rsidRPr="006956C4">
        <w:t>Seismic Assessment and Retrofit Work</w:t>
      </w:r>
      <w:r w:rsidR="001D371C">
        <w:fldChar w:fldCharType="end"/>
      </w:r>
      <w:r w:rsidR="008B5F57">
        <w:fldChar w:fldCharType="begin"/>
      </w:r>
      <w:r w:rsidR="008B5F57">
        <w:instrText xml:space="preserve"> REF _Ref180131317 \h </w:instrText>
      </w:r>
      <w:r w:rsidR="008B5F57">
        <w:fldChar w:fldCharType="separate"/>
      </w:r>
      <w:r w:rsidR="008B5F57">
        <w:fldChar w:fldCharType="end"/>
      </w:r>
      <w:r w:rsidRPr="006B657B">
        <w:t>)</w:t>
      </w:r>
      <w:r w:rsidR="00102ACA">
        <w:t xml:space="preserve"> and </w:t>
      </w:r>
      <w:r w:rsidR="008356D7">
        <w:t xml:space="preserve">noting the </w:t>
      </w:r>
      <w:r w:rsidR="008A5996">
        <w:t xml:space="preserve">comments above regarding level of detail (the starting point </w:t>
      </w:r>
      <w:r w:rsidR="008F1A12">
        <w:t>should</w:t>
      </w:r>
      <w:r w:rsidR="008A5996">
        <w:t xml:space="preserve"> generally </w:t>
      </w:r>
      <w:r w:rsidR="008F1A12">
        <w:t xml:space="preserve">be </w:t>
      </w:r>
      <w:r w:rsidR="008A5996">
        <w:t>qualitative</w:t>
      </w:r>
      <w:r w:rsidR="006C5AE4">
        <w:t xml:space="preserve"> risk identification</w:t>
      </w:r>
      <w:r w:rsidR="008A5996">
        <w:t>)</w:t>
      </w:r>
      <w:r w:rsidRPr="006B657B">
        <w:t>.</w:t>
      </w:r>
      <w:r w:rsidR="006C5AE4">
        <w:t xml:space="preserve"> R</w:t>
      </w:r>
      <w:r w:rsidRPr="006B657B">
        <w:t xml:space="preserve">ather than use the </w:t>
      </w:r>
      <w:r w:rsidRPr="006B657B">
        <w:rPr>
          <w:i/>
          <w:iCs/>
        </w:rPr>
        <w:t>closely adjacent</w:t>
      </w:r>
      <w:r w:rsidRPr="006B657B">
        <w:t xml:space="preserve"> building’s overall Assessed Seismic Rating (%NBS) and </w:t>
      </w:r>
      <w:r w:rsidRPr="006B657B">
        <w:rPr>
          <w:i/>
          <w:iCs/>
        </w:rPr>
        <w:t>Seismic</w:t>
      </w:r>
      <w:r w:rsidRPr="006B657B">
        <w:rPr>
          <w:i/>
        </w:rPr>
        <w:t xml:space="preserve"> Grade</w:t>
      </w:r>
      <w:r w:rsidRPr="006B657B">
        <w:t xml:space="preserve">, it is important to be clear about the most </w:t>
      </w:r>
      <w:r w:rsidRPr="006B657B">
        <w:rPr>
          <w:i/>
          <w:iCs/>
        </w:rPr>
        <w:t>likely</w:t>
      </w:r>
      <w:r w:rsidRPr="006B657B">
        <w:t xml:space="preserve"> physical consequences of </w:t>
      </w:r>
      <w:r>
        <w:t>any potential</w:t>
      </w:r>
      <w:r w:rsidRPr="006B657B">
        <w:t xml:space="preserve"> Structural Weakness</w:t>
      </w:r>
      <w:r>
        <w:t>es</w:t>
      </w:r>
      <w:r w:rsidRPr="006B657B">
        <w:t>—and which of those could potentially affect the building under consideration (and the likelihood that they could fail, as represented by their %NBS score).</w:t>
      </w:r>
    </w:p>
    <w:p w14:paraId="796084C2" w14:textId="1AA1E8F7" w:rsidR="00176157" w:rsidRPr="006B657B" w:rsidRDefault="00176157" w:rsidP="00666E06">
      <w:r w:rsidRPr="006B657B">
        <w:t xml:space="preserve">Constructing new buildings in proximity to existing buildings that are an earthquake risk can increase the risk exposure of the new building. For example, if Building A in </w:t>
      </w:r>
      <w:r w:rsidR="00AE472F" w:rsidRPr="00A71DC9">
        <w:fldChar w:fldCharType="begin"/>
      </w:r>
      <w:r w:rsidR="00AE472F" w:rsidRPr="00A71DC9">
        <w:instrText xml:space="preserve"> REF _Ref179555825 \h </w:instrText>
      </w:r>
      <w:r w:rsidR="00A71DC9">
        <w:instrText xml:space="preserve"> \* MERGEFORMAT </w:instrText>
      </w:r>
      <w:r w:rsidR="00AE472F" w:rsidRPr="00A71DC9">
        <w:fldChar w:fldCharType="separate"/>
      </w:r>
      <w:r w:rsidR="00A71DC9" w:rsidRPr="00A71DC9">
        <w:t xml:space="preserve">Figure </w:t>
      </w:r>
      <w:r w:rsidR="00A71DC9" w:rsidRPr="00A71DC9">
        <w:rPr>
          <w:noProof/>
        </w:rPr>
        <w:t>15</w:t>
      </w:r>
      <w:r w:rsidR="00AE472F" w:rsidRPr="00A71DC9">
        <w:fldChar w:fldCharType="end"/>
      </w:r>
      <w:r w:rsidR="00AE472F">
        <w:t xml:space="preserve"> </w:t>
      </w:r>
      <w:r w:rsidRPr="006B657B">
        <w:t xml:space="preserve">was an </w:t>
      </w:r>
      <w:r w:rsidRPr="006B657B">
        <w:rPr>
          <w:i/>
          <w:iCs/>
        </w:rPr>
        <w:t>Earthquake Risk</w:t>
      </w:r>
      <w:r w:rsidRPr="006B657B">
        <w:t xml:space="preserve"> building, and a new building B was built in its shadow, it could increase the number of people exposed to the hazard. Although the Building Act does not have a mechanism to consider this, </w:t>
      </w:r>
      <w:r>
        <w:t xml:space="preserve">Health NZ </w:t>
      </w:r>
      <w:r w:rsidRPr="006B657B">
        <w:t xml:space="preserve">want to </w:t>
      </w:r>
      <w:r w:rsidRPr="006B657B">
        <w:rPr>
          <w:i/>
          <w:iCs/>
        </w:rPr>
        <w:t>reduce</w:t>
      </w:r>
      <w:r w:rsidRPr="006B657B">
        <w:t xml:space="preserve"> their earthquake risk profile over time—not increase it. Therefore, structural (or external façade) hazards potentially threatening new adjacent buildings should ideally achieve a </w:t>
      </w:r>
      <w:r w:rsidRPr="006B657B">
        <w:rPr>
          <w:i/>
          <w:iCs/>
        </w:rPr>
        <w:t>Low-Risk</w:t>
      </w:r>
      <w:r w:rsidRPr="006B657B">
        <w:t xml:space="preserve"> </w:t>
      </w:r>
      <w:r w:rsidRPr="006B657B">
        <w:rPr>
          <w:i/>
          <w:iCs/>
        </w:rPr>
        <w:t>Seismic</w:t>
      </w:r>
      <w:r w:rsidRPr="006B657B">
        <w:rPr>
          <w:i/>
        </w:rPr>
        <w:t xml:space="preserve"> Grade</w:t>
      </w:r>
      <w:r w:rsidRPr="006B657B">
        <w:t>.</w:t>
      </w:r>
    </w:p>
    <w:p w14:paraId="06D20243" w14:textId="77777777" w:rsidR="00176157" w:rsidRPr="006B657B" w:rsidRDefault="00176157" w:rsidP="00666E06">
      <w:r w:rsidRPr="006B657B">
        <w:t xml:space="preserve">Instead of retrofitting a </w:t>
      </w:r>
      <w:r w:rsidRPr="006B657B">
        <w:rPr>
          <w:i/>
          <w:iCs/>
        </w:rPr>
        <w:t>closely adjacent</w:t>
      </w:r>
      <w:r w:rsidRPr="006B657B">
        <w:t xml:space="preserve"> </w:t>
      </w:r>
      <w:r w:rsidRPr="006B657B">
        <w:rPr>
          <w:i/>
          <w:iCs/>
        </w:rPr>
        <w:t>Earthquake Risk</w:t>
      </w:r>
      <w:r w:rsidRPr="006B657B">
        <w:t xml:space="preserve"> building, it could also be possible to provide some mitigating features to the building in consideration, to minimise the chance that collapse debris from a </w:t>
      </w:r>
      <w:r w:rsidRPr="006B657B">
        <w:rPr>
          <w:i/>
          <w:iCs/>
        </w:rPr>
        <w:t>closely adjacent</w:t>
      </w:r>
      <w:r w:rsidRPr="006B657B">
        <w:t xml:space="preserve"> </w:t>
      </w:r>
      <w:r w:rsidRPr="006B657B">
        <w:rPr>
          <w:i/>
          <w:iCs/>
        </w:rPr>
        <w:t>Earthquake Risk</w:t>
      </w:r>
      <w:r w:rsidRPr="006B657B">
        <w:t xml:space="preserve"> building could cause injury or disproportionate structural damage.</w:t>
      </w:r>
    </w:p>
    <w:p w14:paraId="41AD7A83" w14:textId="201183A2" w:rsidR="00176157" w:rsidRPr="006B657B" w:rsidRDefault="00176157" w:rsidP="00666E06">
      <w:pPr>
        <w:pStyle w:val="Requirement"/>
      </w:pPr>
      <w:r w:rsidRPr="002E0CCD">
        <w:rPr>
          <w:b/>
          <w:bCs/>
        </w:rPr>
        <w:t xml:space="preserve">Health NZ </w:t>
      </w:r>
      <w:r w:rsidR="002E0CCD" w:rsidRPr="002E0CCD">
        <w:rPr>
          <w:b/>
          <w:bCs/>
        </w:rPr>
        <w:t>Recommendation</w:t>
      </w:r>
      <w:r w:rsidRPr="002E0CCD">
        <w:t xml:space="preserve">: When </w:t>
      </w:r>
      <w:r w:rsidRPr="006B657B">
        <w:t xml:space="preserve">planning new infrastructure (a new building), the earthquake risk posed by </w:t>
      </w:r>
      <w:r w:rsidRPr="006B657B">
        <w:rPr>
          <w:i/>
          <w:iCs/>
        </w:rPr>
        <w:t>closely adjacent</w:t>
      </w:r>
      <w:r w:rsidRPr="006B657B">
        <w:t xml:space="preserve"> existing buildings should be mitigated by prioritising retrofit or other risk mitigation strategy, so that any weaknesses with physical consequence potentially affecting the new infrastructure have a </w:t>
      </w:r>
      <w:r w:rsidRPr="006B657B">
        <w:rPr>
          <w:i/>
          <w:iCs/>
        </w:rPr>
        <w:t>Low-Risk</w:t>
      </w:r>
      <w:r w:rsidRPr="006B657B">
        <w:t xml:space="preserve"> </w:t>
      </w:r>
      <w:r w:rsidRPr="006B657B">
        <w:rPr>
          <w:i/>
          <w:iCs/>
        </w:rPr>
        <w:t>Seismic</w:t>
      </w:r>
      <w:r w:rsidRPr="006B657B">
        <w:rPr>
          <w:i/>
        </w:rPr>
        <w:t xml:space="preserve"> Grade</w:t>
      </w:r>
      <w:r w:rsidRPr="006B657B">
        <w:rPr>
          <w:iCs/>
        </w:rPr>
        <w:t xml:space="preserve"> </w:t>
      </w:r>
      <w:r w:rsidRPr="005B5052">
        <w:rPr>
          <w:iCs/>
        </w:rPr>
        <w:t>(</w:t>
      </w:r>
      <w:r>
        <w:rPr>
          <w:rFonts w:cs="Arial"/>
          <w:iCs/>
        </w:rPr>
        <w:t>≥</w:t>
      </w:r>
      <w:r w:rsidRPr="006B657B">
        <w:rPr>
          <w:iCs/>
        </w:rPr>
        <w:t xml:space="preserve"> 67% NBS),</w:t>
      </w:r>
      <w:r w:rsidRPr="006B657B">
        <w:t xml:space="preserve"> </w:t>
      </w:r>
      <w:r w:rsidRPr="006B657B">
        <w:rPr>
          <w:i/>
          <w:iCs/>
        </w:rPr>
        <w:t>as near as is reasonably practicable</w:t>
      </w:r>
      <w:r w:rsidRPr="006B657B">
        <w:t xml:space="preserve"> and within a reasonable time frame.</w:t>
      </w:r>
    </w:p>
    <w:p w14:paraId="3741D9F1" w14:textId="77777777" w:rsidR="00176157" w:rsidRPr="00D7007B"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6B657B">
        <w:rPr>
          <w:iCs/>
        </w:rPr>
        <w:t>Low Risk</w:t>
      </w:r>
      <w:r w:rsidRPr="006B657B">
        <w:t xml:space="preserve"> means having an </w:t>
      </w:r>
      <w:r>
        <w:rPr>
          <w:iCs/>
        </w:rPr>
        <w:t>Earthquake Rating</w:t>
      </w:r>
      <w:r w:rsidRPr="006B657B">
        <w:t xml:space="preserve"> </w:t>
      </w:r>
      <w:r w:rsidRPr="00016F1D">
        <w:rPr>
          <w:rFonts w:cs="Arial"/>
        </w:rPr>
        <w:t>≥</w:t>
      </w:r>
      <w:r w:rsidRPr="006B657B">
        <w:t xml:space="preserve"> 67% NBS (IL_)</w:t>
      </w:r>
      <w:r>
        <w:t xml:space="preserve">, determined by the buildings Ultimate </w:t>
      </w:r>
      <w:r w:rsidRPr="00D7007B">
        <w:t>Capacity as defined by the Engineering Assessment Guidelines, using the Importance Level of the closely adjacent building. Use of Importance Level 2 could be an appropriate compromise considering individual life safety risk on more comparable terms with normal buildings.</w:t>
      </w:r>
    </w:p>
    <w:p w14:paraId="7452D108" w14:textId="77777777" w:rsidR="00176157" w:rsidRPr="00D7007B"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7007B">
        <w:lastRenderedPageBreak/>
        <w:t>Although the risk objective relates to collapse (or failure of external façade elements) the functional requirement is deliberately defined in terms of Ultimate Capacity ordinarily used in assessment, and no attempt to estimate collapse capacity more accurately is implied.</w:t>
      </w:r>
    </w:p>
    <w:p w14:paraId="282A21FC" w14:textId="63023BC9" w:rsidR="00176157" w:rsidRPr="006B657B"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D7007B">
        <w:t xml:space="preserve">The use of the term as nearly as reasonably practicable in this context of this specific requirement refers not only to a degree of reasonable flexibility in risk tolerance, but also to the rigour applied in assessment. Refer to Section </w:t>
      </w:r>
      <w:r w:rsidR="00ED0052">
        <w:fldChar w:fldCharType="begin"/>
      </w:r>
      <w:r w:rsidR="00ED0052">
        <w:instrText xml:space="preserve"> REF _Ref180133583 \r \h </w:instrText>
      </w:r>
      <w:r w:rsidR="00ED0052">
        <w:fldChar w:fldCharType="separate"/>
      </w:r>
      <w:r w:rsidR="000761C1">
        <w:t>B8.2</w:t>
      </w:r>
      <w:r w:rsidR="00ED0052">
        <w:fldChar w:fldCharType="end"/>
      </w:r>
      <w:r w:rsidRPr="00D7007B">
        <w:t xml:space="preserve"> for information on levels of seismic assessment. Depending</w:t>
      </w:r>
      <w:r w:rsidRPr="006B657B">
        <w:t xml:space="preserve"> on the level of seismic assessment information that is available, desktop level engineering advice may be sufficient at masterplanning stage. In some situations, a fuller </w:t>
      </w:r>
      <w:r w:rsidRPr="006B657B">
        <w:rPr>
          <w:iCs/>
        </w:rPr>
        <w:t>Qualitative Drawing and Load Path Review</w:t>
      </w:r>
      <w:r w:rsidRPr="006B657B">
        <w:t xml:space="preserve"> could add value where there are gaps in information. The assessment level should be proportionate to the significant uncertainties involved, and although further </w:t>
      </w:r>
      <w:r w:rsidRPr="006B657B">
        <w:rPr>
          <w:iCs/>
        </w:rPr>
        <w:t>Targeted Assessment</w:t>
      </w:r>
      <w:r w:rsidRPr="006B657B">
        <w:t xml:space="preserve"> could be warranted in some cases, it is not necessarily the expectation</w:t>
      </w:r>
      <w:r>
        <w:t xml:space="preserve"> that this would be undertaken at masterplanning stage</w:t>
      </w:r>
      <w:r w:rsidRPr="006B657B">
        <w:t>.</w:t>
      </w:r>
    </w:p>
    <w:p w14:paraId="7366809C" w14:textId="77777777" w:rsidR="00176157" w:rsidRPr="006B657B" w:rsidRDefault="00176157" w:rsidP="00A35E3C">
      <w:pPr>
        <w:pStyle w:val="Section6Heading3"/>
      </w:pPr>
      <w:r w:rsidRPr="006B657B">
        <w:t>Managing Risks to Functional Continuity</w:t>
      </w:r>
    </w:p>
    <w:p w14:paraId="3E60C620" w14:textId="467B1FF5" w:rsidR="00176157" w:rsidRPr="00CD747A" w:rsidRDefault="009A6410" w:rsidP="00666E06">
      <w:r w:rsidRPr="00CD747A">
        <w:t>This section is specifically focussed on physical risk to persons (for utility and engineering system dependencies, refer to Section</w:t>
      </w:r>
      <w:r>
        <w:t xml:space="preserve"> </w:t>
      </w:r>
      <w:r>
        <w:fldChar w:fldCharType="begin"/>
      </w:r>
      <w:r>
        <w:instrText xml:space="preserve"> REF _Ref179555899 \r \h </w:instrText>
      </w:r>
      <w:r>
        <w:fldChar w:fldCharType="separate"/>
      </w:r>
      <w:r w:rsidR="000761C1">
        <w:t>1.3</w:t>
      </w:r>
      <w:r>
        <w:fldChar w:fldCharType="end"/>
      </w:r>
      <w:r w:rsidRPr="00CD747A">
        <w:t>)</w:t>
      </w:r>
      <w:r w:rsidR="007C726E">
        <w:t xml:space="preserve">. </w:t>
      </w:r>
      <w:r w:rsidR="00176157" w:rsidRPr="00CD747A">
        <w:t>Risks to functional continuity require realistic post-earthquake emergency management scenarios to be considered</w:t>
      </w:r>
      <w:r w:rsidR="00176157">
        <w:t xml:space="preserve"> </w:t>
      </w:r>
      <w:r w:rsidR="00176157" w:rsidRPr="00CD747A">
        <w:t>as part of the Serviceability Limit State 2 (SLS2)</w:t>
      </w:r>
      <w:r w:rsidR="00F05A1F">
        <w:t xml:space="preserve"> concept</w:t>
      </w:r>
      <w:r w:rsidR="00176157" w:rsidRPr="00CD747A">
        <w:t xml:space="preserve">. If a </w:t>
      </w:r>
      <w:r w:rsidR="00176157" w:rsidRPr="00CD747A">
        <w:rPr>
          <w:i/>
          <w:iCs/>
        </w:rPr>
        <w:t>closely adjacent</w:t>
      </w:r>
      <w:r w:rsidR="00176157" w:rsidRPr="00CD747A">
        <w:t xml:space="preserve"> building is significantly damaged in an earthquake, placarding, cordoning or barricading could be necessary which restricts use to part or all of a building with post-disaster functions. This is due to life safety risks posed by the adjacent building if it were to sustain significant structural (or external non-structural) damage. This is a realistic risk in constrained hospital campuses and reduces confidence in meeting functional continuity requirements.</w:t>
      </w:r>
    </w:p>
    <w:p w14:paraId="219D915E" w14:textId="5514037F" w:rsidR="00176157" w:rsidRPr="002744BD" w:rsidRDefault="00176157" w:rsidP="002744BD">
      <w:pPr>
        <w:pStyle w:val="Figure"/>
        <w:rPr>
          <w:b w:val="0"/>
          <w:bCs/>
          <w:sz w:val="24"/>
          <w:szCs w:val="24"/>
        </w:rPr>
      </w:pPr>
      <w:r w:rsidRPr="002744BD">
        <w:rPr>
          <w:b w:val="0"/>
          <w:bCs/>
          <w:sz w:val="24"/>
          <w:szCs w:val="24"/>
        </w:rPr>
        <w:t xml:space="preserve">When considering this scenario, it is important to remember that a building’s </w:t>
      </w:r>
      <w:r w:rsidRPr="002744BD">
        <w:rPr>
          <w:b w:val="0"/>
          <w:bCs/>
          <w:i/>
          <w:iCs/>
          <w:sz w:val="24"/>
          <w:szCs w:val="24"/>
        </w:rPr>
        <w:t>Ultimate Capacity</w:t>
      </w:r>
      <w:r w:rsidRPr="002744BD">
        <w:rPr>
          <w:b w:val="0"/>
          <w:bCs/>
          <w:sz w:val="24"/>
          <w:szCs w:val="24"/>
        </w:rPr>
        <w:t xml:space="preserve"> (assessed in accordance with the Seismic Assessment Guidelines) does </w:t>
      </w:r>
      <w:r w:rsidRPr="002744BD">
        <w:rPr>
          <w:b w:val="0"/>
          <w:bCs/>
          <w:i/>
          <w:iCs/>
          <w:sz w:val="24"/>
          <w:szCs w:val="24"/>
          <w:u w:val="single"/>
        </w:rPr>
        <w:t>not</w:t>
      </w:r>
      <w:r w:rsidRPr="002744BD">
        <w:rPr>
          <w:b w:val="0"/>
          <w:bCs/>
          <w:sz w:val="24"/>
          <w:szCs w:val="24"/>
        </w:rPr>
        <w:t xml:space="preserve"> represent collapse, nor are the assessment guidelines an accurate predictor of performance. Engineers will need to need to form an opinion on the level of shaking that is likely to cause a building to sustain damage that could significantly impact (reduce) its capacity to resist future earthquakes and thus would be reasonably likely to receive a yellow or red placard with subsequent cordon recommendations. If this is greater than the demand used for the SLS2 Limit State (</w:t>
      </w:r>
      <w:r w:rsidR="002744BD" w:rsidRPr="002744BD">
        <w:rPr>
          <w:b w:val="0"/>
          <w:bCs/>
          <w:sz w:val="24"/>
          <w:szCs w:val="24"/>
        </w:rPr>
        <w:fldChar w:fldCharType="begin"/>
      </w:r>
      <w:r w:rsidR="002744BD" w:rsidRPr="002744BD">
        <w:rPr>
          <w:b w:val="0"/>
          <w:bCs/>
          <w:sz w:val="24"/>
          <w:szCs w:val="24"/>
        </w:rPr>
        <w:instrText xml:space="preserve"> REF _Ref203124314 \h  \* MERGEFORMAT </w:instrText>
      </w:r>
      <w:r w:rsidR="002744BD" w:rsidRPr="002744BD">
        <w:rPr>
          <w:b w:val="0"/>
          <w:bCs/>
          <w:sz w:val="24"/>
          <w:szCs w:val="24"/>
        </w:rPr>
      </w:r>
      <w:r w:rsidR="002744BD" w:rsidRPr="002744BD">
        <w:rPr>
          <w:b w:val="0"/>
          <w:bCs/>
          <w:sz w:val="24"/>
          <w:szCs w:val="24"/>
        </w:rPr>
        <w:fldChar w:fldCharType="separate"/>
      </w:r>
      <w:r w:rsidR="000761C1" w:rsidRPr="000761C1">
        <w:rPr>
          <w:b w:val="0"/>
          <w:bCs/>
          <w:sz w:val="24"/>
          <w:szCs w:val="24"/>
        </w:rPr>
        <w:t xml:space="preserve">Table </w:t>
      </w:r>
      <w:r w:rsidR="000761C1" w:rsidRPr="000761C1">
        <w:rPr>
          <w:b w:val="0"/>
          <w:bCs/>
          <w:noProof/>
          <w:sz w:val="24"/>
          <w:szCs w:val="24"/>
        </w:rPr>
        <w:t>6</w:t>
      </w:r>
      <w:r w:rsidR="002744BD" w:rsidRPr="002744BD">
        <w:rPr>
          <w:b w:val="0"/>
          <w:bCs/>
          <w:sz w:val="24"/>
          <w:szCs w:val="24"/>
        </w:rPr>
        <w:fldChar w:fldCharType="end"/>
      </w:r>
      <w:r w:rsidRPr="002744BD">
        <w:rPr>
          <w:b w:val="0"/>
          <w:bCs/>
          <w:sz w:val="24"/>
          <w:szCs w:val="24"/>
        </w:rPr>
        <w:t xml:space="preserve">, Section </w:t>
      </w:r>
      <w:r w:rsidRPr="002744BD">
        <w:rPr>
          <w:b w:val="0"/>
          <w:bCs/>
          <w:sz w:val="24"/>
          <w:szCs w:val="24"/>
        </w:rPr>
        <w:fldChar w:fldCharType="begin"/>
      </w:r>
      <w:r w:rsidRPr="002744BD">
        <w:rPr>
          <w:b w:val="0"/>
          <w:bCs/>
          <w:sz w:val="24"/>
          <w:szCs w:val="24"/>
        </w:rPr>
        <w:instrText xml:space="preserve"> REF _Ref150756251 \r \h  \* MERGEFORMAT </w:instrText>
      </w:r>
      <w:r w:rsidRPr="002744BD">
        <w:rPr>
          <w:b w:val="0"/>
          <w:bCs/>
          <w:sz w:val="24"/>
          <w:szCs w:val="24"/>
        </w:rPr>
      </w:r>
      <w:r w:rsidRPr="002744BD">
        <w:rPr>
          <w:b w:val="0"/>
          <w:bCs/>
          <w:sz w:val="24"/>
          <w:szCs w:val="24"/>
        </w:rPr>
        <w:fldChar w:fldCharType="separate"/>
      </w:r>
      <w:r w:rsidR="000761C1">
        <w:rPr>
          <w:b w:val="0"/>
          <w:bCs/>
          <w:sz w:val="24"/>
          <w:szCs w:val="24"/>
        </w:rPr>
        <w:t>B2.3.1</w:t>
      </w:r>
      <w:r w:rsidRPr="002744BD">
        <w:rPr>
          <w:b w:val="0"/>
          <w:bCs/>
          <w:sz w:val="24"/>
          <w:szCs w:val="24"/>
        </w:rPr>
        <w:fldChar w:fldCharType="end"/>
      </w:r>
      <w:r w:rsidRPr="002744BD">
        <w:rPr>
          <w:b w:val="0"/>
          <w:bCs/>
          <w:sz w:val="24"/>
          <w:szCs w:val="24"/>
        </w:rPr>
        <w:t>), then the risks to functional continuity are sufficiently low.</w:t>
      </w:r>
    </w:p>
    <w:p w14:paraId="34DE9186" w14:textId="77777777" w:rsidR="00176157" w:rsidRPr="00CD747A" w:rsidRDefault="00176157" w:rsidP="00666E06">
      <w:r w:rsidRPr="00CD747A">
        <w:rPr>
          <w:b/>
          <w:bCs/>
        </w:rPr>
        <w:t>For modern/new buildings</w:t>
      </w:r>
      <w:r w:rsidRPr="00CD747A">
        <w:t xml:space="preserve">, this damage state can </w:t>
      </w:r>
      <w:r w:rsidRPr="004D679E">
        <w:t>be taken as 100% ULS shaking (i.e. the minimum Ultimate Limit State design capacity of the building). Properly detailed</w:t>
      </w:r>
      <w:r w:rsidRPr="00CD747A">
        <w:t xml:space="preserve"> modern buildings (even those reliant on ductility) should be able to withstand these levels of shaking and still retain a sufficient proportion of their original capacity to resist subsequent earthquakes or large aftershocks.</w:t>
      </w:r>
    </w:p>
    <w:p w14:paraId="59819B5E" w14:textId="77777777" w:rsidR="00176157" w:rsidRPr="00CD747A" w:rsidRDefault="00176157" w:rsidP="00666E06">
      <w:r w:rsidRPr="00CD747A">
        <w:rPr>
          <w:b/>
          <w:bCs/>
        </w:rPr>
        <w:t>For other existing buildings</w:t>
      </w:r>
      <w:r w:rsidRPr="00CD747A">
        <w:t xml:space="preserve">, this damage state could be the assessed </w:t>
      </w:r>
      <w:r w:rsidRPr="00CD747A">
        <w:rPr>
          <w:i/>
          <w:iCs/>
        </w:rPr>
        <w:t>Ultimate Capacity</w:t>
      </w:r>
      <w:r w:rsidRPr="00CD747A">
        <w:t>, or it could be a lower value if there are concerns that both:</w:t>
      </w:r>
    </w:p>
    <w:p w14:paraId="5C324F3F" w14:textId="77777777" w:rsidR="00176157" w:rsidRPr="00CD747A" w:rsidRDefault="00176157" w:rsidP="004D55F1">
      <w:pPr>
        <w:pStyle w:val="ListParagraph"/>
        <w:numPr>
          <w:ilvl w:val="0"/>
          <w:numId w:val="54"/>
        </w:numPr>
      </w:pPr>
      <w:r w:rsidRPr="00CD747A">
        <w:lastRenderedPageBreak/>
        <w:t xml:space="preserve">The onset of significant primary structural damage could occur at levels of shaking well below the buildings assessed </w:t>
      </w:r>
      <w:r w:rsidRPr="00CD747A">
        <w:rPr>
          <w:i/>
          <w:iCs/>
        </w:rPr>
        <w:t>Ultimate Capacity</w:t>
      </w:r>
      <w:r w:rsidRPr="00CD747A">
        <w:t xml:space="preserve">, </w:t>
      </w:r>
      <w:r w:rsidRPr="00CD747A">
        <w:rPr>
          <w:b/>
          <w:bCs/>
        </w:rPr>
        <w:t>and</w:t>
      </w:r>
      <w:r w:rsidRPr="00CD747A">
        <w:t>,</w:t>
      </w:r>
    </w:p>
    <w:p w14:paraId="11170585" w14:textId="77777777" w:rsidR="00176157" w:rsidRPr="00CD747A" w:rsidRDefault="00176157" w:rsidP="004D55F1">
      <w:pPr>
        <w:pStyle w:val="ListParagraph"/>
        <w:numPr>
          <w:ilvl w:val="0"/>
          <w:numId w:val="54"/>
        </w:numPr>
      </w:pPr>
      <w:r w:rsidRPr="00CD747A">
        <w:t>That damage could significantly reduce the buildings capacity to resist future earthquakes.</w:t>
      </w:r>
    </w:p>
    <w:p w14:paraId="3B3B8CCB" w14:textId="77777777" w:rsidR="00176157" w:rsidRPr="00CD747A" w:rsidRDefault="00176157" w:rsidP="00666E06">
      <w:r w:rsidRPr="00CD747A">
        <w:t xml:space="preserve">Teams should apply </w:t>
      </w:r>
      <w:r w:rsidRPr="00CD747A">
        <w:rPr>
          <w:i/>
          <w:iCs/>
        </w:rPr>
        <w:t>as near</w:t>
      </w:r>
      <w:r>
        <w:rPr>
          <w:i/>
          <w:iCs/>
        </w:rPr>
        <w:t>ly</w:t>
      </w:r>
      <w:r w:rsidRPr="00CD747A">
        <w:rPr>
          <w:i/>
          <w:iCs/>
        </w:rPr>
        <w:t xml:space="preserve"> as is reasonably practicable</w:t>
      </w:r>
      <w:r w:rsidRPr="00CD747A">
        <w:t xml:space="preserve"> principles. Where it is not considered practical to meet the SLS2 performance requirements by retrofitting a closely adjacent building to meet the above requirements within a reasonable timeframe, other mitigation or management strategies will need to be considered (including through emergency scenario planning) which would enable the necessary post-disaster functions to be fulfilled and the continued functionality requirements of this guideline to be met.</w:t>
      </w:r>
    </w:p>
    <w:p w14:paraId="76951A8A" w14:textId="47A0702B" w:rsidR="00176157" w:rsidRPr="00604D82" w:rsidRDefault="00176157" w:rsidP="00604D82">
      <w:pPr>
        <w:pStyle w:val="Figure"/>
        <w:ind w:left="567"/>
      </w:pPr>
      <w:r w:rsidRPr="002744BD">
        <w:rPr>
          <w:sz w:val="24"/>
          <w:szCs w:val="24"/>
        </w:rPr>
        <w:t xml:space="preserve">Health NZ </w:t>
      </w:r>
      <w:r w:rsidR="00C67A58" w:rsidRPr="002744BD">
        <w:rPr>
          <w:sz w:val="24"/>
          <w:szCs w:val="24"/>
        </w:rPr>
        <w:t>Recommendation</w:t>
      </w:r>
      <w:r w:rsidRPr="002744BD">
        <w:rPr>
          <w:sz w:val="24"/>
          <w:szCs w:val="24"/>
        </w:rPr>
        <w:t>:</w:t>
      </w:r>
      <w:r w:rsidRPr="002744BD">
        <w:rPr>
          <w:b w:val="0"/>
          <w:bCs/>
          <w:sz w:val="24"/>
          <w:szCs w:val="24"/>
        </w:rPr>
        <w:t xml:space="preserve"> To minimise risks to continued functionality following earthquakes, the level of shaking that may cause a </w:t>
      </w:r>
      <w:r w:rsidRPr="002744BD">
        <w:rPr>
          <w:b w:val="0"/>
          <w:bCs/>
          <w:i/>
          <w:iCs/>
          <w:sz w:val="24"/>
          <w:szCs w:val="24"/>
        </w:rPr>
        <w:t xml:space="preserve">closely adjacent </w:t>
      </w:r>
      <w:r w:rsidRPr="002744BD">
        <w:rPr>
          <w:b w:val="0"/>
          <w:bCs/>
          <w:sz w:val="24"/>
          <w:szCs w:val="24"/>
        </w:rPr>
        <w:t xml:space="preserve">existing building to sustain damage that could significantly reduce its capacity to resist subsequent earthquakes should be greater than (or </w:t>
      </w:r>
      <w:r w:rsidRPr="002744BD">
        <w:rPr>
          <w:b w:val="0"/>
          <w:bCs/>
          <w:i/>
          <w:iCs/>
          <w:sz w:val="24"/>
          <w:szCs w:val="24"/>
        </w:rPr>
        <w:t xml:space="preserve">as near as is reasonably practicable </w:t>
      </w:r>
      <w:r w:rsidRPr="002744BD">
        <w:rPr>
          <w:b w:val="0"/>
          <w:bCs/>
          <w:sz w:val="24"/>
          <w:szCs w:val="24"/>
        </w:rPr>
        <w:t xml:space="preserve">to) the demand used for the SLS2 Limit State for the building under consideration </w:t>
      </w:r>
      <w:r w:rsidRPr="00604D82">
        <w:rPr>
          <w:b w:val="0"/>
          <w:bCs/>
          <w:sz w:val="24"/>
          <w:szCs w:val="24"/>
        </w:rPr>
        <w:t>(</w:t>
      </w:r>
      <w:r w:rsidRPr="00604D82">
        <w:rPr>
          <w:b w:val="0"/>
          <w:bCs/>
          <w:sz w:val="24"/>
          <w:szCs w:val="24"/>
        </w:rPr>
        <w:fldChar w:fldCharType="begin"/>
      </w:r>
      <w:r w:rsidRPr="00604D82">
        <w:rPr>
          <w:b w:val="0"/>
          <w:bCs/>
          <w:sz w:val="24"/>
          <w:szCs w:val="24"/>
        </w:rPr>
        <w:instrText xml:space="preserve"> REF _Ref150196492 \h  \* MERGEFORMAT </w:instrText>
      </w:r>
      <w:r w:rsidRPr="00604D82">
        <w:rPr>
          <w:b w:val="0"/>
          <w:bCs/>
          <w:sz w:val="24"/>
          <w:szCs w:val="24"/>
        </w:rPr>
      </w:r>
      <w:r w:rsidRPr="00604D82">
        <w:rPr>
          <w:b w:val="0"/>
          <w:bCs/>
          <w:sz w:val="24"/>
          <w:szCs w:val="24"/>
        </w:rPr>
        <w:fldChar w:fldCharType="separate"/>
      </w:r>
      <w:r w:rsidR="000761C1" w:rsidRPr="000761C1">
        <w:rPr>
          <w:b w:val="0"/>
          <w:bCs/>
          <w:sz w:val="24"/>
          <w:szCs w:val="24"/>
        </w:rPr>
        <w:t xml:space="preserve">Table </w:t>
      </w:r>
      <w:r w:rsidR="000761C1" w:rsidRPr="000761C1">
        <w:rPr>
          <w:b w:val="0"/>
          <w:bCs/>
          <w:noProof/>
          <w:sz w:val="24"/>
          <w:szCs w:val="24"/>
        </w:rPr>
        <w:t>6</w:t>
      </w:r>
      <w:r w:rsidRPr="00604D82">
        <w:rPr>
          <w:b w:val="0"/>
          <w:bCs/>
          <w:sz w:val="24"/>
          <w:szCs w:val="24"/>
        </w:rPr>
        <w:fldChar w:fldCharType="end"/>
      </w:r>
      <w:r w:rsidRPr="00604D82">
        <w:rPr>
          <w:b w:val="0"/>
          <w:bCs/>
          <w:sz w:val="24"/>
          <w:szCs w:val="24"/>
        </w:rPr>
        <w:t>,</w:t>
      </w:r>
      <w:r w:rsidRPr="002744BD">
        <w:rPr>
          <w:b w:val="0"/>
          <w:bCs/>
          <w:sz w:val="24"/>
          <w:szCs w:val="24"/>
        </w:rPr>
        <w:t xml:space="preserve"> Section </w:t>
      </w:r>
      <w:r w:rsidRPr="002744BD">
        <w:rPr>
          <w:b w:val="0"/>
          <w:bCs/>
          <w:sz w:val="24"/>
          <w:szCs w:val="24"/>
        </w:rPr>
        <w:fldChar w:fldCharType="begin"/>
      </w:r>
      <w:r w:rsidRPr="002744BD">
        <w:rPr>
          <w:b w:val="0"/>
          <w:bCs/>
          <w:sz w:val="24"/>
          <w:szCs w:val="24"/>
        </w:rPr>
        <w:instrText xml:space="preserve"> REF _Ref150756251 \r \h  \* MERGEFORMAT </w:instrText>
      </w:r>
      <w:r w:rsidRPr="002744BD">
        <w:rPr>
          <w:b w:val="0"/>
          <w:bCs/>
          <w:sz w:val="24"/>
          <w:szCs w:val="24"/>
        </w:rPr>
      </w:r>
      <w:r w:rsidRPr="002744BD">
        <w:rPr>
          <w:b w:val="0"/>
          <w:bCs/>
          <w:sz w:val="24"/>
          <w:szCs w:val="24"/>
        </w:rPr>
        <w:fldChar w:fldCharType="separate"/>
      </w:r>
      <w:r w:rsidR="000761C1">
        <w:rPr>
          <w:b w:val="0"/>
          <w:bCs/>
          <w:sz w:val="24"/>
          <w:szCs w:val="24"/>
        </w:rPr>
        <w:t>B2.3.1</w:t>
      </w:r>
      <w:r w:rsidRPr="002744BD">
        <w:rPr>
          <w:b w:val="0"/>
          <w:bCs/>
          <w:sz w:val="24"/>
          <w:szCs w:val="24"/>
        </w:rPr>
        <w:fldChar w:fldCharType="end"/>
      </w:r>
      <w:r w:rsidRPr="002744BD">
        <w:rPr>
          <w:b w:val="0"/>
          <w:bCs/>
          <w:sz w:val="24"/>
          <w:szCs w:val="24"/>
        </w:rPr>
        <w:t>).</w:t>
      </w:r>
    </w:p>
    <w:p w14:paraId="51281552" w14:textId="546AAC2B" w:rsidR="00176157" w:rsidRPr="00CD747A"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D747A">
        <w:t>Similar comments apply as for life safety risks, in terms of levels of engineering assessment</w:t>
      </w:r>
      <w:r w:rsidR="008A6673">
        <w:t xml:space="preserve"> or </w:t>
      </w:r>
      <w:r w:rsidRPr="00CD747A">
        <w:t>review considered appropriate to meet this requirement.</w:t>
      </w:r>
    </w:p>
    <w:p w14:paraId="09C6C7EE" w14:textId="77777777" w:rsidR="00176157" w:rsidRPr="00CD747A"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D747A">
        <w:t xml:space="preserve">Having </w:t>
      </w:r>
      <w:r w:rsidRPr="00CD747A">
        <w:rPr>
          <w:iCs/>
        </w:rPr>
        <w:t>Priority Response Agreements</w:t>
      </w:r>
      <w:r w:rsidRPr="00CD747A">
        <w:t xml:space="preserve"> (PRA) in place between engineers and hospitals, and developing </w:t>
      </w:r>
      <w:r w:rsidRPr="00CD747A">
        <w:rPr>
          <w:iCs/>
        </w:rPr>
        <w:t>Rapid Assessment Plans</w:t>
      </w:r>
      <w:r w:rsidRPr="00CD747A">
        <w:t xml:space="preserve"> (RAP) for clinically important buildings, will help to manage continued functionality risk. These arrangements reduce the time taken to make decisions regarding continued use of buildings and provide important reassurance to building users.</w:t>
      </w:r>
    </w:p>
    <w:p w14:paraId="29F0A079" w14:textId="77777777" w:rsidR="00176157" w:rsidRPr="00CD747A" w:rsidRDefault="00176157" w:rsidP="007F4A60">
      <w:pPr>
        <w:pStyle w:val="Section6Heading3"/>
      </w:pPr>
      <w:r w:rsidRPr="00CD747A">
        <w:t xml:space="preserve">Planning </w:t>
      </w:r>
      <w:r>
        <w:t>A</w:t>
      </w:r>
      <w:r w:rsidRPr="00CD747A">
        <w:t xml:space="preserve">djacencies </w:t>
      </w:r>
      <w:r>
        <w:t>B</w:t>
      </w:r>
      <w:r w:rsidRPr="00CD747A">
        <w:t xml:space="preserve">etween </w:t>
      </w:r>
      <w:r>
        <w:t>N</w:t>
      </w:r>
      <w:r w:rsidRPr="00CD747A">
        <w:t xml:space="preserve">ew </w:t>
      </w:r>
      <w:r>
        <w:t>B</w:t>
      </w:r>
      <w:r w:rsidRPr="00CD747A">
        <w:t>uildings</w:t>
      </w:r>
    </w:p>
    <w:p w14:paraId="0F48FF7A" w14:textId="77777777" w:rsidR="00176157" w:rsidRPr="00CD747A" w:rsidRDefault="00176157" w:rsidP="00666E06">
      <w:r w:rsidRPr="00CD747A">
        <w:t xml:space="preserve">Where there are close adjacencies proposed between two new buildings that will be constructed in accordance with the Building Code (and these guidelines), </w:t>
      </w:r>
      <w:r>
        <w:t xml:space="preserve">Health NZ </w:t>
      </w:r>
      <w:r w:rsidRPr="00CD747A">
        <w:t xml:space="preserve">have no further requirements. The Importance Levels ordinary applicable to each building’s </w:t>
      </w:r>
      <w:r w:rsidRPr="00CD747A">
        <w:rPr>
          <w:i/>
        </w:rPr>
        <w:t>Service Category</w:t>
      </w:r>
      <w:r w:rsidRPr="00CD747A">
        <w:t xml:space="preserve"> (minimum Importance Level 2) can apply. The requirements for managing life safety and functional continuity risks (as set out above) are deemed to be met.</w:t>
      </w:r>
    </w:p>
    <w:p w14:paraId="7E7DA3AA" w14:textId="77777777" w:rsidR="00176157" w:rsidRPr="00CD747A"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D747A">
        <w:t>A modern (new) hospital building designed in accordance with the Building Code and these guidelines, would not be expected to sustain levels of damage under Ultimate Limit State design levels of shaking (at least 1/500 APoE) that would significantly reduce its capacity to resist subsequent earthquakes or aftershocks—and therefore it is unlikely to require any restriction on use to buildings in its immediate surroundings.</w:t>
      </w:r>
    </w:p>
    <w:p w14:paraId="34FCA160" w14:textId="77777777" w:rsidR="00176157" w:rsidRPr="00CD747A" w:rsidRDefault="00176157" w:rsidP="00E464B6">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rsidRPr="00CD747A">
        <w:t>Whilst the building itself may still require assessment and some repair (and may or may not have sustained non-structural damage), it is unlikely it would present a risk to continued functionality to a neighbouring Importance Level 3 or 4 building as a close adjacency.</w:t>
      </w:r>
    </w:p>
    <w:p w14:paraId="5AC7BA03" w14:textId="77777777" w:rsidR="00176157" w:rsidRPr="00CD747A" w:rsidRDefault="00176157" w:rsidP="007F4A60">
      <w:pPr>
        <w:pStyle w:val="Section6Heading3"/>
      </w:pPr>
      <w:r w:rsidRPr="00CD747A">
        <w:lastRenderedPageBreak/>
        <w:t xml:space="preserve">Design of </w:t>
      </w:r>
      <w:r>
        <w:t>P</w:t>
      </w:r>
      <w:r w:rsidRPr="00CD747A">
        <w:t xml:space="preserve">hysical </w:t>
      </w:r>
      <w:r>
        <w:t>I</w:t>
      </w:r>
      <w:r w:rsidRPr="00CD747A">
        <w:t xml:space="preserve">nterfaces and </w:t>
      </w:r>
      <w:r>
        <w:t>S</w:t>
      </w:r>
      <w:r w:rsidRPr="00CD747A">
        <w:t xml:space="preserve">eismic </w:t>
      </w:r>
      <w:r>
        <w:t>S</w:t>
      </w:r>
      <w:r w:rsidRPr="00CD747A">
        <w:t xml:space="preserve">eparations </w:t>
      </w:r>
      <w:r>
        <w:t>B</w:t>
      </w:r>
      <w:r w:rsidRPr="00CD747A">
        <w:t xml:space="preserve">etween </w:t>
      </w:r>
      <w:r>
        <w:t>B</w:t>
      </w:r>
      <w:r w:rsidRPr="00CD747A">
        <w:t xml:space="preserve">uildings </w:t>
      </w:r>
    </w:p>
    <w:p w14:paraId="3B37F2A3" w14:textId="0DDC5030" w:rsidR="00176157" w:rsidRPr="00CD747A" w:rsidRDefault="00176157" w:rsidP="00666E06">
      <w:r w:rsidRPr="00CD747A">
        <w:t xml:space="preserve">Refer to Section </w:t>
      </w:r>
      <w:r w:rsidRPr="00CD747A">
        <w:fldChar w:fldCharType="begin"/>
      </w:r>
      <w:r w:rsidRPr="00CD747A">
        <w:instrText xml:space="preserve"> REF _Ref162096751 \r \h </w:instrText>
      </w:r>
      <w:r>
        <w:instrText xml:space="preserve"> \* MERGEFORMAT </w:instrText>
      </w:r>
      <w:r w:rsidRPr="00CD747A">
        <w:fldChar w:fldCharType="separate"/>
      </w:r>
      <w:r w:rsidR="000761C1">
        <w:t>C3.2</w:t>
      </w:r>
      <w:r w:rsidRPr="00CD747A">
        <w:fldChar w:fldCharType="end"/>
      </w:r>
      <w:r w:rsidRPr="00CD747A">
        <w:t xml:space="preserve"> which contains these requirements, including minimum dimensions for offsets between buildings that need to be considered. This may have implications for building set out and massing.</w:t>
      </w:r>
    </w:p>
    <w:p w14:paraId="6C64201E" w14:textId="014ECC81" w:rsidR="00176157" w:rsidRPr="00CD747A" w:rsidRDefault="00176157" w:rsidP="007F4A60">
      <w:pPr>
        <w:pStyle w:val="Section6Heading2"/>
      </w:pPr>
      <w:bookmarkStart w:id="395" w:name="_Ref179555824"/>
      <w:bookmarkStart w:id="396" w:name="_Ref179555899"/>
      <w:bookmarkStart w:id="397" w:name="_Toc203642018"/>
      <w:r w:rsidRPr="00CD747A">
        <w:t>Dependencies—Managing Risk to Building Engineering Systems that Pass Through or Near Other Structures</w:t>
      </w:r>
      <w:bookmarkEnd w:id="395"/>
      <w:bookmarkEnd w:id="396"/>
      <w:bookmarkEnd w:id="397"/>
    </w:p>
    <w:p w14:paraId="583114FC" w14:textId="77777777" w:rsidR="00176157" w:rsidRPr="00CD747A" w:rsidRDefault="00176157" w:rsidP="00666E06">
      <w:r w:rsidRPr="00CD747A">
        <w:t xml:space="preserve">Sitewide “trunk” reticulated services and engineering systems that serve hospital buildings with earthquake functional continuity requirements are labelled as </w:t>
      </w:r>
      <w:r w:rsidRPr="00CD747A">
        <w:rPr>
          <w:i/>
          <w:iCs/>
        </w:rPr>
        <w:t>dependencies</w:t>
      </w:r>
      <w:r w:rsidRPr="00CD747A">
        <w:t xml:space="preserve">. That is, satisfactory building performance is dependent on performance of sitewide services and engineering systems. Lifeline utilities that supply hospitals are considered </w:t>
      </w:r>
      <w:r w:rsidRPr="00CD747A">
        <w:rPr>
          <w:i/>
          <w:iCs/>
        </w:rPr>
        <w:t>external dependencies</w:t>
      </w:r>
      <w:r w:rsidRPr="00CD747A">
        <w:t>.</w:t>
      </w:r>
    </w:p>
    <w:p w14:paraId="6DFEEB93" w14:textId="77777777" w:rsidR="00176157" w:rsidRPr="00CD747A" w:rsidRDefault="00176157" w:rsidP="00666E06">
      <w:r w:rsidRPr="00CD747A">
        <w:t>The services may pass through other buildings on campus with lesser performance requirements. This includes existing buildings that may not currently meet the standard that the Building Code requires of new buildings and infrastructure.</w:t>
      </w:r>
    </w:p>
    <w:p w14:paraId="67A0530C" w14:textId="77777777" w:rsidR="00176157" w:rsidRDefault="00176157" w:rsidP="00666E06">
      <w:r w:rsidRPr="00E464B6">
        <w:rPr>
          <w:b/>
          <w:bCs/>
        </w:rPr>
        <w:t xml:space="preserve">The presence of dependencies does not determine the </w:t>
      </w:r>
      <w:r w:rsidRPr="00E464B6">
        <w:rPr>
          <w:b/>
          <w:bCs/>
          <w:i/>
          <w:iCs/>
        </w:rPr>
        <w:t>Service Category</w:t>
      </w:r>
      <w:r w:rsidRPr="00E464B6">
        <w:rPr>
          <w:b/>
          <w:bCs/>
        </w:rPr>
        <w:t xml:space="preserve"> or Importance Level of other structures that these services pass through</w:t>
      </w:r>
      <w:r w:rsidRPr="00CD747A">
        <w:t>.</w:t>
      </w:r>
    </w:p>
    <w:p w14:paraId="0C9EDBE3" w14:textId="7CCF6AEA" w:rsidR="00176157" w:rsidRDefault="00176157" w:rsidP="00666E06">
      <w:r w:rsidRPr="00CD747A">
        <w:t xml:space="preserve">These classifications should be based on </w:t>
      </w:r>
      <w:r>
        <w:t>the</w:t>
      </w:r>
      <w:r w:rsidRPr="00CD747A">
        <w:t xml:space="preserve"> </w:t>
      </w:r>
      <w:r w:rsidRPr="00CD747A">
        <w:rPr>
          <w:i/>
          <w:iCs/>
        </w:rPr>
        <w:t>Service Category</w:t>
      </w:r>
      <w:r>
        <w:rPr>
          <w:i/>
          <w:iCs/>
        </w:rPr>
        <w:t xml:space="preserve"> </w:t>
      </w:r>
      <w:r w:rsidRPr="00F42780">
        <w:t>of each building</w:t>
      </w:r>
      <w:r w:rsidRPr="00CD747A">
        <w:t xml:space="preserve"> </w:t>
      </w:r>
      <w:r>
        <w:t xml:space="preserve">individually </w:t>
      </w:r>
      <w:r w:rsidRPr="00CD747A">
        <w:t xml:space="preserve">(to Sections </w:t>
      </w:r>
      <w:r w:rsidRPr="00CD747A">
        <w:fldChar w:fldCharType="begin"/>
      </w:r>
      <w:r w:rsidRPr="00CD747A">
        <w:instrText xml:space="preserve"> REF _Ref160007872 \r \h </w:instrText>
      </w:r>
      <w:r>
        <w:instrText xml:space="preserve"> \* MERGEFORMAT </w:instrText>
      </w:r>
      <w:r w:rsidRPr="00CD747A">
        <w:fldChar w:fldCharType="separate"/>
      </w:r>
      <w:r w:rsidR="000761C1">
        <w:t>B1.2</w:t>
      </w:r>
      <w:r w:rsidRPr="00CD747A">
        <w:fldChar w:fldCharType="end"/>
      </w:r>
      <w:r w:rsidRPr="00CD747A">
        <w:t xml:space="preserve"> and </w:t>
      </w:r>
      <w:r w:rsidRPr="00CD747A">
        <w:fldChar w:fldCharType="begin"/>
      </w:r>
      <w:r w:rsidRPr="00CD747A">
        <w:instrText xml:space="preserve"> REF _Ref162097247 \r \h </w:instrText>
      </w:r>
      <w:r>
        <w:instrText xml:space="preserve"> \* MERGEFORMAT </w:instrText>
      </w:r>
      <w:r w:rsidRPr="00CD747A">
        <w:fldChar w:fldCharType="separate"/>
      </w:r>
      <w:r w:rsidR="000761C1">
        <w:t>B1.3</w:t>
      </w:r>
      <w:r w:rsidRPr="00CD747A">
        <w:fldChar w:fldCharType="end"/>
      </w:r>
      <w:r w:rsidRPr="00CD747A">
        <w:t xml:space="preserve">). However, the risks to functional continuity do need to be considered including any access requirements </w:t>
      </w:r>
      <w:r>
        <w:t xml:space="preserve">that need to be maintained </w:t>
      </w:r>
      <w:r w:rsidRPr="00CD747A">
        <w:t>for the service to function.</w:t>
      </w:r>
    </w:p>
    <w:p w14:paraId="456655DA" w14:textId="77777777" w:rsidR="00176157" w:rsidRPr="00CD747A" w:rsidRDefault="00176157" w:rsidP="00666E06">
      <w:r w:rsidRPr="00CD747A">
        <w:t xml:space="preserve">In </w:t>
      </w:r>
      <w:r>
        <w:t xml:space="preserve">resilient design of </w:t>
      </w:r>
      <w:r w:rsidRPr="00CD747A">
        <w:t>utilities and engineering systems, the following key principles are applied. The two bold bullets are the focus of this section.</w:t>
      </w:r>
    </w:p>
    <w:p w14:paraId="01F8637E" w14:textId="77777777" w:rsidR="00176157" w:rsidRPr="00CD747A" w:rsidRDefault="00176157" w:rsidP="00666E06">
      <w:pPr>
        <w:pStyle w:val="ListBullet"/>
      </w:pPr>
      <w:r w:rsidRPr="00CD747A">
        <w:t>Reliability and redundancy in public utilities (</w:t>
      </w:r>
      <w:r w:rsidRPr="00CD747A">
        <w:rPr>
          <w:i/>
          <w:iCs/>
        </w:rPr>
        <w:t>external dependencies</w:t>
      </w:r>
      <w:r w:rsidRPr="00CD747A">
        <w:t xml:space="preserve"> beyond the site, and usually outside a project’s scope boundary).</w:t>
      </w:r>
    </w:p>
    <w:p w14:paraId="310D7D57" w14:textId="77777777" w:rsidR="00176157" w:rsidRPr="00CD747A" w:rsidRDefault="00176157" w:rsidP="00666E06">
      <w:pPr>
        <w:pStyle w:val="ListBullet"/>
      </w:pPr>
      <w:r w:rsidRPr="00CD747A">
        <w:t>Reliability of individual services or parts of an engineering system, including:</w:t>
      </w:r>
    </w:p>
    <w:p w14:paraId="6D8E3EA8" w14:textId="77777777" w:rsidR="00176157" w:rsidRPr="00CD747A" w:rsidRDefault="00176157" w:rsidP="004D55F1">
      <w:pPr>
        <w:pStyle w:val="ListBullet"/>
        <w:numPr>
          <w:ilvl w:val="1"/>
          <w:numId w:val="47"/>
        </w:numPr>
      </w:pPr>
      <w:r w:rsidRPr="00CD747A">
        <w:t xml:space="preserve">The </w:t>
      </w:r>
      <w:r>
        <w:t xml:space="preserve">ruggedness of the </w:t>
      </w:r>
      <w:r w:rsidRPr="00CD747A">
        <w:t>equipment or services themselves</w:t>
      </w:r>
      <w:r>
        <w:t xml:space="preserve"> and their internal workings</w:t>
      </w:r>
      <w:r w:rsidRPr="00CD747A">
        <w:t>,</w:t>
      </w:r>
    </w:p>
    <w:p w14:paraId="0506B1E4" w14:textId="77777777" w:rsidR="00176157" w:rsidRPr="00E464B6" w:rsidRDefault="00176157" w:rsidP="004D55F1">
      <w:pPr>
        <w:pStyle w:val="ListBullet"/>
        <w:numPr>
          <w:ilvl w:val="1"/>
          <w:numId w:val="47"/>
        </w:numPr>
        <w:rPr>
          <w:b/>
          <w:bCs/>
        </w:rPr>
      </w:pPr>
      <w:r w:rsidRPr="00E464B6">
        <w:rPr>
          <w:b/>
          <w:bCs/>
        </w:rPr>
        <w:t>Their direct structural support and restraint,</w:t>
      </w:r>
    </w:p>
    <w:p w14:paraId="6CE318DE" w14:textId="77777777" w:rsidR="00176157" w:rsidRPr="00E464B6" w:rsidRDefault="00176157" w:rsidP="004D55F1">
      <w:pPr>
        <w:pStyle w:val="ListBullet"/>
        <w:numPr>
          <w:ilvl w:val="1"/>
          <w:numId w:val="47"/>
        </w:numPr>
        <w:rPr>
          <w:b/>
          <w:bCs/>
        </w:rPr>
      </w:pPr>
      <w:r w:rsidRPr="00E464B6">
        <w:rPr>
          <w:b/>
          <w:bCs/>
        </w:rPr>
        <w:t>Risks to the operation and maintenance of services from the performance of structures housing it or surrounding it.</w:t>
      </w:r>
    </w:p>
    <w:p w14:paraId="5F3E00D2" w14:textId="77777777" w:rsidR="00176157" w:rsidRPr="00CD747A" w:rsidRDefault="00176157" w:rsidP="00666E06">
      <w:pPr>
        <w:pStyle w:val="ListBullet"/>
      </w:pPr>
      <w:r w:rsidRPr="00CD747A">
        <w:t>Redundancy</w:t>
      </w:r>
      <w:r>
        <w:t xml:space="preserve"> - </w:t>
      </w:r>
      <w:r w:rsidRPr="00CD747A">
        <w:t xml:space="preserve">a key part of engineering systems design, applied by </w:t>
      </w:r>
      <w:r>
        <w:t>b</w:t>
      </w:r>
      <w:r w:rsidRPr="00CD747A">
        <w:t xml:space="preserve">uilding </w:t>
      </w:r>
      <w:r>
        <w:t>s</w:t>
      </w:r>
      <w:r w:rsidRPr="00CD747A">
        <w:t>ervices engineers to achieve adequate system reliability and resilience.</w:t>
      </w:r>
    </w:p>
    <w:p w14:paraId="68B26203" w14:textId="77777777" w:rsidR="00176157" w:rsidRPr="00CD747A" w:rsidRDefault="00176157" w:rsidP="00666E06">
      <w:r w:rsidRPr="00CD747A">
        <w:t xml:space="preserve">Refer to </w:t>
      </w:r>
      <w:r>
        <w:t>Health NZ ’s</w:t>
      </w:r>
      <w:r w:rsidRPr="00CD747A">
        <w:t xml:space="preserve"> </w:t>
      </w:r>
      <w:r w:rsidRPr="00CD747A">
        <w:rPr>
          <w:i/>
          <w:iCs/>
        </w:rPr>
        <w:t>Building Services Design Guidelines for Public Hospitals</w:t>
      </w:r>
      <w:r w:rsidRPr="00CD747A">
        <w:t xml:space="preserve"> (in development) and consider the following structural and geotechnical inputs.</w:t>
      </w:r>
    </w:p>
    <w:p w14:paraId="1E66F23F" w14:textId="77777777" w:rsidR="00176157" w:rsidRPr="007F4A60" w:rsidRDefault="00176157" w:rsidP="00D56CAE">
      <w:pPr>
        <w:pStyle w:val="BodyHeading"/>
        <w:rPr>
          <w:color w:val="660033"/>
        </w:rPr>
      </w:pPr>
      <w:r w:rsidRPr="007F4A60">
        <w:rPr>
          <w:color w:val="660033"/>
        </w:rPr>
        <w:lastRenderedPageBreak/>
        <w:t>Structural and seismic requirements for trunk services and engineering systems and the structures that contain them</w:t>
      </w:r>
    </w:p>
    <w:p w14:paraId="6E68169A" w14:textId="77777777" w:rsidR="00176157" w:rsidRPr="007B700D" w:rsidRDefault="00176157" w:rsidP="00666E06">
      <w:r w:rsidRPr="007B700D">
        <w:t>To ensure appropriate reliability to individual services and engineering systems, services should be adequately seismically restrained, and not exposed to undue risk from buildings or structures. In practice, this means considering the following:</w:t>
      </w:r>
    </w:p>
    <w:p w14:paraId="2A38093C" w14:textId="77777777" w:rsidR="00176157" w:rsidRPr="007B700D" w:rsidRDefault="00176157" w:rsidP="004D55F1">
      <w:pPr>
        <w:pStyle w:val="ListParagraph"/>
        <w:numPr>
          <w:ilvl w:val="0"/>
          <w:numId w:val="62"/>
        </w:numPr>
      </w:pPr>
      <w:r w:rsidRPr="007B700D">
        <w:t>For new services installations, non-structural element (NSE) seismic design</w:t>
      </w:r>
      <w:r>
        <w:t xml:space="preserve"> (the design of direct seismic restraints and their anchorages)</w:t>
      </w:r>
      <w:r w:rsidRPr="007B700D">
        <w:t xml:space="preserve"> over the full route should meet the requirements of the highest </w:t>
      </w:r>
      <w:r w:rsidRPr="007B700D">
        <w:rPr>
          <w:i/>
        </w:rPr>
        <w:t>Service Category</w:t>
      </w:r>
      <w:r w:rsidRPr="007B700D">
        <w:t xml:space="preserve"> or Importance Level of buildings served by the systems. This includes any other neighbouring services supported commonly or adjacent along the same route where failure or loss of support could impact the systems being considered.</w:t>
      </w:r>
    </w:p>
    <w:p w14:paraId="42C6FCDE" w14:textId="6346818E" w:rsidR="00176157" w:rsidRPr="005F42F5" w:rsidRDefault="00176157" w:rsidP="004D55F1">
      <w:pPr>
        <w:pStyle w:val="ListParagraph"/>
        <w:numPr>
          <w:ilvl w:val="0"/>
          <w:numId w:val="62"/>
        </w:numPr>
      </w:pPr>
      <w:r w:rsidRPr="007B700D">
        <w:t xml:space="preserve">Assessment of existing trunk services </w:t>
      </w:r>
      <w:r w:rsidR="00AD103B">
        <w:t xml:space="preserve">and their direct </w:t>
      </w:r>
      <w:r w:rsidR="002B422A">
        <w:t>seismic restraint and anchorage</w:t>
      </w:r>
      <w:r w:rsidR="00AD103B">
        <w:t xml:space="preserve"> </w:t>
      </w:r>
      <w:r w:rsidRPr="007B700D">
        <w:t>can focus on continued functionality risks only, i.e.</w:t>
      </w:r>
      <w:r w:rsidR="0072131C" w:rsidRPr="0072131C">
        <w:t xml:space="preserve"> </w:t>
      </w:r>
      <w:r w:rsidR="00786B51">
        <w:t>consider SLS2 predominantly</w:t>
      </w:r>
      <w:r w:rsidR="00276E49">
        <w:t xml:space="preserve"> </w:t>
      </w:r>
      <w:r w:rsidR="00276E49" w:rsidRPr="005F42F5">
        <w:t xml:space="preserve">(1/500 APoE for those serving Importance Level </w:t>
      </w:r>
      <w:r w:rsidR="000E5092" w:rsidRPr="005F42F5">
        <w:t xml:space="preserve">4 </w:t>
      </w:r>
      <w:r w:rsidR="00276E49" w:rsidRPr="005F42F5">
        <w:t>buildings)</w:t>
      </w:r>
      <w:r w:rsidR="00786B51" w:rsidRPr="005F42F5">
        <w:t>.</w:t>
      </w:r>
      <w:r w:rsidR="0072131C" w:rsidRPr="005F42F5">
        <w:t xml:space="preserve"> ULS </w:t>
      </w:r>
      <w:r w:rsidR="00786B51" w:rsidRPr="005F42F5">
        <w:t xml:space="preserve">may require consideration </w:t>
      </w:r>
      <w:r w:rsidR="0072131C" w:rsidRPr="005F42F5">
        <w:t>for earthquake evacuation and life support systems</w:t>
      </w:r>
      <w:r w:rsidR="0063055B" w:rsidRPr="005F42F5">
        <w:t xml:space="preserve">—see </w:t>
      </w:r>
      <w:r w:rsidR="003B6A54" w:rsidRPr="005F42F5">
        <w:t xml:space="preserve">the </w:t>
      </w:r>
      <w:r w:rsidR="0063055B" w:rsidRPr="005F42F5">
        <w:t>comment box below</w:t>
      </w:r>
      <w:r w:rsidRPr="005F42F5">
        <w:t>.</w:t>
      </w:r>
    </w:p>
    <w:p w14:paraId="1AA9B6FD" w14:textId="5A7F7D5A" w:rsidR="002D5DAE" w:rsidRPr="005F42F5" w:rsidRDefault="008E07C1" w:rsidP="004D55F1">
      <w:pPr>
        <w:pStyle w:val="ListParagraph"/>
        <w:numPr>
          <w:ilvl w:val="0"/>
          <w:numId w:val="62"/>
        </w:numPr>
        <w:ind w:left="357"/>
        <w:contextualSpacing w:val="0"/>
      </w:pPr>
      <w:r w:rsidRPr="005F42F5">
        <w:t xml:space="preserve">Failure of structures containing critical trunk services, </w:t>
      </w:r>
      <w:r w:rsidR="006B3CCF" w:rsidRPr="005F42F5">
        <w:t>should</w:t>
      </w:r>
      <w:r w:rsidRPr="005F42F5">
        <w:t xml:space="preserve"> have a low probability of causing loss of function to the critical trunk service, at the appropriate limit state (</w:t>
      </w:r>
      <w:r w:rsidR="000E5092" w:rsidRPr="005F42F5">
        <w:t xml:space="preserve">i.e. </w:t>
      </w:r>
      <w:r w:rsidR="00DE1D74" w:rsidRPr="005F42F5">
        <w:t xml:space="preserve">SLS2 </w:t>
      </w:r>
      <w:r w:rsidR="00712CFC" w:rsidRPr="005F42F5">
        <w:t xml:space="preserve">for critical services generally </w:t>
      </w:r>
      <w:r w:rsidR="00DE1D74" w:rsidRPr="005F42F5">
        <w:t>(1/500 APoE</w:t>
      </w:r>
      <w:r w:rsidR="000E5092" w:rsidRPr="005F42F5">
        <w:t xml:space="preserve"> for </w:t>
      </w:r>
      <w:r w:rsidR="003B6A54" w:rsidRPr="005F42F5">
        <w:t>those serving Importance Level 4</w:t>
      </w:r>
      <w:r w:rsidR="00AC5CDD" w:rsidRPr="005F42F5">
        <w:t xml:space="preserve"> buildings</w:t>
      </w:r>
      <w:r w:rsidR="00DE1D74" w:rsidRPr="005F42F5">
        <w:t>), or ULS for earthquake evacuation and life support systems only</w:t>
      </w:r>
      <w:r w:rsidRPr="005F42F5">
        <w:t>.</w:t>
      </w:r>
    </w:p>
    <w:p w14:paraId="311D04BC" w14:textId="7925F2D7" w:rsidR="00DB7DFC" w:rsidRPr="005F42F5" w:rsidRDefault="0073785C" w:rsidP="00616B1C">
      <w:pPr>
        <w:pStyle w:val="ListParagraph"/>
        <w:ind w:left="357"/>
        <w:contextualSpacing w:val="0"/>
      </w:pPr>
      <w:r w:rsidRPr="005F42F5">
        <w:t xml:space="preserve">New buildings designed to the </w:t>
      </w:r>
      <w:r w:rsidR="00555472" w:rsidRPr="005F42F5">
        <w:t>appropriate cited standards have a low probability of</w:t>
      </w:r>
      <w:r w:rsidR="006A4AFB" w:rsidRPr="005F42F5">
        <w:t xml:space="preserve"> collapse well beyond ULS shaking, </w:t>
      </w:r>
      <w:r w:rsidR="00555472" w:rsidRPr="005F42F5">
        <w:t>therefore</w:t>
      </w:r>
      <w:r w:rsidR="006A4AFB" w:rsidRPr="005F42F5">
        <w:t xml:space="preserve"> </w:t>
      </w:r>
      <w:r w:rsidR="00771982" w:rsidRPr="005F42F5">
        <w:t xml:space="preserve">this </w:t>
      </w:r>
      <w:r w:rsidR="006A4AFB" w:rsidRPr="005F42F5">
        <w:t>should not generally impose a</w:t>
      </w:r>
      <w:r w:rsidR="00DE016E" w:rsidRPr="005F42F5">
        <w:t xml:space="preserve"> higher</w:t>
      </w:r>
      <w:r w:rsidR="006A4AFB" w:rsidRPr="005F42F5">
        <w:t xml:space="preserve"> </w:t>
      </w:r>
      <w:r w:rsidR="00DB7DFC" w:rsidRPr="005F42F5">
        <w:t xml:space="preserve">ULS </w:t>
      </w:r>
      <w:r w:rsidR="00DE016E" w:rsidRPr="005F42F5">
        <w:t xml:space="preserve">performance requirement </w:t>
      </w:r>
      <w:r w:rsidR="006A4AFB" w:rsidRPr="005F42F5">
        <w:t>on new buildings</w:t>
      </w:r>
      <w:r w:rsidR="00CE3FC9" w:rsidRPr="005F42F5">
        <w:t>, no matter their importance level</w:t>
      </w:r>
      <w:r w:rsidR="00176157" w:rsidRPr="005F42F5">
        <w:t>.</w:t>
      </w:r>
    </w:p>
    <w:p w14:paraId="66DFA1B8" w14:textId="3FE21D83" w:rsidR="00176157" w:rsidRPr="007B700D" w:rsidRDefault="00176157" w:rsidP="00616B1C">
      <w:pPr>
        <w:pStyle w:val="ListParagraph"/>
        <w:ind w:left="357"/>
      </w:pPr>
      <w:r w:rsidRPr="007B700D">
        <w:t>However, existing buildings containing the services or</w:t>
      </w:r>
      <w:r w:rsidR="00DB7DFC">
        <w:t xml:space="preserve"> those</w:t>
      </w:r>
      <w:r w:rsidRPr="007B700D">
        <w:t xml:space="preserve"> </w:t>
      </w:r>
      <w:r w:rsidRPr="007B700D">
        <w:rPr>
          <w:i/>
          <w:iCs/>
        </w:rPr>
        <w:t>closely adjacent</w:t>
      </w:r>
      <w:r w:rsidRPr="007B700D">
        <w:t xml:space="preserve"> to them should ideally have a </w:t>
      </w:r>
      <w:r w:rsidRPr="007B700D">
        <w:rPr>
          <w:i/>
          <w:iCs/>
        </w:rPr>
        <w:t>Low-Risk Seismic Grade</w:t>
      </w:r>
      <w:r w:rsidRPr="007B700D">
        <w:t>. This applies to any</w:t>
      </w:r>
      <w:r w:rsidRPr="007B700D">
        <w:rPr>
          <w:i/>
          <w:iCs/>
        </w:rPr>
        <w:t xml:space="preserve"> </w:t>
      </w:r>
      <w:r w:rsidRPr="007B700D">
        <w:t>potential structural weaknesses which could materially affect operation or access to the services depended on. Where this is impractical or has not yet been achieved, it should be assumed that in a significant earthquake, there is a higher chance of the service being severed or maintenance access being compromised. Services Engineers should give additional specific consideration to how this informs redundancy requirements or other appropriate mitigations.</w:t>
      </w:r>
    </w:p>
    <w:p w14:paraId="2C4BFE37" w14:textId="7E0D5AA9" w:rsidR="00176157" w:rsidRDefault="00176157" w:rsidP="00666E06">
      <w:r w:rsidRPr="007B700D">
        <w:t>Structural Engineers and NSE Seismic Designers should work with services engineers to understand which services are important to delivering continued functionality, and which trunk service routes these requirements should apply to (w</w:t>
      </w:r>
      <w:r w:rsidRPr="005A6659">
        <w:t xml:space="preserve">ith reference to the descriptions in Section </w:t>
      </w:r>
      <w:r w:rsidRPr="005A6659">
        <w:fldChar w:fldCharType="begin"/>
      </w:r>
      <w:r w:rsidRPr="005A6659">
        <w:instrText xml:space="preserve"> REF _Ref150180900 \r \h  \* MERGEFORMAT </w:instrText>
      </w:r>
      <w:r w:rsidRPr="005A6659">
        <w:fldChar w:fldCharType="separate"/>
      </w:r>
      <w:r w:rsidR="000761C1">
        <w:t>B2.5</w:t>
      </w:r>
      <w:r w:rsidRPr="005A6659">
        <w:fldChar w:fldCharType="end"/>
      </w:r>
      <w:r>
        <w:t>,</w:t>
      </w:r>
      <w:r w:rsidRPr="005A6659">
        <w:t xml:space="preserve"> </w:t>
      </w:r>
      <w:r w:rsidRPr="005A6659">
        <w:fldChar w:fldCharType="begin"/>
      </w:r>
      <w:r w:rsidRPr="005A6659">
        <w:instrText xml:space="preserve"> REF _Ref150180900 \h  \* MERGEFORMAT </w:instrText>
      </w:r>
      <w:r w:rsidRPr="005A6659">
        <w:fldChar w:fldCharType="separate"/>
      </w:r>
      <w:r w:rsidR="000761C1" w:rsidRPr="00B975B2">
        <w:t>Descriptions of Physical States for the SLS2 and DCLS Limit States</w:t>
      </w:r>
      <w:r w:rsidRPr="005A6659">
        <w:fldChar w:fldCharType="end"/>
      </w:r>
      <w:r w:rsidRPr="005A6659">
        <w:t>).</w:t>
      </w:r>
    </w:p>
    <w:p w14:paraId="06CB6A5F" w14:textId="77777777" w:rsidR="005E36F1" w:rsidRDefault="005E36F1" w:rsidP="00666E06"/>
    <w:p w14:paraId="0C3FCAA8" w14:textId="77777777" w:rsidR="005E36F1" w:rsidRDefault="005E36F1" w:rsidP="00666E06"/>
    <w:p w14:paraId="01AB1A4D" w14:textId="77777777" w:rsidR="005E36F1" w:rsidRDefault="005E36F1" w:rsidP="00666E06"/>
    <w:p w14:paraId="141919BB" w14:textId="77777777" w:rsidR="005E36F1" w:rsidRDefault="005E36F1" w:rsidP="00666E06"/>
    <w:p w14:paraId="7A8A43AF" w14:textId="77777777" w:rsidR="005E36F1" w:rsidRDefault="005E36F1" w:rsidP="00666E06"/>
    <w:p w14:paraId="7A2971FA" w14:textId="4ACC5319" w:rsidR="00165319" w:rsidRDefault="00165319" w:rsidP="00524BF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lastRenderedPageBreak/>
        <w:t>On many campuses, trunk services run in basements or tunnels under older, existing buildings. Often, these locations may remain relatively protected even in scenarios where the superstructure sees significant damage. The trunk services may have a low likelihood of losing function even as the superstructure exceeds its ultimate capacity, due to inherent resilience of some substructures and of some trunk services.</w:t>
      </w:r>
    </w:p>
    <w:p w14:paraId="5B062C4D" w14:textId="539AF0B4" w:rsidR="00165319" w:rsidRPr="00CE74CF" w:rsidRDefault="00165319" w:rsidP="00524BF2">
      <w:pPr>
        <w:pStyle w:val="Box"/>
        <w:pBdr>
          <w:top w:val="single" w:sz="8" w:space="8" w:color="15284C" w:themeColor="text1"/>
          <w:left w:val="single" w:sz="8" w:space="8" w:color="15284C" w:themeColor="text1"/>
          <w:bottom w:val="single" w:sz="8" w:space="8" w:color="15284C" w:themeColor="text1"/>
          <w:right w:val="single" w:sz="8" w:space="8" w:color="15284C" w:themeColor="text1"/>
        </w:pBdr>
        <w:shd w:val="clear" w:color="auto" w:fill="F6F4EC"/>
      </w:pPr>
      <w:r>
        <w:t xml:space="preserve">Where this resilience cannot be adequately achieved, it is likely that redundancy in the services will instead need to be </w:t>
      </w:r>
      <w:r w:rsidRPr="00CE74CF">
        <w:t>provided</w:t>
      </w:r>
      <w:r w:rsidR="0061655C" w:rsidRPr="00CE74CF">
        <w:t xml:space="preserve"> (especially for </w:t>
      </w:r>
      <w:r w:rsidR="00A83F50" w:rsidRPr="00CE74CF">
        <w:t xml:space="preserve">services that facilitate earthquake evacuation and </w:t>
      </w:r>
      <w:r w:rsidR="00562DE9" w:rsidRPr="00CE74CF">
        <w:t xml:space="preserve">short-term </w:t>
      </w:r>
      <w:r w:rsidR="00A83F50" w:rsidRPr="00CE74CF">
        <w:t>life support</w:t>
      </w:r>
      <w:r w:rsidR="00562DE9" w:rsidRPr="00CE74CF">
        <w:t xml:space="preserve"> in the buildings served</w:t>
      </w:r>
      <w:r w:rsidR="0061655C" w:rsidRPr="00CE74CF">
        <w:t>)</w:t>
      </w:r>
      <w:r w:rsidRPr="00CE74CF">
        <w:t>.</w:t>
      </w:r>
    </w:p>
    <w:p w14:paraId="19567CF4" w14:textId="7A1634F3" w:rsidR="00842EC5" w:rsidRDefault="00176157" w:rsidP="00666E06">
      <w:r w:rsidRPr="007B700D">
        <w:t>Specific consideration should be given to locations where services enter and exit buildings, services trenches and tunnels</w:t>
      </w:r>
      <w:r>
        <w:t xml:space="preserve">, </w:t>
      </w:r>
      <w:r w:rsidRPr="007B700D">
        <w:t>particularly the likely post-earthquake accessibility of such locations for repair. Foundation and geotechnical performance and differential movements can concentrate damage at these locations. This includes proposals to locate services in subgrade under buildings (rather than in accessible trenches) which requires careful review.</w:t>
      </w:r>
    </w:p>
    <w:p w14:paraId="00723482" w14:textId="77777777" w:rsidR="00C41710" w:rsidRDefault="00C41710" w:rsidP="00666E06"/>
    <w:p w14:paraId="3256C517" w14:textId="77777777" w:rsidR="00C41710" w:rsidRDefault="00C41710" w:rsidP="00666E06"/>
    <w:p w14:paraId="6927B7DF" w14:textId="77777777" w:rsidR="00C41710" w:rsidRDefault="00C41710" w:rsidP="00666E06"/>
    <w:p w14:paraId="18C119F6" w14:textId="77777777" w:rsidR="00C41710" w:rsidRDefault="00C41710" w:rsidP="00666E06">
      <w:pPr>
        <w:sectPr w:rsidR="00C41710" w:rsidSect="003A3B9A">
          <w:headerReference w:type="default" r:id="rId135"/>
          <w:footerReference w:type="default" r:id="rId136"/>
          <w:footnotePr>
            <w:numRestart w:val="eachPage"/>
          </w:footnotePr>
          <w:pgSz w:w="11906" w:h="16838"/>
          <w:pgMar w:top="1560" w:right="1134" w:bottom="1418" w:left="1134" w:header="709" w:footer="709" w:gutter="0"/>
          <w:cols w:space="708"/>
          <w:docGrid w:linePitch="360"/>
        </w:sectPr>
      </w:pPr>
    </w:p>
    <w:p w14:paraId="75ABBEAD" w14:textId="77777777" w:rsidR="00C831EC" w:rsidRDefault="00C831EC" w:rsidP="00C831EC">
      <w:pPr>
        <w:pStyle w:val="Heading1"/>
      </w:pPr>
      <w:bookmarkStart w:id="398" w:name="_Toc175317986"/>
      <w:bookmarkStart w:id="399" w:name="_Toc188969189"/>
      <w:bookmarkStart w:id="400" w:name="_Toc203642019"/>
      <w:r>
        <w:lastRenderedPageBreak/>
        <w:t>Notes</w:t>
      </w:r>
      <w:bookmarkEnd w:id="398"/>
      <w:bookmarkEnd w:id="399"/>
      <w:bookmarkEnd w:id="400"/>
    </w:p>
    <w:p w14:paraId="58BEE051" w14:textId="77777777" w:rsidR="00C831EC" w:rsidRPr="002947F7" w:rsidRDefault="00C831EC" w:rsidP="00C831EC">
      <w:pPr>
        <w:rPr>
          <w:color w:val="0C818F" w:themeColor="accent3"/>
        </w:rPr>
      </w:pPr>
      <w:r w:rsidRPr="002947F7">
        <w:rPr>
          <w:color w:val="0C818F" w:themeColor="accent3"/>
        </w:rPr>
        <w:t>……………………………………………………………………………..…………………………</w:t>
      </w:r>
    </w:p>
    <w:p w14:paraId="2DB06BCD" w14:textId="77777777" w:rsidR="00C831EC" w:rsidRPr="002947F7" w:rsidRDefault="00C831EC" w:rsidP="00C831EC">
      <w:pPr>
        <w:rPr>
          <w:color w:val="0C818F" w:themeColor="accent3"/>
        </w:rPr>
      </w:pPr>
      <w:r w:rsidRPr="002947F7">
        <w:rPr>
          <w:color w:val="0C818F" w:themeColor="accent3"/>
        </w:rPr>
        <w:t>……………………………………………………………………………..…………………………</w:t>
      </w:r>
    </w:p>
    <w:p w14:paraId="64247249" w14:textId="77777777" w:rsidR="00C831EC" w:rsidRPr="002947F7" w:rsidRDefault="00C831EC" w:rsidP="00C831EC">
      <w:pPr>
        <w:rPr>
          <w:color w:val="0C818F" w:themeColor="accent3"/>
        </w:rPr>
      </w:pPr>
      <w:r w:rsidRPr="002947F7">
        <w:rPr>
          <w:color w:val="0C818F" w:themeColor="accent3"/>
        </w:rPr>
        <w:t>……………………………………………………………………………..…………………………</w:t>
      </w:r>
    </w:p>
    <w:p w14:paraId="65413A0D" w14:textId="77777777" w:rsidR="00C831EC" w:rsidRPr="002947F7" w:rsidRDefault="00C831EC" w:rsidP="00C831EC">
      <w:pPr>
        <w:rPr>
          <w:color w:val="0C818F" w:themeColor="accent3"/>
        </w:rPr>
      </w:pPr>
      <w:r w:rsidRPr="002947F7">
        <w:rPr>
          <w:color w:val="0C818F" w:themeColor="accent3"/>
        </w:rPr>
        <w:t>……………………………………………………………………………..…………………………</w:t>
      </w:r>
    </w:p>
    <w:p w14:paraId="125CF545" w14:textId="77777777" w:rsidR="00C831EC" w:rsidRPr="002947F7" w:rsidRDefault="00C831EC" w:rsidP="00C831EC">
      <w:pPr>
        <w:rPr>
          <w:color w:val="0C818F" w:themeColor="accent3"/>
        </w:rPr>
      </w:pPr>
      <w:r w:rsidRPr="002947F7">
        <w:rPr>
          <w:color w:val="0C818F" w:themeColor="accent3"/>
        </w:rPr>
        <w:t>……………………………………………………………………………..…………………………</w:t>
      </w:r>
    </w:p>
    <w:p w14:paraId="133A04CD" w14:textId="77777777" w:rsidR="00C831EC" w:rsidRPr="002947F7" w:rsidRDefault="00C831EC" w:rsidP="00C831EC">
      <w:pPr>
        <w:rPr>
          <w:color w:val="0C818F" w:themeColor="accent3"/>
        </w:rPr>
      </w:pPr>
      <w:r w:rsidRPr="002947F7">
        <w:rPr>
          <w:color w:val="0C818F" w:themeColor="accent3"/>
        </w:rPr>
        <w:t>……………………………………………………………………………..…………………………</w:t>
      </w:r>
    </w:p>
    <w:p w14:paraId="33D6F0CF" w14:textId="77777777" w:rsidR="00C831EC" w:rsidRPr="002947F7" w:rsidRDefault="00C831EC" w:rsidP="00C831EC">
      <w:pPr>
        <w:rPr>
          <w:color w:val="0C818F" w:themeColor="accent3"/>
        </w:rPr>
      </w:pPr>
      <w:r w:rsidRPr="002947F7">
        <w:rPr>
          <w:color w:val="0C818F" w:themeColor="accent3"/>
        </w:rPr>
        <w:t>……………………………………………………………………………..…………………………</w:t>
      </w:r>
    </w:p>
    <w:p w14:paraId="57E101DA" w14:textId="77777777" w:rsidR="00C831EC" w:rsidRPr="002947F7" w:rsidRDefault="00C831EC" w:rsidP="00C831EC">
      <w:pPr>
        <w:rPr>
          <w:color w:val="0C818F" w:themeColor="accent3"/>
        </w:rPr>
      </w:pPr>
      <w:r w:rsidRPr="002947F7">
        <w:rPr>
          <w:color w:val="0C818F" w:themeColor="accent3"/>
        </w:rPr>
        <w:t>……………………………………………………………………………..…………………………</w:t>
      </w:r>
    </w:p>
    <w:p w14:paraId="6E10DB10" w14:textId="77777777" w:rsidR="00C831EC" w:rsidRPr="002947F7" w:rsidRDefault="00C831EC" w:rsidP="00C831EC">
      <w:pPr>
        <w:rPr>
          <w:color w:val="0C818F" w:themeColor="accent3"/>
        </w:rPr>
      </w:pPr>
      <w:r w:rsidRPr="002947F7">
        <w:rPr>
          <w:color w:val="0C818F" w:themeColor="accent3"/>
        </w:rPr>
        <w:t>……………………………………………………………………………..…………………………</w:t>
      </w:r>
    </w:p>
    <w:p w14:paraId="17B0F0F9" w14:textId="77777777" w:rsidR="00C831EC" w:rsidRPr="002947F7" w:rsidRDefault="00C831EC" w:rsidP="00C831EC">
      <w:pPr>
        <w:rPr>
          <w:color w:val="0C818F" w:themeColor="accent3"/>
        </w:rPr>
      </w:pPr>
      <w:r w:rsidRPr="002947F7">
        <w:rPr>
          <w:color w:val="0C818F" w:themeColor="accent3"/>
        </w:rPr>
        <w:t>……………………………………………………………………………..…………………………</w:t>
      </w:r>
    </w:p>
    <w:p w14:paraId="7A19332E" w14:textId="77777777" w:rsidR="00C831EC" w:rsidRPr="002947F7" w:rsidRDefault="00C831EC" w:rsidP="00C831EC">
      <w:pPr>
        <w:rPr>
          <w:color w:val="0C818F" w:themeColor="accent3"/>
        </w:rPr>
      </w:pPr>
      <w:r w:rsidRPr="002947F7">
        <w:rPr>
          <w:color w:val="0C818F" w:themeColor="accent3"/>
        </w:rPr>
        <w:t>……………………………………………………………………………..…………………………</w:t>
      </w:r>
    </w:p>
    <w:p w14:paraId="33CD6ACA" w14:textId="77777777" w:rsidR="00C831EC" w:rsidRPr="002947F7" w:rsidRDefault="00C831EC" w:rsidP="00C831EC">
      <w:pPr>
        <w:rPr>
          <w:color w:val="0C818F" w:themeColor="accent3"/>
        </w:rPr>
      </w:pPr>
      <w:r w:rsidRPr="002947F7">
        <w:rPr>
          <w:color w:val="0C818F" w:themeColor="accent3"/>
        </w:rPr>
        <w:t>……………………………………………………………………………..…………………………</w:t>
      </w:r>
    </w:p>
    <w:p w14:paraId="6A86A39E" w14:textId="77777777" w:rsidR="00C831EC" w:rsidRPr="002947F7" w:rsidRDefault="00C831EC" w:rsidP="00C831EC">
      <w:pPr>
        <w:rPr>
          <w:color w:val="0C818F" w:themeColor="accent3"/>
        </w:rPr>
      </w:pPr>
      <w:r w:rsidRPr="002947F7">
        <w:rPr>
          <w:color w:val="0C818F" w:themeColor="accent3"/>
        </w:rPr>
        <w:t>……………………………………………………………………………..…………………………</w:t>
      </w:r>
    </w:p>
    <w:p w14:paraId="4A3FD53D" w14:textId="77777777" w:rsidR="00C831EC" w:rsidRPr="002947F7" w:rsidRDefault="00C831EC" w:rsidP="00C831EC">
      <w:pPr>
        <w:rPr>
          <w:color w:val="0C818F" w:themeColor="accent3"/>
        </w:rPr>
      </w:pPr>
      <w:r w:rsidRPr="002947F7">
        <w:rPr>
          <w:color w:val="0C818F" w:themeColor="accent3"/>
        </w:rPr>
        <w:t>……………………………………………………………………………..…………………………</w:t>
      </w:r>
    </w:p>
    <w:p w14:paraId="0DE47422" w14:textId="77777777" w:rsidR="00C831EC" w:rsidRPr="002947F7" w:rsidRDefault="00C831EC" w:rsidP="00C831EC">
      <w:pPr>
        <w:rPr>
          <w:color w:val="0C818F" w:themeColor="accent3"/>
        </w:rPr>
      </w:pPr>
      <w:r w:rsidRPr="002947F7">
        <w:rPr>
          <w:color w:val="0C818F" w:themeColor="accent3"/>
        </w:rPr>
        <w:t>……………………………………………………………………………..…………………………</w:t>
      </w:r>
    </w:p>
    <w:p w14:paraId="1047F035" w14:textId="77777777" w:rsidR="00C831EC" w:rsidRPr="002947F7" w:rsidRDefault="00C831EC" w:rsidP="00C831EC">
      <w:pPr>
        <w:rPr>
          <w:color w:val="0C818F" w:themeColor="accent3"/>
        </w:rPr>
      </w:pPr>
      <w:r w:rsidRPr="002947F7">
        <w:rPr>
          <w:color w:val="0C818F" w:themeColor="accent3"/>
        </w:rPr>
        <w:t>……………………………………………………………………………..…………………………</w:t>
      </w:r>
    </w:p>
    <w:p w14:paraId="32D6C90B" w14:textId="77777777" w:rsidR="00C831EC" w:rsidRPr="002947F7" w:rsidRDefault="00C831EC" w:rsidP="00C831EC">
      <w:pPr>
        <w:rPr>
          <w:color w:val="0C818F" w:themeColor="accent3"/>
        </w:rPr>
      </w:pPr>
      <w:r w:rsidRPr="002947F7">
        <w:rPr>
          <w:color w:val="0C818F" w:themeColor="accent3"/>
        </w:rPr>
        <w:t>……………………………………………………………………………..…………………………</w:t>
      </w:r>
    </w:p>
    <w:p w14:paraId="74EB6FC7" w14:textId="77777777" w:rsidR="00C831EC" w:rsidRPr="002947F7" w:rsidRDefault="00C831EC" w:rsidP="00C831EC">
      <w:pPr>
        <w:rPr>
          <w:color w:val="0C818F" w:themeColor="accent3"/>
        </w:rPr>
      </w:pPr>
      <w:r w:rsidRPr="002947F7">
        <w:rPr>
          <w:color w:val="0C818F" w:themeColor="accent3"/>
        </w:rPr>
        <w:t>……………………………………………………………………………..…………………………</w:t>
      </w:r>
    </w:p>
    <w:p w14:paraId="072C1BC2" w14:textId="77777777" w:rsidR="00C831EC" w:rsidRPr="002947F7" w:rsidRDefault="00C831EC" w:rsidP="00C831EC">
      <w:pPr>
        <w:rPr>
          <w:color w:val="0C818F" w:themeColor="accent3"/>
        </w:rPr>
      </w:pPr>
      <w:r w:rsidRPr="002947F7">
        <w:rPr>
          <w:color w:val="0C818F" w:themeColor="accent3"/>
        </w:rPr>
        <w:t>……………………………………………………………………………..…………………………</w:t>
      </w:r>
    </w:p>
    <w:p w14:paraId="42319BB2" w14:textId="77777777" w:rsidR="00C831EC" w:rsidRPr="002947F7" w:rsidRDefault="00C831EC" w:rsidP="00C831EC">
      <w:pPr>
        <w:rPr>
          <w:color w:val="0C818F" w:themeColor="accent3"/>
        </w:rPr>
      </w:pPr>
      <w:r w:rsidRPr="002947F7">
        <w:rPr>
          <w:color w:val="0C818F" w:themeColor="accent3"/>
        </w:rPr>
        <w:t>……………………………………………………………………………..…………………………</w:t>
      </w:r>
    </w:p>
    <w:p w14:paraId="042EDAAD" w14:textId="77777777" w:rsidR="00C831EC" w:rsidRPr="002947F7" w:rsidRDefault="00C831EC" w:rsidP="00C831EC">
      <w:pPr>
        <w:rPr>
          <w:color w:val="0C818F" w:themeColor="accent3"/>
        </w:rPr>
      </w:pPr>
      <w:r w:rsidRPr="002947F7">
        <w:rPr>
          <w:color w:val="0C818F" w:themeColor="accent3"/>
        </w:rPr>
        <w:t>……………………………………………………………………………..…………………………</w:t>
      </w:r>
    </w:p>
    <w:p w14:paraId="1487DE9D" w14:textId="77777777" w:rsidR="00C831EC" w:rsidRPr="002947F7" w:rsidRDefault="00C831EC" w:rsidP="00C831EC">
      <w:pPr>
        <w:rPr>
          <w:color w:val="0C818F" w:themeColor="accent3"/>
        </w:rPr>
      </w:pPr>
      <w:r w:rsidRPr="002947F7">
        <w:rPr>
          <w:color w:val="0C818F" w:themeColor="accent3"/>
        </w:rPr>
        <w:t>……………………………………………………………………………..…………………………</w:t>
      </w:r>
    </w:p>
    <w:p w14:paraId="6B2FC06D" w14:textId="1F4737F0" w:rsidR="004A1180" w:rsidRPr="002947F7" w:rsidRDefault="00C831EC" w:rsidP="004A1180">
      <w:pPr>
        <w:rPr>
          <w:color w:val="0C818F" w:themeColor="accent3"/>
        </w:rPr>
      </w:pPr>
      <w:r w:rsidRPr="002947F7">
        <w:rPr>
          <w:color w:val="0C818F" w:themeColor="accent3"/>
        </w:rPr>
        <w:t>…………………………………………</w:t>
      </w:r>
      <w:r w:rsidR="004A1180" w:rsidRPr="002947F7">
        <w:rPr>
          <w:color w:val="0C818F" w:themeColor="accent3"/>
        </w:rPr>
        <w:t>……………………………………………………………</w:t>
      </w:r>
      <w:r w:rsidR="004A1180">
        <w:rPr>
          <w:color w:val="0C818F" w:themeColor="accent3"/>
        </w:rPr>
        <w:t>.</w:t>
      </w:r>
    </w:p>
    <w:p w14:paraId="21F6137B" w14:textId="77777777" w:rsidR="004A1180" w:rsidRPr="002947F7" w:rsidRDefault="004A1180" w:rsidP="004A1180">
      <w:pPr>
        <w:rPr>
          <w:color w:val="0C818F" w:themeColor="accent3"/>
        </w:rPr>
      </w:pPr>
      <w:r w:rsidRPr="002947F7">
        <w:rPr>
          <w:color w:val="0C818F" w:themeColor="accent3"/>
        </w:rPr>
        <w:t>……………………………………………………………………………..…………………………</w:t>
      </w:r>
    </w:p>
    <w:p w14:paraId="78560F27" w14:textId="63038ACC" w:rsidR="004A1180" w:rsidRDefault="004A1180" w:rsidP="004A1180">
      <w:pPr>
        <w:rPr>
          <w:color w:val="0C818F" w:themeColor="accent3"/>
        </w:rPr>
        <w:sectPr w:rsidR="004A1180" w:rsidSect="004A1180">
          <w:headerReference w:type="default" r:id="rId137"/>
          <w:footerReference w:type="default" r:id="rId138"/>
          <w:headerReference w:type="first" r:id="rId139"/>
          <w:footerReference w:type="first" r:id="rId140"/>
          <w:pgSz w:w="11906" w:h="16838" w:code="9"/>
          <w:pgMar w:top="1134" w:right="1134" w:bottom="1134" w:left="1134" w:header="1304" w:footer="454" w:gutter="0"/>
          <w:cols w:space="708"/>
          <w:titlePg/>
          <w:docGrid w:linePitch="360"/>
        </w:sectPr>
      </w:pPr>
      <w:r w:rsidRPr="002947F7">
        <w:rPr>
          <w:color w:val="0C818F" w:themeColor="accent3"/>
        </w:rPr>
        <w:t>……………………………………………………………………………..………………………</w:t>
      </w:r>
      <w:r>
        <w:rPr>
          <w:color w:val="0C818F" w:themeColor="accent3"/>
        </w:rPr>
        <w:t>…</w:t>
      </w:r>
    </w:p>
    <w:p w14:paraId="48CA6CEA" w14:textId="571DF901" w:rsidR="00C41710" w:rsidRPr="003E3FEA" w:rsidRDefault="00E6027E" w:rsidP="00666E06">
      <w:r>
        <w:rPr>
          <w:noProof/>
        </w:rPr>
        <w:lastRenderedPageBreak/>
        <w:drawing>
          <wp:anchor distT="0" distB="0" distL="114300" distR="114300" simplePos="0" relativeHeight="251658247" behindDoc="1" locked="0" layoutInCell="1" allowOverlap="1" wp14:anchorId="33E69259" wp14:editId="26A83A4C">
            <wp:simplePos x="0" y="0"/>
            <wp:positionH relativeFrom="margin">
              <wp:posOffset>-730250</wp:posOffset>
            </wp:positionH>
            <wp:positionV relativeFrom="margin">
              <wp:posOffset>-978535</wp:posOffset>
            </wp:positionV>
            <wp:extent cx="7560000" cy="10690955"/>
            <wp:effectExtent l="0" t="0" r="3175" b="0"/>
            <wp:wrapNone/>
            <wp:docPr id="15355619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61930" name="Picture 2">
                      <a:extLst>
                        <a:ext uri="{C183D7F6-B498-43B3-948B-1728B52AA6E4}">
                          <adec:decorative xmlns:adec="http://schemas.microsoft.com/office/drawing/2017/decorative" val="1"/>
                        </a:ext>
                      </a:extLst>
                    </pic:cNvPr>
                    <pic:cNvPicPr/>
                  </pic:nvPicPr>
                  <pic:blipFill>
                    <a:blip r:embed="rId141">
                      <a:extLst>
                        <a:ext uri="{28A0092B-C50C-407E-A947-70E740481C1C}">
                          <a14:useLocalDpi xmlns:a14="http://schemas.microsoft.com/office/drawing/2010/main" val="0"/>
                        </a:ext>
                      </a:extLst>
                    </a:blip>
                    <a:stretch>
                      <a:fillRect/>
                    </a:stretch>
                  </pic:blipFill>
                  <pic:spPr>
                    <a:xfrm>
                      <a:off x="0" y="0"/>
                      <a:ext cx="7560000" cy="10690955"/>
                    </a:xfrm>
                    <a:prstGeom prst="rect">
                      <a:avLst/>
                    </a:prstGeom>
                  </pic:spPr>
                </pic:pic>
              </a:graphicData>
            </a:graphic>
            <wp14:sizeRelH relativeFrom="page">
              <wp14:pctWidth>0</wp14:pctWidth>
            </wp14:sizeRelH>
            <wp14:sizeRelV relativeFrom="page">
              <wp14:pctHeight>0</wp14:pctHeight>
            </wp14:sizeRelV>
          </wp:anchor>
        </w:drawing>
      </w:r>
    </w:p>
    <w:sectPr w:rsidR="00C41710" w:rsidRPr="003E3FEA" w:rsidSect="003A3B9A">
      <w:headerReference w:type="default" r:id="rId142"/>
      <w:footerReference w:type="default" r:id="rId143"/>
      <w:footnotePr>
        <w:numRestart w:val="eachPage"/>
      </w:footnotePr>
      <w:pgSz w:w="11906" w:h="16838"/>
      <w:pgMar w:top="1560"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B392DC" w14:textId="77777777" w:rsidR="003E082B" w:rsidRDefault="003E082B" w:rsidP="00666E06">
      <w:r>
        <w:separator/>
      </w:r>
    </w:p>
    <w:p w14:paraId="4C16002D" w14:textId="77777777" w:rsidR="003E082B" w:rsidRDefault="003E082B" w:rsidP="00666E06"/>
  </w:endnote>
  <w:endnote w:type="continuationSeparator" w:id="0">
    <w:p w14:paraId="556716D7" w14:textId="77777777" w:rsidR="003E082B" w:rsidRDefault="003E082B" w:rsidP="00666E06">
      <w:r>
        <w:continuationSeparator/>
      </w:r>
    </w:p>
    <w:p w14:paraId="6EE420F4" w14:textId="77777777" w:rsidR="003E082B" w:rsidRDefault="003E082B" w:rsidP="00666E06"/>
  </w:endnote>
  <w:endnote w:type="continuationNotice" w:id="1">
    <w:p w14:paraId="321B195C" w14:textId="77777777" w:rsidR="003E082B" w:rsidRDefault="003E082B" w:rsidP="00666E06"/>
    <w:p w14:paraId="54A8B5CA" w14:textId="77777777" w:rsidR="003E082B" w:rsidRDefault="003E082B" w:rsidP="00666E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Poppins">
    <w:panose1 w:val="00000500000000000000"/>
    <w:charset w:val="00"/>
    <w:family w:val="auto"/>
    <w:pitch w:val="variable"/>
    <w:sig w:usb0="00008007" w:usb1="00000000" w:usb2="00000000" w:usb3="00000000" w:csb0="00000093"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C990B" w14:textId="77777777" w:rsidR="00DF6912" w:rsidRPr="00452F04" w:rsidRDefault="00B873F7" w:rsidP="001E50CD">
    <w:pPr>
      <w:spacing w:after="0" w:line="240" w:lineRule="auto"/>
      <w:rPr>
        <w:noProof/>
        <w:color w:val="15284C" w:themeColor="text2"/>
        <w:sz w:val="22"/>
        <w:szCs w:val="22"/>
      </w:rPr>
    </w:pPr>
    <w:r w:rsidRPr="00452F04">
      <w:rPr>
        <w:noProof/>
        <w:color w:val="15284C" w:themeColor="text2"/>
        <w:sz w:val="22"/>
        <w:szCs w:val="22"/>
      </w:rPr>
      <w:t xml:space="preserve">Design Guidance Note: Technical Guidelines for the Seismic and Structural </w:t>
    </w:r>
  </w:p>
  <w:p w14:paraId="2C18A63E" w14:textId="6F6AB5D0" w:rsidR="00E133D0" w:rsidRPr="00452F04" w:rsidRDefault="00B873F7" w:rsidP="00DF6912">
    <w:pPr>
      <w:tabs>
        <w:tab w:val="left" w:pos="8505"/>
      </w:tabs>
      <w:spacing w:after="0" w:line="240" w:lineRule="auto"/>
      <w:rPr>
        <w:rFonts w:cs="Arial"/>
        <w:noProof/>
        <w:color w:val="15284C" w:themeColor="text2"/>
        <w:sz w:val="20"/>
        <w:szCs w:val="20"/>
      </w:rPr>
    </w:pPr>
    <w:r w:rsidRPr="00452F04">
      <w:rPr>
        <w:noProof/>
        <w:color w:val="15284C" w:themeColor="text2"/>
        <w:sz w:val="22"/>
        <w:szCs w:val="22"/>
      </w:rPr>
      <w:t>Design</w:t>
    </w:r>
    <w:r w:rsidR="00DF6912" w:rsidRPr="00452F04">
      <w:rPr>
        <w:noProof/>
        <w:color w:val="15284C" w:themeColor="text2"/>
        <w:sz w:val="22"/>
        <w:szCs w:val="22"/>
      </w:rPr>
      <w:t xml:space="preserve"> </w:t>
    </w:r>
    <w:r w:rsidRPr="00452F04">
      <w:rPr>
        <w:noProof/>
        <w:color w:val="15284C" w:themeColor="text2"/>
        <w:sz w:val="22"/>
        <w:szCs w:val="22"/>
      </w:rPr>
      <w:t>of Hospital Buildings</w:t>
    </w:r>
    <w:r w:rsidR="001E50CD" w:rsidRPr="00452F04">
      <w:rPr>
        <w:noProof/>
        <w:color w:val="15284C" w:themeColor="text2"/>
        <w:sz w:val="22"/>
        <w:szCs w:val="22"/>
      </w:rPr>
      <w:t xml:space="preserve">, </w:t>
    </w:r>
    <w:r w:rsidR="0019487C" w:rsidRPr="00452F04">
      <w:rPr>
        <w:noProof/>
        <w:color w:val="15284C" w:themeColor="text2"/>
        <w:sz w:val="22"/>
        <w:szCs w:val="22"/>
      </w:rPr>
      <w:drawing>
        <wp:anchor distT="0" distB="0" distL="114300" distR="114300" simplePos="0" relativeHeight="251658249" behindDoc="1" locked="0" layoutInCell="1" allowOverlap="1" wp14:anchorId="25F785EF" wp14:editId="23D9E257">
          <wp:simplePos x="0" y="0"/>
          <wp:positionH relativeFrom="page">
            <wp:posOffset>-10160</wp:posOffset>
          </wp:positionH>
          <wp:positionV relativeFrom="paragraph">
            <wp:posOffset>1035050</wp:posOffset>
          </wp:positionV>
          <wp:extent cx="7543800" cy="1000125"/>
          <wp:effectExtent l="0" t="0" r="0" b="0"/>
          <wp:wrapNone/>
          <wp:docPr id="988684358" name="Picture 988684358"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61381F" w:rsidRPr="00452F04">
      <w:rPr>
        <w:noProof/>
        <w:color w:val="15284C" w:themeColor="text2"/>
        <w:sz w:val="22"/>
        <w:szCs w:val="22"/>
      </w:rPr>
      <w:t>Ju</w:t>
    </w:r>
    <w:r w:rsidR="00232EE4" w:rsidRPr="00452F04">
      <w:rPr>
        <w:noProof/>
        <w:color w:val="15284C" w:themeColor="text2"/>
        <w:sz w:val="22"/>
        <w:szCs w:val="22"/>
      </w:rPr>
      <w:t>l</w:t>
    </w:r>
    <w:r w:rsidR="00F72EB3" w:rsidRPr="00452F04">
      <w:rPr>
        <w:noProof/>
        <w:color w:val="15284C" w:themeColor="text2"/>
        <w:sz w:val="22"/>
        <w:szCs w:val="22"/>
      </w:rPr>
      <w:t>y</w:t>
    </w:r>
    <w:r w:rsidR="0061381F" w:rsidRPr="00452F04">
      <w:rPr>
        <w:noProof/>
        <w:color w:val="15284C" w:themeColor="text2"/>
        <w:sz w:val="22"/>
        <w:szCs w:val="22"/>
      </w:rPr>
      <w:t xml:space="preserve"> 2025, Version 1</w:t>
    </w:r>
    <w:r w:rsidR="00E133D0" w:rsidRPr="00452F04">
      <w:rPr>
        <w:rFonts w:cs="Arial"/>
        <w:noProof/>
        <w:color w:val="15284C" w:themeColor="text2"/>
      </w:rPr>
      <w:tab/>
    </w:r>
    <w:r w:rsidR="00DF6912" w:rsidRPr="00452F04">
      <w:rPr>
        <w:b/>
        <w:color w:val="15284C" w:themeColor="text2"/>
        <w:sz w:val="22"/>
        <w:szCs w:val="22"/>
      </w:rPr>
      <w:t xml:space="preserve">Page | </w:t>
    </w:r>
    <w:r w:rsidR="00DF6912" w:rsidRPr="00452F04">
      <w:rPr>
        <w:b/>
        <w:color w:val="15284C" w:themeColor="text2"/>
        <w:sz w:val="22"/>
        <w:szCs w:val="22"/>
      </w:rPr>
      <w:fldChar w:fldCharType="begin"/>
    </w:r>
    <w:r w:rsidR="00DF6912" w:rsidRPr="00452F04">
      <w:rPr>
        <w:b/>
        <w:color w:val="15284C" w:themeColor="text2"/>
        <w:sz w:val="22"/>
        <w:szCs w:val="22"/>
      </w:rPr>
      <w:instrText xml:space="preserve"> PAGE   \* MERGEFORMAT </w:instrText>
    </w:r>
    <w:r w:rsidR="00DF6912" w:rsidRPr="00452F04">
      <w:rPr>
        <w:b/>
        <w:color w:val="15284C" w:themeColor="text2"/>
        <w:sz w:val="22"/>
        <w:szCs w:val="22"/>
      </w:rPr>
      <w:fldChar w:fldCharType="separate"/>
    </w:r>
    <w:r w:rsidR="00DF6912" w:rsidRPr="00452F04">
      <w:rPr>
        <w:b/>
        <w:color w:val="15284C" w:themeColor="text2"/>
        <w:sz w:val="22"/>
        <w:szCs w:val="22"/>
      </w:rPr>
      <w:t>2</w:t>
    </w:r>
    <w:r w:rsidR="00DF6912" w:rsidRPr="00452F04">
      <w:rPr>
        <w:b/>
        <w:noProof/>
        <w:color w:val="15284C" w:themeColor="text2"/>
        <w:sz w:val="22"/>
        <w:szCs w:val="22"/>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ED83E" w14:textId="77777777" w:rsidR="00C06F80" w:rsidRDefault="00C06F80" w:rsidP="00666E06">
    <w:pPr>
      <w:rPr>
        <w:noProof/>
      </w:rPr>
    </w:pPr>
    <w:r>
      <w:rPr>
        <w:noProof/>
      </w:rPr>
      <w:t>Technical Guidelines for the Design of Hospital Buildings</w:t>
    </w:r>
  </w:p>
  <w:p w14:paraId="39091976" w14:textId="658FD66D" w:rsidR="00C06F80" w:rsidRPr="00835562" w:rsidRDefault="009D7850" w:rsidP="00666E06">
    <w:pPr>
      <w:rPr>
        <w:noProof/>
      </w:rPr>
    </w:pPr>
    <w:r>
      <w:rPr>
        <w:noProof/>
      </w:rPr>
      <w:t xml:space="preserve">DRAFT for </w:t>
    </w:r>
    <w:r w:rsidR="007D5C79">
      <w:rPr>
        <w:noProof/>
      </w:rPr>
      <w:t xml:space="preserve">Health NZ </w:t>
    </w:r>
    <w:r>
      <w:rPr>
        <w:noProof/>
      </w:rPr>
      <w:t xml:space="preserve"> Internal Review, Version 0.4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5B9CD" w14:textId="77777777" w:rsidR="009D3598" w:rsidRDefault="008B3342" w:rsidP="009D3598">
    <w:pPr>
      <w:spacing w:after="0" w:line="240" w:lineRule="auto"/>
      <w:rPr>
        <w:noProof/>
        <w:color w:val="0C818E"/>
        <w:sz w:val="22"/>
        <w:szCs w:val="22"/>
      </w:rPr>
    </w:pPr>
    <w:r w:rsidRPr="009D3598">
      <w:rPr>
        <w:noProof/>
        <w:color w:val="0C818E"/>
        <w:sz w:val="22"/>
        <w:szCs w:val="22"/>
      </w:rPr>
      <w:t xml:space="preserve">Design Guidance Note: Technical Guidelines for the Seismic and Structural </w:t>
    </w:r>
  </w:p>
  <w:p w14:paraId="20295E0C" w14:textId="153D1E70" w:rsidR="00C06F80" w:rsidRPr="009D3598" w:rsidRDefault="008B3342" w:rsidP="009D3598">
    <w:pPr>
      <w:tabs>
        <w:tab w:val="left" w:pos="8505"/>
      </w:tabs>
      <w:spacing w:after="0" w:line="240" w:lineRule="auto"/>
      <w:rPr>
        <w:rFonts w:cs="Arial"/>
        <w:noProof/>
        <w:color w:val="0C818E"/>
        <w:sz w:val="22"/>
        <w:szCs w:val="22"/>
      </w:rPr>
    </w:pPr>
    <w:r w:rsidRPr="009D3598">
      <w:rPr>
        <w:noProof/>
        <w:color w:val="0C818E"/>
        <w:sz w:val="22"/>
        <w:szCs w:val="22"/>
      </w:rPr>
      <w:t>Design of Hospital Buildings</w:t>
    </w:r>
    <w:r w:rsidR="009D3598">
      <w:rPr>
        <w:noProof/>
        <w:color w:val="0C818E"/>
        <w:sz w:val="22"/>
        <w:szCs w:val="22"/>
      </w:rPr>
      <w:t xml:space="preserve">, </w:t>
    </w:r>
    <w:r w:rsidRPr="009D3598">
      <w:rPr>
        <w:noProof/>
        <w:color w:val="0C818E"/>
        <w:sz w:val="22"/>
        <w:szCs w:val="22"/>
      </w:rPr>
      <w:drawing>
        <wp:anchor distT="0" distB="0" distL="114300" distR="114300" simplePos="0" relativeHeight="251658251" behindDoc="1" locked="0" layoutInCell="1" allowOverlap="1" wp14:anchorId="2464B849" wp14:editId="46FE8AAE">
          <wp:simplePos x="0" y="0"/>
          <wp:positionH relativeFrom="page">
            <wp:posOffset>-10160</wp:posOffset>
          </wp:positionH>
          <wp:positionV relativeFrom="paragraph">
            <wp:posOffset>1035050</wp:posOffset>
          </wp:positionV>
          <wp:extent cx="7543800" cy="1000125"/>
          <wp:effectExtent l="0" t="0" r="0" b="0"/>
          <wp:wrapNone/>
          <wp:docPr id="757343656" name="Picture 757343656"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61381F" w:rsidRPr="009D3598">
      <w:rPr>
        <w:noProof/>
        <w:color w:val="0C818E"/>
        <w:sz w:val="22"/>
        <w:szCs w:val="22"/>
      </w:rPr>
      <w:t>Ju</w:t>
    </w:r>
    <w:r w:rsidR="00573734" w:rsidRPr="009D3598">
      <w:rPr>
        <w:noProof/>
        <w:color w:val="0C818E"/>
        <w:sz w:val="22"/>
        <w:szCs w:val="22"/>
      </w:rPr>
      <w:t>ly</w:t>
    </w:r>
    <w:r w:rsidR="0061381F" w:rsidRPr="009D3598">
      <w:rPr>
        <w:noProof/>
        <w:color w:val="0C818E"/>
        <w:sz w:val="22"/>
        <w:szCs w:val="22"/>
      </w:rPr>
      <w:t xml:space="preserve"> 2025, Version 1</w:t>
    </w:r>
    <w:r w:rsidR="00C06F80" w:rsidRPr="009D3598">
      <w:rPr>
        <w:rFonts w:cs="Arial"/>
        <w:noProof/>
        <w:color w:val="0C818E"/>
        <w:sz w:val="22"/>
        <w:szCs w:val="22"/>
      </w:rPr>
      <w:tab/>
    </w:r>
    <w:r w:rsidR="009D3598" w:rsidRPr="00D4195D">
      <w:rPr>
        <w:b/>
        <w:color w:val="0C818E"/>
        <w:sz w:val="22"/>
        <w:szCs w:val="22"/>
      </w:rPr>
      <w:t>Page |</w:t>
    </w:r>
    <w:r w:rsidR="009D3598">
      <w:rPr>
        <w:b/>
        <w:color w:val="0C818E"/>
        <w:sz w:val="22"/>
        <w:szCs w:val="22"/>
      </w:rPr>
      <w:t xml:space="preserve"> </w:t>
    </w:r>
    <w:r w:rsidR="009D3598" w:rsidRPr="00723188">
      <w:rPr>
        <w:rFonts w:cs="Arial"/>
        <w:b/>
        <w:noProof/>
        <w:color w:val="0C818E"/>
        <w:sz w:val="22"/>
        <w:szCs w:val="22"/>
      </w:rPr>
      <w:fldChar w:fldCharType="begin"/>
    </w:r>
    <w:r w:rsidR="009D3598" w:rsidRPr="00723188">
      <w:rPr>
        <w:rFonts w:cs="Arial"/>
        <w:b/>
        <w:noProof/>
        <w:color w:val="0C818E"/>
        <w:sz w:val="22"/>
        <w:szCs w:val="22"/>
      </w:rPr>
      <w:instrText xml:space="preserve"> PAGE   \* MERGEFORMAT </w:instrText>
    </w:r>
    <w:r w:rsidR="009D3598" w:rsidRPr="00723188">
      <w:rPr>
        <w:rFonts w:cs="Arial"/>
        <w:b/>
        <w:noProof/>
        <w:color w:val="0C818E"/>
        <w:sz w:val="22"/>
        <w:szCs w:val="22"/>
      </w:rPr>
      <w:fldChar w:fldCharType="separate"/>
    </w:r>
    <w:r w:rsidR="009D3598">
      <w:rPr>
        <w:rFonts w:cs="Arial"/>
        <w:b/>
        <w:noProof/>
        <w:color w:val="0C818E"/>
        <w:sz w:val="22"/>
        <w:szCs w:val="22"/>
      </w:rPr>
      <w:t>83</w:t>
    </w:r>
    <w:r w:rsidR="009D3598" w:rsidRPr="00723188">
      <w:rPr>
        <w:rFonts w:cs="Arial"/>
        <w:b/>
        <w:noProof/>
        <w:color w:val="0C818E"/>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79E9E" w14:textId="6CCEA2AE" w:rsidR="00C06F80" w:rsidRPr="00257D4F" w:rsidRDefault="00257D4F" w:rsidP="00666E06">
    <w:pPr>
      <w:pStyle w:val="Footer"/>
    </w:pPr>
    <w:r w:rsidRPr="00ED2B11">
      <w:rPr>
        <w:noProof/>
      </w:rPr>
      <w:t xml:space="preserve">Design Guidance Note:  Technical Guidelines for the Seismic and Structural Design of Hospital Buildings, </w:t>
    </w:r>
    <w:r w:rsidRPr="00ED2B11">
      <w:rPr>
        <w:noProof/>
      </w:rPr>
      <w:drawing>
        <wp:anchor distT="0" distB="0" distL="114300" distR="114300" simplePos="0" relativeHeight="251658244" behindDoc="1" locked="0" layoutInCell="1" allowOverlap="1" wp14:anchorId="7634BBDA" wp14:editId="601796A6">
          <wp:simplePos x="0" y="0"/>
          <wp:positionH relativeFrom="page">
            <wp:posOffset>-10160</wp:posOffset>
          </wp:positionH>
          <wp:positionV relativeFrom="paragraph">
            <wp:posOffset>1035050</wp:posOffset>
          </wp:positionV>
          <wp:extent cx="7543800" cy="1000125"/>
          <wp:effectExtent l="0" t="0" r="0" b="0"/>
          <wp:wrapNone/>
          <wp:docPr id="40460129" name="Picture 40460129"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ED2B11">
      <w:rPr>
        <w:noProof/>
      </w:rPr>
      <w:t>Version 0.5 DRAFT</w:t>
    </w:r>
    <w:r>
      <w:rPr>
        <w:noProof/>
      </w:rPr>
      <w:tab/>
    </w:r>
    <w:r>
      <w:rPr>
        <w:noProof/>
      </w:rPr>
      <w:tab/>
    </w:r>
    <w:r w:rsidRPr="00257D4F">
      <w:rPr>
        <w:noProof/>
      </w:rPr>
      <w:fldChar w:fldCharType="begin"/>
    </w:r>
    <w:r w:rsidRPr="00257D4F">
      <w:rPr>
        <w:noProof/>
      </w:rPr>
      <w:instrText xml:space="preserve"> PAGE   \* MERGEFORMAT </w:instrText>
    </w:r>
    <w:r w:rsidRPr="00257D4F">
      <w:rPr>
        <w:noProof/>
      </w:rPr>
      <w:fldChar w:fldCharType="separate"/>
    </w:r>
    <w:r w:rsidRPr="00257D4F">
      <w:rPr>
        <w:noProof/>
      </w:rPr>
      <w:t>1</w:t>
    </w:r>
    <w:r w:rsidRPr="00257D4F">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F4967" w14:textId="77777777" w:rsidR="003B4C24" w:rsidRPr="00C443DC" w:rsidRDefault="003B4C24" w:rsidP="009D3598">
    <w:pPr>
      <w:spacing w:after="0" w:line="240" w:lineRule="auto"/>
      <w:rPr>
        <w:noProof/>
        <w:color w:val="003399"/>
        <w:sz w:val="22"/>
        <w:szCs w:val="22"/>
      </w:rPr>
    </w:pPr>
    <w:r w:rsidRPr="00C443DC">
      <w:rPr>
        <w:noProof/>
        <w:color w:val="003399"/>
        <w:sz w:val="22"/>
        <w:szCs w:val="22"/>
      </w:rPr>
      <w:t xml:space="preserve">Design Guidance Note: Technical Guidelines for the Seismic and Structural </w:t>
    </w:r>
  </w:p>
  <w:p w14:paraId="6DEFCB8F" w14:textId="77777777" w:rsidR="003B4C24" w:rsidRPr="004C0F1C" w:rsidRDefault="003B4C24" w:rsidP="009D3598">
    <w:pPr>
      <w:tabs>
        <w:tab w:val="left" w:pos="8505"/>
      </w:tabs>
      <w:spacing w:after="0" w:line="240" w:lineRule="auto"/>
      <w:rPr>
        <w:rFonts w:cs="Arial"/>
        <w:noProof/>
        <w:color w:val="003399"/>
        <w:sz w:val="22"/>
        <w:szCs w:val="22"/>
      </w:rPr>
    </w:pPr>
    <w:r w:rsidRPr="00C443DC">
      <w:rPr>
        <w:noProof/>
        <w:color w:val="003399"/>
        <w:sz w:val="22"/>
        <w:szCs w:val="22"/>
      </w:rPr>
      <w:t xml:space="preserve">Design of Hospital Buildings, </w:t>
    </w:r>
    <w:r w:rsidRPr="00C443DC">
      <w:rPr>
        <w:noProof/>
        <w:color w:val="003399"/>
        <w:sz w:val="22"/>
        <w:szCs w:val="22"/>
      </w:rPr>
      <w:drawing>
        <wp:anchor distT="0" distB="0" distL="114300" distR="114300" simplePos="0" relativeHeight="251658263" behindDoc="1" locked="0" layoutInCell="1" allowOverlap="1" wp14:anchorId="2361104E" wp14:editId="5DBB54C7">
          <wp:simplePos x="0" y="0"/>
          <wp:positionH relativeFrom="page">
            <wp:posOffset>-10160</wp:posOffset>
          </wp:positionH>
          <wp:positionV relativeFrom="paragraph">
            <wp:posOffset>1035050</wp:posOffset>
          </wp:positionV>
          <wp:extent cx="7543800" cy="1000125"/>
          <wp:effectExtent l="0" t="0" r="0" b="0"/>
          <wp:wrapNone/>
          <wp:docPr id="58147752" name="Picture 58147752"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C443DC">
      <w:rPr>
        <w:noProof/>
        <w:color w:val="003399"/>
        <w:sz w:val="22"/>
        <w:szCs w:val="22"/>
      </w:rPr>
      <w:t>July 2025, Version 1</w:t>
    </w:r>
    <w:r w:rsidRPr="004C0F1C">
      <w:rPr>
        <w:rFonts w:cs="Arial"/>
        <w:noProof/>
        <w:color w:val="003399"/>
        <w:sz w:val="22"/>
        <w:szCs w:val="22"/>
      </w:rPr>
      <w:tab/>
    </w:r>
    <w:r w:rsidRPr="004C0F1C">
      <w:rPr>
        <w:b/>
        <w:color w:val="003399"/>
        <w:sz w:val="22"/>
        <w:szCs w:val="22"/>
      </w:rPr>
      <w:t xml:space="preserve">Page | </w:t>
    </w:r>
    <w:r w:rsidRPr="004C0F1C">
      <w:rPr>
        <w:rFonts w:cs="Arial"/>
        <w:b/>
        <w:noProof/>
        <w:color w:val="003399"/>
        <w:sz w:val="22"/>
        <w:szCs w:val="22"/>
      </w:rPr>
      <w:fldChar w:fldCharType="begin"/>
    </w:r>
    <w:r w:rsidRPr="004C0F1C">
      <w:rPr>
        <w:rFonts w:cs="Arial"/>
        <w:b/>
        <w:noProof/>
        <w:color w:val="003399"/>
        <w:sz w:val="22"/>
        <w:szCs w:val="22"/>
      </w:rPr>
      <w:instrText xml:space="preserve"> PAGE   \* MERGEFORMAT </w:instrText>
    </w:r>
    <w:r w:rsidRPr="004C0F1C">
      <w:rPr>
        <w:rFonts w:cs="Arial"/>
        <w:b/>
        <w:noProof/>
        <w:color w:val="003399"/>
        <w:sz w:val="22"/>
        <w:szCs w:val="22"/>
      </w:rPr>
      <w:fldChar w:fldCharType="separate"/>
    </w:r>
    <w:r w:rsidRPr="004C0F1C">
      <w:rPr>
        <w:rFonts w:cs="Arial"/>
        <w:b/>
        <w:noProof/>
        <w:color w:val="003399"/>
        <w:sz w:val="22"/>
        <w:szCs w:val="22"/>
      </w:rPr>
      <w:t>83</w:t>
    </w:r>
    <w:r w:rsidRPr="004C0F1C">
      <w:rPr>
        <w:rFonts w:cs="Arial"/>
        <w:b/>
        <w:noProof/>
        <w:color w:val="003399"/>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DC2B9" w14:textId="0CC9471E" w:rsidR="00F0330F" w:rsidRPr="00C443DC" w:rsidRDefault="0045086C" w:rsidP="00666E06">
    <w:pPr>
      <w:rPr>
        <w:rFonts w:cs="Arial"/>
        <w:noProof/>
        <w:color w:val="003399"/>
        <w:sz w:val="22"/>
        <w:szCs w:val="22"/>
      </w:rPr>
    </w:pPr>
    <w:r w:rsidRPr="00C443DC">
      <w:rPr>
        <w:noProof/>
        <w:color w:val="003399"/>
        <w:sz w:val="22"/>
        <w:szCs w:val="22"/>
      </w:rPr>
      <w:t>Design Guidance Note: Technical Guidelines for the Seismic and Structural Design of Hospital Buildings</w:t>
    </w:r>
    <w:r w:rsidRPr="00C443DC">
      <w:rPr>
        <w:noProof/>
        <w:color w:val="003399"/>
        <w:sz w:val="22"/>
        <w:szCs w:val="22"/>
      </w:rPr>
      <w:drawing>
        <wp:anchor distT="0" distB="0" distL="114300" distR="114300" simplePos="0" relativeHeight="251658252" behindDoc="1" locked="0" layoutInCell="1" allowOverlap="1" wp14:anchorId="233522E6" wp14:editId="48888F4C">
          <wp:simplePos x="0" y="0"/>
          <wp:positionH relativeFrom="page">
            <wp:posOffset>-10160</wp:posOffset>
          </wp:positionH>
          <wp:positionV relativeFrom="paragraph">
            <wp:posOffset>1035050</wp:posOffset>
          </wp:positionV>
          <wp:extent cx="7543800" cy="1000125"/>
          <wp:effectExtent l="0" t="0" r="0" b="0"/>
          <wp:wrapNone/>
          <wp:docPr id="1037864601" name="Picture 1037864601"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BC791F">
      <w:rPr>
        <w:noProof/>
        <w:color w:val="003399"/>
        <w:sz w:val="22"/>
        <w:szCs w:val="22"/>
      </w:rPr>
      <w:t>,</w:t>
    </w:r>
    <w:r w:rsidRPr="00C443DC">
      <w:rPr>
        <w:noProof/>
        <w:color w:val="003399"/>
        <w:sz w:val="22"/>
        <w:szCs w:val="22"/>
      </w:rPr>
      <w:t xml:space="preserve"> </w:t>
    </w:r>
    <w:r w:rsidR="0061381F" w:rsidRPr="00C443DC">
      <w:rPr>
        <w:noProof/>
        <w:color w:val="003399"/>
        <w:sz w:val="22"/>
        <w:szCs w:val="22"/>
      </w:rPr>
      <w:t>Ju</w:t>
    </w:r>
    <w:r w:rsidR="00573734" w:rsidRPr="00C443DC">
      <w:rPr>
        <w:noProof/>
        <w:color w:val="003399"/>
        <w:sz w:val="22"/>
        <w:szCs w:val="22"/>
      </w:rPr>
      <w:t>ly</w:t>
    </w:r>
    <w:r w:rsidR="0061381F" w:rsidRPr="00C443DC">
      <w:rPr>
        <w:noProof/>
        <w:color w:val="003399"/>
        <w:sz w:val="22"/>
        <w:szCs w:val="22"/>
      </w:rPr>
      <w:t xml:space="preserve"> 2025, Version 1</w:t>
    </w:r>
    <w:r w:rsidR="00F0330F" w:rsidRPr="00C443DC">
      <w:rPr>
        <w:rFonts w:cs="Arial"/>
        <w:noProof/>
        <w:color w:val="003399"/>
        <w:sz w:val="22"/>
        <w:szCs w:val="22"/>
      </w:rPr>
      <w:tab/>
    </w:r>
    <w:r w:rsidR="00C443DC" w:rsidRPr="004C0F1C">
      <w:rPr>
        <w:b/>
        <w:color w:val="003399"/>
        <w:sz w:val="22"/>
        <w:szCs w:val="22"/>
      </w:rPr>
      <w:t xml:space="preserve">Page </w:t>
    </w:r>
    <w:r w:rsidR="00C443DC" w:rsidRPr="00EB3260">
      <w:rPr>
        <w:b/>
        <w:color w:val="003399"/>
        <w:sz w:val="22"/>
        <w:szCs w:val="22"/>
      </w:rPr>
      <w:t xml:space="preserve">| </w:t>
    </w:r>
    <w:r w:rsidR="00F0330F" w:rsidRPr="00EB3260">
      <w:rPr>
        <w:rFonts w:cs="Arial"/>
        <w:b/>
        <w:noProof/>
        <w:color w:val="003399"/>
        <w:sz w:val="22"/>
        <w:szCs w:val="22"/>
      </w:rPr>
      <w:fldChar w:fldCharType="begin"/>
    </w:r>
    <w:r w:rsidR="00F0330F" w:rsidRPr="00EB3260">
      <w:rPr>
        <w:rFonts w:cs="Arial"/>
        <w:b/>
        <w:noProof/>
        <w:color w:val="003399"/>
        <w:sz w:val="22"/>
        <w:szCs w:val="22"/>
      </w:rPr>
      <w:instrText xml:space="preserve"> PAGE   \* MERGEFORMAT </w:instrText>
    </w:r>
    <w:r w:rsidR="00F0330F" w:rsidRPr="00EB3260">
      <w:rPr>
        <w:rFonts w:cs="Arial"/>
        <w:b/>
        <w:noProof/>
        <w:color w:val="003399"/>
        <w:sz w:val="22"/>
        <w:szCs w:val="22"/>
      </w:rPr>
      <w:fldChar w:fldCharType="separate"/>
    </w:r>
    <w:r w:rsidR="00F0330F" w:rsidRPr="00EB3260">
      <w:rPr>
        <w:rFonts w:cs="Arial"/>
        <w:b/>
        <w:noProof/>
        <w:color w:val="003399"/>
        <w:sz w:val="22"/>
        <w:szCs w:val="22"/>
      </w:rPr>
      <w:t>1</w:t>
    </w:r>
    <w:r w:rsidR="00F0330F" w:rsidRPr="00EB3260">
      <w:rPr>
        <w:rFonts w:cs="Arial"/>
        <w:b/>
        <w:noProof/>
        <w:color w:val="003399"/>
        <w:sz w:val="22"/>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9FE5E" w14:textId="77777777" w:rsidR="00F0330F" w:rsidRDefault="00F0330F" w:rsidP="00666E06">
    <w:pPr>
      <w:rPr>
        <w:noProof/>
      </w:rPr>
    </w:pPr>
    <w:r>
      <w:rPr>
        <w:noProof/>
      </w:rPr>
      <w:t>Technical Guidelines for the Design of Hospital Buildings</w:t>
    </w:r>
  </w:p>
  <w:p w14:paraId="028043B4" w14:textId="0351E2AD" w:rsidR="00F0330F" w:rsidRPr="00835562" w:rsidRDefault="009D7850" w:rsidP="00666E06">
    <w:pPr>
      <w:rPr>
        <w:noProof/>
      </w:rPr>
    </w:pPr>
    <w:r>
      <w:rPr>
        <w:noProof/>
      </w:rPr>
      <w:t xml:space="preserve">DRAFT for </w:t>
    </w:r>
    <w:r w:rsidR="007D5C79">
      <w:rPr>
        <w:noProof/>
      </w:rPr>
      <w:t xml:space="preserve">Health NZ </w:t>
    </w:r>
    <w:r>
      <w:rPr>
        <w:noProof/>
      </w:rPr>
      <w:t xml:space="preserve"> Internal Review, Version 0.4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CE8A5" w14:textId="77777777" w:rsidR="00C443DC" w:rsidRDefault="00E32E36" w:rsidP="00C443DC">
    <w:pPr>
      <w:spacing w:after="0" w:line="240" w:lineRule="auto"/>
      <w:rPr>
        <w:noProof/>
        <w:color w:val="003399"/>
        <w:sz w:val="22"/>
        <w:szCs w:val="22"/>
      </w:rPr>
    </w:pPr>
    <w:r w:rsidRPr="00C443DC">
      <w:rPr>
        <w:noProof/>
        <w:color w:val="003399"/>
        <w:sz w:val="22"/>
        <w:szCs w:val="22"/>
      </w:rPr>
      <w:t xml:space="preserve">Design Guidance Note: Technical Guidelines for the Seismic and Structural </w:t>
    </w:r>
  </w:p>
  <w:p w14:paraId="20A0E833" w14:textId="6B6B399B" w:rsidR="00A93932" w:rsidRPr="00C443DC" w:rsidRDefault="00E32E36" w:rsidP="00C443DC">
    <w:pPr>
      <w:tabs>
        <w:tab w:val="left" w:pos="8505"/>
      </w:tabs>
      <w:spacing w:after="0" w:line="240" w:lineRule="auto"/>
      <w:rPr>
        <w:rFonts w:cs="Arial"/>
        <w:noProof/>
        <w:color w:val="003399"/>
        <w:sz w:val="22"/>
        <w:szCs w:val="22"/>
      </w:rPr>
    </w:pPr>
    <w:r w:rsidRPr="00C443DC">
      <w:rPr>
        <w:noProof/>
        <w:color w:val="003399"/>
        <w:sz w:val="22"/>
        <w:szCs w:val="22"/>
      </w:rPr>
      <w:t>Design of Hospital Buildings</w:t>
    </w:r>
    <w:r w:rsidR="00C443DC">
      <w:rPr>
        <w:noProof/>
        <w:color w:val="003399"/>
        <w:sz w:val="22"/>
        <w:szCs w:val="22"/>
      </w:rPr>
      <w:t xml:space="preserve">, </w:t>
    </w:r>
    <w:r w:rsidRPr="00C443DC">
      <w:rPr>
        <w:noProof/>
        <w:color w:val="003399"/>
        <w:sz w:val="22"/>
        <w:szCs w:val="22"/>
      </w:rPr>
      <w:drawing>
        <wp:anchor distT="0" distB="0" distL="114300" distR="114300" simplePos="0" relativeHeight="251658253" behindDoc="1" locked="0" layoutInCell="1" allowOverlap="1" wp14:anchorId="46C3CF8F" wp14:editId="60FE8760">
          <wp:simplePos x="0" y="0"/>
          <wp:positionH relativeFrom="page">
            <wp:posOffset>-10160</wp:posOffset>
          </wp:positionH>
          <wp:positionV relativeFrom="paragraph">
            <wp:posOffset>1035050</wp:posOffset>
          </wp:positionV>
          <wp:extent cx="7543800" cy="1000125"/>
          <wp:effectExtent l="0" t="0" r="0" b="0"/>
          <wp:wrapNone/>
          <wp:docPr id="146603440" name="Picture 146603440"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61381F" w:rsidRPr="00C443DC">
      <w:rPr>
        <w:noProof/>
        <w:color w:val="003399"/>
        <w:sz w:val="22"/>
        <w:szCs w:val="22"/>
      </w:rPr>
      <w:t>Ju</w:t>
    </w:r>
    <w:r w:rsidR="00573734" w:rsidRPr="00C443DC">
      <w:rPr>
        <w:noProof/>
        <w:color w:val="003399"/>
        <w:sz w:val="22"/>
        <w:szCs w:val="22"/>
      </w:rPr>
      <w:t>ly</w:t>
    </w:r>
    <w:r w:rsidR="0061381F" w:rsidRPr="00C443DC">
      <w:rPr>
        <w:noProof/>
        <w:color w:val="003399"/>
        <w:sz w:val="22"/>
        <w:szCs w:val="22"/>
      </w:rPr>
      <w:t xml:space="preserve"> 2025, Version 1</w:t>
    </w:r>
    <w:r w:rsidR="00A93932" w:rsidRPr="00C443DC">
      <w:rPr>
        <w:rFonts w:cs="Arial"/>
        <w:noProof/>
        <w:color w:val="003399"/>
        <w:sz w:val="22"/>
        <w:szCs w:val="22"/>
      </w:rPr>
      <w:tab/>
    </w:r>
    <w:r w:rsidR="00C443DC" w:rsidRPr="00C443DC">
      <w:rPr>
        <w:b/>
        <w:color w:val="003399"/>
        <w:sz w:val="22"/>
        <w:szCs w:val="22"/>
      </w:rPr>
      <w:t xml:space="preserve">Page | </w:t>
    </w:r>
    <w:r w:rsidR="00A93932" w:rsidRPr="00C443DC">
      <w:rPr>
        <w:rFonts w:cs="Arial"/>
        <w:b/>
        <w:noProof/>
        <w:color w:val="003399"/>
        <w:sz w:val="22"/>
        <w:szCs w:val="22"/>
      </w:rPr>
      <w:fldChar w:fldCharType="begin"/>
    </w:r>
    <w:r w:rsidR="00A93932" w:rsidRPr="00C443DC">
      <w:rPr>
        <w:rFonts w:cs="Arial"/>
        <w:b/>
        <w:noProof/>
        <w:color w:val="003399"/>
        <w:sz w:val="22"/>
        <w:szCs w:val="22"/>
      </w:rPr>
      <w:instrText xml:space="preserve"> PAGE   \* MERGEFORMAT </w:instrText>
    </w:r>
    <w:r w:rsidR="00A93932" w:rsidRPr="00C443DC">
      <w:rPr>
        <w:rFonts w:cs="Arial"/>
        <w:b/>
        <w:noProof/>
        <w:color w:val="003399"/>
        <w:sz w:val="22"/>
        <w:szCs w:val="22"/>
      </w:rPr>
      <w:fldChar w:fldCharType="separate"/>
    </w:r>
    <w:r w:rsidR="00A93932" w:rsidRPr="00C443DC">
      <w:rPr>
        <w:rFonts w:cs="Arial"/>
        <w:b/>
        <w:noProof/>
        <w:color w:val="003399"/>
        <w:sz w:val="22"/>
        <w:szCs w:val="22"/>
      </w:rPr>
      <w:t>1</w:t>
    </w:r>
    <w:r w:rsidR="00A93932" w:rsidRPr="00C443DC">
      <w:rPr>
        <w:rFonts w:cs="Arial"/>
        <w:b/>
        <w:noProof/>
        <w:color w:val="003399"/>
        <w:sz w:val="22"/>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061EE" w14:textId="00B29AB1" w:rsidR="00E85CA2" w:rsidRPr="00BC5689" w:rsidRDefault="00BC5689" w:rsidP="00666E06">
    <w:pPr>
      <w:pStyle w:val="Footer"/>
    </w:pPr>
    <w:r w:rsidRPr="005A0627">
      <w:rPr>
        <w:noProof/>
      </w:rPr>
      <w:t>Design Guidance Note:  Technical Guidelines for the Seismic and Structural Design of Hospital Buildings, Version 0.</w:t>
    </w:r>
    <w:r>
      <w:rPr>
        <w:noProof/>
      </w:rPr>
      <w:t>5</w:t>
    </w:r>
    <w:r w:rsidRPr="005A0627">
      <w:rPr>
        <w:noProof/>
      </w:rPr>
      <w:t xml:space="preserve"> </w:t>
    </w:r>
    <w:r w:rsidRPr="001E1669">
      <w:rPr>
        <w:noProof/>
      </w:rPr>
      <w:drawing>
        <wp:anchor distT="0" distB="0" distL="114300" distR="114300" simplePos="0" relativeHeight="251658243" behindDoc="1" locked="0" layoutInCell="1" allowOverlap="1" wp14:anchorId="7EF159DF" wp14:editId="0C11CDC8">
          <wp:simplePos x="0" y="0"/>
          <wp:positionH relativeFrom="margin">
            <wp:posOffset>-702978</wp:posOffset>
          </wp:positionH>
          <wp:positionV relativeFrom="paragraph">
            <wp:posOffset>990868</wp:posOffset>
          </wp:positionV>
          <wp:extent cx="7543800" cy="1000125"/>
          <wp:effectExtent l="0" t="0" r="0" b="0"/>
          <wp:wrapNone/>
          <wp:docPr id="1221005353" name="Picture 1221005353"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1E1669">
      <w:rPr>
        <w:noProof/>
      </w:rPr>
      <w:drawing>
        <wp:anchor distT="0" distB="0" distL="114300" distR="114300" simplePos="0" relativeHeight="251658242" behindDoc="1" locked="0" layoutInCell="1" allowOverlap="1" wp14:anchorId="2210183F" wp14:editId="5E7EF144">
          <wp:simplePos x="0" y="0"/>
          <wp:positionH relativeFrom="margin">
            <wp:posOffset>-739977</wp:posOffset>
          </wp:positionH>
          <wp:positionV relativeFrom="paragraph">
            <wp:posOffset>990868</wp:posOffset>
          </wp:positionV>
          <wp:extent cx="7543800" cy="1000125"/>
          <wp:effectExtent l="0" t="0" r="0" b="0"/>
          <wp:wrapNone/>
          <wp:docPr id="37478777" name="Picture 37478777"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5A0627">
      <w:rPr>
        <w:noProof/>
      </w:rPr>
      <w:t>DRAFT</w:t>
    </w:r>
    <w:r>
      <w:rPr>
        <w:noProof/>
      </w:rPr>
      <w:tab/>
    </w:r>
    <w:r>
      <w:rPr>
        <w:noProof/>
      </w:rPr>
      <w:tab/>
    </w:r>
    <w:r w:rsidRPr="00BC5689">
      <w:rPr>
        <w:noProof/>
      </w:rPr>
      <w:fldChar w:fldCharType="begin"/>
    </w:r>
    <w:r w:rsidRPr="00BC5689">
      <w:rPr>
        <w:noProof/>
      </w:rPr>
      <w:instrText xml:space="preserve"> PAGE   \* MERGEFORMAT </w:instrText>
    </w:r>
    <w:r w:rsidRPr="00BC5689">
      <w:rPr>
        <w:noProof/>
      </w:rPr>
      <w:fldChar w:fldCharType="separate"/>
    </w:r>
    <w:r w:rsidRPr="00BC5689">
      <w:rPr>
        <w:noProof/>
      </w:rPr>
      <w:t>1</w:t>
    </w:r>
    <w:r w:rsidRPr="00BC5689">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CC3ED" w14:textId="0E95F76D" w:rsidR="00AF271B" w:rsidRPr="00853E73" w:rsidRDefault="00B700D8" w:rsidP="00E62E77">
    <w:pPr>
      <w:spacing w:after="0" w:line="240" w:lineRule="auto"/>
      <w:rPr>
        <w:rFonts w:cs="Arial"/>
        <w:noProof/>
        <w:color w:val="003399"/>
        <w:sz w:val="22"/>
        <w:szCs w:val="22"/>
      </w:rPr>
    </w:pPr>
    <w:r w:rsidRPr="00853E73">
      <w:rPr>
        <w:noProof/>
        <w:color w:val="003399"/>
        <w:sz w:val="22"/>
        <w:szCs w:val="22"/>
      </w:rPr>
      <w:drawing>
        <wp:anchor distT="0" distB="0" distL="114300" distR="114300" simplePos="0" relativeHeight="251658241" behindDoc="1" locked="0" layoutInCell="1" allowOverlap="1" wp14:anchorId="7A876B25" wp14:editId="6F6493E3">
          <wp:simplePos x="0" y="0"/>
          <wp:positionH relativeFrom="margin">
            <wp:posOffset>-698818</wp:posOffset>
          </wp:positionH>
          <wp:positionV relativeFrom="paragraph">
            <wp:posOffset>893272</wp:posOffset>
          </wp:positionV>
          <wp:extent cx="9937750" cy="999836"/>
          <wp:effectExtent l="0" t="0" r="0" b="0"/>
          <wp:wrapNone/>
          <wp:docPr id="1563008008" name="Picture 1563008008"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003B6DC5" w:rsidRPr="00853E73">
      <w:rPr>
        <w:noProof/>
        <w:color w:val="003399"/>
        <w:sz w:val="22"/>
        <w:szCs w:val="22"/>
      </w:rPr>
      <w:t>Design Guidance Note: Technical Guidelines for the Seismic and Structural Design of Hospital Buildings</w:t>
    </w:r>
    <w:r w:rsidR="003B6DC5" w:rsidRPr="00853E73">
      <w:rPr>
        <w:noProof/>
        <w:color w:val="003399"/>
        <w:sz w:val="22"/>
        <w:szCs w:val="22"/>
      </w:rPr>
      <w:drawing>
        <wp:anchor distT="0" distB="0" distL="114300" distR="114300" simplePos="0" relativeHeight="251658254" behindDoc="1" locked="0" layoutInCell="1" allowOverlap="1" wp14:anchorId="00D38B90" wp14:editId="4E9DBA80">
          <wp:simplePos x="0" y="0"/>
          <wp:positionH relativeFrom="page">
            <wp:posOffset>-10160</wp:posOffset>
          </wp:positionH>
          <wp:positionV relativeFrom="paragraph">
            <wp:posOffset>1035050</wp:posOffset>
          </wp:positionV>
          <wp:extent cx="7543800" cy="1000125"/>
          <wp:effectExtent l="0" t="0" r="0" b="0"/>
          <wp:wrapNone/>
          <wp:docPr id="883815411" name="Picture 883815411"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E62E77">
      <w:rPr>
        <w:noProof/>
        <w:color w:val="003399"/>
        <w:sz w:val="22"/>
        <w:szCs w:val="22"/>
      </w:rPr>
      <w:t xml:space="preserve">, </w:t>
    </w:r>
    <w:r w:rsidR="0061381F" w:rsidRPr="00853E73">
      <w:rPr>
        <w:noProof/>
        <w:color w:val="003399"/>
        <w:sz w:val="22"/>
        <w:szCs w:val="22"/>
      </w:rPr>
      <w:t>Ju</w:t>
    </w:r>
    <w:r w:rsidR="00573734" w:rsidRPr="00853E73">
      <w:rPr>
        <w:noProof/>
        <w:color w:val="003399"/>
        <w:sz w:val="22"/>
        <w:szCs w:val="22"/>
      </w:rPr>
      <w:t>ly</w:t>
    </w:r>
    <w:r w:rsidR="0061381F" w:rsidRPr="00853E73">
      <w:rPr>
        <w:noProof/>
        <w:color w:val="003399"/>
        <w:sz w:val="22"/>
        <w:szCs w:val="22"/>
      </w:rPr>
      <w:t xml:space="preserve"> 2025, Version 1</w:t>
    </w:r>
    <w:r w:rsidR="00AF271B" w:rsidRPr="00853E73">
      <w:rPr>
        <w:rFonts w:cs="Arial"/>
        <w:noProof/>
        <w:color w:val="003399"/>
        <w:sz w:val="22"/>
        <w:szCs w:val="22"/>
      </w:rPr>
      <w:tab/>
    </w:r>
    <w:r w:rsidR="00853E73" w:rsidRPr="00C443DC">
      <w:rPr>
        <w:b/>
        <w:color w:val="003399"/>
        <w:sz w:val="22"/>
        <w:szCs w:val="22"/>
      </w:rPr>
      <w:t>Page |</w:t>
    </w:r>
    <w:r w:rsidR="00853E73" w:rsidRPr="00853E73">
      <w:rPr>
        <w:b/>
        <w:bCs/>
        <w:color w:val="003399"/>
        <w:sz w:val="22"/>
        <w:szCs w:val="22"/>
      </w:rPr>
      <w:t xml:space="preserve"> </w:t>
    </w:r>
    <w:r w:rsidR="00AF271B" w:rsidRPr="00853E73">
      <w:rPr>
        <w:rFonts w:cs="Arial"/>
        <w:b/>
        <w:bCs/>
        <w:noProof/>
        <w:color w:val="003399"/>
        <w:sz w:val="22"/>
        <w:szCs w:val="22"/>
      </w:rPr>
      <w:fldChar w:fldCharType="begin"/>
    </w:r>
    <w:r w:rsidR="00AF271B" w:rsidRPr="00853E73">
      <w:rPr>
        <w:rFonts w:cs="Arial"/>
        <w:b/>
        <w:bCs/>
        <w:noProof/>
        <w:color w:val="003399"/>
        <w:sz w:val="22"/>
        <w:szCs w:val="22"/>
      </w:rPr>
      <w:instrText xml:space="preserve"> PAGE   \* MERGEFORMAT </w:instrText>
    </w:r>
    <w:r w:rsidR="00AF271B" w:rsidRPr="00853E73">
      <w:rPr>
        <w:rFonts w:cs="Arial"/>
        <w:b/>
        <w:bCs/>
        <w:noProof/>
        <w:color w:val="003399"/>
        <w:sz w:val="22"/>
        <w:szCs w:val="22"/>
      </w:rPr>
      <w:fldChar w:fldCharType="separate"/>
    </w:r>
    <w:r w:rsidR="00AF271B" w:rsidRPr="00853E73">
      <w:rPr>
        <w:rFonts w:cs="Arial"/>
        <w:b/>
        <w:bCs/>
        <w:noProof/>
        <w:color w:val="003399"/>
        <w:sz w:val="22"/>
        <w:szCs w:val="22"/>
      </w:rPr>
      <w:t>1</w:t>
    </w:r>
    <w:r w:rsidR="00AF271B" w:rsidRPr="00853E73">
      <w:rPr>
        <w:rFonts w:cs="Arial"/>
        <w:b/>
        <w:bCs/>
        <w:noProof/>
        <w:color w:val="003399"/>
        <w:sz w:val="22"/>
        <w:szCs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C8B7A" w14:textId="77777777" w:rsidR="00E62E77" w:rsidRPr="00C970D4" w:rsidRDefault="00E62E77" w:rsidP="00CE707D">
    <w:pPr>
      <w:spacing w:after="0" w:line="240" w:lineRule="auto"/>
      <w:rPr>
        <w:noProof/>
        <w:color w:val="4D2379"/>
        <w:sz w:val="22"/>
        <w:szCs w:val="22"/>
      </w:rPr>
    </w:pPr>
    <w:r w:rsidRPr="00C970D4">
      <w:rPr>
        <w:noProof/>
        <w:color w:val="4D2379"/>
        <w:sz w:val="22"/>
        <w:szCs w:val="22"/>
      </w:rPr>
      <w:drawing>
        <wp:anchor distT="0" distB="0" distL="114300" distR="114300" simplePos="0" relativeHeight="251658266" behindDoc="1" locked="0" layoutInCell="1" allowOverlap="1" wp14:anchorId="0B094F30" wp14:editId="7F2FAB77">
          <wp:simplePos x="0" y="0"/>
          <wp:positionH relativeFrom="margin">
            <wp:posOffset>-698818</wp:posOffset>
          </wp:positionH>
          <wp:positionV relativeFrom="paragraph">
            <wp:posOffset>893272</wp:posOffset>
          </wp:positionV>
          <wp:extent cx="9937750" cy="999836"/>
          <wp:effectExtent l="0" t="0" r="0" b="0"/>
          <wp:wrapNone/>
          <wp:docPr id="491990625" name="Picture 491990625"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Pr="00C970D4">
      <w:rPr>
        <w:noProof/>
        <w:color w:val="4D2379"/>
        <w:sz w:val="22"/>
        <w:szCs w:val="22"/>
      </w:rPr>
      <w:t xml:space="preserve">Design Guidance Note: Technical Guidelines for the Seismic and Structural </w:t>
    </w:r>
  </w:p>
  <w:p w14:paraId="1ADF7E9F" w14:textId="77777777" w:rsidR="00E62E77" w:rsidRPr="00C970D4" w:rsidRDefault="00E62E77" w:rsidP="00E62E77">
    <w:pPr>
      <w:tabs>
        <w:tab w:val="left" w:pos="8505"/>
      </w:tabs>
      <w:spacing w:after="0" w:line="240" w:lineRule="auto"/>
      <w:rPr>
        <w:rFonts w:cs="Arial"/>
        <w:noProof/>
        <w:color w:val="4D2379"/>
        <w:sz w:val="22"/>
        <w:szCs w:val="22"/>
      </w:rPr>
    </w:pPr>
    <w:r w:rsidRPr="00C970D4">
      <w:rPr>
        <w:noProof/>
        <w:color w:val="4D2379"/>
        <w:sz w:val="22"/>
        <w:szCs w:val="22"/>
      </w:rPr>
      <w:t>Design of Hospital Buildings</w:t>
    </w:r>
    <w:r w:rsidRPr="00C970D4">
      <w:rPr>
        <w:noProof/>
        <w:color w:val="4D2379"/>
        <w:sz w:val="22"/>
        <w:szCs w:val="22"/>
      </w:rPr>
      <w:drawing>
        <wp:anchor distT="0" distB="0" distL="114300" distR="114300" simplePos="0" relativeHeight="251658267" behindDoc="1" locked="0" layoutInCell="1" allowOverlap="1" wp14:anchorId="62D1FBEC" wp14:editId="2CBA8B24">
          <wp:simplePos x="0" y="0"/>
          <wp:positionH relativeFrom="page">
            <wp:posOffset>-10160</wp:posOffset>
          </wp:positionH>
          <wp:positionV relativeFrom="paragraph">
            <wp:posOffset>1035050</wp:posOffset>
          </wp:positionV>
          <wp:extent cx="7543800" cy="1000125"/>
          <wp:effectExtent l="0" t="0" r="0" b="0"/>
          <wp:wrapNone/>
          <wp:docPr id="1194188842" name="Picture 1194188842"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C970D4">
      <w:rPr>
        <w:noProof/>
        <w:color w:val="4D2379"/>
        <w:sz w:val="22"/>
        <w:szCs w:val="22"/>
      </w:rPr>
      <w:t>, July 2025, Version 1</w:t>
    </w:r>
    <w:r w:rsidRPr="00C970D4">
      <w:rPr>
        <w:rFonts w:cs="Arial"/>
        <w:noProof/>
        <w:color w:val="4D2379"/>
        <w:sz w:val="22"/>
        <w:szCs w:val="22"/>
      </w:rPr>
      <w:tab/>
    </w:r>
    <w:r w:rsidRPr="00C970D4">
      <w:rPr>
        <w:b/>
        <w:color w:val="4D2379"/>
        <w:sz w:val="22"/>
        <w:szCs w:val="22"/>
      </w:rPr>
      <w:t>Page |</w:t>
    </w:r>
    <w:r w:rsidRPr="00C970D4">
      <w:rPr>
        <w:b/>
        <w:bCs/>
        <w:color w:val="4D2379"/>
        <w:sz w:val="22"/>
        <w:szCs w:val="22"/>
      </w:rPr>
      <w:t xml:space="preserve"> </w:t>
    </w:r>
    <w:r w:rsidRPr="00C970D4">
      <w:rPr>
        <w:rFonts w:cs="Arial"/>
        <w:b/>
        <w:bCs/>
        <w:noProof/>
        <w:color w:val="4D2379"/>
        <w:sz w:val="22"/>
        <w:szCs w:val="22"/>
      </w:rPr>
      <w:fldChar w:fldCharType="begin"/>
    </w:r>
    <w:r w:rsidRPr="00C970D4">
      <w:rPr>
        <w:rFonts w:cs="Arial"/>
        <w:b/>
        <w:bCs/>
        <w:noProof/>
        <w:color w:val="4D2379"/>
        <w:sz w:val="22"/>
        <w:szCs w:val="22"/>
      </w:rPr>
      <w:instrText xml:space="preserve"> PAGE   \* MERGEFORMAT </w:instrText>
    </w:r>
    <w:r w:rsidRPr="00C970D4">
      <w:rPr>
        <w:rFonts w:cs="Arial"/>
        <w:b/>
        <w:bCs/>
        <w:noProof/>
        <w:color w:val="4D2379"/>
        <w:sz w:val="22"/>
        <w:szCs w:val="22"/>
      </w:rPr>
      <w:fldChar w:fldCharType="separate"/>
    </w:r>
    <w:r w:rsidRPr="00C970D4">
      <w:rPr>
        <w:rFonts w:cs="Arial"/>
        <w:b/>
        <w:bCs/>
        <w:noProof/>
        <w:color w:val="4D2379"/>
        <w:sz w:val="22"/>
        <w:szCs w:val="22"/>
      </w:rPr>
      <w:t>1</w:t>
    </w:r>
    <w:r w:rsidRPr="00C970D4">
      <w:rPr>
        <w:rFonts w:cs="Arial"/>
        <w:b/>
        <w:bCs/>
        <w:noProof/>
        <w:color w:val="4D2379"/>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89B41" w14:textId="77777777" w:rsidR="001F2397" w:rsidRPr="001F2397" w:rsidRDefault="00F63827" w:rsidP="00666E06">
    <w:pPr>
      <w:pStyle w:val="Footer"/>
      <w:rPr>
        <w:noProof/>
        <w:color w:val="15284C" w:themeColor="text2"/>
        <w:sz w:val="22"/>
        <w:szCs w:val="22"/>
      </w:rPr>
    </w:pPr>
    <w:r w:rsidRPr="001F2397">
      <w:rPr>
        <w:noProof/>
        <w:color w:val="15284C" w:themeColor="text2"/>
        <w:sz w:val="22"/>
        <w:szCs w:val="22"/>
      </w:rPr>
      <w:t xml:space="preserve">Design Guidance Note: Technical Guidelines for the Seismic and Structural </w:t>
    </w:r>
  </w:p>
  <w:p w14:paraId="6CD27BBB" w14:textId="1E751559" w:rsidR="00F63827" w:rsidRPr="001F2397" w:rsidRDefault="00F63827" w:rsidP="001D440D">
    <w:pPr>
      <w:pStyle w:val="Footer"/>
      <w:tabs>
        <w:tab w:val="clear" w:pos="9026"/>
        <w:tab w:val="right" w:pos="9638"/>
      </w:tabs>
      <w:rPr>
        <w:color w:val="15284C" w:themeColor="text2"/>
      </w:rPr>
    </w:pPr>
    <w:r w:rsidRPr="001F2397">
      <w:rPr>
        <w:noProof/>
        <w:color w:val="15284C" w:themeColor="text2"/>
        <w:sz w:val="22"/>
        <w:szCs w:val="22"/>
      </w:rPr>
      <w:t>Design of Hospital Buildings</w:t>
    </w:r>
    <w:r w:rsidR="001F2397">
      <w:rPr>
        <w:noProof/>
        <w:color w:val="15284C" w:themeColor="text2"/>
        <w:sz w:val="22"/>
        <w:szCs w:val="22"/>
      </w:rPr>
      <w:t xml:space="preserve">, </w:t>
    </w:r>
    <w:r w:rsidRPr="001F2397">
      <w:rPr>
        <w:noProof/>
        <w:color w:val="15284C" w:themeColor="text2"/>
        <w:sz w:val="22"/>
        <w:szCs w:val="22"/>
      </w:rPr>
      <w:drawing>
        <wp:anchor distT="0" distB="0" distL="114300" distR="114300" simplePos="0" relativeHeight="251658245" behindDoc="1" locked="0" layoutInCell="1" allowOverlap="1" wp14:anchorId="61E1A77F" wp14:editId="28E3A900">
          <wp:simplePos x="0" y="0"/>
          <wp:positionH relativeFrom="page">
            <wp:posOffset>-10160</wp:posOffset>
          </wp:positionH>
          <wp:positionV relativeFrom="paragraph">
            <wp:posOffset>1035050</wp:posOffset>
          </wp:positionV>
          <wp:extent cx="7543800" cy="1000125"/>
          <wp:effectExtent l="0" t="0" r="0" b="0"/>
          <wp:wrapNone/>
          <wp:docPr id="1668415767" name="Picture 1668415767"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61381F" w:rsidRPr="001F2397">
      <w:rPr>
        <w:noProof/>
        <w:color w:val="15284C" w:themeColor="text2"/>
        <w:sz w:val="22"/>
        <w:szCs w:val="22"/>
      </w:rPr>
      <w:t>Ju</w:t>
    </w:r>
    <w:r w:rsidR="00573734" w:rsidRPr="001F2397">
      <w:rPr>
        <w:noProof/>
        <w:color w:val="15284C" w:themeColor="text2"/>
        <w:sz w:val="22"/>
        <w:szCs w:val="22"/>
      </w:rPr>
      <w:t>ly</w:t>
    </w:r>
    <w:r w:rsidR="0061381F" w:rsidRPr="001F2397">
      <w:rPr>
        <w:noProof/>
        <w:color w:val="15284C" w:themeColor="text2"/>
        <w:sz w:val="22"/>
        <w:szCs w:val="22"/>
      </w:rPr>
      <w:t xml:space="preserve"> 2025, Version 1</w:t>
    </w:r>
    <w:r w:rsidR="001D440D">
      <w:rPr>
        <w:noProof/>
        <w:color w:val="15284C" w:themeColor="text2"/>
        <w:sz w:val="22"/>
        <w:szCs w:val="22"/>
      </w:rPr>
      <w:tab/>
    </w:r>
    <w:r w:rsidR="001D440D" w:rsidRPr="00452F04">
      <w:rPr>
        <w:b/>
        <w:color w:val="15284C" w:themeColor="text2"/>
        <w:sz w:val="22"/>
        <w:szCs w:val="22"/>
      </w:rPr>
      <w:t>Page |</w:t>
    </w:r>
    <w:r w:rsidR="001D440D">
      <w:rPr>
        <w:b/>
        <w:color w:val="15284C" w:themeColor="text2"/>
        <w:sz w:val="22"/>
        <w:szCs w:val="22"/>
      </w:rPr>
      <w:t xml:space="preserve"> </w:t>
    </w:r>
    <w:r w:rsidRPr="001F2397">
      <w:rPr>
        <w:noProof/>
        <w:color w:val="15284C" w:themeColor="text2"/>
      </w:rPr>
      <w:fldChar w:fldCharType="begin"/>
    </w:r>
    <w:r w:rsidRPr="001F2397">
      <w:rPr>
        <w:noProof/>
        <w:color w:val="15284C" w:themeColor="text2"/>
      </w:rPr>
      <w:instrText xml:space="preserve"> PAGE   \* MERGEFORMAT </w:instrText>
    </w:r>
    <w:r w:rsidRPr="001F2397">
      <w:rPr>
        <w:noProof/>
        <w:color w:val="15284C" w:themeColor="text2"/>
      </w:rPr>
      <w:fldChar w:fldCharType="separate"/>
    </w:r>
    <w:r w:rsidRPr="001F2397">
      <w:rPr>
        <w:noProof/>
        <w:color w:val="15284C" w:themeColor="text2"/>
      </w:rPr>
      <w:t>1</w:t>
    </w:r>
    <w:r w:rsidRPr="001F2397">
      <w:rPr>
        <w:noProof/>
        <w:color w:val="15284C" w:themeColor="text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426FD" w14:textId="77777777" w:rsidR="006A30AA" w:rsidRPr="00CF4288" w:rsidRDefault="006A30AA" w:rsidP="00CE707D">
    <w:pPr>
      <w:spacing w:after="0" w:line="240" w:lineRule="auto"/>
      <w:rPr>
        <w:noProof/>
        <w:color w:val="006060"/>
        <w:sz w:val="22"/>
        <w:szCs w:val="22"/>
      </w:rPr>
    </w:pPr>
    <w:r w:rsidRPr="00CF4288">
      <w:rPr>
        <w:noProof/>
        <w:color w:val="006060"/>
        <w:sz w:val="22"/>
        <w:szCs w:val="22"/>
      </w:rPr>
      <w:drawing>
        <wp:anchor distT="0" distB="0" distL="114300" distR="114300" simplePos="0" relativeHeight="251658270" behindDoc="1" locked="0" layoutInCell="1" allowOverlap="1" wp14:anchorId="19A410A3" wp14:editId="461F05E6">
          <wp:simplePos x="0" y="0"/>
          <wp:positionH relativeFrom="margin">
            <wp:posOffset>-698818</wp:posOffset>
          </wp:positionH>
          <wp:positionV relativeFrom="paragraph">
            <wp:posOffset>893272</wp:posOffset>
          </wp:positionV>
          <wp:extent cx="9937750" cy="999836"/>
          <wp:effectExtent l="0" t="0" r="0" b="0"/>
          <wp:wrapNone/>
          <wp:docPr id="866603890" name="Picture 866603890"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Pr="00CF4288">
      <w:rPr>
        <w:noProof/>
        <w:color w:val="006060"/>
        <w:sz w:val="22"/>
        <w:szCs w:val="22"/>
      </w:rPr>
      <w:t xml:space="preserve">Design Guidance Note: Technical Guidelines for the Seismic and Structural </w:t>
    </w:r>
  </w:p>
  <w:p w14:paraId="02A89D38" w14:textId="77777777" w:rsidR="006A30AA" w:rsidRPr="00C970D4" w:rsidRDefault="006A30AA" w:rsidP="00E62E77">
    <w:pPr>
      <w:tabs>
        <w:tab w:val="left" w:pos="8505"/>
      </w:tabs>
      <w:spacing w:after="0" w:line="240" w:lineRule="auto"/>
      <w:rPr>
        <w:rFonts w:cs="Arial"/>
        <w:noProof/>
        <w:color w:val="4D2379"/>
        <w:sz w:val="22"/>
        <w:szCs w:val="22"/>
      </w:rPr>
    </w:pPr>
    <w:r w:rsidRPr="00CF4288">
      <w:rPr>
        <w:noProof/>
        <w:color w:val="006060"/>
        <w:sz w:val="22"/>
        <w:szCs w:val="22"/>
      </w:rPr>
      <w:t>Design of Hospital Buildings</w:t>
    </w:r>
    <w:r w:rsidRPr="00CF4288">
      <w:rPr>
        <w:noProof/>
        <w:color w:val="006060"/>
        <w:sz w:val="22"/>
        <w:szCs w:val="22"/>
      </w:rPr>
      <w:drawing>
        <wp:anchor distT="0" distB="0" distL="114300" distR="114300" simplePos="0" relativeHeight="251658271" behindDoc="1" locked="0" layoutInCell="1" allowOverlap="1" wp14:anchorId="2F321A61" wp14:editId="302ABC34">
          <wp:simplePos x="0" y="0"/>
          <wp:positionH relativeFrom="page">
            <wp:posOffset>-10160</wp:posOffset>
          </wp:positionH>
          <wp:positionV relativeFrom="paragraph">
            <wp:posOffset>1035050</wp:posOffset>
          </wp:positionV>
          <wp:extent cx="7543800" cy="1000125"/>
          <wp:effectExtent l="0" t="0" r="0" b="0"/>
          <wp:wrapNone/>
          <wp:docPr id="405035554" name="Picture 405035554"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CF4288">
      <w:rPr>
        <w:noProof/>
        <w:color w:val="006060"/>
        <w:sz w:val="22"/>
        <w:szCs w:val="22"/>
      </w:rPr>
      <w:t>, July 2025, Version 1</w:t>
    </w:r>
    <w:r w:rsidRPr="00CF4288">
      <w:rPr>
        <w:rFonts w:cs="Arial"/>
        <w:noProof/>
        <w:color w:val="006060"/>
        <w:sz w:val="22"/>
        <w:szCs w:val="22"/>
      </w:rPr>
      <w:tab/>
    </w:r>
    <w:r w:rsidRPr="00CF4288">
      <w:rPr>
        <w:b/>
        <w:color w:val="006060"/>
        <w:sz w:val="22"/>
        <w:szCs w:val="22"/>
      </w:rPr>
      <w:t>Page |</w:t>
    </w:r>
    <w:r w:rsidRPr="00C970D4">
      <w:rPr>
        <w:b/>
        <w:bCs/>
        <w:color w:val="4D2379"/>
        <w:sz w:val="22"/>
        <w:szCs w:val="22"/>
      </w:rPr>
      <w:t xml:space="preserve"> </w:t>
    </w:r>
    <w:r w:rsidRPr="00C970D4">
      <w:rPr>
        <w:rFonts w:cs="Arial"/>
        <w:b/>
        <w:bCs/>
        <w:noProof/>
        <w:color w:val="4D2379"/>
        <w:sz w:val="22"/>
        <w:szCs w:val="22"/>
      </w:rPr>
      <w:fldChar w:fldCharType="begin"/>
    </w:r>
    <w:r w:rsidRPr="00C970D4">
      <w:rPr>
        <w:rFonts w:cs="Arial"/>
        <w:b/>
        <w:bCs/>
        <w:noProof/>
        <w:color w:val="4D2379"/>
        <w:sz w:val="22"/>
        <w:szCs w:val="22"/>
      </w:rPr>
      <w:instrText xml:space="preserve"> PAGE   \* MERGEFORMAT </w:instrText>
    </w:r>
    <w:r w:rsidRPr="00C970D4">
      <w:rPr>
        <w:rFonts w:cs="Arial"/>
        <w:b/>
        <w:bCs/>
        <w:noProof/>
        <w:color w:val="4D2379"/>
        <w:sz w:val="22"/>
        <w:szCs w:val="22"/>
      </w:rPr>
      <w:fldChar w:fldCharType="separate"/>
    </w:r>
    <w:r w:rsidRPr="00C970D4">
      <w:rPr>
        <w:rFonts w:cs="Arial"/>
        <w:b/>
        <w:bCs/>
        <w:noProof/>
        <w:color w:val="4D2379"/>
        <w:sz w:val="22"/>
        <w:szCs w:val="22"/>
      </w:rPr>
      <w:t>1</w:t>
    </w:r>
    <w:r w:rsidRPr="00C970D4">
      <w:rPr>
        <w:rFonts w:cs="Arial"/>
        <w:b/>
        <w:bCs/>
        <w:noProof/>
        <w:color w:val="4D2379"/>
        <w:sz w:val="22"/>
        <w:szCs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B8743" w14:textId="77777777" w:rsidR="00776DA8" w:rsidRPr="00776DA8" w:rsidRDefault="00776DA8" w:rsidP="00CE707D">
    <w:pPr>
      <w:spacing w:after="0" w:line="240" w:lineRule="auto"/>
      <w:rPr>
        <w:noProof/>
        <w:color w:val="660033"/>
        <w:sz w:val="22"/>
        <w:szCs w:val="22"/>
      </w:rPr>
    </w:pPr>
    <w:r w:rsidRPr="00776DA8">
      <w:rPr>
        <w:noProof/>
        <w:color w:val="660033"/>
        <w:sz w:val="22"/>
        <w:szCs w:val="22"/>
      </w:rPr>
      <w:drawing>
        <wp:anchor distT="0" distB="0" distL="114300" distR="114300" simplePos="0" relativeHeight="251658273" behindDoc="1" locked="0" layoutInCell="1" allowOverlap="1" wp14:anchorId="3154C9B3" wp14:editId="1CCAA535">
          <wp:simplePos x="0" y="0"/>
          <wp:positionH relativeFrom="margin">
            <wp:posOffset>-698818</wp:posOffset>
          </wp:positionH>
          <wp:positionV relativeFrom="paragraph">
            <wp:posOffset>893272</wp:posOffset>
          </wp:positionV>
          <wp:extent cx="9937750" cy="999836"/>
          <wp:effectExtent l="0" t="0" r="0" b="0"/>
          <wp:wrapNone/>
          <wp:docPr id="1728115248" name="Picture 1728115248"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Pr="00776DA8">
      <w:rPr>
        <w:noProof/>
        <w:color w:val="660033"/>
        <w:sz w:val="22"/>
        <w:szCs w:val="22"/>
      </w:rPr>
      <w:t xml:space="preserve">Design Guidance Note: Technical Guidelines for the Seismic and Structural </w:t>
    </w:r>
  </w:p>
  <w:p w14:paraId="53710189" w14:textId="77777777" w:rsidR="00776DA8" w:rsidRPr="00776DA8" w:rsidRDefault="00776DA8" w:rsidP="00E62E77">
    <w:pPr>
      <w:tabs>
        <w:tab w:val="left" w:pos="8505"/>
      </w:tabs>
      <w:spacing w:after="0" w:line="240" w:lineRule="auto"/>
      <w:rPr>
        <w:rFonts w:cs="Arial"/>
        <w:noProof/>
        <w:color w:val="660033"/>
        <w:sz w:val="22"/>
        <w:szCs w:val="22"/>
      </w:rPr>
    </w:pPr>
    <w:r w:rsidRPr="00776DA8">
      <w:rPr>
        <w:noProof/>
        <w:color w:val="660033"/>
        <w:sz w:val="22"/>
        <w:szCs w:val="22"/>
      </w:rPr>
      <w:t>Design of Hospital Buildings</w:t>
    </w:r>
    <w:r w:rsidRPr="00776DA8">
      <w:rPr>
        <w:noProof/>
        <w:color w:val="660033"/>
        <w:sz w:val="22"/>
        <w:szCs w:val="22"/>
      </w:rPr>
      <w:drawing>
        <wp:anchor distT="0" distB="0" distL="114300" distR="114300" simplePos="0" relativeHeight="251658274" behindDoc="1" locked="0" layoutInCell="1" allowOverlap="1" wp14:anchorId="2530992E" wp14:editId="547132A8">
          <wp:simplePos x="0" y="0"/>
          <wp:positionH relativeFrom="page">
            <wp:posOffset>-10160</wp:posOffset>
          </wp:positionH>
          <wp:positionV relativeFrom="paragraph">
            <wp:posOffset>1035050</wp:posOffset>
          </wp:positionV>
          <wp:extent cx="7543800" cy="1000125"/>
          <wp:effectExtent l="0" t="0" r="0" b="0"/>
          <wp:wrapNone/>
          <wp:docPr id="256108711" name="Picture 256108711"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776DA8">
      <w:rPr>
        <w:noProof/>
        <w:color w:val="660033"/>
        <w:sz w:val="22"/>
        <w:szCs w:val="22"/>
      </w:rPr>
      <w:t>, July 2025, Version 1</w:t>
    </w:r>
    <w:r w:rsidRPr="00776DA8">
      <w:rPr>
        <w:rFonts w:cs="Arial"/>
        <w:noProof/>
        <w:color w:val="660033"/>
        <w:sz w:val="22"/>
        <w:szCs w:val="22"/>
      </w:rPr>
      <w:tab/>
    </w:r>
    <w:r w:rsidRPr="00776DA8">
      <w:rPr>
        <w:b/>
        <w:color w:val="660033"/>
        <w:sz w:val="22"/>
        <w:szCs w:val="22"/>
      </w:rPr>
      <w:t>Page |</w:t>
    </w:r>
    <w:r w:rsidRPr="00776DA8">
      <w:rPr>
        <w:b/>
        <w:bCs/>
        <w:color w:val="660033"/>
        <w:sz w:val="22"/>
        <w:szCs w:val="22"/>
      </w:rPr>
      <w:t xml:space="preserve"> </w:t>
    </w:r>
    <w:r w:rsidRPr="00776DA8">
      <w:rPr>
        <w:rFonts w:cs="Arial"/>
        <w:b/>
        <w:bCs/>
        <w:noProof/>
        <w:color w:val="660033"/>
        <w:sz w:val="22"/>
        <w:szCs w:val="22"/>
      </w:rPr>
      <w:fldChar w:fldCharType="begin"/>
    </w:r>
    <w:r w:rsidRPr="00776DA8">
      <w:rPr>
        <w:rFonts w:cs="Arial"/>
        <w:b/>
        <w:bCs/>
        <w:noProof/>
        <w:color w:val="660033"/>
        <w:sz w:val="22"/>
        <w:szCs w:val="22"/>
      </w:rPr>
      <w:instrText xml:space="preserve"> PAGE   \* MERGEFORMAT </w:instrText>
    </w:r>
    <w:r w:rsidRPr="00776DA8">
      <w:rPr>
        <w:rFonts w:cs="Arial"/>
        <w:b/>
        <w:bCs/>
        <w:noProof/>
        <w:color w:val="660033"/>
        <w:sz w:val="22"/>
        <w:szCs w:val="22"/>
      </w:rPr>
      <w:fldChar w:fldCharType="separate"/>
    </w:r>
    <w:r w:rsidRPr="00776DA8">
      <w:rPr>
        <w:rFonts w:cs="Arial"/>
        <w:b/>
        <w:bCs/>
        <w:noProof/>
        <w:color w:val="660033"/>
        <w:sz w:val="22"/>
        <w:szCs w:val="22"/>
      </w:rPr>
      <w:t>1</w:t>
    </w:r>
    <w:r w:rsidRPr="00776DA8">
      <w:rPr>
        <w:rFonts w:cs="Arial"/>
        <w:b/>
        <w:bCs/>
        <w:noProof/>
        <w:color w:val="660033"/>
        <w:sz w:val="22"/>
        <w:szCs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5284C" w:themeColor="text2"/>
      </w:rPr>
      <w:id w:val="1149628230"/>
      <w:docPartObj>
        <w:docPartGallery w:val="Page Numbers (Bottom of Page)"/>
        <w:docPartUnique/>
      </w:docPartObj>
    </w:sdtPr>
    <w:sdtEndPr/>
    <w:sdtContent>
      <w:p w14:paraId="5721F1DD" w14:textId="77777777" w:rsidR="004A1180" w:rsidRPr="00FE11FA" w:rsidRDefault="004A1180">
        <w:pPr>
          <w:tabs>
            <w:tab w:val="left" w:pos="8364"/>
          </w:tabs>
          <w:rPr>
            <w:color w:val="15284C" w:themeColor="text2"/>
          </w:rPr>
        </w:pPr>
        <w:r w:rsidRPr="00FE11FA">
          <w:rPr>
            <w:color w:val="15284C" w:themeColor="text2"/>
          </w:rPr>
          <w:t>Document name</w:t>
        </w:r>
        <w:r w:rsidRPr="00FE11FA">
          <w:rPr>
            <w:color w:val="15284C" w:themeColor="text2"/>
          </w:rPr>
          <w:tab/>
        </w:r>
        <w:r w:rsidRPr="00FE11FA">
          <w:rPr>
            <w:b/>
            <w:color w:val="15284C" w:themeColor="text2"/>
          </w:rPr>
          <w:t xml:space="preserve">Page | </w:t>
        </w:r>
        <w:r w:rsidRPr="00FE11FA">
          <w:rPr>
            <w:b/>
            <w:color w:val="15284C" w:themeColor="text2"/>
          </w:rPr>
          <w:fldChar w:fldCharType="begin"/>
        </w:r>
        <w:r w:rsidRPr="00FE11FA">
          <w:rPr>
            <w:b/>
            <w:color w:val="15284C" w:themeColor="text2"/>
          </w:rPr>
          <w:instrText xml:space="preserve"> PAGE   \* MERGEFORMAT </w:instrText>
        </w:r>
        <w:r w:rsidRPr="00FE11FA">
          <w:rPr>
            <w:b/>
            <w:color w:val="15284C" w:themeColor="text2"/>
          </w:rPr>
          <w:fldChar w:fldCharType="separate"/>
        </w:r>
        <w:r w:rsidRPr="00FE11FA">
          <w:rPr>
            <w:b/>
            <w:noProof/>
            <w:color w:val="15284C" w:themeColor="text2"/>
          </w:rPr>
          <w:t>11</w:t>
        </w:r>
        <w:r w:rsidRPr="00FE11FA">
          <w:rPr>
            <w:b/>
            <w:noProof/>
            <w:color w:val="15284C" w:themeColor="text2"/>
          </w:rPr>
          <w:fldChar w:fldCharType="end"/>
        </w:r>
        <w:r w:rsidRPr="00FE11FA">
          <w:rPr>
            <w:color w:val="15284C" w:themeColor="text2"/>
          </w:rPr>
          <w:t xml:space="preserve"> </w: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5284C" w:themeColor="text1"/>
      </w:rPr>
      <w:id w:val="-1678267116"/>
      <w:docPartObj>
        <w:docPartGallery w:val="Page Numbers (Bottom of Page)"/>
        <w:docPartUnique/>
      </w:docPartObj>
    </w:sdtPr>
    <w:sdtEndPr/>
    <w:sdtContent>
      <w:p w14:paraId="17136485" w14:textId="77777777" w:rsidR="004A1180" w:rsidRPr="00397B9C" w:rsidRDefault="004A1180" w:rsidP="00397B9C">
        <w:pPr>
          <w:spacing w:after="0" w:line="240" w:lineRule="auto"/>
          <w:rPr>
            <w:noProof/>
            <w:color w:val="15284C" w:themeColor="text1"/>
            <w:sz w:val="22"/>
            <w:szCs w:val="22"/>
          </w:rPr>
        </w:pPr>
        <w:r w:rsidRPr="00397B9C">
          <w:rPr>
            <w:noProof/>
            <w:color w:val="15284C" w:themeColor="text1"/>
            <w:sz w:val="22"/>
            <w:szCs w:val="22"/>
          </w:rPr>
          <w:drawing>
            <wp:anchor distT="0" distB="0" distL="114300" distR="114300" simplePos="0" relativeHeight="251658279" behindDoc="1" locked="0" layoutInCell="1" allowOverlap="1" wp14:anchorId="25F60FD3" wp14:editId="6BC9E160">
              <wp:simplePos x="0" y="0"/>
              <wp:positionH relativeFrom="margin">
                <wp:posOffset>-698818</wp:posOffset>
              </wp:positionH>
              <wp:positionV relativeFrom="paragraph">
                <wp:posOffset>893272</wp:posOffset>
              </wp:positionV>
              <wp:extent cx="9937750" cy="999836"/>
              <wp:effectExtent l="0" t="0" r="0" b="0"/>
              <wp:wrapNone/>
              <wp:docPr id="711390313" name="Picture 711390313"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Pr="00397B9C">
          <w:rPr>
            <w:noProof/>
            <w:color w:val="15284C" w:themeColor="text1"/>
            <w:sz w:val="22"/>
            <w:szCs w:val="22"/>
          </w:rPr>
          <w:t xml:space="preserve">Design Guidance Note: Technical Guidelines for the Seismic and Structural </w:t>
        </w:r>
      </w:p>
      <w:p w14:paraId="5E03F617" w14:textId="77777777" w:rsidR="004A1180" w:rsidRPr="00397B9C" w:rsidRDefault="004A1180" w:rsidP="00397B9C">
        <w:pPr>
          <w:tabs>
            <w:tab w:val="left" w:pos="8505"/>
          </w:tabs>
          <w:spacing w:after="0" w:line="240" w:lineRule="auto"/>
          <w:rPr>
            <w:rFonts w:cs="Arial"/>
            <w:noProof/>
            <w:color w:val="15284C" w:themeColor="text1"/>
            <w:sz w:val="22"/>
            <w:szCs w:val="22"/>
          </w:rPr>
        </w:pPr>
        <w:r w:rsidRPr="00397B9C">
          <w:rPr>
            <w:noProof/>
            <w:color w:val="15284C" w:themeColor="text1"/>
            <w:sz w:val="22"/>
            <w:szCs w:val="22"/>
          </w:rPr>
          <w:t>Design of Hospital Buildings</w:t>
        </w:r>
        <w:r w:rsidRPr="00397B9C">
          <w:rPr>
            <w:noProof/>
            <w:color w:val="15284C" w:themeColor="text1"/>
            <w:sz w:val="22"/>
            <w:szCs w:val="22"/>
          </w:rPr>
          <w:drawing>
            <wp:anchor distT="0" distB="0" distL="114300" distR="114300" simplePos="0" relativeHeight="251658281" behindDoc="1" locked="0" layoutInCell="1" allowOverlap="1" wp14:anchorId="3AD803E8" wp14:editId="0C1AA1A4">
              <wp:simplePos x="0" y="0"/>
              <wp:positionH relativeFrom="page">
                <wp:posOffset>-10160</wp:posOffset>
              </wp:positionH>
              <wp:positionV relativeFrom="paragraph">
                <wp:posOffset>1035050</wp:posOffset>
              </wp:positionV>
              <wp:extent cx="7543800" cy="1000125"/>
              <wp:effectExtent l="0" t="0" r="0" b="0"/>
              <wp:wrapNone/>
              <wp:docPr id="1806166259" name="Picture 1806166259"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397B9C">
          <w:rPr>
            <w:noProof/>
            <w:color w:val="15284C" w:themeColor="text1"/>
            <w:sz w:val="22"/>
            <w:szCs w:val="22"/>
          </w:rPr>
          <w:t>, July 2025, Version 1</w:t>
        </w:r>
        <w:r w:rsidRPr="00397B9C">
          <w:rPr>
            <w:rFonts w:cs="Arial"/>
            <w:noProof/>
            <w:color w:val="15284C" w:themeColor="text1"/>
            <w:sz w:val="22"/>
            <w:szCs w:val="22"/>
          </w:rPr>
          <w:tab/>
        </w:r>
        <w:r w:rsidRPr="00397B9C">
          <w:rPr>
            <w:b/>
            <w:color w:val="15284C" w:themeColor="text1"/>
            <w:sz w:val="22"/>
            <w:szCs w:val="22"/>
          </w:rPr>
          <w:t>Page |</w:t>
        </w:r>
        <w:r w:rsidRPr="00397B9C">
          <w:rPr>
            <w:b/>
            <w:bCs/>
            <w:color w:val="15284C" w:themeColor="text1"/>
            <w:sz w:val="22"/>
            <w:szCs w:val="22"/>
          </w:rPr>
          <w:t xml:space="preserve"> </w:t>
        </w:r>
        <w:r w:rsidRPr="00397B9C">
          <w:rPr>
            <w:rFonts w:cs="Arial"/>
            <w:b/>
            <w:bCs/>
            <w:noProof/>
            <w:color w:val="15284C" w:themeColor="text1"/>
            <w:sz w:val="22"/>
            <w:szCs w:val="22"/>
          </w:rPr>
          <w:fldChar w:fldCharType="begin"/>
        </w:r>
        <w:r w:rsidRPr="00397B9C">
          <w:rPr>
            <w:rFonts w:cs="Arial"/>
            <w:b/>
            <w:bCs/>
            <w:noProof/>
            <w:color w:val="15284C" w:themeColor="text1"/>
            <w:sz w:val="22"/>
            <w:szCs w:val="22"/>
          </w:rPr>
          <w:instrText xml:space="preserve"> PAGE   \* MERGEFORMAT </w:instrText>
        </w:r>
        <w:r w:rsidRPr="00397B9C">
          <w:rPr>
            <w:rFonts w:cs="Arial"/>
            <w:b/>
            <w:bCs/>
            <w:noProof/>
            <w:color w:val="15284C" w:themeColor="text1"/>
            <w:sz w:val="22"/>
            <w:szCs w:val="22"/>
          </w:rPr>
          <w:fldChar w:fldCharType="separate"/>
        </w:r>
        <w:r w:rsidRPr="00397B9C">
          <w:rPr>
            <w:rFonts w:cs="Arial"/>
            <w:b/>
            <w:bCs/>
            <w:noProof/>
            <w:color w:val="15284C" w:themeColor="text1"/>
            <w:sz w:val="22"/>
          </w:rPr>
          <w:t>227</w:t>
        </w:r>
        <w:r w:rsidRPr="00397B9C">
          <w:rPr>
            <w:rFonts w:cs="Arial"/>
            <w:b/>
            <w:bCs/>
            <w:noProof/>
            <w:color w:val="15284C" w:themeColor="text1"/>
            <w:sz w:val="22"/>
            <w:szCs w:val="22"/>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BD7B1" w14:textId="77777777" w:rsidR="00C41710" w:rsidRPr="006456C2" w:rsidRDefault="00C41710" w:rsidP="00CE707D">
    <w:pPr>
      <w:spacing w:after="0" w:line="240" w:lineRule="auto"/>
      <w:rPr>
        <w:noProof/>
        <w:color w:val="15284C" w:themeColor="text1"/>
        <w:sz w:val="22"/>
        <w:szCs w:val="22"/>
      </w:rPr>
    </w:pPr>
    <w:r w:rsidRPr="006456C2">
      <w:rPr>
        <w:noProof/>
        <w:color w:val="15284C" w:themeColor="text1"/>
        <w:sz w:val="22"/>
        <w:szCs w:val="22"/>
      </w:rPr>
      <w:drawing>
        <wp:anchor distT="0" distB="0" distL="114300" distR="114300" simplePos="0" relativeHeight="251658275" behindDoc="1" locked="0" layoutInCell="1" allowOverlap="1" wp14:anchorId="08274106" wp14:editId="64F64916">
          <wp:simplePos x="0" y="0"/>
          <wp:positionH relativeFrom="margin">
            <wp:posOffset>-698818</wp:posOffset>
          </wp:positionH>
          <wp:positionV relativeFrom="paragraph">
            <wp:posOffset>893272</wp:posOffset>
          </wp:positionV>
          <wp:extent cx="9937750" cy="999836"/>
          <wp:effectExtent l="0" t="0" r="0" b="0"/>
          <wp:wrapNone/>
          <wp:docPr id="742077727" name="Picture 742077727"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937750" cy="999836"/>
                  </a:xfrm>
                  <a:prstGeom prst="rect">
                    <a:avLst/>
                  </a:prstGeom>
                </pic:spPr>
              </pic:pic>
            </a:graphicData>
          </a:graphic>
          <wp14:sizeRelH relativeFrom="margin">
            <wp14:pctWidth>0</wp14:pctWidth>
          </wp14:sizeRelH>
          <wp14:sizeRelV relativeFrom="margin">
            <wp14:pctHeight>0</wp14:pctHeight>
          </wp14:sizeRelV>
        </wp:anchor>
      </w:drawing>
    </w:r>
    <w:r w:rsidRPr="006456C2">
      <w:rPr>
        <w:noProof/>
        <w:color w:val="15284C" w:themeColor="text1"/>
        <w:sz w:val="22"/>
        <w:szCs w:val="22"/>
      </w:rPr>
      <w:t xml:space="preserve">Design Guidance Note: Technical Guidelines for the Seismic and Structural </w:t>
    </w:r>
  </w:p>
  <w:p w14:paraId="11EE906C" w14:textId="77777777" w:rsidR="00C41710" w:rsidRPr="006456C2" w:rsidRDefault="00C41710" w:rsidP="00E62E77">
    <w:pPr>
      <w:tabs>
        <w:tab w:val="left" w:pos="8505"/>
      </w:tabs>
      <w:spacing w:after="0" w:line="240" w:lineRule="auto"/>
      <w:rPr>
        <w:rFonts w:cs="Arial"/>
        <w:noProof/>
        <w:color w:val="15284C" w:themeColor="text1"/>
        <w:sz w:val="22"/>
        <w:szCs w:val="22"/>
      </w:rPr>
    </w:pPr>
    <w:r w:rsidRPr="006456C2">
      <w:rPr>
        <w:noProof/>
        <w:color w:val="15284C" w:themeColor="text1"/>
        <w:sz w:val="22"/>
        <w:szCs w:val="22"/>
      </w:rPr>
      <w:t>Design of Hospital Buildings</w:t>
    </w:r>
    <w:r w:rsidRPr="006456C2">
      <w:rPr>
        <w:noProof/>
        <w:color w:val="15284C" w:themeColor="text1"/>
        <w:sz w:val="22"/>
        <w:szCs w:val="22"/>
      </w:rPr>
      <w:drawing>
        <wp:anchor distT="0" distB="0" distL="114300" distR="114300" simplePos="0" relativeHeight="251658276" behindDoc="1" locked="0" layoutInCell="1" allowOverlap="1" wp14:anchorId="575EBCE3" wp14:editId="68813FE2">
          <wp:simplePos x="0" y="0"/>
          <wp:positionH relativeFrom="page">
            <wp:posOffset>-10160</wp:posOffset>
          </wp:positionH>
          <wp:positionV relativeFrom="paragraph">
            <wp:posOffset>1035050</wp:posOffset>
          </wp:positionV>
          <wp:extent cx="7543800" cy="1000125"/>
          <wp:effectExtent l="0" t="0" r="0" b="0"/>
          <wp:wrapNone/>
          <wp:docPr id="1106960941" name="Picture 1106960941"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6456C2">
      <w:rPr>
        <w:noProof/>
        <w:color w:val="15284C" w:themeColor="text1"/>
        <w:sz w:val="22"/>
        <w:szCs w:val="22"/>
      </w:rPr>
      <w:t>, July 2025, Version 1</w:t>
    </w:r>
    <w:r w:rsidRPr="006456C2">
      <w:rPr>
        <w:rFonts w:cs="Arial"/>
        <w:noProof/>
        <w:color w:val="15284C" w:themeColor="text1"/>
        <w:sz w:val="22"/>
        <w:szCs w:val="22"/>
      </w:rPr>
      <w:tab/>
    </w:r>
    <w:r w:rsidRPr="006456C2">
      <w:rPr>
        <w:b/>
        <w:color w:val="15284C" w:themeColor="text1"/>
        <w:sz w:val="22"/>
        <w:szCs w:val="22"/>
      </w:rPr>
      <w:t>Page |</w:t>
    </w:r>
    <w:r w:rsidRPr="006456C2">
      <w:rPr>
        <w:b/>
        <w:bCs/>
        <w:color w:val="15284C" w:themeColor="text1"/>
        <w:sz w:val="22"/>
        <w:szCs w:val="22"/>
      </w:rPr>
      <w:t xml:space="preserve"> </w:t>
    </w:r>
    <w:r w:rsidRPr="006456C2">
      <w:rPr>
        <w:rFonts w:cs="Arial"/>
        <w:b/>
        <w:bCs/>
        <w:noProof/>
        <w:color w:val="15284C" w:themeColor="text1"/>
        <w:sz w:val="22"/>
        <w:szCs w:val="22"/>
      </w:rPr>
      <w:fldChar w:fldCharType="begin"/>
    </w:r>
    <w:r w:rsidRPr="006456C2">
      <w:rPr>
        <w:rFonts w:cs="Arial"/>
        <w:b/>
        <w:bCs/>
        <w:noProof/>
        <w:color w:val="15284C" w:themeColor="text1"/>
        <w:sz w:val="22"/>
        <w:szCs w:val="22"/>
      </w:rPr>
      <w:instrText xml:space="preserve"> PAGE   \* MERGEFORMAT </w:instrText>
    </w:r>
    <w:r w:rsidRPr="006456C2">
      <w:rPr>
        <w:rFonts w:cs="Arial"/>
        <w:b/>
        <w:bCs/>
        <w:noProof/>
        <w:color w:val="15284C" w:themeColor="text1"/>
        <w:sz w:val="22"/>
        <w:szCs w:val="22"/>
      </w:rPr>
      <w:fldChar w:fldCharType="separate"/>
    </w:r>
    <w:r w:rsidRPr="006456C2">
      <w:rPr>
        <w:rFonts w:cs="Arial"/>
        <w:b/>
        <w:bCs/>
        <w:noProof/>
        <w:color w:val="15284C" w:themeColor="text1"/>
        <w:sz w:val="22"/>
        <w:szCs w:val="22"/>
      </w:rPr>
      <w:t>1</w:t>
    </w:r>
    <w:r w:rsidRPr="006456C2">
      <w:rPr>
        <w:rFonts w:cs="Arial"/>
        <w:b/>
        <w:bCs/>
        <w:noProof/>
        <w:color w:val="15284C" w:themeColor="text1"/>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206AB" w14:textId="77777777" w:rsidR="00452F04" w:rsidRPr="0030414B" w:rsidRDefault="00452F04" w:rsidP="001E50CD">
    <w:pPr>
      <w:spacing w:after="0" w:line="240" w:lineRule="auto"/>
      <w:rPr>
        <w:noProof/>
        <w:color w:val="15284C" w:themeColor="text2"/>
        <w:sz w:val="22"/>
        <w:szCs w:val="22"/>
      </w:rPr>
    </w:pPr>
    <w:r w:rsidRPr="0030414B">
      <w:rPr>
        <w:noProof/>
        <w:color w:val="15284C" w:themeColor="text2"/>
        <w:sz w:val="22"/>
        <w:szCs w:val="22"/>
      </w:rPr>
      <w:t xml:space="preserve">Design Guidance Note: Technical Guidelines for the Seismic and Structural </w:t>
    </w:r>
  </w:p>
  <w:p w14:paraId="48669C92" w14:textId="77777777" w:rsidR="00452F04" w:rsidRPr="0030414B" w:rsidRDefault="00452F04" w:rsidP="00DF6912">
    <w:pPr>
      <w:tabs>
        <w:tab w:val="left" w:pos="8505"/>
      </w:tabs>
      <w:spacing w:after="0" w:line="240" w:lineRule="auto"/>
      <w:rPr>
        <w:rFonts w:cs="Arial"/>
        <w:noProof/>
        <w:color w:val="15284C" w:themeColor="text2"/>
        <w:sz w:val="20"/>
        <w:szCs w:val="20"/>
      </w:rPr>
    </w:pPr>
    <w:r w:rsidRPr="0030414B">
      <w:rPr>
        <w:noProof/>
        <w:color w:val="15284C" w:themeColor="text2"/>
        <w:sz w:val="22"/>
        <w:szCs w:val="22"/>
      </w:rPr>
      <w:t xml:space="preserve">Design of Hospital Buildings, </w:t>
    </w:r>
    <w:r w:rsidRPr="0030414B">
      <w:rPr>
        <w:noProof/>
        <w:color w:val="15284C" w:themeColor="text2"/>
        <w:sz w:val="22"/>
        <w:szCs w:val="22"/>
      </w:rPr>
      <w:drawing>
        <wp:anchor distT="0" distB="0" distL="114300" distR="114300" simplePos="0" relativeHeight="251658256" behindDoc="1" locked="0" layoutInCell="1" allowOverlap="1" wp14:anchorId="23916DB3" wp14:editId="1D2A2BA5">
          <wp:simplePos x="0" y="0"/>
          <wp:positionH relativeFrom="page">
            <wp:posOffset>-10160</wp:posOffset>
          </wp:positionH>
          <wp:positionV relativeFrom="paragraph">
            <wp:posOffset>1035050</wp:posOffset>
          </wp:positionV>
          <wp:extent cx="7543800" cy="1000125"/>
          <wp:effectExtent l="0" t="0" r="0" b="0"/>
          <wp:wrapNone/>
          <wp:docPr id="151036845" name="Picture 151036845"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30414B">
      <w:rPr>
        <w:noProof/>
        <w:color w:val="15284C" w:themeColor="text2"/>
        <w:sz w:val="22"/>
        <w:szCs w:val="22"/>
      </w:rPr>
      <w:t>July 2025, Version 1</w:t>
    </w:r>
    <w:r w:rsidRPr="0030414B">
      <w:rPr>
        <w:rFonts w:cs="Arial"/>
        <w:noProof/>
        <w:color w:val="15284C" w:themeColor="text2"/>
      </w:rPr>
      <w:tab/>
    </w:r>
    <w:r w:rsidRPr="0030414B">
      <w:rPr>
        <w:b/>
        <w:color w:val="15284C" w:themeColor="text2"/>
        <w:sz w:val="22"/>
        <w:szCs w:val="22"/>
      </w:rPr>
      <w:t xml:space="preserve">Page | </w:t>
    </w:r>
    <w:r w:rsidRPr="0030414B">
      <w:rPr>
        <w:b/>
        <w:color w:val="15284C" w:themeColor="text2"/>
        <w:sz w:val="22"/>
        <w:szCs w:val="22"/>
      </w:rPr>
      <w:fldChar w:fldCharType="begin"/>
    </w:r>
    <w:r w:rsidRPr="0030414B">
      <w:rPr>
        <w:b/>
        <w:color w:val="15284C" w:themeColor="text2"/>
        <w:sz w:val="22"/>
        <w:szCs w:val="22"/>
      </w:rPr>
      <w:instrText xml:space="preserve"> PAGE   \* MERGEFORMAT </w:instrText>
    </w:r>
    <w:r w:rsidRPr="0030414B">
      <w:rPr>
        <w:b/>
        <w:color w:val="15284C" w:themeColor="text2"/>
        <w:sz w:val="22"/>
        <w:szCs w:val="22"/>
      </w:rPr>
      <w:fldChar w:fldCharType="separate"/>
    </w:r>
    <w:r w:rsidRPr="0030414B">
      <w:rPr>
        <w:b/>
        <w:color w:val="15284C" w:themeColor="text2"/>
        <w:sz w:val="22"/>
        <w:szCs w:val="22"/>
      </w:rPr>
      <w:t>2</w:t>
    </w:r>
    <w:r w:rsidRPr="0030414B">
      <w:rPr>
        <w:b/>
        <w:noProof/>
        <w:color w:val="15284C" w:themeColor="text2"/>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FB45B" w14:textId="77777777" w:rsidR="00F4018E" w:rsidRPr="00F4018E" w:rsidRDefault="00F4018E" w:rsidP="001E50CD">
    <w:pPr>
      <w:spacing w:after="0" w:line="240" w:lineRule="auto"/>
      <w:rPr>
        <w:noProof/>
        <w:color w:val="0C818E"/>
        <w:sz w:val="22"/>
        <w:szCs w:val="22"/>
      </w:rPr>
    </w:pPr>
    <w:r w:rsidRPr="00F4018E">
      <w:rPr>
        <w:noProof/>
        <w:color w:val="0C818E"/>
        <w:sz w:val="22"/>
        <w:szCs w:val="22"/>
      </w:rPr>
      <w:t xml:space="preserve">Design Guidance Note: Technical Guidelines for the Seismic and Structural </w:t>
    </w:r>
  </w:p>
  <w:p w14:paraId="5B56B24A" w14:textId="77777777" w:rsidR="00F4018E" w:rsidRPr="00452F04" w:rsidRDefault="00F4018E" w:rsidP="00DF6912">
    <w:pPr>
      <w:tabs>
        <w:tab w:val="left" w:pos="8505"/>
      </w:tabs>
      <w:spacing w:after="0" w:line="240" w:lineRule="auto"/>
      <w:rPr>
        <w:rFonts w:cs="Arial"/>
        <w:noProof/>
        <w:color w:val="15284C" w:themeColor="text2"/>
        <w:sz w:val="20"/>
        <w:szCs w:val="20"/>
      </w:rPr>
    </w:pPr>
    <w:r w:rsidRPr="00F4018E">
      <w:rPr>
        <w:noProof/>
        <w:color w:val="0C818E"/>
        <w:sz w:val="22"/>
        <w:szCs w:val="22"/>
      </w:rPr>
      <w:t xml:space="preserve">Design of Hospital Buildings, </w:t>
    </w:r>
    <w:r w:rsidRPr="00F4018E">
      <w:rPr>
        <w:noProof/>
        <w:color w:val="0C818E"/>
        <w:sz w:val="22"/>
        <w:szCs w:val="22"/>
      </w:rPr>
      <w:drawing>
        <wp:anchor distT="0" distB="0" distL="114300" distR="114300" simplePos="0" relativeHeight="251658260" behindDoc="1" locked="0" layoutInCell="1" allowOverlap="1" wp14:anchorId="2802B9AC" wp14:editId="0B99B5DB">
          <wp:simplePos x="0" y="0"/>
          <wp:positionH relativeFrom="page">
            <wp:posOffset>-10160</wp:posOffset>
          </wp:positionH>
          <wp:positionV relativeFrom="paragraph">
            <wp:posOffset>1035050</wp:posOffset>
          </wp:positionV>
          <wp:extent cx="7543800" cy="1000125"/>
          <wp:effectExtent l="0" t="0" r="0" b="0"/>
          <wp:wrapNone/>
          <wp:docPr id="650615711" name="Picture 650615711"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F4018E">
      <w:rPr>
        <w:noProof/>
        <w:color w:val="0C818E"/>
        <w:sz w:val="22"/>
        <w:szCs w:val="22"/>
      </w:rPr>
      <w:t>July 2025, Version 1</w:t>
    </w:r>
    <w:r w:rsidRPr="00452F04">
      <w:rPr>
        <w:rFonts w:cs="Arial"/>
        <w:noProof/>
        <w:color w:val="15284C" w:themeColor="text2"/>
      </w:rPr>
      <w:tab/>
    </w:r>
    <w:r w:rsidRPr="00F4018E">
      <w:rPr>
        <w:b/>
        <w:color w:val="0C818E"/>
        <w:sz w:val="22"/>
        <w:szCs w:val="22"/>
      </w:rPr>
      <w:t xml:space="preserve">Page | </w:t>
    </w:r>
    <w:r w:rsidRPr="00F4018E">
      <w:rPr>
        <w:b/>
        <w:color w:val="0C818E"/>
        <w:sz w:val="22"/>
        <w:szCs w:val="22"/>
      </w:rPr>
      <w:fldChar w:fldCharType="begin"/>
    </w:r>
    <w:r w:rsidRPr="00F4018E">
      <w:rPr>
        <w:b/>
        <w:color w:val="0C818E"/>
        <w:sz w:val="22"/>
        <w:szCs w:val="22"/>
      </w:rPr>
      <w:instrText xml:space="preserve"> PAGE   \* MERGEFORMAT </w:instrText>
    </w:r>
    <w:r w:rsidRPr="00F4018E">
      <w:rPr>
        <w:b/>
        <w:color w:val="0C818E"/>
        <w:sz w:val="22"/>
        <w:szCs w:val="22"/>
      </w:rPr>
      <w:fldChar w:fldCharType="separate"/>
    </w:r>
    <w:r w:rsidRPr="00F4018E">
      <w:rPr>
        <w:b/>
        <w:color w:val="0C818E"/>
        <w:sz w:val="22"/>
        <w:szCs w:val="22"/>
      </w:rPr>
      <w:t>2</w:t>
    </w:r>
    <w:r w:rsidRPr="00F4018E">
      <w:rPr>
        <w:b/>
        <w:noProof/>
        <w:color w:val="0C818E"/>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D4FB0" w14:textId="77777777" w:rsidR="00F4018E" w:rsidRDefault="00F4018E" w:rsidP="00666E06">
    <w:pPr>
      <w:pStyle w:val="Footer"/>
      <w:rPr>
        <w:noProof/>
        <w:color w:val="0C818E"/>
        <w:sz w:val="22"/>
        <w:szCs w:val="22"/>
      </w:rPr>
    </w:pPr>
    <w:r w:rsidRPr="00F4018E">
      <w:rPr>
        <w:noProof/>
        <w:color w:val="0C818E"/>
        <w:sz w:val="22"/>
        <w:szCs w:val="22"/>
      </w:rPr>
      <w:t xml:space="preserve">Design Guidance Note: Technical Guidelines for the Seismic and Structural </w:t>
    </w:r>
  </w:p>
  <w:p w14:paraId="5D13A223" w14:textId="34CE18D4" w:rsidR="00F4018E" w:rsidRPr="00845EC3" w:rsidRDefault="00F4018E" w:rsidP="00F040D0">
    <w:pPr>
      <w:pStyle w:val="Footer"/>
      <w:tabs>
        <w:tab w:val="clear" w:pos="4513"/>
        <w:tab w:val="clear" w:pos="9026"/>
        <w:tab w:val="right" w:pos="9498"/>
      </w:tabs>
    </w:pPr>
    <w:r w:rsidRPr="00F4018E">
      <w:rPr>
        <w:noProof/>
        <w:color w:val="0C818E"/>
        <w:sz w:val="22"/>
        <w:szCs w:val="22"/>
      </w:rPr>
      <w:t>Design of Hospital Buildings</w:t>
    </w:r>
    <w:r>
      <w:rPr>
        <w:noProof/>
        <w:color w:val="0C818E"/>
        <w:sz w:val="22"/>
        <w:szCs w:val="22"/>
      </w:rPr>
      <w:t xml:space="preserve">, </w:t>
    </w:r>
    <w:r w:rsidRPr="00F4018E">
      <w:rPr>
        <w:noProof/>
        <w:color w:val="0C818E"/>
        <w:sz w:val="22"/>
        <w:szCs w:val="22"/>
      </w:rPr>
      <w:drawing>
        <wp:anchor distT="0" distB="0" distL="114300" distR="114300" simplePos="0" relativeHeight="251658261" behindDoc="1" locked="0" layoutInCell="1" allowOverlap="1" wp14:anchorId="55400C7A" wp14:editId="152B9684">
          <wp:simplePos x="0" y="0"/>
          <wp:positionH relativeFrom="page">
            <wp:posOffset>-10160</wp:posOffset>
          </wp:positionH>
          <wp:positionV relativeFrom="paragraph">
            <wp:posOffset>1035050</wp:posOffset>
          </wp:positionV>
          <wp:extent cx="7543800" cy="1000125"/>
          <wp:effectExtent l="0" t="0" r="0" b="0"/>
          <wp:wrapNone/>
          <wp:docPr id="1144320375" name="Picture 1144320375"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Pr="00F4018E">
      <w:rPr>
        <w:noProof/>
        <w:color w:val="0C818E"/>
        <w:sz w:val="22"/>
        <w:szCs w:val="22"/>
      </w:rPr>
      <w:t>July 2025, Version 1</w:t>
    </w:r>
    <w:r>
      <w:rPr>
        <w:noProof/>
        <w:color w:val="0C818E"/>
        <w:sz w:val="22"/>
        <w:szCs w:val="22"/>
      </w:rPr>
      <w:t xml:space="preserve">   </w:t>
    </w:r>
    <w:r w:rsidR="00C02DAC">
      <w:rPr>
        <w:noProof/>
        <w:color w:val="0C818E"/>
        <w:sz w:val="22"/>
        <w:szCs w:val="22"/>
      </w:rPr>
      <w:tab/>
    </w:r>
    <w:r w:rsidR="00C02DAC" w:rsidRPr="00C02DAC">
      <w:rPr>
        <w:b/>
        <w:color w:val="0C818E"/>
        <w:sz w:val="22"/>
        <w:szCs w:val="22"/>
      </w:rPr>
      <w:t>Page |</w:t>
    </w:r>
    <w:r w:rsidR="00C02DAC" w:rsidRPr="00C02DAC">
      <w:rPr>
        <w:b/>
        <w:color w:val="0C818E"/>
        <w:sz w:val="22"/>
        <w:szCs w:val="22"/>
      </w:rPr>
      <w:fldChar w:fldCharType="begin"/>
    </w:r>
    <w:r w:rsidR="00C02DAC" w:rsidRPr="00C02DAC">
      <w:rPr>
        <w:b/>
        <w:color w:val="0C818E"/>
        <w:sz w:val="22"/>
        <w:szCs w:val="22"/>
      </w:rPr>
      <w:instrText xml:space="preserve"> PAGE   \* MERGEFORMAT </w:instrText>
    </w:r>
    <w:r w:rsidR="00C02DAC" w:rsidRPr="00C02DAC">
      <w:rPr>
        <w:b/>
        <w:color w:val="0C818E"/>
        <w:sz w:val="22"/>
        <w:szCs w:val="22"/>
      </w:rPr>
      <w:fldChar w:fldCharType="separate"/>
    </w:r>
    <w:r w:rsidR="00C02DAC" w:rsidRPr="00C02DAC">
      <w:rPr>
        <w:b/>
        <w:color w:val="0C818E"/>
        <w:sz w:val="22"/>
        <w:szCs w:val="22"/>
      </w:rPr>
      <w:t>14</w:t>
    </w:r>
    <w:r w:rsidR="00C02DAC" w:rsidRPr="00C02DAC">
      <w:rPr>
        <w:b/>
        <w:noProof/>
        <w:color w:val="0C818E"/>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9F41F" w14:textId="7E9D0538" w:rsidR="00B12367" w:rsidRPr="002A6AD7" w:rsidRDefault="00B12367" w:rsidP="001D440D">
    <w:pPr>
      <w:spacing w:after="0" w:line="240" w:lineRule="auto"/>
      <w:rPr>
        <w:rFonts w:cs="Arial"/>
        <w:noProof/>
        <w:color w:val="0C818E"/>
        <w:sz w:val="22"/>
        <w:szCs w:val="22"/>
      </w:rPr>
    </w:pPr>
    <w:r w:rsidRPr="002A6AD7">
      <w:rPr>
        <w:noProof/>
        <w:color w:val="0C818E"/>
        <w:sz w:val="22"/>
        <w:szCs w:val="22"/>
      </w:rPr>
      <w:t>Design Guidance Note: Technical Guidelines for the Seismic and Structural Design of Hospital Buildings</w:t>
    </w:r>
    <w:r w:rsidRPr="002A6AD7">
      <w:rPr>
        <w:noProof/>
        <w:color w:val="0C818E"/>
        <w:sz w:val="22"/>
        <w:szCs w:val="22"/>
      </w:rPr>
      <w:drawing>
        <wp:anchor distT="0" distB="0" distL="114300" distR="114300" simplePos="0" relativeHeight="251658250" behindDoc="1" locked="0" layoutInCell="1" allowOverlap="1" wp14:anchorId="0CD7116C" wp14:editId="31C40CA4">
          <wp:simplePos x="0" y="0"/>
          <wp:positionH relativeFrom="page">
            <wp:posOffset>-10160</wp:posOffset>
          </wp:positionH>
          <wp:positionV relativeFrom="paragraph">
            <wp:posOffset>1035050</wp:posOffset>
          </wp:positionV>
          <wp:extent cx="7543800" cy="1000125"/>
          <wp:effectExtent l="0" t="0" r="0" b="0"/>
          <wp:wrapNone/>
          <wp:docPr id="801496058" name="Picture 801496058"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1D440D">
      <w:rPr>
        <w:noProof/>
        <w:color w:val="0C818E"/>
        <w:sz w:val="22"/>
        <w:szCs w:val="22"/>
      </w:rPr>
      <w:t>,</w:t>
    </w:r>
    <w:r w:rsidRPr="002A6AD7">
      <w:rPr>
        <w:noProof/>
        <w:color w:val="0C818E"/>
        <w:sz w:val="22"/>
        <w:szCs w:val="22"/>
      </w:rPr>
      <w:t xml:space="preserve"> </w:t>
    </w:r>
    <w:r w:rsidR="0061381F" w:rsidRPr="002A6AD7">
      <w:rPr>
        <w:noProof/>
        <w:color w:val="0C818E"/>
        <w:sz w:val="22"/>
        <w:szCs w:val="22"/>
      </w:rPr>
      <w:t>Ju</w:t>
    </w:r>
    <w:r w:rsidR="00573734" w:rsidRPr="002A6AD7">
      <w:rPr>
        <w:noProof/>
        <w:color w:val="0C818E"/>
        <w:sz w:val="22"/>
        <w:szCs w:val="22"/>
      </w:rPr>
      <w:t>ly</w:t>
    </w:r>
    <w:r w:rsidR="0061381F" w:rsidRPr="002A6AD7">
      <w:rPr>
        <w:noProof/>
        <w:color w:val="0C818E"/>
        <w:sz w:val="22"/>
        <w:szCs w:val="22"/>
      </w:rPr>
      <w:t xml:space="preserve"> 2025, Version 1</w:t>
    </w:r>
    <w:r w:rsidRPr="002A6AD7">
      <w:rPr>
        <w:rFonts w:cs="Arial"/>
        <w:noProof/>
        <w:color w:val="0C818E"/>
        <w:sz w:val="22"/>
        <w:szCs w:val="22"/>
      </w:rPr>
      <w:tab/>
    </w:r>
    <w:r w:rsidR="00F4018E" w:rsidRPr="00F4018E">
      <w:rPr>
        <w:b/>
        <w:color w:val="0C818E"/>
        <w:sz w:val="22"/>
        <w:szCs w:val="22"/>
      </w:rPr>
      <w:t>Page |</w:t>
    </w:r>
    <w:r w:rsidR="00F4018E">
      <w:rPr>
        <w:b/>
        <w:color w:val="0C818E"/>
        <w:sz w:val="22"/>
        <w:szCs w:val="22"/>
      </w:rPr>
      <w:t xml:space="preserve"> </w:t>
    </w:r>
    <w:r w:rsidRPr="00F4018E">
      <w:rPr>
        <w:rFonts w:cs="Arial"/>
        <w:b/>
        <w:noProof/>
        <w:color w:val="0C818E"/>
        <w:sz w:val="22"/>
        <w:szCs w:val="22"/>
      </w:rPr>
      <w:fldChar w:fldCharType="begin"/>
    </w:r>
    <w:r w:rsidRPr="00F4018E">
      <w:rPr>
        <w:rFonts w:cs="Arial"/>
        <w:b/>
        <w:noProof/>
        <w:color w:val="0C818E"/>
        <w:sz w:val="22"/>
        <w:szCs w:val="22"/>
      </w:rPr>
      <w:instrText xml:space="preserve"> PAGE   \* MERGEFORMAT </w:instrText>
    </w:r>
    <w:r w:rsidRPr="00F4018E">
      <w:rPr>
        <w:rFonts w:cs="Arial"/>
        <w:b/>
        <w:noProof/>
        <w:color w:val="0C818E"/>
        <w:sz w:val="22"/>
        <w:szCs w:val="22"/>
      </w:rPr>
      <w:fldChar w:fldCharType="separate"/>
    </w:r>
    <w:r w:rsidRPr="00F4018E">
      <w:rPr>
        <w:rFonts w:cs="Arial"/>
        <w:b/>
        <w:noProof/>
        <w:color w:val="0C818E"/>
        <w:sz w:val="22"/>
        <w:szCs w:val="22"/>
      </w:rPr>
      <w:t>1</w:t>
    </w:r>
    <w:r w:rsidRPr="00F4018E">
      <w:rPr>
        <w:rFonts w:cs="Arial"/>
        <w:b/>
        <w:noProof/>
        <w:color w:val="0C818E"/>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6CD20" w14:textId="3ACD0D4B" w:rsidR="00D458CD" w:rsidRPr="00835562" w:rsidRDefault="00C82B46" w:rsidP="00666E06">
    <w:pPr>
      <w:rPr>
        <w:rFonts w:cs="Arial"/>
        <w:noProof/>
      </w:rPr>
    </w:pPr>
    <w:r w:rsidRPr="00AD187A">
      <w:rPr>
        <w:noProof/>
      </w:rPr>
      <w:t>Design Guidance Note: Technical Guidelines for the Seism</w:t>
    </w:r>
    <w:r>
      <w:rPr>
        <w:noProof/>
      </w:rPr>
      <w:t>i</w:t>
    </w:r>
    <w:r w:rsidRPr="00AD187A">
      <w:rPr>
        <w:noProof/>
      </w:rPr>
      <w:t>c and Structural Design of Hospital Buildings</w:t>
    </w:r>
    <w:r w:rsidR="00FF23D5">
      <w:rPr>
        <w:noProof/>
      </w:rPr>
      <w:t xml:space="preserve"> | </w:t>
    </w:r>
    <w:r w:rsidR="0061381F">
      <w:rPr>
        <w:noProof/>
        <w:sz w:val="18"/>
        <w:szCs w:val="18"/>
      </w:rPr>
      <w:t>June 2025, Version 1</w:t>
    </w:r>
    <w:r w:rsidR="00D458CD">
      <w:rPr>
        <w:rFonts w:cs="Arial"/>
        <w:noProof/>
      </w:rPr>
      <w:tab/>
    </w:r>
    <w:r w:rsidR="00D458CD" w:rsidRPr="00630DE1">
      <w:rPr>
        <w:rFonts w:cs="Arial"/>
        <w:noProof/>
      </w:rPr>
      <w:fldChar w:fldCharType="begin"/>
    </w:r>
    <w:r w:rsidR="00D458CD" w:rsidRPr="00630DE1">
      <w:rPr>
        <w:rFonts w:cs="Arial"/>
        <w:noProof/>
      </w:rPr>
      <w:instrText xml:space="preserve"> PAGE   \* MERGEFORMAT </w:instrText>
    </w:r>
    <w:r w:rsidR="00D458CD" w:rsidRPr="00630DE1">
      <w:rPr>
        <w:rFonts w:cs="Arial"/>
        <w:noProof/>
      </w:rPr>
      <w:fldChar w:fldCharType="separate"/>
    </w:r>
    <w:r w:rsidR="00D458CD">
      <w:rPr>
        <w:rFonts w:cs="Arial"/>
        <w:noProof/>
      </w:rPr>
      <w:t>48</w:t>
    </w:r>
    <w:r w:rsidR="00D458CD" w:rsidRPr="00630DE1">
      <w:rPr>
        <w:rFonts w:cs="Arial"/>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E23AE" w14:textId="77777777" w:rsidR="00F040D0" w:rsidRDefault="00DA2F83" w:rsidP="00F040D0">
    <w:pPr>
      <w:spacing w:after="0" w:line="240" w:lineRule="auto"/>
      <w:rPr>
        <w:noProof/>
        <w:color w:val="0C818E"/>
        <w:sz w:val="22"/>
        <w:szCs w:val="22"/>
      </w:rPr>
    </w:pPr>
    <w:r w:rsidRPr="00F040D0">
      <w:rPr>
        <w:noProof/>
        <w:color w:val="0C818E"/>
        <w:sz w:val="22"/>
        <w:szCs w:val="22"/>
      </w:rPr>
      <w:t xml:space="preserve">Design Guidance Note: Technical Guidelines for the Seismic and Structural </w:t>
    </w:r>
  </w:p>
  <w:p w14:paraId="27171C14" w14:textId="0DCC2A06" w:rsidR="00DA2F83" w:rsidRPr="00723188" w:rsidRDefault="00DA2F83" w:rsidP="00723188">
    <w:pPr>
      <w:tabs>
        <w:tab w:val="left" w:pos="8505"/>
      </w:tabs>
      <w:spacing w:after="0" w:line="240" w:lineRule="auto"/>
      <w:rPr>
        <w:rFonts w:cs="Arial"/>
        <w:b/>
        <w:noProof/>
        <w:color w:val="0C818E"/>
        <w:sz w:val="22"/>
        <w:szCs w:val="22"/>
      </w:rPr>
    </w:pPr>
    <w:r w:rsidRPr="00F040D0">
      <w:rPr>
        <w:noProof/>
        <w:color w:val="0C818E"/>
        <w:sz w:val="22"/>
        <w:szCs w:val="22"/>
      </w:rPr>
      <w:t>Design of Hospital Buildings</w:t>
    </w:r>
    <w:r w:rsidR="00F040D0">
      <w:rPr>
        <w:noProof/>
        <w:color w:val="0C818E"/>
        <w:sz w:val="22"/>
        <w:szCs w:val="22"/>
      </w:rPr>
      <w:t xml:space="preserve">, </w:t>
    </w:r>
    <w:r w:rsidRPr="00F040D0">
      <w:rPr>
        <w:noProof/>
        <w:color w:val="0C818E"/>
        <w:sz w:val="22"/>
        <w:szCs w:val="22"/>
      </w:rPr>
      <w:drawing>
        <wp:anchor distT="0" distB="0" distL="114300" distR="114300" simplePos="0" relativeHeight="251658248" behindDoc="1" locked="0" layoutInCell="1" allowOverlap="1" wp14:anchorId="3C9CEEC7" wp14:editId="6B811504">
          <wp:simplePos x="0" y="0"/>
          <wp:positionH relativeFrom="page">
            <wp:posOffset>-10160</wp:posOffset>
          </wp:positionH>
          <wp:positionV relativeFrom="paragraph">
            <wp:posOffset>1035050</wp:posOffset>
          </wp:positionV>
          <wp:extent cx="7543800" cy="1000125"/>
          <wp:effectExtent l="0" t="0" r="0" b="0"/>
          <wp:wrapNone/>
          <wp:docPr id="1897533364" name="Picture 1897533364"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r w:rsidR="00F040D0">
      <w:rPr>
        <w:noProof/>
        <w:color w:val="0C818E"/>
        <w:sz w:val="22"/>
        <w:szCs w:val="22"/>
      </w:rPr>
      <w:t xml:space="preserve"> </w:t>
    </w:r>
    <w:r w:rsidR="0061381F" w:rsidRPr="00F040D0">
      <w:rPr>
        <w:noProof/>
        <w:color w:val="0C818E"/>
        <w:sz w:val="22"/>
        <w:szCs w:val="22"/>
      </w:rPr>
      <w:t>Ju</w:t>
    </w:r>
    <w:r w:rsidR="00573734" w:rsidRPr="00F040D0">
      <w:rPr>
        <w:noProof/>
        <w:color w:val="0C818E"/>
        <w:sz w:val="22"/>
        <w:szCs w:val="22"/>
      </w:rPr>
      <w:t>ly</w:t>
    </w:r>
    <w:r w:rsidR="0061381F" w:rsidRPr="00F040D0">
      <w:rPr>
        <w:noProof/>
        <w:color w:val="0C818E"/>
        <w:sz w:val="22"/>
        <w:szCs w:val="22"/>
      </w:rPr>
      <w:t xml:space="preserve"> 2025, Version 1</w:t>
    </w:r>
    <w:r w:rsidRPr="00222274">
      <w:rPr>
        <w:rFonts w:cs="Arial"/>
        <w:noProof/>
      </w:rPr>
      <w:tab/>
    </w:r>
    <w:r w:rsidR="00723188">
      <w:rPr>
        <w:rFonts w:cs="Arial"/>
        <w:noProof/>
      </w:rPr>
      <w:tab/>
    </w:r>
    <w:r w:rsidR="00723188" w:rsidRPr="00723188">
      <w:rPr>
        <w:b/>
        <w:color w:val="0C818E"/>
        <w:sz w:val="22"/>
        <w:szCs w:val="22"/>
      </w:rPr>
      <w:t xml:space="preserve">Page | </w:t>
    </w:r>
    <w:r w:rsidRPr="00723188">
      <w:rPr>
        <w:rFonts w:cs="Arial"/>
        <w:b/>
        <w:noProof/>
        <w:color w:val="0C818E"/>
        <w:sz w:val="22"/>
        <w:szCs w:val="22"/>
      </w:rPr>
      <w:fldChar w:fldCharType="begin"/>
    </w:r>
    <w:r w:rsidRPr="00723188">
      <w:rPr>
        <w:rFonts w:cs="Arial"/>
        <w:b/>
        <w:noProof/>
        <w:color w:val="0C818E"/>
        <w:sz w:val="22"/>
        <w:szCs w:val="22"/>
      </w:rPr>
      <w:instrText xml:space="preserve"> PAGE   \* MERGEFORMAT </w:instrText>
    </w:r>
    <w:r w:rsidRPr="00723188">
      <w:rPr>
        <w:rFonts w:cs="Arial"/>
        <w:b/>
        <w:noProof/>
        <w:color w:val="0C818E"/>
        <w:sz w:val="22"/>
        <w:szCs w:val="22"/>
      </w:rPr>
      <w:fldChar w:fldCharType="separate"/>
    </w:r>
    <w:r w:rsidRPr="00723188">
      <w:rPr>
        <w:rFonts w:cs="Arial"/>
        <w:b/>
        <w:noProof/>
        <w:color w:val="0C818E"/>
        <w:sz w:val="22"/>
        <w:szCs w:val="22"/>
      </w:rPr>
      <w:t>1</w:t>
    </w:r>
    <w:r w:rsidRPr="00723188">
      <w:rPr>
        <w:rFonts w:cs="Arial"/>
        <w:b/>
        <w:noProof/>
        <w:color w:val="0C818E"/>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FCC35" w14:textId="586A43C0" w:rsidR="00C06F80" w:rsidRPr="00D4195D" w:rsidRDefault="0070499C" w:rsidP="00D4195D">
    <w:pPr>
      <w:spacing w:before="120" w:after="0" w:line="240" w:lineRule="auto"/>
      <w:rPr>
        <w:rFonts w:cs="Arial"/>
        <w:noProof/>
        <w:color w:val="0C818E"/>
        <w:sz w:val="22"/>
        <w:szCs w:val="22"/>
      </w:rPr>
    </w:pPr>
    <w:r w:rsidRPr="00D4195D">
      <w:rPr>
        <w:noProof/>
        <w:color w:val="0C818E"/>
        <w:sz w:val="22"/>
        <w:szCs w:val="22"/>
      </w:rPr>
      <w:t>Design Guidance Note: Technical Guidelines for the Seismic and Structural Design of Hospital Buildings</w:t>
    </w:r>
    <w:r w:rsidR="00BC791F">
      <w:rPr>
        <w:noProof/>
        <w:color w:val="0C818E"/>
        <w:sz w:val="22"/>
        <w:szCs w:val="22"/>
      </w:rPr>
      <w:t>,</w:t>
    </w:r>
    <w:r w:rsidRPr="00D4195D">
      <w:rPr>
        <w:noProof/>
        <w:color w:val="0C818E"/>
        <w:sz w:val="22"/>
        <w:szCs w:val="22"/>
      </w:rPr>
      <w:t xml:space="preserve"> </w:t>
    </w:r>
    <w:r w:rsidR="0061381F" w:rsidRPr="00D4195D">
      <w:rPr>
        <w:noProof/>
        <w:color w:val="0C818E"/>
        <w:sz w:val="22"/>
        <w:szCs w:val="22"/>
      </w:rPr>
      <w:t>Ju</w:t>
    </w:r>
    <w:r w:rsidR="00573734" w:rsidRPr="00D4195D">
      <w:rPr>
        <w:noProof/>
        <w:color w:val="0C818E"/>
        <w:sz w:val="22"/>
        <w:szCs w:val="22"/>
      </w:rPr>
      <w:t>ly</w:t>
    </w:r>
    <w:r w:rsidR="0061381F" w:rsidRPr="00D4195D">
      <w:rPr>
        <w:noProof/>
        <w:color w:val="0C818E"/>
        <w:sz w:val="22"/>
        <w:szCs w:val="22"/>
      </w:rPr>
      <w:t xml:space="preserve"> 2025, Version 1</w:t>
    </w:r>
    <w:r w:rsidR="00C06F80" w:rsidRPr="00D4195D">
      <w:rPr>
        <w:rFonts w:cs="Arial"/>
        <w:noProof/>
        <w:color w:val="0C818E"/>
        <w:sz w:val="22"/>
        <w:szCs w:val="22"/>
      </w:rPr>
      <w:tab/>
    </w:r>
    <w:r w:rsidR="00D4195D" w:rsidRPr="00D4195D">
      <w:rPr>
        <w:b/>
        <w:color w:val="0C818E"/>
        <w:sz w:val="22"/>
        <w:szCs w:val="22"/>
      </w:rPr>
      <w:t>Page |</w:t>
    </w:r>
    <w:r w:rsidR="00D4195D">
      <w:rPr>
        <w:b/>
        <w:color w:val="0C818E"/>
        <w:sz w:val="22"/>
        <w:szCs w:val="22"/>
      </w:rPr>
      <w:t xml:space="preserve"> </w:t>
    </w:r>
    <w:r w:rsidR="00D4195D" w:rsidRPr="00723188">
      <w:rPr>
        <w:rFonts w:cs="Arial"/>
        <w:b/>
        <w:noProof/>
        <w:color w:val="0C818E"/>
        <w:sz w:val="22"/>
        <w:szCs w:val="22"/>
      </w:rPr>
      <w:fldChar w:fldCharType="begin"/>
    </w:r>
    <w:r w:rsidR="00D4195D" w:rsidRPr="00723188">
      <w:rPr>
        <w:rFonts w:cs="Arial"/>
        <w:b/>
        <w:noProof/>
        <w:color w:val="0C818E"/>
        <w:sz w:val="22"/>
        <w:szCs w:val="22"/>
      </w:rPr>
      <w:instrText xml:space="preserve"> PAGE   \* MERGEFORMAT </w:instrText>
    </w:r>
    <w:r w:rsidR="00D4195D" w:rsidRPr="00723188">
      <w:rPr>
        <w:rFonts w:cs="Arial"/>
        <w:b/>
        <w:noProof/>
        <w:color w:val="0C818E"/>
        <w:sz w:val="22"/>
        <w:szCs w:val="22"/>
      </w:rPr>
      <w:fldChar w:fldCharType="separate"/>
    </w:r>
    <w:r w:rsidR="00D4195D">
      <w:rPr>
        <w:rFonts w:cs="Arial"/>
        <w:b/>
        <w:noProof/>
        <w:color w:val="0C818E"/>
        <w:sz w:val="22"/>
        <w:szCs w:val="22"/>
      </w:rPr>
      <w:t>72</w:t>
    </w:r>
    <w:r w:rsidR="00D4195D" w:rsidRPr="00723188">
      <w:rPr>
        <w:rFonts w:cs="Arial"/>
        <w:b/>
        <w:noProof/>
        <w:color w:val="0C818E"/>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0FCBE1" w14:textId="77777777" w:rsidR="003E082B" w:rsidRDefault="003E082B" w:rsidP="00666E06">
      <w:r>
        <w:separator/>
      </w:r>
    </w:p>
    <w:p w14:paraId="6D0D2AF6" w14:textId="77777777" w:rsidR="003E082B" w:rsidRDefault="003E082B" w:rsidP="00666E06"/>
  </w:footnote>
  <w:footnote w:type="continuationSeparator" w:id="0">
    <w:p w14:paraId="0E1E6FF8" w14:textId="77777777" w:rsidR="003E082B" w:rsidRDefault="003E082B" w:rsidP="00666E06">
      <w:r>
        <w:continuationSeparator/>
      </w:r>
    </w:p>
    <w:p w14:paraId="40BA28B4" w14:textId="77777777" w:rsidR="003E082B" w:rsidRDefault="003E082B" w:rsidP="00666E06"/>
  </w:footnote>
  <w:footnote w:type="continuationNotice" w:id="1">
    <w:p w14:paraId="79ED0AFC" w14:textId="77777777" w:rsidR="003E082B" w:rsidRDefault="003E082B" w:rsidP="00666E06"/>
    <w:p w14:paraId="15CB592A" w14:textId="77777777" w:rsidR="003E082B" w:rsidRDefault="003E082B" w:rsidP="00666E06"/>
  </w:footnote>
  <w:footnote w:id="2">
    <w:p w14:paraId="25AB1185" w14:textId="77777777" w:rsidR="005117CD" w:rsidRPr="00423DDB" w:rsidRDefault="005117CD" w:rsidP="00666E06">
      <w:pPr>
        <w:pStyle w:val="FootnoteText"/>
        <w:rPr>
          <w:lang w:val="en-US"/>
        </w:rPr>
      </w:pPr>
      <w:r>
        <w:rPr>
          <w:rStyle w:val="FootnoteReference"/>
        </w:rPr>
        <w:footnoteRef/>
      </w:r>
      <w:r>
        <w:t xml:space="preserve"> </w:t>
      </w:r>
      <w:r>
        <w:rPr>
          <w:lang w:val="en-US"/>
        </w:rPr>
        <w:t>In the case of Module 1, use the version that aligns with the earthquake actions standard being used.</w:t>
      </w:r>
    </w:p>
  </w:footnote>
  <w:footnote w:id="3">
    <w:p w14:paraId="450A103B" w14:textId="2160FAFD" w:rsidR="00D6447A" w:rsidRPr="004E716D" w:rsidRDefault="00D6447A" w:rsidP="00D6447A">
      <w:pPr>
        <w:pStyle w:val="FootnoteText"/>
        <w:rPr>
          <w:lang w:val="en-US"/>
        </w:rPr>
      </w:pPr>
      <w:r>
        <w:rPr>
          <w:rStyle w:val="FootnoteReference"/>
        </w:rPr>
        <w:footnoteRef/>
      </w:r>
      <w:r>
        <w:t xml:space="preserve"> </w:t>
      </w:r>
      <w:r w:rsidRPr="004A0569">
        <w:rPr>
          <w:i/>
          <w:iCs/>
        </w:rPr>
        <w:t>Up-front Carbon</w:t>
      </w:r>
      <w:r>
        <w:t xml:space="preserve"> refers to Modules A1 to A5. However, for practical reasons, estimates can usually be limited to</w:t>
      </w:r>
      <w:r>
        <w:rPr>
          <w:lang w:val="en-US"/>
        </w:rPr>
        <w:t xml:space="preserve"> Modules A1 to A3 for the purposes of guiding the Concept and Preliminary Design Phases. The focus of this commentary is structural and geotechnical disciplines, considered in the context of embodied and operational carbon emissions for the project as a whole. Refer to Section </w:t>
      </w:r>
      <w:r>
        <w:rPr>
          <w:lang w:val="en-US"/>
        </w:rPr>
        <w:fldChar w:fldCharType="begin"/>
      </w:r>
      <w:r>
        <w:rPr>
          <w:lang w:val="en-US"/>
        </w:rPr>
        <w:instrText xml:space="preserve"> REF _Ref149645333 \r \h </w:instrText>
      </w:r>
      <w:r>
        <w:rPr>
          <w:lang w:val="en-US"/>
        </w:rPr>
      </w:r>
      <w:r>
        <w:rPr>
          <w:lang w:val="en-US"/>
        </w:rPr>
        <w:fldChar w:fldCharType="separate"/>
      </w:r>
      <w:r w:rsidR="000761C1">
        <w:rPr>
          <w:lang w:val="en-US"/>
        </w:rPr>
        <w:t>B4</w:t>
      </w:r>
      <w:r>
        <w:rPr>
          <w:lang w:val="en-US"/>
        </w:rPr>
        <w:fldChar w:fldCharType="end"/>
      </w:r>
      <w:r>
        <w:rPr>
          <w:lang w:val="en-US"/>
        </w:rPr>
        <w:t xml:space="preserve"> for additional information.</w:t>
      </w:r>
    </w:p>
  </w:footnote>
  <w:footnote w:id="4">
    <w:p w14:paraId="257E7AF5" w14:textId="3C6F9CED" w:rsidR="000D2AC7" w:rsidRPr="000D2AC7" w:rsidRDefault="000D2AC7" w:rsidP="00666E06">
      <w:pPr>
        <w:pStyle w:val="FootnoteText"/>
        <w:rPr>
          <w:lang w:val="en-US"/>
        </w:rPr>
      </w:pPr>
      <w:r>
        <w:rPr>
          <w:rStyle w:val="FootnoteReference"/>
        </w:rPr>
        <w:footnoteRef/>
      </w:r>
      <w:r>
        <w:t xml:space="preserve"> </w:t>
      </w:r>
      <w:r w:rsidR="00442823" w:rsidRPr="00442823">
        <w:t xml:space="preserve">For seismic performance, </w:t>
      </w:r>
      <w:r w:rsidR="00442823">
        <w:t xml:space="preserve">this should include a </w:t>
      </w:r>
      <w:r w:rsidR="00442823" w:rsidRPr="00442823">
        <w:t>summar</w:t>
      </w:r>
      <w:r w:rsidR="00442823">
        <w:t>y (</w:t>
      </w:r>
      <w:r w:rsidR="0017262F">
        <w:t xml:space="preserve">in </w:t>
      </w:r>
      <w:r w:rsidR="00803689">
        <w:t xml:space="preserve">bullet or </w:t>
      </w:r>
      <w:r w:rsidR="00442823">
        <w:t>tabulated</w:t>
      </w:r>
      <w:r w:rsidR="00803689">
        <w:t xml:space="preserve"> form</w:t>
      </w:r>
      <w:r w:rsidR="00442823">
        <w:t xml:space="preserve">, </w:t>
      </w:r>
      <w:r w:rsidR="00803689">
        <w:t>as</w:t>
      </w:r>
      <w:r w:rsidR="00442823">
        <w:t xml:space="preserve"> appropriate) listing</w:t>
      </w:r>
      <w:r w:rsidR="00442823" w:rsidRPr="00442823">
        <w:t xml:space="preserve"> any </w:t>
      </w:r>
      <w:r w:rsidR="00442823">
        <w:t xml:space="preserve">significant </w:t>
      </w:r>
      <w:r w:rsidR="00442823" w:rsidRPr="00442823">
        <w:t xml:space="preserve">residual risks from </w:t>
      </w:r>
      <w:r w:rsidR="00442823" w:rsidRPr="00442823">
        <w:rPr>
          <w:i/>
          <w:iCs/>
        </w:rPr>
        <w:t>externalities</w:t>
      </w:r>
      <w:r w:rsidR="00442823">
        <w:t xml:space="preserve"> that could </w:t>
      </w:r>
      <w:r w:rsidR="00CA5B47">
        <w:t>impact</w:t>
      </w:r>
      <w:r w:rsidR="00442823">
        <w:t xml:space="preserve"> </w:t>
      </w:r>
      <w:r w:rsidR="00CA5B47">
        <w:t>the building/project meeting</w:t>
      </w:r>
      <w:r w:rsidR="00203A9E">
        <w:t xml:space="preserve"> the</w:t>
      </w:r>
      <w:r w:rsidR="00CA5B47">
        <w:t xml:space="preserve"> </w:t>
      </w:r>
      <w:r w:rsidR="00203A9E" w:rsidRPr="00203A9E">
        <w:rPr>
          <w:i/>
          <w:iCs/>
        </w:rPr>
        <w:t>S</w:t>
      </w:r>
      <w:r w:rsidR="00CA5B47" w:rsidRPr="00203A9E">
        <w:rPr>
          <w:i/>
          <w:iCs/>
        </w:rPr>
        <w:t xml:space="preserve">eismic </w:t>
      </w:r>
      <w:r w:rsidR="00203A9E" w:rsidRPr="00203A9E">
        <w:rPr>
          <w:i/>
          <w:iCs/>
        </w:rPr>
        <w:t>P</w:t>
      </w:r>
      <w:r w:rsidR="00CA5B47" w:rsidRPr="00203A9E">
        <w:rPr>
          <w:i/>
          <w:iCs/>
        </w:rPr>
        <w:t xml:space="preserve">erformance </w:t>
      </w:r>
      <w:r w:rsidR="00203A9E" w:rsidRPr="00203A9E">
        <w:rPr>
          <w:i/>
          <w:iCs/>
        </w:rPr>
        <w:t>F</w:t>
      </w:r>
      <w:r w:rsidR="00CA5B47" w:rsidRPr="00203A9E">
        <w:rPr>
          <w:i/>
          <w:iCs/>
        </w:rPr>
        <w:t>ramework</w:t>
      </w:r>
      <w:r w:rsidR="00203A9E">
        <w:t xml:space="preserve"> in this document</w:t>
      </w:r>
      <w:r w:rsidR="00442823" w:rsidRPr="00442823">
        <w:t xml:space="preserve"> (</w:t>
      </w:r>
      <w:r w:rsidR="00803689">
        <w:t xml:space="preserve">i.e. considered to be </w:t>
      </w:r>
      <w:r w:rsidR="00442823" w:rsidRPr="00442823">
        <w:t xml:space="preserve">outside the </w:t>
      </w:r>
      <w:r w:rsidR="003452B6">
        <w:t>“</w:t>
      </w:r>
      <w:r w:rsidR="00442823" w:rsidRPr="00442823">
        <w:t>project boundary</w:t>
      </w:r>
      <w:r w:rsidR="003452B6">
        <w:t>”, or</w:t>
      </w:r>
      <w:r w:rsidR="00435851">
        <w:t xml:space="preserve"> beyond</w:t>
      </w:r>
      <w:r w:rsidR="003452B6">
        <w:t xml:space="preserve"> the ability of the project team to control</w:t>
      </w:r>
      <w:r w:rsidR="00CA5B47">
        <w:t>)</w:t>
      </w:r>
      <w:r w:rsidR="00803689">
        <w:t>—</w:t>
      </w:r>
      <w:r w:rsidR="00435851">
        <w:t>allowing this to</w:t>
      </w:r>
      <w:r w:rsidR="00E07882">
        <w:t xml:space="preserve"> be uplifted to project risk registers</w:t>
      </w:r>
      <w:r w:rsidR="00CA5B47">
        <w:t>. This</w:t>
      </w:r>
      <w:r w:rsidR="006C50DB">
        <w:t xml:space="preserve"> is important </w:t>
      </w:r>
      <w:r w:rsidR="00E07882">
        <w:t xml:space="preserve">information to convey to </w:t>
      </w:r>
      <w:r w:rsidR="007D5C79">
        <w:t xml:space="preserve">Health NZ </w:t>
      </w:r>
      <w:r w:rsidR="00E07882" w:rsidRPr="00E07882">
        <w:t xml:space="preserve">and facilities users as part of </w:t>
      </w:r>
      <w:r w:rsidR="00E07882">
        <w:t xml:space="preserve">hospital emergency and </w:t>
      </w:r>
      <w:r w:rsidR="00E07882" w:rsidRPr="00E07882">
        <w:t>readiness</w:t>
      </w:r>
      <w:r w:rsidR="00E07882">
        <w:t xml:space="preserve"> </w:t>
      </w:r>
      <w:r w:rsidR="00E07882" w:rsidRPr="00E07882">
        <w:t>planning</w:t>
      </w:r>
      <w:r w:rsidR="00E07882">
        <w:t>.</w:t>
      </w:r>
      <w:r w:rsidR="0017262F">
        <w:t xml:space="preserve"> Refer </w:t>
      </w:r>
      <w:r w:rsidR="0072615E">
        <w:fldChar w:fldCharType="begin"/>
      </w:r>
      <w:r w:rsidR="0072615E">
        <w:instrText xml:space="preserve"> REF Appendix_1 \h </w:instrText>
      </w:r>
      <w:r w:rsidR="0072615E">
        <w:fldChar w:fldCharType="separate"/>
      </w:r>
      <w:r w:rsidR="000761C1" w:rsidRPr="00F301A3">
        <w:t>Appendix 1</w:t>
      </w:r>
      <w:r w:rsidR="0072615E">
        <w:fldChar w:fldCharType="end"/>
      </w:r>
      <w:r w:rsidR="002D2C9F">
        <w:t xml:space="preserve"> </w:t>
      </w:r>
      <w:r w:rsidR="00FE7CCD">
        <w:t>(</w:t>
      </w:r>
      <w:r w:rsidR="00F60A7D">
        <w:t xml:space="preserve">Section </w:t>
      </w:r>
      <w:r w:rsidR="0072615E">
        <w:fldChar w:fldCharType="begin"/>
      </w:r>
      <w:r w:rsidR="0072615E">
        <w:instrText xml:space="preserve"> REF _Ref179555824 \r \h </w:instrText>
      </w:r>
      <w:r w:rsidR="0072615E">
        <w:fldChar w:fldCharType="separate"/>
      </w:r>
      <w:r w:rsidR="000761C1">
        <w:t>1.3</w:t>
      </w:r>
      <w:r w:rsidR="0072615E">
        <w:fldChar w:fldCharType="end"/>
      </w:r>
      <w:r w:rsidR="00F60A7D">
        <w:t>:</w:t>
      </w:r>
      <w:r w:rsidR="00FE7CCD">
        <w:t>Dependencies)</w:t>
      </w:r>
      <w:r w:rsidR="0017262F">
        <w:t xml:space="preserve"> and </w:t>
      </w:r>
      <w:r w:rsidR="0017262F">
        <w:fldChar w:fldCharType="begin"/>
      </w:r>
      <w:r w:rsidR="0017262F">
        <w:instrText xml:space="preserve"> REF _Ref150180900 \r \h </w:instrText>
      </w:r>
      <w:r w:rsidR="0017262F">
        <w:fldChar w:fldCharType="separate"/>
      </w:r>
      <w:r w:rsidR="000761C1">
        <w:t>B2.5</w:t>
      </w:r>
      <w:r w:rsidR="0017262F">
        <w:fldChar w:fldCharType="end"/>
      </w:r>
      <w:r w:rsidR="00FE7CCD">
        <w:t xml:space="preserve"> for </w:t>
      </w:r>
      <w:r w:rsidR="0078531B">
        <w:t>additional</w:t>
      </w:r>
      <w:r w:rsidR="00FE7CCD">
        <w:t xml:space="preserve"> commentary.</w:t>
      </w:r>
    </w:p>
  </w:footnote>
  <w:footnote w:id="5">
    <w:p w14:paraId="4296D1C8" w14:textId="4561B60D" w:rsidR="00936EE7" w:rsidRPr="00936EE7" w:rsidRDefault="00936EE7" w:rsidP="00666E06">
      <w:pPr>
        <w:pStyle w:val="FootnoteText"/>
        <w:rPr>
          <w:lang w:val="en-US"/>
        </w:rPr>
      </w:pPr>
      <w:r>
        <w:rPr>
          <w:rStyle w:val="FootnoteReference"/>
        </w:rPr>
        <w:footnoteRef/>
      </w:r>
      <w:r>
        <w:t xml:space="preserve"> </w:t>
      </w:r>
      <w:r>
        <w:rPr>
          <w:lang w:val="en-US"/>
        </w:rPr>
        <w:t xml:space="preserve">This information, and information on foundation system </w:t>
      </w:r>
      <w:r w:rsidR="007249F2">
        <w:rPr>
          <w:lang w:val="en-US"/>
        </w:rPr>
        <w:t>selection and</w:t>
      </w:r>
      <w:r w:rsidR="00247448">
        <w:rPr>
          <w:lang w:val="en-US"/>
        </w:rPr>
        <w:t xml:space="preserve"> analysis approach </w:t>
      </w:r>
      <w:r>
        <w:rPr>
          <w:lang w:val="en-US"/>
        </w:rPr>
        <w:t>should be reviewed by the Geotechnical Engineer</w:t>
      </w:r>
      <w:r w:rsidR="004E0526">
        <w:rPr>
          <w:lang w:val="en-US"/>
        </w:rPr>
        <w:t xml:space="preserve"> for interpretation</w:t>
      </w:r>
      <w:r>
        <w:rPr>
          <w:lang w:val="en-US"/>
        </w:rPr>
        <w:t>, with a record of such review having taken place.</w:t>
      </w:r>
    </w:p>
  </w:footnote>
  <w:footnote w:id="6">
    <w:p w14:paraId="05DA1118" w14:textId="64645021" w:rsidR="00016493" w:rsidRPr="00016493" w:rsidRDefault="00016493" w:rsidP="00666E06">
      <w:pPr>
        <w:pStyle w:val="FootnoteText"/>
        <w:rPr>
          <w:lang w:val="en-US"/>
        </w:rPr>
      </w:pPr>
      <w:r>
        <w:rPr>
          <w:rStyle w:val="FootnoteReference"/>
        </w:rPr>
        <w:footnoteRef/>
      </w:r>
      <w:r>
        <w:t xml:space="preserve"> </w:t>
      </w:r>
      <w:r>
        <w:rPr>
          <w:lang w:val="en-US"/>
        </w:rPr>
        <w:t xml:space="preserve">Refer to Section </w:t>
      </w:r>
      <w:r>
        <w:rPr>
          <w:lang w:val="en-US"/>
        </w:rPr>
        <w:fldChar w:fldCharType="begin"/>
      </w:r>
      <w:r>
        <w:rPr>
          <w:lang w:val="en-US"/>
        </w:rPr>
        <w:instrText xml:space="preserve"> REF _Ref149633810 \r \h </w:instrText>
      </w:r>
      <w:r>
        <w:rPr>
          <w:lang w:val="en-US"/>
        </w:rPr>
      </w:r>
      <w:r>
        <w:rPr>
          <w:lang w:val="en-US"/>
        </w:rPr>
        <w:fldChar w:fldCharType="separate"/>
      </w:r>
      <w:r w:rsidR="000761C1">
        <w:rPr>
          <w:lang w:val="en-US"/>
        </w:rPr>
        <w:t>B4</w:t>
      </w:r>
      <w:r>
        <w:rPr>
          <w:lang w:val="en-US"/>
        </w:rPr>
        <w:fldChar w:fldCharType="end"/>
      </w:r>
      <w:r>
        <w:rPr>
          <w:lang w:val="en-US"/>
        </w:rPr>
        <w:t xml:space="preserve"> </w:t>
      </w:r>
      <w:r w:rsidR="00C14A0F">
        <w:rPr>
          <w:lang w:val="en-US"/>
        </w:rPr>
        <w:t xml:space="preserve">and the Glossary of Terms </w:t>
      </w:r>
      <w:r>
        <w:rPr>
          <w:lang w:val="en-US"/>
        </w:rPr>
        <w:t xml:space="preserve">for </w:t>
      </w:r>
      <w:r w:rsidR="00902983">
        <w:rPr>
          <w:lang w:val="en-US"/>
        </w:rPr>
        <w:t>definition</w:t>
      </w:r>
      <w:r w:rsidR="002E4FFA">
        <w:rPr>
          <w:lang w:val="en-US"/>
        </w:rPr>
        <w:t xml:space="preserve"> of </w:t>
      </w:r>
      <w:r w:rsidR="002E4FFA" w:rsidRPr="00362C7E">
        <w:rPr>
          <w:i/>
          <w:iCs/>
          <w:lang w:val="en-US"/>
        </w:rPr>
        <w:t>Up-front Carbon</w:t>
      </w:r>
      <w:r w:rsidR="00902983">
        <w:rPr>
          <w:lang w:val="en-US"/>
        </w:rPr>
        <w:t>.</w:t>
      </w:r>
    </w:p>
  </w:footnote>
  <w:footnote w:id="7">
    <w:p w14:paraId="7F9B5B4C" w14:textId="77777777" w:rsidR="00972F3A" w:rsidRPr="001C2A5A" w:rsidRDefault="00972F3A" w:rsidP="00666E06">
      <w:pPr>
        <w:pStyle w:val="FootnoteText"/>
        <w:rPr>
          <w:lang w:val="en-US"/>
        </w:rPr>
      </w:pPr>
      <w:r>
        <w:rPr>
          <w:rStyle w:val="FootnoteReference"/>
        </w:rPr>
        <w:footnoteRef/>
      </w:r>
      <w:r>
        <w:t xml:space="preserve"> </w:t>
      </w:r>
      <w:r>
        <w:rPr>
          <w:lang w:val="en-US"/>
        </w:rPr>
        <w:t>This could include, for example, a Greenstar Accredited Professional.</w:t>
      </w:r>
    </w:p>
  </w:footnote>
  <w:footnote w:id="8">
    <w:p w14:paraId="1FE12D33" w14:textId="55D13B8F" w:rsidR="00C4731D" w:rsidRPr="009A04C3" w:rsidRDefault="00C4731D" w:rsidP="00666E06">
      <w:pPr>
        <w:pStyle w:val="FootnoteText"/>
        <w:rPr>
          <w:lang w:val="en-US"/>
        </w:rPr>
      </w:pPr>
      <w:r>
        <w:rPr>
          <w:rStyle w:val="FootnoteReference"/>
        </w:rPr>
        <w:footnoteRef/>
      </w:r>
      <w:r>
        <w:t xml:space="preserve"> </w:t>
      </w:r>
      <w:r w:rsidR="00485F44">
        <w:rPr>
          <w:lang w:val="en-US"/>
        </w:rPr>
        <w:t xml:space="preserve">Refer </w:t>
      </w:r>
      <w:r>
        <w:rPr>
          <w:lang w:val="en-US"/>
        </w:rPr>
        <w:t xml:space="preserve">to the </w:t>
      </w:r>
      <w:r w:rsidR="001C5321">
        <w:rPr>
          <w:lang w:val="en-US"/>
        </w:rPr>
        <w:t>commentary on maternity services</w:t>
      </w:r>
      <w:r>
        <w:rPr>
          <w:lang w:val="en-US"/>
        </w:rPr>
        <w:t xml:space="preserve"> following this table for clarification</w:t>
      </w:r>
      <w:r w:rsidR="00485F44">
        <w:rPr>
          <w:lang w:val="en-US"/>
        </w:rPr>
        <w:t xml:space="preserve"> of the term ‘high acuity’</w:t>
      </w:r>
      <w:r w:rsidR="00485F44" w:rsidRPr="00485F44">
        <w:rPr>
          <w:lang w:val="en-US"/>
        </w:rPr>
        <w:t xml:space="preserve"> </w:t>
      </w:r>
      <w:r w:rsidR="00485F44">
        <w:rPr>
          <w:lang w:val="en-US"/>
        </w:rPr>
        <w:t>which should be confirmed with clinical/hospital input</w:t>
      </w:r>
      <w:r>
        <w:rPr>
          <w:lang w:val="en-US"/>
        </w:rPr>
        <w:t>.</w:t>
      </w:r>
    </w:p>
  </w:footnote>
  <w:footnote w:id="9">
    <w:p w14:paraId="49F51415" w14:textId="23C85DAD" w:rsidR="00C4731D" w:rsidRPr="00F84FBA" w:rsidRDefault="00C4731D" w:rsidP="00666E06">
      <w:pPr>
        <w:pStyle w:val="FootnoteText"/>
        <w:rPr>
          <w:lang w:val="en-US"/>
        </w:rPr>
      </w:pPr>
      <w:r>
        <w:rPr>
          <w:rStyle w:val="FootnoteReference"/>
        </w:rPr>
        <w:footnoteRef/>
      </w:r>
      <w:r>
        <w:t xml:space="preserve"> </w:t>
      </w:r>
      <w:r w:rsidRPr="00F84FBA">
        <w:t xml:space="preserve">Refer </w:t>
      </w:r>
      <w:r w:rsidR="00C05007">
        <w:fldChar w:fldCharType="begin"/>
      </w:r>
      <w:r w:rsidR="00C05007">
        <w:instrText xml:space="preserve"> REF Appendix_1 \h </w:instrText>
      </w:r>
      <w:r w:rsidR="00C05007">
        <w:fldChar w:fldCharType="separate"/>
      </w:r>
      <w:r w:rsidR="000761C1" w:rsidRPr="00F301A3">
        <w:t>Appendix 1</w:t>
      </w:r>
      <w:r w:rsidR="00C05007">
        <w:fldChar w:fldCharType="end"/>
      </w:r>
      <w:r>
        <w:t xml:space="preserve"> </w:t>
      </w:r>
      <w:r w:rsidR="002A6CD3">
        <w:t>(Campus Earthquake Resilience)</w:t>
      </w:r>
      <w:r w:rsidR="00866D26">
        <w:t xml:space="preserve"> and</w:t>
      </w:r>
      <w:r w:rsidR="002A6CD3">
        <w:t xml:space="preserve"> specifically</w:t>
      </w:r>
      <w:r w:rsidR="00866D26">
        <w:t xml:space="preserve"> </w:t>
      </w:r>
      <w:r w:rsidR="00C05007">
        <w:fldChar w:fldCharType="begin"/>
      </w:r>
      <w:r w:rsidR="00C05007">
        <w:instrText xml:space="preserve"> REF _Ref179555824 \r \h </w:instrText>
      </w:r>
      <w:r w:rsidR="00C05007">
        <w:fldChar w:fldCharType="separate"/>
      </w:r>
      <w:r w:rsidR="000761C1">
        <w:t>1.3</w:t>
      </w:r>
      <w:r w:rsidR="00C05007">
        <w:fldChar w:fldCharType="end"/>
      </w:r>
      <w:r w:rsidR="00406E7D">
        <w:t xml:space="preserve"> (Depende</w:t>
      </w:r>
      <w:r w:rsidR="009145D4">
        <w:t>n</w:t>
      </w:r>
      <w:r w:rsidR="00406E7D">
        <w:t>cies)</w:t>
      </w:r>
      <w:r>
        <w:t xml:space="preserve"> </w:t>
      </w:r>
      <w:r w:rsidRPr="00F84FBA">
        <w:t>for additional information on managing sitewide dependencies</w:t>
      </w:r>
      <w:r>
        <w:t xml:space="preserve"> on plant, engineering systems and reticulated services.</w:t>
      </w:r>
    </w:p>
  </w:footnote>
  <w:footnote w:id="10">
    <w:p w14:paraId="37F1800B" w14:textId="77777777" w:rsidR="00343AF0" w:rsidRPr="00AF79A8" w:rsidRDefault="00343AF0" w:rsidP="00666E06">
      <w:pPr>
        <w:pStyle w:val="FootnoteText"/>
        <w:rPr>
          <w:lang w:val="en-US"/>
        </w:rPr>
      </w:pPr>
      <w:r>
        <w:rPr>
          <w:rStyle w:val="FootnoteReference"/>
        </w:rPr>
        <w:footnoteRef/>
      </w:r>
      <w:r>
        <w:t xml:space="preserve"> </w:t>
      </w:r>
      <w:r w:rsidRPr="00B356E6">
        <w:t>AS/NZS1170.0 includes a reference under IL3 to Emergency medical and other emergency facilities not designated as post-disaster</w:t>
      </w:r>
      <w:r>
        <w:t xml:space="preserve">. </w:t>
      </w:r>
      <w:r w:rsidRPr="00B356E6">
        <w:t>This reference is however not included in Building Code Clause A3</w:t>
      </w:r>
      <w:r w:rsidRPr="654FCE56">
        <w:t>.</w:t>
      </w:r>
    </w:p>
  </w:footnote>
  <w:footnote w:id="11">
    <w:p w14:paraId="5F7621BC" w14:textId="4EE65158" w:rsidR="00F211CA" w:rsidRPr="000923B7" w:rsidRDefault="00F211CA" w:rsidP="00666E06">
      <w:pPr>
        <w:pStyle w:val="FootnoteText"/>
        <w:rPr>
          <w:lang w:val="en-US"/>
        </w:rPr>
      </w:pPr>
      <w:r>
        <w:rPr>
          <w:rStyle w:val="FootnoteReference"/>
        </w:rPr>
        <w:footnoteRef/>
      </w:r>
      <w:r>
        <w:t xml:space="preserve"> For elevated helidecks serving Acute Services facilities with a specific post-disaster function, suitable alternatives (landing sites and patient transfer) should be identified as part of hospital emergency planning.</w:t>
      </w:r>
    </w:p>
  </w:footnote>
  <w:footnote w:id="12">
    <w:p w14:paraId="2791DB9E" w14:textId="21192FDA" w:rsidR="00591471" w:rsidRPr="00F84664" w:rsidRDefault="00591471" w:rsidP="00666E06">
      <w:pPr>
        <w:pStyle w:val="FootnoteText"/>
        <w:rPr>
          <w:lang w:val="en-US"/>
        </w:rPr>
      </w:pPr>
      <w:r>
        <w:rPr>
          <w:rStyle w:val="FootnoteReference"/>
        </w:rPr>
        <w:footnoteRef/>
      </w:r>
      <w:r>
        <w:t xml:space="preserve"> </w:t>
      </w:r>
      <w:r w:rsidR="007D2F77">
        <w:rPr>
          <w:lang w:val="en-US"/>
        </w:rPr>
        <w:t>Further</w:t>
      </w:r>
      <w:r>
        <w:rPr>
          <w:lang w:val="en-US"/>
        </w:rPr>
        <w:t xml:space="preserve"> technical commentary </w:t>
      </w:r>
      <w:r w:rsidR="007D2F77">
        <w:rPr>
          <w:lang w:val="en-US"/>
        </w:rPr>
        <w:t xml:space="preserve">is in preparation </w:t>
      </w:r>
      <w:r>
        <w:rPr>
          <w:lang w:val="en-US"/>
        </w:rPr>
        <w:t>on the Importance Level classification of structures with adjoined adjacencies, such as multiple buildings on common/adjoined foundations or basement</w:t>
      </w:r>
      <w:r w:rsidR="00644040">
        <w:rPr>
          <w:lang w:val="en-US"/>
        </w:rPr>
        <w:t xml:space="preserve"> structures</w:t>
      </w:r>
      <w:r>
        <w:rPr>
          <w:lang w:val="en-US"/>
        </w:rPr>
        <w:t>.</w:t>
      </w:r>
    </w:p>
  </w:footnote>
  <w:footnote w:id="13">
    <w:p w14:paraId="3D84318D" w14:textId="1E8D47CA" w:rsidR="007A6494" w:rsidRPr="007A6494" w:rsidRDefault="007A6494" w:rsidP="00666E06">
      <w:pPr>
        <w:pStyle w:val="FootnoteText"/>
        <w:rPr>
          <w:lang w:val="en-US"/>
        </w:rPr>
      </w:pPr>
      <w:r>
        <w:rPr>
          <w:rStyle w:val="FootnoteReference"/>
        </w:rPr>
        <w:footnoteRef/>
      </w:r>
      <w:r>
        <w:t xml:space="preserve"> </w:t>
      </w:r>
      <w:r>
        <w:rPr>
          <w:lang w:val="en-US"/>
        </w:rPr>
        <w:t>With the exception</w:t>
      </w:r>
      <w:r w:rsidR="001F44C1">
        <w:rPr>
          <w:lang w:val="en-US"/>
        </w:rPr>
        <w:t xml:space="preserve"> that the limit states definitions in Section </w:t>
      </w:r>
      <w:r w:rsidR="001F44C1">
        <w:rPr>
          <w:lang w:val="en-US"/>
        </w:rPr>
        <w:fldChar w:fldCharType="begin"/>
      </w:r>
      <w:r w:rsidR="001F44C1">
        <w:rPr>
          <w:lang w:val="en-US"/>
        </w:rPr>
        <w:instrText xml:space="preserve"> REF _Ref150756251 \r \h </w:instrText>
      </w:r>
      <w:r w:rsidR="001F44C1">
        <w:rPr>
          <w:lang w:val="en-US"/>
        </w:rPr>
      </w:r>
      <w:r w:rsidR="001F44C1">
        <w:rPr>
          <w:lang w:val="en-US"/>
        </w:rPr>
        <w:fldChar w:fldCharType="separate"/>
      </w:r>
      <w:r w:rsidR="000761C1">
        <w:rPr>
          <w:lang w:val="en-US"/>
        </w:rPr>
        <w:t>B2.3.1</w:t>
      </w:r>
      <w:r w:rsidR="001F44C1">
        <w:rPr>
          <w:lang w:val="en-US"/>
        </w:rPr>
        <w:fldChar w:fldCharType="end"/>
      </w:r>
      <w:r w:rsidR="001F44C1">
        <w:rPr>
          <w:lang w:val="en-US"/>
        </w:rPr>
        <w:t xml:space="preserve"> are mandatory.</w:t>
      </w:r>
    </w:p>
  </w:footnote>
  <w:footnote w:id="14">
    <w:p w14:paraId="09AB960B" w14:textId="157C174C" w:rsidR="00933204" w:rsidRPr="00085DD5" w:rsidRDefault="00933204" w:rsidP="00666E06">
      <w:pPr>
        <w:pStyle w:val="FootnoteText"/>
        <w:rPr>
          <w:lang w:val="en-US"/>
        </w:rPr>
      </w:pPr>
      <w:r>
        <w:rPr>
          <w:rStyle w:val="FootnoteReference"/>
        </w:rPr>
        <w:footnoteRef/>
      </w:r>
      <w:r>
        <w:t xml:space="preserve"> This is the same approach as the </w:t>
      </w:r>
      <w:r w:rsidRPr="005D7267">
        <w:rPr>
          <w:i/>
          <w:iCs/>
        </w:rPr>
        <w:t xml:space="preserve">Low Damage Seismic Design </w:t>
      </w:r>
      <w:r w:rsidRPr="00BE7BF5">
        <w:t>Guidelines</w:t>
      </w:r>
      <w:r>
        <w:t>.</w:t>
      </w:r>
    </w:p>
  </w:footnote>
  <w:footnote w:id="15">
    <w:p w14:paraId="15FE4FAD" w14:textId="5081DAD7" w:rsidR="005D2171" w:rsidRPr="005D2171" w:rsidRDefault="005D2171" w:rsidP="00666E06">
      <w:pPr>
        <w:pStyle w:val="FootnoteText"/>
        <w:rPr>
          <w:lang w:val="en-US"/>
        </w:rPr>
      </w:pPr>
      <w:r>
        <w:rPr>
          <w:rStyle w:val="FootnoteReference"/>
        </w:rPr>
        <w:footnoteRef/>
      </w:r>
      <w:r>
        <w:t xml:space="preserve"> </w:t>
      </w:r>
      <w:r>
        <w:rPr>
          <w:lang w:val="en-US"/>
        </w:rPr>
        <w:t>Considering uncertainties in</w:t>
      </w:r>
      <w:r w:rsidR="008E227E">
        <w:rPr>
          <w:lang w:val="en-US"/>
        </w:rPr>
        <w:t xml:space="preserve"> earthquake performance</w:t>
      </w:r>
      <w:r w:rsidR="00AF7982">
        <w:rPr>
          <w:lang w:val="en-US"/>
        </w:rPr>
        <w:t xml:space="preserve"> and how real earthquake scenarios are managed</w:t>
      </w:r>
      <w:r w:rsidR="00B87A28">
        <w:rPr>
          <w:lang w:val="en-US"/>
        </w:rPr>
        <w:t>, Health NZ encourage simple</w:t>
      </w:r>
      <w:r w:rsidR="008E227E">
        <w:rPr>
          <w:lang w:val="en-US"/>
        </w:rPr>
        <w:t>, qualitative and pragmatic interpretations</w:t>
      </w:r>
      <w:r w:rsidR="002540F4">
        <w:rPr>
          <w:lang w:val="en-US"/>
        </w:rPr>
        <w:t xml:space="preserve"> of the information provided.</w:t>
      </w:r>
    </w:p>
  </w:footnote>
  <w:footnote w:id="16">
    <w:p w14:paraId="09EDCCFB" w14:textId="151FA8E1" w:rsidR="00873915" w:rsidRPr="00B30007" w:rsidRDefault="00873915" w:rsidP="00666E06">
      <w:pPr>
        <w:pStyle w:val="FootnoteText"/>
        <w:rPr>
          <w:lang w:val="en-US"/>
        </w:rPr>
      </w:pPr>
      <w:r w:rsidRPr="00B30007">
        <w:rPr>
          <w:rStyle w:val="FootnoteReference"/>
        </w:rPr>
        <w:footnoteRef/>
      </w:r>
      <w:r w:rsidRPr="00B30007">
        <w:t xml:space="preserve"> </w:t>
      </w:r>
      <w:r w:rsidR="00037D87" w:rsidRPr="00B30007">
        <w:t>Full functionality does not mean assets aren’t damaged—</w:t>
      </w:r>
      <w:r w:rsidR="00A66144">
        <w:t>it’s</w:t>
      </w:r>
      <w:r w:rsidR="00037D87" w:rsidRPr="00B30007">
        <w:t xml:space="preserve"> an ability to deliver the </w:t>
      </w:r>
      <w:r w:rsidR="008E369F" w:rsidRPr="00B30007">
        <w:t>post-disaster</w:t>
      </w:r>
      <w:r w:rsidR="00037D87" w:rsidRPr="00B30007">
        <w:t xml:space="preserve"> services for which the building is intended.</w:t>
      </w:r>
    </w:p>
  </w:footnote>
  <w:footnote w:id="17">
    <w:p w14:paraId="1E8D455D" w14:textId="36B3F5F7" w:rsidR="00B336C8" w:rsidRPr="00B30007" w:rsidRDefault="00B336C8" w:rsidP="00666E06">
      <w:pPr>
        <w:pStyle w:val="FootnoteText"/>
        <w:rPr>
          <w:lang w:val="en-US"/>
        </w:rPr>
      </w:pPr>
      <w:r w:rsidRPr="00B30007">
        <w:rPr>
          <w:rStyle w:val="FootnoteReference"/>
        </w:rPr>
        <w:footnoteRef/>
      </w:r>
      <w:r w:rsidRPr="00B30007">
        <w:t xml:space="preserve"> </w:t>
      </w:r>
      <w:r w:rsidR="001175B1" w:rsidRPr="00B30007">
        <w:rPr>
          <w:lang w:val="en-US"/>
        </w:rPr>
        <w:t>Ability to perform basic intended functions</w:t>
      </w:r>
      <w:r w:rsidR="007E2B9A" w:rsidRPr="00B30007">
        <w:rPr>
          <w:lang w:val="en-US"/>
        </w:rPr>
        <w:t xml:space="preserve"> </w:t>
      </w:r>
      <w:r w:rsidR="004522AC">
        <w:rPr>
          <w:lang w:val="en-US"/>
        </w:rPr>
        <w:t>might</w:t>
      </w:r>
      <w:r w:rsidRPr="00B30007">
        <w:rPr>
          <w:lang w:val="en-US"/>
        </w:rPr>
        <w:t xml:space="preserve"> include, for example, </w:t>
      </w:r>
      <w:r w:rsidR="009C5231" w:rsidRPr="00B30007">
        <w:rPr>
          <w:lang w:val="en-US"/>
        </w:rPr>
        <w:t xml:space="preserve">the ability </w:t>
      </w:r>
      <w:r w:rsidR="007E2B9A" w:rsidRPr="00B30007">
        <w:rPr>
          <w:lang w:val="en-US"/>
        </w:rPr>
        <w:t xml:space="preserve">to </w:t>
      </w:r>
      <w:r w:rsidR="009C5231" w:rsidRPr="00B30007">
        <w:rPr>
          <w:lang w:val="en-US"/>
        </w:rPr>
        <w:t>deliver elective surger</w:t>
      </w:r>
      <w:r w:rsidR="00271E41" w:rsidRPr="00B30007">
        <w:rPr>
          <w:lang w:val="en-US"/>
        </w:rPr>
        <w:t xml:space="preserve">y </w:t>
      </w:r>
      <w:r w:rsidR="009C5231" w:rsidRPr="00B30007">
        <w:rPr>
          <w:lang w:val="en-US"/>
        </w:rPr>
        <w:t xml:space="preserve">(albeit </w:t>
      </w:r>
      <w:r w:rsidR="00CD2AEB" w:rsidRPr="00B30007">
        <w:rPr>
          <w:lang w:val="en-US"/>
        </w:rPr>
        <w:t>some compromise in conditions</w:t>
      </w:r>
      <w:r w:rsidR="00E02682" w:rsidRPr="00B30007">
        <w:rPr>
          <w:lang w:val="en-US"/>
        </w:rPr>
        <w:t xml:space="preserve"> or operating procedures</w:t>
      </w:r>
      <w:r w:rsidR="00CD2AEB" w:rsidRPr="00B30007">
        <w:rPr>
          <w:lang w:val="en-US"/>
        </w:rPr>
        <w:t xml:space="preserve"> and/or </w:t>
      </w:r>
      <w:r w:rsidR="003768FD" w:rsidRPr="00B30007">
        <w:rPr>
          <w:lang w:val="en-US"/>
        </w:rPr>
        <w:t xml:space="preserve">operating at a </w:t>
      </w:r>
      <w:r w:rsidR="00B72D9E" w:rsidRPr="00B30007">
        <w:rPr>
          <w:lang w:val="en-US"/>
        </w:rPr>
        <w:t xml:space="preserve">reduced </w:t>
      </w:r>
      <w:r w:rsidR="00CD2AEB" w:rsidRPr="00B30007">
        <w:rPr>
          <w:lang w:val="en-US"/>
        </w:rPr>
        <w:t>capacity may be tolerable).</w:t>
      </w:r>
    </w:p>
  </w:footnote>
  <w:footnote w:id="18">
    <w:p w14:paraId="30C694FA" w14:textId="654C0E35" w:rsidR="00BF2C40" w:rsidRPr="005E035B" w:rsidRDefault="00BF2C40" w:rsidP="00666E06">
      <w:pPr>
        <w:pStyle w:val="FootnoteText"/>
        <w:rPr>
          <w:lang w:val="en-US"/>
        </w:rPr>
      </w:pPr>
      <w:r w:rsidRPr="00B30007">
        <w:rPr>
          <w:rStyle w:val="FootnoteReference"/>
        </w:rPr>
        <w:footnoteRef/>
      </w:r>
      <w:r w:rsidRPr="00B30007">
        <w:t xml:space="preserve"> </w:t>
      </w:r>
      <w:r w:rsidRPr="00B30007">
        <w:rPr>
          <w:lang w:val="en-US"/>
        </w:rPr>
        <w:t xml:space="preserve">For support services, evacuation could be due to a combination of lesser level confidence in continued safety, paired with higher </w:t>
      </w:r>
      <w:r w:rsidR="00027CEE">
        <w:rPr>
          <w:lang w:val="en-US"/>
        </w:rPr>
        <w:t>abundance</w:t>
      </w:r>
      <w:r w:rsidRPr="00B30007">
        <w:rPr>
          <w:lang w:val="en-US"/>
        </w:rPr>
        <w:t xml:space="preserve"> of caution (given the lower consequences of a managed building evacuation). It could also be due to physical damage observed by staff or assessing engineers following the event which warrants further review or evaluation before occupancy is considered appropriate. Although not preferred, either of these outcomes would be considered tolerable in the context of support services</w:t>
      </w:r>
      <w:r w:rsidR="004866E9" w:rsidRPr="00B30007">
        <w:rPr>
          <w:lang w:val="en-US"/>
        </w:rPr>
        <w:t xml:space="preserve"> (but not for Acute Services or Inpatient Facilities)</w:t>
      </w:r>
      <w:r w:rsidRPr="00B30007">
        <w:rPr>
          <w:lang w:val="en-US"/>
        </w:rPr>
        <w:t>.</w:t>
      </w:r>
    </w:p>
  </w:footnote>
  <w:footnote w:id="19">
    <w:p w14:paraId="691F2346" w14:textId="77777777" w:rsidR="00DF350F" w:rsidRPr="00D0261A" w:rsidRDefault="00DF350F" w:rsidP="00DF350F">
      <w:pPr>
        <w:pStyle w:val="FootnoteText"/>
        <w:rPr>
          <w:lang w:val="en-US"/>
        </w:rPr>
      </w:pPr>
      <w:r>
        <w:rPr>
          <w:rStyle w:val="FootnoteReference"/>
        </w:rPr>
        <w:footnoteRef/>
      </w:r>
      <w:r>
        <w:t xml:space="preserve"> </w:t>
      </w:r>
      <w:r>
        <w:rPr>
          <w:lang w:val="en-US"/>
        </w:rPr>
        <w:t>The S</w:t>
      </w:r>
      <w:r w:rsidRPr="00630ED3">
        <w:rPr>
          <w:i/>
          <w:iCs/>
          <w:lang w:val="en-US"/>
        </w:rPr>
        <w:t xml:space="preserve">helter in </w:t>
      </w:r>
      <w:r>
        <w:rPr>
          <w:i/>
          <w:iCs/>
          <w:lang w:val="en-US"/>
        </w:rPr>
        <w:t>P</w:t>
      </w:r>
      <w:r w:rsidRPr="00630ED3">
        <w:rPr>
          <w:i/>
          <w:iCs/>
          <w:lang w:val="en-US"/>
        </w:rPr>
        <w:t>lace</w:t>
      </w:r>
      <w:r>
        <w:rPr>
          <w:lang w:val="en-US"/>
        </w:rPr>
        <w:t xml:space="preserve"> objective (and places of residence in general) are not the focus of this guide and are not given specific attention in the remainder of the guide.</w:t>
      </w:r>
    </w:p>
  </w:footnote>
  <w:footnote w:id="20">
    <w:p w14:paraId="556A84C7" w14:textId="3C31AE87" w:rsidR="00617AEE" w:rsidRPr="00617AEE" w:rsidRDefault="00617AEE" w:rsidP="00666E06">
      <w:pPr>
        <w:pStyle w:val="FootnoteText"/>
        <w:rPr>
          <w:lang w:val="en-US"/>
        </w:rPr>
      </w:pPr>
      <w:r>
        <w:rPr>
          <w:rStyle w:val="FootnoteReference"/>
        </w:rPr>
        <w:footnoteRef/>
      </w:r>
      <w:r>
        <w:t xml:space="preserve"> </w:t>
      </w:r>
      <w:r w:rsidRPr="00FD6D44">
        <w:rPr>
          <w:i/>
          <w:iCs/>
        </w:rPr>
        <w:t>Full functionality</w:t>
      </w:r>
      <w:r w:rsidR="00EB49C7">
        <w:t xml:space="preserve"> refers</w:t>
      </w:r>
      <w:r w:rsidR="00606107">
        <w:t xml:space="preserve"> </w:t>
      </w:r>
      <w:r w:rsidR="00C617D5">
        <w:t xml:space="preserve">initially to specific post-disaster response functions in the immediate aftermath of an event and then eventually to </w:t>
      </w:r>
      <w:r w:rsidR="00663B3A">
        <w:t xml:space="preserve">the ability to </w:t>
      </w:r>
      <w:r w:rsidR="00C617D5">
        <w:t>continue the</w:t>
      </w:r>
      <w:r w:rsidR="00C617D5" w:rsidRPr="000A4AD4">
        <w:t xml:space="preserve"> intended functions of the building’s pre-earthquake use</w:t>
      </w:r>
      <w:r w:rsidR="00C617D5">
        <w:t xml:space="preserve"> </w:t>
      </w:r>
      <w:r w:rsidR="00334D85">
        <w:t xml:space="preserve">in the </w:t>
      </w:r>
      <w:r w:rsidR="00085AB5">
        <w:t>longer-term</w:t>
      </w:r>
      <w:r w:rsidR="00841C4D">
        <w:t xml:space="preserve"> recovery</w:t>
      </w:r>
      <w:r w:rsidR="00DD53E7">
        <w:t>.</w:t>
      </w:r>
      <w:r w:rsidR="001D1EF2">
        <w:t xml:space="preserve"> It does not mean no damage.</w:t>
      </w:r>
    </w:p>
  </w:footnote>
  <w:footnote w:id="21">
    <w:p w14:paraId="28B13BBF" w14:textId="30185CDE" w:rsidR="00314D38" w:rsidRPr="008B2DB7" w:rsidRDefault="00314D38" w:rsidP="00555FA9">
      <w:pPr>
        <w:pStyle w:val="Figure"/>
        <w:rPr>
          <w:b w:val="0"/>
          <w:bCs/>
        </w:rPr>
      </w:pPr>
      <w:r>
        <w:rPr>
          <w:rStyle w:val="FootnoteReference"/>
        </w:rPr>
        <w:footnoteRef/>
      </w:r>
      <w:r>
        <w:t xml:space="preserve"> </w:t>
      </w:r>
      <w:r w:rsidRPr="00555FA9">
        <w:rPr>
          <w:b w:val="0"/>
          <w:bCs/>
          <w:lang w:val="en-US"/>
        </w:rPr>
        <w:t>Additional clarity on this point is provided in</w:t>
      </w:r>
      <w:r w:rsidRPr="008B2DB7">
        <w:rPr>
          <w:b w:val="0"/>
          <w:bCs/>
          <w:lang w:val="en-US"/>
        </w:rPr>
        <w:t xml:space="preserve"> </w:t>
      </w:r>
      <w:r w:rsidRPr="008B2DB7">
        <w:rPr>
          <w:b w:val="0"/>
          <w:bCs/>
          <w:lang w:val="en-US"/>
        </w:rPr>
        <w:fldChar w:fldCharType="begin"/>
      </w:r>
      <w:r w:rsidRPr="008B2DB7">
        <w:rPr>
          <w:b w:val="0"/>
          <w:bCs/>
          <w:lang w:val="en-US"/>
        </w:rPr>
        <w:instrText xml:space="preserve"> REF _Ref180306670 \h </w:instrText>
      </w:r>
      <w:r w:rsidR="00555FA9" w:rsidRPr="008B2DB7">
        <w:rPr>
          <w:b w:val="0"/>
          <w:bCs/>
          <w:lang w:val="en-US"/>
        </w:rPr>
        <w:instrText xml:space="preserve"> \* MERGEFORMAT </w:instrText>
      </w:r>
      <w:r w:rsidRPr="008B2DB7">
        <w:rPr>
          <w:b w:val="0"/>
          <w:bCs/>
          <w:lang w:val="en-US"/>
        </w:rPr>
      </w:r>
      <w:r w:rsidRPr="008B2DB7">
        <w:rPr>
          <w:b w:val="0"/>
          <w:bCs/>
          <w:lang w:val="en-US"/>
        </w:rPr>
        <w:fldChar w:fldCharType="separate"/>
      </w:r>
      <w:r w:rsidR="000761C1" w:rsidRPr="008B2DB7">
        <w:rPr>
          <w:b w:val="0"/>
          <w:bCs/>
          <w:noProof/>
        </w:rPr>
        <w:t>Table</w:t>
      </w:r>
      <w:r w:rsidR="000761C1" w:rsidRPr="008B2DB7">
        <w:rPr>
          <w:b w:val="0"/>
          <w:bCs/>
        </w:rPr>
        <w:t xml:space="preserve"> </w:t>
      </w:r>
      <w:r w:rsidR="000761C1" w:rsidRPr="008B2DB7">
        <w:rPr>
          <w:b w:val="0"/>
          <w:bCs/>
          <w:noProof/>
        </w:rPr>
        <w:t>3</w:t>
      </w:r>
      <w:r w:rsidRPr="008B2DB7">
        <w:rPr>
          <w:b w:val="0"/>
          <w:bCs/>
          <w:lang w:val="en-US"/>
        </w:rPr>
        <w:fldChar w:fldCharType="end"/>
      </w:r>
      <w:r w:rsidRPr="008B2DB7">
        <w:rPr>
          <w:b w:val="0"/>
          <w:bCs/>
          <w:sz w:val="20"/>
          <w:szCs w:val="20"/>
          <w:lang w:val="en-US"/>
        </w:rPr>
        <w:t>,</w:t>
      </w:r>
      <w:r w:rsidRPr="00555FA9">
        <w:rPr>
          <w:b w:val="0"/>
          <w:bCs/>
          <w:lang w:val="en-US"/>
        </w:rPr>
        <w:t xml:space="preserve"> Section </w:t>
      </w:r>
      <w:r w:rsidRPr="00555FA9">
        <w:rPr>
          <w:b w:val="0"/>
          <w:bCs/>
          <w:lang w:val="en-US"/>
        </w:rPr>
        <w:fldChar w:fldCharType="begin"/>
      </w:r>
      <w:r w:rsidRPr="00555FA9">
        <w:rPr>
          <w:b w:val="0"/>
          <w:bCs/>
          <w:lang w:val="en-US"/>
        </w:rPr>
        <w:instrText xml:space="preserve"> REF _Ref180404912 \r \h </w:instrText>
      </w:r>
      <w:r w:rsidR="00555FA9" w:rsidRPr="00555FA9">
        <w:rPr>
          <w:b w:val="0"/>
          <w:bCs/>
          <w:lang w:val="en-US"/>
        </w:rPr>
        <w:instrText xml:space="preserve"> \* MERGEFORMAT </w:instrText>
      </w:r>
      <w:r w:rsidRPr="00555FA9">
        <w:rPr>
          <w:b w:val="0"/>
          <w:bCs/>
          <w:lang w:val="en-US"/>
        </w:rPr>
      </w:r>
      <w:r w:rsidRPr="00555FA9">
        <w:rPr>
          <w:b w:val="0"/>
          <w:bCs/>
          <w:lang w:val="en-US"/>
        </w:rPr>
        <w:fldChar w:fldCharType="separate"/>
      </w:r>
      <w:r w:rsidR="000761C1">
        <w:rPr>
          <w:b w:val="0"/>
          <w:bCs/>
          <w:lang w:val="en-US"/>
        </w:rPr>
        <w:t>B2.1</w:t>
      </w:r>
      <w:r w:rsidRPr="00555FA9">
        <w:rPr>
          <w:b w:val="0"/>
          <w:bCs/>
          <w:lang w:val="en-US"/>
        </w:rPr>
        <w:fldChar w:fldCharType="end"/>
      </w:r>
      <w:r w:rsidRPr="00555FA9">
        <w:rPr>
          <w:b w:val="0"/>
          <w:bCs/>
          <w:lang w:val="en-US"/>
        </w:rPr>
        <w:t>.</w:t>
      </w:r>
    </w:p>
  </w:footnote>
  <w:footnote w:id="22">
    <w:p w14:paraId="73D73597" w14:textId="097DC89F" w:rsidR="004A7CEC" w:rsidRPr="004A7CEC" w:rsidRDefault="004A7CEC" w:rsidP="00666E06">
      <w:pPr>
        <w:pStyle w:val="FootnoteText"/>
        <w:rPr>
          <w:lang w:val="en-US"/>
        </w:rPr>
      </w:pPr>
      <w:bookmarkStart w:id="174" w:name="Footnote_1_page_67"/>
      <w:r>
        <w:rPr>
          <w:rStyle w:val="FootnoteReference"/>
        </w:rPr>
        <w:footnoteRef/>
      </w:r>
      <w:bookmarkEnd w:id="174"/>
      <w:r>
        <w:t xml:space="preserve"> Unless noted otherwise, the usage of the word </w:t>
      </w:r>
      <w:r w:rsidRPr="00340F3C">
        <w:rPr>
          <w:i/>
          <w:iCs/>
        </w:rPr>
        <w:t>containment</w:t>
      </w:r>
      <w:r>
        <w:t xml:space="preserve"> </w:t>
      </w:r>
      <w:r w:rsidR="00A21046">
        <w:t xml:space="preserve">in </w:t>
      </w:r>
      <w:r w:rsidRPr="004A7CEC">
        <w:t>this</w:t>
      </w:r>
      <w:r w:rsidR="00A21046">
        <w:t xml:space="preserve"> section (and related </w:t>
      </w:r>
      <w:r w:rsidR="00564FA5">
        <w:t>design criteria)</w:t>
      </w:r>
      <w:r w:rsidRPr="004A7CEC">
        <w:t xml:space="preserve"> refers to maintaining the containment of liquid, steam, gas or hazardous contents within tanks/pressure vessels and reticulated services by avoiding rupture of those components</w:t>
      </w:r>
      <w:r w:rsidR="000E461F">
        <w:t xml:space="preserve"> in their structural</w:t>
      </w:r>
      <w:r w:rsidR="00491B67">
        <w:t xml:space="preserve"> design and seismic support and restraint design</w:t>
      </w:r>
      <w:r w:rsidRPr="004A7CEC">
        <w:t xml:space="preserve"> (as opposed to containment of spilled hazardous contents from ruptured tanks within bunded areas)</w:t>
      </w:r>
      <w:r>
        <w:t>.</w:t>
      </w:r>
      <w:r w:rsidR="009136D4">
        <w:t xml:space="preserve"> The requirement to maintain </w:t>
      </w:r>
      <w:r w:rsidR="00E02FF3">
        <w:t xml:space="preserve">containment could be for </w:t>
      </w:r>
      <w:r w:rsidR="003142F1">
        <w:t xml:space="preserve">direct </w:t>
      </w:r>
      <w:r w:rsidR="00E02FF3">
        <w:t>safety reasons</w:t>
      </w:r>
      <w:r w:rsidR="003142F1">
        <w:t>, the need to maintain function of the service,</w:t>
      </w:r>
      <w:r w:rsidR="00E02FF3">
        <w:t xml:space="preserve"> or </w:t>
      </w:r>
      <w:r w:rsidR="006C543F">
        <w:t xml:space="preserve">the desire to avoid </w:t>
      </w:r>
      <w:r w:rsidR="00E02FF3">
        <w:t>disruption</w:t>
      </w:r>
      <w:r w:rsidR="006C543F">
        <w:t xml:space="preserve"> or</w:t>
      </w:r>
      <w:r w:rsidR="00E02FF3">
        <w:t xml:space="preserve"> disproportionate damage</w:t>
      </w:r>
      <w:r w:rsidR="006C543F">
        <w:t xml:space="preserve"> from the spilled contents</w:t>
      </w:r>
      <w:r w:rsidR="00E02FF3">
        <w:t>.</w:t>
      </w:r>
      <w:r w:rsidR="005C7EAD">
        <w:t xml:space="preserve"> Refer also to</w:t>
      </w:r>
      <w:r w:rsidR="00491B67">
        <w:t xml:space="preserve"> Engineering NZ </w:t>
      </w:r>
      <w:r w:rsidR="00491B67" w:rsidRPr="005702D0">
        <w:rPr>
          <w:i/>
          <w:iCs/>
        </w:rPr>
        <w:t>Practice Note 19: Seismic Resistance of Pressure Equipment and its Supports</w:t>
      </w:r>
      <w:r w:rsidR="005C7EAD">
        <w:t xml:space="preserve"> </w:t>
      </w:r>
      <w:sdt>
        <w:sdtPr>
          <w:id w:val="-425811951"/>
          <w:citation/>
        </w:sdtPr>
        <w:sdtEndPr/>
        <w:sdtContent>
          <w:r w:rsidR="00352C2A">
            <w:fldChar w:fldCharType="begin"/>
          </w:r>
          <w:r w:rsidR="00352C2A">
            <w:rPr>
              <w:lang w:val="en-US"/>
            </w:rPr>
            <w:instrText xml:space="preserve"> CITATION ENZ19 \l 1033 </w:instrText>
          </w:r>
          <w:r w:rsidR="00352C2A">
            <w:fldChar w:fldCharType="separate"/>
          </w:r>
          <w:r w:rsidR="00222D65">
            <w:rPr>
              <w:noProof/>
              <w:lang w:val="en-US"/>
            </w:rPr>
            <w:t>(ENZ, 2019)</w:t>
          </w:r>
          <w:r w:rsidR="00352C2A">
            <w:fldChar w:fldCharType="end"/>
          </w:r>
        </w:sdtContent>
      </w:sdt>
      <w:r w:rsidR="00352C2A">
        <w:t>.</w:t>
      </w:r>
    </w:p>
  </w:footnote>
  <w:footnote w:id="23">
    <w:p w14:paraId="70C33FFC" w14:textId="45EBA469" w:rsidR="007A7CB7" w:rsidRPr="004658FF" w:rsidRDefault="007A7CB7" w:rsidP="00666E06">
      <w:pPr>
        <w:pStyle w:val="FootnoteText"/>
        <w:rPr>
          <w:lang w:val="en-US"/>
        </w:rPr>
      </w:pPr>
      <w:r>
        <w:rPr>
          <w:rStyle w:val="FootnoteReference"/>
        </w:rPr>
        <w:footnoteRef/>
      </w:r>
      <w:r>
        <w:t xml:space="preserve"> Public utilities are an </w:t>
      </w:r>
      <w:r w:rsidRPr="00C6335E">
        <w:rPr>
          <w:i/>
          <w:iCs/>
        </w:rPr>
        <w:t>externality</w:t>
      </w:r>
      <w:r>
        <w:t xml:space="preserve"> which generally lie beyond the boundary of individual projects. Where possible, design teams should work with utilities providers in a stakeholder capacity to maximise the resilience of the network utilities supply in alignment with the performance goals in this document. The connection to public mains and entry of utilities to the building is within the project’s boundary and should be robustly configured and maintained operational.</w:t>
      </w:r>
    </w:p>
  </w:footnote>
  <w:footnote w:id="24">
    <w:p w14:paraId="53D83BAB" w14:textId="61C84F8B" w:rsidR="007A7CB7" w:rsidRPr="008D581A" w:rsidRDefault="007A7CB7" w:rsidP="00666E06">
      <w:pPr>
        <w:pStyle w:val="FootnoteText"/>
        <w:rPr>
          <w:lang w:val="en-US"/>
        </w:rPr>
      </w:pPr>
      <w:r>
        <w:rPr>
          <w:rStyle w:val="FootnoteReference"/>
        </w:rPr>
        <w:footnoteRef/>
      </w:r>
      <w:r>
        <w:t xml:space="preserve"> </w:t>
      </w:r>
      <w:r w:rsidRPr="008D581A">
        <w:t>Regulatory decisions about acceptable timeframes return to an ANARP</w:t>
      </w:r>
      <w:r>
        <w:t xml:space="preserve"> </w:t>
      </w:r>
      <w:r w:rsidRPr="008D581A">
        <w:t xml:space="preserve">compliant state after an earthquake (Normal Operations) lie with local authorities and currently lacks </w:t>
      </w:r>
      <w:r>
        <w:t>fulsome</w:t>
      </w:r>
      <w:r w:rsidRPr="008D581A">
        <w:t xml:space="preserve"> guidance. The </w:t>
      </w:r>
      <w:r>
        <w:t xml:space="preserve">Health NZ </w:t>
      </w:r>
      <w:r w:rsidRPr="008D581A">
        <w:t xml:space="preserve">requirement is to </w:t>
      </w:r>
      <w:r>
        <w:t>ensure</w:t>
      </w:r>
      <w:r w:rsidRPr="008D581A">
        <w:t xml:space="preserve"> </w:t>
      </w:r>
      <w:r>
        <w:t xml:space="preserve">the required extent of </w:t>
      </w:r>
      <w:r w:rsidRPr="008D581A">
        <w:t>operations</w:t>
      </w:r>
      <w:r>
        <w:t xml:space="preserve"> (e.g., Basic or Full Functionality) can</w:t>
      </w:r>
      <w:r w:rsidRPr="008D581A">
        <w:t xml:space="preserve"> continue for a time under tolerable risk compromises</w:t>
      </w:r>
      <w:r>
        <w:t>. This should be assessed against the</w:t>
      </w:r>
      <w:r w:rsidRPr="008D581A">
        <w:t xml:space="preserve"> </w:t>
      </w:r>
      <w:r w:rsidRPr="00644645">
        <w:rPr>
          <w:i/>
          <w:iCs/>
        </w:rPr>
        <w:t>expected</w:t>
      </w:r>
      <w:r w:rsidRPr="008D581A">
        <w:t xml:space="preserve"> performance of safety systems</w:t>
      </w:r>
      <w:r>
        <w:t xml:space="preserve">, and under the </w:t>
      </w:r>
      <w:r w:rsidRPr="00644645">
        <w:rPr>
          <w:i/>
          <w:iCs/>
        </w:rPr>
        <w:t>expected</w:t>
      </w:r>
      <w:r>
        <w:t xml:space="preserve"> levels of damage. This can then be followed</w:t>
      </w:r>
      <w:r w:rsidRPr="008D581A">
        <w:t xml:space="preserve"> </w:t>
      </w:r>
      <w:r>
        <w:t xml:space="preserve">by </w:t>
      </w:r>
      <w:r w:rsidRPr="008D581A">
        <w:t>a return to Normal Operations (meaning as</w:t>
      </w:r>
      <w:r>
        <w:t>-</w:t>
      </w:r>
      <w:r w:rsidRPr="008D581A">
        <w:t>near</w:t>
      </w:r>
      <w:r>
        <w:t>-</w:t>
      </w:r>
      <w:r w:rsidRPr="008D581A">
        <w:t xml:space="preserve">as reasonably practicable to fully functioning fire safety systems) economically and within </w:t>
      </w:r>
      <w:r>
        <w:t>the</w:t>
      </w:r>
      <w:r w:rsidRPr="008D581A">
        <w:t xml:space="preserve"> timeframe</w:t>
      </w:r>
      <w:r>
        <w:t>s indicated.</w:t>
      </w:r>
    </w:p>
  </w:footnote>
  <w:footnote w:id="25">
    <w:p w14:paraId="0FF2DE78" w14:textId="6F110B4A" w:rsidR="007A7CB7" w:rsidRPr="00140E41" w:rsidRDefault="007A7CB7" w:rsidP="00666E06">
      <w:pPr>
        <w:pStyle w:val="FootnoteText"/>
        <w:rPr>
          <w:lang w:val="en-US"/>
        </w:rPr>
      </w:pPr>
      <w:r>
        <w:rPr>
          <w:rStyle w:val="FootnoteReference"/>
        </w:rPr>
        <w:footnoteRef/>
      </w:r>
      <w:r>
        <w:t xml:space="preserve"> </w:t>
      </w:r>
      <w:r>
        <w:rPr>
          <w:lang w:val="en-US"/>
        </w:rPr>
        <w:t xml:space="preserve">The complete avoidance of tile loss generally requires taping or clipping of all tiles. This can be impractical as it precludes straightforward maintenance access to the ceiling plenum. As a minimum, strategies for securing tiles should ensure any tiles containing fittings such as sprinkler heads, lighting and electrical fittings, ventilation diffusers and the like cannot become dislodged. Furthermore, the potential dislodging of non-secured tiles should have a low likelihood of affecting adjacent tiles with fittings—especially those supporting emergency lighting, and sprinkler heads. Refer to Section </w:t>
      </w:r>
      <w:r>
        <w:rPr>
          <w:lang w:val="en-US"/>
        </w:rPr>
        <w:fldChar w:fldCharType="begin"/>
      </w:r>
      <w:r>
        <w:rPr>
          <w:lang w:val="en-US"/>
        </w:rPr>
        <w:instrText xml:space="preserve"> REF _Ref165301898 \r \h </w:instrText>
      </w:r>
      <w:r>
        <w:rPr>
          <w:lang w:val="en-US"/>
        </w:rPr>
      </w:r>
      <w:r>
        <w:rPr>
          <w:lang w:val="en-US"/>
        </w:rPr>
        <w:fldChar w:fldCharType="separate"/>
      </w:r>
      <w:r w:rsidR="000761C1">
        <w:rPr>
          <w:lang w:val="en-US"/>
        </w:rPr>
        <w:t>C4.6</w:t>
      </w:r>
      <w:r>
        <w:rPr>
          <w:lang w:val="en-US"/>
        </w:rPr>
        <w:fldChar w:fldCharType="end"/>
      </w:r>
      <w:r>
        <w:rPr>
          <w:lang w:val="en-US"/>
        </w:rPr>
        <w:t>.</w:t>
      </w:r>
    </w:p>
  </w:footnote>
  <w:footnote w:id="26">
    <w:p w14:paraId="7EE7180E" w14:textId="74B29DCC" w:rsidR="007A7CB7" w:rsidRPr="008C10E6" w:rsidRDefault="007A7CB7" w:rsidP="00666E06">
      <w:pPr>
        <w:pStyle w:val="FootnoteText"/>
        <w:rPr>
          <w:lang w:val="en-US"/>
        </w:rPr>
      </w:pPr>
      <w:r>
        <w:rPr>
          <w:rStyle w:val="FootnoteReference"/>
        </w:rPr>
        <w:footnoteRef/>
      </w:r>
      <w:r>
        <w:t xml:space="preserve"> </w:t>
      </w:r>
      <w:r>
        <w:rPr>
          <w:lang w:val="en-US"/>
        </w:rPr>
        <w:t>This should also help to avoid damage that might distress occupants and/or erode confidence in safety.</w:t>
      </w:r>
    </w:p>
  </w:footnote>
  <w:footnote w:id="27">
    <w:p w14:paraId="6206319B" w14:textId="33769616" w:rsidR="007A7CB7" w:rsidRPr="00347AEB" w:rsidRDefault="007A7CB7" w:rsidP="00666E06">
      <w:pPr>
        <w:pStyle w:val="FootnoteText"/>
        <w:rPr>
          <w:lang w:val="en-US"/>
        </w:rPr>
      </w:pPr>
      <w:bookmarkStart w:id="178" w:name="_Ref157778946"/>
      <w:r>
        <w:rPr>
          <w:rStyle w:val="FootnoteReference"/>
        </w:rPr>
        <w:footnoteRef/>
      </w:r>
      <w:r>
        <w:t xml:space="preserve"> Any relaxation should be consulted with health planning/engineering and clinical staff. Opportunities could be via the inclusion of a supplementary flexible air barrier, or the likelihood of being able to demonstrate the required direction of flow between spaces (by smoke pencils) rather than maintain strict requirements for measurable pressure differential before repair. By this measure, the minor damage described as “tolerable” for general partitions should be a relatively limited compromise to basic function in practical terms. But some repair may be needed to help restore measured pressure differentials to the required levels before a return to Normal Operations.</w:t>
      </w:r>
      <w:r w:rsidRPr="00A03FD1">
        <w:t xml:space="preserve"> </w:t>
      </w:r>
      <w:r>
        <w:t>An “essentially undamaged” state might also be desirable for infection control purposes—but this is probably unnecessarily onerous.</w:t>
      </w:r>
      <w:bookmarkEnd w:id="178"/>
    </w:p>
  </w:footnote>
  <w:footnote w:id="28">
    <w:p w14:paraId="65BEF03F" w14:textId="77777777" w:rsidR="00EA756B" w:rsidRPr="00AD3452" w:rsidRDefault="00EA756B" w:rsidP="00666E06">
      <w:pPr>
        <w:pStyle w:val="FootnoteText"/>
        <w:rPr>
          <w:lang w:val="en-US"/>
        </w:rPr>
      </w:pPr>
      <w:r>
        <w:rPr>
          <w:rStyle w:val="FootnoteReference"/>
        </w:rPr>
        <w:footnoteRef/>
      </w:r>
      <w:r>
        <w:t xml:space="preserve"> </w:t>
      </w:r>
      <w:r>
        <w:rPr>
          <w:lang w:val="en-US"/>
        </w:rPr>
        <w:t>Refer to the current effective amendment of B1/VM1 section 2.2.4 for the clause that replaces NZS 1170.0 Cl. 4.2.4.</w:t>
      </w:r>
    </w:p>
  </w:footnote>
  <w:footnote w:id="29">
    <w:p w14:paraId="35EF0693" w14:textId="27E0947E" w:rsidR="00273F32" w:rsidRPr="00273F32" w:rsidRDefault="00273F32" w:rsidP="00666E06">
      <w:pPr>
        <w:pStyle w:val="FootnoteText"/>
        <w:rPr>
          <w:lang w:val="en-US"/>
        </w:rPr>
      </w:pPr>
      <w:r>
        <w:rPr>
          <w:rStyle w:val="FootnoteReference"/>
        </w:rPr>
        <w:footnoteRef/>
      </w:r>
      <w:r>
        <w:t xml:space="preserve"> </w:t>
      </w:r>
      <w:r w:rsidR="00EB00CA">
        <w:t xml:space="preserve">It is </w:t>
      </w:r>
      <w:r w:rsidR="00EB00CA">
        <w:rPr>
          <w:lang w:val="en-US"/>
        </w:rPr>
        <w:t>common</w:t>
      </w:r>
      <w:r w:rsidR="00F24E32">
        <w:rPr>
          <w:lang w:val="en-US"/>
        </w:rPr>
        <w:t>,</w:t>
      </w:r>
      <w:r w:rsidR="006B1811">
        <w:rPr>
          <w:lang w:val="en-US"/>
        </w:rPr>
        <w:t xml:space="preserve"> (</w:t>
      </w:r>
      <w:r w:rsidR="00EB00CA">
        <w:rPr>
          <w:lang w:val="en-US"/>
        </w:rPr>
        <w:t>unless</w:t>
      </w:r>
      <w:r w:rsidR="006B1811">
        <w:rPr>
          <w:lang w:val="en-US"/>
        </w:rPr>
        <w:t xml:space="preserve"> advanced methods of</w:t>
      </w:r>
      <w:r w:rsidR="00EB00CA">
        <w:rPr>
          <w:lang w:val="en-US"/>
        </w:rPr>
        <w:t xml:space="preserve"> structure-fire</w:t>
      </w:r>
      <w:r w:rsidR="006B1811">
        <w:rPr>
          <w:lang w:val="en-US"/>
        </w:rPr>
        <w:t xml:space="preserve"> analysis are </w:t>
      </w:r>
      <w:r w:rsidR="00EB00CA">
        <w:rPr>
          <w:lang w:val="en-US"/>
        </w:rPr>
        <w:t>being applied)</w:t>
      </w:r>
      <w:r w:rsidR="006B1811">
        <w:rPr>
          <w:lang w:val="en-US"/>
        </w:rPr>
        <w:t xml:space="preserve"> </w:t>
      </w:r>
      <w:r w:rsidR="00E04CC1">
        <w:rPr>
          <w:lang w:val="en-US"/>
        </w:rPr>
        <w:t xml:space="preserve">to use </w:t>
      </w:r>
      <w:r w:rsidR="006B1811">
        <w:rPr>
          <w:lang w:val="en-US"/>
        </w:rPr>
        <w:t>the Fire Resistance Rating fro</w:t>
      </w:r>
      <w:r w:rsidR="00C765BD">
        <w:rPr>
          <w:lang w:val="en-US"/>
        </w:rPr>
        <w:t>m</w:t>
      </w:r>
      <w:r w:rsidR="006B1811">
        <w:rPr>
          <w:lang w:val="en-US"/>
        </w:rPr>
        <w:t xml:space="preserve"> the NZBC C Clauses to define the demand, </w:t>
      </w:r>
      <w:r w:rsidR="00C765BD">
        <w:rPr>
          <w:lang w:val="en-US"/>
        </w:rPr>
        <w:t>confirmed by the project’s Fire Engineering Report.</w:t>
      </w:r>
    </w:p>
  </w:footnote>
  <w:footnote w:id="30">
    <w:p w14:paraId="3AF37EAC" w14:textId="04AF0C64" w:rsidR="00554909" w:rsidRPr="00554909" w:rsidRDefault="00554909" w:rsidP="00666E06">
      <w:pPr>
        <w:pStyle w:val="FootnoteText"/>
        <w:rPr>
          <w:lang w:val="en-US"/>
        </w:rPr>
      </w:pPr>
      <w:r>
        <w:rPr>
          <w:rStyle w:val="FootnoteReference"/>
        </w:rPr>
        <w:footnoteRef/>
      </w:r>
      <w:r>
        <w:t xml:space="preserve"> </w:t>
      </w:r>
      <w:r w:rsidR="00E55701">
        <w:rPr>
          <w:lang w:val="en-US"/>
        </w:rPr>
        <w:t xml:space="preserve">For practical purposes, </w:t>
      </w:r>
      <w:r w:rsidR="00B544FB">
        <w:rPr>
          <w:lang w:val="en-US"/>
        </w:rPr>
        <w:t xml:space="preserve">the </w:t>
      </w:r>
      <w:r w:rsidR="00040510">
        <w:rPr>
          <w:lang w:val="en-US"/>
        </w:rPr>
        <w:t xml:space="preserve">established </w:t>
      </w:r>
      <w:r w:rsidR="00B544FB">
        <w:rPr>
          <w:lang w:val="en-US"/>
        </w:rPr>
        <w:t>FEB process</w:t>
      </w:r>
      <w:r w:rsidR="007F7936">
        <w:rPr>
          <w:lang w:val="en-US"/>
        </w:rPr>
        <w:t xml:space="preserve"> is considered to </w:t>
      </w:r>
      <w:r w:rsidR="00BB6078">
        <w:rPr>
          <w:lang w:val="en-US"/>
        </w:rPr>
        <w:t>form part of</w:t>
      </w:r>
      <w:r w:rsidR="007F7936">
        <w:rPr>
          <w:lang w:val="en-US"/>
        </w:rPr>
        <w:t xml:space="preserve"> the standard means </w:t>
      </w:r>
      <w:r w:rsidR="00D57425">
        <w:rPr>
          <w:lang w:val="en-US"/>
        </w:rPr>
        <w:t>of demonstrating compliance with the NZBC</w:t>
      </w:r>
      <w:r w:rsidR="0078386C">
        <w:rPr>
          <w:lang w:val="en-US"/>
        </w:rPr>
        <w:t xml:space="preserve"> for </w:t>
      </w:r>
      <w:r w:rsidR="00460C46">
        <w:rPr>
          <w:lang w:val="en-US"/>
        </w:rPr>
        <w:t>most hospital building projects</w:t>
      </w:r>
      <w:r w:rsidR="00EF69AD">
        <w:rPr>
          <w:lang w:val="en-US"/>
        </w:rPr>
        <w:t>.</w:t>
      </w:r>
    </w:p>
  </w:footnote>
  <w:footnote w:id="31">
    <w:p w14:paraId="2DB91769" w14:textId="77777777" w:rsidR="00526E24" w:rsidRPr="00976F80" w:rsidRDefault="00526E24" w:rsidP="00666E06">
      <w:pPr>
        <w:pStyle w:val="FootnoteText"/>
        <w:rPr>
          <w:lang w:val="en-US"/>
        </w:rPr>
      </w:pPr>
      <w:r>
        <w:rPr>
          <w:rStyle w:val="FootnoteReference"/>
        </w:rPr>
        <w:footnoteRef/>
      </w:r>
      <w:r>
        <w:t xml:space="preserve"> </w:t>
      </w:r>
      <w:r w:rsidRPr="00976F80">
        <w:t xml:space="preserve">An appropriate ANARP position could involve reviewing and </w:t>
      </w:r>
      <w:r>
        <w:t>managing</w:t>
      </w:r>
      <w:r w:rsidRPr="00976F80">
        <w:t xml:space="preserve"> only those structural weaknesses where the consequence of failure could affect the </w:t>
      </w:r>
      <w:r>
        <w:t>new addition or altered area</w:t>
      </w:r>
      <w:r w:rsidRPr="00976F80">
        <w:t>.</w:t>
      </w:r>
    </w:p>
  </w:footnote>
  <w:footnote w:id="32">
    <w:p w14:paraId="30C3F315" w14:textId="559E6EE7" w:rsidR="00526E24" w:rsidRPr="00976F80" w:rsidRDefault="00526E24" w:rsidP="00666E06">
      <w:pPr>
        <w:pStyle w:val="FootnoteText"/>
        <w:rPr>
          <w:lang w:val="en-US"/>
        </w:rPr>
      </w:pPr>
      <w:r w:rsidRPr="00976F80">
        <w:rPr>
          <w:rStyle w:val="FootnoteReference"/>
        </w:rPr>
        <w:footnoteRef/>
      </w:r>
      <w:r w:rsidRPr="00976F80">
        <w:t xml:space="preserve"> </w:t>
      </w:r>
      <w:r w:rsidRPr="00976F80">
        <w:rPr>
          <w:lang w:val="en-US"/>
        </w:rPr>
        <w:t>Alternatively, structurally disconnect the structures</w:t>
      </w:r>
      <w:r>
        <w:rPr>
          <w:lang w:val="en-US"/>
        </w:rPr>
        <w:t xml:space="preserve"> and provide independent buildings. Consider any earthquake risks from the existing structure as a </w:t>
      </w:r>
      <w:r w:rsidRPr="00D6040D">
        <w:rPr>
          <w:i/>
          <w:iCs/>
          <w:lang w:val="en-US"/>
        </w:rPr>
        <w:t>closely adjacent</w:t>
      </w:r>
      <w:r>
        <w:rPr>
          <w:lang w:val="en-US"/>
        </w:rPr>
        <w:t xml:space="preserve"> building to</w:t>
      </w:r>
      <w:r w:rsidR="00A80018">
        <w:rPr>
          <w:lang w:val="en-US"/>
        </w:rPr>
        <w:t xml:space="preserve"> </w:t>
      </w:r>
      <w:r w:rsidR="00C05007">
        <w:rPr>
          <w:lang w:val="en-US"/>
        </w:rPr>
        <w:fldChar w:fldCharType="begin"/>
      </w:r>
      <w:r w:rsidR="00C05007">
        <w:rPr>
          <w:lang w:val="en-US"/>
        </w:rPr>
        <w:instrText xml:space="preserve"> REF Appendix_1 \h </w:instrText>
      </w:r>
      <w:r w:rsidR="00C05007">
        <w:rPr>
          <w:lang w:val="en-US"/>
        </w:rPr>
      </w:r>
      <w:r w:rsidR="00C05007">
        <w:rPr>
          <w:lang w:val="en-US"/>
        </w:rPr>
        <w:fldChar w:fldCharType="separate"/>
      </w:r>
      <w:r w:rsidR="000761C1" w:rsidRPr="00F301A3">
        <w:t>Appendix 1</w:t>
      </w:r>
      <w:r w:rsidR="00C05007">
        <w:rPr>
          <w:lang w:val="en-US"/>
        </w:rPr>
        <w:fldChar w:fldCharType="end"/>
      </w:r>
      <w:r w:rsidR="00A80018">
        <w:rPr>
          <w:lang w:val="en-US"/>
        </w:rPr>
        <w:t xml:space="preserve"> (Section </w:t>
      </w:r>
      <w:r w:rsidR="00C05007">
        <w:rPr>
          <w:lang w:val="en-US"/>
        </w:rPr>
        <w:fldChar w:fldCharType="begin"/>
      </w:r>
      <w:r w:rsidR="00C05007">
        <w:rPr>
          <w:lang w:val="en-US"/>
        </w:rPr>
        <w:instrText xml:space="preserve"> REF _Ref180130876 \r \h </w:instrText>
      </w:r>
      <w:r w:rsidR="00C05007">
        <w:rPr>
          <w:lang w:val="en-US"/>
        </w:rPr>
      </w:r>
      <w:r w:rsidR="00C05007">
        <w:rPr>
          <w:lang w:val="en-US"/>
        </w:rPr>
        <w:fldChar w:fldCharType="separate"/>
      </w:r>
      <w:r w:rsidR="000761C1">
        <w:rPr>
          <w:lang w:val="en-US"/>
        </w:rPr>
        <w:t>1.2</w:t>
      </w:r>
      <w:r w:rsidR="00C05007">
        <w:rPr>
          <w:lang w:val="en-US"/>
        </w:rPr>
        <w:fldChar w:fldCharType="end"/>
      </w:r>
      <w:r w:rsidR="00A80018">
        <w:rPr>
          <w:lang w:val="en-US"/>
        </w:rPr>
        <w:t>)</w:t>
      </w:r>
      <w:r>
        <w:rPr>
          <w:lang w:val="en-US"/>
        </w:rPr>
        <w:t>.</w:t>
      </w:r>
    </w:p>
  </w:footnote>
  <w:footnote w:id="33">
    <w:p w14:paraId="68514198" w14:textId="77777777" w:rsidR="00526E24" w:rsidRPr="00976F80" w:rsidRDefault="00526E24" w:rsidP="00666E06">
      <w:pPr>
        <w:pStyle w:val="FootnoteText"/>
        <w:rPr>
          <w:lang w:val="en-US"/>
        </w:rPr>
      </w:pPr>
      <w:r w:rsidRPr="00976F80">
        <w:rPr>
          <w:rStyle w:val="FootnoteReference"/>
        </w:rPr>
        <w:footnoteRef/>
      </w:r>
      <w:r w:rsidRPr="00976F80">
        <w:t xml:space="preserve"> Applies to aspects of existing structure that provide primary structural support to the new work, or could affect the ability of primary structure to continue to provide support</w:t>
      </w:r>
      <w:r>
        <w:t>.</w:t>
      </w:r>
    </w:p>
  </w:footnote>
  <w:footnote w:id="34">
    <w:p w14:paraId="104E63AD" w14:textId="77777777" w:rsidR="00526E24" w:rsidRPr="003150D7" w:rsidRDefault="00526E24" w:rsidP="00666E06">
      <w:pPr>
        <w:pStyle w:val="FootnoteText"/>
        <w:rPr>
          <w:lang w:val="en-US"/>
        </w:rPr>
      </w:pPr>
      <w:r>
        <w:rPr>
          <w:rStyle w:val="FootnoteReference"/>
        </w:rPr>
        <w:footnoteRef/>
      </w:r>
      <w:r>
        <w:t xml:space="preserve"> For </w:t>
      </w:r>
      <w:r w:rsidRPr="003150D7">
        <w:t>Buildings with an Earthquake-prone Building notice</w:t>
      </w:r>
      <w:r>
        <w:t>, the alteration work</w:t>
      </w:r>
      <w:r w:rsidRPr="003150D7">
        <w:t xml:space="preserve"> will need to be tested against </w:t>
      </w:r>
      <w:r>
        <w:t xml:space="preserve">the value-based definition of </w:t>
      </w:r>
      <w:r w:rsidRPr="00D06909">
        <w:rPr>
          <w:i/>
          <w:iCs/>
        </w:rPr>
        <w:t>Substantial Alteration</w:t>
      </w:r>
      <w:r>
        <w:t xml:space="preserve"> in the </w:t>
      </w:r>
      <w:r w:rsidRPr="00080FEC">
        <w:t>Building (Specified Systems, Change the Use, and Earthquake-prone Buildings) Regulations 2005, clause 11</w:t>
      </w:r>
      <w:r>
        <w:t xml:space="preserve">, to determine whether </w:t>
      </w:r>
      <w:r w:rsidRPr="003150D7">
        <w:t>Section 133AT</w:t>
      </w:r>
      <w:r>
        <w:t xml:space="preserve"> of the Building (Earthquake-prone Buildings) Amendment Act 2016 applies.</w:t>
      </w:r>
    </w:p>
  </w:footnote>
  <w:footnote w:id="35">
    <w:p w14:paraId="2A529633" w14:textId="77777777" w:rsidR="00526E24" w:rsidRPr="00E90422" w:rsidRDefault="00526E24" w:rsidP="00666E06">
      <w:pPr>
        <w:pStyle w:val="FootnoteText"/>
        <w:rPr>
          <w:lang w:val="en-US"/>
        </w:rPr>
      </w:pPr>
      <w:r>
        <w:rPr>
          <w:rStyle w:val="FootnoteReference"/>
        </w:rPr>
        <w:footnoteRef/>
      </w:r>
      <w:r>
        <w:t xml:space="preserve"> </w:t>
      </w:r>
      <w:r>
        <w:rPr>
          <w:lang w:val="en-US"/>
        </w:rPr>
        <w:t xml:space="preserve">Refer Building Act, s.114 and Building (Specified Systems, Change the Use, and Earthquake-prone Buildings) Regulations 2007 Schedule 2 for Use categories. </w:t>
      </w:r>
    </w:p>
  </w:footnote>
  <w:footnote w:id="36">
    <w:p w14:paraId="3D58FEC4" w14:textId="77777777" w:rsidR="00526E24" w:rsidRPr="00E90422" w:rsidRDefault="00526E24" w:rsidP="00666E06">
      <w:pPr>
        <w:pStyle w:val="FootnoteText"/>
        <w:rPr>
          <w:lang w:val="en-US"/>
        </w:rPr>
      </w:pPr>
      <w:r>
        <w:rPr>
          <w:rStyle w:val="FootnoteReference"/>
        </w:rPr>
        <w:footnoteRef/>
      </w:r>
      <w:r>
        <w:t xml:space="preserve"> Gallen J, High court judgement Auckland City Council v NZ Fire Service, 19 October 1995.</w:t>
      </w:r>
    </w:p>
  </w:footnote>
  <w:footnote w:id="37">
    <w:p w14:paraId="1A326FAF" w14:textId="77777777" w:rsidR="00526E24" w:rsidRPr="00E90422" w:rsidRDefault="00526E24" w:rsidP="00666E06">
      <w:pPr>
        <w:pStyle w:val="FootnoteText"/>
        <w:rPr>
          <w:lang w:val="en-US"/>
        </w:rPr>
      </w:pPr>
      <w:r>
        <w:rPr>
          <w:rStyle w:val="FootnoteReference"/>
        </w:rPr>
        <w:footnoteRef/>
      </w:r>
      <w:r>
        <w:t xml:space="preserve"> D</w:t>
      </w:r>
      <w:r w:rsidRPr="00E90422">
        <w:t>eterminations 2008/006, 2008/016, 2008/004, 2009/027, 2009/070, 2009/079, 2009/117, 2010/004, 2010/028, 2010/043</w:t>
      </w:r>
      <w:r>
        <w:t>, 2015/070</w:t>
      </w:r>
      <w:r w:rsidRPr="00E90422">
        <w:t>. Note that determinations are building specific.</w:t>
      </w:r>
    </w:p>
  </w:footnote>
  <w:footnote w:id="38">
    <w:p w14:paraId="1BF3552F" w14:textId="77777777" w:rsidR="00526E24" w:rsidRPr="00EC0D93" w:rsidRDefault="00526E24" w:rsidP="00666E06">
      <w:pPr>
        <w:pStyle w:val="FootnoteText"/>
        <w:rPr>
          <w:lang w:val="en-US"/>
        </w:rPr>
      </w:pPr>
      <w:r>
        <w:rPr>
          <w:rStyle w:val="FootnoteReference"/>
        </w:rPr>
        <w:footnoteRef/>
      </w:r>
      <w:r>
        <w:t xml:space="preserve"> Using Importance Level 2 measures relative risk to individual life safety comparably to an ordinary commercial or residential building.</w:t>
      </w:r>
    </w:p>
  </w:footnote>
  <w:footnote w:id="39">
    <w:p w14:paraId="20456773" w14:textId="174FF835" w:rsidR="0066048C" w:rsidRPr="00132F78" w:rsidRDefault="0066048C" w:rsidP="00A92219">
      <w:pPr>
        <w:pStyle w:val="Figure"/>
        <w:ind w:left="142" w:hanging="142"/>
      </w:pPr>
      <w:r>
        <w:rPr>
          <w:rStyle w:val="FootnoteReference"/>
        </w:rPr>
        <w:footnoteRef/>
      </w:r>
      <w:r>
        <w:t xml:space="preserve"> </w:t>
      </w:r>
      <w:r w:rsidR="00750007" w:rsidRPr="00A92219">
        <w:rPr>
          <w:b w:val="0"/>
          <w:bCs/>
          <w:sz w:val="20"/>
          <w:szCs w:val="20"/>
        </w:rPr>
        <w:t>This recommendation is under review</w:t>
      </w:r>
      <w:r w:rsidR="000A46FD" w:rsidRPr="00A92219">
        <w:rPr>
          <w:b w:val="0"/>
          <w:bCs/>
          <w:sz w:val="20"/>
          <w:szCs w:val="20"/>
        </w:rPr>
        <w:t xml:space="preserve"> but may be considered by Design Teams</w:t>
      </w:r>
      <w:r w:rsidR="00750007" w:rsidRPr="00A92219">
        <w:rPr>
          <w:b w:val="0"/>
          <w:bCs/>
          <w:sz w:val="20"/>
          <w:szCs w:val="20"/>
        </w:rPr>
        <w:t xml:space="preserve">. This </w:t>
      </w:r>
      <w:r w:rsidR="00DC1711">
        <w:rPr>
          <w:b w:val="0"/>
          <w:bCs/>
          <w:sz w:val="20"/>
          <w:szCs w:val="20"/>
        </w:rPr>
        <w:t>document</w:t>
      </w:r>
      <w:r w:rsidR="00750007" w:rsidRPr="00A92219">
        <w:rPr>
          <w:b w:val="0"/>
          <w:bCs/>
          <w:sz w:val="20"/>
          <w:szCs w:val="20"/>
        </w:rPr>
        <w:t xml:space="preserve"> focusses on </w:t>
      </w:r>
      <w:r w:rsidR="00836157" w:rsidRPr="00A92219">
        <w:rPr>
          <w:b w:val="0"/>
          <w:bCs/>
          <w:sz w:val="20"/>
          <w:szCs w:val="20"/>
        </w:rPr>
        <w:t>achieving</w:t>
      </w:r>
      <w:r w:rsidR="00A36BA9" w:rsidRPr="00A92219">
        <w:rPr>
          <w:b w:val="0"/>
          <w:bCs/>
          <w:sz w:val="20"/>
          <w:szCs w:val="20"/>
        </w:rPr>
        <w:t xml:space="preserve"> Performance Goals in large earthquakes through the DCLS and SLS2</w:t>
      </w:r>
      <w:r w:rsidR="007171E1" w:rsidRPr="00A92219">
        <w:rPr>
          <w:b w:val="0"/>
          <w:bCs/>
          <w:sz w:val="20"/>
          <w:szCs w:val="20"/>
        </w:rPr>
        <w:t xml:space="preserve"> Limit States</w:t>
      </w:r>
      <w:r w:rsidR="000A46FD" w:rsidRPr="00A92219">
        <w:rPr>
          <w:b w:val="0"/>
          <w:bCs/>
          <w:sz w:val="20"/>
          <w:szCs w:val="20"/>
        </w:rPr>
        <w:t>—</w:t>
      </w:r>
      <w:r w:rsidR="104248E8" w:rsidRPr="00A92219">
        <w:rPr>
          <w:b w:val="0"/>
          <w:bCs/>
          <w:sz w:val="20"/>
          <w:szCs w:val="20"/>
        </w:rPr>
        <w:t xml:space="preserve">the </w:t>
      </w:r>
      <w:r w:rsidR="007D5C79" w:rsidRPr="00A92219">
        <w:rPr>
          <w:b w:val="0"/>
          <w:bCs/>
          <w:sz w:val="20"/>
          <w:szCs w:val="20"/>
        </w:rPr>
        <w:t xml:space="preserve">Health NZ </w:t>
      </w:r>
      <w:r w:rsidR="000A46FD" w:rsidRPr="00A92219">
        <w:rPr>
          <w:b w:val="0"/>
          <w:bCs/>
          <w:sz w:val="20"/>
          <w:szCs w:val="20"/>
        </w:rPr>
        <w:t xml:space="preserve">minimum requirement for the SLS1 </w:t>
      </w:r>
      <w:r w:rsidR="005A38BD" w:rsidRPr="00A92219">
        <w:rPr>
          <w:b w:val="0"/>
          <w:bCs/>
          <w:sz w:val="20"/>
          <w:szCs w:val="20"/>
        </w:rPr>
        <w:t>APoE</w:t>
      </w:r>
      <w:r w:rsidR="000A46FD" w:rsidRPr="00A92219">
        <w:rPr>
          <w:b w:val="0"/>
          <w:bCs/>
          <w:sz w:val="20"/>
          <w:szCs w:val="20"/>
        </w:rPr>
        <w:t xml:space="preserve"> remains 1 / 25 (in accordance with</w:t>
      </w:r>
      <w:r w:rsidR="00FC5D8F" w:rsidRPr="00A92219">
        <w:rPr>
          <w:b w:val="0"/>
          <w:bCs/>
          <w:sz w:val="20"/>
          <w:szCs w:val="20"/>
        </w:rPr>
        <w:t xml:space="preserve"> </w:t>
      </w:r>
      <w:r w:rsidR="0045014A" w:rsidRPr="00A92219">
        <w:rPr>
          <w:b w:val="0"/>
          <w:bCs/>
          <w:sz w:val="20"/>
          <w:szCs w:val="20"/>
        </w:rPr>
        <w:fldChar w:fldCharType="begin"/>
      </w:r>
      <w:r w:rsidR="0045014A" w:rsidRPr="00A92219">
        <w:rPr>
          <w:b w:val="0"/>
          <w:bCs/>
          <w:sz w:val="20"/>
          <w:szCs w:val="20"/>
        </w:rPr>
        <w:instrText xml:space="preserve"> REF _Ref150196492 \h </w:instrText>
      </w:r>
      <w:r w:rsidR="00132F78" w:rsidRPr="00A92219">
        <w:rPr>
          <w:b w:val="0"/>
          <w:bCs/>
          <w:sz w:val="20"/>
          <w:szCs w:val="20"/>
        </w:rPr>
        <w:instrText xml:space="preserve"> \* MERGEFORMAT </w:instrText>
      </w:r>
      <w:r w:rsidR="0045014A" w:rsidRPr="00A92219">
        <w:rPr>
          <w:b w:val="0"/>
          <w:bCs/>
          <w:sz w:val="20"/>
          <w:szCs w:val="20"/>
        </w:rPr>
      </w:r>
      <w:r w:rsidR="0045014A" w:rsidRPr="00A92219">
        <w:rPr>
          <w:b w:val="0"/>
          <w:bCs/>
          <w:sz w:val="20"/>
          <w:szCs w:val="20"/>
        </w:rPr>
        <w:fldChar w:fldCharType="separate"/>
      </w:r>
      <w:r w:rsidR="000761C1" w:rsidRPr="000761C1">
        <w:rPr>
          <w:b w:val="0"/>
          <w:bCs/>
          <w:sz w:val="20"/>
          <w:szCs w:val="20"/>
        </w:rPr>
        <w:t xml:space="preserve">Table </w:t>
      </w:r>
      <w:r w:rsidR="000761C1" w:rsidRPr="000761C1">
        <w:rPr>
          <w:b w:val="0"/>
          <w:bCs/>
          <w:noProof/>
          <w:sz w:val="20"/>
          <w:szCs w:val="20"/>
        </w:rPr>
        <w:t>6</w:t>
      </w:r>
      <w:r w:rsidR="0045014A" w:rsidRPr="00A92219">
        <w:rPr>
          <w:b w:val="0"/>
          <w:bCs/>
          <w:sz w:val="20"/>
          <w:szCs w:val="20"/>
        </w:rPr>
        <w:fldChar w:fldCharType="end"/>
      </w:r>
      <w:r w:rsidR="0045014A" w:rsidRPr="00A92219">
        <w:rPr>
          <w:b w:val="0"/>
          <w:bCs/>
          <w:sz w:val="20"/>
          <w:szCs w:val="20"/>
        </w:rPr>
        <w:t xml:space="preserve"> of Section </w:t>
      </w:r>
      <w:r w:rsidR="0045014A" w:rsidRPr="00A92219">
        <w:rPr>
          <w:b w:val="0"/>
          <w:bCs/>
          <w:sz w:val="20"/>
          <w:szCs w:val="20"/>
        </w:rPr>
        <w:fldChar w:fldCharType="begin"/>
      </w:r>
      <w:r w:rsidR="0045014A" w:rsidRPr="00A92219">
        <w:rPr>
          <w:b w:val="0"/>
          <w:bCs/>
          <w:sz w:val="20"/>
          <w:szCs w:val="20"/>
        </w:rPr>
        <w:instrText xml:space="preserve"> REF _Ref150756251 \r \h </w:instrText>
      </w:r>
      <w:r w:rsidR="00132F78" w:rsidRPr="00A92219">
        <w:rPr>
          <w:b w:val="0"/>
          <w:bCs/>
          <w:sz w:val="20"/>
          <w:szCs w:val="20"/>
        </w:rPr>
        <w:instrText xml:space="preserve"> \* MERGEFORMAT </w:instrText>
      </w:r>
      <w:r w:rsidR="0045014A" w:rsidRPr="00A92219">
        <w:rPr>
          <w:b w:val="0"/>
          <w:bCs/>
          <w:sz w:val="20"/>
          <w:szCs w:val="20"/>
        </w:rPr>
      </w:r>
      <w:r w:rsidR="0045014A" w:rsidRPr="00A92219">
        <w:rPr>
          <w:b w:val="0"/>
          <w:bCs/>
          <w:sz w:val="20"/>
          <w:szCs w:val="20"/>
        </w:rPr>
        <w:fldChar w:fldCharType="separate"/>
      </w:r>
      <w:r w:rsidR="000761C1">
        <w:rPr>
          <w:b w:val="0"/>
          <w:bCs/>
          <w:sz w:val="20"/>
          <w:szCs w:val="20"/>
        </w:rPr>
        <w:t>B2.3.1</w:t>
      </w:r>
      <w:r w:rsidR="0045014A" w:rsidRPr="00A92219">
        <w:rPr>
          <w:b w:val="0"/>
          <w:bCs/>
          <w:sz w:val="20"/>
          <w:szCs w:val="20"/>
        </w:rPr>
        <w:fldChar w:fldCharType="end"/>
      </w:r>
      <w:r w:rsidR="0045014A" w:rsidRPr="00A92219">
        <w:rPr>
          <w:b w:val="0"/>
          <w:bCs/>
          <w:sz w:val="20"/>
          <w:szCs w:val="20"/>
        </w:rPr>
        <w:t>)</w:t>
      </w:r>
      <w:r w:rsidR="007171E1" w:rsidRPr="00A92219">
        <w:rPr>
          <w:b w:val="0"/>
          <w:bCs/>
          <w:sz w:val="20"/>
          <w:szCs w:val="20"/>
        </w:rPr>
        <w:t>.</w:t>
      </w:r>
    </w:p>
  </w:footnote>
  <w:footnote w:id="40">
    <w:p w14:paraId="09239A15" w14:textId="0140237C" w:rsidR="00F67BD0" w:rsidRPr="00F67BD0" w:rsidRDefault="00F67BD0" w:rsidP="00666E06">
      <w:pPr>
        <w:pStyle w:val="FootnoteText"/>
        <w:rPr>
          <w:lang w:val="en-US"/>
        </w:rPr>
      </w:pPr>
      <w:r>
        <w:rPr>
          <w:rStyle w:val="FootnoteReference"/>
        </w:rPr>
        <w:footnoteRef/>
      </w:r>
      <w:r>
        <w:t xml:space="preserve"> For clarity, t</w:t>
      </w:r>
      <w:r>
        <w:rPr>
          <w:lang w:val="en-US"/>
        </w:rPr>
        <w:t xml:space="preserve">his limit </w:t>
      </w:r>
      <w:r w:rsidR="00D27E31">
        <w:rPr>
          <w:lang w:val="en-US"/>
        </w:rPr>
        <w:t>only considers</w:t>
      </w:r>
      <w:r w:rsidR="009E647C">
        <w:rPr>
          <w:lang w:val="en-US"/>
        </w:rPr>
        <w:t xml:space="preserve"> damage</w:t>
      </w:r>
      <w:r w:rsidR="00E32078">
        <w:rPr>
          <w:lang w:val="en-US"/>
        </w:rPr>
        <w:t xml:space="preserve"> avoidance to primary structure</w:t>
      </w:r>
      <w:r w:rsidR="00D27E31">
        <w:rPr>
          <w:lang w:val="en-US"/>
        </w:rPr>
        <w:t xml:space="preserve"> (</w:t>
      </w:r>
      <w:r w:rsidR="00A85FA9">
        <w:rPr>
          <w:lang w:val="en-US"/>
        </w:rPr>
        <w:t>minimizing the likelihood of</w:t>
      </w:r>
      <w:r w:rsidR="00E5095E">
        <w:rPr>
          <w:lang w:val="en-US"/>
        </w:rPr>
        <w:t xml:space="preserve"> intolerable residual drift</w:t>
      </w:r>
      <w:r w:rsidR="00EF4079">
        <w:rPr>
          <w:lang w:val="en-US"/>
        </w:rPr>
        <w:t xml:space="preserve"> from a post-earthquake capacity and </w:t>
      </w:r>
      <w:r w:rsidR="000C60E5">
        <w:rPr>
          <w:lang w:val="en-US"/>
        </w:rPr>
        <w:t>amenity perspective</w:t>
      </w:r>
      <w:r w:rsidR="00D27E31">
        <w:rPr>
          <w:lang w:val="en-US"/>
        </w:rPr>
        <w:t>)</w:t>
      </w:r>
      <w:r w:rsidR="00A44EC7">
        <w:rPr>
          <w:lang w:val="en-US"/>
        </w:rPr>
        <w:t xml:space="preserve">. </w:t>
      </w:r>
      <w:r w:rsidR="00B34803">
        <w:rPr>
          <w:lang w:val="en-US"/>
        </w:rPr>
        <w:t>It is likely that lower limits</w:t>
      </w:r>
      <w:r w:rsidR="00207A5F">
        <w:rPr>
          <w:lang w:val="en-US"/>
        </w:rPr>
        <w:t xml:space="preserve"> o</w:t>
      </w:r>
      <w:r w:rsidR="00D27E31">
        <w:rPr>
          <w:lang w:val="en-US"/>
        </w:rPr>
        <w:t>n</w:t>
      </w:r>
      <w:r w:rsidR="00207A5F">
        <w:rPr>
          <w:lang w:val="en-US"/>
        </w:rPr>
        <w:t xml:space="preserve"> peak drifts</w:t>
      </w:r>
      <w:r w:rsidR="00B34803">
        <w:rPr>
          <w:lang w:val="en-US"/>
        </w:rPr>
        <w:t xml:space="preserve"> will need to be </w:t>
      </w:r>
      <w:r w:rsidR="00D27E31">
        <w:rPr>
          <w:lang w:val="en-US"/>
        </w:rPr>
        <w:t>considered</w:t>
      </w:r>
      <w:r w:rsidR="00B34803">
        <w:rPr>
          <w:lang w:val="en-US"/>
        </w:rPr>
        <w:t xml:space="preserve"> at </w:t>
      </w:r>
      <w:r w:rsidR="00D27E31">
        <w:rPr>
          <w:lang w:val="en-US"/>
        </w:rPr>
        <w:t>the DCLS/SLS2</w:t>
      </w:r>
      <w:r w:rsidR="00B34803">
        <w:rPr>
          <w:lang w:val="en-US"/>
        </w:rPr>
        <w:t xml:space="preserve"> limit state</w:t>
      </w:r>
      <w:r w:rsidR="00D27E31">
        <w:rPr>
          <w:lang w:val="en-US"/>
        </w:rPr>
        <w:t>s</w:t>
      </w:r>
      <w:r w:rsidR="00B34803">
        <w:rPr>
          <w:lang w:val="en-US"/>
        </w:rPr>
        <w:t xml:space="preserve"> to achieve the </w:t>
      </w:r>
      <w:r w:rsidR="006E1DA1">
        <w:rPr>
          <w:lang w:val="en-US"/>
        </w:rPr>
        <w:t xml:space="preserve">broader </w:t>
      </w:r>
      <w:r w:rsidR="00B34803">
        <w:rPr>
          <w:lang w:val="en-US"/>
        </w:rPr>
        <w:t>requirements for</w:t>
      </w:r>
      <w:r w:rsidR="006E1DA1">
        <w:rPr>
          <w:lang w:val="en-US"/>
        </w:rPr>
        <w:t xml:space="preserve"> overall building performance, </w:t>
      </w:r>
      <w:r w:rsidR="000C60E5">
        <w:rPr>
          <w:lang w:val="en-US"/>
        </w:rPr>
        <w:t xml:space="preserve">asset protection, continued functionality and </w:t>
      </w:r>
      <w:r w:rsidR="006E1DA1">
        <w:rPr>
          <w:lang w:val="en-US"/>
        </w:rPr>
        <w:t>protection of NSE</w:t>
      </w:r>
      <w:r w:rsidR="000C60E5">
        <w:rPr>
          <w:lang w:val="en-US"/>
        </w:rPr>
        <w:t xml:space="preserve"> (as set out in other parts of this guideline)</w:t>
      </w:r>
      <w:r w:rsidR="006E1DA1">
        <w:rPr>
          <w:lang w:val="en-US"/>
        </w:rPr>
        <w:t>.</w:t>
      </w:r>
    </w:p>
  </w:footnote>
  <w:footnote w:id="41">
    <w:p w14:paraId="51C339AD" w14:textId="018FD7E9" w:rsidR="00F2264C" w:rsidRPr="00F2264C" w:rsidRDefault="00F2264C" w:rsidP="00666E06">
      <w:pPr>
        <w:pStyle w:val="FootnoteText"/>
        <w:rPr>
          <w:lang w:val="en-US"/>
        </w:rPr>
      </w:pPr>
      <w:r>
        <w:rPr>
          <w:rStyle w:val="FootnoteReference"/>
        </w:rPr>
        <w:footnoteRef/>
      </w:r>
      <w:r>
        <w:t xml:space="preserve"> </w:t>
      </w:r>
      <w:r>
        <w:rPr>
          <w:lang w:val="en-US"/>
        </w:rPr>
        <w:t>Explicit assessment of pounding effects</w:t>
      </w:r>
      <w:r w:rsidR="00C7435C">
        <w:rPr>
          <w:lang w:val="en-US"/>
        </w:rPr>
        <w:t xml:space="preserve"> (used to justify reduced displacement range) is discouraged</w:t>
      </w:r>
      <w:r w:rsidR="000D6653">
        <w:rPr>
          <w:lang w:val="en-US"/>
        </w:rPr>
        <w:t>—</w:t>
      </w:r>
      <w:r w:rsidR="00C468C9">
        <w:rPr>
          <w:lang w:val="en-US"/>
        </w:rPr>
        <w:t xml:space="preserve">behaviour and performance following contact is </w:t>
      </w:r>
      <w:r w:rsidR="003051E6">
        <w:rPr>
          <w:lang w:val="en-US"/>
        </w:rPr>
        <w:t xml:space="preserve">generally understood to be poor and there is low confidence in </w:t>
      </w:r>
      <w:r w:rsidR="000D6653">
        <w:rPr>
          <w:lang w:val="en-US"/>
        </w:rPr>
        <w:t xml:space="preserve">the ability to capture effects adequately </w:t>
      </w:r>
      <w:r w:rsidR="00B97651">
        <w:rPr>
          <w:lang w:val="en-US"/>
        </w:rPr>
        <w:t>through</w:t>
      </w:r>
      <w:r w:rsidR="000D6653">
        <w:rPr>
          <w:lang w:val="en-US"/>
        </w:rPr>
        <w:t xml:space="preserve"> modelling.</w:t>
      </w:r>
    </w:p>
  </w:footnote>
  <w:footnote w:id="42">
    <w:p w14:paraId="0C458EEE" w14:textId="5F4D8757" w:rsidR="00FB3A64" w:rsidRPr="00FB3A64" w:rsidRDefault="00FB3A64" w:rsidP="00666E06">
      <w:pPr>
        <w:pStyle w:val="FootnoteText"/>
        <w:rPr>
          <w:lang w:val="en-US"/>
        </w:rPr>
      </w:pPr>
      <w:r>
        <w:rPr>
          <w:rStyle w:val="FootnoteReference"/>
        </w:rPr>
        <w:footnoteRef/>
      </w:r>
      <w:r>
        <w:t xml:space="preserve"> The methods for evaluating seismic separations in the Assessment Guidelines</w:t>
      </w:r>
      <w:r w:rsidR="00386372">
        <w:t xml:space="preserve"> </w:t>
      </w:r>
      <w:sdt>
        <w:sdtPr>
          <w:id w:val="1690254972"/>
          <w:citation/>
        </w:sdtPr>
        <w:sdtEndPr/>
        <w:sdtContent>
          <w:r w:rsidR="00386372">
            <w:fldChar w:fldCharType="begin"/>
          </w:r>
          <w:r w:rsidR="008A104E">
            <w:rPr>
              <w:lang w:val="en-US"/>
            </w:rPr>
            <w:instrText xml:space="preserve">CITATION Placeholder2 \l 1033 </w:instrText>
          </w:r>
          <w:r w:rsidR="00386372">
            <w:fldChar w:fldCharType="separate"/>
          </w:r>
          <w:r w:rsidR="00222D65">
            <w:rPr>
              <w:noProof/>
              <w:lang w:val="en-US"/>
            </w:rPr>
            <w:t>(MBIE, EQC, NZSEE, SESOC, NZGS, 2017)</w:t>
          </w:r>
          <w:r w:rsidR="00386372">
            <w:fldChar w:fldCharType="end"/>
          </w:r>
        </w:sdtContent>
      </w:sdt>
      <w:r>
        <w:t xml:space="preserve"> apply only to assessment of existing conditions</w:t>
      </w:r>
      <w:r w:rsidR="004C7A8C">
        <w:t xml:space="preserve"> </w:t>
      </w:r>
      <w:r w:rsidR="00386372">
        <w:t xml:space="preserve">and are not intended to be applied to </w:t>
      </w:r>
      <w:r w:rsidR="00F14F5C">
        <w:t xml:space="preserve">the setout and construction of </w:t>
      </w:r>
      <w:r w:rsidR="00386372">
        <w:t>new adjacencies</w:t>
      </w:r>
      <w:r>
        <w:t>.</w:t>
      </w:r>
    </w:p>
  </w:footnote>
  <w:footnote w:id="43">
    <w:p w14:paraId="34588661" w14:textId="7A90ECB1" w:rsidR="00AC1BC7" w:rsidRPr="00AC1BC7" w:rsidRDefault="00AC1BC7" w:rsidP="00666E06">
      <w:pPr>
        <w:pStyle w:val="FootnoteText"/>
        <w:rPr>
          <w:lang w:val="en-US"/>
        </w:rPr>
      </w:pPr>
      <w:r>
        <w:rPr>
          <w:rStyle w:val="FootnoteReference"/>
        </w:rPr>
        <w:footnoteRef/>
      </w:r>
      <w:r>
        <w:t xml:space="preserve"> </w:t>
      </w:r>
      <w:r w:rsidR="005820EA">
        <w:t xml:space="preserve">This </w:t>
      </w:r>
      <w:r w:rsidR="00CE3123">
        <w:t xml:space="preserve">risk is managed separately, by evaluating the risk of </w:t>
      </w:r>
      <w:r>
        <w:rPr>
          <w:lang w:val="en-US"/>
        </w:rPr>
        <w:t xml:space="preserve">existing building adjacencies to </w:t>
      </w:r>
      <w:r w:rsidR="00A33B42">
        <w:rPr>
          <w:lang w:val="en-US"/>
        </w:rPr>
        <w:fldChar w:fldCharType="begin"/>
      </w:r>
      <w:r w:rsidR="00A33B42">
        <w:rPr>
          <w:lang w:val="en-US"/>
        </w:rPr>
        <w:instrText xml:space="preserve"> REF Appendix_1 \h </w:instrText>
      </w:r>
      <w:r w:rsidR="00A33B42">
        <w:rPr>
          <w:lang w:val="en-US"/>
        </w:rPr>
      </w:r>
      <w:r w:rsidR="00A33B42">
        <w:rPr>
          <w:lang w:val="en-US"/>
        </w:rPr>
        <w:fldChar w:fldCharType="separate"/>
      </w:r>
      <w:r w:rsidR="000761C1" w:rsidRPr="00F301A3">
        <w:t>Appendix 1</w:t>
      </w:r>
      <w:r w:rsidR="00A33B42">
        <w:rPr>
          <w:lang w:val="en-US"/>
        </w:rPr>
        <w:fldChar w:fldCharType="end"/>
      </w:r>
      <w:r w:rsidR="0078531B">
        <w:rPr>
          <w:lang w:val="en-US"/>
        </w:rPr>
        <w:t xml:space="preserve"> (Section </w:t>
      </w:r>
      <w:r w:rsidR="001753A3">
        <w:rPr>
          <w:lang w:val="en-US"/>
        </w:rPr>
        <w:fldChar w:fldCharType="begin"/>
      </w:r>
      <w:r w:rsidR="001753A3">
        <w:rPr>
          <w:lang w:val="en-US"/>
        </w:rPr>
        <w:instrText xml:space="preserve"> REF _Ref180130876 \r \h </w:instrText>
      </w:r>
      <w:r w:rsidR="001753A3">
        <w:rPr>
          <w:lang w:val="en-US"/>
        </w:rPr>
      </w:r>
      <w:r w:rsidR="001753A3">
        <w:rPr>
          <w:lang w:val="en-US"/>
        </w:rPr>
        <w:fldChar w:fldCharType="separate"/>
      </w:r>
      <w:r w:rsidR="000761C1">
        <w:rPr>
          <w:lang w:val="en-US"/>
        </w:rPr>
        <w:t>1.2</w:t>
      </w:r>
      <w:r w:rsidR="001753A3">
        <w:rPr>
          <w:lang w:val="en-US"/>
        </w:rPr>
        <w:fldChar w:fldCharType="end"/>
      </w:r>
      <w:r w:rsidR="0078531B">
        <w:rPr>
          <w:lang w:val="en-US"/>
        </w:rPr>
        <w:t>)</w:t>
      </w:r>
      <w:r w:rsidR="005820EA">
        <w:rPr>
          <w:lang w:val="en-US"/>
        </w:rPr>
        <w:t>.</w:t>
      </w:r>
    </w:p>
  </w:footnote>
  <w:footnote w:id="44">
    <w:p w14:paraId="7F60683A" w14:textId="4483F4CB" w:rsidR="00222B3B" w:rsidRPr="00A8579C" w:rsidRDefault="00222B3B" w:rsidP="00666E06">
      <w:pPr>
        <w:pStyle w:val="FootnoteText"/>
        <w:rPr>
          <w:lang w:val="en-US"/>
        </w:rPr>
      </w:pPr>
      <w:r>
        <w:rPr>
          <w:rStyle w:val="FootnoteReference"/>
        </w:rPr>
        <w:footnoteRef/>
      </w:r>
      <w:r>
        <w:t xml:space="preserve"> Whilst</w:t>
      </w:r>
      <w:r w:rsidRPr="00FE4AD6">
        <w:t xml:space="preserve"> selecting C1 anchors may be </w:t>
      </w:r>
      <w:r>
        <w:t>viewed as</w:t>
      </w:r>
      <w:r w:rsidRPr="00FE4AD6">
        <w:t xml:space="preserve"> unconservative according to the </w:t>
      </w:r>
      <w:r>
        <w:t xml:space="preserve">reference ground </w:t>
      </w:r>
      <w:r w:rsidRPr="00FE4AD6">
        <w:t>acceleration</w:t>
      </w:r>
      <w:r>
        <w:t xml:space="preserve"> thresholds</w:t>
      </w:r>
      <w:r w:rsidRPr="00FE4AD6">
        <w:t xml:space="preserve"> given in table 5.1 of ETAG 001, </w:t>
      </w:r>
      <w:r>
        <w:t>this recommendation</w:t>
      </w:r>
      <w:r w:rsidRPr="00FE4AD6">
        <w:t xml:space="preserve"> is appropriate</w:t>
      </w:r>
      <w:r>
        <w:t>ly aligned with its intent</w:t>
      </w:r>
      <w:r w:rsidRPr="00FE4AD6">
        <w:t xml:space="preserve"> when adopting elastic loading and deriving loads directly from </w:t>
      </w:r>
      <w:r>
        <w:t xml:space="preserve">AS/NZS </w:t>
      </w:r>
      <w:r w:rsidRPr="00FE4AD6">
        <w:t>1170.5, especially as applied to light-weight</w:t>
      </w:r>
      <w:r>
        <w:t xml:space="preserve"> and low risk</w:t>
      </w:r>
      <w:r w:rsidRPr="00FE4AD6">
        <w:t xml:space="preserve"> applications</w:t>
      </w:r>
      <w:r>
        <w:t>. Category C1 is generally equivalent to ACI 355.2.</w:t>
      </w:r>
    </w:p>
  </w:footnote>
  <w:footnote w:id="45">
    <w:p w14:paraId="0F82A3E7" w14:textId="322801FA" w:rsidR="008C76B9" w:rsidRPr="008C76B9" w:rsidRDefault="008C76B9" w:rsidP="00666E06">
      <w:pPr>
        <w:pStyle w:val="FootnoteText"/>
        <w:rPr>
          <w:lang w:val="en-US"/>
        </w:rPr>
      </w:pPr>
      <w:r>
        <w:rPr>
          <w:rStyle w:val="FootnoteReference"/>
        </w:rPr>
        <w:footnoteRef/>
      </w:r>
      <w:r>
        <w:t xml:space="preserve"> </w:t>
      </w:r>
      <w:r w:rsidRPr="008C76B9">
        <w:t xml:space="preserve">The EN 81 standards cited by the NZBC D2/AS1 </w:t>
      </w:r>
      <w:r>
        <w:t xml:space="preserve">and referenced in this document </w:t>
      </w:r>
      <w:r w:rsidRPr="008C76B9">
        <w:t>have been further revised. Structural engineers should consult with vertical transportation engineers regarding the current versions of these standards and consider any aspects that may be relevant to design and coordination with lift suppliers</w:t>
      </w:r>
      <w:r>
        <w:t>—</w:t>
      </w:r>
      <w:r w:rsidRPr="008C76B9">
        <w:t xml:space="preserve">to ensure </w:t>
      </w:r>
      <w:r>
        <w:t xml:space="preserve">that </w:t>
      </w:r>
      <w:r w:rsidRPr="008C76B9">
        <w:t xml:space="preserve">supporting structure </w:t>
      </w:r>
      <w:r>
        <w:t xml:space="preserve">design </w:t>
      </w:r>
      <w:r w:rsidRPr="008C76B9">
        <w:t>is both compliant to D2/AS1 and compatible with the lift installation.</w:t>
      </w:r>
    </w:p>
  </w:footnote>
  <w:footnote w:id="46">
    <w:p w14:paraId="08AFCE9E" w14:textId="0E656D12" w:rsidR="001A46EA" w:rsidRPr="001A46EA" w:rsidRDefault="001A46EA" w:rsidP="00666E06">
      <w:pPr>
        <w:pStyle w:val="FootnoteText"/>
        <w:rPr>
          <w:lang w:val="en-US"/>
        </w:rPr>
      </w:pPr>
      <w:r>
        <w:rPr>
          <w:rStyle w:val="FootnoteReference"/>
        </w:rPr>
        <w:footnoteRef/>
      </w:r>
      <w:r>
        <w:t xml:space="preserve"> Users should note that the Structural Design Standards (including NZS 3101 and NZS 3404) have distinct and different definitions for primary and secondary structure, for the purpose of provisions within those standards.</w:t>
      </w:r>
    </w:p>
  </w:footnote>
  <w:footnote w:id="47">
    <w:p w14:paraId="2A98F160" w14:textId="3B85435A" w:rsidR="00176157" w:rsidRPr="00B17E51" w:rsidRDefault="00176157" w:rsidP="00666E06">
      <w:pPr>
        <w:pStyle w:val="FootnoteText"/>
        <w:rPr>
          <w:lang w:val="en-US"/>
        </w:rPr>
      </w:pPr>
      <w:r>
        <w:rPr>
          <w:rStyle w:val="FootnoteReference"/>
        </w:rPr>
        <w:footnoteRef/>
      </w:r>
      <w:r>
        <w:t xml:space="preserve"> A basic value of 1.5 times the height is suggested in barricading advice given in Appendix 5 of MBIE Guidance </w:t>
      </w:r>
      <w:r w:rsidRPr="0023032A">
        <w:rPr>
          <w:i/>
          <w:iCs/>
        </w:rPr>
        <w:t>Managing Buildings in an Emergency</w:t>
      </w:r>
      <w:r>
        <w:t xml:space="preserve">, </w:t>
      </w:r>
      <w:sdt>
        <w:sdtPr>
          <w:id w:val="1838960886"/>
          <w:citation/>
        </w:sdtPr>
        <w:sdtEndPr/>
        <w:sdtContent>
          <w:r>
            <w:fldChar w:fldCharType="begin"/>
          </w:r>
          <w:r>
            <w:rPr>
              <w:lang w:val="en-US"/>
            </w:rPr>
            <w:instrText xml:space="preserve"> CITATION MBI18 \l 1033 </w:instrText>
          </w:r>
          <w:r>
            <w:fldChar w:fldCharType="separate"/>
          </w:r>
          <w:r w:rsidR="00222D65">
            <w:rPr>
              <w:noProof/>
              <w:lang w:val="en-US"/>
            </w:rPr>
            <w:t>(MBIE, 2018)</w:t>
          </w:r>
          <w:r>
            <w:fldChar w:fldCharType="end"/>
          </w:r>
        </w:sdtContent>
      </w:sdt>
      <w:r>
        <w:t xml:space="preserve"> and international practice historically as described in FEMA P-2055-2 </w:t>
      </w:r>
      <w:r w:rsidRPr="00BA74E4">
        <w:rPr>
          <w:i/>
          <w:iCs/>
        </w:rPr>
        <w:t>Recommendations for Cordoning Earthquake</w:t>
      </w:r>
      <w:r>
        <w:rPr>
          <w:i/>
          <w:iCs/>
        </w:rPr>
        <w:t>-</w:t>
      </w:r>
      <w:r w:rsidRPr="00BA74E4">
        <w:rPr>
          <w:i/>
          <w:iCs/>
        </w:rPr>
        <w:t>Damaged Buildings</w:t>
      </w:r>
      <w:r>
        <w:t xml:space="preserve"> </w:t>
      </w:r>
      <w:sdt>
        <w:sdtPr>
          <w:id w:val="1350604511"/>
          <w:citation/>
        </w:sdtPr>
        <w:sdtEndPr/>
        <w:sdtContent>
          <w:r>
            <w:fldChar w:fldCharType="begin"/>
          </w:r>
          <w:r>
            <w:rPr>
              <w:lang w:val="en-US"/>
            </w:rPr>
            <w:instrText xml:space="preserve"> CITATION FEM23 \l 1033 </w:instrText>
          </w:r>
          <w:r>
            <w:fldChar w:fldCharType="separate"/>
          </w:r>
          <w:r w:rsidR="00222D65">
            <w:rPr>
              <w:noProof/>
              <w:lang w:val="en-US"/>
            </w:rPr>
            <w:t>(FEMA, 2023)</w:t>
          </w:r>
          <w:r>
            <w:fldChar w:fldCharType="end"/>
          </w:r>
        </w:sdtContent>
      </w:sdt>
      <w:r>
        <w:t>. However, this is a conservative value</w:t>
      </w:r>
      <w:r w:rsidR="00E05C8D">
        <w:t xml:space="preserve"> applicable predominantly </w:t>
      </w:r>
      <w:r w:rsidR="00216CE2">
        <w:t>to unreinforced masonry construction</w:t>
      </w:r>
      <w:r w:rsidR="00FF19AE">
        <w:t>.</w:t>
      </w:r>
      <w:r>
        <w:t xml:space="preserve"> </w:t>
      </w:r>
      <w:r w:rsidR="00FF19AE">
        <w:t>S</w:t>
      </w:r>
      <w:r>
        <w:t xml:space="preserve">maller distances can be appropriate depending on the parts of the building that could fail and the size of the potential material pile. </w:t>
      </w:r>
      <w:r w:rsidR="00FF19AE">
        <w:t>V</w:t>
      </w:r>
      <w:r>
        <w:t xml:space="preserve">alues </w:t>
      </w:r>
      <w:r w:rsidR="00FF19AE">
        <w:t xml:space="preserve">smaller than </w:t>
      </w:r>
      <w:r w:rsidR="00330AD3">
        <w:t>one</w:t>
      </w:r>
      <w:r w:rsidR="004A72D6">
        <w:t xml:space="preserve"> times the height could </w:t>
      </w:r>
      <w:r>
        <w:t>applied with specific review against the principles in the MBIE document and further detailed information contained in FEMA P-2055-2 (with due regard to their application being “before the fact” rather than the document’s intended post-earthquake context).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0B2CE" w14:textId="6864913D" w:rsidR="0045332C" w:rsidRDefault="00167586" w:rsidP="00666E06">
    <w:pPr>
      <w:pStyle w:val="Header"/>
    </w:pPr>
    <w:r>
      <w:rPr>
        <w:noProof/>
        <w:lang w:eastAsia="en-NZ"/>
      </w:rPr>
      <w:drawing>
        <wp:anchor distT="0" distB="0" distL="114300" distR="114300" simplePos="0" relativeHeight="251658255" behindDoc="0" locked="0" layoutInCell="1" allowOverlap="1" wp14:anchorId="7524AD3E" wp14:editId="657679D2">
          <wp:simplePos x="0" y="0"/>
          <wp:positionH relativeFrom="margin">
            <wp:posOffset>-565150</wp:posOffset>
          </wp:positionH>
          <wp:positionV relativeFrom="page">
            <wp:posOffset>170180</wp:posOffset>
          </wp:positionV>
          <wp:extent cx="7200000" cy="540000"/>
          <wp:effectExtent l="0" t="0" r="1270" b="0"/>
          <wp:wrapSquare wrapText="bothSides"/>
          <wp:docPr id="84925103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51039"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CDFA9" w14:textId="05E94B80" w:rsidR="008B3342" w:rsidRDefault="009D3598" w:rsidP="00666E06">
    <w:pPr>
      <w:pStyle w:val="Header"/>
    </w:pPr>
    <w:r>
      <w:rPr>
        <w:noProof/>
        <w:lang w:eastAsia="en-NZ"/>
      </w:rPr>
      <w:drawing>
        <wp:anchor distT="0" distB="0" distL="114300" distR="114300" simplePos="0" relativeHeight="251658262" behindDoc="0" locked="0" layoutInCell="1" allowOverlap="1" wp14:anchorId="620227DE" wp14:editId="2351DB38">
          <wp:simplePos x="0" y="0"/>
          <wp:positionH relativeFrom="margin">
            <wp:posOffset>-552450</wp:posOffset>
          </wp:positionH>
          <wp:positionV relativeFrom="page">
            <wp:posOffset>144780</wp:posOffset>
          </wp:positionV>
          <wp:extent cx="7200000" cy="540000"/>
          <wp:effectExtent l="0" t="0" r="1270" b="0"/>
          <wp:wrapSquare wrapText="bothSides"/>
          <wp:docPr id="169864881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09661"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602F6" w14:textId="47E7AFCD" w:rsidR="0045332C" w:rsidRDefault="0045332C" w:rsidP="00666E0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2774D" w14:textId="2BBCD30E" w:rsidR="003B4C24" w:rsidRDefault="001874DE" w:rsidP="00666E06">
    <w:pPr>
      <w:pStyle w:val="Header"/>
    </w:pPr>
    <w:r>
      <w:rPr>
        <w:noProof/>
        <w:lang w:eastAsia="en-NZ"/>
      </w:rPr>
      <w:drawing>
        <wp:anchor distT="0" distB="0" distL="114300" distR="114300" simplePos="0" relativeHeight="251658264" behindDoc="0" locked="0" layoutInCell="1" allowOverlap="1" wp14:anchorId="05F996EF" wp14:editId="6C53AD02">
          <wp:simplePos x="0" y="0"/>
          <wp:positionH relativeFrom="margin">
            <wp:posOffset>-533400</wp:posOffset>
          </wp:positionH>
          <wp:positionV relativeFrom="page">
            <wp:posOffset>176530</wp:posOffset>
          </wp:positionV>
          <wp:extent cx="7200000" cy="540000"/>
          <wp:effectExtent l="0" t="0" r="1270" b="0"/>
          <wp:wrapSquare wrapText="bothSides"/>
          <wp:docPr id="165984703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51039"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1B15C" w14:textId="4A40ACB5" w:rsidR="0045332C" w:rsidRDefault="0091784F" w:rsidP="00666E06">
    <w:pPr>
      <w:pStyle w:val="Header"/>
    </w:pPr>
    <w:r w:rsidRPr="001E1669">
      <w:rPr>
        <w:noProof/>
      </w:rPr>
      <w:drawing>
        <wp:anchor distT="0" distB="0" distL="114300" distR="114300" simplePos="0" relativeHeight="251658240" behindDoc="1" locked="0" layoutInCell="1" allowOverlap="1" wp14:anchorId="7B91901F" wp14:editId="25900693">
          <wp:simplePos x="0" y="0"/>
          <wp:positionH relativeFrom="page">
            <wp:align>right</wp:align>
          </wp:positionH>
          <wp:positionV relativeFrom="paragraph">
            <wp:posOffset>-552901</wp:posOffset>
          </wp:positionV>
          <wp:extent cx="9127998" cy="1210153"/>
          <wp:effectExtent l="0" t="0" r="0" b="0"/>
          <wp:wrapNone/>
          <wp:docPr id="1093238827" name="Picture 1093238827"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127998" cy="1210153"/>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ACD00" w14:textId="7B9E223C" w:rsidR="0045086C" w:rsidRDefault="0045086C" w:rsidP="00666E0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6058C" w14:textId="4B5D9460" w:rsidR="0045086C" w:rsidRDefault="003B07E7" w:rsidP="00666E06">
    <w:pPr>
      <w:pStyle w:val="Header"/>
    </w:pPr>
    <w:r>
      <w:rPr>
        <w:noProof/>
        <w:lang w:eastAsia="en-NZ"/>
      </w:rPr>
      <w:drawing>
        <wp:anchor distT="0" distB="0" distL="114300" distR="114300" simplePos="0" relativeHeight="251658265" behindDoc="0" locked="0" layoutInCell="1" allowOverlap="1" wp14:anchorId="60120DAD" wp14:editId="261E8341">
          <wp:simplePos x="0" y="0"/>
          <wp:positionH relativeFrom="margin">
            <wp:posOffset>-558800</wp:posOffset>
          </wp:positionH>
          <wp:positionV relativeFrom="page">
            <wp:posOffset>157480</wp:posOffset>
          </wp:positionV>
          <wp:extent cx="7200000" cy="540000"/>
          <wp:effectExtent l="0" t="0" r="1270" b="0"/>
          <wp:wrapSquare wrapText="bothSides"/>
          <wp:docPr id="105804575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51039"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2426C" w14:textId="7E78CC50" w:rsidR="003B6DC5" w:rsidRDefault="003B6DC5" w:rsidP="00666E0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7BCB1" w14:textId="3206AC91" w:rsidR="0045332C" w:rsidRDefault="0045332C" w:rsidP="00666E0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25C37" w14:textId="4213E819" w:rsidR="00E62E77" w:rsidRDefault="009A630A" w:rsidP="00666E06">
    <w:pPr>
      <w:pStyle w:val="Header"/>
    </w:pPr>
    <w:r>
      <w:rPr>
        <w:noProof/>
        <w:lang w:eastAsia="en-NZ"/>
      </w:rPr>
      <w:drawing>
        <wp:anchor distT="0" distB="0" distL="114300" distR="114300" simplePos="0" relativeHeight="251658268" behindDoc="0" locked="0" layoutInCell="1" allowOverlap="1" wp14:anchorId="10BBEB0A" wp14:editId="4F51A828">
          <wp:simplePos x="0" y="0"/>
          <wp:positionH relativeFrom="margin">
            <wp:posOffset>-520700</wp:posOffset>
          </wp:positionH>
          <wp:positionV relativeFrom="page">
            <wp:posOffset>163830</wp:posOffset>
          </wp:positionV>
          <wp:extent cx="7200000" cy="540000"/>
          <wp:effectExtent l="0" t="0" r="1270" b="0"/>
          <wp:wrapSquare wrapText="bothSides"/>
          <wp:docPr id="37526525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8438"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2BB4E" w14:textId="13FC62AB" w:rsidR="0045332C" w:rsidRDefault="0045332C" w:rsidP="00666E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2FD46" w14:textId="77777777" w:rsidR="00347DFA" w:rsidRDefault="00347DFA" w:rsidP="00666E06">
    <w:pPr>
      <w:pStyle w:val="Header"/>
    </w:pPr>
    <w:r w:rsidRPr="001E1669">
      <w:rPr>
        <w:noProof/>
      </w:rPr>
      <w:drawing>
        <wp:anchor distT="0" distB="0" distL="114300" distR="114300" simplePos="0" relativeHeight="251658246" behindDoc="1" locked="0" layoutInCell="1" allowOverlap="1" wp14:anchorId="4C4B4477" wp14:editId="7E8E617E">
          <wp:simplePos x="0" y="0"/>
          <wp:positionH relativeFrom="page">
            <wp:posOffset>-16510</wp:posOffset>
          </wp:positionH>
          <wp:positionV relativeFrom="paragraph">
            <wp:posOffset>-432435</wp:posOffset>
          </wp:positionV>
          <wp:extent cx="7543800" cy="1000125"/>
          <wp:effectExtent l="0" t="0" r="0" b="0"/>
          <wp:wrapNone/>
          <wp:docPr id="855640543" name="Picture 855640543"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000125"/>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3F8CD" w14:textId="34869764" w:rsidR="00562BCA" w:rsidRDefault="006A30AA" w:rsidP="00666E06">
    <w:pPr>
      <w:pStyle w:val="Header"/>
    </w:pPr>
    <w:r>
      <w:rPr>
        <w:noProof/>
        <w:lang w:eastAsia="en-NZ"/>
      </w:rPr>
      <w:drawing>
        <wp:anchor distT="0" distB="0" distL="114300" distR="114300" simplePos="0" relativeHeight="251658269" behindDoc="0" locked="0" layoutInCell="1" allowOverlap="1" wp14:anchorId="2A6AAF38" wp14:editId="3345CA57">
          <wp:simplePos x="0" y="0"/>
          <wp:positionH relativeFrom="margin">
            <wp:posOffset>-539750</wp:posOffset>
          </wp:positionH>
          <wp:positionV relativeFrom="page">
            <wp:posOffset>208280</wp:posOffset>
          </wp:positionV>
          <wp:extent cx="7200000" cy="540000"/>
          <wp:effectExtent l="0" t="0" r="1270" b="0"/>
          <wp:wrapSquare wrapText="bothSides"/>
          <wp:docPr id="99734467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4870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85B80" w14:textId="0DD3C33E" w:rsidR="00062E6A" w:rsidRDefault="002F2C74" w:rsidP="00666E06">
    <w:pPr>
      <w:pStyle w:val="Header"/>
    </w:pPr>
    <w:r>
      <w:rPr>
        <w:noProof/>
        <w:lang w:eastAsia="en-NZ"/>
      </w:rPr>
      <w:drawing>
        <wp:anchor distT="0" distB="0" distL="114300" distR="114300" simplePos="0" relativeHeight="251658272" behindDoc="0" locked="0" layoutInCell="1" allowOverlap="1" wp14:anchorId="0FF5D6E0" wp14:editId="7B00647F">
          <wp:simplePos x="0" y="0"/>
          <wp:positionH relativeFrom="margin">
            <wp:posOffset>-520700</wp:posOffset>
          </wp:positionH>
          <wp:positionV relativeFrom="page">
            <wp:posOffset>189230</wp:posOffset>
          </wp:positionV>
          <wp:extent cx="7200000" cy="540000"/>
          <wp:effectExtent l="0" t="0" r="1270" b="0"/>
          <wp:wrapSquare wrapText="bothSides"/>
          <wp:docPr id="39665387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5387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D1A77" w14:textId="77777777" w:rsidR="004A1180" w:rsidRDefault="004A1180">
    <w:pPr>
      <w:pStyle w:val="Header"/>
    </w:pPr>
    <w:r>
      <w:rPr>
        <w:noProof/>
        <w:lang w:eastAsia="en-NZ"/>
      </w:rPr>
      <w:drawing>
        <wp:anchor distT="0" distB="0" distL="114300" distR="114300" simplePos="0" relativeHeight="251658278" behindDoc="0" locked="0" layoutInCell="1" allowOverlap="1" wp14:anchorId="7CB1699E" wp14:editId="3D2DD4A0">
          <wp:simplePos x="0" y="0"/>
          <wp:positionH relativeFrom="margin">
            <wp:align>center</wp:align>
          </wp:positionH>
          <wp:positionV relativeFrom="page">
            <wp:posOffset>180340</wp:posOffset>
          </wp:positionV>
          <wp:extent cx="7200000" cy="540000"/>
          <wp:effectExtent l="0" t="0" r="1270" b="0"/>
          <wp:wrapSquare wrapText="bothSides"/>
          <wp:docPr id="20747636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4386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AA2A9" w14:textId="77777777" w:rsidR="004A1180" w:rsidRPr="003852DA" w:rsidRDefault="004A1180">
    <w:pPr>
      <w:pStyle w:val="Header"/>
    </w:pPr>
    <w:r>
      <w:rPr>
        <w:noProof/>
        <w:lang w:eastAsia="en-NZ"/>
      </w:rPr>
      <w:drawing>
        <wp:anchor distT="0" distB="0" distL="114300" distR="114300" simplePos="0" relativeHeight="251658280" behindDoc="0" locked="0" layoutInCell="1" allowOverlap="1" wp14:anchorId="5DCD0779" wp14:editId="1DA4952F">
          <wp:simplePos x="0" y="0"/>
          <wp:positionH relativeFrom="margin">
            <wp:posOffset>-571500</wp:posOffset>
          </wp:positionH>
          <wp:positionV relativeFrom="page">
            <wp:posOffset>198755</wp:posOffset>
          </wp:positionV>
          <wp:extent cx="7200000" cy="540000"/>
          <wp:effectExtent l="0" t="0" r="1270" b="0"/>
          <wp:wrapSquare wrapText="bothSides"/>
          <wp:docPr id="8672969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4386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B70A8" w14:textId="5798B242" w:rsidR="00C41710" w:rsidRDefault="006456C2" w:rsidP="00666E06">
    <w:pPr>
      <w:pStyle w:val="Header"/>
    </w:pPr>
    <w:r>
      <w:rPr>
        <w:noProof/>
        <w:lang w:eastAsia="en-NZ"/>
      </w:rPr>
      <w:drawing>
        <wp:anchor distT="0" distB="0" distL="114300" distR="114300" simplePos="0" relativeHeight="251658277" behindDoc="0" locked="0" layoutInCell="1" allowOverlap="1" wp14:anchorId="17FB6904" wp14:editId="272392FA">
          <wp:simplePos x="0" y="0"/>
          <wp:positionH relativeFrom="margin">
            <wp:posOffset>-508000</wp:posOffset>
          </wp:positionH>
          <wp:positionV relativeFrom="page">
            <wp:posOffset>195580</wp:posOffset>
          </wp:positionV>
          <wp:extent cx="7200000" cy="540000"/>
          <wp:effectExtent l="0" t="0" r="1270" b="0"/>
          <wp:wrapSquare wrapText="bothSides"/>
          <wp:docPr id="197394386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4386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66D5" w14:textId="408E38BA" w:rsidR="0045332C" w:rsidRDefault="0045332C" w:rsidP="00666E0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13BA0" w14:textId="462DA5E8" w:rsidR="00225511" w:rsidRDefault="00965B76" w:rsidP="00666E06">
    <w:pPr>
      <w:pStyle w:val="Header"/>
    </w:pPr>
    <w:r>
      <w:rPr>
        <w:noProof/>
        <w:lang w:eastAsia="en-NZ"/>
      </w:rPr>
      <w:drawing>
        <wp:anchor distT="0" distB="0" distL="114300" distR="114300" simplePos="0" relativeHeight="251658257" behindDoc="0" locked="0" layoutInCell="1" allowOverlap="1" wp14:anchorId="60428048" wp14:editId="2DC1EE44">
          <wp:simplePos x="0" y="0"/>
          <wp:positionH relativeFrom="margin">
            <wp:posOffset>-527050</wp:posOffset>
          </wp:positionH>
          <wp:positionV relativeFrom="page">
            <wp:posOffset>176530</wp:posOffset>
          </wp:positionV>
          <wp:extent cx="7200000" cy="540000"/>
          <wp:effectExtent l="0" t="0" r="1270" b="0"/>
          <wp:wrapSquare wrapText="bothSides"/>
          <wp:docPr id="177377024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51039"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F94F1" w14:textId="4EB18887" w:rsidR="002B7B31" w:rsidRDefault="0019112D" w:rsidP="00666E06">
    <w:pPr>
      <w:pStyle w:val="Header"/>
    </w:pPr>
    <w:r>
      <w:rPr>
        <w:noProof/>
        <w:lang w:eastAsia="en-NZ"/>
      </w:rPr>
      <w:drawing>
        <wp:anchor distT="0" distB="0" distL="114300" distR="114300" simplePos="0" relativeHeight="251658258" behindDoc="0" locked="0" layoutInCell="1" allowOverlap="1" wp14:anchorId="0BCF6F8C" wp14:editId="4FC9210F">
          <wp:simplePos x="0" y="0"/>
          <wp:positionH relativeFrom="margin">
            <wp:posOffset>-514350</wp:posOffset>
          </wp:positionH>
          <wp:positionV relativeFrom="page">
            <wp:posOffset>182880</wp:posOffset>
          </wp:positionV>
          <wp:extent cx="7200000" cy="540000"/>
          <wp:effectExtent l="0" t="0" r="1270" b="0"/>
          <wp:wrapSquare wrapText="bothSides"/>
          <wp:docPr id="101160051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09661"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FF63D" w14:textId="72060A99" w:rsidR="00B12367" w:rsidRDefault="00B12367" w:rsidP="00666E0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5A95F" w14:textId="77777777" w:rsidR="002F07A3" w:rsidRDefault="002F07A3" w:rsidP="00666E06">
    <w:pPr>
      <w:pStyle w:val="Header"/>
    </w:pPr>
    <w:r w:rsidRPr="001E1669">
      <w:rPr>
        <w:noProof/>
      </w:rPr>
      <w:drawing>
        <wp:anchor distT="0" distB="0" distL="114300" distR="114300" simplePos="0" relativeHeight="251658247" behindDoc="1" locked="0" layoutInCell="1" allowOverlap="1" wp14:anchorId="571F52D0" wp14:editId="55C366A9">
          <wp:simplePos x="0" y="0"/>
          <wp:positionH relativeFrom="page">
            <wp:posOffset>227330</wp:posOffset>
          </wp:positionH>
          <wp:positionV relativeFrom="paragraph">
            <wp:posOffset>466090</wp:posOffset>
          </wp:positionV>
          <wp:extent cx="10710333" cy="1000125"/>
          <wp:effectExtent l="0" t="0" r="0" b="0"/>
          <wp:wrapNone/>
          <wp:docPr id="769297163" name="Picture 769297163" descr="A blu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3627" name="Picture 1713263627" descr="A blue and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710333" cy="1000125"/>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CABAB" w14:textId="130524B8" w:rsidR="00B12367" w:rsidRDefault="002A6AD7" w:rsidP="00666E06">
    <w:pPr>
      <w:pStyle w:val="Header"/>
    </w:pPr>
    <w:r>
      <w:rPr>
        <w:noProof/>
        <w:lang w:eastAsia="en-NZ"/>
      </w:rPr>
      <w:drawing>
        <wp:anchor distT="0" distB="0" distL="114300" distR="114300" simplePos="0" relativeHeight="251658259" behindDoc="0" locked="0" layoutInCell="1" allowOverlap="1" wp14:anchorId="475E6735" wp14:editId="63A545A3">
          <wp:simplePos x="0" y="0"/>
          <wp:positionH relativeFrom="margin">
            <wp:posOffset>-495300</wp:posOffset>
          </wp:positionH>
          <wp:positionV relativeFrom="page">
            <wp:posOffset>170180</wp:posOffset>
          </wp:positionV>
          <wp:extent cx="7200000" cy="540000"/>
          <wp:effectExtent l="0" t="0" r="1270" b="0"/>
          <wp:wrapSquare wrapText="bothSides"/>
          <wp:docPr id="166108043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09661"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6757D" w14:textId="0615571E" w:rsidR="00B96263" w:rsidRDefault="00B96263" w:rsidP="00666E06">
    <w:pPr>
      <w:pStyle w:val="Header"/>
    </w:pPr>
  </w:p>
</w:hdr>
</file>

<file path=word/intelligence2.xml><?xml version="1.0" encoding="utf-8"?>
<int2:intelligence xmlns:int2="http://schemas.microsoft.com/office/intelligence/2020/intelligence" xmlns:oel="http://schemas.microsoft.com/office/2019/extlst">
  <int2:observations>
    <int2:textHash int2:hashCode="4artBAcUifZtC9" int2:id="UZAj28t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2198475A"/>
    <w:lvl w:ilvl="0">
      <w:start w:val="1"/>
      <w:numFmt w:val="lowerLetter"/>
      <w:pStyle w:val="ListNumber2"/>
      <w:lvlText w:val="%1)"/>
      <w:lvlJc w:val="left"/>
      <w:pPr>
        <w:ind w:left="644" w:hanging="360"/>
      </w:pPr>
    </w:lvl>
  </w:abstractNum>
  <w:abstractNum w:abstractNumId="1" w15:restartNumberingAfterBreak="0">
    <w:nsid w:val="FFFFFF82"/>
    <w:multiLevelType w:val="singleLevel"/>
    <w:tmpl w:val="03AE9428"/>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4CE09C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10529B14"/>
    <w:lvl w:ilvl="0">
      <w:start w:val="1"/>
      <w:numFmt w:val="decimal"/>
      <w:pStyle w:val="ListNumber"/>
      <w:lvlText w:val="%1."/>
      <w:lvlJc w:val="left"/>
      <w:pPr>
        <w:tabs>
          <w:tab w:val="num" w:pos="360"/>
        </w:tabs>
        <w:ind w:left="360" w:hanging="360"/>
      </w:pPr>
    </w:lvl>
  </w:abstractNum>
  <w:abstractNum w:abstractNumId="4" w15:restartNumberingAfterBreak="0">
    <w:nsid w:val="02DD139E"/>
    <w:multiLevelType w:val="hybridMultilevel"/>
    <w:tmpl w:val="9954D86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 w15:restartNumberingAfterBreak="0">
    <w:nsid w:val="04684A11"/>
    <w:multiLevelType w:val="hybridMultilevel"/>
    <w:tmpl w:val="6AD25B8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 w15:restartNumberingAfterBreak="0">
    <w:nsid w:val="060927C7"/>
    <w:multiLevelType w:val="hybridMultilevel"/>
    <w:tmpl w:val="544C5EA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 w15:restartNumberingAfterBreak="0">
    <w:nsid w:val="07B55066"/>
    <w:multiLevelType w:val="hybridMultilevel"/>
    <w:tmpl w:val="354AC5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8C819FA"/>
    <w:multiLevelType w:val="hybridMultilevel"/>
    <w:tmpl w:val="85D83AF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 w15:restartNumberingAfterBreak="0">
    <w:nsid w:val="095D6A4D"/>
    <w:multiLevelType w:val="hybridMultilevel"/>
    <w:tmpl w:val="D7987092"/>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 w15:restartNumberingAfterBreak="0">
    <w:nsid w:val="0AB43B5D"/>
    <w:multiLevelType w:val="hybridMultilevel"/>
    <w:tmpl w:val="1CAE96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C5672AA"/>
    <w:multiLevelType w:val="hybridMultilevel"/>
    <w:tmpl w:val="7A46318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 w15:restartNumberingAfterBreak="0">
    <w:nsid w:val="0DBC0B94"/>
    <w:multiLevelType w:val="hybridMultilevel"/>
    <w:tmpl w:val="E1E6C2E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3" w15:restartNumberingAfterBreak="0">
    <w:nsid w:val="0E3E1756"/>
    <w:multiLevelType w:val="hybridMultilevel"/>
    <w:tmpl w:val="CD14F0F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4" w15:restartNumberingAfterBreak="0">
    <w:nsid w:val="0E82529F"/>
    <w:multiLevelType w:val="hybridMultilevel"/>
    <w:tmpl w:val="AEDA501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 w15:restartNumberingAfterBreak="0">
    <w:nsid w:val="0ED545B5"/>
    <w:multiLevelType w:val="hybridMultilevel"/>
    <w:tmpl w:val="00F2ABE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6" w15:restartNumberingAfterBreak="0">
    <w:nsid w:val="10B51941"/>
    <w:multiLevelType w:val="hybridMultilevel"/>
    <w:tmpl w:val="0BB20D5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7" w15:restartNumberingAfterBreak="0">
    <w:nsid w:val="11325547"/>
    <w:multiLevelType w:val="hybridMultilevel"/>
    <w:tmpl w:val="FD486322"/>
    <w:lvl w:ilvl="0" w:tplc="FFFFFFFF">
      <w:start w:val="1"/>
      <w:numFmt w:val="bullet"/>
      <w:lvlText w:val=""/>
      <w:lvlJc w:val="left"/>
      <w:pPr>
        <w:ind w:left="720" w:hanging="360"/>
      </w:pPr>
      <w:rPr>
        <w:rFonts w:ascii="Symbol" w:hAnsi="Symbol" w:hint="default"/>
      </w:rPr>
    </w:lvl>
    <w:lvl w:ilvl="1" w:tplc="14090017">
      <w:start w:val="1"/>
      <w:numFmt w:val="lowerLetter"/>
      <w:lvlText w:val="%2)"/>
      <w:lvlJc w:val="left"/>
      <w:pPr>
        <w:ind w:left="72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1C67F24"/>
    <w:multiLevelType w:val="hybridMultilevel"/>
    <w:tmpl w:val="DF2A0AF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9" w15:restartNumberingAfterBreak="0">
    <w:nsid w:val="12A905DC"/>
    <w:multiLevelType w:val="hybridMultilevel"/>
    <w:tmpl w:val="E356E12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 w15:restartNumberingAfterBreak="0">
    <w:nsid w:val="133B7B56"/>
    <w:multiLevelType w:val="hybridMultilevel"/>
    <w:tmpl w:val="A6823D0C"/>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1" w15:restartNumberingAfterBreak="0">
    <w:nsid w:val="13AE3D64"/>
    <w:multiLevelType w:val="hybridMultilevel"/>
    <w:tmpl w:val="BCAA3C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41F1B1F"/>
    <w:multiLevelType w:val="hybridMultilevel"/>
    <w:tmpl w:val="34CE4686"/>
    <w:lvl w:ilvl="0" w:tplc="A5A675D0">
      <w:start w:val="1"/>
      <w:numFmt w:val="bullet"/>
      <w:pStyle w:val="BoxBullet"/>
      <w:lvlText w:val=""/>
      <w:lvlJc w:val="left"/>
      <w:pPr>
        <w:ind w:left="890" w:hanging="360"/>
      </w:pPr>
      <w:rPr>
        <w:rFonts w:ascii="Symbol" w:hAnsi="Symbol" w:hint="default"/>
      </w:rPr>
    </w:lvl>
    <w:lvl w:ilvl="1" w:tplc="14090003">
      <w:start w:val="1"/>
      <w:numFmt w:val="bullet"/>
      <w:lvlText w:val="o"/>
      <w:lvlJc w:val="left"/>
      <w:pPr>
        <w:ind w:left="1610" w:hanging="360"/>
      </w:pPr>
      <w:rPr>
        <w:rFonts w:ascii="Courier New" w:hAnsi="Courier New" w:cs="Courier New" w:hint="default"/>
      </w:rPr>
    </w:lvl>
    <w:lvl w:ilvl="2" w:tplc="14090005" w:tentative="1">
      <w:start w:val="1"/>
      <w:numFmt w:val="bullet"/>
      <w:lvlText w:val=""/>
      <w:lvlJc w:val="left"/>
      <w:pPr>
        <w:ind w:left="2330" w:hanging="360"/>
      </w:pPr>
      <w:rPr>
        <w:rFonts w:ascii="Wingdings" w:hAnsi="Wingdings" w:hint="default"/>
      </w:rPr>
    </w:lvl>
    <w:lvl w:ilvl="3" w:tplc="14090001" w:tentative="1">
      <w:start w:val="1"/>
      <w:numFmt w:val="bullet"/>
      <w:lvlText w:val=""/>
      <w:lvlJc w:val="left"/>
      <w:pPr>
        <w:ind w:left="3050" w:hanging="360"/>
      </w:pPr>
      <w:rPr>
        <w:rFonts w:ascii="Symbol" w:hAnsi="Symbol" w:hint="default"/>
      </w:rPr>
    </w:lvl>
    <w:lvl w:ilvl="4" w:tplc="14090003" w:tentative="1">
      <w:start w:val="1"/>
      <w:numFmt w:val="bullet"/>
      <w:lvlText w:val="o"/>
      <w:lvlJc w:val="left"/>
      <w:pPr>
        <w:ind w:left="3770" w:hanging="360"/>
      </w:pPr>
      <w:rPr>
        <w:rFonts w:ascii="Courier New" w:hAnsi="Courier New" w:cs="Courier New" w:hint="default"/>
      </w:rPr>
    </w:lvl>
    <w:lvl w:ilvl="5" w:tplc="14090005" w:tentative="1">
      <w:start w:val="1"/>
      <w:numFmt w:val="bullet"/>
      <w:lvlText w:val=""/>
      <w:lvlJc w:val="left"/>
      <w:pPr>
        <w:ind w:left="4490" w:hanging="360"/>
      </w:pPr>
      <w:rPr>
        <w:rFonts w:ascii="Wingdings" w:hAnsi="Wingdings" w:hint="default"/>
      </w:rPr>
    </w:lvl>
    <w:lvl w:ilvl="6" w:tplc="14090001" w:tentative="1">
      <w:start w:val="1"/>
      <w:numFmt w:val="bullet"/>
      <w:lvlText w:val=""/>
      <w:lvlJc w:val="left"/>
      <w:pPr>
        <w:ind w:left="5210" w:hanging="360"/>
      </w:pPr>
      <w:rPr>
        <w:rFonts w:ascii="Symbol" w:hAnsi="Symbol" w:hint="default"/>
      </w:rPr>
    </w:lvl>
    <w:lvl w:ilvl="7" w:tplc="14090003" w:tentative="1">
      <w:start w:val="1"/>
      <w:numFmt w:val="bullet"/>
      <w:lvlText w:val="o"/>
      <w:lvlJc w:val="left"/>
      <w:pPr>
        <w:ind w:left="5930" w:hanging="360"/>
      </w:pPr>
      <w:rPr>
        <w:rFonts w:ascii="Courier New" w:hAnsi="Courier New" w:cs="Courier New" w:hint="default"/>
      </w:rPr>
    </w:lvl>
    <w:lvl w:ilvl="8" w:tplc="14090005" w:tentative="1">
      <w:start w:val="1"/>
      <w:numFmt w:val="bullet"/>
      <w:lvlText w:val=""/>
      <w:lvlJc w:val="left"/>
      <w:pPr>
        <w:ind w:left="6650" w:hanging="360"/>
      </w:pPr>
      <w:rPr>
        <w:rFonts w:ascii="Wingdings" w:hAnsi="Wingdings" w:hint="default"/>
      </w:rPr>
    </w:lvl>
  </w:abstractNum>
  <w:abstractNum w:abstractNumId="23" w15:restartNumberingAfterBreak="0">
    <w:nsid w:val="15545D45"/>
    <w:multiLevelType w:val="hybridMultilevel"/>
    <w:tmpl w:val="17E2A8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58E109B"/>
    <w:multiLevelType w:val="multilevel"/>
    <w:tmpl w:val="65641CC2"/>
    <w:lvl w:ilvl="0">
      <w:start w:val="1"/>
      <w:numFmt w:val="decimal"/>
      <w:pStyle w:val="Section2Heading1"/>
      <w:lvlText w:val="B%1."/>
      <w:lvlJc w:val="left"/>
      <w:pPr>
        <w:ind w:left="1134" w:hanging="1134"/>
      </w:pPr>
      <w:rPr>
        <w:rFonts w:hint="default"/>
      </w:rPr>
    </w:lvl>
    <w:lvl w:ilvl="1">
      <w:start w:val="1"/>
      <w:numFmt w:val="decimal"/>
      <w:pStyle w:val="Section2Heading2"/>
      <w:lvlText w:val="B%1.%2."/>
      <w:lvlJc w:val="left"/>
      <w:pPr>
        <w:ind w:left="1134" w:hanging="1134"/>
      </w:pPr>
      <w:rPr>
        <w:rFonts w:hint="default"/>
      </w:rPr>
    </w:lvl>
    <w:lvl w:ilvl="2">
      <w:start w:val="1"/>
      <w:numFmt w:val="decimal"/>
      <w:pStyle w:val="Section2heading3"/>
      <w:lvlText w:val="B%1.%2.%3."/>
      <w:lvlJc w:val="left"/>
      <w:pPr>
        <w:ind w:left="1134" w:hanging="1134"/>
      </w:pPr>
      <w:rPr>
        <w:rFonts w:hint="default"/>
      </w:rPr>
    </w:lvl>
    <w:lvl w:ilvl="3">
      <w:start w:val="1"/>
      <w:numFmt w:val="decimal"/>
      <w:lvlText w:val="B%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640425B"/>
    <w:multiLevelType w:val="hybridMultilevel"/>
    <w:tmpl w:val="C8981E1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6" w15:restartNumberingAfterBreak="0">
    <w:nsid w:val="16C704E2"/>
    <w:multiLevelType w:val="hybridMultilevel"/>
    <w:tmpl w:val="21366E0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1C4366DA"/>
    <w:multiLevelType w:val="hybridMultilevel"/>
    <w:tmpl w:val="234A3C2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8" w15:restartNumberingAfterBreak="0">
    <w:nsid w:val="1E972C34"/>
    <w:multiLevelType w:val="hybridMultilevel"/>
    <w:tmpl w:val="F018603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9" w15:restartNumberingAfterBreak="0">
    <w:nsid w:val="21764FA7"/>
    <w:multiLevelType w:val="hybridMultilevel"/>
    <w:tmpl w:val="D63C6810"/>
    <w:lvl w:ilvl="0" w:tplc="CE34309C">
      <w:start w:val="1"/>
      <w:numFmt w:val="bullet"/>
      <w:lvlText w:val=""/>
      <w:lvlJc w:val="left"/>
      <w:pPr>
        <w:ind w:left="360" w:hanging="360"/>
      </w:pPr>
      <w:rPr>
        <w:rFonts w:ascii="Symbol" w:hAnsi="Symbol" w:hint="default"/>
      </w:rPr>
    </w:lvl>
    <w:lvl w:ilvl="1" w:tplc="4E28E9BC">
      <w:start w:val="1"/>
      <w:numFmt w:val="bullet"/>
      <w:lvlText w:val="o"/>
      <w:lvlJc w:val="left"/>
      <w:pPr>
        <w:ind w:left="1080" w:hanging="360"/>
      </w:pPr>
      <w:rPr>
        <w:rFonts w:ascii="Courier New" w:hAnsi="Courier New" w:hint="default"/>
      </w:rPr>
    </w:lvl>
    <w:lvl w:ilvl="2" w:tplc="6B74ACA2">
      <w:start w:val="1"/>
      <w:numFmt w:val="bullet"/>
      <w:lvlText w:val=""/>
      <w:lvlJc w:val="left"/>
      <w:pPr>
        <w:ind w:left="1800" w:hanging="360"/>
      </w:pPr>
      <w:rPr>
        <w:rFonts w:ascii="Wingdings" w:hAnsi="Wingdings" w:hint="default"/>
      </w:rPr>
    </w:lvl>
    <w:lvl w:ilvl="3" w:tplc="72EE90E6">
      <w:start w:val="1"/>
      <w:numFmt w:val="bullet"/>
      <w:lvlText w:val=""/>
      <w:lvlJc w:val="left"/>
      <w:pPr>
        <w:ind w:left="2520" w:hanging="360"/>
      </w:pPr>
      <w:rPr>
        <w:rFonts w:ascii="Symbol" w:hAnsi="Symbol" w:hint="default"/>
      </w:rPr>
    </w:lvl>
    <w:lvl w:ilvl="4" w:tplc="5900BEAA">
      <w:start w:val="1"/>
      <w:numFmt w:val="bullet"/>
      <w:lvlText w:val="o"/>
      <w:lvlJc w:val="left"/>
      <w:pPr>
        <w:ind w:left="3240" w:hanging="360"/>
      </w:pPr>
      <w:rPr>
        <w:rFonts w:ascii="Courier New" w:hAnsi="Courier New" w:hint="default"/>
      </w:rPr>
    </w:lvl>
    <w:lvl w:ilvl="5" w:tplc="01DCA4A6">
      <w:start w:val="1"/>
      <w:numFmt w:val="bullet"/>
      <w:lvlText w:val=""/>
      <w:lvlJc w:val="left"/>
      <w:pPr>
        <w:ind w:left="3960" w:hanging="360"/>
      </w:pPr>
      <w:rPr>
        <w:rFonts w:ascii="Wingdings" w:hAnsi="Wingdings" w:hint="default"/>
      </w:rPr>
    </w:lvl>
    <w:lvl w:ilvl="6" w:tplc="04DA5A2C">
      <w:start w:val="1"/>
      <w:numFmt w:val="bullet"/>
      <w:lvlText w:val=""/>
      <w:lvlJc w:val="left"/>
      <w:pPr>
        <w:ind w:left="4680" w:hanging="360"/>
      </w:pPr>
      <w:rPr>
        <w:rFonts w:ascii="Symbol" w:hAnsi="Symbol" w:hint="default"/>
      </w:rPr>
    </w:lvl>
    <w:lvl w:ilvl="7" w:tplc="D29069AC">
      <w:start w:val="1"/>
      <w:numFmt w:val="bullet"/>
      <w:lvlText w:val="o"/>
      <w:lvlJc w:val="left"/>
      <w:pPr>
        <w:ind w:left="5400" w:hanging="360"/>
      </w:pPr>
      <w:rPr>
        <w:rFonts w:ascii="Courier New" w:hAnsi="Courier New" w:hint="default"/>
      </w:rPr>
    </w:lvl>
    <w:lvl w:ilvl="8" w:tplc="6AA24682">
      <w:start w:val="1"/>
      <w:numFmt w:val="bullet"/>
      <w:lvlText w:val=""/>
      <w:lvlJc w:val="left"/>
      <w:pPr>
        <w:ind w:left="6120" w:hanging="360"/>
      </w:pPr>
      <w:rPr>
        <w:rFonts w:ascii="Wingdings" w:hAnsi="Wingdings" w:hint="default"/>
      </w:rPr>
    </w:lvl>
  </w:abstractNum>
  <w:abstractNum w:abstractNumId="30" w15:restartNumberingAfterBreak="0">
    <w:nsid w:val="21D51610"/>
    <w:multiLevelType w:val="hybridMultilevel"/>
    <w:tmpl w:val="0FEAD38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1" w15:restartNumberingAfterBreak="0">
    <w:nsid w:val="23E2551F"/>
    <w:multiLevelType w:val="hybridMultilevel"/>
    <w:tmpl w:val="76FAEF46"/>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2" w15:restartNumberingAfterBreak="0">
    <w:nsid w:val="24D0774D"/>
    <w:multiLevelType w:val="hybridMultilevel"/>
    <w:tmpl w:val="3788AC9E"/>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3" w15:restartNumberingAfterBreak="0">
    <w:nsid w:val="270D4E48"/>
    <w:multiLevelType w:val="hybridMultilevel"/>
    <w:tmpl w:val="B8D679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2AB76BA3"/>
    <w:multiLevelType w:val="hybridMultilevel"/>
    <w:tmpl w:val="501494A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5" w15:restartNumberingAfterBreak="0">
    <w:nsid w:val="2C3D5897"/>
    <w:multiLevelType w:val="hybridMultilevel"/>
    <w:tmpl w:val="C65C329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6" w15:restartNumberingAfterBreak="0">
    <w:nsid w:val="2D0A0E9E"/>
    <w:multiLevelType w:val="hybridMultilevel"/>
    <w:tmpl w:val="D0303FB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7" w15:restartNumberingAfterBreak="0">
    <w:nsid w:val="2D86329A"/>
    <w:multiLevelType w:val="hybridMultilevel"/>
    <w:tmpl w:val="FBD0DE0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8" w15:restartNumberingAfterBreak="0">
    <w:nsid w:val="30B43270"/>
    <w:multiLevelType w:val="hybridMultilevel"/>
    <w:tmpl w:val="7402EBF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9" w15:restartNumberingAfterBreak="0">
    <w:nsid w:val="31E54EF6"/>
    <w:multiLevelType w:val="hybridMultilevel"/>
    <w:tmpl w:val="0F10492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0" w15:restartNumberingAfterBreak="0">
    <w:nsid w:val="33FE57FE"/>
    <w:multiLevelType w:val="hybridMultilevel"/>
    <w:tmpl w:val="E1A0646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15:restartNumberingAfterBreak="0">
    <w:nsid w:val="35651CA6"/>
    <w:multiLevelType w:val="hybridMultilevel"/>
    <w:tmpl w:val="84F89AE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2" w15:restartNumberingAfterBreak="0">
    <w:nsid w:val="35DA1F23"/>
    <w:multiLevelType w:val="hybridMultilevel"/>
    <w:tmpl w:val="5074DAD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3" w15:restartNumberingAfterBreak="0">
    <w:nsid w:val="3A091DEB"/>
    <w:multiLevelType w:val="hybridMultilevel"/>
    <w:tmpl w:val="F29A9436"/>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4" w15:restartNumberingAfterBreak="0">
    <w:nsid w:val="3B630EEB"/>
    <w:multiLevelType w:val="hybridMultilevel"/>
    <w:tmpl w:val="E912FA5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5" w15:restartNumberingAfterBreak="0">
    <w:nsid w:val="3B6A2145"/>
    <w:multiLevelType w:val="hybridMultilevel"/>
    <w:tmpl w:val="1B76DC9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6" w15:restartNumberingAfterBreak="0">
    <w:nsid w:val="3BA61B65"/>
    <w:multiLevelType w:val="hybridMultilevel"/>
    <w:tmpl w:val="6C8C915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7" w15:restartNumberingAfterBreak="0">
    <w:nsid w:val="3C5B3393"/>
    <w:multiLevelType w:val="hybridMultilevel"/>
    <w:tmpl w:val="A2260F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403A251B"/>
    <w:multiLevelType w:val="hybridMultilevel"/>
    <w:tmpl w:val="2BEEA76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42033047"/>
    <w:multiLevelType w:val="hybridMultilevel"/>
    <w:tmpl w:val="3302580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42B00E18"/>
    <w:multiLevelType w:val="hybridMultilevel"/>
    <w:tmpl w:val="C136D35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1" w15:restartNumberingAfterBreak="0">
    <w:nsid w:val="42B67CD3"/>
    <w:multiLevelType w:val="hybridMultilevel"/>
    <w:tmpl w:val="DCA07AF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2" w15:restartNumberingAfterBreak="0">
    <w:nsid w:val="433E598A"/>
    <w:multiLevelType w:val="hybridMultilevel"/>
    <w:tmpl w:val="8792686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3" w15:restartNumberingAfterBreak="0">
    <w:nsid w:val="4575608C"/>
    <w:multiLevelType w:val="hybridMultilevel"/>
    <w:tmpl w:val="5394C3F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4" w15:restartNumberingAfterBreak="0">
    <w:nsid w:val="458373D5"/>
    <w:multiLevelType w:val="hybridMultilevel"/>
    <w:tmpl w:val="0BE8173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5" w15:restartNumberingAfterBreak="0">
    <w:nsid w:val="461E39CC"/>
    <w:multiLevelType w:val="hybridMultilevel"/>
    <w:tmpl w:val="0B4CA93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6" w15:restartNumberingAfterBreak="0">
    <w:nsid w:val="48384FD6"/>
    <w:multiLevelType w:val="hybridMultilevel"/>
    <w:tmpl w:val="1A56B8B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7" w15:restartNumberingAfterBreak="0">
    <w:nsid w:val="49162446"/>
    <w:multiLevelType w:val="hybridMultilevel"/>
    <w:tmpl w:val="6F105B5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8" w15:restartNumberingAfterBreak="0">
    <w:nsid w:val="498531AE"/>
    <w:multiLevelType w:val="hybridMultilevel"/>
    <w:tmpl w:val="1D2210B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9" w15:restartNumberingAfterBreak="0">
    <w:nsid w:val="49F91BE3"/>
    <w:multiLevelType w:val="hybridMultilevel"/>
    <w:tmpl w:val="F84C470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0" w15:restartNumberingAfterBreak="0">
    <w:nsid w:val="5083074C"/>
    <w:multiLevelType w:val="hybridMultilevel"/>
    <w:tmpl w:val="1D48CD5E"/>
    <w:lvl w:ilvl="0" w:tplc="D528F150">
      <w:start w:val="1"/>
      <w:numFmt w:val="bullet"/>
      <w:lvlText w:val=""/>
      <w:lvlJc w:val="left"/>
      <w:pPr>
        <w:ind w:left="717" w:hanging="360"/>
      </w:pPr>
      <w:rPr>
        <w:rFonts w:ascii="Symbol" w:hAnsi="Symbol" w:hint="default"/>
      </w:rPr>
    </w:lvl>
    <w:lvl w:ilvl="1" w:tplc="3C68B5A2" w:tentative="1">
      <w:start w:val="1"/>
      <w:numFmt w:val="bullet"/>
      <w:lvlText w:val="o"/>
      <w:lvlJc w:val="left"/>
      <w:pPr>
        <w:ind w:left="1437" w:hanging="360"/>
      </w:pPr>
      <w:rPr>
        <w:rFonts w:ascii="Courier New" w:hAnsi="Courier New" w:hint="default"/>
      </w:rPr>
    </w:lvl>
    <w:lvl w:ilvl="2" w:tplc="BFA0D4DC" w:tentative="1">
      <w:start w:val="1"/>
      <w:numFmt w:val="bullet"/>
      <w:lvlText w:val=""/>
      <w:lvlJc w:val="left"/>
      <w:pPr>
        <w:ind w:left="2157" w:hanging="360"/>
      </w:pPr>
      <w:rPr>
        <w:rFonts w:ascii="Wingdings" w:hAnsi="Wingdings" w:hint="default"/>
      </w:rPr>
    </w:lvl>
    <w:lvl w:ilvl="3" w:tplc="A092AD3A" w:tentative="1">
      <w:start w:val="1"/>
      <w:numFmt w:val="bullet"/>
      <w:lvlText w:val=""/>
      <w:lvlJc w:val="left"/>
      <w:pPr>
        <w:ind w:left="2877" w:hanging="360"/>
      </w:pPr>
      <w:rPr>
        <w:rFonts w:ascii="Symbol" w:hAnsi="Symbol" w:hint="default"/>
      </w:rPr>
    </w:lvl>
    <w:lvl w:ilvl="4" w:tplc="1FE4BA34" w:tentative="1">
      <w:start w:val="1"/>
      <w:numFmt w:val="bullet"/>
      <w:lvlText w:val="o"/>
      <w:lvlJc w:val="left"/>
      <w:pPr>
        <w:ind w:left="3597" w:hanging="360"/>
      </w:pPr>
      <w:rPr>
        <w:rFonts w:ascii="Courier New" w:hAnsi="Courier New" w:hint="default"/>
      </w:rPr>
    </w:lvl>
    <w:lvl w:ilvl="5" w:tplc="E6C6B642" w:tentative="1">
      <w:start w:val="1"/>
      <w:numFmt w:val="bullet"/>
      <w:lvlText w:val=""/>
      <w:lvlJc w:val="left"/>
      <w:pPr>
        <w:ind w:left="4317" w:hanging="360"/>
      </w:pPr>
      <w:rPr>
        <w:rFonts w:ascii="Wingdings" w:hAnsi="Wingdings" w:hint="default"/>
      </w:rPr>
    </w:lvl>
    <w:lvl w:ilvl="6" w:tplc="8B40C0F8" w:tentative="1">
      <w:start w:val="1"/>
      <w:numFmt w:val="bullet"/>
      <w:lvlText w:val=""/>
      <w:lvlJc w:val="left"/>
      <w:pPr>
        <w:ind w:left="5037" w:hanging="360"/>
      </w:pPr>
      <w:rPr>
        <w:rFonts w:ascii="Symbol" w:hAnsi="Symbol" w:hint="default"/>
      </w:rPr>
    </w:lvl>
    <w:lvl w:ilvl="7" w:tplc="8368C872" w:tentative="1">
      <w:start w:val="1"/>
      <w:numFmt w:val="bullet"/>
      <w:lvlText w:val="o"/>
      <w:lvlJc w:val="left"/>
      <w:pPr>
        <w:ind w:left="5757" w:hanging="360"/>
      </w:pPr>
      <w:rPr>
        <w:rFonts w:ascii="Courier New" w:hAnsi="Courier New" w:hint="default"/>
      </w:rPr>
    </w:lvl>
    <w:lvl w:ilvl="8" w:tplc="399A3672" w:tentative="1">
      <w:start w:val="1"/>
      <w:numFmt w:val="bullet"/>
      <w:lvlText w:val=""/>
      <w:lvlJc w:val="left"/>
      <w:pPr>
        <w:ind w:left="6477" w:hanging="360"/>
      </w:pPr>
      <w:rPr>
        <w:rFonts w:ascii="Wingdings" w:hAnsi="Wingdings" w:hint="default"/>
      </w:rPr>
    </w:lvl>
  </w:abstractNum>
  <w:abstractNum w:abstractNumId="61" w15:restartNumberingAfterBreak="0">
    <w:nsid w:val="547C5844"/>
    <w:multiLevelType w:val="hybridMultilevel"/>
    <w:tmpl w:val="93CA3FB0"/>
    <w:lvl w:ilvl="0" w:tplc="14090001">
      <w:start w:val="1"/>
      <w:numFmt w:val="bullet"/>
      <w:lvlText w:val=""/>
      <w:lvlJc w:val="left"/>
      <w:pPr>
        <w:ind w:left="530" w:hanging="360"/>
      </w:pPr>
      <w:rPr>
        <w:rFonts w:ascii="Symbol" w:hAnsi="Symbol" w:hint="default"/>
      </w:rPr>
    </w:lvl>
    <w:lvl w:ilvl="1" w:tplc="14090003" w:tentative="1">
      <w:start w:val="1"/>
      <w:numFmt w:val="bullet"/>
      <w:lvlText w:val="o"/>
      <w:lvlJc w:val="left"/>
      <w:pPr>
        <w:ind w:left="1250" w:hanging="360"/>
      </w:pPr>
      <w:rPr>
        <w:rFonts w:ascii="Courier New" w:hAnsi="Courier New" w:cs="Courier New" w:hint="default"/>
      </w:rPr>
    </w:lvl>
    <w:lvl w:ilvl="2" w:tplc="14090005" w:tentative="1">
      <w:start w:val="1"/>
      <w:numFmt w:val="bullet"/>
      <w:lvlText w:val=""/>
      <w:lvlJc w:val="left"/>
      <w:pPr>
        <w:ind w:left="1970" w:hanging="360"/>
      </w:pPr>
      <w:rPr>
        <w:rFonts w:ascii="Wingdings" w:hAnsi="Wingdings" w:hint="default"/>
      </w:rPr>
    </w:lvl>
    <w:lvl w:ilvl="3" w:tplc="14090001" w:tentative="1">
      <w:start w:val="1"/>
      <w:numFmt w:val="bullet"/>
      <w:lvlText w:val=""/>
      <w:lvlJc w:val="left"/>
      <w:pPr>
        <w:ind w:left="2690" w:hanging="360"/>
      </w:pPr>
      <w:rPr>
        <w:rFonts w:ascii="Symbol" w:hAnsi="Symbol" w:hint="default"/>
      </w:rPr>
    </w:lvl>
    <w:lvl w:ilvl="4" w:tplc="14090003" w:tentative="1">
      <w:start w:val="1"/>
      <w:numFmt w:val="bullet"/>
      <w:lvlText w:val="o"/>
      <w:lvlJc w:val="left"/>
      <w:pPr>
        <w:ind w:left="3410" w:hanging="360"/>
      </w:pPr>
      <w:rPr>
        <w:rFonts w:ascii="Courier New" w:hAnsi="Courier New" w:cs="Courier New" w:hint="default"/>
      </w:rPr>
    </w:lvl>
    <w:lvl w:ilvl="5" w:tplc="14090005" w:tentative="1">
      <w:start w:val="1"/>
      <w:numFmt w:val="bullet"/>
      <w:lvlText w:val=""/>
      <w:lvlJc w:val="left"/>
      <w:pPr>
        <w:ind w:left="4130" w:hanging="360"/>
      </w:pPr>
      <w:rPr>
        <w:rFonts w:ascii="Wingdings" w:hAnsi="Wingdings" w:hint="default"/>
      </w:rPr>
    </w:lvl>
    <w:lvl w:ilvl="6" w:tplc="14090001" w:tentative="1">
      <w:start w:val="1"/>
      <w:numFmt w:val="bullet"/>
      <w:lvlText w:val=""/>
      <w:lvlJc w:val="left"/>
      <w:pPr>
        <w:ind w:left="4850" w:hanging="360"/>
      </w:pPr>
      <w:rPr>
        <w:rFonts w:ascii="Symbol" w:hAnsi="Symbol" w:hint="default"/>
      </w:rPr>
    </w:lvl>
    <w:lvl w:ilvl="7" w:tplc="14090003" w:tentative="1">
      <w:start w:val="1"/>
      <w:numFmt w:val="bullet"/>
      <w:lvlText w:val="o"/>
      <w:lvlJc w:val="left"/>
      <w:pPr>
        <w:ind w:left="5570" w:hanging="360"/>
      </w:pPr>
      <w:rPr>
        <w:rFonts w:ascii="Courier New" w:hAnsi="Courier New" w:cs="Courier New" w:hint="default"/>
      </w:rPr>
    </w:lvl>
    <w:lvl w:ilvl="8" w:tplc="14090005" w:tentative="1">
      <w:start w:val="1"/>
      <w:numFmt w:val="bullet"/>
      <w:lvlText w:val=""/>
      <w:lvlJc w:val="left"/>
      <w:pPr>
        <w:ind w:left="6290" w:hanging="360"/>
      </w:pPr>
      <w:rPr>
        <w:rFonts w:ascii="Wingdings" w:hAnsi="Wingdings" w:hint="default"/>
      </w:rPr>
    </w:lvl>
  </w:abstractNum>
  <w:abstractNum w:abstractNumId="62" w15:restartNumberingAfterBreak="0">
    <w:nsid w:val="554458D8"/>
    <w:multiLevelType w:val="multilevel"/>
    <w:tmpl w:val="3FF06DE6"/>
    <w:lvl w:ilvl="0">
      <w:start w:val="1"/>
      <w:numFmt w:val="decimal"/>
      <w:pStyle w:val="NumbHeading1"/>
      <w:lvlText w:val="A%1."/>
      <w:lvlJc w:val="left"/>
      <w:pPr>
        <w:ind w:left="1134" w:hanging="1134"/>
      </w:pPr>
      <w:rPr>
        <w:rFonts w:hint="default"/>
      </w:rPr>
    </w:lvl>
    <w:lvl w:ilvl="1">
      <w:start w:val="1"/>
      <w:numFmt w:val="decimal"/>
      <w:pStyle w:val="NumbHeading2"/>
      <w:lvlText w:val="A%1.%2."/>
      <w:lvlJc w:val="left"/>
      <w:pPr>
        <w:ind w:left="1134" w:hanging="1134"/>
      </w:pPr>
      <w:rPr>
        <w:rFonts w:hint="default"/>
      </w:rPr>
    </w:lvl>
    <w:lvl w:ilvl="2">
      <w:start w:val="1"/>
      <w:numFmt w:val="decimal"/>
      <w:pStyle w:val="NumbHeading3"/>
      <w:lvlText w:val="A%1.%2.%3."/>
      <w:lvlJc w:val="left"/>
      <w:pPr>
        <w:ind w:left="1134" w:hanging="1134"/>
      </w:pPr>
      <w:rPr>
        <w:rFonts w:hint="default"/>
      </w:rPr>
    </w:lvl>
    <w:lvl w:ilvl="3">
      <w:start w:val="1"/>
      <w:numFmt w:val="decimal"/>
      <w:lvlText w:val="A%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55625D1E"/>
    <w:multiLevelType w:val="hybridMultilevel"/>
    <w:tmpl w:val="FEC8E26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4" w15:restartNumberingAfterBreak="0">
    <w:nsid w:val="57983D16"/>
    <w:multiLevelType w:val="hybridMultilevel"/>
    <w:tmpl w:val="89CC022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5" w15:restartNumberingAfterBreak="0">
    <w:nsid w:val="599B508F"/>
    <w:multiLevelType w:val="hybridMultilevel"/>
    <w:tmpl w:val="24843C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59F83532"/>
    <w:multiLevelType w:val="hybridMultilevel"/>
    <w:tmpl w:val="F91EB41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7" w15:restartNumberingAfterBreak="0">
    <w:nsid w:val="5A523F36"/>
    <w:multiLevelType w:val="hybridMultilevel"/>
    <w:tmpl w:val="7C1CAE8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8" w15:restartNumberingAfterBreak="0">
    <w:nsid w:val="5B1044DC"/>
    <w:multiLevelType w:val="hybridMultilevel"/>
    <w:tmpl w:val="BB7E844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9" w15:restartNumberingAfterBreak="0">
    <w:nsid w:val="5BCB49BA"/>
    <w:multiLevelType w:val="multilevel"/>
    <w:tmpl w:val="9A8C59D6"/>
    <w:lvl w:ilvl="0">
      <w:start w:val="1"/>
      <w:numFmt w:val="decimal"/>
      <w:pStyle w:val="Section3heading1"/>
      <w:lvlText w:val="C%1."/>
      <w:lvlJc w:val="left"/>
      <w:pPr>
        <w:ind w:left="1134" w:hanging="1134"/>
      </w:pPr>
      <w:rPr>
        <w:rFonts w:hint="default"/>
      </w:rPr>
    </w:lvl>
    <w:lvl w:ilvl="1">
      <w:start w:val="1"/>
      <w:numFmt w:val="decimal"/>
      <w:pStyle w:val="Section3heading2"/>
      <w:lvlText w:val="C%1.%2."/>
      <w:lvlJc w:val="left"/>
      <w:pPr>
        <w:ind w:left="1134" w:hanging="1134"/>
      </w:pPr>
      <w:rPr>
        <w:rFonts w:hint="default"/>
      </w:rPr>
    </w:lvl>
    <w:lvl w:ilvl="2">
      <w:start w:val="1"/>
      <w:numFmt w:val="decimal"/>
      <w:pStyle w:val="Section3heading3"/>
      <w:lvlText w:val="C%1.%2.%3."/>
      <w:lvlJc w:val="left"/>
      <w:pPr>
        <w:ind w:left="1134" w:hanging="113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5E0F402C"/>
    <w:multiLevelType w:val="hybridMultilevel"/>
    <w:tmpl w:val="4F584AA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1" w15:restartNumberingAfterBreak="0">
    <w:nsid w:val="5E133F55"/>
    <w:multiLevelType w:val="hybridMultilevel"/>
    <w:tmpl w:val="7540A8AE"/>
    <w:lvl w:ilvl="0" w:tplc="817854FC">
      <w:start w:val="1"/>
      <w:numFmt w:val="bullet"/>
      <w:pStyle w:val="ListBullet"/>
      <w:lvlText w:val=""/>
      <w:lvlJc w:val="left"/>
      <w:pPr>
        <w:ind w:left="393" w:hanging="360"/>
      </w:pPr>
      <w:rPr>
        <w:rFonts w:ascii="Symbol" w:hAnsi="Symbol" w:hint="default"/>
      </w:rPr>
    </w:lvl>
    <w:lvl w:ilvl="1" w:tplc="14090003">
      <w:start w:val="1"/>
      <w:numFmt w:val="bullet"/>
      <w:lvlText w:val="o"/>
      <w:lvlJc w:val="left"/>
      <w:pPr>
        <w:ind w:left="1113" w:hanging="360"/>
      </w:pPr>
      <w:rPr>
        <w:rFonts w:ascii="Courier New" w:hAnsi="Courier New" w:cs="Courier New" w:hint="default"/>
      </w:rPr>
    </w:lvl>
    <w:lvl w:ilvl="2" w:tplc="14090005" w:tentative="1">
      <w:start w:val="1"/>
      <w:numFmt w:val="bullet"/>
      <w:lvlText w:val=""/>
      <w:lvlJc w:val="left"/>
      <w:pPr>
        <w:ind w:left="1833" w:hanging="360"/>
      </w:pPr>
      <w:rPr>
        <w:rFonts w:ascii="Wingdings" w:hAnsi="Wingdings" w:hint="default"/>
      </w:rPr>
    </w:lvl>
    <w:lvl w:ilvl="3" w:tplc="14090001" w:tentative="1">
      <w:start w:val="1"/>
      <w:numFmt w:val="bullet"/>
      <w:lvlText w:val=""/>
      <w:lvlJc w:val="left"/>
      <w:pPr>
        <w:ind w:left="2553" w:hanging="360"/>
      </w:pPr>
      <w:rPr>
        <w:rFonts w:ascii="Symbol" w:hAnsi="Symbol" w:hint="default"/>
      </w:rPr>
    </w:lvl>
    <w:lvl w:ilvl="4" w:tplc="14090003" w:tentative="1">
      <w:start w:val="1"/>
      <w:numFmt w:val="bullet"/>
      <w:lvlText w:val="o"/>
      <w:lvlJc w:val="left"/>
      <w:pPr>
        <w:ind w:left="3273" w:hanging="360"/>
      </w:pPr>
      <w:rPr>
        <w:rFonts w:ascii="Courier New" w:hAnsi="Courier New" w:cs="Courier New" w:hint="default"/>
      </w:rPr>
    </w:lvl>
    <w:lvl w:ilvl="5" w:tplc="14090005" w:tentative="1">
      <w:start w:val="1"/>
      <w:numFmt w:val="bullet"/>
      <w:lvlText w:val=""/>
      <w:lvlJc w:val="left"/>
      <w:pPr>
        <w:ind w:left="3993" w:hanging="360"/>
      </w:pPr>
      <w:rPr>
        <w:rFonts w:ascii="Wingdings" w:hAnsi="Wingdings" w:hint="default"/>
      </w:rPr>
    </w:lvl>
    <w:lvl w:ilvl="6" w:tplc="14090001" w:tentative="1">
      <w:start w:val="1"/>
      <w:numFmt w:val="bullet"/>
      <w:lvlText w:val=""/>
      <w:lvlJc w:val="left"/>
      <w:pPr>
        <w:ind w:left="4713" w:hanging="360"/>
      </w:pPr>
      <w:rPr>
        <w:rFonts w:ascii="Symbol" w:hAnsi="Symbol" w:hint="default"/>
      </w:rPr>
    </w:lvl>
    <w:lvl w:ilvl="7" w:tplc="14090003" w:tentative="1">
      <w:start w:val="1"/>
      <w:numFmt w:val="bullet"/>
      <w:lvlText w:val="o"/>
      <w:lvlJc w:val="left"/>
      <w:pPr>
        <w:ind w:left="5433" w:hanging="360"/>
      </w:pPr>
      <w:rPr>
        <w:rFonts w:ascii="Courier New" w:hAnsi="Courier New" w:cs="Courier New" w:hint="default"/>
      </w:rPr>
    </w:lvl>
    <w:lvl w:ilvl="8" w:tplc="14090005" w:tentative="1">
      <w:start w:val="1"/>
      <w:numFmt w:val="bullet"/>
      <w:lvlText w:val=""/>
      <w:lvlJc w:val="left"/>
      <w:pPr>
        <w:ind w:left="6153" w:hanging="360"/>
      </w:pPr>
      <w:rPr>
        <w:rFonts w:ascii="Wingdings" w:hAnsi="Wingdings" w:hint="default"/>
      </w:rPr>
    </w:lvl>
  </w:abstractNum>
  <w:abstractNum w:abstractNumId="72" w15:restartNumberingAfterBreak="0">
    <w:nsid w:val="5F61523B"/>
    <w:multiLevelType w:val="hybridMultilevel"/>
    <w:tmpl w:val="B12C666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3" w15:restartNumberingAfterBreak="0">
    <w:nsid w:val="5FAE5BAA"/>
    <w:multiLevelType w:val="hybridMultilevel"/>
    <w:tmpl w:val="8CF4F8F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4" w15:restartNumberingAfterBreak="0">
    <w:nsid w:val="5FD1215B"/>
    <w:multiLevelType w:val="hybridMultilevel"/>
    <w:tmpl w:val="CC66EB0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5" w15:restartNumberingAfterBreak="0">
    <w:nsid w:val="606258C7"/>
    <w:multiLevelType w:val="hybridMultilevel"/>
    <w:tmpl w:val="1526934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6" w15:restartNumberingAfterBreak="0">
    <w:nsid w:val="61A00E9E"/>
    <w:multiLevelType w:val="hybridMultilevel"/>
    <w:tmpl w:val="062E8CFE"/>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7" w15:restartNumberingAfterBreak="0">
    <w:nsid w:val="6413681D"/>
    <w:multiLevelType w:val="hybridMultilevel"/>
    <w:tmpl w:val="F3E8CC6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8" w15:restartNumberingAfterBreak="0">
    <w:nsid w:val="643B6D15"/>
    <w:multiLevelType w:val="multilevel"/>
    <w:tmpl w:val="810C4460"/>
    <w:lvl w:ilvl="0">
      <w:start w:val="1"/>
      <w:numFmt w:val="none"/>
      <w:pStyle w:val="A1NumHeading"/>
      <w:lvlText w:val="A1"/>
      <w:lvlJc w:val="left"/>
      <w:pPr>
        <w:ind w:left="1021" w:hanging="1021"/>
      </w:pPr>
      <w:rPr>
        <w:rFonts w:hint="default"/>
      </w:rPr>
    </w:lvl>
    <w:lvl w:ilvl="1">
      <w:start w:val="1"/>
      <w:numFmt w:val="decimal"/>
      <w:lvlText w:val="%1.1"/>
      <w:lvlJc w:val="left"/>
      <w:pPr>
        <w:ind w:left="1021" w:hanging="102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646E0D7C"/>
    <w:multiLevelType w:val="hybridMultilevel"/>
    <w:tmpl w:val="A514734A"/>
    <w:lvl w:ilvl="0" w:tplc="14090017">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0" w15:restartNumberingAfterBreak="0">
    <w:nsid w:val="656350FC"/>
    <w:multiLevelType w:val="hybridMultilevel"/>
    <w:tmpl w:val="0F00EC3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1" w15:restartNumberingAfterBreak="0">
    <w:nsid w:val="659D7AB4"/>
    <w:multiLevelType w:val="hybridMultilevel"/>
    <w:tmpl w:val="5BE82D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65AF3F8C"/>
    <w:multiLevelType w:val="hybridMultilevel"/>
    <w:tmpl w:val="26CE2EA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3" w15:restartNumberingAfterBreak="0">
    <w:nsid w:val="66C73540"/>
    <w:multiLevelType w:val="hybridMultilevel"/>
    <w:tmpl w:val="1812E17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4" w15:restartNumberingAfterBreak="0">
    <w:nsid w:val="67C95DAC"/>
    <w:multiLevelType w:val="hybridMultilevel"/>
    <w:tmpl w:val="2DB2629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5" w15:restartNumberingAfterBreak="0">
    <w:nsid w:val="68943A13"/>
    <w:multiLevelType w:val="hybridMultilevel"/>
    <w:tmpl w:val="BB844270"/>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6" w15:restartNumberingAfterBreak="0">
    <w:nsid w:val="69C50851"/>
    <w:multiLevelType w:val="hybridMultilevel"/>
    <w:tmpl w:val="844CD0A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7" w15:restartNumberingAfterBreak="0">
    <w:nsid w:val="6B2E0B58"/>
    <w:multiLevelType w:val="multilevel"/>
    <w:tmpl w:val="95C673F2"/>
    <w:lvl w:ilvl="0">
      <w:start w:val="1"/>
      <w:numFmt w:val="decimal"/>
      <w:lvlText w:val="%1."/>
      <w:lvlJc w:val="left"/>
      <w:pPr>
        <w:ind w:left="360" w:hanging="360"/>
      </w:pPr>
    </w:lvl>
    <w:lvl w:ilvl="1">
      <w:start w:val="1"/>
      <w:numFmt w:val="decimal"/>
      <w:pStyle w:val="Section6Heading2"/>
      <w:lvlText w:val="%1.%2."/>
      <w:lvlJc w:val="left"/>
      <w:pPr>
        <w:ind w:left="792" w:hanging="432"/>
      </w:pPr>
    </w:lvl>
    <w:lvl w:ilvl="2">
      <w:start w:val="1"/>
      <w:numFmt w:val="decimal"/>
      <w:pStyle w:val="Section6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6B3C301F"/>
    <w:multiLevelType w:val="hybridMultilevel"/>
    <w:tmpl w:val="8528D09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9" w15:restartNumberingAfterBreak="0">
    <w:nsid w:val="6CB2255B"/>
    <w:multiLevelType w:val="hybridMultilevel"/>
    <w:tmpl w:val="966E8C4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0" w15:restartNumberingAfterBreak="0">
    <w:nsid w:val="6CF40F2A"/>
    <w:multiLevelType w:val="multilevel"/>
    <w:tmpl w:val="D9AC4086"/>
    <w:lvl w:ilvl="0">
      <w:start w:val="1"/>
      <w:numFmt w:val="upperLetter"/>
      <w:suff w:val="space"/>
      <w:lvlText w:val="Part %1:"/>
      <w:lvlJc w:val="left"/>
      <w:pPr>
        <w:ind w:left="284" w:hanging="284"/>
      </w:pPr>
      <w:rPr>
        <w:rFonts w:hint="default"/>
      </w:rPr>
    </w:lvl>
    <w:lvl w:ilvl="1">
      <w:start w:val="1"/>
      <w:numFmt w:val="decimal"/>
      <w:lvlText w:val="%1%2"/>
      <w:lvlJc w:val="left"/>
      <w:pPr>
        <w:ind w:left="1418" w:hanging="1418"/>
      </w:pPr>
      <w:rPr>
        <w:rFonts w:hint="default"/>
      </w:rPr>
    </w:lvl>
    <w:lvl w:ilvl="2">
      <w:start w:val="1"/>
      <w:numFmt w:val="decimal"/>
      <w:pStyle w:val="NumberedHeading2"/>
      <w:lvlText w:val="%1%2.%3"/>
      <w:lvlJc w:val="left"/>
      <w:pPr>
        <w:ind w:left="1418" w:hanging="1418"/>
      </w:pPr>
      <w:rPr>
        <w:rFonts w:hint="default"/>
      </w:rPr>
    </w:lvl>
    <w:lvl w:ilvl="3">
      <w:start w:val="1"/>
      <w:numFmt w:val="decimal"/>
      <w:pStyle w:val="NumberedHeading3"/>
      <w:lvlText w:val="%1%2.%3.%4"/>
      <w:lvlJc w:val="left"/>
      <w:pPr>
        <w:ind w:left="1418" w:hanging="1418"/>
      </w:pPr>
      <w:rPr>
        <w:rFonts w:hint="default"/>
      </w:rPr>
    </w:lvl>
    <w:lvl w:ilvl="4">
      <w:start w:val="1"/>
      <w:numFmt w:val="decimal"/>
      <w:pStyle w:val="NumberedHeading4"/>
      <w:lvlText w:val="%1%2.%3.%4.%5"/>
      <w:lvlJc w:val="left"/>
      <w:pPr>
        <w:ind w:left="1701" w:hanging="1701"/>
      </w:pPr>
      <w:rPr>
        <w:rFonts w:hint="default"/>
      </w:rPr>
    </w:lvl>
    <w:lvl w:ilvl="5">
      <w:start w:val="1"/>
      <w:numFmt w:val="decimal"/>
      <w:lvlText w:val="Appendix %1%6"/>
      <w:lvlJc w:val="left"/>
      <w:pPr>
        <w:ind w:left="0" w:firstLine="0"/>
      </w:pPr>
      <w:rPr>
        <w:rFonts w:hint="default"/>
      </w:rPr>
    </w:lvl>
    <w:lvl w:ilvl="6">
      <w:start w:val="1"/>
      <w:numFmt w:val="decimal"/>
      <w:pStyle w:val="AppendixHeading2"/>
      <w:lvlText w:val="%1%6.%7"/>
      <w:lvlJc w:val="left"/>
      <w:pPr>
        <w:ind w:left="1418" w:hanging="1418"/>
      </w:pPr>
      <w:rPr>
        <w:rFonts w:hint="default"/>
      </w:rPr>
    </w:lvl>
    <w:lvl w:ilvl="7">
      <w:start w:val="1"/>
      <w:numFmt w:val="decimal"/>
      <w:pStyle w:val="AppendixHeading3"/>
      <w:lvlText w:val="%1%6.%7.%8"/>
      <w:lvlJc w:val="left"/>
      <w:pPr>
        <w:ind w:left="1418" w:hanging="1418"/>
      </w:pPr>
      <w:rPr>
        <w:rFonts w:hint="default"/>
      </w:rPr>
    </w:lvl>
    <w:lvl w:ilvl="8">
      <w:start w:val="1"/>
      <w:numFmt w:val="decimal"/>
      <w:pStyle w:val="AppendixHeading4"/>
      <w:lvlText w:val="%1%6.%7.%8.%9"/>
      <w:lvlJc w:val="left"/>
      <w:pPr>
        <w:ind w:left="1701" w:hanging="1701"/>
      </w:pPr>
      <w:rPr>
        <w:rFonts w:hint="default"/>
      </w:rPr>
    </w:lvl>
  </w:abstractNum>
  <w:abstractNum w:abstractNumId="91" w15:restartNumberingAfterBreak="0">
    <w:nsid w:val="6DB926FC"/>
    <w:multiLevelType w:val="hybridMultilevel"/>
    <w:tmpl w:val="96CED39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2" w15:restartNumberingAfterBreak="0">
    <w:nsid w:val="6E4B0803"/>
    <w:multiLevelType w:val="hybridMultilevel"/>
    <w:tmpl w:val="F5B02C5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3" w15:restartNumberingAfterBreak="0">
    <w:nsid w:val="6E8A7A8C"/>
    <w:multiLevelType w:val="hybridMultilevel"/>
    <w:tmpl w:val="2AD6CC3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4" w15:restartNumberingAfterBreak="0">
    <w:nsid w:val="700242F3"/>
    <w:multiLevelType w:val="hybridMultilevel"/>
    <w:tmpl w:val="5A5013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5" w15:restartNumberingAfterBreak="0">
    <w:nsid w:val="70497880"/>
    <w:multiLevelType w:val="hybridMultilevel"/>
    <w:tmpl w:val="200851B4"/>
    <w:lvl w:ilvl="0" w:tplc="14090001">
      <w:start w:val="1"/>
      <w:numFmt w:val="bullet"/>
      <w:lvlText w:val=""/>
      <w:lvlJc w:val="left"/>
      <w:pPr>
        <w:ind w:left="717" w:hanging="360"/>
      </w:pPr>
      <w:rPr>
        <w:rFonts w:ascii="Symbol" w:hAnsi="Symbol" w:hint="default"/>
      </w:rPr>
    </w:lvl>
    <w:lvl w:ilvl="1" w:tplc="14090003" w:tentative="1">
      <w:start w:val="1"/>
      <w:numFmt w:val="bullet"/>
      <w:lvlText w:val="o"/>
      <w:lvlJc w:val="left"/>
      <w:pPr>
        <w:ind w:left="1437" w:hanging="360"/>
      </w:pPr>
      <w:rPr>
        <w:rFonts w:ascii="Courier New" w:hAnsi="Courier New" w:cs="Courier New" w:hint="default"/>
      </w:rPr>
    </w:lvl>
    <w:lvl w:ilvl="2" w:tplc="14090005" w:tentative="1">
      <w:start w:val="1"/>
      <w:numFmt w:val="bullet"/>
      <w:lvlText w:val=""/>
      <w:lvlJc w:val="left"/>
      <w:pPr>
        <w:ind w:left="2157" w:hanging="360"/>
      </w:pPr>
      <w:rPr>
        <w:rFonts w:ascii="Wingdings" w:hAnsi="Wingdings" w:hint="default"/>
      </w:rPr>
    </w:lvl>
    <w:lvl w:ilvl="3" w:tplc="14090001" w:tentative="1">
      <w:start w:val="1"/>
      <w:numFmt w:val="bullet"/>
      <w:lvlText w:val=""/>
      <w:lvlJc w:val="left"/>
      <w:pPr>
        <w:ind w:left="2877" w:hanging="360"/>
      </w:pPr>
      <w:rPr>
        <w:rFonts w:ascii="Symbol" w:hAnsi="Symbol" w:hint="default"/>
      </w:rPr>
    </w:lvl>
    <w:lvl w:ilvl="4" w:tplc="14090003" w:tentative="1">
      <w:start w:val="1"/>
      <w:numFmt w:val="bullet"/>
      <w:lvlText w:val="o"/>
      <w:lvlJc w:val="left"/>
      <w:pPr>
        <w:ind w:left="3597" w:hanging="360"/>
      </w:pPr>
      <w:rPr>
        <w:rFonts w:ascii="Courier New" w:hAnsi="Courier New" w:cs="Courier New" w:hint="default"/>
      </w:rPr>
    </w:lvl>
    <w:lvl w:ilvl="5" w:tplc="14090005" w:tentative="1">
      <w:start w:val="1"/>
      <w:numFmt w:val="bullet"/>
      <w:lvlText w:val=""/>
      <w:lvlJc w:val="left"/>
      <w:pPr>
        <w:ind w:left="4317" w:hanging="360"/>
      </w:pPr>
      <w:rPr>
        <w:rFonts w:ascii="Wingdings" w:hAnsi="Wingdings" w:hint="default"/>
      </w:rPr>
    </w:lvl>
    <w:lvl w:ilvl="6" w:tplc="14090001" w:tentative="1">
      <w:start w:val="1"/>
      <w:numFmt w:val="bullet"/>
      <w:lvlText w:val=""/>
      <w:lvlJc w:val="left"/>
      <w:pPr>
        <w:ind w:left="5037" w:hanging="360"/>
      </w:pPr>
      <w:rPr>
        <w:rFonts w:ascii="Symbol" w:hAnsi="Symbol" w:hint="default"/>
      </w:rPr>
    </w:lvl>
    <w:lvl w:ilvl="7" w:tplc="14090003" w:tentative="1">
      <w:start w:val="1"/>
      <w:numFmt w:val="bullet"/>
      <w:lvlText w:val="o"/>
      <w:lvlJc w:val="left"/>
      <w:pPr>
        <w:ind w:left="5757" w:hanging="360"/>
      </w:pPr>
      <w:rPr>
        <w:rFonts w:ascii="Courier New" w:hAnsi="Courier New" w:cs="Courier New" w:hint="default"/>
      </w:rPr>
    </w:lvl>
    <w:lvl w:ilvl="8" w:tplc="14090005" w:tentative="1">
      <w:start w:val="1"/>
      <w:numFmt w:val="bullet"/>
      <w:lvlText w:val=""/>
      <w:lvlJc w:val="left"/>
      <w:pPr>
        <w:ind w:left="6477" w:hanging="360"/>
      </w:pPr>
      <w:rPr>
        <w:rFonts w:ascii="Wingdings" w:hAnsi="Wingdings" w:hint="default"/>
      </w:rPr>
    </w:lvl>
  </w:abstractNum>
  <w:abstractNum w:abstractNumId="96" w15:restartNumberingAfterBreak="0">
    <w:nsid w:val="7061017C"/>
    <w:multiLevelType w:val="hybridMultilevel"/>
    <w:tmpl w:val="47DC2E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70AAE250"/>
    <w:multiLevelType w:val="hybridMultilevel"/>
    <w:tmpl w:val="25D83C32"/>
    <w:lvl w:ilvl="0" w:tplc="14090001">
      <w:start w:val="1"/>
      <w:numFmt w:val="bullet"/>
      <w:lvlText w:val=""/>
      <w:lvlJc w:val="left"/>
      <w:pPr>
        <w:ind w:left="360" w:hanging="360"/>
      </w:pPr>
      <w:rPr>
        <w:rFonts w:ascii="Symbol" w:hAnsi="Symbol" w:hint="default"/>
      </w:rPr>
    </w:lvl>
    <w:lvl w:ilvl="1" w:tplc="7A301DE8">
      <w:start w:val="1"/>
      <w:numFmt w:val="bullet"/>
      <w:lvlText w:val="o"/>
      <w:lvlJc w:val="left"/>
      <w:pPr>
        <w:ind w:left="1080" w:hanging="360"/>
      </w:pPr>
      <w:rPr>
        <w:rFonts w:ascii="Courier New" w:hAnsi="Courier New" w:hint="default"/>
      </w:rPr>
    </w:lvl>
    <w:lvl w:ilvl="2" w:tplc="B7801C78">
      <w:start w:val="1"/>
      <w:numFmt w:val="bullet"/>
      <w:lvlText w:val=""/>
      <w:lvlJc w:val="left"/>
      <w:pPr>
        <w:ind w:left="1800" w:hanging="360"/>
      </w:pPr>
      <w:rPr>
        <w:rFonts w:ascii="Wingdings" w:hAnsi="Wingdings" w:hint="default"/>
      </w:rPr>
    </w:lvl>
    <w:lvl w:ilvl="3" w:tplc="AAB2236E">
      <w:start w:val="1"/>
      <w:numFmt w:val="bullet"/>
      <w:lvlText w:val=""/>
      <w:lvlJc w:val="left"/>
      <w:pPr>
        <w:ind w:left="2520" w:hanging="360"/>
      </w:pPr>
      <w:rPr>
        <w:rFonts w:ascii="Symbol" w:hAnsi="Symbol" w:hint="default"/>
      </w:rPr>
    </w:lvl>
    <w:lvl w:ilvl="4" w:tplc="B42207C2">
      <w:start w:val="1"/>
      <w:numFmt w:val="bullet"/>
      <w:lvlText w:val="o"/>
      <w:lvlJc w:val="left"/>
      <w:pPr>
        <w:ind w:left="3240" w:hanging="360"/>
      </w:pPr>
      <w:rPr>
        <w:rFonts w:ascii="Courier New" w:hAnsi="Courier New" w:hint="default"/>
      </w:rPr>
    </w:lvl>
    <w:lvl w:ilvl="5" w:tplc="1EC0F73E">
      <w:start w:val="1"/>
      <w:numFmt w:val="bullet"/>
      <w:lvlText w:val=""/>
      <w:lvlJc w:val="left"/>
      <w:pPr>
        <w:ind w:left="3960" w:hanging="360"/>
      </w:pPr>
      <w:rPr>
        <w:rFonts w:ascii="Wingdings" w:hAnsi="Wingdings" w:hint="default"/>
      </w:rPr>
    </w:lvl>
    <w:lvl w:ilvl="6" w:tplc="C05047C2">
      <w:start w:val="1"/>
      <w:numFmt w:val="bullet"/>
      <w:lvlText w:val=""/>
      <w:lvlJc w:val="left"/>
      <w:pPr>
        <w:ind w:left="4680" w:hanging="360"/>
      </w:pPr>
      <w:rPr>
        <w:rFonts w:ascii="Symbol" w:hAnsi="Symbol" w:hint="default"/>
      </w:rPr>
    </w:lvl>
    <w:lvl w:ilvl="7" w:tplc="75CCAEF0">
      <w:start w:val="1"/>
      <w:numFmt w:val="bullet"/>
      <w:lvlText w:val="o"/>
      <w:lvlJc w:val="left"/>
      <w:pPr>
        <w:ind w:left="5400" w:hanging="360"/>
      </w:pPr>
      <w:rPr>
        <w:rFonts w:ascii="Courier New" w:hAnsi="Courier New" w:hint="default"/>
      </w:rPr>
    </w:lvl>
    <w:lvl w:ilvl="8" w:tplc="9BC676A0">
      <w:start w:val="1"/>
      <w:numFmt w:val="bullet"/>
      <w:lvlText w:val=""/>
      <w:lvlJc w:val="left"/>
      <w:pPr>
        <w:ind w:left="6120" w:hanging="360"/>
      </w:pPr>
      <w:rPr>
        <w:rFonts w:ascii="Wingdings" w:hAnsi="Wingdings" w:hint="default"/>
      </w:rPr>
    </w:lvl>
  </w:abstractNum>
  <w:abstractNum w:abstractNumId="98" w15:restartNumberingAfterBreak="0">
    <w:nsid w:val="72394F54"/>
    <w:multiLevelType w:val="hybridMultilevel"/>
    <w:tmpl w:val="24F8A03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9" w15:restartNumberingAfterBreak="0">
    <w:nsid w:val="7246486F"/>
    <w:multiLevelType w:val="hybridMultilevel"/>
    <w:tmpl w:val="3814D2B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0" w15:restartNumberingAfterBreak="0">
    <w:nsid w:val="7336350B"/>
    <w:multiLevelType w:val="hybridMultilevel"/>
    <w:tmpl w:val="38EAE5C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1" w15:restartNumberingAfterBreak="0">
    <w:nsid w:val="73E31932"/>
    <w:multiLevelType w:val="hybridMultilevel"/>
    <w:tmpl w:val="C16E4F6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2" w15:restartNumberingAfterBreak="0">
    <w:nsid w:val="760C0E9C"/>
    <w:multiLevelType w:val="hybridMultilevel"/>
    <w:tmpl w:val="4D40F60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3" w15:restartNumberingAfterBreak="0">
    <w:nsid w:val="76BC68A6"/>
    <w:multiLevelType w:val="hybridMultilevel"/>
    <w:tmpl w:val="D25254A6"/>
    <w:lvl w:ilvl="0" w:tplc="1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4" w15:restartNumberingAfterBreak="0">
    <w:nsid w:val="7AB9541B"/>
    <w:multiLevelType w:val="hybridMultilevel"/>
    <w:tmpl w:val="8EA6F55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5" w15:restartNumberingAfterBreak="0">
    <w:nsid w:val="7AFD1632"/>
    <w:multiLevelType w:val="hybridMultilevel"/>
    <w:tmpl w:val="56AC77A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6" w15:restartNumberingAfterBreak="0">
    <w:nsid w:val="7C627CA3"/>
    <w:multiLevelType w:val="hybridMultilevel"/>
    <w:tmpl w:val="BE3213D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7" w15:restartNumberingAfterBreak="0">
    <w:nsid w:val="7EAD78EF"/>
    <w:multiLevelType w:val="hybridMultilevel"/>
    <w:tmpl w:val="8E582F7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8" w15:restartNumberingAfterBreak="0">
    <w:nsid w:val="7F42563E"/>
    <w:multiLevelType w:val="hybridMultilevel"/>
    <w:tmpl w:val="ADA666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F8435BE"/>
    <w:multiLevelType w:val="hybridMultilevel"/>
    <w:tmpl w:val="0F9ADEF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0" w15:restartNumberingAfterBreak="0">
    <w:nsid w:val="7FF1127C"/>
    <w:multiLevelType w:val="hybridMultilevel"/>
    <w:tmpl w:val="974E14F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num w:numId="1" w16cid:durableId="1598055151">
    <w:abstractNumId w:val="2"/>
  </w:num>
  <w:num w:numId="2" w16cid:durableId="684140046">
    <w:abstractNumId w:val="1"/>
  </w:num>
  <w:num w:numId="3" w16cid:durableId="1392845685">
    <w:abstractNumId w:val="3"/>
  </w:num>
  <w:num w:numId="4" w16cid:durableId="1252010792">
    <w:abstractNumId w:val="0"/>
  </w:num>
  <w:num w:numId="5" w16cid:durableId="848908004">
    <w:abstractNumId w:val="22"/>
  </w:num>
  <w:num w:numId="6" w16cid:durableId="691803000">
    <w:abstractNumId w:val="20"/>
  </w:num>
  <w:num w:numId="7" w16cid:durableId="1233202987">
    <w:abstractNumId w:val="44"/>
  </w:num>
  <w:num w:numId="8" w16cid:durableId="472337595">
    <w:abstractNumId w:val="101"/>
  </w:num>
  <w:num w:numId="9" w16cid:durableId="957296981">
    <w:abstractNumId w:val="103"/>
  </w:num>
  <w:num w:numId="10" w16cid:durableId="108201984">
    <w:abstractNumId w:val="97"/>
  </w:num>
  <w:num w:numId="11" w16cid:durableId="418910227">
    <w:abstractNumId w:val="29"/>
  </w:num>
  <w:num w:numId="12" w16cid:durableId="853301940">
    <w:abstractNumId w:val="109"/>
  </w:num>
  <w:num w:numId="13" w16cid:durableId="237903274">
    <w:abstractNumId w:val="38"/>
  </w:num>
  <w:num w:numId="14" w16cid:durableId="2044594920">
    <w:abstractNumId w:val="12"/>
  </w:num>
  <w:num w:numId="15" w16cid:durableId="1946385005">
    <w:abstractNumId w:val="8"/>
  </w:num>
  <w:num w:numId="16" w16cid:durableId="359285817">
    <w:abstractNumId w:val="4"/>
  </w:num>
  <w:num w:numId="17" w16cid:durableId="1965841837">
    <w:abstractNumId w:val="61"/>
  </w:num>
  <w:num w:numId="18" w16cid:durableId="298458443">
    <w:abstractNumId w:val="11"/>
  </w:num>
  <w:num w:numId="19" w16cid:durableId="890307526">
    <w:abstractNumId w:val="52"/>
  </w:num>
  <w:num w:numId="20" w16cid:durableId="374042423">
    <w:abstractNumId w:val="70"/>
  </w:num>
  <w:num w:numId="21" w16cid:durableId="1842230676">
    <w:abstractNumId w:val="60"/>
  </w:num>
  <w:num w:numId="22" w16cid:durableId="964698420">
    <w:abstractNumId w:val="21"/>
  </w:num>
  <w:num w:numId="23" w16cid:durableId="1871609140">
    <w:abstractNumId w:val="76"/>
  </w:num>
  <w:num w:numId="24" w16cid:durableId="80563079">
    <w:abstractNumId w:val="105"/>
  </w:num>
  <w:num w:numId="25" w16cid:durableId="805589809">
    <w:abstractNumId w:val="110"/>
  </w:num>
  <w:num w:numId="26" w16cid:durableId="1330408024">
    <w:abstractNumId w:val="75"/>
  </w:num>
  <w:num w:numId="27" w16cid:durableId="1642618136">
    <w:abstractNumId w:val="65"/>
  </w:num>
  <w:num w:numId="28" w16cid:durableId="485365869">
    <w:abstractNumId w:val="10"/>
  </w:num>
  <w:num w:numId="29" w16cid:durableId="1810896045">
    <w:abstractNumId w:val="108"/>
  </w:num>
  <w:num w:numId="30" w16cid:durableId="1410693631">
    <w:abstractNumId w:val="96"/>
  </w:num>
  <w:num w:numId="31" w16cid:durableId="167138425">
    <w:abstractNumId w:val="47"/>
  </w:num>
  <w:num w:numId="32" w16cid:durableId="1563326850">
    <w:abstractNumId w:val="63"/>
  </w:num>
  <w:num w:numId="33" w16cid:durableId="1801147717">
    <w:abstractNumId w:val="81"/>
  </w:num>
  <w:num w:numId="34" w16cid:durableId="1345282936">
    <w:abstractNumId w:val="23"/>
  </w:num>
  <w:num w:numId="35" w16cid:durableId="1159342223">
    <w:abstractNumId w:val="67"/>
  </w:num>
  <w:num w:numId="36" w16cid:durableId="836505345">
    <w:abstractNumId w:val="43"/>
  </w:num>
  <w:num w:numId="37" w16cid:durableId="2092702982">
    <w:abstractNumId w:val="106"/>
  </w:num>
  <w:num w:numId="38" w16cid:durableId="170800507">
    <w:abstractNumId w:val="64"/>
  </w:num>
  <w:num w:numId="39" w16cid:durableId="1891961911">
    <w:abstractNumId w:val="19"/>
  </w:num>
  <w:num w:numId="40" w16cid:durableId="1478570266">
    <w:abstractNumId w:val="33"/>
  </w:num>
  <w:num w:numId="41" w16cid:durableId="1983851078">
    <w:abstractNumId w:val="80"/>
  </w:num>
  <w:num w:numId="42" w16cid:durableId="1673727713">
    <w:abstractNumId w:val="107"/>
  </w:num>
  <w:num w:numId="43" w16cid:durableId="1913008223">
    <w:abstractNumId w:val="77"/>
  </w:num>
  <w:num w:numId="44" w16cid:durableId="1052651789">
    <w:abstractNumId w:val="89"/>
  </w:num>
  <w:num w:numId="45" w16cid:durableId="187108773">
    <w:abstractNumId w:val="32"/>
  </w:num>
  <w:num w:numId="46" w16cid:durableId="1117985536">
    <w:abstractNumId w:val="7"/>
  </w:num>
  <w:num w:numId="47" w16cid:durableId="2144348581">
    <w:abstractNumId w:val="71"/>
  </w:num>
  <w:num w:numId="48" w16cid:durableId="584073369">
    <w:abstractNumId w:val="90"/>
  </w:num>
  <w:num w:numId="49" w16cid:durableId="240336104">
    <w:abstractNumId w:val="56"/>
  </w:num>
  <w:num w:numId="50" w16cid:durableId="1476754508">
    <w:abstractNumId w:val="39"/>
  </w:num>
  <w:num w:numId="51" w16cid:durableId="1374423532">
    <w:abstractNumId w:val="82"/>
  </w:num>
  <w:num w:numId="52" w16cid:durableId="32579589">
    <w:abstractNumId w:val="14"/>
  </w:num>
  <w:num w:numId="53" w16cid:durableId="155388855">
    <w:abstractNumId w:val="26"/>
  </w:num>
  <w:num w:numId="54" w16cid:durableId="2139646477">
    <w:abstractNumId w:val="79"/>
  </w:num>
  <w:num w:numId="55" w16cid:durableId="1401055322">
    <w:abstractNumId w:val="9"/>
  </w:num>
  <w:num w:numId="56" w16cid:durableId="990910051">
    <w:abstractNumId w:val="104"/>
  </w:num>
  <w:num w:numId="57" w16cid:durableId="918711316">
    <w:abstractNumId w:val="27"/>
  </w:num>
  <w:num w:numId="58" w16cid:durableId="1239437184">
    <w:abstractNumId w:val="28"/>
  </w:num>
  <w:num w:numId="59" w16cid:durableId="646277064">
    <w:abstractNumId w:val="45"/>
  </w:num>
  <w:num w:numId="60" w16cid:durableId="2028478178">
    <w:abstractNumId w:val="91"/>
  </w:num>
  <w:num w:numId="61" w16cid:durableId="889462530">
    <w:abstractNumId w:val="46"/>
  </w:num>
  <w:num w:numId="62" w16cid:durableId="860775963">
    <w:abstractNumId w:val="88"/>
  </w:num>
  <w:num w:numId="63" w16cid:durableId="1904751402">
    <w:abstractNumId w:val="51"/>
  </w:num>
  <w:num w:numId="64" w16cid:durableId="250893544">
    <w:abstractNumId w:val="55"/>
  </w:num>
  <w:num w:numId="65" w16cid:durableId="624233480">
    <w:abstractNumId w:val="54"/>
  </w:num>
  <w:num w:numId="66" w16cid:durableId="114761245">
    <w:abstractNumId w:val="99"/>
  </w:num>
  <w:num w:numId="67" w16cid:durableId="996761793">
    <w:abstractNumId w:val="31"/>
  </w:num>
  <w:num w:numId="68" w16cid:durableId="1871717749">
    <w:abstractNumId w:val="40"/>
  </w:num>
  <w:num w:numId="69" w16cid:durableId="80954800">
    <w:abstractNumId w:val="48"/>
  </w:num>
  <w:num w:numId="70" w16cid:durableId="1659769579">
    <w:abstractNumId w:val="6"/>
  </w:num>
  <w:num w:numId="71" w16cid:durableId="1584414554">
    <w:abstractNumId w:val="18"/>
  </w:num>
  <w:num w:numId="72" w16cid:durableId="674377716">
    <w:abstractNumId w:val="66"/>
  </w:num>
  <w:num w:numId="73" w16cid:durableId="1535268071">
    <w:abstractNumId w:val="93"/>
  </w:num>
  <w:num w:numId="74" w16cid:durableId="1216696491">
    <w:abstractNumId w:val="102"/>
  </w:num>
  <w:num w:numId="75" w16cid:durableId="1585602621">
    <w:abstractNumId w:val="57"/>
  </w:num>
  <w:num w:numId="76" w16cid:durableId="998115756">
    <w:abstractNumId w:val="49"/>
  </w:num>
  <w:num w:numId="77" w16cid:durableId="1963804658">
    <w:abstractNumId w:val="59"/>
  </w:num>
  <w:num w:numId="78" w16cid:durableId="531767907">
    <w:abstractNumId w:val="85"/>
  </w:num>
  <w:num w:numId="79" w16cid:durableId="1068842288">
    <w:abstractNumId w:val="15"/>
  </w:num>
  <w:num w:numId="80" w16cid:durableId="1664354589">
    <w:abstractNumId w:val="68"/>
  </w:num>
  <w:num w:numId="81" w16cid:durableId="1090464031">
    <w:abstractNumId w:val="42"/>
  </w:num>
  <w:num w:numId="82" w16cid:durableId="373387902">
    <w:abstractNumId w:val="13"/>
  </w:num>
  <w:num w:numId="83" w16cid:durableId="427694992">
    <w:abstractNumId w:val="30"/>
  </w:num>
  <w:num w:numId="84" w16cid:durableId="1649245487">
    <w:abstractNumId w:val="50"/>
  </w:num>
  <w:num w:numId="85" w16cid:durableId="1268929505">
    <w:abstractNumId w:val="53"/>
  </w:num>
  <w:num w:numId="86" w16cid:durableId="611089959">
    <w:abstractNumId w:val="98"/>
  </w:num>
  <w:num w:numId="87" w16cid:durableId="1710448336">
    <w:abstractNumId w:val="5"/>
  </w:num>
  <w:num w:numId="88" w16cid:durableId="748968759">
    <w:abstractNumId w:val="41"/>
  </w:num>
  <w:num w:numId="89" w16cid:durableId="249582369">
    <w:abstractNumId w:val="92"/>
  </w:num>
  <w:num w:numId="90" w16cid:durableId="1316377209">
    <w:abstractNumId w:val="84"/>
  </w:num>
  <w:num w:numId="91" w16cid:durableId="1134983872">
    <w:abstractNumId w:val="73"/>
  </w:num>
  <w:num w:numId="92" w16cid:durableId="1540314526">
    <w:abstractNumId w:val="86"/>
  </w:num>
  <w:num w:numId="93" w16cid:durableId="1406144350">
    <w:abstractNumId w:val="25"/>
  </w:num>
  <w:num w:numId="94" w16cid:durableId="1206941516">
    <w:abstractNumId w:val="34"/>
  </w:num>
  <w:num w:numId="95" w16cid:durableId="1568539795">
    <w:abstractNumId w:val="35"/>
  </w:num>
  <w:num w:numId="96" w16cid:durableId="1019621295">
    <w:abstractNumId w:val="17"/>
  </w:num>
  <w:num w:numId="97" w16cid:durableId="248584252">
    <w:abstractNumId w:val="83"/>
  </w:num>
  <w:num w:numId="98" w16cid:durableId="1594124921">
    <w:abstractNumId w:val="72"/>
  </w:num>
  <w:num w:numId="99" w16cid:durableId="1915162911">
    <w:abstractNumId w:val="100"/>
  </w:num>
  <w:num w:numId="100" w16cid:durableId="151456572">
    <w:abstractNumId w:val="36"/>
  </w:num>
  <w:num w:numId="101" w16cid:durableId="1386567541">
    <w:abstractNumId w:val="94"/>
  </w:num>
  <w:num w:numId="102" w16cid:durableId="1048928">
    <w:abstractNumId w:val="74"/>
  </w:num>
  <w:num w:numId="103" w16cid:durableId="1523275206">
    <w:abstractNumId w:val="58"/>
  </w:num>
  <w:num w:numId="104" w16cid:durableId="141168207">
    <w:abstractNumId w:val="16"/>
  </w:num>
  <w:num w:numId="105" w16cid:durableId="749813187">
    <w:abstractNumId w:val="37"/>
  </w:num>
  <w:num w:numId="106" w16cid:durableId="1844660534">
    <w:abstractNumId w:val="78"/>
  </w:num>
  <w:num w:numId="107" w16cid:durableId="186021707">
    <w:abstractNumId w:val="62"/>
  </w:num>
  <w:num w:numId="108" w16cid:durableId="1175682613">
    <w:abstractNumId w:val="24"/>
  </w:num>
  <w:num w:numId="109" w16cid:durableId="1201817993">
    <w:abstractNumId w:val="69"/>
  </w:num>
  <w:num w:numId="110" w16cid:durableId="1675843488">
    <w:abstractNumId w:val="95"/>
  </w:num>
  <w:num w:numId="111" w16cid:durableId="66340303">
    <w:abstractNumId w:val="87"/>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TrackFormatting/>
  <w:defaultTabStop w:val="720"/>
  <w:characterSpacingControl w:val="doNotCompress"/>
  <w:hdrShapeDefaults>
    <o:shapedefaults v:ext="edit" spidmax="2051"/>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50C"/>
    <w:rsid w:val="00000074"/>
    <w:rsid w:val="00000134"/>
    <w:rsid w:val="000001CF"/>
    <w:rsid w:val="000002C5"/>
    <w:rsid w:val="00000534"/>
    <w:rsid w:val="000006BC"/>
    <w:rsid w:val="00000A48"/>
    <w:rsid w:val="00000B44"/>
    <w:rsid w:val="00000B7E"/>
    <w:rsid w:val="00000B83"/>
    <w:rsid w:val="00000ECB"/>
    <w:rsid w:val="00000F63"/>
    <w:rsid w:val="00000F9D"/>
    <w:rsid w:val="00001088"/>
    <w:rsid w:val="0000108C"/>
    <w:rsid w:val="000010A7"/>
    <w:rsid w:val="0000118C"/>
    <w:rsid w:val="00001726"/>
    <w:rsid w:val="00001977"/>
    <w:rsid w:val="00001989"/>
    <w:rsid w:val="00001A84"/>
    <w:rsid w:val="00001C97"/>
    <w:rsid w:val="0000203E"/>
    <w:rsid w:val="000021FC"/>
    <w:rsid w:val="000026AB"/>
    <w:rsid w:val="000028C6"/>
    <w:rsid w:val="000029A2"/>
    <w:rsid w:val="000029EF"/>
    <w:rsid w:val="00002AC3"/>
    <w:rsid w:val="00002B9B"/>
    <w:rsid w:val="00002F8B"/>
    <w:rsid w:val="00003092"/>
    <w:rsid w:val="0000314D"/>
    <w:rsid w:val="00003167"/>
    <w:rsid w:val="0000318D"/>
    <w:rsid w:val="000031B6"/>
    <w:rsid w:val="00003268"/>
    <w:rsid w:val="00003400"/>
    <w:rsid w:val="00003550"/>
    <w:rsid w:val="00003562"/>
    <w:rsid w:val="000035C3"/>
    <w:rsid w:val="00003CDA"/>
    <w:rsid w:val="00003F96"/>
    <w:rsid w:val="000040B1"/>
    <w:rsid w:val="000043A6"/>
    <w:rsid w:val="0000478A"/>
    <w:rsid w:val="000047AC"/>
    <w:rsid w:val="00004AF9"/>
    <w:rsid w:val="00004B04"/>
    <w:rsid w:val="00004B65"/>
    <w:rsid w:val="00004BF2"/>
    <w:rsid w:val="00004D0B"/>
    <w:rsid w:val="00004E4C"/>
    <w:rsid w:val="000050A2"/>
    <w:rsid w:val="00005180"/>
    <w:rsid w:val="000051EB"/>
    <w:rsid w:val="0000539E"/>
    <w:rsid w:val="00005440"/>
    <w:rsid w:val="0000545D"/>
    <w:rsid w:val="00005741"/>
    <w:rsid w:val="00005742"/>
    <w:rsid w:val="0000590D"/>
    <w:rsid w:val="00005C20"/>
    <w:rsid w:val="00005DF3"/>
    <w:rsid w:val="00005E06"/>
    <w:rsid w:val="000062F1"/>
    <w:rsid w:val="00006427"/>
    <w:rsid w:val="0000666F"/>
    <w:rsid w:val="00006C1C"/>
    <w:rsid w:val="00006E5A"/>
    <w:rsid w:val="000070DE"/>
    <w:rsid w:val="0000729E"/>
    <w:rsid w:val="000079E9"/>
    <w:rsid w:val="00007B5F"/>
    <w:rsid w:val="00007BDB"/>
    <w:rsid w:val="00007C99"/>
    <w:rsid w:val="00007F94"/>
    <w:rsid w:val="00010210"/>
    <w:rsid w:val="00010513"/>
    <w:rsid w:val="00010645"/>
    <w:rsid w:val="0001084E"/>
    <w:rsid w:val="000109D5"/>
    <w:rsid w:val="00010B69"/>
    <w:rsid w:val="00010C0C"/>
    <w:rsid w:val="00010CA9"/>
    <w:rsid w:val="00010EF3"/>
    <w:rsid w:val="00010F05"/>
    <w:rsid w:val="00010F22"/>
    <w:rsid w:val="0001102E"/>
    <w:rsid w:val="000112F6"/>
    <w:rsid w:val="000113D6"/>
    <w:rsid w:val="00011411"/>
    <w:rsid w:val="0001157D"/>
    <w:rsid w:val="00011944"/>
    <w:rsid w:val="00011A14"/>
    <w:rsid w:val="00011B65"/>
    <w:rsid w:val="00011DC3"/>
    <w:rsid w:val="00011F13"/>
    <w:rsid w:val="00012136"/>
    <w:rsid w:val="000127FA"/>
    <w:rsid w:val="000128DC"/>
    <w:rsid w:val="000129FA"/>
    <w:rsid w:val="00012A43"/>
    <w:rsid w:val="00012A4F"/>
    <w:rsid w:val="00012BBD"/>
    <w:rsid w:val="00012D43"/>
    <w:rsid w:val="0001301E"/>
    <w:rsid w:val="000130DF"/>
    <w:rsid w:val="0001318F"/>
    <w:rsid w:val="00013261"/>
    <w:rsid w:val="000134AF"/>
    <w:rsid w:val="00013699"/>
    <w:rsid w:val="00013A23"/>
    <w:rsid w:val="00013B45"/>
    <w:rsid w:val="00013B92"/>
    <w:rsid w:val="00013CDE"/>
    <w:rsid w:val="00013D78"/>
    <w:rsid w:val="00014415"/>
    <w:rsid w:val="000144E7"/>
    <w:rsid w:val="0001453E"/>
    <w:rsid w:val="000146D8"/>
    <w:rsid w:val="000149AA"/>
    <w:rsid w:val="00014BAE"/>
    <w:rsid w:val="00014BB0"/>
    <w:rsid w:val="00014BBF"/>
    <w:rsid w:val="00014D04"/>
    <w:rsid w:val="00014F66"/>
    <w:rsid w:val="00015253"/>
    <w:rsid w:val="00015432"/>
    <w:rsid w:val="0001547A"/>
    <w:rsid w:val="0001560A"/>
    <w:rsid w:val="0001578C"/>
    <w:rsid w:val="00015A1B"/>
    <w:rsid w:val="00015B51"/>
    <w:rsid w:val="00015C85"/>
    <w:rsid w:val="00015C96"/>
    <w:rsid w:val="00015E37"/>
    <w:rsid w:val="00015FE4"/>
    <w:rsid w:val="00016269"/>
    <w:rsid w:val="00016482"/>
    <w:rsid w:val="00016493"/>
    <w:rsid w:val="00016599"/>
    <w:rsid w:val="000165DA"/>
    <w:rsid w:val="000167EB"/>
    <w:rsid w:val="00016819"/>
    <w:rsid w:val="000168DD"/>
    <w:rsid w:val="00016AAB"/>
    <w:rsid w:val="00016EEA"/>
    <w:rsid w:val="00016F1D"/>
    <w:rsid w:val="000171B1"/>
    <w:rsid w:val="0001727C"/>
    <w:rsid w:val="00017321"/>
    <w:rsid w:val="0001755D"/>
    <w:rsid w:val="00017634"/>
    <w:rsid w:val="000176A2"/>
    <w:rsid w:val="00017758"/>
    <w:rsid w:val="00017930"/>
    <w:rsid w:val="00017DE1"/>
    <w:rsid w:val="00017FCB"/>
    <w:rsid w:val="00020450"/>
    <w:rsid w:val="00020561"/>
    <w:rsid w:val="0002056D"/>
    <w:rsid w:val="0002084E"/>
    <w:rsid w:val="00020897"/>
    <w:rsid w:val="000208A0"/>
    <w:rsid w:val="00020C3D"/>
    <w:rsid w:val="00020F6B"/>
    <w:rsid w:val="0002125F"/>
    <w:rsid w:val="00021298"/>
    <w:rsid w:val="0002130D"/>
    <w:rsid w:val="000214D6"/>
    <w:rsid w:val="00021536"/>
    <w:rsid w:val="00021587"/>
    <w:rsid w:val="0002180C"/>
    <w:rsid w:val="00021908"/>
    <w:rsid w:val="00021A47"/>
    <w:rsid w:val="00021B36"/>
    <w:rsid w:val="00021BCB"/>
    <w:rsid w:val="00021BF7"/>
    <w:rsid w:val="00021BFE"/>
    <w:rsid w:val="00021D5D"/>
    <w:rsid w:val="0002218D"/>
    <w:rsid w:val="00022626"/>
    <w:rsid w:val="0002267E"/>
    <w:rsid w:val="000228DF"/>
    <w:rsid w:val="00022955"/>
    <w:rsid w:val="00022BA0"/>
    <w:rsid w:val="00022D39"/>
    <w:rsid w:val="00022E5A"/>
    <w:rsid w:val="0002357C"/>
    <w:rsid w:val="00023989"/>
    <w:rsid w:val="00023B96"/>
    <w:rsid w:val="00023CA5"/>
    <w:rsid w:val="00023D51"/>
    <w:rsid w:val="00023F40"/>
    <w:rsid w:val="000241C1"/>
    <w:rsid w:val="000248AB"/>
    <w:rsid w:val="00024AFC"/>
    <w:rsid w:val="00024B6C"/>
    <w:rsid w:val="00024C73"/>
    <w:rsid w:val="00024DD9"/>
    <w:rsid w:val="00024EEC"/>
    <w:rsid w:val="000253A4"/>
    <w:rsid w:val="0002543E"/>
    <w:rsid w:val="00025471"/>
    <w:rsid w:val="00025954"/>
    <w:rsid w:val="00025A52"/>
    <w:rsid w:val="00025ECF"/>
    <w:rsid w:val="00026455"/>
    <w:rsid w:val="00026611"/>
    <w:rsid w:val="0002668B"/>
    <w:rsid w:val="000266FB"/>
    <w:rsid w:val="00026749"/>
    <w:rsid w:val="0002696A"/>
    <w:rsid w:val="00026ED5"/>
    <w:rsid w:val="00027010"/>
    <w:rsid w:val="00027253"/>
    <w:rsid w:val="00027350"/>
    <w:rsid w:val="000274CA"/>
    <w:rsid w:val="0002768D"/>
    <w:rsid w:val="0002771F"/>
    <w:rsid w:val="00027821"/>
    <w:rsid w:val="00027875"/>
    <w:rsid w:val="0002795E"/>
    <w:rsid w:val="00027A2A"/>
    <w:rsid w:val="00027B67"/>
    <w:rsid w:val="00027BB4"/>
    <w:rsid w:val="00027CEE"/>
    <w:rsid w:val="00027F28"/>
    <w:rsid w:val="00030071"/>
    <w:rsid w:val="00030098"/>
    <w:rsid w:val="000300BA"/>
    <w:rsid w:val="000300E0"/>
    <w:rsid w:val="00030124"/>
    <w:rsid w:val="00030253"/>
    <w:rsid w:val="00030448"/>
    <w:rsid w:val="000304B7"/>
    <w:rsid w:val="000309F2"/>
    <w:rsid w:val="00030A7C"/>
    <w:rsid w:val="00030EFC"/>
    <w:rsid w:val="00030FCD"/>
    <w:rsid w:val="000311B6"/>
    <w:rsid w:val="00031441"/>
    <w:rsid w:val="00031753"/>
    <w:rsid w:val="000317F5"/>
    <w:rsid w:val="00031956"/>
    <w:rsid w:val="00031989"/>
    <w:rsid w:val="00031B82"/>
    <w:rsid w:val="00031C71"/>
    <w:rsid w:val="00031CC8"/>
    <w:rsid w:val="00031CCC"/>
    <w:rsid w:val="00031CE7"/>
    <w:rsid w:val="00031D92"/>
    <w:rsid w:val="0003208A"/>
    <w:rsid w:val="000322E9"/>
    <w:rsid w:val="00032397"/>
    <w:rsid w:val="000323F9"/>
    <w:rsid w:val="000324D6"/>
    <w:rsid w:val="00032508"/>
    <w:rsid w:val="00032719"/>
    <w:rsid w:val="00032965"/>
    <w:rsid w:val="00032A3C"/>
    <w:rsid w:val="00032BE1"/>
    <w:rsid w:val="00032CAC"/>
    <w:rsid w:val="00032D1E"/>
    <w:rsid w:val="000330C0"/>
    <w:rsid w:val="000330CF"/>
    <w:rsid w:val="0003314E"/>
    <w:rsid w:val="0003319E"/>
    <w:rsid w:val="000332D6"/>
    <w:rsid w:val="00033419"/>
    <w:rsid w:val="0003361C"/>
    <w:rsid w:val="0003365B"/>
    <w:rsid w:val="00033B16"/>
    <w:rsid w:val="00033D0C"/>
    <w:rsid w:val="00033DF9"/>
    <w:rsid w:val="00034256"/>
    <w:rsid w:val="000342E5"/>
    <w:rsid w:val="000344E3"/>
    <w:rsid w:val="000344E5"/>
    <w:rsid w:val="00034630"/>
    <w:rsid w:val="000346CA"/>
    <w:rsid w:val="0003548C"/>
    <w:rsid w:val="000355E2"/>
    <w:rsid w:val="0003566D"/>
    <w:rsid w:val="00035717"/>
    <w:rsid w:val="000359AC"/>
    <w:rsid w:val="00035AF1"/>
    <w:rsid w:val="00035C8D"/>
    <w:rsid w:val="00035D62"/>
    <w:rsid w:val="00035DA0"/>
    <w:rsid w:val="00035F88"/>
    <w:rsid w:val="000360B2"/>
    <w:rsid w:val="000361D9"/>
    <w:rsid w:val="00036698"/>
    <w:rsid w:val="00036726"/>
    <w:rsid w:val="00036A51"/>
    <w:rsid w:val="00036BBD"/>
    <w:rsid w:val="000370AA"/>
    <w:rsid w:val="00037116"/>
    <w:rsid w:val="000373A3"/>
    <w:rsid w:val="00037680"/>
    <w:rsid w:val="00037986"/>
    <w:rsid w:val="00037C9B"/>
    <w:rsid w:val="00037C9D"/>
    <w:rsid w:val="00037D76"/>
    <w:rsid w:val="00037D87"/>
    <w:rsid w:val="00037E37"/>
    <w:rsid w:val="00037FAD"/>
    <w:rsid w:val="000400DE"/>
    <w:rsid w:val="0004022A"/>
    <w:rsid w:val="000402F5"/>
    <w:rsid w:val="00040467"/>
    <w:rsid w:val="00040510"/>
    <w:rsid w:val="00040553"/>
    <w:rsid w:val="00040654"/>
    <w:rsid w:val="000406BA"/>
    <w:rsid w:val="00040917"/>
    <w:rsid w:val="00040DA8"/>
    <w:rsid w:val="00040DC4"/>
    <w:rsid w:val="00040EC2"/>
    <w:rsid w:val="00040EFB"/>
    <w:rsid w:val="00041078"/>
    <w:rsid w:val="00041251"/>
    <w:rsid w:val="000412E9"/>
    <w:rsid w:val="0004132D"/>
    <w:rsid w:val="000413C9"/>
    <w:rsid w:val="000414A1"/>
    <w:rsid w:val="00041538"/>
    <w:rsid w:val="00041673"/>
    <w:rsid w:val="000416E8"/>
    <w:rsid w:val="000417AE"/>
    <w:rsid w:val="00041984"/>
    <w:rsid w:val="00041CA3"/>
    <w:rsid w:val="00041DE2"/>
    <w:rsid w:val="00041F39"/>
    <w:rsid w:val="00042447"/>
    <w:rsid w:val="0004259B"/>
    <w:rsid w:val="000426D0"/>
    <w:rsid w:val="00042ABE"/>
    <w:rsid w:val="00042BE7"/>
    <w:rsid w:val="00042E17"/>
    <w:rsid w:val="00043217"/>
    <w:rsid w:val="000434D2"/>
    <w:rsid w:val="000434E8"/>
    <w:rsid w:val="0004375E"/>
    <w:rsid w:val="0004389F"/>
    <w:rsid w:val="00043A01"/>
    <w:rsid w:val="00043A6D"/>
    <w:rsid w:val="00043B53"/>
    <w:rsid w:val="00043CE3"/>
    <w:rsid w:val="00043EA6"/>
    <w:rsid w:val="00043EEA"/>
    <w:rsid w:val="000440BC"/>
    <w:rsid w:val="000442BF"/>
    <w:rsid w:val="00044312"/>
    <w:rsid w:val="00044389"/>
    <w:rsid w:val="00044408"/>
    <w:rsid w:val="000444B4"/>
    <w:rsid w:val="000444FD"/>
    <w:rsid w:val="00044613"/>
    <w:rsid w:val="000446AA"/>
    <w:rsid w:val="0004518C"/>
    <w:rsid w:val="00045809"/>
    <w:rsid w:val="000458D4"/>
    <w:rsid w:val="00045C3F"/>
    <w:rsid w:val="00045CA9"/>
    <w:rsid w:val="00045EF2"/>
    <w:rsid w:val="0004619F"/>
    <w:rsid w:val="000461E3"/>
    <w:rsid w:val="00046290"/>
    <w:rsid w:val="00046401"/>
    <w:rsid w:val="00046514"/>
    <w:rsid w:val="000466D0"/>
    <w:rsid w:val="00046A34"/>
    <w:rsid w:val="00046A58"/>
    <w:rsid w:val="00046B04"/>
    <w:rsid w:val="00046C70"/>
    <w:rsid w:val="00046D57"/>
    <w:rsid w:val="00046D63"/>
    <w:rsid w:val="00047016"/>
    <w:rsid w:val="0004719A"/>
    <w:rsid w:val="000471F3"/>
    <w:rsid w:val="0004754C"/>
    <w:rsid w:val="000475CD"/>
    <w:rsid w:val="00047A6E"/>
    <w:rsid w:val="00047B10"/>
    <w:rsid w:val="00047B32"/>
    <w:rsid w:val="00047E2B"/>
    <w:rsid w:val="0005076D"/>
    <w:rsid w:val="0005079D"/>
    <w:rsid w:val="00050882"/>
    <w:rsid w:val="000509B5"/>
    <w:rsid w:val="000509E4"/>
    <w:rsid w:val="00050C9A"/>
    <w:rsid w:val="00050D75"/>
    <w:rsid w:val="00050E2D"/>
    <w:rsid w:val="00050ECF"/>
    <w:rsid w:val="00050F64"/>
    <w:rsid w:val="00051102"/>
    <w:rsid w:val="00051115"/>
    <w:rsid w:val="000511CD"/>
    <w:rsid w:val="000514AF"/>
    <w:rsid w:val="00051810"/>
    <w:rsid w:val="00051811"/>
    <w:rsid w:val="00051A36"/>
    <w:rsid w:val="00051B47"/>
    <w:rsid w:val="00051D49"/>
    <w:rsid w:val="00051E4C"/>
    <w:rsid w:val="00051EAC"/>
    <w:rsid w:val="00051F67"/>
    <w:rsid w:val="00052016"/>
    <w:rsid w:val="000523A9"/>
    <w:rsid w:val="000524F4"/>
    <w:rsid w:val="00052C92"/>
    <w:rsid w:val="00052FBE"/>
    <w:rsid w:val="00053050"/>
    <w:rsid w:val="000530EC"/>
    <w:rsid w:val="000531F9"/>
    <w:rsid w:val="000532B9"/>
    <w:rsid w:val="0005357F"/>
    <w:rsid w:val="000537F9"/>
    <w:rsid w:val="0005381B"/>
    <w:rsid w:val="0005385A"/>
    <w:rsid w:val="00053ABC"/>
    <w:rsid w:val="00053C73"/>
    <w:rsid w:val="00053E0E"/>
    <w:rsid w:val="00053ED5"/>
    <w:rsid w:val="00053F58"/>
    <w:rsid w:val="00053F71"/>
    <w:rsid w:val="000541B5"/>
    <w:rsid w:val="000541F3"/>
    <w:rsid w:val="000543A4"/>
    <w:rsid w:val="000548F4"/>
    <w:rsid w:val="00055192"/>
    <w:rsid w:val="000552F9"/>
    <w:rsid w:val="00055338"/>
    <w:rsid w:val="00055468"/>
    <w:rsid w:val="00055592"/>
    <w:rsid w:val="0005562C"/>
    <w:rsid w:val="000559A2"/>
    <w:rsid w:val="000559FB"/>
    <w:rsid w:val="00055A8F"/>
    <w:rsid w:val="00055FAE"/>
    <w:rsid w:val="0005653B"/>
    <w:rsid w:val="00056788"/>
    <w:rsid w:val="00056A9A"/>
    <w:rsid w:val="00056BFB"/>
    <w:rsid w:val="00056EB2"/>
    <w:rsid w:val="00057033"/>
    <w:rsid w:val="000572F6"/>
    <w:rsid w:val="00057474"/>
    <w:rsid w:val="00057801"/>
    <w:rsid w:val="00057A2C"/>
    <w:rsid w:val="00057AE2"/>
    <w:rsid w:val="00057B46"/>
    <w:rsid w:val="000600B2"/>
    <w:rsid w:val="000600C3"/>
    <w:rsid w:val="0006067D"/>
    <w:rsid w:val="0006073D"/>
    <w:rsid w:val="000607F5"/>
    <w:rsid w:val="0006092C"/>
    <w:rsid w:val="000609C3"/>
    <w:rsid w:val="00060B3F"/>
    <w:rsid w:val="00060CAF"/>
    <w:rsid w:val="000610AF"/>
    <w:rsid w:val="000610BF"/>
    <w:rsid w:val="000611E3"/>
    <w:rsid w:val="000612D3"/>
    <w:rsid w:val="000613C9"/>
    <w:rsid w:val="000615CD"/>
    <w:rsid w:val="000615D4"/>
    <w:rsid w:val="000615DF"/>
    <w:rsid w:val="000617E7"/>
    <w:rsid w:val="00061802"/>
    <w:rsid w:val="00061BAD"/>
    <w:rsid w:val="00061BD0"/>
    <w:rsid w:val="00061C10"/>
    <w:rsid w:val="00061CAC"/>
    <w:rsid w:val="00061E6B"/>
    <w:rsid w:val="00062128"/>
    <w:rsid w:val="00062328"/>
    <w:rsid w:val="000623A2"/>
    <w:rsid w:val="00062556"/>
    <w:rsid w:val="000626D4"/>
    <w:rsid w:val="00062703"/>
    <w:rsid w:val="00062999"/>
    <w:rsid w:val="000629EB"/>
    <w:rsid w:val="00062AB7"/>
    <w:rsid w:val="00062C08"/>
    <w:rsid w:val="00062C38"/>
    <w:rsid w:val="00062C94"/>
    <w:rsid w:val="00062E6A"/>
    <w:rsid w:val="00062E78"/>
    <w:rsid w:val="00062EE4"/>
    <w:rsid w:val="00062FCB"/>
    <w:rsid w:val="000630F0"/>
    <w:rsid w:val="00063146"/>
    <w:rsid w:val="00063204"/>
    <w:rsid w:val="00063264"/>
    <w:rsid w:val="0006335E"/>
    <w:rsid w:val="00063392"/>
    <w:rsid w:val="000633E8"/>
    <w:rsid w:val="000633F8"/>
    <w:rsid w:val="00063415"/>
    <w:rsid w:val="0006346A"/>
    <w:rsid w:val="0006357B"/>
    <w:rsid w:val="000638B5"/>
    <w:rsid w:val="0006392A"/>
    <w:rsid w:val="00063989"/>
    <w:rsid w:val="00063A58"/>
    <w:rsid w:val="00063A98"/>
    <w:rsid w:val="00063AC9"/>
    <w:rsid w:val="00063AFF"/>
    <w:rsid w:val="00063B47"/>
    <w:rsid w:val="00063BAB"/>
    <w:rsid w:val="00063BB2"/>
    <w:rsid w:val="00063BCA"/>
    <w:rsid w:val="00063D75"/>
    <w:rsid w:val="00063E00"/>
    <w:rsid w:val="00063F92"/>
    <w:rsid w:val="00064304"/>
    <w:rsid w:val="000643F7"/>
    <w:rsid w:val="0006448D"/>
    <w:rsid w:val="00064646"/>
    <w:rsid w:val="000648EE"/>
    <w:rsid w:val="00064923"/>
    <w:rsid w:val="0006498A"/>
    <w:rsid w:val="00064A4F"/>
    <w:rsid w:val="00064B18"/>
    <w:rsid w:val="00064D20"/>
    <w:rsid w:val="00065115"/>
    <w:rsid w:val="00065192"/>
    <w:rsid w:val="000651CB"/>
    <w:rsid w:val="00065396"/>
    <w:rsid w:val="000654B6"/>
    <w:rsid w:val="000654BE"/>
    <w:rsid w:val="000655DB"/>
    <w:rsid w:val="00065631"/>
    <w:rsid w:val="00065709"/>
    <w:rsid w:val="0006576A"/>
    <w:rsid w:val="00065831"/>
    <w:rsid w:val="00065A84"/>
    <w:rsid w:val="00065B15"/>
    <w:rsid w:val="00065DE9"/>
    <w:rsid w:val="00065E57"/>
    <w:rsid w:val="00065F39"/>
    <w:rsid w:val="00065FE7"/>
    <w:rsid w:val="00066057"/>
    <w:rsid w:val="0006614D"/>
    <w:rsid w:val="000661CB"/>
    <w:rsid w:val="0006636E"/>
    <w:rsid w:val="000665BF"/>
    <w:rsid w:val="000666FF"/>
    <w:rsid w:val="00066788"/>
    <w:rsid w:val="0006687D"/>
    <w:rsid w:val="000668F3"/>
    <w:rsid w:val="0006693B"/>
    <w:rsid w:val="00066B20"/>
    <w:rsid w:val="00066BAB"/>
    <w:rsid w:val="00066C6D"/>
    <w:rsid w:val="00066D92"/>
    <w:rsid w:val="00066FE1"/>
    <w:rsid w:val="000670E3"/>
    <w:rsid w:val="00067218"/>
    <w:rsid w:val="000673D8"/>
    <w:rsid w:val="00067556"/>
    <w:rsid w:val="00067605"/>
    <w:rsid w:val="000676B7"/>
    <w:rsid w:val="0006771B"/>
    <w:rsid w:val="00067769"/>
    <w:rsid w:val="000677FC"/>
    <w:rsid w:val="0006788F"/>
    <w:rsid w:val="00067BBE"/>
    <w:rsid w:val="00067F37"/>
    <w:rsid w:val="00070115"/>
    <w:rsid w:val="00070139"/>
    <w:rsid w:val="000701B1"/>
    <w:rsid w:val="000702F1"/>
    <w:rsid w:val="000703AB"/>
    <w:rsid w:val="0007074E"/>
    <w:rsid w:val="000709B7"/>
    <w:rsid w:val="00070A02"/>
    <w:rsid w:val="00070AFE"/>
    <w:rsid w:val="00070FA3"/>
    <w:rsid w:val="00071108"/>
    <w:rsid w:val="00071272"/>
    <w:rsid w:val="000714A8"/>
    <w:rsid w:val="00071503"/>
    <w:rsid w:val="00071614"/>
    <w:rsid w:val="000717DD"/>
    <w:rsid w:val="00071BF6"/>
    <w:rsid w:val="00071DA3"/>
    <w:rsid w:val="00072096"/>
    <w:rsid w:val="0007254E"/>
    <w:rsid w:val="00072963"/>
    <w:rsid w:val="00072973"/>
    <w:rsid w:val="00072997"/>
    <w:rsid w:val="00072DFD"/>
    <w:rsid w:val="00072E37"/>
    <w:rsid w:val="000733F4"/>
    <w:rsid w:val="0007355C"/>
    <w:rsid w:val="000736D8"/>
    <w:rsid w:val="0007371F"/>
    <w:rsid w:val="00073A86"/>
    <w:rsid w:val="00073AB9"/>
    <w:rsid w:val="00073B62"/>
    <w:rsid w:val="00073C14"/>
    <w:rsid w:val="00073DF8"/>
    <w:rsid w:val="00073E4F"/>
    <w:rsid w:val="00073FE8"/>
    <w:rsid w:val="000741E8"/>
    <w:rsid w:val="0007434B"/>
    <w:rsid w:val="000743C1"/>
    <w:rsid w:val="0007449C"/>
    <w:rsid w:val="00074591"/>
    <w:rsid w:val="000745A2"/>
    <w:rsid w:val="0007464D"/>
    <w:rsid w:val="00074860"/>
    <w:rsid w:val="000749D4"/>
    <w:rsid w:val="00074AFC"/>
    <w:rsid w:val="00074C41"/>
    <w:rsid w:val="00074C47"/>
    <w:rsid w:val="00074CE5"/>
    <w:rsid w:val="00074EB6"/>
    <w:rsid w:val="00074FC6"/>
    <w:rsid w:val="00075052"/>
    <w:rsid w:val="00075319"/>
    <w:rsid w:val="000754E1"/>
    <w:rsid w:val="00075731"/>
    <w:rsid w:val="00075A31"/>
    <w:rsid w:val="00075C4D"/>
    <w:rsid w:val="00075DCC"/>
    <w:rsid w:val="0007619A"/>
    <w:rsid w:val="000761BC"/>
    <w:rsid w:val="000761C1"/>
    <w:rsid w:val="000761EA"/>
    <w:rsid w:val="0007631E"/>
    <w:rsid w:val="0007641D"/>
    <w:rsid w:val="00076461"/>
    <w:rsid w:val="00076478"/>
    <w:rsid w:val="0007658E"/>
    <w:rsid w:val="00076869"/>
    <w:rsid w:val="000768BB"/>
    <w:rsid w:val="00076920"/>
    <w:rsid w:val="000769E1"/>
    <w:rsid w:val="00076DE6"/>
    <w:rsid w:val="00076F82"/>
    <w:rsid w:val="00077041"/>
    <w:rsid w:val="000770B1"/>
    <w:rsid w:val="00077119"/>
    <w:rsid w:val="0007714B"/>
    <w:rsid w:val="000771D7"/>
    <w:rsid w:val="000772DD"/>
    <w:rsid w:val="000775E7"/>
    <w:rsid w:val="00077CE9"/>
    <w:rsid w:val="00077D44"/>
    <w:rsid w:val="00077EB5"/>
    <w:rsid w:val="00080039"/>
    <w:rsid w:val="0008007C"/>
    <w:rsid w:val="00080106"/>
    <w:rsid w:val="0008012C"/>
    <w:rsid w:val="0008032C"/>
    <w:rsid w:val="000803C9"/>
    <w:rsid w:val="0008045B"/>
    <w:rsid w:val="00080707"/>
    <w:rsid w:val="00080733"/>
    <w:rsid w:val="00080996"/>
    <w:rsid w:val="000809CB"/>
    <w:rsid w:val="00080EB0"/>
    <w:rsid w:val="00080EF0"/>
    <w:rsid w:val="00080F30"/>
    <w:rsid w:val="00080FEC"/>
    <w:rsid w:val="000811E4"/>
    <w:rsid w:val="00081241"/>
    <w:rsid w:val="0008143A"/>
    <w:rsid w:val="00081589"/>
    <w:rsid w:val="00081697"/>
    <w:rsid w:val="000816C7"/>
    <w:rsid w:val="000817B7"/>
    <w:rsid w:val="000818CD"/>
    <w:rsid w:val="000818DF"/>
    <w:rsid w:val="00081D3F"/>
    <w:rsid w:val="00081E52"/>
    <w:rsid w:val="0008213F"/>
    <w:rsid w:val="0008223C"/>
    <w:rsid w:val="000822BC"/>
    <w:rsid w:val="000824BA"/>
    <w:rsid w:val="00082508"/>
    <w:rsid w:val="000826E2"/>
    <w:rsid w:val="000827D5"/>
    <w:rsid w:val="000828F5"/>
    <w:rsid w:val="000829E9"/>
    <w:rsid w:val="00082B6B"/>
    <w:rsid w:val="00082B96"/>
    <w:rsid w:val="00082BAB"/>
    <w:rsid w:val="00082C03"/>
    <w:rsid w:val="00082C40"/>
    <w:rsid w:val="00082DCF"/>
    <w:rsid w:val="00082E57"/>
    <w:rsid w:val="00083064"/>
    <w:rsid w:val="000833FE"/>
    <w:rsid w:val="00083539"/>
    <w:rsid w:val="000836FC"/>
    <w:rsid w:val="00083735"/>
    <w:rsid w:val="00083977"/>
    <w:rsid w:val="00083B09"/>
    <w:rsid w:val="00083B29"/>
    <w:rsid w:val="00083C68"/>
    <w:rsid w:val="00083D52"/>
    <w:rsid w:val="00083FFF"/>
    <w:rsid w:val="000842A9"/>
    <w:rsid w:val="000843C6"/>
    <w:rsid w:val="00084673"/>
    <w:rsid w:val="0008470E"/>
    <w:rsid w:val="000847C3"/>
    <w:rsid w:val="00084A94"/>
    <w:rsid w:val="00084CF9"/>
    <w:rsid w:val="00084D36"/>
    <w:rsid w:val="00084F66"/>
    <w:rsid w:val="00085177"/>
    <w:rsid w:val="000851CE"/>
    <w:rsid w:val="00085469"/>
    <w:rsid w:val="000854D5"/>
    <w:rsid w:val="00085972"/>
    <w:rsid w:val="00085AB5"/>
    <w:rsid w:val="00085B57"/>
    <w:rsid w:val="00085DD5"/>
    <w:rsid w:val="0008606B"/>
    <w:rsid w:val="00086262"/>
    <w:rsid w:val="000862D7"/>
    <w:rsid w:val="00086356"/>
    <w:rsid w:val="00086EA2"/>
    <w:rsid w:val="0008707F"/>
    <w:rsid w:val="000870DC"/>
    <w:rsid w:val="000872B7"/>
    <w:rsid w:val="000872D2"/>
    <w:rsid w:val="00087342"/>
    <w:rsid w:val="00087AA2"/>
    <w:rsid w:val="00087ACE"/>
    <w:rsid w:val="00087BE4"/>
    <w:rsid w:val="00087EF2"/>
    <w:rsid w:val="00087FA6"/>
    <w:rsid w:val="00090321"/>
    <w:rsid w:val="0009069E"/>
    <w:rsid w:val="0009094B"/>
    <w:rsid w:val="00090973"/>
    <w:rsid w:val="0009097B"/>
    <w:rsid w:val="000909C4"/>
    <w:rsid w:val="00090AF4"/>
    <w:rsid w:val="00090B03"/>
    <w:rsid w:val="00090C16"/>
    <w:rsid w:val="00090C25"/>
    <w:rsid w:val="00090DAE"/>
    <w:rsid w:val="00090EEC"/>
    <w:rsid w:val="000910ED"/>
    <w:rsid w:val="00091170"/>
    <w:rsid w:val="000912BF"/>
    <w:rsid w:val="000913AC"/>
    <w:rsid w:val="000913C1"/>
    <w:rsid w:val="000915C0"/>
    <w:rsid w:val="00091876"/>
    <w:rsid w:val="0009187A"/>
    <w:rsid w:val="00091AE0"/>
    <w:rsid w:val="00091BD9"/>
    <w:rsid w:val="00091C19"/>
    <w:rsid w:val="00091D53"/>
    <w:rsid w:val="0009208F"/>
    <w:rsid w:val="000921DA"/>
    <w:rsid w:val="000921E9"/>
    <w:rsid w:val="0009230E"/>
    <w:rsid w:val="000923B7"/>
    <w:rsid w:val="00092504"/>
    <w:rsid w:val="0009286E"/>
    <w:rsid w:val="00092A11"/>
    <w:rsid w:val="00092E1D"/>
    <w:rsid w:val="00092F11"/>
    <w:rsid w:val="00092F95"/>
    <w:rsid w:val="00092FDE"/>
    <w:rsid w:val="00093092"/>
    <w:rsid w:val="000931E0"/>
    <w:rsid w:val="00093373"/>
    <w:rsid w:val="0009350C"/>
    <w:rsid w:val="000935E7"/>
    <w:rsid w:val="00093972"/>
    <w:rsid w:val="000939F8"/>
    <w:rsid w:val="00093CAA"/>
    <w:rsid w:val="00093E17"/>
    <w:rsid w:val="0009410C"/>
    <w:rsid w:val="000943A0"/>
    <w:rsid w:val="000944E0"/>
    <w:rsid w:val="000946CC"/>
    <w:rsid w:val="00094713"/>
    <w:rsid w:val="0009471E"/>
    <w:rsid w:val="0009497C"/>
    <w:rsid w:val="00094A7C"/>
    <w:rsid w:val="00094B7A"/>
    <w:rsid w:val="00094CD6"/>
    <w:rsid w:val="00094F11"/>
    <w:rsid w:val="00094FA7"/>
    <w:rsid w:val="000953CC"/>
    <w:rsid w:val="000955FD"/>
    <w:rsid w:val="00095913"/>
    <w:rsid w:val="00095ACC"/>
    <w:rsid w:val="00095AE5"/>
    <w:rsid w:val="00095B08"/>
    <w:rsid w:val="00095B26"/>
    <w:rsid w:val="00095BD5"/>
    <w:rsid w:val="00095D45"/>
    <w:rsid w:val="00095F0D"/>
    <w:rsid w:val="00095F94"/>
    <w:rsid w:val="00095FA6"/>
    <w:rsid w:val="000960C4"/>
    <w:rsid w:val="0009611E"/>
    <w:rsid w:val="000962BF"/>
    <w:rsid w:val="00096523"/>
    <w:rsid w:val="000965B8"/>
    <w:rsid w:val="0009663E"/>
    <w:rsid w:val="00096730"/>
    <w:rsid w:val="00096BBC"/>
    <w:rsid w:val="00096DF2"/>
    <w:rsid w:val="00096E8E"/>
    <w:rsid w:val="00096F52"/>
    <w:rsid w:val="0009718E"/>
    <w:rsid w:val="00097230"/>
    <w:rsid w:val="000972D2"/>
    <w:rsid w:val="000973A1"/>
    <w:rsid w:val="000974A6"/>
    <w:rsid w:val="00097516"/>
    <w:rsid w:val="0009792E"/>
    <w:rsid w:val="00097B9A"/>
    <w:rsid w:val="00097BB5"/>
    <w:rsid w:val="00097FBA"/>
    <w:rsid w:val="000A0386"/>
    <w:rsid w:val="000A03B8"/>
    <w:rsid w:val="000A0449"/>
    <w:rsid w:val="000A053E"/>
    <w:rsid w:val="000A067C"/>
    <w:rsid w:val="000A0694"/>
    <w:rsid w:val="000A06C4"/>
    <w:rsid w:val="000A06EE"/>
    <w:rsid w:val="000A0728"/>
    <w:rsid w:val="000A0BDD"/>
    <w:rsid w:val="000A0D5D"/>
    <w:rsid w:val="000A0ECE"/>
    <w:rsid w:val="000A147E"/>
    <w:rsid w:val="000A1484"/>
    <w:rsid w:val="000A1545"/>
    <w:rsid w:val="000A1561"/>
    <w:rsid w:val="000A1EC3"/>
    <w:rsid w:val="000A1EFD"/>
    <w:rsid w:val="000A25C4"/>
    <w:rsid w:val="000A28F0"/>
    <w:rsid w:val="000A29AF"/>
    <w:rsid w:val="000A2A12"/>
    <w:rsid w:val="000A2B9F"/>
    <w:rsid w:val="000A2EBC"/>
    <w:rsid w:val="000A2F11"/>
    <w:rsid w:val="000A3214"/>
    <w:rsid w:val="000A3342"/>
    <w:rsid w:val="000A3379"/>
    <w:rsid w:val="000A37F4"/>
    <w:rsid w:val="000A3B28"/>
    <w:rsid w:val="000A3B31"/>
    <w:rsid w:val="000A3B63"/>
    <w:rsid w:val="000A3BF9"/>
    <w:rsid w:val="000A3C59"/>
    <w:rsid w:val="000A3C69"/>
    <w:rsid w:val="000A3F03"/>
    <w:rsid w:val="000A4175"/>
    <w:rsid w:val="000A4603"/>
    <w:rsid w:val="000A46FD"/>
    <w:rsid w:val="000A47A7"/>
    <w:rsid w:val="000A4AD4"/>
    <w:rsid w:val="000A4B94"/>
    <w:rsid w:val="000A4CBA"/>
    <w:rsid w:val="000A4D57"/>
    <w:rsid w:val="000A4DF9"/>
    <w:rsid w:val="000A4E52"/>
    <w:rsid w:val="000A4E7D"/>
    <w:rsid w:val="000A4F4A"/>
    <w:rsid w:val="000A50B7"/>
    <w:rsid w:val="000A5309"/>
    <w:rsid w:val="000A5357"/>
    <w:rsid w:val="000A542F"/>
    <w:rsid w:val="000A5474"/>
    <w:rsid w:val="000A568F"/>
    <w:rsid w:val="000A56E8"/>
    <w:rsid w:val="000A580E"/>
    <w:rsid w:val="000A58AC"/>
    <w:rsid w:val="000A5D08"/>
    <w:rsid w:val="000A5D47"/>
    <w:rsid w:val="000A64B8"/>
    <w:rsid w:val="000A6535"/>
    <w:rsid w:val="000A6633"/>
    <w:rsid w:val="000A6914"/>
    <w:rsid w:val="000A6B49"/>
    <w:rsid w:val="000A6B9D"/>
    <w:rsid w:val="000A6E25"/>
    <w:rsid w:val="000A6FBB"/>
    <w:rsid w:val="000A7436"/>
    <w:rsid w:val="000A74D2"/>
    <w:rsid w:val="000A75FB"/>
    <w:rsid w:val="000A7878"/>
    <w:rsid w:val="000A7C0E"/>
    <w:rsid w:val="000A7C47"/>
    <w:rsid w:val="000A7CCB"/>
    <w:rsid w:val="000A7CF9"/>
    <w:rsid w:val="000A7D04"/>
    <w:rsid w:val="000A7E4E"/>
    <w:rsid w:val="000B007C"/>
    <w:rsid w:val="000B019F"/>
    <w:rsid w:val="000B021B"/>
    <w:rsid w:val="000B028B"/>
    <w:rsid w:val="000B06FE"/>
    <w:rsid w:val="000B0712"/>
    <w:rsid w:val="000B0726"/>
    <w:rsid w:val="000B0755"/>
    <w:rsid w:val="000B07EB"/>
    <w:rsid w:val="000B08DC"/>
    <w:rsid w:val="000B0AED"/>
    <w:rsid w:val="000B0F4C"/>
    <w:rsid w:val="000B1304"/>
    <w:rsid w:val="000B16AA"/>
    <w:rsid w:val="000B1707"/>
    <w:rsid w:val="000B1AD9"/>
    <w:rsid w:val="000B1E8C"/>
    <w:rsid w:val="000B1F76"/>
    <w:rsid w:val="000B20DE"/>
    <w:rsid w:val="000B22D8"/>
    <w:rsid w:val="000B2338"/>
    <w:rsid w:val="000B2430"/>
    <w:rsid w:val="000B244A"/>
    <w:rsid w:val="000B25DE"/>
    <w:rsid w:val="000B2717"/>
    <w:rsid w:val="000B2B20"/>
    <w:rsid w:val="000B30F2"/>
    <w:rsid w:val="000B32C5"/>
    <w:rsid w:val="000B33B6"/>
    <w:rsid w:val="000B3418"/>
    <w:rsid w:val="000B34D3"/>
    <w:rsid w:val="000B3535"/>
    <w:rsid w:val="000B3561"/>
    <w:rsid w:val="000B35D0"/>
    <w:rsid w:val="000B36FB"/>
    <w:rsid w:val="000B3AF2"/>
    <w:rsid w:val="000B3C94"/>
    <w:rsid w:val="000B3D72"/>
    <w:rsid w:val="000B3E89"/>
    <w:rsid w:val="000B4016"/>
    <w:rsid w:val="000B4026"/>
    <w:rsid w:val="000B4066"/>
    <w:rsid w:val="000B41FD"/>
    <w:rsid w:val="000B4359"/>
    <w:rsid w:val="000B4361"/>
    <w:rsid w:val="000B48FF"/>
    <w:rsid w:val="000B4922"/>
    <w:rsid w:val="000B49C8"/>
    <w:rsid w:val="000B4AB6"/>
    <w:rsid w:val="000B4B87"/>
    <w:rsid w:val="000B4CBE"/>
    <w:rsid w:val="000B4D04"/>
    <w:rsid w:val="000B4D33"/>
    <w:rsid w:val="000B4D53"/>
    <w:rsid w:val="000B4D80"/>
    <w:rsid w:val="000B526E"/>
    <w:rsid w:val="000B540A"/>
    <w:rsid w:val="000B5557"/>
    <w:rsid w:val="000B5796"/>
    <w:rsid w:val="000B58A8"/>
    <w:rsid w:val="000B593D"/>
    <w:rsid w:val="000B59A8"/>
    <w:rsid w:val="000B5B67"/>
    <w:rsid w:val="000B5C09"/>
    <w:rsid w:val="000B603D"/>
    <w:rsid w:val="000B60F8"/>
    <w:rsid w:val="000B6410"/>
    <w:rsid w:val="000B64FD"/>
    <w:rsid w:val="000B655C"/>
    <w:rsid w:val="000B68CC"/>
    <w:rsid w:val="000B6B3D"/>
    <w:rsid w:val="000B6DF2"/>
    <w:rsid w:val="000B7355"/>
    <w:rsid w:val="000B736F"/>
    <w:rsid w:val="000B744B"/>
    <w:rsid w:val="000B74A2"/>
    <w:rsid w:val="000B7665"/>
    <w:rsid w:val="000B76E8"/>
    <w:rsid w:val="000B77B2"/>
    <w:rsid w:val="000B7964"/>
    <w:rsid w:val="000B7DAA"/>
    <w:rsid w:val="000B7EB0"/>
    <w:rsid w:val="000B7EEC"/>
    <w:rsid w:val="000B7F21"/>
    <w:rsid w:val="000B7FFE"/>
    <w:rsid w:val="000C0097"/>
    <w:rsid w:val="000C027F"/>
    <w:rsid w:val="000C0714"/>
    <w:rsid w:val="000C071A"/>
    <w:rsid w:val="000C086E"/>
    <w:rsid w:val="000C0C43"/>
    <w:rsid w:val="000C0CAF"/>
    <w:rsid w:val="000C15DA"/>
    <w:rsid w:val="000C1631"/>
    <w:rsid w:val="000C1747"/>
    <w:rsid w:val="000C1816"/>
    <w:rsid w:val="000C1992"/>
    <w:rsid w:val="000C1FA8"/>
    <w:rsid w:val="000C211B"/>
    <w:rsid w:val="000C2275"/>
    <w:rsid w:val="000C22FB"/>
    <w:rsid w:val="000C25FC"/>
    <w:rsid w:val="000C26D3"/>
    <w:rsid w:val="000C29DC"/>
    <w:rsid w:val="000C2B34"/>
    <w:rsid w:val="000C2E3F"/>
    <w:rsid w:val="000C2F80"/>
    <w:rsid w:val="000C3037"/>
    <w:rsid w:val="000C304A"/>
    <w:rsid w:val="000C30A3"/>
    <w:rsid w:val="000C3298"/>
    <w:rsid w:val="000C34C3"/>
    <w:rsid w:val="000C36B9"/>
    <w:rsid w:val="000C3825"/>
    <w:rsid w:val="000C3A53"/>
    <w:rsid w:val="000C3B13"/>
    <w:rsid w:val="000C3C0B"/>
    <w:rsid w:val="000C3DB4"/>
    <w:rsid w:val="000C3E32"/>
    <w:rsid w:val="000C3FA3"/>
    <w:rsid w:val="000C41AE"/>
    <w:rsid w:val="000C4236"/>
    <w:rsid w:val="000C4466"/>
    <w:rsid w:val="000C4678"/>
    <w:rsid w:val="000C4738"/>
    <w:rsid w:val="000C494D"/>
    <w:rsid w:val="000C4A0F"/>
    <w:rsid w:val="000C4A3F"/>
    <w:rsid w:val="000C4D01"/>
    <w:rsid w:val="000C5021"/>
    <w:rsid w:val="000C5152"/>
    <w:rsid w:val="000C5276"/>
    <w:rsid w:val="000C527B"/>
    <w:rsid w:val="000C5648"/>
    <w:rsid w:val="000C5691"/>
    <w:rsid w:val="000C56E1"/>
    <w:rsid w:val="000C57AD"/>
    <w:rsid w:val="000C58FE"/>
    <w:rsid w:val="000C596E"/>
    <w:rsid w:val="000C5A83"/>
    <w:rsid w:val="000C5E14"/>
    <w:rsid w:val="000C5E50"/>
    <w:rsid w:val="000C5F2B"/>
    <w:rsid w:val="000C5FFD"/>
    <w:rsid w:val="000C608A"/>
    <w:rsid w:val="000C60B6"/>
    <w:rsid w:val="000C60E5"/>
    <w:rsid w:val="000C615F"/>
    <w:rsid w:val="000C617B"/>
    <w:rsid w:val="000C63E9"/>
    <w:rsid w:val="000C64AE"/>
    <w:rsid w:val="000C66A7"/>
    <w:rsid w:val="000C699D"/>
    <w:rsid w:val="000C6B49"/>
    <w:rsid w:val="000C6C09"/>
    <w:rsid w:val="000C6D00"/>
    <w:rsid w:val="000C6E1B"/>
    <w:rsid w:val="000C6F75"/>
    <w:rsid w:val="000C7011"/>
    <w:rsid w:val="000C7166"/>
    <w:rsid w:val="000C71A9"/>
    <w:rsid w:val="000C722E"/>
    <w:rsid w:val="000C74FC"/>
    <w:rsid w:val="000C75A2"/>
    <w:rsid w:val="000C76A7"/>
    <w:rsid w:val="000C7922"/>
    <w:rsid w:val="000C79C1"/>
    <w:rsid w:val="000C7A34"/>
    <w:rsid w:val="000C7AA2"/>
    <w:rsid w:val="000C7B25"/>
    <w:rsid w:val="000C7C23"/>
    <w:rsid w:val="000C7D60"/>
    <w:rsid w:val="000C7EC6"/>
    <w:rsid w:val="000C7F02"/>
    <w:rsid w:val="000D0476"/>
    <w:rsid w:val="000D055F"/>
    <w:rsid w:val="000D05BA"/>
    <w:rsid w:val="000D07F8"/>
    <w:rsid w:val="000D0928"/>
    <w:rsid w:val="000D0B09"/>
    <w:rsid w:val="000D0DFA"/>
    <w:rsid w:val="000D1167"/>
    <w:rsid w:val="000D13D4"/>
    <w:rsid w:val="000D14DE"/>
    <w:rsid w:val="000D165E"/>
    <w:rsid w:val="000D179F"/>
    <w:rsid w:val="000D17C5"/>
    <w:rsid w:val="000D19D0"/>
    <w:rsid w:val="000D1AC5"/>
    <w:rsid w:val="000D1C42"/>
    <w:rsid w:val="000D1D0B"/>
    <w:rsid w:val="000D1D84"/>
    <w:rsid w:val="000D1E36"/>
    <w:rsid w:val="000D1FDD"/>
    <w:rsid w:val="000D2018"/>
    <w:rsid w:val="000D2066"/>
    <w:rsid w:val="000D22ED"/>
    <w:rsid w:val="000D24C3"/>
    <w:rsid w:val="000D286F"/>
    <w:rsid w:val="000D28EF"/>
    <w:rsid w:val="000D2A2B"/>
    <w:rsid w:val="000D2AC7"/>
    <w:rsid w:val="000D2E6A"/>
    <w:rsid w:val="000D2F8F"/>
    <w:rsid w:val="000D3022"/>
    <w:rsid w:val="000D3053"/>
    <w:rsid w:val="000D3504"/>
    <w:rsid w:val="000D350C"/>
    <w:rsid w:val="000D3549"/>
    <w:rsid w:val="000D356F"/>
    <w:rsid w:val="000D3593"/>
    <w:rsid w:val="000D368F"/>
    <w:rsid w:val="000D3A86"/>
    <w:rsid w:val="000D3BF0"/>
    <w:rsid w:val="000D3C81"/>
    <w:rsid w:val="000D3CA9"/>
    <w:rsid w:val="000D3CCC"/>
    <w:rsid w:val="000D3D17"/>
    <w:rsid w:val="000D4212"/>
    <w:rsid w:val="000D456A"/>
    <w:rsid w:val="000D45B4"/>
    <w:rsid w:val="000D46D3"/>
    <w:rsid w:val="000D46E1"/>
    <w:rsid w:val="000D48C1"/>
    <w:rsid w:val="000D4A11"/>
    <w:rsid w:val="000D4B10"/>
    <w:rsid w:val="000D4B9A"/>
    <w:rsid w:val="000D4D87"/>
    <w:rsid w:val="000D4EDA"/>
    <w:rsid w:val="000D5247"/>
    <w:rsid w:val="000D5337"/>
    <w:rsid w:val="000D535C"/>
    <w:rsid w:val="000D550A"/>
    <w:rsid w:val="000D5533"/>
    <w:rsid w:val="000D5629"/>
    <w:rsid w:val="000D580B"/>
    <w:rsid w:val="000D5856"/>
    <w:rsid w:val="000D58B7"/>
    <w:rsid w:val="000D5EC2"/>
    <w:rsid w:val="000D5F16"/>
    <w:rsid w:val="000D5F9B"/>
    <w:rsid w:val="000D6163"/>
    <w:rsid w:val="000D63F0"/>
    <w:rsid w:val="000D6449"/>
    <w:rsid w:val="000D65EA"/>
    <w:rsid w:val="000D6653"/>
    <w:rsid w:val="000D6A01"/>
    <w:rsid w:val="000D6A1A"/>
    <w:rsid w:val="000D6D05"/>
    <w:rsid w:val="000D6D48"/>
    <w:rsid w:val="000D6EBC"/>
    <w:rsid w:val="000D6F22"/>
    <w:rsid w:val="000D70AA"/>
    <w:rsid w:val="000D71D5"/>
    <w:rsid w:val="000D724F"/>
    <w:rsid w:val="000D7505"/>
    <w:rsid w:val="000D755E"/>
    <w:rsid w:val="000D766F"/>
    <w:rsid w:val="000D787F"/>
    <w:rsid w:val="000D797C"/>
    <w:rsid w:val="000D7AB0"/>
    <w:rsid w:val="000D7ACB"/>
    <w:rsid w:val="000D7DED"/>
    <w:rsid w:val="000D7E17"/>
    <w:rsid w:val="000D7E5C"/>
    <w:rsid w:val="000E0355"/>
    <w:rsid w:val="000E045E"/>
    <w:rsid w:val="000E04AB"/>
    <w:rsid w:val="000E069B"/>
    <w:rsid w:val="000E0B22"/>
    <w:rsid w:val="000E0E52"/>
    <w:rsid w:val="000E0E88"/>
    <w:rsid w:val="000E0EBE"/>
    <w:rsid w:val="000E119B"/>
    <w:rsid w:val="000E1353"/>
    <w:rsid w:val="000E139C"/>
    <w:rsid w:val="000E13D0"/>
    <w:rsid w:val="000E1457"/>
    <w:rsid w:val="000E151C"/>
    <w:rsid w:val="000E176D"/>
    <w:rsid w:val="000E1926"/>
    <w:rsid w:val="000E1AAF"/>
    <w:rsid w:val="000E1CB2"/>
    <w:rsid w:val="000E1D9D"/>
    <w:rsid w:val="000E1FB4"/>
    <w:rsid w:val="000E2239"/>
    <w:rsid w:val="000E245F"/>
    <w:rsid w:val="000E24C0"/>
    <w:rsid w:val="000E264F"/>
    <w:rsid w:val="000E26D2"/>
    <w:rsid w:val="000E2871"/>
    <w:rsid w:val="000E28FA"/>
    <w:rsid w:val="000E2A89"/>
    <w:rsid w:val="000E2A9B"/>
    <w:rsid w:val="000E2A9C"/>
    <w:rsid w:val="000E2ADD"/>
    <w:rsid w:val="000E2AFF"/>
    <w:rsid w:val="000E2B2C"/>
    <w:rsid w:val="000E2B7F"/>
    <w:rsid w:val="000E2B8E"/>
    <w:rsid w:val="000E2BEF"/>
    <w:rsid w:val="000E2CB8"/>
    <w:rsid w:val="000E2D66"/>
    <w:rsid w:val="000E2D92"/>
    <w:rsid w:val="000E2F24"/>
    <w:rsid w:val="000E2FEC"/>
    <w:rsid w:val="000E30C8"/>
    <w:rsid w:val="000E311C"/>
    <w:rsid w:val="000E3487"/>
    <w:rsid w:val="000E34BD"/>
    <w:rsid w:val="000E3695"/>
    <w:rsid w:val="000E37A4"/>
    <w:rsid w:val="000E37D7"/>
    <w:rsid w:val="000E380F"/>
    <w:rsid w:val="000E384C"/>
    <w:rsid w:val="000E3CAE"/>
    <w:rsid w:val="000E3D63"/>
    <w:rsid w:val="000E3DD2"/>
    <w:rsid w:val="000E3FC5"/>
    <w:rsid w:val="000E42DE"/>
    <w:rsid w:val="000E42F0"/>
    <w:rsid w:val="000E431E"/>
    <w:rsid w:val="000E4361"/>
    <w:rsid w:val="000E4369"/>
    <w:rsid w:val="000E4453"/>
    <w:rsid w:val="000E45A7"/>
    <w:rsid w:val="000E461F"/>
    <w:rsid w:val="000E4748"/>
    <w:rsid w:val="000E4794"/>
    <w:rsid w:val="000E4861"/>
    <w:rsid w:val="000E48BB"/>
    <w:rsid w:val="000E5092"/>
    <w:rsid w:val="000E527E"/>
    <w:rsid w:val="000E535E"/>
    <w:rsid w:val="000E553D"/>
    <w:rsid w:val="000E557C"/>
    <w:rsid w:val="000E5743"/>
    <w:rsid w:val="000E58C9"/>
    <w:rsid w:val="000E58D8"/>
    <w:rsid w:val="000E58F2"/>
    <w:rsid w:val="000E593C"/>
    <w:rsid w:val="000E5E82"/>
    <w:rsid w:val="000E5EAE"/>
    <w:rsid w:val="000E5F94"/>
    <w:rsid w:val="000E6333"/>
    <w:rsid w:val="000E6415"/>
    <w:rsid w:val="000E66A7"/>
    <w:rsid w:val="000E68E3"/>
    <w:rsid w:val="000E69B2"/>
    <w:rsid w:val="000E6C71"/>
    <w:rsid w:val="000E6CF5"/>
    <w:rsid w:val="000E6D70"/>
    <w:rsid w:val="000E6EA7"/>
    <w:rsid w:val="000E6EEB"/>
    <w:rsid w:val="000E6F7F"/>
    <w:rsid w:val="000E7204"/>
    <w:rsid w:val="000E754B"/>
    <w:rsid w:val="000E75E4"/>
    <w:rsid w:val="000E77B7"/>
    <w:rsid w:val="000E783B"/>
    <w:rsid w:val="000E788B"/>
    <w:rsid w:val="000E7A99"/>
    <w:rsid w:val="000E7AC8"/>
    <w:rsid w:val="000E7B1C"/>
    <w:rsid w:val="000E7B2A"/>
    <w:rsid w:val="000E7E3B"/>
    <w:rsid w:val="000E7ECA"/>
    <w:rsid w:val="000F0071"/>
    <w:rsid w:val="000F0086"/>
    <w:rsid w:val="000F0131"/>
    <w:rsid w:val="000F0171"/>
    <w:rsid w:val="000F01AE"/>
    <w:rsid w:val="000F04B5"/>
    <w:rsid w:val="000F05FE"/>
    <w:rsid w:val="000F07BF"/>
    <w:rsid w:val="000F086A"/>
    <w:rsid w:val="000F0B6E"/>
    <w:rsid w:val="000F0EEA"/>
    <w:rsid w:val="000F16AE"/>
    <w:rsid w:val="000F17F6"/>
    <w:rsid w:val="000F1977"/>
    <w:rsid w:val="000F1C9E"/>
    <w:rsid w:val="000F1D5C"/>
    <w:rsid w:val="000F1EDE"/>
    <w:rsid w:val="000F20E3"/>
    <w:rsid w:val="000F2139"/>
    <w:rsid w:val="000F215B"/>
    <w:rsid w:val="000F2181"/>
    <w:rsid w:val="000F220D"/>
    <w:rsid w:val="000F2570"/>
    <w:rsid w:val="000F2674"/>
    <w:rsid w:val="000F26DB"/>
    <w:rsid w:val="000F2ACD"/>
    <w:rsid w:val="000F2BB4"/>
    <w:rsid w:val="000F2D29"/>
    <w:rsid w:val="000F2DC9"/>
    <w:rsid w:val="000F2FED"/>
    <w:rsid w:val="000F30BE"/>
    <w:rsid w:val="000F31DD"/>
    <w:rsid w:val="000F32E9"/>
    <w:rsid w:val="000F3784"/>
    <w:rsid w:val="000F3887"/>
    <w:rsid w:val="000F3888"/>
    <w:rsid w:val="000F3A48"/>
    <w:rsid w:val="000F3B0E"/>
    <w:rsid w:val="000F3B36"/>
    <w:rsid w:val="000F3B75"/>
    <w:rsid w:val="000F3C6C"/>
    <w:rsid w:val="000F3F3B"/>
    <w:rsid w:val="000F4400"/>
    <w:rsid w:val="000F460F"/>
    <w:rsid w:val="000F4670"/>
    <w:rsid w:val="000F4978"/>
    <w:rsid w:val="000F4A05"/>
    <w:rsid w:val="000F4A82"/>
    <w:rsid w:val="000F4A9B"/>
    <w:rsid w:val="000F4BBC"/>
    <w:rsid w:val="000F4BF1"/>
    <w:rsid w:val="000F4C58"/>
    <w:rsid w:val="000F4E20"/>
    <w:rsid w:val="000F4ECC"/>
    <w:rsid w:val="000F4EE1"/>
    <w:rsid w:val="000F50CF"/>
    <w:rsid w:val="000F51F5"/>
    <w:rsid w:val="000F59D9"/>
    <w:rsid w:val="000F5B39"/>
    <w:rsid w:val="000F5B3A"/>
    <w:rsid w:val="000F5C63"/>
    <w:rsid w:val="000F5D64"/>
    <w:rsid w:val="000F638B"/>
    <w:rsid w:val="000F63A3"/>
    <w:rsid w:val="000F6409"/>
    <w:rsid w:val="000F6438"/>
    <w:rsid w:val="000F66D6"/>
    <w:rsid w:val="000F6889"/>
    <w:rsid w:val="000F68EC"/>
    <w:rsid w:val="000F6B47"/>
    <w:rsid w:val="000F6DC9"/>
    <w:rsid w:val="000F6E6C"/>
    <w:rsid w:val="000F6EB4"/>
    <w:rsid w:val="000F702D"/>
    <w:rsid w:val="000F7064"/>
    <w:rsid w:val="000F71F2"/>
    <w:rsid w:val="000F72E0"/>
    <w:rsid w:val="000F73A5"/>
    <w:rsid w:val="000F7432"/>
    <w:rsid w:val="000F759E"/>
    <w:rsid w:val="000F76E1"/>
    <w:rsid w:val="000F76E9"/>
    <w:rsid w:val="000F7973"/>
    <w:rsid w:val="000F7CCB"/>
    <w:rsid w:val="000F7CCE"/>
    <w:rsid w:val="001000A2"/>
    <w:rsid w:val="00100160"/>
    <w:rsid w:val="00100549"/>
    <w:rsid w:val="001005A1"/>
    <w:rsid w:val="0010067C"/>
    <w:rsid w:val="001006B2"/>
    <w:rsid w:val="0010084B"/>
    <w:rsid w:val="00100873"/>
    <w:rsid w:val="00100C9D"/>
    <w:rsid w:val="00100E9A"/>
    <w:rsid w:val="001013AF"/>
    <w:rsid w:val="001014D7"/>
    <w:rsid w:val="00101621"/>
    <w:rsid w:val="00101667"/>
    <w:rsid w:val="00101C8C"/>
    <w:rsid w:val="00101EE0"/>
    <w:rsid w:val="001021F0"/>
    <w:rsid w:val="0010230C"/>
    <w:rsid w:val="001024A2"/>
    <w:rsid w:val="001024C0"/>
    <w:rsid w:val="001026D7"/>
    <w:rsid w:val="00102773"/>
    <w:rsid w:val="0010282E"/>
    <w:rsid w:val="00102928"/>
    <w:rsid w:val="00102ACA"/>
    <w:rsid w:val="00102B76"/>
    <w:rsid w:val="00102BBA"/>
    <w:rsid w:val="00102C2C"/>
    <w:rsid w:val="00102C33"/>
    <w:rsid w:val="00102D01"/>
    <w:rsid w:val="00102EA7"/>
    <w:rsid w:val="00102FC4"/>
    <w:rsid w:val="00103515"/>
    <w:rsid w:val="0010387D"/>
    <w:rsid w:val="00103BF5"/>
    <w:rsid w:val="00103C22"/>
    <w:rsid w:val="00103D81"/>
    <w:rsid w:val="00103DBE"/>
    <w:rsid w:val="00103E75"/>
    <w:rsid w:val="00103F90"/>
    <w:rsid w:val="00104275"/>
    <w:rsid w:val="001049E6"/>
    <w:rsid w:val="00104A13"/>
    <w:rsid w:val="00104A9C"/>
    <w:rsid w:val="00104EA4"/>
    <w:rsid w:val="00105191"/>
    <w:rsid w:val="00105570"/>
    <w:rsid w:val="001055DA"/>
    <w:rsid w:val="0010617F"/>
    <w:rsid w:val="00106481"/>
    <w:rsid w:val="001066DD"/>
    <w:rsid w:val="00106726"/>
    <w:rsid w:val="00106A20"/>
    <w:rsid w:val="00106A7C"/>
    <w:rsid w:val="00106B4E"/>
    <w:rsid w:val="00106D1F"/>
    <w:rsid w:val="00106E1E"/>
    <w:rsid w:val="00106E9D"/>
    <w:rsid w:val="00107085"/>
    <w:rsid w:val="0010713C"/>
    <w:rsid w:val="001075ED"/>
    <w:rsid w:val="00107742"/>
    <w:rsid w:val="001077DC"/>
    <w:rsid w:val="0010782C"/>
    <w:rsid w:val="001078C8"/>
    <w:rsid w:val="0010793B"/>
    <w:rsid w:val="00107AFB"/>
    <w:rsid w:val="00107CCC"/>
    <w:rsid w:val="00107D1C"/>
    <w:rsid w:val="00110046"/>
    <w:rsid w:val="00110064"/>
    <w:rsid w:val="001101C2"/>
    <w:rsid w:val="001105DB"/>
    <w:rsid w:val="00110790"/>
    <w:rsid w:val="001107B5"/>
    <w:rsid w:val="00110B5B"/>
    <w:rsid w:val="00110C26"/>
    <w:rsid w:val="00110C31"/>
    <w:rsid w:val="00110E58"/>
    <w:rsid w:val="00110E7D"/>
    <w:rsid w:val="00110EB2"/>
    <w:rsid w:val="00111087"/>
    <w:rsid w:val="001119E9"/>
    <w:rsid w:val="00111B5A"/>
    <w:rsid w:val="00111C0D"/>
    <w:rsid w:val="00111C1A"/>
    <w:rsid w:val="00111D7F"/>
    <w:rsid w:val="00111DFC"/>
    <w:rsid w:val="00111EB8"/>
    <w:rsid w:val="00111EBC"/>
    <w:rsid w:val="00111F1D"/>
    <w:rsid w:val="00112171"/>
    <w:rsid w:val="0011240A"/>
    <w:rsid w:val="0011269A"/>
    <w:rsid w:val="00112DCE"/>
    <w:rsid w:val="00112DE4"/>
    <w:rsid w:val="00113687"/>
    <w:rsid w:val="00113951"/>
    <w:rsid w:val="00113C0E"/>
    <w:rsid w:val="00114074"/>
    <w:rsid w:val="00114197"/>
    <w:rsid w:val="001141B1"/>
    <w:rsid w:val="001142C5"/>
    <w:rsid w:val="0011457E"/>
    <w:rsid w:val="001146AC"/>
    <w:rsid w:val="001147AD"/>
    <w:rsid w:val="001149D3"/>
    <w:rsid w:val="00114A29"/>
    <w:rsid w:val="00114BD5"/>
    <w:rsid w:val="00114DDE"/>
    <w:rsid w:val="00115075"/>
    <w:rsid w:val="001151C2"/>
    <w:rsid w:val="00115270"/>
    <w:rsid w:val="0011578B"/>
    <w:rsid w:val="001157BE"/>
    <w:rsid w:val="00115927"/>
    <w:rsid w:val="00115D72"/>
    <w:rsid w:val="00115DEE"/>
    <w:rsid w:val="00115DEF"/>
    <w:rsid w:val="0011603F"/>
    <w:rsid w:val="001160BF"/>
    <w:rsid w:val="00116114"/>
    <w:rsid w:val="0011619A"/>
    <w:rsid w:val="001161F5"/>
    <w:rsid w:val="00116238"/>
    <w:rsid w:val="001162B7"/>
    <w:rsid w:val="001162CA"/>
    <w:rsid w:val="00116687"/>
    <w:rsid w:val="00116764"/>
    <w:rsid w:val="00116ADD"/>
    <w:rsid w:val="00116AE6"/>
    <w:rsid w:val="00116C8B"/>
    <w:rsid w:val="00116CCA"/>
    <w:rsid w:val="00116CD2"/>
    <w:rsid w:val="00117098"/>
    <w:rsid w:val="0011710B"/>
    <w:rsid w:val="00117173"/>
    <w:rsid w:val="001173BA"/>
    <w:rsid w:val="001175B1"/>
    <w:rsid w:val="001175DF"/>
    <w:rsid w:val="0011776E"/>
    <w:rsid w:val="00117975"/>
    <w:rsid w:val="00117A09"/>
    <w:rsid w:val="00117C42"/>
    <w:rsid w:val="00117C81"/>
    <w:rsid w:val="00117D9F"/>
    <w:rsid w:val="00120032"/>
    <w:rsid w:val="0012018D"/>
    <w:rsid w:val="00120231"/>
    <w:rsid w:val="001203F5"/>
    <w:rsid w:val="00120701"/>
    <w:rsid w:val="001207D3"/>
    <w:rsid w:val="00120D4F"/>
    <w:rsid w:val="00120DD5"/>
    <w:rsid w:val="00120EBD"/>
    <w:rsid w:val="00120F4B"/>
    <w:rsid w:val="00121611"/>
    <w:rsid w:val="001216E2"/>
    <w:rsid w:val="00121843"/>
    <w:rsid w:val="001218CB"/>
    <w:rsid w:val="00121946"/>
    <w:rsid w:val="00121959"/>
    <w:rsid w:val="00121DA6"/>
    <w:rsid w:val="00121F80"/>
    <w:rsid w:val="00122434"/>
    <w:rsid w:val="001224FB"/>
    <w:rsid w:val="0012250A"/>
    <w:rsid w:val="001226A0"/>
    <w:rsid w:val="001227C7"/>
    <w:rsid w:val="001229DF"/>
    <w:rsid w:val="00122BE0"/>
    <w:rsid w:val="00122C6D"/>
    <w:rsid w:val="00122DA6"/>
    <w:rsid w:val="00122E5E"/>
    <w:rsid w:val="00122F6F"/>
    <w:rsid w:val="0012327E"/>
    <w:rsid w:val="0012330D"/>
    <w:rsid w:val="001234FB"/>
    <w:rsid w:val="0012350A"/>
    <w:rsid w:val="001235F9"/>
    <w:rsid w:val="0012379C"/>
    <w:rsid w:val="0012398A"/>
    <w:rsid w:val="00123CC9"/>
    <w:rsid w:val="00124056"/>
    <w:rsid w:val="001241A3"/>
    <w:rsid w:val="001241EA"/>
    <w:rsid w:val="00124289"/>
    <w:rsid w:val="001243F0"/>
    <w:rsid w:val="00124574"/>
    <w:rsid w:val="00124999"/>
    <w:rsid w:val="00124AF5"/>
    <w:rsid w:val="00124C57"/>
    <w:rsid w:val="00124E78"/>
    <w:rsid w:val="00124FA8"/>
    <w:rsid w:val="00125077"/>
    <w:rsid w:val="00125155"/>
    <w:rsid w:val="00125318"/>
    <w:rsid w:val="0012552B"/>
    <w:rsid w:val="00125656"/>
    <w:rsid w:val="0012576B"/>
    <w:rsid w:val="00125F9C"/>
    <w:rsid w:val="00126081"/>
    <w:rsid w:val="0012624F"/>
    <w:rsid w:val="00126565"/>
    <w:rsid w:val="0012672D"/>
    <w:rsid w:val="00126734"/>
    <w:rsid w:val="00126837"/>
    <w:rsid w:val="00126E73"/>
    <w:rsid w:val="00126EFC"/>
    <w:rsid w:val="00126FDC"/>
    <w:rsid w:val="00127084"/>
    <w:rsid w:val="001270F2"/>
    <w:rsid w:val="00127168"/>
    <w:rsid w:val="001272B3"/>
    <w:rsid w:val="00127335"/>
    <w:rsid w:val="001275E7"/>
    <w:rsid w:val="00127756"/>
    <w:rsid w:val="00127777"/>
    <w:rsid w:val="0012787C"/>
    <w:rsid w:val="00127976"/>
    <w:rsid w:val="00127A9A"/>
    <w:rsid w:val="00127B71"/>
    <w:rsid w:val="00127CB1"/>
    <w:rsid w:val="00130252"/>
    <w:rsid w:val="00130321"/>
    <w:rsid w:val="0013036C"/>
    <w:rsid w:val="0013084D"/>
    <w:rsid w:val="0013086C"/>
    <w:rsid w:val="001309AB"/>
    <w:rsid w:val="00130AD4"/>
    <w:rsid w:val="00130AF8"/>
    <w:rsid w:val="00130B48"/>
    <w:rsid w:val="00130C28"/>
    <w:rsid w:val="00130C65"/>
    <w:rsid w:val="00130C69"/>
    <w:rsid w:val="00130EA4"/>
    <w:rsid w:val="00130F1B"/>
    <w:rsid w:val="00130F47"/>
    <w:rsid w:val="001310D9"/>
    <w:rsid w:val="0013137F"/>
    <w:rsid w:val="001315BD"/>
    <w:rsid w:val="0013193F"/>
    <w:rsid w:val="00131B74"/>
    <w:rsid w:val="00131F15"/>
    <w:rsid w:val="001322EC"/>
    <w:rsid w:val="001326FC"/>
    <w:rsid w:val="00132894"/>
    <w:rsid w:val="00132909"/>
    <w:rsid w:val="00132AB1"/>
    <w:rsid w:val="00132B17"/>
    <w:rsid w:val="00132C0D"/>
    <w:rsid w:val="00132D0E"/>
    <w:rsid w:val="00132EF3"/>
    <w:rsid w:val="00132F78"/>
    <w:rsid w:val="0013304C"/>
    <w:rsid w:val="0013306F"/>
    <w:rsid w:val="001332F8"/>
    <w:rsid w:val="0013335A"/>
    <w:rsid w:val="00133559"/>
    <w:rsid w:val="001338F1"/>
    <w:rsid w:val="001339B0"/>
    <w:rsid w:val="00133BF0"/>
    <w:rsid w:val="00133E68"/>
    <w:rsid w:val="00133ECF"/>
    <w:rsid w:val="00133F13"/>
    <w:rsid w:val="00133F6F"/>
    <w:rsid w:val="001340E4"/>
    <w:rsid w:val="001341E4"/>
    <w:rsid w:val="00134359"/>
    <w:rsid w:val="00134585"/>
    <w:rsid w:val="0013461A"/>
    <w:rsid w:val="001347FC"/>
    <w:rsid w:val="00134814"/>
    <w:rsid w:val="00134826"/>
    <w:rsid w:val="001349C4"/>
    <w:rsid w:val="00134AF3"/>
    <w:rsid w:val="00134DE3"/>
    <w:rsid w:val="00134FAF"/>
    <w:rsid w:val="00135344"/>
    <w:rsid w:val="00135459"/>
    <w:rsid w:val="001355C5"/>
    <w:rsid w:val="001355F5"/>
    <w:rsid w:val="0013584D"/>
    <w:rsid w:val="00135854"/>
    <w:rsid w:val="001358C8"/>
    <w:rsid w:val="00135AC1"/>
    <w:rsid w:val="00135B7D"/>
    <w:rsid w:val="00135BEE"/>
    <w:rsid w:val="00135DF2"/>
    <w:rsid w:val="00135F12"/>
    <w:rsid w:val="00136017"/>
    <w:rsid w:val="0013653D"/>
    <w:rsid w:val="00136665"/>
    <w:rsid w:val="0013669A"/>
    <w:rsid w:val="001366AA"/>
    <w:rsid w:val="00136873"/>
    <w:rsid w:val="0013688A"/>
    <w:rsid w:val="00136AB4"/>
    <w:rsid w:val="00136C33"/>
    <w:rsid w:val="00136C5F"/>
    <w:rsid w:val="001371DC"/>
    <w:rsid w:val="00137335"/>
    <w:rsid w:val="001373F5"/>
    <w:rsid w:val="00137419"/>
    <w:rsid w:val="001377EB"/>
    <w:rsid w:val="00137A5D"/>
    <w:rsid w:val="00137C89"/>
    <w:rsid w:val="00137C8A"/>
    <w:rsid w:val="00137DE4"/>
    <w:rsid w:val="00137F75"/>
    <w:rsid w:val="0014007B"/>
    <w:rsid w:val="00140238"/>
    <w:rsid w:val="00140537"/>
    <w:rsid w:val="00140544"/>
    <w:rsid w:val="001406EF"/>
    <w:rsid w:val="00140872"/>
    <w:rsid w:val="00140C49"/>
    <w:rsid w:val="00140E41"/>
    <w:rsid w:val="0014100F"/>
    <w:rsid w:val="0014101A"/>
    <w:rsid w:val="001410F2"/>
    <w:rsid w:val="001414CB"/>
    <w:rsid w:val="001415B3"/>
    <w:rsid w:val="001418F8"/>
    <w:rsid w:val="00141A4E"/>
    <w:rsid w:val="00141C99"/>
    <w:rsid w:val="00141DE3"/>
    <w:rsid w:val="00141E04"/>
    <w:rsid w:val="0014216F"/>
    <w:rsid w:val="001421D8"/>
    <w:rsid w:val="001421DA"/>
    <w:rsid w:val="00142507"/>
    <w:rsid w:val="001429E6"/>
    <w:rsid w:val="001429F5"/>
    <w:rsid w:val="00142A46"/>
    <w:rsid w:val="00142EB0"/>
    <w:rsid w:val="00142F32"/>
    <w:rsid w:val="00142F76"/>
    <w:rsid w:val="001430F0"/>
    <w:rsid w:val="001431DD"/>
    <w:rsid w:val="001432D1"/>
    <w:rsid w:val="00143449"/>
    <w:rsid w:val="0014350F"/>
    <w:rsid w:val="00143718"/>
    <w:rsid w:val="0014372C"/>
    <w:rsid w:val="00143993"/>
    <w:rsid w:val="00143EBC"/>
    <w:rsid w:val="00143FB9"/>
    <w:rsid w:val="001441BE"/>
    <w:rsid w:val="001441C3"/>
    <w:rsid w:val="00144233"/>
    <w:rsid w:val="001443C7"/>
    <w:rsid w:val="0014448A"/>
    <w:rsid w:val="0014453A"/>
    <w:rsid w:val="0014478E"/>
    <w:rsid w:val="00144804"/>
    <w:rsid w:val="001448A2"/>
    <w:rsid w:val="0014495D"/>
    <w:rsid w:val="00144A64"/>
    <w:rsid w:val="00144ACF"/>
    <w:rsid w:val="00144ADF"/>
    <w:rsid w:val="00144B9B"/>
    <w:rsid w:val="00144BC8"/>
    <w:rsid w:val="00144BFC"/>
    <w:rsid w:val="001455C7"/>
    <w:rsid w:val="00145625"/>
    <w:rsid w:val="0014564E"/>
    <w:rsid w:val="00145B89"/>
    <w:rsid w:val="00145C03"/>
    <w:rsid w:val="00145EC9"/>
    <w:rsid w:val="00146025"/>
    <w:rsid w:val="001463FF"/>
    <w:rsid w:val="00146427"/>
    <w:rsid w:val="0014691E"/>
    <w:rsid w:val="00146C05"/>
    <w:rsid w:val="00146E19"/>
    <w:rsid w:val="0014712E"/>
    <w:rsid w:val="001471C4"/>
    <w:rsid w:val="001471D0"/>
    <w:rsid w:val="001471EC"/>
    <w:rsid w:val="00147276"/>
    <w:rsid w:val="0014727E"/>
    <w:rsid w:val="00147355"/>
    <w:rsid w:val="00147799"/>
    <w:rsid w:val="001478BF"/>
    <w:rsid w:val="00147924"/>
    <w:rsid w:val="00147A66"/>
    <w:rsid w:val="00147A77"/>
    <w:rsid w:val="00147F0A"/>
    <w:rsid w:val="00147F40"/>
    <w:rsid w:val="00147F6F"/>
    <w:rsid w:val="00150265"/>
    <w:rsid w:val="001502BD"/>
    <w:rsid w:val="001502E9"/>
    <w:rsid w:val="00150397"/>
    <w:rsid w:val="0015082B"/>
    <w:rsid w:val="00150AB2"/>
    <w:rsid w:val="00150B3C"/>
    <w:rsid w:val="00150B4D"/>
    <w:rsid w:val="00151031"/>
    <w:rsid w:val="0015108D"/>
    <w:rsid w:val="00151201"/>
    <w:rsid w:val="00151698"/>
    <w:rsid w:val="00151956"/>
    <w:rsid w:val="00151B2B"/>
    <w:rsid w:val="00152005"/>
    <w:rsid w:val="00152018"/>
    <w:rsid w:val="0015213A"/>
    <w:rsid w:val="00152247"/>
    <w:rsid w:val="001522E9"/>
    <w:rsid w:val="00152578"/>
    <w:rsid w:val="001527B4"/>
    <w:rsid w:val="00152ABB"/>
    <w:rsid w:val="00152AF1"/>
    <w:rsid w:val="00152D21"/>
    <w:rsid w:val="00152F3D"/>
    <w:rsid w:val="001531E0"/>
    <w:rsid w:val="0015320D"/>
    <w:rsid w:val="001533B9"/>
    <w:rsid w:val="00153452"/>
    <w:rsid w:val="00153549"/>
    <w:rsid w:val="0015358E"/>
    <w:rsid w:val="00153C10"/>
    <w:rsid w:val="00153C8F"/>
    <w:rsid w:val="00153D29"/>
    <w:rsid w:val="00153F14"/>
    <w:rsid w:val="00154177"/>
    <w:rsid w:val="00154202"/>
    <w:rsid w:val="0015421C"/>
    <w:rsid w:val="001543AD"/>
    <w:rsid w:val="001544C4"/>
    <w:rsid w:val="001544C6"/>
    <w:rsid w:val="001545B1"/>
    <w:rsid w:val="00154AE0"/>
    <w:rsid w:val="00154C8C"/>
    <w:rsid w:val="00154D50"/>
    <w:rsid w:val="00154DBA"/>
    <w:rsid w:val="00154EDA"/>
    <w:rsid w:val="001550F7"/>
    <w:rsid w:val="001551DA"/>
    <w:rsid w:val="001555E6"/>
    <w:rsid w:val="001556A7"/>
    <w:rsid w:val="00155B47"/>
    <w:rsid w:val="00155C1E"/>
    <w:rsid w:val="00155C36"/>
    <w:rsid w:val="00155C3B"/>
    <w:rsid w:val="00155F3E"/>
    <w:rsid w:val="00155FA3"/>
    <w:rsid w:val="0015608F"/>
    <w:rsid w:val="00156693"/>
    <w:rsid w:val="0015699B"/>
    <w:rsid w:val="00156A96"/>
    <w:rsid w:val="00156BCD"/>
    <w:rsid w:val="00156DF4"/>
    <w:rsid w:val="00156FC7"/>
    <w:rsid w:val="0015713B"/>
    <w:rsid w:val="00157191"/>
    <w:rsid w:val="00157302"/>
    <w:rsid w:val="001573AC"/>
    <w:rsid w:val="00157501"/>
    <w:rsid w:val="00157A44"/>
    <w:rsid w:val="00157D31"/>
    <w:rsid w:val="00157E23"/>
    <w:rsid w:val="001601BC"/>
    <w:rsid w:val="00160279"/>
    <w:rsid w:val="00160303"/>
    <w:rsid w:val="001603D2"/>
    <w:rsid w:val="00160799"/>
    <w:rsid w:val="001607B8"/>
    <w:rsid w:val="0016085A"/>
    <w:rsid w:val="001608F7"/>
    <w:rsid w:val="00160979"/>
    <w:rsid w:val="00160AE7"/>
    <w:rsid w:val="00160B95"/>
    <w:rsid w:val="00160EE3"/>
    <w:rsid w:val="00161019"/>
    <w:rsid w:val="00161458"/>
    <w:rsid w:val="0016158B"/>
    <w:rsid w:val="001615F5"/>
    <w:rsid w:val="001616CC"/>
    <w:rsid w:val="00161818"/>
    <w:rsid w:val="00161C48"/>
    <w:rsid w:val="00161F2D"/>
    <w:rsid w:val="0016210A"/>
    <w:rsid w:val="00162561"/>
    <w:rsid w:val="00162C72"/>
    <w:rsid w:val="00162DF3"/>
    <w:rsid w:val="001631C4"/>
    <w:rsid w:val="001633E7"/>
    <w:rsid w:val="0016355B"/>
    <w:rsid w:val="00163615"/>
    <w:rsid w:val="001636F2"/>
    <w:rsid w:val="00163A3C"/>
    <w:rsid w:val="00163BB8"/>
    <w:rsid w:val="00163CBB"/>
    <w:rsid w:val="00163DA7"/>
    <w:rsid w:val="00163E8E"/>
    <w:rsid w:val="00163F70"/>
    <w:rsid w:val="001641AA"/>
    <w:rsid w:val="001641B8"/>
    <w:rsid w:val="00164678"/>
    <w:rsid w:val="00164877"/>
    <w:rsid w:val="00164BD2"/>
    <w:rsid w:val="00164C01"/>
    <w:rsid w:val="00165319"/>
    <w:rsid w:val="00165328"/>
    <w:rsid w:val="001653A7"/>
    <w:rsid w:val="00165462"/>
    <w:rsid w:val="00165731"/>
    <w:rsid w:val="001659D2"/>
    <w:rsid w:val="00165E75"/>
    <w:rsid w:val="001662FC"/>
    <w:rsid w:val="0016647D"/>
    <w:rsid w:val="00166562"/>
    <w:rsid w:val="0016662E"/>
    <w:rsid w:val="001667D1"/>
    <w:rsid w:val="001668B3"/>
    <w:rsid w:val="00166953"/>
    <w:rsid w:val="00166AF8"/>
    <w:rsid w:val="00166C04"/>
    <w:rsid w:val="00166CB8"/>
    <w:rsid w:val="00166CDF"/>
    <w:rsid w:val="00166DE8"/>
    <w:rsid w:val="00167186"/>
    <w:rsid w:val="001672B3"/>
    <w:rsid w:val="001672E2"/>
    <w:rsid w:val="00167586"/>
    <w:rsid w:val="001675BB"/>
    <w:rsid w:val="001676B6"/>
    <w:rsid w:val="00167A11"/>
    <w:rsid w:val="00167EC8"/>
    <w:rsid w:val="001700B8"/>
    <w:rsid w:val="001702B6"/>
    <w:rsid w:val="001705BB"/>
    <w:rsid w:val="00170646"/>
    <w:rsid w:val="00170672"/>
    <w:rsid w:val="001707A6"/>
    <w:rsid w:val="001707CA"/>
    <w:rsid w:val="001708DF"/>
    <w:rsid w:val="001709F0"/>
    <w:rsid w:val="00170A06"/>
    <w:rsid w:val="00170AFF"/>
    <w:rsid w:val="00170BC5"/>
    <w:rsid w:val="00170C63"/>
    <w:rsid w:val="00170D65"/>
    <w:rsid w:val="00171501"/>
    <w:rsid w:val="00171824"/>
    <w:rsid w:val="001718BC"/>
    <w:rsid w:val="0017194E"/>
    <w:rsid w:val="00171A7F"/>
    <w:rsid w:val="00171CA1"/>
    <w:rsid w:val="00171CA3"/>
    <w:rsid w:val="00171E30"/>
    <w:rsid w:val="00171F94"/>
    <w:rsid w:val="0017210F"/>
    <w:rsid w:val="00172196"/>
    <w:rsid w:val="0017226B"/>
    <w:rsid w:val="0017262F"/>
    <w:rsid w:val="00172A83"/>
    <w:rsid w:val="0017301A"/>
    <w:rsid w:val="001731A8"/>
    <w:rsid w:val="001735EB"/>
    <w:rsid w:val="00173706"/>
    <w:rsid w:val="00173845"/>
    <w:rsid w:val="00173A57"/>
    <w:rsid w:val="00173B16"/>
    <w:rsid w:val="00173B56"/>
    <w:rsid w:val="00173B93"/>
    <w:rsid w:val="00173BF1"/>
    <w:rsid w:val="00173CE0"/>
    <w:rsid w:val="00173DBC"/>
    <w:rsid w:val="00173E18"/>
    <w:rsid w:val="00173E1D"/>
    <w:rsid w:val="00173F44"/>
    <w:rsid w:val="00174087"/>
    <w:rsid w:val="001740E6"/>
    <w:rsid w:val="001744CA"/>
    <w:rsid w:val="001747ED"/>
    <w:rsid w:val="00174804"/>
    <w:rsid w:val="0017492B"/>
    <w:rsid w:val="00174A44"/>
    <w:rsid w:val="00174C01"/>
    <w:rsid w:val="00174CE8"/>
    <w:rsid w:val="00174D1C"/>
    <w:rsid w:val="00174D5C"/>
    <w:rsid w:val="00174EA4"/>
    <w:rsid w:val="0017507E"/>
    <w:rsid w:val="001751A1"/>
    <w:rsid w:val="0017531B"/>
    <w:rsid w:val="001753A3"/>
    <w:rsid w:val="00175428"/>
    <w:rsid w:val="0017544D"/>
    <w:rsid w:val="001755E4"/>
    <w:rsid w:val="001759E3"/>
    <w:rsid w:val="001759FC"/>
    <w:rsid w:val="00175A9B"/>
    <w:rsid w:val="00175ADD"/>
    <w:rsid w:val="00175C59"/>
    <w:rsid w:val="00175EB7"/>
    <w:rsid w:val="00176119"/>
    <w:rsid w:val="00176157"/>
    <w:rsid w:val="001764AA"/>
    <w:rsid w:val="00176563"/>
    <w:rsid w:val="00176751"/>
    <w:rsid w:val="00176767"/>
    <w:rsid w:val="00176BAE"/>
    <w:rsid w:val="00176D4F"/>
    <w:rsid w:val="00176DF3"/>
    <w:rsid w:val="00176E3C"/>
    <w:rsid w:val="00176FF1"/>
    <w:rsid w:val="00177148"/>
    <w:rsid w:val="00177301"/>
    <w:rsid w:val="00177401"/>
    <w:rsid w:val="00177414"/>
    <w:rsid w:val="0017756E"/>
    <w:rsid w:val="00177579"/>
    <w:rsid w:val="001775F0"/>
    <w:rsid w:val="00177862"/>
    <w:rsid w:val="0017794A"/>
    <w:rsid w:val="001779AA"/>
    <w:rsid w:val="00177ADB"/>
    <w:rsid w:val="00177C87"/>
    <w:rsid w:val="001801B7"/>
    <w:rsid w:val="00180235"/>
    <w:rsid w:val="0018030F"/>
    <w:rsid w:val="00180399"/>
    <w:rsid w:val="00180662"/>
    <w:rsid w:val="00180829"/>
    <w:rsid w:val="00180BBF"/>
    <w:rsid w:val="00180C45"/>
    <w:rsid w:val="001815DA"/>
    <w:rsid w:val="00181641"/>
    <w:rsid w:val="0018167A"/>
    <w:rsid w:val="001817C8"/>
    <w:rsid w:val="00181A8A"/>
    <w:rsid w:val="00181BD3"/>
    <w:rsid w:val="00181CF5"/>
    <w:rsid w:val="00181FE1"/>
    <w:rsid w:val="001820A7"/>
    <w:rsid w:val="001820E4"/>
    <w:rsid w:val="0018211F"/>
    <w:rsid w:val="0018217E"/>
    <w:rsid w:val="001821A9"/>
    <w:rsid w:val="001821DC"/>
    <w:rsid w:val="00182220"/>
    <w:rsid w:val="00182259"/>
    <w:rsid w:val="00182393"/>
    <w:rsid w:val="00182490"/>
    <w:rsid w:val="0018254F"/>
    <w:rsid w:val="001829E3"/>
    <w:rsid w:val="00182D56"/>
    <w:rsid w:val="00182DE5"/>
    <w:rsid w:val="00182EF1"/>
    <w:rsid w:val="00182F51"/>
    <w:rsid w:val="001830E5"/>
    <w:rsid w:val="0018345A"/>
    <w:rsid w:val="001835D8"/>
    <w:rsid w:val="00183C45"/>
    <w:rsid w:val="00183DAA"/>
    <w:rsid w:val="00183E75"/>
    <w:rsid w:val="00183EC0"/>
    <w:rsid w:val="00184018"/>
    <w:rsid w:val="0018405A"/>
    <w:rsid w:val="00184115"/>
    <w:rsid w:val="001844A0"/>
    <w:rsid w:val="001844C5"/>
    <w:rsid w:val="0018469F"/>
    <w:rsid w:val="00184DF5"/>
    <w:rsid w:val="00184E15"/>
    <w:rsid w:val="00184E17"/>
    <w:rsid w:val="00184E7B"/>
    <w:rsid w:val="00184ED1"/>
    <w:rsid w:val="00184EEF"/>
    <w:rsid w:val="001851E0"/>
    <w:rsid w:val="00185307"/>
    <w:rsid w:val="001855CC"/>
    <w:rsid w:val="00185657"/>
    <w:rsid w:val="0018575E"/>
    <w:rsid w:val="001857FB"/>
    <w:rsid w:val="00185BD2"/>
    <w:rsid w:val="00185D5D"/>
    <w:rsid w:val="00185E11"/>
    <w:rsid w:val="00185E4D"/>
    <w:rsid w:val="00185E5D"/>
    <w:rsid w:val="001860AD"/>
    <w:rsid w:val="0018624A"/>
    <w:rsid w:val="001862B3"/>
    <w:rsid w:val="00186438"/>
    <w:rsid w:val="0018659F"/>
    <w:rsid w:val="00186857"/>
    <w:rsid w:val="001874DE"/>
    <w:rsid w:val="001875A7"/>
    <w:rsid w:val="0018773F"/>
    <w:rsid w:val="0018776C"/>
    <w:rsid w:val="001877B0"/>
    <w:rsid w:val="0018788E"/>
    <w:rsid w:val="001879D4"/>
    <w:rsid w:val="00187A3D"/>
    <w:rsid w:val="00187A41"/>
    <w:rsid w:val="00187C2C"/>
    <w:rsid w:val="00187DB8"/>
    <w:rsid w:val="00187EFC"/>
    <w:rsid w:val="0019004D"/>
    <w:rsid w:val="00190055"/>
    <w:rsid w:val="001901B7"/>
    <w:rsid w:val="001902FF"/>
    <w:rsid w:val="0019034A"/>
    <w:rsid w:val="00190445"/>
    <w:rsid w:val="00190ED3"/>
    <w:rsid w:val="0019112D"/>
    <w:rsid w:val="00191197"/>
    <w:rsid w:val="0019128B"/>
    <w:rsid w:val="00191670"/>
    <w:rsid w:val="00191845"/>
    <w:rsid w:val="00191D3F"/>
    <w:rsid w:val="00191E61"/>
    <w:rsid w:val="00191FB1"/>
    <w:rsid w:val="001921D8"/>
    <w:rsid w:val="001921E0"/>
    <w:rsid w:val="001921F0"/>
    <w:rsid w:val="00192295"/>
    <w:rsid w:val="001922DF"/>
    <w:rsid w:val="00192313"/>
    <w:rsid w:val="0019246C"/>
    <w:rsid w:val="0019247D"/>
    <w:rsid w:val="001925E1"/>
    <w:rsid w:val="00192719"/>
    <w:rsid w:val="00192820"/>
    <w:rsid w:val="0019289C"/>
    <w:rsid w:val="001929DC"/>
    <w:rsid w:val="00192DA8"/>
    <w:rsid w:val="00192DC5"/>
    <w:rsid w:val="00192FDB"/>
    <w:rsid w:val="001930A5"/>
    <w:rsid w:val="001930A6"/>
    <w:rsid w:val="0019311E"/>
    <w:rsid w:val="0019317B"/>
    <w:rsid w:val="00193375"/>
    <w:rsid w:val="0019342C"/>
    <w:rsid w:val="00193547"/>
    <w:rsid w:val="001935FD"/>
    <w:rsid w:val="00193634"/>
    <w:rsid w:val="001936C6"/>
    <w:rsid w:val="001936EF"/>
    <w:rsid w:val="00193A95"/>
    <w:rsid w:val="00193BCF"/>
    <w:rsid w:val="00193D64"/>
    <w:rsid w:val="00193D8E"/>
    <w:rsid w:val="00193EB9"/>
    <w:rsid w:val="00193F70"/>
    <w:rsid w:val="001943C9"/>
    <w:rsid w:val="001943E7"/>
    <w:rsid w:val="001944A2"/>
    <w:rsid w:val="001944CA"/>
    <w:rsid w:val="00194503"/>
    <w:rsid w:val="001947BB"/>
    <w:rsid w:val="00194869"/>
    <w:rsid w:val="0019487C"/>
    <w:rsid w:val="001948F9"/>
    <w:rsid w:val="00194B1E"/>
    <w:rsid w:val="001951D9"/>
    <w:rsid w:val="001952EB"/>
    <w:rsid w:val="00195360"/>
    <w:rsid w:val="00195376"/>
    <w:rsid w:val="001953D1"/>
    <w:rsid w:val="0019545F"/>
    <w:rsid w:val="001958A5"/>
    <w:rsid w:val="00195AEB"/>
    <w:rsid w:val="00195CAC"/>
    <w:rsid w:val="00195FA9"/>
    <w:rsid w:val="0019602C"/>
    <w:rsid w:val="00196229"/>
    <w:rsid w:val="001963A2"/>
    <w:rsid w:val="001963CF"/>
    <w:rsid w:val="001965D3"/>
    <w:rsid w:val="00196686"/>
    <w:rsid w:val="001968CC"/>
    <w:rsid w:val="001968F5"/>
    <w:rsid w:val="00196918"/>
    <w:rsid w:val="00196AD1"/>
    <w:rsid w:val="0019702F"/>
    <w:rsid w:val="0019717D"/>
    <w:rsid w:val="00197448"/>
    <w:rsid w:val="00197773"/>
    <w:rsid w:val="001977CE"/>
    <w:rsid w:val="00197963"/>
    <w:rsid w:val="001979EA"/>
    <w:rsid w:val="00197C07"/>
    <w:rsid w:val="00197C0F"/>
    <w:rsid w:val="00197E53"/>
    <w:rsid w:val="00197FD3"/>
    <w:rsid w:val="001A016B"/>
    <w:rsid w:val="001A03AE"/>
    <w:rsid w:val="001A03AF"/>
    <w:rsid w:val="001A04D5"/>
    <w:rsid w:val="001A05A0"/>
    <w:rsid w:val="001A05DD"/>
    <w:rsid w:val="001A080F"/>
    <w:rsid w:val="001A0874"/>
    <w:rsid w:val="001A0C2F"/>
    <w:rsid w:val="001A0D4A"/>
    <w:rsid w:val="001A0DCE"/>
    <w:rsid w:val="001A1020"/>
    <w:rsid w:val="001A1027"/>
    <w:rsid w:val="001A1029"/>
    <w:rsid w:val="001A11EE"/>
    <w:rsid w:val="001A1244"/>
    <w:rsid w:val="001A1265"/>
    <w:rsid w:val="001A13E1"/>
    <w:rsid w:val="001A14B3"/>
    <w:rsid w:val="001A1548"/>
    <w:rsid w:val="001A15AA"/>
    <w:rsid w:val="001A1700"/>
    <w:rsid w:val="001A17C2"/>
    <w:rsid w:val="001A17DE"/>
    <w:rsid w:val="001A18E4"/>
    <w:rsid w:val="001A1BBC"/>
    <w:rsid w:val="001A1EB0"/>
    <w:rsid w:val="001A1EC2"/>
    <w:rsid w:val="001A2135"/>
    <w:rsid w:val="001A230B"/>
    <w:rsid w:val="001A2449"/>
    <w:rsid w:val="001A27A2"/>
    <w:rsid w:val="001A284A"/>
    <w:rsid w:val="001A29AE"/>
    <w:rsid w:val="001A29F9"/>
    <w:rsid w:val="001A2C1B"/>
    <w:rsid w:val="001A2C6B"/>
    <w:rsid w:val="001A2F1B"/>
    <w:rsid w:val="001A2F7E"/>
    <w:rsid w:val="001A304A"/>
    <w:rsid w:val="001A310A"/>
    <w:rsid w:val="001A33FF"/>
    <w:rsid w:val="001A352E"/>
    <w:rsid w:val="001A3581"/>
    <w:rsid w:val="001A384C"/>
    <w:rsid w:val="001A3909"/>
    <w:rsid w:val="001A3966"/>
    <w:rsid w:val="001A3B79"/>
    <w:rsid w:val="001A3BEE"/>
    <w:rsid w:val="001A3D49"/>
    <w:rsid w:val="001A3F0A"/>
    <w:rsid w:val="001A3F18"/>
    <w:rsid w:val="001A3FB2"/>
    <w:rsid w:val="001A414E"/>
    <w:rsid w:val="001A41E4"/>
    <w:rsid w:val="001A4221"/>
    <w:rsid w:val="001A43DB"/>
    <w:rsid w:val="001A43F3"/>
    <w:rsid w:val="001A4469"/>
    <w:rsid w:val="001A4479"/>
    <w:rsid w:val="001A46EA"/>
    <w:rsid w:val="001A48B2"/>
    <w:rsid w:val="001A4E66"/>
    <w:rsid w:val="001A4EA6"/>
    <w:rsid w:val="001A4EFB"/>
    <w:rsid w:val="001A4FAD"/>
    <w:rsid w:val="001A506C"/>
    <w:rsid w:val="001A53EC"/>
    <w:rsid w:val="001A53F5"/>
    <w:rsid w:val="001A55E1"/>
    <w:rsid w:val="001A55ED"/>
    <w:rsid w:val="001A56D0"/>
    <w:rsid w:val="001A57CA"/>
    <w:rsid w:val="001A583D"/>
    <w:rsid w:val="001A5977"/>
    <w:rsid w:val="001A5BD1"/>
    <w:rsid w:val="001A5DD4"/>
    <w:rsid w:val="001A5F4D"/>
    <w:rsid w:val="001A616D"/>
    <w:rsid w:val="001A6175"/>
    <w:rsid w:val="001A67B9"/>
    <w:rsid w:val="001A6D9C"/>
    <w:rsid w:val="001A6FE7"/>
    <w:rsid w:val="001A7480"/>
    <w:rsid w:val="001A74CC"/>
    <w:rsid w:val="001A75D9"/>
    <w:rsid w:val="001A768B"/>
    <w:rsid w:val="001A7988"/>
    <w:rsid w:val="001A79A5"/>
    <w:rsid w:val="001A7EA5"/>
    <w:rsid w:val="001B0084"/>
    <w:rsid w:val="001B01A7"/>
    <w:rsid w:val="001B02E8"/>
    <w:rsid w:val="001B03D2"/>
    <w:rsid w:val="001B060E"/>
    <w:rsid w:val="001B06F1"/>
    <w:rsid w:val="001B07DE"/>
    <w:rsid w:val="001B090C"/>
    <w:rsid w:val="001B0E04"/>
    <w:rsid w:val="001B0ED9"/>
    <w:rsid w:val="001B1127"/>
    <w:rsid w:val="001B11D7"/>
    <w:rsid w:val="001B122D"/>
    <w:rsid w:val="001B123C"/>
    <w:rsid w:val="001B138B"/>
    <w:rsid w:val="001B13B6"/>
    <w:rsid w:val="001B1534"/>
    <w:rsid w:val="001B19DC"/>
    <w:rsid w:val="001B1A8C"/>
    <w:rsid w:val="001B1C9B"/>
    <w:rsid w:val="001B1D07"/>
    <w:rsid w:val="001B1EE0"/>
    <w:rsid w:val="001B248B"/>
    <w:rsid w:val="001B2572"/>
    <w:rsid w:val="001B27FD"/>
    <w:rsid w:val="001B2A24"/>
    <w:rsid w:val="001B2A50"/>
    <w:rsid w:val="001B2AC9"/>
    <w:rsid w:val="001B3079"/>
    <w:rsid w:val="001B30FC"/>
    <w:rsid w:val="001B3136"/>
    <w:rsid w:val="001B32B4"/>
    <w:rsid w:val="001B32E8"/>
    <w:rsid w:val="001B3464"/>
    <w:rsid w:val="001B35AC"/>
    <w:rsid w:val="001B3829"/>
    <w:rsid w:val="001B3B10"/>
    <w:rsid w:val="001B3C72"/>
    <w:rsid w:val="001B467E"/>
    <w:rsid w:val="001B46B8"/>
    <w:rsid w:val="001B49FC"/>
    <w:rsid w:val="001B4B0F"/>
    <w:rsid w:val="001B4B96"/>
    <w:rsid w:val="001B4D8F"/>
    <w:rsid w:val="001B4FDA"/>
    <w:rsid w:val="001B5004"/>
    <w:rsid w:val="001B5356"/>
    <w:rsid w:val="001B54B0"/>
    <w:rsid w:val="001B5609"/>
    <w:rsid w:val="001B5626"/>
    <w:rsid w:val="001B563F"/>
    <w:rsid w:val="001B57F9"/>
    <w:rsid w:val="001B5816"/>
    <w:rsid w:val="001B5827"/>
    <w:rsid w:val="001B5890"/>
    <w:rsid w:val="001B595B"/>
    <w:rsid w:val="001B5E50"/>
    <w:rsid w:val="001B5E63"/>
    <w:rsid w:val="001B610B"/>
    <w:rsid w:val="001B650B"/>
    <w:rsid w:val="001B6511"/>
    <w:rsid w:val="001B663A"/>
    <w:rsid w:val="001B67D7"/>
    <w:rsid w:val="001B6C23"/>
    <w:rsid w:val="001B6DE7"/>
    <w:rsid w:val="001B70A5"/>
    <w:rsid w:val="001B770F"/>
    <w:rsid w:val="001B78D0"/>
    <w:rsid w:val="001B7A42"/>
    <w:rsid w:val="001B7B60"/>
    <w:rsid w:val="001B7BE4"/>
    <w:rsid w:val="001B7F8A"/>
    <w:rsid w:val="001C0024"/>
    <w:rsid w:val="001C00A9"/>
    <w:rsid w:val="001C03F8"/>
    <w:rsid w:val="001C04A5"/>
    <w:rsid w:val="001C06A2"/>
    <w:rsid w:val="001C08A1"/>
    <w:rsid w:val="001C0ACB"/>
    <w:rsid w:val="001C0BA6"/>
    <w:rsid w:val="001C0D8B"/>
    <w:rsid w:val="001C0DCF"/>
    <w:rsid w:val="001C10EB"/>
    <w:rsid w:val="001C10FB"/>
    <w:rsid w:val="001C1342"/>
    <w:rsid w:val="001C145B"/>
    <w:rsid w:val="001C14B8"/>
    <w:rsid w:val="001C184A"/>
    <w:rsid w:val="001C18C0"/>
    <w:rsid w:val="001C1A4D"/>
    <w:rsid w:val="001C1ABA"/>
    <w:rsid w:val="001C1F1F"/>
    <w:rsid w:val="001C1FC9"/>
    <w:rsid w:val="001C22CF"/>
    <w:rsid w:val="001C2529"/>
    <w:rsid w:val="001C2819"/>
    <w:rsid w:val="001C2865"/>
    <w:rsid w:val="001C29CD"/>
    <w:rsid w:val="001C29E9"/>
    <w:rsid w:val="001C2A4E"/>
    <w:rsid w:val="001C2A5A"/>
    <w:rsid w:val="001C2C65"/>
    <w:rsid w:val="001C2DA4"/>
    <w:rsid w:val="001C2E1A"/>
    <w:rsid w:val="001C303A"/>
    <w:rsid w:val="001C3156"/>
    <w:rsid w:val="001C31D4"/>
    <w:rsid w:val="001C31FE"/>
    <w:rsid w:val="001C320C"/>
    <w:rsid w:val="001C34DE"/>
    <w:rsid w:val="001C37CA"/>
    <w:rsid w:val="001C3939"/>
    <w:rsid w:val="001C395D"/>
    <w:rsid w:val="001C3984"/>
    <w:rsid w:val="001C3C3C"/>
    <w:rsid w:val="001C3D79"/>
    <w:rsid w:val="001C3E19"/>
    <w:rsid w:val="001C3E51"/>
    <w:rsid w:val="001C3E5C"/>
    <w:rsid w:val="001C3F39"/>
    <w:rsid w:val="001C40F1"/>
    <w:rsid w:val="001C4356"/>
    <w:rsid w:val="001C44B6"/>
    <w:rsid w:val="001C45E9"/>
    <w:rsid w:val="001C47F0"/>
    <w:rsid w:val="001C4873"/>
    <w:rsid w:val="001C487D"/>
    <w:rsid w:val="001C4985"/>
    <w:rsid w:val="001C4C97"/>
    <w:rsid w:val="001C4F96"/>
    <w:rsid w:val="001C4FE8"/>
    <w:rsid w:val="001C5321"/>
    <w:rsid w:val="001C542D"/>
    <w:rsid w:val="001C552F"/>
    <w:rsid w:val="001C5773"/>
    <w:rsid w:val="001C59E1"/>
    <w:rsid w:val="001C5D0F"/>
    <w:rsid w:val="001C5E15"/>
    <w:rsid w:val="001C5ECF"/>
    <w:rsid w:val="001C5F4D"/>
    <w:rsid w:val="001C639D"/>
    <w:rsid w:val="001C6653"/>
    <w:rsid w:val="001C6687"/>
    <w:rsid w:val="001C6699"/>
    <w:rsid w:val="001C669D"/>
    <w:rsid w:val="001C687D"/>
    <w:rsid w:val="001C6888"/>
    <w:rsid w:val="001C6B35"/>
    <w:rsid w:val="001C6C73"/>
    <w:rsid w:val="001C6E25"/>
    <w:rsid w:val="001C6E2C"/>
    <w:rsid w:val="001C70A7"/>
    <w:rsid w:val="001C7472"/>
    <w:rsid w:val="001C7568"/>
    <w:rsid w:val="001C79E9"/>
    <w:rsid w:val="001C7A26"/>
    <w:rsid w:val="001C7BF2"/>
    <w:rsid w:val="001C7C0D"/>
    <w:rsid w:val="001C7C3E"/>
    <w:rsid w:val="001C7C8D"/>
    <w:rsid w:val="001C7D39"/>
    <w:rsid w:val="001D0002"/>
    <w:rsid w:val="001D00F0"/>
    <w:rsid w:val="001D035F"/>
    <w:rsid w:val="001D04EF"/>
    <w:rsid w:val="001D0502"/>
    <w:rsid w:val="001D0669"/>
    <w:rsid w:val="001D0920"/>
    <w:rsid w:val="001D099E"/>
    <w:rsid w:val="001D0AC7"/>
    <w:rsid w:val="001D15FF"/>
    <w:rsid w:val="001D1688"/>
    <w:rsid w:val="001D16B1"/>
    <w:rsid w:val="001D1741"/>
    <w:rsid w:val="001D18B6"/>
    <w:rsid w:val="001D1B55"/>
    <w:rsid w:val="001D1C83"/>
    <w:rsid w:val="001D1CF7"/>
    <w:rsid w:val="001D1D21"/>
    <w:rsid w:val="001D1EA3"/>
    <w:rsid w:val="001D1EF2"/>
    <w:rsid w:val="001D2227"/>
    <w:rsid w:val="001D2423"/>
    <w:rsid w:val="001D246E"/>
    <w:rsid w:val="001D2509"/>
    <w:rsid w:val="001D250E"/>
    <w:rsid w:val="001D251F"/>
    <w:rsid w:val="001D2999"/>
    <w:rsid w:val="001D2A41"/>
    <w:rsid w:val="001D2DE5"/>
    <w:rsid w:val="001D307E"/>
    <w:rsid w:val="001D3356"/>
    <w:rsid w:val="001D347D"/>
    <w:rsid w:val="001D3682"/>
    <w:rsid w:val="001D371C"/>
    <w:rsid w:val="001D3A5A"/>
    <w:rsid w:val="001D3A62"/>
    <w:rsid w:val="001D3D42"/>
    <w:rsid w:val="001D3E72"/>
    <w:rsid w:val="001D41B0"/>
    <w:rsid w:val="001D440D"/>
    <w:rsid w:val="001D4453"/>
    <w:rsid w:val="001D4745"/>
    <w:rsid w:val="001D494E"/>
    <w:rsid w:val="001D498A"/>
    <w:rsid w:val="001D4A2C"/>
    <w:rsid w:val="001D4A68"/>
    <w:rsid w:val="001D4B67"/>
    <w:rsid w:val="001D4C09"/>
    <w:rsid w:val="001D4E31"/>
    <w:rsid w:val="001D4EF1"/>
    <w:rsid w:val="001D5045"/>
    <w:rsid w:val="001D5105"/>
    <w:rsid w:val="001D516E"/>
    <w:rsid w:val="001D5378"/>
    <w:rsid w:val="001D545D"/>
    <w:rsid w:val="001D57AD"/>
    <w:rsid w:val="001D58A6"/>
    <w:rsid w:val="001D5AE1"/>
    <w:rsid w:val="001D5B4C"/>
    <w:rsid w:val="001D5E57"/>
    <w:rsid w:val="001D6086"/>
    <w:rsid w:val="001D6099"/>
    <w:rsid w:val="001D60F9"/>
    <w:rsid w:val="001D64D5"/>
    <w:rsid w:val="001D66C4"/>
    <w:rsid w:val="001D6777"/>
    <w:rsid w:val="001D685C"/>
    <w:rsid w:val="001D6906"/>
    <w:rsid w:val="001D6986"/>
    <w:rsid w:val="001D6A32"/>
    <w:rsid w:val="001D6AE4"/>
    <w:rsid w:val="001D6CD1"/>
    <w:rsid w:val="001D6FD7"/>
    <w:rsid w:val="001D70AC"/>
    <w:rsid w:val="001D721E"/>
    <w:rsid w:val="001D722C"/>
    <w:rsid w:val="001D737C"/>
    <w:rsid w:val="001D7520"/>
    <w:rsid w:val="001D7554"/>
    <w:rsid w:val="001D76D4"/>
    <w:rsid w:val="001D7706"/>
    <w:rsid w:val="001D7999"/>
    <w:rsid w:val="001D79CC"/>
    <w:rsid w:val="001D7B09"/>
    <w:rsid w:val="001D7E18"/>
    <w:rsid w:val="001E037D"/>
    <w:rsid w:val="001E048C"/>
    <w:rsid w:val="001E0530"/>
    <w:rsid w:val="001E05A5"/>
    <w:rsid w:val="001E07C6"/>
    <w:rsid w:val="001E0C0E"/>
    <w:rsid w:val="001E10B9"/>
    <w:rsid w:val="001E1489"/>
    <w:rsid w:val="001E1522"/>
    <w:rsid w:val="001E152C"/>
    <w:rsid w:val="001E161B"/>
    <w:rsid w:val="001E1744"/>
    <w:rsid w:val="001E1748"/>
    <w:rsid w:val="001E1804"/>
    <w:rsid w:val="001E1AA4"/>
    <w:rsid w:val="001E1B6D"/>
    <w:rsid w:val="001E1FBB"/>
    <w:rsid w:val="001E20F1"/>
    <w:rsid w:val="001E22A2"/>
    <w:rsid w:val="001E246C"/>
    <w:rsid w:val="001E2732"/>
    <w:rsid w:val="001E2A05"/>
    <w:rsid w:val="001E2A2B"/>
    <w:rsid w:val="001E2ACF"/>
    <w:rsid w:val="001E2D4F"/>
    <w:rsid w:val="001E3003"/>
    <w:rsid w:val="001E3226"/>
    <w:rsid w:val="001E3747"/>
    <w:rsid w:val="001E3830"/>
    <w:rsid w:val="001E39A8"/>
    <w:rsid w:val="001E3AF5"/>
    <w:rsid w:val="001E3BEF"/>
    <w:rsid w:val="001E3BF6"/>
    <w:rsid w:val="001E3C8D"/>
    <w:rsid w:val="001E3E31"/>
    <w:rsid w:val="001E4000"/>
    <w:rsid w:val="001E40BA"/>
    <w:rsid w:val="001E428E"/>
    <w:rsid w:val="001E43DF"/>
    <w:rsid w:val="001E4443"/>
    <w:rsid w:val="001E45CB"/>
    <w:rsid w:val="001E4616"/>
    <w:rsid w:val="001E46FA"/>
    <w:rsid w:val="001E48D1"/>
    <w:rsid w:val="001E499E"/>
    <w:rsid w:val="001E4A0B"/>
    <w:rsid w:val="001E4D12"/>
    <w:rsid w:val="001E501E"/>
    <w:rsid w:val="001E50CD"/>
    <w:rsid w:val="001E53A3"/>
    <w:rsid w:val="001E55AB"/>
    <w:rsid w:val="001E55DD"/>
    <w:rsid w:val="001E56F9"/>
    <w:rsid w:val="001E5775"/>
    <w:rsid w:val="001E5794"/>
    <w:rsid w:val="001E5949"/>
    <w:rsid w:val="001E59B0"/>
    <w:rsid w:val="001E5CB7"/>
    <w:rsid w:val="001E6040"/>
    <w:rsid w:val="001E604F"/>
    <w:rsid w:val="001E61FD"/>
    <w:rsid w:val="001E62AF"/>
    <w:rsid w:val="001E638D"/>
    <w:rsid w:val="001E6429"/>
    <w:rsid w:val="001E6557"/>
    <w:rsid w:val="001E685F"/>
    <w:rsid w:val="001E6891"/>
    <w:rsid w:val="001E6AD0"/>
    <w:rsid w:val="001E6C64"/>
    <w:rsid w:val="001E6D3F"/>
    <w:rsid w:val="001E6E07"/>
    <w:rsid w:val="001E6EC6"/>
    <w:rsid w:val="001E7074"/>
    <w:rsid w:val="001E7248"/>
    <w:rsid w:val="001E73C7"/>
    <w:rsid w:val="001E757E"/>
    <w:rsid w:val="001E76EC"/>
    <w:rsid w:val="001E78BA"/>
    <w:rsid w:val="001E7914"/>
    <w:rsid w:val="001E7A69"/>
    <w:rsid w:val="001F024C"/>
    <w:rsid w:val="001F0292"/>
    <w:rsid w:val="001F02E7"/>
    <w:rsid w:val="001F035B"/>
    <w:rsid w:val="001F03E5"/>
    <w:rsid w:val="001F057E"/>
    <w:rsid w:val="001F08DE"/>
    <w:rsid w:val="001F0B8E"/>
    <w:rsid w:val="001F0E84"/>
    <w:rsid w:val="001F0F4E"/>
    <w:rsid w:val="001F13D7"/>
    <w:rsid w:val="001F156F"/>
    <w:rsid w:val="001F19A3"/>
    <w:rsid w:val="001F19BA"/>
    <w:rsid w:val="001F1A2E"/>
    <w:rsid w:val="001F1FE4"/>
    <w:rsid w:val="001F20F5"/>
    <w:rsid w:val="001F2397"/>
    <w:rsid w:val="001F241C"/>
    <w:rsid w:val="001F24AE"/>
    <w:rsid w:val="001F24EB"/>
    <w:rsid w:val="001F2650"/>
    <w:rsid w:val="001F26A3"/>
    <w:rsid w:val="001F2869"/>
    <w:rsid w:val="001F2C21"/>
    <w:rsid w:val="001F2D3A"/>
    <w:rsid w:val="001F2F79"/>
    <w:rsid w:val="001F2FF9"/>
    <w:rsid w:val="001F3020"/>
    <w:rsid w:val="001F3072"/>
    <w:rsid w:val="001F35E2"/>
    <w:rsid w:val="001F369B"/>
    <w:rsid w:val="001F3880"/>
    <w:rsid w:val="001F39DD"/>
    <w:rsid w:val="001F3A95"/>
    <w:rsid w:val="001F3B5E"/>
    <w:rsid w:val="001F3C0F"/>
    <w:rsid w:val="001F3DE7"/>
    <w:rsid w:val="001F3E98"/>
    <w:rsid w:val="001F3EEC"/>
    <w:rsid w:val="001F3EFC"/>
    <w:rsid w:val="001F405C"/>
    <w:rsid w:val="001F40AD"/>
    <w:rsid w:val="001F40F0"/>
    <w:rsid w:val="001F4164"/>
    <w:rsid w:val="001F426C"/>
    <w:rsid w:val="001F42A5"/>
    <w:rsid w:val="001F44C1"/>
    <w:rsid w:val="001F4586"/>
    <w:rsid w:val="001F472A"/>
    <w:rsid w:val="001F4976"/>
    <w:rsid w:val="001F5187"/>
    <w:rsid w:val="001F51DB"/>
    <w:rsid w:val="001F528C"/>
    <w:rsid w:val="001F53E8"/>
    <w:rsid w:val="001F53FF"/>
    <w:rsid w:val="001F5418"/>
    <w:rsid w:val="001F548E"/>
    <w:rsid w:val="001F5633"/>
    <w:rsid w:val="001F587B"/>
    <w:rsid w:val="001F593D"/>
    <w:rsid w:val="001F5AD3"/>
    <w:rsid w:val="001F5CA3"/>
    <w:rsid w:val="001F5E5E"/>
    <w:rsid w:val="001F5E8F"/>
    <w:rsid w:val="001F5ECD"/>
    <w:rsid w:val="001F5F6E"/>
    <w:rsid w:val="001F5FB1"/>
    <w:rsid w:val="001F6231"/>
    <w:rsid w:val="001F6463"/>
    <w:rsid w:val="001F6605"/>
    <w:rsid w:val="001F6A9E"/>
    <w:rsid w:val="001F6B2E"/>
    <w:rsid w:val="001F6B32"/>
    <w:rsid w:val="001F726D"/>
    <w:rsid w:val="001F7475"/>
    <w:rsid w:val="001F75F6"/>
    <w:rsid w:val="001F768D"/>
    <w:rsid w:val="001F7BF0"/>
    <w:rsid w:val="001F7C8A"/>
    <w:rsid w:val="001F7DE4"/>
    <w:rsid w:val="001F7ECC"/>
    <w:rsid w:val="001F7F9C"/>
    <w:rsid w:val="0020016F"/>
    <w:rsid w:val="00200368"/>
    <w:rsid w:val="002004E2"/>
    <w:rsid w:val="002005F7"/>
    <w:rsid w:val="00200A26"/>
    <w:rsid w:val="00200B94"/>
    <w:rsid w:val="002010BD"/>
    <w:rsid w:val="00201189"/>
    <w:rsid w:val="002012B5"/>
    <w:rsid w:val="002013B8"/>
    <w:rsid w:val="0020163C"/>
    <w:rsid w:val="00201658"/>
    <w:rsid w:val="002018A6"/>
    <w:rsid w:val="00201B96"/>
    <w:rsid w:val="00201C67"/>
    <w:rsid w:val="00201DB5"/>
    <w:rsid w:val="00201E2B"/>
    <w:rsid w:val="00201E3C"/>
    <w:rsid w:val="00201F02"/>
    <w:rsid w:val="00202063"/>
    <w:rsid w:val="002021A2"/>
    <w:rsid w:val="002021EA"/>
    <w:rsid w:val="00202333"/>
    <w:rsid w:val="002027AB"/>
    <w:rsid w:val="002028C2"/>
    <w:rsid w:val="00202C31"/>
    <w:rsid w:val="00202C9B"/>
    <w:rsid w:val="00202DE2"/>
    <w:rsid w:val="00202F42"/>
    <w:rsid w:val="00202F68"/>
    <w:rsid w:val="002031F3"/>
    <w:rsid w:val="0020385F"/>
    <w:rsid w:val="00203A9E"/>
    <w:rsid w:val="00203B5A"/>
    <w:rsid w:val="00203CC0"/>
    <w:rsid w:val="00203F8E"/>
    <w:rsid w:val="002041E5"/>
    <w:rsid w:val="002045FB"/>
    <w:rsid w:val="00204D8B"/>
    <w:rsid w:val="00204E98"/>
    <w:rsid w:val="00204FED"/>
    <w:rsid w:val="00205133"/>
    <w:rsid w:val="002054A8"/>
    <w:rsid w:val="00205559"/>
    <w:rsid w:val="002055DB"/>
    <w:rsid w:val="0020568D"/>
    <w:rsid w:val="002057C2"/>
    <w:rsid w:val="00205A81"/>
    <w:rsid w:val="00205C1B"/>
    <w:rsid w:val="00205D0D"/>
    <w:rsid w:val="00205D41"/>
    <w:rsid w:val="00205EDB"/>
    <w:rsid w:val="00205F2F"/>
    <w:rsid w:val="00205F53"/>
    <w:rsid w:val="00205F9A"/>
    <w:rsid w:val="00205FD4"/>
    <w:rsid w:val="0020603E"/>
    <w:rsid w:val="00206075"/>
    <w:rsid w:val="002062F7"/>
    <w:rsid w:val="002066C8"/>
    <w:rsid w:val="002067C6"/>
    <w:rsid w:val="00206CD7"/>
    <w:rsid w:val="00206D4F"/>
    <w:rsid w:val="00206F1D"/>
    <w:rsid w:val="0020702F"/>
    <w:rsid w:val="00207205"/>
    <w:rsid w:val="0020723E"/>
    <w:rsid w:val="00207519"/>
    <w:rsid w:val="00207602"/>
    <w:rsid w:val="00207966"/>
    <w:rsid w:val="00207A5F"/>
    <w:rsid w:val="00207AE9"/>
    <w:rsid w:val="00207C26"/>
    <w:rsid w:val="0021008E"/>
    <w:rsid w:val="0021022C"/>
    <w:rsid w:val="002103EC"/>
    <w:rsid w:val="002104BB"/>
    <w:rsid w:val="002105E5"/>
    <w:rsid w:val="00210677"/>
    <w:rsid w:val="002106D8"/>
    <w:rsid w:val="002107ED"/>
    <w:rsid w:val="0021091F"/>
    <w:rsid w:val="002109F6"/>
    <w:rsid w:val="00210CB4"/>
    <w:rsid w:val="00210D2C"/>
    <w:rsid w:val="00210D8A"/>
    <w:rsid w:val="00210DE3"/>
    <w:rsid w:val="00210E04"/>
    <w:rsid w:val="002112C6"/>
    <w:rsid w:val="00211401"/>
    <w:rsid w:val="002114A2"/>
    <w:rsid w:val="002114A9"/>
    <w:rsid w:val="0021152E"/>
    <w:rsid w:val="00211618"/>
    <w:rsid w:val="00211670"/>
    <w:rsid w:val="00211BE0"/>
    <w:rsid w:val="00211C16"/>
    <w:rsid w:val="00211EAC"/>
    <w:rsid w:val="00211EF1"/>
    <w:rsid w:val="002120DF"/>
    <w:rsid w:val="002120F4"/>
    <w:rsid w:val="002122DB"/>
    <w:rsid w:val="0021242D"/>
    <w:rsid w:val="002124CD"/>
    <w:rsid w:val="00212588"/>
    <w:rsid w:val="002125CD"/>
    <w:rsid w:val="0021297A"/>
    <w:rsid w:val="00212CD5"/>
    <w:rsid w:val="00212E12"/>
    <w:rsid w:val="00212E58"/>
    <w:rsid w:val="00212E98"/>
    <w:rsid w:val="00213188"/>
    <w:rsid w:val="002131C2"/>
    <w:rsid w:val="00213351"/>
    <w:rsid w:val="00213436"/>
    <w:rsid w:val="002136E7"/>
    <w:rsid w:val="002137F2"/>
    <w:rsid w:val="00213AFB"/>
    <w:rsid w:val="00213C50"/>
    <w:rsid w:val="00213E9D"/>
    <w:rsid w:val="00213F6A"/>
    <w:rsid w:val="00214278"/>
    <w:rsid w:val="002144DA"/>
    <w:rsid w:val="002145BE"/>
    <w:rsid w:val="00214710"/>
    <w:rsid w:val="00214767"/>
    <w:rsid w:val="00214B9A"/>
    <w:rsid w:val="00214F2C"/>
    <w:rsid w:val="00214F93"/>
    <w:rsid w:val="00215476"/>
    <w:rsid w:val="002155C7"/>
    <w:rsid w:val="002155D7"/>
    <w:rsid w:val="00215626"/>
    <w:rsid w:val="0021563E"/>
    <w:rsid w:val="00215754"/>
    <w:rsid w:val="0021578F"/>
    <w:rsid w:val="00215A75"/>
    <w:rsid w:val="00215DD5"/>
    <w:rsid w:val="00215E10"/>
    <w:rsid w:val="00215F97"/>
    <w:rsid w:val="0021628C"/>
    <w:rsid w:val="002164AE"/>
    <w:rsid w:val="00216530"/>
    <w:rsid w:val="00216563"/>
    <w:rsid w:val="00216646"/>
    <w:rsid w:val="00216CE2"/>
    <w:rsid w:val="00216D3E"/>
    <w:rsid w:val="00216E0F"/>
    <w:rsid w:val="00216F49"/>
    <w:rsid w:val="00217081"/>
    <w:rsid w:val="002170BF"/>
    <w:rsid w:val="00217163"/>
    <w:rsid w:val="002171C9"/>
    <w:rsid w:val="00217207"/>
    <w:rsid w:val="00217219"/>
    <w:rsid w:val="0021725C"/>
    <w:rsid w:val="00217471"/>
    <w:rsid w:val="00217ADC"/>
    <w:rsid w:val="00217D12"/>
    <w:rsid w:val="00217E56"/>
    <w:rsid w:val="0021C930"/>
    <w:rsid w:val="002200DD"/>
    <w:rsid w:val="00220215"/>
    <w:rsid w:val="002204FB"/>
    <w:rsid w:val="00220595"/>
    <w:rsid w:val="002205A1"/>
    <w:rsid w:val="0022061B"/>
    <w:rsid w:val="002209AC"/>
    <w:rsid w:val="00220B22"/>
    <w:rsid w:val="00220D23"/>
    <w:rsid w:val="00220D8A"/>
    <w:rsid w:val="00221067"/>
    <w:rsid w:val="002210FF"/>
    <w:rsid w:val="0022132B"/>
    <w:rsid w:val="00221357"/>
    <w:rsid w:val="00221517"/>
    <w:rsid w:val="002215C4"/>
    <w:rsid w:val="0022170D"/>
    <w:rsid w:val="00221B05"/>
    <w:rsid w:val="00221B69"/>
    <w:rsid w:val="00221D7D"/>
    <w:rsid w:val="00221D8B"/>
    <w:rsid w:val="00221FDB"/>
    <w:rsid w:val="00222058"/>
    <w:rsid w:val="00222269"/>
    <w:rsid w:val="00222274"/>
    <w:rsid w:val="00222290"/>
    <w:rsid w:val="002223D5"/>
    <w:rsid w:val="002223E0"/>
    <w:rsid w:val="00222402"/>
    <w:rsid w:val="00222741"/>
    <w:rsid w:val="0022280C"/>
    <w:rsid w:val="00222887"/>
    <w:rsid w:val="002228AC"/>
    <w:rsid w:val="00222B21"/>
    <w:rsid w:val="00222B3B"/>
    <w:rsid w:val="00222B4D"/>
    <w:rsid w:val="00222C24"/>
    <w:rsid w:val="00222D4D"/>
    <w:rsid w:val="00222D65"/>
    <w:rsid w:val="00223004"/>
    <w:rsid w:val="0022330F"/>
    <w:rsid w:val="0022345D"/>
    <w:rsid w:val="0022351A"/>
    <w:rsid w:val="00223641"/>
    <w:rsid w:val="00223760"/>
    <w:rsid w:val="00223999"/>
    <w:rsid w:val="002239D0"/>
    <w:rsid w:val="00223C63"/>
    <w:rsid w:val="00223C68"/>
    <w:rsid w:val="00223D76"/>
    <w:rsid w:val="00223DF0"/>
    <w:rsid w:val="00223E69"/>
    <w:rsid w:val="00223E79"/>
    <w:rsid w:val="00223F5C"/>
    <w:rsid w:val="002240C0"/>
    <w:rsid w:val="002242C6"/>
    <w:rsid w:val="00224351"/>
    <w:rsid w:val="0022457D"/>
    <w:rsid w:val="002245E2"/>
    <w:rsid w:val="00224675"/>
    <w:rsid w:val="00224816"/>
    <w:rsid w:val="00224923"/>
    <w:rsid w:val="00224AD3"/>
    <w:rsid w:val="00224B60"/>
    <w:rsid w:val="00225033"/>
    <w:rsid w:val="00225065"/>
    <w:rsid w:val="0022513A"/>
    <w:rsid w:val="0022541B"/>
    <w:rsid w:val="00225511"/>
    <w:rsid w:val="00225551"/>
    <w:rsid w:val="00225A98"/>
    <w:rsid w:val="00226036"/>
    <w:rsid w:val="0022609B"/>
    <w:rsid w:val="002260D0"/>
    <w:rsid w:val="0022620F"/>
    <w:rsid w:val="00226369"/>
    <w:rsid w:val="002264AD"/>
    <w:rsid w:val="002267BC"/>
    <w:rsid w:val="0022684B"/>
    <w:rsid w:val="002268D9"/>
    <w:rsid w:val="002269D4"/>
    <w:rsid w:val="002269E3"/>
    <w:rsid w:val="00226A2C"/>
    <w:rsid w:val="00226D52"/>
    <w:rsid w:val="00226EDF"/>
    <w:rsid w:val="00227002"/>
    <w:rsid w:val="002271E6"/>
    <w:rsid w:val="00227260"/>
    <w:rsid w:val="002274B3"/>
    <w:rsid w:val="002302B4"/>
    <w:rsid w:val="0023032A"/>
    <w:rsid w:val="00230546"/>
    <w:rsid w:val="002307A7"/>
    <w:rsid w:val="00230868"/>
    <w:rsid w:val="00230B66"/>
    <w:rsid w:val="00230CA6"/>
    <w:rsid w:val="00230D9E"/>
    <w:rsid w:val="00230F46"/>
    <w:rsid w:val="0023129F"/>
    <w:rsid w:val="0023134A"/>
    <w:rsid w:val="002316D1"/>
    <w:rsid w:val="00231748"/>
    <w:rsid w:val="00231A32"/>
    <w:rsid w:val="00231C66"/>
    <w:rsid w:val="00231CC0"/>
    <w:rsid w:val="00231E45"/>
    <w:rsid w:val="00231F4C"/>
    <w:rsid w:val="00231F59"/>
    <w:rsid w:val="002322D0"/>
    <w:rsid w:val="002325C1"/>
    <w:rsid w:val="00232B84"/>
    <w:rsid w:val="00232BB0"/>
    <w:rsid w:val="00232D0E"/>
    <w:rsid w:val="00232D30"/>
    <w:rsid w:val="00232D62"/>
    <w:rsid w:val="00232EE4"/>
    <w:rsid w:val="002331F2"/>
    <w:rsid w:val="0023335B"/>
    <w:rsid w:val="002333C5"/>
    <w:rsid w:val="0023345C"/>
    <w:rsid w:val="0023362B"/>
    <w:rsid w:val="00233681"/>
    <w:rsid w:val="00233998"/>
    <w:rsid w:val="002339A8"/>
    <w:rsid w:val="002339B7"/>
    <w:rsid w:val="00233A82"/>
    <w:rsid w:val="00233CD8"/>
    <w:rsid w:val="00233FEA"/>
    <w:rsid w:val="0023413A"/>
    <w:rsid w:val="00234185"/>
    <w:rsid w:val="002343E1"/>
    <w:rsid w:val="002344E5"/>
    <w:rsid w:val="00234690"/>
    <w:rsid w:val="0023475B"/>
    <w:rsid w:val="00234B5F"/>
    <w:rsid w:val="00234D97"/>
    <w:rsid w:val="002351CD"/>
    <w:rsid w:val="002356F2"/>
    <w:rsid w:val="002357FA"/>
    <w:rsid w:val="0023588F"/>
    <w:rsid w:val="00235897"/>
    <w:rsid w:val="00235A6D"/>
    <w:rsid w:val="00235C12"/>
    <w:rsid w:val="00235D34"/>
    <w:rsid w:val="00235E24"/>
    <w:rsid w:val="00235EBE"/>
    <w:rsid w:val="0023600F"/>
    <w:rsid w:val="0023622E"/>
    <w:rsid w:val="00236381"/>
    <w:rsid w:val="002364FF"/>
    <w:rsid w:val="002369D9"/>
    <w:rsid w:val="00236BA6"/>
    <w:rsid w:val="00236C26"/>
    <w:rsid w:val="00236D77"/>
    <w:rsid w:val="00236DCF"/>
    <w:rsid w:val="002370F9"/>
    <w:rsid w:val="00237156"/>
    <w:rsid w:val="002371D9"/>
    <w:rsid w:val="00237465"/>
    <w:rsid w:val="0023769F"/>
    <w:rsid w:val="002376A3"/>
    <w:rsid w:val="0023778D"/>
    <w:rsid w:val="002379A4"/>
    <w:rsid w:val="0024000E"/>
    <w:rsid w:val="002401B0"/>
    <w:rsid w:val="002401B3"/>
    <w:rsid w:val="002403F5"/>
    <w:rsid w:val="0024044A"/>
    <w:rsid w:val="00240498"/>
    <w:rsid w:val="002408C7"/>
    <w:rsid w:val="002408D7"/>
    <w:rsid w:val="00240D61"/>
    <w:rsid w:val="00240D88"/>
    <w:rsid w:val="0024109C"/>
    <w:rsid w:val="00241155"/>
    <w:rsid w:val="00241451"/>
    <w:rsid w:val="002415B2"/>
    <w:rsid w:val="002415FA"/>
    <w:rsid w:val="00241750"/>
    <w:rsid w:val="002417D3"/>
    <w:rsid w:val="0024186D"/>
    <w:rsid w:val="00241A40"/>
    <w:rsid w:val="00241BC8"/>
    <w:rsid w:val="00241C00"/>
    <w:rsid w:val="00241EB2"/>
    <w:rsid w:val="00241F46"/>
    <w:rsid w:val="00241FFD"/>
    <w:rsid w:val="002420A0"/>
    <w:rsid w:val="002421A7"/>
    <w:rsid w:val="0024228E"/>
    <w:rsid w:val="00242405"/>
    <w:rsid w:val="002424BB"/>
    <w:rsid w:val="0024255F"/>
    <w:rsid w:val="00242607"/>
    <w:rsid w:val="00242643"/>
    <w:rsid w:val="00242697"/>
    <w:rsid w:val="002427ED"/>
    <w:rsid w:val="00242964"/>
    <w:rsid w:val="00242BBF"/>
    <w:rsid w:val="00242CE2"/>
    <w:rsid w:val="00242D90"/>
    <w:rsid w:val="00242EB5"/>
    <w:rsid w:val="00242F91"/>
    <w:rsid w:val="00242FA4"/>
    <w:rsid w:val="00243363"/>
    <w:rsid w:val="00243B35"/>
    <w:rsid w:val="00243C69"/>
    <w:rsid w:val="00243DD1"/>
    <w:rsid w:val="00243F31"/>
    <w:rsid w:val="0024417F"/>
    <w:rsid w:val="002443E2"/>
    <w:rsid w:val="002444C3"/>
    <w:rsid w:val="002445B4"/>
    <w:rsid w:val="00244776"/>
    <w:rsid w:val="00244AB1"/>
    <w:rsid w:val="00244C07"/>
    <w:rsid w:val="00244D06"/>
    <w:rsid w:val="00244D32"/>
    <w:rsid w:val="0024501E"/>
    <w:rsid w:val="00245268"/>
    <w:rsid w:val="0024549E"/>
    <w:rsid w:val="0024549F"/>
    <w:rsid w:val="002455DC"/>
    <w:rsid w:val="0024573D"/>
    <w:rsid w:val="00245826"/>
    <w:rsid w:val="0024589C"/>
    <w:rsid w:val="002458AB"/>
    <w:rsid w:val="00245940"/>
    <w:rsid w:val="00245979"/>
    <w:rsid w:val="00245991"/>
    <w:rsid w:val="00245AFC"/>
    <w:rsid w:val="00245B50"/>
    <w:rsid w:val="00245B71"/>
    <w:rsid w:val="00245CDE"/>
    <w:rsid w:val="00245EF2"/>
    <w:rsid w:val="0024607D"/>
    <w:rsid w:val="002460E3"/>
    <w:rsid w:val="0024611E"/>
    <w:rsid w:val="002461F6"/>
    <w:rsid w:val="0024629C"/>
    <w:rsid w:val="0024631A"/>
    <w:rsid w:val="002464B2"/>
    <w:rsid w:val="002465DC"/>
    <w:rsid w:val="002466C9"/>
    <w:rsid w:val="002469CF"/>
    <w:rsid w:val="00246C9C"/>
    <w:rsid w:val="00246CFF"/>
    <w:rsid w:val="00247448"/>
    <w:rsid w:val="002474B2"/>
    <w:rsid w:val="002474BC"/>
    <w:rsid w:val="002475E6"/>
    <w:rsid w:val="002476D0"/>
    <w:rsid w:val="00247764"/>
    <w:rsid w:val="00247895"/>
    <w:rsid w:val="0024789A"/>
    <w:rsid w:val="002478B9"/>
    <w:rsid w:val="00247ACC"/>
    <w:rsid w:val="00247C83"/>
    <w:rsid w:val="00247DF3"/>
    <w:rsid w:val="00247E54"/>
    <w:rsid w:val="00247FC2"/>
    <w:rsid w:val="002501B4"/>
    <w:rsid w:val="002506F4"/>
    <w:rsid w:val="00250A33"/>
    <w:rsid w:val="00250AE4"/>
    <w:rsid w:val="00250C08"/>
    <w:rsid w:val="002510B9"/>
    <w:rsid w:val="002511DC"/>
    <w:rsid w:val="00251228"/>
    <w:rsid w:val="00251229"/>
    <w:rsid w:val="002512FC"/>
    <w:rsid w:val="0025134A"/>
    <w:rsid w:val="002514A4"/>
    <w:rsid w:val="0025171D"/>
    <w:rsid w:val="002518CE"/>
    <w:rsid w:val="002518ED"/>
    <w:rsid w:val="00251977"/>
    <w:rsid w:val="00251A5D"/>
    <w:rsid w:val="00251B12"/>
    <w:rsid w:val="0025200C"/>
    <w:rsid w:val="00252227"/>
    <w:rsid w:val="00252463"/>
    <w:rsid w:val="002524C6"/>
    <w:rsid w:val="0025273C"/>
    <w:rsid w:val="00252BAD"/>
    <w:rsid w:val="00252D58"/>
    <w:rsid w:val="00252DC6"/>
    <w:rsid w:val="00253061"/>
    <w:rsid w:val="002530DF"/>
    <w:rsid w:val="00253516"/>
    <w:rsid w:val="00253577"/>
    <w:rsid w:val="002536F0"/>
    <w:rsid w:val="00253A99"/>
    <w:rsid w:val="00253B7C"/>
    <w:rsid w:val="00253EBE"/>
    <w:rsid w:val="00253F14"/>
    <w:rsid w:val="00254017"/>
    <w:rsid w:val="002540F4"/>
    <w:rsid w:val="0025440F"/>
    <w:rsid w:val="00254631"/>
    <w:rsid w:val="0025476C"/>
    <w:rsid w:val="00254785"/>
    <w:rsid w:val="00254B1A"/>
    <w:rsid w:val="00254D69"/>
    <w:rsid w:val="00254F6F"/>
    <w:rsid w:val="00254FF8"/>
    <w:rsid w:val="002552CA"/>
    <w:rsid w:val="002556F1"/>
    <w:rsid w:val="00255758"/>
    <w:rsid w:val="00255815"/>
    <w:rsid w:val="0025588E"/>
    <w:rsid w:val="00255A36"/>
    <w:rsid w:val="00255C93"/>
    <w:rsid w:val="00255E2D"/>
    <w:rsid w:val="00255E55"/>
    <w:rsid w:val="00255EE5"/>
    <w:rsid w:val="00255F18"/>
    <w:rsid w:val="00256099"/>
    <w:rsid w:val="002561F4"/>
    <w:rsid w:val="0025637D"/>
    <w:rsid w:val="002563C4"/>
    <w:rsid w:val="0025660B"/>
    <w:rsid w:val="0025660E"/>
    <w:rsid w:val="00256A63"/>
    <w:rsid w:val="00256C4E"/>
    <w:rsid w:val="00256D0B"/>
    <w:rsid w:val="00256DBB"/>
    <w:rsid w:val="00256EDB"/>
    <w:rsid w:val="00256F60"/>
    <w:rsid w:val="00256FE1"/>
    <w:rsid w:val="002573EE"/>
    <w:rsid w:val="00257691"/>
    <w:rsid w:val="00257B23"/>
    <w:rsid w:val="00257B56"/>
    <w:rsid w:val="00257D4F"/>
    <w:rsid w:val="00257D8D"/>
    <w:rsid w:val="00257E11"/>
    <w:rsid w:val="00257EF6"/>
    <w:rsid w:val="00257F59"/>
    <w:rsid w:val="00257FF6"/>
    <w:rsid w:val="00260116"/>
    <w:rsid w:val="00260286"/>
    <w:rsid w:val="002603CF"/>
    <w:rsid w:val="00260561"/>
    <w:rsid w:val="002605B5"/>
    <w:rsid w:val="00260AAB"/>
    <w:rsid w:val="00260AF0"/>
    <w:rsid w:val="00260C69"/>
    <w:rsid w:val="0026111C"/>
    <w:rsid w:val="0026136D"/>
    <w:rsid w:val="002613B1"/>
    <w:rsid w:val="0026197F"/>
    <w:rsid w:val="00261B69"/>
    <w:rsid w:val="00261D6E"/>
    <w:rsid w:val="00261D97"/>
    <w:rsid w:val="00261E29"/>
    <w:rsid w:val="00261E62"/>
    <w:rsid w:val="00261F16"/>
    <w:rsid w:val="0026234B"/>
    <w:rsid w:val="002624E8"/>
    <w:rsid w:val="002626AA"/>
    <w:rsid w:val="002626C0"/>
    <w:rsid w:val="00262871"/>
    <w:rsid w:val="002629EA"/>
    <w:rsid w:val="00262A4A"/>
    <w:rsid w:val="00262C82"/>
    <w:rsid w:val="00262CA7"/>
    <w:rsid w:val="00262CE6"/>
    <w:rsid w:val="00262D83"/>
    <w:rsid w:val="00262F7E"/>
    <w:rsid w:val="00262F93"/>
    <w:rsid w:val="00262F97"/>
    <w:rsid w:val="00263538"/>
    <w:rsid w:val="002635C0"/>
    <w:rsid w:val="00263611"/>
    <w:rsid w:val="00263624"/>
    <w:rsid w:val="00263735"/>
    <w:rsid w:val="00263742"/>
    <w:rsid w:val="0026399C"/>
    <w:rsid w:val="00263A35"/>
    <w:rsid w:val="00263C33"/>
    <w:rsid w:val="00263CDD"/>
    <w:rsid w:val="00263E2A"/>
    <w:rsid w:val="00263E34"/>
    <w:rsid w:val="00263EF8"/>
    <w:rsid w:val="002640BA"/>
    <w:rsid w:val="00264459"/>
    <w:rsid w:val="00264743"/>
    <w:rsid w:val="0026481A"/>
    <w:rsid w:val="0026489D"/>
    <w:rsid w:val="002649B9"/>
    <w:rsid w:val="002649F2"/>
    <w:rsid w:val="00264A81"/>
    <w:rsid w:val="00264EB7"/>
    <w:rsid w:val="0026503F"/>
    <w:rsid w:val="002650CC"/>
    <w:rsid w:val="002650DE"/>
    <w:rsid w:val="002651E0"/>
    <w:rsid w:val="00265315"/>
    <w:rsid w:val="0026542D"/>
    <w:rsid w:val="002656B6"/>
    <w:rsid w:val="002658A2"/>
    <w:rsid w:val="002658BB"/>
    <w:rsid w:val="0026594F"/>
    <w:rsid w:val="00265B4E"/>
    <w:rsid w:val="00265C63"/>
    <w:rsid w:val="00265C66"/>
    <w:rsid w:val="00265CAF"/>
    <w:rsid w:val="00265D78"/>
    <w:rsid w:val="00265DCA"/>
    <w:rsid w:val="002660BC"/>
    <w:rsid w:val="0026624E"/>
    <w:rsid w:val="00266347"/>
    <w:rsid w:val="002663D7"/>
    <w:rsid w:val="002665C1"/>
    <w:rsid w:val="002665DD"/>
    <w:rsid w:val="00266665"/>
    <w:rsid w:val="00266713"/>
    <w:rsid w:val="00266887"/>
    <w:rsid w:val="00266901"/>
    <w:rsid w:val="00266918"/>
    <w:rsid w:val="00266951"/>
    <w:rsid w:val="00266A24"/>
    <w:rsid w:val="00266C60"/>
    <w:rsid w:val="00266D0F"/>
    <w:rsid w:val="00266D7C"/>
    <w:rsid w:val="002670E2"/>
    <w:rsid w:val="002672BB"/>
    <w:rsid w:val="0026733D"/>
    <w:rsid w:val="00267549"/>
    <w:rsid w:val="002677E8"/>
    <w:rsid w:val="00267901"/>
    <w:rsid w:val="002679E2"/>
    <w:rsid w:val="00267B4E"/>
    <w:rsid w:val="00267B4F"/>
    <w:rsid w:val="00267C16"/>
    <w:rsid w:val="00267EBA"/>
    <w:rsid w:val="00270135"/>
    <w:rsid w:val="0027019F"/>
    <w:rsid w:val="0027039C"/>
    <w:rsid w:val="0027050C"/>
    <w:rsid w:val="002705C0"/>
    <w:rsid w:val="002706A5"/>
    <w:rsid w:val="00270A88"/>
    <w:rsid w:val="00270C51"/>
    <w:rsid w:val="0027100C"/>
    <w:rsid w:val="0027142E"/>
    <w:rsid w:val="00271907"/>
    <w:rsid w:val="00271949"/>
    <w:rsid w:val="002719C2"/>
    <w:rsid w:val="00271A0A"/>
    <w:rsid w:val="00271BC0"/>
    <w:rsid w:val="00271E0D"/>
    <w:rsid w:val="00271E41"/>
    <w:rsid w:val="002721BC"/>
    <w:rsid w:val="00272256"/>
    <w:rsid w:val="002725C6"/>
    <w:rsid w:val="0027261C"/>
    <w:rsid w:val="002726AB"/>
    <w:rsid w:val="002726FA"/>
    <w:rsid w:val="002728F4"/>
    <w:rsid w:val="002729A4"/>
    <w:rsid w:val="00272A2E"/>
    <w:rsid w:val="00272D07"/>
    <w:rsid w:val="00272F90"/>
    <w:rsid w:val="00273171"/>
    <w:rsid w:val="00273314"/>
    <w:rsid w:val="00273492"/>
    <w:rsid w:val="002738C8"/>
    <w:rsid w:val="002738E6"/>
    <w:rsid w:val="00273BE2"/>
    <w:rsid w:val="00273EFB"/>
    <w:rsid w:val="00273F32"/>
    <w:rsid w:val="002743F6"/>
    <w:rsid w:val="00274481"/>
    <w:rsid w:val="0027449B"/>
    <w:rsid w:val="002744BD"/>
    <w:rsid w:val="00274645"/>
    <w:rsid w:val="00274686"/>
    <w:rsid w:val="002746D4"/>
    <w:rsid w:val="00274737"/>
    <w:rsid w:val="00274A0C"/>
    <w:rsid w:val="00274EF5"/>
    <w:rsid w:val="00274FB0"/>
    <w:rsid w:val="00275A2A"/>
    <w:rsid w:val="00275B4D"/>
    <w:rsid w:val="00275E61"/>
    <w:rsid w:val="00275E8F"/>
    <w:rsid w:val="00275F33"/>
    <w:rsid w:val="0027606F"/>
    <w:rsid w:val="002761B2"/>
    <w:rsid w:val="002765A1"/>
    <w:rsid w:val="002765D3"/>
    <w:rsid w:val="00276676"/>
    <w:rsid w:val="00276686"/>
    <w:rsid w:val="002766F1"/>
    <w:rsid w:val="00276739"/>
    <w:rsid w:val="00276910"/>
    <w:rsid w:val="00276930"/>
    <w:rsid w:val="00276958"/>
    <w:rsid w:val="00276984"/>
    <w:rsid w:val="00276E49"/>
    <w:rsid w:val="00276FD2"/>
    <w:rsid w:val="002773B1"/>
    <w:rsid w:val="002773C4"/>
    <w:rsid w:val="0027742E"/>
    <w:rsid w:val="00277670"/>
    <w:rsid w:val="0027768A"/>
    <w:rsid w:val="00277AED"/>
    <w:rsid w:val="00277B3E"/>
    <w:rsid w:val="00277C34"/>
    <w:rsid w:val="00277CCB"/>
    <w:rsid w:val="0027FCFF"/>
    <w:rsid w:val="002801E3"/>
    <w:rsid w:val="0028038A"/>
    <w:rsid w:val="00280459"/>
    <w:rsid w:val="00280559"/>
    <w:rsid w:val="00280641"/>
    <w:rsid w:val="00280698"/>
    <w:rsid w:val="0028075E"/>
    <w:rsid w:val="00280AB9"/>
    <w:rsid w:val="00280CA4"/>
    <w:rsid w:val="00280CF4"/>
    <w:rsid w:val="00281381"/>
    <w:rsid w:val="00281463"/>
    <w:rsid w:val="00281542"/>
    <w:rsid w:val="002815A6"/>
    <w:rsid w:val="00281748"/>
    <w:rsid w:val="002817BE"/>
    <w:rsid w:val="0028193E"/>
    <w:rsid w:val="00281E69"/>
    <w:rsid w:val="002820BC"/>
    <w:rsid w:val="0028225B"/>
    <w:rsid w:val="002823A9"/>
    <w:rsid w:val="00282465"/>
    <w:rsid w:val="00282668"/>
    <w:rsid w:val="0028270D"/>
    <w:rsid w:val="00282825"/>
    <w:rsid w:val="002829FB"/>
    <w:rsid w:val="00282BF1"/>
    <w:rsid w:val="00282DCD"/>
    <w:rsid w:val="00282E82"/>
    <w:rsid w:val="00282F86"/>
    <w:rsid w:val="00282FBE"/>
    <w:rsid w:val="00283222"/>
    <w:rsid w:val="0028359D"/>
    <w:rsid w:val="0028368E"/>
    <w:rsid w:val="00283775"/>
    <w:rsid w:val="00283E9E"/>
    <w:rsid w:val="00283EEE"/>
    <w:rsid w:val="00283F16"/>
    <w:rsid w:val="00284016"/>
    <w:rsid w:val="0028406B"/>
    <w:rsid w:val="00284212"/>
    <w:rsid w:val="00284671"/>
    <w:rsid w:val="002846B4"/>
    <w:rsid w:val="0028476D"/>
    <w:rsid w:val="00284AD1"/>
    <w:rsid w:val="00284BF2"/>
    <w:rsid w:val="002853B4"/>
    <w:rsid w:val="00285676"/>
    <w:rsid w:val="0028569E"/>
    <w:rsid w:val="00285881"/>
    <w:rsid w:val="00285A89"/>
    <w:rsid w:val="00285BA1"/>
    <w:rsid w:val="00285E2F"/>
    <w:rsid w:val="0028612C"/>
    <w:rsid w:val="00286148"/>
    <w:rsid w:val="00286590"/>
    <w:rsid w:val="00286861"/>
    <w:rsid w:val="0028696E"/>
    <w:rsid w:val="002869CF"/>
    <w:rsid w:val="00286ACB"/>
    <w:rsid w:val="002870A9"/>
    <w:rsid w:val="002870EF"/>
    <w:rsid w:val="00287128"/>
    <w:rsid w:val="0028728F"/>
    <w:rsid w:val="002876E0"/>
    <w:rsid w:val="002877E7"/>
    <w:rsid w:val="00287962"/>
    <w:rsid w:val="00287964"/>
    <w:rsid w:val="00287A7E"/>
    <w:rsid w:val="00287A91"/>
    <w:rsid w:val="00287D82"/>
    <w:rsid w:val="00287D8B"/>
    <w:rsid w:val="00287DEE"/>
    <w:rsid w:val="00287EAC"/>
    <w:rsid w:val="00290132"/>
    <w:rsid w:val="00290284"/>
    <w:rsid w:val="002903A0"/>
    <w:rsid w:val="002903CD"/>
    <w:rsid w:val="0029047E"/>
    <w:rsid w:val="0029074D"/>
    <w:rsid w:val="00290778"/>
    <w:rsid w:val="002907A1"/>
    <w:rsid w:val="00290871"/>
    <w:rsid w:val="002908FA"/>
    <w:rsid w:val="002910C1"/>
    <w:rsid w:val="002910E7"/>
    <w:rsid w:val="002912B1"/>
    <w:rsid w:val="00291363"/>
    <w:rsid w:val="00291467"/>
    <w:rsid w:val="002914B9"/>
    <w:rsid w:val="002914E7"/>
    <w:rsid w:val="002917D0"/>
    <w:rsid w:val="002918F5"/>
    <w:rsid w:val="00291B48"/>
    <w:rsid w:val="00291C0F"/>
    <w:rsid w:val="00291CC5"/>
    <w:rsid w:val="0029207F"/>
    <w:rsid w:val="002920E5"/>
    <w:rsid w:val="002921CD"/>
    <w:rsid w:val="002924CB"/>
    <w:rsid w:val="002924F9"/>
    <w:rsid w:val="0029256C"/>
    <w:rsid w:val="002925A1"/>
    <w:rsid w:val="002925DB"/>
    <w:rsid w:val="00292922"/>
    <w:rsid w:val="00292948"/>
    <w:rsid w:val="0029296E"/>
    <w:rsid w:val="00292CA4"/>
    <w:rsid w:val="00292DB3"/>
    <w:rsid w:val="00292E74"/>
    <w:rsid w:val="002930C7"/>
    <w:rsid w:val="00293293"/>
    <w:rsid w:val="002932AE"/>
    <w:rsid w:val="00293448"/>
    <w:rsid w:val="002935A3"/>
    <w:rsid w:val="002936E9"/>
    <w:rsid w:val="0029394E"/>
    <w:rsid w:val="00293A9D"/>
    <w:rsid w:val="00293BB3"/>
    <w:rsid w:val="00293EB1"/>
    <w:rsid w:val="00293EC8"/>
    <w:rsid w:val="002940C2"/>
    <w:rsid w:val="00294158"/>
    <w:rsid w:val="0029428B"/>
    <w:rsid w:val="0029443C"/>
    <w:rsid w:val="00294703"/>
    <w:rsid w:val="00294A75"/>
    <w:rsid w:val="00294A7A"/>
    <w:rsid w:val="00294AED"/>
    <w:rsid w:val="00294B38"/>
    <w:rsid w:val="00294CC7"/>
    <w:rsid w:val="00294CF4"/>
    <w:rsid w:val="00294FE7"/>
    <w:rsid w:val="00295067"/>
    <w:rsid w:val="0029509A"/>
    <w:rsid w:val="00295445"/>
    <w:rsid w:val="0029559B"/>
    <w:rsid w:val="00295604"/>
    <w:rsid w:val="002956A7"/>
    <w:rsid w:val="0029587E"/>
    <w:rsid w:val="002959EF"/>
    <w:rsid w:val="00295CA0"/>
    <w:rsid w:val="00295EA3"/>
    <w:rsid w:val="00295EC4"/>
    <w:rsid w:val="00295FDF"/>
    <w:rsid w:val="00296271"/>
    <w:rsid w:val="00296322"/>
    <w:rsid w:val="00296557"/>
    <w:rsid w:val="0029672E"/>
    <w:rsid w:val="002968C7"/>
    <w:rsid w:val="00296C59"/>
    <w:rsid w:val="00296DB7"/>
    <w:rsid w:val="002970B7"/>
    <w:rsid w:val="002971D7"/>
    <w:rsid w:val="002974DC"/>
    <w:rsid w:val="002975A4"/>
    <w:rsid w:val="0029775C"/>
    <w:rsid w:val="00297A74"/>
    <w:rsid w:val="00297B50"/>
    <w:rsid w:val="00297D51"/>
    <w:rsid w:val="00297F25"/>
    <w:rsid w:val="002A01BF"/>
    <w:rsid w:val="002A0893"/>
    <w:rsid w:val="002A0A67"/>
    <w:rsid w:val="002A0B5A"/>
    <w:rsid w:val="002A114F"/>
    <w:rsid w:val="002A15E0"/>
    <w:rsid w:val="002A167B"/>
    <w:rsid w:val="002A189A"/>
    <w:rsid w:val="002A1AC7"/>
    <w:rsid w:val="002A2129"/>
    <w:rsid w:val="002A2306"/>
    <w:rsid w:val="002A23A9"/>
    <w:rsid w:val="002A23AC"/>
    <w:rsid w:val="002A2581"/>
    <w:rsid w:val="002A2666"/>
    <w:rsid w:val="002A2A93"/>
    <w:rsid w:val="002A2C3C"/>
    <w:rsid w:val="002A2E81"/>
    <w:rsid w:val="002A2EF6"/>
    <w:rsid w:val="002A2F83"/>
    <w:rsid w:val="002A32C0"/>
    <w:rsid w:val="002A3401"/>
    <w:rsid w:val="002A3817"/>
    <w:rsid w:val="002A3847"/>
    <w:rsid w:val="002A391C"/>
    <w:rsid w:val="002A3A6E"/>
    <w:rsid w:val="002A3EA8"/>
    <w:rsid w:val="002A3EE2"/>
    <w:rsid w:val="002A3F93"/>
    <w:rsid w:val="002A4229"/>
    <w:rsid w:val="002A43E4"/>
    <w:rsid w:val="002A43FB"/>
    <w:rsid w:val="002A45A3"/>
    <w:rsid w:val="002A45E8"/>
    <w:rsid w:val="002A45FB"/>
    <w:rsid w:val="002A45FE"/>
    <w:rsid w:val="002A4904"/>
    <w:rsid w:val="002A4D79"/>
    <w:rsid w:val="002A4EA6"/>
    <w:rsid w:val="002A4ECF"/>
    <w:rsid w:val="002A50F6"/>
    <w:rsid w:val="002A51DF"/>
    <w:rsid w:val="002A53A5"/>
    <w:rsid w:val="002A5547"/>
    <w:rsid w:val="002A58B6"/>
    <w:rsid w:val="002A59CB"/>
    <w:rsid w:val="002A5AA7"/>
    <w:rsid w:val="002A5AF5"/>
    <w:rsid w:val="002A5CF9"/>
    <w:rsid w:val="002A5E42"/>
    <w:rsid w:val="002A5FC8"/>
    <w:rsid w:val="002A62C7"/>
    <w:rsid w:val="002A6414"/>
    <w:rsid w:val="002A649E"/>
    <w:rsid w:val="002A653C"/>
    <w:rsid w:val="002A66D1"/>
    <w:rsid w:val="002A69D6"/>
    <w:rsid w:val="002A6A98"/>
    <w:rsid w:val="002A6AD7"/>
    <w:rsid w:val="002A6B6E"/>
    <w:rsid w:val="002A6CD3"/>
    <w:rsid w:val="002A6E34"/>
    <w:rsid w:val="002A7056"/>
    <w:rsid w:val="002A7120"/>
    <w:rsid w:val="002A7254"/>
    <w:rsid w:val="002A72BA"/>
    <w:rsid w:val="002A7640"/>
    <w:rsid w:val="002A76E6"/>
    <w:rsid w:val="002A76EF"/>
    <w:rsid w:val="002A7948"/>
    <w:rsid w:val="002A7A06"/>
    <w:rsid w:val="002A7A22"/>
    <w:rsid w:val="002A7A6D"/>
    <w:rsid w:val="002A7A87"/>
    <w:rsid w:val="002B02CF"/>
    <w:rsid w:val="002B04EC"/>
    <w:rsid w:val="002B058B"/>
    <w:rsid w:val="002B0624"/>
    <w:rsid w:val="002B0AEC"/>
    <w:rsid w:val="002B0C69"/>
    <w:rsid w:val="002B0E11"/>
    <w:rsid w:val="002B0E9C"/>
    <w:rsid w:val="002B0F1C"/>
    <w:rsid w:val="002B126F"/>
    <w:rsid w:val="002B137E"/>
    <w:rsid w:val="002B174F"/>
    <w:rsid w:val="002B183C"/>
    <w:rsid w:val="002B1960"/>
    <w:rsid w:val="002B19E7"/>
    <w:rsid w:val="002B1C27"/>
    <w:rsid w:val="002B1D36"/>
    <w:rsid w:val="002B1D7F"/>
    <w:rsid w:val="002B1D84"/>
    <w:rsid w:val="002B1D96"/>
    <w:rsid w:val="002B1F86"/>
    <w:rsid w:val="002B227A"/>
    <w:rsid w:val="002B22C3"/>
    <w:rsid w:val="002B231B"/>
    <w:rsid w:val="002B246B"/>
    <w:rsid w:val="002B26D5"/>
    <w:rsid w:val="002B27C6"/>
    <w:rsid w:val="002B2994"/>
    <w:rsid w:val="002B2C6A"/>
    <w:rsid w:val="002B2CC3"/>
    <w:rsid w:val="002B2D7A"/>
    <w:rsid w:val="002B2E74"/>
    <w:rsid w:val="002B2FB7"/>
    <w:rsid w:val="002B2FBA"/>
    <w:rsid w:val="002B2FD7"/>
    <w:rsid w:val="002B32C7"/>
    <w:rsid w:val="002B32DB"/>
    <w:rsid w:val="002B32F7"/>
    <w:rsid w:val="002B3453"/>
    <w:rsid w:val="002B35A6"/>
    <w:rsid w:val="002B371D"/>
    <w:rsid w:val="002B38B6"/>
    <w:rsid w:val="002B3B8F"/>
    <w:rsid w:val="002B3BD1"/>
    <w:rsid w:val="002B3CB6"/>
    <w:rsid w:val="002B3FD9"/>
    <w:rsid w:val="002B400A"/>
    <w:rsid w:val="002B422A"/>
    <w:rsid w:val="002B4447"/>
    <w:rsid w:val="002B4563"/>
    <w:rsid w:val="002B45A5"/>
    <w:rsid w:val="002B45D5"/>
    <w:rsid w:val="002B45DB"/>
    <w:rsid w:val="002B4777"/>
    <w:rsid w:val="002B4867"/>
    <w:rsid w:val="002B4924"/>
    <w:rsid w:val="002B4AD7"/>
    <w:rsid w:val="002B4AEE"/>
    <w:rsid w:val="002B4B3E"/>
    <w:rsid w:val="002B4CF4"/>
    <w:rsid w:val="002B4E11"/>
    <w:rsid w:val="002B4E57"/>
    <w:rsid w:val="002B57C6"/>
    <w:rsid w:val="002B590D"/>
    <w:rsid w:val="002B5970"/>
    <w:rsid w:val="002B5B32"/>
    <w:rsid w:val="002B5C38"/>
    <w:rsid w:val="002B5DFC"/>
    <w:rsid w:val="002B5EA5"/>
    <w:rsid w:val="002B6067"/>
    <w:rsid w:val="002B62A4"/>
    <w:rsid w:val="002B6384"/>
    <w:rsid w:val="002B63BA"/>
    <w:rsid w:val="002B68B2"/>
    <w:rsid w:val="002B6A1F"/>
    <w:rsid w:val="002B6AD4"/>
    <w:rsid w:val="002B6F3C"/>
    <w:rsid w:val="002B6FAB"/>
    <w:rsid w:val="002B702C"/>
    <w:rsid w:val="002B706B"/>
    <w:rsid w:val="002B7097"/>
    <w:rsid w:val="002B7658"/>
    <w:rsid w:val="002B7849"/>
    <w:rsid w:val="002B78BF"/>
    <w:rsid w:val="002B7988"/>
    <w:rsid w:val="002B7B31"/>
    <w:rsid w:val="002B7B8B"/>
    <w:rsid w:val="002B7F38"/>
    <w:rsid w:val="002B85E7"/>
    <w:rsid w:val="002C008C"/>
    <w:rsid w:val="002C0090"/>
    <w:rsid w:val="002C0097"/>
    <w:rsid w:val="002C049D"/>
    <w:rsid w:val="002C05D3"/>
    <w:rsid w:val="002C0A17"/>
    <w:rsid w:val="002C0E95"/>
    <w:rsid w:val="002C10D7"/>
    <w:rsid w:val="002C10D9"/>
    <w:rsid w:val="002C1194"/>
    <w:rsid w:val="002C1494"/>
    <w:rsid w:val="002C1643"/>
    <w:rsid w:val="002C169A"/>
    <w:rsid w:val="002C1770"/>
    <w:rsid w:val="002C1AA7"/>
    <w:rsid w:val="002C1DE6"/>
    <w:rsid w:val="002C1FE2"/>
    <w:rsid w:val="002C2061"/>
    <w:rsid w:val="002C222B"/>
    <w:rsid w:val="002C225E"/>
    <w:rsid w:val="002C22FC"/>
    <w:rsid w:val="002C2523"/>
    <w:rsid w:val="002C2661"/>
    <w:rsid w:val="002C2823"/>
    <w:rsid w:val="002C28D1"/>
    <w:rsid w:val="002C2A07"/>
    <w:rsid w:val="002C2CB1"/>
    <w:rsid w:val="002C2E15"/>
    <w:rsid w:val="002C2E60"/>
    <w:rsid w:val="002C2E77"/>
    <w:rsid w:val="002C2EA9"/>
    <w:rsid w:val="002C3071"/>
    <w:rsid w:val="002C34D3"/>
    <w:rsid w:val="002C3516"/>
    <w:rsid w:val="002C355B"/>
    <w:rsid w:val="002C383B"/>
    <w:rsid w:val="002C3859"/>
    <w:rsid w:val="002C3A7D"/>
    <w:rsid w:val="002C3C8D"/>
    <w:rsid w:val="002C40FC"/>
    <w:rsid w:val="002C41F9"/>
    <w:rsid w:val="002C450E"/>
    <w:rsid w:val="002C4582"/>
    <w:rsid w:val="002C46B1"/>
    <w:rsid w:val="002C4931"/>
    <w:rsid w:val="002C49B4"/>
    <w:rsid w:val="002C4DB0"/>
    <w:rsid w:val="002C4F64"/>
    <w:rsid w:val="002C4FE5"/>
    <w:rsid w:val="002C5190"/>
    <w:rsid w:val="002C5392"/>
    <w:rsid w:val="002C54EB"/>
    <w:rsid w:val="002C5528"/>
    <w:rsid w:val="002C5803"/>
    <w:rsid w:val="002C58CE"/>
    <w:rsid w:val="002C5999"/>
    <w:rsid w:val="002C5AE4"/>
    <w:rsid w:val="002C6102"/>
    <w:rsid w:val="002C610A"/>
    <w:rsid w:val="002C630E"/>
    <w:rsid w:val="002C6535"/>
    <w:rsid w:val="002C65F0"/>
    <w:rsid w:val="002C661C"/>
    <w:rsid w:val="002C67BD"/>
    <w:rsid w:val="002C68EA"/>
    <w:rsid w:val="002C6BBD"/>
    <w:rsid w:val="002C6C15"/>
    <w:rsid w:val="002C6E12"/>
    <w:rsid w:val="002C701F"/>
    <w:rsid w:val="002C729E"/>
    <w:rsid w:val="002C7312"/>
    <w:rsid w:val="002C73FE"/>
    <w:rsid w:val="002C747B"/>
    <w:rsid w:val="002C76B6"/>
    <w:rsid w:val="002C76BA"/>
    <w:rsid w:val="002C773B"/>
    <w:rsid w:val="002C77BF"/>
    <w:rsid w:val="002C7A26"/>
    <w:rsid w:val="002C7CDB"/>
    <w:rsid w:val="002C7D8B"/>
    <w:rsid w:val="002C7DD6"/>
    <w:rsid w:val="002D0097"/>
    <w:rsid w:val="002D011D"/>
    <w:rsid w:val="002D017A"/>
    <w:rsid w:val="002D0358"/>
    <w:rsid w:val="002D0576"/>
    <w:rsid w:val="002D067D"/>
    <w:rsid w:val="002D06B8"/>
    <w:rsid w:val="002D06F9"/>
    <w:rsid w:val="002D0720"/>
    <w:rsid w:val="002D07C9"/>
    <w:rsid w:val="002D0858"/>
    <w:rsid w:val="002D0F3E"/>
    <w:rsid w:val="002D13C1"/>
    <w:rsid w:val="002D157B"/>
    <w:rsid w:val="002D15D5"/>
    <w:rsid w:val="002D1737"/>
    <w:rsid w:val="002D1985"/>
    <w:rsid w:val="002D1A9A"/>
    <w:rsid w:val="002D1AD0"/>
    <w:rsid w:val="002D1C8B"/>
    <w:rsid w:val="002D1D4D"/>
    <w:rsid w:val="002D1F26"/>
    <w:rsid w:val="002D20BE"/>
    <w:rsid w:val="002D23A4"/>
    <w:rsid w:val="002D25E9"/>
    <w:rsid w:val="002D28DB"/>
    <w:rsid w:val="002D28DF"/>
    <w:rsid w:val="002D2C9F"/>
    <w:rsid w:val="002D2D42"/>
    <w:rsid w:val="002D2F58"/>
    <w:rsid w:val="002D2FBA"/>
    <w:rsid w:val="002D2FE9"/>
    <w:rsid w:val="002D3034"/>
    <w:rsid w:val="002D30AC"/>
    <w:rsid w:val="002D31FC"/>
    <w:rsid w:val="002D33B1"/>
    <w:rsid w:val="002D33BF"/>
    <w:rsid w:val="002D33E4"/>
    <w:rsid w:val="002D3419"/>
    <w:rsid w:val="002D3476"/>
    <w:rsid w:val="002D38A2"/>
    <w:rsid w:val="002D3AB8"/>
    <w:rsid w:val="002D3BF1"/>
    <w:rsid w:val="002D3D46"/>
    <w:rsid w:val="002D3DCF"/>
    <w:rsid w:val="002D3E00"/>
    <w:rsid w:val="002D40AC"/>
    <w:rsid w:val="002D40F3"/>
    <w:rsid w:val="002D4251"/>
    <w:rsid w:val="002D4813"/>
    <w:rsid w:val="002D4834"/>
    <w:rsid w:val="002D4967"/>
    <w:rsid w:val="002D49A9"/>
    <w:rsid w:val="002D4B11"/>
    <w:rsid w:val="002D4D29"/>
    <w:rsid w:val="002D523B"/>
    <w:rsid w:val="002D56DF"/>
    <w:rsid w:val="002D59AF"/>
    <w:rsid w:val="002D5B80"/>
    <w:rsid w:val="002D5DAE"/>
    <w:rsid w:val="002D5DB1"/>
    <w:rsid w:val="002D5DC5"/>
    <w:rsid w:val="002D6116"/>
    <w:rsid w:val="002D65CC"/>
    <w:rsid w:val="002D65F1"/>
    <w:rsid w:val="002D69BE"/>
    <w:rsid w:val="002D6CC7"/>
    <w:rsid w:val="002D6E1A"/>
    <w:rsid w:val="002D6E5B"/>
    <w:rsid w:val="002D6F2F"/>
    <w:rsid w:val="002D7397"/>
    <w:rsid w:val="002D763A"/>
    <w:rsid w:val="002D7781"/>
    <w:rsid w:val="002D7877"/>
    <w:rsid w:val="002D7958"/>
    <w:rsid w:val="002D7B06"/>
    <w:rsid w:val="002D7B98"/>
    <w:rsid w:val="002D7D60"/>
    <w:rsid w:val="002E08C8"/>
    <w:rsid w:val="002E0949"/>
    <w:rsid w:val="002E0CCD"/>
    <w:rsid w:val="002E0F1C"/>
    <w:rsid w:val="002E109B"/>
    <w:rsid w:val="002E1245"/>
    <w:rsid w:val="002E1308"/>
    <w:rsid w:val="002E146E"/>
    <w:rsid w:val="002E14CF"/>
    <w:rsid w:val="002E178E"/>
    <w:rsid w:val="002E192D"/>
    <w:rsid w:val="002E1ABE"/>
    <w:rsid w:val="002E1AC1"/>
    <w:rsid w:val="002E1BF7"/>
    <w:rsid w:val="002E1DAB"/>
    <w:rsid w:val="002E1E41"/>
    <w:rsid w:val="002E1EBC"/>
    <w:rsid w:val="002E206A"/>
    <w:rsid w:val="002E21ED"/>
    <w:rsid w:val="002E228A"/>
    <w:rsid w:val="002E2319"/>
    <w:rsid w:val="002E24F0"/>
    <w:rsid w:val="002E26CC"/>
    <w:rsid w:val="002E2872"/>
    <w:rsid w:val="002E28BE"/>
    <w:rsid w:val="002E2971"/>
    <w:rsid w:val="002E2BB5"/>
    <w:rsid w:val="002E2E9C"/>
    <w:rsid w:val="002E2F46"/>
    <w:rsid w:val="002E3041"/>
    <w:rsid w:val="002E322B"/>
    <w:rsid w:val="002E330C"/>
    <w:rsid w:val="002E3410"/>
    <w:rsid w:val="002E3569"/>
    <w:rsid w:val="002E3A8A"/>
    <w:rsid w:val="002E3C42"/>
    <w:rsid w:val="002E3D74"/>
    <w:rsid w:val="002E3FFF"/>
    <w:rsid w:val="002E4064"/>
    <w:rsid w:val="002E42A2"/>
    <w:rsid w:val="002E439C"/>
    <w:rsid w:val="002E4432"/>
    <w:rsid w:val="002E447B"/>
    <w:rsid w:val="002E45D5"/>
    <w:rsid w:val="002E4661"/>
    <w:rsid w:val="002E4751"/>
    <w:rsid w:val="002E479B"/>
    <w:rsid w:val="002E486A"/>
    <w:rsid w:val="002E496B"/>
    <w:rsid w:val="002E4A11"/>
    <w:rsid w:val="002E4C43"/>
    <w:rsid w:val="002E4E70"/>
    <w:rsid w:val="002E4FFA"/>
    <w:rsid w:val="002E501C"/>
    <w:rsid w:val="002E5194"/>
    <w:rsid w:val="002E583E"/>
    <w:rsid w:val="002E592F"/>
    <w:rsid w:val="002E598C"/>
    <w:rsid w:val="002E5A2F"/>
    <w:rsid w:val="002E5BE8"/>
    <w:rsid w:val="002E5C09"/>
    <w:rsid w:val="002E5E00"/>
    <w:rsid w:val="002E5E51"/>
    <w:rsid w:val="002E6109"/>
    <w:rsid w:val="002E649C"/>
    <w:rsid w:val="002E6561"/>
    <w:rsid w:val="002E6629"/>
    <w:rsid w:val="002E6993"/>
    <w:rsid w:val="002E6A2C"/>
    <w:rsid w:val="002E70D1"/>
    <w:rsid w:val="002E72E8"/>
    <w:rsid w:val="002E749F"/>
    <w:rsid w:val="002E75A8"/>
    <w:rsid w:val="002E75F3"/>
    <w:rsid w:val="002E7625"/>
    <w:rsid w:val="002E7636"/>
    <w:rsid w:val="002E77FA"/>
    <w:rsid w:val="002E7850"/>
    <w:rsid w:val="002E7AC5"/>
    <w:rsid w:val="002E7D97"/>
    <w:rsid w:val="002F0094"/>
    <w:rsid w:val="002F013E"/>
    <w:rsid w:val="002F015B"/>
    <w:rsid w:val="002F01AC"/>
    <w:rsid w:val="002F0565"/>
    <w:rsid w:val="002F05FD"/>
    <w:rsid w:val="002F076C"/>
    <w:rsid w:val="002F07A0"/>
    <w:rsid w:val="002F07A3"/>
    <w:rsid w:val="002F07B9"/>
    <w:rsid w:val="002F08C8"/>
    <w:rsid w:val="002F08D0"/>
    <w:rsid w:val="002F0A1C"/>
    <w:rsid w:val="002F0BA2"/>
    <w:rsid w:val="002F1222"/>
    <w:rsid w:val="002F1270"/>
    <w:rsid w:val="002F1790"/>
    <w:rsid w:val="002F17A2"/>
    <w:rsid w:val="002F1813"/>
    <w:rsid w:val="002F18E5"/>
    <w:rsid w:val="002F190F"/>
    <w:rsid w:val="002F194B"/>
    <w:rsid w:val="002F1D15"/>
    <w:rsid w:val="002F1D4C"/>
    <w:rsid w:val="002F1F9A"/>
    <w:rsid w:val="002F22B2"/>
    <w:rsid w:val="002F2532"/>
    <w:rsid w:val="002F2925"/>
    <w:rsid w:val="002F29CF"/>
    <w:rsid w:val="002F2ADE"/>
    <w:rsid w:val="002F2C74"/>
    <w:rsid w:val="002F2CAC"/>
    <w:rsid w:val="002F2DE4"/>
    <w:rsid w:val="002F2F6A"/>
    <w:rsid w:val="002F2F73"/>
    <w:rsid w:val="002F2FB9"/>
    <w:rsid w:val="002F328E"/>
    <w:rsid w:val="002F3410"/>
    <w:rsid w:val="002F3472"/>
    <w:rsid w:val="002F35B0"/>
    <w:rsid w:val="002F3714"/>
    <w:rsid w:val="002F3728"/>
    <w:rsid w:val="002F376B"/>
    <w:rsid w:val="002F3974"/>
    <w:rsid w:val="002F3BD1"/>
    <w:rsid w:val="002F3C00"/>
    <w:rsid w:val="002F3CEB"/>
    <w:rsid w:val="002F3E6C"/>
    <w:rsid w:val="002F3F92"/>
    <w:rsid w:val="002F402C"/>
    <w:rsid w:val="002F4105"/>
    <w:rsid w:val="002F4825"/>
    <w:rsid w:val="002F4913"/>
    <w:rsid w:val="002F4A96"/>
    <w:rsid w:val="002F4D3E"/>
    <w:rsid w:val="002F4D67"/>
    <w:rsid w:val="002F4F99"/>
    <w:rsid w:val="002F5085"/>
    <w:rsid w:val="002F51D9"/>
    <w:rsid w:val="002F524D"/>
    <w:rsid w:val="002F5302"/>
    <w:rsid w:val="002F537A"/>
    <w:rsid w:val="002F549A"/>
    <w:rsid w:val="002F54CC"/>
    <w:rsid w:val="002F5739"/>
    <w:rsid w:val="002F576C"/>
    <w:rsid w:val="002F588B"/>
    <w:rsid w:val="002F58FB"/>
    <w:rsid w:val="002F5979"/>
    <w:rsid w:val="002F5A29"/>
    <w:rsid w:val="002F5B3D"/>
    <w:rsid w:val="002F5C8F"/>
    <w:rsid w:val="002F5CA9"/>
    <w:rsid w:val="002F5D0A"/>
    <w:rsid w:val="002F5EAC"/>
    <w:rsid w:val="002F62D5"/>
    <w:rsid w:val="002F6635"/>
    <w:rsid w:val="002F67F7"/>
    <w:rsid w:val="002F686C"/>
    <w:rsid w:val="002F6ADA"/>
    <w:rsid w:val="002F7090"/>
    <w:rsid w:val="002F7097"/>
    <w:rsid w:val="002F740D"/>
    <w:rsid w:val="002F75FC"/>
    <w:rsid w:val="002F76E8"/>
    <w:rsid w:val="002F775C"/>
    <w:rsid w:val="002F79F0"/>
    <w:rsid w:val="002F7BD4"/>
    <w:rsid w:val="002F7C39"/>
    <w:rsid w:val="002F7CC0"/>
    <w:rsid w:val="002F7E46"/>
    <w:rsid w:val="003001B0"/>
    <w:rsid w:val="003004EE"/>
    <w:rsid w:val="00300733"/>
    <w:rsid w:val="00300784"/>
    <w:rsid w:val="003009D7"/>
    <w:rsid w:val="00300A5C"/>
    <w:rsid w:val="00300AEC"/>
    <w:rsid w:val="00300F47"/>
    <w:rsid w:val="00300FAF"/>
    <w:rsid w:val="00301130"/>
    <w:rsid w:val="003013C8"/>
    <w:rsid w:val="003015A3"/>
    <w:rsid w:val="003015DF"/>
    <w:rsid w:val="003016A9"/>
    <w:rsid w:val="00301AB1"/>
    <w:rsid w:val="00301BB1"/>
    <w:rsid w:val="00301EB5"/>
    <w:rsid w:val="00302311"/>
    <w:rsid w:val="0030257C"/>
    <w:rsid w:val="00302815"/>
    <w:rsid w:val="00302A40"/>
    <w:rsid w:val="00302FDD"/>
    <w:rsid w:val="00303072"/>
    <w:rsid w:val="003031DF"/>
    <w:rsid w:val="0030354B"/>
    <w:rsid w:val="00303730"/>
    <w:rsid w:val="0030379C"/>
    <w:rsid w:val="00303852"/>
    <w:rsid w:val="00303BD2"/>
    <w:rsid w:val="00303E31"/>
    <w:rsid w:val="00303F6E"/>
    <w:rsid w:val="00303FCC"/>
    <w:rsid w:val="0030414B"/>
    <w:rsid w:val="0030450F"/>
    <w:rsid w:val="0030470C"/>
    <w:rsid w:val="00304788"/>
    <w:rsid w:val="00304817"/>
    <w:rsid w:val="00304B3F"/>
    <w:rsid w:val="00305050"/>
    <w:rsid w:val="003051E6"/>
    <w:rsid w:val="00305226"/>
    <w:rsid w:val="00305349"/>
    <w:rsid w:val="003055FB"/>
    <w:rsid w:val="003057AA"/>
    <w:rsid w:val="003057FF"/>
    <w:rsid w:val="0030586E"/>
    <w:rsid w:val="003058A8"/>
    <w:rsid w:val="00305AA4"/>
    <w:rsid w:val="00305C4B"/>
    <w:rsid w:val="00305C52"/>
    <w:rsid w:val="00305DB5"/>
    <w:rsid w:val="00305DC9"/>
    <w:rsid w:val="00305E2E"/>
    <w:rsid w:val="00305E46"/>
    <w:rsid w:val="00305EB2"/>
    <w:rsid w:val="00305F5C"/>
    <w:rsid w:val="00305F77"/>
    <w:rsid w:val="003060E6"/>
    <w:rsid w:val="003060F0"/>
    <w:rsid w:val="0030619B"/>
    <w:rsid w:val="003061C1"/>
    <w:rsid w:val="003063F0"/>
    <w:rsid w:val="003065BC"/>
    <w:rsid w:val="003069E3"/>
    <w:rsid w:val="00306CCA"/>
    <w:rsid w:val="00306CF8"/>
    <w:rsid w:val="00306D77"/>
    <w:rsid w:val="00306D80"/>
    <w:rsid w:val="00306E46"/>
    <w:rsid w:val="003073E4"/>
    <w:rsid w:val="00307583"/>
    <w:rsid w:val="0030794A"/>
    <w:rsid w:val="003079A7"/>
    <w:rsid w:val="00307AE1"/>
    <w:rsid w:val="00307C20"/>
    <w:rsid w:val="00307F66"/>
    <w:rsid w:val="003101C2"/>
    <w:rsid w:val="00310280"/>
    <w:rsid w:val="00310484"/>
    <w:rsid w:val="003109D6"/>
    <w:rsid w:val="00310B58"/>
    <w:rsid w:val="00310BD8"/>
    <w:rsid w:val="00310C45"/>
    <w:rsid w:val="00310D4B"/>
    <w:rsid w:val="00310EB6"/>
    <w:rsid w:val="00310F57"/>
    <w:rsid w:val="00310FB6"/>
    <w:rsid w:val="00311004"/>
    <w:rsid w:val="00311289"/>
    <w:rsid w:val="003112E1"/>
    <w:rsid w:val="0031163F"/>
    <w:rsid w:val="00311774"/>
    <w:rsid w:val="00311AA7"/>
    <w:rsid w:val="00311CEA"/>
    <w:rsid w:val="00311D4A"/>
    <w:rsid w:val="00311F4A"/>
    <w:rsid w:val="003122B9"/>
    <w:rsid w:val="003123FE"/>
    <w:rsid w:val="003124A7"/>
    <w:rsid w:val="003128C0"/>
    <w:rsid w:val="0031292F"/>
    <w:rsid w:val="003129AC"/>
    <w:rsid w:val="00312AEA"/>
    <w:rsid w:val="00312C8D"/>
    <w:rsid w:val="00312DA4"/>
    <w:rsid w:val="00312E73"/>
    <w:rsid w:val="00312F79"/>
    <w:rsid w:val="0031304A"/>
    <w:rsid w:val="0031308B"/>
    <w:rsid w:val="0031310A"/>
    <w:rsid w:val="0031328B"/>
    <w:rsid w:val="00313366"/>
    <w:rsid w:val="003133EA"/>
    <w:rsid w:val="003136E9"/>
    <w:rsid w:val="003137F9"/>
    <w:rsid w:val="003139DC"/>
    <w:rsid w:val="00313BE3"/>
    <w:rsid w:val="00313E72"/>
    <w:rsid w:val="00313F64"/>
    <w:rsid w:val="00313F75"/>
    <w:rsid w:val="0031402D"/>
    <w:rsid w:val="003141F1"/>
    <w:rsid w:val="00314219"/>
    <w:rsid w:val="003142F0"/>
    <w:rsid w:val="003142F1"/>
    <w:rsid w:val="00314605"/>
    <w:rsid w:val="00314885"/>
    <w:rsid w:val="00314949"/>
    <w:rsid w:val="00314B0D"/>
    <w:rsid w:val="00314CD9"/>
    <w:rsid w:val="00314D25"/>
    <w:rsid w:val="00314D38"/>
    <w:rsid w:val="003150D7"/>
    <w:rsid w:val="00315169"/>
    <w:rsid w:val="003151FC"/>
    <w:rsid w:val="00315377"/>
    <w:rsid w:val="003154CC"/>
    <w:rsid w:val="003156E0"/>
    <w:rsid w:val="00315844"/>
    <w:rsid w:val="003158F7"/>
    <w:rsid w:val="00315A9B"/>
    <w:rsid w:val="00315BA3"/>
    <w:rsid w:val="00315D6A"/>
    <w:rsid w:val="00316037"/>
    <w:rsid w:val="003160BA"/>
    <w:rsid w:val="003161F0"/>
    <w:rsid w:val="003164A9"/>
    <w:rsid w:val="00316590"/>
    <w:rsid w:val="003165F9"/>
    <w:rsid w:val="003169B3"/>
    <w:rsid w:val="00316DBC"/>
    <w:rsid w:val="00316F62"/>
    <w:rsid w:val="0031713B"/>
    <w:rsid w:val="003171DF"/>
    <w:rsid w:val="00317492"/>
    <w:rsid w:val="003174F8"/>
    <w:rsid w:val="0031763D"/>
    <w:rsid w:val="00317766"/>
    <w:rsid w:val="00317F66"/>
    <w:rsid w:val="003201CE"/>
    <w:rsid w:val="003202B7"/>
    <w:rsid w:val="0032064A"/>
    <w:rsid w:val="00320658"/>
    <w:rsid w:val="0032073A"/>
    <w:rsid w:val="0032089D"/>
    <w:rsid w:val="00320D19"/>
    <w:rsid w:val="00320FF9"/>
    <w:rsid w:val="00320FFE"/>
    <w:rsid w:val="00321112"/>
    <w:rsid w:val="003211F3"/>
    <w:rsid w:val="0032145C"/>
    <w:rsid w:val="003214E2"/>
    <w:rsid w:val="003218C5"/>
    <w:rsid w:val="00321CC8"/>
    <w:rsid w:val="00321E05"/>
    <w:rsid w:val="00321E97"/>
    <w:rsid w:val="00321EAE"/>
    <w:rsid w:val="003222AE"/>
    <w:rsid w:val="00322A09"/>
    <w:rsid w:val="00322A0A"/>
    <w:rsid w:val="00322BA5"/>
    <w:rsid w:val="00322C12"/>
    <w:rsid w:val="00323092"/>
    <w:rsid w:val="00323176"/>
    <w:rsid w:val="0032324F"/>
    <w:rsid w:val="003232C9"/>
    <w:rsid w:val="003235CF"/>
    <w:rsid w:val="00323A32"/>
    <w:rsid w:val="00323F32"/>
    <w:rsid w:val="00323FB0"/>
    <w:rsid w:val="003240D0"/>
    <w:rsid w:val="003241A7"/>
    <w:rsid w:val="003241AE"/>
    <w:rsid w:val="003242BE"/>
    <w:rsid w:val="003243DC"/>
    <w:rsid w:val="003245F8"/>
    <w:rsid w:val="00324769"/>
    <w:rsid w:val="00324777"/>
    <w:rsid w:val="00324881"/>
    <w:rsid w:val="00324A31"/>
    <w:rsid w:val="00324A8E"/>
    <w:rsid w:val="00324EAB"/>
    <w:rsid w:val="00325032"/>
    <w:rsid w:val="003251E4"/>
    <w:rsid w:val="00325447"/>
    <w:rsid w:val="0032562C"/>
    <w:rsid w:val="003256B0"/>
    <w:rsid w:val="00325795"/>
    <w:rsid w:val="00325998"/>
    <w:rsid w:val="00325A7D"/>
    <w:rsid w:val="00325B34"/>
    <w:rsid w:val="00325DCB"/>
    <w:rsid w:val="00325E42"/>
    <w:rsid w:val="00325F56"/>
    <w:rsid w:val="00326405"/>
    <w:rsid w:val="0032656F"/>
    <w:rsid w:val="0032664E"/>
    <w:rsid w:val="00326761"/>
    <w:rsid w:val="0032677A"/>
    <w:rsid w:val="003267E0"/>
    <w:rsid w:val="003268B9"/>
    <w:rsid w:val="00326BFE"/>
    <w:rsid w:val="00326C03"/>
    <w:rsid w:val="00326FBE"/>
    <w:rsid w:val="0032711A"/>
    <w:rsid w:val="00327142"/>
    <w:rsid w:val="0032715C"/>
    <w:rsid w:val="0032716C"/>
    <w:rsid w:val="003275F2"/>
    <w:rsid w:val="003275F4"/>
    <w:rsid w:val="003277FE"/>
    <w:rsid w:val="00327983"/>
    <w:rsid w:val="00327A2A"/>
    <w:rsid w:val="00327B52"/>
    <w:rsid w:val="00327BC7"/>
    <w:rsid w:val="00327C52"/>
    <w:rsid w:val="00327E23"/>
    <w:rsid w:val="00327F88"/>
    <w:rsid w:val="0033039F"/>
    <w:rsid w:val="00330436"/>
    <w:rsid w:val="003304F4"/>
    <w:rsid w:val="0033095A"/>
    <w:rsid w:val="003309AA"/>
    <w:rsid w:val="003309EF"/>
    <w:rsid w:val="00330A21"/>
    <w:rsid w:val="00330AD3"/>
    <w:rsid w:val="00330AE2"/>
    <w:rsid w:val="00330BA4"/>
    <w:rsid w:val="00331018"/>
    <w:rsid w:val="00331083"/>
    <w:rsid w:val="003310FC"/>
    <w:rsid w:val="0033110E"/>
    <w:rsid w:val="00331391"/>
    <w:rsid w:val="003315DB"/>
    <w:rsid w:val="003315F5"/>
    <w:rsid w:val="00331660"/>
    <w:rsid w:val="00331C5F"/>
    <w:rsid w:val="00331D1D"/>
    <w:rsid w:val="00331DDA"/>
    <w:rsid w:val="00332203"/>
    <w:rsid w:val="0033252C"/>
    <w:rsid w:val="00332630"/>
    <w:rsid w:val="00332795"/>
    <w:rsid w:val="00332958"/>
    <w:rsid w:val="003329D3"/>
    <w:rsid w:val="00332B70"/>
    <w:rsid w:val="00332CE3"/>
    <w:rsid w:val="00332DA5"/>
    <w:rsid w:val="00332F2C"/>
    <w:rsid w:val="00333067"/>
    <w:rsid w:val="003333E6"/>
    <w:rsid w:val="00333844"/>
    <w:rsid w:val="003338EB"/>
    <w:rsid w:val="00333917"/>
    <w:rsid w:val="00333CE3"/>
    <w:rsid w:val="00333D11"/>
    <w:rsid w:val="00333D5A"/>
    <w:rsid w:val="00333E6B"/>
    <w:rsid w:val="00333E78"/>
    <w:rsid w:val="00333EF3"/>
    <w:rsid w:val="00333FE1"/>
    <w:rsid w:val="0033406E"/>
    <w:rsid w:val="00334168"/>
    <w:rsid w:val="003347C6"/>
    <w:rsid w:val="003349B2"/>
    <w:rsid w:val="00334BFA"/>
    <w:rsid w:val="00334C51"/>
    <w:rsid w:val="00334D2F"/>
    <w:rsid w:val="00334D85"/>
    <w:rsid w:val="00335245"/>
    <w:rsid w:val="003357A6"/>
    <w:rsid w:val="0033595C"/>
    <w:rsid w:val="0033598B"/>
    <w:rsid w:val="003360B9"/>
    <w:rsid w:val="00336145"/>
    <w:rsid w:val="00336243"/>
    <w:rsid w:val="003362CF"/>
    <w:rsid w:val="003363CB"/>
    <w:rsid w:val="00336436"/>
    <w:rsid w:val="00336518"/>
    <w:rsid w:val="003367D9"/>
    <w:rsid w:val="00336996"/>
    <w:rsid w:val="00336E8E"/>
    <w:rsid w:val="00336FA0"/>
    <w:rsid w:val="00336FAA"/>
    <w:rsid w:val="00337035"/>
    <w:rsid w:val="003370CF"/>
    <w:rsid w:val="003371AC"/>
    <w:rsid w:val="00337200"/>
    <w:rsid w:val="0033739C"/>
    <w:rsid w:val="003373C9"/>
    <w:rsid w:val="00337478"/>
    <w:rsid w:val="00337495"/>
    <w:rsid w:val="00337762"/>
    <w:rsid w:val="003379EB"/>
    <w:rsid w:val="00337CB0"/>
    <w:rsid w:val="00337D0F"/>
    <w:rsid w:val="00337D1C"/>
    <w:rsid w:val="00340016"/>
    <w:rsid w:val="00340201"/>
    <w:rsid w:val="0034022A"/>
    <w:rsid w:val="0034026E"/>
    <w:rsid w:val="00340309"/>
    <w:rsid w:val="00340666"/>
    <w:rsid w:val="003406D1"/>
    <w:rsid w:val="003409A6"/>
    <w:rsid w:val="003409AB"/>
    <w:rsid w:val="00340A12"/>
    <w:rsid w:val="00340A54"/>
    <w:rsid w:val="00340A91"/>
    <w:rsid w:val="00340ABC"/>
    <w:rsid w:val="00340ADC"/>
    <w:rsid w:val="00340B7F"/>
    <w:rsid w:val="00340C4B"/>
    <w:rsid w:val="00340D76"/>
    <w:rsid w:val="00340F3C"/>
    <w:rsid w:val="00340F56"/>
    <w:rsid w:val="003410E0"/>
    <w:rsid w:val="003413FB"/>
    <w:rsid w:val="00341499"/>
    <w:rsid w:val="003414AF"/>
    <w:rsid w:val="003415E9"/>
    <w:rsid w:val="0034168E"/>
    <w:rsid w:val="003416AE"/>
    <w:rsid w:val="00341878"/>
    <w:rsid w:val="003418A9"/>
    <w:rsid w:val="003418F3"/>
    <w:rsid w:val="00341919"/>
    <w:rsid w:val="0034193D"/>
    <w:rsid w:val="00341A4B"/>
    <w:rsid w:val="00341B39"/>
    <w:rsid w:val="00341C84"/>
    <w:rsid w:val="00341CEB"/>
    <w:rsid w:val="0034223D"/>
    <w:rsid w:val="00342249"/>
    <w:rsid w:val="00342418"/>
    <w:rsid w:val="00342424"/>
    <w:rsid w:val="00342583"/>
    <w:rsid w:val="003425AB"/>
    <w:rsid w:val="003426EF"/>
    <w:rsid w:val="00342742"/>
    <w:rsid w:val="00342862"/>
    <w:rsid w:val="0034290D"/>
    <w:rsid w:val="0034299D"/>
    <w:rsid w:val="00342A76"/>
    <w:rsid w:val="00342C51"/>
    <w:rsid w:val="00342D23"/>
    <w:rsid w:val="00342DA4"/>
    <w:rsid w:val="0034307B"/>
    <w:rsid w:val="003431CB"/>
    <w:rsid w:val="00343358"/>
    <w:rsid w:val="0034338F"/>
    <w:rsid w:val="003433B5"/>
    <w:rsid w:val="00343411"/>
    <w:rsid w:val="00343455"/>
    <w:rsid w:val="003434DC"/>
    <w:rsid w:val="0034350B"/>
    <w:rsid w:val="00343656"/>
    <w:rsid w:val="003436D5"/>
    <w:rsid w:val="00343AF0"/>
    <w:rsid w:val="00343C57"/>
    <w:rsid w:val="00343D3E"/>
    <w:rsid w:val="00343FF9"/>
    <w:rsid w:val="00344160"/>
    <w:rsid w:val="003441F8"/>
    <w:rsid w:val="00344356"/>
    <w:rsid w:val="003447C9"/>
    <w:rsid w:val="00344881"/>
    <w:rsid w:val="00344A7C"/>
    <w:rsid w:val="00344A8F"/>
    <w:rsid w:val="003450F9"/>
    <w:rsid w:val="00345116"/>
    <w:rsid w:val="003452B6"/>
    <w:rsid w:val="003454DC"/>
    <w:rsid w:val="00345868"/>
    <w:rsid w:val="003460B3"/>
    <w:rsid w:val="003460BD"/>
    <w:rsid w:val="0034628B"/>
    <w:rsid w:val="003462D0"/>
    <w:rsid w:val="00346376"/>
    <w:rsid w:val="003464D1"/>
    <w:rsid w:val="003465C9"/>
    <w:rsid w:val="00346892"/>
    <w:rsid w:val="0034690B"/>
    <w:rsid w:val="00346B9A"/>
    <w:rsid w:val="00346F2A"/>
    <w:rsid w:val="00346F6A"/>
    <w:rsid w:val="00347118"/>
    <w:rsid w:val="00347222"/>
    <w:rsid w:val="003472A1"/>
    <w:rsid w:val="00347797"/>
    <w:rsid w:val="00347AEB"/>
    <w:rsid w:val="00347B58"/>
    <w:rsid w:val="00347BCC"/>
    <w:rsid w:val="00347DFA"/>
    <w:rsid w:val="00347F3B"/>
    <w:rsid w:val="003501F4"/>
    <w:rsid w:val="003502BA"/>
    <w:rsid w:val="0035033C"/>
    <w:rsid w:val="0035060C"/>
    <w:rsid w:val="00350C19"/>
    <w:rsid w:val="00350CC6"/>
    <w:rsid w:val="00350D3A"/>
    <w:rsid w:val="00350FA7"/>
    <w:rsid w:val="00350FFC"/>
    <w:rsid w:val="00351214"/>
    <w:rsid w:val="00351420"/>
    <w:rsid w:val="00351443"/>
    <w:rsid w:val="00351483"/>
    <w:rsid w:val="003516DA"/>
    <w:rsid w:val="0035195B"/>
    <w:rsid w:val="00351A42"/>
    <w:rsid w:val="00351B7B"/>
    <w:rsid w:val="00351C02"/>
    <w:rsid w:val="00351E23"/>
    <w:rsid w:val="003520C9"/>
    <w:rsid w:val="0035221A"/>
    <w:rsid w:val="0035229C"/>
    <w:rsid w:val="003522B5"/>
    <w:rsid w:val="00352375"/>
    <w:rsid w:val="003527D6"/>
    <w:rsid w:val="00352A4A"/>
    <w:rsid w:val="00352C2A"/>
    <w:rsid w:val="00352D25"/>
    <w:rsid w:val="00352ED8"/>
    <w:rsid w:val="00353006"/>
    <w:rsid w:val="00353080"/>
    <w:rsid w:val="00353418"/>
    <w:rsid w:val="00353514"/>
    <w:rsid w:val="003535A9"/>
    <w:rsid w:val="003536EE"/>
    <w:rsid w:val="003536FC"/>
    <w:rsid w:val="0035372A"/>
    <w:rsid w:val="00353765"/>
    <w:rsid w:val="0035385E"/>
    <w:rsid w:val="00353923"/>
    <w:rsid w:val="00353AFE"/>
    <w:rsid w:val="00353B0F"/>
    <w:rsid w:val="00353BF5"/>
    <w:rsid w:val="00353E4A"/>
    <w:rsid w:val="0035415F"/>
    <w:rsid w:val="003543D1"/>
    <w:rsid w:val="00354662"/>
    <w:rsid w:val="0035468D"/>
    <w:rsid w:val="0035474F"/>
    <w:rsid w:val="0035478F"/>
    <w:rsid w:val="00354B4B"/>
    <w:rsid w:val="00354BFE"/>
    <w:rsid w:val="00354E1F"/>
    <w:rsid w:val="00354E34"/>
    <w:rsid w:val="00355069"/>
    <w:rsid w:val="0035514E"/>
    <w:rsid w:val="00355369"/>
    <w:rsid w:val="0035555E"/>
    <w:rsid w:val="00355732"/>
    <w:rsid w:val="003558AE"/>
    <w:rsid w:val="00355DE0"/>
    <w:rsid w:val="00356124"/>
    <w:rsid w:val="00356186"/>
    <w:rsid w:val="003563F8"/>
    <w:rsid w:val="003564FA"/>
    <w:rsid w:val="00356580"/>
    <w:rsid w:val="0035693A"/>
    <w:rsid w:val="00356B85"/>
    <w:rsid w:val="00356D64"/>
    <w:rsid w:val="00356E20"/>
    <w:rsid w:val="00356E21"/>
    <w:rsid w:val="003571E5"/>
    <w:rsid w:val="003572B2"/>
    <w:rsid w:val="003572DC"/>
    <w:rsid w:val="00357328"/>
    <w:rsid w:val="003573F8"/>
    <w:rsid w:val="00357412"/>
    <w:rsid w:val="003574D5"/>
    <w:rsid w:val="0035752B"/>
    <w:rsid w:val="003577A4"/>
    <w:rsid w:val="003578CA"/>
    <w:rsid w:val="00357AD3"/>
    <w:rsid w:val="00357BE6"/>
    <w:rsid w:val="00357D59"/>
    <w:rsid w:val="003604B5"/>
    <w:rsid w:val="0036055D"/>
    <w:rsid w:val="003605BD"/>
    <w:rsid w:val="00360651"/>
    <w:rsid w:val="003608CC"/>
    <w:rsid w:val="0036094C"/>
    <w:rsid w:val="00360BBF"/>
    <w:rsid w:val="00360C79"/>
    <w:rsid w:val="00360DBA"/>
    <w:rsid w:val="00360E87"/>
    <w:rsid w:val="00360E8E"/>
    <w:rsid w:val="00360FA2"/>
    <w:rsid w:val="003611E9"/>
    <w:rsid w:val="003613DF"/>
    <w:rsid w:val="003614CC"/>
    <w:rsid w:val="0036157D"/>
    <w:rsid w:val="0036169D"/>
    <w:rsid w:val="00361A44"/>
    <w:rsid w:val="00361B37"/>
    <w:rsid w:val="00361B75"/>
    <w:rsid w:val="00361C8D"/>
    <w:rsid w:val="00361CAB"/>
    <w:rsid w:val="00362314"/>
    <w:rsid w:val="003623C1"/>
    <w:rsid w:val="003624F8"/>
    <w:rsid w:val="003625AE"/>
    <w:rsid w:val="00362A14"/>
    <w:rsid w:val="00362B13"/>
    <w:rsid w:val="00362C7E"/>
    <w:rsid w:val="00362D58"/>
    <w:rsid w:val="00362E1F"/>
    <w:rsid w:val="00363030"/>
    <w:rsid w:val="0036307A"/>
    <w:rsid w:val="003635F8"/>
    <w:rsid w:val="0036361E"/>
    <w:rsid w:val="00363C48"/>
    <w:rsid w:val="00363D22"/>
    <w:rsid w:val="00363F5B"/>
    <w:rsid w:val="00364241"/>
    <w:rsid w:val="00364392"/>
    <w:rsid w:val="003643A2"/>
    <w:rsid w:val="00364518"/>
    <w:rsid w:val="00364931"/>
    <w:rsid w:val="003649D1"/>
    <w:rsid w:val="00364A28"/>
    <w:rsid w:val="00364ABC"/>
    <w:rsid w:val="00364AD6"/>
    <w:rsid w:val="0036507A"/>
    <w:rsid w:val="0036531E"/>
    <w:rsid w:val="00365392"/>
    <w:rsid w:val="003657C6"/>
    <w:rsid w:val="00365A37"/>
    <w:rsid w:val="00365ED0"/>
    <w:rsid w:val="00366361"/>
    <w:rsid w:val="0036694A"/>
    <w:rsid w:val="00366ABC"/>
    <w:rsid w:val="00366BCA"/>
    <w:rsid w:val="00366E11"/>
    <w:rsid w:val="00366FD0"/>
    <w:rsid w:val="0036705B"/>
    <w:rsid w:val="003673FF"/>
    <w:rsid w:val="00367730"/>
    <w:rsid w:val="00367A2D"/>
    <w:rsid w:val="00367A5D"/>
    <w:rsid w:val="00367B67"/>
    <w:rsid w:val="00367CAF"/>
    <w:rsid w:val="00367D86"/>
    <w:rsid w:val="00367D91"/>
    <w:rsid w:val="00367EDA"/>
    <w:rsid w:val="00367EDB"/>
    <w:rsid w:val="00370662"/>
    <w:rsid w:val="00370843"/>
    <w:rsid w:val="00370985"/>
    <w:rsid w:val="00370B4D"/>
    <w:rsid w:val="00370DF8"/>
    <w:rsid w:val="0037118E"/>
    <w:rsid w:val="003711A2"/>
    <w:rsid w:val="00371264"/>
    <w:rsid w:val="00371305"/>
    <w:rsid w:val="003717FD"/>
    <w:rsid w:val="00371CC4"/>
    <w:rsid w:val="00371E96"/>
    <w:rsid w:val="00371F72"/>
    <w:rsid w:val="0037200C"/>
    <w:rsid w:val="00372294"/>
    <w:rsid w:val="00372501"/>
    <w:rsid w:val="0037252D"/>
    <w:rsid w:val="003727A7"/>
    <w:rsid w:val="0037297E"/>
    <w:rsid w:val="00372991"/>
    <w:rsid w:val="00372B18"/>
    <w:rsid w:val="00372B79"/>
    <w:rsid w:val="00372C98"/>
    <w:rsid w:val="00372CA6"/>
    <w:rsid w:val="00372CD8"/>
    <w:rsid w:val="00372DEF"/>
    <w:rsid w:val="00372E86"/>
    <w:rsid w:val="00372EE4"/>
    <w:rsid w:val="003730B2"/>
    <w:rsid w:val="003730DF"/>
    <w:rsid w:val="00373244"/>
    <w:rsid w:val="0037338F"/>
    <w:rsid w:val="0037362A"/>
    <w:rsid w:val="0037377E"/>
    <w:rsid w:val="0037382C"/>
    <w:rsid w:val="003738EB"/>
    <w:rsid w:val="00373B2C"/>
    <w:rsid w:val="00373D62"/>
    <w:rsid w:val="00373DE0"/>
    <w:rsid w:val="00373E12"/>
    <w:rsid w:val="00373E5B"/>
    <w:rsid w:val="00373F9A"/>
    <w:rsid w:val="003740D1"/>
    <w:rsid w:val="00374108"/>
    <w:rsid w:val="0037412C"/>
    <w:rsid w:val="0037436C"/>
    <w:rsid w:val="00374428"/>
    <w:rsid w:val="00374493"/>
    <w:rsid w:val="00374552"/>
    <w:rsid w:val="00374635"/>
    <w:rsid w:val="0037463B"/>
    <w:rsid w:val="00374752"/>
    <w:rsid w:val="00374D91"/>
    <w:rsid w:val="00375045"/>
    <w:rsid w:val="0037522F"/>
    <w:rsid w:val="0037558F"/>
    <w:rsid w:val="00375836"/>
    <w:rsid w:val="00375938"/>
    <w:rsid w:val="00375ACE"/>
    <w:rsid w:val="00375C2F"/>
    <w:rsid w:val="00375E1F"/>
    <w:rsid w:val="003760C2"/>
    <w:rsid w:val="003761E3"/>
    <w:rsid w:val="003762D9"/>
    <w:rsid w:val="003763DD"/>
    <w:rsid w:val="0037642D"/>
    <w:rsid w:val="003768FD"/>
    <w:rsid w:val="00376910"/>
    <w:rsid w:val="00376A3E"/>
    <w:rsid w:val="00376B98"/>
    <w:rsid w:val="00376BE0"/>
    <w:rsid w:val="00377148"/>
    <w:rsid w:val="003772F4"/>
    <w:rsid w:val="003774E6"/>
    <w:rsid w:val="00377801"/>
    <w:rsid w:val="0037795B"/>
    <w:rsid w:val="00377D18"/>
    <w:rsid w:val="00377D34"/>
    <w:rsid w:val="00377F97"/>
    <w:rsid w:val="003800C3"/>
    <w:rsid w:val="003800F3"/>
    <w:rsid w:val="00380107"/>
    <w:rsid w:val="0038017E"/>
    <w:rsid w:val="0038049F"/>
    <w:rsid w:val="00380602"/>
    <w:rsid w:val="00380820"/>
    <w:rsid w:val="003808B1"/>
    <w:rsid w:val="00380958"/>
    <w:rsid w:val="00380C37"/>
    <w:rsid w:val="00380D94"/>
    <w:rsid w:val="00380E3D"/>
    <w:rsid w:val="00380E6C"/>
    <w:rsid w:val="00380FEE"/>
    <w:rsid w:val="00381010"/>
    <w:rsid w:val="00381083"/>
    <w:rsid w:val="00381143"/>
    <w:rsid w:val="00381244"/>
    <w:rsid w:val="00381623"/>
    <w:rsid w:val="00381887"/>
    <w:rsid w:val="003818C2"/>
    <w:rsid w:val="00381AA3"/>
    <w:rsid w:val="00381B38"/>
    <w:rsid w:val="00381D05"/>
    <w:rsid w:val="00382107"/>
    <w:rsid w:val="00382115"/>
    <w:rsid w:val="0038227E"/>
    <w:rsid w:val="003823C0"/>
    <w:rsid w:val="00382431"/>
    <w:rsid w:val="00382433"/>
    <w:rsid w:val="00382565"/>
    <w:rsid w:val="0038266A"/>
    <w:rsid w:val="00382717"/>
    <w:rsid w:val="00382786"/>
    <w:rsid w:val="00383037"/>
    <w:rsid w:val="00383056"/>
    <w:rsid w:val="003832C9"/>
    <w:rsid w:val="0038338C"/>
    <w:rsid w:val="003833EF"/>
    <w:rsid w:val="0038343E"/>
    <w:rsid w:val="003834AE"/>
    <w:rsid w:val="003834E0"/>
    <w:rsid w:val="00383619"/>
    <w:rsid w:val="0038367E"/>
    <w:rsid w:val="003836E5"/>
    <w:rsid w:val="0038382A"/>
    <w:rsid w:val="00383868"/>
    <w:rsid w:val="0038390A"/>
    <w:rsid w:val="003839A1"/>
    <w:rsid w:val="00383A24"/>
    <w:rsid w:val="00383D0F"/>
    <w:rsid w:val="00383E16"/>
    <w:rsid w:val="00383E18"/>
    <w:rsid w:val="00383F39"/>
    <w:rsid w:val="0038403C"/>
    <w:rsid w:val="003840D2"/>
    <w:rsid w:val="003841F9"/>
    <w:rsid w:val="00384208"/>
    <w:rsid w:val="0038424C"/>
    <w:rsid w:val="00384328"/>
    <w:rsid w:val="003844EA"/>
    <w:rsid w:val="00384655"/>
    <w:rsid w:val="00384710"/>
    <w:rsid w:val="0038478F"/>
    <w:rsid w:val="003847C9"/>
    <w:rsid w:val="00384D6E"/>
    <w:rsid w:val="00384F51"/>
    <w:rsid w:val="0038532E"/>
    <w:rsid w:val="003853F4"/>
    <w:rsid w:val="003858CF"/>
    <w:rsid w:val="003859EE"/>
    <w:rsid w:val="00385B3B"/>
    <w:rsid w:val="00385DF5"/>
    <w:rsid w:val="003861C7"/>
    <w:rsid w:val="0038628C"/>
    <w:rsid w:val="00386372"/>
    <w:rsid w:val="00386425"/>
    <w:rsid w:val="003866A2"/>
    <w:rsid w:val="00386A65"/>
    <w:rsid w:val="00386C28"/>
    <w:rsid w:val="00386C88"/>
    <w:rsid w:val="00386E0D"/>
    <w:rsid w:val="00386FBA"/>
    <w:rsid w:val="00387052"/>
    <w:rsid w:val="00387117"/>
    <w:rsid w:val="00387214"/>
    <w:rsid w:val="0038744B"/>
    <w:rsid w:val="003876FD"/>
    <w:rsid w:val="0038771A"/>
    <w:rsid w:val="00387902"/>
    <w:rsid w:val="00387BAD"/>
    <w:rsid w:val="00387BE0"/>
    <w:rsid w:val="00387E3F"/>
    <w:rsid w:val="00387E93"/>
    <w:rsid w:val="00387FB4"/>
    <w:rsid w:val="003900E4"/>
    <w:rsid w:val="00390212"/>
    <w:rsid w:val="003903E6"/>
    <w:rsid w:val="00390906"/>
    <w:rsid w:val="003909F7"/>
    <w:rsid w:val="00390B26"/>
    <w:rsid w:val="00390D6D"/>
    <w:rsid w:val="00391193"/>
    <w:rsid w:val="00391212"/>
    <w:rsid w:val="003916CD"/>
    <w:rsid w:val="003917ED"/>
    <w:rsid w:val="00391853"/>
    <w:rsid w:val="00391973"/>
    <w:rsid w:val="00391AF2"/>
    <w:rsid w:val="00391BBB"/>
    <w:rsid w:val="00391C4E"/>
    <w:rsid w:val="00391E6B"/>
    <w:rsid w:val="0039201C"/>
    <w:rsid w:val="003922B9"/>
    <w:rsid w:val="003922D1"/>
    <w:rsid w:val="003923AE"/>
    <w:rsid w:val="0039269F"/>
    <w:rsid w:val="003927CF"/>
    <w:rsid w:val="0039287D"/>
    <w:rsid w:val="00392AAF"/>
    <w:rsid w:val="00392B69"/>
    <w:rsid w:val="00392C3A"/>
    <w:rsid w:val="0039307A"/>
    <w:rsid w:val="0039318B"/>
    <w:rsid w:val="003931CF"/>
    <w:rsid w:val="0039343E"/>
    <w:rsid w:val="0039346A"/>
    <w:rsid w:val="00393474"/>
    <w:rsid w:val="00393497"/>
    <w:rsid w:val="0039351B"/>
    <w:rsid w:val="0039352A"/>
    <w:rsid w:val="00393841"/>
    <w:rsid w:val="0039391A"/>
    <w:rsid w:val="00393E24"/>
    <w:rsid w:val="00393F20"/>
    <w:rsid w:val="00393FD1"/>
    <w:rsid w:val="0039423D"/>
    <w:rsid w:val="00394355"/>
    <w:rsid w:val="0039442B"/>
    <w:rsid w:val="003944D7"/>
    <w:rsid w:val="003944E7"/>
    <w:rsid w:val="0039452B"/>
    <w:rsid w:val="00394613"/>
    <w:rsid w:val="00394715"/>
    <w:rsid w:val="00394835"/>
    <w:rsid w:val="0039507A"/>
    <w:rsid w:val="00395189"/>
    <w:rsid w:val="0039522F"/>
    <w:rsid w:val="003953F4"/>
    <w:rsid w:val="00395569"/>
    <w:rsid w:val="0039560D"/>
    <w:rsid w:val="00395685"/>
    <w:rsid w:val="003958FE"/>
    <w:rsid w:val="003959D6"/>
    <w:rsid w:val="00395A7F"/>
    <w:rsid w:val="00395B75"/>
    <w:rsid w:val="00395CE2"/>
    <w:rsid w:val="00395EC8"/>
    <w:rsid w:val="00395ECC"/>
    <w:rsid w:val="00396119"/>
    <w:rsid w:val="003963A7"/>
    <w:rsid w:val="003963CB"/>
    <w:rsid w:val="0039646B"/>
    <w:rsid w:val="0039656C"/>
    <w:rsid w:val="0039668D"/>
    <w:rsid w:val="003966E6"/>
    <w:rsid w:val="003967DE"/>
    <w:rsid w:val="00396880"/>
    <w:rsid w:val="003969F6"/>
    <w:rsid w:val="00396A48"/>
    <w:rsid w:val="00396AE7"/>
    <w:rsid w:val="00396AEE"/>
    <w:rsid w:val="00396E28"/>
    <w:rsid w:val="00396E6C"/>
    <w:rsid w:val="00396F06"/>
    <w:rsid w:val="00396F59"/>
    <w:rsid w:val="00397174"/>
    <w:rsid w:val="00397247"/>
    <w:rsid w:val="0039757D"/>
    <w:rsid w:val="00397949"/>
    <w:rsid w:val="003979D4"/>
    <w:rsid w:val="003979D8"/>
    <w:rsid w:val="00397ABF"/>
    <w:rsid w:val="00397B2A"/>
    <w:rsid w:val="00397B32"/>
    <w:rsid w:val="00397B9C"/>
    <w:rsid w:val="003A001A"/>
    <w:rsid w:val="003A004B"/>
    <w:rsid w:val="003A05BC"/>
    <w:rsid w:val="003A0A1F"/>
    <w:rsid w:val="003A0D8D"/>
    <w:rsid w:val="003A0F48"/>
    <w:rsid w:val="003A1191"/>
    <w:rsid w:val="003A1276"/>
    <w:rsid w:val="003A1326"/>
    <w:rsid w:val="003A1592"/>
    <w:rsid w:val="003A17B0"/>
    <w:rsid w:val="003A1818"/>
    <w:rsid w:val="003A196F"/>
    <w:rsid w:val="003A1A6D"/>
    <w:rsid w:val="003A1D76"/>
    <w:rsid w:val="003A1E6B"/>
    <w:rsid w:val="003A1FF8"/>
    <w:rsid w:val="003A2055"/>
    <w:rsid w:val="003A210A"/>
    <w:rsid w:val="003A2260"/>
    <w:rsid w:val="003A249E"/>
    <w:rsid w:val="003A332E"/>
    <w:rsid w:val="003A3516"/>
    <w:rsid w:val="003A3887"/>
    <w:rsid w:val="003A3910"/>
    <w:rsid w:val="003A3B13"/>
    <w:rsid w:val="003A3B9A"/>
    <w:rsid w:val="003A3BBA"/>
    <w:rsid w:val="003A3C08"/>
    <w:rsid w:val="003A3EBC"/>
    <w:rsid w:val="003A41B6"/>
    <w:rsid w:val="003A42B7"/>
    <w:rsid w:val="003A44E3"/>
    <w:rsid w:val="003A44EF"/>
    <w:rsid w:val="003A4872"/>
    <w:rsid w:val="003A4C64"/>
    <w:rsid w:val="003A4E15"/>
    <w:rsid w:val="003A5187"/>
    <w:rsid w:val="003A5285"/>
    <w:rsid w:val="003A52B3"/>
    <w:rsid w:val="003A54ED"/>
    <w:rsid w:val="003A57DD"/>
    <w:rsid w:val="003A586F"/>
    <w:rsid w:val="003A58F1"/>
    <w:rsid w:val="003A591A"/>
    <w:rsid w:val="003A5B75"/>
    <w:rsid w:val="003A61F3"/>
    <w:rsid w:val="003A6242"/>
    <w:rsid w:val="003A6375"/>
    <w:rsid w:val="003A6861"/>
    <w:rsid w:val="003A6C86"/>
    <w:rsid w:val="003A6DE9"/>
    <w:rsid w:val="003A6DFE"/>
    <w:rsid w:val="003A6E4C"/>
    <w:rsid w:val="003A6F04"/>
    <w:rsid w:val="003A7275"/>
    <w:rsid w:val="003A732D"/>
    <w:rsid w:val="003A73C2"/>
    <w:rsid w:val="003A75A1"/>
    <w:rsid w:val="003A767E"/>
    <w:rsid w:val="003A78F3"/>
    <w:rsid w:val="003A793E"/>
    <w:rsid w:val="003A7955"/>
    <w:rsid w:val="003A7BFB"/>
    <w:rsid w:val="003A7CD3"/>
    <w:rsid w:val="003A7F8B"/>
    <w:rsid w:val="003B002D"/>
    <w:rsid w:val="003B00B8"/>
    <w:rsid w:val="003B01C0"/>
    <w:rsid w:val="003B04AD"/>
    <w:rsid w:val="003B04BA"/>
    <w:rsid w:val="003B072C"/>
    <w:rsid w:val="003B07B5"/>
    <w:rsid w:val="003B07BC"/>
    <w:rsid w:val="003B07E7"/>
    <w:rsid w:val="003B086F"/>
    <w:rsid w:val="003B0AB4"/>
    <w:rsid w:val="003B0B0B"/>
    <w:rsid w:val="003B0CB0"/>
    <w:rsid w:val="003B0D42"/>
    <w:rsid w:val="003B0DF2"/>
    <w:rsid w:val="003B0FA3"/>
    <w:rsid w:val="003B0FEC"/>
    <w:rsid w:val="003B123C"/>
    <w:rsid w:val="003B131C"/>
    <w:rsid w:val="003B13CE"/>
    <w:rsid w:val="003B1443"/>
    <w:rsid w:val="003B14BD"/>
    <w:rsid w:val="003B169A"/>
    <w:rsid w:val="003B1701"/>
    <w:rsid w:val="003B1885"/>
    <w:rsid w:val="003B1920"/>
    <w:rsid w:val="003B25ED"/>
    <w:rsid w:val="003B279D"/>
    <w:rsid w:val="003B2922"/>
    <w:rsid w:val="003B2ADF"/>
    <w:rsid w:val="003B3186"/>
    <w:rsid w:val="003B347D"/>
    <w:rsid w:val="003B34A8"/>
    <w:rsid w:val="003B34B5"/>
    <w:rsid w:val="003B36FA"/>
    <w:rsid w:val="003B37DD"/>
    <w:rsid w:val="003B3835"/>
    <w:rsid w:val="003B3C1A"/>
    <w:rsid w:val="003B3D87"/>
    <w:rsid w:val="003B3D8A"/>
    <w:rsid w:val="003B3E93"/>
    <w:rsid w:val="003B406C"/>
    <w:rsid w:val="003B42DC"/>
    <w:rsid w:val="003B499A"/>
    <w:rsid w:val="003B4C24"/>
    <w:rsid w:val="003B4CDA"/>
    <w:rsid w:val="003B4D07"/>
    <w:rsid w:val="003B4E07"/>
    <w:rsid w:val="003B4EBE"/>
    <w:rsid w:val="003B4F89"/>
    <w:rsid w:val="003B566D"/>
    <w:rsid w:val="003B56B3"/>
    <w:rsid w:val="003B59D4"/>
    <w:rsid w:val="003B5A5C"/>
    <w:rsid w:val="003B5BF5"/>
    <w:rsid w:val="003B5C7A"/>
    <w:rsid w:val="003B5FB8"/>
    <w:rsid w:val="003B60B6"/>
    <w:rsid w:val="003B62CB"/>
    <w:rsid w:val="003B63A8"/>
    <w:rsid w:val="003B6401"/>
    <w:rsid w:val="003B64BB"/>
    <w:rsid w:val="003B64EE"/>
    <w:rsid w:val="003B64FF"/>
    <w:rsid w:val="003B65BD"/>
    <w:rsid w:val="003B6757"/>
    <w:rsid w:val="003B67C8"/>
    <w:rsid w:val="003B6A54"/>
    <w:rsid w:val="003B6A8E"/>
    <w:rsid w:val="003B6DC5"/>
    <w:rsid w:val="003B6E95"/>
    <w:rsid w:val="003B70F0"/>
    <w:rsid w:val="003B7159"/>
    <w:rsid w:val="003B733B"/>
    <w:rsid w:val="003B7653"/>
    <w:rsid w:val="003B774F"/>
    <w:rsid w:val="003B785A"/>
    <w:rsid w:val="003B7974"/>
    <w:rsid w:val="003B7C8C"/>
    <w:rsid w:val="003B7E0C"/>
    <w:rsid w:val="003B7ECF"/>
    <w:rsid w:val="003B7F13"/>
    <w:rsid w:val="003C0002"/>
    <w:rsid w:val="003C0199"/>
    <w:rsid w:val="003C01BD"/>
    <w:rsid w:val="003C0287"/>
    <w:rsid w:val="003C028D"/>
    <w:rsid w:val="003C03D8"/>
    <w:rsid w:val="003C04C7"/>
    <w:rsid w:val="003C04E8"/>
    <w:rsid w:val="003C07D0"/>
    <w:rsid w:val="003C0882"/>
    <w:rsid w:val="003C090C"/>
    <w:rsid w:val="003C0958"/>
    <w:rsid w:val="003C0A43"/>
    <w:rsid w:val="003C0B06"/>
    <w:rsid w:val="003C1177"/>
    <w:rsid w:val="003C127F"/>
    <w:rsid w:val="003C13B7"/>
    <w:rsid w:val="003C15E9"/>
    <w:rsid w:val="003C17EE"/>
    <w:rsid w:val="003C18E8"/>
    <w:rsid w:val="003C1AAE"/>
    <w:rsid w:val="003C1B3B"/>
    <w:rsid w:val="003C1B84"/>
    <w:rsid w:val="003C1E2F"/>
    <w:rsid w:val="003C2080"/>
    <w:rsid w:val="003C2428"/>
    <w:rsid w:val="003C2A6C"/>
    <w:rsid w:val="003C3073"/>
    <w:rsid w:val="003C31C7"/>
    <w:rsid w:val="003C3341"/>
    <w:rsid w:val="003C3521"/>
    <w:rsid w:val="003C3537"/>
    <w:rsid w:val="003C3673"/>
    <w:rsid w:val="003C3B2B"/>
    <w:rsid w:val="003C3B68"/>
    <w:rsid w:val="003C3B83"/>
    <w:rsid w:val="003C3C96"/>
    <w:rsid w:val="003C3CCF"/>
    <w:rsid w:val="003C4092"/>
    <w:rsid w:val="003C429E"/>
    <w:rsid w:val="003C43D0"/>
    <w:rsid w:val="003C4459"/>
    <w:rsid w:val="003C4579"/>
    <w:rsid w:val="003C4586"/>
    <w:rsid w:val="003C4B35"/>
    <w:rsid w:val="003C4C93"/>
    <w:rsid w:val="003C4FB3"/>
    <w:rsid w:val="003C50B4"/>
    <w:rsid w:val="003C552D"/>
    <w:rsid w:val="003C5588"/>
    <w:rsid w:val="003C586B"/>
    <w:rsid w:val="003C58E2"/>
    <w:rsid w:val="003C595A"/>
    <w:rsid w:val="003C5CEB"/>
    <w:rsid w:val="003C6024"/>
    <w:rsid w:val="003C617C"/>
    <w:rsid w:val="003C61E7"/>
    <w:rsid w:val="003C61E9"/>
    <w:rsid w:val="003C6439"/>
    <w:rsid w:val="003C69E7"/>
    <w:rsid w:val="003C6C7E"/>
    <w:rsid w:val="003C6E96"/>
    <w:rsid w:val="003C6F2D"/>
    <w:rsid w:val="003C757D"/>
    <w:rsid w:val="003C75FF"/>
    <w:rsid w:val="003C7689"/>
    <w:rsid w:val="003C776F"/>
    <w:rsid w:val="003C78B6"/>
    <w:rsid w:val="003C7957"/>
    <w:rsid w:val="003C79DE"/>
    <w:rsid w:val="003C7B49"/>
    <w:rsid w:val="003C7B4B"/>
    <w:rsid w:val="003C7B62"/>
    <w:rsid w:val="003C7CD6"/>
    <w:rsid w:val="003C7D3A"/>
    <w:rsid w:val="003C7FD2"/>
    <w:rsid w:val="003D027C"/>
    <w:rsid w:val="003D03E3"/>
    <w:rsid w:val="003D051B"/>
    <w:rsid w:val="003D082A"/>
    <w:rsid w:val="003D085D"/>
    <w:rsid w:val="003D0877"/>
    <w:rsid w:val="003D0A45"/>
    <w:rsid w:val="003D0D6F"/>
    <w:rsid w:val="003D0E67"/>
    <w:rsid w:val="003D104C"/>
    <w:rsid w:val="003D1478"/>
    <w:rsid w:val="003D154C"/>
    <w:rsid w:val="003D159C"/>
    <w:rsid w:val="003D165E"/>
    <w:rsid w:val="003D1779"/>
    <w:rsid w:val="003D18BA"/>
    <w:rsid w:val="003D1969"/>
    <w:rsid w:val="003D1BCE"/>
    <w:rsid w:val="003D2018"/>
    <w:rsid w:val="003D2064"/>
    <w:rsid w:val="003D2075"/>
    <w:rsid w:val="003D2175"/>
    <w:rsid w:val="003D235D"/>
    <w:rsid w:val="003D25A1"/>
    <w:rsid w:val="003D26CD"/>
    <w:rsid w:val="003D2741"/>
    <w:rsid w:val="003D30A0"/>
    <w:rsid w:val="003D30E3"/>
    <w:rsid w:val="003D314C"/>
    <w:rsid w:val="003D31B5"/>
    <w:rsid w:val="003D3370"/>
    <w:rsid w:val="003D3457"/>
    <w:rsid w:val="003D3480"/>
    <w:rsid w:val="003D34A9"/>
    <w:rsid w:val="003D36E2"/>
    <w:rsid w:val="003D38A0"/>
    <w:rsid w:val="003D3BFD"/>
    <w:rsid w:val="003D3EEA"/>
    <w:rsid w:val="003D4008"/>
    <w:rsid w:val="003D421A"/>
    <w:rsid w:val="003D428D"/>
    <w:rsid w:val="003D444A"/>
    <w:rsid w:val="003D44B3"/>
    <w:rsid w:val="003D44C0"/>
    <w:rsid w:val="003D46CC"/>
    <w:rsid w:val="003D4816"/>
    <w:rsid w:val="003D4C80"/>
    <w:rsid w:val="003D5224"/>
    <w:rsid w:val="003D525A"/>
    <w:rsid w:val="003D5521"/>
    <w:rsid w:val="003D5F6E"/>
    <w:rsid w:val="003D63FD"/>
    <w:rsid w:val="003D6447"/>
    <w:rsid w:val="003D6815"/>
    <w:rsid w:val="003D6A84"/>
    <w:rsid w:val="003D6AAA"/>
    <w:rsid w:val="003D6E53"/>
    <w:rsid w:val="003D6E77"/>
    <w:rsid w:val="003D7063"/>
    <w:rsid w:val="003D70F1"/>
    <w:rsid w:val="003D7310"/>
    <w:rsid w:val="003D7483"/>
    <w:rsid w:val="003D7646"/>
    <w:rsid w:val="003D79EB"/>
    <w:rsid w:val="003D7A75"/>
    <w:rsid w:val="003D7BF9"/>
    <w:rsid w:val="003D7CD7"/>
    <w:rsid w:val="003E047A"/>
    <w:rsid w:val="003E06E4"/>
    <w:rsid w:val="003E0739"/>
    <w:rsid w:val="003E082B"/>
    <w:rsid w:val="003E096F"/>
    <w:rsid w:val="003E09DC"/>
    <w:rsid w:val="003E0C1A"/>
    <w:rsid w:val="003E0C4D"/>
    <w:rsid w:val="003E0E2B"/>
    <w:rsid w:val="003E0F3B"/>
    <w:rsid w:val="003E0F77"/>
    <w:rsid w:val="003E0FE8"/>
    <w:rsid w:val="003E1053"/>
    <w:rsid w:val="003E106F"/>
    <w:rsid w:val="003E11B3"/>
    <w:rsid w:val="003E11E5"/>
    <w:rsid w:val="003E12A9"/>
    <w:rsid w:val="003E197D"/>
    <w:rsid w:val="003E1C1C"/>
    <w:rsid w:val="003E1EEE"/>
    <w:rsid w:val="003E1F2B"/>
    <w:rsid w:val="003E202D"/>
    <w:rsid w:val="003E2050"/>
    <w:rsid w:val="003E25AC"/>
    <w:rsid w:val="003E29CA"/>
    <w:rsid w:val="003E2C68"/>
    <w:rsid w:val="003E32EE"/>
    <w:rsid w:val="003E3551"/>
    <w:rsid w:val="003E35F7"/>
    <w:rsid w:val="003E37A4"/>
    <w:rsid w:val="003E3A99"/>
    <w:rsid w:val="003E3AF8"/>
    <w:rsid w:val="003E3B1B"/>
    <w:rsid w:val="003E3B6A"/>
    <w:rsid w:val="003E3FEA"/>
    <w:rsid w:val="003E3FED"/>
    <w:rsid w:val="003E4018"/>
    <w:rsid w:val="003E423E"/>
    <w:rsid w:val="003E4279"/>
    <w:rsid w:val="003E43D2"/>
    <w:rsid w:val="003E444F"/>
    <w:rsid w:val="003E44DB"/>
    <w:rsid w:val="003E4619"/>
    <w:rsid w:val="003E4679"/>
    <w:rsid w:val="003E498F"/>
    <w:rsid w:val="003E4BC0"/>
    <w:rsid w:val="003E4D46"/>
    <w:rsid w:val="003E4FB7"/>
    <w:rsid w:val="003E4FBA"/>
    <w:rsid w:val="003E5227"/>
    <w:rsid w:val="003E5338"/>
    <w:rsid w:val="003E555F"/>
    <w:rsid w:val="003E5604"/>
    <w:rsid w:val="003E57C6"/>
    <w:rsid w:val="003E5857"/>
    <w:rsid w:val="003E5993"/>
    <w:rsid w:val="003E59B7"/>
    <w:rsid w:val="003E59D2"/>
    <w:rsid w:val="003E5A46"/>
    <w:rsid w:val="003E5B6F"/>
    <w:rsid w:val="003E5D60"/>
    <w:rsid w:val="003E5FB4"/>
    <w:rsid w:val="003E60BE"/>
    <w:rsid w:val="003E62DD"/>
    <w:rsid w:val="003E648C"/>
    <w:rsid w:val="003E656F"/>
    <w:rsid w:val="003E6662"/>
    <w:rsid w:val="003E6681"/>
    <w:rsid w:val="003E67CF"/>
    <w:rsid w:val="003E67E1"/>
    <w:rsid w:val="003E6810"/>
    <w:rsid w:val="003E681E"/>
    <w:rsid w:val="003E684D"/>
    <w:rsid w:val="003E6B40"/>
    <w:rsid w:val="003E6D58"/>
    <w:rsid w:val="003E6F59"/>
    <w:rsid w:val="003E6F83"/>
    <w:rsid w:val="003E7156"/>
    <w:rsid w:val="003E746A"/>
    <w:rsid w:val="003E7513"/>
    <w:rsid w:val="003E7694"/>
    <w:rsid w:val="003E7739"/>
    <w:rsid w:val="003E777F"/>
    <w:rsid w:val="003E7963"/>
    <w:rsid w:val="003E7A43"/>
    <w:rsid w:val="003E7AB7"/>
    <w:rsid w:val="003E7D2C"/>
    <w:rsid w:val="003E7E79"/>
    <w:rsid w:val="003F0253"/>
    <w:rsid w:val="003F02E1"/>
    <w:rsid w:val="003F0494"/>
    <w:rsid w:val="003F08E7"/>
    <w:rsid w:val="003F0974"/>
    <w:rsid w:val="003F09C6"/>
    <w:rsid w:val="003F0F5E"/>
    <w:rsid w:val="003F0FF6"/>
    <w:rsid w:val="003F1381"/>
    <w:rsid w:val="003F147E"/>
    <w:rsid w:val="003F1B28"/>
    <w:rsid w:val="003F1F6E"/>
    <w:rsid w:val="003F1F6F"/>
    <w:rsid w:val="003F206C"/>
    <w:rsid w:val="003F2135"/>
    <w:rsid w:val="003F2220"/>
    <w:rsid w:val="003F231F"/>
    <w:rsid w:val="003F2574"/>
    <w:rsid w:val="003F25F8"/>
    <w:rsid w:val="003F25FD"/>
    <w:rsid w:val="003F2699"/>
    <w:rsid w:val="003F26EA"/>
    <w:rsid w:val="003F2749"/>
    <w:rsid w:val="003F29BB"/>
    <w:rsid w:val="003F2A09"/>
    <w:rsid w:val="003F2AC5"/>
    <w:rsid w:val="003F2B49"/>
    <w:rsid w:val="003F2D56"/>
    <w:rsid w:val="003F2E85"/>
    <w:rsid w:val="003F3033"/>
    <w:rsid w:val="003F30C0"/>
    <w:rsid w:val="003F3180"/>
    <w:rsid w:val="003F32CA"/>
    <w:rsid w:val="003F3447"/>
    <w:rsid w:val="003F3524"/>
    <w:rsid w:val="003F3ACC"/>
    <w:rsid w:val="003F3B15"/>
    <w:rsid w:val="003F3B85"/>
    <w:rsid w:val="003F3CA5"/>
    <w:rsid w:val="003F3CDB"/>
    <w:rsid w:val="003F3EB9"/>
    <w:rsid w:val="003F3F41"/>
    <w:rsid w:val="003F4287"/>
    <w:rsid w:val="003F43FE"/>
    <w:rsid w:val="003F4525"/>
    <w:rsid w:val="003F464E"/>
    <w:rsid w:val="003F4733"/>
    <w:rsid w:val="003F494E"/>
    <w:rsid w:val="003F4F30"/>
    <w:rsid w:val="003F4FF7"/>
    <w:rsid w:val="003F50CD"/>
    <w:rsid w:val="003F527D"/>
    <w:rsid w:val="003F5370"/>
    <w:rsid w:val="003F548F"/>
    <w:rsid w:val="003F5715"/>
    <w:rsid w:val="003F58AD"/>
    <w:rsid w:val="003F5AB3"/>
    <w:rsid w:val="003F5AFD"/>
    <w:rsid w:val="003F5B11"/>
    <w:rsid w:val="003F5B77"/>
    <w:rsid w:val="003F5BAE"/>
    <w:rsid w:val="003F6116"/>
    <w:rsid w:val="003F61C1"/>
    <w:rsid w:val="003F64D9"/>
    <w:rsid w:val="003F6513"/>
    <w:rsid w:val="003F6856"/>
    <w:rsid w:val="003F6DA9"/>
    <w:rsid w:val="003F712F"/>
    <w:rsid w:val="003F716F"/>
    <w:rsid w:val="003F7613"/>
    <w:rsid w:val="003F7845"/>
    <w:rsid w:val="003F796D"/>
    <w:rsid w:val="003F7AA9"/>
    <w:rsid w:val="003F7B43"/>
    <w:rsid w:val="003F7C03"/>
    <w:rsid w:val="003F7D08"/>
    <w:rsid w:val="003F7EAE"/>
    <w:rsid w:val="003F7EC2"/>
    <w:rsid w:val="00400310"/>
    <w:rsid w:val="004004F5"/>
    <w:rsid w:val="00400698"/>
    <w:rsid w:val="00400718"/>
    <w:rsid w:val="0040096C"/>
    <w:rsid w:val="00400A08"/>
    <w:rsid w:val="00400B82"/>
    <w:rsid w:val="00400BA5"/>
    <w:rsid w:val="00400C6C"/>
    <w:rsid w:val="00400F0F"/>
    <w:rsid w:val="00401025"/>
    <w:rsid w:val="00401057"/>
    <w:rsid w:val="004011D5"/>
    <w:rsid w:val="00401262"/>
    <w:rsid w:val="0040135B"/>
    <w:rsid w:val="00401469"/>
    <w:rsid w:val="004014F9"/>
    <w:rsid w:val="004016A2"/>
    <w:rsid w:val="004017B6"/>
    <w:rsid w:val="0040184E"/>
    <w:rsid w:val="00401AC4"/>
    <w:rsid w:val="00401B51"/>
    <w:rsid w:val="00401C6C"/>
    <w:rsid w:val="00401E6D"/>
    <w:rsid w:val="004022DE"/>
    <w:rsid w:val="00402305"/>
    <w:rsid w:val="00402889"/>
    <w:rsid w:val="00402A0B"/>
    <w:rsid w:val="00402AA1"/>
    <w:rsid w:val="00402BBE"/>
    <w:rsid w:val="00402BFB"/>
    <w:rsid w:val="00402E24"/>
    <w:rsid w:val="004032A6"/>
    <w:rsid w:val="00403421"/>
    <w:rsid w:val="00403506"/>
    <w:rsid w:val="00403657"/>
    <w:rsid w:val="004036A1"/>
    <w:rsid w:val="00403795"/>
    <w:rsid w:val="004038D1"/>
    <w:rsid w:val="00403A0B"/>
    <w:rsid w:val="00403B6E"/>
    <w:rsid w:val="00403C10"/>
    <w:rsid w:val="00403C63"/>
    <w:rsid w:val="00403E5D"/>
    <w:rsid w:val="00403EAF"/>
    <w:rsid w:val="00404711"/>
    <w:rsid w:val="00404879"/>
    <w:rsid w:val="0040498A"/>
    <w:rsid w:val="00404A38"/>
    <w:rsid w:val="00404AC5"/>
    <w:rsid w:val="00405087"/>
    <w:rsid w:val="0040510B"/>
    <w:rsid w:val="00405276"/>
    <w:rsid w:val="004052E1"/>
    <w:rsid w:val="00405383"/>
    <w:rsid w:val="00405667"/>
    <w:rsid w:val="004057F8"/>
    <w:rsid w:val="004058E4"/>
    <w:rsid w:val="004059DB"/>
    <w:rsid w:val="00405B64"/>
    <w:rsid w:val="00405C38"/>
    <w:rsid w:val="00405C3F"/>
    <w:rsid w:val="00405E23"/>
    <w:rsid w:val="00406048"/>
    <w:rsid w:val="00406293"/>
    <w:rsid w:val="00406568"/>
    <w:rsid w:val="00406A47"/>
    <w:rsid w:val="00406C6E"/>
    <w:rsid w:val="00406D88"/>
    <w:rsid w:val="00406E7D"/>
    <w:rsid w:val="004071E3"/>
    <w:rsid w:val="00407236"/>
    <w:rsid w:val="004072C1"/>
    <w:rsid w:val="00407800"/>
    <w:rsid w:val="00407957"/>
    <w:rsid w:val="00407EBF"/>
    <w:rsid w:val="00410573"/>
    <w:rsid w:val="00410838"/>
    <w:rsid w:val="00410914"/>
    <w:rsid w:val="004109D3"/>
    <w:rsid w:val="004109E8"/>
    <w:rsid w:val="00410A16"/>
    <w:rsid w:val="00410C59"/>
    <w:rsid w:val="00410C5F"/>
    <w:rsid w:val="00410CA3"/>
    <w:rsid w:val="00410E1D"/>
    <w:rsid w:val="00410F26"/>
    <w:rsid w:val="004111B8"/>
    <w:rsid w:val="00411205"/>
    <w:rsid w:val="0041168E"/>
    <w:rsid w:val="00411694"/>
    <w:rsid w:val="004116B5"/>
    <w:rsid w:val="00411967"/>
    <w:rsid w:val="00411D34"/>
    <w:rsid w:val="00411D70"/>
    <w:rsid w:val="004122B7"/>
    <w:rsid w:val="004127B5"/>
    <w:rsid w:val="00412843"/>
    <w:rsid w:val="00412877"/>
    <w:rsid w:val="00412902"/>
    <w:rsid w:val="00412AC7"/>
    <w:rsid w:val="00412CBB"/>
    <w:rsid w:val="00412E82"/>
    <w:rsid w:val="004130A4"/>
    <w:rsid w:val="004136A4"/>
    <w:rsid w:val="004138DB"/>
    <w:rsid w:val="00413950"/>
    <w:rsid w:val="004139FA"/>
    <w:rsid w:val="00413A5B"/>
    <w:rsid w:val="00413D69"/>
    <w:rsid w:val="00413DAD"/>
    <w:rsid w:val="00413E1D"/>
    <w:rsid w:val="00413F2B"/>
    <w:rsid w:val="00414375"/>
    <w:rsid w:val="0041456C"/>
    <w:rsid w:val="0041494C"/>
    <w:rsid w:val="00414A17"/>
    <w:rsid w:val="00414A61"/>
    <w:rsid w:val="00414B3B"/>
    <w:rsid w:val="00414BDE"/>
    <w:rsid w:val="00414CCA"/>
    <w:rsid w:val="00414D5A"/>
    <w:rsid w:val="00414E6B"/>
    <w:rsid w:val="00414EB2"/>
    <w:rsid w:val="00414FDC"/>
    <w:rsid w:val="004151F0"/>
    <w:rsid w:val="004153A9"/>
    <w:rsid w:val="00415608"/>
    <w:rsid w:val="0041566A"/>
    <w:rsid w:val="00415697"/>
    <w:rsid w:val="004156F3"/>
    <w:rsid w:val="004158FF"/>
    <w:rsid w:val="00415B0D"/>
    <w:rsid w:val="00415C94"/>
    <w:rsid w:val="00415D29"/>
    <w:rsid w:val="00415DA7"/>
    <w:rsid w:val="00415EB3"/>
    <w:rsid w:val="00416034"/>
    <w:rsid w:val="00416085"/>
    <w:rsid w:val="004160E8"/>
    <w:rsid w:val="00416177"/>
    <w:rsid w:val="004161B3"/>
    <w:rsid w:val="004162BC"/>
    <w:rsid w:val="004165FA"/>
    <w:rsid w:val="00416870"/>
    <w:rsid w:val="00416904"/>
    <w:rsid w:val="00416AB4"/>
    <w:rsid w:val="00416D90"/>
    <w:rsid w:val="004170E4"/>
    <w:rsid w:val="004171FA"/>
    <w:rsid w:val="00417247"/>
    <w:rsid w:val="00417270"/>
    <w:rsid w:val="00417279"/>
    <w:rsid w:val="00417394"/>
    <w:rsid w:val="00417461"/>
    <w:rsid w:val="004176A2"/>
    <w:rsid w:val="0041791A"/>
    <w:rsid w:val="00417EB7"/>
    <w:rsid w:val="004200B2"/>
    <w:rsid w:val="00420201"/>
    <w:rsid w:val="0042062E"/>
    <w:rsid w:val="00420688"/>
    <w:rsid w:val="004208BA"/>
    <w:rsid w:val="004208DE"/>
    <w:rsid w:val="00420A24"/>
    <w:rsid w:val="00420AE5"/>
    <w:rsid w:val="00420AFA"/>
    <w:rsid w:val="00420B73"/>
    <w:rsid w:val="00420BBF"/>
    <w:rsid w:val="00420EF8"/>
    <w:rsid w:val="00421156"/>
    <w:rsid w:val="004211CD"/>
    <w:rsid w:val="004214A9"/>
    <w:rsid w:val="00421582"/>
    <w:rsid w:val="004215FF"/>
    <w:rsid w:val="004217DC"/>
    <w:rsid w:val="00421A98"/>
    <w:rsid w:val="00421AF1"/>
    <w:rsid w:val="00421D5B"/>
    <w:rsid w:val="0042244E"/>
    <w:rsid w:val="004226B4"/>
    <w:rsid w:val="0042276D"/>
    <w:rsid w:val="00422822"/>
    <w:rsid w:val="00422861"/>
    <w:rsid w:val="00422BD1"/>
    <w:rsid w:val="00422E07"/>
    <w:rsid w:val="00422E75"/>
    <w:rsid w:val="00422F85"/>
    <w:rsid w:val="004232E2"/>
    <w:rsid w:val="0042371E"/>
    <w:rsid w:val="004238F6"/>
    <w:rsid w:val="00423921"/>
    <w:rsid w:val="00423A1C"/>
    <w:rsid w:val="00423B95"/>
    <w:rsid w:val="00423C9E"/>
    <w:rsid w:val="00423DDB"/>
    <w:rsid w:val="00424127"/>
    <w:rsid w:val="00424130"/>
    <w:rsid w:val="00424205"/>
    <w:rsid w:val="004243CD"/>
    <w:rsid w:val="004247E4"/>
    <w:rsid w:val="004247FD"/>
    <w:rsid w:val="004248F0"/>
    <w:rsid w:val="004248FA"/>
    <w:rsid w:val="00424B46"/>
    <w:rsid w:val="00424CC6"/>
    <w:rsid w:val="00424DE3"/>
    <w:rsid w:val="00424EC9"/>
    <w:rsid w:val="00424FD9"/>
    <w:rsid w:val="00425032"/>
    <w:rsid w:val="0042527A"/>
    <w:rsid w:val="004255D5"/>
    <w:rsid w:val="004256AF"/>
    <w:rsid w:val="00425835"/>
    <w:rsid w:val="0042593E"/>
    <w:rsid w:val="00425F21"/>
    <w:rsid w:val="0042611D"/>
    <w:rsid w:val="004262B6"/>
    <w:rsid w:val="004264C1"/>
    <w:rsid w:val="00426627"/>
    <w:rsid w:val="004266A9"/>
    <w:rsid w:val="00426B9F"/>
    <w:rsid w:val="00426BB8"/>
    <w:rsid w:val="00426C42"/>
    <w:rsid w:val="00426FC5"/>
    <w:rsid w:val="00426FE1"/>
    <w:rsid w:val="0042755F"/>
    <w:rsid w:val="004275C7"/>
    <w:rsid w:val="00427762"/>
    <w:rsid w:val="00427774"/>
    <w:rsid w:val="004279FC"/>
    <w:rsid w:val="00427C82"/>
    <w:rsid w:val="00427DCA"/>
    <w:rsid w:val="00427E3A"/>
    <w:rsid w:val="00427F3A"/>
    <w:rsid w:val="00427F69"/>
    <w:rsid w:val="00430115"/>
    <w:rsid w:val="00430296"/>
    <w:rsid w:val="004304A6"/>
    <w:rsid w:val="00430547"/>
    <w:rsid w:val="00430796"/>
    <w:rsid w:val="00430D64"/>
    <w:rsid w:val="00430E91"/>
    <w:rsid w:val="004310AF"/>
    <w:rsid w:val="00431345"/>
    <w:rsid w:val="0043153F"/>
    <w:rsid w:val="0043175E"/>
    <w:rsid w:val="004319C3"/>
    <w:rsid w:val="00431AA5"/>
    <w:rsid w:val="00431C7B"/>
    <w:rsid w:val="00431F07"/>
    <w:rsid w:val="00431F39"/>
    <w:rsid w:val="00431FEA"/>
    <w:rsid w:val="0043200C"/>
    <w:rsid w:val="00432105"/>
    <w:rsid w:val="00432323"/>
    <w:rsid w:val="004324F5"/>
    <w:rsid w:val="0043255F"/>
    <w:rsid w:val="00432683"/>
    <w:rsid w:val="00432715"/>
    <w:rsid w:val="00432882"/>
    <w:rsid w:val="004328DA"/>
    <w:rsid w:val="004329A9"/>
    <w:rsid w:val="00432AEF"/>
    <w:rsid w:val="00432B71"/>
    <w:rsid w:val="00432BD3"/>
    <w:rsid w:val="00432C47"/>
    <w:rsid w:val="004330F7"/>
    <w:rsid w:val="0043313C"/>
    <w:rsid w:val="00433420"/>
    <w:rsid w:val="00433529"/>
    <w:rsid w:val="004335B1"/>
    <w:rsid w:val="00433622"/>
    <w:rsid w:val="00433769"/>
    <w:rsid w:val="00433859"/>
    <w:rsid w:val="00433ABE"/>
    <w:rsid w:val="00433B20"/>
    <w:rsid w:val="00433B80"/>
    <w:rsid w:val="00433B97"/>
    <w:rsid w:val="00433BA9"/>
    <w:rsid w:val="00433E94"/>
    <w:rsid w:val="00433EC1"/>
    <w:rsid w:val="00434164"/>
    <w:rsid w:val="004345D3"/>
    <w:rsid w:val="004346B0"/>
    <w:rsid w:val="0043470D"/>
    <w:rsid w:val="00434ABB"/>
    <w:rsid w:val="00434E5B"/>
    <w:rsid w:val="004350D1"/>
    <w:rsid w:val="0043512C"/>
    <w:rsid w:val="0043515C"/>
    <w:rsid w:val="004352BF"/>
    <w:rsid w:val="004353B9"/>
    <w:rsid w:val="0043547C"/>
    <w:rsid w:val="00435665"/>
    <w:rsid w:val="004356D9"/>
    <w:rsid w:val="00435851"/>
    <w:rsid w:val="004359B1"/>
    <w:rsid w:val="00435A04"/>
    <w:rsid w:val="00435A75"/>
    <w:rsid w:val="00435DA1"/>
    <w:rsid w:val="00435EC7"/>
    <w:rsid w:val="00435F2A"/>
    <w:rsid w:val="00436051"/>
    <w:rsid w:val="00436206"/>
    <w:rsid w:val="0043621E"/>
    <w:rsid w:val="00436302"/>
    <w:rsid w:val="0043632C"/>
    <w:rsid w:val="004364B0"/>
    <w:rsid w:val="00436B03"/>
    <w:rsid w:val="00437019"/>
    <w:rsid w:val="00437195"/>
    <w:rsid w:val="00437484"/>
    <w:rsid w:val="0043759E"/>
    <w:rsid w:val="004377D3"/>
    <w:rsid w:val="00437CD4"/>
    <w:rsid w:val="00437FE5"/>
    <w:rsid w:val="004403B3"/>
    <w:rsid w:val="0044049E"/>
    <w:rsid w:val="0044065F"/>
    <w:rsid w:val="00440756"/>
    <w:rsid w:val="00440794"/>
    <w:rsid w:val="004409F2"/>
    <w:rsid w:val="00440AEF"/>
    <w:rsid w:val="00440BB4"/>
    <w:rsid w:val="00440BD0"/>
    <w:rsid w:val="00440C1A"/>
    <w:rsid w:val="00440D5D"/>
    <w:rsid w:val="00440FB4"/>
    <w:rsid w:val="00440FFF"/>
    <w:rsid w:val="0044107A"/>
    <w:rsid w:val="00441212"/>
    <w:rsid w:val="0044123C"/>
    <w:rsid w:val="004414CA"/>
    <w:rsid w:val="0044173C"/>
    <w:rsid w:val="004418E1"/>
    <w:rsid w:val="00441D75"/>
    <w:rsid w:val="00441E19"/>
    <w:rsid w:val="00442087"/>
    <w:rsid w:val="00442147"/>
    <w:rsid w:val="004421B8"/>
    <w:rsid w:val="004421D9"/>
    <w:rsid w:val="00442823"/>
    <w:rsid w:val="00442881"/>
    <w:rsid w:val="00442887"/>
    <w:rsid w:val="00442A3E"/>
    <w:rsid w:val="00442D1D"/>
    <w:rsid w:val="00442E33"/>
    <w:rsid w:val="00442F05"/>
    <w:rsid w:val="00442F74"/>
    <w:rsid w:val="00442F7C"/>
    <w:rsid w:val="004431A8"/>
    <w:rsid w:val="0044326A"/>
    <w:rsid w:val="004434DE"/>
    <w:rsid w:val="004437C2"/>
    <w:rsid w:val="0044383A"/>
    <w:rsid w:val="00443B27"/>
    <w:rsid w:val="00443BB2"/>
    <w:rsid w:val="00443DA4"/>
    <w:rsid w:val="0044410A"/>
    <w:rsid w:val="00444345"/>
    <w:rsid w:val="0044457E"/>
    <w:rsid w:val="0044466A"/>
    <w:rsid w:val="00444749"/>
    <w:rsid w:val="0044496A"/>
    <w:rsid w:val="00444972"/>
    <w:rsid w:val="00444ACB"/>
    <w:rsid w:val="00444BFE"/>
    <w:rsid w:val="00445008"/>
    <w:rsid w:val="00445063"/>
    <w:rsid w:val="004450EE"/>
    <w:rsid w:val="00445323"/>
    <w:rsid w:val="0044580B"/>
    <w:rsid w:val="004458D0"/>
    <w:rsid w:val="00445A03"/>
    <w:rsid w:val="00445CA5"/>
    <w:rsid w:val="00445D85"/>
    <w:rsid w:val="00445F64"/>
    <w:rsid w:val="0044696F"/>
    <w:rsid w:val="00447030"/>
    <w:rsid w:val="00447408"/>
    <w:rsid w:val="0044740E"/>
    <w:rsid w:val="004474A3"/>
    <w:rsid w:val="004475E2"/>
    <w:rsid w:val="00447890"/>
    <w:rsid w:val="004500CE"/>
    <w:rsid w:val="0045014A"/>
    <w:rsid w:val="00450234"/>
    <w:rsid w:val="004502D3"/>
    <w:rsid w:val="00450300"/>
    <w:rsid w:val="00450442"/>
    <w:rsid w:val="004504FD"/>
    <w:rsid w:val="00450547"/>
    <w:rsid w:val="0045065B"/>
    <w:rsid w:val="0045076A"/>
    <w:rsid w:val="004507AD"/>
    <w:rsid w:val="0045084B"/>
    <w:rsid w:val="0045086C"/>
    <w:rsid w:val="00450DD0"/>
    <w:rsid w:val="00450E6A"/>
    <w:rsid w:val="00451102"/>
    <w:rsid w:val="0045120F"/>
    <w:rsid w:val="00451579"/>
    <w:rsid w:val="004515D3"/>
    <w:rsid w:val="0045166E"/>
    <w:rsid w:val="0045186A"/>
    <w:rsid w:val="004518CE"/>
    <w:rsid w:val="004519E3"/>
    <w:rsid w:val="00451B5C"/>
    <w:rsid w:val="00451DE0"/>
    <w:rsid w:val="00451E43"/>
    <w:rsid w:val="00451FA8"/>
    <w:rsid w:val="00452114"/>
    <w:rsid w:val="004522AC"/>
    <w:rsid w:val="00452693"/>
    <w:rsid w:val="00452845"/>
    <w:rsid w:val="0045285E"/>
    <w:rsid w:val="00452A5C"/>
    <w:rsid w:val="00452ACA"/>
    <w:rsid w:val="00452DD4"/>
    <w:rsid w:val="00452DEA"/>
    <w:rsid w:val="00452F04"/>
    <w:rsid w:val="00452FB2"/>
    <w:rsid w:val="00452FCC"/>
    <w:rsid w:val="0045332C"/>
    <w:rsid w:val="00453337"/>
    <w:rsid w:val="00453395"/>
    <w:rsid w:val="00453531"/>
    <w:rsid w:val="0045358B"/>
    <w:rsid w:val="00453686"/>
    <w:rsid w:val="00453AFC"/>
    <w:rsid w:val="00453B28"/>
    <w:rsid w:val="004543B2"/>
    <w:rsid w:val="00454427"/>
    <w:rsid w:val="0045447B"/>
    <w:rsid w:val="004544D9"/>
    <w:rsid w:val="004544FA"/>
    <w:rsid w:val="00454562"/>
    <w:rsid w:val="004546B8"/>
    <w:rsid w:val="00454B15"/>
    <w:rsid w:val="00454CB7"/>
    <w:rsid w:val="00454D0F"/>
    <w:rsid w:val="00454E90"/>
    <w:rsid w:val="00454FF1"/>
    <w:rsid w:val="0045509D"/>
    <w:rsid w:val="004550E3"/>
    <w:rsid w:val="004550F2"/>
    <w:rsid w:val="00455175"/>
    <w:rsid w:val="0045522B"/>
    <w:rsid w:val="004555BC"/>
    <w:rsid w:val="0045574D"/>
    <w:rsid w:val="00455785"/>
    <w:rsid w:val="004557AC"/>
    <w:rsid w:val="004558B7"/>
    <w:rsid w:val="00455A2C"/>
    <w:rsid w:val="00455C33"/>
    <w:rsid w:val="00455F0A"/>
    <w:rsid w:val="00455F4E"/>
    <w:rsid w:val="00455F97"/>
    <w:rsid w:val="0045601D"/>
    <w:rsid w:val="00456070"/>
    <w:rsid w:val="004560FD"/>
    <w:rsid w:val="0045614E"/>
    <w:rsid w:val="0045638E"/>
    <w:rsid w:val="00456399"/>
    <w:rsid w:val="0045667B"/>
    <w:rsid w:val="00456696"/>
    <w:rsid w:val="004566EB"/>
    <w:rsid w:val="0045692E"/>
    <w:rsid w:val="00456A0B"/>
    <w:rsid w:val="00456A2A"/>
    <w:rsid w:val="00456C35"/>
    <w:rsid w:val="00456C80"/>
    <w:rsid w:val="00456CCC"/>
    <w:rsid w:val="00456D1F"/>
    <w:rsid w:val="00457007"/>
    <w:rsid w:val="00457033"/>
    <w:rsid w:val="0045711B"/>
    <w:rsid w:val="004574B1"/>
    <w:rsid w:val="00457620"/>
    <w:rsid w:val="0045774F"/>
    <w:rsid w:val="004577F8"/>
    <w:rsid w:val="004578B2"/>
    <w:rsid w:val="004578E8"/>
    <w:rsid w:val="00457C18"/>
    <w:rsid w:val="00457F33"/>
    <w:rsid w:val="00457FC0"/>
    <w:rsid w:val="00460047"/>
    <w:rsid w:val="004600B8"/>
    <w:rsid w:val="00460175"/>
    <w:rsid w:val="004602D0"/>
    <w:rsid w:val="00460C46"/>
    <w:rsid w:val="00460DC4"/>
    <w:rsid w:val="00460DEE"/>
    <w:rsid w:val="00461025"/>
    <w:rsid w:val="00461126"/>
    <w:rsid w:val="0046142F"/>
    <w:rsid w:val="00461674"/>
    <w:rsid w:val="00461733"/>
    <w:rsid w:val="0046190A"/>
    <w:rsid w:val="004619CC"/>
    <w:rsid w:val="00461B33"/>
    <w:rsid w:val="00462572"/>
    <w:rsid w:val="0046259F"/>
    <w:rsid w:val="004626F7"/>
    <w:rsid w:val="0046293E"/>
    <w:rsid w:val="00462A2F"/>
    <w:rsid w:val="00462A40"/>
    <w:rsid w:val="00462FD4"/>
    <w:rsid w:val="00463205"/>
    <w:rsid w:val="00463460"/>
    <w:rsid w:val="004634CE"/>
    <w:rsid w:val="004635BC"/>
    <w:rsid w:val="004635E5"/>
    <w:rsid w:val="00463817"/>
    <w:rsid w:val="00463825"/>
    <w:rsid w:val="004638F5"/>
    <w:rsid w:val="00463A2F"/>
    <w:rsid w:val="00463ADA"/>
    <w:rsid w:val="00463D97"/>
    <w:rsid w:val="00463E0A"/>
    <w:rsid w:val="00463EE6"/>
    <w:rsid w:val="004640E1"/>
    <w:rsid w:val="00464202"/>
    <w:rsid w:val="0046435E"/>
    <w:rsid w:val="00464B3C"/>
    <w:rsid w:val="00464B3D"/>
    <w:rsid w:val="00464D3E"/>
    <w:rsid w:val="004651D2"/>
    <w:rsid w:val="00465305"/>
    <w:rsid w:val="004653EF"/>
    <w:rsid w:val="00465415"/>
    <w:rsid w:val="00465481"/>
    <w:rsid w:val="0046563E"/>
    <w:rsid w:val="0046573D"/>
    <w:rsid w:val="0046589D"/>
    <w:rsid w:val="004658FF"/>
    <w:rsid w:val="00465B91"/>
    <w:rsid w:val="00465B96"/>
    <w:rsid w:val="00465C18"/>
    <w:rsid w:val="00465CE5"/>
    <w:rsid w:val="00465DB8"/>
    <w:rsid w:val="00465EEE"/>
    <w:rsid w:val="00465EF0"/>
    <w:rsid w:val="00465F91"/>
    <w:rsid w:val="0046612E"/>
    <w:rsid w:val="00466189"/>
    <w:rsid w:val="004663E7"/>
    <w:rsid w:val="004663F6"/>
    <w:rsid w:val="004666C0"/>
    <w:rsid w:val="00466A63"/>
    <w:rsid w:val="00466B15"/>
    <w:rsid w:val="00466B82"/>
    <w:rsid w:val="00466E62"/>
    <w:rsid w:val="00466F5E"/>
    <w:rsid w:val="00466FE6"/>
    <w:rsid w:val="00467270"/>
    <w:rsid w:val="004672A6"/>
    <w:rsid w:val="0046734A"/>
    <w:rsid w:val="004673AB"/>
    <w:rsid w:val="00467479"/>
    <w:rsid w:val="004674E0"/>
    <w:rsid w:val="004675F1"/>
    <w:rsid w:val="0046763E"/>
    <w:rsid w:val="0046768E"/>
    <w:rsid w:val="004678FC"/>
    <w:rsid w:val="00467A85"/>
    <w:rsid w:val="00467B0A"/>
    <w:rsid w:val="00467CF9"/>
    <w:rsid w:val="004701E5"/>
    <w:rsid w:val="0047038B"/>
    <w:rsid w:val="004703E7"/>
    <w:rsid w:val="004705A1"/>
    <w:rsid w:val="004705BE"/>
    <w:rsid w:val="00470876"/>
    <w:rsid w:val="00470B57"/>
    <w:rsid w:val="00470B7E"/>
    <w:rsid w:val="00470B89"/>
    <w:rsid w:val="00470E0F"/>
    <w:rsid w:val="004710FC"/>
    <w:rsid w:val="0047151D"/>
    <w:rsid w:val="00471561"/>
    <w:rsid w:val="00471663"/>
    <w:rsid w:val="004717AC"/>
    <w:rsid w:val="0047192A"/>
    <w:rsid w:val="00471AB8"/>
    <w:rsid w:val="00471AC4"/>
    <w:rsid w:val="00471C78"/>
    <w:rsid w:val="00471DDF"/>
    <w:rsid w:val="00471F58"/>
    <w:rsid w:val="00472183"/>
    <w:rsid w:val="004724D4"/>
    <w:rsid w:val="00472643"/>
    <w:rsid w:val="00472924"/>
    <w:rsid w:val="00472F9F"/>
    <w:rsid w:val="00473038"/>
    <w:rsid w:val="004730AD"/>
    <w:rsid w:val="004732BA"/>
    <w:rsid w:val="0047357F"/>
    <w:rsid w:val="004736AA"/>
    <w:rsid w:val="0047383D"/>
    <w:rsid w:val="004738E8"/>
    <w:rsid w:val="00473B07"/>
    <w:rsid w:val="00473B0A"/>
    <w:rsid w:val="00473E5C"/>
    <w:rsid w:val="00473F13"/>
    <w:rsid w:val="004742D3"/>
    <w:rsid w:val="00474335"/>
    <w:rsid w:val="0047459E"/>
    <w:rsid w:val="00474670"/>
    <w:rsid w:val="004746CF"/>
    <w:rsid w:val="004747AD"/>
    <w:rsid w:val="00474DF8"/>
    <w:rsid w:val="00474DFB"/>
    <w:rsid w:val="00474F81"/>
    <w:rsid w:val="004753CD"/>
    <w:rsid w:val="004753F0"/>
    <w:rsid w:val="004754C3"/>
    <w:rsid w:val="00475760"/>
    <w:rsid w:val="0047583B"/>
    <w:rsid w:val="00475A4A"/>
    <w:rsid w:val="00475BDC"/>
    <w:rsid w:val="00475C5E"/>
    <w:rsid w:val="0047606E"/>
    <w:rsid w:val="004760EA"/>
    <w:rsid w:val="004761DC"/>
    <w:rsid w:val="004762F7"/>
    <w:rsid w:val="00476583"/>
    <w:rsid w:val="004766AB"/>
    <w:rsid w:val="004766FA"/>
    <w:rsid w:val="00476A25"/>
    <w:rsid w:val="00476AB7"/>
    <w:rsid w:val="00476F3C"/>
    <w:rsid w:val="00476FA9"/>
    <w:rsid w:val="004773D3"/>
    <w:rsid w:val="004776B7"/>
    <w:rsid w:val="00477712"/>
    <w:rsid w:val="0047775C"/>
    <w:rsid w:val="004777BE"/>
    <w:rsid w:val="00477967"/>
    <w:rsid w:val="00477A00"/>
    <w:rsid w:val="00477A55"/>
    <w:rsid w:val="00477AFB"/>
    <w:rsid w:val="00477B40"/>
    <w:rsid w:val="00477E37"/>
    <w:rsid w:val="00480188"/>
    <w:rsid w:val="00480313"/>
    <w:rsid w:val="0048031D"/>
    <w:rsid w:val="00480345"/>
    <w:rsid w:val="0048086A"/>
    <w:rsid w:val="00480B4B"/>
    <w:rsid w:val="00480B85"/>
    <w:rsid w:val="00480DDA"/>
    <w:rsid w:val="00480E26"/>
    <w:rsid w:val="00480F14"/>
    <w:rsid w:val="0048124F"/>
    <w:rsid w:val="00481277"/>
    <w:rsid w:val="004814BF"/>
    <w:rsid w:val="00481813"/>
    <w:rsid w:val="004819EC"/>
    <w:rsid w:val="00481AB6"/>
    <w:rsid w:val="00481B2E"/>
    <w:rsid w:val="00481C97"/>
    <w:rsid w:val="00481CB2"/>
    <w:rsid w:val="00481FF8"/>
    <w:rsid w:val="00482105"/>
    <w:rsid w:val="0048225F"/>
    <w:rsid w:val="00482282"/>
    <w:rsid w:val="004823D3"/>
    <w:rsid w:val="004823D8"/>
    <w:rsid w:val="00482528"/>
    <w:rsid w:val="00482780"/>
    <w:rsid w:val="004829D4"/>
    <w:rsid w:val="00482ADD"/>
    <w:rsid w:val="00482CA8"/>
    <w:rsid w:val="004830E8"/>
    <w:rsid w:val="00483210"/>
    <w:rsid w:val="00483880"/>
    <w:rsid w:val="004838AA"/>
    <w:rsid w:val="00483943"/>
    <w:rsid w:val="00483A4F"/>
    <w:rsid w:val="00483AFE"/>
    <w:rsid w:val="00483D0F"/>
    <w:rsid w:val="004840B6"/>
    <w:rsid w:val="00484201"/>
    <w:rsid w:val="0048432F"/>
    <w:rsid w:val="004844B0"/>
    <w:rsid w:val="004844D6"/>
    <w:rsid w:val="004846C2"/>
    <w:rsid w:val="004846DC"/>
    <w:rsid w:val="00484AA6"/>
    <w:rsid w:val="00484ADF"/>
    <w:rsid w:val="00484B1E"/>
    <w:rsid w:val="00484BA3"/>
    <w:rsid w:val="00484BC6"/>
    <w:rsid w:val="00484D69"/>
    <w:rsid w:val="00484E8A"/>
    <w:rsid w:val="0048525D"/>
    <w:rsid w:val="004858A9"/>
    <w:rsid w:val="00485B75"/>
    <w:rsid w:val="00485B93"/>
    <w:rsid w:val="00485D87"/>
    <w:rsid w:val="00485E7A"/>
    <w:rsid w:val="00485F44"/>
    <w:rsid w:val="0048603F"/>
    <w:rsid w:val="00486103"/>
    <w:rsid w:val="00486135"/>
    <w:rsid w:val="0048614C"/>
    <w:rsid w:val="00486189"/>
    <w:rsid w:val="00486490"/>
    <w:rsid w:val="004864A4"/>
    <w:rsid w:val="00486683"/>
    <w:rsid w:val="004866B8"/>
    <w:rsid w:val="004866CE"/>
    <w:rsid w:val="004866E9"/>
    <w:rsid w:val="004866EE"/>
    <w:rsid w:val="004867FF"/>
    <w:rsid w:val="004868B3"/>
    <w:rsid w:val="004868D4"/>
    <w:rsid w:val="00486E11"/>
    <w:rsid w:val="00487027"/>
    <w:rsid w:val="00487179"/>
    <w:rsid w:val="00487282"/>
    <w:rsid w:val="0048730B"/>
    <w:rsid w:val="004875FF"/>
    <w:rsid w:val="00487819"/>
    <w:rsid w:val="0048795D"/>
    <w:rsid w:val="00487E31"/>
    <w:rsid w:val="00487EFD"/>
    <w:rsid w:val="00487F5B"/>
    <w:rsid w:val="00487F79"/>
    <w:rsid w:val="0049010E"/>
    <w:rsid w:val="004903C5"/>
    <w:rsid w:val="004904C7"/>
    <w:rsid w:val="00490637"/>
    <w:rsid w:val="0049071A"/>
    <w:rsid w:val="00490737"/>
    <w:rsid w:val="004907A1"/>
    <w:rsid w:val="00490855"/>
    <w:rsid w:val="0049088F"/>
    <w:rsid w:val="004908C5"/>
    <w:rsid w:val="004908FA"/>
    <w:rsid w:val="00490AF6"/>
    <w:rsid w:val="00490B7D"/>
    <w:rsid w:val="00490BD3"/>
    <w:rsid w:val="0049108C"/>
    <w:rsid w:val="004913D1"/>
    <w:rsid w:val="0049141A"/>
    <w:rsid w:val="00491655"/>
    <w:rsid w:val="00491696"/>
    <w:rsid w:val="0049171A"/>
    <w:rsid w:val="0049194A"/>
    <w:rsid w:val="00491B38"/>
    <w:rsid w:val="00491B67"/>
    <w:rsid w:val="00491B76"/>
    <w:rsid w:val="00491CEC"/>
    <w:rsid w:val="00491DA5"/>
    <w:rsid w:val="00491DCA"/>
    <w:rsid w:val="00491E6D"/>
    <w:rsid w:val="00491EFC"/>
    <w:rsid w:val="00491FE3"/>
    <w:rsid w:val="00492367"/>
    <w:rsid w:val="00492475"/>
    <w:rsid w:val="0049250F"/>
    <w:rsid w:val="00492706"/>
    <w:rsid w:val="00492CD3"/>
    <w:rsid w:val="00492CFB"/>
    <w:rsid w:val="00492CFF"/>
    <w:rsid w:val="00492D71"/>
    <w:rsid w:val="004931A1"/>
    <w:rsid w:val="00493202"/>
    <w:rsid w:val="004933BF"/>
    <w:rsid w:val="00493547"/>
    <w:rsid w:val="00493577"/>
    <w:rsid w:val="00493654"/>
    <w:rsid w:val="0049382D"/>
    <w:rsid w:val="0049392D"/>
    <w:rsid w:val="004939A3"/>
    <w:rsid w:val="00493AC0"/>
    <w:rsid w:val="00493B76"/>
    <w:rsid w:val="00493D02"/>
    <w:rsid w:val="00493E1E"/>
    <w:rsid w:val="00493E9A"/>
    <w:rsid w:val="004940AC"/>
    <w:rsid w:val="00494438"/>
    <w:rsid w:val="00494D61"/>
    <w:rsid w:val="00494D8E"/>
    <w:rsid w:val="00494DD6"/>
    <w:rsid w:val="00494EB2"/>
    <w:rsid w:val="00494F43"/>
    <w:rsid w:val="004950ED"/>
    <w:rsid w:val="00495152"/>
    <w:rsid w:val="00495404"/>
    <w:rsid w:val="0049548B"/>
    <w:rsid w:val="004954AD"/>
    <w:rsid w:val="00495683"/>
    <w:rsid w:val="0049570B"/>
    <w:rsid w:val="0049599A"/>
    <w:rsid w:val="00495B05"/>
    <w:rsid w:val="00495DFD"/>
    <w:rsid w:val="00495EF6"/>
    <w:rsid w:val="00496124"/>
    <w:rsid w:val="0049614B"/>
    <w:rsid w:val="004961CE"/>
    <w:rsid w:val="0049624D"/>
    <w:rsid w:val="004963BD"/>
    <w:rsid w:val="00496758"/>
    <w:rsid w:val="00496876"/>
    <w:rsid w:val="00496993"/>
    <w:rsid w:val="00496B91"/>
    <w:rsid w:val="00497063"/>
    <w:rsid w:val="004970CC"/>
    <w:rsid w:val="00497187"/>
    <w:rsid w:val="0049741E"/>
    <w:rsid w:val="004976A4"/>
    <w:rsid w:val="004977C8"/>
    <w:rsid w:val="004978FB"/>
    <w:rsid w:val="00497BDA"/>
    <w:rsid w:val="00497FAB"/>
    <w:rsid w:val="004A00C9"/>
    <w:rsid w:val="004A00E2"/>
    <w:rsid w:val="004A00F6"/>
    <w:rsid w:val="004A00FB"/>
    <w:rsid w:val="004A0208"/>
    <w:rsid w:val="004A027B"/>
    <w:rsid w:val="004A052B"/>
    <w:rsid w:val="004A0569"/>
    <w:rsid w:val="004A0907"/>
    <w:rsid w:val="004A0C45"/>
    <w:rsid w:val="004A0DFD"/>
    <w:rsid w:val="004A10DF"/>
    <w:rsid w:val="004A1180"/>
    <w:rsid w:val="004A1478"/>
    <w:rsid w:val="004A14C3"/>
    <w:rsid w:val="004A1618"/>
    <w:rsid w:val="004A1924"/>
    <w:rsid w:val="004A198E"/>
    <w:rsid w:val="004A19D9"/>
    <w:rsid w:val="004A1B90"/>
    <w:rsid w:val="004A1D53"/>
    <w:rsid w:val="004A20A7"/>
    <w:rsid w:val="004A20B5"/>
    <w:rsid w:val="004A2161"/>
    <w:rsid w:val="004A223D"/>
    <w:rsid w:val="004A2287"/>
    <w:rsid w:val="004A253A"/>
    <w:rsid w:val="004A29F0"/>
    <w:rsid w:val="004A2B9B"/>
    <w:rsid w:val="004A2C24"/>
    <w:rsid w:val="004A2D59"/>
    <w:rsid w:val="004A2ED4"/>
    <w:rsid w:val="004A3606"/>
    <w:rsid w:val="004A3659"/>
    <w:rsid w:val="004A377F"/>
    <w:rsid w:val="004A390D"/>
    <w:rsid w:val="004A394B"/>
    <w:rsid w:val="004A39E8"/>
    <w:rsid w:val="004A3B90"/>
    <w:rsid w:val="004A3E0B"/>
    <w:rsid w:val="004A4086"/>
    <w:rsid w:val="004A4187"/>
    <w:rsid w:val="004A43B4"/>
    <w:rsid w:val="004A43C9"/>
    <w:rsid w:val="004A4463"/>
    <w:rsid w:val="004A449E"/>
    <w:rsid w:val="004A4527"/>
    <w:rsid w:val="004A46AB"/>
    <w:rsid w:val="004A4731"/>
    <w:rsid w:val="004A4855"/>
    <w:rsid w:val="004A4957"/>
    <w:rsid w:val="004A4A7C"/>
    <w:rsid w:val="004A4B0A"/>
    <w:rsid w:val="004A4CD1"/>
    <w:rsid w:val="004A4D63"/>
    <w:rsid w:val="004A5392"/>
    <w:rsid w:val="004A5647"/>
    <w:rsid w:val="004A5946"/>
    <w:rsid w:val="004A5961"/>
    <w:rsid w:val="004A5AE8"/>
    <w:rsid w:val="004A5E48"/>
    <w:rsid w:val="004A5F6C"/>
    <w:rsid w:val="004A603D"/>
    <w:rsid w:val="004A61EF"/>
    <w:rsid w:val="004A61FC"/>
    <w:rsid w:val="004A655C"/>
    <w:rsid w:val="004A6582"/>
    <w:rsid w:val="004A65CB"/>
    <w:rsid w:val="004A660A"/>
    <w:rsid w:val="004A66BE"/>
    <w:rsid w:val="004A6770"/>
    <w:rsid w:val="004A6BF9"/>
    <w:rsid w:val="004A6C93"/>
    <w:rsid w:val="004A6DA8"/>
    <w:rsid w:val="004A6E73"/>
    <w:rsid w:val="004A6EEA"/>
    <w:rsid w:val="004A6F1B"/>
    <w:rsid w:val="004A7042"/>
    <w:rsid w:val="004A709A"/>
    <w:rsid w:val="004A72D6"/>
    <w:rsid w:val="004A74B7"/>
    <w:rsid w:val="004A751A"/>
    <w:rsid w:val="004A7621"/>
    <w:rsid w:val="004A7BB5"/>
    <w:rsid w:val="004A7C39"/>
    <w:rsid w:val="004A7C7C"/>
    <w:rsid w:val="004A7CEC"/>
    <w:rsid w:val="004A7CF2"/>
    <w:rsid w:val="004B0107"/>
    <w:rsid w:val="004B0130"/>
    <w:rsid w:val="004B0241"/>
    <w:rsid w:val="004B0474"/>
    <w:rsid w:val="004B04A6"/>
    <w:rsid w:val="004B0638"/>
    <w:rsid w:val="004B079B"/>
    <w:rsid w:val="004B07A4"/>
    <w:rsid w:val="004B0CBD"/>
    <w:rsid w:val="004B0DF7"/>
    <w:rsid w:val="004B0ED9"/>
    <w:rsid w:val="004B1003"/>
    <w:rsid w:val="004B110E"/>
    <w:rsid w:val="004B11FD"/>
    <w:rsid w:val="004B15E5"/>
    <w:rsid w:val="004B1612"/>
    <w:rsid w:val="004B1784"/>
    <w:rsid w:val="004B1796"/>
    <w:rsid w:val="004B1A4D"/>
    <w:rsid w:val="004B1A9B"/>
    <w:rsid w:val="004B1AAA"/>
    <w:rsid w:val="004B1B3C"/>
    <w:rsid w:val="004B1B6E"/>
    <w:rsid w:val="004B1C4D"/>
    <w:rsid w:val="004B2375"/>
    <w:rsid w:val="004B2398"/>
    <w:rsid w:val="004B2491"/>
    <w:rsid w:val="004B24B6"/>
    <w:rsid w:val="004B258E"/>
    <w:rsid w:val="004B2681"/>
    <w:rsid w:val="004B269D"/>
    <w:rsid w:val="004B278F"/>
    <w:rsid w:val="004B28A8"/>
    <w:rsid w:val="004B2BF1"/>
    <w:rsid w:val="004B2BF5"/>
    <w:rsid w:val="004B2EB6"/>
    <w:rsid w:val="004B2F39"/>
    <w:rsid w:val="004B3058"/>
    <w:rsid w:val="004B3071"/>
    <w:rsid w:val="004B343A"/>
    <w:rsid w:val="004B350A"/>
    <w:rsid w:val="004B3667"/>
    <w:rsid w:val="004B374E"/>
    <w:rsid w:val="004B376F"/>
    <w:rsid w:val="004B39E1"/>
    <w:rsid w:val="004B3CC5"/>
    <w:rsid w:val="004B3CE0"/>
    <w:rsid w:val="004B3D51"/>
    <w:rsid w:val="004B3E97"/>
    <w:rsid w:val="004B3EE5"/>
    <w:rsid w:val="004B3FB9"/>
    <w:rsid w:val="004B436F"/>
    <w:rsid w:val="004B4486"/>
    <w:rsid w:val="004B45E2"/>
    <w:rsid w:val="004B474E"/>
    <w:rsid w:val="004B4809"/>
    <w:rsid w:val="004B4C05"/>
    <w:rsid w:val="004B4FF1"/>
    <w:rsid w:val="004B5268"/>
    <w:rsid w:val="004B5404"/>
    <w:rsid w:val="004B54B8"/>
    <w:rsid w:val="004B5639"/>
    <w:rsid w:val="004B5678"/>
    <w:rsid w:val="004B576C"/>
    <w:rsid w:val="004B5838"/>
    <w:rsid w:val="004B5866"/>
    <w:rsid w:val="004B5994"/>
    <w:rsid w:val="004B5BCC"/>
    <w:rsid w:val="004B5CEF"/>
    <w:rsid w:val="004B5D21"/>
    <w:rsid w:val="004B5F38"/>
    <w:rsid w:val="004B60A6"/>
    <w:rsid w:val="004B60FD"/>
    <w:rsid w:val="004B6111"/>
    <w:rsid w:val="004B6187"/>
    <w:rsid w:val="004B6371"/>
    <w:rsid w:val="004B6414"/>
    <w:rsid w:val="004B66F3"/>
    <w:rsid w:val="004B6747"/>
    <w:rsid w:val="004B69D3"/>
    <w:rsid w:val="004B6BD4"/>
    <w:rsid w:val="004B6C44"/>
    <w:rsid w:val="004B6F35"/>
    <w:rsid w:val="004B6F77"/>
    <w:rsid w:val="004B704F"/>
    <w:rsid w:val="004B70DE"/>
    <w:rsid w:val="004B7140"/>
    <w:rsid w:val="004B71DC"/>
    <w:rsid w:val="004B773E"/>
    <w:rsid w:val="004B778E"/>
    <w:rsid w:val="004B784E"/>
    <w:rsid w:val="004B7890"/>
    <w:rsid w:val="004B794B"/>
    <w:rsid w:val="004B7D11"/>
    <w:rsid w:val="004B7E5D"/>
    <w:rsid w:val="004C01B6"/>
    <w:rsid w:val="004C01CF"/>
    <w:rsid w:val="004C0AC8"/>
    <w:rsid w:val="004C0CE0"/>
    <w:rsid w:val="004C0DFC"/>
    <w:rsid w:val="004C0F03"/>
    <w:rsid w:val="004C0F1C"/>
    <w:rsid w:val="004C0FFE"/>
    <w:rsid w:val="004C114A"/>
    <w:rsid w:val="004C1432"/>
    <w:rsid w:val="004C181C"/>
    <w:rsid w:val="004C198B"/>
    <w:rsid w:val="004C19D1"/>
    <w:rsid w:val="004C1D88"/>
    <w:rsid w:val="004C1F01"/>
    <w:rsid w:val="004C2024"/>
    <w:rsid w:val="004C2048"/>
    <w:rsid w:val="004C29C1"/>
    <w:rsid w:val="004C2E5B"/>
    <w:rsid w:val="004C2ED4"/>
    <w:rsid w:val="004C323B"/>
    <w:rsid w:val="004C32D1"/>
    <w:rsid w:val="004C3394"/>
    <w:rsid w:val="004C33A4"/>
    <w:rsid w:val="004C343D"/>
    <w:rsid w:val="004C367C"/>
    <w:rsid w:val="004C390A"/>
    <w:rsid w:val="004C3A27"/>
    <w:rsid w:val="004C3CA4"/>
    <w:rsid w:val="004C3ED4"/>
    <w:rsid w:val="004C4167"/>
    <w:rsid w:val="004C4241"/>
    <w:rsid w:val="004C445F"/>
    <w:rsid w:val="004C457E"/>
    <w:rsid w:val="004C464F"/>
    <w:rsid w:val="004C4672"/>
    <w:rsid w:val="004C4764"/>
    <w:rsid w:val="004C4811"/>
    <w:rsid w:val="004C4946"/>
    <w:rsid w:val="004C4C06"/>
    <w:rsid w:val="004C4C3C"/>
    <w:rsid w:val="004C4D36"/>
    <w:rsid w:val="004C4E34"/>
    <w:rsid w:val="004C4EE2"/>
    <w:rsid w:val="004C4F2E"/>
    <w:rsid w:val="004C50D0"/>
    <w:rsid w:val="004C522E"/>
    <w:rsid w:val="004C539A"/>
    <w:rsid w:val="004C5457"/>
    <w:rsid w:val="004C5648"/>
    <w:rsid w:val="004C5A55"/>
    <w:rsid w:val="004C5B46"/>
    <w:rsid w:val="004C6074"/>
    <w:rsid w:val="004C61DC"/>
    <w:rsid w:val="004C6450"/>
    <w:rsid w:val="004C65BF"/>
    <w:rsid w:val="004C661C"/>
    <w:rsid w:val="004C66C9"/>
    <w:rsid w:val="004C66CE"/>
    <w:rsid w:val="004C683B"/>
    <w:rsid w:val="004C68E3"/>
    <w:rsid w:val="004C6A18"/>
    <w:rsid w:val="004C6A28"/>
    <w:rsid w:val="004C6C9A"/>
    <w:rsid w:val="004C719D"/>
    <w:rsid w:val="004C7316"/>
    <w:rsid w:val="004C7470"/>
    <w:rsid w:val="004C7764"/>
    <w:rsid w:val="004C7A8C"/>
    <w:rsid w:val="004C7FDE"/>
    <w:rsid w:val="004D0268"/>
    <w:rsid w:val="004D03E2"/>
    <w:rsid w:val="004D03F8"/>
    <w:rsid w:val="004D044A"/>
    <w:rsid w:val="004D06C7"/>
    <w:rsid w:val="004D06F3"/>
    <w:rsid w:val="004D079B"/>
    <w:rsid w:val="004D087F"/>
    <w:rsid w:val="004D088B"/>
    <w:rsid w:val="004D0D20"/>
    <w:rsid w:val="004D0FD3"/>
    <w:rsid w:val="004D1319"/>
    <w:rsid w:val="004D132F"/>
    <w:rsid w:val="004D14AC"/>
    <w:rsid w:val="004D166E"/>
    <w:rsid w:val="004D167B"/>
    <w:rsid w:val="004D1775"/>
    <w:rsid w:val="004D18E6"/>
    <w:rsid w:val="004D1A08"/>
    <w:rsid w:val="004D1D02"/>
    <w:rsid w:val="004D1FC4"/>
    <w:rsid w:val="004D2204"/>
    <w:rsid w:val="004D2434"/>
    <w:rsid w:val="004D2717"/>
    <w:rsid w:val="004D2795"/>
    <w:rsid w:val="004D27FA"/>
    <w:rsid w:val="004D292B"/>
    <w:rsid w:val="004D2F2F"/>
    <w:rsid w:val="004D2FC7"/>
    <w:rsid w:val="004D3085"/>
    <w:rsid w:val="004D30ED"/>
    <w:rsid w:val="004D329A"/>
    <w:rsid w:val="004D3B1A"/>
    <w:rsid w:val="004D3B1B"/>
    <w:rsid w:val="004D3B6C"/>
    <w:rsid w:val="004D3B76"/>
    <w:rsid w:val="004D3BCA"/>
    <w:rsid w:val="004D3E59"/>
    <w:rsid w:val="004D3F6F"/>
    <w:rsid w:val="004D3F83"/>
    <w:rsid w:val="004D3F94"/>
    <w:rsid w:val="004D412B"/>
    <w:rsid w:val="004D4148"/>
    <w:rsid w:val="004D41D3"/>
    <w:rsid w:val="004D44A9"/>
    <w:rsid w:val="004D459D"/>
    <w:rsid w:val="004D49A0"/>
    <w:rsid w:val="004D4A03"/>
    <w:rsid w:val="004D4AD8"/>
    <w:rsid w:val="004D4C3A"/>
    <w:rsid w:val="004D4C5F"/>
    <w:rsid w:val="004D4D9F"/>
    <w:rsid w:val="004D51A0"/>
    <w:rsid w:val="004D52AB"/>
    <w:rsid w:val="004D5364"/>
    <w:rsid w:val="004D5474"/>
    <w:rsid w:val="004D553E"/>
    <w:rsid w:val="004D55F1"/>
    <w:rsid w:val="004D5715"/>
    <w:rsid w:val="004D59FA"/>
    <w:rsid w:val="004D5C91"/>
    <w:rsid w:val="004D6016"/>
    <w:rsid w:val="004D6175"/>
    <w:rsid w:val="004D61C6"/>
    <w:rsid w:val="004D6235"/>
    <w:rsid w:val="004D655E"/>
    <w:rsid w:val="004D679E"/>
    <w:rsid w:val="004D690F"/>
    <w:rsid w:val="004D6FBE"/>
    <w:rsid w:val="004D7014"/>
    <w:rsid w:val="004D720E"/>
    <w:rsid w:val="004D723F"/>
    <w:rsid w:val="004D72A7"/>
    <w:rsid w:val="004D76EE"/>
    <w:rsid w:val="004D7845"/>
    <w:rsid w:val="004D7877"/>
    <w:rsid w:val="004D787A"/>
    <w:rsid w:val="004D7964"/>
    <w:rsid w:val="004D7A42"/>
    <w:rsid w:val="004D7DCF"/>
    <w:rsid w:val="004D7E0A"/>
    <w:rsid w:val="004E01EA"/>
    <w:rsid w:val="004E0361"/>
    <w:rsid w:val="004E0526"/>
    <w:rsid w:val="004E06ED"/>
    <w:rsid w:val="004E0748"/>
    <w:rsid w:val="004E08BC"/>
    <w:rsid w:val="004E0973"/>
    <w:rsid w:val="004E0993"/>
    <w:rsid w:val="004E0C84"/>
    <w:rsid w:val="004E0F4C"/>
    <w:rsid w:val="004E1060"/>
    <w:rsid w:val="004E1190"/>
    <w:rsid w:val="004E1550"/>
    <w:rsid w:val="004E1667"/>
    <w:rsid w:val="004E182A"/>
    <w:rsid w:val="004E18F3"/>
    <w:rsid w:val="004E196B"/>
    <w:rsid w:val="004E1D10"/>
    <w:rsid w:val="004E1E49"/>
    <w:rsid w:val="004E1FEA"/>
    <w:rsid w:val="004E2085"/>
    <w:rsid w:val="004E20B6"/>
    <w:rsid w:val="004E22FA"/>
    <w:rsid w:val="004E2933"/>
    <w:rsid w:val="004E2AFB"/>
    <w:rsid w:val="004E2B8A"/>
    <w:rsid w:val="004E2C25"/>
    <w:rsid w:val="004E2CD1"/>
    <w:rsid w:val="004E2D0B"/>
    <w:rsid w:val="004E2DB0"/>
    <w:rsid w:val="004E2F9B"/>
    <w:rsid w:val="004E2FCA"/>
    <w:rsid w:val="004E358D"/>
    <w:rsid w:val="004E3703"/>
    <w:rsid w:val="004E3A21"/>
    <w:rsid w:val="004E3A5F"/>
    <w:rsid w:val="004E3A74"/>
    <w:rsid w:val="004E3ACC"/>
    <w:rsid w:val="004E3CDD"/>
    <w:rsid w:val="004E3D83"/>
    <w:rsid w:val="004E3F39"/>
    <w:rsid w:val="004E4048"/>
    <w:rsid w:val="004E4057"/>
    <w:rsid w:val="004E40FB"/>
    <w:rsid w:val="004E41C0"/>
    <w:rsid w:val="004E423C"/>
    <w:rsid w:val="004E431F"/>
    <w:rsid w:val="004E44F2"/>
    <w:rsid w:val="004E44F5"/>
    <w:rsid w:val="004E46E7"/>
    <w:rsid w:val="004E48DA"/>
    <w:rsid w:val="004E4954"/>
    <w:rsid w:val="004E4A6F"/>
    <w:rsid w:val="004E4B83"/>
    <w:rsid w:val="004E4BE8"/>
    <w:rsid w:val="004E4DD8"/>
    <w:rsid w:val="004E545C"/>
    <w:rsid w:val="004E5478"/>
    <w:rsid w:val="004E54E6"/>
    <w:rsid w:val="004E5609"/>
    <w:rsid w:val="004E5726"/>
    <w:rsid w:val="004E575F"/>
    <w:rsid w:val="004E58D2"/>
    <w:rsid w:val="004E58F7"/>
    <w:rsid w:val="004E59EE"/>
    <w:rsid w:val="004E5C2C"/>
    <w:rsid w:val="004E5E62"/>
    <w:rsid w:val="004E6032"/>
    <w:rsid w:val="004E65CD"/>
    <w:rsid w:val="004E67FB"/>
    <w:rsid w:val="004E6B03"/>
    <w:rsid w:val="004E6B87"/>
    <w:rsid w:val="004E716D"/>
    <w:rsid w:val="004E723E"/>
    <w:rsid w:val="004E72E9"/>
    <w:rsid w:val="004E73AB"/>
    <w:rsid w:val="004E73E6"/>
    <w:rsid w:val="004E78DB"/>
    <w:rsid w:val="004E790D"/>
    <w:rsid w:val="004E795F"/>
    <w:rsid w:val="004E7AC1"/>
    <w:rsid w:val="004E7B0B"/>
    <w:rsid w:val="004E7E72"/>
    <w:rsid w:val="004E7F86"/>
    <w:rsid w:val="004F006A"/>
    <w:rsid w:val="004F0246"/>
    <w:rsid w:val="004F03AD"/>
    <w:rsid w:val="004F0430"/>
    <w:rsid w:val="004F0534"/>
    <w:rsid w:val="004F091F"/>
    <w:rsid w:val="004F0AD0"/>
    <w:rsid w:val="004F0C43"/>
    <w:rsid w:val="004F0CDF"/>
    <w:rsid w:val="004F0E68"/>
    <w:rsid w:val="004F1118"/>
    <w:rsid w:val="004F1192"/>
    <w:rsid w:val="004F13AA"/>
    <w:rsid w:val="004F1738"/>
    <w:rsid w:val="004F1A3C"/>
    <w:rsid w:val="004F1A59"/>
    <w:rsid w:val="004F1C31"/>
    <w:rsid w:val="004F1CB4"/>
    <w:rsid w:val="004F20BE"/>
    <w:rsid w:val="004F243C"/>
    <w:rsid w:val="004F2475"/>
    <w:rsid w:val="004F24AC"/>
    <w:rsid w:val="004F2513"/>
    <w:rsid w:val="004F2710"/>
    <w:rsid w:val="004F27EA"/>
    <w:rsid w:val="004F2853"/>
    <w:rsid w:val="004F29D0"/>
    <w:rsid w:val="004F2A77"/>
    <w:rsid w:val="004F2C35"/>
    <w:rsid w:val="004F3159"/>
    <w:rsid w:val="004F3306"/>
    <w:rsid w:val="004F3545"/>
    <w:rsid w:val="004F3731"/>
    <w:rsid w:val="004F3905"/>
    <w:rsid w:val="004F3A45"/>
    <w:rsid w:val="004F3B57"/>
    <w:rsid w:val="004F3C5A"/>
    <w:rsid w:val="004F3D7B"/>
    <w:rsid w:val="004F3F3C"/>
    <w:rsid w:val="004F4148"/>
    <w:rsid w:val="004F41D1"/>
    <w:rsid w:val="004F41E6"/>
    <w:rsid w:val="004F428C"/>
    <w:rsid w:val="004F4605"/>
    <w:rsid w:val="004F4808"/>
    <w:rsid w:val="004F4849"/>
    <w:rsid w:val="004F49D9"/>
    <w:rsid w:val="004F4AF1"/>
    <w:rsid w:val="004F4BF6"/>
    <w:rsid w:val="004F4C1C"/>
    <w:rsid w:val="004F4F67"/>
    <w:rsid w:val="004F4FDA"/>
    <w:rsid w:val="004F5108"/>
    <w:rsid w:val="004F515B"/>
    <w:rsid w:val="004F51BA"/>
    <w:rsid w:val="004F52CB"/>
    <w:rsid w:val="004F5374"/>
    <w:rsid w:val="004F540E"/>
    <w:rsid w:val="004F54B0"/>
    <w:rsid w:val="004F564A"/>
    <w:rsid w:val="004F598D"/>
    <w:rsid w:val="004F5A39"/>
    <w:rsid w:val="004F5BA2"/>
    <w:rsid w:val="004F5C61"/>
    <w:rsid w:val="004F5F5F"/>
    <w:rsid w:val="004F6020"/>
    <w:rsid w:val="004F6035"/>
    <w:rsid w:val="004F6080"/>
    <w:rsid w:val="004F60A8"/>
    <w:rsid w:val="004F62D2"/>
    <w:rsid w:val="004F6BFE"/>
    <w:rsid w:val="004F6D7E"/>
    <w:rsid w:val="004F6FCF"/>
    <w:rsid w:val="004F73E9"/>
    <w:rsid w:val="004F7521"/>
    <w:rsid w:val="004F77AA"/>
    <w:rsid w:val="004F794B"/>
    <w:rsid w:val="004F796B"/>
    <w:rsid w:val="004F79A8"/>
    <w:rsid w:val="004F79D8"/>
    <w:rsid w:val="004F7B09"/>
    <w:rsid w:val="004F7C30"/>
    <w:rsid w:val="004F7E29"/>
    <w:rsid w:val="004F7FCC"/>
    <w:rsid w:val="00500006"/>
    <w:rsid w:val="0050008D"/>
    <w:rsid w:val="00500290"/>
    <w:rsid w:val="005002F6"/>
    <w:rsid w:val="005006E3"/>
    <w:rsid w:val="00500726"/>
    <w:rsid w:val="00500A96"/>
    <w:rsid w:val="00500BF3"/>
    <w:rsid w:val="00500D83"/>
    <w:rsid w:val="00500DE6"/>
    <w:rsid w:val="0050115B"/>
    <w:rsid w:val="0050122C"/>
    <w:rsid w:val="00501385"/>
    <w:rsid w:val="00501394"/>
    <w:rsid w:val="00501437"/>
    <w:rsid w:val="00501842"/>
    <w:rsid w:val="00501D11"/>
    <w:rsid w:val="00501DB5"/>
    <w:rsid w:val="00501E8F"/>
    <w:rsid w:val="0050200F"/>
    <w:rsid w:val="005020D1"/>
    <w:rsid w:val="005020D8"/>
    <w:rsid w:val="005020EF"/>
    <w:rsid w:val="005022A1"/>
    <w:rsid w:val="005026F3"/>
    <w:rsid w:val="00502748"/>
    <w:rsid w:val="00502865"/>
    <w:rsid w:val="00502891"/>
    <w:rsid w:val="00502D15"/>
    <w:rsid w:val="00502F25"/>
    <w:rsid w:val="00502F36"/>
    <w:rsid w:val="00502F5F"/>
    <w:rsid w:val="005030D2"/>
    <w:rsid w:val="00503161"/>
    <w:rsid w:val="00503251"/>
    <w:rsid w:val="00503263"/>
    <w:rsid w:val="005032E8"/>
    <w:rsid w:val="0050337E"/>
    <w:rsid w:val="00503742"/>
    <w:rsid w:val="005039C5"/>
    <w:rsid w:val="00503A18"/>
    <w:rsid w:val="00503B5A"/>
    <w:rsid w:val="00503EC0"/>
    <w:rsid w:val="00503EC8"/>
    <w:rsid w:val="00503EE4"/>
    <w:rsid w:val="00503FD1"/>
    <w:rsid w:val="005040FA"/>
    <w:rsid w:val="005042AC"/>
    <w:rsid w:val="005043E6"/>
    <w:rsid w:val="00504481"/>
    <w:rsid w:val="005044DB"/>
    <w:rsid w:val="00504606"/>
    <w:rsid w:val="00504814"/>
    <w:rsid w:val="00504B45"/>
    <w:rsid w:val="00504BA5"/>
    <w:rsid w:val="00504C82"/>
    <w:rsid w:val="00504D2B"/>
    <w:rsid w:val="00504E3C"/>
    <w:rsid w:val="00504FBA"/>
    <w:rsid w:val="00505557"/>
    <w:rsid w:val="0050559A"/>
    <w:rsid w:val="0050567D"/>
    <w:rsid w:val="005056A9"/>
    <w:rsid w:val="00505753"/>
    <w:rsid w:val="005057BE"/>
    <w:rsid w:val="00505850"/>
    <w:rsid w:val="00505A12"/>
    <w:rsid w:val="00505BE7"/>
    <w:rsid w:val="00505CD1"/>
    <w:rsid w:val="00505E44"/>
    <w:rsid w:val="005060F6"/>
    <w:rsid w:val="005063D1"/>
    <w:rsid w:val="00506646"/>
    <w:rsid w:val="0050668A"/>
    <w:rsid w:val="005066D5"/>
    <w:rsid w:val="0050684D"/>
    <w:rsid w:val="00506A0F"/>
    <w:rsid w:val="00506A8E"/>
    <w:rsid w:val="00506B4B"/>
    <w:rsid w:val="00506D6E"/>
    <w:rsid w:val="00506E91"/>
    <w:rsid w:val="00506FDD"/>
    <w:rsid w:val="00507335"/>
    <w:rsid w:val="00507498"/>
    <w:rsid w:val="00507500"/>
    <w:rsid w:val="0050756D"/>
    <w:rsid w:val="0050763D"/>
    <w:rsid w:val="00507804"/>
    <w:rsid w:val="0050798B"/>
    <w:rsid w:val="00507A63"/>
    <w:rsid w:val="00507D7B"/>
    <w:rsid w:val="00507EED"/>
    <w:rsid w:val="00507F61"/>
    <w:rsid w:val="00510259"/>
    <w:rsid w:val="0051042B"/>
    <w:rsid w:val="005104DC"/>
    <w:rsid w:val="005105BF"/>
    <w:rsid w:val="005105FA"/>
    <w:rsid w:val="005107CF"/>
    <w:rsid w:val="00510876"/>
    <w:rsid w:val="0051096A"/>
    <w:rsid w:val="00510D86"/>
    <w:rsid w:val="00510EA9"/>
    <w:rsid w:val="005111F2"/>
    <w:rsid w:val="00511202"/>
    <w:rsid w:val="005112A8"/>
    <w:rsid w:val="0051132D"/>
    <w:rsid w:val="0051148D"/>
    <w:rsid w:val="0051168C"/>
    <w:rsid w:val="00511746"/>
    <w:rsid w:val="005117CD"/>
    <w:rsid w:val="00511C74"/>
    <w:rsid w:val="00511D00"/>
    <w:rsid w:val="00511E22"/>
    <w:rsid w:val="005121D8"/>
    <w:rsid w:val="00512470"/>
    <w:rsid w:val="0051274C"/>
    <w:rsid w:val="005127D2"/>
    <w:rsid w:val="00512ADC"/>
    <w:rsid w:val="005130D9"/>
    <w:rsid w:val="00513343"/>
    <w:rsid w:val="00513448"/>
    <w:rsid w:val="00513499"/>
    <w:rsid w:val="00513550"/>
    <w:rsid w:val="00513568"/>
    <w:rsid w:val="0051361F"/>
    <w:rsid w:val="005137C6"/>
    <w:rsid w:val="00513AAB"/>
    <w:rsid w:val="00513B01"/>
    <w:rsid w:val="00513B38"/>
    <w:rsid w:val="00513EEC"/>
    <w:rsid w:val="005142E1"/>
    <w:rsid w:val="0051432B"/>
    <w:rsid w:val="00514462"/>
    <w:rsid w:val="005146D5"/>
    <w:rsid w:val="0051470B"/>
    <w:rsid w:val="00514B0E"/>
    <w:rsid w:val="00514BA7"/>
    <w:rsid w:val="00514E2D"/>
    <w:rsid w:val="00514E7F"/>
    <w:rsid w:val="005151C5"/>
    <w:rsid w:val="0051551D"/>
    <w:rsid w:val="00515721"/>
    <w:rsid w:val="005157CF"/>
    <w:rsid w:val="00515A76"/>
    <w:rsid w:val="00515C3E"/>
    <w:rsid w:val="00515E74"/>
    <w:rsid w:val="00515FAE"/>
    <w:rsid w:val="00516161"/>
    <w:rsid w:val="005164E4"/>
    <w:rsid w:val="0051652D"/>
    <w:rsid w:val="0051676C"/>
    <w:rsid w:val="0051683E"/>
    <w:rsid w:val="00516A2D"/>
    <w:rsid w:val="00516E28"/>
    <w:rsid w:val="0051703B"/>
    <w:rsid w:val="00517314"/>
    <w:rsid w:val="00517665"/>
    <w:rsid w:val="00517AB6"/>
    <w:rsid w:val="00517BBB"/>
    <w:rsid w:val="00517BC0"/>
    <w:rsid w:val="00517C7E"/>
    <w:rsid w:val="00517CAB"/>
    <w:rsid w:val="00517E64"/>
    <w:rsid w:val="00517E66"/>
    <w:rsid w:val="00517E98"/>
    <w:rsid w:val="00517EF1"/>
    <w:rsid w:val="0052013B"/>
    <w:rsid w:val="0052015D"/>
    <w:rsid w:val="00520280"/>
    <w:rsid w:val="0052050B"/>
    <w:rsid w:val="005208F8"/>
    <w:rsid w:val="00520921"/>
    <w:rsid w:val="00520B86"/>
    <w:rsid w:val="00520D3E"/>
    <w:rsid w:val="00521045"/>
    <w:rsid w:val="0052116C"/>
    <w:rsid w:val="00521677"/>
    <w:rsid w:val="00521732"/>
    <w:rsid w:val="00521B48"/>
    <w:rsid w:val="00521C67"/>
    <w:rsid w:val="00521F19"/>
    <w:rsid w:val="005228F5"/>
    <w:rsid w:val="00522C14"/>
    <w:rsid w:val="00522CB3"/>
    <w:rsid w:val="00522D4E"/>
    <w:rsid w:val="00522F1F"/>
    <w:rsid w:val="00522F2C"/>
    <w:rsid w:val="00523117"/>
    <w:rsid w:val="005232CD"/>
    <w:rsid w:val="0052342D"/>
    <w:rsid w:val="0052355F"/>
    <w:rsid w:val="0052362F"/>
    <w:rsid w:val="00523790"/>
    <w:rsid w:val="00523B68"/>
    <w:rsid w:val="00524014"/>
    <w:rsid w:val="00524134"/>
    <w:rsid w:val="0052416A"/>
    <w:rsid w:val="00524235"/>
    <w:rsid w:val="00524324"/>
    <w:rsid w:val="005243C3"/>
    <w:rsid w:val="005244E4"/>
    <w:rsid w:val="005245F6"/>
    <w:rsid w:val="00524659"/>
    <w:rsid w:val="005246BB"/>
    <w:rsid w:val="0052478A"/>
    <w:rsid w:val="0052495E"/>
    <w:rsid w:val="005249B6"/>
    <w:rsid w:val="00524A04"/>
    <w:rsid w:val="00524BF2"/>
    <w:rsid w:val="00524C01"/>
    <w:rsid w:val="00524C21"/>
    <w:rsid w:val="00524ECB"/>
    <w:rsid w:val="00525057"/>
    <w:rsid w:val="005253E3"/>
    <w:rsid w:val="00525421"/>
    <w:rsid w:val="00525473"/>
    <w:rsid w:val="005254B5"/>
    <w:rsid w:val="00525533"/>
    <w:rsid w:val="00525548"/>
    <w:rsid w:val="0052566D"/>
    <w:rsid w:val="00525670"/>
    <w:rsid w:val="0052584C"/>
    <w:rsid w:val="00525902"/>
    <w:rsid w:val="00525988"/>
    <w:rsid w:val="00525A5D"/>
    <w:rsid w:val="00525A7A"/>
    <w:rsid w:val="00525AA6"/>
    <w:rsid w:val="00525AEE"/>
    <w:rsid w:val="00525C9C"/>
    <w:rsid w:val="00525E4C"/>
    <w:rsid w:val="005261E1"/>
    <w:rsid w:val="00526648"/>
    <w:rsid w:val="00526AB6"/>
    <w:rsid w:val="00526C90"/>
    <w:rsid w:val="00526E24"/>
    <w:rsid w:val="00527060"/>
    <w:rsid w:val="005272B3"/>
    <w:rsid w:val="005272CE"/>
    <w:rsid w:val="005273FD"/>
    <w:rsid w:val="0052745E"/>
    <w:rsid w:val="0052777F"/>
    <w:rsid w:val="0052782D"/>
    <w:rsid w:val="0052786F"/>
    <w:rsid w:val="0052789F"/>
    <w:rsid w:val="00527AEB"/>
    <w:rsid w:val="00527CEE"/>
    <w:rsid w:val="00527D47"/>
    <w:rsid w:val="005304B8"/>
    <w:rsid w:val="00530541"/>
    <w:rsid w:val="00530591"/>
    <w:rsid w:val="005305C7"/>
    <w:rsid w:val="0053062E"/>
    <w:rsid w:val="0053068B"/>
    <w:rsid w:val="005309F7"/>
    <w:rsid w:val="00530AF2"/>
    <w:rsid w:val="00530BBB"/>
    <w:rsid w:val="00530BD7"/>
    <w:rsid w:val="00530D27"/>
    <w:rsid w:val="00530E93"/>
    <w:rsid w:val="00530EA7"/>
    <w:rsid w:val="005312EB"/>
    <w:rsid w:val="005312EF"/>
    <w:rsid w:val="00531339"/>
    <w:rsid w:val="005314A3"/>
    <w:rsid w:val="00531758"/>
    <w:rsid w:val="00531A1F"/>
    <w:rsid w:val="00531A62"/>
    <w:rsid w:val="00531BE2"/>
    <w:rsid w:val="00531C5C"/>
    <w:rsid w:val="00531CE9"/>
    <w:rsid w:val="00531E32"/>
    <w:rsid w:val="00531E48"/>
    <w:rsid w:val="00531EAA"/>
    <w:rsid w:val="00531EB4"/>
    <w:rsid w:val="005320B6"/>
    <w:rsid w:val="005322DF"/>
    <w:rsid w:val="00532310"/>
    <w:rsid w:val="00532361"/>
    <w:rsid w:val="00532432"/>
    <w:rsid w:val="0053249B"/>
    <w:rsid w:val="00532790"/>
    <w:rsid w:val="005327CC"/>
    <w:rsid w:val="00532831"/>
    <w:rsid w:val="005328C8"/>
    <w:rsid w:val="005329FA"/>
    <w:rsid w:val="00532A16"/>
    <w:rsid w:val="00532A78"/>
    <w:rsid w:val="0053319A"/>
    <w:rsid w:val="00533279"/>
    <w:rsid w:val="005332D6"/>
    <w:rsid w:val="00533462"/>
    <w:rsid w:val="00533512"/>
    <w:rsid w:val="005335BE"/>
    <w:rsid w:val="0053372C"/>
    <w:rsid w:val="0053381C"/>
    <w:rsid w:val="00533E5F"/>
    <w:rsid w:val="0053400A"/>
    <w:rsid w:val="00534138"/>
    <w:rsid w:val="005341E9"/>
    <w:rsid w:val="005343E3"/>
    <w:rsid w:val="00534490"/>
    <w:rsid w:val="00534690"/>
    <w:rsid w:val="00534754"/>
    <w:rsid w:val="0053476B"/>
    <w:rsid w:val="005348DF"/>
    <w:rsid w:val="00534917"/>
    <w:rsid w:val="00534988"/>
    <w:rsid w:val="00534CCC"/>
    <w:rsid w:val="005351DA"/>
    <w:rsid w:val="0053547C"/>
    <w:rsid w:val="00535744"/>
    <w:rsid w:val="0053586A"/>
    <w:rsid w:val="00535889"/>
    <w:rsid w:val="00535A64"/>
    <w:rsid w:val="00535FD9"/>
    <w:rsid w:val="00536072"/>
    <w:rsid w:val="005360FC"/>
    <w:rsid w:val="005361D9"/>
    <w:rsid w:val="005362BE"/>
    <w:rsid w:val="0053635A"/>
    <w:rsid w:val="0053637D"/>
    <w:rsid w:val="00536461"/>
    <w:rsid w:val="00536736"/>
    <w:rsid w:val="00536A99"/>
    <w:rsid w:val="00536BD7"/>
    <w:rsid w:val="00536C58"/>
    <w:rsid w:val="00536E91"/>
    <w:rsid w:val="00537203"/>
    <w:rsid w:val="005374DD"/>
    <w:rsid w:val="00537559"/>
    <w:rsid w:val="00537574"/>
    <w:rsid w:val="005375DB"/>
    <w:rsid w:val="005376B6"/>
    <w:rsid w:val="005377BD"/>
    <w:rsid w:val="00537B4C"/>
    <w:rsid w:val="00537B5C"/>
    <w:rsid w:val="00537D5E"/>
    <w:rsid w:val="00540140"/>
    <w:rsid w:val="005401B4"/>
    <w:rsid w:val="005401E0"/>
    <w:rsid w:val="0054021F"/>
    <w:rsid w:val="005402D0"/>
    <w:rsid w:val="005402EC"/>
    <w:rsid w:val="00540496"/>
    <w:rsid w:val="00540803"/>
    <w:rsid w:val="00540A05"/>
    <w:rsid w:val="00540B29"/>
    <w:rsid w:val="00540C72"/>
    <w:rsid w:val="00541054"/>
    <w:rsid w:val="0054116D"/>
    <w:rsid w:val="00541722"/>
    <w:rsid w:val="00541A5F"/>
    <w:rsid w:val="00541A6E"/>
    <w:rsid w:val="00541C0E"/>
    <w:rsid w:val="00541C39"/>
    <w:rsid w:val="00541E48"/>
    <w:rsid w:val="00541E61"/>
    <w:rsid w:val="00542369"/>
    <w:rsid w:val="0054253B"/>
    <w:rsid w:val="00542578"/>
    <w:rsid w:val="00542635"/>
    <w:rsid w:val="00542715"/>
    <w:rsid w:val="00542C8B"/>
    <w:rsid w:val="00542E91"/>
    <w:rsid w:val="00543040"/>
    <w:rsid w:val="0054331D"/>
    <w:rsid w:val="00543358"/>
    <w:rsid w:val="00543369"/>
    <w:rsid w:val="00543448"/>
    <w:rsid w:val="0054389F"/>
    <w:rsid w:val="00543CD0"/>
    <w:rsid w:val="00543DC6"/>
    <w:rsid w:val="00543E5C"/>
    <w:rsid w:val="00544029"/>
    <w:rsid w:val="0054443A"/>
    <w:rsid w:val="005445CA"/>
    <w:rsid w:val="005445F6"/>
    <w:rsid w:val="00544763"/>
    <w:rsid w:val="00544990"/>
    <w:rsid w:val="00544C73"/>
    <w:rsid w:val="00544CBA"/>
    <w:rsid w:val="00544D8C"/>
    <w:rsid w:val="00544DB7"/>
    <w:rsid w:val="00544EAB"/>
    <w:rsid w:val="00544EC8"/>
    <w:rsid w:val="00545052"/>
    <w:rsid w:val="005450A9"/>
    <w:rsid w:val="005450B9"/>
    <w:rsid w:val="005450E1"/>
    <w:rsid w:val="005451AE"/>
    <w:rsid w:val="005452BF"/>
    <w:rsid w:val="0054535E"/>
    <w:rsid w:val="0054558E"/>
    <w:rsid w:val="00545638"/>
    <w:rsid w:val="005456F0"/>
    <w:rsid w:val="00545A63"/>
    <w:rsid w:val="00545ADC"/>
    <w:rsid w:val="00545BF1"/>
    <w:rsid w:val="00545CF5"/>
    <w:rsid w:val="00545E95"/>
    <w:rsid w:val="005462CC"/>
    <w:rsid w:val="005462F9"/>
    <w:rsid w:val="0054634E"/>
    <w:rsid w:val="0054635B"/>
    <w:rsid w:val="005463E1"/>
    <w:rsid w:val="0054647C"/>
    <w:rsid w:val="005464B6"/>
    <w:rsid w:val="00546573"/>
    <w:rsid w:val="005465D5"/>
    <w:rsid w:val="00546715"/>
    <w:rsid w:val="00546758"/>
    <w:rsid w:val="00546960"/>
    <w:rsid w:val="00546969"/>
    <w:rsid w:val="00546A94"/>
    <w:rsid w:val="00546D39"/>
    <w:rsid w:val="005471CF"/>
    <w:rsid w:val="00547255"/>
    <w:rsid w:val="00547304"/>
    <w:rsid w:val="0054742C"/>
    <w:rsid w:val="0054773B"/>
    <w:rsid w:val="00547904"/>
    <w:rsid w:val="0054790E"/>
    <w:rsid w:val="005479E2"/>
    <w:rsid w:val="00547A21"/>
    <w:rsid w:val="00547A25"/>
    <w:rsid w:val="00547C4D"/>
    <w:rsid w:val="00547C68"/>
    <w:rsid w:val="00547E7B"/>
    <w:rsid w:val="00547EC1"/>
    <w:rsid w:val="0055002B"/>
    <w:rsid w:val="0055017B"/>
    <w:rsid w:val="0055017D"/>
    <w:rsid w:val="00550344"/>
    <w:rsid w:val="0055059C"/>
    <w:rsid w:val="005507F8"/>
    <w:rsid w:val="00550A46"/>
    <w:rsid w:val="00550ADB"/>
    <w:rsid w:val="00550ADD"/>
    <w:rsid w:val="00550B3F"/>
    <w:rsid w:val="00550D2B"/>
    <w:rsid w:val="00550F00"/>
    <w:rsid w:val="00551214"/>
    <w:rsid w:val="005513EF"/>
    <w:rsid w:val="005516D2"/>
    <w:rsid w:val="0055179D"/>
    <w:rsid w:val="00551A46"/>
    <w:rsid w:val="00551B81"/>
    <w:rsid w:val="00551D01"/>
    <w:rsid w:val="00551E4F"/>
    <w:rsid w:val="00552170"/>
    <w:rsid w:val="005521C8"/>
    <w:rsid w:val="0055221A"/>
    <w:rsid w:val="0055233F"/>
    <w:rsid w:val="00552843"/>
    <w:rsid w:val="00552A0E"/>
    <w:rsid w:val="00552A2D"/>
    <w:rsid w:val="00552B07"/>
    <w:rsid w:val="00552BBD"/>
    <w:rsid w:val="00552D26"/>
    <w:rsid w:val="00552D5B"/>
    <w:rsid w:val="00552D8D"/>
    <w:rsid w:val="00552D96"/>
    <w:rsid w:val="00552D98"/>
    <w:rsid w:val="00552E37"/>
    <w:rsid w:val="00552EC3"/>
    <w:rsid w:val="00553062"/>
    <w:rsid w:val="0055353C"/>
    <w:rsid w:val="00553752"/>
    <w:rsid w:val="0055380D"/>
    <w:rsid w:val="0055381E"/>
    <w:rsid w:val="0055394F"/>
    <w:rsid w:val="00553A36"/>
    <w:rsid w:val="00553A90"/>
    <w:rsid w:val="00553B94"/>
    <w:rsid w:val="00553D8A"/>
    <w:rsid w:val="00553F10"/>
    <w:rsid w:val="00553F6C"/>
    <w:rsid w:val="00553F7E"/>
    <w:rsid w:val="00554084"/>
    <w:rsid w:val="005541A1"/>
    <w:rsid w:val="005542E3"/>
    <w:rsid w:val="0055457F"/>
    <w:rsid w:val="005548C7"/>
    <w:rsid w:val="005548CD"/>
    <w:rsid w:val="00554909"/>
    <w:rsid w:val="00554C33"/>
    <w:rsid w:val="00554F08"/>
    <w:rsid w:val="00555243"/>
    <w:rsid w:val="00555472"/>
    <w:rsid w:val="005555DF"/>
    <w:rsid w:val="00555698"/>
    <w:rsid w:val="00555706"/>
    <w:rsid w:val="00555ADF"/>
    <w:rsid w:val="00555FA9"/>
    <w:rsid w:val="00556160"/>
    <w:rsid w:val="00556177"/>
    <w:rsid w:val="005561E4"/>
    <w:rsid w:val="00556355"/>
    <w:rsid w:val="00556458"/>
    <w:rsid w:val="00556688"/>
    <w:rsid w:val="0055682F"/>
    <w:rsid w:val="00556833"/>
    <w:rsid w:val="00556992"/>
    <w:rsid w:val="00556D7C"/>
    <w:rsid w:val="0055727F"/>
    <w:rsid w:val="00557346"/>
    <w:rsid w:val="005576DE"/>
    <w:rsid w:val="005576E0"/>
    <w:rsid w:val="005578F3"/>
    <w:rsid w:val="00557AD0"/>
    <w:rsid w:val="00557B81"/>
    <w:rsid w:val="00557BA4"/>
    <w:rsid w:val="00557C91"/>
    <w:rsid w:val="00557D6D"/>
    <w:rsid w:val="00557EC5"/>
    <w:rsid w:val="00557EF0"/>
    <w:rsid w:val="00560281"/>
    <w:rsid w:val="00560533"/>
    <w:rsid w:val="0056056A"/>
    <w:rsid w:val="0056070A"/>
    <w:rsid w:val="00560730"/>
    <w:rsid w:val="00560943"/>
    <w:rsid w:val="00560BD3"/>
    <w:rsid w:val="00560CDC"/>
    <w:rsid w:val="00560D20"/>
    <w:rsid w:val="00560EB5"/>
    <w:rsid w:val="00561147"/>
    <w:rsid w:val="00561573"/>
    <w:rsid w:val="00561596"/>
    <w:rsid w:val="0056160D"/>
    <w:rsid w:val="00561637"/>
    <w:rsid w:val="0056169D"/>
    <w:rsid w:val="005617D2"/>
    <w:rsid w:val="00561A93"/>
    <w:rsid w:val="00561B49"/>
    <w:rsid w:val="00561D6A"/>
    <w:rsid w:val="00561DE1"/>
    <w:rsid w:val="00561F84"/>
    <w:rsid w:val="005621EA"/>
    <w:rsid w:val="00562218"/>
    <w:rsid w:val="00562286"/>
    <w:rsid w:val="005623FB"/>
    <w:rsid w:val="005624A8"/>
    <w:rsid w:val="005625A3"/>
    <w:rsid w:val="005625F9"/>
    <w:rsid w:val="005626EF"/>
    <w:rsid w:val="0056271A"/>
    <w:rsid w:val="005628C0"/>
    <w:rsid w:val="00562BCA"/>
    <w:rsid w:val="00562D0F"/>
    <w:rsid w:val="00562DE9"/>
    <w:rsid w:val="00562E1C"/>
    <w:rsid w:val="005631B4"/>
    <w:rsid w:val="0056331A"/>
    <w:rsid w:val="005633C7"/>
    <w:rsid w:val="00563543"/>
    <w:rsid w:val="005635D3"/>
    <w:rsid w:val="00563777"/>
    <w:rsid w:val="00563985"/>
    <w:rsid w:val="0056398B"/>
    <w:rsid w:val="00563BBD"/>
    <w:rsid w:val="00563EF1"/>
    <w:rsid w:val="00563FB0"/>
    <w:rsid w:val="00563FD9"/>
    <w:rsid w:val="00564014"/>
    <w:rsid w:val="005640CF"/>
    <w:rsid w:val="00564160"/>
    <w:rsid w:val="00564403"/>
    <w:rsid w:val="00564409"/>
    <w:rsid w:val="00564672"/>
    <w:rsid w:val="005646B8"/>
    <w:rsid w:val="005649C4"/>
    <w:rsid w:val="005649F0"/>
    <w:rsid w:val="00564BD7"/>
    <w:rsid w:val="00564D56"/>
    <w:rsid w:val="00564E0B"/>
    <w:rsid w:val="00564E1D"/>
    <w:rsid w:val="00564EE6"/>
    <w:rsid w:val="00564F05"/>
    <w:rsid w:val="00564FA5"/>
    <w:rsid w:val="00565036"/>
    <w:rsid w:val="0056505D"/>
    <w:rsid w:val="005652B0"/>
    <w:rsid w:val="00565344"/>
    <w:rsid w:val="00565378"/>
    <w:rsid w:val="00565435"/>
    <w:rsid w:val="0056549A"/>
    <w:rsid w:val="0056551A"/>
    <w:rsid w:val="00565672"/>
    <w:rsid w:val="00565979"/>
    <w:rsid w:val="00565ACB"/>
    <w:rsid w:val="00565CF1"/>
    <w:rsid w:val="00566138"/>
    <w:rsid w:val="00566361"/>
    <w:rsid w:val="0056660B"/>
    <w:rsid w:val="00566A29"/>
    <w:rsid w:val="00566A7E"/>
    <w:rsid w:val="00566C63"/>
    <w:rsid w:val="00566E70"/>
    <w:rsid w:val="00566FE3"/>
    <w:rsid w:val="00567000"/>
    <w:rsid w:val="0056725A"/>
    <w:rsid w:val="0056726B"/>
    <w:rsid w:val="005673A0"/>
    <w:rsid w:val="0056749D"/>
    <w:rsid w:val="005674DB"/>
    <w:rsid w:val="005674FB"/>
    <w:rsid w:val="005675DB"/>
    <w:rsid w:val="00567807"/>
    <w:rsid w:val="00567970"/>
    <w:rsid w:val="00567AC5"/>
    <w:rsid w:val="00567CD2"/>
    <w:rsid w:val="00567CE4"/>
    <w:rsid w:val="00567D65"/>
    <w:rsid w:val="00567EDB"/>
    <w:rsid w:val="00567EF2"/>
    <w:rsid w:val="005701C0"/>
    <w:rsid w:val="005701C1"/>
    <w:rsid w:val="005702D0"/>
    <w:rsid w:val="00570328"/>
    <w:rsid w:val="00570440"/>
    <w:rsid w:val="00570506"/>
    <w:rsid w:val="005705F4"/>
    <w:rsid w:val="00570649"/>
    <w:rsid w:val="00570826"/>
    <w:rsid w:val="005709F7"/>
    <w:rsid w:val="00570A3E"/>
    <w:rsid w:val="00570F05"/>
    <w:rsid w:val="00571075"/>
    <w:rsid w:val="005710E0"/>
    <w:rsid w:val="005711A2"/>
    <w:rsid w:val="005711F1"/>
    <w:rsid w:val="005718FF"/>
    <w:rsid w:val="00571987"/>
    <w:rsid w:val="00571AB3"/>
    <w:rsid w:val="00571B1B"/>
    <w:rsid w:val="00571BC4"/>
    <w:rsid w:val="00571EAE"/>
    <w:rsid w:val="00571FC2"/>
    <w:rsid w:val="0057210F"/>
    <w:rsid w:val="00572196"/>
    <w:rsid w:val="00572298"/>
    <w:rsid w:val="0057251C"/>
    <w:rsid w:val="0057252F"/>
    <w:rsid w:val="0057289A"/>
    <w:rsid w:val="005729D6"/>
    <w:rsid w:val="005729E3"/>
    <w:rsid w:val="00572AFF"/>
    <w:rsid w:val="00572CA9"/>
    <w:rsid w:val="00572D92"/>
    <w:rsid w:val="00573006"/>
    <w:rsid w:val="0057303A"/>
    <w:rsid w:val="00573079"/>
    <w:rsid w:val="005731C5"/>
    <w:rsid w:val="00573358"/>
    <w:rsid w:val="005734E7"/>
    <w:rsid w:val="00573602"/>
    <w:rsid w:val="00573734"/>
    <w:rsid w:val="005737B6"/>
    <w:rsid w:val="00573B2A"/>
    <w:rsid w:val="00573CCB"/>
    <w:rsid w:val="00573FAE"/>
    <w:rsid w:val="00574210"/>
    <w:rsid w:val="00574290"/>
    <w:rsid w:val="00574489"/>
    <w:rsid w:val="00574654"/>
    <w:rsid w:val="00574763"/>
    <w:rsid w:val="0057494F"/>
    <w:rsid w:val="00574A2B"/>
    <w:rsid w:val="00574A3F"/>
    <w:rsid w:val="00574A4C"/>
    <w:rsid w:val="00574BB8"/>
    <w:rsid w:val="00574CCE"/>
    <w:rsid w:val="00574F56"/>
    <w:rsid w:val="00574F98"/>
    <w:rsid w:val="00575011"/>
    <w:rsid w:val="00575039"/>
    <w:rsid w:val="005750EB"/>
    <w:rsid w:val="00575292"/>
    <w:rsid w:val="00575481"/>
    <w:rsid w:val="0057561C"/>
    <w:rsid w:val="00575A1B"/>
    <w:rsid w:val="00575DDC"/>
    <w:rsid w:val="005760A4"/>
    <w:rsid w:val="00576176"/>
    <w:rsid w:val="005764C6"/>
    <w:rsid w:val="005767C1"/>
    <w:rsid w:val="00576EEE"/>
    <w:rsid w:val="00577035"/>
    <w:rsid w:val="005772EA"/>
    <w:rsid w:val="005773A8"/>
    <w:rsid w:val="005774F4"/>
    <w:rsid w:val="00577572"/>
    <w:rsid w:val="005775E7"/>
    <w:rsid w:val="0057764B"/>
    <w:rsid w:val="005776DC"/>
    <w:rsid w:val="005777DE"/>
    <w:rsid w:val="00577850"/>
    <w:rsid w:val="00577BA9"/>
    <w:rsid w:val="00577F82"/>
    <w:rsid w:val="00577FFB"/>
    <w:rsid w:val="0058038C"/>
    <w:rsid w:val="005805FB"/>
    <w:rsid w:val="0058069A"/>
    <w:rsid w:val="00580724"/>
    <w:rsid w:val="00580754"/>
    <w:rsid w:val="0058081E"/>
    <w:rsid w:val="0058083C"/>
    <w:rsid w:val="00580846"/>
    <w:rsid w:val="005809E8"/>
    <w:rsid w:val="00580ACA"/>
    <w:rsid w:val="00580C64"/>
    <w:rsid w:val="00580CA1"/>
    <w:rsid w:val="00580FC3"/>
    <w:rsid w:val="0058101F"/>
    <w:rsid w:val="00581087"/>
    <w:rsid w:val="0058112C"/>
    <w:rsid w:val="00581227"/>
    <w:rsid w:val="005812F2"/>
    <w:rsid w:val="00581445"/>
    <w:rsid w:val="005814F8"/>
    <w:rsid w:val="0058159F"/>
    <w:rsid w:val="00581993"/>
    <w:rsid w:val="005819AA"/>
    <w:rsid w:val="00581B5B"/>
    <w:rsid w:val="00581BBC"/>
    <w:rsid w:val="00581BBF"/>
    <w:rsid w:val="00581D40"/>
    <w:rsid w:val="00581D5A"/>
    <w:rsid w:val="00581D8A"/>
    <w:rsid w:val="00581F6F"/>
    <w:rsid w:val="005820C4"/>
    <w:rsid w:val="005820EA"/>
    <w:rsid w:val="005824E5"/>
    <w:rsid w:val="005827F0"/>
    <w:rsid w:val="005827FB"/>
    <w:rsid w:val="00582BD1"/>
    <w:rsid w:val="00582CA7"/>
    <w:rsid w:val="00583127"/>
    <w:rsid w:val="00583287"/>
    <w:rsid w:val="00583519"/>
    <w:rsid w:val="005835FD"/>
    <w:rsid w:val="005836AF"/>
    <w:rsid w:val="005837C0"/>
    <w:rsid w:val="00583935"/>
    <w:rsid w:val="00583A71"/>
    <w:rsid w:val="00583C12"/>
    <w:rsid w:val="00583F0A"/>
    <w:rsid w:val="00583FB7"/>
    <w:rsid w:val="0058407E"/>
    <w:rsid w:val="0058410B"/>
    <w:rsid w:val="00584131"/>
    <w:rsid w:val="00584151"/>
    <w:rsid w:val="005842A7"/>
    <w:rsid w:val="0058435F"/>
    <w:rsid w:val="005844D5"/>
    <w:rsid w:val="005844D9"/>
    <w:rsid w:val="0058454E"/>
    <w:rsid w:val="00584713"/>
    <w:rsid w:val="005847CF"/>
    <w:rsid w:val="00584930"/>
    <w:rsid w:val="00584A40"/>
    <w:rsid w:val="00584DBF"/>
    <w:rsid w:val="00584FF9"/>
    <w:rsid w:val="005851EE"/>
    <w:rsid w:val="00585264"/>
    <w:rsid w:val="0058531A"/>
    <w:rsid w:val="0058535F"/>
    <w:rsid w:val="005856BF"/>
    <w:rsid w:val="00585823"/>
    <w:rsid w:val="0058589A"/>
    <w:rsid w:val="00585996"/>
    <w:rsid w:val="00585CE8"/>
    <w:rsid w:val="00585D39"/>
    <w:rsid w:val="00586013"/>
    <w:rsid w:val="005862C5"/>
    <w:rsid w:val="0058637C"/>
    <w:rsid w:val="005863F4"/>
    <w:rsid w:val="00586457"/>
    <w:rsid w:val="00586596"/>
    <w:rsid w:val="00586691"/>
    <w:rsid w:val="00586758"/>
    <w:rsid w:val="00586E7B"/>
    <w:rsid w:val="00586FB3"/>
    <w:rsid w:val="005872B7"/>
    <w:rsid w:val="0058776E"/>
    <w:rsid w:val="005879DF"/>
    <w:rsid w:val="00587B0D"/>
    <w:rsid w:val="00587BE3"/>
    <w:rsid w:val="0059003D"/>
    <w:rsid w:val="00590193"/>
    <w:rsid w:val="0059019C"/>
    <w:rsid w:val="005903BE"/>
    <w:rsid w:val="005905A9"/>
    <w:rsid w:val="005905FC"/>
    <w:rsid w:val="005906C6"/>
    <w:rsid w:val="005908F1"/>
    <w:rsid w:val="005909BF"/>
    <w:rsid w:val="00590BDF"/>
    <w:rsid w:val="00590BF3"/>
    <w:rsid w:val="00590D42"/>
    <w:rsid w:val="00590E33"/>
    <w:rsid w:val="00590E39"/>
    <w:rsid w:val="00590EDD"/>
    <w:rsid w:val="00590FD7"/>
    <w:rsid w:val="00590FE1"/>
    <w:rsid w:val="0059118C"/>
    <w:rsid w:val="00591471"/>
    <w:rsid w:val="0059153B"/>
    <w:rsid w:val="005915B2"/>
    <w:rsid w:val="005915D8"/>
    <w:rsid w:val="005917D4"/>
    <w:rsid w:val="0059195A"/>
    <w:rsid w:val="005919C8"/>
    <w:rsid w:val="005919E6"/>
    <w:rsid w:val="00591A21"/>
    <w:rsid w:val="00591A24"/>
    <w:rsid w:val="00591A5A"/>
    <w:rsid w:val="00591BE1"/>
    <w:rsid w:val="00591EF4"/>
    <w:rsid w:val="00591FE1"/>
    <w:rsid w:val="005922A5"/>
    <w:rsid w:val="00592350"/>
    <w:rsid w:val="0059239B"/>
    <w:rsid w:val="005924A4"/>
    <w:rsid w:val="005925FA"/>
    <w:rsid w:val="00592635"/>
    <w:rsid w:val="005929C2"/>
    <w:rsid w:val="00592E44"/>
    <w:rsid w:val="00593050"/>
    <w:rsid w:val="0059315C"/>
    <w:rsid w:val="0059317D"/>
    <w:rsid w:val="00593337"/>
    <w:rsid w:val="0059350F"/>
    <w:rsid w:val="0059375A"/>
    <w:rsid w:val="0059375F"/>
    <w:rsid w:val="005938BD"/>
    <w:rsid w:val="005939F2"/>
    <w:rsid w:val="00593AA9"/>
    <w:rsid w:val="00593D3B"/>
    <w:rsid w:val="0059401E"/>
    <w:rsid w:val="005940C0"/>
    <w:rsid w:val="00594154"/>
    <w:rsid w:val="0059434A"/>
    <w:rsid w:val="0059447B"/>
    <w:rsid w:val="0059464D"/>
    <w:rsid w:val="00594AD3"/>
    <w:rsid w:val="00594B3D"/>
    <w:rsid w:val="00594D6D"/>
    <w:rsid w:val="00594E50"/>
    <w:rsid w:val="00594E63"/>
    <w:rsid w:val="0059501F"/>
    <w:rsid w:val="00595037"/>
    <w:rsid w:val="005957F7"/>
    <w:rsid w:val="00595914"/>
    <w:rsid w:val="00595E59"/>
    <w:rsid w:val="00595E9B"/>
    <w:rsid w:val="005961E1"/>
    <w:rsid w:val="00596277"/>
    <w:rsid w:val="005962C9"/>
    <w:rsid w:val="005964F0"/>
    <w:rsid w:val="005965C8"/>
    <w:rsid w:val="00596817"/>
    <w:rsid w:val="00596950"/>
    <w:rsid w:val="00596CE7"/>
    <w:rsid w:val="00596E4D"/>
    <w:rsid w:val="00596FDC"/>
    <w:rsid w:val="005970E0"/>
    <w:rsid w:val="0059725E"/>
    <w:rsid w:val="005976E9"/>
    <w:rsid w:val="0059788E"/>
    <w:rsid w:val="005979C5"/>
    <w:rsid w:val="00597A9C"/>
    <w:rsid w:val="00597C1B"/>
    <w:rsid w:val="00597E36"/>
    <w:rsid w:val="00597F6A"/>
    <w:rsid w:val="005A026F"/>
    <w:rsid w:val="005A050E"/>
    <w:rsid w:val="005A05B3"/>
    <w:rsid w:val="005A0627"/>
    <w:rsid w:val="005A0A39"/>
    <w:rsid w:val="005A0C20"/>
    <w:rsid w:val="005A0E45"/>
    <w:rsid w:val="005A0E86"/>
    <w:rsid w:val="005A0E8E"/>
    <w:rsid w:val="005A0FFF"/>
    <w:rsid w:val="005A11DA"/>
    <w:rsid w:val="005A11EA"/>
    <w:rsid w:val="005A120F"/>
    <w:rsid w:val="005A146A"/>
    <w:rsid w:val="005A14B1"/>
    <w:rsid w:val="005A154F"/>
    <w:rsid w:val="005A1562"/>
    <w:rsid w:val="005A1696"/>
    <w:rsid w:val="005A1822"/>
    <w:rsid w:val="005A1A80"/>
    <w:rsid w:val="005A1E50"/>
    <w:rsid w:val="005A1EDE"/>
    <w:rsid w:val="005A1F6B"/>
    <w:rsid w:val="005A20CF"/>
    <w:rsid w:val="005A2384"/>
    <w:rsid w:val="005A25AF"/>
    <w:rsid w:val="005A25B0"/>
    <w:rsid w:val="005A292A"/>
    <w:rsid w:val="005A2DD8"/>
    <w:rsid w:val="005A34B9"/>
    <w:rsid w:val="005A36CA"/>
    <w:rsid w:val="005A3737"/>
    <w:rsid w:val="005A37AC"/>
    <w:rsid w:val="005A38BD"/>
    <w:rsid w:val="005A3949"/>
    <w:rsid w:val="005A39FA"/>
    <w:rsid w:val="005A3A42"/>
    <w:rsid w:val="005A3AF0"/>
    <w:rsid w:val="005A3AF3"/>
    <w:rsid w:val="005A3B46"/>
    <w:rsid w:val="005A3C3C"/>
    <w:rsid w:val="005A3CBF"/>
    <w:rsid w:val="005A3DFB"/>
    <w:rsid w:val="005A4051"/>
    <w:rsid w:val="005A449C"/>
    <w:rsid w:val="005A4569"/>
    <w:rsid w:val="005A465D"/>
    <w:rsid w:val="005A498C"/>
    <w:rsid w:val="005A49E0"/>
    <w:rsid w:val="005A4ADC"/>
    <w:rsid w:val="005A4B20"/>
    <w:rsid w:val="005A52AB"/>
    <w:rsid w:val="005A5669"/>
    <w:rsid w:val="005A586F"/>
    <w:rsid w:val="005A5B37"/>
    <w:rsid w:val="005A5CFE"/>
    <w:rsid w:val="005A5D12"/>
    <w:rsid w:val="005A5FB3"/>
    <w:rsid w:val="005A62D1"/>
    <w:rsid w:val="005A640A"/>
    <w:rsid w:val="005A6450"/>
    <w:rsid w:val="005A645A"/>
    <w:rsid w:val="005A64BE"/>
    <w:rsid w:val="005A64DD"/>
    <w:rsid w:val="005A6659"/>
    <w:rsid w:val="005A6700"/>
    <w:rsid w:val="005A6920"/>
    <w:rsid w:val="005A696D"/>
    <w:rsid w:val="005A6B9B"/>
    <w:rsid w:val="005A6CB4"/>
    <w:rsid w:val="005A7022"/>
    <w:rsid w:val="005A70EE"/>
    <w:rsid w:val="005A720B"/>
    <w:rsid w:val="005A7340"/>
    <w:rsid w:val="005A740F"/>
    <w:rsid w:val="005A7662"/>
    <w:rsid w:val="005A7947"/>
    <w:rsid w:val="005A7A72"/>
    <w:rsid w:val="005A7CF8"/>
    <w:rsid w:val="005B00FA"/>
    <w:rsid w:val="005B0151"/>
    <w:rsid w:val="005B0167"/>
    <w:rsid w:val="005B025B"/>
    <w:rsid w:val="005B0C3F"/>
    <w:rsid w:val="005B0C99"/>
    <w:rsid w:val="005B0D4C"/>
    <w:rsid w:val="005B0EA7"/>
    <w:rsid w:val="005B114B"/>
    <w:rsid w:val="005B1225"/>
    <w:rsid w:val="005B128A"/>
    <w:rsid w:val="005B1EC6"/>
    <w:rsid w:val="005B219F"/>
    <w:rsid w:val="005B223B"/>
    <w:rsid w:val="005B2396"/>
    <w:rsid w:val="005B24CD"/>
    <w:rsid w:val="005B2532"/>
    <w:rsid w:val="005B258E"/>
    <w:rsid w:val="005B2C7C"/>
    <w:rsid w:val="005B2E2A"/>
    <w:rsid w:val="005B2E8D"/>
    <w:rsid w:val="005B2E9A"/>
    <w:rsid w:val="005B2F4D"/>
    <w:rsid w:val="005B2FAC"/>
    <w:rsid w:val="005B30AB"/>
    <w:rsid w:val="005B3388"/>
    <w:rsid w:val="005B3544"/>
    <w:rsid w:val="005B3790"/>
    <w:rsid w:val="005B3872"/>
    <w:rsid w:val="005B3942"/>
    <w:rsid w:val="005B3AC7"/>
    <w:rsid w:val="005B3AFA"/>
    <w:rsid w:val="005B3B7C"/>
    <w:rsid w:val="005B3D33"/>
    <w:rsid w:val="005B3DAD"/>
    <w:rsid w:val="005B3E26"/>
    <w:rsid w:val="005B3EC8"/>
    <w:rsid w:val="005B3F10"/>
    <w:rsid w:val="005B3F55"/>
    <w:rsid w:val="005B3F5B"/>
    <w:rsid w:val="005B3FEF"/>
    <w:rsid w:val="005B41BF"/>
    <w:rsid w:val="005B43F5"/>
    <w:rsid w:val="005B4679"/>
    <w:rsid w:val="005B4AEE"/>
    <w:rsid w:val="005B4CC8"/>
    <w:rsid w:val="005B5052"/>
    <w:rsid w:val="005B5300"/>
    <w:rsid w:val="005B547B"/>
    <w:rsid w:val="005B563E"/>
    <w:rsid w:val="005B564E"/>
    <w:rsid w:val="005B5666"/>
    <w:rsid w:val="005B5706"/>
    <w:rsid w:val="005B5786"/>
    <w:rsid w:val="005B5A3A"/>
    <w:rsid w:val="005B5B21"/>
    <w:rsid w:val="005B5EE4"/>
    <w:rsid w:val="005B5F5B"/>
    <w:rsid w:val="005B5F9A"/>
    <w:rsid w:val="005B6030"/>
    <w:rsid w:val="005B6141"/>
    <w:rsid w:val="005B614C"/>
    <w:rsid w:val="005B6224"/>
    <w:rsid w:val="005B6636"/>
    <w:rsid w:val="005B66CB"/>
    <w:rsid w:val="005B68AC"/>
    <w:rsid w:val="005B68D8"/>
    <w:rsid w:val="005B6CC7"/>
    <w:rsid w:val="005B6F32"/>
    <w:rsid w:val="005B6F47"/>
    <w:rsid w:val="005B70A4"/>
    <w:rsid w:val="005B71D6"/>
    <w:rsid w:val="005B751F"/>
    <w:rsid w:val="005B766C"/>
    <w:rsid w:val="005B76C8"/>
    <w:rsid w:val="005B77D4"/>
    <w:rsid w:val="005B7971"/>
    <w:rsid w:val="005B7A1C"/>
    <w:rsid w:val="005B7BCD"/>
    <w:rsid w:val="005B7C71"/>
    <w:rsid w:val="005B7D82"/>
    <w:rsid w:val="005B7E2D"/>
    <w:rsid w:val="005C00AE"/>
    <w:rsid w:val="005C016B"/>
    <w:rsid w:val="005C030B"/>
    <w:rsid w:val="005C0469"/>
    <w:rsid w:val="005C08EB"/>
    <w:rsid w:val="005C0A33"/>
    <w:rsid w:val="005C0ED3"/>
    <w:rsid w:val="005C0F83"/>
    <w:rsid w:val="005C1167"/>
    <w:rsid w:val="005C13D2"/>
    <w:rsid w:val="005C1410"/>
    <w:rsid w:val="005C167E"/>
    <w:rsid w:val="005C197F"/>
    <w:rsid w:val="005C19EB"/>
    <w:rsid w:val="005C1A6E"/>
    <w:rsid w:val="005C1B29"/>
    <w:rsid w:val="005C1B84"/>
    <w:rsid w:val="005C1DF1"/>
    <w:rsid w:val="005C1E19"/>
    <w:rsid w:val="005C1F33"/>
    <w:rsid w:val="005C2021"/>
    <w:rsid w:val="005C22C7"/>
    <w:rsid w:val="005C256B"/>
    <w:rsid w:val="005C26CB"/>
    <w:rsid w:val="005C2848"/>
    <w:rsid w:val="005C2B00"/>
    <w:rsid w:val="005C2B2F"/>
    <w:rsid w:val="005C2BB5"/>
    <w:rsid w:val="005C2E33"/>
    <w:rsid w:val="005C2F9F"/>
    <w:rsid w:val="005C2FDE"/>
    <w:rsid w:val="005C32F7"/>
    <w:rsid w:val="005C33AA"/>
    <w:rsid w:val="005C37F3"/>
    <w:rsid w:val="005C3FBD"/>
    <w:rsid w:val="005C413F"/>
    <w:rsid w:val="005C421E"/>
    <w:rsid w:val="005C4675"/>
    <w:rsid w:val="005C4760"/>
    <w:rsid w:val="005C490B"/>
    <w:rsid w:val="005C49BF"/>
    <w:rsid w:val="005C4DB0"/>
    <w:rsid w:val="005C4FC7"/>
    <w:rsid w:val="005C50C9"/>
    <w:rsid w:val="005C510C"/>
    <w:rsid w:val="005C5148"/>
    <w:rsid w:val="005C532D"/>
    <w:rsid w:val="005C538F"/>
    <w:rsid w:val="005C5426"/>
    <w:rsid w:val="005C5A0C"/>
    <w:rsid w:val="005C5A42"/>
    <w:rsid w:val="005C5AE1"/>
    <w:rsid w:val="005C5D5A"/>
    <w:rsid w:val="005C62A0"/>
    <w:rsid w:val="005C65F9"/>
    <w:rsid w:val="005C6857"/>
    <w:rsid w:val="005C6ABA"/>
    <w:rsid w:val="005C6D88"/>
    <w:rsid w:val="005C6DE5"/>
    <w:rsid w:val="005C6EB8"/>
    <w:rsid w:val="005C6F8D"/>
    <w:rsid w:val="005C6F9D"/>
    <w:rsid w:val="005C709A"/>
    <w:rsid w:val="005C71A7"/>
    <w:rsid w:val="005C725B"/>
    <w:rsid w:val="005C7552"/>
    <w:rsid w:val="005C7594"/>
    <w:rsid w:val="005C7786"/>
    <w:rsid w:val="005C7811"/>
    <w:rsid w:val="005C7880"/>
    <w:rsid w:val="005C7A2C"/>
    <w:rsid w:val="005C7EAD"/>
    <w:rsid w:val="005D000E"/>
    <w:rsid w:val="005D004A"/>
    <w:rsid w:val="005D0442"/>
    <w:rsid w:val="005D04E6"/>
    <w:rsid w:val="005D04EA"/>
    <w:rsid w:val="005D06CF"/>
    <w:rsid w:val="005D0AEF"/>
    <w:rsid w:val="005D1025"/>
    <w:rsid w:val="005D11A0"/>
    <w:rsid w:val="005D12C6"/>
    <w:rsid w:val="005D168B"/>
    <w:rsid w:val="005D16AA"/>
    <w:rsid w:val="005D1848"/>
    <w:rsid w:val="005D1941"/>
    <w:rsid w:val="005D1990"/>
    <w:rsid w:val="005D1B0A"/>
    <w:rsid w:val="005D1E54"/>
    <w:rsid w:val="005D1FD9"/>
    <w:rsid w:val="005D2171"/>
    <w:rsid w:val="005D2267"/>
    <w:rsid w:val="005D230F"/>
    <w:rsid w:val="005D23B0"/>
    <w:rsid w:val="005D27B2"/>
    <w:rsid w:val="005D28EC"/>
    <w:rsid w:val="005D2C3D"/>
    <w:rsid w:val="005D2CB4"/>
    <w:rsid w:val="005D2D09"/>
    <w:rsid w:val="005D2D4D"/>
    <w:rsid w:val="005D3110"/>
    <w:rsid w:val="005D313A"/>
    <w:rsid w:val="005D3259"/>
    <w:rsid w:val="005D3603"/>
    <w:rsid w:val="005D36B1"/>
    <w:rsid w:val="005D387F"/>
    <w:rsid w:val="005D3A88"/>
    <w:rsid w:val="005D3C19"/>
    <w:rsid w:val="005D3DBA"/>
    <w:rsid w:val="005D4084"/>
    <w:rsid w:val="005D436D"/>
    <w:rsid w:val="005D45A9"/>
    <w:rsid w:val="005D4626"/>
    <w:rsid w:val="005D4698"/>
    <w:rsid w:val="005D4946"/>
    <w:rsid w:val="005D49A1"/>
    <w:rsid w:val="005D4C00"/>
    <w:rsid w:val="005D4C18"/>
    <w:rsid w:val="005D50E3"/>
    <w:rsid w:val="005D51BF"/>
    <w:rsid w:val="005D54B9"/>
    <w:rsid w:val="005D5666"/>
    <w:rsid w:val="005D58D2"/>
    <w:rsid w:val="005D599B"/>
    <w:rsid w:val="005D59BE"/>
    <w:rsid w:val="005D5D07"/>
    <w:rsid w:val="005D5D71"/>
    <w:rsid w:val="005D631F"/>
    <w:rsid w:val="005D644F"/>
    <w:rsid w:val="005D6645"/>
    <w:rsid w:val="005D6694"/>
    <w:rsid w:val="005D689A"/>
    <w:rsid w:val="005D6966"/>
    <w:rsid w:val="005D696B"/>
    <w:rsid w:val="005D69B3"/>
    <w:rsid w:val="005D6B29"/>
    <w:rsid w:val="005D6F6B"/>
    <w:rsid w:val="005D6FF9"/>
    <w:rsid w:val="005D714F"/>
    <w:rsid w:val="005D717F"/>
    <w:rsid w:val="005D7267"/>
    <w:rsid w:val="005D7613"/>
    <w:rsid w:val="005D7781"/>
    <w:rsid w:val="005D78C1"/>
    <w:rsid w:val="005D7A21"/>
    <w:rsid w:val="005D7AE3"/>
    <w:rsid w:val="005D7B6C"/>
    <w:rsid w:val="005D7E11"/>
    <w:rsid w:val="005D7E51"/>
    <w:rsid w:val="005D7E52"/>
    <w:rsid w:val="005D7EE5"/>
    <w:rsid w:val="005D7F16"/>
    <w:rsid w:val="005E00CB"/>
    <w:rsid w:val="005E021A"/>
    <w:rsid w:val="005E035B"/>
    <w:rsid w:val="005E04C6"/>
    <w:rsid w:val="005E0645"/>
    <w:rsid w:val="005E0665"/>
    <w:rsid w:val="005E0894"/>
    <w:rsid w:val="005E0BA3"/>
    <w:rsid w:val="005E0C62"/>
    <w:rsid w:val="005E0D83"/>
    <w:rsid w:val="005E0F10"/>
    <w:rsid w:val="005E10C4"/>
    <w:rsid w:val="005E1367"/>
    <w:rsid w:val="005E13AE"/>
    <w:rsid w:val="005E13B0"/>
    <w:rsid w:val="005E13F0"/>
    <w:rsid w:val="005E1421"/>
    <w:rsid w:val="005E143D"/>
    <w:rsid w:val="005E14E0"/>
    <w:rsid w:val="005E1760"/>
    <w:rsid w:val="005E1CE3"/>
    <w:rsid w:val="005E1DF5"/>
    <w:rsid w:val="005E1F42"/>
    <w:rsid w:val="005E21B8"/>
    <w:rsid w:val="005E2219"/>
    <w:rsid w:val="005E2485"/>
    <w:rsid w:val="005E24FB"/>
    <w:rsid w:val="005E2618"/>
    <w:rsid w:val="005E2633"/>
    <w:rsid w:val="005E2772"/>
    <w:rsid w:val="005E27DD"/>
    <w:rsid w:val="005E2BB4"/>
    <w:rsid w:val="005E2BB7"/>
    <w:rsid w:val="005E2E95"/>
    <w:rsid w:val="005E314B"/>
    <w:rsid w:val="005E318D"/>
    <w:rsid w:val="005E330A"/>
    <w:rsid w:val="005E339D"/>
    <w:rsid w:val="005E36F1"/>
    <w:rsid w:val="005E37D8"/>
    <w:rsid w:val="005E3B6B"/>
    <w:rsid w:val="005E3D10"/>
    <w:rsid w:val="005E3D1F"/>
    <w:rsid w:val="005E3D39"/>
    <w:rsid w:val="005E3D6D"/>
    <w:rsid w:val="005E3DF4"/>
    <w:rsid w:val="005E4343"/>
    <w:rsid w:val="005E4C0E"/>
    <w:rsid w:val="005E4D65"/>
    <w:rsid w:val="005E4E12"/>
    <w:rsid w:val="005E4E1B"/>
    <w:rsid w:val="005E5188"/>
    <w:rsid w:val="005E5194"/>
    <w:rsid w:val="005E523D"/>
    <w:rsid w:val="005E5353"/>
    <w:rsid w:val="005E5573"/>
    <w:rsid w:val="005E5680"/>
    <w:rsid w:val="005E5743"/>
    <w:rsid w:val="005E5796"/>
    <w:rsid w:val="005E5A0E"/>
    <w:rsid w:val="005E5D51"/>
    <w:rsid w:val="005E5D8B"/>
    <w:rsid w:val="005E5F09"/>
    <w:rsid w:val="005E61DF"/>
    <w:rsid w:val="005E6289"/>
    <w:rsid w:val="005E62D8"/>
    <w:rsid w:val="005E62E2"/>
    <w:rsid w:val="005E6345"/>
    <w:rsid w:val="005E65DF"/>
    <w:rsid w:val="005E65FA"/>
    <w:rsid w:val="005E66EB"/>
    <w:rsid w:val="005E6715"/>
    <w:rsid w:val="005E6772"/>
    <w:rsid w:val="005E67DC"/>
    <w:rsid w:val="005E6B16"/>
    <w:rsid w:val="005E6BB5"/>
    <w:rsid w:val="005E6BD2"/>
    <w:rsid w:val="005E6C52"/>
    <w:rsid w:val="005E6EE6"/>
    <w:rsid w:val="005E7160"/>
    <w:rsid w:val="005E71C6"/>
    <w:rsid w:val="005E7870"/>
    <w:rsid w:val="005E78DC"/>
    <w:rsid w:val="005E7B02"/>
    <w:rsid w:val="005E7BE9"/>
    <w:rsid w:val="005E7D67"/>
    <w:rsid w:val="005E7E63"/>
    <w:rsid w:val="005E7EA9"/>
    <w:rsid w:val="005E7F8B"/>
    <w:rsid w:val="005E7F92"/>
    <w:rsid w:val="005F0367"/>
    <w:rsid w:val="005F07C9"/>
    <w:rsid w:val="005F0822"/>
    <w:rsid w:val="005F08A1"/>
    <w:rsid w:val="005F08DE"/>
    <w:rsid w:val="005F09BF"/>
    <w:rsid w:val="005F09EA"/>
    <w:rsid w:val="005F0A66"/>
    <w:rsid w:val="005F0EBC"/>
    <w:rsid w:val="005F0F00"/>
    <w:rsid w:val="005F0F26"/>
    <w:rsid w:val="005F10EA"/>
    <w:rsid w:val="005F11C3"/>
    <w:rsid w:val="005F11D0"/>
    <w:rsid w:val="005F1247"/>
    <w:rsid w:val="005F12B4"/>
    <w:rsid w:val="005F143E"/>
    <w:rsid w:val="005F1573"/>
    <w:rsid w:val="005F16D4"/>
    <w:rsid w:val="005F1802"/>
    <w:rsid w:val="005F181F"/>
    <w:rsid w:val="005F1A75"/>
    <w:rsid w:val="005F1CB6"/>
    <w:rsid w:val="005F1EB9"/>
    <w:rsid w:val="005F1F0A"/>
    <w:rsid w:val="005F1F74"/>
    <w:rsid w:val="005F200D"/>
    <w:rsid w:val="005F2351"/>
    <w:rsid w:val="005F2435"/>
    <w:rsid w:val="005F25B4"/>
    <w:rsid w:val="005F25CA"/>
    <w:rsid w:val="005F27F7"/>
    <w:rsid w:val="005F2840"/>
    <w:rsid w:val="005F2B1A"/>
    <w:rsid w:val="005F2B74"/>
    <w:rsid w:val="005F2B9A"/>
    <w:rsid w:val="005F2D0B"/>
    <w:rsid w:val="005F2DF3"/>
    <w:rsid w:val="005F3038"/>
    <w:rsid w:val="005F354F"/>
    <w:rsid w:val="005F3913"/>
    <w:rsid w:val="005F3950"/>
    <w:rsid w:val="005F3AFE"/>
    <w:rsid w:val="005F3BFE"/>
    <w:rsid w:val="005F3C2A"/>
    <w:rsid w:val="005F3D46"/>
    <w:rsid w:val="005F3E7C"/>
    <w:rsid w:val="005F3E89"/>
    <w:rsid w:val="005F3EE8"/>
    <w:rsid w:val="005F40AF"/>
    <w:rsid w:val="005F417F"/>
    <w:rsid w:val="005F42F5"/>
    <w:rsid w:val="005F436D"/>
    <w:rsid w:val="005F467C"/>
    <w:rsid w:val="005F49BC"/>
    <w:rsid w:val="005F4C46"/>
    <w:rsid w:val="005F4D38"/>
    <w:rsid w:val="005F4E26"/>
    <w:rsid w:val="005F4F4E"/>
    <w:rsid w:val="005F5038"/>
    <w:rsid w:val="005F5116"/>
    <w:rsid w:val="005F51A0"/>
    <w:rsid w:val="005F59E1"/>
    <w:rsid w:val="005F5BB7"/>
    <w:rsid w:val="005F5BBA"/>
    <w:rsid w:val="005F5BBB"/>
    <w:rsid w:val="005F5CF2"/>
    <w:rsid w:val="005F5EF5"/>
    <w:rsid w:val="005F5F3C"/>
    <w:rsid w:val="005F612D"/>
    <w:rsid w:val="005F613A"/>
    <w:rsid w:val="005F64C8"/>
    <w:rsid w:val="005F65FF"/>
    <w:rsid w:val="005F6649"/>
    <w:rsid w:val="005F66E9"/>
    <w:rsid w:val="005F6729"/>
    <w:rsid w:val="005F6788"/>
    <w:rsid w:val="005F6BC9"/>
    <w:rsid w:val="005F6ED4"/>
    <w:rsid w:val="005F6FF7"/>
    <w:rsid w:val="005F71F5"/>
    <w:rsid w:val="005F72A1"/>
    <w:rsid w:val="005F74B8"/>
    <w:rsid w:val="005F75F4"/>
    <w:rsid w:val="005F7BFB"/>
    <w:rsid w:val="005F7C4B"/>
    <w:rsid w:val="005F7CB1"/>
    <w:rsid w:val="005F7DE8"/>
    <w:rsid w:val="005F7E8C"/>
    <w:rsid w:val="006000F9"/>
    <w:rsid w:val="00600182"/>
    <w:rsid w:val="00600641"/>
    <w:rsid w:val="006006D2"/>
    <w:rsid w:val="0060088C"/>
    <w:rsid w:val="00600892"/>
    <w:rsid w:val="0060092B"/>
    <w:rsid w:val="00600B22"/>
    <w:rsid w:val="00600D15"/>
    <w:rsid w:val="00600D7E"/>
    <w:rsid w:val="0060116D"/>
    <w:rsid w:val="00601367"/>
    <w:rsid w:val="0060151E"/>
    <w:rsid w:val="0060177E"/>
    <w:rsid w:val="00601B3F"/>
    <w:rsid w:val="00601C75"/>
    <w:rsid w:val="00601EC9"/>
    <w:rsid w:val="00602191"/>
    <w:rsid w:val="0060221B"/>
    <w:rsid w:val="006025F2"/>
    <w:rsid w:val="00602817"/>
    <w:rsid w:val="0060292B"/>
    <w:rsid w:val="006029DC"/>
    <w:rsid w:val="00602B39"/>
    <w:rsid w:val="00602D01"/>
    <w:rsid w:val="00602D72"/>
    <w:rsid w:val="00602DC2"/>
    <w:rsid w:val="00602DE0"/>
    <w:rsid w:val="00603015"/>
    <w:rsid w:val="006034D7"/>
    <w:rsid w:val="006036AA"/>
    <w:rsid w:val="006036E6"/>
    <w:rsid w:val="00603A81"/>
    <w:rsid w:val="00603AF5"/>
    <w:rsid w:val="00603B2B"/>
    <w:rsid w:val="00603BC2"/>
    <w:rsid w:val="00603D30"/>
    <w:rsid w:val="00603F9D"/>
    <w:rsid w:val="00603FF0"/>
    <w:rsid w:val="006040CD"/>
    <w:rsid w:val="00604418"/>
    <w:rsid w:val="00604439"/>
    <w:rsid w:val="00604697"/>
    <w:rsid w:val="00604A4F"/>
    <w:rsid w:val="00604BA5"/>
    <w:rsid w:val="00604CD5"/>
    <w:rsid w:val="00604D82"/>
    <w:rsid w:val="00604E24"/>
    <w:rsid w:val="00604E2C"/>
    <w:rsid w:val="00604EAC"/>
    <w:rsid w:val="0060512A"/>
    <w:rsid w:val="00605325"/>
    <w:rsid w:val="00605437"/>
    <w:rsid w:val="00605543"/>
    <w:rsid w:val="006056ED"/>
    <w:rsid w:val="006057BA"/>
    <w:rsid w:val="006058AF"/>
    <w:rsid w:val="00605A51"/>
    <w:rsid w:val="00605AF3"/>
    <w:rsid w:val="00605B29"/>
    <w:rsid w:val="00605E4F"/>
    <w:rsid w:val="00605FC5"/>
    <w:rsid w:val="00606107"/>
    <w:rsid w:val="006063E4"/>
    <w:rsid w:val="00606599"/>
    <w:rsid w:val="00606D18"/>
    <w:rsid w:val="0060700B"/>
    <w:rsid w:val="0060707C"/>
    <w:rsid w:val="0060744F"/>
    <w:rsid w:val="00607492"/>
    <w:rsid w:val="006074AC"/>
    <w:rsid w:val="006075E5"/>
    <w:rsid w:val="006078D2"/>
    <w:rsid w:val="00607965"/>
    <w:rsid w:val="006079AA"/>
    <w:rsid w:val="00607A76"/>
    <w:rsid w:val="00607AD6"/>
    <w:rsid w:val="00607CC9"/>
    <w:rsid w:val="006100A5"/>
    <w:rsid w:val="006104E2"/>
    <w:rsid w:val="00610766"/>
    <w:rsid w:val="006108AB"/>
    <w:rsid w:val="00610916"/>
    <w:rsid w:val="006109B7"/>
    <w:rsid w:val="00610AAC"/>
    <w:rsid w:val="00610B3F"/>
    <w:rsid w:val="00610DC1"/>
    <w:rsid w:val="00610E09"/>
    <w:rsid w:val="00610E6D"/>
    <w:rsid w:val="00611057"/>
    <w:rsid w:val="006114FF"/>
    <w:rsid w:val="00611808"/>
    <w:rsid w:val="00611A04"/>
    <w:rsid w:val="00611A57"/>
    <w:rsid w:val="00611B1C"/>
    <w:rsid w:val="00611C9C"/>
    <w:rsid w:val="00611DAD"/>
    <w:rsid w:val="00611DBB"/>
    <w:rsid w:val="00612429"/>
    <w:rsid w:val="006128B9"/>
    <w:rsid w:val="0061292F"/>
    <w:rsid w:val="00612D2E"/>
    <w:rsid w:val="00612D5B"/>
    <w:rsid w:val="00612E97"/>
    <w:rsid w:val="00612FB1"/>
    <w:rsid w:val="006133CA"/>
    <w:rsid w:val="00613748"/>
    <w:rsid w:val="0061381F"/>
    <w:rsid w:val="00613BD2"/>
    <w:rsid w:val="00613C9F"/>
    <w:rsid w:val="00613D04"/>
    <w:rsid w:val="00613FA8"/>
    <w:rsid w:val="00614136"/>
    <w:rsid w:val="00614137"/>
    <w:rsid w:val="00614293"/>
    <w:rsid w:val="00614360"/>
    <w:rsid w:val="006143B9"/>
    <w:rsid w:val="006144A9"/>
    <w:rsid w:val="00614525"/>
    <w:rsid w:val="006145C7"/>
    <w:rsid w:val="0061476D"/>
    <w:rsid w:val="00614869"/>
    <w:rsid w:val="006149E1"/>
    <w:rsid w:val="00614B42"/>
    <w:rsid w:val="00614D5D"/>
    <w:rsid w:val="00614E94"/>
    <w:rsid w:val="006151EC"/>
    <w:rsid w:val="00615500"/>
    <w:rsid w:val="0061551E"/>
    <w:rsid w:val="00615A76"/>
    <w:rsid w:val="00615C70"/>
    <w:rsid w:val="00615CDE"/>
    <w:rsid w:val="00615F4A"/>
    <w:rsid w:val="006160A8"/>
    <w:rsid w:val="00616199"/>
    <w:rsid w:val="00616444"/>
    <w:rsid w:val="006164DA"/>
    <w:rsid w:val="0061655C"/>
    <w:rsid w:val="00616578"/>
    <w:rsid w:val="00616582"/>
    <w:rsid w:val="006166CC"/>
    <w:rsid w:val="00616767"/>
    <w:rsid w:val="006167EE"/>
    <w:rsid w:val="006168C3"/>
    <w:rsid w:val="0061695C"/>
    <w:rsid w:val="00616ACD"/>
    <w:rsid w:val="00616B1C"/>
    <w:rsid w:val="00617018"/>
    <w:rsid w:val="00617861"/>
    <w:rsid w:val="00617AEE"/>
    <w:rsid w:val="00617AFB"/>
    <w:rsid w:val="00617CDD"/>
    <w:rsid w:val="00617D54"/>
    <w:rsid w:val="00617FFE"/>
    <w:rsid w:val="00620057"/>
    <w:rsid w:val="0062017C"/>
    <w:rsid w:val="0062047F"/>
    <w:rsid w:val="006204C6"/>
    <w:rsid w:val="0062065D"/>
    <w:rsid w:val="00620719"/>
    <w:rsid w:val="00620747"/>
    <w:rsid w:val="0062088B"/>
    <w:rsid w:val="006209D3"/>
    <w:rsid w:val="00620A09"/>
    <w:rsid w:val="00620CBC"/>
    <w:rsid w:val="00620D57"/>
    <w:rsid w:val="00620F6F"/>
    <w:rsid w:val="00620FE1"/>
    <w:rsid w:val="00621036"/>
    <w:rsid w:val="0062106A"/>
    <w:rsid w:val="0062113D"/>
    <w:rsid w:val="0062123E"/>
    <w:rsid w:val="00621312"/>
    <w:rsid w:val="0062173D"/>
    <w:rsid w:val="00621866"/>
    <w:rsid w:val="00621A98"/>
    <w:rsid w:val="00621AC5"/>
    <w:rsid w:val="00621BDE"/>
    <w:rsid w:val="00621D83"/>
    <w:rsid w:val="00621DA4"/>
    <w:rsid w:val="00621DEA"/>
    <w:rsid w:val="00622053"/>
    <w:rsid w:val="006221B9"/>
    <w:rsid w:val="00622599"/>
    <w:rsid w:val="006225A9"/>
    <w:rsid w:val="006226CD"/>
    <w:rsid w:val="00622816"/>
    <w:rsid w:val="006228CC"/>
    <w:rsid w:val="00622A9C"/>
    <w:rsid w:val="00622B86"/>
    <w:rsid w:val="00622F5F"/>
    <w:rsid w:val="00623222"/>
    <w:rsid w:val="00623279"/>
    <w:rsid w:val="00623AC9"/>
    <w:rsid w:val="0062401C"/>
    <w:rsid w:val="00624149"/>
    <w:rsid w:val="00624337"/>
    <w:rsid w:val="00624363"/>
    <w:rsid w:val="00624382"/>
    <w:rsid w:val="0062444B"/>
    <w:rsid w:val="00624943"/>
    <w:rsid w:val="00624B0D"/>
    <w:rsid w:val="00624C5D"/>
    <w:rsid w:val="00624D33"/>
    <w:rsid w:val="00624ED1"/>
    <w:rsid w:val="00624FB4"/>
    <w:rsid w:val="00624FE2"/>
    <w:rsid w:val="00625144"/>
    <w:rsid w:val="006251FA"/>
    <w:rsid w:val="00625312"/>
    <w:rsid w:val="0062553A"/>
    <w:rsid w:val="0062561B"/>
    <w:rsid w:val="006256D4"/>
    <w:rsid w:val="006256FF"/>
    <w:rsid w:val="0062573D"/>
    <w:rsid w:val="00625A1F"/>
    <w:rsid w:val="00625BB6"/>
    <w:rsid w:val="00625C0B"/>
    <w:rsid w:val="00625C60"/>
    <w:rsid w:val="00625C95"/>
    <w:rsid w:val="00625E4A"/>
    <w:rsid w:val="00625E4E"/>
    <w:rsid w:val="00625FB4"/>
    <w:rsid w:val="00626017"/>
    <w:rsid w:val="0062602A"/>
    <w:rsid w:val="00626147"/>
    <w:rsid w:val="0062620D"/>
    <w:rsid w:val="006263A8"/>
    <w:rsid w:val="0062678D"/>
    <w:rsid w:val="00626816"/>
    <w:rsid w:val="00626B58"/>
    <w:rsid w:val="00626C9A"/>
    <w:rsid w:val="00626D53"/>
    <w:rsid w:val="00626ED0"/>
    <w:rsid w:val="00627102"/>
    <w:rsid w:val="0062710C"/>
    <w:rsid w:val="0062719E"/>
    <w:rsid w:val="006271BB"/>
    <w:rsid w:val="00627202"/>
    <w:rsid w:val="0062746F"/>
    <w:rsid w:val="00627513"/>
    <w:rsid w:val="00627562"/>
    <w:rsid w:val="006276DC"/>
    <w:rsid w:val="0062785F"/>
    <w:rsid w:val="00627A2C"/>
    <w:rsid w:val="00627B7C"/>
    <w:rsid w:val="00627C12"/>
    <w:rsid w:val="00627C46"/>
    <w:rsid w:val="00627FA9"/>
    <w:rsid w:val="00627FD4"/>
    <w:rsid w:val="0063055B"/>
    <w:rsid w:val="0063072B"/>
    <w:rsid w:val="00630905"/>
    <w:rsid w:val="00630BFD"/>
    <w:rsid w:val="00630DE1"/>
    <w:rsid w:val="00630ED3"/>
    <w:rsid w:val="0063116A"/>
    <w:rsid w:val="006311B7"/>
    <w:rsid w:val="00631214"/>
    <w:rsid w:val="006312C6"/>
    <w:rsid w:val="006312CC"/>
    <w:rsid w:val="00631861"/>
    <w:rsid w:val="00631892"/>
    <w:rsid w:val="00631921"/>
    <w:rsid w:val="00631956"/>
    <w:rsid w:val="0063209F"/>
    <w:rsid w:val="00632144"/>
    <w:rsid w:val="00632564"/>
    <w:rsid w:val="00632568"/>
    <w:rsid w:val="00632686"/>
    <w:rsid w:val="00632928"/>
    <w:rsid w:val="00632988"/>
    <w:rsid w:val="00632CA7"/>
    <w:rsid w:val="00632DDB"/>
    <w:rsid w:val="00632E7E"/>
    <w:rsid w:val="00632F46"/>
    <w:rsid w:val="0063335B"/>
    <w:rsid w:val="00633420"/>
    <w:rsid w:val="006338E8"/>
    <w:rsid w:val="00633A02"/>
    <w:rsid w:val="00633B32"/>
    <w:rsid w:val="00634074"/>
    <w:rsid w:val="006341B4"/>
    <w:rsid w:val="0063445C"/>
    <w:rsid w:val="006348B4"/>
    <w:rsid w:val="00634C9B"/>
    <w:rsid w:val="006354E4"/>
    <w:rsid w:val="0063550B"/>
    <w:rsid w:val="00635667"/>
    <w:rsid w:val="006356DE"/>
    <w:rsid w:val="006356EB"/>
    <w:rsid w:val="00635769"/>
    <w:rsid w:val="006357BC"/>
    <w:rsid w:val="00635B7C"/>
    <w:rsid w:val="00635EA3"/>
    <w:rsid w:val="00635EBE"/>
    <w:rsid w:val="006360D1"/>
    <w:rsid w:val="006361F7"/>
    <w:rsid w:val="00636236"/>
    <w:rsid w:val="00636345"/>
    <w:rsid w:val="006364E9"/>
    <w:rsid w:val="00636533"/>
    <w:rsid w:val="00636715"/>
    <w:rsid w:val="006367FA"/>
    <w:rsid w:val="006368E9"/>
    <w:rsid w:val="00636943"/>
    <w:rsid w:val="006369A9"/>
    <w:rsid w:val="00636A10"/>
    <w:rsid w:val="00636BA2"/>
    <w:rsid w:val="00636BBB"/>
    <w:rsid w:val="00636BD9"/>
    <w:rsid w:val="00636D02"/>
    <w:rsid w:val="00636DB5"/>
    <w:rsid w:val="00636DF8"/>
    <w:rsid w:val="00636E21"/>
    <w:rsid w:val="00636E4F"/>
    <w:rsid w:val="00636F49"/>
    <w:rsid w:val="006374FE"/>
    <w:rsid w:val="006379F0"/>
    <w:rsid w:val="00637C20"/>
    <w:rsid w:val="00637C8A"/>
    <w:rsid w:val="00637E4E"/>
    <w:rsid w:val="00637EDF"/>
    <w:rsid w:val="00637EF6"/>
    <w:rsid w:val="0064002A"/>
    <w:rsid w:val="0064009A"/>
    <w:rsid w:val="006403DE"/>
    <w:rsid w:val="00640450"/>
    <w:rsid w:val="006404DF"/>
    <w:rsid w:val="006405A0"/>
    <w:rsid w:val="006409CF"/>
    <w:rsid w:val="00640A81"/>
    <w:rsid w:val="00640AC2"/>
    <w:rsid w:val="00640B85"/>
    <w:rsid w:val="00640B93"/>
    <w:rsid w:val="00640D50"/>
    <w:rsid w:val="00640D98"/>
    <w:rsid w:val="00640E47"/>
    <w:rsid w:val="0064105C"/>
    <w:rsid w:val="00641472"/>
    <w:rsid w:val="0064148F"/>
    <w:rsid w:val="006414ED"/>
    <w:rsid w:val="006419B0"/>
    <w:rsid w:val="00641A53"/>
    <w:rsid w:val="00641ACC"/>
    <w:rsid w:val="00641F69"/>
    <w:rsid w:val="0064201A"/>
    <w:rsid w:val="00642096"/>
    <w:rsid w:val="006422E6"/>
    <w:rsid w:val="006423C4"/>
    <w:rsid w:val="00642942"/>
    <w:rsid w:val="00642CD1"/>
    <w:rsid w:val="00642CE6"/>
    <w:rsid w:val="00642E47"/>
    <w:rsid w:val="00643059"/>
    <w:rsid w:val="00643106"/>
    <w:rsid w:val="0064351A"/>
    <w:rsid w:val="0064366B"/>
    <w:rsid w:val="0064369B"/>
    <w:rsid w:val="006436FE"/>
    <w:rsid w:val="00643761"/>
    <w:rsid w:val="00643777"/>
    <w:rsid w:val="0064390F"/>
    <w:rsid w:val="00643A1B"/>
    <w:rsid w:val="00643AB4"/>
    <w:rsid w:val="00643AB7"/>
    <w:rsid w:val="00643C59"/>
    <w:rsid w:val="00643F3F"/>
    <w:rsid w:val="00643FC7"/>
    <w:rsid w:val="00644040"/>
    <w:rsid w:val="006440DF"/>
    <w:rsid w:val="00644115"/>
    <w:rsid w:val="00644185"/>
    <w:rsid w:val="0064418E"/>
    <w:rsid w:val="006443CD"/>
    <w:rsid w:val="006443E7"/>
    <w:rsid w:val="00644645"/>
    <w:rsid w:val="0064468B"/>
    <w:rsid w:val="006446EE"/>
    <w:rsid w:val="00644AC5"/>
    <w:rsid w:val="00644AD2"/>
    <w:rsid w:val="00644C59"/>
    <w:rsid w:val="00644C70"/>
    <w:rsid w:val="00644D74"/>
    <w:rsid w:val="00644EC7"/>
    <w:rsid w:val="006456C2"/>
    <w:rsid w:val="006456F8"/>
    <w:rsid w:val="006458E1"/>
    <w:rsid w:val="00645A66"/>
    <w:rsid w:val="00645E41"/>
    <w:rsid w:val="00645E8C"/>
    <w:rsid w:val="00645EA4"/>
    <w:rsid w:val="00645ED0"/>
    <w:rsid w:val="00646187"/>
    <w:rsid w:val="0064629E"/>
    <w:rsid w:val="00646343"/>
    <w:rsid w:val="006465FE"/>
    <w:rsid w:val="00646960"/>
    <w:rsid w:val="00646EA6"/>
    <w:rsid w:val="00646ECA"/>
    <w:rsid w:val="0064705A"/>
    <w:rsid w:val="006470F8"/>
    <w:rsid w:val="00647167"/>
    <w:rsid w:val="00647434"/>
    <w:rsid w:val="006475CF"/>
    <w:rsid w:val="0064767A"/>
    <w:rsid w:val="00647942"/>
    <w:rsid w:val="00647CFA"/>
    <w:rsid w:val="00647D7E"/>
    <w:rsid w:val="00647DDC"/>
    <w:rsid w:val="006500A2"/>
    <w:rsid w:val="006500F1"/>
    <w:rsid w:val="00650874"/>
    <w:rsid w:val="00650A3D"/>
    <w:rsid w:val="00650BD4"/>
    <w:rsid w:val="00650F1E"/>
    <w:rsid w:val="00650F7F"/>
    <w:rsid w:val="00651275"/>
    <w:rsid w:val="006513CC"/>
    <w:rsid w:val="006515C8"/>
    <w:rsid w:val="0065160A"/>
    <w:rsid w:val="00651646"/>
    <w:rsid w:val="00651865"/>
    <w:rsid w:val="00651901"/>
    <w:rsid w:val="00651913"/>
    <w:rsid w:val="00651959"/>
    <w:rsid w:val="00651A4B"/>
    <w:rsid w:val="00651B29"/>
    <w:rsid w:val="00651EC7"/>
    <w:rsid w:val="006524BE"/>
    <w:rsid w:val="00652515"/>
    <w:rsid w:val="00652576"/>
    <w:rsid w:val="006526B7"/>
    <w:rsid w:val="00652C78"/>
    <w:rsid w:val="00652F47"/>
    <w:rsid w:val="006531B8"/>
    <w:rsid w:val="0065328C"/>
    <w:rsid w:val="006532AC"/>
    <w:rsid w:val="00653392"/>
    <w:rsid w:val="006533B1"/>
    <w:rsid w:val="0065351D"/>
    <w:rsid w:val="006539E2"/>
    <w:rsid w:val="00653B30"/>
    <w:rsid w:val="006540F4"/>
    <w:rsid w:val="006541AB"/>
    <w:rsid w:val="0065428B"/>
    <w:rsid w:val="00654595"/>
    <w:rsid w:val="00654666"/>
    <w:rsid w:val="006546E7"/>
    <w:rsid w:val="00654742"/>
    <w:rsid w:val="006547BC"/>
    <w:rsid w:val="0065494A"/>
    <w:rsid w:val="00654A95"/>
    <w:rsid w:val="00654E7A"/>
    <w:rsid w:val="00654E88"/>
    <w:rsid w:val="0065548E"/>
    <w:rsid w:val="0065555E"/>
    <w:rsid w:val="00655653"/>
    <w:rsid w:val="00655A1B"/>
    <w:rsid w:val="00655AC8"/>
    <w:rsid w:val="00655D30"/>
    <w:rsid w:val="00655EDC"/>
    <w:rsid w:val="00655F85"/>
    <w:rsid w:val="006563D1"/>
    <w:rsid w:val="00656493"/>
    <w:rsid w:val="00656544"/>
    <w:rsid w:val="006568C5"/>
    <w:rsid w:val="00656C52"/>
    <w:rsid w:val="00656FDD"/>
    <w:rsid w:val="006571F7"/>
    <w:rsid w:val="0065745B"/>
    <w:rsid w:val="00657607"/>
    <w:rsid w:val="00657706"/>
    <w:rsid w:val="00657707"/>
    <w:rsid w:val="006577AC"/>
    <w:rsid w:val="00657C36"/>
    <w:rsid w:val="00657EFD"/>
    <w:rsid w:val="00657FE9"/>
    <w:rsid w:val="0066031A"/>
    <w:rsid w:val="0066048C"/>
    <w:rsid w:val="006605E5"/>
    <w:rsid w:val="0066068B"/>
    <w:rsid w:val="006608AB"/>
    <w:rsid w:val="0066097C"/>
    <w:rsid w:val="00660A66"/>
    <w:rsid w:val="00660A83"/>
    <w:rsid w:val="00660B8C"/>
    <w:rsid w:val="00660DAA"/>
    <w:rsid w:val="00660E19"/>
    <w:rsid w:val="00660F3C"/>
    <w:rsid w:val="00661063"/>
    <w:rsid w:val="00661087"/>
    <w:rsid w:val="006610C8"/>
    <w:rsid w:val="006613B9"/>
    <w:rsid w:val="0066150D"/>
    <w:rsid w:val="0066169E"/>
    <w:rsid w:val="006616AD"/>
    <w:rsid w:val="006616AF"/>
    <w:rsid w:val="00661824"/>
    <w:rsid w:val="00661BB3"/>
    <w:rsid w:val="00661E6D"/>
    <w:rsid w:val="0066248A"/>
    <w:rsid w:val="00662497"/>
    <w:rsid w:val="0066261B"/>
    <w:rsid w:val="0066276D"/>
    <w:rsid w:val="00662B9C"/>
    <w:rsid w:val="00662D36"/>
    <w:rsid w:val="00662D54"/>
    <w:rsid w:val="00662E49"/>
    <w:rsid w:val="00663120"/>
    <w:rsid w:val="00663195"/>
    <w:rsid w:val="006638ED"/>
    <w:rsid w:val="00663A03"/>
    <w:rsid w:val="00663A1A"/>
    <w:rsid w:val="00663A70"/>
    <w:rsid w:val="00663B3A"/>
    <w:rsid w:val="00663B44"/>
    <w:rsid w:val="00663FB0"/>
    <w:rsid w:val="00664387"/>
    <w:rsid w:val="00664803"/>
    <w:rsid w:val="006649D1"/>
    <w:rsid w:val="00664AD2"/>
    <w:rsid w:val="00664BDF"/>
    <w:rsid w:val="00664D4E"/>
    <w:rsid w:val="00664F17"/>
    <w:rsid w:val="00664F7C"/>
    <w:rsid w:val="0066501A"/>
    <w:rsid w:val="006654C5"/>
    <w:rsid w:val="00665502"/>
    <w:rsid w:val="0066561F"/>
    <w:rsid w:val="0066563E"/>
    <w:rsid w:val="00665A9E"/>
    <w:rsid w:val="0066625C"/>
    <w:rsid w:val="006665A1"/>
    <w:rsid w:val="00666698"/>
    <w:rsid w:val="006667A9"/>
    <w:rsid w:val="00666B01"/>
    <w:rsid w:val="00666B35"/>
    <w:rsid w:val="00666CEF"/>
    <w:rsid w:val="00666DB4"/>
    <w:rsid w:val="00666E06"/>
    <w:rsid w:val="00666EB3"/>
    <w:rsid w:val="00666F7D"/>
    <w:rsid w:val="00666FC1"/>
    <w:rsid w:val="00666FF2"/>
    <w:rsid w:val="00667373"/>
    <w:rsid w:val="006673DF"/>
    <w:rsid w:val="00667525"/>
    <w:rsid w:val="00667B2E"/>
    <w:rsid w:val="00667BB3"/>
    <w:rsid w:val="00667C55"/>
    <w:rsid w:val="00667D3F"/>
    <w:rsid w:val="00670090"/>
    <w:rsid w:val="00670198"/>
    <w:rsid w:val="00670212"/>
    <w:rsid w:val="0067029D"/>
    <w:rsid w:val="0067041D"/>
    <w:rsid w:val="00670683"/>
    <w:rsid w:val="00670C72"/>
    <w:rsid w:val="00670C79"/>
    <w:rsid w:val="00670E61"/>
    <w:rsid w:val="0067151F"/>
    <w:rsid w:val="006716E6"/>
    <w:rsid w:val="00671B2F"/>
    <w:rsid w:val="00671CE2"/>
    <w:rsid w:val="00671DA2"/>
    <w:rsid w:val="00671DE4"/>
    <w:rsid w:val="00671E59"/>
    <w:rsid w:val="0067216F"/>
    <w:rsid w:val="00672182"/>
    <w:rsid w:val="0067225A"/>
    <w:rsid w:val="006722C3"/>
    <w:rsid w:val="0067231E"/>
    <w:rsid w:val="00672404"/>
    <w:rsid w:val="00672573"/>
    <w:rsid w:val="00672639"/>
    <w:rsid w:val="0067265B"/>
    <w:rsid w:val="00672675"/>
    <w:rsid w:val="00672AC7"/>
    <w:rsid w:val="00672B17"/>
    <w:rsid w:val="00672BAC"/>
    <w:rsid w:val="00672CD4"/>
    <w:rsid w:val="00672DA7"/>
    <w:rsid w:val="00672DF6"/>
    <w:rsid w:val="00672E1C"/>
    <w:rsid w:val="00673028"/>
    <w:rsid w:val="00673032"/>
    <w:rsid w:val="00673180"/>
    <w:rsid w:val="0067374C"/>
    <w:rsid w:val="006738BA"/>
    <w:rsid w:val="00673969"/>
    <w:rsid w:val="006739B6"/>
    <w:rsid w:val="00673B46"/>
    <w:rsid w:val="00673C14"/>
    <w:rsid w:val="00673D6F"/>
    <w:rsid w:val="00673E2B"/>
    <w:rsid w:val="006740E1"/>
    <w:rsid w:val="00674706"/>
    <w:rsid w:val="006749A9"/>
    <w:rsid w:val="00674AC9"/>
    <w:rsid w:val="00674BA9"/>
    <w:rsid w:val="00674BC0"/>
    <w:rsid w:val="00674C2B"/>
    <w:rsid w:val="00674CB6"/>
    <w:rsid w:val="0067524A"/>
    <w:rsid w:val="00675341"/>
    <w:rsid w:val="0067556A"/>
    <w:rsid w:val="00675746"/>
    <w:rsid w:val="00675958"/>
    <w:rsid w:val="00675A01"/>
    <w:rsid w:val="00675B89"/>
    <w:rsid w:val="00675E0E"/>
    <w:rsid w:val="00675EF3"/>
    <w:rsid w:val="00676273"/>
    <w:rsid w:val="0067644D"/>
    <w:rsid w:val="00676500"/>
    <w:rsid w:val="00676695"/>
    <w:rsid w:val="006766E8"/>
    <w:rsid w:val="0067675D"/>
    <w:rsid w:val="006768A9"/>
    <w:rsid w:val="006769B0"/>
    <w:rsid w:val="006769E5"/>
    <w:rsid w:val="00676C20"/>
    <w:rsid w:val="00677019"/>
    <w:rsid w:val="00677129"/>
    <w:rsid w:val="0067727B"/>
    <w:rsid w:val="006774BE"/>
    <w:rsid w:val="00677611"/>
    <w:rsid w:val="0067765D"/>
    <w:rsid w:val="00677752"/>
    <w:rsid w:val="006777C6"/>
    <w:rsid w:val="00677D77"/>
    <w:rsid w:val="00677E7E"/>
    <w:rsid w:val="00677E80"/>
    <w:rsid w:val="006804C9"/>
    <w:rsid w:val="006806EF"/>
    <w:rsid w:val="0068092A"/>
    <w:rsid w:val="00680A1D"/>
    <w:rsid w:val="00680BA9"/>
    <w:rsid w:val="00680DA9"/>
    <w:rsid w:val="00680EE6"/>
    <w:rsid w:val="00681069"/>
    <w:rsid w:val="006810FA"/>
    <w:rsid w:val="00681180"/>
    <w:rsid w:val="00681230"/>
    <w:rsid w:val="0068123B"/>
    <w:rsid w:val="00681378"/>
    <w:rsid w:val="006813AA"/>
    <w:rsid w:val="00681472"/>
    <w:rsid w:val="006814A7"/>
    <w:rsid w:val="006815F1"/>
    <w:rsid w:val="0068170A"/>
    <w:rsid w:val="00681B49"/>
    <w:rsid w:val="00681C52"/>
    <w:rsid w:val="00681C6F"/>
    <w:rsid w:val="00681D28"/>
    <w:rsid w:val="00681EBA"/>
    <w:rsid w:val="00681F29"/>
    <w:rsid w:val="006820B8"/>
    <w:rsid w:val="006820E7"/>
    <w:rsid w:val="00682242"/>
    <w:rsid w:val="00682308"/>
    <w:rsid w:val="006823E2"/>
    <w:rsid w:val="00682538"/>
    <w:rsid w:val="0068257C"/>
    <w:rsid w:val="006828F8"/>
    <w:rsid w:val="00682B48"/>
    <w:rsid w:val="00682BA2"/>
    <w:rsid w:val="00682CB1"/>
    <w:rsid w:val="00682DAA"/>
    <w:rsid w:val="0068328C"/>
    <w:rsid w:val="00683364"/>
    <w:rsid w:val="00683576"/>
    <w:rsid w:val="0068358E"/>
    <w:rsid w:val="00683798"/>
    <w:rsid w:val="00683BFF"/>
    <w:rsid w:val="00683D1F"/>
    <w:rsid w:val="00683F00"/>
    <w:rsid w:val="00683F4A"/>
    <w:rsid w:val="00683F65"/>
    <w:rsid w:val="00684031"/>
    <w:rsid w:val="00684099"/>
    <w:rsid w:val="00684574"/>
    <w:rsid w:val="00684592"/>
    <w:rsid w:val="0068480B"/>
    <w:rsid w:val="00684843"/>
    <w:rsid w:val="006848CE"/>
    <w:rsid w:val="00684ABA"/>
    <w:rsid w:val="00684C72"/>
    <w:rsid w:val="00684E3D"/>
    <w:rsid w:val="00684EE4"/>
    <w:rsid w:val="00684FE1"/>
    <w:rsid w:val="006855DF"/>
    <w:rsid w:val="0068574F"/>
    <w:rsid w:val="006858A1"/>
    <w:rsid w:val="00685B7C"/>
    <w:rsid w:val="00685C40"/>
    <w:rsid w:val="00686014"/>
    <w:rsid w:val="00686235"/>
    <w:rsid w:val="0068623B"/>
    <w:rsid w:val="006862A2"/>
    <w:rsid w:val="006862F3"/>
    <w:rsid w:val="006864DF"/>
    <w:rsid w:val="00686615"/>
    <w:rsid w:val="00686840"/>
    <w:rsid w:val="00686AAC"/>
    <w:rsid w:val="00686AD1"/>
    <w:rsid w:val="00686B0D"/>
    <w:rsid w:val="00686D01"/>
    <w:rsid w:val="00686DAC"/>
    <w:rsid w:val="006870AF"/>
    <w:rsid w:val="00687164"/>
    <w:rsid w:val="006871B1"/>
    <w:rsid w:val="0068739B"/>
    <w:rsid w:val="0068758F"/>
    <w:rsid w:val="006876BC"/>
    <w:rsid w:val="00687711"/>
    <w:rsid w:val="00687B7B"/>
    <w:rsid w:val="00687DB2"/>
    <w:rsid w:val="00687DD9"/>
    <w:rsid w:val="00687E50"/>
    <w:rsid w:val="0069034E"/>
    <w:rsid w:val="0069046D"/>
    <w:rsid w:val="006905F1"/>
    <w:rsid w:val="006908C4"/>
    <w:rsid w:val="0069095D"/>
    <w:rsid w:val="0069098F"/>
    <w:rsid w:val="0069099C"/>
    <w:rsid w:val="00690A25"/>
    <w:rsid w:val="00690BD2"/>
    <w:rsid w:val="00690E35"/>
    <w:rsid w:val="00690E77"/>
    <w:rsid w:val="00691014"/>
    <w:rsid w:val="00691142"/>
    <w:rsid w:val="006911A1"/>
    <w:rsid w:val="006912F2"/>
    <w:rsid w:val="00691332"/>
    <w:rsid w:val="006913B6"/>
    <w:rsid w:val="006914FA"/>
    <w:rsid w:val="0069159A"/>
    <w:rsid w:val="006917BD"/>
    <w:rsid w:val="006917D4"/>
    <w:rsid w:val="00691861"/>
    <w:rsid w:val="006918AE"/>
    <w:rsid w:val="00691A43"/>
    <w:rsid w:val="00691D6D"/>
    <w:rsid w:val="00691D98"/>
    <w:rsid w:val="006920D8"/>
    <w:rsid w:val="00692206"/>
    <w:rsid w:val="006923E4"/>
    <w:rsid w:val="006925EB"/>
    <w:rsid w:val="00692699"/>
    <w:rsid w:val="00692A3E"/>
    <w:rsid w:val="00692B04"/>
    <w:rsid w:val="00692C69"/>
    <w:rsid w:val="00692C8A"/>
    <w:rsid w:val="00692DE7"/>
    <w:rsid w:val="00692E6B"/>
    <w:rsid w:val="00692E87"/>
    <w:rsid w:val="00693290"/>
    <w:rsid w:val="006932C6"/>
    <w:rsid w:val="00693469"/>
    <w:rsid w:val="00693799"/>
    <w:rsid w:val="006939F9"/>
    <w:rsid w:val="00693A0C"/>
    <w:rsid w:val="00693A29"/>
    <w:rsid w:val="00693B40"/>
    <w:rsid w:val="00693E2E"/>
    <w:rsid w:val="00693F4C"/>
    <w:rsid w:val="0069423E"/>
    <w:rsid w:val="00694392"/>
    <w:rsid w:val="00694A4F"/>
    <w:rsid w:val="00694AB7"/>
    <w:rsid w:val="00694C61"/>
    <w:rsid w:val="00694CE5"/>
    <w:rsid w:val="00695042"/>
    <w:rsid w:val="006950AA"/>
    <w:rsid w:val="006953C5"/>
    <w:rsid w:val="00695508"/>
    <w:rsid w:val="0069568B"/>
    <w:rsid w:val="006956C4"/>
    <w:rsid w:val="00695BA3"/>
    <w:rsid w:val="00695BBB"/>
    <w:rsid w:val="00695C19"/>
    <w:rsid w:val="00695C1C"/>
    <w:rsid w:val="00695C46"/>
    <w:rsid w:val="00695E3C"/>
    <w:rsid w:val="00695E79"/>
    <w:rsid w:val="00695E80"/>
    <w:rsid w:val="00695F33"/>
    <w:rsid w:val="00695F38"/>
    <w:rsid w:val="0069600F"/>
    <w:rsid w:val="0069601F"/>
    <w:rsid w:val="006962ED"/>
    <w:rsid w:val="0069638E"/>
    <w:rsid w:val="006963F3"/>
    <w:rsid w:val="00696761"/>
    <w:rsid w:val="006968ED"/>
    <w:rsid w:val="00696B07"/>
    <w:rsid w:val="00696B21"/>
    <w:rsid w:val="00696DCE"/>
    <w:rsid w:val="00697059"/>
    <w:rsid w:val="0069716F"/>
    <w:rsid w:val="006971B7"/>
    <w:rsid w:val="006973BA"/>
    <w:rsid w:val="00697451"/>
    <w:rsid w:val="00697A78"/>
    <w:rsid w:val="00697ADF"/>
    <w:rsid w:val="00697B75"/>
    <w:rsid w:val="00697B7E"/>
    <w:rsid w:val="00697BC9"/>
    <w:rsid w:val="00697CDB"/>
    <w:rsid w:val="00697DDA"/>
    <w:rsid w:val="00697E0E"/>
    <w:rsid w:val="00697E21"/>
    <w:rsid w:val="00697F07"/>
    <w:rsid w:val="00697FB8"/>
    <w:rsid w:val="006A0030"/>
    <w:rsid w:val="006A02D7"/>
    <w:rsid w:val="006A02F8"/>
    <w:rsid w:val="006A03E9"/>
    <w:rsid w:val="006A043D"/>
    <w:rsid w:val="006A04F6"/>
    <w:rsid w:val="006A050E"/>
    <w:rsid w:val="006A0634"/>
    <w:rsid w:val="006A0888"/>
    <w:rsid w:val="006A094F"/>
    <w:rsid w:val="006A09AD"/>
    <w:rsid w:val="006A0C57"/>
    <w:rsid w:val="006A0FA8"/>
    <w:rsid w:val="006A0FDE"/>
    <w:rsid w:val="006A1147"/>
    <w:rsid w:val="006A119C"/>
    <w:rsid w:val="006A1503"/>
    <w:rsid w:val="006A151B"/>
    <w:rsid w:val="006A15B5"/>
    <w:rsid w:val="006A174E"/>
    <w:rsid w:val="006A18FD"/>
    <w:rsid w:val="006A2120"/>
    <w:rsid w:val="006A2439"/>
    <w:rsid w:val="006A2642"/>
    <w:rsid w:val="006A2643"/>
    <w:rsid w:val="006A2CF5"/>
    <w:rsid w:val="006A2ED2"/>
    <w:rsid w:val="006A30AA"/>
    <w:rsid w:val="006A318B"/>
    <w:rsid w:val="006A3273"/>
    <w:rsid w:val="006A32BA"/>
    <w:rsid w:val="006A3A0B"/>
    <w:rsid w:val="006A3A58"/>
    <w:rsid w:val="006A3A8A"/>
    <w:rsid w:val="006A3B73"/>
    <w:rsid w:val="006A3E24"/>
    <w:rsid w:val="006A3E5E"/>
    <w:rsid w:val="006A3EB6"/>
    <w:rsid w:val="006A41C8"/>
    <w:rsid w:val="006A43B1"/>
    <w:rsid w:val="006A4499"/>
    <w:rsid w:val="006A44AA"/>
    <w:rsid w:val="006A44F1"/>
    <w:rsid w:val="006A45C5"/>
    <w:rsid w:val="006A465B"/>
    <w:rsid w:val="006A4715"/>
    <w:rsid w:val="006A4A4B"/>
    <w:rsid w:val="006A4A76"/>
    <w:rsid w:val="006A4AFB"/>
    <w:rsid w:val="006A4D72"/>
    <w:rsid w:val="006A4D79"/>
    <w:rsid w:val="006A52DE"/>
    <w:rsid w:val="006A5340"/>
    <w:rsid w:val="006A5361"/>
    <w:rsid w:val="006A5742"/>
    <w:rsid w:val="006A574E"/>
    <w:rsid w:val="006A5B21"/>
    <w:rsid w:val="006A5BFE"/>
    <w:rsid w:val="006A5EDE"/>
    <w:rsid w:val="006A5F5A"/>
    <w:rsid w:val="006A6518"/>
    <w:rsid w:val="006A669F"/>
    <w:rsid w:val="006A66D9"/>
    <w:rsid w:val="006A6873"/>
    <w:rsid w:val="006A6B12"/>
    <w:rsid w:val="006A6B14"/>
    <w:rsid w:val="006A6BE7"/>
    <w:rsid w:val="006A6EE1"/>
    <w:rsid w:val="006A6EED"/>
    <w:rsid w:val="006A7195"/>
    <w:rsid w:val="006A72D7"/>
    <w:rsid w:val="006A7555"/>
    <w:rsid w:val="006A7EAD"/>
    <w:rsid w:val="006A7FB5"/>
    <w:rsid w:val="006A7FD3"/>
    <w:rsid w:val="006B0231"/>
    <w:rsid w:val="006B02C5"/>
    <w:rsid w:val="006B03AB"/>
    <w:rsid w:val="006B064E"/>
    <w:rsid w:val="006B0B53"/>
    <w:rsid w:val="006B0BFA"/>
    <w:rsid w:val="006B1191"/>
    <w:rsid w:val="006B11DF"/>
    <w:rsid w:val="006B1781"/>
    <w:rsid w:val="006B1811"/>
    <w:rsid w:val="006B19DE"/>
    <w:rsid w:val="006B1AA4"/>
    <w:rsid w:val="006B1ADE"/>
    <w:rsid w:val="006B1B4F"/>
    <w:rsid w:val="006B1CCB"/>
    <w:rsid w:val="006B20EE"/>
    <w:rsid w:val="006B2221"/>
    <w:rsid w:val="006B2518"/>
    <w:rsid w:val="006B254A"/>
    <w:rsid w:val="006B25F8"/>
    <w:rsid w:val="006B2671"/>
    <w:rsid w:val="006B2A1C"/>
    <w:rsid w:val="006B2A6F"/>
    <w:rsid w:val="006B2F1D"/>
    <w:rsid w:val="006B322A"/>
    <w:rsid w:val="006B325E"/>
    <w:rsid w:val="006B32A7"/>
    <w:rsid w:val="006B32AD"/>
    <w:rsid w:val="006B3358"/>
    <w:rsid w:val="006B369D"/>
    <w:rsid w:val="006B37EF"/>
    <w:rsid w:val="006B3CCF"/>
    <w:rsid w:val="006B3D26"/>
    <w:rsid w:val="006B3E64"/>
    <w:rsid w:val="006B41BE"/>
    <w:rsid w:val="006B42DB"/>
    <w:rsid w:val="006B43D4"/>
    <w:rsid w:val="006B4710"/>
    <w:rsid w:val="006B475B"/>
    <w:rsid w:val="006B48F6"/>
    <w:rsid w:val="006B49BF"/>
    <w:rsid w:val="006B4A5C"/>
    <w:rsid w:val="006B4B9F"/>
    <w:rsid w:val="006B4C9B"/>
    <w:rsid w:val="006B4DBC"/>
    <w:rsid w:val="006B4DFF"/>
    <w:rsid w:val="006B4EAD"/>
    <w:rsid w:val="006B5290"/>
    <w:rsid w:val="006B5444"/>
    <w:rsid w:val="006B5446"/>
    <w:rsid w:val="006B5494"/>
    <w:rsid w:val="006B54C9"/>
    <w:rsid w:val="006B553A"/>
    <w:rsid w:val="006B5756"/>
    <w:rsid w:val="006B57E0"/>
    <w:rsid w:val="006B59C9"/>
    <w:rsid w:val="006B5B50"/>
    <w:rsid w:val="006B5B9D"/>
    <w:rsid w:val="006B5DA4"/>
    <w:rsid w:val="006B5E7E"/>
    <w:rsid w:val="006B657B"/>
    <w:rsid w:val="006B678F"/>
    <w:rsid w:val="006B6806"/>
    <w:rsid w:val="006B6819"/>
    <w:rsid w:val="006B68C2"/>
    <w:rsid w:val="006B6A7A"/>
    <w:rsid w:val="006B6D31"/>
    <w:rsid w:val="006B7358"/>
    <w:rsid w:val="006B73B5"/>
    <w:rsid w:val="006B73E7"/>
    <w:rsid w:val="006B7572"/>
    <w:rsid w:val="006B7667"/>
    <w:rsid w:val="006B775D"/>
    <w:rsid w:val="006B783B"/>
    <w:rsid w:val="006B7864"/>
    <w:rsid w:val="006B79D1"/>
    <w:rsid w:val="006B7AA8"/>
    <w:rsid w:val="006B7FDB"/>
    <w:rsid w:val="006C00B7"/>
    <w:rsid w:val="006C027D"/>
    <w:rsid w:val="006C02AC"/>
    <w:rsid w:val="006C0391"/>
    <w:rsid w:val="006C0397"/>
    <w:rsid w:val="006C03D3"/>
    <w:rsid w:val="006C05AA"/>
    <w:rsid w:val="006C0629"/>
    <w:rsid w:val="006C0792"/>
    <w:rsid w:val="006C09E0"/>
    <w:rsid w:val="006C0B49"/>
    <w:rsid w:val="006C0BA6"/>
    <w:rsid w:val="006C0C80"/>
    <w:rsid w:val="006C0D68"/>
    <w:rsid w:val="006C10E8"/>
    <w:rsid w:val="006C118E"/>
    <w:rsid w:val="006C1317"/>
    <w:rsid w:val="006C1583"/>
    <w:rsid w:val="006C15A4"/>
    <w:rsid w:val="006C1803"/>
    <w:rsid w:val="006C1B44"/>
    <w:rsid w:val="006C1CA3"/>
    <w:rsid w:val="006C1D83"/>
    <w:rsid w:val="006C1E65"/>
    <w:rsid w:val="006C1F7C"/>
    <w:rsid w:val="006C20E6"/>
    <w:rsid w:val="006C22AA"/>
    <w:rsid w:val="006C23FE"/>
    <w:rsid w:val="006C2710"/>
    <w:rsid w:val="006C297E"/>
    <w:rsid w:val="006C29B3"/>
    <w:rsid w:val="006C2C15"/>
    <w:rsid w:val="006C3088"/>
    <w:rsid w:val="006C3102"/>
    <w:rsid w:val="006C3129"/>
    <w:rsid w:val="006C31AF"/>
    <w:rsid w:val="006C33AB"/>
    <w:rsid w:val="006C36C1"/>
    <w:rsid w:val="006C3807"/>
    <w:rsid w:val="006C392F"/>
    <w:rsid w:val="006C39F5"/>
    <w:rsid w:val="006C3C9A"/>
    <w:rsid w:val="006C3CB1"/>
    <w:rsid w:val="006C3D21"/>
    <w:rsid w:val="006C439B"/>
    <w:rsid w:val="006C4464"/>
    <w:rsid w:val="006C45EF"/>
    <w:rsid w:val="006C47B2"/>
    <w:rsid w:val="006C47C1"/>
    <w:rsid w:val="006C494F"/>
    <w:rsid w:val="006C49F7"/>
    <w:rsid w:val="006C4D04"/>
    <w:rsid w:val="006C5069"/>
    <w:rsid w:val="006C50DB"/>
    <w:rsid w:val="006C5168"/>
    <w:rsid w:val="006C51C2"/>
    <w:rsid w:val="006C5321"/>
    <w:rsid w:val="006C5338"/>
    <w:rsid w:val="006C53CC"/>
    <w:rsid w:val="006C543F"/>
    <w:rsid w:val="006C554E"/>
    <w:rsid w:val="006C5640"/>
    <w:rsid w:val="006C57D0"/>
    <w:rsid w:val="006C598F"/>
    <w:rsid w:val="006C5AE4"/>
    <w:rsid w:val="006C5B15"/>
    <w:rsid w:val="006C5CC3"/>
    <w:rsid w:val="006C5E20"/>
    <w:rsid w:val="006C5E21"/>
    <w:rsid w:val="006C5F88"/>
    <w:rsid w:val="006C5F8E"/>
    <w:rsid w:val="006C6207"/>
    <w:rsid w:val="006C62CA"/>
    <w:rsid w:val="006C652A"/>
    <w:rsid w:val="006C670B"/>
    <w:rsid w:val="006C6A64"/>
    <w:rsid w:val="006C6AA7"/>
    <w:rsid w:val="006C6F37"/>
    <w:rsid w:val="006C7048"/>
    <w:rsid w:val="006C71A8"/>
    <w:rsid w:val="006C7327"/>
    <w:rsid w:val="006C7372"/>
    <w:rsid w:val="006C73BE"/>
    <w:rsid w:val="006C73F5"/>
    <w:rsid w:val="006C74C4"/>
    <w:rsid w:val="006C7511"/>
    <w:rsid w:val="006C7532"/>
    <w:rsid w:val="006C757D"/>
    <w:rsid w:val="006C75F2"/>
    <w:rsid w:val="006C7789"/>
    <w:rsid w:val="006C7A91"/>
    <w:rsid w:val="006C7AA7"/>
    <w:rsid w:val="006C7AC9"/>
    <w:rsid w:val="006C7B80"/>
    <w:rsid w:val="006C7B92"/>
    <w:rsid w:val="006C7C76"/>
    <w:rsid w:val="006C7DDA"/>
    <w:rsid w:val="006C7F6C"/>
    <w:rsid w:val="006D0078"/>
    <w:rsid w:val="006D0197"/>
    <w:rsid w:val="006D0279"/>
    <w:rsid w:val="006D0349"/>
    <w:rsid w:val="006D043F"/>
    <w:rsid w:val="006D0495"/>
    <w:rsid w:val="006D04AF"/>
    <w:rsid w:val="006D057E"/>
    <w:rsid w:val="006D0891"/>
    <w:rsid w:val="006D0A28"/>
    <w:rsid w:val="006D0AAC"/>
    <w:rsid w:val="006D1282"/>
    <w:rsid w:val="006D12AB"/>
    <w:rsid w:val="006D133A"/>
    <w:rsid w:val="006D13AF"/>
    <w:rsid w:val="006D1596"/>
    <w:rsid w:val="006D16B3"/>
    <w:rsid w:val="006D1853"/>
    <w:rsid w:val="006D1860"/>
    <w:rsid w:val="006D18F5"/>
    <w:rsid w:val="006D1919"/>
    <w:rsid w:val="006D19E9"/>
    <w:rsid w:val="006D1AA5"/>
    <w:rsid w:val="006D1CBA"/>
    <w:rsid w:val="006D1CE0"/>
    <w:rsid w:val="006D1FAD"/>
    <w:rsid w:val="006D200D"/>
    <w:rsid w:val="006D20C7"/>
    <w:rsid w:val="006D2131"/>
    <w:rsid w:val="006D2424"/>
    <w:rsid w:val="006D2531"/>
    <w:rsid w:val="006D28C7"/>
    <w:rsid w:val="006D29A3"/>
    <w:rsid w:val="006D2B1E"/>
    <w:rsid w:val="006D2BC0"/>
    <w:rsid w:val="006D2BD0"/>
    <w:rsid w:val="006D2D61"/>
    <w:rsid w:val="006D3810"/>
    <w:rsid w:val="006D3A06"/>
    <w:rsid w:val="006D3D2B"/>
    <w:rsid w:val="006D3DE2"/>
    <w:rsid w:val="006D405C"/>
    <w:rsid w:val="006D427E"/>
    <w:rsid w:val="006D42C6"/>
    <w:rsid w:val="006D442B"/>
    <w:rsid w:val="006D4607"/>
    <w:rsid w:val="006D4883"/>
    <w:rsid w:val="006D493B"/>
    <w:rsid w:val="006D4A0A"/>
    <w:rsid w:val="006D4B47"/>
    <w:rsid w:val="006D4CB4"/>
    <w:rsid w:val="006D5089"/>
    <w:rsid w:val="006D53E5"/>
    <w:rsid w:val="006D5624"/>
    <w:rsid w:val="006D5AAB"/>
    <w:rsid w:val="006D5AE0"/>
    <w:rsid w:val="006D5C60"/>
    <w:rsid w:val="006D5D64"/>
    <w:rsid w:val="006D60A4"/>
    <w:rsid w:val="006D63C8"/>
    <w:rsid w:val="006D64B5"/>
    <w:rsid w:val="006D6564"/>
    <w:rsid w:val="006D65E9"/>
    <w:rsid w:val="006D6C5A"/>
    <w:rsid w:val="006D6CB8"/>
    <w:rsid w:val="006D6DBC"/>
    <w:rsid w:val="006D7269"/>
    <w:rsid w:val="006D742F"/>
    <w:rsid w:val="006D7482"/>
    <w:rsid w:val="006D7850"/>
    <w:rsid w:val="006D78C0"/>
    <w:rsid w:val="006D79F8"/>
    <w:rsid w:val="006D79FC"/>
    <w:rsid w:val="006D7E48"/>
    <w:rsid w:val="006D7E56"/>
    <w:rsid w:val="006E00AF"/>
    <w:rsid w:val="006E00F9"/>
    <w:rsid w:val="006E0A27"/>
    <w:rsid w:val="006E0B70"/>
    <w:rsid w:val="006E0D46"/>
    <w:rsid w:val="006E0D6D"/>
    <w:rsid w:val="006E1154"/>
    <w:rsid w:val="006E1303"/>
    <w:rsid w:val="006E136F"/>
    <w:rsid w:val="006E137D"/>
    <w:rsid w:val="006E1C0C"/>
    <w:rsid w:val="006E1CC6"/>
    <w:rsid w:val="006E1D06"/>
    <w:rsid w:val="006E1DA1"/>
    <w:rsid w:val="006E1F0B"/>
    <w:rsid w:val="006E1F18"/>
    <w:rsid w:val="006E1F5F"/>
    <w:rsid w:val="006E211F"/>
    <w:rsid w:val="006E216E"/>
    <w:rsid w:val="006E21F1"/>
    <w:rsid w:val="006E223E"/>
    <w:rsid w:val="006E24B3"/>
    <w:rsid w:val="006E2731"/>
    <w:rsid w:val="006E2971"/>
    <w:rsid w:val="006E2B8E"/>
    <w:rsid w:val="006E2D94"/>
    <w:rsid w:val="006E2F0C"/>
    <w:rsid w:val="006E3022"/>
    <w:rsid w:val="006E32BD"/>
    <w:rsid w:val="006E355D"/>
    <w:rsid w:val="006E357B"/>
    <w:rsid w:val="006E399A"/>
    <w:rsid w:val="006E39BD"/>
    <w:rsid w:val="006E3C99"/>
    <w:rsid w:val="006E3D6C"/>
    <w:rsid w:val="006E3D89"/>
    <w:rsid w:val="006E3D9F"/>
    <w:rsid w:val="006E3E4F"/>
    <w:rsid w:val="006E41FA"/>
    <w:rsid w:val="006E42BA"/>
    <w:rsid w:val="006E4355"/>
    <w:rsid w:val="006E44BE"/>
    <w:rsid w:val="006E45AC"/>
    <w:rsid w:val="006E45E5"/>
    <w:rsid w:val="006E4768"/>
    <w:rsid w:val="006E4A27"/>
    <w:rsid w:val="006E4AC3"/>
    <w:rsid w:val="006E4BE7"/>
    <w:rsid w:val="006E4C2B"/>
    <w:rsid w:val="006E4EB5"/>
    <w:rsid w:val="006E4F07"/>
    <w:rsid w:val="006E5197"/>
    <w:rsid w:val="006E53C1"/>
    <w:rsid w:val="006E55E5"/>
    <w:rsid w:val="006E567B"/>
    <w:rsid w:val="006E56B0"/>
    <w:rsid w:val="006E58F0"/>
    <w:rsid w:val="006E5AF1"/>
    <w:rsid w:val="006E5B1C"/>
    <w:rsid w:val="006E5D3F"/>
    <w:rsid w:val="006E5EC2"/>
    <w:rsid w:val="006E5F20"/>
    <w:rsid w:val="006E60DF"/>
    <w:rsid w:val="006E61DB"/>
    <w:rsid w:val="006E6204"/>
    <w:rsid w:val="006E6347"/>
    <w:rsid w:val="006E634D"/>
    <w:rsid w:val="006E6506"/>
    <w:rsid w:val="006E6A8F"/>
    <w:rsid w:val="006E6DF6"/>
    <w:rsid w:val="006E6E86"/>
    <w:rsid w:val="006E6FE6"/>
    <w:rsid w:val="006E7102"/>
    <w:rsid w:val="006E7148"/>
    <w:rsid w:val="006E7168"/>
    <w:rsid w:val="006E7341"/>
    <w:rsid w:val="006E73D6"/>
    <w:rsid w:val="006E77F5"/>
    <w:rsid w:val="006E78BC"/>
    <w:rsid w:val="006E7909"/>
    <w:rsid w:val="006E7AC4"/>
    <w:rsid w:val="006E7CFD"/>
    <w:rsid w:val="006E7F7E"/>
    <w:rsid w:val="006F0035"/>
    <w:rsid w:val="006F02C7"/>
    <w:rsid w:val="006F0396"/>
    <w:rsid w:val="006F04C3"/>
    <w:rsid w:val="006F066A"/>
    <w:rsid w:val="006F0715"/>
    <w:rsid w:val="006F07E7"/>
    <w:rsid w:val="006F08AB"/>
    <w:rsid w:val="006F095B"/>
    <w:rsid w:val="006F0994"/>
    <w:rsid w:val="006F0C3E"/>
    <w:rsid w:val="006F1536"/>
    <w:rsid w:val="006F184F"/>
    <w:rsid w:val="006F198B"/>
    <w:rsid w:val="006F1B2E"/>
    <w:rsid w:val="006F1C44"/>
    <w:rsid w:val="006F1DB7"/>
    <w:rsid w:val="006F1F54"/>
    <w:rsid w:val="006F2226"/>
    <w:rsid w:val="006F22B4"/>
    <w:rsid w:val="006F25FC"/>
    <w:rsid w:val="006F286B"/>
    <w:rsid w:val="006F2D3A"/>
    <w:rsid w:val="006F2E69"/>
    <w:rsid w:val="006F317A"/>
    <w:rsid w:val="006F37DE"/>
    <w:rsid w:val="006F383E"/>
    <w:rsid w:val="006F3B5A"/>
    <w:rsid w:val="006F3CDC"/>
    <w:rsid w:val="006F3D3E"/>
    <w:rsid w:val="006F3FBE"/>
    <w:rsid w:val="006F42A5"/>
    <w:rsid w:val="006F4488"/>
    <w:rsid w:val="006F4888"/>
    <w:rsid w:val="006F488B"/>
    <w:rsid w:val="006F4A83"/>
    <w:rsid w:val="006F4B9F"/>
    <w:rsid w:val="006F4D4E"/>
    <w:rsid w:val="006F4F87"/>
    <w:rsid w:val="006F5096"/>
    <w:rsid w:val="006F51B9"/>
    <w:rsid w:val="006F51F4"/>
    <w:rsid w:val="006F521C"/>
    <w:rsid w:val="006F5309"/>
    <w:rsid w:val="006F5707"/>
    <w:rsid w:val="006F5E24"/>
    <w:rsid w:val="006F5E26"/>
    <w:rsid w:val="006F5F81"/>
    <w:rsid w:val="006F5FAB"/>
    <w:rsid w:val="006F626C"/>
    <w:rsid w:val="006F6387"/>
    <w:rsid w:val="006F63A0"/>
    <w:rsid w:val="006F6400"/>
    <w:rsid w:val="006F644E"/>
    <w:rsid w:val="006F67B0"/>
    <w:rsid w:val="006F68CD"/>
    <w:rsid w:val="006F6E4D"/>
    <w:rsid w:val="006F6E9F"/>
    <w:rsid w:val="006F7369"/>
    <w:rsid w:val="006F7532"/>
    <w:rsid w:val="006F75A6"/>
    <w:rsid w:val="006F7722"/>
    <w:rsid w:val="006F78A8"/>
    <w:rsid w:val="006F7910"/>
    <w:rsid w:val="006F7A3B"/>
    <w:rsid w:val="006F7A72"/>
    <w:rsid w:val="006F7B55"/>
    <w:rsid w:val="006F7BAA"/>
    <w:rsid w:val="006F7CF7"/>
    <w:rsid w:val="0070005D"/>
    <w:rsid w:val="0070006C"/>
    <w:rsid w:val="00700176"/>
    <w:rsid w:val="007002D0"/>
    <w:rsid w:val="007002DF"/>
    <w:rsid w:val="00700437"/>
    <w:rsid w:val="007006C1"/>
    <w:rsid w:val="00700923"/>
    <w:rsid w:val="00700943"/>
    <w:rsid w:val="0070094C"/>
    <w:rsid w:val="00700C9A"/>
    <w:rsid w:val="00700CFA"/>
    <w:rsid w:val="00700D70"/>
    <w:rsid w:val="00700F2E"/>
    <w:rsid w:val="00701065"/>
    <w:rsid w:val="0070111B"/>
    <w:rsid w:val="007011E3"/>
    <w:rsid w:val="00701AE9"/>
    <w:rsid w:val="00701F14"/>
    <w:rsid w:val="0070213B"/>
    <w:rsid w:val="0070236C"/>
    <w:rsid w:val="007023F6"/>
    <w:rsid w:val="00702568"/>
    <w:rsid w:val="0070262C"/>
    <w:rsid w:val="007026BA"/>
    <w:rsid w:val="0070282C"/>
    <w:rsid w:val="00702993"/>
    <w:rsid w:val="007029D1"/>
    <w:rsid w:val="00702A06"/>
    <w:rsid w:val="00702A2C"/>
    <w:rsid w:val="00702A84"/>
    <w:rsid w:val="00702CA8"/>
    <w:rsid w:val="00702CF6"/>
    <w:rsid w:val="00702DDE"/>
    <w:rsid w:val="00702EB0"/>
    <w:rsid w:val="0070322F"/>
    <w:rsid w:val="0070337F"/>
    <w:rsid w:val="00703800"/>
    <w:rsid w:val="007038A5"/>
    <w:rsid w:val="00703968"/>
    <w:rsid w:val="00703A40"/>
    <w:rsid w:val="00703AC2"/>
    <w:rsid w:val="00703C2A"/>
    <w:rsid w:val="00703C7F"/>
    <w:rsid w:val="00703E82"/>
    <w:rsid w:val="007040C1"/>
    <w:rsid w:val="00704214"/>
    <w:rsid w:val="0070436B"/>
    <w:rsid w:val="007044B8"/>
    <w:rsid w:val="007046DC"/>
    <w:rsid w:val="0070499C"/>
    <w:rsid w:val="00704BBB"/>
    <w:rsid w:val="00704BE5"/>
    <w:rsid w:val="00704C8C"/>
    <w:rsid w:val="00704CAC"/>
    <w:rsid w:val="00704DB3"/>
    <w:rsid w:val="00704F15"/>
    <w:rsid w:val="00705072"/>
    <w:rsid w:val="00705092"/>
    <w:rsid w:val="007053BB"/>
    <w:rsid w:val="0070544A"/>
    <w:rsid w:val="0070591E"/>
    <w:rsid w:val="00705DCB"/>
    <w:rsid w:val="00705E74"/>
    <w:rsid w:val="00705E79"/>
    <w:rsid w:val="00706168"/>
    <w:rsid w:val="00706405"/>
    <w:rsid w:val="00706660"/>
    <w:rsid w:val="00706BE6"/>
    <w:rsid w:val="00706C6C"/>
    <w:rsid w:val="00706C8A"/>
    <w:rsid w:val="00706CCB"/>
    <w:rsid w:val="00706DE7"/>
    <w:rsid w:val="00706E66"/>
    <w:rsid w:val="007072EE"/>
    <w:rsid w:val="00707357"/>
    <w:rsid w:val="007076B1"/>
    <w:rsid w:val="0070772E"/>
    <w:rsid w:val="007079CA"/>
    <w:rsid w:val="00707CF6"/>
    <w:rsid w:val="00707D89"/>
    <w:rsid w:val="0071001C"/>
    <w:rsid w:val="00710176"/>
    <w:rsid w:val="00710357"/>
    <w:rsid w:val="0071061A"/>
    <w:rsid w:val="00710796"/>
    <w:rsid w:val="00710848"/>
    <w:rsid w:val="00710877"/>
    <w:rsid w:val="00710957"/>
    <w:rsid w:val="00710AEF"/>
    <w:rsid w:val="00710BCC"/>
    <w:rsid w:val="00710C8A"/>
    <w:rsid w:val="00710DFB"/>
    <w:rsid w:val="0071139E"/>
    <w:rsid w:val="0071146E"/>
    <w:rsid w:val="0071155B"/>
    <w:rsid w:val="0071168D"/>
    <w:rsid w:val="00711A04"/>
    <w:rsid w:val="00711A34"/>
    <w:rsid w:val="00711F12"/>
    <w:rsid w:val="00711F1B"/>
    <w:rsid w:val="00711F39"/>
    <w:rsid w:val="0071202F"/>
    <w:rsid w:val="0071217C"/>
    <w:rsid w:val="00712348"/>
    <w:rsid w:val="007128DC"/>
    <w:rsid w:val="00712B18"/>
    <w:rsid w:val="00712BA3"/>
    <w:rsid w:val="00712C80"/>
    <w:rsid w:val="00712CB5"/>
    <w:rsid w:val="00712CFC"/>
    <w:rsid w:val="00712E49"/>
    <w:rsid w:val="00712FC7"/>
    <w:rsid w:val="00713131"/>
    <w:rsid w:val="00713513"/>
    <w:rsid w:val="00713551"/>
    <w:rsid w:val="0071367A"/>
    <w:rsid w:val="00713696"/>
    <w:rsid w:val="00713820"/>
    <w:rsid w:val="00713BF9"/>
    <w:rsid w:val="00713CCC"/>
    <w:rsid w:val="00713E76"/>
    <w:rsid w:val="007140CF"/>
    <w:rsid w:val="00714649"/>
    <w:rsid w:val="007147C8"/>
    <w:rsid w:val="0071492B"/>
    <w:rsid w:val="00714968"/>
    <w:rsid w:val="00714A1B"/>
    <w:rsid w:val="00714C2B"/>
    <w:rsid w:val="00714C77"/>
    <w:rsid w:val="00714CB1"/>
    <w:rsid w:val="00715231"/>
    <w:rsid w:val="007153D9"/>
    <w:rsid w:val="007155FB"/>
    <w:rsid w:val="007156E6"/>
    <w:rsid w:val="00715747"/>
    <w:rsid w:val="007158A2"/>
    <w:rsid w:val="00715D36"/>
    <w:rsid w:val="00715DF4"/>
    <w:rsid w:val="00715E99"/>
    <w:rsid w:val="0071605F"/>
    <w:rsid w:val="00716308"/>
    <w:rsid w:val="007163AB"/>
    <w:rsid w:val="00716630"/>
    <w:rsid w:val="0071682E"/>
    <w:rsid w:val="00716A30"/>
    <w:rsid w:val="00716ADC"/>
    <w:rsid w:val="00716B41"/>
    <w:rsid w:val="00716DEC"/>
    <w:rsid w:val="007171E1"/>
    <w:rsid w:val="00717357"/>
    <w:rsid w:val="0071749F"/>
    <w:rsid w:val="00717533"/>
    <w:rsid w:val="00717534"/>
    <w:rsid w:val="007176B1"/>
    <w:rsid w:val="00717DA2"/>
    <w:rsid w:val="00720037"/>
    <w:rsid w:val="007202B0"/>
    <w:rsid w:val="007206EB"/>
    <w:rsid w:val="0072070A"/>
    <w:rsid w:val="0072075B"/>
    <w:rsid w:val="007207CD"/>
    <w:rsid w:val="0072081A"/>
    <w:rsid w:val="0072084D"/>
    <w:rsid w:val="00720918"/>
    <w:rsid w:val="00720C8E"/>
    <w:rsid w:val="00720CCE"/>
    <w:rsid w:val="00720D2B"/>
    <w:rsid w:val="00720D88"/>
    <w:rsid w:val="00720E24"/>
    <w:rsid w:val="00720E55"/>
    <w:rsid w:val="00720F04"/>
    <w:rsid w:val="00720F83"/>
    <w:rsid w:val="00721025"/>
    <w:rsid w:val="00721042"/>
    <w:rsid w:val="007210D1"/>
    <w:rsid w:val="007210F2"/>
    <w:rsid w:val="007212A3"/>
    <w:rsid w:val="0072131C"/>
    <w:rsid w:val="007213CC"/>
    <w:rsid w:val="00721495"/>
    <w:rsid w:val="0072158E"/>
    <w:rsid w:val="007217AC"/>
    <w:rsid w:val="007219F8"/>
    <w:rsid w:val="00721BD8"/>
    <w:rsid w:val="00721BE9"/>
    <w:rsid w:val="00721EE9"/>
    <w:rsid w:val="00721F75"/>
    <w:rsid w:val="007223EE"/>
    <w:rsid w:val="00722407"/>
    <w:rsid w:val="00722495"/>
    <w:rsid w:val="007226CB"/>
    <w:rsid w:val="0072287F"/>
    <w:rsid w:val="007228E0"/>
    <w:rsid w:val="00722B6F"/>
    <w:rsid w:val="00722C16"/>
    <w:rsid w:val="00722CBF"/>
    <w:rsid w:val="00722E62"/>
    <w:rsid w:val="00723188"/>
    <w:rsid w:val="007232E6"/>
    <w:rsid w:val="007233FD"/>
    <w:rsid w:val="00723566"/>
    <w:rsid w:val="007239C0"/>
    <w:rsid w:val="00723DED"/>
    <w:rsid w:val="00723F93"/>
    <w:rsid w:val="0072447B"/>
    <w:rsid w:val="007245E9"/>
    <w:rsid w:val="00724771"/>
    <w:rsid w:val="007248EA"/>
    <w:rsid w:val="007248F7"/>
    <w:rsid w:val="00724906"/>
    <w:rsid w:val="007249F2"/>
    <w:rsid w:val="00724B2F"/>
    <w:rsid w:val="00724C30"/>
    <w:rsid w:val="00724C65"/>
    <w:rsid w:val="00724C96"/>
    <w:rsid w:val="00724F0B"/>
    <w:rsid w:val="00724F8A"/>
    <w:rsid w:val="00724FDC"/>
    <w:rsid w:val="00725169"/>
    <w:rsid w:val="00725267"/>
    <w:rsid w:val="007252F4"/>
    <w:rsid w:val="00725528"/>
    <w:rsid w:val="0072579F"/>
    <w:rsid w:val="007257F2"/>
    <w:rsid w:val="0072583C"/>
    <w:rsid w:val="00725950"/>
    <w:rsid w:val="00725A41"/>
    <w:rsid w:val="00725CA1"/>
    <w:rsid w:val="00725CA6"/>
    <w:rsid w:val="00725EB3"/>
    <w:rsid w:val="0072615E"/>
    <w:rsid w:val="0072663A"/>
    <w:rsid w:val="00726974"/>
    <w:rsid w:val="007269B3"/>
    <w:rsid w:val="00726AF3"/>
    <w:rsid w:val="00726BC6"/>
    <w:rsid w:val="00726BCF"/>
    <w:rsid w:val="00726D7D"/>
    <w:rsid w:val="00726E48"/>
    <w:rsid w:val="00726EB3"/>
    <w:rsid w:val="00726EE7"/>
    <w:rsid w:val="00726F97"/>
    <w:rsid w:val="0072720C"/>
    <w:rsid w:val="0072741A"/>
    <w:rsid w:val="00727501"/>
    <w:rsid w:val="0072761F"/>
    <w:rsid w:val="00727717"/>
    <w:rsid w:val="007279F4"/>
    <w:rsid w:val="00727C47"/>
    <w:rsid w:val="00727D71"/>
    <w:rsid w:val="00727EB5"/>
    <w:rsid w:val="00727FB4"/>
    <w:rsid w:val="00730231"/>
    <w:rsid w:val="007305D0"/>
    <w:rsid w:val="007307BA"/>
    <w:rsid w:val="00730A15"/>
    <w:rsid w:val="00730AC5"/>
    <w:rsid w:val="00730C91"/>
    <w:rsid w:val="007312F5"/>
    <w:rsid w:val="007313D4"/>
    <w:rsid w:val="00731498"/>
    <w:rsid w:val="0073171D"/>
    <w:rsid w:val="00731790"/>
    <w:rsid w:val="007317C9"/>
    <w:rsid w:val="0073182F"/>
    <w:rsid w:val="00731868"/>
    <w:rsid w:val="00731B0E"/>
    <w:rsid w:val="00731B6E"/>
    <w:rsid w:val="00731CBC"/>
    <w:rsid w:val="00731CEE"/>
    <w:rsid w:val="00731E65"/>
    <w:rsid w:val="00732086"/>
    <w:rsid w:val="00732172"/>
    <w:rsid w:val="007322E3"/>
    <w:rsid w:val="0073245C"/>
    <w:rsid w:val="0073277C"/>
    <w:rsid w:val="0073287B"/>
    <w:rsid w:val="00732980"/>
    <w:rsid w:val="007329CB"/>
    <w:rsid w:val="00732E8C"/>
    <w:rsid w:val="00732EB6"/>
    <w:rsid w:val="00732FC6"/>
    <w:rsid w:val="00732FC7"/>
    <w:rsid w:val="0073301E"/>
    <w:rsid w:val="00733676"/>
    <w:rsid w:val="007336BC"/>
    <w:rsid w:val="007336D8"/>
    <w:rsid w:val="0073378E"/>
    <w:rsid w:val="00733BEE"/>
    <w:rsid w:val="00733C3F"/>
    <w:rsid w:val="00733C43"/>
    <w:rsid w:val="00733EB8"/>
    <w:rsid w:val="007340CE"/>
    <w:rsid w:val="007345EE"/>
    <w:rsid w:val="0073479C"/>
    <w:rsid w:val="007349E3"/>
    <w:rsid w:val="00734B88"/>
    <w:rsid w:val="00734FF4"/>
    <w:rsid w:val="00735118"/>
    <w:rsid w:val="007355D2"/>
    <w:rsid w:val="00735714"/>
    <w:rsid w:val="007357A4"/>
    <w:rsid w:val="007357C8"/>
    <w:rsid w:val="007358A1"/>
    <w:rsid w:val="00735A99"/>
    <w:rsid w:val="00735B90"/>
    <w:rsid w:val="00735C73"/>
    <w:rsid w:val="00735E6C"/>
    <w:rsid w:val="00735EB4"/>
    <w:rsid w:val="00735ED8"/>
    <w:rsid w:val="00735F4D"/>
    <w:rsid w:val="00735F8B"/>
    <w:rsid w:val="0073614A"/>
    <w:rsid w:val="007363E1"/>
    <w:rsid w:val="00736507"/>
    <w:rsid w:val="00736662"/>
    <w:rsid w:val="0073673C"/>
    <w:rsid w:val="007368CC"/>
    <w:rsid w:val="00736934"/>
    <w:rsid w:val="007369C5"/>
    <w:rsid w:val="00736BF9"/>
    <w:rsid w:val="00736C81"/>
    <w:rsid w:val="00736D98"/>
    <w:rsid w:val="00736E06"/>
    <w:rsid w:val="00736F47"/>
    <w:rsid w:val="00737152"/>
    <w:rsid w:val="0073715E"/>
    <w:rsid w:val="00737654"/>
    <w:rsid w:val="0073785C"/>
    <w:rsid w:val="00737A38"/>
    <w:rsid w:val="00737A5A"/>
    <w:rsid w:val="00737B54"/>
    <w:rsid w:val="00737D96"/>
    <w:rsid w:val="00737F09"/>
    <w:rsid w:val="00737F79"/>
    <w:rsid w:val="00737FC6"/>
    <w:rsid w:val="0073EDCD"/>
    <w:rsid w:val="0074023F"/>
    <w:rsid w:val="007403EB"/>
    <w:rsid w:val="007404EC"/>
    <w:rsid w:val="0074052A"/>
    <w:rsid w:val="00740963"/>
    <w:rsid w:val="00740985"/>
    <w:rsid w:val="00740A0B"/>
    <w:rsid w:val="00740AAD"/>
    <w:rsid w:val="00740AF5"/>
    <w:rsid w:val="00740BAC"/>
    <w:rsid w:val="00740BB0"/>
    <w:rsid w:val="00740C2E"/>
    <w:rsid w:val="00740C6C"/>
    <w:rsid w:val="00740CF9"/>
    <w:rsid w:val="00740D13"/>
    <w:rsid w:val="00740DC8"/>
    <w:rsid w:val="00740F68"/>
    <w:rsid w:val="007410FB"/>
    <w:rsid w:val="007413A0"/>
    <w:rsid w:val="007414EA"/>
    <w:rsid w:val="00741A90"/>
    <w:rsid w:val="00741ADF"/>
    <w:rsid w:val="00741B4C"/>
    <w:rsid w:val="00741B6A"/>
    <w:rsid w:val="00741BF3"/>
    <w:rsid w:val="00741D07"/>
    <w:rsid w:val="00741DA1"/>
    <w:rsid w:val="0074203D"/>
    <w:rsid w:val="00742213"/>
    <w:rsid w:val="0074249D"/>
    <w:rsid w:val="00742544"/>
    <w:rsid w:val="007425D7"/>
    <w:rsid w:val="0074278E"/>
    <w:rsid w:val="0074299E"/>
    <w:rsid w:val="007429EB"/>
    <w:rsid w:val="00742AD3"/>
    <w:rsid w:val="00742BA3"/>
    <w:rsid w:val="00742CF8"/>
    <w:rsid w:val="00742F31"/>
    <w:rsid w:val="00742F47"/>
    <w:rsid w:val="00743016"/>
    <w:rsid w:val="0074338B"/>
    <w:rsid w:val="007439DE"/>
    <w:rsid w:val="00743A62"/>
    <w:rsid w:val="00743D15"/>
    <w:rsid w:val="00744CC6"/>
    <w:rsid w:val="00744CC7"/>
    <w:rsid w:val="00744F48"/>
    <w:rsid w:val="00745005"/>
    <w:rsid w:val="0074501C"/>
    <w:rsid w:val="00745283"/>
    <w:rsid w:val="007453F6"/>
    <w:rsid w:val="00745482"/>
    <w:rsid w:val="00745BAB"/>
    <w:rsid w:val="00745C51"/>
    <w:rsid w:val="00745D11"/>
    <w:rsid w:val="00745D97"/>
    <w:rsid w:val="00745E4A"/>
    <w:rsid w:val="00745F4C"/>
    <w:rsid w:val="00745FA8"/>
    <w:rsid w:val="00745FD6"/>
    <w:rsid w:val="00746055"/>
    <w:rsid w:val="0074625A"/>
    <w:rsid w:val="007463CD"/>
    <w:rsid w:val="00746783"/>
    <w:rsid w:val="007469A0"/>
    <w:rsid w:val="00746C35"/>
    <w:rsid w:val="00746C67"/>
    <w:rsid w:val="00746CB6"/>
    <w:rsid w:val="00746D2C"/>
    <w:rsid w:val="00746DAA"/>
    <w:rsid w:val="00746F47"/>
    <w:rsid w:val="00746F8A"/>
    <w:rsid w:val="007470A5"/>
    <w:rsid w:val="0074710E"/>
    <w:rsid w:val="00747183"/>
    <w:rsid w:val="0074721D"/>
    <w:rsid w:val="007472B6"/>
    <w:rsid w:val="007475A9"/>
    <w:rsid w:val="0074761C"/>
    <w:rsid w:val="007476C0"/>
    <w:rsid w:val="007477C2"/>
    <w:rsid w:val="0074790B"/>
    <w:rsid w:val="0074791B"/>
    <w:rsid w:val="0074792E"/>
    <w:rsid w:val="00747A55"/>
    <w:rsid w:val="00747C8E"/>
    <w:rsid w:val="00747CD7"/>
    <w:rsid w:val="00747E01"/>
    <w:rsid w:val="00747FCA"/>
    <w:rsid w:val="00750007"/>
    <w:rsid w:val="0075006C"/>
    <w:rsid w:val="00750094"/>
    <w:rsid w:val="0075010D"/>
    <w:rsid w:val="007501CF"/>
    <w:rsid w:val="00750424"/>
    <w:rsid w:val="0075049E"/>
    <w:rsid w:val="007504F0"/>
    <w:rsid w:val="0075077F"/>
    <w:rsid w:val="00750A2E"/>
    <w:rsid w:val="00750A47"/>
    <w:rsid w:val="00750B32"/>
    <w:rsid w:val="00750D17"/>
    <w:rsid w:val="00750F6D"/>
    <w:rsid w:val="00751234"/>
    <w:rsid w:val="007512DD"/>
    <w:rsid w:val="0075150E"/>
    <w:rsid w:val="00751A18"/>
    <w:rsid w:val="00751D2F"/>
    <w:rsid w:val="00751F44"/>
    <w:rsid w:val="00752189"/>
    <w:rsid w:val="00752199"/>
    <w:rsid w:val="00752336"/>
    <w:rsid w:val="0075243D"/>
    <w:rsid w:val="007524E9"/>
    <w:rsid w:val="0075260F"/>
    <w:rsid w:val="007526E9"/>
    <w:rsid w:val="00752822"/>
    <w:rsid w:val="007528F9"/>
    <w:rsid w:val="00752910"/>
    <w:rsid w:val="007529C4"/>
    <w:rsid w:val="00752AC7"/>
    <w:rsid w:val="00752C24"/>
    <w:rsid w:val="00752CE8"/>
    <w:rsid w:val="00752F86"/>
    <w:rsid w:val="007531F0"/>
    <w:rsid w:val="0075322F"/>
    <w:rsid w:val="00753329"/>
    <w:rsid w:val="00753A32"/>
    <w:rsid w:val="00753B50"/>
    <w:rsid w:val="00754317"/>
    <w:rsid w:val="0075436D"/>
    <w:rsid w:val="0075443F"/>
    <w:rsid w:val="00754770"/>
    <w:rsid w:val="00754EC2"/>
    <w:rsid w:val="00754EEB"/>
    <w:rsid w:val="0075554D"/>
    <w:rsid w:val="00755613"/>
    <w:rsid w:val="00755685"/>
    <w:rsid w:val="0075578D"/>
    <w:rsid w:val="0075594C"/>
    <w:rsid w:val="00755BF9"/>
    <w:rsid w:val="00755D93"/>
    <w:rsid w:val="00755DBE"/>
    <w:rsid w:val="00755DE2"/>
    <w:rsid w:val="00755EE4"/>
    <w:rsid w:val="0075624B"/>
    <w:rsid w:val="007562A4"/>
    <w:rsid w:val="0075632A"/>
    <w:rsid w:val="00756A08"/>
    <w:rsid w:val="00756AE5"/>
    <w:rsid w:val="00756D0D"/>
    <w:rsid w:val="00756D50"/>
    <w:rsid w:val="00756EF0"/>
    <w:rsid w:val="007570E4"/>
    <w:rsid w:val="00757155"/>
    <w:rsid w:val="0075723D"/>
    <w:rsid w:val="007573EC"/>
    <w:rsid w:val="007574C4"/>
    <w:rsid w:val="007576B3"/>
    <w:rsid w:val="007578A2"/>
    <w:rsid w:val="007578D9"/>
    <w:rsid w:val="00760216"/>
    <w:rsid w:val="0076032F"/>
    <w:rsid w:val="00760360"/>
    <w:rsid w:val="00760481"/>
    <w:rsid w:val="007604E8"/>
    <w:rsid w:val="00760AAF"/>
    <w:rsid w:val="00760DD2"/>
    <w:rsid w:val="00760E09"/>
    <w:rsid w:val="00760E7F"/>
    <w:rsid w:val="00760EF2"/>
    <w:rsid w:val="00761079"/>
    <w:rsid w:val="007611F5"/>
    <w:rsid w:val="00761382"/>
    <w:rsid w:val="0076149A"/>
    <w:rsid w:val="00761630"/>
    <w:rsid w:val="00761714"/>
    <w:rsid w:val="007617C1"/>
    <w:rsid w:val="007618E6"/>
    <w:rsid w:val="00761B52"/>
    <w:rsid w:val="00761E06"/>
    <w:rsid w:val="00761EF2"/>
    <w:rsid w:val="0076224F"/>
    <w:rsid w:val="0076228D"/>
    <w:rsid w:val="007625DC"/>
    <w:rsid w:val="00762783"/>
    <w:rsid w:val="00762855"/>
    <w:rsid w:val="00762C45"/>
    <w:rsid w:val="00762C59"/>
    <w:rsid w:val="00762D3A"/>
    <w:rsid w:val="00762D96"/>
    <w:rsid w:val="00762DE1"/>
    <w:rsid w:val="00762E92"/>
    <w:rsid w:val="00762F29"/>
    <w:rsid w:val="00763110"/>
    <w:rsid w:val="00763464"/>
    <w:rsid w:val="00763670"/>
    <w:rsid w:val="007637B5"/>
    <w:rsid w:val="007637E0"/>
    <w:rsid w:val="0076386D"/>
    <w:rsid w:val="007639BE"/>
    <w:rsid w:val="00763CF8"/>
    <w:rsid w:val="00763D4A"/>
    <w:rsid w:val="00763EBA"/>
    <w:rsid w:val="0076407F"/>
    <w:rsid w:val="00764299"/>
    <w:rsid w:val="007643C1"/>
    <w:rsid w:val="00764430"/>
    <w:rsid w:val="0076450D"/>
    <w:rsid w:val="007645A8"/>
    <w:rsid w:val="00764AD3"/>
    <w:rsid w:val="00764DD9"/>
    <w:rsid w:val="00764E57"/>
    <w:rsid w:val="00764F10"/>
    <w:rsid w:val="00764F13"/>
    <w:rsid w:val="007651CC"/>
    <w:rsid w:val="00765235"/>
    <w:rsid w:val="00765298"/>
    <w:rsid w:val="007652F7"/>
    <w:rsid w:val="0076586F"/>
    <w:rsid w:val="00765ADD"/>
    <w:rsid w:val="00765B6E"/>
    <w:rsid w:val="0076604E"/>
    <w:rsid w:val="0076638A"/>
    <w:rsid w:val="00766461"/>
    <w:rsid w:val="00766479"/>
    <w:rsid w:val="007664B4"/>
    <w:rsid w:val="0076660E"/>
    <w:rsid w:val="00766789"/>
    <w:rsid w:val="00766881"/>
    <w:rsid w:val="00766ADF"/>
    <w:rsid w:val="00766CFF"/>
    <w:rsid w:val="00767284"/>
    <w:rsid w:val="00767316"/>
    <w:rsid w:val="00767492"/>
    <w:rsid w:val="00767614"/>
    <w:rsid w:val="00767631"/>
    <w:rsid w:val="00767673"/>
    <w:rsid w:val="007678A0"/>
    <w:rsid w:val="007679D8"/>
    <w:rsid w:val="00767A7C"/>
    <w:rsid w:val="00767D0A"/>
    <w:rsid w:val="00767DD8"/>
    <w:rsid w:val="00767DF6"/>
    <w:rsid w:val="0077047C"/>
    <w:rsid w:val="0077059F"/>
    <w:rsid w:val="00770A32"/>
    <w:rsid w:val="00770BBA"/>
    <w:rsid w:val="00770EC5"/>
    <w:rsid w:val="00770FF2"/>
    <w:rsid w:val="00771008"/>
    <w:rsid w:val="007713A9"/>
    <w:rsid w:val="007713B6"/>
    <w:rsid w:val="00771421"/>
    <w:rsid w:val="00771459"/>
    <w:rsid w:val="007718F1"/>
    <w:rsid w:val="00771982"/>
    <w:rsid w:val="00771B30"/>
    <w:rsid w:val="00771B3D"/>
    <w:rsid w:val="00771DB1"/>
    <w:rsid w:val="00772185"/>
    <w:rsid w:val="0077241A"/>
    <w:rsid w:val="0077268C"/>
    <w:rsid w:val="0077281C"/>
    <w:rsid w:val="00772EC5"/>
    <w:rsid w:val="00773104"/>
    <w:rsid w:val="0077319E"/>
    <w:rsid w:val="00773202"/>
    <w:rsid w:val="0077325E"/>
    <w:rsid w:val="007732A1"/>
    <w:rsid w:val="007735AF"/>
    <w:rsid w:val="00773600"/>
    <w:rsid w:val="00773842"/>
    <w:rsid w:val="00773CC2"/>
    <w:rsid w:val="00773EED"/>
    <w:rsid w:val="00774054"/>
    <w:rsid w:val="0077456F"/>
    <w:rsid w:val="00774632"/>
    <w:rsid w:val="00774667"/>
    <w:rsid w:val="0077484A"/>
    <w:rsid w:val="00774C97"/>
    <w:rsid w:val="0077505E"/>
    <w:rsid w:val="00775088"/>
    <w:rsid w:val="00775292"/>
    <w:rsid w:val="007753C9"/>
    <w:rsid w:val="00775D08"/>
    <w:rsid w:val="00775FD7"/>
    <w:rsid w:val="007761C2"/>
    <w:rsid w:val="007764B7"/>
    <w:rsid w:val="007765B2"/>
    <w:rsid w:val="00776783"/>
    <w:rsid w:val="007767B7"/>
    <w:rsid w:val="0077683B"/>
    <w:rsid w:val="00776918"/>
    <w:rsid w:val="00776B07"/>
    <w:rsid w:val="00776DA8"/>
    <w:rsid w:val="00776EA1"/>
    <w:rsid w:val="0077701F"/>
    <w:rsid w:val="00777163"/>
    <w:rsid w:val="007771CE"/>
    <w:rsid w:val="007774A4"/>
    <w:rsid w:val="007775C5"/>
    <w:rsid w:val="007778D8"/>
    <w:rsid w:val="00777C66"/>
    <w:rsid w:val="00777CC5"/>
    <w:rsid w:val="00780094"/>
    <w:rsid w:val="007801C0"/>
    <w:rsid w:val="0078026E"/>
    <w:rsid w:val="00780299"/>
    <w:rsid w:val="0078036B"/>
    <w:rsid w:val="0078040B"/>
    <w:rsid w:val="00780428"/>
    <w:rsid w:val="00780523"/>
    <w:rsid w:val="007807FC"/>
    <w:rsid w:val="00780858"/>
    <w:rsid w:val="007808CC"/>
    <w:rsid w:val="007809C5"/>
    <w:rsid w:val="00780AA1"/>
    <w:rsid w:val="00780C44"/>
    <w:rsid w:val="00780C63"/>
    <w:rsid w:val="00780C68"/>
    <w:rsid w:val="00780CDA"/>
    <w:rsid w:val="00780E0A"/>
    <w:rsid w:val="0078106B"/>
    <w:rsid w:val="0078108D"/>
    <w:rsid w:val="0078145E"/>
    <w:rsid w:val="0078147D"/>
    <w:rsid w:val="00781778"/>
    <w:rsid w:val="007817A9"/>
    <w:rsid w:val="00781AF8"/>
    <w:rsid w:val="00781B5D"/>
    <w:rsid w:val="00781C1C"/>
    <w:rsid w:val="00781D5B"/>
    <w:rsid w:val="00781EE6"/>
    <w:rsid w:val="00781F69"/>
    <w:rsid w:val="0078210A"/>
    <w:rsid w:val="00782313"/>
    <w:rsid w:val="00782527"/>
    <w:rsid w:val="007827C5"/>
    <w:rsid w:val="00782E10"/>
    <w:rsid w:val="00783094"/>
    <w:rsid w:val="007831B8"/>
    <w:rsid w:val="00783311"/>
    <w:rsid w:val="00783408"/>
    <w:rsid w:val="007835D6"/>
    <w:rsid w:val="0078386C"/>
    <w:rsid w:val="0078386F"/>
    <w:rsid w:val="00783AF4"/>
    <w:rsid w:val="00783C95"/>
    <w:rsid w:val="00783DB9"/>
    <w:rsid w:val="00784225"/>
    <w:rsid w:val="00784433"/>
    <w:rsid w:val="00784573"/>
    <w:rsid w:val="00784712"/>
    <w:rsid w:val="0078477F"/>
    <w:rsid w:val="00784818"/>
    <w:rsid w:val="007848AD"/>
    <w:rsid w:val="007848FF"/>
    <w:rsid w:val="00784913"/>
    <w:rsid w:val="00784A39"/>
    <w:rsid w:val="00784B17"/>
    <w:rsid w:val="00784C6D"/>
    <w:rsid w:val="00784FB1"/>
    <w:rsid w:val="007850EC"/>
    <w:rsid w:val="0078531B"/>
    <w:rsid w:val="007855FE"/>
    <w:rsid w:val="0078578F"/>
    <w:rsid w:val="00785B52"/>
    <w:rsid w:val="00785BF3"/>
    <w:rsid w:val="00785CF0"/>
    <w:rsid w:val="00785E5F"/>
    <w:rsid w:val="00786107"/>
    <w:rsid w:val="0078630F"/>
    <w:rsid w:val="007864D6"/>
    <w:rsid w:val="007865DF"/>
    <w:rsid w:val="00786847"/>
    <w:rsid w:val="007869DA"/>
    <w:rsid w:val="00786B51"/>
    <w:rsid w:val="00786DD3"/>
    <w:rsid w:val="00786DF0"/>
    <w:rsid w:val="00786FEA"/>
    <w:rsid w:val="00787165"/>
    <w:rsid w:val="00787306"/>
    <w:rsid w:val="007875BD"/>
    <w:rsid w:val="00787640"/>
    <w:rsid w:val="007877AC"/>
    <w:rsid w:val="0078790A"/>
    <w:rsid w:val="00787930"/>
    <w:rsid w:val="007879B4"/>
    <w:rsid w:val="00787A3C"/>
    <w:rsid w:val="00787A4D"/>
    <w:rsid w:val="00787B28"/>
    <w:rsid w:val="00787E4A"/>
    <w:rsid w:val="00787FDD"/>
    <w:rsid w:val="007900DB"/>
    <w:rsid w:val="007902C1"/>
    <w:rsid w:val="00790A32"/>
    <w:rsid w:val="00790B43"/>
    <w:rsid w:val="00790E73"/>
    <w:rsid w:val="00791016"/>
    <w:rsid w:val="00791027"/>
    <w:rsid w:val="00791039"/>
    <w:rsid w:val="00791174"/>
    <w:rsid w:val="00791276"/>
    <w:rsid w:val="00791462"/>
    <w:rsid w:val="007915D4"/>
    <w:rsid w:val="00791836"/>
    <w:rsid w:val="00791A3B"/>
    <w:rsid w:val="00791BAC"/>
    <w:rsid w:val="00791C65"/>
    <w:rsid w:val="00791C8B"/>
    <w:rsid w:val="00791DDE"/>
    <w:rsid w:val="007922F2"/>
    <w:rsid w:val="007928A4"/>
    <w:rsid w:val="007928EC"/>
    <w:rsid w:val="00792A88"/>
    <w:rsid w:val="00792B66"/>
    <w:rsid w:val="00792EA2"/>
    <w:rsid w:val="00792F25"/>
    <w:rsid w:val="00792F46"/>
    <w:rsid w:val="00792F6F"/>
    <w:rsid w:val="0079302D"/>
    <w:rsid w:val="007930C2"/>
    <w:rsid w:val="00793462"/>
    <w:rsid w:val="007937B3"/>
    <w:rsid w:val="007937F6"/>
    <w:rsid w:val="007938C6"/>
    <w:rsid w:val="00793A3B"/>
    <w:rsid w:val="00793BF8"/>
    <w:rsid w:val="00793D16"/>
    <w:rsid w:val="00793F81"/>
    <w:rsid w:val="0079404A"/>
    <w:rsid w:val="0079405C"/>
    <w:rsid w:val="0079423F"/>
    <w:rsid w:val="00794284"/>
    <w:rsid w:val="00794B6C"/>
    <w:rsid w:val="00794E4D"/>
    <w:rsid w:val="0079505F"/>
    <w:rsid w:val="0079513B"/>
    <w:rsid w:val="00795284"/>
    <w:rsid w:val="0079558E"/>
    <w:rsid w:val="007956B3"/>
    <w:rsid w:val="00795768"/>
    <w:rsid w:val="00795831"/>
    <w:rsid w:val="007958FD"/>
    <w:rsid w:val="00795984"/>
    <w:rsid w:val="00795A42"/>
    <w:rsid w:val="00795A4A"/>
    <w:rsid w:val="00795A97"/>
    <w:rsid w:val="00795B3F"/>
    <w:rsid w:val="00795C08"/>
    <w:rsid w:val="00795D5C"/>
    <w:rsid w:val="00795F33"/>
    <w:rsid w:val="00795F76"/>
    <w:rsid w:val="00796013"/>
    <w:rsid w:val="00796192"/>
    <w:rsid w:val="007962AB"/>
    <w:rsid w:val="00796436"/>
    <w:rsid w:val="00796476"/>
    <w:rsid w:val="007964DE"/>
    <w:rsid w:val="0079668F"/>
    <w:rsid w:val="00796803"/>
    <w:rsid w:val="00796981"/>
    <w:rsid w:val="007969A8"/>
    <w:rsid w:val="007969B7"/>
    <w:rsid w:val="00796F11"/>
    <w:rsid w:val="00797123"/>
    <w:rsid w:val="007972CE"/>
    <w:rsid w:val="00797345"/>
    <w:rsid w:val="00797421"/>
    <w:rsid w:val="00797478"/>
    <w:rsid w:val="007976B6"/>
    <w:rsid w:val="00797BAB"/>
    <w:rsid w:val="00797CEA"/>
    <w:rsid w:val="00797D92"/>
    <w:rsid w:val="00797D9B"/>
    <w:rsid w:val="00797E19"/>
    <w:rsid w:val="007A0261"/>
    <w:rsid w:val="007A068D"/>
    <w:rsid w:val="007A0779"/>
    <w:rsid w:val="007A0867"/>
    <w:rsid w:val="007A08DB"/>
    <w:rsid w:val="007A0AEB"/>
    <w:rsid w:val="007A0D01"/>
    <w:rsid w:val="007A0E22"/>
    <w:rsid w:val="007A0FBE"/>
    <w:rsid w:val="007A1189"/>
    <w:rsid w:val="007A119D"/>
    <w:rsid w:val="007A12D8"/>
    <w:rsid w:val="007A1421"/>
    <w:rsid w:val="007A160C"/>
    <w:rsid w:val="007A1757"/>
    <w:rsid w:val="007A17DB"/>
    <w:rsid w:val="007A1899"/>
    <w:rsid w:val="007A18FC"/>
    <w:rsid w:val="007A1D65"/>
    <w:rsid w:val="007A1D94"/>
    <w:rsid w:val="007A1FC0"/>
    <w:rsid w:val="007A2060"/>
    <w:rsid w:val="007A20C6"/>
    <w:rsid w:val="007A2241"/>
    <w:rsid w:val="007A2251"/>
    <w:rsid w:val="007A254C"/>
    <w:rsid w:val="007A2A70"/>
    <w:rsid w:val="007A2B86"/>
    <w:rsid w:val="007A2D95"/>
    <w:rsid w:val="007A2DA4"/>
    <w:rsid w:val="007A2EFF"/>
    <w:rsid w:val="007A318E"/>
    <w:rsid w:val="007A3261"/>
    <w:rsid w:val="007A3754"/>
    <w:rsid w:val="007A3A2B"/>
    <w:rsid w:val="007A3AC0"/>
    <w:rsid w:val="007A3DCD"/>
    <w:rsid w:val="007A3FC0"/>
    <w:rsid w:val="007A3FF7"/>
    <w:rsid w:val="007A406E"/>
    <w:rsid w:val="007A4527"/>
    <w:rsid w:val="007A4579"/>
    <w:rsid w:val="007A474B"/>
    <w:rsid w:val="007A4F66"/>
    <w:rsid w:val="007A518C"/>
    <w:rsid w:val="007A51E3"/>
    <w:rsid w:val="007A5342"/>
    <w:rsid w:val="007A544F"/>
    <w:rsid w:val="007A55F2"/>
    <w:rsid w:val="007A5729"/>
    <w:rsid w:val="007A59DF"/>
    <w:rsid w:val="007A5AA7"/>
    <w:rsid w:val="007A5C7C"/>
    <w:rsid w:val="007A60DF"/>
    <w:rsid w:val="007A6220"/>
    <w:rsid w:val="007A6494"/>
    <w:rsid w:val="007A650B"/>
    <w:rsid w:val="007A68A3"/>
    <w:rsid w:val="007A68F0"/>
    <w:rsid w:val="007A6CB4"/>
    <w:rsid w:val="007A6E89"/>
    <w:rsid w:val="007A73EE"/>
    <w:rsid w:val="007A740B"/>
    <w:rsid w:val="007A76AC"/>
    <w:rsid w:val="007A7938"/>
    <w:rsid w:val="007A7A10"/>
    <w:rsid w:val="007A7C3D"/>
    <w:rsid w:val="007A7CB7"/>
    <w:rsid w:val="007A7DE4"/>
    <w:rsid w:val="007A7EAC"/>
    <w:rsid w:val="007B009C"/>
    <w:rsid w:val="007B027D"/>
    <w:rsid w:val="007B0424"/>
    <w:rsid w:val="007B0A92"/>
    <w:rsid w:val="007B0DEC"/>
    <w:rsid w:val="007B0DED"/>
    <w:rsid w:val="007B0DF7"/>
    <w:rsid w:val="007B0FE0"/>
    <w:rsid w:val="007B110C"/>
    <w:rsid w:val="007B1401"/>
    <w:rsid w:val="007B1490"/>
    <w:rsid w:val="007B159A"/>
    <w:rsid w:val="007B167A"/>
    <w:rsid w:val="007B1736"/>
    <w:rsid w:val="007B1766"/>
    <w:rsid w:val="007B189B"/>
    <w:rsid w:val="007B18A5"/>
    <w:rsid w:val="007B1BA7"/>
    <w:rsid w:val="007B1C5D"/>
    <w:rsid w:val="007B1D61"/>
    <w:rsid w:val="007B1E05"/>
    <w:rsid w:val="007B1FE8"/>
    <w:rsid w:val="007B222A"/>
    <w:rsid w:val="007B23DC"/>
    <w:rsid w:val="007B24A0"/>
    <w:rsid w:val="007B283E"/>
    <w:rsid w:val="007B2843"/>
    <w:rsid w:val="007B2A66"/>
    <w:rsid w:val="007B2A8A"/>
    <w:rsid w:val="007B2AE9"/>
    <w:rsid w:val="007B2BA5"/>
    <w:rsid w:val="007B2F31"/>
    <w:rsid w:val="007B2F32"/>
    <w:rsid w:val="007B2F97"/>
    <w:rsid w:val="007B309D"/>
    <w:rsid w:val="007B30C4"/>
    <w:rsid w:val="007B30ED"/>
    <w:rsid w:val="007B33F3"/>
    <w:rsid w:val="007B3494"/>
    <w:rsid w:val="007B3794"/>
    <w:rsid w:val="007B3877"/>
    <w:rsid w:val="007B3AC1"/>
    <w:rsid w:val="007B3B22"/>
    <w:rsid w:val="007B3DC5"/>
    <w:rsid w:val="007B3E2F"/>
    <w:rsid w:val="007B3F30"/>
    <w:rsid w:val="007B4403"/>
    <w:rsid w:val="007B4440"/>
    <w:rsid w:val="007B450F"/>
    <w:rsid w:val="007B4542"/>
    <w:rsid w:val="007B45EE"/>
    <w:rsid w:val="007B45F5"/>
    <w:rsid w:val="007B4A36"/>
    <w:rsid w:val="007B4C33"/>
    <w:rsid w:val="007B4E26"/>
    <w:rsid w:val="007B4E9E"/>
    <w:rsid w:val="007B4F19"/>
    <w:rsid w:val="007B527F"/>
    <w:rsid w:val="007B559F"/>
    <w:rsid w:val="007B570B"/>
    <w:rsid w:val="007B591B"/>
    <w:rsid w:val="007B597C"/>
    <w:rsid w:val="007B5B7D"/>
    <w:rsid w:val="007B5C4B"/>
    <w:rsid w:val="007B5EEB"/>
    <w:rsid w:val="007B61F7"/>
    <w:rsid w:val="007B62AB"/>
    <w:rsid w:val="007B65AD"/>
    <w:rsid w:val="007B6670"/>
    <w:rsid w:val="007B6688"/>
    <w:rsid w:val="007B677A"/>
    <w:rsid w:val="007B68A5"/>
    <w:rsid w:val="007B6AB6"/>
    <w:rsid w:val="007B6BAD"/>
    <w:rsid w:val="007B6BBF"/>
    <w:rsid w:val="007B6E2C"/>
    <w:rsid w:val="007B6F94"/>
    <w:rsid w:val="007B700D"/>
    <w:rsid w:val="007B713F"/>
    <w:rsid w:val="007B7258"/>
    <w:rsid w:val="007B72E2"/>
    <w:rsid w:val="007B7570"/>
    <w:rsid w:val="007B75A1"/>
    <w:rsid w:val="007B75A4"/>
    <w:rsid w:val="007B7639"/>
    <w:rsid w:val="007B7787"/>
    <w:rsid w:val="007B797F"/>
    <w:rsid w:val="007B7CCA"/>
    <w:rsid w:val="007B7EBF"/>
    <w:rsid w:val="007C00BE"/>
    <w:rsid w:val="007C0118"/>
    <w:rsid w:val="007C01C1"/>
    <w:rsid w:val="007C026A"/>
    <w:rsid w:val="007C02AE"/>
    <w:rsid w:val="007C042D"/>
    <w:rsid w:val="007C085D"/>
    <w:rsid w:val="007C0B61"/>
    <w:rsid w:val="007C0C6B"/>
    <w:rsid w:val="007C0D20"/>
    <w:rsid w:val="007C0D93"/>
    <w:rsid w:val="007C0E7B"/>
    <w:rsid w:val="007C0F64"/>
    <w:rsid w:val="007C10FF"/>
    <w:rsid w:val="007C1194"/>
    <w:rsid w:val="007C16A4"/>
    <w:rsid w:val="007C19E8"/>
    <w:rsid w:val="007C1D20"/>
    <w:rsid w:val="007C1EAF"/>
    <w:rsid w:val="007C1F1A"/>
    <w:rsid w:val="007C1F68"/>
    <w:rsid w:val="007C2277"/>
    <w:rsid w:val="007C2558"/>
    <w:rsid w:val="007C2697"/>
    <w:rsid w:val="007C2832"/>
    <w:rsid w:val="007C2931"/>
    <w:rsid w:val="007C2B17"/>
    <w:rsid w:val="007C2BE7"/>
    <w:rsid w:val="007C3348"/>
    <w:rsid w:val="007C33B3"/>
    <w:rsid w:val="007C34EA"/>
    <w:rsid w:val="007C3512"/>
    <w:rsid w:val="007C3592"/>
    <w:rsid w:val="007C3D62"/>
    <w:rsid w:val="007C3F3F"/>
    <w:rsid w:val="007C40C2"/>
    <w:rsid w:val="007C4167"/>
    <w:rsid w:val="007C418F"/>
    <w:rsid w:val="007C42B7"/>
    <w:rsid w:val="007C4AE2"/>
    <w:rsid w:val="007C4DE6"/>
    <w:rsid w:val="007C4E3F"/>
    <w:rsid w:val="007C5598"/>
    <w:rsid w:val="007C5D7E"/>
    <w:rsid w:val="007C5F6D"/>
    <w:rsid w:val="007C6205"/>
    <w:rsid w:val="007C629B"/>
    <w:rsid w:val="007C6310"/>
    <w:rsid w:val="007C640E"/>
    <w:rsid w:val="007C649E"/>
    <w:rsid w:val="007C64E1"/>
    <w:rsid w:val="007C673B"/>
    <w:rsid w:val="007C6799"/>
    <w:rsid w:val="007C68DD"/>
    <w:rsid w:val="007C6A89"/>
    <w:rsid w:val="007C6E9C"/>
    <w:rsid w:val="007C6EB3"/>
    <w:rsid w:val="007C6F04"/>
    <w:rsid w:val="007C723F"/>
    <w:rsid w:val="007C726E"/>
    <w:rsid w:val="007C7289"/>
    <w:rsid w:val="007C72E4"/>
    <w:rsid w:val="007C72EF"/>
    <w:rsid w:val="007C7501"/>
    <w:rsid w:val="007C76A9"/>
    <w:rsid w:val="007C778A"/>
    <w:rsid w:val="007C77BB"/>
    <w:rsid w:val="007C77D6"/>
    <w:rsid w:val="007C789D"/>
    <w:rsid w:val="007C78E2"/>
    <w:rsid w:val="007C7997"/>
    <w:rsid w:val="007C7BF1"/>
    <w:rsid w:val="007C7C50"/>
    <w:rsid w:val="007C7CC8"/>
    <w:rsid w:val="007C7E38"/>
    <w:rsid w:val="007D0005"/>
    <w:rsid w:val="007D0205"/>
    <w:rsid w:val="007D02ED"/>
    <w:rsid w:val="007D031F"/>
    <w:rsid w:val="007D05FA"/>
    <w:rsid w:val="007D0659"/>
    <w:rsid w:val="007D075A"/>
    <w:rsid w:val="007D092A"/>
    <w:rsid w:val="007D122C"/>
    <w:rsid w:val="007D13E9"/>
    <w:rsid w:val="007D144A"/>
    <w:rsid w:val="007D1533"/>
    <w:rsid w:val="007D15A2"/>
    <w:rsid w:val="007D166A"/>
    <w:rsid w:val="007D16CA"/>
    <w:rsid w:val="007D170B"/>
    <w:rsid w:val="007D1853"/>
    <w:rsid w:val="007D193B"/>
    <w:rsid w:val="007D1955"/>
    <w:rsid w:val="007D1A8B"/>
    <w:rsid w:val="007D1BD6"/>
    <w:rsid w:val="007D1C57"/>
    <w:rsid w:val="007D1FA8"/>
    <w:rsid w:val="007D2039"/>
    <w:rsid w:val="007D20A9"/>
    <w:rsid w:val="007D2581"/>
    <w:rsid w:val="007D25F4"/>
    <w:rsid w:val="007D2617"/>
    <w:rsid w:val="007D2681"/>
    <w:rsid w:val="007D26B8"/>
    <w:rsid w:val="007D271A"/>
    <w:rsid w:val="007D27DC"/>
    <w:rsid w:val="007D286B"/>
    <w:rsid w:val="007D2AE2"/>
    <w:rsid w:val="007D2CB9"/>
    <w:rsid w:val="007D2D46"/>
    <w:rsid w:val="007D2E70"/>
    <w:rsid w:val="007D2F77"/>
    <w:rsid w:val="007D32AE"/>
    <w:rsid w:val="007D3525"/>
    <w:rsid w:val="007D3813"/>
    <w:rsid w:val="007D38ED"/>
    <w:rsid w:val="007D3949"/>
    <w:rsid w:val="007D3958"/>
    <w:rsid w:val="007D3AD6"/>
    <w:rsid w:val="007D3BD8"/>
    <w:rsid w:val="007D3E7D"/>
    <w:rsid w:val="007D3ED8"/>
    <w:rsid w:val="007D4053"/>
    <w:rsid w:val="007D40A2"/>
    <w:rsid w:val="007D4124"/>
    <w:rsid w:val="007D42D9"/>
    <w:rsid w:val="007D46A5"/>
    <w:rsid w:val="007D46FF"/>
    <w:rsid w:val="007D49DA"/>
    <w:rsid w:val="007D4B0B"/>
    <w:rsid w:val="007D4B65"/>
    <w:rsid w:val="007D4DB6"/>
    <w:rsid w:val="007D4DEA"/>
    <w:rsid w:val="007D5167"/>
    <w:rsid w:val="007D5185"/>
    <w:rsid w:val="007D5406"/>
    <w:rsid w:val="007D545F"/>
    <w:rsid w:val="007D5582"/>
    <w:rsid w:val="007D55FB"/>
    <w:rsid w:val="007D5C79"/>
    <w:rsid w:val="007D5DF1"/>
    <w:rsid w:val="007D5FF4"/>
    <w:rsid w:val="007D600D"/>
    <w:rsid w:val="007D6199"/>
    <w:rsid w:val="007D61A9"/>
    <w:rsid w:val="007D64FF"/>
    <w:rsid w:val="007D6741"/>
    <w:rsid w:val="007D6779"/>
    <w:rsid w:val="007D6998"/>
    <w:rsid w:val="007D6AF4"/>
    <w:rsid w:val="007D6EBD"/>
    <w:rsid w:val="007D70FF"/>
    <w:rsid w:val="007D71E2"/>
    <w:rsid w:val="007D736F"/>
    <w:rsid w:val="007D73FA"/>
    <w:rsid w:val="007D753E"/>
    <w:rsid w:val="007D7C18"/>
    <w:rsid w:val="007D7D9B"/>
    <w:rsid w:val="007E0385"/>
    <w:rsid w:val="007E047F"/>
    <w:rsid w:val="007E04D4"/>
    <w:rsid w:val="007E0735"/>
    <w:rsid w:val="007E0808"/>
    <w:rsid w:val="007E0849"/>
    <w:rsid w:val="007E097F"/>
    <w:rsid w:val="007E0B0B"/>
    <w:rsid w:val="007E0DE5"/>
    <w:rsid w:val="007E0E71"/>
    <w:rsid w:val="007E1118"/>
    <w:rsid w:val="007E126D"/>
    <w:rsid w:val="007E18D8"/>
    <w:rsid w:val="007E1CF9"/>
    <w:rsid w:val="007E1E6A"/>
    <w:rsid w:val="007E1F4F"/>
    <w:rsid w:val="007E1F7E"/>
    <w:rsid w:val="007E1FCE"/>
    <w:rsid w:val="007E22B9"/>
    <w:rsid w:val="007E23CE"/>
    <w:rsid w:val="007E2414"/>
    <w:rsid w:val="007E243C"/>
    <w:rsid w:val="007E252D"/>
    <w:rsid w:val="007E26AE"/>
    <w:rsid w:val="007E2B9A"/>
    <w:rsid w:val="007E2D93"/>
    <w:rsid w:val="007E35CD"/>
    <w:rsid w:val="007E3657"/>
    <w:rsid w:val="007E3664"/>
    <w:rsid w:val="007E392C"/>
    <w:rsid w:val="007E3974"/>
    <w:rsid w:val="007E39E8"/>
    <w:rsid w:val="007E3A63"/>
    <w:rsid w:val="007E3B9C"/>
    <w:rsid w:val="007E3E58"/>
    <w:rsid w:val="007E3FA6"/>
    <w:rsid w:val="007E4084"/>
    <w:rsid w:val="007E4100"/>
    <w:rsid w:val="007E464B"/>
    <w:rsid w:val="007E4D33"/>
    <w:rsid w:val="007E4DA9"/>
    <w:rsid w:val="007E4DD3"/>
    <w:rsid w:val="007E4EC5"/>
    <w:rsid w:val="007E4FEB"/>
    <w:rsid w:val="007E5059"/>
    <w:rsid w:val="007E5467"/>
    <w:rsid w:val="007E54DC"/>
    <w:rsid w:val="007E54DD"/>
    <w:rsid w:val="007E5666"/>
    <w:rsid w:val="007E586D"/>
    <w:rsid w:val="007E5BB7"/>
    <w:rsid w:val="007E5BC0"/>
    <w:rsid w:val="007E5D01"/>
    <w:rsid w:val="007E5DEE"/>
    <w:rsid w:val="007E5F07"/>
    <w:rsid w:val="007E5FD0"/>
    <w:rsid w:val="007E659C"/>
    <w:rsid w:val="007E6765"/>
    <w:rsid w:val="007E6ABE"/>
    <w:rsid w:val="007E6E1E"/>
    <w:rsid w:val="007E76A4"/>
    <w:rsid w:val="007E7902"/>
    <w:rsid w:val="007E790E"/>
    <w:rsid w:val="007E79CF"/>
    <w:rsid w:val="007E7AF6"/>
    <w:rsid w:val="007E7B4F"/>
    <w:rsid w:val="007E7C81"/>
    <w:rsid w:val="007F000C"/>
    <w:rsid w:val="007F0329"/>
    <w:rsid w:val="007F0358"/>
    <w:rsid w:val="007F05DA"/>
    <w:rsid w:val="007F05DF"/>
    <w:rsid w:val="007F073C"/>
    <w:rsid w:val="007F0B31"/>
    <w:rsid w:val="007F0CCE"/>
    <w:rsid w:val="007F0DD4"/>
    <w:rsid w:val="007F12E0"/>
    <w:rsid w:val="007F12E6"/>
    <w:rsid w:val="007F161B"/>
    <w:rsid w:val="007F1698"/>
    <w:rsid w:val="007F1723"/>
    <w:rsid w:val="007F1724"/>
    <w:rsid w:val="007F1752"/>
    <w:rsid w:val="007F17EC"/>
    <w:rsid w:val="007F18B8"/>
    <w:rsid w:val="007F1C95"/>
    <w:rsid w:val="007F1CE6"/>
    <w:rsid w:val="007F1CEC"/>
    <w:rsid w:val="007F1D84"/>
    <w:rsid w:val="007F1E2F"/>
    <w:rsid w:val="007F21C7"/>
    <w:rsid w:val="007F2236"/>
    <w:rsid w:val="007F225A"/>
    <w:rsid w:val="007F22E5"/>
    <w:rsid w:val="007F25ED"/>
    <w:rsid w:val="007F26D4"/>
    <w:rsid w:val="007F2814"/>
    <w:rsid w:val="007F28C5"/>
    <w:rsid w:val="007F29B6"/>
    <w:rsid w:val="007F2C89"/>
    <w:rsid w:val="007F2C9D"/>
    <w:rsid w:val="007F2CE7"/>
    <w:rsid w:val="007F2D3D"/>
    <w:rsid w:val="007F3108"/>
    <w:rsid w:val="007F31A5"/>
    <w:rsid w:val="007F31C3"/>
    <w:rsid w:val="007F3910"/>
    <w:rsid w:val="007F393C"/>
    <w:rsid w:val="007F3D92"/>
    <w:rsid w:val="007F3E6F"/>
    <w:rsid w:val="007F43C3"/>
    <w:rsid w:val="007F443A"/>
    <w:rsid w:val="007F4520"/>
    <w:rsid w:val="007F47F5"/>
    <w:rsid w:val="007F4891"/>
    <w:rsid w:val="007F4939"/>
    <w:rsid w:val="007F4A60"/>
    <w:rsid w:val="007F4B16"/>
    <w:rsid w:val="007F4E39"/>
    <w:rsid w:val="007F4E4A"/>
    <w:rsid w:val="007F4E85"/>
    <w:rsid w:val="007F5167"/>
    <w:rsid w:val="007F5689"/>
    <w:rsid w:val="007F5705"/>
    <w:rsid w:val="007F5923"/>
    <w:rsid w:val="007F5B02"/>
    <w:rsid w:val="007F5B36"/>
    <w:rsid w:val="007F5F40"/>
    <w:rsid w:val="007F5F75"/>
    <w:rsid w:val="007F608F"/>
    <w:rsid w:val="007F6484"/>
    <w:rsid w:val="007F64F5"/>
    <w:rsid w:val="007F6527"/>
    <w:rsid w:val="007F654A"/>
    <w:rsid w:val="007F6551"/>
    <w:rsid w:val="007F6574"/>
    <w:rsid w:val="007F6655"/>
    <w:rsid w:val="007F66D6"/>
    <w:rsid w:val="007F69F9"/>
    <w:rsid w:val="007F6B56"/>
    <w:rsid w:val="007F6D3A"/>
    <w:rsid w:val="007F6D5E"/>
    <w:rsid w:val="007F6E22"/>
    <w:rsid w:val="007F70E9"/>
    <w:rsid w:val="007F71AD"/>
    <w:rsid w:val="007F76BF"/>
    <w:rsid w:val="007F78C0"/>
    <w:rsid w:val="007F7936"/>
    <w:rsid w:val="007F798A"/>
    <w:rsid w:val="007F7A49"/>
    <w:rsid w:val="007F7BC7"/>
    <w:rsid w:val="007F7DB5"/>
    <w:rsid w:val="008001C7"/>
    <w:rsid w:val="008001D1"/>
    <w:rsid w:val="0080024D"/>
    <w:rsid w:val="008002AC"/>
    <w:rsid w:val="00800BBC"/>
    <w:rsid w:val="00800CB9"/>
    <w:rsid w:val="00800EC7"/>
    <w:rsid w:val="00801063"/>
    <w:rsid w:val="008014E0"/>
    <w:rsid w:val="00801503"/>
    <w:rsid w:val="00801572"/>
    <w:rsid w:val="00801617"/>
    <w:rsid w:val="00801706"/>
    <w:rsid w:val="00801921"/>
    <w:rsid w:val="00801B60"/>
    <w:rsid w:val="00802111"/>
    <w:rsid w:val="0080213B"/>
    <w:rsid w:val="008022A2"/>
    <w:rsid w:val="0080244A"/>
    <w:rsid w:val="00802481"/>
    <w:rsid w:val="00802487"/>
    <w:rsid w:val="008028D3"/>
    <w:rsid w:val="0080291B"/>
    <w:rsid w:val="00802996"/>
    <w:rsid w:val="008029CB"/>
    <w:rsid w:val="008029E0"/>
    <w:rsid w:val="00802AA0"/>
    <w:rsid w:val="00802D37"/>
    <w:rsid w:val="00802D46"/>
    <w:rsid w:val="00802DCE"/>
    <w:rsid w:val="00802F1F"/>
    <w:rsid w:val="00803562"/>
    <w:rsid w:val="008035E1"/>
    <w:rsid w:val="0080361F"/>
    <w:rsid w:val="00803689"/>
    <w:rsid w:val="008036E6"/>
    <w:rsid w:val="00803923"/>
    <w:rsid w:val="00803A80"/>
    <w:rsid w:val="00803C5C"/>
    <w:rsid w:val="00803C6A"/>
    <w:rsid w:val="00803DAD"/>
    <w:rsid w:val="00803DEC"/>
    <w:rsid w:val="00803F63"/>
    <w:rsid w:val="00804091"/>
    <w:rsid w:val="008040FC"/>
    <w:rsid w:val="008047D5"/>
    <w:rsid w:val="008048BB"/>
    <w:rsid w:val="00804D2D"/>
    <w:rsid w:val="00804FF0"/>
    <w:rsid w:val="00805509"/>
    <w:rsid w:val="00805666"/>
    <w:rsid w:val="008056E0"/>
    <w:rsid w:val="0080573A"/>
    <w:rsid w:val="00805811"/>
    <w:rsid w:val="00805A05"/>
    <w:rsid w:val="00805E7A"/>
    <w:rsid w:val="008060AA"/>
    <w:rsid w:val="008062EF"/>
    <w:rsid w:val="00806466"/>
    <w:rsid w:val="0080649C"/>
    <w:rsid w:val="008065E3"/>
    <w:rsid w:val="00806688"/>
    <w:rsid w:val="0080697A"/>
    <w:rsid w:val="00806992"/>
    <w:rsid w:val="00806A71"/>
    <w:rsid w:val="00806A9A"/>
    <w:rsid w:val="00806C17"/>
    <w:rsid w:val="00806C37"/>
    <w:rsid w:val="00806C4E"/>
    <w:rsid w:val="00806FD1"/>
    <w:rsid w:val="008073A5"/>
    <w:rsid w:val="008073DD"/>
    <w:rsid w:val="008074FA"/>
    <w:rsid w:val="008075A4"/>
    <w:rsid w:val="008077B4"/>
    <w:rsid w:val="00807856"/>
    <w:rsid w:val="00807931"/>
    <w:rsid w:val="00807986"/>
    <w:rsid w:val="008079B8"/>
    <w:rsid w:val="00807B9B"/>
    <w:rsid w:val="00807BAB"/>
    <w:rsid w:val="00807C95"/>
    <w:rsid w:val="00807FE6"/>
    <w:rsid w:val="00810256"/>
    <w:rsid w:val="008102E4"/>
    <w:rsid w:val="00810506"/>
    <w:rsid w:val="0081052E"/>
    <w:rsid w:val="008105D9"/>
    <w:rsid w:val="00810726"/>
    <w:rsid w:val="0081086E"/>
    <w:rsid w:val="00810A2C"/>
    <w:rsid w:val="00810BA6"/>
    <w:rsid w:val="00810E97"/>
    <w:rsid w:val="0081122F"/>
    <w:rsid w:val="008113A4"/>
    <w:rsid w:val="0081142A"/>
    <w:rsid w:val="008116B2"/>
    <w:rsid w:val="008117FA"/>
    <w:rsid w:val="008121BF"/>
    <w:rsid w:val="008121EB"/>
    <w:rsid w:val="008122FC"/>
    <w:rsid w:val="00812496"/>
    <w:rsid w:val="00812498"/>
    <w:rsid w:val="00812526"/>
    <w:rsid w:val="00812556"/>
    <w:rsid w:val="008127DB"/>
    <w:rsid w:val="008128BD"/>
    <w:rsid w:val="00812C3D"/>
    <w:rsid w:val="00812CF8"/>
    <w:rsid w:val="008131AB"/>
    <w:rsid w:val="00813204"/>
    <w:rsid w:val="0081331F"/>
    <w:rsid w:val="008135FE"/>
    <w:rsid w:val="00813637"/>
    <w:rsid w:val="008136EC"/>
    <w:rsid w:val="00813AFF"/>
    <w:rsid w:val="00813D90"/>
    <w:rsid w:val="00813DC6"/>
    <w:rsid w:val="00813EF3"/>
    <w:rsid w:val="00813F55"/>
    <w:rsid w:val="0081408E"/>
    <w:rsid w:val="00814091"/>
    <w:rsid w:val="008140C8"/>
    <w:rsid w:val="008141B8"/>
    <w:rsid w:val="0081442E"/>
    <w:rsid w:val="00814583"/>
    <w:rsid w:val="0081458B"/>
    <w:rsid w:val="00814819"/>
    <w:rsid w:val="00814BAD"/>
    <w:rsid w:val="00814BE6"/>
    <w:rsid w:val="00814D8F"/>
    <w:rsid w:val="00814E52"/>
    <w:rsid w:val="00814ED5"/>
    <w:rsid w:val="008153E3"/>
    <w:rsid w:val="0081546A"/>
    <w:rsid w:val="00815485"/>
    <w:rsid w:val="008154EE"/>
    <w:rsid w:val="008155B2"/>
    <w:rsid w:val="008155EA"/>
    <w:rsid w:val="008156FA"/>
    <w:rsid w:val="0081588A"/>
    <w:rsid w:val="00815BA4"/>
    <w:rsid w:val="00815C05"/>
    <w:rsid w:val="00815CA9"/>
    <w:rsid w:val="00815F1B"/>
    <w:rsid w:val="00816244"/>
    <w:rsid w:val="008162A0"/>
    <w:rsid w:val="008164C4"/>
    <w:rsid w:val="008165BA"/>
    <w:rsid w:val="008165C0"/>
    <w:rsid w:val="0081679D"/>
    <w:rsid w:val="008168D0"/>
    <w:rsid w:val="00816A4F"/>
    <w:rsid w:val="00816E3D"/>
    <w:rsid w:val="00816EF6"/>
    <w:rsid w:val="00817629"/>
    <w:rsid w:val="008176A8"/>
    <w:rsid w:val="008179DD"/>
    <w:rsid w:val="00817A32"/>
    <w:rsid w:val="00817B18"/>
    <w:rsid w:val="00817B25"/>
    <w:rsid w:val="00817F60"/>
    <w:rsid w:val="0081F1EC"/>
    <w:rsid w:val="008201ED"/>
    <w:rsid w:val="00820376"/>
    <w:rsid w:val="00820577"/>
    <w:rsid w:val="00820648"/>
    <w:rsid w:val="0082081F"/>
    <w:rsid w:val="00820A08"/>
    <w:rsid w:val="00820AC2"/>
    <w:rsid w:val="00820B2E"/>
    <w:rsid w:val="00820FF1"/>
    <w:rsid w:val="008213CB"/>
    <w:rsid w:val="0082192F"/>
    <w:rsid w:val="00821B6F"/>
    <w:rsid w:val="00821DD4"/>
    <w:rsid w:val="00821F6E"/>
    <w:rsid w:val="00822195"/>
    <w:rsid w:val="00822298"/>
    <w:rsid w:val="00822427"/>
    <w:rsid w:val="008226D6"/>
    <w:rsid w:val="00822A1A"/>
    <w:rsid w:val="00822A23"/>
    <w:rsid w:val="00822DF9"/>
    <w:rsid w:val="00822E51"/>
    <w:rsid w:val="00822E6A"/>
    <w:rsid w:val="00822EAB"/>
    <w:rsid w:val="008230DD"/>
    <w:rsid w:val="0082329E"/>
    <w:rsid w:val="008234C8"/>
    <w:rsid w:val="00823796"/>
    <w:rsid w:val="008239F6"/>
    <w:rsid w:val="00823DE4"/>
    <w:rsid w:val="00823E09"/>
    <w:rsid w:val="00823E71"/>
    <w:rsid w:val="008240EE"/>
    <w:rsid w:val="0082422D"/>
    <w:rsid w:val="0082424E"/>
    <w:rsid w:val="008244D3"/>
    <w:rsid w:val="008246DA"/>
    <w:rsid w:val="008247CB"/>
    <w:rsid w:val="00824878"/>
    <w:rsid w:val="00824C87"/>
    <w:rsid w:val="00825260"/>
    <w:rsid w:val="0082543A"/>
    <w:rsid w:val="00825630"/>
    <w:rsid w:val="0082570C"/>
    <w:rsid w:val="00825716"/>
    <w:rsid w:val="00825723"/>
    <w:rsid w:val="00825772"/>
    <w:rsid w:val="0082577A"/>
    <w:rsid w:val="00825BEA"/>
    <w:rsid w:val="00825C2F"/>
    <w:rsid w:val="00825CD0"/>
    <w:rsid w:val="00825DBF"/>
    <w:rsid w:val="00825F0C"/>
    <w:rsid w:val="008261CA"/>
    <w:rsid w:val="0082640E"/>
    <w:rsid w:val="0082677E"/>
    <w:rsid w:val="00826A75"/>
    <w:rsid w:val="00826C41"/>
    <w:rsid w:val="00826EE4"/>
    <w:rsid w:val="00826F6A"/>
    <w:rsid w:val="00827073"/>
    <w:rsid w:val="00827086"/>
    <w:rsid w:val="00827330"/>
    <w:rsid w:val="008274EB"/>
    <w:rsid w:val="008275BB"/>
    <w:rsid w:val="008275C2"/>
    <w:rsid w:val="008275F4"/>
    <w:rsid w:val="008275FE"/>
    <w:rsid w:val="008276EB"/>
    <w:rsid w:val="00827713"/>
    <w:rsid w:val="008278D4"/>
    <w:rsid w:val="0082793E"/>
    <w:rsid w:val="008279A4"/>
    <w:rsid w:val="00827D1A"/>
    <w:rsid w:val="0082FE0C"/>
    <w:rsid w:val="00830528"/>
    <w:rsid w:val="0083057C"/>
    <w:rsid w:val="0083067D"/>
    <w:rsid w:val="008306F6"/>
    <w:rsid w:val="008307DE"/>
    <w:rsid w:val="00830897"/>
    <w:rsid w:val="00830C1F"/>
    <w:rsid w:val="00830C63"/>
    <w:rsid w:val="00830F55"/>
    <w:rsid w:val="00830F91"/>
    <w:rsid w:val="008311DD"/>
    <w:rsid w:val="008311F6"/>
    <w:rsid w:val="00831218"/>
    <w:rsid w:val="008312D1"/>
    <w:rsid w:val="00831472"/>
    <w:rsid w:val="0083159A"/>
    <w:rsid w:val="00831727"/>
    <w:rsid w:val="00831798"/>
    <w:rsid w:val="00831936"/>
    <w:rsid w:val="00831A09"/>
    <w:rsid w:val="00831AF3"/>
    <w:rsid w:val="00831F67"/>
    <w:rsid w:val="00831F73"/>
    <w:rsid w:val="00831FD7"/>
    <w:rsid w:val="00832305"/>
    <w:rsid w:val="0083260B"/>
    <w:rsid w:val="00832829"/>
    <w:rsid w:val="008329E2"/>
    <w:rsid w:val="008329FA"/>
    <w:rsid w:val="00832A38"/>
    <w:rsid w:val="00832AC3"/>
    <w:rsid w:val="00832B9D"/>
    <w:rsid w:val="00832C2A"/>
    <w:rsid w:val="0083332D"/>
    <w:rsid w:val="00833380"/>
    <w:rsid w:val="00833640"/>
    <w:rsid w:val="008337E9"/>
    <w:rsid w:val="008337F3"/>
    <w:rsid w:val="00833875"/>
    <w:rsid w:val="008338B6"/>
    <w:rsid w:val="00833A17"/>
    <w:rsid w:val="00833AA0"/>
    <w:rsid w:val="00833D45"/>
    <w:rsid w:val="00833D6E"/>
    <w:rsid w:val="00833E45"/>
    <w:rsid w:val="00833F1A"/>
    <w:rsid w:val="0083408A"/>
    <w:rsid w:val="008341C9"/>
    <w:rsid w:val="00834226"/>
    <w:rsid w:val="008343A9"/>
    <w:rsid w:val="0083450C"/>
    <w:rsid w:val="00834592"/>
    <w:rsid w:val="008346E3"/>
    <w:rsid w:val="0083485D"/>
    <w:rsid w:val="0083487A"/>
    <w:rsid w:val="00834A23"/>
    <w:rsid w:val="00834C66"/>
    <w:rsid w:val="00834DA6"/>
    <w:rsid w:val="00834DD4"/>
    <w:rsid w:val="00834F14"/>
    <w:rsid w:val="00834F43"/>
    <w:rsid w:val="00834F58"/>
    <w:rsid w:val="00835001"/>
    <w:rsid w:val="00835144"/>
    <w:rsid w:val="0083515B"/>
    <w:rsid w:val="00835562"/>
    <w:rsid w:val="008355A5"/>
    <w:rsid w:val="00835654"/>
    <w:rsid w:val="008356D7"/>
    <w:rsid w:val="00835829"/>
    <w:rsid w:val="008358B0"/>
    <w:rsid w:val="00835950"/>
    <w:rsid w:val="00835BEB"/>
    <w:rsid w:val="00835E9C"/>
    <w:rsid w:val="00835F18"/>
    <w:rsid w:val="00835FBD"/>
    <w:rsid w:val="00836097"/>
    <w:rsid w:val="00836157"/>
    <w:rsid w:val="008362A9"/>
    <w:rsid w:val="00836356"/>
    <w:rsid w:val="00836603"/>
    <w:rsid w:val="008367B2"/>
    <w:rsid w:val="0083687E"/>
    <w:rsid w:val="00836897"/>
    <w:rsid w:val="00836B63"/>
    <w:rsid w:val="00836CA8"/>
    <w:rsid w:val="00836E13"/>
    <w:rsid w:val="00836F17"/>
    <w:rsid w:val="00837202"/>
    <w:rsid w:val="00837519"/>
    <w:rsid w:val="008375A6"/>
    <w:rsid w:val="008376F1"/>
    <w:rsid w:val="00837775"/>
    <w:rsid w:val="00837813"/>
    <w:rsid w:val="0083791D"/>
    <w:rsid w:val="00837B0D"/>
    <w:rsid w:val="00837D58"/>
    <w:rsid w:val="00837FA1"/>
    <w:rsid w:val="00840044"/>
    <w:rsid w:val="008400CB"/>
    <w:rsid w:val="00840342"/>
    <w:rsid w:val="00840487"/>
    <w:rsid w:val="00840737"/>
    <w:rsid w:val="008407CE"/>
    <w:rsid w:val="008407F3"/>
    <w:rsid w:val="00840833"/>
    <w:rsid w:val="00840897"/>
    <w:rsid w:val="00840EB8"/>
    <w:rsid w:val="00840EE6"/>
    <w:rsid w:val="008412BB"/>
    <w:rsid w:val="0084139A"/>
    <w:rsid w:val="00841495"/>
    <w:rsid w:val="00841576"/>
    <w:rsid w:val="008416D4"/>
    <w:rsid w:val="008416DB"/>
    <w:rsid w:val="008417B7"/>
    <w:rsid w:val="00841AFA"/>
    <w:rsid w:val="00841C4D"/>
    <w:rsid w:val="008420AE"/>
    <w:rsid w:val="0084215B"/>
    <w:rsid w:val="0084215E"/>
    <w:rsid w:val="008424D6"/>
    <w:rsid w:val="008428C5"/>
    <w:rsid w:val="00842D41"/>
    <w:rsid w:val="00842EC5"/>
    <w:rsid w:val="00842F0A"/>
    <w:rsid w:val="0084324D"/>
    <w:rsid w:val="0084327C"/>
    <w:rsid w:val="008433EF"/>
    <w:rsid w:val="008434C2"/>
    <w:rsid w:val="00843945"/>
    <w:rsid w:val="00843A05"/>
    <w:rsid w:val="00843D5E"/>
    <w:rsid w:val="00843EBB"/>
    <w:rsid w:val="0084408E"/>
    <w:rsid w:val="008440D7"/>
    <w:rsid w:val="00844161"/>
    <w:rsid w:val="00844885"/>
    <w:rsid w:val="00844912"/>
    <w:rsid w:val="008449B8"/>
    <w:rsid w:val="00844BA1"/>
    <w:rsid w:val="00844C06"/>
    <w:rsid w:val="00844FBF"/>
    <w:rsid w:val="00845435"/>
    <w:rsid w:val="00845480"/>
    <w:rsid w:val="00845691"/>
    <w:rsid w:val="008456F4"/>
    <w:rsid w:val="0084578B"/>
    <w:rsid w:val="00845AB2"/>
    <w:rsid w:val="00845AFD"/>
    <w:rsid w:val="00845B4D"/>
    <w:rsid w:val="00845B58"/>
    <w:rsid w:val="00845D89"/>
    <w:rsid w:val="00845D9C"/>
    <w:rsid w:val="00845EC3"/>
    <w:rsid w:val="008460B9"/>
    <w:rsid w:val="00846148"/>
    <w:rsid w:val="00846236"/>
    <w:rsid w:val="008464A0"/>
    <w:rsid w:val="00846548"/>
    <w:rsid w:val="008465E7"/>
    <w:rsid w:val="0084686E"/>
    <w:rsid w:val="00846BA9"/>
    <w:rsid w:val="00846BE2"/>
    <w:rsid w:val="00846F6A"/>
    <w:rsid w:val="00847000"/>
    <w:rsid w:val="0084713F"/>
    <w:rsid w:val="00847343"/>
    <w:rsid w:val="008473A1"/>
    <w:rsid w:val="0084771B"/>
    <w:rsid w:val="00847B78"/>
    <w:rsid w:val="00847D01"/>
    <w:rsid w:val="00847EC2"/>
    <w:rsid w:val="00847F99"/>
    <w:rsid w:val="00847FDF"/>
    <w:rsid w:val="0085016C"/>
    <w:rsid w:val="0085029C"/>
    <w:rsid w:val="008503A7"/>
    <w:rsid w:val="008504F3"/>
    <w:rsid w:val="0085057A"/>
    <w:rsid w:val="008507AE"/>
    <w:rsid w:val="0085081F"/>
    <w:rsid w:val="0085085F"/>
    <w:rsid w:val="00850B0A"/>
    <w:rsid w:val="00850C3F"/>
    <w:rsid w:val="00850D06"/>
    <w:rsid w:val="00850EEB"/>
    <w:rsid w:val="008510B1"/>
    <w:rsid w:val="008510EF"/>
    <w:rsid w:val="00851141"/>
    <w:rsid w:val="0085114E"/>
    <w:rsid w:val="0085122A"/>
    <w:rsid w:val="00851278"/>
    <w:rsid w:val="0085137B"/>
    <w:rsid w:val="008517C0"/>
    <w:rsid w:val="00851B9D"/>
    <w:rsid w:val="00851C68"/>
    <w:rsid w:val="00851D6E"/>
    <w:rsid w:val="00852240"/>
    <w:rsid w:val="00852298"/>
    <w:rsid w:val="00852538"/>
    <w:rsid w:val="0085290A"/>
    <w:rsid w:val="00852A28"/>
    <w:rsid w:val="00852AA4"/>
    <w:rsid w:val="00852B2E"/>
    <w:rsid w:val="00852C62"/>
    <w:rsid w:val="00852C73"/>
    <w:rsid w:val="00852E69"/>
    <w:rsid w:val="00852ECB"/>
    <w:rsid w:val="008535EB"/>
    <w:rsid w:val="008538B3"/>
    <w:rsid w:val="00853A12"/>
    <w:rsid w:val="00853BAA"/>
    <w:rsid w:val="00853BF5"/>
    <w:rsid w:val="00853C77"/>
    <w:rsid w:val="00853D41"/>
    <w:rsid w:val="00853D6A"/>
    <w:rsid w:val="00853E73"/>
    <w:rsid w:val="00853E86"/>
    <w:rsid w:val="0085421C"/>
    <w:rsid w:val="00854226"/>
    <w:rsid w:val="00854434"/>
    <w:rsid w:val="00854675"/>
    <w:rsid w:val="008547B8"/>
    <w:rsid w:val="00854A28"/>
    <w:rsid w:val="00854A30"/>
    <w:rsid w:val="00854AA9"/>
    <w:rsid w:val="00854B31"/>
    <w:rsid w:val="00854F02"/>
    <w:rsid w:val="00854F94"/>
    <w:rsid w:val="00854FAC"/>
    <w:rsid w:val="0085515C"/>
    <w:rsid w:val="00855228"/>
    <w:rsid w:val="008553A8"/>
    <w:rsid w:val="008554B6"/>
    <w:rsid w:val="008554EF"/>
    <w:rsid w:val="008555FE"/>
    <w:rsid w:val="00855CF6"/>
    <w:rsid w:val="00855D05"/>
    <w:rsid w:val="00855FAD"/>
    <w:rsid w:val="0085619E"/>
    <w:rsid w:val="008565CA"/>
    <w:rsid w:val="0085698C"/>
    <w:rsid w:val="00856A90"/>
    <w:rsid w:val="00856BD6"/>
    <w:rsid w:val="00856DA0"/>
    <w:rsid w:val="00856ED9"/>
    <w:rsid w:val="00856F88"/>
    <w:rsid w:val="0085730E"/>
    <w:rsid w:val="00857431"/>
    <w:rsid w:val="00857459"/>
    <w:rsid w:val="008576DF"/>
    <w:rsid w:val="00857844"/>
    <w:rsid w:val="0085789D"/>
    <w:rsid w:val="00857A24"/>
    <w:rsid w:val="00857DE9"/>
    <w:rsid w:val="008602D2"/>
    <w:rsid w:val="008604D2"/>
    <w:rsid w:val="008606C1"/>
    <w:rsid w:val="008607A7"/>
    <w:rsid w:val="0086094C"/>
    <w:rsid w:val="00860A3F"/>
    <w:rsid w:val="00860EAE"/>
    <w:rsid w:val="00860EC4"/>
    <w:rsid w:val="00860F47"/>
    <w:rsid w:val="0086100D"/>
    <w:rsid w:val="00861035"/>
    <w:rsid w:val="008611CD"/>
    <w:rsid w:val="00861294"/>
    <w:rsid w:val="00861424"/>
    <w:rsid w:val="00861431"/>
    <w:rsid w:val="00861741"/>
    <w:rsid w:val="008619A8"/>
    <w:rsid w:val="00861BF7"/>
    <w:rsid w:val="00861D81"/>
    <w:rsid w:val="00861F2A"/>
    <w:rsid w:val="008620AA"/>
    <w:rsid w:val="00862201"/>
    <w:rsid w:val="00862266"/>
    <w:rsid w:val="00862496"/>
    <w:rsid w:val="0086249D"/>
    <w:rsid w:val="008625C4"/>
    <w:rsid w:val="00862697"/>
    <w:rsid w:val="008629E1"/>
    <w:rsid w:val="00862DBD"/>
    <w:rsid w:val="00862EF1"/>
    <w:rsid w:val="00863169"/>
    <w:rsid w:val="008634F4"/>
    <w:rsid w:val="00863757"/>
    <w:rsid w:val="008637DF"/>
    <w:rsid w:val="008638D0"/>
    <w:rsid w:val="00863992"/>
    <w:rsid w:val="00863DA8"/>
    <w:rsid w:val="00863E01"/>
    <w:rsid w:val="00863E4F"/>
    <w:rsid w:val="00863F56"/>
    <w:rsid w:val="0086404E"/>
    <w:rsid w:val="00864097"/>
    <w:rsid w:val="0086426A"/>
    <w:rsid w:val="008645A8"/>
    <w:rsid w:val="008645D4"/>
    <w:rsid w:val="0086479E"/>
    <w:rsid w:val="00864987"/>
    <w:rsid w:val="00864AD2"/>
    <w:rsid w:val="00864B02"/>
    <w:rsid w:val="00864B3E"/>
    <w:rsid w:val="00864E20"/>
    <w:rsid w:val="00864FC5"/>
    <w:rsid w:val="0086502B"/>
    <w:rsid w:val="00865243"/>
    <w:rsid w:val="008652B7"/>
    <w:rsid w:val="008652EE"/>
    <w:rsid w:val="00865438"/>
    <w:rsid w:val="008654D9"/>
    <w:rsid w:val="00865745"/>
    <w:rsid w:val="008657C5"/>
    <w:rsid w:val="0086597D"/>
    <w:rsid w:val="00865AD1"/>
    <w:rsid w:val="00865B3B"/>
    <w:rsid w:val="00865E31"/>
    <w:rsid w:val="0086619E"/>
    <w:rsid w:val="00866388"/>
    <w:rsid w:val="00866406"/>
    <w:rsid w:val="00866681"/>
    <w:rsid w:val="00866789"/>
    <w:rsid w:val="00866A85"/>
    <w:rsid w:val="00866BE2"/>
    <w:rsid w:val="00866CA4"/>
    <w:rsid w:val="00866D26"/>
    <w:rsid w:val="00866D94"/>
    <w:rsid w:val="00866E01"/>
    <w:rsid w:val="00866F17"/>
    <w:rsid w:val="008671CC"/>
    <w:rsid w:val="008672FF"/>
    <w:rsid w:val="0086731C"/>
    <w:rsid w:val="00867473"/>
    <w:rsid w:val="008674B7"/>
    <w:rsid w:val="00867631"/>
    <w:rsid w:val="00867751"/>
    <w:rsid w:val="00867783"/>
    <w:rsid w:val="00867924"/>
    <w:rsid w:val="00867A48"/>
    <w:rsid w:val="00867BD4"/>
    <w:rsid w:val="00867CDA"/>
    <w:rsid w:val="00867D1C"/>
    <w:rsid w:val="00867D9F"/>
    <w:rsid w:val="00867E1B"/>
    <w:rsid w:val="00867EB2"/>
    <w:rsid w:val="00867FEE"/>
    <w:rsid w:val="0087021B"/>
    <w:rsid w:val="008702FC"/>
    <w:rsid w:val="0087093E"/>
    <w:rsid w:val="00870C68"/>
    <w:rsid w:val="00870CB9"/>
    <w:rsid w:val="00870F69"/>
    <w:rsid w:val="00870FAF"/>
    <w:rsid w:val="0087114A"/>
    <w:rsid w:val="0087128D"/>
    <w:rsid w:val="00871387"/>
    <w:rsid w:val="008715B3"/>
    <w:rsid w:val="0087164C"/>
    <w:rsid w:val="008716B2"/>
    <w:rsid w:val="0087180E"/>
    <w:rsid w:val="00871959"/>
    <w:rsid w:val="00871FFA"/>
    <w:rsid w:val="00872661"/>
    <w:rsid w:val="008726A4"/>
    <w:rsid w:val="008726E0"/>
    <w:rsid w:val="0087294B"/>
    <w:rsid w:val="00872BD8"/>
    <w:rsid w:val="008730DE"/>
    <w:rsid w:val="00873104"/>
    <w:rsid w:val="0087314A"/>
    <w:rsid w:val="008731AE"/>
    <w:rsid w:val="008732A8"/>
    <w:rsid w:val="00873915"/>
    <w:rsid w:val="00873C96"/>
    <w:rsid w:val="00873CEA"/>
    <w:rsid w:val="00873D8B"/>
    <w:rsid w:val="00873EC6"/>
    <w:rsid w:val="00873EC7"/>
    <w:rsid w:val="00873F2A"/>
    <w:rsid w:val="00873FC5"/>
    <w:rsid w:val="008741AD"/>
    <w:rsid w:val="008742E8"/>
    <w:rsid w:val="00874481"/>
    <w:rsid w:val="008744FF"/>
    <w:rsid w:val="00874527"/>
    <w:rsid w:val="0087452B"/>
    <w:rsid w:val="00874626"/>
    <w:rsid w:val="008747FB"/>
    <w:rsid w:val="00874CB1"/>
    <w:rsid w:val="00874DD6"/>
    <w:rsid w:val="00874DF2"/>
    <w:rsid w:val="00874E92"/>
    <w:rsid w:val="008754FD"/>
    <w:rsid w:val="00875860"/>
    <w:rsid w:val="00875BB5"/>
    <w:rsid w:val="00875C5B"/>
    <w:rsid w:val="00875E50"/>
    <w:rsid w:val="00875FF8"/>
    <w:rsid w:val="0087609B"/>
    <w:rsid w:val="00876751"/>
    <w:rsid w:val="00876823"/>
    <w:rsid w:val="00876876"/>
    <w:rsid w:val="008768DE"/>
    <w:rsid w:val="00876C91"/>
    <w:rsid w:val="008770E8"/>
    <w:rsid w:val="008772C9"/>
    <w:rsid w:val="008772EE"/>
    <w:rsid w:val="00877388"/>
    <w:rsid w:val="008773B5"/>
    <w:rsid w:val="008774A9"/>
    <w:rsid w:val="008774DE"/>
    <w:rsid w:val="00877678"/>
    <w:rsid w:val="00877850"/>
    <w:rsid w:val="008778F0"/>
    <w:rsid w:val="0087795F"/>
    <w:rsid w:val="00877A3E"/>
    <w:rsid w:val="00877CF6"/>
    <w:rsid w:val="00877D1E"/>
    <w:rsid w:val="00877DED"/>
    <w:rsid w:val="00877FB5"/>
    <w:rsid w:val="008801C6"/>
    <w:rsid w:val="008803B2"/>
    <w:rsid w:val="008805D2"/>
    <w:rsid w:val="008805E1"/>
    <w:rsid w:val="00880678"/>
    <w:rsid w:val="00880A65"/>
    <w:rsid w:val="00880A6A"/>
    <w:rsid w:val="00880ADE"/>
    <w:rsid w:val="00880DFE"/>
    <w:rsid w:val="0088101A"/>
    <w:rsid w:val="00881235"/>
    <w:rsid w:val="0088132D"/>
    <w:rsid w:val="008814A4"/>
    <w:rsid w:val="0088160C"/>
    <w:rsid w:val="008818DF"/>
    <w:rsid w:val="00881E46"/>
    <w:rsid w:val="008823DB"/>
    <w:rsid w:val="00882439"/>
    <w:rsid w:val="00882520"/>
    <w:rsid w:val="0088280C"/>
    <w:rsid w:val="0088290D"/>
    <w:rsid w:val="00882D3D"/>
    <w:rsid w:val="00882F4C"/>
    <w:rsid w:val="00882F86"/>
    <w:rsid w:val="00882FFF"/>
    <w:rsid w:val="00883069"/>
    <w:rsid w:val="008830C8"/>
    <w:rsid w:val="00883197"/>
    <w:rsid w:val="008832A5"/>
    <w:rsid w:val="008832EB"/>
    <w:rsid w:val="00883361"/>
    <w:rsid w:val="00883612"/>
    <w:rsid w:val="008837D6"/>
    <w:rsid w:val="008838AC"/>
    <w:rsid w:val="00883A0F"/>
    <w:rsid w:val="00883A48"/>
    <w:rsid w:val="00883BEB"/>
    <w:rsid w:val="00883FC9"/>
    <w:rsid w:val="008842B7"/>
    <w:rsid w:val="008842FB"/>
    <w:rsid w:val="0088448C"/>
    <w:rsid w:val="008846E0"/>
    <w:rsid w:val="00884978"/>
    <w:rsid w:val="00884C23"/>
    <w:rsid w:val="00884CFE"/>
    <w:rsid w:val="00884F93"/>
    <w:rsid w:val="00884FFE"/>
    <w:rsid w:val="008853F5"/>
    <w:rsid w:val="00885547"/>
    <w:rsid w:val="008855DC"/>
    <w:rsid w:val="00885603"/>
    <w:rsid w:val="00885982"/>
    <w:rsid w:val="00885CAC"/>
    <w:rsid w:val="00885EB3"/>
    <w:rsid w:val="00885FAF"/>
    <w:rsid w:val="008860EA"/>
    <w:rsid w:val="008863D3"/>
    <w:rsid w:val="00886580"/>
    <w:rsid w:val="00886840"/>
    <w:rsid w:val="008869F0"/>
    <w:rsid w:val="00886D82"/>
    <w:rsid w:val="00886E31"/>
    <w:rsid w:val="008870C9"/>
    <w:rsid w:val="00887171"/>
    <w:rsid w:val="00887221"/>
    <w:rsid w:val="008872C2"/>
    <w:rsid w:val="008873D0"/>
    <w:rsid w:val="00887416"/>
    <w:rsid w:val="0088747D"/>
    <w:rsid w:val="00887486"/>
    <w:rsid w:val="008875F3"/>
    <w:rsid w:val="0088775E"/>
    <w:rsid w:val="008877E0"/>
    <w:rsid w:val="00887AF4"/>
    <w:rsid w:val="00887DBF"/>
    <w:rsid w:val="00887E0D"/>
    <w:rsid w:val="00887EFA"/>
    <w:rsid w:val="00890004"/>
    <w:rsid w:val="00890008"/>
    <w:rsid w:val="0089033A"/>
    <w:rsid w:val="00890448"/>
    <w:rsid w:val="00890467"/>
    <w:rsid w:val="008907DF"/>
    <w:rsid w:val="00890846"/>
    <w:rsid w:val="00890A6A"/>
    <w:rsid w:val="0089122A"/>
    <w:rsid w:val="0089128B"/>
    <w:rsid w:val="00891701"/>
    <w:rsid w:val="008917AD"/>
    <w:rsid w:val="00891CCE"/>
    <w:rsid w:val="00892136"/>
    <w:rsid w:val="00892361"/>
    <w:rsid w:val="008923AE"/>
    <w:rsid w:val="008923EB"/>
    <w:rsid w:val="0089268E"/>
    <w:rsid w:val="008926DD"/>
    <w:rsid w:val="00892725"/>
    <w:rsid w:val="00892775"/>
    <w:rsid w:val="0089278F"/>
    <w:rsid w:val="008927EC"/>
    <w:rsid w:val="00892A98"/>
    <w:rsid w:val="00892C0C"/>
    <w:rsid w:val="00892D1B"/>
    <w:rsid w:val="00892E47"/>
    <w:rsid w:val="00893015"/>
    <w:rsid w:val="008937E6"/>
    <w:rsid w:val="00893D09"/>
    <w:rsid w:val="00893DC2"/>
    <w:rsid w:val="00893E76"/>
    <w:rsid w:val="008940A8"/>
    <w:rsid w:val="00894432"/>
    <w:rsid w:val="00894682"/>
    <w:rsid w:val="00894786"/>
    <w:rsid w:val="008947D7"/>
    <w:rsid w:val="0089492C"/>
    <w:rsid w:val="008949A1"/>
    <w:rsid w:val="00894B75"/>
    <w:rsid w:val="00894C67"/>
    <w:rsid w:val="00894CB5"/>
    <w:rsid w:val="00894EBC"/>
    <w:rsid w:val="0089518A"/>
    <w:rsid w:val="008951B1"/>
    <w:rsid w:val="0089520E"/>
    <w:rsid w:val="008956CA"/>
    <w:rsid w:val="00895E63"/>
    <w:rsid w:val="00895ED2"/>
    <w:rsid w:val="00895F5D"/>
    <w:rsid w:val="00896628"/>
    <w:rsid w:val="008966F1"/>
    <w:rsid w:val="00896765"/>
    <w:rsid w:val="008967CA"/>
    <w:rsid w:val="008968DD"/>
    <w:rsid w:val="00896A83"/>
    <w:rsid w:val="00896EEE"/>
    <w:rsid w:val="00896F50"/>
    <w:rsid w:val="00897019"/>
    <w:rsid w:val="0089714D"/>
    <w:rsid w:val="0089720C"/>
    <w:rsid w:val="0089737B"/>
    <w:rsid w:val="008974B9"/>
    <w:rsid w:val="0089756E"/>
    <w:rsid w:val="008976DC"/>
    <w:rsid w:val="00897706"/>
    <w:rsid w:val="0089774D"/>
    <w:rsid w:val="00897910"/>
    <w:rsid w:val="00897A40"/>
    <w:rsid w:val="00897B56"/>
    <w:rsid w:val="00897BA3"/>
    <w:rsid w:val="008A0092"/>
    <w:rsid w:val="008A0262"/>
    <w:rsid w:val="008A03EF"/>
    <w:rsid w:val="008A05A4"/>
    <w:rsid w:val="008A05CA"/>
    <w:rsid w:val="008A0748"/>
    <w:rsid w:val="008A0819"/>
    <w:rsid w:val="008A09A3"/>
    <w:rsid w:val="008A0B45"/>
    <w:rsid w:val="008A0BF1"/>
    <w:rsid w:val="008A0D5C"/>
    <w:rsid w:val="008A0E14"/>
    <w:rsid w:val="008A0F00"/>
    <w:rsid w:val="008A0F77"/>
    <w:rsid w:val="008A0F82"/>
    <w:rsid w:val="008A104E"/>
    <w:rsid w:val="008A1157"/>
    <w:rsid w:val="008A11EB"/>
    <w:rsid w:val="008A126D"/>
    <w:rsid w:val="008A12B7"/>
    <w:rsid w:val="008A1366"/>
    <w:rsid w:val="008A13F7"/>
    <w:rsid w:val="008A151C"/>
    <w:rsid w:val="008A1572"/>
    <w:rsid w:val="008A1728"/>
    <w:rsid w:val="008A1CDC"/>
    <w:rsid w:val="008A1E87"/>
    <w:rsid w:val="008A203A"/>
    <w:rsid w:val="008A214E"/>
    <w:rsid w:val="008A224E"/>
    <w:rsid w:val="008A27B2"/>
    <w:rsid w:val="008A28AE"/>
    <w:rsid w:val="008A29E7"/>
    <w:rsid w:val="008A2A44"/>
    <w:rsid w:val="008A2E0D"/>
    <w:rsid w:val="008A339A"/>
    <w:rsid w:val="008A3656"/>
    <w:rsid w:val="008A3757"/>
    <w:rsid w:val="008A38D5"/>
    <w:rsid w:val="008A3C82"/>
    <w:rsid w:val="008A3DB5"/>
    <w:rsid w:val="008A4088"/>
    <w:rsid w:val="008A42CF"/>
    <w:rsid w:val="008A4520"/>
    <w:rsid w:val="008A469A"/>
    <w:rsid w:val="008A4802"/>
    <w:rsid w:val="008A49ED"/>
    <w:rsid w:val="008A4F06"/>
    <w:rsid w:val="008A4F36"/>
    <w:rsid w:val="008A5026"/>
    <w:rsid w:val="008A5140"/>
    <w:rsid w:val="008A52CB"/>
    <w:rsid w:val="008A5334"/>
    <w:rsid w:val="008A53BE"/>
    <w:rsid w:val="008A54B6"/>
    <w:rsid w:val="008A5613"/>
    <w:rsid w:val="008A5996"/>
    <w:rsid w:val="008A5A24"/>
    <w:rsid w:val="008A5AA4"/>
    <w:rsid w:val="008A5AE4"/>
    <w:rsid w:val="008A5B79"/>
    <w:rsid w:val="008A5C9B"/>
    <w:rsid w:val="008A5CEB"/>
    <w:rsid w:val="008A5DF6"/>
    <w:rsid w:val="008A6039"/>
    <w:rsid w:val="008A614E"/>
    <w:rsid w:val="008A6256"/>
    <w:rsid w:val="008A648D"/>
    <w:rsid w:val="008A64A0"/>
    <w:rsid w:val="008A6673"/>
    <w:rsid w:val="008A6A68"/>
    <w:rsid w:val="008A6D55"/>
    <w:rsid w:val="008A7147"/>
    <w:rsid w:val="008A734D"/>
    <w:rsid w:val="008A78E7"/>
    <w:rsid w:val="008A7C75"/>
    <w:rsid w:val="008A7C77"/>
    <w:rsid w:val="008A7C8D"/>
    <w:rsid w:val="008A7D5E"/>
    <w:rsid w:val="008B03D8"/>
    <w:rsid w:val="008B03DA"/>
    <w:rsid w:val="008B0404"/>
    <w:rsid w:val="008B042F"/>
    <w:rsid w:val="008B0458"/>
    <w:rsid w:val="008B062B"/>
    <w:rsid w:val="008B06C3"/>
    <w:rsid w:val="008B0AE1"/>
    <w:rsid w:val="008B0C47"/>
    <w:rsid w:val="008B0CD5"/>
    <w:rsid w:val="008B0D05"/>
    <w:rsid w:val="008B0F06"/>
    <w:rsid w:val="008B0FD9"/>
    <w:rsid w:val="008B13D7"/>
    <w:rsid w:val="008B16FC"/>
    <w:rsid w:val="008B1811"/>
    <w:rsid w:val="008B1B44"/>
    <w:rsid w:val="008B1D2D"/>
    <w:rsid w:val="008B1E16"/>
    <w:rsid w:val="008B23A0"/>
    <w:rsid w:val="008B2495"/>
    <w:rsid w:val="008B2796"/>
    <w:rsid w:val="008B27E3"/>
    <w:rsid w:val="008B28D2"/>
    <w:rsid w:val="008B29FA"/>
    <w:rsid w:val="008B2DB7"/>
    <w:rsid w:val="008B2DE5"/>
    <w:rsid w:val="008B2F26"/>
    <w:rsid w:val="008B3311"/>
    <w:rsid w:val="008B3313"/>
    <w:rsid w:val="008B3342"/>
    <w:rsid w:val="008B349E"/>
    <w:rsid w:val="008B35ED"/>
    <w:rsid w:val="008B3B11"/>
    <w:rsid w:val="008B3CFB"/>
    <w:rsid w:val="008B42B1"/>
    <w:rsid w:val="008B46B5"/>
    <w:rsid w:val="008B4746"/>
    <w:rsid w:val="008B47DB"/>
    <w:rsid w:val="008B481F"/>
    <w:rsid w:val="008B486D"/>
    <w:rsid w:val="008B4884"/>
    <w:rsid w:val="008B4AC5"/>
    <w:rsid w:val="008B4ADA"/>
    <w:rsid w:val="008B5088"/>
    <w:rsid w:val="008B51DC"/>
    <w:rsid w:val="008B545C"/>
    <w:rsid w:val="008B5577"/>
    <w:rsid w:val="008B56CC"/>
    <w:rsid w:val="008B571C"/>
    <w:rsid w:val="008B5899"/>
    <w:rsid w:val="008B597C"/>
    <w:rsid w:val="008B5BBF"/>
    <w:rsid w:val="008B5BE6"/>
    <w:rsid w:val="008B5DDD"/>
    <w:rsid w:val="008B5DE8"/>
    <w:rsid w:val="008B5E15"/>
    <w:rsid w:val="008B5E74"/>
    <w:rsid w:val="008B5EE3"/>
    <w:rsid w:val="008B5F57"/>
    <w:rsid w:val="008B6012"/>
    <w:rsid w:val="008B61FA"/>
    <w:rsid w:val="008B6210"/>
    <w:rsid w:val="008B6414"/>
    <w:rsid w:val="008B64A7"/>
    <w:rsid w:val="008B688D"/>
    <w:rsid w:val="008B690A"/>
    <w:rsid w:val="008B6A4C"/>
    <w:rsid w:val="008B6A70"/>
    <w:rsid w:val="008B6B2E"/>
    <w:rsid w:val="008B6B84"/>
    <w:rsid w:val="008B6D82"/>
    <w:rsid w:val="008B6E16"/>
    <w:rsid w:val="008B6E3C"/>
    <w:rsid w:val="008B7016"/>
    <w:rsid w:val="008B70C1"/>
    <w:rsid w:val="008B7278"/>
    <w:rsid w:val="008B732D"/>
    <w:rsid w:val="008B7366"/>
    <w:rsid w:val="008B75D1"/>
    <w:rsid w:val="008B77E8"/>
    <w:rsid w:val="008B7859"/>
    <w:rsid w:val="008B7A58"/>
    <w:rsid w:val="008B7C5E"/>
    <w:rsid w:val="008B7E62"/>
    <w:rsid w:val="008B7EE0"/>
    <w:rsid w:val="008B7FCE"/>
    <w:rsid w:val="008C01C2"/>
    <w:rsid w:val="008C0406"/>
    <w:rsid w:val="008C05F7"/>
    <w:rsid w:val="008C0611"/>
    <w:rsid w:val="008C077F"/>
    <w:rsid w:val="008C0A30"/>
    <w:rsid w:val="008C0A37"/>
    <w:rsid w:val="008C0CE0"/>
    <w:rsid w:val="008C0DA6"/>
    <w:rsid w:val="008C0E1B"/>
    <w:rsid w:val="008C105C"/>
    <w:rsid w:val="008C10E6"/>
    <w:rsid w:val="008C118B"/>
    <w:rsid w:val="008C1336"/>
    <w:rsid w:val="008C1382"/>
    <w:rsid w:val="008C151C"/>
    <w:rsid w:val="008C1552"/>
    <w:rsid w:val="008C157E"/>
    <w:rsid w:val="008C15AE"/>
    <w:rsid w:val="008C15C4"/>
    <w:rsid w:val="008C1619"/>
    <w:rsid w:val="008C16E7"/>
    <w:rsid w:val="008C17A7"/>
    <w:rsid w:val="008C18A7"/>
    <w:rsid w:val="008C1956"/>
    <w:rsid w:val="008C1D2D"/>
    <w:rsid w:val="008C1DBD"/>
    <w:rsid w:val="008C1E11"/>
    <w:rsid w:val="008C23B3"/>
    <w:rsid w:val="008C23C8"/>
    <w:rsid w:val="008C2444"/>
    <w:rsid w:val="008C247B"/>
    <w:rsid w:val="008C2572"/>
    <w:rsid w:val="008C2A1E"/>
    <w:rsid w:val="008C2BEE"/>
    <w:rsid w:val="008C2C29"/>
    <w:rsid w:val="008C2FA5"/>
    <w:rsid w:val="008C3140"/>
    <w:rsid w:val="008C33AE"/>
    <w:rsid w:val="008C33F1"/>
    <w:rsid w:val="008C36B2"/>
    <w:rsid w:val="008C3746"/>
    <w:rsid w:val="008C3811"/>
    <w:rsid w:val="008C3ADC"/>
    <w:rsid w:val="008C3C2D"/>
    <w:rsid w:val="008C3D07"/>
    <w:rsid w:val="008C4107"/>
    <w:rsid w:val="008C4343"/>
    <w:rsid w:val="008C4722"/>
    <w:rsid w:val="008C48A5"/>
    <w:rsid w:val="008C4AC6"/>
    <w:rsid w:val="008C4B9C"/>
    <w:rsid w:val="008C4D12"/>
    <w:rsid w:val="008C4D51"/>
    <w:rsid w:val="008C4E37"/>
    <w:rsid w:val="008C4EC0"/>
    <w:rsid w:val="008C4F49"/>
    <w:rsid w:val="008C4F50"/>
    <w:rsid w:val="008C5107"/>
    <w:rsid w:val="008C5290"/>
    <w:rsid w:val="008C536B"/>
    <w:rsid w:val="008C5791"/>
    <w:rsid w:val="008C58CD"/>
    <w:rsid w:val="008C5B7C"/>
    <w:rsid w:val="008C5DDA"/>
    <w:rsid w:val="008C5F52"/>
    <w:rsid w:val="008C5FFF"/>
    <w:rsid w:val="008C61D5"/>
    <w:rsid w:val="008C6551"/>
    <w:rsid w:val="008C6584"/>
    <w:rsid w:val="008C660C"/>
    <w:rsid w:val="008C6AE1"/>
    <w:rsid w:val="008C6BB3"/>
    <w:rsid w:val="008C6E28"/>
    <w:rsid w:val="008C6E8C"/>
    <w:rsid w:val="008C70F4"/>
    <w:rsid w:val="008C7157"/>
    <w:rsid w:val="008C7191"/>
    <w:rsid w:val="008C72A1"/>
    <w:rsid w:val="008C72EC"/>
    <w:rsid w:val="008C7346"/>
    <w:rsid w:val="008C73D6"/>
    <w:rsid w:val="008C7486"/>
    <w:rsid w:val="008C751D"/>
    <w:rsid w:val="008C767B"/>
    <w:rsid w:val="008C76B9"/>
    <w:rsid w:val="008C78BC"/>
    <w:rsid w:val="008C7B08"/>
    <w:rsid w:val="008C7F20"/>
    <w:rsid w:val="008D0156"/>
    <w:rsid w:val="008D0500"/>
    <w:rsid w:val="008D0613"/>
    <w:rsid w:val="008D0636"/>
    <w:rsid w:val="008D0730"/>
    <w:rsid w:val="008D0D9C"/>
    <w:rsid w:val="008D0F44"/>
    <w:rsid w:val="008D1137"/>
    <w:rsid w:val="008D1376"/>
    <w:rsid w:val="008D1384"/>
    <w:rsid w:val="008D142B"/>
    <w:rsid w:val="008D15C3"/>
    <w:rsid w:val="008D17FD"/>
    <w:rsid w:val="008D1865"/>
    <w:rsid w:val="008D1876"/>
    <w:rsid w:val="008D1922"/>
    <w:rsid w:val="008D1B1F"/>
    <w:rsid w:val="008D1B8B"/>
    <w:rsid w:val="008D1BD1"/>
    <w:rsid w:val="008D1C17"/>
    <w:rsid w:val="008D2114"/>
    <w:rsid w:val="008D21A2"/>
    <w:rsid w:val="008D2326"/>
    <w:rsid w:val="008D23DE"/>
    <w:rsid w:val="008D24AE"/>
    <w:rsid w:val="008D25BB"/>
    <w:rsid w:val="008D2A4B"/>
    <w:rsid w:val="008D2A8C"/>
    <w:rsid w:val="008D2BAE"/>
    <w:rsid w:val="008D314E"/>
    <w:rsid w:val="008D31BA"/>
    <w:rsid w:val="008D325D"/>
    <w:rsid w:val="008D3572"/>
    <w:rsid w:val="008D3696"/>
    <w:rsid w:val="008D3785"/>
    <w:rsid w:val="008D37CA"/>
    <w:rsid w:val="008D3831"/>
    <w:rsid w:val="008D3A1D"/>
    <w:rsid w:val="008D3A2D"/>
    <w:rsid w:val="008D3B8B"/>
    <w:rsid w:val="008D3BFB"/>
    <w:rsid w:val="008D3D04"/>
    <w:rsid w:val="008D4353"/>
    <w:rsid w:val="008D43E4"/>
    <w:rsid w:val="008D45D0"/>
    <w:rsid w:val="008D46CA"/>
    <w:rsid w:val="008D4889"/>
    <w:rsid w:val="008D49CD"/>
    <w:rsid w:val="008D4AD0"/>
    <w:rsid w:val="008D4BBA"/>
    <w:rsid w:val="008D4D61"/>
    <w:rsid w:val="008D4D9C"/>
    <w:rsid w:val="008D4E5C"/>
    <w:rsid w:val="008D50C4"/>
    <w:rsid w:val="008D53B9"/>
    <w:rsid w:val="008D54FE"/>
    <w:rsid w:val="008D557D"/>
    <w:rsid w:val="008D55DF"/>
    <w:rsid w:val="008D581A"/>
    <w:rsid w:val="008D5844"/>
    <w:rsid w:val="008D58C8"/>
    <w:rsid w:val="008D595C"/>
    <w:rsid w:val="008D5995"/>
    <w:rsid w:val="008D5A28"/>
    <w:rsid w:val="008D5AC6"/>
    <w:rsid w:val="008D5D84"/>
    <w:rsid w:val="008D5FE1"/>
    <w:rsid w:val="008D6021"/>
    <w:rsid w:val="008D6099"/>
    <w:rsid w:val="008D6543"/>
    <w:rsid w:val="008D6A01"/>
    <w:rsid w:val="008D6ED7"/>
    <w:rsid w:val="008D6ED8"/>
    <w:rsid w:val="008D70CB"/>
    <w:rsid w:val="008D73C8"/>
    <w:rsid w:val="008D75DA"/>
    <w:rsid w:val="008D76A1"/>
    <w:rsid w:val="008D7895"/>
    <w:rsid w:val="008D7938"/>
    <w:rsid w:val="008D7F66"/>
    <w:rsid w:val="008DD57E"/>
    <w:rsid w:val="008E0138"/>
    <w:rsid w:val="008E01E4"/>
    <w:rsid w:val="008E06C3"/>
    <w:rsid w:val="008E07C1"/>
    <w:rsid w:val="008E07D4"/>
    <w:rsid w:val="008E086A"/>
    <w:rsid w:val="008E0905"/>
    <w:rsid w:val="008E0AF7"/>
    <w:rsid w:val="008E0B68"/>
    <w:rsid w:val="008E0C45"/>
    <w:rsid w:val="008E0D38"/>
    <w:rsid w:val="008E0E44"/>
    <w:rsid w:val="008E0F55"/>
    <w:rsid w:val="008E109C"/>
    <w:rsid w:val="008E152B"/>
    <w:rsid w:val="008E1600"/>
    <w:rsid w:val="008E1957"/>
    <w:rsid w:val="008E196C"/>
    <w:rsid w:val="008E1F0B"/>
    <w:rsid w:val="008E1F64"/>
    <w:rsid w:val="008E20B8"/>
    <w:rsid w:val="008E2230"/>
    <w:rsid w:val="008E227E"/>
    <w:rsid w:val="008E23E8"/>
    <w:rsid w:val="008E24C9"/>
    <w:rsid w:val="008E263E"/>
    <w:rsid w:val="008E292E"/>
    <w:rsid w:val="008E2A2C"/>
    <w:rsid w:val="008E2B00"/>
    <w:rsid w:val="008E2BFD"/>
    <w:rsid w:val="008E2D7B"/>
    <w:rsid w:val="008E3072"/>
    <w:rsid w:val="008E3080"/>
    <w:rsid w:val="008E34E1"/>
    <w:rsid w:val="008E3567"/>
    <w:rsid w:val="008E35BF"/>
    <w:rsid w:val="008E369F"/>
    <w:rsid w:val="008E3709"/>
    <w:rsid w:val="008E381D"/>
    <w:rsid w:val="008E38CD"/>
    <w:rsid w:val="008E3A27"/>
    <w:rsid w:val="008E3B7F"/>
    <w:rsid w:val="008E3BC0"/>
    <w:rsid w:val="008E3FD0"/>
    <w:rsid w:val="008E434D"/>
    <w:rsid w:val="008E44B5"/>
    <w:rsid w:val="008E4529"/>
    <w:rsid w:val="008E45FD"/>
    <w:rsid w:val="008E4C8D"/>
    <w:rsid w:val="008E50AB"/>
    <w:rsid w:val="008E50FC"/>
    <w:rsid w:val="008E5532"/>
    <w:rsid w:val="008E560A"/>
    <w:rsid w:val="008E5B48"/>
    <w:rsid w:val="008E5D98"/>
    <w:rsid w:val="008E5E7E"/>
    <w:rsid w:val="008E6357"/>
    <w:rsid w:val="008E6612"/>
    <w:rsid w:val="008E69C3"/>
    <w:rsid w:val="008E6A6E"/>
    <w:rsid w:val="008E6FC6"/>
    <w:rsid w:val="008E705E"/>
    <w:rsid w:val="008E70C5"/>
    <w:rsid w:val="008E72CA"/>
    <w:rsid w:val="008E765D"/>
    <w:rsid w:val="008E7CDD"/>
    <w:rsid w:val="008E7EC2"/>
    <w:rsid w:val="008E7F4D"/>
    <w:rsid w:val="008E7F67"/>
    <w:rsid w:val="008F00B6"/>
    <w:rsid w:val="008F042F"/>
    <w:rsid w:val="008F046C"/>
    <w:rsid w:val="008F0477"/>
    <w:rsid w:val="008F078E"/>
    <w:rsid w:val="008F09C5"/>
    <w:rsid w:val="008F0B23"/>
    <w:rsid w:val="008F0B40"/>
    <w:rsid w:val="008F0C76"/>
    <w:rsid w:val="008F0D6D"/>
    <w:rsid w:val="008F0E46"/>
    <w:rsid w:val="008F0F8D"/>
    <w:rsid w:val="008F10BA"/>
    <w:rsid w:val="008F11E1"/>
    <w:rsid w:val="008F1245"/>
    <w:rsid w:val="008F13FA"/>
    <w:rsid w:val="008F199F"/>
    <w:rsid w:val="008F1A12"/>
    <w:rsid w:val="008F1BDA"/>
    <w:rsid w:val="008F1C61"/>
    <w:rsid w:val="008F1C8A"/>
    <w:rsid w:val="008F1D6D"/>
    <w:rsid w:val="008F1F58"/>
    <w:rsid w:val="008F1FDD"/>
    <w:rsid w:val="008F20B8"/>
    <w:rsid w:val="008F2328"/>
    <w:rsid w:val="008F267A"/>
    <w:rsid w:val="008F26D9"/>
    <w:rsid w:val="008F2D8A"/>
    <w:rsid w:val="008F3259"/>
    <w:rsid w:val="008F339B"/>
    <w:rsid w:val="008F3597"/>
    <w:rsid w:val="008F3A50"/>
    <w:rsid w:val="008F3F04"/>
    <w:rsid w:val="008F4081"/>
    <w:rsid w:val="008F40B5"/>
    <w:rsid w:val="008F40EB"/>
    <w:rsid w:val="008F4252"/>
    <w:rsid w:val="008F427B"/>
    <w:rsid w:val="008F446E"/>
    <w:rsid w:val="008F49E4"/>
    <w:rsid w:val="008F4DC5"/>
    <w:rsid w:val="008F4DDA"/>
    <w:rsid w:val="008F52C6"/>
    <w:rsid w:val="008F5403"/>
    <w:rsid w:val="008F54CF"/>
    <w:rsid w:val="008F55D3"/>
    <w:rsid w:val="008F5671"/>
    <w:rsid w:val="008F59E0"/>
    <w:rsid w:val="008F5A4A"/>
    <w:rsid w:val="008F5A80"/>
    <w:rsid w:val="008F5BB8"/>
    <w:rsid w:val="008F5BE0"/>
    <w:rsid w:val="008F5C39"/>
    <w:rsid w:val="008F5EC4"/>
    <w:rsid w:val="008F60DE"/>
    <w:rsid w:val="008F616C"/>
    <w:rsid w:val="008F6187"/>
    <w:rsid w:val="008F6196"/>
    <w:rsid w:val="008F6528"/>
    <w:rsid w:val="008F6640"/>
    <w:rsid w:val="008F665D"/>
    <w:rsid w:val="008F67DA"/>
    <w:rsid w:val="008F6860"/>
    <w:rsid w:val="008F689C"/>
    <w:rsid w:val="008F68DB"/>
    <w:rsid w:val="008F6E36"/>
    <w:rsid w:val="008F6F15"/>
    <w:rsid w:val="008F6F8A"/>
    <w:rsid w:val="008F703A"/>
    <w:rsid w:val="008F740F"/>
    <w:rsid w:val="008F7740"/>
    <w:rsid w:val="008F77DD"/>
    <w:rsid w:val="008F77F7"/>
    <w:rsid w:val="008F796B"/>
    <w:rsid w:val="008F7A0B"/>
    <w:rsid w:val="008F7AFF"/>
    <w:rsid w:val="008F7E1F"/>
    <w:rsid w:val="0090014B"/>
    <w:rsid w:val="0090016B"/>
    <w:rsid w:val="0090018A"/>
    <w:rsid w:val="00900217"/>
    <w:rsid w:val="00900313"/>
    <w:rsid w:val="0090046B"/>
    <w:rsid w:val="009007FB"/>
    <w:rsid w:val="00900993"/>
    <w:rsid w:val="00900BA8"/>
    <w:rsid w:val="00900D85"/>
    <w:rsid w:val="00900EC9"/>
    <w:rsid w:val="00900F3C"/>
    <w:rsid w:val="00900F65"/>
    <w:rsid w:val="00900FB5"/>
    <w:rsid w:val="00901205"/>
    <w:rsid w:val="009012E0"/>
    <w:rsid w:val="009014D9"/>
    <w:rsid w:val="00901825"/>
    <w:rsid w:val="00901885"/>
    <w:rsid w:val="00901B34"/>
    <w:rsid w:val="00901D6C"/>
    <w:rsid w:val="00901D7A"/>
    <w:rsid w:val="009020B2"/>
    <w:rsid w:val="00902124"/>
    <w:rsid w:val="0090235A"/>
    <w:rsid w:val="00902430"/>
    <w:rsid w:val="00902781"/>
    <w:rsid w:val="00902795"/>
    <w:rsid w:val="00902983"/>
    <w:rsid w:val="00902A65"/>
    <w:rsid w:val="00902B98"/>
    <w:rsid w:val="00902BDC"/>
    <w:rsid w:val="00902C8C"/>
    <w:rsid w:val="00902CDD"/>
    <w:rsid w:val="00902D1D"/>
    <w:rsid w:val="00902D52"/>
    <w:rsid w:val="009031DA"/>
    <w:rsid w:val="009035C7"/>
    <w:rsid w:val="00903743"/>
    <w:rsid w:val="009038DC"/>
    <w:rsid w:val="00903A1D"/>
    <w:rsid w:val="00903AB0"/>
    <w:rsid w:val="00903C55"/>
    <w:rsid w:val="00903D77"/>
    <w:rsid w:val="00903DD5"/>
    <w:rsid w:val="00903F62"/>
    <w:rsid w:val="00904102"/>
    <w:rsid w:val="0090422B"/>
    <w:rsid w:val="0090471D"/>
    <w:rsid w:val="00904888"/>
    <w:rsid w:val="009048F3"/>
    <w:rsid w:val="009049ED"/>
    <w:rsid w:val="00904A57"/>
    <w:rsid w:val="00904A6F"/>
    <w:rsid w:val="00904EDD"/>
    <w:rsid w:val="00905016"/>
    <w:rsid w:val="00905021"/>
    <w:rsid w:val="0090529D"/>
    <w:rsid w:val="00905506"/>
    <w:rsid w:val="009055FE"/>
    <w:rsid w:val="009056B9"/>
    <w:rsid w:val="0090571A"/>
    <w:rsid w:val="00905B69"/>
    <w:rsid w:val="00905E05"/>
    <w:rsid w:val="00905F9F"/>
    <w:rsid w:val="009061AE"/>
    <w:rsid w:val="00906654"/>
    <w:rsid w:val="00906841"/>
    <w:rsid w:val="0090697A"/>
    <w:rsid w:val="00906B05"/>
    <w:rsid w:val="00906BB4"/>
    <w:rsid w:val="00906D6F"/>
    <w:rsid w:val="009071F8"/>
    <w:rsid w:val="009072D1"/>
    <w:rsid w:val="009073AB"/>
    <w:rsid w:val="0090771A"/>
    <w:rsid w:val="00907792"/>
    <w:rsid w:val="009079BE"/>
    <w:rsid w:val="00907CE9"/>
    <w:rsid w:val="00907D99"/>
    <w:rsid w:val="00907DC7"/>
    <w:rsid w:val="00907E77"/>
    <w:rsid w:val="00910176"/>
    <w:rsid w:val="009101D4"/>
    <w:rsid w:val="009101D6"/>
    <w:rsid w:val="009101EB"/>
    <w:rsid w:val="00910338"/>
    <w:rsid w:val="0091057A"/>
    <w:rsid w:val="0091070A"/>
    <w:rsid w:val="0091071C"/>
    <w:rsid w:val="00910A7B"/>
    <w:rsid w:val="00910DAE"/>
    <w:rsid w:val="00910DC3"/>
    <w:rsid w:val="00910ED2"/>
    <w:rsid w:val="00911242"/>
    <w:rsid w:val="00911492"/>
    <w:rsid w:val="009114A5"/>
    <w:rsid w:val="009114D4"/>
    <w:rsid w:val="0091167C"/>
    <w:rsid w:val="0091174F"/>
    <w:rsid w:val="00911767"/>
    <w:rsid w:val="009119E9"/>
    <w:rsid w:val="00911C62"/>
    <w:rsid w:val="00911D74"/>
    <w:rsid w:val="00911E54"/>
    <w:rsid w:val="009120A5"/>
    <w:rsid w:val="009125C5"/>
    <w:rsid w:val="00912700"/>
    <w:rsid w:val="0091270D"/>
    <w:rsid w:val="0091272F"/>
    <w:rsid w:val="00912976"/>
    <w:rsid w:val="0091297C"/>
    <w:rsid w:val="00912C16"/>
    <w:rsid w:val="00912C7B"/>
    <w:rsid w:val="00912CC4"/>
    <w:rsid w:val="00912E29"/>
    <w:rsid w:val="00912FA5"/>
    <w:rsid w:val="0091308D"/>
    <w:rsid w:val="00913274"/>
    <w:rsid w:val="00913319"/>
    <w:rsid w:val="00913488"/>
    <w:rsid w:val="00913660"/>
    <w:rsid w:val="009136BC"/>
    <w:rsid w:val="009136D4"/>
    <w:rsid w:val="00913A28"/>
    <w:rsid w:val="00913AB6"/>
    <w:rsid w:val="00913AFB"/>
    <w:rsid w:val="00913AFC"/>
    <w:rsid w:val="00913F69"/>
    <w:rsid w:val="0091410F"/>
    <w:rsid w:val="00914461"/>
    <w:rsid w:val="00914529"/>
    <w:rsid w:val="009145CC"/>
    <w:rsid w:val="009145D4"/>
    <w:rsid w:val="00914644"/>
    <w:rsid w:val="00914987"/>
    <w:rsid w:val="00914B80"/>
    <w:rsid w:val="00914C5E"/>
    <w:rsid w:val="00914D07"/>
    <w:rsid w:val="00914D14"/>
    <w:rsid w:val="00914FAC"/>
    <w:rsid w:val="00915065"/>
    <w:rsid w:val="009150E1"/>
    <w:rsid w:val="009156A1"/>
    <w:rsid w:val="009158E7"/>
    <w:rsid w:val="00915A3C"/>
    <w:rsid w:val="00915BA2"/>
    <w:rsid w:val="00915F35"/>
    <w:rsid w:val="009162B9"/>
    <w:rsid w:val="009163A3"/>
    <w:rsid w:val="009167AC"/>
    <w:rsid w:val="00916CCF"/>
    <w:rsid w:val="00916F1A"/>
    <w:rsid w:val="0091706D"/>
    <w:rsid w:val="00917609"/>
    <w:rsid w:val="009176A2"/>
    <w:rsid w:val="00917706"/>
    <w:rsid w:val="0091779F"/>
    <w:rsid w:val="0091784F"/>
    <w:rsid w:val="009179CA"/>
    <w:rsid w:val="00917A3B"/>
    <w:rsid w:val="00917A77"/>
    <w:rsid w:val="00917AF4"/>
    <w:rsid w:val="00917C94"/>
    <w:rsid w:val="00917EC2"/>
    <w:rsid w:val="00920491"/>
    <w:rsid w:val="0092052F"/>
    <w:rsid w:val="00920592"/>
    <w:rsid w:val="00920677"/>
    <w:rsid w:val="0092073B"/>
    <w:rsid w:val="00920A48"/>
    <w:rsid w:val="00920B06"/>
    <w:rsid w:val="00920E77"/>
    <w:rsid w:val="009210DD"/>
    <w:rsid w:val="009211D7"/>
    <w:rsid w:val="00921B85"/>
    <w:rsid w:val="00921C31"/>
    <w:rsid w:val="00921F22"/>
    <w:rsid w:val="00922022"/>
    <w:rsid w:val="00922295"/>
    <w:rsid w:val="00922461"/>
    <w:rsid w:val="0092284A"/>
    <w:rsid w:val="0092286A"/>
    <w:rsid w:val="009229D2"/>
    <w:rsid w:val="00922ADB"/>
    <w:rsid w:val="009230D1"/>
    <w:rsid w:val="0092328D"/>
    <w:rsid w:val="009232F0"/>
    <w:rsid w:val="0092330D"/>
    <w:rsid w:val="00923492"/>
    <w:rsid w:val="009238EB"/>
    <w:rsid w:val="00923ACD"/>
    <w:rsid w:val="0092448B"/>
    <w:rsid w:val="00924633"/>
    <w:rsid w:val="009246F3"/>
    <w:rsid w:val="0092473E"/>
    <w:rsid w:val="00924857"/>
    <w:rsid w:val="00924B35"/>
    <w:rsid w:val="00924C75"/>
    <w:rsid w:val="00924CC8"/>
    <w:rsid w:val="00924D66"/>
    <w:rsid w:val="00924E40"/>
    <w:rsid w:val="00924EC5"/>
    <w:rsid w:val="0092503B"/>
    <w:rsid w:val="00925201"/>
    <w:rsid w:val="00925216"/>
    <w:rsid w:val="00925255"/>
    <w:rsid w:val="009253ED"/>
    <w:rsid w:val="00925446"/>
    <w:rsid w:val="00925503"/>
    <w:rsid w:val="00925891"/>
    <w:rsid w:val="00925A5B"/>
    <w:rsid w:val="00925AB6"/>
    <w:rsid w:val="00925BCA"/>
    <w:rsid w:val="00925D6F"/>
    <w:rsid w:val="00925E2F"/>
    <w:rsid w:val="00926022"/>
    <w:rsid w:val="0092617B"/>
    <w:rsid w:val="009261D1"/>
    <w:rsid w:val="00926433"/>
    <w:rsid w:val="009265A4"/>
    <w:rsid w:val="00926693"/>
    <w:rsid w:val="0092675F"/>
    <w:rsid w:val="00926782"/>
    <w:rsid w:val="009267EC"/>
    <w:rsid w:val="009268FA"/>
    <w:rsid w:val="00926B27"/>
    <w:rsid w:val="00926B94"/>
    <w:rsid w:val="00926BAA"/>
    <w:rsid w:val="00926D11"/>
    <w:rsid w:val="00926EE3"/>
    <w:rsid w:val="00927039"/>
    <w:rsid w:val="009273C8"/>
    <w:rsid w:val="009275DD"/>
    <w:rsid w:val="009276A8"/>
    <w:rsid w:val="00927AD4"/>
    <w:rsid w:val="00927C2D"/>
    <w:rsid w:val="00927D57"/>
    <w:rsid w:val="00930119"/>
    <w:rsid w:val="00930223"/>
    <w:rsid w:val="00930417"/>
    <w:rsid w:val="0093044A"/>
    <w:rsid w:val="009304CD"/>
    <w:rsid w:val="00930F46"/>
    <w:rsid w:val="0093105D"/>
    <w:rsid w:val="009310EE"/>
    <w:rsid w:val="00931470"/>
    <w:rsid w:val="009315DD"/>
    <w:rsid w:val="0093162A"/>
    <w:rsid w:val="00931730"/>
    <w:rsid w:val="00931804"/>
    <w:rsid w:val="00931A4D"/>
    <w:rsid w:val="00931C37"/>
    <w:rsid w:val="00931C85"/>
    <w:rsid w:val="00932020"/>
    <w:rsid w:val="009322A7"/>
    <w:rsid w:val="0093244D"/>
    <w:rsid w:val="00932607"/>
    <w:rsid w:val="00932646"/>
    <w:rsid w:val="0093271D"/>
    <w:rsid w:val="00932765"/>
    <w:rsid w:val="0093280A"/>
    <w:rsid w:val="00932828"/>
    <w:rsid w:val="00932859"/>
    <w:rsid w:val="009329BF"/>
    <w:rsid w:val="009329E3"/>
    <w:rsid w:val="00932DC5"/>
    <w:rsid w:val="00932DD7"/>
    <w:rsid w:val="00932DF7"/>
    <w:rsid w:val="00932F27"/>
    <w:rsid w:val="00933027"/>
    <w:rsid w:val="00933038"/>
    <w:rsid w:val="009331C7"/>
    <w:rsid w:val="00933204"/>
    <w:rsid w:val="00933320"/>
    <w:rsid w:val="00933380"/>
    <w:rsid w:val="0093352B"/>
    <w:rsid w:val="00933951"/>
    <w:rsid w:val="009339B4"/>
    <w:rsid w:val="00933ACA"/>
    <w:rsid w:val="00933BE0"/>
    <w:rsid w:val="00933EDD"/>
    <w:rsid w:val="009341E2"/>
    <w:rsid w:val="00934258"/>
    <w:rsid w:val="0093432E"/>
    <w:rsid w:val="009343AD"/>
    <w:rsid w:val="009344E8"/>
    <w:rsid w:val="009347D1"/>
    <w:rsid w:val="00934923"/>
    <w:rsid w:val="00934AEA"/>
    <w:rsid w:val="00934CCB"/>
    <w:rsid w:val="0093509B"/>
    <w:rsid w:val="009350C7"/>
    <w:rsid w:val="00935123"/>
    <w:rsid w:val="00935181"/>
    <w:rsid w:val="009351A6"/>
    <w:rsid w:val="00935434"/>
    <w:rsid w:val="0093562E"/>
    <w:rsid w:val="0093593F"/>
    <w:rsid w:val="00935D22"/>
    <w:rsid w:val="00936062"/>
    <w:rsid w:val="00936175"/>
    <w:rsid w:val="0093619B"/>
    <w:rsid w:val="00936330"/>
    <w:rsid w:val="009363F6"/>
    <w:rsid w:val="009365AD"/>
    <w:rsid w:val="00936656"/>
    <w:rsid w:val="00936990"/>
    <w:rsid w:val="00936CF3"/>
    <w:rsid w:val="00936EE7"/>
    <w:rsid w:val="00936F4A"/>
    <w:rsid w:val="00936F94"/>
    <w:rsid w:val="009371DB"/>
    <w:rsid w:val="00937271"/>
    <w:rsid w:val="009375CF"/>
    <w:rsid w:val="009376A8"/>
    <w:rsid w:val="009377DD"/>
    <w:rsid w:val="00940013"/>
    <w:rsid w:val="00940368"/>
    <w:rsid w:val="0094057E"/>
    <w:rsid w:val="00940678"/>
    <w:rsid w:val="0094077D"/>
    <w:rsid w:val="00940CA8"/>
    <w:rsid w:val="00940CCF"/>
    <w:rsid w:val="009410D5"/>
    <w:rsid w:val="0094124F"/>
    <w:rsid w:val="00941341"/>
    <w:rsid w:val="009413A7"/>
    <w:rsid w:val="009414A3"/>
    <w:rsid w:val="009416D1"/>
    <w:rsid w:val="00941761"/>
    <w:rsid w:val="009417D1"/>
    <w:rsid w:val="00941817"/>
    <w:rsid w:val="00941D34"/>
    <w:rsid w:val="00941EFB"/>
    <w:rsid w:val="00941FCA"/>
    <w:rsid w:val="00942023"/>
    <w:rsid w:val="009420F6"/>
    <w:rsid w:val="00942392"/>
    <w:rsid w:val="009423DA"/>
    <w:rsid w:val="00942450"/>
    <w:rsid w:val="0094272C"/>
    <w:rsid w:val="00942BE2"/>
    <w:rsid w:val="00942CEA"/>
    <w:rsid w:val="00942F56"/>
    <w:rsid w:val="009430B1"/>
    <w:rsid w:val="00943468"/>
    <w:rsid w:val="00943560"/>
    <w:rsid w:val="0094361F"/>
    <w:rsid w:val="00943874"/>
    <w:rsid w:val="00943996"/>
    <w:rsid w:val="00943BC3"/>
    <w:rsid w:val="00943E75"/>
    <w:rsid w:val="00943F68"/>
    <w:rsid w:val="00943F86"/>
    <w:rsid w:val="009441E5"/>
    <w:rsid w:val="009441FE"/>
    <w:rsid w:val="0094423A"/>
    <w:rsid w:val="0094443F"/>
    <w:rsid w:val="0094477D"/>
    <w:rsid w:val="00944B3C"/>
    <w:rsid w:val="00944B46"/>
    <w:rsid w:val="00944D64"/>
    <w:rsid w:val="00944DB5"/>
    <w:rsid w:val="00944E5C"/>
    <w:rsid w:val="00944FE0"/>
    <w:rsid w:val="00945014"/>
    <w:rsid w:val="0094537A"/>
    <w:rsid w:val="009453D5"/>
    <w:rsid w:val="00945919"/>
    <w:rsid w:val="00945C72"/>
    <w:rsid w:val="00945D12"/>
    <w:rsid w:val="00945F60"/>
    <w:rsid w:val="009461F2"/>
    <w:rsid w:val="00946442"/>
    <w:rsid w:val="009465E5"/>
    <w:rsid w:val="00946666"/>
    <w:rsid w:val="0094669A"/>
    <w:rsid w:val="00946765"/>
    <w:rsid w:val="00946771"/>
    <w:rsid w:val="0094695B"/>
    <w:rsid w:val="00946B0F"/>
    <w:rsid w:val="00946C34"/>
    <w:rsid w:val="00946E38"/>
    <w:rsid w:val="00946EAB"/>
    <w:rsid w:val="00946FAF"/>
    <w:rsid w:val="009471E8"/>
    <w:rsid w:val="00947329"/>
    <w:rsid w:val="009473B4"/>
    <w:rsid w:val="009477AF"/>
    <w:rsid w:val="009478D2"/>
    <w:rsid w:val="00947C26"/>
    <w:rsid w:val="00947C84"/>
    <w:rsid w:val="00947D9D"/>
    <w:rsid w:val="00947F67"/>
    <w:rsid w:val="00947FC5"/>
    <w:rsid w:val="009502D4"/>
    <w:rsid w:val="009503A8"/>
    <w:rsid w:val="009506CE"/>
    <w:rsid w:val="009508C4"/>
    <w:rsid w:val="009508F7"/>
    <w:rsid w:val="00950A0B"/>
    <w:rsid w:val="00950A37"/>
    <w:rsid w:val="00950B30"/>
    <w:rsid w:val="00950B32"/>
    <w:rsid w:val="00950B48"/>
    <w:rsid w:val="00950B51"/>
    <w:rsid w:val="00950BA2"/>
    <w:rsid w:val="00950F80"/>
    <w:rsid w:val="0095100E"/>
    <w:rsid w:val="0095133E"/>
    <w:rsid w:val="00951449"/>
    <w:rsid w:val="0095166D"/>
    <w:rsid w:val="00951823"/>
    <w:rsid w:val="0095182D"/>
    <w:rsid w:val="00951847"/>
    <w:rsid w:val="00951D67"/>
    <w:rsid w:val="00951D78"/>
    <w:rsid w:val="00951EF2"/>
    <w:rsid w:val="00951F77"/>
    <w:rsid w:val="009525DA"/>
    <w:rsid w:val="00952809"/>
    <w:rsid w:val="00952B90"/>
    <w:rsid w:val="00952D6D"/>
    <w:rsid w:val="00953085"/>
    <w:rsid w:val="0095331B"/>
    <w:rsid w:val="00953425"/>
    <w:rsid w:val="00953571"/>
    <w:rsid w:val="009535AD"/>
    <w:rsid w:val="00953624"/>
    <w:rsid w:val="009537F7"/>
    <w:rsid w:val="00953847"/>
    <w:rsid w:val="0095385F"/>
    <w:rsid w:val="00953895"/>
    <w:rsid w:val="00953B56"/>
    <w:rsid w:val="009541F3"/>
    <w:rsid w:val="00954260"/>
    <w:rsid w:val="0095437C"/>
    <w:rsid w:val="00954422"/>
    <w:rsid w:val="009544E8"/>
    <w:rsid w:val="00954529"/>
    <w:rsid w:val="009545D4"/>
    <w:rsid w:val="009545F7"/>
    <w:rsid w:val="0095460B"/>
    <w:rsid w:val="0095485B"/>
    <w:rsid w:val="00954882"/>
    <w:rsid w:val="009549D3"/>
    <w:rsid w:val="00954DFD"/>
    <w:rsid w:val="00954E71"/>
    <w:rsid w:val="00954F48"/>
    <w:rsid w:val="00954FE1"/>
    <w:rsid w:val="009550C7"/>
    <w:rsid w:val="00955289"/>
    <w:rsid w:val="009552B3"/>
    <w:rsid w:val="0095531E"/>
    <w:rsid w:val="0095550B"/>
    <w:rsid w:val="0095563A"/>
    <w:rsid w:val="009558DB"/>
    <w:rsid w:val="00955925"/>
    <w:rsid w:val="00955CC9"/>
    <w:rsid w:val="00955D11"/>
    <w:rsid w:val="00955E0D"/>
    <w:rsid w:val="00955EF9"/>
    <w:rsid w:val="00955FA7"/>
    <w:rsid w:val="00955FF4"/>
    <w:rsid w:val="00955FFA"/>
    <w:rsid w:val="00955FFE"/>
    <w:rsid w:val="009560E9"/>
    <w:rsid w:val="00956249"/>
    <w:rsid w:val="009562C4"/>
    <w:rsid w:val="00956617"/>
    <w:rsid w:val="00956A3E"/>
    <w:rsid w:val="00956B00"/>
    <w:rsid w:val="00956C6D"/>
    <w:rsid w:val="00956D62"/>
    <w:rsid w:val="00956DB4"/>
    <w:rsid w:val="00956E95"/>
    <w:rsid w:val="00957141"/>
    <w:rsid w:val="009571DE"/>
    <w:rsid w:val="00957278"/>
    <w:rsid w:val="00957359"/>
    <w:rsid w:val="00957517"/>
    <w:rsid w:val="00957734"/>
    <w:rsid w:val="00957740"/>
    <w:rsid w:val="009577C5"/>
    <w:rsid w:val="00957C13"/>
    <w:rsid w:val="00957E01"/>
    <w:rsid w:val="009600FF"/>
    <w:rsid w:val="00960290"/>
    <w:rsid w:val="009602B8"/>
    <w:rsid w:val="00960490"/>
    <w:rsid w:val="0096049E"/>
    <w:rsid w:val="00960541"/>
    <w:rsid w:val="0096055B"/>
    <w:rsid w:val="00960849"/>
    <w:rsid w:val="00960A7F"/>
    <w:rsid w:val="00960EEF"/>
    <w:rsid w:val="00960F2E"/>
    <w:rsid w:val="009611C8"/>
    <w:rsid w:val="00961310"/>
    <w:rsid w:val="009613B8"/>
    <w:rsid w:val="00961579"/>
    <w:rsid w:val="009617DA"/>
    <w:rsid w:val="00961886"/>
    <w:rsid w:val="00961887"/>
    <w:rsid w:val="009618A9"/>
    <w:rsid w:val="00961924"/>
    <w:rsid w:val="00961A3C"/>
    <w:rsid w:val="00961A7A"/>
    <w:rsid w:val="00961E17"/>
    <w:rsid w:val="00961E36"/>
    <w:rsid w:val="00961FD0"/>
    <w:rsid w:val="00961FE9"/>
    <w:rsid w:val="0096225A"/>
    <w:rsid w:val="009623C3"/>
    <w:rsid w:val="00962591"/>
    <w:rsid w:val="00962744"/>
    <w:rsid w:val="009628FE"/>
    <w:rsid w:val="00962934"/>
    <w:rsid w:val="00962C42"/>
    <w:rsid w:val="00962CC4"/>
    <w:rsid w:val="00962CDC"/>
    <w:rsid w:val="00962D93"/>
    <w:rsid w:val="00962DF4"/>
    <w:rsid w:val="00962E58"/>
    <w:rsid w:val="00962FD0"/>
    <w:rsid w:val="009630BF"/>
    <w:rsid w:val="009630DB"/>
    <w:rsid w:val="009637BC"/>
    <w:rsid w:val="009639A6"/>
    <w:rsid w:val="00963A39"/>
    <w:rsid w:val="00963B37"/>
    <w:rsid w:val="00963B53"/>
    <w:rsid w:val="00963BE0"/>
    <w:rsid w:val="00963C9D"/>
    <w:rsid w:val="0096411D"/>
    <w:rsid w:val="009641BC"/>
    <w:rsid w:val="00964293"/>
    <w:rsid w:val="0096471D"/>
    <w:rsid w:val="009647B3"/>
    <w:rsid w:val="009647D8"/>
    <w:rsid w:val="00964995"/>
    <w:rsid w:val="00964CAD"/>
    <w:rsid w:val="00964CFB"/>
    <w:rsid w:val="00964D88"/>
    <w:rsid w:val="00964FD5"/>
    <w:rsid w:val="009650C8"/>
    <w:rsid w:val="00965105"/>
    <w:rsid w:val="009651BA"/>
    <w:rsid w:val="009652CD"/>
    <w:rsid w:val="00965448"/>
    <w:rsid w:val="0096548E"/>
    <w:rsid w:val="00965491"/>
    <w:rsid w:val="00965508"/>
    <w:rsid w:val="00965602"/>
    <w:rsid w:val="00965619"/>
    <w:rsid w:val="009656A2"/>
    <w:rsid w:val="009656C0"/>
    <w:rsid w:val="00965786"/>
    <w:rsid w:val="009657A6"/>
    <w:rsid w:val="0096588E"/>
    <w:rsid w:val="009658D4"/>
    <w:rsid w:val="00965AFD"/>
    <w:rsid w:val="00965B76"/>
    <w:rsid w:val="00965BB4"/>
    <w:rsid w:val="00965CCF"/>
    <w:rsid w:val="00965DC3"/>
    <w:rsid w:val="00965DD5"/>
    <w:rsid w:val="00965EB1"/>
    <w:rsid w:val="00966285"/>
    <w:rsid w:val="009663F0"/>
    <w:rsid w:val="00966702"/>
    <w:rsid w:val="009669D9"/>
    <w:rsid w:val="00966BEE"/>
    <w:rsid w:val="00966E2C"/>
    <w:rsid w:val="009670B9"/>
    <w:rsid w:val="0096711C"/>
    <w:rsid w:val="00967199"/>
    <w:rsid w:val="009671BD"/>
    <w:rsid w:val="009671CB"/>
    <w:rsid w:val="00967A17"/>
    <w:rsid w:val="00967D7E"/>
    <w:rsid w:val="00967EDE"/>
    <w:rsid w:val="00967F0B"/>
    <w:rsid w:val="00967F5C"/>
    <w:rsid w:val="0097047F"/>
    <w:rsid w:val="00970497"/>
    <w:rsid w:val="009704F5"/>
    <w:rsid w:val="0097069C"/>
    <w:rsid w:val="009707FD"/>
    <w:rsid w:val="00970896"/>
    <w:rsid w:val="00970AD0"/>
    <w:rsid w:val="00970ADC"/>
    <w:rsid w:val="00970BD6"/>
    <w:rsid w:val="00970E4D"/>
    <w:rsid w:val="00970EA3"/>
    <w:rsid w:val="00971059"/>
    <w:rsid w:val="009711E1"/>
    <w:rsid w:val="009712FD"/>
    <w:rsid w:val="009715FB"/>
    <w:rsid w:val="00971722"/>
    <w:rsid w:val="009718CD"/>
    <w:rsid w:val="00971AC4"/>
    <w:rsid w:val="00971BC0"/>
    <w:rsid w:val="00971DB0"/>
    <w:rsid w:val="00971E1E"/>
    <w:rsid w:val="0097206A"/>
    <w:rsid w:val="0097265D"/>
    <w:rsid w:val="009727B2"/>
    <w:rsid w:val="00972815"/>
    <w:rsid w:val="009728E6"/>
    <w:rsid w:val="0097294C"/>
    <w:rsid w:val="0097296A"/>
    <w:rsid w:val="009729F9"/>
    <w:rsid w:val="00972AA9"/>
    <w:rsid w:val="00972C4C"/>
    <w:rsid w:val="00972D7C"/>
    <w:rsid w:val="00972F3A"/>
    <w:rsid w:val="00973281"/>
    <w:rsid w:val="0097332E"/>
    <w:rsid w:val="0097338C"/>
    <w:rsid w:val="0097373A"/>
    <w:rsid w:val="009738CF"/>
    <w:rsid w:val="009739BA"/>
    <w:rsid w:val="00973A2D"/>
    <w:rsid w:val="00973C67"/>
    <w:rsid w:val="00974753"/>
    <w:rsid w:val="00974D31"/>
    <w:rsid w:val="00974DF1"/>
    <w:rsid w:val="00974E74"/>
    <w:rsid w:val="00974EF9"/>
    <w:rsid w:val="00974FDC"/>
    <w:rsid w:val="009754F2"/>
    <w:rsid w:val="0097551D"/>
    <w:rsid w:val="00975642"/>
    <w:rsid w:val="00975732"/>
    <w:rsid w:val="0097578B"/>
    <w:rsid w:val="0097582F"/>
    <w:rsid w:val="00975964"/>
    <w:rsid w:val="00975C02"/>
    <w:rsid w:val="00975C90"/>
    <w:rsid w:val="00975EB2"/>
    <w:rsid w:val="00975F76"/>
    <w:rsid w:val="00976078"/>
    <w:rsid w:val="00976164"/>
    <w:rsid w:val="00976352"/>
    <w:rsid w:val="00976630"/>
    <w:rsid w:val="00976648"/>
    <w:rsid w:val="00976957"/>
    <w:rsid w:val="00976A60"/>
    <w:rsid w:val="00976B0F"/>
    <w:rsid w:val="00976F35"/>
    <w:rsid w:val="00976F80"/>
    <w:rsid w:val="0097704D"/>
    <w:rsid w:val="00977055"/>
    <w:rsid w:val="00977183"/>
    <w:rsid w:val="00977219"/>
    <w:rsid w:val="00977304"/>
    <w:rsid w:val="009773C8"/>
    <w:rsid w:val="009773F5"/>
    <w:rsid w:val="009774AB"/>
    <w:rsid w:val="009774CD"/>
    <w:rsid w:val="00977B5F"/>
    <w:rsid w:val="00977D91"/>
    <w:rsid w:val="00977E96"/>
    <w:rsid w:val="00980073"/>
    <w:rsid w:val="009800EA"/>
    <w:rsid w:val="0098028C"/>
    <w:rsid w:val="00980294"/>
    <w:rsid w:val="0098047A"/>
    <w:rsid w:val="009806CF"/>
    <w:rsid w:val="00980AA9"/>
    <w:rsid w:val="00980C46"/>
    <w:rsid w:val="00980F8E"/>
    <w:rsid w:val="00981031"/>
    <w:rsid w:val="00981153"/>
    <w:rsid w:val="00981328"/>
    <w:rsid w:val="00981368"/>
    <w:rsid w:val="0098156E"/>
    <w:rsid w:val="00981674"/>
    <w:rsid w:val="0098169D"/>
    <w:rsid w:val="009817CB"/>
    <w:rsid w:val="0098181F"/>
    <w:rsid w:val="00981851"/>
    <w:rsid w:val="00981AE2"/>
    <w:rsid w:val="00981D82"/>
    <w:rsid w:val="00981F18"/>
    <w:rsid w:val="0098238B"/>
    <w:rsid w:val="009823F5"/>
    <w:rsid w:val="0098265C"/>
    <w:rsid w:val="009826DD"/>
    <w:rsid w:val="00982751"/>
    <w:rsid w:val="00982875"/>
    <w:rsid w:val="009828BB"/>
    <w:rsid w:val="009829D3"/>
    <w:rsid w:val="00982C2B"/>
    <w:rsid w:val="00982D52"/>
    <w:rsid w:val="00982D5A"/>
    <w:rsid w:val="00982DA0"/>
    <w:rsid w:val="00982E16"/>
    <w:rsid w:val="00982E31"/>
    <w:rsid w:val="0098368F"/>
    <w:rsid w:val="009837C8"/>
    <w:rsid w:val="00983A1E"/>
    <w:rsid w:val="00983AA6"/>
    <w:rsid w:val="00983F58"/>
    <w:rsid w:val="00983F93"/>
    <w:rsid w:val="00984080"/>
    <w:rsid w:val="0098409E"/>
    <w:rsid w:val="0098417C"/>
    <w:rsid w:val="00984259"/>
    <w:rsid w:val="00984294"/>
    <w:rsid w:val="00984529"/>
    <w:rsid w:val="00984681"/>
    <w:rsid w:val="009847E7"/>
    <w:rsid w:val="00984956"/>
    <w:rsid w:val="00984D85"/>
    <w:rsid w:val="00984FA7"/>
    <w:rsid w:val="00985233"/>
    <w:rsid w:val="009852EB"/>
    <w:rsid w:val="00985400"/>
    <w:rsid w:val="0098547C"/>
    <w:rsid w:val="009854E7"/>
    <w:rsid w:val="00985601"/>
    <w:rsid w:val="00985817"/>
    <w:rsid w:val="00985BB9"/>
    <w:rsid w:val="00985C62"/>
    <w:rsid w:val="00985DD8"/>
    <w:rsid w:val="00985E07"/>
    <w:rsid w:val="00985E49"/>
    <w:rsid w:val="00985F47"/>
    <w:rsid w:val="00985FD2"/>
    <w:rsid w:val="00986392"/>
    <w:rsid w:val="00986A6B"/>
    <w:rsid w:val="00986B8A"/>
    <w:rsid w:val="00986BDE"/>
    <w:rsid w:val="00986C68"/>
    <w:rsid w:val="00986D5C"/>
    <w:rsid w:val="00986F09"/>
    <w:rsid w:val="00986F9E"/>
    <w:rsid w:val="00987099"/>
    <w:rsid w:val="00987181"/>
    <w:rsid w:val="00987263"/>
    <w:rsid w:val="00987428"/>
    <w:rsid w:val="0098755F"/>
    <w:rsid w:val="009875ED"/>
    <w:rsid w:val="009876C6"/>
    <w:rsid w:val="00987731"/>
    <w:rsid w:val="00987965"/>
    <w:rsid w:val="009879B6"/>
    <w:rsid w:val="00987B68"/>
    <w:rsid w:val="00987C2F"/>
    <w:rsid w:val="00990096"/>
    <w:rsid w:val="009901D0"/>
    <w:rsid w:val="009902DA"/>
    <w:rsid w:val="00990477"/>
    <w:rsid w:val="00990530"/>
    <w:rsid w:val="00990582"/>
    <w:rsid w:val="00990987"/>
    <w:rsid w:val="00990FAF"/>
    <w:rsid w:val="00990FD3"/>
    <w:rsid w:val="00991239"/>
    <w:rsid w:val="00991257"/>
    <w:rsid w:val="0099136C"/>
    <w:rsid w:val="0099187A"/>
    <w:rsid w:val="0099197A"/>
    <w:rsid w:val="00991B99"/>
    <w:rsid w:val="00991C44"/>
    <w:rsid w:val="00991DCB"/>
    <w:rsid w:val="00991F72"/>
    <w:rsid w:val="009925D9"/>
    <w:rsid w:val="00992918"/>
    <w:rsid w:val="009929AD"/>
    <w:rsid w:val="00992DE7"/>
    <w:rsid w:val="00992E93"/>
    <w:rsid w:val="00992F33"/>
    <w:rsid w:val="0099309B"/>
    <w:rsid w:val="009930C2"/>
    <w:rsid w:val="009932AD"/>
    <w:rsid w:val="009932CB"/>
    <w:rsid w:val="009933E2"/>
    <w:rsid w:val="00993749"/>
    <w:rsid w:val="0099378B"/>
    <w:rsid w:val="00993874"/>
    <w:rsid w:val="009938D1"/>
    <w:rsid w:val="009938DD"/>
    <w:rsid w:val="00993B73"/>
    <w:rsid w:val="00993D1C"/>
    <w:rsid w:val="00993E94"/>
    <w:rsid w:val="00993F5A"/>
    <w:rsid w:val="00993FEB"/>
    <w:rsid w:val="00994439"/>
    <w:rsid w:val="009945EA"/>
    <w:rsid w:val="00994701"/>
    <w:rsid w:val="00994761"/>
    <w:rsid w:val="00994974"/>
    <w:rsid w:val="00994A83"/>
    <w:rsid w:val="00994B09"/>
    <w:rsid w:val="00994D38"/>
    <w:rsid w:val="00994E18"/>
    <w:rsid w:val="00994EFE"/>
    <w:rsid w:val="00995105"/>
    <w:rsid w:val="009951D5"/>
    <w:rsid w:val="009952F7"/>
    <w:rsid w:val="009955BD"/>
    <w:rsid w:val="00995808"/>
    <w:rsid w:val="00995864"/>
    <w:rsid w:val="00995990"/>
    <w:rsid w:val="00995AA0"/>
    <w:rsid w:val="00995FB1"/>
    <w:rsid w:val="0099608C"/>
    <w:rsid w:val="009960B1"/>
    <w:rsid w:val="00996223"/>
    <w:rsid w:val="009962BD"/>
    <w:rsid w:val="00996317"/>
    <w:rsid w:val="00996358"/>
    <w:rsid w:val="00996376"/>
    <w:rsid w:val="0099678C"/>
    <w:rsid w:val="009967B5"/>
    <w:rsid w:val="00996807"/>
    <w:rsid w:val="00996A98"/>
    <w:rsid w:val="00996AA3"/>
    <w:rsid w:val="00996DB0"/>
    <w:rsid w:val="00996E2F"/>
    <w:rsid w:val="00996E7E"/>
    <w:rsid w:val="00997021"/>
    <w:rsid w:val="009970E5"/>
    <w:rsid w:val="009971A3"/>
    <w:rsid w:val="00997497"/>
    <w:rsid w:val="00997513"/>
    <w:rsid w:val="00997706"/>
    <w:rsid w:val="00997969"/>
    <w:rsid w:val="009979DB"/>
    <w:rsid w:val="00997B9E"/>
    <w:rsid w:val="00997F27"/>
    <w:rsid w:val="009A0202"/>
    <w:rsid w:val="009A02F0"/>
    <w:rsid w:val="009A036C"/>
    <w:rsid w:val="009A0430"/>
    <w:rsid w:val="009A04C3"/>
    <w:rsid w:val="009A04F6"/>
    <w:rsid w:val="009A0BF3"/>
    <w:rsid w:val="009A0C0B"/>
    <w:rsid w:val="009A0FE3"/>
    <w:rsid w:val="009A12A3"/>
    <w:rsid w:val="009A12FC"/>
    <w:rsid w:val="009A1345"/>
    <w:rsid w:val="009A139D"/>
    <w:rsid w:val="009A153F"/>
    <w:rsid w:val="009A1793"/>
    <w:rsid w:val="009A1795"/>
    <w:rsid w:val="009A20F1"/>
    <w:rsid w:val="009A219A"/>
    <w:rsid w:val="009A24F8"/>
    <w:rsid w:val="009A2561"/>
    <w:rsid w:val="009A257E"/>
    <w:rsid w:val="009A2741"/>
    <w:rsid w:val="009A2A3C"/>
    <w:rsid w:val="009A2B24"/>
    <w:rsid w:val="009A2B4F"/>
    <w:rsid w:val="009A2C1D"/>
    <w:rsid w:val="009A2E0B"/>
    <w:rsid w:val="009A2E41"/>
    <w:rsid w:val="009A2E56"/>
    <w:rsid w:val="009A2FD6"/>
    <w:rsid w:val="009A3551"/>
    <w:rsid w:val="009A35FE"/>
    <w:rsid w:val="009A3603"/>
    <w:rsid w:val="009A37E5"/>
    <w:rsid w:val="009A3939"/>
    <w:rsid w:val="009A397C"/>
    <w:rsid w:val="009A3A2A"/>
    <w:rsid w:val="009A3A44"/>
    <w:rsid w:val="009A3E9D"/>
    <w:rsid w:val="009A3F8A"/>
    <w:rsid w:val="009A3FF6"/>
    <w:rsid w:val="009A420B"/>
    <w:rsid w:val="009A45F4"/>
    <w:rsid w:val="009A46BB"/>
    <w:rsid w:val="009A470F"/>
    <w:rsid w:val="009A4778"/>
    <w:rsid w:val="009A47B6"/>
    <w:rsid w:val="009A4A88"/>
    <w:rsid w:val="009A4CC5"/>
    <w:rsid w:val="009A4DB4"/>
    <w:rsid w:val="009A50AD"/>
    <w:rsid w:val="009A52F5"/>
    <w:rsid w:val="009A5350"/>
    <w:rsid w:val="009A5489"/>
    <w:rsid w:val="009A5556"/>
    <w:rsid w:val="009A56DA"/>
    <w:rsid w:val="009A58C3"/>
    <w:rsid w:val="009A5F49"/>
    <w:rsid w:val="009A6012"/>
    <w:rsid w:val="009A61AD"/>
    <w:rsid w:val="009A630A"/>
    <w:rsid w:val="009A6340"/>
    <w:rsid w:val="009A6410"/>
    <w:rsid w:val="009A6627"/>
    <w:rsid w:val="009A6809"/>
    <w:rsid w:val="009A6BFC"/>
    <w:rsid w:val="009A6CFB"/>
    <w:rsid w:val="009A6EB0"/>
    <w:rsid w:val="009A733E"/>
    <w:rsid w:val="009A7573"/>
    <w:rsid w:val="009A7748"/>
    <w:rsid w:val="009A7D01"/>
    <w:rsid w:val="009A7DA4"/>
    <w:rsid w:val="009A7F03"/>
    <w:rsid w:val="009A7F19"/>
    <w:rsid w:val="009A7F7C"/>
    <w:rsid w:val="009B000A"/>
    <w:rsid w:val="009B0022"/>
    <w:rsid w:val="009B002A"/>
    <w:rsid w:val="009B0039"/>
    <w:rsid w:val="009B01F4"/>
    <w:rsid w:val="009B032E"/>
    <w:rsid w:val="009B042A"/>
    <w:rsid w:val="009B0671"/>
    <w:rsid w:val="009B06C4"/>
    <w:rsid w:val="009B072D"/>
    <w:rsid w:val="009B0900"/>
    <w:rsid w:val="009B0A0F"/>
    <w:rsid w:val="009B0F75"/>
    <w:rsid w:val="009B0F9B"/>
    <w:rsid w:val="009B104B"/>
    <w:rsid w:val="009B11D0"/>
    <w:rsid w:val="009B141C"/>
    <w:rsid w:val="009B14D6"/>
    <w:rsid w:val="009B1537"/>
    <w:rsid w:val="009B1569"/>
    <w:rsid w:val="009B1583"/>
    <w:rsid w:val="009B15A0"/>
    <w:rsid w:val="009B18BD"/>
    <w:rsid w:val="009B1900"/>
    <w:rsid w:val="009B1C1A"/>
    <w:rsid w:val="009B20BA"/>
    <w:rsid w:val="009B272C"/>
    <w:rsid w:val="009B2907"/>
    <w:rsid w:val="009B29DA"/>
    <w:rsid w:val="009B2BCF"/>
    <w:rsid w:val="009B2D02"/>
    <w:rsid w:val="009B2F12"/>
    <w:rsid w:val="009B2FF2"/>
    <w:rsid w:val="009B304F"/>
    <w:rsid w:val="009B3270"/>
    <w:rsid w:val="009B338B"/>
    <w:rsid w:val="009B341A"/>
    <w:rsid w:val="009B35C7"/>
    <w:rsid w:val="009B3C65"/>
    <w:rsid w:val="009B3D09"/>
    <w:rsid w:val="009B3F6E"/>
    <w:rsid w:val="009B3F85"/>
    <w:rsid w:val="009B41C8"/>
    <w:rsid w:val="009B44A7"/>
    <w:rsid w:val="009B454C"/>
    <w:rsid w:val="009B49C1"/>
    <w:rsid w:val="009B4FDB"/>
    <w:rsid w:val="009B5203"/>
    <w:rsid w:val="009B53E6"/>
    <w:rsid w:val="009B53FA"/>
    <w:rsid w:val="009B5491"/>
    <w:rsid w:val="009B5495"/>
    <w:rsid w:val="009B5642"/>
    <w:rsid w:val="009B57F9"/>
    <w:rsid w:val="009B5AB6"/>
    <w:rsid w:val="009B5DEE"/>
    <w:rsid w:val="009B5E4A"/>
    <w:rsid w:val="009B5E75"/>
    <w:rsid w:val="009B5F4C"/>
    <w:rsid w:val="009B5FBC"/>
    <w:rsid w:val="009B6086"/>
    <w:rsid w:val="009B60A5"/>
    <w:rsid w:val="009B61FA"/>
    <w:rsid w:val="009B62CD"/>
    <w:rsid w:val="009B63E5"/>
    <w:rsid w:val="009B6582"/>
    <w:rsid w:val="009B65E2"/>
    <w:rsid w:val="009B6665"/>
    <w:rsid w:val="009B695A"/>
    <w:rsid w:val="009B6A3C"/>
    <w:rsid w:val="009B6A5E"/>
    <w:rsid w:val="009B6AA9"/>
    <w:rsid w:val="009B6AB6"/>
    <w:rsid w:val="009B6D13"/>
    <w:rsid w:val="009B6F32"/>
    <w:rsid w:val="009B6FA2"/>
    <w:rsid w:val="009B7078"/>
    <w:rsid w:val="009B74CE"/>
    <w:rsid w:val="009B7519"/>
    <w:rsid w:val="009B755F"/>
    <w:rsid w:val="009B75A2"/>
    <w:rsid w:val="009B75D4"/>
    <w:rsid w:val="009B76CC"/>
    <w:rsid w:val="009B7824"/>
    <w:rsid w:val="009B7B05"/>
    <w:rsid w:val="009B7C60"/>
    <w:rsid w:val="009C0349"/>
    <w:rsid w:val="009C035E"/>
    <w:rsid w:val="009C0479"/>
    <w:rsid w:val="009C06BA"/>
    <w:rsid w:val="009C06E6"/>
    <w:rsid w:val="009C09AC"/>
    <w:rsid w:val="009C0BBD"/>
    <w:rsid w:val="009C105E"/>
    <w:rsid w:val="009C116E"/>
    <w:rsid w:val="009C14FD"/>
    <w:rsid w:val="009C1545"/>
    <w:rsid w:val="009C155A"/>
    <w:rsid w:val="009C15E7"/>
    <w:rsid w:val="009C180E"/>
    <w:rsid w:val="009C1837"/>
    <w:rsid w:val="009C183E"/>
    <w:rsid w:val="009C191F"/>
    <w:rsid w:val="009C19FF"/>
    <w:rsid w:val="009C1B94"/>
    <w:rsid w:val="009C1D37"/>
    <w:rsid w:val="009C218C"/>
    <w:rsid w:val="009C22D1"/>
    <w:rsid w:val="009C22FE"/>
    <w:rsid w:val="009C248D"/>
    <w:rsid w:val="009C2523"/>
    <w:rsid w:val="009C2661"/>
    <w:rsid w:val="009C2670"/>
    <w:rsid w:val="009C26CC"/>
    <w:rsid w:val="009C2804"/>
    <w:rsid w:val="009C2AEA"/>
    <w:rsid w:val="009C2C6E"/>
    <w:rsid w:val="009C2FA3"/>
    <w:rsid w:val="009C3435"/>
    <w:rsid w:val="009C350C"/>
    <w:rsid w:val="009C373E"/>
    <w:rsid w:val="009C37D9"/>
    <w:rsid w:val="009C39AA"/>
    <w:rsid w:val="009C3ABE"/>
    <w:rsid w:val="009C3B17"/>
    <w:rsid w:val="009C3B2E"/>
    <w:rsid w:val="009C3BB4"/>
    <w:rsid w:val="009C3C97"/>
    <w:rsid w:val="009C401E"/>
    <w:rsid w:val="009C40AE"/>
    <w:rsid w:val="009C443B"/>
    <w:rsid w:val="009C4900"/>
    <w:rsid w:val="009C4CBE"/>
    <w:rsid w:val="009C4D4A"/>
    <w:rsid w:val="009C4DB0"/>
    <w:rsid w:val="009C4FE1"/>
    <w:rsid w:val="009C5231"/>
    <w:rsid w:val="009C55BA"/>
    <w:rsid w:val="009C55CF"/>
    <w:rsid w:val="009C55EB"/>
    <w:rsid w:val="009C565E"/>
    <w:rsid w:val="009C572D"/>
    <w:rsid w:val="009C5750"/>
    <w:rsid w:val="009C57CA"/>
    <w:rsid w:val="009C57CF"/>
    <w:rsid w:val="009C57F9"/>
    <w:rsid w:val="009C5DCB"/>
    <w:rsid w:val="009C5F73"/>
    <w:rsid w:val="009C6108"/>
    <w:rsid w:val="009C636D"/>
    <w:rsid w:val="009C65AE"/>
    <w:rsid w:val="009C6731"/>
    <w:rsid w:val="009C69D2"/>
    <w:rsid w:val="009C6A3C"/>
    <w:rsid w:val="009C6A79"/>
    <w:rsid w:val="009C6B21"/>
    <w:rsid w:val="009C6DE5"/>
    <w:rsid w:val="009C6F22"/>
    <w:rsid w:val="009C71C5"/>
    <w:rsid w:val="009C729E"/>
    <w:rsid w:val="009C764F"/>
    <w:rsid w:val="009C7763"/>
    <w:rsid w:val="009C7832"/>
    <w:rsid w:val="009C7838"/>
    <w:rsid w:val="009C792F"/>
    <w:rsid w:val="009C7C45"/>
    <w:rsid w:val="009C7CAB"/>
    <w:rsid w:val="009C7CEF"/>
    <w:rsid w:val="009C7DDA"/>
    <w:rsid w:val="009C7E73"/>
    <w:rsid w:val="009C7E84"/>
    <w:rsid w:val="009C7E8C"/>
    <w:rsid w:val="009C7F51"/>
    <w:rsid w:val="009D0025"/>
    <w:rsid w:val="009D0094"/>
    <w:rsid w:val="009D01AE"/>
    <w:rsid w:val="009D02C9"/>
    <w:rsid w:val="009D045F"/>
    <w:rsid w:val="009D055C"/>
    <w:rsid w:val="009D062B"/>
    <w:rsid w:val="009D072F"/>
    <w:rsid w:val="009D07F4"/>
    <w:rsid w:val="009D08B0"/>
    <w:rsid w:val="009D09BE"/>
    <w:rsid w:val="009D0A2F"/>
    <w:rsid w:val="009D0B19"/>
    <w:rsid w:val="009D0B2E"/>
    <w:rsid w:val="009D0C0A"/>
    <w:rsid w:val="009D0C39"/>
    <w:rsid w:val="009D0CE4"/>
    <w:rsid w:val="009D0DA6"/>
    <w:rsid w:val="009D0F3C"/>
    <w:rsid w:val="009D0F9C"/>
    <w:rsid w:val="009D0FA7"/>
    <w:rsid w:val="009D1010"/>
    <w:rsid w:val="009D11A9"/>
    <w:rsid w:val="009D1317"/>
    <w:rsid w:val="009D14EB"/>
    <w:rsid w:val="009D170B"/>
    <w:rsid w:val="009D1975"/>
    <w:rsid w:val="009D19B2"/>
    <w:rsid w:val="009D1AAA"/>
    <w:rsid w:val="009D1AF0"/>
    <w:rsid w:val="009D1C5A"/>
    <w:rsid w:val="009D1E23"/>
    <w:rsid w:val="009D1F24"/>
    <w:rsid w:val="009D1F37"/>
    <w:rsid w:val="009D207F"/>
    <w:rsid w:val="009D234B"/>
    <w:rsid w:val="009D23E1"/>
    <w:rsid w:val="009D27D9"/>
    <w:rsid w:val="009D282E"/>
    <w:rsid w:val="009D291B"/>
    <w:rsid w:val="009D2A35"/>
    <w:rsid w:val="009D2C0A"/>
    <w:rsid w:val="009D2E61"/>
    <w:rsid w:val="009D2E8E"/>
    <w:rsid w:val="009D2EC7"/>
    <w:rsid w:val="009D2F2F"/>
    <w:rsid w:val="009D2F70"/>
    <w:rsid w:val="009D3047"/>
    <w:rsid w:val="009D30EF"/>
    <w:rsid w:val="009D311A"/>
    <w:rsid w:val="009D321B"/>
    <w:rsid w:val="009D349B"/>
    <w:rsid w:val="009D3565"/>
    <w:rsid w:val="009D3598"/>
    <w:rsid w:val="009D36D3"/>
    <w:rsid w:val="009D3762"/>
    <w:rsid w:val="009D377B"/>
    <w:rsid w:val="009D3A0F"/>
    <w:rsid w:val="009D3A87"/>
    <w:rsid w:val="009D3BDA"/>
    <w:rsid w:val="009D3E72"/>
    <w:rsid w:val="009D4149"/>
    <w:rsid w:val="009D4406"/>
    <w:rsid w:val="009D4472"/>
    <w:rsid w:val="009D4575"/>
    <w:rsid w:val="009D469D"/>
    <w:rsid w:val="009D4742"/>
    <w:rsid w:val="009D4779"/>
    <w:rsid w:val="009D4EB6"/>
    <w:rsid w:val="009D505D"/>
    <w:rsid w:val="009D50EA"/>
    <w:rsid w:val="009D5165"/>
    <w:rsid w:val="009D521C"/>
    <w:rsid w:val="009D53B8"/>
    <w:rsid w:val="009D5965"/>
    <w:rsid w:val="009D5DE5"/>
    <w:rsid w:val="009D5ED5"/>
    <w:rsid w:val="009D5F5D"/>
    <w:rsid w:val="009D618C"/>
    <w:rsid w:val="009D6238"/>
    <w:rsid w:val="009D63C0"/>
    <w:rsid w:val="009D696E"/>
    <w:rsid w:val="009D6C00"/>
    <w:rsid w:val="009D6D67"/>
    <w:rsid w:val="009D6D9D"/>
    <w:rsid w:val="009D6F17"/>
    <w:rsid w:val="009D6F5A"/>
    <w:rsid w:val="009D6FE2"/>
    <w:rsid w:val="009D70DA"/>
    <w:rsid w:val="009D742B"/>
    <w:rsid w:val="009D74AF"/>
    <w:rsid w:val="009D7727"/>
    <w:rsid w:val="009D7850"/>
    <w:rsid w:val="009D78AC"/>
    <w:rsid w:val="009D7904"/>
    <w:rsid w:val="009D7A68"/>
    <w:rsid w:val="009D7BF5"/>
    <w:rsid w:val="009D7C7E"/>
    <w:rsid w:val="009D7CD7"/>
    <w:rsid w:val="009D7CE6"/>
    <w:rsid w:val="009D7E1E"/>
    <w:rsid w:val="009D7EBB"/>
    <w:rsid w:val="009E013F"/>
    <w:rsid w:val="009E01B0"/>
    <w:rsid w:val="009E05DF"/>
    <w:rsid w:val="009E0987"/>
    <w:rsid w:val="009E0A25"/>
    <w:rsid w:val="009E0B4E"/>
    <w:rsid w:val="009E0B5D"/>
    <w:rsid w:val="009E0CA2"/>
    <w:rsid w:val="009E1019"/>
    <w:rsid w:val="009E1138"/>
    <w:rsid w:val="009E1284"/>
    <w:rsid w:val="009E12C8"/>
    <w:rsid w:val="009E137C"/>
    <w:rsid w:val="009E1381"/>
    <w:rsid w:val="009E145E"/>
    <w:rsid w:val="009E1681"/>
    <w:rsid w:val="009E169F"/>
    <w:rsid w:val="009E17C3"/>
    <w:rsid w:val="009E180D"/>
    <w:rsid w:val="009E19EB"/>
    <w:rsid w:val="009E1B4D"/>
    <w:rsid w:val="009E1FA9"/>
    <w:rsid w:val="009E2041"/>
    <w:rsid w:val="009E2220"/>
    <w:rsid w:val="009E2412"/>
    <w:rsid w:val="009E295C"/>
    <w:rsid w:val="009E2B2F"/>
    <w:rsid w:val="009E2B64"/>
    <w:rsid w:val="009E2BBB"/>
    <w:rsid w:val="009E2C24"/>
    <w:rsid w:val="009E2E53"/>
    <w:rsid w:val="009E2E58"/>
    <w:rsid w:val="009E2F86"/>
    <w:rsid w:val="009E302B"/>
    <w:rsid w:val="009E303E"/>
    <w:rsid w:val="009E311E"/>
    <w:rsid w:val="009E314B"/>
    <w:rsid w:val="009E31F1"/>
    <w:rsid w:val="009E33F9"/>
    <w:rsid w:val="009E3766"/>
    <w:rsid w:val="009E3859"/>
    <w:rsid w:val="009E3A37"/>
    <w:rsid w:val="009E3B66"/>
    <w:rsid w:val="009E3BA2"/>
    <w:rsid w:val="009E3BD3"/>
    <w:rsid w:val="009E3BE2"/>
    <w:rsid w:val="009E3EDC"/>
    <w:rsid w:val="009E3FCE"/>
    <w:rsid w:val="009E45FD"/>
    <w:rsid w:val="009E47D2"/>
    <w:rsid w:val="009E4965"/>
    <w:rsid w:val="009E496F"/>
    <w:rsid w:val="009E4A56"/>
    <w:rsid w:val="009E4C46"/>
    <w:rsid w:val="009E4D37"/>
    <w:rsid w:val="009E4EA2"/>
    <w:rsid w:val="009E50A6"/>
    <w:rsid w:val="009E5122"/>
    <w:rsid w:val="009E51BD"/>
    <w:rsid w:val="009E5395"/>
    <w:rsid w:val="009E55E7"/>
    <w:rsid w:val="009E5AB5"/>
    <w:rsid w:val="009E5BE2"/>
    <w:rsid w:val="009E5D2F"/>
    <w:rsid w:val="009E5D9A"/>
    <w:rsid w:val="009E5F33"/>
    <w:rsid w:val="009E60DF"/>
    <w:rsid w:val="009E62F8"/>
    <w:rsid w:val="009E647C"/>
    <w:rsid w:val="009E64C6"/>
    <w:rsid w:val="009E666B"/>
    <w:rsid w:val="009E66CA"/>
    <w:rsid w:val="009E6757"/>
    <w:rsid w:val="009E67F9"/>
    <w:rsid w:val="009E6809"/>
    <w:rsid w:val="009E6921"/>
    <w:rsid w:val="009E696A"/>
    <w:rsid w:val="009E6CB4"/>
    <w:rsid w:val="009E6E63"/>
    <w:rsid w:val="009E6F63"/>
    <w:rsid w:val="009E70B0"/>
    <w:rsid w:val="009E71DE"/>
    <w:rsid w:val="009E76E9"/>
    <w:rsid w:val="009E77C4"/>
    <w:rsid w:val="009E79F8"/>
    <w:rsid w:val="009E7C18"/>
    <w:rsid w:val="009E7ECD"/>
    <w:rsid w:val="009E7FC9"/>
    <w:rsid w:val="009F0414"/>
    <w:rsid w:val="009F04AB"/>
    <w:rsid w:val="009F04D7"/>
    <w:rsid w:val="009F06E7"/>
    <w:rsid w:val="009F0820"/>
    <w:rsid w:val="009F0BA8"/>
    <w:rsid w:val="009F0C0B"/>
    <w:rsid w:val="009F0F6A"/>
    <w:rsid w:val="009F1047"/>
    <w:rsid w:val="009F114D"/>
    <w:rsid w:val="009F1152"/>
    <w:rsid w:val="009F1448"/>
    <w:rsid w:val="009F14BC"/>
    <w:rsid w:val="009F1561"/>
    <w:rsid w:val="009F166A"/>
    <w:rsid w:val="009F17B2"/>
    <w:rsid w:val="009F1A42"/>
    <w:rsid w:val="009F1C7D"/>
    <w:rsid w:val="009F1DAC"/>
    <w:rsid w:val="009F20ED"/>
    <w:rsid w:val="009F28A2"/>
    <w:rsid w:val="009F28AB"/>
    <w:rsid w:val="009F2A09"/>
    <w:rsid w:val="009F2CC2"/>
    <w:rsid w:val="009F2DAE"/>
    <w:rsid w:val="009F2DEA"/>
    <w:rsid w:val="009F2F7D"/>
    <w:rsid w:val="009F30B5"/>
    <w:rsid w:val="009F3186"/>
    <w:rsid w:val="009F3501"/>
    <w:rsid w:val="009F3613"/>
    <w:rsid w:val="009F376A"/>
    <w:rsid w:val="009F3BDE"/>
    <w:rsid w:val="009F3E7F"/>
    <w:rsid w:val="009F3EE5"/>
    <w:rsid w:val="009F4032"/>
    <w:rsid w:val="009F4038"/>
    <w:rsid w:val="009F41DF"/>
    <w:rsid w:val="009F429B"/>
    <w:rsid w:val="009F442A"/>
    <w:rsid w:val="009F46D6"/>
    <w:rsid w:val="009F498F"/>
    <w:rsid w:val="009F49A3"/>
    <w:rsid w:val="009F4ABF"/>
    <w:rsid w:val="009F4ADB"/>
    <w:rsid w:val="009F4B5F"/>
    <w:rsid w:val="009F4BFD"/>
    <w:rsid w:val="009F4C39"/>
    <w:rsid w:val="009F4DE7"/>
    <w:rsid w:val="009F4F3B"/>
    <w:rsid w:val="009F5407"/>
    <w:rsid w:val="009F55F9"/>
    <w:rsid w:val="009F5715"/>
    <w:rsid w:val="009F5750"/>
    <w:rsid w:val="009F5761"/>
    <w:rsid w:val="009F5A42"/>
    <w:rsid w:val="009F5A4E"/>
    <w:rsid w:val="009F5CF5"/>
    <w:rsid w:val="009F5DBB"/>
    <w:rsid w:val="009F6008"/>
    <w:rsid w:val="009F647E"/>
    <w:rsid w:val="009F65E0"/>
    <w:rsid w:val="009F6D02"/>
    <w:rsid w:val="009F6F03"/>
    <w:rsid w:val="009F7230"/>
    <w:rsid w:val="009F72C1"/>
    <w:rsid w:val="009F74C5"/>
    <w:rsid w:val="009F756F"/>
    <w:rsid w:val="009F75DA"/>
    <w:rsid w:val="009F7624"/>
    <w:rsid w:val="009F77A9"/>
    <w:rsid w:val="009F77D7"/>
    <w:rsid w:val="009F7BD5"/>
    <w:rsid w:val="009F7C10"/>
    <w:rsid w:val="009F7EE0"/>
    <w:rsid w:val="009F7FA3"/>
    <w:rsid w:val="00A002CB"/>
    <w:rsid w:val="00A00378"/>
    <w:rsid w:val="00A003BE"/>
    <w:rsid w:val="00A004CB"/>
    <w:rsid w:val="00A00596"/>
    <w:rsid w:val="00A00897"/>
    <w:rsid w:val="00A00BA9"/>
    <w:rsid w:val="00A00D1A"/>
    <w:rsid w:val="00A00E6C"/>
    <w:rsid w:val="00A00E6F"/>
    <w:rsid w:val="00A011DF"/>
    <w:rsid w:val="00A01442"/>
    <w:rsid w:val="00A01447"/>
    <w:rsid w:val="00A017A4"/>
    <w:rsid w:val="00A018ED"/>
    <w:rsid w:val="00A01952"/>
    <w:rsid w:val="00A01CAC"/>
    <w:rsid w:val="00A0249F"/>
    <w:rsid w:val="00A026B4"/>
    <w:rsid w:val="00A028E0"/>
    <w:rsid w:val="00A028F1"/>
    <w:rsid w:val="00A02956"/>
    <w:rsid w:val="00A02AAA"/>
    <w:rsid w:val="00A02C18"/>
    <w:rsid w:val="00A02CD5"/>
    <w:rsid w:val="00A02FC3"/>
    <w:rsid w:val="00A032FB"/>
    <w:rsid w:val="00A034DB"/>
    <w:rsid w:val="00A034FD"/>
    <w:rsid w:val="00A03568"/>
    <w:rsid w:val="00A039C7"/>
    <w:rsid w:val="00A03E34"/>
    <w:rsid w:val="00A03E8B"/>
    <w:rsid w:val="00A03FD1"/>
    <w:rsid w:val="00A04063"/>
    <w:rsid w:val="00A04092"/>
    <w:rsid w:val="00A040F2"/>
    <w:rsid w:val="00A042D6"/>
    <w:rsid w:val="00A042E7"/>
    <w:rsid w:val="00A04489"/>
    <w:rsid w:val="00A04B0C"/>
    <w:rsid w:val="00A04C2F"/>
    <w:rsid w:val="00A04CBF"/>
    <w:rsid w:val="00A04D03"/>
    <w:rsid w:val="00A04E7E"/>
    <w:rsid w:val="00A04F32"/>
    <w:rsid w:val="00A04F40"/>
    <w:rsid w:val="00A04F95"/>
    <w:rsid w:val="00A0502A"/>
    <w:rsid w:val="00A0504E"/>
    <w:rsid w:val="00A0522B"/>
    <w:rsid w:val="00A0558D"/>
    <w:rsid w:val="00A0564A"/>
    <w:rsid w:val="00A05799"/>
    <w:rsid w:val="00A05895"/>
    <w:rsid w:val="00A05969"/>
    <w:rsid w:val="00A059A6"/>
    <w:rsid w:val="00A05D0E"/>
    <w:rsid w:val="00A05DF5"/>
    <w:rsid w:val="00A05EE5"/>
    <w:rsid w:val="00A0602E"/>
    <w:rsid w:val="00A069CC"/>
    <w:rsid w:val="00A06B2F"/>
    <w:rsid w:val="00A06C1D"/>
    <w:rsid w:val="00A06C5D"/>
    <w:rsid w:val="00A070E9"/>
    <w:rsid w:val="00A0720E"/>
    <w:rsid w:val="00A07508"/>
    <w:rsid w:val="00A076C5"/>
    <w:rsid w:val="00A078B9"/>
    <w:rsid w:val="00A07C5C"/>
    <w:rsid w:val="00A07D27"/>
    <w:rsid w:val="00A07D48"/>
    <w:rsid w:val="00A07D5C"/>
    <w:rsid w:val="00A07DC8"/>
    <w:rsid w:val="00A07F16"/>
    <w:rsid w:val="00A07F48"/>
    <w:rsid w:val="00A101E2"/>
    <w:rsid w:val="00A102A2"/>
    <w:rsid w:val="00A102F4"/>
    <w:rsid w:val="00A103FE"/>
    <w:rsid w:val="00A1071D"/>
    <w:rsid w:val="00A10735"/>
    <w:rsid w:val="00A10854"/>
    <w:rsid w:val="00A10910"/>
    <w:rsid w:val="00A10B18"/>
    <w:rsid w:val="00A10B64"/>
    <w:rsid w:val="00A10BD5"/>
    <w:rsid w:val="00A10F07"/>
    <w:rsid w:val="00A10FA4"/>
    <w:rsid w:val="00A111D6"/>
    <w:rsid w:val="00A112B7"/>
    <w:rsid w:val="00A1164A"/>
    <w:rsid w:val="00A11704"/>
    <w:rsid w:val="00A11755"/>
    <w:rsid w:val="00A11808"/>
    <w:rsid w:val="00A1186B"/>
    <w:rsid w:val="00A1197B"/>
    <w:rsid w:val="00A11A9B"/>
    <w:rsid w:val="00A11EE2"/>
    <w:rsid w:val="00A11F97"/>
    <w:rsid w:val="00A11FCA"/>
    <w:rsid w:val="00A12087"/>
    <w:rsid w:val="00A123A6"/>
    <w:rsid w:val="00A12586"/>
    <w:rsid w:val="00A12785"/>
    <w:rsid w:val="00A1280D"/>
    <w:rsid w:val="00A1283F"/>
    <w:rsid w:val="00A12922"/>
    <w:rsid w:val="00A12A93"/>
    <w:rsid w:val="00A12B00"/>
    <w:rsid w:val="00A12BF5"/>
    <w:rsid w:val="00A12C42"/>
    <w:rsid w:val="00A12CB4"/>
    <w:rsid w:val="00A12E6A"/>
    <w:rsid w:val="00A130D0"/>
    <w:rsid w:val="00A131EC"/>
    <w:rsid w:val="00A131F4"/>
    <w:rsid w:val="00A13362"/>
    <w:rsid w:val="00A133FF"/>
    <w:rsid w:val="00A134DF"/>
    <w:rsid w:val="00A13B93"/>
    <w:rsid w:val="00A13F49"/>
    <w:rsid w:val="00A1400B"/>
    <w:rsid w:val="00A14019"/>
    <w:rsid w:val="00A140FD"/>
    <w:rsid w:val="00A141EC"/>
    <w:rsid w:val="00A144ED"/>
    <w:rsid w:val="00A14600"/>
    <w:rsid w:val="00A14670"/>
    <w:rsid w:val="00A14938"/>
    <w:rsid w:val="00A14B13"/>
    <w:rsid w:val="00A14C33"/>
    <w:rsid w:val="00A1536A"/>
    <w:rsid w:val="00A1578F"/>
    <w:rsid w:val="00A15A05"/>
    <w:rsid w:val="00A15DA6"/>
    <w:rsid w:val="00A15E3D"/>
    <w:rsid w:val="00A15F54"/>
    <w:rsid w:val="00A16137"/>
    <w:rsid w:val="00A1615A"/>
    <w:rsid w:val="00A16180"/>
    <w:rsid w:val="00A165CB"/>
    <w:rsid w:val="00A165D7"/>
    <w:rsid w:val="00A16690"/>
    <w:rsid w:val="00A16A87"/>
    <w:rsid w:val="00A16B41"/>
    <w:rsid w:val="00A16D87"/>
    <w:rsid w:val="00A16DAB"/>
    <w:rsid w:val="00A16E32"/>
    <w:rsid w:val="00A174B7"/>
    <w:rsid w:val="00A17600"/>
    <w:rsid w:val="00A1761C"/>
    <w:rsid w:val="00A176E9"/>
    <w:rsid w:val="00A17AF3"/>
    <w:rsid w:val="00A17B16"/>
    <w:rsid w:val="00A17CEB"/>
    <w:rsid w:val="00A17E45"/>
    <w:rsid w:val="00A17E6B"/>
    <w:rsid w:val="00A203FD"/>
    <w:rsid w:val="00A20483"/>
    <w:rsid w:val="00A20516"/>
    <w:rsid w:val="00A20563"/>
    <w:rsid w:val="00A205F8"/>
    <w:rsid w:val="00A208B4"/>
    <w:rsid w:val="00A20C89"/>
    <w:rsid w:val="00A21046"/>
    <w:rsid w:val="00A210E2"/>
    <w:rsid w:val="00A21537"/>
    <w:rsid w:val="00A2195F"/>
    <w:rsid w:val="00A21A18"/>
    <w:rsid w:val="00A21CDE"/>
    <w:rsid w:val="00A21CF3"/>
    <w:rsid w:val="00A21E41"/>
    <w:rsid w:val="00A221CF"/>
    <w:rsid w:val="00A2220C"/>
    <w:rsid w:val="00A22579"/>
    <w:rsid w:val="00A226F7"/>
    <w:rsid w:val="00A2276E"/>
    <w:rsid w:val="00A22A77"/>
    <w:rsid w:val="00A22B47"/>
    <w:rsid w:val="00A22FF7"/>
    <w:rsid w:val="00A2343C"/>
    <w:rsid w:val="00A23498"/>
    <w:rsid w:val="00A23718"/>
    <w:rsid w:val="00A23AED"/>
    <w:rsid w:val="00A23BA3"/>
    <w:rsid w:val="00A23C16"/>
    <w:rsid w:val="00A23C57"/>
    <w:rsid w:val="00A23DD8"/>
    <w:rsid w:val="00A240DE"/>
    <w:rsid w:val="00A2415A"/>
    <w:rsid w:val="00A24469"/>
    <w:rsid w:val="00A244B1"/>
    <w:rsid w:val="00A2461F"/>
    <w:rsid w:val="00A246E4"/>
    <w:rsid w:val="00A24735"/>
    <w:rsid w:val="00A24A1C"/>
    <w:rsid w:val="00A24A20"/>
    <w:rsid w:val="00A24AE8"/>
    <w:rsid w:val="00A24DEC"/>
    <w:rsid w:val="00A24E23"/>
    <w:rsid w:val="00A24E72"/>
    <w:rsid w:val="00A24F3C"/>
    <w:rsid w:val="00A25161"/>
    <w:rsid w:val="00A251F7"/>
    <w:rsid w:val="00A25222"/>
    <w:rsid w:val="00A252B5"/>
    <w:rsid w:val="00A25502"/>
    <w:rsid w:val="00A2588B"/>
    <w:rsid w:val="00A25A64"/>
    <w:rsid w:val="00A25E02"/>
    <w:rsid w:val="00A25EDB"/>
    <w:rsid w:val="00A26086"/>
    <w:rsid w:val="00A2618D"/>
    <w:rsid w:val="00A261B4"/>
    <w:rsid w:val="00A26425"/>
    <w:rsid w:val="00A2661B"/>
    <w:rsid w:val="00A267E0"/>
    <w:rsid w:val="00A26BB6"/>
    <w:rsid w:val="00A26C5E"/>
    <w:rsid w:val="00A2727B"/>
    <w:rsid w:val="00A27628"/>
    <w:rsid w:val="00A27756"/>
    <w:rsid w:val="00A27783"/>
    <w:rsid w:val="00A2779F"/>
    <w:rsid w:val="00A27934"/>
    <w:rsid w:val="00A27BD8"/>
    <w:rsid w:val="00A27C26"/>
    <w:rsid w:val="00A27D2A"/>
    <w:rsid w:val="00A27E65"/>
    <w:rsid w:val="00A27E99"/>
    <w:rsid w:val="00A27ED5"/>
    <w:rsid w:val="00A300D7"/>
    <w:rsid w:val="00A301BA"/>
    <w:rsid w:val="00A301CC"/>
    <w:rsid w:val="00A30228"/>
    <w:rsid w:val="00A30255"/>
    <w:rsid w:val="00A30274"/>
    <w:rsid w:val="00A30287"/>
    <w:rsid w:val="00A3045C"/>
    <w:rsid w:val="00A3082A"/>
    <w:rsid w:val="00A308C1"/>
    <w:rsid w:val="00A309F4"/>
    <w:rsid w:val="00A30A43"/>
    <w:rsid w:val="00A30C58"/>
    <w:rsid w:val="00A30CF3"/>
    <w:rsid w:val="00A30FFF"/>
    <w:rsid w:val="00A31032"/>
    <w:rsid w:val="00A31194"/>
    <w:rsid w:val="00A3124E"/>
    <w:rsid w:val="00A312F2"/>
    <w:rsid w:val="00A313AC"/>
    <w:rsid w:val="00A3171C"/>
    <w:rsid w:val="00A31743"/>
    <w:rsid w:val="00A31A3A"/>
    <w:rsid w:val="00A31C8F"/>
    <w:rsid w:val="00A31F7F"/>
    <w:rsid w:val="00A31F88"/>
    <w:rsid w:val="00A31FA2"/>
    <w:rsid w:val="00A32144"/>
    <w:rsid w:val="00A3247E"/>
    <w:rsid w:val="00A3261B"/>
    <w:rsid w:val="00A3262B"/>
    <w:rsid w:val="00A32678"/>
    <w:rsid w:val="00A32970"/>
    <w:rsid w:val="00A329B6"/>
    <w:rsid w:val="00A32A3D"/>
    <w:rsid w:val="00A32DB6"/>
    <w:rsid w:val="00A330B3"/>
    <w:rsid w:val="00A3333C"/>
    <w:rsid w:val="00A3348A"/>
    <w:rsid w:val="00A334BF"/>
    <w:rsid w:val="00A334E4"/>
    <w:rsid w:val="00A33686"/>
    <w:rsid w:val="00A336E0"/>
    <w:rsid w:val="00A338D6"/>
    <w:rsid w:val="00A33954"/>
    <w:rsid w:val="00A33AC4"/>
    <w:rsid w:val="00A33B42"/>
    <w:rsid w:val="00A33B81"/>
    <w:rsid w:val="00A33C07"/>
    <w:rsid w:val="00A33CBE"/>
    <w:rsid w:val="00A33CCC"/>
    <w:rsid w:val="00A33E64"/>
    <w:rsid w:val="00A33E79"/>
    <w:rsid w:val="00A33FD4"/>
    <w:rsid w:val="00A34010"/>
    <w:rsid w:val="00A34086"/>
    <w:rsid w:val="00A340D8"/>
    <w:rsid w:val="00A34496"/>
    <w:rsid w:val="00A344B0"/>
    <w:rsid w:val="00A34563"/>
    <w:rsid w:val="00A3459C"/>
    <w:rsid w:val="00A345EE"/>
    <w:rsid w:val="00A3461A"/>
    <w:rsid w:val="00A3473A"/>
    <w:rsid w:val="00A34875"/>
    <w:rsid w:val="00A34C68"/>
    <w:rsid w:val="00A35084"/>
    <w:rsid w:val="00A35098"/>
    <w:rsid w:val="00A350CF"/>
    <w:rsid w:val="00A3513B"/>
    <w:rsid w:val="00A3581D"/>
    <w:rsid w:val="00A35C20"/>
    <w:rsid w:val="00A35D70"/>
    <w:rsid w:val="00A35E3C"/>
    <w:rsid w:val="00A364AC"/>
    <w:rsid w:val="00A369D3"/>
    <w:rsid w:val="00A369F1"/>
    <w:rsid w:val="00A36AD3"/>
    <w:rsid w:val="00A36B0F"/>
    <w:rsid w:val="00A36BA9"/>
    <w:rsid w:val="00A36CDB"/>
    <w:rsid w:val="00A36D3D"/>
    <w:rsid w:val="00A36DFF"/>
    <w:rsid w:val="00A37061"/>
    <w:rsid w:val="00A3728D"/>
    <w:rsid w:val="00A37456"/>
    <w:rsid w:val="00A374E9"/>
    <w:rsid w:val="00A376B4"/>
    <w:rsid w:val="00A376DB"/>
    <w:rsid w:val="00A3782C"/>
    <w:rsid w:val="00A37AA0"/>
    <w:rsid w:val="00A403FB"/>
    <w:rsid w:val="00A405EE"/>
    <w:rsid w:val="00A4099E"/>
    <w:rsid w:val="00A409FE"/>
    <w:rsid w:val="00A40A9E"/>
    <w:rsid w:val="00A40D6F"/>
    <w:rsid w:val="00A40EC5"/>
    <w:rsid w:val="00A40EC7"/>
    <w:rsid w:val="00A40F70"/>
    <w:rsid w:val="00A41242"/>
    <w:rsid w:val="00A41286"/>
    <w:rsid w:val="00A4144A"/>
    <w:rsid w:val="00A41465"/>
    <w:rsid w:val="00A414C0"/>
    <w:rsid w:val="00A415A5"/>
    <w:rsid w:val="00A41620"/>
    <w:rsid w:val="00A4186A"/>
    <w:rsid w:val="00A41C93"/>
    <w:rsid w:val="00A42016"/>
    <w:rsid w:val="00A42064"/>
    <w:rsid w:val="00A42142"/>
    <w:rsid w:val="00A421B8"/>
    <w:rsid w:val="00A422C4"/>
    <w:rsid w:val="00A423B4"/>
    <w:rsid w:val="00A423F9"/>
    <w:rsid w:val="00A42482"/>
    <w:rsid w:val="00A424D3"/>
    <w:rsid w:val="00A4272F"/>
    <w:rsid w:val="00A427FF"/>
    <w:rsid w:val="00A4283D"/>
    <w:rsid w:val="00A4299C"/>
    <w:rsid w:val="00A429D0"/>
    <w:rsid w:val="00A42BC4"/>
    <w:rsid w:val="00A42CFA"/>
    <w:rsid w:val="00A4306A"/>
    <w:rsid w:val="00A43311"/>
    <w:rsid w:val="00A436EC"/>
    <w:rsid w:val="00A437CC"/>
    <w:rsid w:val="00A43953"/>
    <w:rsid w:val="00A439C2"/>
    <w:rsid w:val="00A439F5"/>
    <w:rsid w:val="00A43A21"/>
    <w:rsid w:val="00A43A81"/>
    <w:rsid w:val="00A43ADF"/>
    <w:rsid w:val="00A43D54"/>
    <w:rsid w:val="00A43E03"/>
    <w:rsid w:val="00A43EF0"/>
    <w:rsid w:val="00A43FA6"/>
    <w:rsid w:val="00A442A2"/>
    <w:rsid w:val="00A4442D"/>
    <w:rsid w:val="00A44678"/>
    <w:rsid w:val="00A44945"/>
    <w:rsid w:val="00A449C4"/>
    <w:rsid w:val="00A449CE"/>
    <w:rsid w:val="00A44ACF"/>
    <w:rsid w:val="00A44C46"/>
    <w:rsid w:val="00A44CF8"/>
    <w:rsid w:val="00A44EC7"/>
    <w:rsid w:val="00A44FD2"/>
    <w:rsid w:val="00A4513D"/>
    <w:rsid w:val="00A45151"/>
    <w:rsid w:val="00A45166"/>
    <w:rsid w:val="00A453E8"/>
    <w:rsid w:val="00A45471"/>
    <w:rsid w:val="00A45791"/>
    <w:rsid w:val="00A458CC"/>
    <w:rsid w:val="00A458E5"/>
    <w:rsid w:val="00A45958"/>
    <w:rsid w:val="00A45A19"/>
    <w:rsid w:val="00A45EB0"/>
    <w:rsid w:val="00A45FD6"/>
    <w:rsid w:val="00A46065"/>
    <w:rsid w:val="00A4648E"/>
    <w:rsid w:val="00A465E2"/>
    <w:rsid w:val="00A467AB"/>
    <w:rsid w:val="00A46E44"/>
    <w:rsid w:val="00A46E48"/>
    <w:rsid w:val="00A46F87"/>
    <w:rsid w:val="00A4704A"/>
    <w:rsid w:val="00A47061"/>
    <w:rsid w:val="00A47350"/>
    <w:rsid w:val="00A4743C"/>
    <w:rsid w:val="00A47579"/>
    <w:rsid w:val="00A47624"/>
    <w:rsid w:val="00A476CC"/>
    <w:rsid w:val="00A4778B"/>
    <w:rsid w:val="00A477BA"/>
    <w:rsid w:val="00A479BA"/>
    <w:rsid w:val="00A479CB"/>
    <w:rsid w:val="00A47DE9"/>
    <w:rsid w:val="00A47F6F"/>
    <w:rsid w:val="00A50072"/>
    <w:rsid w:val="00A502DD"/>
    <w:rsid w:val="00A50396"/>
    <w:rsid w:val="00A505F4"/>
    <w:rsid w:val="00A50761"/>
    <w:rsid w:val="00A5087A"/>
    <w:rsid w:val="00A50E8D"/>
    <w:rsid w:val="00A50F6D"/>
    <w:rsid w:val="00A50FEC"/>
    <w:rsid w:val="00A510DB"/>
    <w:rsid w:val="00A510F7"/>
    <w:rsid w:val="00A511BB"/>
    <w:rsid w:val="00A516C8"/>
    <w:rsid w:val="00A51970"/>
    <w:rsid w:val="00A51993"/>
    <w:rsid w:val="00A51BC3"/>
    <w:rsid w:val="00A51BCE"/>
    <w:rsid w:val="00A51CC6"/>
    <w:rsid w:val="00A51E3A"/>
    <w:rsid w:val="00A51EBC"/>
    <w:rsid w:val="00A51F8D"/>
    <w:rsid w:val="00A51FB6"/>
    <w:rsid w:val="00A521E8"/>
    <w:rsid w:val="00A5237F"/>
    <w:rsid w:val="00A52479"/>
    <w:rsid w:val="00A524A7"/>
    <w:rsid w:val="00A52635"/>
    <w:rsid w:val="00A52714"/>
    <w:rsid w:val="00A527B4"/>
    <w:rsid w:val="00A52835"/>
    <w:rsid w:val="00A52B27"/>
    <w:rsid w:val="00A52B59"/>
    <w:rsid w:val="00A52BDC"/>
    <w:rsid w:val="00A52CAC"/>
    <w:rsid w:val="00A52D26"/>
    <w:rsid w:val="00A52E6B"/>
    <w:rsid w:val="00A53163"/>
    <w:rsid w:val="00A5336F"/>
    <w:rsid w:val="00A534C5"/>
    <w:rsid w:val="00A5352F"/>
    <w:rsid w:val="00A53592"/>
    <w:rsid w:val="00A535F9"/>
    <w:rsid w:val="00A536FE"/>
    <w:rsid w:val="00A538F3"/>
    <w:rsid w:val="00A53928"/>
    <w:rsid w:val="00A53A71"/>
    <w:rsid w:val="00A53AC9"/>
    <w:rsid w:val="00A53DFC"/>
    <w:rsid w:val="00A5401D"/>
    <w:rsid w:val="00A54101"/>
    <w:rsid w:val="00A542C0"/>
    <w:rsid w:val="00A545A4"/>
    <w:rsid w:val="00A54620"/>
    <w:rsid w:val="00A54713"/>
    <w:rsid w:val="00A5485A"/>
    <w:rsid w:val="00A54B2F"/>
    <w:rsid w:val="00A54BFB"/>
    <w:rsid w:val="00A54D21"/>
    <w:rsid w:val="00A54F0C"/>
    <w:rsid w:val="00A5500C"/>
    <w:rsid w:val="00A552C0"/>
    <w:rsid w:val="00A5597F"/>
    <w:rsid w:val="00A55A97"/>
    <w:rsid w:val="00A55C32"/>
    <w:rsid w:val="00A55D8D"/>
    <w:rsid w:val="00A55E5F"/>
    <w:rsid w:val="00A5606E"/>
    <w:rsid w:val="00A56184"/>
    <w:rsid w:val="00A561C4"/>
    <w:rsid w:val="00A5626F"/>
    <w:rsid w:val="00A562A6"/>
    <w:rsid w:val="00A5654F"/>
    <w:rsid w:val="00A567A9"/>
    <w:rsid w:val="00A5692B"/>
    <w:rsid w:val="00A56A9F"/>
    <w:rsid w:val="00A56B07"/>
    <w:rsid w:val="00A56DF6"/>
    <w:rsid w:val="00A56E51"/>
    <w:rsid w:val="00A56FC1"/>
    <w:rsid w:val="00A570A0"/>
    <w:rsid w:val="00A571D7"/>
    <w:rsid w:val="00A573D2"/>
    <w:rsid w:val="00A573E5"/>
    <w:rsid w:val="00A5763F"/>
    <w:rsid w:val="00A578D4"/>
    <w:rsid w:val="00A579EB"/>
    <w:rsid w:val="00A57B8D"/>
    <w:rsid w:val="00A57D7D"/>
    <w:rsid w:val="00A57F58"/>
    <w:rsid w:val="00A57F9C"/>
    <w:rsid w:val="00A601F0"/>
    <w:rsid w:val="00A60385"/>
    <w:rsid w:val="00A6038A"/>
    <w:rsid w:val="00A604DE"/>
    <w:rsid w:val="00A6081A"/>
    <w:rsid w:val="00A60857"/>
    <w:rsid w:val="00A6093C"/>
    <w:rsid w:val="00A6098D"/>
    <w:rsid w:val="00A609C5"/>
    <w:rsid w:val="00A609EF"/>
    <w:rsid w:val="00A60D38"/>
    <w:rsid w:val="00A60D90"/>
    <w:rsid w:val="00A60E81"/>
    <w:rsid w:val="00A61647"/>
    <w:rsid w:val="00A616FA"/>
    <w:rsid w:val="00A61701"/>
    <w:rsid w:val="00A61705"/>
    <w:rsid w:val="00A619BA"/>
    <w:rsid w:val="00A61B78"/>
    <w:rsid w:val="00A61DB0"/>
    <w:rsid w:val="00A61E44"/>
    <w:rsid w:val="00A61F3B"/>
    <w:rsid w:val="00A61F8A"/>
    <w:rsid w:val="00A61F9D"/>
    <w:rsid w:val="00A61FBF"/>
    <w:rsid w:val="00A6205E"/>
    <w:rsid w:val="00A62400"/>
    <w:rsid w:val="00A625DD"/>
    <w:rsid w:val="00A62767"/>
    <w:rsid w:val="00A628BD"/>
    <w:rsid w:val="00A62BA5"/>
    <w:rsid w:val="00A62BFB"/>
    <w:rsid w:val="00A62D00"/>
    <w:rsid w:val="00A6337A"/>
    <w:rsid w:val="00A6366C"/>
    <w:rsid w:val="00A63682"/>
    <w:rsid w:val="00A6377B"/>
    <w:rsid w:val="00A63CF5"/>
    <w:rsid w:val="00A6441E"/>
    <w:rsid w:val="00A64464"/>
    <w:rsid w:val="00A644AE"/>
    <w:rsid w:val="00A64A66"/>
    <w:rsid w:val="00A64C49"/>
    <w:rsid w:val="00A64DBB"/>
    <w:rsid w:val="00A64F6C"/>
    <w:rsid w:val="00A64F8B"/>
    <w:rsid w:val="00A65051"/>
    <w:rsid w:val="00A65373"/>
    <w:rsid w:val="00A6590D"/>
    <w:rsid w:val="00A65A7A"/>
    <w:rsid w:val="00A65C1D"/>
    <w:rsid w:val="00A66020"/>
    <w:rsid w:val="00A66144"/>
    <w:rsid w:val="00A661B7"/>
    <w:rsid w:val="00A662A1"/>
    <w:rsid w:val="00A663EC"/>
    <w:rsid w:val="00A66688"/>
    <w:rsid w:val="00A666B9"/>
    <w:rsid w:val="00A6692D"/>
    <w:rsid w:val="00A67375"/>
    <w:rsid w:val="00A6737C"/>
    <w:rsid w:val="00A67619"/>
    <w:rsid w:val="00A67668"/>
    <w:rsid w:val="00A6773C"/>
    <w:rsid w:val="00A6799A"/>
    <w:rsid w:val="00A67A6A"/>
    <w:rsid w:val="00A67A8C"/>
    <w:rsid w:val="00A67F59"/>
    <w:rsid w:val="00A67F6C"/>
    <w:rsid w:val="00A70654"/>
    <w:rsid w:val="00A70710"/>
    <w:rsid w:val="00A7075F"/>
    <w:rsid w:val="00A7087B"/>
    <w:rsid w:val="00A70A4C"/>
    <w:rsid w:val="00A70AA9"/>
    <w:rsid w:val="00A70D4F"/>
    <w:rsid w:val="00A70F02"/>
    <w:rsid w:val="00A70F9D"/>
    <w:rsid w:val="00A71056"/>
    <w:rsid w:val="00A71083"/>
    <w:rsid w:val="00A7121D"/>
    <w:rsid w:val="00A712F0"/>
    <w:rsid w:val="00A7134B"/>
    <w:rsid w:val="00A71435"/>
    <w:rsid w:val="00A715DE"/>
    <w:rsid w:val="00A71810"/>
    <w:rsid w:val="00A7193D"/>
    <w:rsid w:val="00A719A3"/>
    <w:rsid w:val="00A71C3A"/>
    <w:rsid w:val="00A71CDB"/>
    <w:rsid w:val="00A71DC2"/>
    <w:rsid w:val="00A71DC9"/>
    <w:rsid w:val="00A71E80"/>
    <w:rsid w:val="00A72360"/>
    <w:rsid w:val="00A72764"/>
    <w:rsid w:val="00A72C3A"/>
    <w:rsid w:val="00A72CCC"/>
    <w:rsid w:val="00A72CDF"/>
    <w:rsid w:val="00A73051"/>
    <w:rsid w:val="00A7318D"/>
    <w:rsid w:val="00A731F8"/>
    <w:rsid w:val="00A73472"/>
    <w:rsid w:val="00A73834"/>
    <w:rsid w:val="00A738E0"/>
    <w:rsid w:val="00A73996"/>
    <w:rsid w:val="00A73B9E"/>
    <w:rsid w:val="00A73D6D"/>
    <w:rsid w:val="00A73D79"/>
    <w:rsid w:val="00A73DAC"/>
    <w:rsid w:val="00A74049"/>
    <w:rsid w:val="00A74309"/>
    <w:rsid w:val="00A743C5"/>
    <w:rsid w:val="00A744AA"/>
    <w:rsid w:val="00A74558"/>
    <w:rsid w:val="00A74671"/>
    <w:rsid w:val="00A7467C"/>
    <w:rsid w:val="00A7476E"/>
    <w:rsid w:val="00A747DC"/>
    <w:rsid w:val="00A74AB9"/>
    <w:rsid w:val="00A74C65"/>
    <w:rsid w:val="00A74D75"/>
    <w:rsid w:val="00A7513D"/>
    <w:rsid w:val="00A752B4"/>
    <w:rsid w:val="00A75815"/>
    <w:rsid w:val="00A75892"/>
    <w:rsid w:val="00A758B3"/>
    <w:rsid w:val="00A75990"/>
    <w:rsid w:val="00A75B28"/>
    <w:rsid w:val="00A75BAC"/>
    <w:rsid w:val="00A75D0D"/>
    <w:rsid w:val="00A75DD5"/>
    <w:rsid w:val="00A75FEA"/>
    <w:rsid w:val="00A7605E"/>
    <w:rsid w:val="00A76088"/>
    <w:rsid w:val="00A76408"/>
    <w:rsid w:val="00A76410"/>
    <w:rsid w:val="00A76510"/>
    <w:rsid w:val="00A76876"/>
    <w:rsid w:val="00A76AAD"/>
    <w:rsid w:val="00A76C09"/>
    <w:rsid w:val="00A76C78"/>
    <w:rsid w:val="00A76D79"/>
    <w:rsid w:val="00A76E56"/>
    <w:rsid w:val="00A76E69"/>
    <w:rsid w:val="00A76F7C"/>
    <w:rsid w:val="00A76F8E"/>
    <w:rsid w:val="00A771F7"/>
    <w:rsid w:val="00A773FE"/>
    <w:rsid w:val="00A774C9"/>
    <w:rsid w:val="00A77757"/>
    <w:rsid w:val="00A77948"/>
    <w:rsid w:val="00A77AD6"/>
    <w:rsid w:val="00A77C61"/>
    <w:rsid w:val="00A77E14"/>
    <w:rsid w:val="00A80018"/>
    <w:rsid w:val="00A800D7"/>
    <w:rsid w:val="00A80519"/>
    <w:rsid w:val="00A80BCE"/>
    <w:rsid w:val="00A80C32"/>
    <w:rsid w:val="00A80FD7"/>
    <w:rsid w:val="00A81275"/>
    <w:rsid w:val="00A8128D"/>
    <w:rsid w:val="00A81632"/>
    <w:rsid w:val="00A816A6"/>
    <w:rsid w:val="00A81745"/>
    <w:rsid w:val="00A817FA"/>
    <w:rsid w:val="00A8192E"/>
    <w:rsid w:val="00A81A01"/>
    <w:rsid w:val="00A81B09"/>
    <w:rsid w:val="00A81CA1"/>
    <w:rsid w:val="00A8206B"/>
    <w:rsid w:val="00A8237D"/>
    <w:rsid w:val="00A82493"/>
    <w:rsid w:val="00A82686"/>
    <w:rsid w:val="00A82EAF"/>
    <w:rsid w:val="00A82F0E"/>
    <w:rsid w:val="00A82FA8"/>
    <w:rsid w:val="00A82FED"/>
    <w:rsid w:val="00A83188"/>
    <w:rsid w:val="00A8365B"/>
    <w:rsid w:val="00A83746"/>
    <w:rsid w:val="00A83A86"/>
    <w:rsid w:val="00A83B0F"/>
    <w:rsid w:val="00A83CB3"/>
    <w:rsid w:val="00A83E85"/>
    <w:rsid w:val="00A83F50"/>
    <w:rsid w:val="00A840BD"/>
    <w:rsid w:val="00A841C6"/>
    <w:rsid w:val="00A8453F"/>
    <w:rsid w:val="00A845EC"/>
    <w:rsid w:val="00A8479A"/>
    <w:rsid w:val="00A847A3"/>
    <w:rsid w:val="00A848AC"/>
    <w:rsid w:val="00A84923"/>
    <w:rsid w:val="00A84BA0"/>
    <w:rsid w:val="00A84DF1"/>
    <w:rsid w:val="00A84E4E"/>
    <w:rsid w:val="00A852AD"/>
    <w:rsid w:val="00A853B6"/>
    <w:rsid w:val="00A8579C"/>
    <w:rsid w:val="00A8581D"/>
    <w:rsid w:val="00A85891"/>
    <w:rsid w:val="00A858B1"/>
    <w:rsid w:val="00A85957"/>
    <w:rsid w:val="00A85FA9"/>
    <w:rsid w:val="00A86078"/>
    <w:rsid w:val="00A8633B"/>
    <w:rsid w:val="00A8648B"/>
    <w:rsid w:val="00A865D4"/>
    <w:rsid w:val="00A86851"/>
    <w:rsid w:val="00A86871"/>
    <w:rsid w:val="00A86A14"/>
    <w:rsid w:val="00A86ABE"/>
    <w:rsid w:val="00A86F78"/>
    <w:rsid w:val="00A86FEA"/>
    <w:rsid w:val="00A87583"/>
    <w:rsid w:val="00A875D0"/>
    <w:rsid w:val="00A87611"/>
    <w:rsid w:val="00A87652"/>
    <w:rsid w:val="00A8771F"/>
    <w:rsid w:val="00A877EF"/>
    <w:rsid w:val="00A87852"/>
    <w:rsid w:val="00A8798D"/>
    <w:rsid w:val="00A87BC3"/>
    <w:rsid w:val="00A87E53"/>
    <w:rsid w:val="00A87E8E"/>
    <w:rsid w:val="00A87FBF"/>
    <w:rsid w:val="00A9001D"/>
    <w:rsid w:val="00A90450"/>
    <w:rsid w:val="00A904A4"/>
    <w:rsid w:val="00A90579"/>
    <w:rsid w:val="00A905A4"/>
    <w:rsid w:val="00A906AC"/>
    <w:rsid w:val="00A90871"/>
    <w:rsid w:val="00A908A4"/>
    <w:rsid w:val="00A90A09"/>
    <w:rsid w:val="00A90B14"/>
    <w:rsid w:val="00A90E21"/>
    <w:rsid w:val="00A90F16"/>
    <w:rsid w:val="00A90F72"/>
    <w:rsid w:val="00A90F86"/>
    <w:rsid w:val="00A9102B"/>
    <w:rsid w:val="00A911D7"/>
    <w:rsid w:val="00A912F5"/>
    <w:rsid w:val="00A9194E"/>
    <w:rsid w:val="00A91A60"/>
    <w:rsid w:val="00A91AB8"/>
    <w:rsid w:val="00A91B36"/>
    <w:rsid w:val="00A91BA1"/>
    <w:rsid w:val="00A91BD4"/>
    <w:rsid w:val="00A91D57"/>
    <w:rsid w:val="00A91E47"/>
    <w:rsid w:val="00A91EAB"/>
    <w:rsid w:val="00A91ECD"/>
    <w:rsid w:val="00A91F32"/>
    <w:rsid w:val="00A921DC"/>
    <w:rsid w:val="00A92219"/>
    <w:rsid w:val="00A9236C"/>
    <w:rsid w:val="00A92A5C"/>
    <w:rsid w:val="00A92ABC"/>
    <w:rsid w:val="00A92B83"/>
    <w:rsid w:val="00A92BBD"/>
    <w:rsid w:val="00A92CDE"/>
    <w:rsid w:val="00A9334F"/>
    <w:rsid w:val="00A934D6"/>
    <w:rsid w:val="00A93652"/>
    <w:rsid w:val="00A93882"/>
    <w:rsid w:val="00A93932"/>
    <w:rsid w:val="00A93B3B"/>
    <w:rsid w:val="00A93C54"/>
    <w:rsid w:val="00A93F73"/>
    <w:rsid w:val="00A942EB"/>
    <w:rsid w:val="00A94481"/>
    <w:rsid w:val="00A9456E"/>
    <w:rsid w:val="00A9488A"/>
    <w:rsid w:val="00A9498A"/>
    <w:rsid w:val="00A94A6D"/>
    <w:rsid w:val="00A94AD6"/>
    <w:rsid w:val="00A95024"/>
    <w:rsid w:val="00A95137"/>
    <w:rsid w:val="00A951B0"/>
    <w:rsid w:val="00A952F6"/>
    <w:rsid w:val="00A9567D"/>
    <w:rsid w:val="00A95794"/>
    <w:rsid w:val="00A95974"/>
    <w:rsid w:val="00A95A68"/>
    <w:rsid w:val="00A95B12"/>
    <w:rsid w:val="00A95B79"/>
    <w:rsid w:val="00A95C1C"/>
    <w:rsid w:val="00A95DBC"/>
    <w:rsid w:val="00A95F29"/>
    <w:rsid w:val="00A9604B"/>
    <w:rsid w:val="00A96313"/>
    <w:rsid w:val="00A96506"/>
    <w:rsid w:val="00A9664D"/>
    <w:rsid w:val="00A96733"/>
    <w:rsid w:val="00A967B0"/>
    <w:rsid w:val="00A967BE"/>
    <w:rsid w:val="00A96D3C"/>
    <w:rsid w:val="00A9721C"/>
    <w:rsid w:val="00A97340"/>
    <w:rsid w:val="00A974B7"/>
    <w:rsid w:val="00A97A24"/>
    <w:rsid w:val="00A97A70"/>
    <w:rsid w:val="00A97A7B"/>
    <w:rsid w:val="00A97BDC"/>
    <w:rsid w:val="00AA0428"/>
    <w:rsid w:val="00AA0506"/>
    <w:rsid w:val="00AA0548"/>
    <w:rsid w:val="00AA0748"/>
    <w:rsid w:val="00AA081E"/>
    <w:rsid w:val="00AA0BB6"/>
    <w:rsid w:val="00AA0CA3"/>
    <w:rsid w:val="00AA0D61"/>
    <w:rsid w:val="00AA0EBF"/>
    <w:rsid w:val="00AA1088"/>
    <w:rsid w:val="00AA118E"/>
    <w:rsid w:val="00AA1283"/>
    <w:rsid w:val="00AA1649"/>
    <w:rsid w:val="00AA1760"/>
    <w:rsid w:val="00AA17B2"/>
    <w:rsid w:val="00AA184B"/>
    <w:rsid w:val="00AA184C"/>
    <w:rsid w:val="00AA19BB"/>
    <w:rsid w:val="00AA1A2B"/>
    <w:rsid w:val="00AA1B4E"/>
    <w:rsid w:val="00AA1D21"/>
    <w:rsid w:val="00AA1DF6"/>
    <w:rsid w:val="00AA20D6"/>
    <w:rsid w:val="00AA21F2"/>
    <w:rsid w:val="00AA2267"/>
    <w:rsid w:val="00AA226F"/>
    <w:rsid w:val="00AA244A"/>
    <w:rsid w:val="00AA267E"/>
    <w:rsid w:val="00AA28FE"/>
    <w:rsid w:val="00AA2D53"/>
    <w:rsid w:val="00AA3131"/>
    <w:rsid w:val="00AA3138"/>
    <w:rsid w:val="00AA33CD"/>
    <w:rsid w:val="00AA33F9"/>
    <w:rsid w:val="00AA3671"/>
    <w:rsid w:val="00AA3715"/>
    <w:rsid w:val="00AA37B1"/>
    <w:rsid w:val="00AA391D"/>
    <w:rsid w:val="00AA39FA"/>
    <w:rsid w:val="00AA3ABC"/>
    <w:rsid w:val="00AA3C36"/>
    <w:rsid w:val="00AA4108"/>
    <w:rsid w:val="00AA426F"/>
    <w:rsid w:val="00AA427C"/>
    <w:rsid w:val="00AA42D9"/>
    <w:rsid w:val="00AA43CB"/>
    <w:rsid w:val="00AA455A"/>
    <w:rsid w:val="00AA4654"/>
    <w:rsid w:val="00AA4672"/>
    <w:rsid w:val="00AA48CB"/>
    <w:rsid w:val="00AA4B56"/>
    <w:rsid w:val="00AA4DF9"/>
    <w:rsid w:val="00AA4E74"/>
    <w:rsid w:val="00AA4F32"/>
    <w:rsid w:val="00AA5305"/>
    <w:rsid w:val="00AA5353"/>
    <w:rsid w:val="00AA5557"/>
    <w:rsid w:val="00AA559A"/>
    <w:rsid w:val="00AA576A"/>
    <w:rsid w:val="00AA5795"/>
    <w:rsid w:val="00AA5916"/>
    <w:rsid w:val="00AA5A6D"/>
    <w:rsid w:val="00AA5AE7"/>
    <w:rsid w:val="00AA5C85"/>
    <w:rsid w:val="00AA5D7D"/>
    <w:rsid w:val="00AA6057"/>
    <w:rsid w:val="00AA6128"/>
    <w:rsid w:val="00AA614A"/>
    <w:rsid w:val="00AA616E"/>
    <w:rsid w:val="00AA6210"/>
    <w:rsid w:val="00AA640B"/>
    <w:rsid w:val="00AA64AD"/>
    <w:rsid w:val="00AA65E9"/>
    <w:rsid w:val="00AA6722"/>
    <w:rsid w:val="00AA6735"/>
    <w:rsid w:val="00AA67B6"/>
    <w:rsid w:val="00AA6A91"/>
    <w:rsid w:val="00AA6C92"/>
    <w:rsid w:val="00AA6D30"/>
    <w:rsid w:val="00AA6E7D"/>
    <w:rsid w:val="00AA6EF6"/>
    <w:rsid w:val="00AA6F9A"/>
    <w:rsid w:val="00AA72A0"/>
    <w:rsid w:val="00AA75B0"/>
    <w:rsid w:val="00AA7622"/>
    <w:rsid w:val="00AA76EC"/>
    <w:rsid w:val="00AA7707"/>
    <w:rsid w:val="00AA7715"/>
    <w:rsid w:val="00AA7838"/>
    <w:rsid w:val="00AA78B6"/>
    <w:rsid w:val="00AA7A95"/>
    <w:rsid w:val="00AA7BAE"/>
    <w:rsid w:val="00AA7BCF"/>
    <w:rsid w:val="00AA7EE2"/>
    <w:rsid w:val="00AB043B"/>
    <w:rsid w:val="00AB0486"/>
    <w:rsid w:val="00AB04E8"/>
    <w:rsid w:val="00AB0572"/>
    <w:rsid w:val="00AB0665"/>
    <w:rsid w:val="00AB06F6"/>
    <w:rsid w:val="00AB0790"/>
    <w:rsid w:val="00AB08CE"/>
    <w:rsid w:val="00AB09BC"/>
    <w:rsid w:val="00AB0A66"/>
    <w:rsid w:val="00AB0B78"/>
    <w:rsid w:val="00AB0BDE"/>
    <w:rsid w:val="00AB0C12"/>
    <w:rsid w:val="00AB0E12"/>
    <w:rsid w:val="00AB0F44"/>
    <w:rsid w:val="00AB0FD0"/>
    <w:rsid w:val="00AB11B9"/>
    <w:rsid w:val="00AB1319"/>
    <w:rsid w:val="00AB1381"/>
    <w:rsid w:val="00AB1875"/>
    <w:rsid w:val="00AB1A3F"/>
    <w:rsid w:val="00AB1D66"/>
    <w:rsid w:val="00AB1EF1"/>
    <w:rsid w:val="00AB23CE"/>
    <w:rsid w:val="00AB23ED"/>
    <w:rsid w:val="00AB2506"/>
    <w:rsid w:val="00AB26A0"/>
    <w:rsid w:val="00AB26F8"/>
    <w:rsid w:val="00AB271F"/>
    <w:rsid w:val="00AB27F2"/>
    <w:rsid w:val="00AB28AD"/>
    <w:rsid w:val="00AB2A64"/>
    <w:rsid w:val="00AB2B35"/>
    <w:rsid w:val="00AB2C23"/>
    <w:rsid w:val="00AB2D14"/>
    <w:rsid w:val="00AB2F28"/>
    <w:rsid w:val="00AB302E"/>
    <w:rsid w:val="00AB3082"/>
    <w:rsid w:val="00AB340B"/>
    <w:rsid w:val="00AB36BE"/>
    <w:rsid w:val="00AB3B5B"/>
    <w:rsid w:val="00AB3F20"/>
    <w:rsid w:val="00AB3F9D"/>
    <w:rsid w:val="00AB4376"/>
    <w:rsid w:val="00AB46DA"/>
    <w:rsid w:val="00AB49C8"/>
    <w:rsid w:val="00AB4BBC"/>
    <w:rsid w:val="00AB4C23"/>
    <w:rsid w:val="00AB4D26"/>
    <w:rsid w:val="00AB4D77"/>
    <w:rsid w:val="00AB4E24"/>
    <w:rsid w:val="00AB4E2E"/>
    <w:rsid w:val="00AB4F65"/>
    <w:rsid w:val="00AB4FE7"/>
    <w:rsid w:val="00AB517E"/>
    <w:rsid w:val="00AB521F"/>
    <w:rsid w:val="00AB5322"/>
    <w:rsid w:val="00AB5327"/>
    <w:rsid w:val="00AB5490"/>
    <w:rsid w:val="00AB54FD"/>
    <w:rsid w:val="00AB5622"/>
    <w:rsid w:val="00AB5793"/>
    <w:rsid w:val="00AB59CE"/>
    <w:rsid w:val="00AB5F61"/>
    <w:rsid w:val="00AB5FD6"/>
    <w:rsid w:val="00AB62B8"/>
    <w:rsid w:val="00AB62C5"/>
    <w:rsid w:val="00AB6452"/>
    <w:rsid w:val="00AB6472"/>
    <w:rsid w:val="00AB6A7A"/>
    <w:rsid w:val="00AB6AE2"/>
    <w:rsid w:val="00AB6B0D"/>
    <w:rsid w:val="00AB6BD4"/>
    <w:rsid w:val="00AB6C1F"/>
    <w:rsid w:val="00AB6C4B"/>
    <w:rsid w:val="00AB7490"/>
    <w:rsid w:val="00AB74B6"/>
    <w:rsid w:val="00AB764C"/>
    <w:rsid w:val="00AB77F9"/>
    <w:rsid w:val="00AB7D0F"/>
    <w:rsid w:val="00AB7DB1"/>
    <w:rsid w:val="00AC00AD"/>
    <w:rsid w:val="00AC00D4"/>
    <w:rsid w:val="00AC0312"/>
    <w:rsid w:val="00AC04D9"/>
    <w:rsid w:val="00AC04E3"/>
    <w:rsid w:val="00AC052F"/>
    <w:rsid w:val="00AC0B84"/>
    <w:rsid w:val="00AC0F22"/>
    <w:rsid w:val="00AC137A"/>
    <w:rsid w:val="00AC139D"/>
    <w:rsid w:val="00AC16DA"/>
    <w:rsid w:val="00AC1972"/>
    <w:rsid w:val="00AC1BC7"/>
    <w:rsid w:val="00AC1BDC"/>
    <w:rsid w:val="00AC1CB1"/>
    <w:rsid w:val="00AC1FD1"/>
    <w:rsid w:val="00AC2605"/>
    <w:rsid w:val="00AC26AB"/>
    <w:rsid w:val="00AC27C1"/>
    <w:rsid w:val="00AC27D4"/>
    <w:rsid w:val="00AC293A"/>
    <w:rsid w:val="00AC2B38"/>
    <w:rsid w:val="00AC2B69"/>
    <w:rsid w:val="00AC2FBD"/>
    <w:rsid w:val="00AC30DE"/>
    <w:rsid w:val="00AC339A"/>
    <w:rsid w:val="00AC397D"/>
    <w:rsid w:val="00AC3C43"/>
    <w:rsid w:val="00AC3D07"/>
    <w:rsid w:val="00AC40D9"/>
    <w:rsid w:val="00AC4129"/>
    <w:rsid w:val="00AC41EA"/>
    <w:rsid w:val="00AC42BD"/>
    <w:rsid w:val="00AC43FB"/>
    <w:rsid w:val="00AC462D"/>
    <w:rsid w:val="00AC46E0"/>
    <w:rsid w:val="00AC4715"/>
    <w:rsid w:val="00AC4796"/>
    <w:rsid w:val="00AC49C7"/>
    <w:rsid w:val="00AC4A13"/>
    <w:rsid w:val="00AC4C0E"/>
    <w:rsid w:val="00AC4C7E"/>
    <w:rsid w:val="00AC4FF5"/>
    <w:rsid w:val="00AC505A"/>
    <w:rsid w:val="00AC509D"/>
    <w:rsid w:val="00AC57E8"/>
    <w:rsid w:val="00AC5835"/>
    <w:rsid w:val="00AC5ACD"/>
    <w:rsid w:val="00AC5C81"/>
    <w:rsid w:val="00AC5CDD"/>
    <w:rsid w:val="00AC5E9A"/>
    <w:rsid w:val="00AC5EFA"/>
    <w:rsid w:val="00AC5F52"/>
    <w:rsid w:val="00AC5FA8"/>
    <w:rsid w:val="00AC616C"/>
    <w:rsid w:val="00AC623D"/>
    <w:rsid w:val="00AC65FC"/>
    <w:rsid w:val="00AC69E9"/>
    <w:rsid w:val="00AC6A47"/>
    <w:rsid w:val="00AC6B65"/>
    <w:rsid w:val="00AC6BC1"/>
    <w:rsid w:val="00AC6BC9"/>
    <w:rsid w:val="00AC6C81"/>
    <w:rsid w:val="00AC6F96"/>
    <w:rsid w:val="00AC70B1"/>
    <w:rsid w:val="00AC70CD"/>
    <w:rsid w:val="00AC72AD"/>
    <w:rsid w:val="00AC7504"/>
    <w:rsid w:val="00AC770C"/>
    <w:rsid w:val="00AC77C9"/>
    <w:rsid w:val="00AC786C"/>
    <w:rsid w:val="00AC791E"/>
    <w:rsid w:val="00AC79F6"/>
    <w:rsid w:val="00AC7A2E"/>
    <w:rsid w:val="00AC7A47"/>
    <w:rsid w:val="00AC7BDB"/>
    <w:rsid w:val="00AC7BE6"/>
    <w:rsid w:val="00AC7C8C"/>
    <w:rsid w:val="00AC7E38"/>
    <w:rsid w:val="00AD01DC"/>
    <w:rsid w:val="00AD03E8"/>
    <w:rsid w:val="00AD0407"/>
    <w:rsid w:val="00AD048E"/>
    <w:rsid w:val="00AD07DF"/>
    <w:rsid w:val="00AD0970"/>
    <w:rsid w:val="00AD0C6F"/>
    <w:rsid w:val="00AD0DAF"/>
    <w:rsid w:val="00AD103B"/>
    <w:rsid w:val="00AD1047"/>
    <w:rsid w:val="00AD11F7"/>
    <w:rsid w:val="00AD12CF"/>
    <w:rsid w:val="00AD1499"/>
    <w:rsid w:val="00AD14E9"/>
    <w:rsid w:val="00AD1639"/>
    <w:rsid w:val="00AD16EC"/>
    <w:rsid w:val="00AD1709"/>
    <w:rsid w:val="00AD1897"/>
    <w:rsid w:val="00AD1903"/>
    <w:rsid w:val="00AD1A15"/>
    <w:rsid w:val="00AD1B13"/>
    <w:rsid w:val="00AD1D17"/>
    <w:rsid w:val="00AD1D44"/>
    <w:rsid w:val="00AD1D5D"/>
    <w:rsid w:val="00AD1EFC"/>
    <w:rsid w:val="00AD20BF"/>
    <w:rsid w:val="00AD20E1"/>
    <w:rsid w:val="00AD232A"/>
    <w:rsid w:val="00AD27E2"/>
    <w:rsid w:val="00AD2C70"/>
    <w:rsid w:val="00AD2D03"/>
    <w:rsid w:val="00AD2D06"/>
    <w:rsid w:val="00AD2D99"/>
    <w:rsid w:val="00AD2DF3"/>
    <w:rsid w:val="00AD32F8"/>
    <w:rsid w:val="00AD3452"/>
    <w:rsid w:val="00AD37E0"/>
    <w:rsid w:val="00AD3836"/>
    <w:rsid w:val="00AD3A2F"/>
    <w:rsid w:val="00AD3A3A"/>
    <w:rsid w:val="00AD3BE5"/>
    <w:rsid w:val="00AD3FC3"/>
    <w:rsid w:val="00AD424D"/>
    <w:rsid w:val="00AD4782"/>
    <w:rsid w:val="00AD49DF"/>
    <w:rsid w:val="00AD4C56"/>
    <w:rsid w:val="00AD4E3E"/>
    <w:rsid w:val="00AD4E6F"/>
    <w:rsid w:val="00AD5110"/>
    <w:rsid w:val="00AD5229"/>
    <w:rsid w:val="00AD52DF"/>
    <w:rsid w:val="00AD54CC"/>
    <w:rsid w:val="00AD5705"/>
    <w:rsid w:val="00AD5A0B"/>
    <w:rsid w:val="00AD5B6A"/>
    <w:rsid w:val="00AD5BA0"/>
    <w:rsid w:val="00AD5C88"/>
    <w:rsid w:val="00AD600F"/>
    <w:rsid w:val="00AD6077"/>
    <w:rsid w:val="00AD6214"/>
    <w:rsid w:val="00AD6473"/>
    <w:rsid w:val="00AD665E"/>
    <w:rsid w:val="00AD667F"/>
    <w:rsid w:val="00AD6873"/>
    <w:rsid w:val="00AD6DBE"/>
    <w:rsid w:val="00AD6EF4"/>
    <w:rsid w:val="00AD6FA4"/>
    <w:rsid w:val="00AD707A"/>
    <w:rsid w:val="00AD740F"/>
    <w:rsid w:val="00AD76D2"/>
    <w:rsid w:val="00AD7A65"/>
    <w:rsid w:val="00AD7CE0"/>
    <w:rsid w:val="00AD7D14"/>
    <w:rsid w:val="00AD7F91"/>
    <w:rsid w:val="00AD7FD7"/>
    <w:rsid w:val="00AE001A"/>
    <w:rsid w:val="00AE01AA"/>
    <w:rsid w:val="00AE024F"/>
    <w:rsid w:val="00AE0706"/>
    <w:rsid w:val="00AE0784"/>
    <w:rsid w:val="00AE0892"/>
    <w:rsid w:val="00AE08AA"/>
    <w:rsid w:val="00AE0A1A"/>
    <w:rsid w:val="00AE0A80"/>
    <w:rsid w:val="00AE0A9E"/>
    <w:rsid w:val="00AE0AB3"/>
    <w:rsid w:val="00AE0BDF"/>
    <w:rsid w:val="00AE0C0D"/>
    <w:rsid w:val="00AE101E"/>
    <w:rsid w:val="00AE1067"/>
    <w:rsid w:val="00AE113B"/>
    <w:rsid w:val="00AE146A"/>
    <w:rsid w:val="00AE1814"/>
    <w:rsid w:val="00AE18DC"/>
    <w:rsid w:val="00AE1DA4"/>
    <w:rsid w:val="00AE1E2A"/>
    <w:rsid w:val="00AE1E43"/>
    <w:rsid w:val="00AE1FF6"/>
    <w:rsid w:val="00AE2114"/>
    <w:rsid w:val="00AE2572"/>
    <w:rsid w:val="00AE2938"/>
    <w:rsid w:val="00AE2D2A"/>
    <w:rsid w:val="00AE2D37"/>
    <w:rsid w:val="00AE2EFB"/>
    <w:rsid w:val="00AE2F44"/>
    <w:rsid w:val="00AE3071"/>
    <w:rsid w:val="00AE33D7"/>
    <w:rsid w:val="00AE3676"/>
    <w:rsid w:val="00AE3746"/>
    <w:rsid w:val="00AE397A"/>
    <w:rsid w:val="00AE3A59"/>
    <w:rsid w:val="00AE3D3E"/>
    <w:rsid w:val="00AE3DAB"/>
    <w:rsid w:val="00AE3E07"/>
    <w:rsid w:val="00AE3E7C"/>
    <w:rsid w:val="00AE4162"/>
    <w:rsid w:val="00AE4163"/>
    <w:rsid w:val="00AE4333"/>
    <w:rsid w:val="00AE43C4"/>
    <w:rsid w:val="00AE46A5"/>
    <w:rsid w:val="00AE471E"/>
    <w:rsid w:val="00AE472F"/>
    <w:rsid w:val="00AE481F"/>
    <w:rsid w:val="00AE4A65"/>
    <w:rsid w:val="00AE4C01"/>
    <w:rsid w:val="00AE4CF6"/>
    <w:rsid w:val="00AE4D3F"/>
    <w:rsid w:val="00AE5035"/>
    <w:rsid w:val="00AE51E0"/>
    <w:rsid w:val="00AE540A"/>
    <w:rsid w:val="00AE55A5"/>
    <w:rsid w:val="00AE578D"/>
    <w:rsid w:val="00AE5944"/>
    <w:rsid w:val="00AE5B67"/>
    <w:rsid w:val="00AE5BC2"/>
    <w:rsid w:val="00AE5C18"/>
    <w:rsid w:val="00AE60DA"/>
    <w:rsid w:val="00AE617B"/>
    <w:rsid w:val="00AE64BD"/>
    <w:rsid w:val="00AE753D"/>
    <w:rsid w:val="00AE75D6"/>
    <w:rsid w:val="00AE7654"/>
    <w:rsid w:val="00AE77D6"/>
    <w:rsid w:val="00AE77E2"/>
    <w:rsid w:val="00AE7DA2"/>
    <w:rsid w:val="00AE7FFD"/>
    <w:rsid w:val="00AF011F"/>
    <w:rsid w:val="00AF02B7"/>
    <w:rsid w:val="00AF0644"/>
    <w:rsid w:val="00AF0C6F"/>
    <w:rsid w:val="00AF0D69"/>
    <w:rsid w:val="00AF0E27"/>
    <w:rsid w:val="00AF0EA7"/>
    <w:rsid w:val="00AF0EE1"/>
    <w:rsid w:val="00AF0EF6"/>
    <w:rsid w:val="00AF1011"/>
    <w:rsid w:val="00AF1787"/>
    <w:rsid w:val="00AF194C"/>
    <w:rsid w:val="00AF196C"/>
    <w:rsid w:val="00AF1B36"/>
    <w:rsid w:val="00AF1C28"/>
    <w:rsid w:val="00AF1DA8"/>
    <w:rsid w:val="00AF1EB4"/>
    <w:rsid w:val="00AF2113"/>
    <w:rsid w:val="00AF215B"/>
    <w:rsid w:val="00AF219A"/>
    <w:rsid w:val="00AF223B"/>
    <w:rsid w:val="00AF2646"/>
    <w:rsid w:val="00AF269B"/>
    <w:rsid w:val="00AF271B"/>
    <w:rsid w:val="00AF2735"/>
    <w:rsid w:val="00AF279D"/>
    <w:rsid w:val="00AF2919"/>
    <w:rsid w:val="00AF2947"/>
    <w:rsid w:val="00AF2A45"/>
    <w:rsid w:val="00AF2AB3"/>
    <w:rsid w:val="00AF2AE0"/>
    <w:rsid w:val="00AF2AFF"/>
    <w:rsid w:val="00AF2BE7"/>
    <w:rsid w:val="00AF310D"/>
    <w:rsid w:val="00AF352B"/>
    <w:rsid w:val="00AF3604"/>
    <w:rsid w:val="00AF3616"/>
    <w:rsid w:val="00AF3786"/>
    <w:rsid w:val="00AF3803"/>
    <w:rsid w:val="00AF39C9"/>
    <w:rsid w:val="00AF3C9F"/>
    <w:rsid w:val="00AF3D27"/>
    <w:rsid w:val="00AF3DE2"/>
    <w:rsid w:val="00AF3E61"/>
    <w:rsid w:val="00AF3F0E"/>
    <w:rsid w:val="00AF4225"/>
    <w:rsid w:val="00AF4321"/>
    <w:rsid w:val="00AF4435"/>
    <w:rsid w:val="00AF44D2"/>
    <w:rsid w:val="00AF4535"/>
    <w:rsid w:val="00AF45DB"/>
    <w:rsid w:val="00AF468B"/>
    <w:rsid w:val="00AF4826"/>
    <w:rsid w:val="00AF48C3"/>
    <w:rsid w:val="00AF49FB"/>
    <w:rsid w:val="00AF4A24"/>
    <w:rsid w:val="00AF4BB4"/>
    <w:rsid w:val="00AF4D67"/>
    <w:rsid w:val="00AF4E96"/>
    <w:rsid w:val="00AF4F98"/>
    <w:rsid w:val="00AF51D4"/>
    <w:rsid w:val="00AF5300"/>
    <w:rsid w:val="00AF562E"/>
    <w:rsid w:val="00AF5814"/>
    <w:rsid w:val="00AF5E36"/>
    <w:rsid w:val="00AF6649"/>
    <w:rsid w:val="00AF6665"/>
    <w:rsid w:val="00AF6899"/>
    <w:rsid w:val="00AF6A08"/>
    <w:rsid w:val="00AF6AFD"/>
    <w:rsid w:val="00AF6B94"/>
    <w:rsid w:val="00AF6CD6"/>
    <w:rsid w:val="00AF6D19"/>
    <w:rsid w:val="00AF712E"/>
    <w:rsid w:val="00AF715C"/>
    <w:rsid w:val="00AF7343"/>
    <w:rsid w:val="00AF76AD"/>
    <w:rsid w:val="00AF7942"/>
    <w:rsid w:val="00AF7956"/>
    <w:rsid w:val="00AF7982"/>
    <w:rsid w:val="00AF79A8"/>
    <w:rsid w:val="00AF7A42"/>
    <w:rsid w:val="00AF7DBF"/>
    <w:rsid w:val="00AF7E34"/>
    <w:rsid w:val="00B00169"/>
    <w:rsid w:val="00B00278"/>
    <w:rsid w:val="00B002C0"/>
    <w:rsid w:val="00B0038F"/>
    <w:rsid w:val="00B003E0"/>
    <w:rsid w:val="00B00592"/>
    <w:rsid w:val="00B005DE"/>
    <w:rsid w:val="00B00BC7"/>
    <w:rsid w:val="00B00D36"/>
    <w:rsid w:val="00B00E93"/>
    <w:rsid w:val="00B01191"/>
    <w:rsid w:val="00B013BF"/>
    <w:rsid w:val="00B015BD"/>
    <w:rsid w:val="00B017A4"/>
    <w:rsid w:val="00B01BA0"/>
    <w:rsid w:val="00B01C00"/>
    <w:rsid w:val="00B01D97"/>
    <w:rsid w:val="00B01EE0"/>
    <w:rsid w:val="00B01F64"/>
    <w:rsid w:val="00B02073"/>
    <w:rsid w:val="00B020AF"/>
    <w:rsid w:val="00B020BC"/>
    <w:rsid w:val="00B0213B"/>
    <w:rsid w:val="00B023F1"/>
    <w:rsid w:val="00B02589"/>
    <w:rsid w:val="00B02974"/>
    <w:rsid w:val="00B02CA8"/>
    <w:rsid w:val="00B02E2E"/>
    <w:rsid w:val="00B02FF4"/>
    <w:rsid w:val="00B030E8"/>
    <w:rsid w:val="00B03119"/>
    <w:rsid w:val="00B03126"/>
    <w:rsid w:val="00B0318B"/>
    <w:rsid w:val="00B0339C"/>
    <w:rsid w:val="00B0368B"/>
    <w:rsid w:val="00B03897"/>
    <w:rsid w:val="00B038DE"/>
    <w:rsid w:val="00B03A34"/>
    <w:rsid w:val="00B03C00"/>
    <w:rsid w:val="00B03C12"/>
    <w:rsid w:val="00B03DAE"/>
    <w:rsid w:val="00B03E0B"/>
    <w:rsid w:val="00B03EFB"/>
    <w:rsid w:val="00B03F2A"/>
    <w:rsid w:val="00B04016"/>
    <w:rsid w:val="00B042AC"/>
    <w:rsid w:val="00B044B2"/>
    <w:rsid w:val="00B04725"/>
    <w:rsid w:val="00B049E7"/>
    <w:rsid w:val="00B04ACF"/>
    <w:rsid w:val="00B05092"/>
    <w:rsid w:val="00B050FE"/>
    <w:rsid w:val="00B05184"/>
    <w:rsid w:val="00B05262"/>
    <w:rsid w:val="00B05502"/>
    <w:rsid w:val="00B05608"/>
    <w:rsid w:val="00B05887"/>
    <w:rsid w:val="00B058A0"/>
    <w:rsid w:val="00B05A09"/>
    <w:rsid w:val="00B05B39"/>
    <w:rsid w:val="00B05BD8"/>
    <w:rsid w:val="00B05D56"/>
    <w:rsid w:val="00B06071"/>
    <w:rsid w:val="00B0607A"/>
    <w:rsid w:val="00B061B8"/>
    <w:rsid w:val="00B0637F"/>
    <w:rsid w:val="00B066F9"/>
    <w:rsid w:val="00B067C9"/>
    <w:rsid w:val="00B06976"/>
    <w:rsid w:val="00B06E8F"/>
    <w:rsid w:val="00B06E9B"/>
    <w:rsid w:val="00B06EE4"/>
    <w:rsid w:val="00B06EED"/>
    <w:rsid w:val="00B07154"/>
    <w:rsid w:val="00B0728E"/>
    <w:rsid w:val="00B07414"/>
    <w:rsid w:val="00B076DE"/>
    <w:rsid w:val="00B0791B"/>
    <w:rsid w:val="00B0791C"/>
    <w:rsid w:val="00B07AB0"/>
    <w:rsid w:val="00B07C9E"/>
    <w:rsid w:val="00B07D02"/>
    <w:rsid w:val="00B10071"/>
    <w:rsid w:val="00B10162"/>
    <w:rsid w:val="00B101C8"/>
    <w:rsid w:val="00B101E2"/>
    <w:rsid w:val="00B101E5"/>
    <w:rsid w:val="00B10229"/>
    <w:rsid w:val="00B10470"/>
    <w:rsid w:val="00B108E6"/>
    <w:rsid w:val="00B109E4"/>
    <w:rsid w:val="00B10A12"/>
    <w:rsid w:val="00B10BA7"/>
    <w:rsid w:val="00B10CB0"/>
    <w:rsid w:val="00B10D11"/>
    <w:rsid w:val="00B10D34"/>
    <w:rsid w:val="00B10E42"/>
    <w:rsid w:val="00B11290"/>
    <w:rsid w:val="00B1153F"/>
    <w:rsid w:val="00B11750"/>
    <w:rsid w:val="00B11811"/>
    <w:rsid w:val="00B118D4"/>
    <w:rsid w:val="00B118F3"/>
    <w:rsid w:val="00B1192C"/>
    <w:rsid w:val="00B1194C"/>
    <w:rsid w:val="00B119C0"/>
    <w:rsid w:val="00B119D1"/>
    <w:rsid w:val="00B11A31"/>
    <w:rsid w:val="00B11BBC"/>
    <w:rsid w:val="00B11C25"/>
    <w:rsid w:val="00B11CBD"/>
    <w:rsid w:val="00B12112"/>
    <w:rsid w:val="00B121F7"/>
    <w:rsid w:val="00B12367"/>
    <w:rsid w:val="00B12400"/>
    <w:rsid w:val="00B12900"/>
    <w:rsid w:val="00B12946"/>
    <w:rsid w:val="00B12D88"/>
    <w:rsid w:val="00B12DBC"/>
    <w:rsid w:val="00B12E87"/>
    <w:rsid w:val="00B12F49"/>
    <w:rsid w:val="00B13344"/>
    <w:rsid w:val="00B13FEB"/>
    <w:rsid w:val="00B141B4"/>
    <w:rsid w:val="00B14385"/>
    <w:rsid w:val="00B146EE"/>
    <w:rsid w:val="00B14755"/>
    <w:rsid w:val="00B1481C"/>
    <w:rsid w:val="00B14897"/>
    <w:rsid w:val="00B14A3A"/>
    <w:rsid w:val="00B14A9E"/>
    <w:rsid w:val="00B152F1"/>
    <w:rsid w:val="00B156F9"/>
    <w:rsid w:val="00B15797"/>
    <w:rsid w:val="00B158F7"/>
    <w:rsid w:val="00B15A14"/>
    <w:rsid w:val="00B15E05"/>
    <w:rsid w:val="00B15ED5"/>
    <w:rsid w:val="00B160FF"/>
    <w:rsid w:val="00B165AD"/>
    <w:rsid w:val="00B169F9"/>
    <w:rsid w:val="00B16EEE"/>
    <w:rsid w:val="00B16F7B"/>
    <w:rsid w:val="00B17222"/>
    <w:rsid w:val="00B1776C"/>
    <w:rsid w:val="00B179EB"/>
    <w:rsid w:val="00B17A1A"/>
    <w:rsid w:val="00B17B48"/>
    <w:rsid w:val="00B17CA0"/>
    <w:rsid w:val="00B17DC8"/>
    <w:rsid w:val="00B17E2B"/>
    <w:rsid w:val="00B17E51"/>
    <w:rsid w:val="00B20011"/>
    <w:rsid w:val="00B20014"/>
    <w:rsid w:val="00B2030F"/>
    <w:rsid w:val="00B205CB"/>
    <w:rsid w:val="00B209D1"/>
    <w:rsid w:val="00B20F49"/>
    <w:rsid w:val="00B20F79"/>
    <w:rsid w:val="00B2104B"/>
    <w:rsid w:val="00B212BB"/>
    <w:rsid w:val="00B21585"/>
    <w:rsid w:val="00B219C9"/>
    <w:rsid w:val="00B219FB"/>
    <w:rsid w:val="00B21C95"/>
    <w:rsid w:val="00B21D10"/>
    <w:rsid w:val="00B21E7C"/>
    <w:rsid w:val="00B21F03"/>
    <w:rsid w:val="00B21F13"/>
    <w:rsid w:val="00B21F82"/>
    <w:rsid w:val="00B21FA7"/>
    <w:rsid w:val="00B22052"/>
    <w:rsid w:val="00B2211D"/>
    <w:rsid w:val="00B22509"/>
    <w:rsid w:val="00B22665"/>
    <w:rsid w:val="00B2286F"/>
    <w:rsid w:val="00B22A53"/>
    <w:rsid w:val="00B22C51"/>
    <w:rsid w:val="00B22E28"/>
    <w:rsid w:val="00B22FC9"/>
    <w:rsid w:val="00B236E0"/>
    <w:rsid w:val="00B23DFE"/>
    <w:rsid w:val="00B23E18"/>
    <w:rsid w:val="00B23F82"/>
    <w:rsid w:val="00B24372"/>
    <w:rsid w:val="00B244D5"/>
    <w:rsid w:val="00B24866"/>
    <w:rsid w:val="00B24A20"/>
    <w:rsid w:val="00B24BD7"/>
    <w:rsid w:val="00B24C34"/>
    <w:rsid w:val="00B24C82"/>
    <w:rsid w:val="00B253EC"/>
    <w:rsid w:val="00B25469"/>
    <w:rsid w:val="00B25676"/>
    <w:rsid w:val="00B25706"/>
    <w:rsid w:val="00B258A2"/>
    <w:rsid w:val="00B25D5C"/>
    <w:rsid w:val="00B25D70"/>
    <w:rsid w:val="00B25D95"/>
    <w:rsid w:val="00B25FBA"/>
    <w:rsid w:val="00B2615E"/>
    <w:rsid w:val="00B26168"/>
    <w:rsid w:val="00B2635D"/>
    <w:rsid w:val="00B266C6"/>
    <w:rsid w:val="00B26709"/>
    <w:rsid w:val="00B269A0"/>
    <w:rsid w:val="00B26A7C"/>
    <w:rsid w:val="00B26D8D"/>
    <w:rsid w:val="00B26DC9"/>
    <w:rsid w:val="00B26EE2"/>
    <w:rsid w:val="00B2703F"/>
    <w:rsid w:val="00B272AA"/>
    <w:rsid w:val="00B27368"/>
    <w:rsid w:val="00B273B2"/>
    <w:rsid w:val="00B274B6"/>
    <w:rsid w:val="00B27621"/>
    <w:rsid w:val="00B27631"/>
    <w:rsid w:val="00B27845"/>
    <w:rsid w:val="00B279CA"/>
    <w:rsid w:val="00B27B2C"/>
    <w:rsid w:val="00B27D93"/>
    <w:rsid w:val="00B30007"/>
    <w:rsid w:val="00B30241"/>
    <w:rsid w:val="00B303C0"/>
    <w:rsid w:val="00B304FC"/>
    <w:rsid w:val="00B3050D"/>
    <w:rsid w:val="00B30D99"/>
    <w:rsid w:val="00B30E4D"/>
    <w:rsid w:val="00B30F33"/>
    <w:rsid w:val="00B30FC7"/>
    <w:rsid w:val="00B30FD2"/>
    <w:rsid w:val="00B311A1"/>
    <w:rsid w:val="00B31264"/>
    <w:rsid w:val="00B313B3"/>
    <w:rsid w:val="00B31440"/>
    <w:rsid w:val="00B31484"/>
    <w:rsid w:val="00B31658"/>
    <w:rsid w:val="00B3177E"/>
    <w:rsid w:val="00B31802"/>
    <w:rsid w:val="00B31CBC"/>
    <w:rsid w:val="00B31DBD"/>
    <w:rsid w:val="00B31EB0"/>
    <w:rsid w:val="00B31F62"/>
    <w:rsid w:val="00B32195"/>
    <w:rsid w:val="00B321E4"/>
    <w:rsid w:val="00B32311"/>
    <w:rsid w:val="00B32399"/>
    <w:rsid w:val="00B323EF"/>
    <w:rsid w:val="00B32478"/>
    <w:rsid w:val="00B32822"/>
    <w:rsid w:val="00B32E30"/>
    <w:rsid w:val="00B33112"/>
    <w:rsid w:val="00B33251"/>
    <w:rsid w:val="00B33292"/>
    <w:rsid w:val="00B332AD"/>
    <w:rsid w:val="00B3330C"/>
    <w:rsid w:val="00B33367"/>
    <w:rsid w:val="00B336C8"/>
    <w:rsid w:val="00B338E6"/>
    <w:rsid w:val="00B339A5"/>
    <w:rsid w:val="00B33BD7"/>
    <w:rsid w:val="00B33BD9"/>
    <w:rsid w:val="00B33CE2"/>
    <w:rsid w:val="00B33D9C"/>
    <w:rsid w:val="00B33F31"/>
    <w:rsid w:val="00B33FD2"/>
    <w:rsid w:val="00B33FF7"/>
    <w:rsid w:val="00B34066"/>
    <w:rsid w:val="00B343BB"/>
    <w:rsid w:val="00B343C1"/>
    <w:rsid w:val="00B3444B"/>
    <w:rsid w:val="00B3459F"/>
    <w:rsid w:val="00B34803"/>
    <w:rsid w:val="00B348DD"/>
    <w:rsid w:val="00B34A59"/>
    <w:rsid w:val="00B34BE7"/>
    <w:rsid w:val="00B34D2F"/>
    <w:rsid w:val="00B34E59"/>
    <w:rsid w:val="00B34F3F"/>
    <w:rsid w:val="00B3549E"/>
    <w:rsid w:val="00B354C2"/>
    <w:rsid w:val="00B3552C"/>
    <w:rsid w:val="00B356E3"/>
    <w:rsid w:val="00B356E6"/>
    <w:rsid w:val="00B35897"/>
    <w:rsid w:val="00B3590D"/>
    <w:rsid w:val="00B359D4"/>
    <w:rsid w:val="00B35B25"/>
    <w:rsid w:val="00B35BC6"/>
    <w:rsid w:val="00B35CB8"/>
    <w:rsid w:val="00B361C7"/>
    <w:rsid w:val="00B362C5"/>
    <w:rsid w:val="00B365BF"/>
    <w:rsid w:val="00B365C0"/>
    <w:rsid w:val="00B369DB"/>
    <w:rsid w:val="00B36A9D"/>
    <w:rsid w:val="00B36CE5"/>
    <w:rsid w:val="00B36D5D"/>
    <w:rsid w:val="00B36E86"/>
    <w:rsid w:val="00B36FEB"/>
    <w:rsid w:val="00B3706B"/>
    <w:rsid w:val="00B37100"/>
    <w:rsid w:val="00B3710F"/>
    <w:rsid w:val="00B3727F"/>
    <w:rsid w:val="00B3742A"/>
    <w:rsid w:val="00B37448"/>
    <w:rsid w:val="00B3761C"/>
    <w:rsid w:val="00B376C1"/>
    <w:rsid w:val="00B37771"/>
    <w:rsid w:val="00B379D7"/>
    <w:rsid w:val="00B37A7C"/>
    <w:rsid w:val="00B37E1C"/>
    <w:rsid w:val="00B37E44"/>
    <w:rsid w:val="00B37EA5"/>
    <w:rsid w:val="00B4005A"/>
    <w:rsid w:val="00B40144"/>
    <w:rsid w:val="00B401AD"/>
    <w:rsid w:val="00B4026B"/>
    <w:rsid w:val="00B402A4"/>
    <w:rsid w:val="00B40689"/>
    <w:rsid w:val="00B40A94"/>
    <w:rsid w:val="00B40BC1"/>
    <w:rsid w:val="00B40CCC"/>
    <w:rsid w:val="00B411B6"/>
    <w:rsid w:val="00B412F7"/>
    <w:rsid w:val="00B41345"/>
    <w:rsid w:val="00B4137A"/>
    <w:rsid w:val="00B41433"/>
    <w:rsid w:val="00B41453"/>
    <w:rsid w:val="00B415D7"/>
    <w:rsid w:val="00B417B9"/>
    <w:rsid w:val="00B41AD8"/>
    <w:rsid w:val="00B41C7F"/>
    <w:rsid w:val="00B41D73"/>
    <w:rsid w:val="00B41F7C"/>
    <w:rsid w:val="00B422A8"/>
    <w:rsid w:val="00B42381"/>
    <w:rsid w:val="00B42503"/>
    <w:rsid w:val="00B4257B"/>
    <w:rsid w:val="00B42688"/>
    <w:rsid w:val="00B42691"/>
    <w:rsid w:val="00B42821"/>
    <w:rsid w:val="00B42A2C"/>
    <w:rsid w:val="00B42B92"/>
    <w:rsid w:val="00B42C24"/>
    <w:rsid w:val="00B42E01"/>
    <w:rsid w:val="00B42E45"/>
    <w:rsid w:val="00B42E72"/>
    <w:rsid w:val="00B430A9"/>
    <w:rsid w:val="00B432A4"/>
    <w:rsid w:val="00B432A7"/>
    <w:rsid w:val="00B43384"/>
    <w:rsid w:val="00B43517"/>
    <w:rsid w:val="00B436D5"/>
    <w:rsid w:val="00B43768"/>
    <w:rsid w:val="00B437A3"/>
    <w:rsid w:val="00B43944"/>
    <w:rsid w:val="00B43A5D"/>
    <w:rsid w:val="00B43C07"/>
    <w:rsid w:val="00B43E26"/>
    <w:rsid w:val="00B44102"/>
    <w:rsid w:val="00B4419D"/>
    <w:rsid w:val="00B4428C"/>
    <w:rsid w:val="00B44342"/>
    <w:rsid w:val="00B443A7"/>
    <w:rsid w:val="00B44430"/>
    <w:rsid w:val="00B4453D"/>
    <w:rsid w:val="00B4460F"/>
    <w:rsid w:val="00B44804"/>
    <w:rsid w:val="00B44AD6"/>
    <w:rsid w:val="00B44CDE"/>
    <w:rsid w:val="00B45135"/>
    <w:rsid w:val="00B452C4"/>
    <w:rsid w:val="00B45378"/>
    <w:rsid w:val="00B453CA"/>
    <w:rsid w:val="00B453F7"/>
    <w:rsid w:val="00B455FF"/>
    <w:rsid w:val="00B45893"/>
    <w:rsid w:val="00B45CB9"/>
    <w:rsid w:val="00B45D41"/>
    <w:rsid w:val="00B45E3D"/>
    <w:rsid w:val="00B460B3"/>
    <w:rsid w:val="00B4615D"/>
    <w:rsid w:val="00B46581"/>
    <w:rsid w:val="00B466C2"/>
    <w:rsid w:val="00B46728"/>
    <w:rsid w:val="00B4675B"/>
    <w:rsid w:val="00B4690F"/>
    <w:rsid w:val="00B46BC1"/>
    <w:rsid w:val="00B46DB1"/>
    <w:rsid w:val="00B46DCB"/>
    <w:rsid w:val="00B47134"/>
    <w:rsid w:val="00B47219"/>
    <w:rsid w:val="00B473AF"/>
    <w:rsid w:val="00B473C0"/>
    <w:rsid w:val="00B473EE"/>
    <w:rsid w:val="00B4740F"/>
    <w:rsid w:val="00B479FA"/>
    <w:rsid w:val="00B47D7A"/>
    <w:rsid w:val="00B47D7B"/>
    <w:rsid w:val="00B47DB2"/>
    <w:rsid w:val="00B47E18"/>
    <w:rsid w:val="00B47F68"/>
    <w:rsid w:val="00B504EC"/>
    <w:rsid w:val="00B508A6"/>
    <w:rsid w:val="00B50985"/>
    <w:rsid w:val="00B50CEE"/>
    <w:rsid w:val="00B5123C"/>
    <w:rsid w:val="00B5126A"/>
    <w:rsid w:val="00B51609"/>
    <w:rsid w:val="00B5166E"/>
    <w:rsid w:val="00B516E3"/>
    <w:rsid w:val="00B517D4"/>
    <w:rsid w:val="00B51909"/>
    <w:rsid w:val="00B51A4B"/>
    <w:rsid w:val="00B51A61"/>
    <w:rsid w:val="00B51C82"/>
    <w:rsid w:val="00B51DE8"/>
    <w:rsid w:val="00B52296"/>
    <w:rsid w:val="00B523A2"/>
    <w:rsid w:val="00B52412"/>
    <w:rsid w:val="00B52804"/>
    <w:rsid w:val="00B52902"/>
    <w:rsid w:val="00B52911"/>
    <w:rsid w:val="00B5293C"/>
    <w:rsid w:val="00B52994"/>
    <w:rsid w:val="00B53247"/>
    <w:rsid w:val="00B532B8"/>
    <w:rsid w:val="00B5343E"/>
    <w:rsid w:val="00B534BE"/>
    <w:rsid w:val="00B5354A"/>
    <w:rsid w:val="00B53579"/>
    <w:rsid w:val="00B5379C"/>
    <w:rsid w:val="00B538A3"/>
    <w:rsid w:val="00B53901"/>
    <w:rsid w:val="00B53A97"/>
    <w:rsid w:val="00B53B30"/>
    <w:rsid w:val="00B53CC6"/>
    <w:rsid w:val="00B53CE0"/>
    <w:rsid w:val="00B53D5C"/>
    <w:rsid w:val="00B53E5C"/>
    <w:rsid w:val="00B53E8F"/>
    <w:rsid w:val="00B53FEE"/>
    <w:rsid w:val="00B53FF7"/>
    <w:rsid w:val="00B543D6"/>
    <w:rsid w:val="00B54494"/>
    <w:rsid w:val="00B544FB"/>
    <w:rsid w:val="00B5461F"/>
    <w:rsid w:val="00B5462E"/>
    <w:rsid w:val="00B546E3"/>
    <w:rsid w:val="00B54922"/>
    <w:rsid w:val="00B54C2D"/>
    <w:rsid w:val="00B54E45"/>
    <w:rsid w:val="00B54FDF"/>
    <w:rsid w:val="00B55006"/>
    <w:rsid w:val="00B55059"/>
    <w:rsid w:val="00B55233"/>
    <w:rsid w:val="00B55534"/>
    <w:rsid w:val="00B5558B"/>
    <w:rsid w:val="00B55CC5"/>
    <w:rsid w:val="00B55F54"/>
    <w:rsid w:val="00B560C3"/>
    <w:rsid w:val="00B560FB"/>
    <w:rsid w:val="00B56528"/>
    <w:rsid w:val="00B565FD"/>
    <w:rsid w:val="00B568FB"/>
    <w:rsid w:val="00B56933"/>
    <w:rsid w:val="00B56A93"/>
    <w:rsid w:val="00B56C98"/>
    <w:rsid w:val="00B56DE2"/>
    <w:rsid w:val="00B56F1C"/>
    <w:rsid w:val="00B56FFE"/>
    <w:rsid w:val="00B5739A"/>
    <w:rsid w:val="00B57460"/>
    <w:rsid w:val="00B576CB"/>
    <w:rsid w:val="00B5772D"/>
    <w:rsid w:val="00B57762"/>
    <w:rsid w:val="00B577D8"/>
    <w:rsid w:val="00B57A8F"/>
    <w:rsid w:val="00B57BF1"/>
    <w:rsid w:val="00B57D73"/>
    <w:rsid w:val="00B60336"/>
    <w:rsid w:val="00B60A08"/>
    <w:rsid w:val="00B60A8A"/>
    <w:rsid w:val="00B60C9C"/>
    <w:rsid w:val="00B60EED"/>
    <w:rsid w:val="00B60FC7"/>
    <w:rsid w:val="00B61256"/>
    <w:rsid w:val="00B61285"/>
    <w:rsid w:val="00B612B5"/>
    <w:rsid w:val="00B61360"/>
    <w:rsid w:val="00B61556"/>
    <w:rsid w:val="00B61720"/>
    <w:rsid w:val="00B61803"/>
    <w:rsid w:val="00B61A95"/>
    <w:rsid w:val="00B61BED"/>
    <w:rsid w:val="00B61C5A"/>
    <w:rsid w:val="00B61D13"/>
    <w:rsid w:val="00B62005"/>
    <w:rsid w:val="00B620B4"/>
    <w:rsid w:val="00B6233C"/>
    <w:rsid w:val="00B6234D"/>
    <w:rsid w:val="00B624F1"/>
    <w:rsid w:val="00B625A0"/>
    <w:rsid w:val="00B627EE"/>
    <w:rsid w:val="00B62931"/>
    <w:rsid w:val="00B629F3"/>
    <w:rsid w:val="00B62AEB"/>
    <w:rsid w:val="00B62E59"/>
    <w:rsid w:val="00B62E6A"/>
    <w:rsid w:val="00B62E86"/>
    <w:rsid w:val="00B62EB7"/>
    <w:rsid w:val="00B62F9A"/>
    <w:rsid w:val="00B63087"/>
    <w:rsid w:val="00B63194"/>
    <w:rsid w:val="00B631F9"/>
    <w:rsid w:val="00B63475"/>
    <w:rsid w:val="00B634F1"/>
    <w:rsid w:val="00B63545"/>
    <w:rsid w:val="00B63697"/>
    <w:rsid w:val="00B63A5B"/>
    <w:rsid w:val="00B63C6F"/>
    <w:rsid w:val="00B63D92"/>
    <w:rsid w:val="00B63F43"/>
    <w:rsid w:val="00B63F5A"/>
    <w:rsid w:val="00B640EB"/>
    <w:rsid w:val="00B641A5"/>
    <w:rsid w:val="00B64217"/>
    <w:rsid w:val="00B64224"/>
    <w:rsid w:val="00B645C1"/>
    <w:rsid w:val="00B64641"/>
    <w:rsid w:val="00B64819"/>
    <w:rsid w:val="00B6495A"/>
    <w:rsid w:val="00B64AEA"/>
    <w:rsid w:val="00B64B50"/>
    <w:rsid w:val="00B65069"/>
    <w:rsid w:val="00B65116"/>
    <w:rsid w:val="00B6518E"/>
    <w:rsid w:val="00B65428"/>
    <w:rsid w:val="00B65491"/>
    <w:rsid w:val="00B65492"/>
    <w:rsid w:val="00B65590"/>
    <w:rsid w:val="00B65593"/>
    <w:rsid w:val="00B655EC"/>
    <w:rsid w:val="00B65762"/>
    <w:rsid w:val="00B65966"/>
    <w:rsid w:val="00B65E4D"/>
    <w:rsid w:val="00B65EB6"/>
    <w:rsid w:val="00B65F71"/>
    <w:rsid w:val="00B662A9"/>
    <w:rsid w:val="00B6637B"/>
    <w:rsid w:val="00B66447"/>
    <w:rsid w:val="00B6644C"/>
    <w:rsid w:val="00B6651A"/>
    <w:rsid w:val="00B665DA"/>
    <w:rsid w:val="00B665E0"/>
    <w:rsid w:val="00B665EE"/>
    <w:rsid w:val="00B669F1"/>
    <w:rsid w:val="00B66A8F"/>
    <w:rsid w:val="00B66ACD"/>
    <w:rsid w:val="00B66BD1"/>
    <w:rsid w:val="00B66C6E"/>
    <w:rsid w:val="00B66F48"/>
    <w:rsid w:val="00B673A8"/>
    <w:rsid w:val="00B673C4"/>
    <w:rsid w:val="00B674F1"/>
    <w:rsid w:val="00B67501"/>
    <w:rsid w:val="00B6768B"/>
    <w:rsid w:val="00B6782F"/>
    <w:rsid w:val="00B6786C"/>
    <w:rsid w:val="00B678B3"/>
    <w:rsid w:val="00B67A96"/>
    <w:rsid w:val="00B67BC7"/>
    <w:rsid w:val="00B700D8"/>
    <w:rsid w:val="00B70202"/>
    <w:rsid w:val="00B70224"/>
    <w:rsid w:val="00B70456"/>
    <w:rsid w:val="00B7056C"/>
    <w:rsid w:val="00B7085C"/>
    <w:rsid w:val="00B70E48"/>
    <w:rsid w:val="00B70EE6"/>
    <w:rsid w:val="00B7110C"/>
    <w:rsid w:val="00B7123C"/>
    <w:rsid w:val="00B71273"/>
    <w:rsid w:val="00B71349"/>
    <w:rsid w:val="00B717BB"/>
    <w:rsid w:val="00B717CA"/>
    <w:rsid w:val="00B726BE"/>
    <w:rsid w:val="00B726EF"/>
    <w:rsid w:val="00B727CC"/>
    <w:rsid w:val="00B7286E"/>
    <w:rsid w:val="00B72C24"/>
    <w:rsid w:val="00B72CCA"/>
    <w:rsid w:val="00B72D9E"/>
    <w:rsid w:val="00B730CC"/>
    <w:rsid w:val="00B7356D"/>
    <w:rsid w:val="00B738C1"/>
    <w:rsid w:val="00B73917"/>
    <w:rsid w:val="00B73957"/>
    <w:rsid w:val="00B7395A"/>
    <w:rsid w:val="00B73C57"/>
    <w:rsid w:val="00B73CAC"/>
    <w:rsid w:val="00B7439F"/>
    <w:rsid w:val="00B744F2"/>
    <w:rsid w:val="00B74517"/>
    <w:rsid w:val="00B746E8"/>
    <w:rsid w:val="00B7481C"/>
    <w:rsid w:val="00B74876"/>
    <w:rsid w:val="00B74A46"/>
    <w:rsid w:val="00B74C06"/>
    <w:rsid w:val="00B74FD9"/>
    <w:rsid w:val="00B7528A"/>
    <w:rsid w:val="00B752CD"/>
    <w:rsid w:val="00B753C9"/>
    <w:rsid w:val="00B75436"/>
    <w:rsid w:val="00B75510"/>
    <w:rsid w:val="00B755CD"/>
    <w:rsid w:val="00B757AE"/>
    <w:rsid w:val="00B758F8"/>
    <w:rsid w:val="00B75A3D"/>
    <w:rsid w:val="00B75DD1"/>
    <w:rsid w:val="00B75F7F"/>
    <w:rsid w:val="00B76102"/>
    <w:rsid w:val="00B7627C"/>
    <w:rsid w:val="00B763AD"/>
    <w:rsid w:val="00B76517"/>
    <w:rsid w:val="00B765A6"/>
    <w:rsid w:val="00B765E9"/>
    <w:rsid w:val="00B76640"/>
    <w:rsid w:val="00B767C1"/>
    <w:rsid w:val="00B767DA"/>
    <w:rsid w:val="00B769C9"/>
    <w:rsid w:val="00B76C57"/>
    <w:rsid w:val="00B76C59"/>
    <w:rsid w:val="00B76CE7"/>
    <w:rsid w:val="00B76D02"/>
    <w:rsid w:val="00B76D41"/>
    <w:rsid w:val="00B76DB5"/>
    <w:rsid w:val="00B76EAD"/>
    <w:rsid w:val="00B76F6F"/>
    <w:rsid w:val="00B76F8F"/>
    <w:rsid w:val="00B76FFA"/>
    <w:rsid w:val="00B7701E"/>
    <w:rsid w:val="00B77106"/>
    <w:rsid w:val="00B77601"/>
    <w:rsid w:val="00B776A9"/>
    <w:rsid w:val="00B7788F"/>
    <w:rsid w:val="00B778A1"/>
    <w:rsid w:val="00B77A79"/>
    <w:rsid w:val="00B77F43"/>
    <w:rsid w:val="00B80027"/>
    <w:rsid w:val="00B8031D"/>
    <w:rsid w:val="00B80504"/>
    <w:rsid w:val="00B80513"/>
    <w:rsid w:val="00B80517"/>
    <w:rsid w:val="00B80654"/>
    <w:rsid w:val="00B806E3"/>
    <w:rsid w:val="00B809EC"/>
    <w:rsid w:val="00B80B90"/>
    <w:rsid w:val="00B80BC8"/>
    <w:rsid w:val="00B810A7"/>
    <w:rsid w:val="00B812AC"/>
    <w:rsid w:val="00B812DA"/>
    <w:rsid w:val="00B8183F"/>
    <w:rsid w:val="00B81C8E"/>
    <w:rsid w:val="00B81D35"/>
    <w:rsid w:val="00B81E27"/>
    <w:rsid w:val="00B8232F"/>
    <w:rsid w:val="00B82526"/>
    <w:rsid w:val="00B8282E"/>
    <w:rsid w:val="00B828DD"/>
    <w:rsid w:val="00B828F5"/>
    <w:rsid w:val="00B82B01"/>
    <w:rsid w:val="00B82B8D"/>
    <w:rsid w:val="00B82DAF"/>
    <w:rsid w:val="00B82DD8"/>
    <w:rsid w:val="00B82EC4"/>
    <w:rsid w:val="00B82FE5"/>
    <w:rsid w:val="00B83107"/>
    <w:rsid w:val="00B831DB"/>
    <w:rsid w:val="00B83252"/>
    <w:rsid w:val="00B83314"/>
    <w:rsid w:val="00B83328"/>
    <w:rsid w:val="00B833BB"/>
    <w:rsid w:val="00B83506"/>
    <w:rsid w:val="00B8359F"/>
    <w:rsid w:val="00B83720"/>
    <w:rsid w:val="00B837CD"/>
    <w:rsid w:val="00B83860"/>
    <w:rsid w:val="00B83A4D"/>
    <w:rsid w:val="00B83D61"/>
    <w:rsid w:val="00B83E28"/>
    <w:rsid w:val="00B83E45"/>
    <w:rsid w:val="00B842E8"/>
    <w:rsid w:val="00B843B5"/>
    <w:rsid w:val="00B843CB"/>
    <w:rsid w:val="00B84709"/>
    <w:rsid w:val="00B84876"/>
    <w:rsid w:val="00B8492E"/>
    <w:rsid w:val="00B849C7"/>
    <w:rsid w:val="00B84A06"/>
    <w:rsid w:val="00B85038"/>
    <w:rsid w:val="00B8505D"/>
    <w:rsid w:val="00B850E2"/>
    <w:rsid w:val="00B851D6"/>
    <w:rsid w:val="00B8535E"/>
    <w:rsid w:val="00B853DC"/>
    <w:rsid w:val="00B85412"/>
    <w:rsid w:val="00B855BE"/>
    <w:rsid w:val="00B85611"/>
    <w:rsid w:val="00B856B2"/>
    <w:rsid w:val="00B857AD"/>
    <w:rsid w:val="00B85A17"/>
    <w:rsid w:val="00B85A91"/>
    <w:rsid w:val="00B85D51"/>
    <w:rsid w:val="00B85E8B"/>
    <w:rsid w:val="00B85F0F"/>
    <w:rsid w:val="00B85FCE"/>
    <w:rsid w:val="00B8600B"/>
    <w:rsid w:val="00B86480"/>
    <w:rsid w:val="00B864FE"/>
    <w:rsid w:val="00B869CC"/>
    <w:rsid w:val="00B86B17"/>
    <w:rsid w:val="00B86B28"/>
    <w:rsid w:val="00B86C79"/>
    <w:rsid w:val="00B86E9A"/>
    <w:rsid w:val="00B86E9F"/>
    <w:rsid w:val="00B86ECF"/>
    <w:rsid w:val="00B86FE6"/>
    <w:rsid w:val="00B870AE"/>
    <w:rsid w:val="00B872B4"/>
    <w:rsid w:val="00B873A2"/>
    <w:rsid w:val="00B873E5"/>
    <w:rsid w:val="00B873F7"/>
    <w:rsid w:val="00B87A28"/>
    <w:rsid w:val="00B87B55"/>
    <w:rsid w:val="00B87B7C"/>
    <w:rsid w:val="00B87CD2"/>
    <w:rsid w:val="00B87DCC"/>
    <w:rsid w:val="00B87E29"/>
    <w:rsid w:val="00B87E2D"/>
    <w:rsid w:val="00B90397"/>
    <w:rsid w:val="00B907FF"/>
    <w:rsid w:val="00B90818"/>
    <w:rsid w:val="00B90825"/>
    <w:rsid w:val="00B90C92"/>
    <w:rsid w:val="00B90CA6"/>
    <w:rsid w:val="00B90DFB"/>
    <w:rsid w:val="00B90E1F"/>
    <w:rsid w:val="00B90E96"/>
    <w:rsid w:val="00B90EA4"/>
    <w:rsid w:val="00B90ED2"/>
    <w:rsid w:val="00B910FA"/>
    <w:rsid w:val="00B9116C"/>
    <w:rsid w:val="00B915FF"/>
    <w:rsid w:val="00B9171E"/>
    <w:rsid w:val="00B9171F"/>
    <w:rsid w:val="00B917D0"/>
    <w:rsid w:val="00B9184E"/>
    <w:rsid w:val="00B91857"/>
    <w:rsid w:val="00B91A34"/>
    <w:rsid w:val="00B91A48"/>
    <w:rsid w:val="00B91A5E"/>
    <w:rsid w:val="00B91E3D"/>
    <w:rsid w:val="00B91F65"/>
    <w:rsid w:val="00B925C7"/>
    <w:rsid w:val="00B9261D"/>
    <w:rsid w:val="00B92703"/>
    <w:rsid w:val="00B9271E"/>
    <w:rsid w:val="00B9284B"/>
    <w:rsid w:val="00B929EF"/>
    <w:rsid w:val="00B92BF4"/>
    <w:rsid w:val="00B9310D"/>
    <w:rsid w:val="00B931BE"/>
    <w:rsid w:val="00B9320F"/>
    <w:rsid w:val="00B93427"/>
    <w:rsid w:val="00B93907"/>
    <w:rsid w:val="00B93925"/>
    <w:rsid w:val="00B939E8"/>
    <w:rsid w:val="00B93C4A"/>
    <w:rsid w:val="00B93D16"/>
    <w:rsid w:val="00B93E08"/>
    <w:rsid w:val="00B93E12"/>
    <w:rsid w:val="00B941E6"/>
    <w:rsid w:val="00B942CB"/>
    <w:rsid w:val="00B943A5"/>
    <w:rsid w:val="00B944AE"/>
    <w:rsid w:val="00B946F0"/>
    <w:rsid w:val="00B947D9"/>
    <w:rsid w:val="00B94991"/>
    <w:rsid w:val="00B94AA1"/>
    <w:rsid w:val="00B94C2A"/>
    <w:rsid w:val="00B94D2F"/>
    <w:rsid w:val="00B95402"/>
    <w:rsid w:val="00B95504"/>
    <w:rsid w:val="00B956F7"/>
    <w:rsid w:val="00B957FC"/>
    <w:rsid w:val="00B9591C"/>
    <w:rsid w:val="00B959B2"/>
    <w:rsid w:val="00B95ABE"/>
    <w:rsid w:val="00B95AEA"/>
    <w:rsid w:val="00B95B57"/>
    <w:rsid w:val="00B95C7D"/>
    <w:rsid w:val="00B95D5B"/>
    <w:rsid w:val="00B95E7B"/>
    <w:rsid w:val="00B96079"/>
    <w:rsid w:val="00B960FB"/>
    <w:rsid w:val="00B96263"/>
    <w:rsid w:val="00B96411"/>
    <w:rsid w:val="00B96446"/>
    <w:rsid w:val="00B96614"/>
    <w:rsid w:val="00B96715"/>
    <w:rsid w:val="00B968FC"/>
    <w:rsid w:val="00B96924"/>
    <w:rsid w:val="00B9692A"/>
    <w:rsid w:val="00B96BD4"/>
    <w:rsid w:val="00B96D2C"/>
    <w:rsid w:val="00B96E1E"/>
    <w:rsid w:val="00B96F03"/>
    <w:rsid w:val="00B973B5"/>
    <w:rsid w:val="00B9742C"/>
    <w:rsid w:val="00B9759C"/>
    <w:rsid w:val="00B975B2"/>
    <w:rsid w:val="00B97651"/>
    <w:rsid w:val="00B97659"/>
    <w:rsid w:val="00B97848"/>
    <w:rsid w:val="00B97C67"/>
    <w:rsid w:val="00B97CF0"/>
    <w:rsid w:val="00B97D26"/>
    <w:rsid w:val="00B97D3D"/>
    <w:rsid w:val="00B97EA1"/>
    <w:rsid w:val="00BA0003"/>
    <w:rsid w:val="00BA007F"/>
    <w:rsid w:val="00BA00E1"/>
    <w:rsid w:val="00BA032E"/>
    <w:rsid w:val="00BA0410"/>
    <w:rsid w:val="00BA04B2"/>
    <w:rsid w:val="00BA05BE"/>
    <w:rsid w:val="00BA0656"/>
    <w:rsid w:val="00BA068A"/>
    <w:rsid w:val="00BA084C"/>
    <w:rsid w:val="00BA08A0"/>
    <w:rsid w:val="00BA0990"/>
    <w:rsid w:val="00BA0A81"/>
    <w:rsid w:val="00BA0ABA"/>
    <w:rsid w:val="00BA0D0A"/>
    <w:rsid w:val="00BA1379"/>
    <w:rsid w:val="00BA1614"/>
    <w:rsid w:val="00BA1846"/>
    <w:rsid w:val="00BA1881"/>
    <w:rsid w:val="00BA19DA"/>
    <w:rsid w:val="00BA1BAB"/>
    <w:rsid w:val="00BA1D9A"/>
    <w:rsid w:val="00BA1FAD"/>
    <w:rsid w:val="00BA2178"/>
    <w:rsid w:val="00BA2199"/>
    <w:rsid w:val="00BA22B3"/>
    <w:rsid w:val="00BA2300"/>
    <w:rsid w:val="00BA25BA"/>
    <w:rsid w:val="00BA25CE"/>
    <w:rsid w:val="00BA2610"/>
    <w:rsid w:val="00BA27E1"/>
    <w:rsid w:val="00BA2BCC"/>
    <w:rsid w:val="00BA2EED"/>
    <w:rsid w:val="00BA3082"/>
    <w:rsid w:val="00BA3231"/>
    <w:rsid w:val="00BA33CE"/>
    <w:rsid w:val="00BA349C"/>
    <w:rsid w:val="00BA35A9"/>
    <w:rsid w:val="00BA364A"/>
    <w:rsid w:val="00BA36B8"/>
    <w:rsid w:val="00BA3758"/>
    <w:rsid w:val="00BA37DB"/>
    <w:rsid w:val="00BA38CC"/>
    <w:rsid w:val="00BA38EC"/>
    <w:rsid w:val="00BA3957"/>
    <w:rsid w:val="00BA3B2E"/>
    <w:rsid w:val="00BA3B72"/>
    <w:rsid w:val="00BA3BC2"/>
    <w:rsid w:val="00BA3CA0"/>
    <w:rsid w:val="00BA3D48"/>
    <w:rsid w:val="00BA40A8"/>
    <w:rsid w:val="00BA455F"/>
    <w:rsid w:val="00BA45EF"/>
    <w:rsid w:val="00BA4699"/>
    <w:rsid w:val="00BA46F4"/>
    <w:rsid w:val="00BA48BC"/>
    <w:rsid w:val="00BA4A04"/>
    <w:rsid w:val="00BA4A48"/>
    <w:rsid w:val="00BA4B22"/>
    <w:rsid w:val="00BA4CA9"/>
    <w:rsid w:val="00BA4D32"/>
    <w:rsid w:val="00BA4FD3"/>
    <w:rsid w:val="00BA51D8"/>
    <w:rsid w:val="00BA5300"/>
    <w:rsid w:val="00BA53B5"/>
    <w:rsid w:val="00BA5554"/>
    <w:rsid w:val="00BA5694"/>
    <w:rsid w:val="00BA57DF"/>
    <w:rsid w:val="00BA5940"/>
    <w:rsid w:val="00BA5A81"/>
    <w:rsid w:val="00BA5AA7"/>
    <w:rsid w:val="00BA5E99"/>
    <w:rsid w:val="00BA6089"/>
    <w:rsid w:val="00BA60AF"/>
    <w:rsid w:val="00BA60F4"/>
    <w:rsid w:val="00BA6118"/>
    <w:rsid w:val="00BA625B"/>
    <w:rsid w:val="00BA63AA"/>
    <w:rsid w:val="00BA65F1"/>
    <w:rsid w:val="00BA66A8"/>
    <w:rsid w:val="00BA6817"/>
    <w:rsid w:val="00BA68AD"/>
    <w:rsid w:val="00BA68C4"/>
    <w:rsid w:val="00BA692F"/>
    <w:rsid w:val="00BA6C0F"/>
    <w:rsid w:val="00BA6D1B"/>
    <w:rsid w:val="00BA6EC1"/>
    <w:rsid w:val="00BA7080"/>
    <w:rsid w:val="00BA7190"/>
    <w:rsid w:val="00BA7398"/>
    <w:rsid w:val="00BA7424"/>
    <w:rsid w:val="00BA7442"/>
    <w:rsid w:val="00BA74E4"/>
    <w:rsid w:val="00BA74F5"/>
    <w:rsid w:val="00BA756F"/>
    <w:rsid w:val="00BA7A16"/>
    <w:rsid w:val="00BA7B8C"/>
    <w:rsid w:val="00BA7E0C"/>
    <w:rsid w:val="00BA7FF7"/>
    <w:rsid w:val="00BB031B"/>
    <w:rsid w:val="00BB034E"/>
    <w:rsid w:val="00BB042F"/>
    <w:rsid w:val="00BB07A5"/>
    <w:rsid w:val="00BB08EA"/>
    <w:rsid w:val="00BB0965"/>
    <w:rsid w:val="00BB09CA"/>
    <w:rsid w:val="00BB0AB7"/>
    <w:rsid w:val="00BB0D1A"/>
    <w:rsid w:val="00BB0D45"/>
    <w:rsid w:val="00BB0F64"/>
    <w:rsid w:val="00BB0FB3"/>
    <w:rsid w:val="00BB1157"/>
    <w:rsid w:val="00BB11D0"/>
    <w:rsid w:val="00BB128C"/>
    <w:rsid w:val="00BB148A"/>
    <w:rsid w:val="00BB14B0"/>
    <w:rsid w:val="00BB1500"/>
    <w:rsid w:val="00BB1571"/>
    <w:rsid w:val="00BB160F"/>
    <w:rsid w:val="00BB1647"/>
    <w:rsid w:val="00BB16C0"/>
    <w:rsid w:val="00BB1730"/>
    <w:rsid w:val="00BB1749"/>
    <w:rsid w:val="00BB19F4"/>
    <w:rsid w:val="00BB1F49"/>
    <w:rsid w:val="00BB1FC0"/>
    <w:rsid w:val="00BB2015"/>
    <w:rsid w:val="00BB2397"/>
    <w:rsid w:val="00BB2415"/>
    <w:rsid w:val="00BB26B7"/>
    <w:rsid w:val="00BB2824"/>
    <w:rsid w:val="00BB28ED"/>
    <w:rsid w:val="00BB292D"/>
    <w:rsid w:val="00BB29D2"/>
    <w:rsid w:val="00BB29E6"/>
    <w:rsid w:val="00BB2CCB"/>
    <w:rsid w:val="00BB2EAB"/>
    <w:rsid w:val="00BB2F64"/>
    <w:rsid w:val="00BB30C7"/>
    <w:rsid w:val="00BB31D4"/>
    <w:rsid w:val="00BB322C"/>
    <w:rsid w:val="00BB3665"/>
    <w:rsid w:val="00BB39F2"/>
    <w:rsid w:val="00BB3D5B"/>
    <w:rsid w:val="00BB3D6F"/>
    <w:rsid w:val="00BB3EFA"/>
    <w:rsid w:val="00BB3FC8"/>
    <w:rsid w:val="00BB4062"/>
    <w:rsid w:val="00BB4125"/>
    <w:rsid w:val="00BB41F8"/>
    <w:rsid w:val="00BB42AB"/>
    <w:rsid w:val="00BB448C"/>
    <w:rsid w:val="00BB471F"/>
    <w:rsid w:val="00BB4732"/>
    <w:rsid w:val="00BB4749"/>
    <w:rsid w:val="00BB491B"/>
    <w:rsid w:val="00BB4C15"/>
    <w:rsid w:val="00BB4D33"/>
    <w:rsid w:val="00BB5183"/>
    <w:rsid w:val="00BB525C"/>
    <w:rsid w:val="00BB52C4"/>
    <w:rsid w:val="00BB561D"/>
    <w:rsid w:val="00BB5717"/>
    <w:rsid w:val="00BB584F"/>
    <w:rsid w:val="00BB5890"/>
    <w:rsid w:val="00BB59F5"/>
    <w:rsid w:val="00BB5CD2"/>
    <w:rsid w:val="00BB6078"/>
    <w:rsid w:val="00BB61BA"/>
    <w:rsid w:val="00BB625B"/>
    <w:rsid w:val="00BB63C8"/>
    <w:rsid w:val="00BB6961"/>
    <w:rsid w:val="00BB6CC1"/>
    <w:rsid w:val="00BB6D39"/>
    <w:rsid w:val="00BB717A"/>
    <w:rsid w:val="00BB71A4"/>
    <w:rsid w:val="00BB7247"/>
    <w:rsid w:val="00BB7528"/>
    <w:rsid w:val="00BB75B8"/>
    <w:rsid w:val="00BB764D"/>
    <w:rsid w:val="00BB7681"/>
    <w:rsid w:val="00BB79E7"/>
    <w:rsid w:val="00BB7A1A"/>
    <w:rsid w:val="00BB7D27"/>
    <w:rsid w:val="00BC0154"/>
    <w:rsid w:val="00BC025F"/>
    <w:rsid w:val="00BC037B"/>
    <w:rsid w:val="00BC03BA"/>
    <w:rsid w:val="00BC0445"/>
    <w:rsid w:val="00BC050F"/>
    <w:rsid w:val="00BC0558"/>
    <w:rsid w:val="00BC062C"/>
    <w:rsid w:val="00BC065A"/>
    <w:rsid w:val="00BC0685"/>
    <w:rsid w:val="00BC06FC"/>
    <w:rsid w:val="00BC07CD"/>
    <w:rsid w:val="00BC0953"/>
    <w:rsid w:val="00BC0B96"/>
    <w:rsid w:val="00BC0D7E"/>
    <w:rsid w:val="00BC0DA7"/>
    <w:rsid w:val="00BC0EEE"/>
    <w:rsid w:val="00BC1240"/>
    <w:rsid w:val="00BC12C9"/>
    <w:rsid w:val="00BC16E2"/>
    <w:rsid w:val="00BC17DF"/>
    <w:rsid w:val="00BC191D"/>
    <w:rsid w:val="00BC1ABC"/>
    <w:rsid w:val="00BC1B81"/>
    <w:rsid w:val="00BC1E25"/>
    <w:rsid w:val="00BC242A"/>
    <w:rsid w:val="00BC246C"/>
    <w:rsid w:val="00BC2640"/>
    <w:rsid w:val="00BC268E"/>
    <w:rsid w:val="00BC27E9"/>
    <w:rsid w:val="00BC27F0"/>
    <w:rsid w:val="00BC2917"/>
    <w:rsid w:val="00BC2BCB"/>
    <w:rsid w:val="00BC2BD0"/>
    <w:rsid w:val="00BC2C0D"/>
    <w:rsid w:val="00BC2C4E"/>
    <w:rsid w:val="00BC2D82"/>
    <w:rsid w:val="00BC2DD1"/>
    <w:rsid w:val="00BC2F46"/>
    <w:rsid w:val="00BC3051"/>
    <w:rsid w:val="00BC33E6"/>
    <w:rsid w:val="00BC35D1"/>
    <w:rsid w:val="00BC3643"/>
    <w:rsid w:val="00BC3697"/>
    <w:rsid w:val="00BC36E3"/>
    <w:rsid w:val="00BC37B1"/>
    <w:rsid w:val="00BC37BE"/>
    <w:rsid w:val="00BC3B34"/>
    <w:rsid w:val="00BC3CAD"/>
    <w:rsid w:val="00BC410D"/>
    <w:rsid w:val="00BC422E"/>
    <w:rsid w:val="00BC45B7"/>
    <w:rsid w:val="00BC4C61"/>
    <w:rsid w:val="00BC4C75"/>
    <w:rsid w:val="00BC4D1A"/>
    <w:rsid w:val="00BC5078"/>
    <w:rsid w:val="00BC559B"/>
    <w:rsid w:val="00BC5689"/>
    <w:rsid w:val="00BC5698"/>
    <w:rsid w:val="00BC5AE9"/>
    <w:rsid w:val="00BC605C"/>
    <w:rsid w:val="00BC6095"/>
    <w:rsid w:val="00BC636E"/>
    <w:rsid w:val="00BC639C"/>
    <w:rsid w:val="00BC6416"/>
    <w:rsid w:val="00BC6432"/>
    <w:rsid w:val="00BC6C34"/>
    <w:rsid w:val="00BC6D8A"/>
    <w:rsid w:val="00BC6FAF"/>
    <w:rsid w:val="00BC7044"/>
    <w:rsid w:val="00BC739E"/>
    <w:rsid w:val="00BC7412"/>
    <w:rsid w:val="00BC76E6"/>
    <w:rsid w:val="00BC7799"/>
    <w:rsid w:val="00BC791F"/>
    <w:rsid w:val="00BC7A2F"/>
    <w:rsid w:val="00BC7C92"/>
    <w:rsid w:val="00BC7EB9"/>
    <w:rsid w:val="00BC7F44"/>
    <w:rsid w:val="00BD0027"/>
    <w:rsid w:val="00BD01E5"/>
    <w:rsid w:val="00BD02B2"/>
    <w:rsid w:val="00BD02F5"/>
    <w:rsid w:val="00BD0A3B"/>
    <w:rsid w:val="00BD0AB0"/>
    <w:rsid w:val="00BD0B85"/>
    <w:rsid w:val="00BD0C26"/>
    <w:rsid w:val="00BD0F89"/>
    <w:rsid w:val="00BD0FF2"/>
    <w:rsid w:val="00BD0FFD"/>
    <w:rsid w:val="00BD1207"/>
    <w:rsid w:val="00BD1315"/>
    <w:rsid w:val="00BD131A"/>
    <w:rsid w:val="00BD13C8"/>
    <w:rsid w:val="00BD1458"/>
    <w:rsid w:val="00BD14DB"/>
    <w:rsid w:val="00BD1542"/>
    <w:rsid w:val="00BD15F1"/>
    <w:rsid w:val="00BD1621"/>
    <w:rsid w:val="00BD195C"/>
    <w:rsid w:val="00BD1DF5"/>
    <w:rsid w:val="00BD2041"/>
    <w:rsid w:val="00BD20E8"/>
    <w:rsid w:val="00BD215E"/>
    <w:rsid w:val="00BD2163"/>
    <w:rsid w:val="00BD2238"/>
    <w:rsid w:val="00BD2508"/>
    <w:rsid w:val="00BD2622"/>
    <w:rsid w:val="00BD27E8"/>
    <w:rsid w:val="00BD283F"/>
    <w:rsid w:val="00BD2BAE"/>
    <w:rsid w:val="00BD2C1F"/>
    <w:rsid w:val="00BD2E11"/>
    <w:rsid w:val="00BD300D"/>
    <w:rsid w:val="00BD30B3"/>
    <w:rsid w:val="00BD32A2"/>
    <w:rsid w:val="00BD3643"/>
    <w:rsid w:val="00BD3726"/>
    <w:rsid w:val="00BD38AC"/>
    <w:rsid w:val="00BD3A54"/>
    <w:rsid w:val="00BD3B56"/>
    <w:rsid w:val="00BD3BA5"/>
    <w:rsid w:val="00BD3BBE"/>
    <w:rsid w:val="00BD3BFD"/>
    <w:rsid w:val="00BD3DE0"/>
    <w:rsid w:val="00BD4107"/>
    <w:rsid w:val="00BD4667"/>
    <w:rsid w:val="00BD46D5"/>
    <w:rsid w:val="00BD47BC"/>
    <w:rsid w:val="00BD4834"/>
    <w:rsid w:val="00BD4B9D"/>
    <w:rsid w:val="00BD4C6D"/>
    <w:rsid w:val="00BD4C89"/>
    <w:rsid w:val="00BD504A"/>
    <w:rsid w:val="00BD532C"/>
    <w:rsid w:val="00BD553C"/>
    <w:rsid w:val="00BD567A"/>
    <w:rsid w:val="00BD5A9C"/>
    <w:rsid w:val="00BD5AA2"/>
    <w:rsid w:val="00BD5B3C"/>
    <w:rsid w:val="00BD5B8F"/>
    <w:rsid w:val="00BD6119"/>
    <w:rsid w:val="00BD61E6"/>
    <w:rsid w:val="00BD62E2"/>
    <w:rsid w:val="00BD6763"/>
    <w:rsid w:val="00BD689D"/>
    <w:rsid w:val="00BD68AE"/>
    <w:rsid w:val="00BD6BB2"/>
    <w:rsid w:val="00BD6C61"/>
    <w:rsid w:val="00BD6DCB"/>
    <w:rsid w:val="00BD6EB8"/>
    <w:rsid w:val="00BD6FC7"/>
    <w:rsid w:val="00BD7003"/>
    <w:rsid w:val="00BD7049"/>
    <w:rsid w:val="00BD7109"/>
    <w:rsid w:val="00BD72D6"/>
    <w:rsid w:val="00BD7549"/>
    <w:rsid w:val="00BD7593"/>
    <w:rsid w:val="00BD7702"/>
    <w:rsid w:val="00BD784A"/>
    <w:rsid w:val="00BD7920"/>
    <w:rsid w:val="00BD7BEF"/>
    <w:rsid w:val="00BD7E3F"/>
    <w:rsid w:val="00BD7E40"/>
    <w:rsid w:val="00BE01AD"/>
    <w:rsid w:val="00BE07C0"/>
    <w:rsid w:val="00BE087B"/>
    <w:rsid w:val="00BE0A83"/>
    <w:rsid w:val="00BE0BB4"/>
    <w:rsid w:val="00BE0BE2"/>
    <w:rsid w:val="00BE0C08"/>
    <w:rsid w:val="00BE0E70"/>
    <w:rsid w:val="00BE0F4A"/>
    <w:rsid w:val="00BE1195"/>
    <w:rsid w:val="00BE1557"/>
    <w:rsid w:val="00BE1640"/>
    <w:rsid w:val="00BE166B"/>
    <w:rsid w:val="00BE188C"/>
    <w:rsid w:val="00BE1963"/>
    <w:rsid w:val="00BE1C05"/>
    <w:rsid w:val="00BE1C55"/>
    <w:rsid w:val="00BE1C6F"/>
    <w:rsid w:val="00BE1D23"/>
    <w:rsid w:val="00BE1F74"/>
    <w:rsid w:val="00BE244A"/>
    <w:rsid w:val="00BE249D"/>
    <w:rsid w:val="00BE2775"/>
    <w:rsid w:val="00BE282F"/>
    <w:rsid w:val="00BE28C2"/>
    <w:rsid w:val="00BE2999"/>
    <w:rsid w:val="00BE2BAE"/>
    <w:rsid w:val="00BE3165"/>
    <w:rsid w:val="00BE33C3"/>
    <w:rsid w:val="00BE3791"/>
    <w:rsid w:val="00BE3A03"/>
    <w:rsid w:val="00BE3D87"/>
    <w:rsid w:val="00BE3EEB"/>
    <w:rsid w:val="00BE428D"/>
    <w:rsid w:val="00BE444E"/>
    <w:rsid w:val="00BE4468"/>
    <w:rsid w:val="00BE46A4"/>
    <w:rsid w:val="00BE484E"/>
    <w:rsid w:val="00BE4857"/>
    <w:rsid w:val="00BE48D2"/>
    <w:rsid w:val="00BE49B1"/>
    <w:rsid w:val="00BE4EE0"/>
    <w:rsid w:val="00BE50B8"/>
    <w:rsid w:val="00BE50F3"/>
    <w:rsid w:val="00BE5294"/>
    <w:rsid w:val="00BE5357"/>
    <w:rsid w:val="00BE539B"/>
    <w:rsid w:val="00BE53DA"/>
    <w:rsid w:val="00BE56CD"/>
    <w:rsid w:val="00BE5ABB"/>
    <w:rsid w:val="00BE5B61"/>
    <w:rsid w:val="00BE5F7C"/>
    <w:rsid w:val="00BE63FC"/>
    <w:rsid w:val="00BE6546"/>
    <w:rsid w:val="00BE6806"/>
    <w:rsid w:val="00BE6CDF"/>
    <w:rsid w:val="00BE6CFE"/>
    <w:rsid w:val="00BE6EC8"/>
    <w:rsid w:val="00BE6F71"/>
    <w:rsid w:val="00BE7478"/>
    <w:rsid w:val="00BE750D"/>
    <w:rsid w:val="00BE7741"/>
    <w:rsid w:val="00BE79CF"/>
    <w:rsid w:val="00BE7AD8"/>
    <w:rsid w:val="00BE7B89"/>
    <w:rsid w:val="00BE7BF5"/>
    <w:rsid w:val="00BF00BE"/>
    <w:rsid w:val="00BF00F6"/>
    <w:rsid w:val="00BF00FA"/>
    <w:rsid w:val="00BF0136"/>
    <w:rsid w:val="00BF01C8"/>
    <w:rsid w:val="00BF03D6"/>
    <w:rsid w:val="00BF04DD"/>
    <w:rsid w:val="00BF04DE"/>
    <w:rsid w:val="00BF05A2"/>
    <w:rsid w:val="00BF05CF"/>
    <w:rsid w:val="00BF06D8"/>
    <w:rsid w:val="00BF0C33"/>
    <w:rsid w:val="00BF0FA9"/>
    <w:rsid w:val="00BF1100"/>
    <w:rsid w:val="00BF154A"/>
    <w:rsid w:val="00BF15F4"/>
    <w:rsid w:val="00BF1A78"/>
    <w:rsid w:val="00BF1AE2"/>
    <w:rsid w:val="00BF1DF5"/>
    <w:rsid w:val="00BF1E2C"/>
    <w:rsid w:val="00BF1FD2"/>
    <w:rsid w:val="00BF202B"/>
    <w:rsid w:val="00BF2416"/>
    <w:rsid w:val="00BF2426"/>
    <w:rsid w:val="00BF2545"/>
    <w:rsid w:val="00BF26F8"/>
    <w:rsid w:val="00BF27C1"/>
    <w:rsid w:val="00BF29C3"/>
    <w:rsid w:val="00BF2A2E"/>
    <w:rsid w:val="00BF2A76"/>
    <w:rsid w:val="00BF2AEE"/>
    <w:rsid w:val="00BF2B31"/>
    <w:rsid w:val="00BF2B65"/>
    <w:rsid w:val="00BF2BBD"/>
    <w:rsid w:val="00BF2C40"/>
    <w:rsid w:val="00BF35BD"/>
    <w:rsid w:val="00BF3925"/>
    <w:rsid w:val="00BF3A12"/>
    <w:rsid w:val="00BF3B9C"/>
    <w:rsid w:val="00BF3BA0"/>
    <w:rsid w:val="00BF4003"/>
    <w:rsid w:val="00BF40C1"/>
    <w:rsid w:val="00BF451E"/>
    <w:rsid w:val="00BF4843"/>
    <w:rsid w:val="00BF490C"/>
    <w:rsid w:val="00BF4914"/>
    <w:rsid w:val="00BF4A98"/>
    <w:rsid w:val="00BF4EBB"/>
    <w:rsid w:val="00BF5040"/>
    <w:rsid w:val="00BF509D"/>
    <w:rsid w:val="00BF5231"/>
    <w:rsid w:val="00BF5528"/>
    <w:rsid w:val="00BF5543"/>
    <w:rsid w:val="00BF5676"/>
    <w:rsid w:val="00BF5754"/>
    <w:rsid w:val="00BF591E"/>
    <w:rsid w:val="00BF5B22"/>
    <w:rsid w:val="00BF5C6E"/>
    <w:rsid w:val="00BF5E15"/>
    <w:rsid w:val="00BF5FCF"/>
    <w:rsid w:val="00BF6413"/>
    <w:rsid w:val="00BF6867"/>
    <w:rsid w:val="00BF6937"/>
    <w:rsid w:val="00BF6AF4"/>
    <w:rsid w:val="00BF6B9F"/>
    <w:rsid w:val="00BF738B"/>
    <w:rsid w:val="00BF74BD"/>
    <w:rsid w:val="00BF7D47"/>
    <w:rsid w:val="00C00094"/>
    <w:rsid w:val="00C000AF"/>
    <w:rsid w:val="00C00281"/>
    <w:rsid w:val="00C003CC"/>
    <w:rsid w:val="00C004A0"/>
    <w:rsid w:val="00C006BA"/>
    <w:rsid w:val="00C00796"/>
    <w:rsid w:val="00C008E8"/>
    <w:rsid w:val="00C009F6"/>
    <w:rsid w:val="00C00A1C"/>
    <w:rsid w:val="00C0140A"/>
    <w:rsid w:val="00C015BC"/>
    <w:rsid w:val="00C0172F"/>
    <w:rsid w:val="00C0199A"/>
    <w:rsid w:val="00C01A20"/>
    <w:rsid w:val="00C01ADA"/>
    <w:rsid w:val="00C01C73"/>
    <w:rsid w:val="00C01DDF"/>
    <w:rsid w:val="00C020A5"/>
    <w:rsid w:val="00C0251E"/>
    <w:rsid w:val="00C025FC"/>
    <w:rsid w:val="00C0278E"/>
    <w:rsid w:val="00C0279A"/>
    <w:rsid w:val="00C02867"/>
    <w:rsid w:val="00C02927"/>
    <w:rsid w:val="00C029D7"/>
    <w:rsid w:val="00C02A2C"/>
    <w:rsid w:val="00C02A75"/>
    <w:rsid w:val="00C02AA2"/>
    <w:rsid w:val="00C02CF3"/>
    <w:rsid w:val="00C02D0A"/>
    <w:rsid w:val="00C02DAC"/>
    <w:rsid w:val="00C02E27"/>
    <w:rsid w:val="00C0313E"/>
    <w:rsid w:val="00C0327D"/>
    <w:rsid w:val="00C03348"/>
    <w:rsid w:val="00C033FA"/>
    <w:rsid w:val="00C03407"/>
    <w:rsid w:val="00C03678"/>
    <w:rsid w:val="00C036F7"/>
    <w:rsid w:val="00C0380F"/>
    <w:rsid w:val="00C03BE2"/>
    <w:rsid w:val="00C03D91"/>
    <w:rsid w:val="00C03D9A"/>
    <w:rsid w:val="00C0418A"/>
    <w:rsid w:val="00C0419C"/>
    <w:rsid w:val="00C041A0"/>
    <w:rsid w:val="00C04246"/>
    <w:rsid w:val="00C043CA"/>
    <w:rsid w:val="00C04409"/>
    <w:rsid w:val="00C04566"/>
    <w:rsid w:val="00C04621"/>
    <w:rsid w:val="00C04676"/>
    <w:rsid w:val="00C048AC"/>
    <w:rsid w:val="00C04C6F"/>
    <w:rsid w:val="00C04CCA"/>
    <w:rsid w:val="00C04CFA"/>
    <w:rsid w:val="00C04DE0"/>
    <w:rsid w:val="00C04F41"/>
    <w:rsid w:val="00C05007"/>
    <w:rsid w:val="00C05011"/>
    <w:rsid w:val="00C051BF"/>
    <w:rsid w:val="00C05765"/>
    <w:rsid w:val="00C05AB4"/>
    <w:rsid w:val="00C05B4A"/>
    <w:rsid w:val="00C05CBB"/>
    <w:rsid w:val="00C05D15"/>
    <w:rsid w:val="00C05EE3"/>
    <w:rsid w:val="00C061B5"/>
    <w:rsid w:val="00C06275"/>
    <w:rsid w:val="00C062AA"/>
    <w:rsid w:val="00C06479"/>
    <w:rsid w:val="00C065D9"/>
    <w:rsid w:val="00C067D2"/>
    <w:rsid w:val="00C06919"/>
    <w:rsid w:val="00C06AE0"/>
    <w:rsid w:val="00C06B64"/>
    <w:rsid w:val="00C06BF9"/>
    <w:rsid w:val="00C06C22"/>
    <w:rsid w:val="00C06D8E"/>
    <w:rsid w:val="00C06DBE"/>
    <w:rsid w:val="00C06DE4"/>
    <w:rsid w:val="00C06F3B"/>
    <w:rsid w:val="00C06F80"/>
    <w:rsid w:val="00C0707F"/>
    <w:rsid w:val="00C07121"/>
    <w:rsid w:val="00C071D9"/>
    <w:rsid w:val="00C0723D"/>
    <w:rsid w:val="00C072CC"/>
    <w:rsid w:val="00C07394"/>
    <w:rsid w:val="00C074AC"/>
    <w:rsid w:val="00C076D6"/>
    <w:rsid w:val="00C07991"/>
    <w:rsid w:val="00C07A5E"/>
    <w:rsid w:val="00C07C35"/>
    <w:rsid w:val="00C07F94"/>
    <w:rsid w:val="00C07FEB"/>
    <w:rsid w:val="00C1000D"/>
    <w:rsid w:val="00C100CC"/>
    <w:rsid w:val="00C101EF"/>
    <w:rsid w:val="00C1038A"/>
    <w:rsid w:val="00C1039B"/>
    <w:rsid w:val="00C104C7"/>
    <w:rsid w:val="00C104E9"/>
    <w:rsid w:val="00C10718"/>
    <w:rsid w:val="00C1073B"/>
    <w:rsid w:val="00C10C30"/>
    <w:rsid w:val="00C10CDA"/>
    <w:rsid w:val="00C10CF0"/>
    <w:rsid w:val="00C10D4E"/>
    <w:rsid w:val="00C11343"/>
    <w:rsid w:val="00C11438"/>
    <w:rsid w:val="00C11446"/>
    <w:rsid w:val="00C118CF"/>
    <w:rsid w:val="00C1199A"/>
    <w:rsid w:val="00C119E3"/>
    <w:rsid w:val="00C119F3"/>
    <w:rsid w:val="00C11D20"/>
    <w:rsid w:val="00C1222C"/>
    <w:rsid w:val="00C123A1"/>
    <w:rsid w:val="00C12413"/>
    <w:rsid w:val="00C12863"/>
    <w:rsid w:val="00C12893"/>
    <w:rsid w:val="00C12951"/>
    <w:rsid w:val="00C129E4"/>
    <w:rsid w:val="00C12A9F"/>
    <w:rsid w:val="00C12AD0"/>
    <w:rsid w:val="00C12C66"/>
    <w:rsid w:val="00C12CFA"/>
    <w:rsid w:val="00C12E6D"/>
    <w:rsid w:val="00C12F82"/>
    <w:rsid w:val="00C13051"/>
    <w:rsid w:val="00C1321B"/>
    <w:rsid w:val="00C132DC"/>
    <w:rsid w:val="00C13A3C"/>
    <w:rsid w:val="00C13ACB"/>
    <w:rsid w:val="00C13D03"/>
    <w:rsid w:val="00C13D85"/>
    <w:rsid w:val="00C140D3"/>
    <w:rsid w:val="00C142F4"/>
    <w:rsid w:val="00C144FA"/>
    <w:rsid w:val="00C145C6"/>
    <w:rsid w:val="00C14885"/>
    <w:rsid w:val="00C1489C"/>
    <w:rsid w:val="00C1496F"/>
    <w:rsid w:val="00C14A0F"/>
    <w:rsid w:val="00C14D7E"/>
    <w:rsid w:val="00C14F3C"/>
    <w:rsid w:val="00C153B2"/>
    <w:rsid w:val="00C153B6"/>
    <w:rsid w:val="00C15888"/>
    <w:rsid w:val="00C159B0"/>
    <w:rsid w:val="00C15AFF"/>
    <w:rsid w:val="00C15DED"/>
    <w:rsid w:val="00C15E9C"/>
    <w:rsid w:val="00C15FD6"/>
    <w:rsid w:val="00C163A1"/>
    <w:rsid w:val="00C16697"/>
    <w:rsid w:val="00C166F8"/>
    <w:rsid w:val="00C16836"/>
    <w:rsid w:val="00C16A35"/>
    <w:rsid w:val="00C16B27"/>
    <w:rsid w:val="00C16B5B"/>
    <w:rsid w:val="00C16DDC"/>
    <w:rsid w:val="00C1720C"/>
    <w:rsid w:val="00C17259"/>
    <w:rsid w:val="00C172C3"/>
    <w:rsid w:val="00C1740D"/>
    <w:rsid w:val="00C174EB"/>
    <w:rsid w:val="00C17550"/>
    <w:rsid w:val="00C175E1"/>
    <w:rsid w:val="00C1761A"/>
    <w:rsid w:val="00C17812"/>
    <w:rsid w:val="00C17A09"/>
    <w:rsid w:val="00C17AFE"/>
    <w:rsid w:val="00C17CC4"/>
    <w:rsid w:val="00C17CEE"/>
    <w:rsid w:val="00C17D8B"/>
    <w:rsid w:val="00C17DC4"/>
    <w:rsid w:val="00C17E31"/>
    <w:rsid w:val="00C20133"/>
    <w:rsid w:val="00C201A1"/>
    <w:rsid w:val="00C20240"/>
    <w:rsid w:val="00C2030A"/>
    <w:rsid w:val="00C203A7"/>
    <w:rsid w:val="00C206D7"/>
    <w:rsid w:val="00C208F2"/>
    <w:rsid w:val="00C20991"/>
    <w:rsid w:val="00C20A9C"/>
    <w:rsid w:val="00C20AF5"/>
    <w:rsid w:val="00C20BB2"/>
    <w:rsid w:val="00C20C82"/>
    <w:rsid w:val="00C20D76"/>
    <w:rsid w:val="00C20E75"/>
    <w:rsid w:val="00C211BE"/>
    <w:rsid w:val="00C212FF"/>
    <w:rsid w:val="00C219F2"/>
    <w:rsid w:val="00C21A2C"/>
    <w:rsid w:val="00C21EB5"/>
    <w:rsid w:val="00C21EEB"/>
    <w:rsid w:val="00C21FAE"/>
    <w:rsid w:val="00C222C1"/>
    <w:rsid w:val="00C22A8C"/>
    <w:rsid w:val="00C22BB1"/>
    <w:rsid w:val="00C22C16"/>
    <w:rsid w:val="00C22FD0"/>
    <w:rsid w:val="00C22FF2"/>
    <w:rsid w:val="00C23012"/>
    <w:rsid w:val="00C2315B"/>
    <w:rsid w:val="00C231E0"/>
    <w:rsid w:val="00C2348A"/>
    <w:rsid w:val="00C23944"/>
    <w:rsid w:val="00C23AF0"/>
    <w:rsid w:val="00C23BA7"/>
    <w:rsid w:val="00C23CE7"/>
    <w:rsid w:val="00C24425"/>
    <w:rsid w:val="00C24622"/>
    <w:rsid w:val="00C247FD"/>
    <w:rsid w:val="00C2486A"/>
    <w:rsid w:val="00C24A2A"/>
    <w:rsid w:val="00C24BA9"/>
    <w:rsid w:val="00C24BE7"/>
    <w:rsid w:val="00C24DB1"/>
    <w:rsid w:val="00C24F3F"/>
    <w:rsid w:val="00C2520E"/>
    <w:rsid w:val="00C253FA"/>
    <w:rsid w:val="00C25754"/>
    <w:rsid w:val="00C258CF"/>
    <w:rsid w:val="00C25968"/>
    <w:rsid w:val="00C25F11"/>
    <w:rsid w:val="00C25FC7"/>
    <w:rsid w:val="00C26335"/>
    <w:rsid w:val="00C26679"/>
    <w:rsid w:val="00C26972"/>
    <w:rsid w:val="00C269A7"/>
    <w:rsid w:val="00C26D68"/>
    <w:rsid w:val="00C26EE2"/>
    <w:rsid w:val="00C26FAA"/>
    <w:rsid w:val="00C26FF1"/>
    <w:rsid w:val="00C270CD"/>
    <w:rsid w:val="00C272E7"/>
    <w:rsid w:val="00C27524"/>
    <w:rsid w:val="00C27854"/>
    <w:rsid w:val="00C2786E"/>
    <w:rsid w:val="00C27911"/>
    <w:rsid w:val="00C279C9"/>
    <w:rsid w:val="00C27B87"/>
    <w:rsid w:val="00C27CF3"/>
    <w:rsid w:val="00C27D4E"/>
    <w:rsid w:val="00C27D60"/>
    <w:rsid w:val="00C27D94"/>
    <w:rsid w:val="00C27DC4"/>
    <w:rsid w:val="00C27F51"/>
    <w:rsid w:val="00C30041"/>
    <w:rsid w:val="00C301F2"/>
    <w:rsid w:val="00C30224"/>
    <w:rsid w:val="00C30233"/>
    <w:rsid w:val="00C3040D"/>
    <w:rsid w:val="00C307A7"/>
    <w:rsid w:val="00C308BF"/>
    <w:rsid w:val="00C30946"/>
    <w:rsid w:val="00C30CC8"/>
    <w:rsid w:val="00C30CCE"/>
    <w:rsid w:val="00C30D68"/>
    <w:rsid w:val="00C30F70"/>
    <w:rsid w:val="00C3101B"/>
    <w:rsid w:val="00C310E2"/>
    <w:rsid w:val="00C3116F"/>
    <w:rsid w:val="00C3140E"/>
    <w:rsid w:val="00C3143A"/>
    <w:rsid w:val="00C31759"/>
    <w:rsid w:val="00C317B7"/>
    <w:rsid w:val="00C3191C"/>
    <w:rsid w:val="00C31B55"/>
    <w:rsid w:val="00C31C86"/>
    <w:rsid w:val="00C31C8D"/>
    <w:rsid w:val="00C32090"/>
    <w:rsid w:val="00C32104"/>
    <w:rsid w:val="00C32164"/>
    <w:rsid w:val="00C323EC"/>
    <w:rsid w:val="00C3249B"/>
    <w:rsid w:val="00C32522"/>
    <w:rsid w:val="00C32712"/>
    <w:rsid w:val="00C32870"/>
    <w:rsid w:val="00C32A9F"/>
    <w:rsid w:val="00C32D1B"/>
    <w:rsid w:val="00C32DE7"/>
    <w:rsid w:val="00C32EEF"/>
    <w:rsid w:val="00C330CC"/>
    <w:rsid w:val="00C331D4"/>
    <w:rsid w:val="00C3383C"/>
    <w:rsid w:val="00C338D0"/>
    <w:rsid w:val="00C3392C"/>
    <w:rsid w:val="00C339FE"/>
    <w:rsid w:val="00C33B4B"/>
    <w:rsid w:val="00C33BA7"/>
    <w:rsid w:val="00C33C01"/>
    <w:rsid w:val="00C33C45"/>
    <w:rsid w:val="00C33CB3"/>
    <w:rsid w:val="00C33CBA"/>
    <w:rsid w:val="00C33CE0"/>
    <w:rsid w:val="00C33DD1"/>
    <w:rsid w:val="00C33E79"/>
    <w:rsid w:val="00C34087"/>
    <w:rsid w:val="00C3431E"/>
    <w:rsid w:val="00C3437F"/>
    <w:rsid w:val="00C3441C"/>
    <w:rsid w:val="00C34713"/>
    <w:rsid w:val="00C34837"/>
    <w:rsid w:val="00C34842"/>
    <w:rsid w:val="00C34A61"/>
    <w:rsid w:val="00C34A7C"/>
    <w:rsid w:val="00C34AB2"/>
    <w:rsid w:val="00C34B52"/>
    <w:rsid w:val="00C34C1F"/>
    <w:rsid w:val="00C34E17"/>
    <w:rsid w:val="00C34E51"/>
    <w:rsid w:val="00C35017"/>
    <w:rsid w:val="00C3515A"/>
    <w:rsid w:val="00C351D4"/>
    <w:rsid w:val="00C354BB"/>
    <w:rsid w:val="00C3560B"/>
    <w:rsid w:val="00C35611"/>
    <w:rsid w:val="00C357B9"/>
    <w:rsid w:val="00C3590F"/>
    <w:rsid w:val="00C35922"/>
    <w:rsid w:val="00C35A50"/>
    <w:rsid w:val="00C35B96"/>
    <w:rsid w:val="00C35B9C"/>
    <w:rsid w:val="00C360EB"/>
    <w:rsid w:val="00C3621A"/>
    <w:rsid w:val="00C363CD"/>
    <w:rsid w:val="00C36884"/>
    <w:rsid w:val="00C3692C"/>
    <w:rsid w:val="00C36997"/>
    <w:rsid w:val="00C36A84"/>
    <w:rsid w:val="00C3725E"/>
    <w:rsid w:val="00C3774F"/>
    <w:rsid w:val="00C37A13"/>
    <w:rsid w:val="00C40071"/>
    <w:rsid w:val="00C401E1"/>
    <w:rsid w:val="00C40207"/>
    <w:rsid w:val="00C404D2"/>
    <w:rsid w:val="00C405B1"/>
    <w:rsid w:val="00C405EF"/>
    <w:rsid w:val="00C407F6"/>
    <w:rsid w:val="00C40840"/>
    <w:rsid w:val="00C409E2"/>
    <w:rsid w:val="00C40AC7"/>
    <w:rsid w:val="00C40E16"/>
    <w:rsid w:val="00C40E73"/>
    <w:rsid w:val="00C4104F"/>
    <w:rsid w:val="00C41311"/>
    <w:rsid w:val="00C41359"/>
    <w:rsid w:val="00C4146E"/>
    <w:rsid w:val="00C414D2"/>
    <w:rsid w:val="00C41528"/>
    <w:rsid w:val="00C415F1"/>
    <w:rsid w:val="00C41710"/>
    <w:rsid w:val="00C41751"/>
    <w:rsid w:val="00C41A62"/>
    <w:rsid w:val="00C41AE2"/>
    <w:rsid w:val="00C41BFF"/>
    <w:rsid w:val="00C42020"/>
    <w:rsid w:val="00C4202E"/>
    <w:rsid w:val="00C42053"/>
    <w:rsid w:val="00C42064"/>
    <w:rsid w:val="00C42079"/>
    <w:rsid w:val="00C4235A"/>
    <w:rsid w:val="00C423E6"/>
    <w:rsid w:val="00C4245C"/>
    <w:rsid w:val="00C425AA"/>
    <w:rsid w:val="00C425D3"/>
    <w:rsid w:val="00C428F2"/>
    <w:rsid w:val="00C4293E"/>
    <w:rsid w:val="00C42A42"/>
    <w:rsid w:val="00C42A5F"/>
    <w:rsid w:val="00C42AF3"/>
    <w:rsid w:val="00C42BB8"/>
    <w:rsid w:val="00C42C0A"/>
    <w:rsid w:val="00C42CAA"/>
    <w:rsid w:val="00C42D37"/>
    <w:rsid w:val="00C431AA"/>
    <w:rsid w:val="00C432B7"/>
    <w:rsid w:val="00C4334D"/>
    <w:rsid w:val="00C43570"/>
    <w:rsid w:val="00C435BC"/>
    <w:rsid w:val="00C4385E"/>
    <w:rsid w:val="00C43CB5"/>
    <w:rsid w:val="00C43D79"/>
    <w:rsid w:val="00C43DBB"/>
    <w:rsid w:val="00C43DE2"/>
    <w:rsid w:val="00C440E5"/>
    <w:rsid w:val="00C4433E"/>
    <w:rsid w:val="00C443DC"/>
    <w:rsid w:val="00C4463D"/>
    <w:rsid w:val="00C447E4"/>
    <w:rsid w:val="00C449CD"/>
    <w:rsid w:val="00C44F91"/>
    <w:rsid w:val="00C451BB"/>
    <w:rsid w:val="00C4523D"/>
    <w:rsid w:val="00C45290"/>
    <w:rsid w:val="00C4548E"/>
    <w:rsid w:val="00C4594B"/>
    <w:rsid w:val="00C45A43"/>
    <w:rsid w:val="00C45CDC"/>
    <w:rsid w:val="00C45D98"/>
    <w:rsid w:val="00C461E8"/>
    <w:rsid w:val="00C463E3"/>
    <w:rsid w:val="00C46518"/>
    <w:rsid w:val="00C46606"/>
    <w:rsid w:val="00C46676"/>
    <w:rsid w:val="00C468C9"/>
    <w:rsid w:val="00C46940"/>
    <w:rsid w:val="00C46AE4"/>
    <w:rsid w:val="00C46C2C"/>
    <w:rsid w:val="00C46D78"/>
    <w:rsid w:val="00C46DDF"/>
    <w:rsid w:val="00C46DE2"/>
    <w:rsid w:val="00C46E9B"/>
    <w:rsid w:val="00C46ED2"/>
    <w:rsid w:val="00C46F39"/>
    <w:rsid w:val="00C47154"/>
    <w:rsid w:val="00C472FF"/>
    <w:rsid w:val="00C4731D"/>
    <w:rsid w:val="00C473B4"/>
    <w:rsid w:val="00C4783F"/>
    <w:rsid w:val="00C47CAE"/>
    <w:rsid w:val="00C47E44"/>
    <w:rsid w:val="00C47F4B"/>
    <w:rsid w:val="00C47F8D"/>
    <w:rsid w:val="00C47FF0"/>
    <w:rsid w:val="00C5011F"/>
    <w:rsid w:val="00C501A3"/>
    <w:rsid w:val="00C50421"/>
    <w:rsid w:val="00C508D5"/>
    <w:rsid w:val="00C50A89"/>
    <w:rsid w:val="00C50AF7"/>
    <w:rsid w:val="00C50B5B"/>
    <w:rsid w:val="00C50E36"/>
    <w:rsid w:val="00C50F96"/>
    <w:rsid w:val="00C5112B"/>
    <w:rsid w:val="00C5117A"/>
    <w:rsid w:val="00C5124F"/>
    <w:rsid w:val="00C51365"/>
    <w:rsid w:val="00C51465"/>
    <w:rsid w:val="00C51801"/>
    <w:rsid w:val="00C51971"/>
    <w:rsid w:val="00C51A44"/>
    <w:rsid w:val="00C51B22"/>
    <w:rsid w:val="00C51B68"/>
    <w:rsid w:val="00C51D4A"/>
    <w:rsid w:val="00C522A2"/>
    <w:rsid w:val="00C52327"/>
    <w:rsid w:val="00C52625"/>
    <w:rsid w:val="00C52658"/>
    <w:rsid w:val="00C526F6"/>
    <w:rsid w:val="00C52740"/>
    <w:rsid w:val="00C5289F"/>
    <w:rsid w:val="00C52A84"/>
    <w:rsid w:val="00C52B1D"/>
    <w:rsid w:val="00C52B42"/>
    <w:rsid w:val="00C52D0C"/>
    <w:rsid w:val="00C52DC3"/>
    <w:rsid w:val="00C52E54"/>
    <w:rsid w:val="00C53076"/>
    <w:rsid w:val="00C5307B"/>
    <w:rsid w:val="00C532DA"/>
    <w:rsid w:val="00C5340A"/>
    <w:rsid w:val="00C53421"/>
    <w:rsid w:val="00C53484"/>
    <w:rsid w:val="00C53670"/>
    <w:rsid w:val="00C53A4B"/>
    <w:rsid w:val="00C53B6A"/>
    <w:rsid w:val="00C540D6"/>
    <w:rsid w:val="00C54596"/>
    <w:rsid w:val="00C545DA"/>
    <w:rsid w:val="00C5464F"/>
    <w:rsid w:val="00C54988"/>
    <w:rsid w:val="00C54A35"/>
    <w:rsid w:val="00C551BA"/>
    <w:rsid w:val="00C551D0"/>
    <w:rsid w:val="00C55323"/>
    <w:rsid w:val="00C55425"/>
    <w:rsid w:val="00C556D4"/>
    <w:rsid w:val="00C55732"/>
    <w:rsid w:val="00C558F2"/>
    <w:rsid w:val="00C558FA"/>
    <w:rsid w:val="00C55902"/>
    <w:rsid w:val="00C5592D"/>
    <w:rsid w:val="00C55969"/>
    <w:rsid w:val="00C55B55"/>
    <w:rsid w:val="00C55CC5"/>
    <w:rsid w:val="00C55E2A"/>
    <w:rsid w:val="00C56047"/>
    <w:rsid w:val="00C56051"/>
    <w:rsid w:val="00C560D1"/>
    <w:rsid w:val="00C565E7"/>
    <w:rsid w:val="00C566AF"/>
    <w:rsid w:val="00C56966"/>
    <w:rsid w:val="00C569C5"/>
    <w:rsid w:val="00C56BC0"/>
    <w:rsid w:val="00C56C9D"/>
    <w:rsid w:val="00C56E29"/>
    <w:rsid w:val="00C56E4F"/>
    <w:rsid w:val="00C56F92"/>
    <w:rsid w:val="00C570A3"/>
    <w:rsid w:val="00C572DF"/>
    <w:rsid w:val="00C57539"/>
    <w:rsid w:val="00C575E2"/>
    <w:rsid w:val="00C576E1"/>
    <w:rsid w:val="00C57D45"/>
    <w:rsid w:val="00C57D91"/>
    <w:rsid w:val="00C57FD9"/>
    <w:rsid w:val="00C601BC"/>
    <w:rsid w:val="00C605A4"/>
    <w:rsid w:val="00C60711"/>
    <w:rsid w:val="00C607BA"/>
    <w:rsid w:val="00C60820"/>
    <w:rsid w:val="00C60871"/>
    <w:rsid w:val="00C60B04"/>
    <w:rsid w:val="00C60B32"/>
    <w:rsid w:val="00C60F30"/>
    <w:rsid w:val="00C61022"/>
    <w:rsid w:val="00C610E9"/>
    <w:rsid w:val="00C611DD"/>
    <w:rsid w:val="00C61509"/>
    <w:rsid w:val="00C61665"/>
    <w:rsid w:val="00C617D5"/>
    <w:rsid w:val="00C6183B"/>
    <w:rsid w:val="00C61976"/>
    <w:rsid w:val="00C61B12"/>
    <w:rsid w:val="00C61B27"/>
    <w:rsid w:val="00C61BDE"/>
    <w:rsid w:val="00C61C6E"/>
    <w:rsid w:val="00C61DA2"/>
    <w:rsid w:val="00C61DDB"/>
    <w:rsid w:val="00C61DEB"/>
    <w:rsid w:val="00C61E2B"/>
    <w:rsid w:val="00C620B5"/>
    <w:rsid w:val="00C621F4"/>
    <w:rsid w:val="00C62298"/>
    <w:rsid w:val="00C625DF"/>
    <w:rsid w:val="00C6278E"/>
    <w:rsid w:val="00C6283D"/>
    <w:rsid w:val="00C6292B"/>
    <w:rsid w:val="00C62A1E"/>
    <w:rsid w:val="00C62A32"/>
    <w:rsid w:val="00C62A75"/>
    <w:rsid w:val="00C62A87"/>
    <w:rsid w:val="00C62AB1"/>
    <w:rsid w:val="00C62C3E"/>
    <w:rsid w:val="00C62E86"/>
    <w:rsid w:val="00C630EE"/>
    <w:rsid w:val="00C631EA"/>
    <w:rsid w:val="00C6335E"/>
    <w:rsid w:val="00C6336F"/>
    <w:rsid w:val="00C6368C"/>
    <w:rsid w:val="00C63696"/>
    <w:rsid w:val="00C6377E"/>
    <w:rsid w:val="00C637B5"/>
    <w:rsid w:val="00C637E4"/>
    <w:rsid w:val="00C63A0B"/>
    <w:rsid w:val="00C63AC6"/>
    <w:rsid w:val="00C63ACD"/>
    <w:rsid w:val="00C63B84"/>
    <w:rsid w:val="00C63D74"/>
    <w:rsid w:val="00C63ED9"/>
    <w:rsid w:val="00C64162"/>
    <w:rsid w:val="00C6419F"/>
    <w:rsid w:val="00C64471"/>
    <w:rsid w:val="00C64478"/>
    <w:rsid w:val="00C64636"/>
    <w:rsid w:val="00C646A0"/>
    <w:rsid w:val="00C6471D"/>
    <w:rsid w:val="00C648D6"/>
    <w:rsid w:val="00C64941"/>
    <w:rsid w:val="00C64AE0"/>
    <w:rsid w:val="00C64C3C"/>
    <w:rsid w:val="00C64C67"/>
    <w:rsid w:val="00C64EBE"/>
    <w:rsid w:val="00C64EFE"/>
    <w:rsid w:val="00C64F2C"/>
    <w:rsid w:val="00C64FAE"/>
    <w:rsid w:val="00C650AF"/>
    <w:rsid w:val="00C6524B"/>
    <w:rsid w:val="00C652BA"/>
    <w:rsid w:val="00C65A3F"/>
    <w:rsid w:val="00C65AAB"/>
    <w:rsid w:val="00C65AD7"/>
    <w:rsid w:val="00C66146"/>
    <w:rsid w:val="00C66566"/>
    <w:rsid w:val="00C665C2"/>
    <w:rsid w:val="00C665DA"/>
    <w:rsid w:val="00C66652"/>
    <w:rsid w:val="00C66988"/>
    <w:rsid w:val="00C669ED"/>
    <w:rsid w:val="00C66B4D"/>
    <w:rsid w:val="00C66BC9"/>
    <w:rsid w:val="00C66CC9"/>
    <w:rsid w:val="00C6737C"/>
    <w:rsid w:val="00C6737E"/>
    <w:rsid w:val="00C673F2"/>
    <w:rsid w:val="00C67417"/>
    <w:rsid w:val="00C675C5"/>
    <w:rsid w:val="00C67676"/>
    <w:rsid w:val="00C67845"/>
    <w:rsid w:val="00C67A58"/>
    <w:rsid w:val="00C67B0C"/>
    <w:rsid w:val="00C67EA6"/>
    <w:rsid w:val="00C700C4"/>
    <w:rsid w:val="00C70171"/>
    <w:rsid w:val="00C7022A"/>
    <w:rsid w:val="00C70382"/>
    <w:rsid w:val="00C703FA"/>
    <w:rsid w:val="00C70790"/>
    <w:rsid w:val="00C70799"/>
    <w:rsid w:val="00C70868"/>
    <w:rsid w:val="00C708E4"/>
    <w:rsid w:val="00C70A78"/>
    <w:rsid w:val="00C70BA3"/>
    <w:rsid w:val="00C70BE4"/>
    <w:rsid w:val="00C70C7D"/>
    <w:rsid w:val="00C70D56"/>
    <w:rsid w:val="00C70EA3"/>
    <w:rsid w:val="00C70F05"/>
    <w:rsid w:val="00C7105F"/>
    <w:rsid w:val="00C718A7"/>
    <w:rsid w:val="00C71930"/>
    <w:rsid w:val="00C71A2D"/>
    <w:rsid w:val="00C71E65"/>
    <w:rsid w:val="00C71EAD"/>
    <w:rsid w:val="00C7209E"/>
    <w:rsid w:val="00C720D3"/>
    <w:rsid w:val="00C7234A"/>
    <w:rsid w:val="00C729C9"/>
    <w:rsid w:val="00C72BE8"/>
    <w:rsid w:val="00C72D5C"/>
    <w:rsid w:val="00C73209"/>
    <w:rsid w:val="00C73676"/>
    <w:rsid w:val="00C73849"/>
    <w:rsid w:val="00C738A6"/>
    <w:rsid w:val="00C73B48"/>
    <w:rsid w:val="00C73B5E"/>
    <w:rsid w:val="00C73D3C"/>
    <w:rsid w:val="00C73EF5"/>
    <w:rsid w:val="00C73FED"/>
    <w:rsid w:val="00C74169"/>
    <w:rsid w:val="00C7435C"/>
    <w:rsid w:val="00C74365"/>
    <w:rsid w:val="00C74438"/>
    <w:rsid w:val="00C7477E"/>
    <w:rsid w:val="00C747E6"/>
    <w:rsid w:val="00C74869"/>
    <w:rsid w:val="00C74961"/>
    <w:rsid w:val="00C74C91"/>
    <w:rsid w:val="00C74DC9"/>
    <w:rsid w:val="00C7513B"/>
    <w:rsid w:val="00C755FD"/>
    <w:rsid w:val="00C75614"/>
    <w:rsid w:val="00C75736"/>
    <w:rsid w:val="00C75769"/>
    <w:rsid w:val="00C757E0"/>
    <w:rsid w:val="00C7583B"/>
    <w:rsid w:val="00C75C75"/>
    <w:rsid w:val="00C75D0E"/>
    <w:rsid w:val="00C761CD"/>
    <w:rsid w:val="00C762B1"/>
    <w:rsid w:val="00C763FF"/>
    <w:rsid w:val="00C765BD"/>
    <w:rsid w:val="00C76620"/>
    <w:rsid w:val="00C7671E"/>
    <w:rsid w:val="00C76FAD"/>
    <w:rsid w:val="00C770D9"/>
    <w:rsid w:val="00C7760A"/>
    <w:rsid w:val="00C779B9"/>
    <w:rsid w:val="00C77E5B"/>
    <w:rsid w:val="00C803D3"/>
    <w:rsid w:val="00C80619"/>
    <w:rsid w:val="00C80775"/>
    <w:rsid w:val="00C8099A"/>
    <w:rsid w:val="00C80A53"/>
    <w:rsid w:val="00C80AC1"/>
    <w:rsid w:val="00C80BA1"/>
    <w:rsid w:val="00C80BE7"/>
    <w:rsid w:val="00C8109F"/>
    <w:rsid w:val="00C8117D"/>
    <w:rsid w:val="00C815EB"/>
    <w:rsid w:val="00C81679"/>
    <w:rsid w:val="00C8174D"/>
    <w:rsid w:val="00C818E9"/>
    <w:rsid w:val="00C818EB"/>
    <w:rsid w:val="00C81AFD"/>
    <w:rsid w:val="00C81B0B"/>
    <w:rsid w:val="00C81CCF"/>
    <w:rsid w:val="00C81E8B"/>
    <w:rsid w:val="00C81F59"/>
    <w:rsid w:val="00C81FE7"/>
    <w:rsid w:val="00C8201E"/>
    <w:rsid w:val="00C82178"/>
    <w:rsid w:val="00C8226D"/>
    <w:rsid w:val="00C823B0"/>
    <w:rsid w:val="00C824E1"/>
    <w:rsid w:val="00C8287A"/>
    <w:rsid w:val="00C829DB"/>
    <w:rsid w:val="00C82A7B"/>
    <w:rsid w:val="00C82A92"/>
    <w:rsid w:val="00C82B46"/>
    <w:rsid w:val="00C82E65"/>
    <w:rsid w:val="00C82ED3"/>
    <w:rsid w:val="00C831EC"/>
    <w:rsid w:val="00C836B3"/>
    <w:rsid w:val="00C83983"/>
    <w:rsid w:val="00C83A2D"/>
    <w:rsid w:val="00C83BA1"/>
    <w:rsid w:val="00C83BC7"/>
    <w:rsid w:val="00C83E54"/>
    <w:rsid w:val="00C84046"/>
    <w:rsid w:val="00C8431C"/>
    <w:rsid w:val="00C84387"/>
    <w:rsid w:val="00C845D7"/>
    <w:rsid w:val="00C84740"/>
    <w:rsid w:val="00C84793"/>
    <w:rsid w:val="00C84973"/>
    <w:rsid w:val="00C84F50"/>
    <w:rsid w:val="00C85060"/>
    <w:rsid w:val="00C85148"/>
    <w:rsid w:val="00C8545E"/>
    <w:rsid w:val="00C8565C"/>
    <w:rsid w:val="00C856B2"/>
    <w:rsid w:val="00C859DB"/>
    <w:rsid w:val="00C85B07"/>
    <w:rsid w:val="00C85B4C"/>
    <w:rsid w:val="00C85C56"/>
    <w:rsid w:val="00C85C74"/>
    <w:rsid w:val="00C85D24"/>
    <w:rsid w:val="00C85D99"/>
    <w:rsid w:val="00C85DBA"/>
    <w:rsid w:val="00C85E49"/>
    <w:rsid w:val="00C85FCF"/>
    <w:rsid w:val="00C860A5"/>
    <w:rsid w:val="00C861FA"/>
    <w:rsid w:val="00C8661D"/>
    <w:rsid w:val="00C86755"/>
    <w:rsid w:val="00C86772"/>
    <w:rsid w:val="00C86937"/>
    <w:rsid w:val="00C86AEE"/>
    <w:rsid w:val="00C86AFE"/>
    <w:rsid w:val="00C86BF0"/>
    <w:rsid w:val="00C86E47"/>
    <w:rsid w:val="00C87276"/>
    <w:rsid w:val="00C87347"/>
    <w:rsid w:val="00C87531"/>
    <w:rsid w:val="00C8762E"/>
    <w:rsid w:val="00C87874"/>
    <w:rsid w:val="00C87BC4"/>
    <w:rsid w:val="00C87C7B"/>
    <w:rsid w:val="00C87D90"/>
    <w:rsid w:val="00C9012D"/>
    <w:rsid w:val="00C90173"/>
    <w:rsid w:val="00C9018E"/>
    <w:rsid w:val="00C9022C"/>
    <w:rsid w:val="00C9022F"/>
    <w:rsid w:val="00C9067E"/>
    <w:rsid w:val="00C906BE"/>
    <w:rsid w:val="00C90850"/>
    <w:rsid w:val="00C90980"/>
    <w:rsid w:val="00C90A01"/>
    <w:rsid w:val="00C90A06"/>
    <w:rsid w:val="00C90EFC"/>
    <w:rsid w:val="00C9105E"/>
    <w:rsid w:val="00C91244"/>
    <w:rsid w:val="00C912E5"/>
    <w:rsid w:val="00C91319"/>
    <w:rsid w:val="00C915E3"/>
    <w:rsid w:val="00C9185C"/>
    <w:rsid w:val="00C91A32"/>
    <w:rsid w:val="00C91A93"/>
    <w:rsid w:val="00C91AC2"/>
    <w:rsid w:val="00C91D78"/>
    <w:rsid w:val="00C92075"/>
    <w:rsid w:val="00C92087"/>
    <w:rsid w:val="00C9212F"/>
    <w:rsid w:val="00C921D6"/>
    <w:rsid w:val="00C921F0"/>
    <w:rsid w:val="00C9251E"/>
    <w:rsid w:val="00C92587"/>
    <w:rsid w:val="00C92C49"/>
    <w:rsid w:val="00C92C6F"/>
    <w:rsid w:val="00C92E15"/>
    <w:rsid w:val="00C9302B"/>
    <w:rsid w:val="00C933AC"/>
    <w:rsid w:val="00C93572"/>
    <w:rsid w:val="00C938D9"/>
    <w:rsid w:val="00C93B08"/>
    <w:rsid w:val="00C93DD6"/>
    <w:rsid w:val="00C93FC0"/>
    <w:rsid w:val="00C9407A"/>
    <w:rsid w:val="00C9414E"/>
    <w:rsid w:val="00C94856"/>
    <w:rsid w:val="00C948D6"/>
    <w:rsid w:val="00C949E8"/>
    <w:rsid w:val="00C94A2B"/>
    <w:rsid w:val="00C94AFA"/>
    <w:rsid w:val="00C94C81"/>
    <w:rsid w:val="00C94C91"/>
    <w:rsid w:val="00C94CFC"/>
    <w:rsid w:val="00C94F6E"/>
    <w:rsid w:val="00C94FF0"/>
    <w:rsid w:val="00C95009"/>
    <w:rsid w:val="00C950B4"/>
    <w:rsid w:val="00C95DF4"/>
    <w:rsid w:val="00C961E4"/>
    <w:rsid w:val="00C962E4"/>
    <w:rsid w:val="00C962FD"/>
    <w:rsid w:val="00C96326"/>
    <w:rsid w:val="00C96397"/>
    <w:rsid w:val="00C964C1"/>
    <w:rsid w:val="00C96528"/>
    <w:rsid w:val="00C96608"/>
    <w:rsid w:val="00C9660D"/>
    <w:rsid w:val="00C966C6"/>
    <w:rsid w:val="00C9676F"/>
    <w:rsid w:val="00C968D5"/>
    <w:rsid w:val="00C96A62"/>
    <w:rsid w:val="00C96BE1"/>
    <w:rsid w:val="00C96CB8"/>
    <w:rsid w:val="00C96CBC"/>
    <w:rsid w:val="00C96D4A"/>
    <w:rsid w:val="00C96E6C"/>
    <w:rsid w:val="00C96E9E"/>
    <w:rsid w:val="00C970D4"/>
    <w:rsid w:val="00C971E7"/>
    <w:rsid w:val="00C97360"/>
    <w:rsid w:val="00C973A1"/>
    <w:rsid w:val="00C97517"/>
    <w:rsid w:val="00C976F4"/>
    <w:rsid w:val="00C97889"/>
    <w:rsid w:val="00C97A42"/>
    <w:rsid w:val="00C97A6F"/>
    <w:rsid w:val="00C97A95"/>
    <w:rsid w:val="00C97ACF"/>
    <w:rsid w:val="00C97C1E"/>
    <w:rsid w:val="00C97D01"/>
    <w:rsid w:val="00C97E0E"/>
    <w:rsid w:val="00C97E52"/>
    <w:rsid w:val="00C97FD7"/>
    <w:rsid w:val="00CA003A"/>
    <w:rsid w:val="00CA0052"/>
    <w:rsid w:val="00CA0081"/>
    <w:rsid w:val="00CA009F"/>
    <w:rsid w:val="00CA014F"/>
    <w:rsid w:val="00CA0164"/>
    <w:rsid w:val="00CA0277"/>
    <w:rsid w:val="00CA031F"/>
    <w:rsid w:val="00CA04C4"/>
    <w:rsid w:val="00CA04CA"/>
    <w:rsid w:val="00CA0523"/>
    <w:rsid w:val="00CA070C"/>
    <w:rsid w:val="00CA0751"/>
    <w:rsid w:val="00CA0764"/>
    <w:rsid w:val="00CA0A27"/>
    <w:rsid w:val="00CA0C26"/>
    <w:rsid w:val="00CA0FCD"/>
    <w:rsid w:val="00CA1046"/>
    <w:rsid w:val="00CA107F"/>
    <w:rsid w:val="00CA10EA"/>
    <w:rsid w:val="00CA12E3"/>
    <w:rsid w:val="00CA13E2"/>
    <w:rsid w:val="00CA1482"/>
    <w:rsid w:val="00CA15C4"/>
    <w:rsid w:val="00CA1B31"/>
    <w:rsid w:val="00CA1B83"/>
    <w:rsid w:val="00CA1D50"/>
    <w:rsid w:val="00CA1F35"/>
    <w:rsid w:val="00CA2067"/>
    <w:rsid w:val="00CA22AF"/>
    <w:rsid w:val="00CA2376"/>
    <w:rsid w:val="00CA2771"/>
    <w:rsid w:val="00CA2835"/>
    <w:rsid w:val="00CA287A"/>
    <w:rsid w:val="00CA28C0"/>
    <w:rsid w:val="00CA2923"/>
    <w:rsid w:val="00CA2A2B"/>
    <w:rsid w:val="00CA2E8A"/>
    <w:rsid w:val="00CA303B"/>
    <w:rsid w:val="00CA3062"/>
    <w:rsid w:val="00CA34F7"/>
    <w:rsid w:val="00CA38F0"/>
    <w:rsid w:val="00CA395B"/>
    <w:rsid w:val="00CA3962"/>
    <w:rsid w:val="00CA39D8"/>
    <w:rsid w:val="00CA3A84"/>
    <w:rsid w:val="00CA3C34"/>
    <w:rsid w:val="00CA3DEB"/>
    <w:rsid w:val="00CA3DF7"/>
    <w:rsid w:val="00CA3E80"/>
    <w:rsid w:val="00CA42DD"/>
    <w:rsid w:val="00CA4A2F"/>
    <w:rsid w:val="00CA4BB6"/>
    <w:rsid w:val="00CA4E7C"/>
    <w:rsid w:val="00CA4F00"/>
    <w:rsid w:val="00CA510B"/>
    <w:rsid w:val="00CA5173"/>
    <w:rsid w:val="00CA561F"/>
    <w:rsid w:val="00CA565A"/>
    <w:rsid w:val="00CA5669"/>
    <w:rsid w:val="00CA573A"/>
    <w:rsid w:val="00CA57EA"/>
    <w:rsid w:val="00CA5819"/>
    <w:rsid w:val="00CA586A"/>
    <w:rsid w:val="00CA5B1E"/>
    <w:rsid w:val="00CA5B47"/>
    <w:rsid w:val="00CA5CB1"/>
    <w:rsid w:val="00CA5EE4"/>
    <w:rsid w:val="00CA61B3"/>
    <w:rsid w:val="00CA628D"/>
    <w:rsid w:val="00CA629F"/>
    <w:rsid w:val="00CA64CD"/>
    <w:rsid w:val="00CA6858"/>
    <w:rsid w:val="00CA6888"/>
    <w:rsid w:val="00CA694B"/>
    <w:rsid w:val="00CA6953"/>
    <w:rsid w:val="00CA6A2D"/>
    <w:rsid w:val="00CA6D56"/>
    <w:rsid w:val="00CA71A7"/>
    <w:rsid w:val="00CA72E8"/>
    <w:rsid w:val="00CA74A0"/>
    <w:rsid w:val="00CA7646"/>
    <w:rsid w:val="00CA7668"/>
    <w:rsid w:val="00CA782A"/>
    <w:rsid w:val="00CA7A6A"/>
    <w:rsid w:val="00CA7A79"/>
    <w:rsid w:val="00CA7B10"/>
    <w:rsid w:val="00CA7CB4"/>
    <w:rsid w:val="00CA7FBB"/>
    <w:rsid w:val="00CB004E"/>
    <w:rsid w:val="00CB0053"/>
    <w:rsid w:val="00CB00C0"/>
    <w:rsid w:val="00CB019F"/>
    <w:rsid w:val="00CB03AF"/>
    <w:rsid w:val="00CB03D8"/>
    <w:rsid w:val="00CB0688"/>
    <w:rsid w:val="00CB06CB"/>
    <w:rsid w:val="00CB0ADB"/>
    <w:rsid w:val="00CB0B3F"/>
    <w:rsid w:val="00CB0C37"/>
    <w:rsid w:val="00CB0D8E"/>
    <w:rsid w:val="00CB0E78"/>
    <w:rsid w:val="00CB0EC2"/>
    <w:rsid w:val="00CB0ECA"/>
    <w:rsid w:val="00CB0F42"/>
    <w:rsid w:val="00CB144D"/>
    <w:rsid w:val="00CB14B1"/>
    <w:rsid w:val="00CB1602"/>
    <w:rsid w:val="00CB1813"/>
    <w:rsid w:val="00CB18F7"/>
    <w:rsid w:val="00CB191B"/>
    <w:rsid w:val="00CB19E5"/>
    <w:rsid w:val="00CB1A46"/>
    <w:rsid w:val="00CB1B42"/>
    <w:rsid w:val="00CB1BDF"/>
    <w:rsid w:val="00CB1CAB"/>
    <w:rsid w:val="00CB1CAD"/>
    <w:rsid w:val="00CB1CB8"/>
    <w:rsid w:val="00CB1CE4"/>
    <w:rsid w:val="00CB1F19"/>
    <w:rsid w:val="00CB1F3D"/>
    <w:rsid w:val="00CB1FB6"/>
    <w:rsid w:val="00CB20CB"/>
    <w:rsid w:val="00CB23BB"/>
    <w:rsid w:val="00CB27A2"/>
    <w:rsid w:val="00CB2897"/>
    <w:rsid w:val="00CB2AE8"/>
    <w:rsid w:val="00CB2B65"/>
    <w:rsid w:val="00CB2BDE"/>
    <w:rsid w:val="00CB2CAC"/>
    <w:rsid w:val="00CB2D0F"/>
    <w:rsid w:val="00CB2F11"/>
    <w:rsid w:val="00CB2F56"/>
    <w:rsid w:val="00CB2FB8"/>
    <w:rsid w:val="00CB31ED"/>
    <w:rsid w:val="00CB348A"/>
    <w:rsid w:val="00CB38D4"/>
    <w:rsid w:val="00CB3A3C"/>
    <w:rsid w:val="00CB3B26"/>
    <w:rsid w:val="00CB3DD5"/>
    <w:rsid w:val="00CB3E18"/>
    <w:rsid w:val="00CB4143"/>
    <w:rsid w:val="00CB424E"/>
    <w:rsid w:val="00CB4717"/>
    <w:rsid w:val="00CB47F3"/>
    <w:rsid w:val="00CB485B"/>
    <w:rsid w:val="00CB4983"/>
    <w:rsid w:val="00CB4B95"/>
    <w:rsid w:val="00CB4DD6"/>
    <w:rsid w:val="00CB4E74"/>
    <w:rsid w:val="00CB50DC"/>
    <w:rsid w:val="00CB524A"/>
    <w:rsid w:val="00CB53BC"/>
    <w:rsid w:val="00CB53E2"/>
    <w:rsid w:val="00CB5522"/>
    <w:rsid w:val="00CB5B7D"/>
    <w:rsid w:val="00CB5C2E"/>
    <w:rsid w:val="00CB5D8F"/>
    <w:rsid w:val="00CB60E1"/>
    <w:rsid w:val="00CB65AD"/>
    <w:rsid w:val="00CB65DE"/>
    <w:rsid w:val="00CB667A"/>
    <w:rsid w:val="00CB6688"/>
    <w:rsid w:val="00CB671B"/>
    <w:rsid w:val="00CB6897"/>
    <w:rsid w:val="00CB6960"/>
    <w:rsid w:val="00CB6A17"/>
    <w:rsid w:val="00CB6A98"/>
    <w:rsid w:val="00CB6E64"/>
    <w:rsid w:val="00CB72C3"/>
    <w:rsid w:val="00CB7367"/>
    <w:rsid w:val="00CB73C5"/>
    <w:rsid w:val="00CB7505"/>
    <w:rsid w:val="00CB7673"/>
    <w:rsid w:val="00CB787E"/>
    <w:rsid w:val="00CB7AA2"/>
    <w:rsid w:val="00CB7C83"/>
    <w:rsid w:val="00CB7CCC"/>
    <w:rsid w:val="00CB7D52"/>
    <w:rsid w:val="00CB7DD4"/>
    <w:rsid w:val="00CB7E4A"/>
    <w:rsid w:val="00CC0035"/>
    <w:rsid w:val="00CC00D8"/>
    <w:rsid w:val="00CC0348"/>
    <w:rsid w:val="00CC036C"/>
    <w:rsid w:val="00CC03A1"/>
    <w:rsid w:val="00CC04B0"/>
    <w:rsid w:val="00CC051B"/>
    <w:rsid w:val="00CC06E2"/>
    <w:rsid w:val="00CC09CA"/>
    <w:rsid w:val="00CC0B06"/>
    <w:rsid w:val="00CC0B5A"/>
    <w:rsid w:val="00CC0C37"/>
    <w:rsid w:val="00CC0E4F"/>
    <w:rsid w:val="00CC0E6F"/>
    <w:rsid w:val="00CC10E4"/>
    <w:rsid w:val="00CC117C"/>
    <w:rsid w:val="00CC1752"/>
    <w:rsid w:val="00CC1881"/>
    <w:rsid w:val="00CC190A"/>
    <w:rsid w:val="00CC1D33"/>
    <w:rsid w:val="00CC1D8F"/>
    <w:rsid w:val="00CC1E80"/>
    <w:rsid w:val="00CC2005"/>
    <w:rsid w:val="00CC21D9"/>
    <w:rsid w:val="00CC249B"/>
    <w:rsid w:val="00CC26DA"/>
    <w:rsid w:val="00CC28A6"/>
    <w:rsid w:val="00CC2D5B"/>
    <w:rsid w:val="00CC31D8"/>
    <w:rsid w:val="00CC3278"/>
    <w:rsid w:val="00CC34F4"/>
    <w:rsid w:val="00CC37B4"/>
    <w:rsid w:val="00CC38DF"/>
    <w:rsid w:val="00CC3A66"/>
    <w:rsid w:val="00CC3BA6"/>
    <w:rsid w:val="00CC3F02"/>
    <w:rsid w:val="00CC3F0F"/>
    <w:rsid w:val="00CC3F17"/>
    <w:rsid w:val="00CC443A"/>
    <w:rsid w:val="00CC4460"/>
    <w:rsid w:val="00CC45AC"/>
    <w:rsid w:val="00CC4783"/>
    <w:rsid w:val="00CC4805"/>
    <w:rsid w:val="00CC4826"/>
    <w:rsid w:val="00CC4898"/>
    <w:rsid w:val="00CC48A7"/>
    <w:rsid w:val="00CC48BA"/>
    <w:rsid w:val="00CC4A9C"/>
    <w:rsid w:val="00CC4CF2"/>
    <w:rsid w:val="00CC4F0D"/>
    <w:rsid w:val="00CC5346"/>
    <w:rsid w:val="00CC5382"/>
    <w:rsid w:val="00CC53B3"/>
    <w:rsid w:val="00CC53BA"/>
    <w:rsid w:val="00CC5859"/>
    <w:rsid w:val="00CC59E5"/>
    <w:rsid w:val="00CC61EF"/>
    <w:rsid w:val="00CC66B7"/>
    <w:rsid w:val="00CC67BF"/>
    <w:rsid w:val="00CC6AC4"/>
    <w:rsid w:val="00CC6B51"/>
    <w:rsid w:val="00CC6E62"/>
    <w:rsid w:val="00CC6F18"/>
    <w:rsid w:val="00CC7176"/>
    <w:rsid w:val="00CC72A1"/>
    <w:rsid w:val="00CC751A"/>
    <w:rsid w:val="00CC7687"/>
    <w:rsid w:val="00CC76C7"/>
    <w:rsid w:val="00CC7862"/>
    <w:rsid w:val="00CC79D8"/>
    <w:rsid w:val="00CC79E4"/>
    <w:rsid w:val="00CC7A8E"/>
    <w:rsid w:val="00CC7BBC"/>
    <w:rsid w:val="00CC7C13"/>
    <w:rsid w:val="00CC7C93"/>
    <w:rsid w:val="00CC7D4C"/>
    <w:rsid w:val="00CD010F"/>
    <w:rsid w:val="00CD01FB"/>
    <w:rsid w:val="00CD0282"/>
    <w:rsid w:val="00CD04DA"/>
    <w:rsid w:val="00CD05CF"/>
    <w:rsid w:val="00CD0CCF"/>
    <w:rsid w:val="00CD0FBD"/>
    <w:rsid w:val="00CD11F2"/>
    <w:rsid w:val="00CD1210"/>
    <w:rsid w:val="00CD1643"/>
    <w:rsid w:val="00CD16C8"/>
    <w:rsid w:val="00CD1878"/>
    <w:rsid w:val="00CD1980"/>
    <w:rsid w:val="00CD1A6F"/>
    <w:rsid w:val="00CD2417"/>
    <w:rsid w:val="00CD2420"/>
    <w:rsid w:val="00CD2622"/>
    <w:rsid w:val="00CD26C7"/>
    <w:rsid w:val="00CD28D7"/>
    <w:rsid w:val="00CD2A3A"/>
    <w:rsid w:val="00CD2AEB"/>
    <w:rsid w:val="00CD2B04"/>
    <w:rsid w:val="00CD2F72"/>
    <w:rsid w:val="00CD2FDA"/>
    <w:rsid w:val="00CD3288"/>
    <w:rsid w:val="00CD32D9"/>
    <w:rsid w:val="00CD33B9"/>
    <w:rsid w:val="00CD34CA"/>
    <w:rsid w:val="00CD35BB"/>
    <w:rsid w:val="00CD35CB"/>
    <w:rsid w:val="00CD3ECA"/>
    <w:rsid w:val="00CD3F51"/>
    <w:rsid w:val="00CD40AE"/>
    <w:rsid w:val="00CD4168"/>
    <w:rsid w:val="00CD42C5"/>
    <w:rsid w:val="00CD4325"/>
    <w:rsid w:val="00CD439C"/>
    <w:rsid w:val="00CD43AD"/>
    <w:rsid w:val="00CD43CD"/>
    <w:rsid w:val="00CD478D"/>
    <w:rsid w:val="00CD47FA"/>
    <w:rsid w:val="00CD4B6A"/>
    <w:rsid w:val="00CD4FDD"/>
    <w:rsid w:val="00CD505B"/>
    <w:rsid w:val="00CD5123"/>
    <w:rsid w:val="00CD52BC"/>
    <w:rsid w:val="00CD5362"/>
    <w:rsid w:val="00CD53F2"/>
    <w:rsid w:val="00CD553B"/>
    <w:rsid w:val="00CD5554"/>
    <w:rsid w:val="00CD55EF"/>
    <w:rsid w:val="00CD5644"/>
    <w:rsid w:val="00CD577E"/>
    <w:rsid w:val="00CD57E8"/>
    <w:rsid w:val="00CD5915"/>
    <w:rsid w:val="00CD5ABF"/>
    <w:rsid w:val="00CD5C97"/>
    <w:rsid w:val="00CD5D46"/>
    <w:rsid w:val="00CD611D"/>
    <w:rsid w:val="00CD6312"/>
    <w:rsid w:val="00CD6487"/>
    <w:rsid w:val="00CD64DF"/>
    <w:rsid w:val="00CD67D3"/>
    <w:rsid w:val="00CD6803"/>
    <w:rsid w:val="00CD6A6A"/>
    <w:rsid w:val="00CD6D17"/>
    <w:rsid w:val="00CD6F67"/>
    <w:rsid w:val="00CD6FA8"/>
    <w:rsid w:val="00CD7030"/>
    <w:rsid w:val="00CD707B"/>
    <w:rsid w:val="00CD7170"/>
    <w:rsid w:val="00CD7276"/>
    <w:rsid w:val="00CD738A"/>
    <w:rsid w:val="00CD747A"/>
    <w:rsid w:val="00CD75DB"/>
    <w:rsid w:val="00CD76E0"/>
    <w:rsid w:val="00CD7820"/>
    <w:rsid w:val="00CD79A8"/>
    <w:rsid w:val="00CD7B1B"/>
    <w:rsid w:val="00CD7EAB"/>
    <w:rsid w:val="00CD7F9C"/>
    <w:rsid w:val="00CE0416"/>
    <w:rsid w:val="00CE06B0"/>
    <w:rsid w:val="00CE08A3"/>
    <w:rsid w:val="00CE0BF7"/>
    <w:rsid w:val="00CE0C5D"/>
    <w:rsid w:val="00CE0C7F"/>
    <w:rsid w:val="00CE0D2D"/>
    <w:rsid w:val="00CE0E57"/>
    <w:rsid w:val="00CE13BD"/>
    <w:rsid w:val="00CE13F9"/>
    <w:rsid w:val="00CE1475"/>
    <w:rsid w:val="00CE1728"/>
    <w:rsid w:val="00CE1BBF"/>
    <w:rsid w:val="00CE1DBC"/>
    <w:rsid w:val="00CE20DB"/>
    <w:rsid w:val="00CE21B0"/>
    <w:rsid w:val="00CE2380"/>
    <w:rsid w:val="00CE2514"/>
    <w:rsid w:val="00CE25D5"/>
    <w:rsid w:val="00CE272C"/>
    <w:rsid w:val="00CE29C8"/>
    <w:rsid w:val="00CE2A9F"/>
    <w:rsid w:val="00CE2DC8"/>
    <w:rsid w:val="00CE3123"/>
    <w:rsid w:val="00CE31AF"/>
    <w:rsid w:val="00CE33F5"/>
    <w:rsid w:val="00CE356F"/>
    <w:rsid w:val="00CE35E1"/>
    <w:rsid w:val="00CE3673"/>
    <w:rsid w:val="00CE3763"/>
    <w:rsid w:val="00CE384B"/>
    <w:rsid w:val="00CE3A31"/>
    <w:rsid w:val="00CE3B10"/>
    <w:rsid w:val="00CE3B4E"/>
    <w:rsid w:val="00CE3B7F"/>
    <w:rsid w:val="00CE3D09"/>
    <w:rsid w:val="00CE3FBF"/>
    <w:rsid w:val="00CE3FC9"/>
    <w:rsid w:val="00CE3FE1"/>
    <w:rsid w:val="00CE406D"/>
    <w:rsid w:val="00CE4309"/>
    <w:rsid w:val="00CE446B"/>
    <w:rsid w:val="00CE4638"/>
    <w:rsid w:val="00CE4685"/>
    <w:rsid w:val="00CE46AE"/>
    <w:rsid w:val="00CE4776"/>
    <w:rsid w:val="00CE4E6A"/>
    <w:rsid w:val="00CE59AF"/>
    <w:rsid w:val="00CE5B47"/>
    <w:rsid w:val="00CE5C37"/>
    <w:rsid w:val="00CE5C3C"/>
    <w:rsid w:val="00CE5C93"/>
    <w:rsid w:val="00CE5F75"/>
    <w:rsid w:val="00CE5F9F"/>
    <w:rsid w:val="00CE6185"/>
    <w:rsid w:val="00CE6272"/>
    <w:rsid w:val="00CE6285"/>
    <w:rsid w:val="00CE6CFB"/>
    <w:rsid w:val="00CE6D4C"/>
    <w:rsid w:val="00CE6F01"/>
    <w:rsid w:val="00CE707D"/>
    <w:rsid w:val="00CE7192"/>
    <w:rsid w:val="00CE7310"/>
    <w:rsid w:val="00CE732F"/>
    <w:rsid w:val="00CE743A"/>
    <w:rsid w:val="00CE74CF"/>
    <w:rsid w:val="00CE7888"/>
    <w:rsid w:val="00CE7C3C"/>
    <w:rsid w:val="00CE7CCC"/>
    <w:rsid w:val="00CE7DB4"/>
    <w:rsid w:val="00CE7FBF"/>
    <w:rsid w:val="00CF00E5"/>
    <w:rsid w:val="00CF03D2"/>
    <w:rsid w:val="00CF0730"/>
    <w:rsid w:val="00CF0731"/>
    <w:rsid w:val="00CF0976"/>
    <w:rsid w:val="00CF097C"/>
    <w:rsid w:val="00CF0A48"/>
    <w:rsid w:val="00CF0CBD"/>
    <w:rsid w:val="00CF0DE4"/>
    <w:rsid w:val="00CF0E2E"/>
    <w:rsid w:val="00CF0ECA"/>
    <w:rsid w:val="00CF0F56"/>
    <w:rsid w:val="00CF1140"/>
    <w:rsid w:val="00CF114C"/>
    <w:rsid w:val="00CF150F"/>
    <w:rsid w:val="00CF16D4"/>
    <w:rsid w:val="00CF1809"/>
    <w:rsid w:val="00CF1B80"/>
    <w:rsid w:val="00CF1FC0"/>
    <w:rsid w:val="00CF24BB"/>
    <w:rsid w:val="00CF2A7B"/>
    <w:rsid w:val="00CF2B60"/>
    <w:rsid w:val="00CF2BB4"/>
    <w:rsid w:val="00CF2FC0"/>
    <w:rsid w:val="00CF3014"/>
    <w:rsid w:val="00CF3080"/>
    <w:rsid w:val="00CF3406"/>
    <w:rsid w:val="00CF34E4"/>
    <w:rsid w:val="00CF34EC"/>
    <w:rsid w:val="00CF3AEF"/>
    <w:rsid w:val="00CF3C95"/>
    <w:rsid w:val="00CF3C96"/>
    <w:rsid w:val="00CF3D17"/>
    <w:rsid w:val="00CF3DDE"/>
    <w:rsid w:val="00CF40F2"/>
    <w:rsid w:val="00CF4272"/>
    <w:rsid w:val="00CF427B"/>
    <w:rsid w:val="00CF4288"/>
    <w:rsid w:val="00CF4303"/>
    <w:rsid w:val="00CF4382"/>
    <w:rsid w:val="00CF43D0"/>
    <w:rsid w:val="00CF445A"/>
    <w:rsid w:val="00CF4521"/>
    <w:rsid w:val="00CF458E"/>
    <w:rsid w:val="00CF45A0"/>
    <w:rsid w:val="00CF45E6"/>
    <w:rsid w:val="00CF4601"/>
    <w:rsid w:val="00CF4630"/>
    <w:rsid w:val="00CF493E"/>
    <w:rsid w:val="00CF4A5B"/>
    <w:rsid w:val="00CF4B4D"/>
    <w:rsid w:val="00CF4D9D"/>
    <w:rsid w:val="00CF50C0"/>
    <w:rsid w:val="00CF5382"/>
    <w:rsid w:val="00CF56A8"/>
    <w:rsid w:val="00CF5CB3"/>
    <w:rsid w:val="00CF5E9C"/>
    <w:rsid w:val="00CF6093"/>
    <w:rsid w:val="00CF60A2"/>
    <w:rsid w:val="00CF61DA"/>
    <w:rsid w:val="00CF6556"/>
    <w:rsid w:val="00CF68AF"/>
    <w:rsid w:val="00CF693C"/>
    <w:rsid w:val="00CF69FB"/>
    <w:rsid w:val="00CF6C0F"/>
    <w:rsid w:val="00CF6EE5"/>
    <w:rsid w:val="00CF6F4E"/>
    <w:rsid w:val="00CF70EF"/>
    <w:rsid w:val="00CF71B5"/>
    <w:rsid w:val="00CF71E3"/>
    <w:rsid w:val="00CF7592"/>
    <w:rsid w:val="00CF7777"/>
    <w:rsid w:val="00CF78D6"/>
    <w:rsid w:val="00CF7A53"/>
    <w:rsid w:val="00CF7C31"/>
    <w:rsid w:val="00CF7C6F"/>
    <w:rsid w:val="00CF7CC0"/>
    <w:rsid w:val="00CF7F89"/>
    <w:rsid w:val="00D00392"/>
    <w:rsid w:val="00D0071D"/>
    <w:rsid w:val="00D00B21"/>
    <w:rsid w:val="00D00CF0"/>
    <w:rsid w:val="00D01344"/>
    <w:rsid w:val="00D0161E"/>
    <w:rsid w:val="00D016F3"/>
    <w:rsid w:val="00D01769"/>
    <w:rsid w:val="00D017EE"/>
    <w:rsid w:val="00D01809"/>
    <w:rsid w:val="00D018A4"/>
    <w:rsid w:val="00D01BA1"/>
    <w:rsid w:val="00D01C57"/>
    <w:rsid w:val="00D01C90"/>
    <w:rsid w:val="00D01CA6"/>
    <w:rsid w:val="00D01DC1"/>
    <w:rsid w:val="00D020C1"/>
    <w:rsid w:val="00D02117"/>
    <w:rsid w:val="00D02165"/>
    <w:rsid w:val="00D0218F"/>
    <w:rsid w:val="00D02211"/>
    <w:rsid w:val="00D02445"/>
    <w:rsid w:val="00D025ED"/>
    <w:rsid w:val="00D0261A"/>
    <w:rsid w:val="00D02645"/>
    <w:rsid w:val="00D0272D"/>
    <w:rsid w:val="00D02A0C"/>
    <w:rsid w:val="00D02D7D"/>
    <w:rsid w:val="00D02E6E"/>
    <w:rsid w:val="00D03078"/>
    <w:rsid w:val="00D030A8"/>
    <w:rsid w:val="00D0316D"/>
    <w:rsid w:val="00D031D6"/>
    <w:rsid w:val="00D034E6"/>
    <w:rsid w:val="00D03742"/>
    <w:rsid w:val="00D0377D"/>
    <w:rsid w:val="00D038FC"/>
    <w:rsid w:val="00D03D1F"/>
    <w:rsid w:val="00D03EF1"/>
    <w:rsid w:val="00D040B7"/>
    <w:rsid w:val="00D04305"/>
    <w:rsid w:val="00D04518"/>
    <w:rsid w:val="00D0456E"/>
    <w:rsid w:val="00D04574"/>
    <w:rsid w:val="00D047F7"/>
    <w:rsid w:val="00D0485C"/>
    <w:rsid w:val="00D04B90"/>
    <w:rsid w:val="00D04CA5"/>
    <w:rsid w:val="00D04F87"/>
    <w:rsid w:val="00D0507B"/>
    <w:rsid w:val="00D050A8"/>
    <w:rsid w:val="00D05136"/>
    <w:rsid w:val="00D052A9"/>
    <w:rsid w:val="00D05326"/>
    <w:rsid w:val="00D055F3"/>
    <w:rsid w:val="00D05862"/>
    <w:rsid w:val="00D058AF"/>
    <w:rsid w:val="00D058D3"/>
    <w:rsid w:val="00D05AD7"/>
    <w:rsid w:val="00D05B7E"/>
    <w:rsid w:val="00D05E32"/>
    <w:rsid w:val="00D060A2"/>
    <w:rsid w:val="00D060A5"/>
    <w:rsid w:val="00D060E8"/>
    <w:rsid w:val="00D061B4"/>
    <w:rsid w:val="00D063AC"/>
    <w:rsid w:val="00D064A8"/>
    <w:rsid w:val="00D06737"/>
    <w:rsid w:val="00D06865"/>
    <w:rsid w:val="00D068C5"/>
    <w:rsid w:val="00D06909"/>
    <w:rsid w:val="00D069DD"/>
    <w:rsid w:val="00D06AB9"/>
    <w:rsid w:val="00D06B33"/>
    <w:rsid w:val="00D06D52"/>
    <w:rsid w:val="00D06DA2"/>
    <w:rsid w:val="00D0703D"/>
    <w:rsid w:val="00D071ED"/>
    <w:rsid w:val="00D07307"/>
    <w:rsid w:val="00D07328"/>
    <w:rsid w:val="00D07458"/>
    <w:rsid w:val="00D076C6"/>
    <w:rsid w:val="00D07723"/>
    <w:rsid w:val="00D07753"/>
    <w:rsid w:val="00D07DF7"/>
    <w:rsid w:val="00D07FD2"/>
    <w:rsid w:val="00D07FF1"/>
    <w:rsid w:val="00D07FFA"/>
    <w:rsid w:val="00D100EE"/>
    <w:rsid w:val="00D104AC"/>
    <w:rsid w:val="00D105EF"/>
    <w:rsid w:val="00D106D2"/>
    <w:rsid w:val="00D106F0"/>
    <w:rsid w:val="00D10875"/>
    <w:rsid w:val="00D1087D"/>
    <w:rsid w:val="00D108D6"/>
    <w:rsid w:val="00D1092A"/>
    <w:rsid w:val="00D1092D"/>
    <w:rsid w:val="00D10966"/>
    <w:rsid w:val="00D10A0D"/>
    <w:rsid w:val="00D1131F"/>
    <w:rsid w:val="00D11334"/>
    <w:rsid w:val="00D113BE"/>
    <w:rsid w:val="00D113D5"/>
    <w:rsid w:val="00D11599"/>
    <w:rsid w:val="00D1173D"/>
    <w:rsid w:val="00D117C0"/>
    <w:rsid w:val="00D11836"/>
    <w:rsid w:val="00D11A07"/>
    <w:rsid w:val="00D11BAD"/>
    <w:rsid w:val="00D11BF2"/>
    <w:rsid w:val="00D1207B"/>
    <w:rsid w:val="00D122E2"/>
    <w:rsid w:val="00D12698"/>
    <w:rsid w:val="00D12849"/>
    <w:rsid w:val="00D128B2"/>
    <w:rsid w:val="00D12BAE"/>
    <w:rsid w:val="00D12E64"/>
    <w:rsid w:val="00D12F5B"/>
    <w:rsid w:val="00D13010"/>
    <w:rsid w:val="00D137F3"/>
    <w:rsid w:val="00D1396C"/>
    <w:rsid w:val="00D139EC"/>
    <w:rsid w:val="00D139FE"/>
    <w:rsid w:val="00D13A76"/>
    <w:rsid w:val="00D13B60"/>
    <w:rsid w:val="00D13D15"/>
    <w:rsid w:val="00D13F49"/>
    <w:rsid w:val="00D141FB"/>
    <w:rsid w:val="00D145C4"/>
    <w:rsid w:val="00D1462C"/>
    <w:rsid w:val="00D14934"/>
    <w:rsid w:val="00D14BC6"/>
    <w:rsid w:val="00D14BDA"/>
    <w:rsid w:val="00D14D11"/>
    <w:rsid w:val="00D14E11"/>
    <w:rsid w:val="00D14F30"/>
    <w:rsid w:val="00D14F48"/>
    <w:rsid w:val="00D15095"/>
    <w:rsid w:val="00D15110"/>
    <w:rsid w:val="00D15173"/>
    <w:rsid w:val="00D15383"/>
    <w:rsid w:val="00D1581A"/>
    <w:rsid w:val="00D158EB"/>
    <w:rsid w:val="00D1591C"/>
    <w:rsid w:val="00D15AE3"/>
    <w:rsid w:val="00D15B96"/>
    <w:rsid w:val="00D15F40"/>
    <w:rsid w:val="00D160AD"/>
    <w:rsid w:val="00D1672A"/>
    <w:rsid w:val="00D16A50"/>
    <w:rsid w:val="00D16DAC"/>
    <w:rsid w:val="00D17044"/>
    <w:rsid w:val="00D170CB"/>
    <w:rsid w:val="00D171C8"/>
    <w:rsid w:val="00D17298"/>
    <w:rsid w:val="00D1789F"/>
    <w:rsid w:val="00D17A00"/>
    <w:rsid w:val="00D17ABE"/>
    <w:rsid w:val="00D17B7D"/>
    <w:rsid w:val="00D17BD1"/>
    <w:rsid w:val="00D17DE4"/>
    <w:rsid w:val="00D200CC"/>
    <w:rsid w:val="00D204D1"/>
    <w:rsid w:val="00D20542"/>
    <w:rsid w:val="00D206BF"/>
    <w:rsid w:val="00D20708"/>
    <w:rsid w:val="00D20758"/>
    <w:rsid w:val="00D20926"/>
    <w:rsid w:val="00D2099F"/>
    <w:rsid w:val="00D20AAF"/>
    <w:rsid w:val="00D20AE0"/>
    <w:rsid w:val="00D20CD3"/>
    <w:rsid w:val="00D20DCD"/>
    <w:rsid w:val="00D20DFD"/>
    <w:rsid w:val="00D20E11"/>
    <w:rsid w:val="00D21639"/>
    <w:rsid w:val="00D2163D"/>
    <w:rsid w:val="00D2186C"/>
    <w:rsid w:val="00D218D2"/>
    <w:rsid w:val="00D21D33"/>
    <w:rsid w:val="00D21D5D"/>
    <w:rsid w:val="00D220CA"/>
    <w:rsid w:val="00D2210F"/>
    <w:rsid w:val="00D22143"/>
    <w:rsid w:val="00D223B2"/>
    <w:rsid w:val="00D223EC"/>
    <w:rsid w:val="00D226D0"/>
    <w:rsid w:val="00D22725"/>
    <w:rsid w:val="00D22859"/>
    <w:rsid w:val="00D22E1B"/>
    <w:rsid w:val="00D22F0D"/>
    <w:rsid w:val="00D2317A"/>
    <w:rsid w:val="00D23187"/>
    <w:rsid w:val="00D2333E"/>
    <w:rsid w:val="00D2339E"/>
    <w:rsid w:val="00D2346A"/>
    <w:rsid w:val="00D234AF"/>
    <w:rsid w:val="00D234DB"/>
    <w:rsid w:val="00D2353C"/>
    <w:rsid w:val="00D2370C"/>
    <w:rsid w:val="00D23A11"/>
    <w:rsid w:val="00D23C25"/>
    <w:rsid w:val="00D23E36"/>
    <w:rsid w:val="00D23E6C"/>
    <w:rsid w:val="00D23F70"/>
    <w:rsid w:val="00D243AF"/>
    <w:rsid w:val="00D247E2"/>
    <w:rsid w:val="00D2483D"/>
    <w:rsid w:val="00D24A5D"/>
    <w:rsid w:val="00D24B71"/>
    <w:rsid w:val="00D24C47"/>
    <w:rsid w:val="00D24D0C"/>
    <w:rsid w:val="00D24EA7"/>
    <w:rsid w:val="00D25050"/>
    <w:rsid w:val="00D250BC"/>
    <w:rsid w:val="00D25314"/>
    <w:rsid w:val="00D253C0"/>
    <w:rsid w:val="00D25483"/>
    <w:rsid w:val="00D254D1"/>
    <w:rsid w:val="00D255E5"/>
    <w:rsid w:val="00D25652"/>
    <w:rsid w:val="00D25965"/>
    <w:rsid w:val="00D259A1"/>
    <w:rsid w:val="00D25A39"/>
    <w:rsid w:val="00D25A5C"/>
    <w:rsid w:val="00D25BBB"/>
    <w:rsid w:val="00D25BF4"/>
    <w:rsid w:val="00D25E2F"/>
    <w:rsid w:val="00D25E61"/>
    <w:rsid w:val="00D25EA9"/>
    <w:rsid w:val="00D26210"/>
    <w:rsid w:val="00D262E5"/>
    <w:rsid w:val="00D264CB"/>
    <w:rsid w:val="00D26655"/>
    <w:rsid w:val="00D2677E"/>
    <w:rsid w:val="00D267E2"/>
    <w:rsid w:val="00D269C8"/>
    <w:rsid w:val="00D26C89"/>
    <w:rsid w:val="00D26D6E"/>
    <w:rsid w:val="00D26EFD"/>
    <w:rsid w:val="00D27274"/>
    <w:rsid w:val="00D27284"/>
    <w:rsid w:val="00D2740B"/>
    <w:rsid w:val="00D27466"/>
    <w:rsid w:val="00D27902"/>
    <w:rsid w:val="00D279AD"/>
    <w:rsid w:val="00D27A3E"/>
    <w:rsid w:val="00D27AFA"/>
    <w:rsid w:val="00D27DEF"/>
    <w:rsid w:val="00D27E0E"/>
    <w:rsid w:val="00D27E31"/>
    <w:rsid w:val="00D27F2B"/>
    <w:rsid w:val="00D3025A"/>
    <w:rsid w:val="00D304CE"/>
    <w:rsid w:val="00D305CE"/>
    <w:rsid w:val="00D305D5"/>
    <w:rsid w:val="00D3061D"/>
    <w:rsid w:val="00D306B8"/>
    <w:rsid w:val="00D3083E"/>
    <w:rsid w:val="00D309EA"/>
    <w:rsid w:val="00D30BBA"/>
    <w:rsid w:val="00D30CD2"/>
    <w:rsid w:val="00D30F0A"/>
    <w:rsid w:val="00D31046"/>
    <w:rsid w:val="00D310F7"/>
    <w:rsid w:val="00D3114C"/>
    <w:rsid w:val="00D312CE"/>
    <w:rsid w:val="00D313C0"/>
    <w:rsid w:val="00D313D5"/>
    <w:rsid w:val="00D315D5"/>
    <w:rsid w:val="00D31685"/>
    <w:rsid w:val="00D3173F"/>
    <w:rsid w:val="00D31772"/>
    <w:rsid w:val="00D31786"/>
    <w:rsid w:val="00D317F0"/>
    <w:rsid w:val="00D31957"/>
    <w:rsid w:val="00D319DC"/>
    <w:rsid w:val="00D31A0C"/>
    <w:rsid w:val="00D31A50"/>
    <w:rsid w:val="00D32075"/>
    <w:rsid w:val="00D320C7"/>
    <w:rsid w:val="00D32531"/>
    <w:rsid w:val="00D32639"/>
    <w:rsid w:val="00D3296D"/>
    <w:rsid w:val="00D3298F"/>
    <w:rsid w:val="00D32B39"/>
    <w:rsid w:val="00D32B82"/>
    <w:rsid w:val="00D32FD4"/>
    <w:rsid w:val="00D3335A"/>
    <w:rsid w:val="00D33520"/>
    <w:rsid w:val="00D3365B"/>
    <w:rsid w:val="00D33991"/>
    <w:rsid w:val="00D33C34"/>
    <w:rsid w:val="00D33CA2"/>
    <w:rsid w:val="00D33E61"/>
    <w:rsid w:val="00D33FB6"/>
    <w:rsid w:val="00D34069"/>
    <w:rsid w:val="00D340AB"/>
    <w:rsid w:val="00D3413F"/>
    <w:rsid w:val="00D34178"/>
    <w:rsid w:val="00D3428E"/>
    <w:rsid w:val="00D34538"/>
    <w:rsid w:val="00D346D9"/>
    <w:rsid w:val="00D347B9"/>
    <w:rsid w:val="00D347DE"/>
    <w:rsid w:val="00D34839"/>
    <w:rsid w:val="00D34895"/>
    <w:rsid w:val="00D34AFB"/>
    <w:rsid w:val="00D34BAF"/>
    <w:rsid w:val="00D34D1B"/>
    <w:rsid w:val="00D34F9B"/>
    <w:rsid w:val="00D35084"/>
    <w:rsid w:val="00D35138"/>
    <w:rsid w:val="00D351C2"/>
    <w:rsid w:val="00D35235"/>
    <w:rsid w:val="00D3528C"/>
    <w:rsid w:val="00D35388"/>
    <w:rsid w:val="00D353F3"/>
    <w:rsid w:val="00D35466"/>
    <w:rsid w:val="00D35598"/>
    <w:rsid w:val="00D356A2"/>
    <w:rsid w:val="00D35757"/>
    <w:rsid w:val="00D35860"/>
    <w:rsid w:val="00D35A08"/>
    <w:rsid w:val="00D35AFF"/>
    <w:rsid w:val="00D35F3F"/>
    <w:rsid w:val="00D36739"/>
    <w:rsid w:val="00D3692A"/>
    <w:rsid w:val="00D36956"/>
    <w:rsid w:val="00D36A00"/>
    <w:rsid w:val="00D36AEF"/>
    <w:rsid w:val="00D36BE5"/>
    <w:rsid w:val="00D37023"/>
    <w:rsid w:val="00D3725C"/>
    <w:rsid w:val="00D372C1"/>
    <w:rsid w:val="00D376EB"/>
    <w:rsid w:val="00D3786D"/>
    <w:rsid w:val="00D378CD"/>
    <w:rsid w:val="00D37E4B"/>
    <w:rsid w:val="00D40108"/>
    <w:rsid w:val="00D40143"/>
    <w:rsid w:val="00D4029D"/>
    <w:rsid w:val="00D40647"/>
    <w:rsid w:val="00D4065F"/>
    <w:rsid w:val="00D40962"/>
    <w:rsid w:val="00D40F29"/>
    <w:rsid w:val="00D411B6"/>
    <w:rsid w:val="00D415D5"/>
    <w:rsid w:val="00D415F7"/>
    <w:rsid w:val="00D4175A"/>
    <w:rsid w:val="00D41796"/>
    <w:rsid w:val="00D418D1"/>
    <w:rsid w:val="00D418DD"/>
    <w:rsid w:val="00D4195D"/>
    <w:rsid w:val="00D41A57"/>
    <w:rsid w:val="00D41C9E"/>
    <w:rsid w:val="00D41CEE"/>
    <w:rsid w:val="00D41EB8"/>
    <w:rsid w:val="00D423A8"/>
    <w:rsid w:val="00D4284A"/>
    <w:rsid w:val="00D42A41"/>
    <w:rsid w:val="00D42BDE"/>
    <w:rsid w:val="00D42CD5"/>
    <w:rsid w:val="00D431DB"/>
    <w:rsid w:val="00D4348F"/>
    <w:rsid w:val="00D43A9F"/>
    <w:rsid w:val="00D43D46"/>
    <w:rsid w:val="00D43E8B"/>
    <w:rsid w:val="00D4441B"/>
    <w:rsid w:val="00D444C6"/>
    <w:rsid w:val="00D44547"/>
    <w:rsid w:val="00D44687"/>
    <w:rsid w:val="00D44765"/>
    <w:rsid w:val="00D448E2"/>
    <w:rsid w:val="00D44B3B"/>
    <w:rsid w:val="00D44C44"/>
    <w:rsid w:val="00D44FEB"/>
    <w:rsid w:val="00D451CB"/>
    <w:rsid w:val="00D45548"/>
    <w:rsid w:val="00D455C7"/>
    <w:rsid w:val="00D45772"/>
    <w:rsid w:val="00D45894"/>
    <w:rsid w:val="00D458CD"/>
    <w:rsid w:val="00D4593F"/>
    <w:rsid w:val="00D45C13"/>
    <w:rsid w:val="00D45D8C"/>
    <w:rsid w:val="00D45F4D"/>
    <w:rsid w:val="00D4607A"/>
    <w:rsid w:val="00D465E6"/>
    <w:rsid w:val="00D466B3"/>
    <w:rsid w:val="00D46709"/>
    <w:rsid w:val="00D46745"/>
    <w:rsid w:val="00D467CE"/>
    <w:rsid w:val="00D467F3"/>
    <w:rsid w:val="00D46800"/>
    <w:rsid w:val="00D46A03"/>
    <w:rsid w:val="00D46CEE"/>
    <w:rsid w:val="00D4718C"/>
    <w:rsid w:val="00D47222"/>
    <w:rsid w:val="00D4737A"/>
    <w:rsid w:val="00D4762B"/>
    <w:rsid w:val="00D477D3"/>
    <w:rsid w:val="00D479D5"/>
    <w:rsid w:val="00D47C4E"/>
    <w:rsid w:val="00D47C51"/>
    <w:rsid w:val="00D47CD2"/>
    <w:rsid w:val="00D47FFC"/>
    <w:rsid w:val="00D50240"/>
    <w:rsid w:val="00D50317"/>
    <w:rsid w:val="00D5058B"/>
    <w:rsid w:val="00D5076B"/>
    <w:rsid w:val="00D50A5D"/>
    <w:rsid w:val="00D50ADD"/>
    <w:rsid w:val="00D50F7E"/>
    <w:rsid w:val="00D510D3"/>
    <w:rsid w:val="00D51445"/>
    <w:rsid w:val="00D518C2"/>
    <w:rsid w:val="00D518F9"/>
    <w:rsid w:val="00D5191A"/>
    <w:rsid w:val="00D51C0B"/>
    <w:rsid w:val="00D51E51"/>
    <w:rsid w:val="00D5202F"/>
    <w:rsid w:val="00D5205E"/>
    <w:rsid w:val="00D52120"/>
    <w:rsid w:val="00D52137"/>
    <w:rsid w:val="00D5224A"/>
    <w:rsid w:val="00D52274"/>
    <w:rsid w:val="00D52280"/>
    <w:rsid w:val="00D522AA"/>
    <w:rsid w:val="00D522F4"/>
    <w:rsid w:val="00D52463"/>
    <w:rsid w:val="00D524BF"/>
    <w:rsid w:val="00D52774"/>
    <w:rsid w:val="00D52857"/>
    <w:rsid w:val="00D52A10"/>
    <w:rsid w:val="00D52B45"/>
    <w:rsid w:val="00D52E7D"/>
    <w:rsid w:val="00D52EE5"/>
    <w:rsid w:val="00D52FDD"/>
    <w:rsid w:val="00D5325D"/>
    <w:rsid w:val="00D53626"/>
    <w:rsid w:val="00D53708"/>
    <w:rsid w:val="00D537F6"/>
    <w:rsid w:val="00D53910"/>
    <w:rsid w:val="00D53921"/>
    <w:rsid w:val="00D539E8"/>
    <w:rsid w:val="00D53E57"/>
    <w:rsid w:val="00D54092"/>
    <w:rsid w:val="00D54467"/>
    <w:rsid w:val="00D5452E"/>
    <w:rsid w:val="00D54555"/>
    <w:rsid w:val="00D54618"/>
    <w:rsid w:val="00D5462D"/>
    <w:rsid w:val="00D546F1"/>
    <w:rsid w:val="00D548CE"/>
    <w:rsid w:val="00D548E7"/>
    <w:rsid w:val="00D54D61"/>
    <w:rsid w:val="00D54F05"/>
    <w:rsid w:val="00D54FDB"/>
    <w:rsid w:val="00D551C7"/>
    <w:rsid w:val="00D5543B"/>
    <w:rsid w:val="00D5543C"/>
    <w:rsid w:val="00D55928"/>
    <w:rsid w:val="00D55B28"/>
    <w:rsid w:val="00D55B45"/>
    <w:rsid w:val="00D55BD8"/>
    <w:rsid w:val="00D55CA6"/>
    <w:rsid w:val="00D55CC8"/>
    <w:rsid w:val="00D55D36"/>
    <w:rsid w:val="00D55EEB"/>
    <w:rsid w:val="00D56137"/>
    <w:rsid w:val="00D561DF"/>
    <w:rsid w:val="00D56320"/>
    <w:rsid w:val="00D56508"/>
    <w:rsid w:val="00D56581"/>
    <w:rsid w:val="00D566E4"/>
    <w:rsid w:val="00D56706"/>
    <w:rsid w:val="00D5674C"/>
    <w:rsid w:val="00D568AB"/>
    <w:rsid w:val="00D56B8F"/>
    <w:rsid w:val="00D56CAE"/>
    <w:rsid w:val="00D56F73"/>
    <w:rsid w:val="00D570F7"/>
    <w:rsid w:val="00D572E2"/>
    <w:rsid w:val="00D57425"/>
    <w:rsid w:val="00D5767B"/>
    <w:rsid w:val="00D57706"/>
    <w:rsid w:val="00D57B4E"/>
    <w:rsid w:val="00D57CD8"/>
    <w:rsid w:val="00D57CE7"/>
    <w:rsid w:val="00D57D07"/>
    <w:rsid w:val="00D6040D"/>
    <w:rsid w:val="00D6044D"/>
    <w:rsid w:val="00D60482"/>
    <w:rsid w:val="00D6054E"/>
    <w:rsid w:val="00D606B4"/>
    <w:rsid w:val="00D60B05"/>
    <w:rsid w:val="00D60C67"/>
    <w:rsid w:val="00D60D7E"/>
    <w:rsid w:val="00D60E56"/>
    <w:rsid w:val="00D60F89"/>
    <w:rsid w:val="00D61007"/>
    <w:rsid w:val="00D61029"/>
    <w:rsid w:val="00D61034"/>
    <w:rsid w:val="00D6120C"/>
    <w:rsid w:val="00D613D9"/>
    <w:rsid w:val="00D615DA"/>
    <w:rsid w:val="00D61721"/>
    <w:rsid w:val="00D61890"/>
    <w:rsid w:val="00D618D2"/>
    <w:rsid w:val="00D6197F"/>
    <w:rsid w:val="00D61B91"/>
    <w:rsid w:val="00D61D90"/>
    <w:rsid w:val="00D61F67"/>
    <w:rsid w:val="00D61F85"/>
    <w:rsid w:val="00D62026"/>
    <w:rsid w:val="00D6206C"/>
    <w:rsid w:val="00D62108"/>
    <w:rsid w:val="00D624BF"/>
    <w:rsid w:val="00D6256F"/>
    <w:rsid w:val="00D6260C"/>
    <w:rsid w:val="00D62A6C"/>
    <w:rsid w:val="00D62BC4"/>
    <w:rsid w:val="00D62C2F"/>
    <w:rsid w:val="00D62EBE"/>
    <w:rsid w:val="00D62FC1"/>
    <w:rsid w:val="00D6323E"/>
    <w:rsid w:val="00D6326D"/>
    <w:rsid w:val="00D63A4E"/>
    <w:rsid w:val="00D63BBD"/>
    <w:rsid w:val="00D63DEF"/>
    <w:rsid w:val="00D63DF9"/>
    <w:rsid w:val="00D63E26"/>
    <w:rsid w:val="00D64049"/>
    <w:rsid w:val="00D6426A"/>
    <w:rsid w:val="00D6447A"/>
    <w:rsid w:val="00D644F0"/>
    <w:rsid w:val="00D64504"/>
    <w:rsid w:val="00D64614"/>
    <w:rsid w:val="00D64620"/>
    <w:rsid w:val="00D647A5"/>
    <w:rsid w:val="00D647D0"/>
    <w:rsid w:val="00D64AE6"/>
    <w:rsid w:val="00D64B7D"/>
    <w:rsid w:val="00D64E71"/>
    <w:rsid w:val="00D64EF0"/>
    <w:rsid w:val="00D64F8B"/>
    <w:rsid w:val="00D64F93"/>
    <w:rsid w:val="00D654AB"/>
    <w:rsid w:val="00D6581C"/>
    <w:rsid w:val="00D65877"/>
    <w:rsid w:val="00D6593C"/>
    <w:rsid w:val="00D65979"/>
    <w:rsid w:val="00D65AAD"/>
    <w:rsid w:val="00D65DBA"/>
    <w:rsid w:val="00D6600C"/>
    <w:rsid w:val="00D661C6"/>
    <w:rsid w:val="00D66326"/>
    <w:rsid w:val="00D664F3"/>
    <w:rsid w:val="00D66671"/>
    <w:rsid w:val="00D66733"/>
    <w:rsid w:val="00D66875"/>
    <w:rsid w:val="00D668C4"/>
    <w:rsid w:val="00D669CB"/>
    <w:rsid w:val="00D66A35"/>
    <w:rsid w:val="00D66AE9"/>
    <w:rsid w:val="00D66B58"/>
    <w:rsid w:val="00D66DAC"/>
    <w:rsid w:val="00D66E27"/>
    <w:rsid w:val="00D66F92"/>
    <w:rsid w:val="00D67102"/>
    <w:rsid w:val="00D671F1"/>
    <w:rsid w:val="00D6739B"/>
    <w:rsid w:val="00D6746D"/>
    <w:rsid w:val="00D675B4"/>
    <w:rsid w:val="00D675C4"/>
    <w:rsid w:val="00D67685"/>
    <w:rsid w:val="00D67E1C"/>
    <w:rsid w:val="00D7007B"/>
    <w:rsid w:val="00D702CB"/>
    <w:rsid w:val="00D704C1"/>
    <w:rsid w:val="00D70545"/>
    <w:rsid w:val="00D7057E"/>
    <w:rsid w:val="00D70A41"/>
    <w:rsid w:val="00D70D36"/>
    <w:rsid w:val="00D70D6C"/>
    <w:rsid w:val="00D70D71"/>
    <w:rsid w:val="00D70E2A"/>
    <w:rsid w:val="00D7129A"/>
    <w:rsid w:val="00D7131A"/>
    <w:rsid w:val="00D7157B"/>
    <w:rsid w:val="00D715CF"/>
    <w:rsid w:val="00D71750"/>
    <w:rsid w:val="00D71C5E"/>
    <w:rsid w:val="00D71C5F"/>
    <w:rsid w:val="00D71FDD"/>
    <w:rsid w:val="00D71FF6"/>
    <w:rsid w:val="00D72064"/>
    <w:rsid w:val="00D721BC"/>
    <w:rsid w:val="00D722BD"/>
    <w:rsid w:val="00D72312"/>
    <w:rsid w:val="00D72410"/>
    <w:rsid w:val="00D72419"/>
    <w:rsid w:val="00D7254D"/>
    <w:rsid w:val="00D7287C"/>
    <w:rsid w:val="00D728AF"/>
    <w:rsid w:val="00D729CC"/>
    <w:rsid w:val="00D73542"/>
    <w:rsid w:val="00D7360A"/>
    <w:rsid w:val="00D736C8"/>
    <w:rsid w:val="00D736FD"/>
    <w:rsid w:val="00D73876"/>
    <w:rsid w:val="00D73B83"/>
    <w:rsid w:val="00D73CDA"/>
    <w:rsid w:val="00D7427C"/>
    <w:rsid w:val="00D7427E"/>
    <w:rsid w:val="00D744D7"/>
    <w:rsid w:val="00D74A52"/>
    <w:rsid w:val="00D74D87"/>
    <w:rsid w:val="00D74DAE"/>
    <w:rsid w:val="00D74EF6"/>
    <w:rsid w:val="00D74F7E"/>
    <w:rsid w:val="00D75072"/>
    <w:rsid w:val="00D75152"/>
    <w:rsid w:val="00D751A5"/>
    <w:rsid w:val="00D75250"/>
    <w:rsid w:val="00D75318"/>
    <w:rsid w:val="00D754E8"/>
    <w:rsid w:val="00D75518"/>
    <w:rsid w:val="00D75527"/>
    <w:rsid w:val="00D7559C"/>
    <w:rsid w:val="00D75616"/>
    <w:rsid w:val="00D75690"/>
    <w:rsid w:val="00D7578D"/>
    <w:rsid w:val="00D757DA"/>
    <w:rsid w:val="00D75A3F"/>
    <w:rsid w:val="00D75B71"/>
    <w:rsid w:val="00D75C14"/>
    <w:rsid w:val="00D75C2E"/>
    <w:rsid w:val="00D75E63"/>
    <w:rsid w:val="00D75F74"/>
    <w:rsid w:val="00D75FC9"/>
    <w:rsid w:val="00D76577"/>
    <w:rsid w:val="00D765C5"/>
    <w:rsid w:val="00D76688"/>
    <w:rsid w:val="00D76BA4"/>
    <w:rsid w:val="00D76E72"/>
    <w:rsid w:val="00D76F97"/>
    <w:rsid w:val="00D77004"/>
    <w:rsid w:val="00D77137"/>
    <w:rsid w:val="00D771F0"/>
    <w:rsid w:val="00D77290"/>
    <w:rsid w:val="00D77311"/>
    <w:rsid w:val="00D77380"/>
    <w:rsid w:val="00D773C2"/>
    <w:rsid w:val="00D775D9"/>
    <w:rsid w:val="00D7760B"/>
    <w:rsid w:val="00D776CC"/>
    <w:rsid w:val="00D77776"/>
    <w:rsid w:val="00D77AB4"/>
    <w:rsid w:val="00D77BD3"/>
    <w:rsid w:val="00D77BDC"/>
    <w:rsid w:val="00D77CE8"/>
    <w:rsid w:val="00D77D1F"/>
    <w:rsid w:val="00D77DA9"/>
    <w:rsid w:val="00D801C1"/>
    <w:rsid w:val="00D80292"/>
    <w:rsid w:val="00D802CE"/>
    <w:rsid w:val="00D8035D"/>
    <w:rsid w:val="00D803D3"/>
    <w:rsid w:val="00D80558"/>
    <w:rsid w:val="00D80618"/>
    <w:rsid w:val="00D8063F"/>
    <w:rsid w:val="00D806CE"/>
    <w:rsid w:val="00D809DA"/>
    <w:rsid w:val="00D80A22"/>
    <w:rsid w:val="00D80A84"/>
    <w:rsid w:val="00D810AA"/>
    <w:rsid w:val="00D81749"/>
    <w:rsid w:val="00D819AF"/>
    <w:rsid w:val="00D81BF4"/>
    <w:rsid w:val="00D81CD4"/>
    <w:rsid w:val="00D81D3E"/>
    <w:rsid w:val="00D81F0D"/>
    <w:rsid w:val="00D82054"/>
    <w:rsid w:val="00D82884"/>
    <w:rsid w:val="00D8297A"/>
    <w:rsid w:val="00D82AF3"/>
    <w:rsid w:val="00D82BF1"/>
    <w:rsid w:val="00D82DF3"/>
    <w:rsid w:val="00D82F9D"/>
    <w:rsid w:val="00D831DD"/>
    <w:rsid w:val="00D834EE"/>
    <w:rsid w:val="00D83639"/>
    <w:rsid w:val="00D83A6A"/>
    <w:rsid w:val="00D83A73"/>
    <w:rsid w:val="00D83D5D"/>
    <w:rsid w:val="00D83E12"/>
    <w:rsid w:val="00D83E58"/>
    <w:rsid w:val="00D83EC7"/>
    <w:rsid w:val="00D83F5F"/>
    <w:rsid w:val="00D83F8D"/>
    <w:rsid w:val="00D83FF5"/>
    <w:rsid w:val="00D8428E"/>
    <w:rsid w:val="00D842B8"/>
    <w:rsid w:val="00D842F6"/>
    <w:rsid w:val="00D8433A"/>
    <w:rsid w:val="00D844C2"/>
    <w:rsid w:val="00D8455C"/>
    <w:rsid w:val="00D84668"/>
    <w:rsid w:val="00D846C3"/>
    <w:rsid w:val="00D84888"/>
    <w:rsid w:val="00D848AD"/>
    <w:rsid w:val="00D84907"/>
    <w:rsid w:val="00D8493F"/>
    <w:rsid w:val="00D84A03"/>
    <w:rsid w:val="00D84CBA"/>
    <w:rsid w:val="00D850A7"/>
    <w:rsid w:val="00D851AC"/>
    <w:rsid w:val="00D85425"/>
    <w:rsid w:val="00D85487"/>
    <w:rsid w:val="00D856A4"/>
    <w:rsid w:val="00D8584F"/>
    <w:rsid w:val="00D85F3D"/>
    <w:rsid w:val="00D86051"/>
    <w:rsid w:val="00D8610D"/>
    <w:rsid w:val="00D86287"/>
    <w:rsid w:val="00D863E0"/>
    <w:rsid w:val="00D865CB"/>
    <w:rsid w:val="00D867A4"/>
    <w:rsid w:val="00D86DE7"/>
    <w:rsid w:val="00D86FED"/>
    <w:rsid w:val="00D8718F"/>
    <w:rsid w:val="00D87317"/>
    <w:rsid w:val="00D873C0"/>
    <w:rsid w:val="00D873E7"/>
    <w:rsid w:val="00D874A9"/>
    <w:rsid w:val="00D87819"/>
    <w:rsid w:val="00D87885"/>
    <w:rsid w:val="00D87B8E"/>
    <w:rsid w:val="00D87C0C"/>
    <w:rsid w:val="00D87C69"/>
    <w:rsid w:val="00D87D07"/>
    <w:rsid w:val="00D87D4B"/>
    <w:rsid w:val="00D900BE"/>
    <w:rsid w:val="00D900E9"/>
    <w:rsid w:val="00D90499"/>
    <w:rsid w:val="00D90800"/>
    <w:rsid w:val="00D908DE"/>
    <w:rsid w:val="00D90C6F"/>
    <w:rsid w:val="00D90DEA"/>
    <w:rsid w:val="00D9107F"/>
    <w:rsid w:val="00D911CB"/>
    <w:rsid w:val="00D913B7"/>
    <w:rsid w:val="00D9152A"/>
    <w:rsid w:val="00D916CC"/>
    <w:rsid w:val="00D9178D"/>
    <w:rsid w:val="00D91C61"/>
    <w:rsid w:val="00D91D49"/>
    <w:rsid w:val="00D91F4A"/>
    <w:rsid w:val="00D92025"/>
    <w:rsid w:val="00D92153"/>
    <w:rsid w:val="00D92785"/>
    <w:rsid w:val="00D92B3F"/>
    <w:rsid w:val="00D92D4A"/>
    <w:rsid w:val="00D92E61"/>
    <w:rsid w:val="00D9311A"/>
    <w:rsid w:val="00D93205"/>
    <w:rsid w:val="00D93251"/>
    <w:rsid w:val="00D932A2"/>
    <w:rsid w:val="00D9354C"/>
    <w:rsid w:val="00D935D9"/>
    <w:rsid w:val="00D9363C"/>
    <w:rsid w:val="00D9376D"/>
    <w:rsid w:val="00D937B1"/>
    <w:rsid w:val="00D937BE"/>
    <w:rsid w:val="00D93962"/>
    <w:rsid w:val="00D93ACC"/>
    <w:rsid w:val="00D93B95"/>
    <w:rsid w:val="00D93C08"/>
    <w:rsid w:val="00D93CB2"/>
    <w:rsid w:val="00D93CDE"/>
    <w:rsid w:val="00D93CDF"/>
    <w:rsid w:val="00D93F0E"/>
    <w:rsid w:val="00D94080"/>
    <w:rsid w:val="00D940E1"/>
    <w:rsid w:val="00D94138"/>
    <w:rsid w:val="00D9418B"/>
    <w:rsid w:val="00D94211"/>
    <w:rsid w:val="00D943F7"/>
    <w:rsid w:val="00D94678"/>
    <w:rsid w:val="00D946A0"/>
    <w:rsid w:val="00D94B98"/>
    <w:rsid w:val="00D94BA6"/>
    <w:rsid w:val="00D94E09"/>
    <w:rsid w:val="00D94E51"/>
    <w:rsid w:val="00D952DC"/>
    <w:rsid w:val="00D953B1"/>
    <w:rsid w:val="00D95478"/>
    <w:rsid w:val="00D956BE"/>
    <w:rsid w:val="00D959A2"/>
    <w:rsid w:val="00D95A88"/>
    <w:rsid w:val="00D95C37"/>
    <w:rsid w:val="00D95C9B"/>
    <w:rsid w:val="00D95D03"/>
    <w:rsid w:val="00D95D44"/>
    <w:rsid w:val="00D95EB9"/>
    <w:rsid w:val="00D96247"/>
    <w:rsid w:val="00D96301"/>
    <w:rsid w:val="00D9655E"/>
    <w:rsid w:val="00D969B4"/>
    <w:rsid w:val="00D969FF"/>
    <w:rsid w:val="00D96CA9"/>
    <w:rsid w:val="00D97003"/>
    <w:rsid w:val="00D97258"/>
    <w:rsid w:val="00D9725D"/>
    <w:rsid w:val="00D97304"/>
    <w:rsid w:val="00D973F6"/>
    <w:rsid w:val="00D97ABE"/>
    <w:rsid w:val="00D97CC5"/>
    <w:rsid w:val="00D97F59"/>
    <w:rsid w:val="00D97F75"/>
    <w:rsid w:val="00DA002C"/>
    <w:rsid w:val="00DA0085"/>
    <w:rsid w:val="00DA0267"/>
    <w:rsid w:val="00DA04FE"/>
    <w:rsid w:val="00DA0868"/>
    <w:rsid w:val="00DA087A"/>
    <w:rsid w:val="00DA0892"/>
    <w:rsid w:val="00DA0921"/>
    <w:rsid w:val="00DA0BDF"/>
    <w:rsid w:val="00DA0CC2"/>
    <w:rsid w:val="00DA0E40"/>
    <w:rsid w:val="00DA11EB"/>
    <w:rsid w:val="00DA1271"/>
    <w:rsid w:val="00DA15DD"/>
    <w:rsid w:val="00DA1601"/>
    <w:rsid w:val="00DA1714"/>
    <w:rsid w:val="00DA18B9"/>
    <w:rsid w:val="00DA1904"/>
    <w:rsid w:val="00DA198F"/>
    <w:rsid w:val="00DA1B3D"/>
    <w:rsid w:val="00DA1C30"/>
    <w:rsid w:val="00DA1DED"/>
    <w:rsid w:val="00DA1DEF"/>
    <w:rsid w:val="00DA1E7A"/>
    <w:rsid w:val="00DA24CE"/>
    <w:rsid w:val="00DA24F3"/>
    <w:rsid w:val="00DA2794"/>
    <w:rsid w:val="00DA2920"/>
    <w:rsid w:val="00DA2CBE"/>
    <w:rsid w:val="00DA2DEF"/>
    <w:rsid w:val="00DA2F83"/>
    <w:rsid w:val="00DA3030"/>
    <w:rsid w:val="00DA30FA"/>
    <w:rsid w:val="00DA3124"/>
    <w:rsid w:val="00DA378A"/>
    <w:rsid w:val="00DA3797"/>
    <w:rsid w:val="00DA37BE"/>
    <w:rsid w:val="00DA39C2"/>
    <w:rsid w:val="00DA3B9A"/>
    <w:rsid w:val="00DA3C64"/>
    <w:rsid w:val="00DA3D4C"/>
    <w:rsid w:val="00DA3FB0"/>
    <w:rsid w:val="00DA41B7"/>
    <w:rsid w:val="00DA45D8"/>
    <w:rsid w:val="00DA465D"/>
    <w:rsid w:val="00DA4747"/>
    <w:rsid w:val="00DA4979"/>
    <w:rsid w:val="00DA4AA4"/>
    <w:rsid w:val="00DA4AE2"/>
    <w:rsid w:val="00DA4BBC"/>
    <w:rsid w:val="00DA4DE1"/>
    <w:rsid w:val="00DA4ED3"/>
    <w:rsid w:val="00DA5225"/>
    <w:rsid w:val="00DA5547"/>
    <w:rsid w:val="00DA577A"/>
    <w:rsid w:val="00DA57D6"/>
    <w:rsid w:val="00DA59E5"/>
    <w:rsid w:val="00DA5A93"/>
    <w:rsid w:val="00DA5B55"/>
    <w:rsid w:val="00DA5CFE"/>
    <w:rsid w:val="00DA5D15"/>
    <w:rsid w:val="00DA5EC6"/>
    <w:rsid w:val="00DA5F1C"/>
    <w:rsid w:val="00DA610C"/>
    <w:rsid w:val="00DA62DE"/>
    <w:rsid w:val="00DA6479"/>
    <w:rsid w:val="00DA6491"/>
    <w:rsid w:val="00DA6648"/>
    <w:rsid w:val="00DA68C4"/>
    <w:rsid w:val="00DA6922"/>
    <w:rsid w:val="00DA69A5"/>
    <w:rsid w:val="00DA6BEB"/>
    <w:rsid w:val="00DA6CBA"/>
    <w:rsid w:val="00DA6E3C"/>
    <w:rsid w:val="00DA71CB"/>
    <w:rsid w:val="00DA72F3"/>
    <w:rsid w:val="00DA7A19"/>
    <w:rsid w:val="00DA7C1B"/>
    <w:rsid w:val="00DA7DD8"/>
    <w:rsid w:val="00DA7FB4"/>
    <w:rsid w:val="00DB01E0"/>
    <w:rsid w:val="00DB01F2"/>
    <w:rsid w:val="00DB04B2"/>
    <w:rsid w:val="00DB04D9"/>
    <w:rsid w:val="00DB062F"/>
    <w:rsid w:val="00DB0861"/>
    <w:rsid w:val="00DB0B2D"/>
    <w:rsid w:val="00DB11A5"/>
    <w:rsid w:val="00DB1660"/>
    <w:rsid w:val="00DB16A0"/>
    <w:rsid w:val="00DB1AE8"/>
    <w:rsid w:val="00DB1D81"/>
    <w:rsid w:val="00DB1FC2"/>
    <w:rsid w:val="00DB1FE1"/>
    <w:rsid w:val="00DB20B5"/>
    <w:rsid w:val="00DB220B"/>
    <w:rsid w:val="00DB221C"/>
    <w:rsid w:val="00DB2439"/>
    <w:rsid w:val="00DB2709"/>
    <w:rsid w:val="00DB2847"/>
    <w:rsid w:val="00DB28BF"/>
    <w:rsid w:val="00DB28C8"/>
    <w:rsid w:val="00DB28E9"/>
    <w:rsid w:val="00DB29A8"/>
    <w:rsid w:val="00DB29B6"/>
    <w:rsid w:val="00DB2B3E"/>
    <w:rsid w:val="00DB2BBE"/>
    <w:rsid w:val="00DB2C8E"/>
    <w:rsid w:val="00DB2D02"/>
    <w:rsid w:val="00DB2EF0"/>
    <w:rsid w:val="00DB2FBE"/>
    <w:rsid w:val="00DB306A"/>
    <w:rsid w:val="00DB3080"/>
    <w:rsid w:val="00DB32F9"/>
    <w:rsid w:val="00DB3588"/>
    <w:rsid w:val="00DB395B"/>
    <w:rsid w:val="00DB3A9E"/>
    <w:rsid w:val="00DB3AE8"/>
    <w:rsid w:val="00DB3B55"/>
    <w:rsid w:val="00DB3E0A"/>
    <w:rsid w:val="00DB3F27"/>
    <w:rsid w:val="00DB3FA0"/>
    <w:rsid w:val="00DB3FD1"/>
    <w:rsid w:val="00DB4526"/>
    <w:rsid w:val="00DB456E"/>
    <w:rsid w:val="00DB46C8"/>
    <w:rsid w:val="00DB4A01"/>
    <w:rsid w:val="00DB4D61"/>
    <w:rsid w:val="00DB4F17"/>
    <w:rsid w:val="00DB5346"/>
    <w:rsid w:val="00DB5424"/>
    <w:rsid w:val="00DB5616"/>
    <w:rsid w:val="00DB5701"/>
    <w:rsid w:val="00DB5ABB"/>
    <w:rsid w:val="00DB5CE4"/>
    <w:rsid w:val="00DB5D36"/>
    <w:rsid w:val="00DB5D63"/>
    <w:rsid w:val="00DB5E11"/>
    <w:rsid w:val="00DB5F23"/>
    <w:rsid w:val="00DB60AD"/>
    <w:rsid w:val="00DB617B"/>
    <w:rsid w:val="00DB63AF"/>
    <w:rsid w:val="00DB644F"/>
    <w:rsid w:val="00DB6559"/>
    <w:rsid w:val="00DB66B3"/>
    <w:rsid w:val="00DB67E6"/>
    <w:rsid w:val="00DB68C9"/>
    <w:rsid w:val="00DB6B16"/>
    <w:rsid w:val="00DB6DA4"/>
    <w:rsid w:val="00DB6E86"/>
    <w:rsid w:val="00DB6EE0"/>
    <w:rsid w:val="00DB6FE0"/>
    <w:rsid w:val="00DB7174"/>
    <w:rsid w:val="00DB7234"/>
    <w:rsid w:val="00DB728C"/>
    <w:rsid w:val="00DB7293"/>
    <w:rsid w:val="00DB7309"/>
    <w:rsid w:val="00DB7389"/>
    <w:rsid w:val="00DB7393"/>
    <w:rsid w:val="00DB7456"/>
    <w:rsid w:val="00DB749B"/>
    <w:rsid w:val="00DB7627"/>
    <w:rsid w:val="00DB76FD"/>
    <w:rsid w:val="00DB78BD"/>
    <w:rsid w:val="00DB7B58"/>
    <w:rsid w:val="00DB7DFC"/>
    <w:rsid w:val="00DB7F4B"/>
    <w:rsid w:val="00DB7F5B"/>
    <w:rsid w:val="00DC00FF"/>
    <w:rsid w:val="00DC01F4"/>
    <w:rsid w:val="00DC06AF"/>
    <w:rsid w:val="00DC0724"/>
    <w:rsid w:val="00DC07C2"/>
    <w:rsid w:val="00DC09C7"/>
    <w:rsid w:val="00DC0D1D"/>
    <w:rsid w:val="00DC0D8D"/>
    <w:rsid w:val="00DC0E1E"/>
    <w:rsid w:val="00DC0E49"/>
    <w:rsid w:val="00DC0E71"/>
    <w:rsid w:val="00DC107F"/>
    <w:rsid w:val="00DC13DB"/>
    <w:rsid w:val="00DC13DE"/>
    <w:rsid w:val="00DC13F3"/>
    <w:rsid w:val="00DC15DB"/>
    <w:rsid w:val="00DC16CB"/>
    <w:rsid w:val="00DC1711"/>
    <w:rsid w:val="00DC1713"/>
    <w:rsid w:val="00DC1742"/>
    <w:rsid w:val="00DC183B"/>
    <w:rsid w:val="00DC1A23"/>
    <w:rsid w:val="00DC1B90"/>
    <w:rsid w:val="00DC1C7F"/>
    <w:rsid w:val="00DC1D58"/>
    <w:rsid w:val="00DC206D"/>
    <w:rsid w:val="00DC221E"/>
    <w:rsid w:val="00DC23CB"/>
    <w:rsid w:val="00DC23FB"/>
    <w:rsid w:val="00DC2443"/>
    <w:rsid w:val="00DC26FE"/>
    <w:rsid w:val="00DC29D0"/>
    <w:rsid w:val="00DC2CA1"/>
    <w:rsid w:val="00DC3059"/>
    <w:rsid w:val="00DC3124"/>
    <w:rsid w:val="00DC38C6"/>
    <w:rsid w:val="00DC39F5"/>
    <w:rsid w:val="00DC3A7F"/>
    <w:rsid w:val="00DC3EBA"/>
    <w:rsid w:val="00DC3F55"/>
    <w:rsid w:val="00DC441A"/>
    <w:rsid w:val="00DC445B"/>
    <w:rsid w:val="00DC44AE"/>
    <w:rsid w:val="00DC4554"/>
    <w:rsid w:val="00DC4650"/>
    <w:rsid w:val="00DC4897"/>
    <w:rsid w:val="00DC4B8F"/>
    <w:rsid w:val="00DC4E42"/>
    <w:rsid w:val="00DC5238"/>
    <w:rsid w:val="00DC546B"/>
    <w:rsid w:val="00DC597F"/>
    <w:rsid w:val="00DC5A64"/>
    <w:rsid w:val="00DC5B2A"/>
    <w:rsid w:val="00DC5C8D"/>
    <w:rsid w:val="00DC5D13"/>
    <w:rsid w:val="00DC5D63"/>
    <w:rsid w:val="00DC5DCC"/>
    <w:rsid w:val="00DC5EDB"/>
    <w:rsid w:val="00DC61C6"/>
    <w:rsid w:val="00DC64A4"/>
    <w:rsid w:val="00DC6673"/>
    <w:rsid w:val="00DC67D9"/>
    <w:rsid w:val="00DC67E4"/>
    <w:rsid w:val="00DC692D"/>
    <w:rsid w:val="00DC6B02"/>
    <w:rsid w:val="00DC6BE9"/>
    <w:rsid w:val="00DC6E09"/>
    <w:rsid w:val="00DC6E10"/>
    <w:rsid w:val="00DC6F7C"/>
    <w:rsid w:val="00DC725B"/>
    <w:rsid w:val="00DC7567"/>
    <w:rsid w:val="00DC76DE"/>
    <w:rsid w:val="00DC7A81"/>
    <w:rsid w:val="00DC7F0F"/>
    <w:rsid w:val="00DD061C"/>
    <w:rsid w:val="00DD063B"/>
    <w:rsid w:val="00DD06F1"/>
    <w:rsid w:val="00DD07B2"/>
    <w:rsid w:val="00DD07D3"/>
    <w:rsid w:val="00DD07F8"/>
    <w:rsid w:val="00DD0987"/>
    <w:rsid w:val="00DD0A09"/>
    <w:rsid w:val="00DD0A77"/>
    <w:rsid w:val="00DD0B54"/>
    <w:rsid w:val="00DD0CEA"/>
    <w:rsid w:val="00DD0E9C"/>
    <w:rsid w:val="00DD127F"/>
    <w:rsid w:val="00DD12FA"/>
    <w:rsid w:val="00DD14D5"/>
    <w:rsid w:val="00DD1643"/>
    <w:rsid w:val="00DD1763"/>
    <w:rsid w:val="00DD1A1F"/>
    <w:rsid w:val="00DD1A66"/>
    <w:rsid w:val="00DD1AA0"/>
    <w:rsid w:val="00DD1C0A"/>
    <w:rsid w:val="00DD1C46"/>
    <w:rsid w:val="00DD1EEE"/>
    <w:rsid w:val="00DD1F04"/>
    <w:rsid w:val="00DD1F11"/>
    <w:rsid w:val="00DD203E"/>
    <w:rsid w:val="00DD20AD"/>
    <w:rsid w:val="00DD2134"/>
    <w:rsid w:val="00DD21FF"/>
    <w:rsid w:val="00DD2554"/>
    <w:rsid w:val="00DD263B"/>
    <w:rsid w:val="00DD265E"/>
    <w:rsid w:val="00DD2970"/>
    <w:rsid w:val="00DD2A44"/>
    <w:rsid w:val="00DD2B18"/>
    <w:rsid w:val="00DD2CC4"/>
    <w:rsid w:val="00DD2CDA"/>
    <w:rsid w:val="00DD2E57"/>
    <w:rsid w:val="00DD2F5E"/>
    <w:rsid w:val="00DD3133"/>
    <w:rsid w:val="00DD33F3"/>
    <w:rsid w:val="00DD33F9"/>
    <w:rsid w:val="00DD3407"/>
    <w:rsid w:val="00DD34A2"/>
    <w:rsid w:val="00DD34E0"/>
    <w:rsid w:val="00DD35D9"/>
    <w:rsid w:val="00DD38A1"/>
    <w:rsid w:val="00DD3A05"/>
    <w:rsid w:val="00DD3B6E"/>
    <w:rsid w:val="00DD3CBE"/>
    <w:rsid w:val="00DD3DD5"/>
    <w:rsid w:val="00DD3E8D"/>
    <w:rsid w:val="00DD3F81"/>
    <w:rsid w:val="00DD3F88"/>
    <w:rsid w:val="00DD3FFA"/>
    <w:rsid w:val="00DD40CD"/>
    <w:rsid w:val="00DD42CC"/>
    <w:rsid w:val="00DD4537"/>
    <w:rsid w:val="00DD47FB"/>
    <w:rsid w:val="00DD48B3"/>
    <w:rsid w:val="00DD4C3F"/>
    <w:rsid w:val="00DD4D72"/>
    <w:rsid w:val="00DD4E5B"/>
    <w:rsid w:val="00DD5326"/>
    <w:rsid w:val="00DD53E7"/>
    <w:rsid w:val="00DD5479"/>
    <w:rsid w:val="00DD56F1"/>
    <w:rsid w:val="00DD57D0"/>
    <w:rsid w:val="00DD58D1"/>
    <w:rsid w:val="00DD5A62"/>
    <w:rsid w:val="00DD5ABD"/>
    <w:rsid w:val="00DD5DB5"/>
    <w:rsid w:val="00DD5DE4"/>
    <w:rsid w:val="00DD629C"/>
    <w:rsid w:val="00DD62B8"/>
    <w:rsid w:val="00DD62C5"/>
    <w:rsid w:val="00DD67E0"/>
    <w:rsid w:val="00DD6A9C"/>
    <w:rsid w:val="00DD6B8F"/>
    <w:rsid w:val="00DD6C03"/>
    <w:rsid w:val="00DD6C17"/>
    <w:rsid w:val="00DD6CB8"/>
    <w:rsid w:val="00DD6D6E"/>
    <w:rsid w:val="00DD6E30"/>
    <w:rsid w:val="00DD6F1D"/>
    <w:rsid w:val="00DD70DE"/>
    <w:rsid w:val="00DD72C8"/>
    <w:rsid w:val="00DD72EB"/>
    <w:rsid w:val="00DD789C"/>
    <w:rsid w:val="00DD78D1"/>
    <w:rsid w:val="00DD78EF"/>
    <w:rsid w:val="00DD7AD1"/>
    <w:rsid w:val="00DD7BE3"/>
    <w:rsid w:val="00DD7EAE"/>
    <w:rsid w:val="00DD7F0F"/>
    <w:rsid w:val="00DD7FC5"/>
    <w:rsid w:val="00DE008C"/>
    <w:rsid w:val="00DE0141"/>
    <w:rsid w:val="00DE016D"/>
    <w:rsid w:val="00DE016E"/>
    <w:rsid w:val="00DE0411"/>
    <w:rsid w:val="00DE0457"/>
    <w:rsid w:val="00DE0496"/>
    <w:rsid w:val="00DE08C5"/>
    <w:rsid w:val="00DE0B11"/>
    <w:rsid w:val="00DE0BC9"/>
    <w:rsid w:val="00DE0C56"/>
    <w:rsid w:val="00DE1016"/>
    <w:rsid w:val="00DE12A8"/>
    <w:rsid w:val="00DE1A8D"/>
    <w:rsid w:val="00DE1C1F"/>
    <w:rsid w:val="00DE1D74"/>
    <w:rsid w:val="00DE1D9E"/>
    <w:rsid w:val="00DE1E23"/>
    <w:rsid w:val="00DE1EDC"/>
    <w:rsid w:val="00DE21AF"/>
    <w:rsid w:val="00DE21CA"/>
    <w:rsid w:val="00DE22A8"/>
    <w:rsid w:val="00DE248E"/>
    <w:rsid w:val="00DE2564"/>
    <w:rsid w:val="00DE27C7"/>
    <w:rsid w:val="00DE2B3D"/>
    <w:rsid w:val="00DE2B52"/>
    <w:rsid w:val="00DE2BDA"/>
    <w:rsid w:val="00DE2E2A"/>
    <w:rsid w:val="00DE2F88"/>
    <w:rsid w:val="00DE2FA7"/>
    <w:rsid w:val="00DE30DA"/>
    <w:rsid w:val="00DE32F3"/>
    <w:rsid w:val="00DE3307"/>
    <w:rsid w:val="00DE3328"/>
    <w:rsid w:val="00DE3AAC"/>
    <w:rsid w:val="00DE4179"/>
    <w:rsid w:val="00DE48E1"/>
    <w:rsid w:val="00DE48FF"/>
    <w:rsid w:val="00DE51A0"/>
    <w:rsid w:val="00DE5224"/>
    <w:rsid w:val="00DE543A"/>
    <w:rsid w:val="00DE5703"/>
    <w:rsid w:val="00DE5765"/>
    <w:rsid w:val="00DE57DC"/>
    <w:rsid w:val="00DE5AB7"/>
    <w:rsid w:val="00DE5ACF"/>
    <w:rsid w:val="00DE5E1B"/>
    <w:rsid w:val="00DE605F"/>
    <w:rsid w:val="00DE64E1"/>
    <w:rsid w:val="00DE65FA"/>
    <w:rsid w:val="00DE664D"/>
    <w:rsid w:val="00DE6865"/>
    <w:rsid w:val="00DE68FA"/>
    <w:rsid w:val="00DE6989"/>
    <w:rsid w:val="00DE6B5F"/>
    <w:rsid w:val="00DE6CBF"/>
    <w:rsid w:val="00DE6D8D"/>
    <w:rsid w:val="00DE6EDA"/>
    <w:rsid w:val="00DE7022"/>
    <w:rsid w:val="00DE71D8"/>
    <w:rsid w:val="00DE72C0"/>
    <w:rsid w:val="00DE735F"/>
    <w:rsid w:val="00DE75C1"/>
    <w:rsid w:val="00DE7913"/>
    <w:rsid w:val="00DE7C19"/>
    <w:rsid w:val="00DE7C4F"/>
    <w:rsid w:val="00DF0431"/>
    <w:rsid w:val="00DF071E"/>
    <w:rsid w:val="00DF0985"/>
    <w:rsid w:val="00DF0A4B"/>
    <w:rsid w:val="00DF0A76"/>
    <w:rsid w:val="00DF0B32"/>
    <w:rsid w:val="00DF105C"/>
    <w:rsid w:val="00DF106E"/>
    <w:rsid w:val="00DF1251"/>
    <w:rsid w:val="00DF12DA"/>
    <w:rsid w:val="00DF1311"/>
    <w:rsid w:val="00DF1804"/>
    <w:rsid w:val="00DF186E"/>
    <w:rsid w:val="00DF1AAC"/>
    <w:rsid w:val="00DF1D77"/>
    <w:rsid w:val="00DF1FEC"/>
    <w:rsid w:val="00DF22B9"/>
    <w:rsid w:val="00DF23D4"/>
    <w:rsid w:val="00DF25D7"/>
    <w:rsid w:val="00DF26E1"/>
    <w:rsid w:val="00DF2731"/>
    <w:rsid w:val="00DF2736"/>
    <w:rsid w:val="00DF27C1"/>
    <w:rsid w:val="00DF27DC"/>
    <w:rsid w:val="00DF2921"/>
    <w:rsid w:val="00DF29F3"/>
    <w:rsid w:val="00DF2A8D"/>
    <w:rsid w:val="00DF2D26"/>
    <w:rsid w:val="00DF2E14"/>
    <w:rsid w:val="00DF2EBF"/>
    <w:rsid w:val="00DF2FA3"/>
    <w:rsid w:val="00DF2FBB"/>
    <w:rsid w:val="00DF300B"/>
    <w:rsid w:val="00DF30F4"/>
    <w:rsid w:val="00DF350F"/>
    <w:rsid w:val="00DF36BD"/>
    <w:rsid w:val="00DF3882"/>
    <w:rsid w:val="00DF396F"/>
    <w:rsid w:val="00DF3AC5"/>
    <w:rsid w:val="00DF3B81"/>
    <w:rsid w:val="00DF3C3F"/>
    <w:rsid w:val="00DF3E8F"/>
    <w:rsid w:val="00DF3F3C"/>
    <w:rsid w:val="00DF3FAB"/>
    <w:rsid w:val="00DF403F"/>
    <w:rsid w:val="00DF408C"/>
    <w:rsid w:val="00DF4170"/>
    <w:rsid w:val="00DF434F"/>
    <w:rsid w:val="00DF4B23"/>
    <w:rsid w:val="00DF4D54"/>
    <w:rsid w:val="00DF4FB7"/>
    <w:rsid w:val="00DF5208"/>
    <w:rsid w:val="00DF520A"/>
    <w:rsid w:val="00DF593C"/>
    <w:rsid w:val="00DF5A74"/>
    <w:rsid w:val="00DF5B15"/>
    <w:rsid w:val="00DF60B2"/>
    <w:rsid w:val="00DF60DB"/>
    <w:rsid w:val="00DF6912"/>
    <w:rsid w:val="00DF69D9"/>
    <w:rsid w:val="00DF6A8B"/>
    <w:rsid w:val="00DF6C8B"/>
    <w:rsid w:val="00DF6DF4"/>
    <w:rsid w:val="00DF6EDF"/>
    <w:rsid w:val="00DF6F09"/>
    <w:rsid w:val="00DF6F25"/>
    <w:rsid w:val="00DF6FB3"/>
    <w:rsid w:val="00DF7183"/>
    <w:rsid w:val="00DF75E9"/>
    <w:rsid w:val="00DF77C2"/>
    <w:rsid w:val="00DF7803"/>
    <w:rsid w:val="00DF798F"/>
    <w:rsid w:val="00DF7D1F"/>
    <w:rsid w:val="00DF7D23"/>
    <w:rsid w:val="00DF7E9D"/>
    <w:rsid w:val="00E000E8"/>
    <w:rsid w:val="00E002FF"/>
    <w:rsid w:val="00E003F6"/>
    <w:rsid w:val="00E00462"/>
    <w:rsid w:val="00E00649"/>
    <w:rsid w:val="00E0088E"/>
    <w:rsid w:val="00E00BED"/>
    <w:rsid w:val="00E01035"/>
    <w:rsid w:val="00E0105C"/>
    <w:rsid w:val="00E01092"/>
    <w:rsid w:val="00E01281"/>
    <w:rsid w:val="00E0135D"/>
    <w:rsid w:val="00E01454"/>
    <w:rsid w:val="00E0147B"/>
    <w:rsid w:val="00E0165A"/>
    <w:rsid w:val="00E01722"/>
    <w:rsid w:val="00E019CE"/>
    <w:rsid w:val="00E01E12"/>
    <w:rsid w:val="00E01E50"/>
    <w:rsid w:val="00E020C5"/>
    <w:rsid w:val="00E02259"/>
    <w:rsid w:val="00E0226F"/>
    <w:rsid w:val="00E02274"/>
    <w:rsid w:val="00E022EB"/>
    <w:rsid w:val="00E02682"/>
    <w:rsid w:val="00E026E5"/>
    <w:rsid w:val="00E027AF"/>
    <w:rsid w:val="00E02862"/>
    <w:rsid w:val="00E02908"/>
    <w:rsid w:val="00E02FAD"/>
    <w:rsid w:val="00E02FF3"/>
    <w:rsid w:val="00E03176"/>
    <w:rsid w:val="00E03244"/>
    <w:rsid w:val="00E035A3"/>
    <w:rsid w:val="00E035BE"/>
    <w:rsid w:val="00E036AB"/>
    <w:rsid w:val="00E038D8"/>
    <w:rsid w:val="00E03B94"/>
    <w:rsid w:val="00E03C4D"/>
    <w:rsid w:val="00E043F2"/>
    <w:rsid w:val="00E046CE"/>
    <w:rsid w:val="00E04CC1"/>
    <w:rsid w:val="00E05202"/>
    <w:rsid w:val="00E0527B"/>
    <w:rsid w:val="00E0547A"/>
    <w:rsid w:val="00E05535"/>
    <w:rsid w:val="00E0553D"/>
    <w:rsid w:val="00E05619"/>
    <w:rsid w:val="00E05925"/>
    <w:rsid w:val="00E05A2E"/>
    <w:rsid w:val="00E05A32"/>
    <w:rsid w:val="00E05A5D"/>
    <w:rsid w:val="00E05BC6"/>
    <w:rsid w:val="00E05C8D"/>
    <w:rsid w:val="00E05EE6"/>
    <w:rsid w:val="00E06077"/>
    <w:rsid w:val="00E0610C"/>
    <w:rsid w:val="00E0619E"/>
    <w:rsid w:val="00E06214"/>
    <w:rsid w:val="00E06255"/>
    <w:rsid w:val="00E062E8"/>
    <w:rsid w:val="00E06332"/>
    <w:rsid w:val="00E06572"/>
    <w:rsid w:val="00E066E5"/>
    <w:rsid w:val="00E06721"/>
    <w:rsid w:val="00E06AEB"/>
    <w:rsid w:val="00E06B2D"/>
    <w:rsid w:val="00E06B3C"/>
    <w:rsid w:val="00E06B91"/>
    <w:rsid w:val="00E06C17"/>
    <w:rsid w:val="00E07427"/>
    <w:rsid w:val="00E07882"/>
    <w:rsid w:val="00E07A42"/>
    <w:rsid w:val="00E07B72"/>
    <w:rsid w:val="00E07DCF"/>
    <w:rsid w:val="00E07ED7"/>
    <w:rsid w:val="00E07F61"/>
    <w:rsid w:val="00E101F3"/>
    <w:rsid w:val="00E103A9"/>
    <w:rsid w:val="00E104BD"/>
    <w:rsid w:val="00E108F8"/>
    <w:rsid w:val="00E10961"/>
    <w:rsid w:val="00E10AE7"/>
    <w:rsid w:val="00E10B21"/>
    <w:rsid w:val="00E11076"/>
    <w:rsid w:val="00E11161"/>
    <w:rsid w:val="00E113A9"/>
    <w:rsid w:val="00E116BD"/>
    <w:rsid w:val="00E11779"/>
    <w:rsid w:val="00E11A58"/>
    <w:rsid w:val="00E11B21"/>
    <w:rsid w:val="00E11BFB"/>
    <w:rsid w:val="00E11C2E"/>
    <w:rsid w:val="00E1210E"/>
    <w:rsid w:val="00E12262"/>
    <w:rsid w:val="00E122BC"/>
    <w:rsid w:val="00E12407"/>
    <w:rsid w:val="00E125A1"/>
    <w:rsid w:val="00E12643"/>
    <w:rsid w:val="00E12646"/>
    <w:rsid w:val="00E12A63"/>
    <w:rsid w:val="00E12D8F"/>
    <w:rsid w:val="00E131E4"/>
    <w:rsid w:val="00E1329A"/>
    <w:rsid w:val="00E133D0"/>
    <w:rsid w:val="00E13436"/>
    <w:rsid w:val="00E13474"/>
    <w:rsid w:val="00E1367F"/>
    <w:rsid w:val="00E137EA"/>
    <w:rsid w:val="00E13836"/>
    <w:rsid w:val="00E1383B"/>
    <w:rsid w:val="00E13940"/>
    <w:rsid w:val="00E13E3F"/>
    <w:rsid w:val="00E13F4C"/>
    <w:rsid w:val="00E14277"/>
    <w:rsid w:val="00E14342"/>
    <w:rsid w:val="00E14551"/>
    <w:rsid w:val="00E145F5"/>
    <w:rsid w:val="00E14816"/>
    <w:rsid w:val="00E1490D"/>
    <w:rsid w:val="00E14C3A"/>
    <w:rsid w:val="00E14CD3"/>
    <w:rsid w:val="00E14DBB"/>
    <w:rsid w:val="00E14E28"/>
    <w:rsid w:val="00E14EC5"/>
    <w:rsid w:val="00E14EFF"/>
    <w:rsid w:val="00E14F76"/>
    <w:rsid w:val="00E151AE"/>
    <w:rsid w:val="00E1522B"/>
    <w:rsid w:val="00E153D5"/>
    <w:rsid w:val="00E1540E"/>
    <w:rsid w:val="00E154CA"/>
    <w:rsid w:val="00E15557"/>
    <w:rsid w:val="00E15669"/>
    <w:rsid w:val="00E15926"/>
    <w:rsid w:val="00E15B32"/>
    <w:rsid w:val="00E15BC9"/>
    <w:rsid w:val="00E15E94"/>
    <w:rsid w:val="00E15EB0"/>
    <w:rsid w:val="00E16028"/>
    <w:rsid w:val="00E16089"/>
    <w:rsid w:val="00E162A5"/>
    <w:rsid w:val="00E1633B"/>
    <w:rsid w:val="00E16359"/>
    <w:rsid w:val="00E16565"/>
    <w:rsid w:val="00E166C3"/>
    <w:rsid w:val="00E1671D"/>
    <w:rsid w:val="00E167A4"/>
    <w:rsid w:val="00E167B7"/>
    <w:rsid w:val="00E16936"/>
    <w:rsid w:val="00E16A8C"/>
    <w:rsid w:val="00E16AB8"/>
    <w:rsid w:val="00E16B49"/>
    <w:rsid w:val="00E16C71"/>
    <w:rsid w:val="00E16C8F"/>
    <w:rsid w:val="00E16C9A"/>
    <w:rsid w:val="00E16DE4"/>
    <w:rsid w:val="00E16EFE"/>
    <w:rsid w:val="00E16F10"/>
    <w:rsid w:val="00E170F1"/>
    <w:rsid w:val="00E17192"/>
    <w:rsid w:val="00E17285"/>
    <w:rsid w:val="00E1751A"/>
    <w:rsid w:val="00E17631"/>
    <w:rsid w:val="00E177AA"/>
    <w:rsid w:val="00E17A8E"/>
    <w:rsid w:val="00E17C87"/>
    <w:rsid w:val="00E2007B"/>
    <w:rsid w:val="00E2012A"/>
    <w:rsid w:val="00E20300"/>
    <w:rsid w:val="00E2092F"/>
    <w:rsid w:val="00E20C7D"/>
    <w:rsid w:val="00E20EBD"/>
    <w:rsid w:val="00E21171"/>
    <w:rsid w:val="00E2122F"/>
    <w:rsid w:val="00E21506"/>
    <w:rsid w:val="00E21510"/>
    <w:rsid w:val="00E21648"/>
    <w:rsid w:val="00E21672"/>
    <w:rsid w:val="00E21B48"/>
    <w:rsid w:val="00E22340"/>
    <w:rsid w:val="00E226F9"/>
    <w:rsid w:val="00E228D2"/>
    <w:rsid w:val="00E228E2"/>
    <w:rsid w:val="00E22A2D"/>
    <w:rsid w:val="00E22D6A"/>
    <w:rsid w:val="00E23062"/>
    <w:rsid w:val="00E2340E"/>
    <w:rsid w:val="00E234BB"/>
    <w:rsid w:val="00E2353A"/>
    <w:rsid w:val="00E236E6"/>
    <w:rsid w:val="00E23705"/>
    <w:rsid w:val="00E23760"/>
    <w:rsid w:val="00E2386B"/>
    <w:rsid w:val="00E23AB6"/>
    <w:rsid w:val="00E23B22"/>
    <w:rsid w:val="00E23DEB"/>
    <w:rsid w:val="00E23E57"/>
    <w:rsid w:val="00E23FA8"/>
    <w:rsid w:val="00E2405D"/>
    <w:rsid w:val="00E24108"/>
    <w:rsid w:val="00E24556"/>
    <w:rsid w:val="00E24591"/>
    <w:rsid w:val="00E245E7"/>
    <w:rsid w:val="00E2477C"/>
    <w:rsid w:val="00E24C96"/>
    <w:rsid w:val="00E24D17"/>
    <w:rsid w:val="00E24E5A"/>
    <w:rsid w:val="00E24E7A"/>
    <w:rsid w:val="00E2521C"/>
    <w:rsid w:val="00E2522C"/>
    <w:rsid w:val="00E25273"/>
    <w:rsid w:val="00E2546F"/>
    <w:rsid w:val="00E25492"/>
    <w:rsid w:val="00E255C4"/>
    <w:rsid w:val="00E25652"/>
    <w:rsid w:val="00E25E04"/>
    <w:rsid w:val="00E25FA9"/>
    <w:rsid w:val="00E260CC"/>
    <w:rsid w:val="00E261A6"/>
    <w:rsid w:val="00E26319"/>
    <w:rsid w:val="00E264A8"/>
    <w:rsid w:val="00E26730"/>
    <w:rsid w:val="00E2688B"/>
    <w:rsid w:val="00E26B18"/>
    <w:rsid w:val="00E26BBC"/>
    <w:rsid w:val="00E26BE6"/>
    <w:rsid w:val="00E27049"/>
    <w:rsid w:val="00E270FB"/>
    <w:rsid w:val="00E270FE"/>
    <w:rsid w:val="00E27743"/>
    <w:rsid w:val="00E277E8"/>
    <w:rsid w:val="00E2793E"/>
    <w:rsid w:val="00E27985"/>
    <w:rsid w:val="00E27AD7"/>
    <w:rsid w:val="00E27C22"/>
    <w:rsid w:val="00E27C70"/>
    <w:rsid w:val="00E27D8B"/>
    <w:rsid w:val="00E27E83"/>
    <w:rsid w:val="00E30295"/>
    <w:rsid w:val="00E304CE"/>
    <w:rsid w:val="00E304F2"/>
    <w:rsid w:val="00E30505"/>
    <w:rsid w:val="00E307A3"/>
    <w:rsid w:val="00E30824"/>
    <w:rsid w:val="00E308CF"/>
    <w:rsid w:val="00E30C9B"/>
    <w:rsid w:val="00E30D0B"/>
    <w:rsid w:val="00E30F8B"/>
    <w:rsid w:val="00E314E1"/>
    <w:rsid w:val="00E31502"/>
    <w:rsid w:val="00E318C8"/>
    <w:rsid w:val="00E318E3"/>
    <w:rsid w:val="00E3194E"/>
    <w:rsid w:val="00E319C7"/>
    <w:rsid w:val="00E31B25"/>
    <w:rsid w:val="00E31BE8"/>
    <w:rsid w:val="00E32078"/>
    <w:rsid w:val="00E323CD"/>
    <w:rsid w:val="00E323FA"/>
    <w:rsid w:val="00E32576"/>
    <w:rsid w:val="00E32617"/>
    <w:rsid w:val="00E32684"/>
    <w:rsid w:val="00E32764"/>
    <w:rsid w:val="00E32854"/>
    <w:rsid w:val="00E32972"/>
    <w:rsid w:val="00E32D0F"/>
    <w:rsid w:val="00E32E36"/>
    <w:rsid w:val="00E32E3A"/>
    <w:rsid w:val="00E32ED8"/>
    <w:rsid w:val="00E3300B"/>
    <w:rsid w:val="00E3314A"/>
    <w:rsid w:val="00E332C8"/>
    <w:rsid w:val="00E3340A"/>
    <w:rsid w:val="00E33587"/>
    <w:rsid w:val="00E33661"/>
    <w:rsid w:val="00E3372C"/>
    <w:rsid w:val="00E33786"/>
    <w:rsid w:val="00E33A83"/>
    <w:rsid w:val="00E33C80"/>
    <w:rsid w:val="00E33D0F"/>
    <w:rsid w:val="00E33D3C"/>
    <w:rsid w:val="00E33DD2"/>
    <w:rsid w:val="00E33E82"/>
    <w:rsid w:val="00E33EE6"/>
    <w:rsid w:val="00E34320"/>
    <w:rsid w:val="00E34326"/>
    <w:rsid w:val="00E3437A"/>
    <w:rsid w:val="00E343ED"/>
    <w:rsid w:val="00E34B22"/>
    <w:rsid w:val="00E34B26"/>
    <w:rsid w:val="00E34C49"/>
    <w:rsid w:val="00E34D84"/>
    <w:rsid w:val="00E35474"/>
    <w:rsid w:val="00E357E0"/>
    <w:rsid w:val="00E3595C"/>
    <w:rsid w:val="00E35B2E"/>
    <w:rsid w:val="00E35CF2"/>
    <w:rsid w:val="00E360BA"/>
    <w:rsid w:val="00E360F6"/>
    <w:rsid w:val="00E3621D"/>
    <w:rsid w:val="00E362E9"/>
    <w:rsid w:val="00E363C4"/>
    <w:rsid w:val="00E364B0"/>
    <w:rsid w:val="00E3654E"/>
    <w:rsid w:val="00E365A1"/>
    <w:rsid w:val="00E366C6"/>
    <w:rsid w:val="00E36793"/>
    <w:rsid w:val="00E368FB"/>
    <w:rsid w:val="00E36980"/>
    <w:rsid w:val="00E36D9A"/>
    <w:rsid w:val="00E36ED0"/>
    <w:rsid w:val="00E36F20"/>
    <w:rsid w:val="00E3714F"/>
    <w:rsid w:val="00E37379"/>
    <w:rsid w:val="00E374CA"/>
    <w:rsid w:val="00E37653"/>
    <w:rsid w:val="00E37AA4"/>
    <w:rsid w:val="00E37CD2"/>
    <w:rsid w:val="00E37CF6"/>
    <w:rsid w:val="00E37DDC"/>
    <w:rsid w:val="00E37EEB"/>
    <w:rsid w:val="00E37F74"/>
    <w:rsid w:val="00E401EB"/>
    <w:rsid w:val="00E4022F"/>
    <w:rsid w:val="00E40235"/>
    <w:rsid w:val="00E407BB"/>
    <w:rsid w:val="00E408BA"/>
    <w:rsid w:val="00E409DB"/>
    <w:rsid w:val="00E40E11"/>
    <w:rsid w:val="00E41024"/>
    <w:rsid w:val="00E41289"/>
    <w:rsid w:val="00E4129D"/>
    <w:rsid w:val="00E41C67"/>
    <w:rsid w:val="00E41D49"/>
    <w:rsid w:val="00E41D4E"/>
    <w:rsid w:val="00E41E29"/>
    <w:rsid w:val="00E41FD1"/>
    <w:rsid w:val="00E42140"/>
    <w:rsid w:val="00E424AA"/>
    <w:rsid w:val="00E424B1"/>
    <w:rsid w:val="00E424FE"/>
    <w:rsid w:val="00E425B1"/>
    <w:rsid w:val="00E4277E"/>
    <w:rsid w:val="00E42785"/>
    <w:rsid w:val="00E42939"/>
    <w:rsid w:val="00E42A2D"/>
    <w:rsid w:val="00E42A6F"/>
    <w:rsid w:val="00E42EB4"/>
    <w:rsid w:val="00E42FD8"/>
    <w:rsid w:val="00E43003"/>
    <w:rsid w:val="00E4318C"/>
    <w:rsid w:val="00E431A4"/>
    <w:rsid w:val="00E4331E"/>
    <w:rsid w:val="00E43359"/>
    <w:rsid w:val="00E433B9"/>
    <w:rsid w:val="00E43441"/>
    <w:rsid w:val="00E43449"/>
    <w:rsid w:val="00E434E3"/>
    <w:rsid w:val="00E4366E"/>
    <w:rsid w:val="00E43729"/>
    <w:rsid w:val="00E43AD1"/>
    <w:rsid w:val="00E43C1A"/>
    <w:rsid w:val="00E43CDF"/>
    <w:rsid w:val="00E43D0E"/>
    <w:rsid w:val="00E43DD2"/>
    <w:rsid w:val="00E43DFF"/>
    <w:rsid w:val="00E43F87"/>
    <w:rsid w:val="00E441E9"/>
    <w:rsid w:val="00E442ED"/>
    <w:rsid w:val="00E44426"/>
    <w:rsid w:val="00E44692"/>
    <w:rsid w:val="00E44829"/>
    <w:rsid w:val="00E45168"/>
    <w:rsid w:val="00E45398"/>
    <w:rsid w:val="00E45438"/>
    <w:rsid w:val="00E45655"/>
    <w:rsid w:val="00E4579D"/>
    <w:rsid w:val="00E457A1"/>
    <w:rsid w:val="00E458DB"/>
    <w:rsid w:val="00E45992"/>
    <w:rsid w:val="00E45A42"/>
    <w:rsid w:val="00E45D8F"/>
    <w:rsid w:val="00E45DB8"/>
    <w:rsid w:val="00E45E20"/>
    <w:rsid w:val="00E463A2"/>
    <w:rsid w:val="00E464B6"/>
    <w:rsid w:val="00E46981"/>
    <w:rsid w:val="00E46A23"/>
    <w:rsid w:val="00E46C6E"/>
    <w:rsid w:val="00E46D23"/>
    <w:rsid w:val="00E46DD5"/>
    <w:rsid w:val="00E46E3E"/>
    <w:rsid w:val="00E46E8B"/>
    <w:rsid w:val="00E47193"/>
    <w:rsid w:val="00E47521"/>
    <w:rsid w:val="00E475A9"/>
    <w:rsid w:val="00E4765E"/>
    <w:rsid w:val="00E4770E"/>
    <w:rsid w:val="00E47726"/>
    <w:rsid w:val="00E47DFA"/>
    <w:rsid w:val="00E47E31"/>
    <w:rsid w:val="00E47F11"/>
    <w:rsid w:val="00E5004B"/>
    <w:rsid w:val="00E5019F"/>
    <w:rsid w:val="00E503C9"/>
    <w:rsid w:val="00E5053D"/>
    <w:rsid w:val="00E50557"/>
    <w:rsid w:val="00E505D8"/>
    <w:rsid w:val="00E505F6"/>
    <w:rsid w:val="00E5095E"/>
    <w:rsid w:val="00E50A9D"/>
    <w:rsid w:val="00E50F08"/>
    <w:rsid w:val="00E50F1D"/>
    <w:rsid w:val="00E51382"/>
    <w:rsid w:val="00E513E4"/>
    <w:rsid w:val="00E51687"/>
    <w:rsid w:val="00E516C2"/>
    <w:rsid w:val="00E51773"/>
    <w:rsid w:val="00E51908"/>
    <w:rsid w:val="00E51EE9"/>
    <w:rsid w:val="00E5241A"/>
    <w:rsid w:val="00E52573"/>
    <w:rsid w:val="00E52899"/>
    <w:rsid w:val="00E52AA3"/>
    <w:rsid w:val="00E52C55"/>
    <w:rsid w:val="00E52C5D"/>
    <w:rsid w:val="00E52FC9"/>
    <w:rsid w:val="00E5308E"/>
    <w:rsid w:val="00E5312E"/>
    <w:rsid w:val="00E53337"/>
    <w:rsid w:val="00E5333F"/>
    <w:rsid w:val="00E537E1"/>
    <w:rsid w:val="00E53857"/>
    <w:rsid w:val="00E539BC"/>
    <w:rsid w:val="00E53CF0"/>
    <w:rsid w:val="00E53E63"/>
    <w:rsid w:val="00E53F89"/>
    <w:rsid w:val="00E53FA2"/>
    <w:rsid w:val="00E54139"/>
    <w:rsid w:val="00E54404"/>
    <w:rsid w:val="00E54422"/>
    <w:rsid w:val="00E545AE"/>
    <w:rsid w:val="00E545E1"/>
    <w:rsid w:val="00E54632"/>
    <w:rsid w:val="00E54944"/>
    <w:rsid w:val="00E549F1"/>
    <w:rsid w:val="00E54E40"/>
    <w:rsid w:val="00E54FC9"/>
    <w:rsid w:val="00E54FD3"/>
    <w:rsid w:val="00E54FE0"/>
    <w:rsid w:val="00E550E4"/>
    <w:rsid w:val="00E5562D"/>
    <w:rsid w:val="00E55701"/>
    <w:rsid w:val="00E557CA"/>
    <w:rsid w:val="00E559F4"/>
    <w:rsid w:val="00E55A2E"/>
    <w:rsid w:val="00E55A7C"/>
    <w:rsid w:val="00E55BEC"/>
    <w:rsid w:val="00E55CD1"/>
    <w:rsid w:val="00E55D52"/>
    <w:rsid w:val="00E55E4B"/>
    <w:rsid w:val="00E560B7"/>
    <w:rsid w:val="00E56333"/>
    <w:rsid w:val="00E565E7"/>
    <w:rsid w:val="00E567B6"/>
    <w:rsid w:val="00E567DD"/>
    <w:rsid w:val="00E56865"/>
    <w:rsid w:val="00E56BA7"/>
    <w:rsid w:val="00E56D6E"/>
    <w:rsid w:val="00E571EE"/>
    <w:rsid w:val="00E57254"/>
    <w:rsid w:val="00E57288"/>
    <w:rsid w:val="00E574AB"/>
    <w:rsid w:val="00E57782"/>
    <w:rsid w:val="00E57BE2"/>
    <w:rsid w:val="00E57C4C"/>
    <w:rsid w:val="00E57ED4"/>
    <w:rsid w:val="00E60191"/>
    <w:rsid w:val="00E601ED"/>
    <w:rsid w:val="00E6027E"/>
    <w:rsid w:val="00E606DE"/>
    <w:rsid w:val="00E6084A"/>
    <w:rsid w:val="00E60ACE"/>
    <w:rsid w:val="00E60AD3"/>
    <w:rsid w:val="00E60CD5"/>
    <w:rsid w:val="00E60EB4"/>
    <w:rsid w:val="00E60EC7"/>
    <w:rsid w:val="00E60F02"/>
    <w:rsid w:val="00E60F3B"/>
    <w:rsid w:val="00E6119E"/>
    <w:rsid w:val="00E618CE"/>
    <w:rsid w:val="00E619B8"/>
    <w:rsid w:val="00E62068"/>
    <w:rsid w:val="00E620BC"/>
    <w:rsid w:val="00E62240"/>
    <w:rsid w:val="00E622C7"/>
    <w:rsid w:val="00E62304"/>
    <w:rsid w:val="00E6235A"/>
    <w:rsid w:val="00E62744"/>
    <w:rsid w:val="00E62772"/>
    <w:rsid w:val="00E628FB"/>
    <w:rsid w:val="00E62BB5"/>
    <w:rsid w:val="00E62BD5"/>
    <w:rsid w:val="00E62BE6"/>
    <w:rsid w:val="00E62C20"/>
    <w:rsid w:val="00E62C4C"/>
    <w:rsid w:val="00E62C84"/>
    <w:rsid w:val="00E62DA0"/>
    <w:rsid w:val="00E62E77"/>
    <w:rsid w:val="00E6300E"/>
    <w:rsid w:val="00E630B4"/>
    <w:rsid w:val="00E6311D"/>
    <w:rsid w:val="00E631DD"/>
    <w:rsid w:val="00E63697"/>
    <w:rsid w:val="00E6404D"/>
    <w:rsid w:val="00E64205"/>
    <w:rsid w:val="00E6429E"/>
    <w:rsid w:val="00E6453A"/>
    <w:rsid w:val="00E64540"/>
    <w:rsid w:val="00E647C2"/>
    <w:rsid w:val="00E64D8C"/>
    <w:rsid w:val="00E64E0C"/>
    <w:rsid w:val="00E64E0E"/>
    <w:rsid w:val="00E64E29"/>
    <w:rsid w:val="00E64E94"/>
    <w:rsid w:val="00E64F5B"/>
    <w:rsid w:val="00E64F5C"/>
    <w:rsid w:val="00E6510A"/>
    <w:rsid w:val="00E65124"/>
    <w:rsid w:val="00E6519A"/>
    <w:rsid w:val="00E651A3"/>
    <w:rsid w:val="00E6534A"/>
    <w:rsid w:val="00E653E1"/>
    <w:rsid w:val="00E6556C"/>
    <w:rsid w:val="00E65736"/>
    <w:rsid w:val="00E65952"/>
    <w:rsid w:val="00E65A84"/>
    <w:rsid w:val="00E65B1C"/>
    <w:rsid w:val="00E65C21"/>
    <w:rsid w:val="00E65C3A"/>
    <w:rsid w:val="00E65E29"/>
    <w:rsid w:val="00E660F6"/>
    <w:rsid w:val="00E664FF"/>
    <w:rsid w:val="00E66694"/>
    <w:rsid w:val="00E666AA"/>
    <w:rsid w:val="00E66AEE"/>
    <w:rsid w:val="00E66B18"/>
    <w:rsid w:val="00E66DBC"/>
    <w:rsid w:val="00E66E50"/>
    <w:rsid w:val="00E66FD1"/>
    <w:rsid w:val="00E67094"/>
    <w:rsid w:val="00E67293"/>
    <w:rsid w:val="00E6737E"/>
    <w:rsid w:val="00E67571"/>
    <w:rsid w:val="00E6782D"/>
    <w:rsid w:val="00E67873"/>
    <w:rsid w:val="00E67A11"/>
    <w:rsid w:val="00E67BB4"/>
    <w:rsid w:val="00E67DFF"/>
    <w:rsid w:val="00E70206"/>
    <w:rsid w:val="00E70212"/>
    <w:rsid w:val="00E702D8"/>
    <w:rsid w:val="00E7043C"/>
    <w:rsid w:val="00E70594"/>
    <w:rsid w:val="00E70632"/>
    <w:rsid w:val="00E707A2"/>
    <w:rsid w:val="00E7092F"/>
    <w:rsid w:val="00E7097A"/>
    <w:rsid w:val="00E709A0"/>
    <w:rsid w:val="00E709C2"/>
    <w:rsid w:val="00E70CBD"/>
    <w:rsid w:val="00E70D52"/>
    <w:rsid w:val="00E70E0D"/>
    <w:rsid w:val="00E710F1"/>
    <w:rsid w:val="00E71293"/>
    <w:rsid w:val="00E71300"/>
    <w:rsid w:val="00E713B7"/>
    <w:rsid w:val="00E71623"/>
    <w:rsid w:val="00E71884"/>
    <w:rsid w:val="00E718A4"/>
    <w:rsid w:val="00E718C7"/>
    <w:rsid w:val="00E719D7"/>
    <w:rsid w:val="00E71A33"/>
    <w:rsid w:val="00E71E5B"/>
    <w:rsid w:val="00E71EDF"/>
    <w:rsid w:val="00E72006"/>
    <w:rsid w:val="00E72216"/>
    <w:rsid w:val="00E72400"/>
    <w:rsid w:val="00E7257E"/>
    <w:rsid w:val="00E725EC"/>
    <w:rsid w:val="00E72646"/>
    <w:rsid w:val="00E72686"/>
    <w:rsid w:val="00E726A4"/>
    <w:rsid w:val="00E728B4"/>
    <w:rsid w:val="00E72903"/>
    <w:rsid w:val="00E72B5B"/>
    <w:rsid w:val="00E72CA2"/>
    <w:rsid w:val="00E730CD"/>
    <w:rsid w:val="00E732DD"/>
    <w:rsid w:val="00E733AD"/>
    <w:rsid w:val="00E737A7"/>
    <w:rsid w:val="00E73A1D"/>
    <w:rsid w:val="00E73A27"/>
    <w:rsid w:val="00E73BCE"/>
    <w:rsid w:val="00E73CC0"/>
    <w:rsid w:val="00E73FFC"/>
    <w:rsid w:val="00E740F1"/>
    <w:rsid w:val="00E741B8"/>
    <w:rsid w:val="00E745BA"/>
    <w:rsid w:val="00E746BF"/>
    <w:rsid w:val="00E74765"/>
    <w:rsid w:val="00E748B9"/>
    <w:rsid w:val="00E74977"/>
    <w:rsid w:val="00E749D6"/>
    <w:rsid w:val="00E74A1E"/>
    <w:rsid w:val="00E74A93"/>
    <w:rsid w:val="00E74B23"/>
    <w:rsid w:val="00E74C30"/>
    <w:rsid w:val="00E74C94"/>
    <w:rsid w:val="00E74D17"/>
    <w:rsid w:val="00E74DF7"/>
    <w:rsid w:val="00E74EEA"/>
    <w:rsid w:val="00E74FD4"/>
    <w:rsid w:val="00E75020"/>
    <w:rsid w:val="00E75257"/>
    <w:rsid w:val="00E753EF"/>
    <w:rsid w:val="00E75471"/>
    <w:rsid w:val="00E75591"/>
    <w:rsid w:val="00E756C0"/>
    <w:rsid w:val="00E75BBC"/>
    <w:rsid w:val="00E75BE8"/>
    <w:rsid w:val="00E7629C"/>
    <w:rsid w:val="00E762D6"/>
    <w:rsid w:val="00E762F4"/>
    <w:rsid w:val="00E7674A"/>
    <w:rsid w:val="00E767B3"/>
    <w:rsid w:val="00E76946"/>
    <w:rsid w:val="00E76A5E"/>
    <w:rsid w:val="00E76C71"/>
    <w:rsid w:val="00E76C9E"/>
    <w:rsid w:val="00E770BB"/>
    <w:rsid w:val="00E771B4"/>
    <w:rsid w:val="00E773B7"/>
    <w:rsid w:val="00E775C9"/>
    <w:rsid w:val="00E776D5"/>
    <w:rsid w:val="00E776ED"/>
    <w:rsid w:val="00E77BA7"/>
    <w:rsid w:val="00E77CBD"/>
    <w:rsid w:val="00E77E33"/>
    <w:rsid w:val="00E8005F"/>
    <w:rsid w:val="00E8046B"/>
    <w:rsid w:val="00E804AA"/>
    <w:rsid w:val="00E806E3"/>
    <w:rsid w:val="00E807E6"/>
    <w:rsid w:val="00E80984"/>
    <w:rsid w:val="00E80A9E"/>
    <w:rsid w:val="00E80DC5"/>
    <w:rsid w:val="00E80ED4"/>
    <w:rsid w:val="00E8111A"/>
    <w:rsid w:val="00E8114E"/>
    <w:rsid w:val="00E812A6"/>
    <w:rsid w:val="00E812F6"/>
    <w:rsid w:val="00E814B6"/>
    <w:rsid w:val="00E8155B"/>
    <w:rsid w:val="00E81BA7"/>
    <w:rsid w:val="00E81E9B"/>
    <w:rsid w:val="00E81FE8"/>
    <w:rsid w:val="00E821A9"/>
    <w:rsid w:val="00E822D6"/>
    <w:rsid w:val="00E82320"/>
    <w:rsid w:val="00E823FF"/>
    <w:rsid w:val="00E8251C"/>
    <w:rsid w:val="00E8266D"/>
    <w:rsid w:val="00E8272C"/>
    <w:rsid w:val="00E82AA9"/>
    <w:rsid w:val="00E82B07"/>
    <w:rsid w:val="00E82B3C"/>
    <w:rsid w:val="00E82BC2"/>
    <w:rsid w:val="00E82D69"/>
    <w:rsid w:val="00E82E62"/>
    <w:rsid w:val="00E82EB3"/>
    <w:rsid w:val="00E82EEF"/>
    <w:rsid w:val="00E82FA3"/>
    <w:rsid w:val="00E82FB1"/>
    <w:rsid w:val="00E83114"/>
    <w:rsid w:val="00E8327F"/>
    <w:rsid w:val="00E83316"/>
    <w:rsid w:val="00E833AA"/>
    <w:rsid w:val="00E836C9"/>
    <w:rsid w:val="00E836CF"/>
    <w:rsid w:val="00E83767"/>
    <w:rsid w:val="00E837BC"/>
    <w:rsid w:val="00E83C7B"/>
    <w:rsid w:val="00E83DE7"/>
    <w:rsid w:val="00E83FF8"/>
    <w:rsid w:val="00E843AF"/>
    <w:rsid w:val="00E84536"/>
    <w:rsid w:val="00E84563"/>
    <w:rsid w:val="00E845EC"/>
    <w:rsid w:val="00E845F9"/>
    <w:rsid w:val="00E84684"/>
    <w:rsid w:val="00E84796"/>
    <w:rsid w:val="00E847D3"/>
    <w:rsid w:val="00E84981"/>
    <w:rsid w:val="00E84BE5"/>
    <w:rsid w:val="00E8514F"/>
    <w:rsid w:val="00E85253"/>
    <w:rsid w:val="00E85619"/>
    <w:rsid w:val="00E85681"/>
    <w:rsid w:val="00E85696"/>
    <w:rsid w:val="00E8581C"/>
    <w:rsid w:val="00E85860"/>
    <w:rsid w:val="00E859BC"/>
    <w:rsid w:val="00E859F2"/>
    <w:rsid w:val="00E85A15"/>
    <w:rsid w:val="00E85CA2"/>
    <w:rsid w:val="00E85E00"/>
    <w:rsid w:val="00E85E4A"/>
    <w:rsid w:val="00E86693"/>
    <w:rsid w:val="00E866BB"/>
    <w:rsid w:val="00E866F1"/>
    <w:rsid w:val="00E867FC"/>
    <w:rsid w:val="00E86A1B"/>
    <w:rsid w:val="00E86B66"/>
    <w:rsid w:val="00E86BF9"/>
    <w:rsid w:val="00E86C76"/>
    <w:rsid w:val="00E86C88"/>
    <w:rsid w:val="00E86CCE"/>
    <w:rsid w:val="00E86D68"/>
    <w:rsid w:val="00E86E5C"/>
    <w:rsid w:val="00E86F71"/>
    <w:rsid w:val="00E86F8C"/>
    <w:rsid w:val="00E872EC"/>
    <w:rsid w:val="00E879EC"/>
    <w:rsid w:val="00E87AC6"/>
    <w:rsid w:val="00E87CB0"/>
    <w:rsid w:val="00E87DC8"/>
    <w:rsid w:val="00E87EA5"/>
    <w:rsid w:val="00E90290"/>
    <w:rsid w:val="00E9037C"/>
    <w:rsid w:val="00E9047F"/>
    <w:rsid w:val="00E905CB"/>
    <w:rsid w:val="00E90F69"/>
    <w:rsid w:val="00E90FEF"/>
    <w:rsid w:val="00E91070"/>
    <w:rsid w:val="00E91113"/>
    <w:rsid w:val="00E91253"/>
    <w:rsid w:val="00E912BC"/>
    <w:rsid w:val="00E91356"/>
    <w:rsid w:val="00E913D0"/>
    <w:rsid w:val="00E914A4"/>
    <w:rsid w:val="00E914AE"/>
    <w:rsid w:val="00E914F7"/>
    <w:rsid w:val="00E91559"/>
    <w:rsid w:val="00E918DC"/>
    <w:rsid w:val="00E91EC0"/>
    <w:rsid w:val="00E925C5"/>
    <w:rsid w:val="00E927A2"/>
    <w:rsid w:val="00E92B14"/>
    <w:rsid w:val="00E92C5F"/>
    <w:rsid w:val="00E92CFD"/>
    <w:rsid w:val="00E92FAA"/>
    <w:rsid w:val="00E93034"/>
    <w:rsid w:val="00E93091"/>
    <w:rsid w:val="00E93355"/>
    <w:rsid w:val="00E93433"/>
    <w:rsid w:val="00E9346B"/>
    <w:rsid w:val="00E934A5"/>
    <w:rsid w:val="00E935CB"/>
    <w:rsid w:val="00E93795"/>
    <w:rsid w:val="00E9385B"/>
    <w:rsid w:val="00E93AFE"/>
    <w:rsid w:val="00E93D86"/>
    <w:rsid w:val="00E93DB0"/>
    <w:rsid w:val="00E93F76"/>
    <w:rsid w:val="00E9408B"/>
    <w:rsid w:val="00E945C8"/>
    <w:rsid w:val="00E94637"/>
    <w:rsid w:val="00E94AA5"/>
    <w:rsid w:val="00E94AC1"/>
    <w:rsid w:val="00E94CE5"/>
    <w:rsid w:val="00E9501A"/>
    <w:rsid w:val="00E951BD"/>
    <w:rsid w:val="00E952AF"/>
    <w:rsid w:val="00E95301"/>
    <w:rsid w:val="00E954B0"/>
    <w:rsid w:val="00E9561D"/>
    <w:rsid w:val="00E95669"/>
    <w:rsid w:val="00E9567A"/>
    <w:rsid w:val="00E956CC"/>
    <w:rsid w:val="00E95C36"/>
    <w:rsid w:val="00E95D4C"/>
    <w:rsid w:val="00E95D6F"/>
    <w:rsid w:val="00E95DCE"/>
    <w:rsid w:val="00E96117"/>
    <w:rsid w:val="00E9651A"/>
    <w:rsid w:val="00E9665F"/>
    <w:rsid w:val="00E96742"/>
    <w:rsid w:val="00E96954"/>
    <w:rsid w:val="00E96AA9"/>
    <w:rsid w:val="00E96AB4"/>
    <w:rsid w:val="00E96ABB"/>
    <w:rsid w:val="00E96BC3"/>
    <w:rsid w:val="00E96C9A"/>
    <w:rsid w:val="00E96CC7"/>
    <w:rsid w:val="00E96CFA"/>
    <w:rsid w:val="00E96D6B"/>
    <w:rsid w:val="00E96E69"/>
    <w:rsid w:val="00E96F74"/>
    <w:rsid w:val="00E973AA"/>
    <w:rsid w:val="00E9745C"/>
    <w:rsid w:val="00E97540"/>
    <w:rsid w:val="00E97857"/>
    <w:rsid w:val="00E97B32"/>
    <w:rsid w:val="00E97C60"/>
    <w:rsid w:val="00E97EFC"/>
    <w:rsid w:val="00EA00BF"/>
    <w:rsid w:val="00EA04E5"/>
    <w:rsid w:val="00EA0878"/>
    <w:rsid w:val="00EA0881"/>
    <w:rsid w:val="00EA0D6A"/>
    <w:rsid w:val="00EA0D9A"/>
    <w:rsid w:val="00EA0DA3"/>
    <w:rsid w:val="00EA0DE0"/>
    <w:rsid w:val="00EA0E5C"/>
    <w:rsid w:val="00EA1019"/>
    <w:rsid w:val="00EA102A"/>
    <w:rsid w:val="00EA10AA"/>
    <w:rsid w:val="00EA13AE"/>
    <w:rsid w:val="00EA14B6"/>
    <w:rsid w:val="00EA18A6"/>
    <w:rsid w:val="00EA18AB"/>
    <w:rsid w:val="00EA18DE"/>
    <w:rsid w:val="00EA1C8D"/>
    <w:rsid w:val="00EA1E1A"/>
    <w:rsid w:val="00EA1FCE"/>
    <w:rsid w:val="00EA20D4"/>
    <w:rsid w:val="00EA235B"/>
    <w:rsid w:val="00EA23AF"/>
    <w:rsid w:val="00EA27C0"/>
    <w:rsid w:val="00EA27FE"/>
    <w:rsid w:val="00EA2887"/>
    <w:rsid w:val="00EA2AFE"/>
    <w:rsid w:val="00EA2C81"/>
    <w:rsid w:val="00EA2DA4"/>
    <w:rsid w:val="00EA31DC"/>
    <w:rsid w:val="00EA3225"/>
    <w:rsid w:val="00EA33A5"/>
    <w:rsid w:val="00EA33C8"/>
    <w:rsid w:val="00EA3576"/>
    <w:rsid w:val="00EA3BB1"/>
    <w:rsid w:val="00EA3F4A"/>
    <w:rsid w:val="00EA3FC3"/>
    <w:rsid w:val="00EA4045"/>
    <w:rsid w:val="00EA4071"/>
    <w:rsid w:val="00EA40F5"/>
    <w:rsid w:val="00EA41D9"/>
    <w:rsid w:val="00EA4271"/>
    <w:rsid w:val="00EA4766"/>
    <w:rsid w:val="00EA477D"/>
    <w:rsid w:val="00EA5418"/>
    <w:rsid w:val="00EA5434"/>
    <w:rsid w:val="00EA54FA"/>
    <w:rsid w:val="00EA5871"/>
    <w:rsid w:val="00EA5B7D"/>
    <w:rsid w:val="00EA5B8B"/>
    <w:rsid w:val="00EA5B96"/>
    <w:rsid w:val="00EA5EB0"/>
    <w:rsid w:val="00EA5EEE"/>
    <w:rsid w:val="00EA5F7A"/>
    <w:rsid w:val="00EA5FC1"/>
    <w:rsid w:val="00EA61BF"/>
    <w:rsid w:val="00EA65D6"/>
    <w:rsid w:val="00EA65DE"/>
    <w:rsid w:val="00EA68D2"/>
    <w:rsid w:val="00EA69B1"/>
    <w:rsid w:val="00EA6C87"/>
    <w:rsid w:val="00EA6D14"/>
    <w:rsid w:val="00EA6DD3"/>
    <w:rsid w:val="00EA7146"/>
    <w:rsid w:val="00EA7465"/>
    <w:rsid w:val="00EA7529"/>
    <w:rsid w:val="00EA756B"/>
    <w:rsid w:val="00EA7630"/>
    <w:rsid w:val="00EA7BA7"/>
    <w:rsid w:val="00EA7CF1"/>
    <w:rsid w:val="00EA7EA4"/>
    <w:rsid w:val="00EB00CA"/>
    <w:rsid w:val="00EB011A"/>
    <w:rsid w:val="00EB03A4"/>
    <w:rsid w:val="00EB03F0"/>
    <w:rsid w:val="00EB0455"/>
    <w:rsid w:val="00EB06B2"/>
    <w:rsid w:val="00EB06C3"/>
    <w:rsid w:val="00EB07D2"/>
    <w:rsid w:val="00EB09BC"/>
    <w:rsid w:val="00EB0BCF"/>
    <w:rsid w:val="00EB0D2E"/>
    <w:rsid w:val="00EB0D71"/>
    <w:rsid w:val="00EB0E2D"/>
    <w:rsid w:val="00EB12F8"/>
    <w:rsid w:val="00EB1690"/>
    <w:rsid w:val="00EB16A0"/>
    <w:rsid w:val="00EB18C6"/>
    <w:rsid w:val="00EB1917"/>
    <w:rsid w:val="00EB1CC9"/>
    <w:rsid w:val="00EB228A"/>
    <w:rsid w:val="00EB22B3"/>
    <w:rsid w:val="00EB25C2"/>
    <w:rsid w:val="00EB2724"/>
    <w:rsid w:val="00EB290D"/>
    <w:rsid w:val="00EB290E"/>
    <w:rsid w:val="00EB2EB6"/>
    <w:rsid w:val="00EB2F23"/>
    <w:rsid w:val="00EB3009"/>
    <w:rsid w:val="00EB30C6"/>
    <w:rsid w:val="00EB3260"/>
    <w:rsid w:val="00EB3570"/>
    <w:rsid w:val="00EB35F0"/>
    <w:rsid w:val="00EB3787"/>
    <w:rsid w:val="00EB37BA"/>
    <w:rsid w:val="00EB3866"/>
    <w:rsid w:val="00EB39BB"/>
    <w:rsid w:val="00EB3AF6"/>
    <w:rsid w:val="00EB3DDC"/>
    <w:rsid w:val="00EB3FE2"/>
    <w:rsid w:val="00EB4039"/>
    <w:rsid w:val="00EB41B2"/>
    <w:rsid w:val="00EB4559"/>
    <w:rsid w:val="00EB49C7"/>
    <w:rsid w:val="00EB4ADA"/>
    <w:rsid w:val="00EB4C56"/>
    <w:rsid w:val="00EB4E18"/>
    <w:rsid w:val="00EB4E76"/>
    <w:rsid w:val="00EB4ED8"/>
    <w:rsid w:val="00EB516F"/>
    <w:rsid w:val="00EB533B"/>
    <w:rsid w:val="00EB5347"/>
    <w:rsid w:val="00EB53E2"/>
    <w:rsid w:val="00EB549C"/>
    <w:rsid w:val="00EB5588"/>
    <w:rsid w:val="00EB55F5"/>
    <w:rsid w:val="00EB5685"/>
    <w:rsid w:val="00EB5BBD"/>
    <w:rsid w:val="00EB5EF0"/>
    <w:rsid w:val="00EB6167"/>
    <w:rsid w:val="00EB6189"/>
    <w:rsid w:val="00EB639A"/>
    <w:rsid w:val="00EB646B"/>
    <w:rsid w:val="00EB65DA"/>
    <w:rsid w:val="00EB6650"/>
    <w:rsid w:val="00EB676F"/>
    <w:rsid w:val="00EB6850"/>
    <w:rsid w:val="00EB6942"/>
    <w:rsid w:val="00EB6A06"/>
    <w:rsid w:val="00EB6ABF"/>
    <w:rsid w:val="00EB6C33"/>
    <w:rsid w:val="00EB6F39"/>
    <w:rsid w:val="00EB6F90"/>
    <w:rsid w:val="00EB6FE0"/>
    <w:rsid w:val="00EB708E"/>
    <w:rsid w:val="00EB7119"/>
    <w:rsid w:val="00EB7385"/>
    <w:rsid w:val="00EB7471"/>
    <w:rsid w:val="00EB74E2"/>
    <w:rsid w:val="00EB753E"/>
    <w:rsid w:val="00EB7985"/>
    <w:rsid w:val="00EB7A55"/>
    <w:rsid w:val="00EB7B54"/>
    <w:rsid w:val="00EB7CDD"/>
    <w:rsid w:val="00EB7CF7"/>
    <w:rsid w:val="00EB7F60"/>
    <w:rsid w:val="00EC024C"/>
    <w:rsid w:val="00EC0337"/>
    <w:rsid w:val="00EC0768"/>
    <w:rsid w:val="00EC0857"/>
    <w:rsid w:val="00EC09F9"/>
    <w:rsid w:val="00EC0BCE"/>
    <w:rsid w:val="00EC0C50"/>
    <w:rsid w:val="00EC0D93"/>
    <w:rsid w:val="00EC0FA4"/>
    <w:rsid w:val="00EC1166"/>
    <w:rsid w:val="00EC125D"/>
    <w:rsid w:val="00EC137A"/>
    <w:rsid w:val="00EC141C"/>
    <w:rsid w:val="00EC155F"/>
    <w:rsid w:val="00EC17FA"/>
    <w:rsid w:val="00EC186E"/>
    <w:rsid w:val="00EC18CA"/>
    <w:rsid w:val="00EC194F"/>
    <w:rsid w:val="00EC1A78"/>
    <w:rsid w:val="00EC1AB8"/>
    <w:rsid w:val="00EC1CC9"/>
    <w:rsid w:val="00EC1CEB"/>
    <w:rsid w:val="00EC1D87"/>
    <w:rsid w:val="00EC1DC8"/>
    <w:rsid w:val="00EC1E60"/>
    <w:rsid w:val="00EC2228"/>
    <w:rsid w:val="00EC24D4"/>
    <w:rsid w:val="00EC253E"/>
    <w:rsid w:val="00EC2566"/>
    <w:rsid w:val="00EC2654"/>
    <w:rsid w:val="00EC2B54"/>
    <w:rsid w:val="00EC2F0F"/>
    <w:rsid w:val="00EC3260"/>
    <w:rsid w:val="00EC3519"/>
    <w:rsid w:val="00EC35E3"/>
    <w:rsid w:val="00EC3A7F"/>
    <w:rsid w:val="00EC3C6C"/>
    <w:rsid w:val="00EC40DE"/>
    <w:rsid w:val="00EC437E"/>
    <w:rsid w:val="00EC43EF"/>
    <w:rsid w:val="00EC4561"/>
    <w:rsid w:val="00EC466F"/>
    <w:rsid w:val="00EC46E2"/>
    <w:rsid w:val="00EC4755"/>
    <w:rsid w:val="00EC4784"/>
    <w:rsid w:val="00EC49CA"/>
    <w:rsid w:val="00EC49E5"/>
    <w:rsid w:val="00EC4A65"/>
    <w:rsid w:val="00EC4C0D"/>
    <w:rsid w:val="00EC4E9C"/>
    <w:rsid w:val="00EC4F65"/>
    <w:rsid w:val="00EC5160"/>
    <w:rsid w:val="00EC54B4"/>
    <w:rsid w:val="00EC54D5"/>
    <w:rsid w:val="00EC559A"/>
    <w:rsid w:val="00EC5963"/>
    <w:rsid w:val="00EC59AD"/>
    <w:rsid w:val="00EC59D7"/>
    <w:rsid w:val="00EC59EE"/>
    <w:rsid w:val="00EC5AA2"/>
    <w:rsid w:val="00EC5B9D"/>
    <w:rsid w:val="00EC5CD7"/>
    <w:rsid w:val="00EC5D6D"/>
    <w:rsid w:val="00EC5F22"/>
    <w:rsid w:val="00EC5F9C"/>
    <w:rsid w:val="00EC6043"/>
    <w:rsid w:val="00EC61E2"/>
    <w:rsid w:val="00EC6366"/>
    <w:rsid w:val="00EC6372"/>
    <w:rsid w:val="00EC63E8"/>
    <w:rsid w:val="00EC6441"/>
    <w:rsid w:val="00EC64F4"/>
    <w:rsid w:val="00EC65BF"/>
    <w:rsid w:val="00EC67D3"/>
    <w:rsid w:val="00EC67E6"/>
    <w:rsid w:val="00EC692F"/>
    <w:rsid w:val="00EC6963"/>
    <w:rsid w:val="00EC6CAA"/>
    <w:rsid w:val="00EC6DA7"/>
    <w:rsid w:val="00EC6E4A"/>
    <w:rsid w:val="00EC6F40"/>
    <w:rsid w:val="00EC6F84"/>
    <w:rsid w:val="00EC7078"/>
    <w:rsid w:val="00EC7219"/>
    <w:rsid w:val="00EC723F"/>
    <w:rsid w:val="00EC745F"/>
    <w:rsid w:val="00EC7480"/>
    <w:rsid w:val="00EC78E0"/>
    <w:rsid w:val="00ECC937"/>
    <w:rsid w:val="00ED0052"/>
    <w:rsid w:val="00ED0107"/>
    <w:rsid w:val="00ED0127"/>
    <w:rsid w:val="00ED05E1"/>
    <w:rsid w:val="00ED0618"/>
    <w:rsid w:val="00ED08D1"/>
    <w:rsid w:val="00ED0A04"/>
    <w:rsid w:val="00ED0A09"/>
    <w:rsid w:val="00ED0ADC"/>
    <w:rsid w:val="00ED0D30"/>
    <w:rsid w:val="00ED0E3D"/>
    <w:rsid w:val="00ED1454"/>
    <w:rsid w:val="00ED1679"/>
    <w:rsid w:val="00ED180B"/>
    <w:rsid w:val="00ED1A5F"/>
    <w:rsid w:val="00ED1C5C"/>
    <w:rsid w:val="00ED1D7F"/>
    <w:rsid w:val="00ED208F"/>
    <w:rsid w:val="00ED215D"/>
    <w:rsid w:val="00ED217B"/>
    <w:rsid w:val="00ED22A6"/>
    <w:rsid w:val="00ED236E"/>
    <w:rsid w:val="00ED24D3"/>
    <w:rsid w:val="00ED2682"/>
    <w:rsid w:val="00ED26E9"/>
    <w:rsid w:val="00ED2713"/>
    <w:rsid w:val="00ED2829"/>
    <w:rsid w:val="00ED2B11"/>
    <w:rsid w:val="00ED2DB1"/>
    <w:rsid w:val="00ED31E6"/>
    <w:rsid w:val="00ED3773"/>
    <w:rsid w:val="00ED3835"/>
    <w:rsid w:val="00ED3F67"/>
    <w:rsid w:val="00ED3F97"/>
    <w:rsid w:val="00ED4008"/>
    <w:rsid w:val="00ED4166"/>
    <w:rsid w:val="00ED41CA"/>
    <w:rsid w:val="00ED4314"/>
    <w:rsid w:val="00ED4750"/>
    <w:rsid w:val="00ED489C"/>
    <w:rsid w:val="00ED49F5"/>
    <w:rsid w:val="00ED4BE4"/>
    <w:rsid w:val="00ED4CD2"/>
    <w:rsid w:val="00ED515F"/>
    <w:rsid w:val="00ED5161"/>
    <w:rsid w:val="00ED524E"/>
    <w:rsid w:val="00ED5385"/>
    <w:rsid w:val="00ED54DE"/>
    <w:rsid w:val="00ED5665"/>
    <w:rsid w:val="00ED59D0"/>
    <w:rsid w:val="00ED5A70"/>
    <w:rsid w:val="00ED5B7E"/>
    <w:rsid w:val="00ED5EC3"/>
    <w:rsid w:val="00ED60A1"/>
    <w:rsid w:val="00ED6AF1"/>
    <w:rsid w:val="00ED6BA6"/>
    <w:rsid w:val="00ED6D7F"/>
    <w:rsid w:val="00ED6DA3"/>
    <w:rsid w:val="00ED72A9"/>
    <w:rsid w:val="00ED72C1"/>
    <w:rsid w:val="00ED7319"/>
    <w:rsid w:val="00ED7386"/>
    <w:rsid w:val="00ED74EA"/>
    <w:rsid w:val="00ED7713"/>
    <w:rsid w:val="00ED7724"/>
    <w:rsid w:val="00ED772F"/>
    <w:rsid w:val="00ED78EA"/>
    <w:rsid w:val="00ED7C2D"/>
    <w:rsid w:val="00ED7C8E"/>
    <w:rsid w:val="00ED7D3F"/>
    <w:rsid w:val="00ED7F16"/>
    <w:rsid w:val="00ED7FCB"/>
    <w:rsid w:val="00EE0218"/>
    <w:rsid w:val="00EE02EE"/>
    <w:rsid w:val="00EE02F5"/>
    <w:rsid w:val="00EE036C"/>
    <w:rsid w:val="00EE06F2"/>
    <w:rsid w:val="00EE0A92"/>
    <w:rsid w:val="00EE0E51"/>
    <w:rsid w:val="00EE0FAD"/>
    <w:rsid w:val="00EE1011"/>
    <w:rsid w:val="00EE1152"/>
    <w:rsid w:val="00EE1557"/>
    <w:rsid w:val="00EE1B68"/>
    <w:rsid w:val="00EE1D4D"/>
    <w:rsid w:val="00EE2218"/>
    <w:rsid w:val="00EE2644"/>
    <w:rsid w:val="00EE26F0"/>
    <w:rsid w:val="00EE2A75"/>
    <w:rsid w:val="00EE2DD6"/>
    <w:rsid w:val="00EE2E03"/>
    <w:rsid w:val="00EE2E4F"/>
    <w:rsid w:val="00EE2F7D"/>
    <w:rsid w:val="00EE3045"/>
    <w:rsid w:val="00EE33D0"/>
    <w:rsid w:val="00EE3571"/>
    <w:rsid w:val="00EE35C3"/>
    <w:rsid w:val="00EE35D0"/>
    <w:rsid w:val="00EE3668"/>
    <w:rsid w:val="00EE3739"/>
    <w:rsid w:val="00EE3742"/>
    <w:rsid w:val="00EE3897"/>
    <w:rsid w:val="00EE393E"/>
    <w:rsid w:val="00EE3ABF"/>
    <w:rsid w:val="00EE4005"/>
    <w:rsid w:val="00EE4035"/>
    <w:rsid w:val="00EE4298"/>
    <w:rsid w:val="00EE4430"/>
    <w:rsid w:val="00EE4555"/>
    <w:rsid w:val="00EE456F"/>
    <w:rsid w:val="00EE479A"/>
    <w:rsid w:val="00EE485A"/>
    <w:rsid w:val="00EE4C26"/>
    <w:rsid w:val="00EE4C3C"/>
    <w:rsid w:val="00EE4E96"/>
    <w:rsid w:val="00EE4ECD"/>
    <w:rsid w:val="00EE4ED8"/>
    <w:rsid w:val="00EE4F0B"/>
    <w:rsid w:val="00EE50D0"/>
    <w:rsid w:val="00EE516C"/>
    <w:rsid w:val="00EE5416"/>
    <w:rsid w:val="00EE562E"/>
    <w:rsid w:val="00EE5852"/>
    <w:rsid w:val="00EE5B3C"/>
    <w:rsid w:val="00EE5B8A"/>
    <w:rsid w:val="00EE5C38"/>
    <w:rsid w:val="00EE5D05"/>
    <w:rsid w:val="00EE5D67"/>
    <w:rsid w:val="00EE5D8F"/>
    <w:rsid w:val="00EE6157"/>
    <w:rsid w:val="00EE6202"/>
    <w:rsid w:val="00EE6337"/>
    <w:rsid w:val="00EE6380"/>
    <w:rsid w:val="00EE6654"/>
    <w:rsid w:val="00EE68FC"/>
    <w:rsid w:val="00EE68FD"/>
    <w:rsid w:val="00EE691A"/>
    <w:rsid w:val="00EE6B51"/>
    <w:rsid w:val="00EE6CA3"/>
    <w:rsid w:val="00EE6DFA"/>
    <w:rsid w:val="00EE7029"/>
    <w:rsid w:val="00EE7080"/>
    <w:rsid w:val="00EE7682"/>
    <w:rsid w:val="00EE7B9D"/>
    <w:rsid w:val="00EE7BCB"/>
    <w:rsid w:val="00EE7C5C"/>
    <w:rsid w:val="00EE7E69"/>
    <w:rsid w:val="00EE7E70"/>
    <w:rsid w:val="00EE7F31"/>
    <w:rsid w:val="00EF0014"/>
    <w:rsid w:val="00EF0064"/>
    <w:rsid w:val="00EF0454"/>
    <w:rsid w:val="00EF0588"/>
    <w:rsid w:val="00EF05A5"/>
    <w:rsid w:val="00EF0692"/>
    <w:rsid w:val="00EF0771"/>
    <w:rsid w:val="00EF0A1F"/>
    <w:rsid w:val="00EF0AFE"/>
    <w:rsid w:val="00EF0C68"/>
    <w:rsid w:val="00EF0FBB"/>
    <w:rsid w:val="00EF124C"/>
    <w:rsid w:val="00EF12FA"/>
    <w:rsid w:val="00EF1538"/>
    <w:rsid w:val="00EF15DD"/>
    <w:rsid w:val="00EF1730"/>
    <w:rsid w:val="00EF176F"/>
    <w:rsid w:val="00EF1779"/>
    <w:rsid w:val="00EF1799"/>
    <w:rsid w:val="00EF1808"/>
    <w:rsid w:val="00EF1866"/>
    <w:rsid w:val="00EF1921"/>
    <w:rsid w:val="00EF19B8"/>
    <w:rsid w:val="00EF1ABA"/>
    <w:rsid w:val="00EF1BD2"/>
    <w:rsid w:val="00EF1D2B"/>
    <w:rsid w:val="00EF2079"/>
    <w:rsid w:val="00EF20B6"/>
    <w:rsid w:val="00EF211D"/>
    <w:rsid w:val="00EF2231"/>
    <w:rsid w:val="00EF22C4"/>
    <w:rsid w:val="00EF2581"/>
    <w:rsid w:val="00EF26B6"/>
    <w:rsid w:val="00EF2745"/>
    <w:rsid w:val="00EF27DB"/>
    <w:rsid w:val="00EF297E"/>
    <w:rsid w:val="00EF2A17"/>
    <w:rsid w:val="00EF2A5F"/>
    <w:rsid w:val="00EF2AE5"/>
    <w:rsid w:val="00EF2C44"/>
    <w:rsid w:val="00EF314B"/>
    <w:rsid w:val="00EF3228"/>
    <w:rsid w:val="00EF33A2"/>
    <w:rsid w:val="00EF3583"/>
    <w:rsid w:val="00EF36AE"/>
    <w:rsid w:val="00EF3764"/>
    <w:rsid w:val="00EF37DB"/>
    <w:rsid w:val="00EF3818"/>
    <w:rsid w:val="00EF382D"/>
    <w:rsid w:val="00EF3B94"/>
    <w:rsid w:val="00EF3F6E"/>
    <w:rsid w:val="00EF3F86"/>
    <w:rsid w:val="00EF4079"/>
    <w:rsid w:val="00EF4130"/>
    <w:rsid w:val="00EF419E"/>
    <w:rsid w:val="00EF421C"/>
    <w:rsid w:val="00EF42A1"/>
    <w:rsid w:val="00EF461C"/>
    <w:rsid w:val="00EF461D"/>
    <w:rsid w:val="00EF476C"/>
    <w:rsid w:val="00EF4B3D"/>
    <w:rsid w:val="00EF4BBD"/>
    <w:rsid w:val="00EF4C5A"/>
    <w:rsid w:val="00EF4D14"/>
    <w:rsid w:val="00EF4DA1"/>
    <w:rsid w:val="00EF4F09"/>
    <w:rsid w:val="00EF5030"/>
    <w:rsid w:val="00EF51B1"/>
    <w:rsid w:val="00EF5666"/>
    <w:rsid w:val="00EF5929"/>
    <w:rsid w:val="00EF5972"/>
    <w:rsid w:val="00EF5B5A"/>
    <w:rsid w:val="00EF5BD0"/>
    <w:rsid w:val="00EF5F05"/>
    <w:rsid w:val="00EF6093"/>
    <w:rsid w:val="00EF613B"/>
    <w:rsid w:val="00EF638B"/>
    <w:rsid w:val="00EF6641"/>
    <w:rsid w:val="00EF6939"/>
    <w:rsid w:val="00EF6947"/>
    <w:rsid w:val="00EF694B"/>
    <w:rsid w:val="00EF696B"/>
    <w:rsid w:val="00EF69AD"/>
    <w:rsid w:val="00EF6A13"/>
    <w:rsid w:val="00EF6BC2"/>
    <w:rsid w:val="00EF6D21"/>
    <w:rsid w:val="00EF6DBF"/>
    <w:rsid w:val="00EF6E28"/>
    <w:rsid w:val="00EF7021"/>
    <w:rsid w:val="00EF70C5"/>
    <w:rsid w:val="00EF7143"/>
    <w:rsid w:val="00EF74D2"/>
    <w:rsid w:val="00EF7630"/>
    <w:rsid w:val="00EF7C02"/>
    <w:rsid w:val="00EF7DBC"/>
    <w:rsid w:val="00EF7DDE"/>
    <w:rsid w:val="00EF7E66"/>
    <w:rsid w:val="00F00092"/>
    <w:rsid w:val="00F000EE"/>
    <w:rsid w:val="00F00238"/>
    <w:rsid w:val="00F0040B"/>
    <w:rsid w:val="00F00462"/>
    <w:rsid w:val="00F0069E"/>
    <w:rsid w:val="00F006E2"/>
    <w:rsid w:val="00F00742"/>
    <w:rsid w:val="00F0079A"/>
    <w:rsid w:val="00F0092F"/>
    <w:rsid w:val="00F00AE1"/>
    <w:rsid w:val="00F00BB6"/>
    <w:rsid w:val="00F00BFB"/>
    <w:rsid w:val="00F00CC3"/>
    <w:rsid w:val="00F01047"/>
    <w:rsid w:val="00F01098"/>
    <w:rsid w:val="00F01620"/>
    <w:rsid w:val="00F016FF"/>
    <w:rsid w:val="00F0180C"/>
    <w:rsid w:val="00F01A61"/>
    <w:rsid w:val="00F01B3E"/>
    <w:rsid w:val="00F01D69"/>
    <w:rsid w:val="00F01D7F"/>
    <w:rsid w:val="00F01F59"/>
    <w:rsid w:val="00F0224B"/>
    <w:rsid w:val="00F02254"/>
    <w:rsid w:val="00F0231C"/>
    <w:rsid w:val="00F024C3"/>
    <w:rsid w:val="00F024D2"/>
    <w:rsid w:val="00F02592"/>
    <w:rsid w:val="00F02630"/>
    <w:rsid w:val="00F02B16"/>
    <w:rsid w:val="00F02B4F"/>
    <w:rsid w:val="00F0330F"/>
    <w:rsid w:val="00F03725"/>
    <w:rsid w:val="00F037DB"/>
    <w:rsid w:val="00F03920"/>
    <w:rsid w:val="00F03959"/>
    <w:rsid w:val="00F03A49"/>
    <w:rsid w:val="00F03C85"/>
    <w:rsid w:val="00F03F2E"/>
    <w:rsid w:val="00F03F5D"/>
    <w:rsid w:val="00F040D0"/>
    <w:rsid w:val="00F040F0"/>
    <w:rsid w:val="00F04140"/>
    <w:rsid w:val="00F0423A"/>
    <w:rsid w:val="00F043F5"/>
    <w:rsid w:val="00F0456E"/>
    <w:rsid w:val="00F045B0"/>
    <w:rsid w:val="00F047CA"/>
    <w:rsid w:val="00F04BC0"/>
    <w:rsid w:val="00F04F15"/>
    <w:rsid w:val="00F05117"/>
    <w:rsid w:val="00F054DD"/>
    <w:rsid w:val="00F055CB"/>
    <w:rsid w:val="00F05736"/>
    <w:rsid w:val="00F05A1F"/>
    <w:rsid w:val="00F05AA6"/>
    <w:rsid w:val="00F05C42"/>
    <w:rsid w:val="00F05D26"/>
    <w:rsid w:val="00F05F4D"/>
    <w:rsid w:val="00F0602C"/>
    <w:rsid w:val="00F0604E"/>
    <w:rsid w:val="00F062E1"/>
    <w:rsid w:val="00F063AF"/>
    <w:rsid w:val="00F06422"/>
    <w:rsid w:val="00F0651B"/>
    <w:rsid w:val="00F0658F"/>
    <w:rsid w:val="00F065DB"/>
    <w:rsid w:val="00F06763"/>
    <w:rsid w:val="00F06793"/>
    <w:rsid w:val="00F0687C"/>
    <w:rsid w:val="00F0695F"/>
    <w:rsid w:val="00F06990"/>
    <w:rsid w:val="00F06A55"/>
    <w:rsid w:val="00F06C67"/>
    <w:rsid w:val="00F06E62"/>
    <w:rsid w:val="00F072E6"/>
    <w:rsid w:val="00F07370"/>
    <w:rsid w:val="00F073B0"/>
    <w:rsid w:val="00F073F8"/>
    <w:rsid w:val="00F074B6"/>
    <w:rsid w:val="00F074CC"/>
    <w:rsid w:val="00F075CC"/>
    <w:rsid w:val="00F07608"/>
    <w:rsid w:val="00F07865"/>
    <w:rsid w:val="00F078FC"/>
    <w:rsid w:val="00F07A84"/>
    <w:rsid w:val="00F07B76"/>
    <w:rsid w:val="00F07CEA"/>
    <w:rsid w:val="00F10270"/>
    <w:rsid w:val="00F102FF"/>
    <w:rsid w:val="00F104F3"/>
    <w:rsid w:val="00F106F1"/>
    <w:rsid w:val="00F10807"/>
    <w:rsid w:val="00F109DF"/>
    <w:rsid w:val="00F109E0"/>
    <w:rsid w:val="00F10A50"/>
    <w:rsid w:val="00F10D09"/>
    <w:rsid w:val="00F10F4F"/>
    <w:rsid w:val="00F110FB"/>
    <w:rsid w:val="00F11610"/>
    <w:rsid w:val="00F11745"/>
    <w:rsid w:val="00F1182E"/>
    <w:rsid w:val="00F11979"/>
    <w:rsid w:val="00F119E9"/>
    <w:rsid w:val="00F11A2C"/>
    <w:rsid w:val="00F11E76"/>
    <w:rsid w:val="00F120B8"/>
    <w:rsid w:val="00F121D5"/>
    <w:rsid w:val="00F122D9"/>
    <w:rsid w:val="00F1253A"/>
    <w:rsid w:val="00F126E0"/>
    <w:rsid w:val="00F12810"/>
    <w:rsid w:val="00F12B0D"/>
    <w:rsid w:val="00F12D21"/>
    <w:rsid w:val="00F1301D"/>
    <w:rsid w:val="00F1304D"/>
    <w:rsid w:val="00F13080"/>
    <w:rsid w:val="00F1331B"/>
    <w:rsid w:val="00F138BE"/>
    <w:rsid w:val="00F13981"/>
    <w:rsid w:val="00F13A44"/>
    <w:rsid w:val="00F13A4E"/>
    <w:rsid w:val="00F1403E"/>
    <w:rsid w:val="00F14167"/>
    <w:rsid w:val="00F141ED"/>
    <w:rsid w:val="00F1443F"/>
    <w:rsid w:val="00F146F0"/>
    <w:rsid w:val="00F14843"/>
    <w:rsid w:val="00F1488E"/>
    <w:rsid w:val="00F14A84"/>
    <w:rsid w:val="00F14A9D"/>
    <w:rsid w:val="00F14F46"/>
    <w:rsid w:val="00F14F5C"/>
    <w:rsid w:val="00F14FC4"/>
    <w:rsid w:val="00F15021"/>
    <w:rsid w:val="00F151BF"/>
    <w:rsid w:val="00F15500"/>
    <w:rsid w:val="00F15639"/>
    <w:rsid w:val="00F1572A"/>
    <w:rsid w:val="00F1592F"/>
    <w:rsid w:val="00F15A10"/>
    <w:rsid w:val="00F15BD0"/>
    <w:rsid w:val="00F15C40"/>
    <w:rsid w:val="00F15D31"/>
    <w:rsid w:val="00F15D5A"/>
    <w:rsid w:val="00F15D90"/>
    <w:rsid w:val="00F15FFB"/>
    <w:rsid w:val="00F1635F"/>
    <w:rsid w:val="00F163A2"/>
    <w:rsid w:val="00F16582"/>
    <w:rsid w:val="00F166E0"/>
    <w:rsid w:val="00F16B06"/>
    <w:rsid w:val="00F16B09"/>
    <w:rsid w:val="00F16B4D"/>
    <w:rsid w:val="00F16C7A"/>
    <w:rsid w:val="00F17011"/>
    <w:rsid w:val="00F171C7"/>
    <w:rsid w:val="00F173CF"/>
    <w:rsid w:val="00F17729"/>
    <w:rsid w:val="00F1776A"/>
    <w:rsid w:val="00F17C8E"/>
    <w:rsid w:val="00F17CE4"/>
    <w:rsid w:val="00F17ED6"/>
    <w:rsid w:val="00F17F25"/>
    <w:rsid w:val="00F17FA2"/>
    <w:rsid w:val="00F17FBB"/>
    <w:rsid w:val="00F17FEE"/>
    <w:rsid w:val="00F2014B"/>
    <w:rsid w:val="00F20151"/>
    <w:rsid w:val="00F204E2"/>
    <w:rsid w:val="00F204FD"/>
    <w:rsid w:val="00F20679"/>
    <w:rsid w:val="00F20E87"/>
    <w:rsid w:val="00F211CA"/>
    <w:rsid w:val="00F21252"/>
    <w:rsid w:val="00F21372"/>
    <w:rsid w:val="00F2161C"/>
    <w:rsid w:val="00F21677"/>
    <w:rsid w:val="00F2171F"/>
    <w:rsid w:val="00F2172F"/>
    <w:rsid w:val="00F217A7"/>
    <w:rsid w:val="00F218E8"/>
    <w:rsid w:val="00F218F5"/>
    <w:rsid w:val="00F2194C"/>
    <w:rsid w:val="00F21AB6"/>
    <w:rsid w:val="00F21CB4"/>
    <w:rsid w:val="00F21CFB"/>
    <w:rsid w:val="00F21D4E"/>
    <w:rsid w:val="00F21D63"/>
    <w:rsid w:val="00F21DCE"/>
    <w:rsid w:val="00F21F11"/>
    <w:rsid w:val="00F220BE"/>
    <w:rsid w:val="00F22156"/>
    <w:rsid w:val="00F22195"/>
    <w:rsid w:val="00F221B1"/>
    <w:rsid w:val="00F2227D"/>
    <w:rsid w:val="00F224BF"/>
    <w:rsid w:val="00F224EC"/>
    <w:rsid w:val="00F2264C"/>
    <w:rsid w:val="00F226C1"/>
    <w:rsid w:val="00F22972"/>
    <w:rsid w:val="00F22999"/>
    <w:rsid w:val="00F22A1A"/>
    <w:rsid w:val="00F22A71"/>
    <w:rsid w:val="00F22ACE"/>
    <w:rsid w:val="00F22CFC"/>
    <w:rsid w:val="00F22D31"/>
    <w:rsid w:val="00F22D7E"/>
    <w:rsid w:val="00F22E27"/>
    <w:rsid w:val="00F22FA8"/>
    <w:rsid w:val="00F2311C"/>
    <w:rsid w:val="00F2344C"/>
    <w:rsid w:val="00F239E3"/>
    <w:rsid w:val="00F23B7C"/>
    <w:rsid w:val="00F23C69"/>
    <w:rsid w:val="00F23E5A"/>
    <w:rsid w:val="00F2418E"/>
    <w:rsid w:val="00F24406"/>
    <w:rsid w:val="00F2455C"/>
    <w:rsid w:val="00F246C7"/>
    <w:rsid w:val="00F2477A"/>
    <w:rsid w:val="00F247C6"/>
    <w:rsid w:val="00F24A13"/>
    <w:rsid w:val="00F24B7F"/>
    <w:rsid w:val="00F24B8A"/>
    <w:rsid w:val="00F24CB9"/>
    <w:rsid w:val="00F24D4B"/>
    <w:rsid w:val="00F24E32"/>
    <w:rsid w:val="00F24EC4"/>
    <w:rsid w:val="00F25A9B"/>
    <w:rsid w:val="00F25B07"/>
    <w:rsid w:val="00F25B29"/>
    <w:rsid w:val="00F25B74"/>
    <w:rsid w:val="00F25C6A"/>
    <w:rsid w:val="00F25F5F"/>
    <w:rsid w:val="00F260DF"/>
    <w:rsid w:val="00F26141"/>
    <w:rsid w:val="00F264E9"/>
    <w:rsid w:val="00F2651C"/>
    <w:rsid w:val="00F2662E"/>
    <w:rsid w:val="00F2692A"/>
    <w:rsid w:val="00F26A82"/>
    <w:rsid w:val="00F26F46"/>
    <w:rsid w:val="00F26FC8"/>
    <w:rsid w:val="00F2725D"/>
    <w:rsid w:val="00F27419"/>
    <w:rsid w:val="00F27571"/>
    <w:rsid w:val="00F27913"/>
    <w:rsid w:val="00F279CA"/>
    <w:rsid w:val="00F279DC"/>
    <w:rsid w:val="00F27BE8"/>
    <w:rsid w:val="00F27D23"/>
    <w:rsid w:val="00F27EE8"/>
    <w:rsid w:val="00F27FD6"/>
    <w:rsid w:val="00F30103"/>
    <w:rsid w:val="00F301A3"/>
    <w:rsid w:val="00F302DE"/>
    <w:rsid w:val="00F303ED"/>
    <w:rsid w:val="00F30589"/>
    <w:rsid w:val="00F307E3"/>
    <w:rsid w:val="00F307F5"/>
    <w:rsid w:val="00F3094C"/>
    <w:rsid w:val="00F30AD4"/>
    <w:rsid w:val="00F30B77"/>
    <w:rsid w:val="00F30CD1"/>
    <w:rsid w:val="00F31194"/>
    <w:rsid w:val="00F3156D"/>
    <w:rsid w:val="00F31624"/>
    <w:rsid w:val="00F31A77"/>
    <w:rsid w:val="00F31C0E"/>
    <w:rsid w:val="00F31C99"/>
    <w:rsid w:val="00F31FED"/>
    <w:rsid w:val="00F3205D"/>
    <w:rsid w:val="00F32363"/>
    <w:rsid w:val="00F323B1"/>
    <w:rsid w:val="00F32687"/>
    <w:rsid w:val="00F32901"/>
    <w:rsid w:val="00F329CF"/>
    <w:rsid w:val="00F32A7D"/>
    <w:rsid w:val="00F32A81"/>
    <w:rsid w:val="00F32B05"/>
    <w:rsid w:val="00F32D73"/>
    <w:rsid w:val="00F32F9A"/>
    <w:rsid w:val="00F33140"/>
    <w:rsid w:val="00F332C1"/>
    <w:rsid w:val="00F332ED"/>
    <w:rsid w:val="00F336BE"/>
    <w:rsid w:val="00F3390A"/>
    <w:rsid w:val="00F33A0A"/>
    <w:rsid w:val="00F33AB1"/>
    <w:rsid w:val="00F33C6C"/>
    <w:rsid w:val="00F33DB1"/>
    <w:rsid w:val="00F341ED"/>
    <w:rsid w:val="00F34486"/>
    <w:rsid w:val="00F34497"/>
    <w:rsid w:val="00F348D3"/>
    <w:rsid w:val="00F34DC2"/>
    <w:rsid w:val="00F35075"/>
    <w:rsid w:val="00F35165"/>
    <w:rsid w:val="00F353E5"/>
    <w:rsid w:val="00F354A2"/>
    <w:rsid w:val="00F354E0"/>
    <w:rsid w:val="00F355B4"/>
    <w:rsid w:val="00F35627"/>
    <w:rsid w:val="00F3571D"/>
    <w:rsid w:val="00F35759"/>
    <w:rsid w:val="00F357F2"/>
    <w:rsid w:val="00F35D58"/>
    <w:rsid w:val="00F3601C"/>
    <w:rsid w:val="00F36207"/>
    <w:rsid w:val="00F362C5"/>
    <w:rsid w:val="00F363F6"/>
    <w:rsid w:val="00F36459"/>
    <w:rsid w:val="00F364E4"/>
    <w:rsid w:val="00F36577"/>
    <w:rsid w:val="00F36725"/>
    <w:rsid w:val="00F36794"/>
    <w:rsid w:val="00F36799"/>
    <w:rsid w:val="00F36807"/>
    <w:rsid w:val="00F3689A"/>
    <w:rsid w:val="00F369D8"/>
    <w:rsid w:val="00F36A3C"/>
    <w:rsid w:val="00F36CA3"/>
    <w:rsid w:val="00F36D66"/>
    <w:rsid w:val="00F36E1B"/>
    <w:rsid w:val="00F36E1D"/>
    <w:rsid w:val="00F36EE4"/>
    <w:rsid w:val="00F3718E"/>
    <w:rsid w:val="00F375ED"/>
    <w:rsid w:val="00F377D8"/>
    <w:rsid w:val="00F378D6"/>
    <w:rsid w:val="00F37903"/>
    <w:rsid w:val="00F37A19"/>
    <w:rsid w:val="00F37A7E"/>
    <w:rsid w:val="00F37DFB"/>
    <w:rsid w:val="00F4018E"/>
    <w:rsid w:val="00F402D0"/>
    <w:rsid w:val="00F403B1"/>
    <w:rsid w:val="00F403D7"/>
    <w:rsid w:val="00F4068F"/>
    <w:rsid w:val="00F4090F"/>
    <w:rsid w:val="00F40985"/>
    <w:rsid w:val="00F40AA7"/>
    <w:rsid w:val="00F40C92"/>
    <w:rsid w:val="00F40CE9"/>
    <w:rsid w:val="00F40E39"/>
    <w:rsid w:val="00F41040"/>
    <w:rsid w:val="00F412BA"/>
    <w:rsid w:val="00F4138F"/>
    <w:rsid w:val="00F413CD"/>
    <w:rsid w:val="00F41477"/>
    <w:rsid w:val="00F41795"/>
    <w:rsid w:val="00F4187E"/>
    <w:rsid w:val="00F41979"/>
    <w:rsid w:val="00F41989"/>
    <w:rsid w:val="00F41A97"/>
    <w:rsid w:val="00F41BE3"/>
    <w:rsid w:val="00F41FDA"/>
    <w:rsid w:val="00F42219"/>
    <w:rsid w:val="00F4229F"/>
    <w:rsid w:val="00F422F0"/>
    <w:rsid w:val="00F42321"/>
    <w:rsid w:val="00F423A8"/>
    <w:rsid w:val="00F42780"/>
    <w:rsid w:val="00F42916"/>
    <w:rsid w:val="00F4294B"/>
    <w:rsid w:val="00F42AFB"/>
    <w:rsid w:val="00F42E1C"/>
    <w:rsid w:val="00F42ED9"/>
    <w:rsid w:val="00F42F49"/>
    <w:rsid w:val="00F42F8D"/>
    <w:rsid w:val="00F433F7"/>
    <w:rsid w:val="00F43723"/>
    <w:rsid w:val="00F4381D"/>
    <w:rsid w:val="00F4389A"/>
    <w:rsid w:val="00F43B39"/>
    <w:rsid w:val="00F43B8C"/>
    <w:rsid w:val="00F4401D"/>
    <w:rsid w:val="00F440DF"/>
    <w:rsid w:val="00F442F3"/>
    <w:rsid w:val="00F444D2"/>
    <w:rsid w:val="00F44795"/>
    <w:rsid w:val="00F4485E"/>
    <w:rsid w:val="00F44924"/>
    <w:rsid w:val="00F44DAA"/>
    <w:rsid w:val="00F4557D"/>
    <w:rsid w:val="00F456D8"/>
    <w:rsid w:val="00F457F5"/>
    <w:rsid w:val="00F45DEE"/>
    <w:rsid w:val="00F46074"/>
    <w:rsid w:val="00F46145"/>
    <w:rsid w:val="00F463C3"/>
    <w:rsid w:val="00F463E6"/>
    <w:rsid w:val="00F469C4"/>
    <w:rsid w:val="00F46B00"/>
    <w:rsid w:val="00F46B61"/>
    <w:rsid w:val="00F46BD7"/>
    <w:rsid w:val="00F46D17"/>
    <w:rsid w:val="00F46D77"/>
    <w:rsid w:val="00F46EF6"/>
    <w:rsid w:val="00F46F6B"/>
    <w:rsid w:val="00F4700E"/>
    <w:rsid w:val="00F4707A"/>
    <w:rsid w:val="00F4724C"/>
    <w:rsid w:val="00F4734F"/>
    <w:rsid w:val="00F47431"/>
    <w:rsid w:val="00F47460"/>
    <w:rsid w:val="00F474FA"/>
    <w:rsid w:val="00F474FD"/>
    <w:rsid w:val="00F4753E"/>
    <w:rsid w:val="00F4775D"/>
    <w:rsid w:val="00F4788F"/>
    <w:rsid w:val="00F47B55"/>
    <w:rsid w:val="00F47C17"/>
    <w:rsid w:val="00F47D9D"/>
    <w:rsid w:val="00F47EB7"/>
    <w:rsid w:val="00F5037D"/>
    <w:rsid w:val="00F5046D"/>
    <w:rsid w:val="00F504C0"/>
    <w:rsid w:val="00F50560"/>
    <w:rsid w:val="00F507BE"/>
    <w:rsid w:val="00F50889"/>
    <w:rsid w:val="00F50CF2"/>
    <w:rsid w:val="00F50E30"/>
    <w:rsid w:val="00F50FD2"/>
    <w:rsid w:val="00F51104"/>
    <w:rsid w:val="00F511E0"/>
    <w:rsid w:val="00F51233"/>
    <w:rsid w:val="00F512E5"/>
    <w:rsid w:val="00F51391"/>
    <w:rsid w:val="00F513EC"/>
    <w:rsid w:val="00F514CD"/>
    <w:rsid w:val="00F51510"/>
    <w:rsid w:val="00F5189E"/>
    <w:rsid w:val="00F51DD1"/>
    <w:rsid w:val="00F51EC5"/>
    <w:rsid w:val="00F51FC8"/>
    <w:rsid w:val="00F52060"/>
    <w:rsid w:val="00F52351"/>
    <w:rsid w:val="00F52372"/>
    <w:rsid w:val="00F523CA"/>
    <w:rsid w:val="00F526BF"/>
    <w:rsid w:val="00F52C7F"/>
    <w:rsid w:val="00F52DCD"/>
    <w:rsid w:val="00F52DE0"/>
    <w:rsid w:val="00F52DF6"/>
    <w:rsid w:val="00F53123"/>
    <w:rsid w:val="00F532BF"/>
    <w:rsid w:val="00F53D67"/>
    <w:rsid w:val="00F5400C"/>
    <w:rsid w:val="00F540AB"/>
    <w:rsid w:val="00F540DA"/>
    <w:rsid w:val="00F544BD"/>
    <w:rsid w:val="00F54636"/>
    <w:rsid w:val="00F5472C"/>
    <w:rsid w:val="00F54838"/>
    <w:rsid w:val="00F548BF"/>
    <w:rsid w:val="00F54B9D"/>
    <w:rsid w:val="00F54BB6"/>
    <w:rsid w:val="00F54D07"/>
    <w:rsid w:val="00F54D22"/>
    <w:rsid w:val="00F54D77"/>
    <w:rsid w:val="00F54F6A"/>
    <w:rsid w:val="00F551F6"/>
    <w:rsid w:val="00F55303"/>
    <w:rsid w:val="00F55316"/>
    <w:rsid w:val="00F55327"/>
    <w:rsid w:val="00F553F0"/>
    <w:rsid w:val="00F556EF"/>
    <w:rsid w:val="00F556F4"/>
    <w:rsid w:val="00F558C6"/>
    <w:rsid w:val="00F55B3E"/>
    <w:rsid w:val="00F55CBC"/>
    <w:rsid w:val="00F55CE7"/>
    <w:rsid w:val="00F55D54"/>
    <w:rsid w:val="00F55F20"/>
    <w:rsid w:val="00F560BB"/>
    <w:rsid w:val="00F56251"/>
    <w:rsid w:val="00F562C5"/>
    <w:rsid w:val="00F56301"/>
    <w:rsid w:val="00F5636C"/>
    <w:rsid w:val="00F56480"/>
    <w:rsid w:val="00F5659E"/>
    <w:rsid w:val="00F5669E"/>
    <w:rsid w:val="00F5680E"/>
    <w:rsid w:val="00F56BC0"/>
    <w:rsid w:val="00F56D6D"/>
    <w:rsid w:val="00F56DA2"/>
    <w:rsid w:val="00F56FDD"/>
    <w:rsid w:val="00F5728A"/>
    <w:rsid w:val="00F572C9"/>
    <w:rsid w:val="00F57526"/>
    <w:rsid w:val="00F575E8"/>
    <w:rsid w:val="00F576D8"/>
    <w:rsid w:val="00F5772A"/>
    <w:rsid w:val="00F578E5"/>
    <w:rsid w:val="00F57925"/>
    <w:rsid w:val="00F57A90"/>
    <w:rsid w:val="00F57ACB"/>
    <w:rsid w:val="00F57B35"/>
    <w:rsid w:val="00F57BE7"/>
    <w:rsid w:val="00F57C2F"/>
    <w:rsid w:val="00F57DF9"/>
    <w:rsid w:val="00F57F52"/>
    <w:rsid w:val="00F6069E"/>
    <w:rsid w:val="00F607F8"/>
    <w:rsid w:val="00F607FF"/>
    <w:rsid w:val="00F60A7D"/>
    <w:rsid w:val="00F60AEC"/>
    <w:rsid w:val="00F60FBA"/>
    <w:rsid w:val="00F61429"/>
    <w:rsid w:val="00F6155D"/>
    <w:rsid w:val="00F616F1"/>
    <w:rsid w:val="00F61830"/>
    <w:rsid w:val="00F6184E"/>
    <w:rsid w:val="00F618FB"/>
    <w:rsid w:val="00F61952"/>
    <w:rsid w:val="00F61ABA"/>
    <w:rsid w:val="00F61B2B"/>
    <w:rsid w:val="00F61DDA"/>
    <w:rsid w:val="00F61F49"/>
    <w:rsid w:val="00F6201D"/>
    <w:rsid w:val="00F62200"/>
    <w:rsid w:val="00F622AB"/>
    <w:rsid w:val="00F6277A"/>
    <w:rsid w:val="00F62786"/>
    <w:rsid w:val="00F62872"/>
    <w:rsid w:val="00F62980"/>
    <w:rsid w:val="00F62B58"/>
    <w:rsid w:val="00F62C04"/>
    <w:rsid w:val="00F62C2E"/>
    <w:rsid w:val="00F62C99"/>
    <w:rsid w:val="00F62FA4"/>
    <w:rsid w:val="00F631D6"/>
    <w:rsid w:val="00F63451"/>
    <w:rsid w:val="00F6364F"/>
    <w:rsid w:val="00F63827"/>
    <w:rsid w:val="00F63881"/>
    <w:rsid w:val="00F63B24"/>
    <w:rsid w:val="00F63CD8"/>
    <w:rsid w:val="00F63E31"/>
    <w:rsid w:val="00F63E35"/>
    <w:rsid w:val="00F63F2A"/>
    <w:rsid w:val="00F640FE"/>
    <w:rsid w:val="00F64110"/>
    <w:rsid w:val="00F6411D"/>
    <w:rsid w:val="00F641C0"/>
    <w:rsid w:val="00F641C7"/>
    <w:rsid w:val="00F642C1"/>
    <w:rsid w:val="00F643DE"/>
    <w:rsid w:val="00F645F2"/>
    <w:rsid w:val="00F6464F"/>
    <w:rsid w:val="00F64889"/>
    <w:rsid w:val="00F64951"/>
    <w:rsid w:val="00F64BC8"/>
    <w:rsid w:val="00F64CC4"/>
    <w:rsid w:val="00F64CD8"/>
    <w:rsid w:val="00F64D53"/>
    <w:rsid w:val="00F64D73"/>
    <w:rsid w:val="00F64E99"/>
    <w:rsid w:val="00F64EE7"/>
    <w:rsid w:val="00F650FC"/>
    <w:rsid w:val="00F65165"/>
    <w:rsid w:val="00F65206"/>
    <w:rsid w:val="00F654F3"/>
    <w:rsid w:val="00F655D6"/>
    <w:rsid w:val="00F65674"/>
    <w:rsid w:val="00F656F7"/>
    <w:rsid w:val="00F6572D"/>
    <w:rsid w:val="00F65759"/>
    <w:rsid w:val="00F659AD"/>
    <w:rsid w:val="00F65B90"/>
    <w:rsid w:val="00F662A0"/>
    <w:rsid w:val="00F66683"/>
    <w:rsid w:val="00F669C6"/>
    <w:rsid w:val="00F66A9F"/>
    <w:rsid w:val="00F66C10"/>
    <w:rsid w:val="00F66E69"/>
    <w:rsid w:val="00F6706E"/>
    <w:rsid w:val="00F6752D"/>
    <w:rsid w:val="00F677FD"/>
    <w:rsid w:val="00F67881"/>
    <w:rsid w:val="00F67950"/>
    <w:rsid w:val="00F67974"/>
    <w:rsid w:val="00F67BD0"/>
    <w:rsid w:val="00F67DBB"/>
    <w:rsid w:val="00F67DDF"/>
    <w:rsid w:val="00F67FF3"/>
    <w:rsid w:val="00F700E3"/>
    <w:rsid w:val="00F701E1"/>
    <w:rsid w:val="00F7028F"/>
    <w:rsid w:val="00F704CE"/>
    <w:rsid w:val="00F704E3"/>
    <w:rsid w:val="00F70989"/>
    <w:rsid w:val="00F70BB8"/>
    <w:rsid w:val="00F70E37"/>
    <w:rsid w:val="00F70F27"/>
    <w:rsid w:val="00F70F5F"/>
    <w:rsid w:val="00F71053"/>
    <w:rsid w:val="00F711A5"/>
    <w:rsid w:val="00F71662"/>
    <w:rsid w:val="00F7175E"/>
    <w:rsid w:val="00F71929"/>
    <w:rsid w:val="00F71963"/>
    <w:rsid w:val="00F71AFF"/>
    <w:rsid w:val="00F71D4F"/>
    <w:rsid w:val="00F71D89"/>
    <w:rsid w:val="00F71ECF"/>
    <w:rsid w:val="00F722C3"/>
    <w:rsid w:val="00F723D8"/>
    <w:rsid w:val="00F727C9"/>
    <w:rsid w:val="00F72998"/>
    <w:rsid w:val="00F729FD"/>
    <w:rsid w:val="00F72ADF"/>
    <w:rsid w:val="00F72B04"/>
    <w:rsid w:val="00F72BC4"/>
    <w:rsid w:val="00F72BF1"/>
    <w:rsid w:val="00F72CE0"/>
    <w:rsid w:val="00F72D5F"/>
    <w:rsid w:val="00F72DA0"/>
    <w:rsid w:val="00F72EB3"/>
    <w:rsid w:val="00F72F96"/>
    <w:rsid w:val="00F72FAD"/>
    <w:rsid w:val="00F72FBE"/>
    <w:rsid w:val="00F7323C"/>
    <w:rsid w:val="00F732CF"/>
    <w:rsid w:val="00F73457"/>
    <w:rsid w:val="00F73707"/>
    <w:rsid w:val="00F738B8"/>
    <w:rsid w:val="00F73DA7"/>
    <w:rsid w:val="00F73E83"/>
    <w:rsid w:val="00F73F3B"/>
    <w:rsid w:val="00F7412D"/>
    <w:rsid w:val="00F74882"/>
    <w:rsid w:val="00F74B2A"/>
    <w:rsid w:val="00F74E6A"/>
    <w:rsid w:val="00F74FCA"/>
    <w:rsid w:val="00F75017"/>
    <w:rsid w:val="00F7512D"/>
    <w:rsid w:val="00F752B1"/>
    <w:rsid w:val="00F753D8"/>
    <w:rsid w:val="00F75634"/>
    <w:rsid w:val="00F756E2"/>
    <w:rsid w:val="00F759A8"/>
    <w:rsid w:val="00F75ACB"/>
    <w:rsid w:val="00F75B52"/>
    <w:rsid w:val="00F75B5D"/>
    <w:rsid w:val="00F75BFE"/>
    <w:rsid w:val="00F760C3"/>
    <w:rsid w:val="00F7613A"/>
    <w:rsid w:val="00F7636B"/>
    <w:rsid w:val="00F7650A"/>
    <w:rsid w:val="00F76736"/>
    <w:rsid w:val="00F7675C"/>
    <w:rsid w:val="00F7698B"/>
    <w:rsid w:val="00F769EB"/>
    <w:rsid w:val="00F76BC9"/>
    <w:rsid w:val="00F7704B"/>
    <w:rsid w:val="00F770B7"/>
    <w:rsid w:val="00F773F2"/>
    <w:rsid w:val="00F777B2"/>
    <w:rsid w:val="00F777D0"/>
    <w:rsid w:val="00F7788E"/>
    <w:rsid w:val="00F77A84"/>
    <w:rsid w:val="00F77EA6"/>
    <w:rsid w:val="00F77F99"/>
    <w:rsid w:val="00F8015E"/>
    <w:rsid w:val="00F80316"/>
    <w:rsid w:val="00F80475"/>
    <w:rsid w:val="00F80721"/>
    <w:rsid w:val="00F807A3"/>
    <w:rsid w:val="00F807B5"/>
    <w:rsid w:val="00F80830"/>
    <w:rsid w:val="00F80EFD"/>
    <w:rsid w:val="00F80FC9"/>
    <w:rsid w:val="00F81051"/>
    <w:rsid w:val="00F81123"/>
    <w:rsid w:val="00F81152"/>
    <w:rsid w:val="00F8130C"/>
    <w:rsid w:val="00F81462"/>
    <w:rsid w:val="00F815B6"/>
    <w:rsid w:val="00F81690"/>
    <w:rsid w:val="00F81953"/>
    <w:rsid w:val="00F8198D"/>
    <w:rsid w:val="00F81AE9"/>
    <w:rsid w:val="00F81C09"/>
    <w:rsid w:val="00F81E0C"/>
    <w:rsid w:val="00F82012"/>
    <w:rsid w:val="00F82095"/>
    <w:rsid w:val="00F820ED"/>
    <w:rsid w:val="00F82135"/>
    <w:rsid w:val="00F822A2"/>
    <w:rsid w:val="00F8240B"/>
    <w:rsid w:val="00F824EE"/>
    <w:rsid w:val="00F8288C"/>
    <w:rsid w:val="00F82A87"/>
    <w:rsid w:val="00F82B66"/>
    <w:rsid w:val="00F82CAA"/>
    <w:rsid w:val="00F82CAC"/>
    <w:rsid w:val="00F82F9B"/>
    <w:rsid w:val="00F82FAA"/>
    <w:rsid w:val="00F83374"/>
    <w:rsid w:val="00F83400"/>
    <w:rsid w:val="00F83476"/>
    <w:rsid w:val="00F83494"/>
    <w:rsid w:val="00F835D1"/>
    <w:rsid w:val="00F83B97"/>
    <w:rsid w:val="00F83D3E"/>
    <w:rsid w:val="00F83FA4"/>
    <w:rsid w:val="00F841E9"/>
    <w:rsid w:val="00F84274"/>
    <w:rsid w:val="00F84330"/>
    <w:rsid w:val="00F843D1"/>
    <w:rsid w:val="00F843DF"/>
    <w:rsid w:val="00F845E0"/>
    <w:rsid w:val="00F84664"/>
    <w:rsid w:val="00F848C2"/>
    <w:rsid w:val="00F84918"/>
    <w:rsid w:val="00F84AC6"/>
    <w:rsid w:val="00F84C3D"/>
    <w:rsid w:val="00F84FBA"/>
    <w:rsid w:val="00F84FBD"/>
    <w:rsid w:val="00F85096"/>
    <w:rsid w:val="00F854AB"/>
    <w:rsid w:val="00F8564A"/>
    <w:rsid w:val="00F857FA"/>
    <w:rsid w:val="00F85B41"/>
    <w:rsid w:val="00F85B4D"/>
    <w:rsid w:val="00F85BFD"/>
    <w:rsid w:val="00F86246"/>
    <w:rsid w:val="00F8676E"/>
    <w:rsid w:val="00F86A32"/>
    <w:rsid w:val="00F86E2C"/>
    <w:rsid w:val="00F86F8D"/>
    <w:rsid w:val="00F872D3"/>
    <w:rsid w:val="00F87338"/>
    <w:rsid w:val="00F8753D"/>
    <w:rsid w:val="00F87642"/>
    <w:rsid w:val="00F8777A"/>
    <w:rsid w:val="00F87990"/>
    <w:rsid w:val="00F879DC"/>
    <w:rsid w:val="00F87A67"/>
    <w:rsid w:val="00F87E3B"/>
    <w:rsid w:val="00F9025B"/>
    <w:rsid w:val="00F9043A"/>
    <w:rsid w:val="00F90E34"/>
    <w:rsid w:val="00F90EF3"/>
    <w:rsid w:val="00F914AB"/>
    <w:rsid w:val="00F91538"/>
    <w:rsid w:val="00F91754"/>
    <w:rsid w:val="00F9179A"/>
    <w:rsid w:val="00F91800"/>
    <w:rsid w:val="00F918FD"/>
    <w:rsid w:val="00F9192D"/>
    <w:rsid w:val="00F919BB"/>
    <w:rsid w:val="00F91E87"/>
    <w:rsid w:val="00F9220D"/>
    <w:rsid w:val="00F92787"/>
    <w:rsid w:val="00F928E5"/>
    <w:rsid w:val="00F92D0E"/>
    <w:rsid w:val="00F92EA0"/>
    <w:rsid w:val="00F93025"/>
    <w:rsid w:val="00F93416"/>
    <w:rsid w:val="00F934E7"/>
    <w:rsid w:val="00F9366F"/>
    <w:rsid w:val="00F93A76"/>
    <w:rsid w:val="00F93C81"/>
    <w:rsid w:val="00F93C96"/>
    <w:rsid w:val="00F93D59"/>
    <w:rsid w:val="00F93E60"/>
    <w:rsid w:val="00F9431B"/>
    <w:rsid w:val="00F9454A"/>
    <w:rsid w:val="00F946DF"/>
    <w:rsid w:val="00F948B4"/>
    <w:rsid w:val="00F94B33"/>
    <w:rsid w:val="00F94DB2"/>
    <w:rsid w:val="00F94DBF"/>
    <w:rsid w:val="00F95138"/>
    <w:rsid w:val="00F9577A"/>
    <w:rsid w:val="00F9579C"/>
    <w:rsid w:val="00F957F4"/>
    <w:rsid w:val="00F95AF0"/>
    <w:rsid w:val="00F95D82"/>
    <w:rsid w:val="00F95D97"/>
    <w:rsid w:val="00F95EF7"/>
    <w:rsid w:val="00F95F28"/>
    <w:rsid w:val="00F95FA2"/>
    <w:rsid w:val="00F96084"/>
    <w:rsid w:val="00F96284"/>
    <w:rsid w:val="00F962AD"/>
    <w:rsid w:val="00F962AF"/>
    <w:rsid w:val="00F96375"/>
    <w:rsid w:val="00F963D5"/>
    <w:rsid w:val="00F963EF"/>
    <w:rsid w:val="00F96403"/>
    <w:rsid w:val="00F96436"/>
    <w:rsid w:val="00F96A5D"/>
    <w:rsid w:val="00F96C98"/>
    <w:rsid w:val="00F970B8"/>
    <w:rsid w:val="00F97120"/>
    <w:rsid w:val="00F971A8"/>
    <w:rsid w:val="00F973A9"/>
    <w:rsid w:val="00F9753B"/>
    <w:rsid w:val="00F97CC6"/>
    <w:rsid w:val="00F97F4F"/>
    <w:rsid w:val="00F97F71"/>
    <w:rsid w:val="00FA00CB"/>
    <w:rsid w:val="00FA0116"/>
    <w:rsid w:val="00FA0197"/>
    <w:rsid w:val="00FA0406"/>
    <w:rsid w:val="00FA047D"/>
    <w:rsid w:val="00FA055B"/>
    <w:rsid w:val="00FA07D5"/>
    <w:rsid w:val="00FA098F"/>
    <w:rsid w:val="00FA09D3"/>
    <w:rsid w:val="00FA0A26"/>
    <w:rsid w:val="00FA0ABF"/>
    <w:rsid w:val="00FA0B9B"/>
    <w:rsid w:val="00FA0D56"/>
    <w:rsid w:val="00FA1118"/>
    <w:rsid w:val="00FA11E4"/>
    <w:rsid w:val="00FA127E"/>
    <w:rsid w:val="00FA1289"/>
    <w:rsid w:val="00FA130F"/>
    <w:rsid w:val="00FA139C"/>
    <w:rsid w:val="00FA16F2"/>
    <w:rsid w:val="00FA17E9"/>
    <w:rsid w:val="00FA1917"/>
    <w:rsid w:val="00FA1AE7"/>
    <w:rsid w:val="00FA1CA7"/>
    <w:rsid w:val="00FA1E91"/>
    <w:rsid w:val="00FA1ED2"/>
    <w:rsid w:val="00FA1F2F"/>
    <w:rsid w:val="00FA1F92"/>
    <w:rsid w:val="00FA24EF"/>
    <w:rsid w:val="00FA291C"/>
    <w:rsid w:val="00FA2922"/>
    <w:rsid w:val="00FA2A0B"/>
    <w:rsid w:val="00FA2AFE"/>
    <w:rsid w:val="00FA2CDA"/>
    <w:rsid w:val="00FA2F05"/>
    <w:rsid w:val="00FA324A"/>
    <w:rsid w:val="00FA3341"/>
    <w:rsid w:val="00FA3BE6"/>
    <w:rsid w:val="00FA3C88"/>
    <w:rsid w:val="00FA3D6A"/>
    <w:rsid w:val="00FA3DD5"/>
    <w:rsid w:val="00FA4053"/>
    <w:rsid w:val="00FA40BE"/>
    <w:rsid w:val="00FA4350"/>
    <w:rsid w:val="00FA4375"/>
    <w:rsid w:val="00FA4389"/>
    <w:rsid w:val="00FA4411"/>
    <w:rsid w:val="00FA4459"/>
    <w:rsid w:val="00FA446D"/>
    <w:rsid w:val="00FA44D3"/>
    <w:rsid w:val="00FA44F0"/>
    <w:rsid w:val="00FA45EE"/>
    <w:rsid w:val="00FA46F5"/>
    <w:rsid w:val="00FA47E8"/>
    <w:rsid w:val="00FA48B5"/>
    <w:rsid w:val="00FA495E"/>
    <w:rsid w:val="00FA49EB"/>
    <w:rsid w:val="00FA4DA9"/>
    <w:rsid w:val="00FA4EC5"/>
    <w:rsid w:val="00FA4F4A"/>
    <w:rsid w:val="00FA4F64"/>
    <w:rsid w:val="00FA5567"/>
    <w:rsid w:val="00FA5B0E"/>
    <w:rsid w:val="00FA5D7F"/>
    <w:rsid w:val="00FA5DCC"/>
    <w:rsid w:val="00FA5FA0"/>
    <w:rsid w:val="00FA6129"/>
    <w:rsid w:val="00FA621D"/>
    <w:rsid w:val="00FA6390"/>
    <w:rsid w:val="00FA6704"/>
    <w:rsid w:val="00FA68B5"/>
    <w:rsid w:val="00FA6A2F"/>
    <w:rsid w:val="00FA6A8C"/>
    <w:rsid w:val="00FA6AE6"/>
    <w:rsid w:val="00FA6B00"/>
    <w:rsid w:val="00FA6B2E"/>
    <w:rsid w:val="00FA6C6E"/>
    <w:rsid w:val="00FA6D53"/>
    <w:rsid w:val="00FA6D5A"/>
    <w:rsid w:val="00FA6DA5"/>
    <w:rsid w:val="00FA6DB8"/>
    <w:rsid w:val="00FA7083"/>
    <w:rsid w:val="00FA7A6D"/>
    <w:rsid w:val="00FA7B4D"/>
    <w:rsid w:val="00FA7B58"/>
    <w:rsid w:val="00FA7D00"/>
    <w:rsid w:val="00FA7F25"/>
    <w:rsid w:val="00FA7FE5"/>
    <w:rsid w:val="00FA7FFB"/>
    <w:rsid w:val="00FB0105"/>
    <w:rsid w:val="00FB0357"/>
    <w:rsid w:val="00FB0615"/>
    <w:rsid w:val="00FB070E"/>
    <w:rsid w:val="00FB09CD"/>
    <w:rsid w:val="00FB0C57"/>
    <w:rsid w:val="00FB12D7"/>
    <w:rsid w:val="00FB1364"/>
    <w:rsid w:val="00FB14D3"/>
    <w:rsid w:val="00FB15C4"/>
    <w:rsid w:val="00FB189E"/>
    <w:rsid w:val="00FB1C80"/>
    <w:rsid w:val="00FB1CDE"/>
    <w:rsid w:val="00FB1F56"/>
    <w:rsid w:val="00FB20AD"/>
    <w:rsid w:val="00FB22B7"/>
    <w:rsid w:val="00FB2596"/>
    <w:rsid w:val="00FB26EA"/>
    <w:rsid w:val="00FB2A86"/>
    <w:rsid w:val="00FB2DB0"/>
    <w:rsid w:val="00FB3216"/>
    <w:rsid w:val="00FB34DA"/>
    <w:rsid w:val="00FB3706"/>
    <w:rsid w:val="00FB37FB"/>
    <w:rsid w:val="00FB3806"/>
    <w:rsid w:val="00FB3A1D"/>
    <w:rsid w:val="00FB3A64"/>
    <w:rsid w:val="00FB3AA7"/>
    <w:rsid w:val="00FB3B55"/>
    <w:rsid w:val="00FB3C04"/>
    <w:rsid w:val="00FB3C2B"/>
    <w:rsid w:val="00FB3C8B"/>
    <w:rsid w:val="00FB3D81"/>
    <w:rsid w:val="00FB3F98"/>
    <w:rsid w:val="00FB438D"/>
    <w:rsid w:val="00FB455F"/>
    <w:rsid w:val="00FB477B"/>
    <w:rsid w:val="00FB4782"/>
    <w:rsid w:val="00FB478C"/>
    <w:rsid w:val="00FB48F0"/>
    <w:rsid w:val="00FB4A50"/>
    <w:rsid w:val="00FB4AA5"/>
    <w:rsid w:val="00FB4BD2"/>
    <w:rsid w:val="00FB4C4E"/>
    <w:rsid w:val="00FB4C70"/>
    <w:rsid w:val="00FB4E68"/>
    <w:rsid w:val="00FB523C"/>
    <w:rsid w:val="00FB53CE"/>
    <w:rsid w:val="00FB54F0"/>
    <w:rsid w:val="00FB5539"/>
    <w:rsid w:val="00FB5731"/>
    <w:rsid w:val="00FB5757"/>
    <w:rsid w:val="00FB581A"/>
    <w:rsid w:val="00FB5921"/>
    <w:rsid w:val="00FB59C4"/>
    <w:rsid w:val="00FB5A72"/>
    <w:rsid w:val="00FB5AAE"/>
    <w:rsid w:val="00FB5C3D"/>
    <w:rsid w:val="00FB5E2A"/>
    <w:rsid w:val="00FB6150"/>
    <w:rsid w:val="00FB628B"/>
    <w:rsid w:val="00FB62FB"/>
    <w:rsid w:val="00FB6799"/>
    <w:rsid w:val="00FB6999"/>
    <w:rsid w:val="00FB6F19"/>
    <w:rsid w:val="00FB7295"/>
    <w:rsid w:val="00FB75FE"/>
    <w:rsid w:val="00FB77A7"/>
    <w:rsid w:val="00FB7A2B"/>
    <w:rsid w:val="00FB7C72"/>
    <w:rsid w:val="00FB7E3C"/>
    <w:rsid w:val="00FC008F"/>
    <w:rsid w:val="00FC024A"/>
    <w:rsid w:val="00FC0370"/>
    <w:rsid w:val="00FC03AF"/>
    <w:rsid w:val="00FC03C8"/>
    <w:rsid w:val="00FC05D4"/>
    <w:rsid w:val="00FC095A"/>
    <w:rsid w:val="00FC09C7"/>
    <w:rsid w:val="00FC09F0"/>
    <w:rsid w:val="00FC0BC9"/>
    <w:rsid w:val="00FC1167"/>
    <w:rsid w:val="00FC1326"/>
    <w:rsid w:val="00FC13F0"/>
    <w:rsid w:val="00FC177F"/>
    <w:rsid w:val="00FC17F0"/>
    <w:rsid w:val="00FC1B06"/>
    <w:rsid w:val="00FC1B60"/>
    <w:rsid w:val="00FC1C1B"/>
    <w:rsid w:val="00FC1D81"/>
    <w:rsid w:val="00FC1E10"/>
    <w:rsid w:val="00FC23FB"/>
    <w:rsid w:val="00FC265D"/>
    <w:rsid w:val="00FC2A4C"/>
    <w:rsid w:val="00FC2CB9"/>
    <w:rsid w:val="00FC2E55"/>
    <w:rsid w:val="00FC3312"/>
    <w:rsid w:val="00FC33E2"/>
    <w:rsid w:val="00FC3ABC"/>
    <w:rsid w:val="00FC3E50"/>
    <w:rsid w:val="00FC3F0E"/>
    <w:rsid w:val="00FC3FAD"/>
    <w:rsid w:val="00FC408A"/>
    <w:rsid w:val="00FC417F"/>
    <w:rsid w:val="00FC41F3"/>
    <w:rsid w:val="00FC44A3"/>
    <w:rsid w:val="00FC4524"/>
    <w:rsid w:val="00FC49C9"/>
    <w:rsid w:val="00FC4A5D"/>
    <w:rsid w:val="00FC4B7B"/>
    <w:rsid w:val="00FC4B94"/>
    <w:rsid w:val="00FC4CA0"/>
    <w:rsid w:val="00FC4D99"/>
    <w:rsid w:val="00FC4EA2"/>
    <w:rsid w:val="00FC4F9C"/>
    <w:rsid w:val="00FC518A"/>
    <w:rsid w:val="00FC51B3"/>
    <w:rsid w:val="00FC52B1"/>
    <w:rsid w:val="00FC5321"/>
    <w:rsid w:val="00FC5357"/>
    <w:rsid w:val="00FC5455"/>
    <w:rsid w:val="00FC586A"/>
    <w:rsid w:val="00FC5902"/>
    <w:rsid w:val="00FC5D8F"/>
    <w:rsid w:val="00FC5DCA"/>
    <w:rsid w:val="00FC5E2D"/>
    <w:rsid w:val="00FC5F4E"/>
    <w:rsid w:val="00FC5FCD"/>
    <w:rsid w:val="00FC5FD6"/>
    <w:rsid w:val="00FC61B7"/>
    <w:rsid w:val="00FC6285"/>
    <w:rsid w:val="00FC630E"/>
    <w:rsid w:val="00FC63E2"/>
    <w:rsid w:val="00FC6447"/>
    <w:rsid w:val="00FC6559"/>
    <w:rsid w:val="00FC67CF"/>
    <w:rsid w:val="00FC6A84"/>
    <w:rsid w:val="00FC6BB8"/>
    <w:rsid w:val="00FC6D94"/>
    <w:rsid w:val="00FC6DD9"/>
    <w:rsid w:val="00FC72DF"/>
    <w:rsid w:val="00FC7314"/>
    <w:rsid w:val="00FC76EF"/>
    <w:rsid w:val="00FC7831"/>
    <w:rsid w:val="00FC7981"/>
    <w:rsid w:val="00FC7987"/>
    <w:rsid w:val="00FC7ABB"/>
    <w:rsid w:val="00FC7B44"/>
    <w:rsid w:val="00FC7CF8"/>
    <w:rsid w:val="00FC7E52"/>
    <w:rsid w:val="00FD00BE"/>
    <w:rsid w:val="00FD0461"/>
    <w:rsid w:val="00FD0588"/>
    <w:rsid w:val="00FD08DF"/>
    <w:rsid w:val="00FD0ABD"/>
    <w:rsid w:val="00FD0CED"/>
    <w:rsid w:val="00FD0D8D"/>
    <w:rsid w:val="00FD0DD6"/>
    <w:rsid w:val="00FD0E15"/>
    <w:rsid w:val="00FD0F35"/>
    <w:rsid w:val="00FD10FA"/>
    <w:rsid w:val="00FD123E"/>
    <w:rsid w:val="00FD1351"/>
    <w:rsid w:val="00FD14A7"/>
    <w:rsid w:val="00FD16D6"/>
    <w:rsid w:val="00FD176D"/>
    <w:rsid w:val="00FD1ACB"/>
    <w:rsid w:val="00FD1BAB"/>
    <w:rsid w:val="00FD1D11"/>
    <w:rsid w:val="00FD1EED"/>
    <w:rsid w:val="00FD20C4"/>
    <w:rsid w:val="00FD2164"/>
    <w:rsid w:val="00FD2207"/>
    <w:rsid w:val="00FD231F"/>
    <w:rsid w:val="00FD2455"/>
    <w:rsid w:val="00FD245F"/>
    <w:rsid w:val="00FD281B"/>
    <w:rsid w:val="00FD2BBF"/>
    <w:rsid w:val="00FD2C95"/>
    <w:rsid w:val="00FD2D7D"/>
    <w:rsid w:val="00FD2E28"/>
    <w:rsid w:val="00FD3207"/>
    <w:rsid w:val="00FD33EC"/>
    <w:rsid w:val="00FD39CD"/>
    <w:rsid w:val="00FD3A13"/>
    <w:rsid w:val="00FD3A6B"/>
    <w:rsid w:val="00FD3AA5"/>
    <w:rsid w:val="00FD40A8"/>
    <w:rsid w:val="00FD4332"/>
    <w:rsid w:val="00FD43FE"/>
    <w:rsid w:val="00FD459F"/>
    <w:rsid w:val="00FD47DF"/>
    <w:rsid w:val="00FD4BA2"/>
    <w:rsid w:val="00FD4C2D"/>
    <w:rsid w:val="00FD4E8F"/>
    <w:rsid w:val="00FD4EE1"/>
    <w:rsid w:val="00FD503A"/>
    <w:rsid w:val="00FD52CB"/>
    <w:rsid w:val="00FD5B02"/>
    <w:rsid w:val="00FD5B12"/>
    <w:rsid w:val="00FD5C04"/>
    <w:rsid w:val="00FD5DF6"/>
    <w:rsid w:val="00FD5F51"/>
    <w:rsid w:val="00FD5F68"/>
    <w:rsid w:val="00FD604A"/>
    <w:rsid w:val="00FD61F1"/>
    <w:rsid w:val="00FD62F1"/>
    <w:rsid w:val="00FD636E"/>
    <w:rsid w:val="00FD677F"/>
    <w:rsid w:val="00FD6809"/>
    <w:rsid w:val="00FD68F7"/>
    <w:rsid w:val="00FD6CC7"/>
    <w:rsid w:val="00FD6CE6"/>
    <w:rsid w:val="00FD6D44"/>
    <w:rsid w:val="00FD6D74"/>
    <w:rsid w:val="00FD6EFB"/>
    <w:rsid w:val="00FD6F01"/>
    <w:rsid w:val="00FD701E"/>
    <w:rsid w:val="00FD7080"/>
    <w:rsid w:val="00FD728F"/>
    <w:rsid w:val="00FD7449"/>
    <w:rsid w:val="00FD75D3"/>
    <w:rsid w:val="00FD7CB0"/>
    <w:rsid w:val="00FD7D51"/>
    <w:rsid w:val="00FD7DDD"/>
    <w:rsid w:val="00FE00A2"/>
    <w:rsid w:val="00FE028C"/>
    <w:rsid w:val="00FE042F"/>
    <w:rsid w:val="00FE04C3"/>
    <w:rsid w:val="00FE0719"/>
    <w:rsid w:val="00FE088E"/>
    <w:rsid w:val="00FE08E7"/>
    <w:rsid w:val="00FE09BC"/>
    <w:rsid w:val="00FE0A6C"/>
    <w:rsid w:val="00FE0C34"/>
    <w:rsid w:val="00FE0DE0"/>
    <w:rsid w:val="00FE102B"/>
    <w:rsid w:val="00FE1121"/>
    <w:rsid w:val="00FE12AD"/>
    <w:rsid w:val="00FE12BB"/>
    <w:rsid w:val="00FE144C"/>
    <w:rsid w:val="00FE1684"/>
    <w:rsid w:val="00FE1775"/>
    <w:rsid w:val="00FE193B"/>
    <w:rsid w:val="00FE222B"/>
    <w:rsid w:val="00FE2453"/>
    <w:rsid w:val="00FE2506"/>
    <w:rsid w:val="00FE25F4"/>
    <w:rsid w:val="00FE2690"/>
    <w:rsid w:val="00FE293B"/>
    <w:rsid w:val="00FE2A02"/>
    <w:rsid w:val="00FE2A08"/>
    <w:rsid w:val="00FE2C17"/>
    <w:rsid w:val="00FE2FF0"/>
    <w:rsid w:val="00FE31BD"/>
    <w:rsid w:val="00FE323E"/>
    <w:rsid w:val="00FE3471"/>
    <w:rsid w:val="00FE354B"/>
    <w:rsid w:val="00FE355E"/>
    <w:rsid w:val="00FE3B15"/>
    <w:rsid w:val="00FE3B9F"/>
    <w:rsid w:val="00FE3BC4"/>
    <w:rsid w:val="00FE3CDA"/>
    <w:rsid w:val="00FE3E54"/>
    <w:rsid w:val="00FE40B9"/>
    <w:rsid w:val="00FE40E8"/>
    <w:rsid w:val="00FE40F8"/>
    <w:rsid w:val="00FE41C1"/>
    <w:rsid w:val="00FE425A"/>
    <w:rsid w:val="00FE4430"/>
    <w:rsid w:val="00FE469D"/>
    <w:rsid w:val="00FE4790"/>
    <w:rsid w:val="00FE49D5"/>
    <w:rsid w:val="00FE4CE3"/>
    <w:rsid w:val="00FE4D2F"/>
    <w:rsid w:val="00FE4F4E"/>
    <w:rsid w:val="00FE4FCE"/>
    <w:rsid w:val="00FE50C6"/>
    <w:rsid w:val="00FE523E"/>
    <w:rsid w:val="00FE5300"/>
    <w:rsid w:val="00FE53BD"/>
    <w:rsid w:val="00FE541E"/>
    <w:rsid w:val="00FE5799"/>
    <w:rsid w:val="00FE5B98"/>
    <w:rsid w:val="00FE5F55"/>
    <w:rsid w:val="00FE5F9D"/>
    <w:rsid w:val="00FE6060"/>
    <w:rsid w:val="00FE61AF"/>
    <w:rsid w:val="00FE6317"/>
    <w:rsid w:val="00FE6322"/>
    <w:rsid w:val="00FE640C"/>
    <w:rsid w:val="00FE65D9"/>
    <w:rsid w:val="00FE66DB"/>
    <w:rsid w:val="00FE66EC"/>
    <w:rsid w:val="00FE6743"/>
    <w:rsid w:val="00FE69BE"/>
    <w:rsid w:val="00FE6C5A"/>
    <w:rsid w:val="00FE6CA5"/>
    <w:rsid w:val="00FE7303"/>
    <w:rsid w:val="00FE7771"/>
    <w:rsid w:val="00FE79B8"/>
    <w:rsid w:val="00FE7A2E"/>
    <w:rsid w:val="00FE7A92"/>
    <w:rsid w:val="00FE7CCD"/>
    <w:rsid w:val="00FE7D72"/>
    <w:rsid w:val="00FF018F"/>
    <w:rsid w:val="00FF01E3"/>
    <w:rsid w:val="00FF0215"/>
    <w:rsid w:val="00FF0370"/>
    <w:rsid w:val="00FF04EA"/>
    <w:rsid w:val="00FF056B"/>
    <w:rsid w:val="00FF0590"/>
    <w:rsid w:val="00FF0613"/>
    <w:rsid w:val="00FF07C5"/>
    <w:rsid w:val="00FF08C1"/>
    <w:rsid w:val="00FF0963"/>
    <w:rsid w:val="00FF0B9A"/>
    <w:rsid w:val="00FF0BFF"/>
    <w:rsid w:val="00FF0CCF"/>
    <w:rsid w:val="00FF0E92"/>
    <w:rsid w:val="00FF0EBC"/>
    <w:rsid w:val="00FF0EDE"/>
    <w:rsid w:val="00FF0FD7"/>
    <w:rsid w:val="00FF1119"/>
    <w:rsid w:val="00FF1137"/>
    <w:rsid w:val="00FF118D"/>
    <w:rsid w:val="00FF11A0"/>
    <w:rsid w:val="00FF12E0"/>
    <w:rsid w:val="00FF1488"/>
    <w:rsid w:val="00FF192E"/>
    <w:rsid w:val="00FF19AE"/>
    <w:rsid w:val="00FF1A3F"/>
    <w:rsid w:val="00FF1A48"/>
    <w:rsid w:val="00FF1B86"/>
    <w:rsid w:val="00FF1CEF"/>
    <w:rsid w:val="00FF1DCF"/>
    <w:rsid w:val="00FF1E2E"/>
    <w:rsid w:val="00FF1EAC"/>
    <w:rsid w:val="00FF217B"/>
    <w:rsid w:val="00FF2362"/>
    <w:rsid w:val="00FF23D5"/>
    <w:rsid w:val="00FF2477"/>
    <w:rsid w:val="00FF24BB"/>
    <w:rsid w:val="00FF25E9"/>
    <w:rsid w:val="00FF260E"/>
    <w:rsid w:val="00FF2633"/>
    <w:rsid w:val="00FF2754"/>
    <w:rsid w:val="00FF27FC"/>
    <w:rsid w:val="00FF28C0"/>
    <w:rsid w:val="00FF2BA4"/>
    <w:rsid w:val="00FF2CCC"/>
    <w:rsid w:val="00FF2F1B"/>
    <w:rsid w:val="00FF3119"/>
    <w:rsid w:val="00FF3122"/>
    <w:rsid w:val="00FF319B"/>
    <w:rsid w:val="00FF31A8"/>
    <w:rsid w:val="00FF33F3"/>
    <w:rsid w:val="00FF3511"/>
    <w:rsid w:val="00FF376D"/>
    <w:rsid w:val="00FF3856"/>
    <w:rsid w:val="00FF3AB9"/>
    <w:rsid w:val="00FF3BD8"/>
    <w:rsid w:val="00FF3E0C"/>
    <w:rsid w:val="00FF4606"/>
    <w:rsid w:val="00FF4876"/>
    <w:rsid w:val="00FF48D8"/>
    <w:rsid w:val="00FF49BF"/>
    <w:rsid w:val="00FF4B1D"/>
    <w:rsid w:val="00FF4BBA"/>
    <w:rsid w:val="00FF4ED9"/>
    <w:rsid w:val="00FF4EEC"/>
    <w:rsid w:val="00FF50CB"/>
    <w:rsid w:val="00FF5275"/>
    <w:rsid w:val="00FF5457"/>
    <w:rsid w:val="00FF54BC"/>
    <w:rsid w:val="00FF565D"/>
    <w:rsid w:val="00FF5764"/>
    <w:rsid w:val="00FF584A"/>
    <w:rsid w:val="00FF5A1F"/>
    <w:rsid w:val="00FF5DFD"/>
    <w:rsid w:val="00FF6035"/>
    <w:rsid w:val="00FF667A"/>
    <w:rsid w:val="00FF6763"/>
    <w:rsid w:val="00FF691D"/>
    <w:rsid w:val="00FF6989"/>
    <w:rsid w:val="00FF6A0E"/>
    <w:rsid w:val="00FF6A92"/>
    <w:rsid w:val="00FF6B45"/>
    <w:rsid w:val="00FF6B76"/>
    <w:rsid w:val="00FF6EFA"/>
    <w:rsid w:val="00FF6FB0"/>
    <w:rsid w:val="00FF6FB6"/>
    <w:rsid w:val="00FF7174"/>
    <w:rsid w:val="00FF724F"/>
    <w:rsid w:val="00FF7339"/>
    <w:rsid w:val="00FF7653"/>
    <w:rsid w:val="00FF768C"/>
    <w:rsid w:val="00FF795D"/>
    <w:rsid w:val="00FF7AA4"/>
    <w:rsid w:val="00FF7BD7"/>
    <w:rsid w:val="00FF7BF9"/>
    <w:rsid w:val="00FF7C31"/>
    <w:rsid w:val="00FF7C3C"/>
    <w:rsid w:val="00FF7CB9"/>
    <w:rsid w:val="00FF7EC4"/>
    <w:rsid w:val="010A75A4"/>
    <w:rsid w:val="01163B59"/>
    <w:rsid w:val="0121866D"/>
    <w:rsid w:val="01524D3F"/>
    <w:rsid w:val="016F3572"/>
    <w:rsid w:val="0174A36F"/>
    <w:rsid w:val="0191F11F"/>
    <w:rsid w:val="01C62186"/>
    <w:rsid w:val="01DF1F93"/>
    <w:rsid w:val="01F24DA9"/>
    <w:rsid w:val="0208F32C"/>
    <w:rsid w:val="0210C42C"/>
    <w:rsid w:val="022781F5"/>
    <w:rsid w:val="0240128A"/>
    <w:rsid w:val="025B6465"/>
    <w:rsid w:val="027A30C7"/>
    <w:rsid w:val="0280DEE3"/>
    <w:rsid w:val="02905841"/>
    <w:rsid w:val="02E59528"/>
    <w:rsid w:val="02EDD77B"/>
    <w:rsid w:val="02F0BC6B"/>
    <w:rsid w:val="02F62816"/>
    <w:rsid w:val="030653F9"/>
    <w:rsid w:val="0309660B"/>
    <w:rsid w:val="0314F7A0"/>
    <w:rsid w:val="03411F8D"/>
    <w:rsid w:val="03480045"/>
    <w:rsid w:val="03708C86"/>
    <w:rsid w:val="0394374A"/>
    <w:rsid w:val="03CC9962"/>
    <w:rsid w:val="03CD2F4D"/>
    <w:rsid w:val="03D36980"/>
    <w:rsid w:val="03DCDC67"/>
    <w:rsid w:val="03FE9321"/>
    <w:rsid w:val="040A3052"/>
    <w:rsid w:val="040F74A0"/>
    <w:rsid w:val="0453BF1F"/>
    <w:rsid w:val="04608EAC"/>
    <w:rsid w:val="0463E3BF"/>
    <w:rsid w:val="0476D6C3"/>
    <w:rsid w:val="04869082"/>
    <w:rsid w:val="048E6274"/>
    <w:rsid w:val="04972E09"/>
    <w:rsid w:val="049D541D"/>
    <w:rsid w:val="04A44A12"/>
    <w:rsid w:val="04BE3D18"/>
    <w:rsid w:val="04C1EC66"/>
    <w:rsid w:val="04D9391A"/>
    <w:rsid w:val="04F971AE"/>
    <w:rsid w:val="0500D3E6"/>
    <w:rsid w:val="0500DDDC"/>
    <w:rsid w:val="05062432"/>
    <w:rsid w:val="0508D63A"/>
    <w:rsid w:val="050FE1BD"/>
    <w:rsid w:val="051957A6"/>
    <w:rsid w:val="051FD603"/>
    <w:rsid w:val="056AC53C"/>
    <w:rsid w:val="057090BF"/>
    <w:rsid w:val="0590DBA9"/>
    <w:rsid w:val="05B320DE"/>
    <w:rsid w:val="05B85B1E"/>
    <w:rsid w:val="05C408C1"/>
    <w:rsid w:val="05D2C9AA"/>
    <w:rsid w:val="05DDCCC9"/>
    <w:rsid w:val="05E0BE44"/>
    <w:rsid w:val="05E7887F"/>
    <w:rsid w:val="05EC7292"/>
    <w:rsid w:val="05F2EBE6"/>
    <w:rsid w:val="061F09E3"/>
    <w:rsid w:val="061F3D23"/>
    <w:rsid w:val="06394CB6"/>
    <w:rsid w:val="063A71A6"/>
    <w:rsid w:val="063C2228"/>
    <w:rsid w:val="063D241B"/>
    <w:rsid w:val="0647A73C"/>
    <w:rsid w:val="064EF4DE"/>
    <w:rsid w:val="065227DD"/>
    <w:rsid w:val="065F9A26"/>
    <w:rsid w:val="06743D21"/>
    <w:rsid w:val="0678C04F"/>
    <w:rsid w:val="069BEA13"/>
    <w:rsid w:val="06BD7125"/>
    <w:rsid w:val="06BDB53F"/>
    <w:rsid w:val="06DF2A28"/>
    <w:rsid w:val="06F9D4AD"/>
    <w:rsid w:val="0700397A"/>
    <w:rsid w:val="072CAC0A"/>
    <w:rsid w:val="073C92C6"/>
    <w:rsid w:val="074BE149"/>
    <w:rsid w:val="074F314D"/>
    <w:rsid w:val="07641E87"/>
    <w:rsid w:val="0770ECDB"/>
    <w:rsid w:val="0782EDE0"/>
    <w:rsid w:val="0796792B"/>
    <w:rsid w:val="07A87340"/>
    <w:rsid w:val="07E07C68"/>
    <w:rsid w:val="07E57903"/>
    <w:rsid w:val="07FF60E1"/>
    <w:rsid w:val="080D8016"/>
    <w:rsid w:val="08121364"/>
    <w:rsid w:val="081490B0"/>
    <w:rsid w:val="08313726"/>
    <w:rsid w:val="0847827F"/>
    <w:rsid w:val="08520A29"/>
    <w:rsid w:val="0872FED4"/>
    <w:rsid w:val="08788C88"/>
    <w:rsid w:val="0888F632"/>
    <w:rsid w:val="088BF261"/>
    <w:rsid w:val="08A4165D"/>
    <w:rsid w:val="08A6C8F4"/>
    <w:rsid w:val="08BA7543"/>
    <w:rsid w:val="08BC3E01"/>
    <w:rsid w:val="08C48BA4"/>
    <w:rsid w:val="08CA2DB4"/>
    <w:rsid w:val="08D89506"/>
    <w:rsid w:val="08DD2DCC"/>
    <w:rsid w:val="08DEF9B6"/>
    <w:rsid w:val="08F4EE71"/>
    <w:rsid w:val="090A42B4"/>
    <w:rsid w:val="090CD7AA"/>
    <w:rsid w:val="09174868"/>
    <w:rsid w:val="0917E2FB"/>
    <w:rsid w:val="091CCD78"/>
    <w:rsid w:val="0922C4F8"/>
    <w:rsid w:val="0928B67C"/>
    <w:rsid w:val="093243FE"/>
    <w:rsid w:val="09355383"/>
    <w:rsid w:val="095800CA"/>
    <w:rsid w:val="09707C5E"/>
    <w:rsid w:val="0970C540"/>
    <w:rsid w:val="097937EC"/>
    <w:rsid w:val="098C73A4"/>
    <w:rsid w:val="09949E96"/>
    <w:rsid w:val="09BC9D15"/>
    <w:rsid w:val="09C45DD3"/>
    <w:rsid w:val="09CC8165"/>
    <w:rsid w:val="09CDEE69"/>
    <w:rsid w:val="09D16DD1"/>
    <w:rsid w:val="09D2F758"/>
    <w:rsid w:val="09D99555"/>
    <w:rsid w:val="09DC6D9D"/>
    <w:rsid w:val="09F3DB40"/>
    <w:rsid w:val="0A01EC0F"/>
    <w:rsid w:val="0A0AF5C1"/>
    <w:rsid w:val="0A120E44"/>
    <w:rsid w:val="0A1DDFD7"/>
    <w:rsid w:val="0A35264E"/>
    <w:rsid w:val="0A3E5505"/>
    <w:rsid w:val="0A51EB69"/>
    <w:rsid w:val="0A5383D8"/>
    <w:rsid w:val="0A5E994B"/>
    <w:rsid w:val="0A637DEA"/>
    <w:rsid w:val="0A649351"/>
    <w:rsid w:val="0A6A4A23"/>
    <w:rsid w:val="0A6A6764"/>
    <w:rsid w:val="0A6B8CC0"/>
    <w:rsid w:val="0A71B3DE"/>
    <w:rsid w:val="0A7F590F"/>
    <w:rsid w:val="0A92B43D"/>
    <w:rsid w:val="0A9A0F7B"/>
    <w:rsid w:val="0AA08406"/>
    <w:rsid w:val="0AA7FFAC"/>
    <w:rsid w:val="0AAC8152"/>
    <w:rsid w:val="0AB514AA"/>
    <w:rsid w:val="0AC2AEC9"/>
    <w:rsid w:val="0AC961EC"/>
    <w:rsid w:val="0ACF03EA"/>
    <w:rsid w:val="0AD878F7"/>
    <w:rsid w:val="0ADC8DC9"/>
    <w:rsid w:val="0AE5176F"/>
    <w:rsid w:val="0AFAE415"/>
    <w:rsid w:val="0B047A5F"/>
    <w:rsid w:val="0B07FD05"/>
    <w:rsid w:val="0B1B85B5"/>
    <w:rsid w:val="0B33964D"/>
    <w:rsid w:val="0B3DCC53"/>
    <w:rsid w:val="0B4AF0A4"/>
    <w:rsid w:val="0B4E1AB7"/>
    <w:rsid w:val="0B63EC0A"/>
    <w:rsid w:val="0B656186"/>
    <w:rsid w:val="0B78A398"/>
    <w:rsid w:val="0B819452"/>
    <w:rsid w:val="0B8812E7"/>
    <w:rsid w:val="0B8AE6FC"/>
    <w:rsid w:val="0B8C4D35"/>
    <w:rsid w:val="0BA73957"/>
    <w:rsid w:val="0BB2584C"/>
    <w:rsid w:val="0BC1B790"/>
    <w:rsid w:val="0BC2AC34"/>
    <w:rsid w:val="0BC9B327"/>
    <w:rsid w:val="0BCF2185"/>
    <w:rsid w:val="0BDDE60F"/>
    <w:rsid w:val="0C12C2C1"/>
    <w:rsid w:val="0C139BC2"/>
    <w:rsid w:val="0C18B660"/>
    <w:rsid w:val="0C204ECE"/>
    <w:rsid w:val="0C2EC058"/>
    <w:rsid w:val="0C40DC6E"/>
    <w:rsid w:val="0C45176B"/>
    <w:rsid w:val="0C4AAE5A"/>
    <w:rsid w:val="0C6DC3CE"/>
    <w:rsid w:val="0C7C8F7A"/>
    <w:rsid w:val="0C8BCF85"/>
    <w:rsid w:val="0C99D7F8"/>
    <w:rsid w:val="0CB0BA31"/>
    <w:rsid w:val="0CD06B87"/>
    <w:rsid w:val="0CD3CAA6"/>
    <w:rsid w:val="0CD9CAD6"/>
    <w:rsid w:val="0CDFC3EE"/>
    <w:rsid w:val="0CE87062"/>
    <w:rsid w:val="0CF2B531"/>
    <w:rsid w:val="0CF2DCEA"/>
    <w:rsid w:val="0CF48446"/>
    <w:rsid w:val="0D0E4418"/>
    <w:rsid w:val="0D1E7FC2"/>
    <w:rsid w:val="0D1ED33B"/>
    <w:rsid w:val="0D2F368F"/>
    <w:rsid w:val="0D3494A0"/>
    <w:rsid w:val="0D40D140"/>
    <w:rsid w:val="0D42C971"/>
    <w:rsid w:val="0D463B27"/>
    <w:rsid w:val="0D4BF8B0"/>
    <w:rsid w:val="0D523491"/>
    <w:rsid w:val="0D5D4F2F"/>
    <w:rsid w:val="0D5F8338"/>
    <w:rsid w:val="0D615773"/>
    <w:rsid w:val="0D86D925"/>
    <w:rsid w:val="0D875688"/>
    <w:rsid w:val="0D8B0EBA"/>
    <w:rsid w:val="0DA057FB"/>
    <w:rsid w:val="0DACDB33"/>
    <w:rsid w:val="0DC8BD9C"/>
    <w:rsid w:val="0DD52D2E"/>
    <w:rsid w:val="0DD9A250"/>
    <w:rsid w:val="0DE48052"/>
    <w:rsid w:val="0DE4F372"/>
    <w:rsid w:val="0DE81AA0"/>
    <w:rsid w:val="0DEF3CB8"/>
    <w:rsid w:val="0DF5FC73"/>
    <w:rsid w:val="0E0F9AE6"/>
    <w:rsid w:val="0E137E50"/>
    <w:rsid w:val="0E1E4C02"/>
    <w:rsid w:val="0E32C025"/>
    <w:rsid w:val="0E34F382"/>
    <w:rsid w:val="0E37074F"/>
    <w:rsid w:val="0E51B5EC"/>
    <w:rsid w:val="0E852F8B"/>
    <w:rsid w:val="0E9C7DFC"/>
    <w:rsid w:val="0EA41799"/>
    <w:rsid w:val="0EA47A3E"/>
    <w:rsid w:val="0EBB4F50"/>
    <w:rsid w:val="0EDEDA19"/>
    <w:rsid w:val="0EE388B1"/>
    <w:rsid w:val="0EE8CC11"/>
    <w:rsid w:val="0EF8A063"/>
    <w:rsid w:val="0EFA4CF6"/>
    <w:rsid w:val="0F0253B4"/>
    <w:rsid w:val="0F084E4E"/>
    <w:rsid w:val="0F1405DC"/>
    <w:rsid w:val="0F3D017E"/>
    <w:rsid w:val="0F46EADE"/>
    <w:rsid w:val="0F4F58DF"/>
    <w:rsid w:val="0F904808"/>
    <w:rsid w:val="0F969231"/>
    <w:rsid w:val="0FBC69B0"/>
    <w:rsid w:val="0FC0421C"/>
    <w:rsid w:val="0FCFFE85"/>
    <w:rsid w:val="0FD4AB1E"/>
    <w:rsid w:val="0FE22468"/>
    <w:rsid w:val="0FECFD8D"/>
    <w:rsid w:val="1007F6B6"/>
    <w:rsid w:val="101AA67A"/>
    <w:rsid w:val="102A1129"/>
    <w:rsid w:val="102F1A03"/>
    <w:rsid w:val="10397F6C"/>
    <w:rsid w:val="104248E8"/>
    <w:rsid w:val="106F412B"/>
    <w:rsid w:val="10B73D5F"/>
    <w:rsid w:val="10D5FEE6"/>
    <w:rsid w:val="10D9A8E8"/>
    <w:rsid w:val="10DFE369"/>
    <w:rsid w:val="10F093AD"/>
    <w:rsid w:val="10F74F1A"/>
    <w:rsid w:val="10F822E1"/>
    <w:rsid w:val="10FEDF0E"/>
    <w:rsid w:val="110BACC4"/>
    <w:rsid w:val="111D6161"/>
    <w:rsid w:val="1140087D"/>
    <w:rsid w:val="1146CD76"/>
    <w:rsid w:val="11729A36"/>
    <w:rsid w:val="11A1505E"/>
    <w:rsid w:val="11A52EB3"/>
    <w:rsid w:val="11B0BCE6"/>
    <w:rsid w:val="11B7A9E8"/>
    <w:rsid w:val="11BE4573"/>
    <w:rsid w:val="11D6DC1B"/>
    <w:rsid w:val="11E09405"/>
    <w:rsid w:val="11EBE90C"/>
    <w:rsid w:val="11F2F012"/>
    <w:rsid w:val="11FABB9A"/>
    <w:rsid w:val="1201DCE2"/>
    <w:rsid w:val="120CE13E"/>
    <w:rsid w:val="12174AD0"/>
    <w:rsid w:val="1217A525"/>
    <w:rsid w:val="121F19EF"/>
    <w:rsid w:val="1235EB6A"/>
    <w:rsid w:val="12383BEB"/>
    <w:rsid w:val="124F8B9F"/>
    <w:rsid w:val="1257D95C"/>
    <w:rsid w:val="12815CB6"/>
    <w:rsid w:val="1287DA77"/>
    <w:rsid w:val="12928A50"/>
    <w:rsid w:val="12A9A8A1"/>
    <w:rsid w:val="12B931C2"/>
    <w:rsid w:val="12BDD5D6"/>
    <w:rsid w:val="12D1291A"/>
    <w:rsid w:val="12EAF98F"/>
    <w:rsid w:val="12EC423E"/>
    <w:rsid w:val="12EF0573"/>
    <w:rsid w:val="130CAFF9"/>
    <w:rsid w:val="130D6F3D"/>
    <w:rsid w:val="131999D2"/>
    <w:rsid w:val="133C5BC2"/>
    <w:rsid w:val="133CE607"/>
    <w:rsid w:val="135F440E"/>
    <w:rsid w:val="1382419D"/>
    <w:rsid w:val="139A347B"/>
    <w:rsid w:val="13CFB508"/>
    <w:rsid w:val="13D6B1F2"/>
    <w:rsid w:val="13DBE209"/>
    <w:rsid w:val="13DDADF9"/>
    <w:rsid w:val="13DFDFDF"/>
    <w:rsid w:val="13F86547"/>
    <w:rsid w:val="13FD9433"/>
    <w:rsid w:val="1425FDEC"/>
    <w:rsid w:val="14264F62"/>
    <w:rsid w:val="142E0B82"/>
    <w:rsid w:val="148FDAD3"/>
    <w:rsid w:val="14945F28"/>
    <w:rsid w:val="1496581E"/>
    <w:rsid w:val="149B9396"/>
    <w:rsid w:val="14A81C41"/>
    <w:rsid w:val="14B33C80"/>
    <w:rsid w:val="14B6DB59"/>
    <w:rsid w:val="14BDD603"/>
    <w:rsid w:val="14C160C8"/>
    <w:rsid w:val="14C267FB"/>
    <w:rsid w:val="15177DD7"/>
    <w:rsid w:val="1525B44E"/>
    <w:rsid w:val="1534F340"/>
    <w:rsid w:val="1534FC75"/>
    <w:rsid w:val="1538435E"/>
    <w:rsid w:val="1551F556"/>
    <w:rsid w:val="156E1AB9"/>
    <w:rsid w:val="15791DB8"/>
    <w:rsid w:val="1582B6D7"/>
    <w:rsid w:val="158A3B4D"/>
    <w:rsid w:val="1599D391"/>
    <w:rsid w:val="15A836B1"/>
    <w:rsid w:val="15ABD519"/>
    <w:rsid w:val="15C82106"/>
    <w:rsid w:val="15E5D6A0"/>
    <w:rsid w:val="15EB21E3"/>
    <w:rsid w:val="15EC6EEA"/>
    <w:rsid w:val="16016AB7"/>
    <w:rsid w:val="160B6B8E"/>
    <w:rsid w:val="16358F3A"/>
    <w:rsid w:val="163DD20A"/>
    <w:rsid w:val="1643ECA2"/>
    <w:rsid w:val="16485794"/>
    <w:rsid w:val="1655813A"/>
    <w:rsid w:val="167B7B64"/>
    <w:rsid w:val="167BBF25"/>
    <w:rsid w:val="167FC71B"/>
    <w:rsid w:val="16806F18"/>
    <w:rsid w:val="16984F67"/>
    <w:rsid w:val="169B6585"/>
    <w:rsid w:val="169D533C"/>
    <w:rsid w:val="16A42A8C"/>
    <w:rsid w:val="16A6F183"/>
    <w:rsid w:val="16A9645B"/>
    <w:rsid w:val="16B82862"/>
    <w:rsid w:val="16C019F4"/>
    <w:rsid w:val="16F19F84"/>
    <w:rsid w:val="17047911"/>
    <w:rsid w:val="17191B8D"/>
    <w:rsid w:val="1720978F"/>
    <w:rsid w:val="17216CAB"/>
    <w:rsid w:val="1729E2DE"/>
    <w:rsid w:val="1732A7F6"/>
    <w:rsid w:val="17378271"/>
    <w:rsid w:val="1757A426"/>
    <w:rsid w:val="17709AEE"/>
    <w:rsid w:val="177B1F66"/>
    <w:rsid w:val="1780BE95"/>
    <w:rsid w:val="17924689"/>
    <w:rsid w:val="17A25C15"/>
    <w:rsid w:val="17DFBBB7"/>
    <w:rsid w:val="17E10014"/>
    <w:rsid w:val="17E91F8D"/>
    <w:rsid w:val="17FDC053"/>
    <w:rsid w:val="17FE5096"/>
    <w:rsid w:val="18136D88"/>
    <w:rsid w:val="182E7682"/>
    <w:rsid w:val="185A2CDE"/>
    <w:rsid w:val="18738711"/>
    <w:rsid w:val="18755CE3"/>
    <w:rsid w:val="1877E7C7"/>
    <w:rsid w:val="187E4EF3"/>
    <w:rsid w:val="1887F4A9"/>
    <w:rsid w:val="18927C91"/>
    <w:rsid w:val="1894386F"/>
    <w:rsid w:val="189D05E9"/>
    <w:rsid w:val="18CA45B7"/>
    <w:rsid w:val="18CE64CC"/>
    <w:rsid w:val="18E4105A"/>
    <w:rsid w:val="18EABB55"/>
    <w:rsid w:val="18ED3D5E"/>
    <w:rsid w:val="19139518"/>
    <w:rsid w:val="191961EE"/>
    <w:rsid w:val="1923A3CF"/>
    <w:rsid w:val="19393F32"/>
    <w:rsid w:val="1944B5A6"/>
    <w:rsid w:val="195FB84F"/>
    <w:rsid w:val="196A79C3"/>
    <w:rsid w:val="197B8D64"/>
    <w:rsid w:val="198FC0A1"/>
    <w:rsid w:val="19A22380"/>
    <w:rsid w:val="19BF55B8"/>
    <w:rsid w:val="19E790C4"/>
    <w:rsid w:val="19E8DC9C"/>
    <w:rsid w:val="1A2CB6FB"/>
    <w:rsid w:val="1A33EC17"/>
    <w:rsid w:val="1A43D307"/>
    <w:rsid w:val="1A50BC4F"/>
    <w:rsid w:val="1A538A1F"/>
    <w:rsid w:val="1A56E19C"/>
    <w:rsid w:val="1A6012FB"/>
    <w:rsid w:val="1A64CC7C"/>
    <w:rsid w:val="1A655019"/>
    <w:rsid w:val="1A6935BF"/>
    <w:rsid w:val="1A7235DE"/>
    <w:rsid w:val="1A8C07E7"/>
    <w:rsid w:val="1A8CABD6"/>
    <w:rsid w:val="1A987DF1"/>
    <w:rsid w:val="1AB754AA"/>
    <w:rsid w:val="1AC40D9E"/>
    <w:rsid w:val="1AC7AE96"/>
    <w:rsid w:val="1AD7541F"/>
    <w:rsid w:val="1AE7D572"/>
    <w:rsid w:val="1AE93E5E"/>
    <w:rsid w:val="1B0A88E1"/>
    <w:rsid w:val="1B1849B5"/>
    <w:rsid w:val="1B28989C"/>
    <w:rsid w:val="1B2CF34A"/>
    <w:rsid w:val="1B44F5CD"/>
    <w:rsid w:val="1B4CC7B6"/>
    <w:rsid w:val="1B65C26C"/>
    <w:rsid w:val="1B6E32F8"/>
    <w:rsid w:val="1B7C1817"/>
    <w:rsid w:val="1B841593"/>
    <w:rsid w:val="1B9B596C"/>
    <w:rsid w:val="1BA0CDA3"/>
    <w:rsid w:val="1BC134C4"/>
    <w:rsid w:val="1BC62CD7"/>
    <w:rsid w:val="1BD9AF1B"/>
    <w:rsid w:val="1BE10FD7"/>
    <w:rsid w:val="1BF58816"/>
    <w:rsid w:val="1C0C984B"/>
    <w:rsid w:val="1C262789"/>
    <w:rsid w:val="1C38EA82"/>
    <w:rsid w:val="1C570B21"/>
    <w:rsid w:val="1C596E41"/>
    <w:rsid w:val="1C5D4CCA"/>
    <w:rsid w:val="1C61BD06"/>
    <w:rsid w:val="1C6289BC"/>
    <w:rsid w:val="1C73D576"/>
    <w:rsid w:val="1C90F784"/>
    <w:rsid w:val="1C942698"/>
    <w:rsid w:val="1C9A05C9"/>
    <w:rsid w:val="1C9E861F"/>
    <w:rsid w:val="1CAF6E2E"/>
    <w:rsid w:val="1CBC0D92"/>
    <w:rsid w:val="1CBE4E65"/>
    <w:rsid w:val="1CD71CFF"/>
    <w:rsid w:val="1CD82C70"/>
    <w:rsid w:val="1CEF8772"/>
    <w:rsid w:val="1CF7DFDA"/>
    <w:rsid w:val="1CFE2B88"/>
    <w:rsid w:val="1D1FB877"/>
    <w:rsid w:val="1D325C4D"/>
    <w:rsid w:val="1D379C33"/>
    <w:rsid w:val="1D41C3E2"/>
    <w:rsid w:val="1D4F8D10"/>
    <w:rsid w:val="1D51E87D"/>
    <w:rsid w:val="1D63C951"/>
    <w:rsid w:val="1D69F675"/>
    <w:rsid w:val="1D70A74A"/>
    <w:rsid w:val="1D7DB9F8"/>
    <w:rsid w:val="1D81F1A5"/>
    <w:rsid w:val="1D8DC8BC"/>
    <w:rsid w:val="1DBD6BFB"/>
    <w:rsid w:val="1DBF2CFE"/>
    <w:rsid w:val="1DC911F5"/>
    <w:rsid w:val="1DD04F77"/>
    <w:rsid w:val="1DDC8421"/>
    <w:rsid w:val="1DDEAB84"/>
    <w:rsid w:val="1DE5FC90"/>
    <w:rsid w:val="1DEC802C"/>
    <w:rsid w:val="1E2C5185"/>
    <w:rsid w:val="1E2EEAFB"/>
    <w:rsid w:val="1E2F324C"/>
    <w:rsid w:val="1E68BC12"/>
    <w:rsid w:val="1E7B14BE"/>
    <w:rsid w:val="1E8BFF57"/>
    <w:rsid w:val="1E8F15AE"/>
    <w:rsid w:val="1EA6ADB2"/>
    <w:rsid w:val="1EA972A0"/>
    <w:rsid w:val="1EAE58F3"/>
    <w:rsid w:val="1EB8AE10"/>
    <w:rsid w:val="1EBA7D89"/>
    <w:rsid w:val="1ECEE364"/>
    <w:rsid w:val="1ED5B520"/>
    <w:rsid w:val="1ED8666F"/>
    <w:rsid w:val="1EE7F471"/>
    <w:rsid w:val="1F001CD8"/>
    <w:rsid w:val="1F2ABC7A"/>
    <w:rsid w:val="1F3AD3F4"/>
    <w:rsid w:val="1F4BCA8B"/>
    <w:rsid w:val="1F4CC6AA"/>
    <w:rsid w:val="1F554448"/>
    <w:rsid w:val="1F5CAB26"/>
    <w:rsid w:val="1F654149"/>
    <w:rsid w:val="1F70EC39"/>
    <w:rsid w:val="1F764C94"/>
    <w:rsid w:val="1F7A6575"/>
    <w:rsid w:val="1F8048E4"/>
    <w:rsid w:val="1F89BC32"/>
    <w:rsid w:val="1FB0F382"/>
    <w:rsid w:val="1FBC8A55"/>
    <w:rsid w:val="1FC18F11"/>
    <w:rsid w:val="1FC3D736"/>
    <w:rsid w:val="1FC9024E"/>
    <w:rsid w:val="1FDC5F88"/>
    <w:rsid w:val="1FDF5ACA"/>
    <w:rsid w:val="1FE4D873"/>
    <w:rsid w:val="20051558"/>
    <w:rsid w:val="2008A4F2"/>
    <w:rsid w:val="205577BB"/>
    <w:rsid w:val="205D4D37"/>
    <w:rsid w:val="206BC23A"/>
    <w:rsid w:val="20B55204"/>
    <w:rsid w:val="20BF4EE6"/>
    <w:rsid w:val="20E58784"/>
    <w:rsid w:val="2134E7EB"/>
    <w:rsid w:val="21487EE5"/>
    <w:rsid w:val="214F8DC4"/>
    <w:rsid w:val="21660F6F"/>
    <w:rsid w:val="21714A66"/>
    <w:rsid w:val="21A3E629"/>
    <w:rsid w:val="21A447C8"/>
    <w:rsid w:val="21AE128F"/>
    <w:rsid w:val="21B61485"/>
    <w:rsid w:val="21D27CE8"/>
    <w:rsid w:val="21EFA968"/>
    <w:rsid w:val="21FCC3A1"/>
    <w:rsid w:val="220F1AE3"/>
    <w:rsid w:val="22473A0E"/>
    <w:rsid w:val="227275A0"/>
    <w:rsid w:val="227952B8"/>
    <w:rsid w:val="228B91EE"/>
    <w:rsid w:val="229A53DD"/>
    <w:rsid w:val="22BFDDB8"/>
    <w:rsid w:val="22C5FB0C"/>
    <w:rsid w:val="22D5B56D"/>
    <w:rsid w:val="22F105DF"/>
    <w:rsid w:val="22F92FD3"/>
    <w:rsid w:val="23009DAF"/>
    <w:rsid w:val="230A5E24"/>
    <w:rsid w:val="231A4276"/>
    <w:rsid w:val="233215A9"/>
    <w:rsid w:val="2338B2FC"/>
    <w:rsid w:val="233C5C41"/>
    <w:rsid w:val="234F9127"/>
    <w:rsid w:val="235CDB5D"/>
    <w:rsid w:val="23650DF6"/>
    <w:rsid w:val="239D055A"/>
    <w:rsid w:val="23BEE056"/>
    <w:rsid w:val="23D5E9A4"/>
    <w:rsid w:val="23E392C8"/>
    <w:rsid w:val="2411967D"/>
    <w:rsid w:val="24139A0B"/>
    <w:rsid w:val="242BC0A5"/>
    <w:rsid w:val="24330E46"/>
    <w:rsid w:val="243CF59A"/>
    <w:rsid w:val="244801B7"/>
    <w:rsid w:val="244B2FA2"/>
    <w:rsid w:val="24813241"/>
    <w:rsid w:val="24962CCD"/>
    <w:rsid w:val="24A21EE6"/>
    <w:rsid w:val="24B00826"/>
    <w:rsid w:val="24D2F8C2"/>
    <w:rsid w:val="24DE023C"/>
    <w:rsid w:val="24DF900B"/>
    <w:rsid w:val="24E8C480"/>
    <w:rsid w:val="24F4F5B4"/>
    <w:rsid w:val="250BBDE6"/>
    <w:rsid w:val="252531EB"/>
    <w:rsid w:val="252953E5"/>
    <w:rsid w:val="25669FA3"/>
    <w:rsid w:val="2569EF1D"/>
    <w:rsid w:val="256F5E5C"/>
    <w:rsid w:val="257446B0"/>
    <w:rsid w:val="2574DD5D"/>
    <w:rsid w:val="25A43647"/>
    <w:rsid w:val="25AA944B"/>
    <w:rsid w:val="25AF6C9D"/>
    <w:rsid w:val="25C299AD"/>
    <w:rsid w:val="25DCC896"/>
    <w:rsid w:val="25F319F9"/>
    <w:rsid w:val="26261C48"/>
    <w:rsid w:val="26634103"/>
    <w:rsid w:val="2663DC90"/>
    <w:rsid w:val="266607A7"/>
    <w:rsid w:val="266ACCD2"/>
    <w:rsid w:val="2696605C"/>
    <w:rsid w:val="269C9711"/>
    <w:rsid w:val="26CF19A1"/>
    <w:rsid w:val="26E702D5"/>
    <w:rsid w:val="26FDD750"/>
    <w:rsid w:val="27249388"/>
    <w:rsid w:val="2731246A"/>
    <w:rsid w:val="27362F13"/>
    <w:rsid w:val="2755830C"/>
    <w:rsid w:val="27564EC9"/>
    <w:rsid w:val="2758A66C"/>
    <w:rsid w:val="2759290E"/>
    <w:rsid w:val="276D7708"/>
    <w:rsid w:val="2770F1D2"/>
    <w:rsid w:val="2779965E"/>
    <w:rsid w:val="2779A92B"/>
    <w:rsid w:val="277C9AE0"/>
    <w:rsid w:val="2789ADD8"/>
    <w:rsid w:val="278CBC61"/>
    <w:rsid w:val="2792C05C"/>
    <w:rsid w:val="27976936"/>
    <w:rsid w:val="279CF237"/>
    <w:rsid w:val="27A248CC"/>
    <w:rsid w:val="27B7512C"/>
    <w:rsid w:val="27B9033D"/>
    <w:rsid w:val="27BAE5E6"/>
    <w:rsid w:val="27C1D2A1"/>
    <w:rsid w:val="27D0D1FE"/>
    <w:rsid w:val="27D1D748"/>
    <w:rsid w:val="27DDA58E"/>
    <w:rsid w:val="27E19D11"/>
    <w:rsid w:val="280A5917"/>
    <w:rsid w:val="284A2E7C"/>
    <w:rsid w:val="28772D3F"/>
    <w:rsid w:val="287CF137"/>
    <w:rsid w:val="288081A4"/>
    <w:rsid w:val="288226A7"/>
    <w:rsid w:val="288AA552"/>
    <w:rsid w:val="2896431A"/>
    <w:rsid w:val="289A45B6"/>
    <w:rsid w:val="28A71ED2"/>
    <w:rsid w:val="28AA9BD1"/>
    <w:rsid w:val="28B6EFE5"/>
    <w:rsid w:val="28C13C38"/>
    <w:rsid w:val="28C160AD"/>
    <w:rsid w:val="28D98C46"/>
    <w:rsid w:val="28F6EC56"/>
    <w:rsid w:val="28FEDF41"/>
    <w:rsid w:val="290BF76D"/>
    <w:rsid w:val="290C7BAE"/>
    <w:rsid w:val="2910324B"/>
    <w:rsid w:val="29307A48"/>
    <w:rsid w:val="294D35A6"/>
    <w:rsid w:val="29765DE9"/>
    <w:rsid w:val="297C5847"/>
    <w:rsid w:val="2982AC37"/>
    <w:rsid w:val="298573C2"/>
    <w:rsid w:val="298677A4"/>
    <w:rsid w:val="29873961"/>
    <w:rsid w:val="298FC3B5"/>
    <w:rsid w:val="2992F43F"/>
    <w:rsid w:val="299F494D"/>
    <w:rsid w:val="29A1A25D"/>
    <w:rsid w:val="29A9CA07"/>
    <w:rsid w:val="29CD91DF"/>
    <w:rsid w:val="29F4E61E"/>
    <w:rsid w:val="2A011B26"/>
    <w:rsid w:val="2A045D3B"/>
    <w:rsid w:val="2A0C4A09"/>
    <w:rsid w:val="2A13C8A4"/>
    <w:rsid w:val="2A1AB7CB"/>
    <w:rsid w:val="2A3A3D6F"/>
    <w:rsid w:val="2A631185"/>
    <w:rsid w:val="2A696CF3"/>
    <w:rsid w:val="2A7AE47B"/>
    <w:rsid w:val="2A888FC4"/>
    <w:rsid w:val="2A90472E"/>
    <w:rsid w:val="2A98AD5E"/>
    <w:rsid w:val="2AA49D06"/>
    <w:rsid w:val="2AEB14B8"/>
    <w:rsid w:val="2AF0C5C0"/>
    <w:rsid w:val="2AF0F358"/>
    <w:rsid w:val="2B093248"/>
    <w:rsid w:val="2B1A1480"/>
    <w:rsid w:val="2B3098BC"/>
    <w:rsid w:val="2B405FF4"/>
    <w:rsid w:val="2B55BFEB"/>
    <w:rsid w:val="2B5964F5"/>
    <w:rsid w:val="2B7744EC"/>
    <w:rsid w:val="2B856018"/>
    <w:rsid w:val="2B9B55E1"/>
    <w:rsid w:val="2B9ED5A5"/>
    <w:rsid w:val="2B9F77A3"/>
    <w:rsid w:val="2BA02D9C"/>
    <w:rsid w:val="2BA583AF"/>
    <w:rsid w:val="2BBA73F8"/>
    <w:rsid w:val="2BBE69A0"/>
    <w:rsid w:val="2BC1D2DF"/>
    <w:rsid w:val="2BC92BB2"/>
    <w:rsid w:val="2BCC93E9"/>
    <w:rsid w:val="2BE3C30D"/>
    <w:rsid w:val="2BE7185C"/>
    <w:rsid w:val="2BE77F7F"/>
    <w:rsid w:val="2BE96FF3"/>
    <w:rsid w:val="2C2DA614"/>
    <w:rsid w:val="2C2E417B"/>
    <w:rsid w:val="2C37D9A6"/>
    <w:rsid w:val="2C3F2F3A"/>
    <w:rsid w:val="2C422C2F"/>
    <w:rsid w:val="2C4A91CD"/>
    <w:rsid w:val="2C52DAC8"/>
    <w:rsid w:val="2C58A994"/>
    <w:rsid w:val="2C801D01"/>
    <w:rsid w:val="2C944A7A"/>
    <w:rsid w:val="2C955D85"/>
    <w:rsid w:val="2CB4E855"/>
    <w:rsid w:val="2CB6BC89"/>
    <w:rsid w:val="2CD554C2"/>
    <w:rsid w:val="2CDD4B10"/>
    <w:rsid w:val="2CFBFCC1"/>
    <w:rsid w:val="2D01692B"/>
    <w:rsid w:val="2D06B862"/>
    <w:rsid w:val="2D0D98C2"/>
    <w:rsid w:val="2D0DDAA4"/>
    <w:rsid w:val="2D19F7E7"/>
    <w:rsid w:val="2D275052"/>
    <w:rsid w:val="2D2F51BB"/>
    <w:rsid w:val="2D38860C"/>
    <w:rsid w:val="2D3DCDB5"/>
    <w:rsid w:val="2D50D268"/>
    <w:rsid w:val="2D515467"/>
    <w:rsid w:val="2D5789C0"/>
    <w:rsid w:val="2D5AA715"/>
    <w:rsid w:val="2D5E1675"/>
    <w:rsid w:val="2D6AD82B"/>
    <w:rsid w:val="2D6B44C6"/>
    <w:rsid w:val="2D6BF2A7"/>
    <w:rsid w:val="2D86035E"/>
    <w:rsid w:val="2D934D01"/>
    <w:rsid w:val="2D93D893"/>
    <w:rsid w:val="2DA295FC"/>
    <w:rsid w:val="2DEF9DBB"/>
    <w:rsid w:val="2E046EAC"/>
    <w:rsid w:val="2E138467"/>
    <w:rsid w:val="2E2FB0A1"/>
    <w:rsid w:val="2E321E18"/>
    <w:rsid w:val="2E350C3A"/>
    <w:rsid w:val="2E35B1D1"/>
    <w:rsid w:val="2E36F49E"/>
    <w:rsid w:val="2E4486C9"/>
    <w:rsid w:val="2E635952"/>
    <w:rsid w:val="2E64E870"/>
    <w:rsid w:val="2E700B8B"/>
    <w:rsid w:val="2E736E3A"/>
    <w:rsid w:val="2E7491BE"/>
    <w:rsid w:val="2EB45141"/>
    <w:rsid w:val="2ECF3593"/>
    <w:rsid w:val="2ED8D2F7"/>
    <w:rsid w:val="2EE86A17"/>
    <w:rsid w:val="2EECA2C9"/>
    <w:rsid w:val="2EECD39A"/>
    <w:rsid w:val="2EEE888C"/>
    <w:rsid w:val="2F0AFCB8"/>
    <w:rsid w:val="2F1D8FE4"/>
    <w:rsid w:val="2F2C4563"/>
    <w:rsid w:val="2F378602"/>
    <w:rsid w:val="2F38A1BD"/>
    <w:rsid w:val="2F577AEA"/>
    <w:rsid w:val="2F6518D4"/>
    <w:rsid w:val="2F78C000"/>
    <w:rsid w:val="2F7CE651"/>
    <w:rsid w:val="2F7ED008"/>
    <w:rsid w:val="2F9F287E"/>
    <w:rsid w:val="2FB2480A"/>
    <w:rsid w:val="2FB9CFEE"/>
    <w:rsid w:val="2FBDC6BD"/>
    <w:rsid w:val="2FC53045"/>
    <w:rsid w:val="2FC54945"/>
    <w:rsid w:val="2FC89048"/>
    <w:rsid w:val="2FC9A4B1"/>
    <w:rsid w:val="2FFAE49B"/>
    <w:rsid w:val="301936FC"/>
    <w:rsid w:val="301C2A6B"/>
    <w:rsid w:val="304C5274"/>
    <w:rsid w:val="3059C069"/>
    <w:rsid w:val="306E0D41"/>
    <w:rsid w:val="30766DCF"/>
    <w:rsid w:val="3077BBA7"/>
    <w:rsid w:val="3090D96F"/>
    <w:rsid w:val="30979A3E"/>
    <w:rsid w:val="30B1C9F2"/>
    <w:rsid w:val="30CE4052"/>
    <w:rsid w:val="30CE46AE"/>
    <w:rsid w:val="30E0738D"/>
    <w:rsid w:val="30F6BD66"/>
    <w:rsid w:val="30F8F813"/>
    <w:rsid w:val="30FC6AA8"/>
    <w:rsid w:val="310F5A9E"/>
    <w:rsid w:val="3110E0D9"/>
    <w:rsid w:val="31197E32"/>
    <w:rsid w:val="31272671"/>
    <w:rsid w:val="31393E59"/>
    <w:rsid w:val="313A7C1E"/>
    <w:rsid w:val="314109B2"/>
    <w:rsid w:val="31428BFF"/>
    <w:rsid w:val="315E4020"/>
    <w:rsid w:val="31B95603"/>
    <w:rsid w:val="31BC1468"/>
    <w:rsid w:val="31C6EC70"/>
    <w:rsid w:val="31C78179"/>
    <w:rsid w:val="31C935A3"/>
    <w:rsid w:val="31DAABE1"/>
    <w:rsid w:val="31F91683"/>
    <w:rsid w:val="31FB7233"/>
    <w:rsid w:val="3203A934"/>
    <w:rsid w:val="32097817"/>
    <w:rsid w:val="320FC03D"/>
    <w:rsid w:val="321E20ED"/>
    <w:rsid w:val="321E63C3"/>
    <w:rsid w:val="324DD286"/>
    <w:rsid w:val="325B77C1"/>
    <w:rsid w:val="326EB40B"/>
    <w:rsid w:val="328B3503"/>
    <w:rsid w:val="32C2EC98"/>
    <w:rsid w:val="32C5E543"/>
    <w:rsid w:val="32E2B0E3"/>
    <w:rsid w:val="32E67291"/>
    <w:rsid w:val="32E7483E"/>
    <w:rsid w:val="32FFE26A"/>
    <w:rsid w:val="330DA6D2"/>
    <w:rsid w:val="33328CBD"/>
    <w:rsid w:val="3333E05F"/>
    <w:rsid w:val="33402733"/>
    <w:rsid w:val="335C1B8A"/>
    <w:rsid w:val="3361E34B"/>
    <w:rsid w:val="3362F594"/>
    <w:rsid w:val="336A3F19"/>
    <w:rsid w:val="3376F280"/>
    <w:rsid w:val="3392327D"/>
    <w:rsid w:val="33AA2EDD"/>
    <w:rsid w:val="33D3B137"/>
    <w:rsid w:val="33D43725"/>
    <w:rsid w:val="33DD60A4"/>
    <w:rsid w:val="33E09D73"/>
    <w:rsid w:val="33E7FB82"/>
    <w:rsid w:val="33F74822"/>
    <w:rsid w:val="3400C3F6"/>
    <w:rsid w:val="340978B2"/>
    <w:rsid w:val="340D1372"/>
    <w:rsid w:val="340DB582"/>
    <w:rsid w:val="3411695F"/>
    <w:rsid w:val="34198C9C"/>
    <w:rsid w:val="3424E7B4"/>
    <w:rsid w:val="342BB878"/>
    <w:rsid w:val="34372974"/>
    <w:rsid w:val="3440F249"/>
    <w:rsid w:val="344992C8"/>
    <w:rsid w:val="346FD92B"/>
    <w:rsid w:val="347E1F6E"/>
    <w:rsid w:val="34800F95"/>
    <w:rsid w:val="34AC21E6"/>
    <w:rsid w:val="34B9EA87"/>
    <w:rsid w:val="34CD84A8"/>
    <w:rsid w:val="34FE376D"/>
    <w:rsid w:val="350A9862"/>
    <w:rsid w:val="350EF4A6"/>
    <w:rsid w:val="3528E407"/>
    <w:rsid w:val="3528F222"/>
    <w:rsid w:val="35443335"/>
    <w:rsid w:val="35674B2D"/>
    <w:rsid w:val="3567B4D3"/>
    <w:rsid w:val="359F29F0"/>
    <w:rsid w:val="35A159C4"/>
    <w:rsid w:val="35B07462"/>
    <w:rsid w:val="35B8844E"/>
    <w:rsid w:val="35E9E1C5"/>
    <w:rsid w:val="36151095"/>
    <w:rsid w:val="36256FD7"/>
    <w:rsid w:val="36303B15"/>
    <w:rsid w:val="3633AEE0"/>
    <w:rsid w:val="36603CB5"/>
    <w:rsid w:val="368E635A"/>
    <w:rsid w:val="368FBDA5"/>
    <w:rsid w:val="36AAC507"/>
    <w:rsid w:val="36ABC10E"/>
    <w:rsid w:val="36B2F16C"/>
    <w:rsid w:val="36C742F4"/>
    <w:rsid w:val="36EC2772"/>
    <w:rsid w:val="36F6FDF4"/>
    <w:rsid w:val="36F7CA35"/>
    <w:rsid w:val="37121B82"/>
    <w:rsid w:val="3718C077"/>
    <w:rsid w:val="374D34B2"/>
    <w:rsid w:val="37637C10"/>
    <w:rsid w:val="3778C9EC"/>
    <w:rsid w:val="377FF119"/>
    <w:rsid w:val="3788730C"/>
    <w:rsid w:val="37ABFE08"/>
    <w:rsid w:val="37D8594F"/>
    <w:rsid w:val="37DA16C4"/>
    <w:rsid w:val="37E47B4F"/>
    <w:rsid w:val="37EBBF32"/>
    <w:rsid w:val="38154FC9"/>
    <w:rsid w:val="381E7738"/>
    <w:rsid w:val="38292D9E"/>
    <w:rsid w:val="3831EDF1"/>
    <w:rsid w:val="384015D0"/>
    <w:rsid w:val="384BE157"/>
    <w:rsid w:val="38721AD2"/>
    <w:rsid w:val="389B1CD4"/>
    <w:rsid w:val="38EBE998"/>
    <w:rsid w:val="38F3E73E"/>
    <w:rsid w:val="392B3483"/>
    <w:rsid w:val="39496C27"/>
    <w:rsid w:val="394B5402"/>
    <w:rsid w:val="394CA16B"/>
    <w:rsid w:val="394DA9D9"/>
    <w:rsid w:val="3983DC82"/>
    <w:rsid w:val="3997DD32"/>
    <w:rsid w:val="39AD1680"/>
    <w:rsid w:val="39BD5829"/>
    <w:rsid w:val="39D64669"/>
    <w:rsid w:val="39D79647"/>
    <w:rsid w:val="39E1FD1C"/>
    <w:rsid w:val="39EA7ED7"/>
    <w:rsid w:val="39FD9543"/>
    <w:rsid w:val="3A022A1C"/>
    <w:rsid w:val="3A09980F"/>
    <w:rsid w:val="3A0C620C"/>
    <w:rsid w:val="3A1356DD"/>
    <w:rsid w:val="3A158844"/>
    <w:rsid w:val="3A226E8B"/>
    <w:rsid w:val="3A280CE8"/>
    <w:rsid w:val="3A6474DF"/>
    <w:rsid w:val="3A6882D7"/>
    <w:rsid w:val="3A7DF3A8"/>
    <w:rsid w:val="3A8056B4"/>
    <w:rsid w:val="3A848D6F"/>
    <w:rsid w:val="3A96F904"/>
    <w:rsid w:val="3A9FA5E7"/>
    <w:rsid w:val="3AB5A2F5"/>
    <w:rsid w:val="3AE784B5"/>
    <w:rsid w:val="3B1B8C49"/>
    <w:rsid w:val="3B2D71BE"/>
    <w:rsid w:val="3B3E954E"/>
    <w:rsid w:val="3B42B90F"/>
    <w:rsid w:val="3B4C332A"/>
    <w:rsid w:val="3B8AB7F3"/>
    <w:rsid w:val="3B9C1508"/>
    <w:rsid w:val="3B9F144D"/>
    <w:rsid w:val="3BA00E0A"/>
    <w:rsid w:val="3BB24703"/>
    <w:rsid w:val="3BC2E733"/>
    <w:rsid w:val="3BC77E6A"/>
    <w:rsid w:val="3BF2F1A9"/>
    <w:rsid w:val="3BFCE4CD"/>
    <w:rsid w:val="3C059CA0"/>
    <w:rsid w:val="3C231CF0"/>
    <w:rsid w:val="3C2D4497"/>
    <w:rsid w:val="3C309E23"/>
    <w:rsid w:val="3C30ADB3"/>
    <w:rsid w:val="3C443953"/>
    <w:rsid w:val="3C56682C"/>
    <w:rsid w:val="3C68BEFA"/>
    <w:rsid w:val="3C80E4CF"/>
    <w:rsid w:val="3C84515C"/>
    <w:rsid w:val="3C88C38B"/>
    <w:rsid w:val="3C9BEFBF"/>
    <w:rsid w:val="3CA86435"/>
    <w:rsid w:val="3CB0AFF2"/>
    <w:rsid w:val="3CB635E3"/>
    <w:rsid w:val="3CCBFF47"/>
    <w:rsid w:val="3CD98C28"/>
    <w:rsid w:val="3CDB04B6"/>
    <w:rsid w:val="3CF023DC"/>
    <w:rsid w:val="3D01BB80"/>
    <w:rsid w:val="3D3171C9"/>
    <w:rsid w:val="3D3224A8"/>
    <w:rsid w:val="3D343BD4"/>
    <w:rsid w:val="3D39DE13"/>
    <w:rsid w:val="3D5EC4BA"/>
    <w:rsid w:val="3D8BD174"/>
    <w:rsid w:val="3D8F80D8"/>
    <w:rsid w:val="3DCABC3D"/>
    <w:rsid w:val="3DCC3843"/>
    <w:rsid w:val="3DCC8CCA"/>
    <w:rsid w:val="3DDC85FE"/>
    <w:rsid w:val="3DDCB635"/>
    <w:rsid w:val="3DE756AB"/>
    <w:rsid w:val="3DE9C7C0"/>
    <w:rsid w:val="3DED095B"/>
    <w:rsid w:val="3DFBAAB1"/>
    <w:rsid w:val="3E0D4874"/>
    <w:rsid w:val="3E248CB2"/>
    <w:rsid w:val="3E3F96A6"/>
    <w:rsid w:val="3E4DFC30"/>
    <w:rsid w:val="3E513FB3"/>
    <w:rsid w:val="3E6C4F5A"/>
    <w:rsid w:val="3E6F9DE2"/>
    <w:rsid w:val="3E7C5B41"/>
    <w:rsid w:val="3E813CB3"/>
    <w:rsid w:val="3E8DAE2C"/>
    <w:rsid w:val="3E931F54"/>
    <w:rsid w:val="3EA5E5BD"/>
    <w:rsid w:val="3EAFE495"/>
    <w:rsid w:val="3EC8BD2D"/>
    <w:rsid w:val="3ECAD5CA"/>
    <w:rsid w:val="3ED20787"/>
    <w:rsid w:val="3ED34EEF"/>
    <w:rsid w:val="3EFC37EA"/>
    <w:rsid w:val="3F0FC70E"/>
    <w:rsid w:val="3F1BFF05"/>
    <w:rsid w:val="3F348E60"/>
    <w:rsid w:val="3F5A5342"/>
    <w:rsid w:val="3F66E58F"/>
    <w:rsid w:val="3F6CCB95"/>
    <w:rsid w:val="3F7D0A4D"/>
    <w:rsid w:val="3F826722"/>
    <w:rsid w:val="3F85837D"/>
    <w:rsid w:val="3F9916A7"/>
    <w:rsid w:val="3FB5DF96"/>
    <w:rsid w:val="3FC7B9F5"/>
    <w:rsid w:val="3FC92D4F"/>
    <w:rsid w:val="3FCBDAA4"/>
    <w:rsid w:val="40071900"/>
    <w:rsid w:val="401F4C9F"/>
    <w:rsid w:val="402F2B01"/>
    <w:rsid w:val="40490F3A"/>
    <w:rsid w:val="4062A5F5"/>
    <w:rsid w:val="4063EDEC"/>
    <w:rsid w:val="4067D25B"/>
    <w:rsid w:val="406B5FD9"/>
    <w:rsid w:val="4077D1B9"/>
    <w:rsid w:val="407967FF"/>
    <w:rsid w:val="408550D9"/>
    <w:rsid w:val="40885038"/>
    <w:rsid w:val="40902591"/>
    <w:rsid w:val="4092D43C"/>
    <w:rsid w:val="409DB7D6"/>
    <w:rsid w:val="40A54021"/>
    <w:rsid w:val="40AAFEC7"/>
    <w:rsid w:val="40B9DE38"/>
    <w:rsid w:val="40D128A5"/>
    <w:rsid w:val="40D24A79"/>
    <w:rsid w:val="40EAADCC"/>
    <w:rsid w:val="40FF9592"/>
    <w:rsid w:val="40FFE5F7"/>
    <w:rsid w:val="410B02AC"/>
    <w:rsid w:val="413684CF"/>
    <w:rsid w:val="413CCE16"/>
    <w:rsid w:val="413CFBF3"/>
    <w:rsid w:val="4162EACE"/>
    <w:rsid w:val="417BCEBF"/>
    <w:rsid w:val="4191948C"/>
    <w:rsid w:val="4191D78B"/>
    <w:rsid w:val="41A354B8"/>
    <w:rsid w:val="41A72224"/>
    <w:rsid w:val="41A724CD"/>
    <w:rsid w:val="41C32373"/>
    <w:rsid w:val="41C421B4"/>
    <w:rsid w:val="41C7A6B2"/>
    <w:rsid w:val="41D4392E"/>
    <w:rsid w:val="41F04712"/>
    <w:rsid w:val="41F46CC4"/>
    <w:rsid w:val="42161270"/>
    <w:rsid w:val="421AE320"/>
    <w:rsid w:val="421B0FB6"/>
    <w:rsid w:val="4226F75D"/>
    <w:rsid w:val="42562FDA"/>
    <w:rsid w:val="425C3CFA"/>
    <w:rsid w:val="425D3A1B"/>
    <w:rsid w:val="4264052E"/>
    <w:rsid w:val="427FF7E1"/>
    <w:rsid w:val="429CFEB5"/>
    <w:rsid w:val="42AEA746"/>
    <w:rsid w:val="42B075F4"/>
    <w:rsid w:val="42B4548F"/>
    <w:rsid w:val="42D6B118"/>
    <w:rsid w:val="42F24E78"/>
    <w:rsid w:val="4333E01D"/>
    <w:rsid w:val="4340228C"/>
    <w:rsid w:val="4348DA78"/>
    <w:rsid w:val="4357112A"/>
    <w:rsid w:val="435EC134"/>
    <w:rsid w:val="435FF215"/>
    <w:rsid w:val="43801774"/>
    <w:rsid w:val="43807C1F"/>
    <w:rsid w:val="438B108A"/>
    <w:rsid w:val="43900AD1"/>
    <w:rsid w:val="43976501"/>
    <w:rsid w:val="43980476"/>
    <w:rsid w:val="43985C21"/>
    <w:rsid w:val="43A4F99F"/>
    <w:rsid w:val="43D955C5"/>
    <w:rsid w:val="43F116C0"/>
    <w:rsid w:val="44033866"/>
    <w:rsid w:val="441BE0DD"/>
    <w:rsid w:val="44283C8A"/>
    <w:rsid w:val="442876B8"/>
    <w:rsid w:val="442BC6D2"/>
    <w:rsid w:val="444C4655"/>
    <w:rsid w:val="44537729"/>
    <w:rsid w:val="4459F018"/>
    <w:rsid w:val="445FA338"/>
    <w:rsid w:val="44685970"/>
    <w:rsid w:val="4476A830"/>
    <w:rsid w:val="447D8295"/>
    <w:rsid w:val="448061CC"/>
    <w:rsid w:val="44868428"/>
    <w:rsid w:val="44B4E4CC"/>
    <w:rsid w:val="44B9F781"/>
    <w:rsid w:val="44C99CF0"/>
    <w:rsid w:val="44DBC5C8"/>
    <w:rsid w:val="451345B1"/>
    <w:rsid w:val="4545A41A"/>
    <w:rsid w:val="454EB1A3"/>
    <w:rsid w:val="45507A2F"/>
    <w:rsid w:val="455713B4"/>
    <w:rsid w:val="45601AD7"/>
    <w:rsid w:val="45852048"/>
    <w:rsid w:val="4593DDBC"/>
    <w:rsid w:val="45BBEB07"/>
    <w:rsid w:val="45CCAAED"/>
    <w:rsid w:val="45DA13E0"/>
    <w:rsid w:val="4602B373"/>
    <w:rsid w:val="461A84B7"/>
    <w:rsid w:val="4627D90C"/>
    <w:rsid w:val="462C4D1A"/>
    <w:rsid w:val="463F568F"/>
    <w:rsid w:val="464AF660"/>
    <w:rsid w:val="4658162C"/>
    <w:rsid w:val="46616E32"/>
    <w:rsid w:val="4663A984"/>
    <w:rsid w:val="466E2631"/>
    <w:rsid w:val="467E6A7A"/>
    <w:rsid w:val="46957C9C"/>
    <w:rsid w:val="469EF285"/>
    <w:rsid w:val="46A22A80"/>
    <w:rsid w:val="46D90C2D"/>
    <w:rsid w:val="46E7C936"/>
    <w:rsid w:val="46F2B4F9"/>
    <w:rsid w:val="46F8FCF0"/>
    <w:rsid w:val="4702B9CB"/>
    <w:rsid w:val="47129542"/>
    <w:rsid w:val="471937D3"/>
    <w:rsid w:val="472989C1"/>
    <w:rsid w:val="473AC973"/>
    <w:rsid w:val="47602C56"/>
    <w:rsid w:val="47656BA3"/>
    <w:rsid w:val="4771399C"/>
    <w:rsid w:val="47869921"/>
    <w:rsid w:val="47A8A07A"/>
    <w:rsid w:val="47BDCC0A"/>
    <w:rsid w:val="47CBE431"/>
    <w:rsid w:val="47D4E4DB"/>
    <w:rsid w:val="47EB5E22"/>
    <w:rsid w:val="47FA7F1B"/>
    <w:rsid w:val="48119C20"/>
    <w:rsid w:val="481A1E21"/>
    <w:rsid w:val="481A3ADB"/>
    <w:rsid w:val="483D601A"/>
    <w:rsid w:val="486DF2FB"/>
    <w:rsid w:val="4877B044"/>
    <w:rsid w:val="488B5A97"/>
    <w:rsid w:val="4891E790"/>
    <w:rsid w:val="48A5E94C"/>
    <w:rsid w:val="48B25621"/>
    <w:rsid w:val="48C163F8"/>
    <w:rsid w:val="48E8A94F"/>
    <w:rsid w:val="48ED0C31"/>
    <w:rsid w:val="48EEE5CB"/>
    <w:rsid w:val="48F1E7FF"/>
    <w:rsid w:val="490C6692"/>
    <w:rsid w:val="490D00FB"/>
    <w:rsid w:val="491419BF"/>
    <w:rsid w:val="491E1548"/>
    <w:rsid w:val="4924D581"/>
    <w:rsid w:val="4961B4B2"/>
    <w:rsid w:val="496CE900"/>
    <w:rsid w:val="496EC342"/>
    <w:rsid w:val="498B7BC8"/>
    <w:rsid w:val="4990B92E"/>
    <w:rsid w:val="499A2E92"/>
    <w:rsid w:val="499DFA25"/>
    <w:rsid w:val="49C9B294"/>
    <w:rsid w:val="49D925EB"/>
    <w:rsid w:val="49F2FCFB"/>
    <w:rsid w:val="49F796BD"/>
    <w:rsid w:val="4A0E0941"/>
    <w:rsid w:val="4A159660"/>
    <w:rsid w:val="4A3DAE61"/>
    <w:rsid w:val="4A46AC1D"/>
    <w:rsid w:val="4A4DB8EC"/>
    <w:rsid w:val="4A51A739"/>
    <w:rsid w:val="4A556763"/>
    <w:rsid w:val="4A56DC8D"/>
    <w:rsid w:val="4A6859FA"/>
    <w:rsid w:val="4A6F3815"/>
    <w:rsid w:val="4A906964"/>
    <w:rsid w:val="4AA3C9C7"/>
    <w:rsid w:val="4AA64BC9"/>
    <w:rsid w:val="4AAD532D"/>
    <w:rsid w:val="4ABCBBCE"/>
    <w:rsid w:val="4ABD0FE5"/>
    <w:rsid w:val="4AC10A2D"/>
    <w:rsid w:val="4AC5ECE8"/>
    <w:rsid w:val="4ADFCE5D"/>
    <w:rsid w:val="4AEA08B0"/>
    <w:rsid w:val="4AFE8597"/>
    <w:rsid w:val="4B0C3B7E"/>
    <w:rsid w:val="4B1648C9"/>
    <w:rsid w:val="4B22676C"/>
    <w:rsid w:val="4B49D15D"/>
    <w:rsid w:val="4B566128"/>
    <w:rsid w:val="4B631674"/>
    <w:rsid w:val="4B846CCE"/>
    <w:rsid w:val="4B9F0E17"/>
    <w:rsid w:val="4BB1D3C1"/>
    <w:rsid w:val="4BC3B7DE"/>
    <w:rsid w:val="4BD09D1D"/>
    <w:rsid w:val="4BD3E0A5"/>
    <w:rsid w:val="4BEB2E50"/>
    <w:rsid w:val="4BFD5BDC"/>
    <w:rsid w:val="4C15A42B"/>
    <w:rsid w:val="4C2328E2"/>
    <w:rsid w:val="4C3BC21E"/>
    <w:rsid w:val="4C3EE69C"/>
    <w:rsid w:val="4C41FD15"/>
    <w:rsid w:val="4C4289EF"/>
    <w:rsid w:val="4C50C319"/>
    <w:rsid w:val="4C53575A"/>
    <w:rsid w:val="4C57583A"/>
    <w:rsid w:val="4C5771B5"/>
    <w:rsid w:val="4C613CC6"/>
    <w:rsid w:val="4C741792"/>
    <w:rsid w:val="4C8B2FB4"/>
    <w:rsid w:val="4C8B397D"/>
    <w:rsid w:val="4CA30DBF"/>
    <w:rsid w:val="4CAE7A77"/>
    <w:rsid w:val="4CBD567B"/>
    <w:rsid w:val="4CD76081"/>
    <w:rsid w:val="4CE62F83"/>
    <w:rsid w:val="4CEA21CC"/>
    <w:rsid w:val="4CF678A1"/>
    <w:rsid w:val="4D092A3C"/>
    <w:rsid w:val="4D23FD62"/>
    <w:rsid w:val="4D3E9196"/>
    <w:rsid w:val="4D3EDEBF"/>
    <w:rsid w:val="4D5850F2"/>
    <w:rsid w:val="4D8DAAE0"/>
    <w:rsid w:val="4D9A445A"/>
    <w:rsid w:val="4D9A500D"/>
    <w:rsid w:val="4DAA6DA9"/>
    <w:rsid w:val="4DB22BDD"/>
    <w:rsid w:val="4DB3162A"/>
    <w:rsid w:val="4DBA217C"/>
    <w:rsid w:val="4DC0FC7B"/>
    <w:rsid w:val="4DCFEEDF"/>
    <w:rsid w:val="4DD1A6D1"/>
    <w:rsid w:val="4DE2B7A0"/>
    <w:rsid w:val="4DE5DEE3"/>
    <w:rsid w:val="4DF41E6F"/>
    <w:rsid w:val="4E0A199A"/>
    <w:rsid w:val="4E0B7D85"/>
    <w:rsid w:val="4E121DA9"/>
    <w:rsid w:val="4E40029F"/>
    <w:rsid w:val="4E6A42B3"/>
    <w:rsid w:val="4E70B10B"/>
    <w:rsid w:val="4E71B339"/>
    <w:rsid w:val="4E755679"/>
    <w:rsid w:val="4E8B1D88"/>
    <w:rsid w:val="4E9819FD"/>
    <w:rsid w:val="4EB28B64"/>
    <w:rsid w:val="4EC7DE34"/>
    <w:rsid w:val="4ECED27A"/>
    <w:rsid w:val="4ECF04D0"/>
    <w:rsid w:val="4ED41992"/>
    <w:rsid w:val="4EDC1C75"/>
    <w:rsid w:val="4EE7B713"/>
    <w:rsid w:val="4F0ACD95"/>
    <w:rsid w:val="4F0EE7DF"/>
    <w:rsid w:val="4F192DD1"/>
    <w:rsid w:val="4F2CEF6F"/>
    <w:rsid w:val="4F4B495D"/>
    <w:rsid w:val="4F62CD4D"/>
    <w:rsid w:val="4F65E9E3"/>
    <w:rsid w:val="4F6E13D7"/>
    <w:rsid w:val="4F7AE086"/>
    <w:rsid w:val="4F8EF8FC"/>
    <w:rsid w:val="4F90065F"/>
    <w:rsid w:val="4F9503ED"/>
    <w:rsid w:val="4F9AA12D"/>
    <w:rsid w:val="4FB3D704"/>
    <w:rsid w:val="4FB78C2E"/>
    <w:rsid w:val="4FC8288C"/>
    <w:rsid w:val="4FD2C0FB"/>
    <w:rsid w:val="4FFE0FAE"/>
    <w:rsid w:val="50064698"/>
    <w:rsid w:val="50467AAA"/>
    <w:rsid w:val="505358DF"/>
    <w:rsid w:val="5069DC70"/>
    <w:rsid w:val="5089D446"/>
    <w:rsid w:val="50BB4AFA"/>
    <w:rsid w:val="50C597AC"/>
    <w:rsid w:val="50DB91A5"/>
    <w:rsid w:val="50E1FA20"/>
    <w:rsid w:val="50EA55B4"/>
    <w:rsid w:val="50FFAAE8"/>
    <w:rsid w:val="51001543"/>
    <w:rsid w:val="51298A46"/>
    <w:rsid w:val="5136CF9E"/>
    <w:rsid w:val="5149F6DA"/>
    <w:rsid w:val="51516F27"/>
    <w:rsid w:val="5155E23A"/>
    <w:rsid w:val="51607912"/>
    <w:rsid w:val="51731B87"/>
    <w:rsid w:val="517BE754"/>
    <w:rsid w:val="51826E6F"/>
    <w:rsid w:val="51C10067"/>
    <w:rsid w:val="51D3B1E7"/>
    <w:rsid w:val="51E44702"/>
    <w:rsid w:val="51E84624"/>
    <w:rsid w:val="51F06688"/>
    <w:rsid w:val="52024CB3"/>
    <w:rsid w:val="520FED46"/>
    <w:rsid w:val="521229B8"/>
    <w:rsid w:val="52167DC7"/>
    <w:rsid w:val="521B86A7"/>
    <w:rsid w:val="521CEA20"/>
    <w:rsid w:val="524AAB87"/>
    <w:rsid w:val="525C14C3"/>
    <w:rsid w:val="52661431"/>
    <w:rsid w:val="526F8C08"/>
    <w:rsid w:val="5275778D"/>
    <w:rsid w:val="527DFBD2"/>
    <w:rsid w:val="527E5E29"/>
    <w:rsid w:val="529336AE"/>
    <w:rsid w:val="5298623D"/>
    <w:rsid w:val="529B4906"/>
    <w:rsid w:val="52A0A9C6"/>
    <w:rsid w:val="52A8AC04"/>
    <w:rsid w:val="52D7B676"/>
    <w:rsid w:val="52DDDEF9"/>
    <w:rsid w:val="52E411C2"/>
    <w:rsid w:val="52EA4FCD"/>
    <w:rsid w:val="531C8E23"/>
    <w:rsid w:val="5335B070"/>
    <w:rsid w:val="534C745B"/>
    <w:rsid w:val="535CD0C8"/>
    <w:rsid w:val="5366BB87"/>
    <w:rsid w:val="537158F5"/>
    <w:rsid w:val="537E1884"/>
    <w:rsid w:val="53862D59"/>
    <w:rsid w:val="538BDC6B"/>
    <w:rsid w:val="53A9EBB6"/>
    <w:rsid w:val="53B50192"/>
    <w:rsid w:val="53C9C45A"/>
    <w:rsid w:val="53D8ED28"/>
    <w:rsid w:val="53E15A71"/>
    <w:rsid w:val="53E44311"/>
    <w:rsid w:val="54017CE0"/>
    <w:rsid w:val="5406BAB2"/>
    <w:rsid w:val="5415050C"/>
    <w:rsid w:val="541863D0"/>
    <w:rsid w:val="543B58EA"/>
    <w:rsid w:val="543F4A80"/>
    <w:rsid w:val="5450DAAD"/>
    <w:rsid w:val="546BF1E9"/>
    <w:rsid w:val="548B8731"/>
    <w:rsid w:val="548D19FB"/>
    <w:rsid w:val="548E9F8E"/>
    <w:rsid w:val="54908D8E"/>
    <w:rsid w:val="54959665"/>
    <w:rsid w:val="54A84C36"/>
    <w:rsid w:val="54B8D94E"/>
    <w:rsid w:val="54CA1425"/>
    <w:rsid w:val="54D7FCAE"/>
    <w:rsid w:val="54D945DF"/>
    <w:rsid w:val="54E8A71F"/>
    <w:rsid w:val="54EEBF50"/>
    <w:rsid w:val="54EF2B4B"/>
    <w:rsid w:val="54F448B6"/>
    <w:rsid w:val="54F4EDCE"/>
    <w:rsid w:val="54F8A129"/>
    <w:rsid w:val="55057D60"/>
    <w:rsid w:val="55089F85"/>
    <w:rsid w:val="550EACA8"/>
    <w:rsid w:val="55165BCA"/>
    <w:rsid w:val="551F38AB"/>
    <w:rsid w:val="55253073"/>
    <w:rsid w:val="5529C7B4"/>
    <w:rsid w:val="55412247"/>
    <w:rsid w:val="554907BA"/>
    <w:rsid w:val="554EB601"/>
    <w:rsid w:val="5557532C"/>
    <w:rsid w:val="5575CAA3"/>
    <w:rsid w:val="558984DE"/>
    <w:rsid w:val="5590D929"/>
    <w:rsid w:val="55B027EC"/>
    <w:rsid w:val="55B2233E"/>
    <w:rsid w:val="55C29C75"/>
    <w:rsid w:val="55CA93BC"/>
    <w:rsid w:val="55D4A128"/>
    <w:rsid w:val="55D60AB6"/>
    <w:rsid w:val="55D99FFE"/>
    <w:rsid w:val="55F28CBA"/>
    <w:rsid w:val="56131582"/>
    <w:rsid w:val="562EACA5"/>
    <w:rsid w:val="56442742"/>
    <w:rsid w:val="56494362"/>
    <w:rsid w:val="564B813E"/>
    <w:rsid w:val="565CBB79"/>
    <w:rsid w:val="5665AD58"/>
    <w:rsid w:val="567185B0"/>
    <w:rsid w:val="567238FD"/>
    <w:rsid w:val="5681ADED"/>
    <w:rsid w:val="569DC479"/>
    <w:rsid w:val="56A214FF"/>
    <w:rsid w:val="56B73F22"/>
    <w:rsid w:val="56BE2038"/>
    <w:rsid w:val="56D1184E"/>
    <w:rsid w:val="56E76846"/>
    <w:rsid w:val="5705E00F"/>
    <w:rsid w:val="5728EA5F"/>
    <w:rsid w:val="572E08AA"/>
    <w:rsid w:val="572F4445"/>
    <w:rsid w:val="573488AD"/>
    <w:rsid w:val="5743A4E7"/>
    <w:rsid w:val="5748FCD6"/>
    <w:rsid w:val="57754234"/>
    <w:rsid w:val="577A791D"/>
    <w:rsid w:val="578C8586"/>
    <w:rsid w:val="57B7592E"/>
    <w:rsid w:val="57BCEFD6"/>
    <w:rsid w:val="57C2FE74"/>
    <w:rsid w:val="57D60356"/>
    <w:rsid w:val="57DD8342"/>
    <w:rsid w:val="58337F1F"/>
    <w:rsid w:val="58462F05"/>
    <w:rsid w:val="5849B201"/>
    <w:rsid w:val="584AF399"/>
    <w:rsid w:val="585A9CEB"/>
    <w:rsid w:val="58755CA1"/>
    <w:rsid w:val="587F0C3A"/>
    <w:rsid w:val="58884B8C"/>
    <w:rsid w:val="58A253A3"/>
    <w:rsid w:val="58ABE1D9"/>
    <w:rsid w:val="58BDF3C0"/>
    <w:rsid w:val="58DDA987"/>
    <w:rsid w:val="58E3A792"/>
    <w:rsid w:val="58EBB404"/>
    <w:rsid w:val="58EC7755"/>
    <w:rsid w:val="58F19470"/>
    <w:rsid w:val="5904FB7B"/>
    <w:rsid w:val="5906E19A"/>
    <w:rsid w:val="59126850"/>
    <w:rsid w:val="59128D7D"/>
    <w:rsid w:val="59140A1E"/>
    <w:rsid w:val="591DF737"/>
    <w:rsid w:val="592066FB"/>
    <w:rsid w:val="5933DEA2"/>
    <w:rsid w:val="593D49F5"/>
    <w:rsid w:val="5954B4E9"/>
    <w:rsid w:val="595B5F6E"/>
    <w:rsid w:val="5973A4ED"/>
    <w:rsid w:val="597CC5EE"/>
    <w:rsid w:val="599063B7"/>
    <w:rsid w:val="5990777C"/>
    <w:rsid w:val="5991D689"/>
    <w:rsid w:val="59A26445"/>
    <w:rsid w:val="59C1F56B"/>
    <w:rsid w:val="59D797A5"/>
    <w:rsid w:val="59DF296E"/>
    <w:rsid w:val="59F021DD"/>
    <w:rsid w:val="59F9C0AA"/>
    <w:rsid w:val="59FF0F66"/>
    <w:rsid w:val="5A07548A"/>
    <w:rsid w:val="5A15B0E3"/>
    <w:rsid w:val="5A259DEF"/>
    <w:rsid w:val="5A29F227"/>
    <w:rsid w:val="5A3379FB"/>
    <w:rsid w:val="5A3A2EBB"/>
    <w:rsid w:val="5A430300"/>
    <w:rsid w:val="5A50723B"/>
    <w:rsid w:val="5A6338D1"/>
    <w:rsid w:val="5A6C1280"/>
    <w:rsid w:val="5A865035"/>
    <w:rsid w:val="5A90CBF2"/>
    <w:rsid w:val="5A91CADF"/>
    <w:rsid w:val="5AA0FF00"/>
    <w:rsid w:val="5AA481A4"/>
    <w:rsid w:val="5AB8BBB6"/>
    <w:rsid w:val="5AE9E305"/>
    <w:rsid w:val="5AF0C0A1"/>
    <w:rsid w:val="5B006D2F"/>
    <w:rsid w:val="5B06C881"/>
    <w:rsid w:val="5B13079B"/>
    <w:rsid w:val="5B6723AF"/>
    <w:rsid w:val="5B7854A2"/>
    <w:rsid w:val="5B8027C5"/>
    <w:rsid w:val="5B8960D2"/>
    <w:rsid w:val="5B89D08B"/>
    <w:rsid w:val="5B8B24A6"/>
    <w:rsid w:val="5B92CB40"/>
    <w:rsid w:val="5B94E202"/>
    <w:rsid w:val="5BA71975"/>
    <w:rsid w:val="5BBE0C93"/>
    <w:rsid w:val="5BE4049B"/>
    <w:rsid w:val="5BFA0846"/>
    <w:rsid w:val="5C093695"/>
    <w:rsid w:val="5C2EEE88"/>
    <w:rsid w:val="5C3BF136"/>
    <w:rsid w:val="5C3F96AA"/>
    <w:rsid w:val="5C4A678C"/>
    <w:rsid w:val="5C8F9064"/>
    <w:rsid w:val="5CA11015"/>
    <w:rsid w:val="5CAB42C0"/>
    <w:rsid w:val="5CB2BBF7"/>
    <w:rsid w:val="5D0850E5"/>
    <w:rsid w:val="5D09F029"/>
    <w:rsid w:val="5D1EE98C"/>
    <w:rsid w:val="5D3142C1"/>
    <w:rsid w:val="5D49BF57"/>
    <w:rsid w:val="5D5620F0"/>
    <w:rsid w:val="5D5C6DA1"/>
    <w:rsid w:val="5D8812FD"/>
    <w:rsid w:val="5D8D00EF"/>
    <w:rsid w:val="5DA18A35"/>
    <w:rsid w:val="5DB14FDA"/>
    <w:rsid w:val="5DC46136"/>
    <w:rsid w:val="5DC7B911"/>
    <w:rsid w:val="5DD2BADB"/>
    <w:rsid w:val="5DD468F9"/>
    <w:rsid w:val="5DFFA095"/>
    <w:rsid w:val="5E00C831"/>
    <w:rsid w:val="5E2331B8"/>
    <w:rsid w:val="5E2CE630"/>
    <w:rsid w:val="5E2F5002"/>
    <w:rsid w:val="5E528240"/>
    <w:rsid w:val="5E538A84"/>
    <w:rsid w:val="5E5E8613"/>
    <w:rsid w:val="5E6A58EA"/>
    <w:rsid w:val="5E6C5BBC"/>
    <w:rsid w:val="5E84811C"/>
    <w:rsid w:val="5E86889C"/>
    <w:rsid w:val="5E8ABF86"/>
    <w:rsid w:val="5EB6171F"/>
    <w:rsid w:val="5EBF2187"/>
    <w:rsid w:val="5EC8849C"/>
    <w:rsid w:val="5EF9B52F"/>
    <w:rsid w:val="5EFADFEC"/>
    <w:rsid w:val="5F0CC1CA"/>
    <w:rsid w:val="5F0D26A2"/>
    <w:rsid w:val="5F0DC6AC"/>
    <w:rsid w:val="5F11C808"/>
    <w:rsid w:val="5F180EC3"/>
    <w:rsid w:val="5F23E35E"/>
    <w:rsid w:val="5F2880E6"/>
    <w:rsid w:val="5F2FD770"/>
    <w:rsid w:val="5F362F38"/>
    <w:rsid w:val="5F3B7271"/>
    <w:rsid w:val="5F3D093E"/>
    <w:rsid w:val="5F4EB6CC"/>
    <w:rsid w:val="5F748932"/>
    <w:rsid w:val="5F8C2527"/>
    <w:rsid w:val="5FDBDF09"/>
    <w:rsid w:val="5FE07195"/>
    <w:rsid w:val="5FF4AAC8"/>
    <w:rsid w:val="6009C83C"/>
    <w:rsid w:val="6010548A"/>
    <w:rsid w:val="60229B65"/>
    <w:rsid w:val="6043A11C"/>
    <w:rsid w:val="604584E1"/>
    <w:rsid w:val="6046F777"/>
    <w:rsid w:val="60668B13"/>
    <w:rsid w:val="6084D565"/>
    <w:rsid w:val="6090CE7A"/>
    <w:rsid w:val="60AFBDED"/>
    <w:rsid w:val="60B30E60"/>
    <w:rsid w:val="60E25B4A"/>
    <w:rsid w:val="60E467C6"/>
    <w:rsid w:val="611ECD87"/>
    <w:rsid w:val="6121E24B"/>
    <w:rsid w:val="6132CD85"/>
    <w:rsid w:val="614188D4"/>
    <w:rsid w:val="6150B151"/>
    <w:rsid w:val="617EB3E3"/>
    <w:rsid w:val="61866E85"/>
    <w:rsid w:val="6192D919"/>
    <w:rsid w:val="61A2670C"/>
    <w:rsid w:val="61AE6945"/>
    <w:rsid w:val="61BC8E1E"/>
    <w:rsid w:val="61C00B84"/>
    <w:rsid w:val="61C866FA"/>
    <w:rsid w:val="61CE824C"/>
    <w:rsid w:val="61E1451C"/>
    <w:rsid w:val="61E311DB"/>
    <w:rsid w:val="61F3609F"/>
    <w:rsid w:val="62016666"/>
    <w:rsid w:val="622B4BAB"/>
    <w:rsid w:val="6254AF8B"/>
    <w:rsid w:val="626DCFFA"/>
    <w:rsid w:val="62746373"/>
    <w:rsid w:val="6286578E"/>
    <w:rsid w:val="629D5D32"/>
    <w:rsid w:val="62A94514"/>
    <w:rsid w:val="62B51E4A"/>
    <w:rsid w:val="62CD271B"/>
    <w:rsid w:val="62D03B48"/>
    <w:rsid w:val="62E24AD0"/>
    <w:rsid w:val="62EF31BD"/>
    <w:rsid w:val="630F52A9"/>
    <w:rsid w:val="631D9790"/>
    <w:rsid w:val="6335A993"/>
    <w:rsid w:val="633998DF"/>
    <w:rsid w:val="6352FEBC"/>
    <w:rsid w:val="6364BCD6"/>
    <w:rsid w:val="637B0035"/>
    <w:rsid w:val="637BA24A"/>
    <w:rsid w:val="637C94EA"/>
    <w:rsid w:val="6387CA9B"/>
    <w:rsid w:val="638ACBED"/>
    <w:rsid w:val="6395FB3D"/>
    <w:rsid w:val="639D7480"/>
    <w:rsid w:val="63A9A163"/>
    <w:rsid w:val="63AA592C"/>
    <w:rsid w:val="63BDCB01"/>
    <w:rsid w:val="63BE5991"/>
    <w:rsid w:val="63EEB415"/>
    <w:rsid w:val="63EFE607"/>
    <w:rsid w:val="640DB12A"/>
    <w:rsid w:val="641789F7"/>
    <w:rsid w:val="641833A6"/>
    <w:rsid w:val="641BFA1C"/>
    <w:rsid w:val="641DC689"/>
    <w:rsid w:val="641EC5B6"/>
    <w:rsid w:val="6428258D"/>
    <w:rsid w:val="64332C6A"/>
    <w:rsid w:val="643BB9B2"/>
    <w:rsid w:val="6456183B"/>
    <w:rsid w:val="645C55D3"/>
    <w:rsid w:val="6460E65D"/>
    <w:rsid w:val="646C31FD"/>
    <w:rsid w:val="6492F99D"/>
    <w:rsid w:val="64963CBE"/>
    <w:rsid w:val="64A3F473"/>
    <w:rsid w:val="64CEFD18"/>
    <w:rsid w:val="64DFFCBD"/>
    <w:rsid w:val="64E8417F"/>
    <w:rsid w:val="64EABD3B"/>
    <w:rsid w:val="64FD202E"/>
    <w:rsid w:val="6511C3EA"/>
    <w:rsid w:val="6514C1A7"/>
    <w:rsid w:val="6527BF4F"/>
    <w:rsid w:val="65284D09"/>
    <w:rsid w:val="652916F9"/>
    <w:rsid w:val="652925DD"/>
    <w:rsid w:val="652D2BF7"/>
    <w:rsid w:val="65324D71"/>
    <w:rsid w:val="6535D5C7"/>
    <w:rsid w:val="6541590E"/>
    <w:rsid w:val="6549DB2E"/>
    <w:rsid w:val="654D5D05"/>
    <w:rsid w:val="654F9B0B"/>
    <w:rsid w:val="654FCE56"/>
    <w:rsid w:val="65569D22"/>
    <w:rsid w:val="655CCD95"/>
    <w:rsid w:val="6570E805"/>
    <w:rsid w:val="65A6460C"/>
    <w:rsid w:val="65B6B2AD"/>
    <w:rsid w:val="65F851AB"/>
    <w:rsid w:val="6609BE86"/>
    <w:rsid w:val="660ACE94"/>
    <w:rsid w:val="662BB90D"/>
    <w:rsid w:val="66658105"/>
    <w:rsid w:val="6672093B"/>
    <w:rsid w:val="6676EF1F"/>
    <w:rsid w:val="667B8CEF"/>
    <w:rsid w:val="667C0850"/>
    <w:rsid w:val="66834D7B"/>
    <w:rsid w:val="6685C8B7"/>
    <w:rsid w:val="66892299"/>
    <w:rsid w:val="668F771B"/>
    <w:rsid w:val="669E1E78"/>
    <w:rsid w:val="66AC3585"/>
    <w:rsid w:val="66C30EFB"/>
    <w:rsid w:val="66C5A2D2"/>
    <w:rsid w:val="66F16492"/>
    <w:rsid w:val="66FE6BC1"/>
    <w:rsid w:val="67035ECF"/>
    <w:rsid w:val="672A1B12"/>
    <w:rsid w:val="6738AF88"/>
    <w:rsid w:val="6753027B"/>
    <w:rsid w:val="676FA230"/>
    <w:rsid w:val="676FD70A"/>
    <w:rsid w:val="677466A2"/>
    <w:rsid w:val="67AC6F15"/>
    <w:rsid w:val="67B52591"/>
    <w:rsid w:val="67BD89D9"/>
    <w:rsid w:val="67CBC65B"/>
    <w:rsid w:val="67D69046"/>
    <w:rsid w:val="67D8C6E5"/>
    <w:rsid w:val="67E7AAA5"/>
    <w:rsid w:val="67E81B07"/>
    <w:rsid w:val="67F5DF97"/>
    <w:rsid w:val="681B3F18"/>
    <w:rsid w:val="681EB872"/>
    <w:rsid w:val="683601FF"/>
    <w:rsid w:val="6848A6A7"/>
    <w:rsid w:val="684DA013"/>
    <w:rsid w:val="68504664"/>
    <w:rsid w:val="68549863"/>
    <w:rsid w:val="685C1263"/>
    <w:rsid w:val="686FC246"/>
    <w:rsid w:val="687B0167"/>
    <w:rsid w:val="687DE0B7"/>
    <w:rsid w:val="68876127"/>
    <w:rsid w:val="688C0D93"/>
    <w:rsid w:val="689CD8F9"/>
    <w:rsid w:val="68B0054C"/>
    <w:rsid w:val="68C7B7F6"/>
    <w:rsid w:val="68D879EE"/>
    <w:rsid w:val="68EB51E8"/>
    <w:rsid w:val="68EBF957"/>
    <w:rsid w:val="68F30A95"/>
    <w:rsid w:val="691E7066"/>
    <w:rsid w:val="691FE6D3"/>
    <w:rsid w:val="6921004B"/>
    <w:rsid w:val="6926348F"/>
    <w:rsid w:val="692721EE"/>
    <w:rsid w:val="693F5DF7"/>
    <w:rsid w:val="69446DFE"/>
    <w:rsid w:val="69453AEF"/>
    <w:rsid w:val="694BE61A"/>
    <w:rsid w:val="695EF92C"/>
    <w:rsid w:val="6963AE76"/>
    <w:rsid w:val="696E6598"/>
    <w:rsid w:val="69706F35"/>
    <w:rsid w:val="69B26D8B"/>
    <w:rsid w:val="69BD4CDC"/>
    <w:rsid w:val="69CDCFAA"/>
    <w:rsid w:val="69CF887F"/>
    <w:rsid w:val="69EB21A2"/>
    <w:rsid w:val="69F33692"/>
    <w:rsid w:val="69FFC3CC"/>
    <w:rsid w:val="6A00B6A1"/>
    <w:rsid w:val="6A1665B4"/>
    <w:rsid w:val="6A526F6A"/>
    <w:rsid w:val="6A5313F2"/>
    <w:rsid w:val="6A861D09"/>
    <w:rsid w:val="6AA8C267"/>
    <w:rsid w:val="6AC336A3"/>
    <w:rsid w:val="6ACFCF89"/>
    <w:rsid w:val="6AD625F1"/>
    <w:rsid w:val="6B0005F0"/>
    <w:rsid w:val="6B00ADA7"/>
    <w:rsid w:val="6B021A5B"/>
    <w:rsid w:val="6B107274"/>
    <w:rsid w:val="6B314161"/>
    <w:rsid w:val="6B386F71"/>
    <w:rsid w:val="6B3A2C57"/>
    <w:rsid w:val="6B425B3D"/>
    <w:rsid w:val="6B5C4ACB"/>
    <w:rsid w:val="6B68FAEC"/>
    <w:rsid w:val="6B8D669B"/>
    <w:rsid w:val="6B995AEA"/>
    <w:rsid w:val="6BA41DDD"/>
    <w:rsid w:val="6BA6687F"/>
    <w:rsid w:val="6BB9E68E"/>
    <w:rsid w:val="6BC2C4BC"/>
    <w:rsid w:val="6BC4A74E"/>
    <w:rsid w:val="6BF62D17"/>
    <w:rsid w:val="6BFF6BA3"/>
    <w:rsid w:val="6C3173DC"/>
    <w:rsid w:val="6C3682B4"/>
    <w:rsid w:val="6C50B387"/>
    <w:rsid w:val="6C521E7C"/>
    <w:rsid w:val="6C7FBF5E"/>
    <w:rsid w:val="6C9E07EE"/>
    <w:rsid w:val="6C9E6630"/>
    <w:rsid w:val="6CA2AE68"/>
    <w:rsid w:val="6CA32B2E"/>
    <w:rsid w:val="6CB05C99"/>
    <w:rsid w:val="6CC5C59D"/>
    <w:rsid w:val="6CD4BA74"/>
    <w:rsid w:val="6CD60D71"/>
    <w:rsid w:val="6CDB65BC"/>
    <w:rsid w:val="6CDD8152"/>
    <w:rsid w:val="6CE983FA"/>
    <w:rsid w:val="6CFAC592"/>
    <w:rsid w:val="6D1255E4"/>
    <w:rsid w:val="6D1E71D3"/>
    <w:rsid w:val="6D2E8FDE"/>
    <w:rsid w:val="6D3535C6"/>
    <w:rsid w:val="6D386027"/>
    <w:rsid w:val="6D516992"/>
    <w:rsid w:val="6D61734E"/>
    <w:rsid w:val="6D617F6C"/>
    <w:rsid w:val="6D7BBE39"/>
    <w:rsid w:val="6D817410"/>
    <w:rsid w:val="6D895C49"/>
    <w:rsid w:val="6D929EC7"/>
    <w:rsid w:val="6D99C705"/>
    <w:rsid w:val="6D9AF0F4"/>
    <w:rsid w:val="6DA40FCA"/>
    <w:rsid w:val="6DA9463F"/>
    <w:rsid w:val="6DD7F7EE"/>
    <w:rsid w:val="6DE00BD0"/>
    <w:rsid w:val="6DE78430"/>
    <w:rsid w:val="6E047C29"/>
    <w:rsid w:val="6E100148"/>
    <w:rsid w:val="6E12878C"/>
    <w:rsid w:val="6E175937"/>
    <w:rsid w:val="6E1DCDFF"/>
    <w:rsid w:val="6E2F08D6"/>
    <w:rsid w:val="6E35CC54"/>
    <w:rsid w:val="6E42ED42"/>
    <w:rsid w:val="6E440E8E"/>
    <w:rsid w:val="6E678539"/>
    <w:rsid w:val="6E9A6178"/>
    <w:rsid w:val="6E9B4FA9"/>
    <w:rsid w:val="6EA735E8"/>
    <w:rsid w:val="6EC22440"/>
    <w:rsid w:val="6EC987A9"/>
    <w:rsid w:val="6ED2804E"/>
    <w:rsid w:val="6ED56780"/>
    <w:rsid w:val="6EDDB46F"/>
    <w:rsid w:val="6EE1F8C7"/>
    <w:rsid w:val="6EEEF4F9"/>
    <w:rsid w:val="6EF2BC04"/>
    <w:rsid w:val="6EFA3B83"/>
    <w:rsid w:val="6F03BE46"/>
    <w:rsid w:val="6F1CF7B6"/>
    <w:rsid w:val="6F299555"/>
    <w:rsid w:val="6F6AC7E5"/>
    <w:rsid w:val="6F8AFE05"/>
    <w:rsid w:val="6F9D3BA4"/>
    <w:rsid w:val="6FB3FEB9"/>
    <w:rsid w:val="6FB5D47D"/>
    <w:rsid w:val="6FBE4942"/>
    <w:rsid w:val="7006AF3E"/>
    <w:rsid w:val="7022EA96"/>
    <w:rsid w:val="702B2AA1"/>
    <w:rsid w:val="70429154"/>
    <w:rsid w:val="7046AAD3"/>
    <w:rsid w:val="7047712A"/>
    <w:rsid w:val="705100E5"/>
    <w:rsid w:val="70519454"/>
    <w:rsid w:val="7093DE8B"/>
    <w:rsid w:val="709BC803"/>
    <w:rsid w:val="70A23069"/>
    <w:rsid w:val="70A88256"/>
    <w:rsid w:val="70BF1AFD"/>
    <w:rsid w:val="70D11FB0"/>
    <w:rsid w:val="70D13741"/>
    <w:rsid w:val="70E05F5D"/>
    <w:rsid w:val="70E42061"/>
    <w:rsid w:val="70FA53F4"/>
    <w:rsid w:val="7108795D"/>
    <w:rsid w:val="710E69C2"/>
    <w:rsid w:val="71228BB4"/>
    <w:rsid w:val="7124F0F5"/>
    <w:rsid w:val="713CEEEE"/>
    <w:rsid w:val="7162B933"/>
    <w:rsid w:val="716FE11D"/>
    <w:rsid w:val="71824813"/>
    <w:rsid w:val="71945119"/>
    <w:rsid w:val="719AB887"/>
    <w:rsid w:val="71A05439"/>
    <w:rsid w:val="71ACAD76"/>
    <w:rsid w:val="71BD2303"/>
    <w:rsid w:val="71CB974F"/>
    <w:rsid w:val="71D0ADB5"/>
    <w:rsid w:val="71D69480"/>
    <w:rsid w:val="71DD7B3B"/>
    <w:rsid w:val="71F96751"/>
    <w:rsid w:val="72075E5B"/>
    <w:rsid w:val="720773D6"/>
    <w:rsid w:val="72247EC1"/>
    <w:rsid w:val="7231AB87"/>
    <w:rsid w:val="725D4D4B"/>
    <w:rsid w:val="726A2149"/>
    <w:rsid w:val="729F8CB7"/>
    <w:rsid w:val="72AE9A80"/>
    <w:rsid w:val="72B39F48"/>
    <w:rsid w:val="72B992A8"/>
    <w:rsid w:val="72C6DEBC"/>
    <w:rsid w:val="72C7B320"/>
    <w:rsid w:val="72D8FDB4"/>
    <w:rsid w:val="72DBDB01"/>
    <w:rsid w:val="72DE090A"/>
    <w:rsid w:val="72E373BC"/>
    <w:rsid w:val="72E37DB6"/>
    <w:rsid w:val="72EB248A"/>
    <w:rsid w:val="72EEE77A"/>
    <w:rsid w:val="72FA9390"/>
    <w:rsid w:val="73005C20"/>
    <w:rsid w:val="7324BB32"/>
    <w:rsid w:val="7341B96B"/>
    <w:rsid w:val="7341E2C8"/>
    <w:rsid w:val="734C9013"/>
    <w:rsid w:val="736FD04B"/>
    <w:rsid w:val="7370B78D"/>
    <w:rsid w:val="7376019D"/>
    <w:rsid w:val="7377FA3F"/>
    <w:rsid w:val="73B2E10F"/>
    <w:rsid w:val="73D9B209"/>
    <w:rsid w:val="73DDB302"/>
    <w:rsid w:val="73F30589"/>
    <w:rsid w:val="73F34B80"/>
    <w:rsid w:val="74113658"/>
    <w:rsid w:val="7430974D"/>
    <w:rsid w:val="748E32E0"/>
    <w:rsid w:val="74A823DC"/>
    <w:rsid w:val="74B15CE5"/>
    <w:rsid w:val="74B758ED"/>
    <w:rsid w:val="74C4029E"/>
    <w:rsid w:val="74C6482B"/>
    <w:rsid w:val="74C74FC3"/>
    <w:rsid w:val="74D29A6B"/>
    <w:rsid w:val="750B2297"/>
    <w:rsid w:val="7512E64F"/>
    <w:rsid w:val="75180A9C"/>
    <w:rsid w:val="751892D5"/>
    <w:rsid w:val="751B695C"/>
    <w:rsid w:val="753E2DD4"/>
    <w:rsid w:val="7549A33A"/>
    <w:rsid w:val="75575830"/>
    <w:rsid w:val="756B6E55"/>
    <w:rsid w:val="757305BF"/>
    <w:rsid w:val="757844DF"/>
    <w:rsid w:val="7578728A"/>
    <w:rsid w:val="75793384"/>
    <w:rsid w:val="758D2E50"/>
    <w:rsid w:val="759F5CE5"/>
    <w:rsid w:val="75A0184C"/>
    <w:rsid w:val="75BBBB54"/>
    <w:rsid w:val="75BFDD66"/>
    <w:rsid w:val="75C106DB"/>
    <w:rsid w:val="75C6BE67"/>
    <w:rsid w:val="76123EF4"/>
    <w:rsid w:val="761D8629"/>
    <w:rsid w:val="763CED17"/>
    <w:rsid w:val="7671FEF0"/>
    <w:rsid w:val="767B6321"/>
    <w:rsid w:val="76A043DF"/>
    <w:rsid w:val="76A12A0E"/>
    <w:rsid w:val="76D03955"/>
    <w:rsid w:val="76D969E9"/>
    <w:rsid w:val="76F029B4"/>
    <w:rsid w:val="76F1001E"/>
    <w:rsid w:val="771F169B"/>
    <w:rsid w:val="776C26D7"/>
    <w:rsid w:val="777AF729"/>
    <w:rsid w:val="7788D963"/>
    <w:rsid w:val="778BAC2C"/>
    <w:rsid w:val="778EBD9E"/>
    <w:rsid w:val="778ECA06"/>
    <w:rsid w:val="77A35DF4"/>
    <w:rsid w:val="77B36AF5"/>
    <w:rsid w:val="77BA9E3F"/>
    <w:rsid w:val="77BBD64B"/>
    <w:rsid w:val="77BD519E"/>
    <w:rsid w:val="77C05F64"/>
    <w:rsid w:val="77C4B045"/>
    <w:rsid w:val="77C61514"/>
    <w:rsid w:val="77E1F585"/>
    <w:rsid w:val="77FEE227"/>
    <w:rsid w:val="7807B391"/>
    <w:rsid w:val="780AF961"/>
    <w:rsid w:val="7810C1A8"/>
    <w:rsid w:val="782CA478"/>
    <w:rsid w:val="78330B8E"/>
    <w:rsid w:val="783E616A"/>
    <w:rsid w:val="7866FAA9"/>
    <w:rsid w:val="789C6674"/>
    <w:rsid w:val="789DF7CF"/>
    <w:rsid w:val="78C6B191"/>
    <w:rsid w:val="78CF545E"/>
    <w:rsid w:val="78D32569"/>
    <w:rsid w:val="78D37A33"/>
    <w:rsid w:val="78DEB3C7"/>
    <w:rsid w:val="78F1E537"/>
    <w:rsid w:val="78FAA164"/>
    <w:rsid w:val="791C0998"/>
    <w:rsid w:val="79352539"/>
    <w:rsid w:val="79361D72"/>
    <w:rsid w:val="7943FA7E"/>
    <w:rsid w:val="7952ABBF"/>
    <w:rsid w:val="7959EC48"/>
    <w:rsid w:val="7974B992"/>
    <w:rsid w:val="79802D95"/>
    <w:rsid w:val="798459B9"/>
    <w:rsid w:val="798B2048"/>
    <w:rsid w:val="7994F3A2"/>
    <w:rsid w:val="799579DA"/>
    <w:rsid w:val="79975D28"/>
    <w:rsid w:val="79ABACDF"/>
    <w:rsid w:val="79E570F1"/>
    <w:rsid w:val="7A006420"/>
    <w:rsid w:val="7A3232AA"/>
    <w:rsid w:val="7A4CD4E6"/>
    <w:rsid w:val="7A5CAE2C"/>
    <w:rsid w:val="7A868B9C"/>
    <w:rsid w:val="7A8E3443"/>
    <w:rsid w:val="7A932C9B"/>
    <w:rsid w:val="7A968670"/>
    <w:rsid w:val="7AABF488"/>
    <w:rsid w:val="7AB78488"/>
    <w:rsid w:val="7ABCAE98"/>
    <w:rsid w:val="7AC1D659"/>
    <w:rsid w:val="7ACE18C2"/>
    <w:rsid w:val="7ADEA7A1"/>
    <w:rsid w:val="7B08B781"/>
    <w:rsid w:val="7B263DDE"/>
    <w:rsid w:val="7B498C99"/>
    <w:rsid w:val="7B5176B7"/>
    <w:rsid w:val="7B5E3D95"/>
    <w:rsid w:val="7B5E49C8"/>
    <w:rsid w:val="7B6CF487"/>
    <w:rsid w:val="7B6F16A4"/>
    <w:rsid w:val="7B7CC600"/>
    <w:rsid w:val="7B7D0BB8"/>
    <w:rsid w:val="7BA06E20"/>
    <w:rsid w:val="7BA679A2"/>
    <w:rsid w:val="7BAF595F"/>
    <w:rsid w:val="7BBE589E"/>
    <w:rsid w:val="7BD0FA5E"/>
    <w:rsid w:val="7BDAAFD9"/>
    <w:rsid w:val="7BF1F10A"/>
    <w:rsid w:val="7BF745B7"/>
    <w:rsid w:val="7BFDF62A"/>
    <w:rsid w:val="7C004EEE"/>
    <w:rsid w:val="7C1DC225"/>
    <w:rsid w:val="7C39AAD6"/>
    <w:rsid w:val="7C78DE73"/>
    <w:rsid w:val="7C793A9D"/>
    <w:rsid w:val="7C9D7A89"/>
    <w:rsid w:val="7CDD897E"/>
    <w:rsid w:val="7CEC1B8A"/>
    <w:rsid w:val="7CED2411"/>
    <w:rsid w:val="7CFB28D8"/>
    <w:rsid w:val="7D00DE1C"/>
    <w:rsid w:val="7D04CFD7"/>
    <w:rsid w:val="7D09769B"/>
    <w:rsid w:val="7D2993AC"/>
    <w:rsid w:val="7D2DE480"/>
    <w:rsid w:val="7D39CB0F"/>
    <w:rsid w:val="7D48213E"/>
    <w:rsid w:val="7D6AAAAE"/>
    <w:rsid w:val="7D721010"/>
    <w:rsid w:val="7D7411D2"/>
    <w:rsid w:val="7D756832"/>
    <w:rsid w:val="7D89EFB4"/>
    <w:rsid w:val="7D974B1F"/>
    <w:rsid w:val="7DA920C7"/>
    <w:rsid w:val="7DBB6FD2"/>
    <w:rsid w:val="7DD83AE1"/>
    <w:rsid w:val="7DE0554F"/>
    <w:rsid w:val="7DE69094"/>
    <w:rsid w:val="7DF32863"/>
    <w:rsid w:val="7E063FCD"/>
    <w:rsid w:val="7E1FE028"/>
    <w:rsid w:val="7E289237"/>
    <w:rsid w:val="7E2A3D83"/>
    <w:rsid w:val="7E387E98"/>
    <w:rsid w:val="7E3BAE7D"/>
    <w:rsid w:val="7E3D6B3A"/>
    <w:rsid w:val="7E3EC4D6"/>
    <w:rsid w:val="7E5FADF1"/>
    <w:rsid w:val="7E7788A5"/>
    <w:rsid w:val="7E800F03"/>
    <w:rsid w:val="7E8BDB7C"/>
    <w:rsid w:val="7E9809AC"/>
    <w:rsid w:val="7EA0A038"/>
    <w:rsid w:val="7EB9C895"/>
    <w:rsid w:val="7EC26095"/>
    <w:rsid w:val="7EC8F9D6"/>
    <w:rsid w:val="7ED5E49F"/>
    <w:rsid w:val="7F00BFA8"/>
    <w:rsid w:val="7F0F7812"/>
    <w:rsid w:val="7F121070"/>
    <w:rsid w:val="7F13F8C9"/>
    <w:rsid w:val="7F2C48CB"/>
    <w:rsid w:val="7F37B96D"/>
    <w:rsid w:val="7F3DCFFF"/>
    <w:rsid w:val="7F607DD6"/>
    <w:rsid w:val="7F6B411F"/>
    <w:rsid w:val="7F78B4CB"/>
    <w:rsid w:val="7FAE6FD9"/>
    <w:rsid w:val="7FB91BA8"/>
    <w:rsid w:val="7FC9EE17"/>
    <w:rsid w:val="7FEADF3E"/>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97D7CB6"/>
  <w15:chartTrackingRefBased/>
  <w15:docId w15:val="{7598D1D6-5C27-4987-9CD6-3F70C6915C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uiPriority="4" w:qFormat="1"/>
    <w:lsdException w:name="heading 3" w:uiPriority="4" w:qFormat="1"/>
    <w:lsdException w:name="heading 4" w:uiPriority="4"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E06"/>
    <w:rPr>
      <w:rFonts w:ascii="Arial" w:hAnsi="Arial"/>
      <w:sz w:val="24"/>
      <w:szCs w:val="24"/>
    </w:rPr>
  </w:style>
  <w:style w:type="paragraph" w:styleId="Heading1">
    <w:name w:val="heading 1"/>
    <w:basedOn w:val="Normal"/>
    <w:next w:val="Normal"/>
    <w:link w:val="Heading1Char"/>
    <w:uiPriority w:val="4"/>
    <w:qFormat/>
    <w:rsid w:val="00155C3B"/>
    <w:pPr>
      <w:keepNext/>
      <w:keepLines/>
      <w:spacing w:before="480" w:after="120" w:line="288" w:lineRule="auto"/>
      <w:outlineLvl w:val="0"/>
    </w:pPr>
    <w:rPr>
      <w:rFonts w:eastAsiaTheme="majorEastAsia" w:cs="Arial"/>
      <w:b/>
      <w:color w:val="15284C" w:themeColor="text2"/>
      <w:sz w:val="52"/>
      <w:szCs w:val="32"/>
    </w:rPr>
  </w:style>
  <w:style w:type="paragraph" w:styleId="Heading2">
    <w:name w:val="heading 2"/>
    <w:basedOn w:val="Normal"/>
    <w:next w:val="Normal"/>
    <w:link w:val="Heading2Char"/>
    <w:uiPriority w:val="4"/>
    <w:qFormat/>
    <w:rsid w:val="00DC5A64"/>
    <w:pPr>
      <w:keepNext/>
      <w:keepLines/>
      <w:spacing w:before="360" w:after="120" w:line="288" w:lineRule="auto"/>
      <w:outlineLvl w:val="1"/>
    </w:pPr>
    <w:rPr>
      <w:rFonts w:eastAsiaTheme="majorEastAsia" w:cs="Arial"/>
      <w:b/>
      <w:color w:val="15284C"/>
      <w:sz w:val="32"/>
      <w:szCs w:val="26"/>
    </w:rPr>
  </w:style>
  <w:style w:type="paragraph" w:styleId="Heading3">
    <w:name w:val="heading 3"/>
    <w:basedOn w:val="Normal"/>
    <w:next w:val="Normal"/>
    <w:link w:val="Heading3Char"/>
    <w:uiPriority w:val="4"/>
    <w:qFormat/>
    <w:rsid w:val="00E550E4"/>
    <w:pPr>
      <w:keepNext/>
      <w:keepLines/>
      <w:spacing w:before="360" w:after="120" w:line="288" w:lineRule="auto"/>
      <w:outlineLvl w:val="2"/>
    </w:pPr>
    <w:rPr>
      <w:rFonts w:eastAsiaTheme="majorEastAsia" w:cs="Arial"/>
      <w:color w:val="15284C" w:themeColor="text2"/>
      <w:sz w:val="32"/>
    </w:rPr>
  </w:style>
  <w:style w:type="paragraph" w:styleId="Heading4">
    <w:name w:val="heading 4"/>
    <w:basedOn w:val="Normal"/>
    <w:next w:val="Normal"/>
    <w:link w:val="Heading4Char"/>
    <w:uiPriority w:val="4"/>
    <w:unhideWhenUsed/>
    <w:qFormat/>
    <w:rsid w:val="009E2220"/>
    <w:pPr>
      <w:keepNext/>
      <w:keepLines/>
      <w:spacing w:before="40" w:after="0" w:line="288" w:lineRule="auto"/>
      <w:outlineLvl w:val="3"/>
    </w:pPr>
    <w:rPr>
      <w:rFonts w:asciiTheme="majorHAnsi" w:eastAsiaTheme="majorEastAsia" w:hAnsiTheme="majorHAnsi" w:cstheme="majorBidi"/>
      <w:b/>
      <w:iCs/>
      <w:color w:val="15284C" w:themeColor="text1"/>
    </w:rPr>
  </w:style>
  <w:style w:type="paragraph" w:styleId="Heading5">
    <w:name w:val="heading 5"/>
    <w:basedOn w:val="Normal"/>
    <w:next w:val="Normal"/>
    <w:link w:val="Heading5Char"/>
    <w:uiPriority w:val="9"/>
    <w:semiHidden/>
    <w:qFormat/>
    <w:rsid w:val="00E85CA2"/>
    <w:pPr>
      <w:keepNext/>
      <w:keepLines/>
      <w:spacing w:before="40" w:after="0"/>
      <w:outlineLvl w:val="4"/>
    </w:pPr>
    <w:rPr>
      <w:rFonts w:asciiTheme="majorHAnsi" w:eastAsiaTheme="majorEastAsia" w:hAnsiTheme="majorHAnsi" w:cstheme="majorBidi"/>
      <w:color w:val="391A5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rsid w:val="00D74A52"/>
    <w:pPr>
      <w:spacing w:after="0" w:line="240" w:lineRule="auto"/>
      <w:contextualSpacing/>
    </w:pPr>
    <w:rPr>
      <w:rFonts w:asciiTheme="majorHAnsi" w:eastAsiaTheme="majorEastAsia" w:hAnsiTheme="majorHAnsi" w:cstheme="majorBidi"/>
      <w:b/>
      <w:color w:val="15284C" w:themeColor="text2"/>
      <w:spacing w:val="-10"/>
      <w:kern w:val="28"/>
      <w:sz w:val="110"/>
      <w:szCs w:val="56"/>
    </w:rPr>
  </w:style>
  <w:style w:type="character" w:customStyle="1" w:styleId="TitleChar">
    <w:name w:val="Title Char"/>
    <w:basedOn w:val="DefaultParagraphFont"/>
    <w:link w:val="Title"/>
    <w:uiPriority w:val="99"/>
    <w:rsid w:val="00D74A52"/>
    <w:rPr>
      <w:rFonts w:asciiTheme="majorHAnsi" w:eastAsiaTheme="majorEastAsia" w:hAnsiTheme="majorHAnsi" w:cstheme="majorBidi"/>
      <w:b/>
      <w:color w:val="15284C" w:themeColor="text2"/>
      <w:spacing w:val="-10"/>
      <w:kern w:val="28"/>
      <w:sz w:val="110"/>
      <w:szCs w:val="56"/>
    </w:rPr>
  </w:style>
  <w:style w:type="paragraph" w:styleId="Subtitle">
    <w:name w:val="Subtitle"/>
    <w:basedOn w:val="Normal"/>
    <w:next w:val="Normal"/>
    <w:link w:val="SubtitleChar"/>
    <w:uiPriority w:val="99"/>
    <w:qFormat/>
    <w:rsid w:val="00D74A52"/>
    <w:pPr>
      <w:numPr>
        <w:ilvl w:val="1"/>
      </w:numPr>
      <w:spacing w:before="160" w:after="240" w:line="288" w:lineRule="auto"/>
    </w:pPr>
    <w:rPr>
      <w:rFonts w:asciiTheme="minorHAnsi" w:eastAsiaTheme="minorEastAsia" w:hAnsiTheme="minorHAnsi"/>
      <w:b/>
      <w:color w:val="15284C" w:themeColor="text2"/>
      <w:sz w:val="64"/>
    </w:rPr>
  </w:style>
  <w:style w:type="character" w:customStyle="1" w:styleId="SubtitleChar">
    <w:name w:val="Subtitle Char"/>
    <w:basedOn w:val="DefaultParagraphFont"/>
    <w:link w:val="Subtitle"/>
    <w:uiPriority w:val="99"/>
    <w:rsid w:val="00D74A52"/>
    <w:rPr>
      <w:rFonts w:eastAsiaTheme="minorEastAsia"/>
      <w:b/>
      <w:color w:val="15284C" w:themeColor="text2"/>
      <w:sz w:val="64"/>
    </w:rPr>
  </w:style>
  <w:style w:type="paragraph" w:styleId="Header">
    <w:name w:val="header"/>
    <w:basedOn w:val="Normal"/>
    <w:link w:val="HeaderChar"/>
    <w:uiPriority w:val="99"/>
    <w:semiHidden/>
    <w:rsid w:val="00817A3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C033FA"/>
    <w:rPr>
      <w:sz w:val="24"/>
    </w:rPr>
  </w:style>
  <w:style w:type="paragraph" w:styleId="Footer">
    <w:name w:val="footer"/>
    <w:basedOn w:val="Normal"/>
    <w:link w:val="FooterChar"/>
    <w:uiPriority w:val="99"/>
    <w:semiHidden/>
    <w:rsid w:val="00817A3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C2E5B"/>
    <w:rPr>
      <w:sz w:val="24"/>
    </w:rPr>
  </w:style>
  <w:style w:type="paragraph" w:customStyle="1" w:styleId="Provider">
    <w:name w:val="Provider"/>
    <w:uiPriority w:val="99"/>
    <w:qFormat/>
    <w:rsid w:val="0087795F"/>
    <w:rPr>
      <w:rFonts w:eastAsiaTheme="minorEastAsia"/>
      <w:b/>
      <w:color w:val="2DCCD3"/>
      <w:sz w:val="56"/>
    </w:rPr>
  </w:style>
  <w:style w:type="character" w:customStyle="1" w:styleId="Heading1Char">
    <w:name w:val="Heading 1 Char"/>
    <w:basedOn w:val="DefaultParagraphFont"/>
    <w:link w:val="Heading1"/>
    <w:uiPriority w:val="4"/>
    <w:rsid w:val="00155C3B"/>
    <w:rPr>
      <w:rFonts w:ascii="Arial" w:eastAsiaTheme="majorEastAsia" w:hAnsi="Arial" w:cs="Arial"/>
      <w:b/>
      <w:color w:val="15284C" w:themeColor="text2"/>
      <w:sz w:val="52"/>
      <w:szCs w:val="32"/>
    </w:rPr>
  </w:style>
  <w:style w:type="paragraph" w:customStyle="1" w:styleId="NumberedHeading1">
    <w:name w:val="Numbered Heading 1"/>
    <w:basedOn w:val="Heading1"/>
    <w:next w:val="Normal"/>
    <w:link w:val="NumberedHeading1Char"/>
    <w:uiPriority w:val="10"/>
    <w:qFormat/>
    <w:rsid w:val="00DA37BE"/>
    <w:pPr>
      <w:numPr>
        <w:ilvl w:val="1"/>
      </w:numPr>
      <w:spacing w:before="360" w:after="360"/>
      <w:ind w:left="1134" w:hanging="1134"/>
    </w:pPr>
    <w:rPr>
      <w:sz w:val="44"/>
    </w:rPr>
  </w:style>
  <w:style w:type="character" w:customStyle="1" w:styleId="Heading2Char">
    <w:name w:val="Heading 2 Char"/>
    <w:basedOn w:val="DefaultParagraphFont"/>
    <w:link w:val="Heading2"/>
    <w:uiPriority w:val="4"/>
    <w:rsid w:val="00DC5A64"/>
    <w:rPr>
      <w:rFonts w:ascii="Arial" w:eastAsiaTheme="majorEastAsia" w:hAnsi="Arial" w:cs="Arial"/>
      <w:b/>
      <w:color w:val="15284C"/>
      <w:sz w:val="32"/>
      <w:szCs w:val="26"/>
    </w:rPr>
  </w:style>
  <w:style w:type="character" w:customStyle="1" w:styleId="Heading3Char">
    <w:name w:val="Heading 3 Char"/>
    <w:basedOn w:val="DefaultParagraphFont"/>
    <w:link w:val="Heading3"/>
    <w:uiPriority w:val="4"/>
    <w:rsid w:val="00E550E4"/>
    <w:rPr>
      <w:rFonts w:ascii="Arial" w:eastAsiaTheme="majorEastAsia" w:hAnsi="Arial" w:cs="Arial"/>
      <w:color w:val="15284C" w:themeColor="text2"/>
      <w:sz w:val="32"/>
      <w:szCs w:val="24"/>
    </w:rPr>
  </w:style>
  <w:style w:type="paragraph" w:customStyle="1" w:styleId="NumberedHeading2">
    <w:name w:val="Numbered Heading 2"/>
    <w:basedOn w:val="Heading2"/>
    <w:next w:val="Normal"/>
    <w:link w:val="NumberedHeading2Char"/>
    <w:uiPriority w:val="10"/>
    <w:rsid w:val="00A847A3"/>
    <w:pPr>
      <w:numPr>
        <w:ilvl w:val="2"/>
        <w:numId w:val="48"/>
      </w:numPr>
    </w:pPr>
  </w:style>
  <w:style w:type="paragraph" w:customStyle="1" w:styleId="NumberedHeading3">
    <w:name w:val="Numbered Heading 3"/>
    <w:basedOn w:val="Heading3"/>
    <w:next w:val="Normal"/>
    <w:link w:val="NumberedHeading3Char"/>
    <w:uiPriority w:val="10"/>
    <w:rsid w:val="005117CD"/>
    <w:pPr>
      <w:numPr>
        <w:ilvl w:val="3"/>
        <w:numId w:val="48"/>
      </w:numPr>
      <w:spacing w:before="120"/>
    </w:pPr>
    <w:rPr>
      <w:i/>
      <w:sz w:val="28"/>
    </w:rPr>
  </w:style>
  <w:style w:type="paragraph" w:styleId="TOCHeading">
    <w:name w:val="TOC Heading"/>
    <w:next w:val="Normal"/>
    <w:uiPriority w:val="39"/>
    <w:semiHidden/>
    <w:qFormat/>
    <w:rsid w:val="00630DE1"/>
    <w:pPr>
      <w:spacing w:before="360"/>
    </w:pPr>
    <w:rPr>
      <w:rFonts w:asciiTheme="majorHAnsi" w:eastAsiaTheme="majorEastAsia" w:hAnsiTheme="majorHAnsi" w:cstheme="majorBidi"/>
      <w:b/>
      <w:color w:val="15284C" w:themeColor="text2"/>
      <w:sz w:val="72"/>
      <w:szCs w:val="32"/>
    </w:rPr>
  </w:style>
  <w:style w:type="paragraph" w:styleId="TOC1">
    <w:name w:val="toc 1"/>
    <w:basedOn w:val="Normal"/>
    <w:next w:val="Normal"/>
    <w:autoRedefine/>
    <w:uiPriority w:val="39"/>
    <w:rsid w:val="00FB59C4"/>
    <w:pPr>
      <w:tabs>
        <w:tab w:val="right" w:pos="9628"/>
      </w:tabs>
      <w:spacing w:before="300" w:after="100"/>
    </w:pPr>
    <w:rPr>
      <w:b/>
    </w:rPr>
  </w:style>
  <w:style w:type="paragraph" w:styleId="TOC2">
    <w:name w:val="toc 2"/>
    <w:basedOn w:val="Normal"/>
    <w:next w:val="Normal"/>
    <w:autoRedefine/>
    <w:uiPriority w:val="39"/>
    <w:rsid w:val="00F54D07"/>
    <w:pPr>
      <w:tabs>
        <w:tab w:val="left" w:pos="880"/>
        <w:tab w:val="right" w:pos="9628"/>
      </w:tabs>
      <w:spacing w:after="100"/>
      <w:ind w:left="240"/>
    </w:pPr>
  </w:style>
  <w:style w:type="paragraph" w:styleId="TOC3">
    <w:name w:val="toc 3"/>
    <w:basedOn w:val="Normal"/>
    <w:next w:val="Normal"/>
    <w:autoRedefine/>
    <w:uiPriority w:val="39"/>
    <w:rsid w:val="00630DE1"/>
    <w:pPr>
      <w:spacing w:after="100"/>
      <w:ind w:left="480"/>
    </w:pPr>
  </w:style>
  <w:style w:type="character" w:styleId="Hyperlink">
    <w:name w:val="Hyperlink"/>
    <w:basedOn w:val="DefaultParagraphFont"/>
    <w:uiPriority w:val="99"/>
    <w:rsid w:val="00B75F7F"/>
    <w:rPr>
      <w:b/>
      <w:color w:val="auto"/>
      <w:u w:val="single"/>
    </w:rPr>
  </w:style>
  <w:style w:type="character" w:styleId="UnresolvedMention">
    <w:name w:val="Unresolved Mention"/>
    <w:basedOn w:val="DefaultParagraphFont"/>
    <w:uiPriority w:val="99"/>
    <w:semiHidden/>
    <w:unhideWhenUsed/>
    <w:rsid w:val="00B75F7F"/>
    <w:rPr>
      <w:color w:val="605E5C"/>
      <w:shd w:val="clear" w:color="auto" w:fill="E1DFDD"/>
    </w:rPr>
  </w:style>
  <w:style w:type="table" w:styleId="TableGrid">
    <w:name w:val="Table Grid"/>
    <w:basedOn w:val="TableNormal"/>
    <w:uiPriority w:val="39"/>
    <w:rsid w:val="00AE7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ListParagraph"/>
    <w:qFormat/>
    <w:rsid w:val="009A7573"/>
    <w:pPr>
      <w:numPr>
        <w:numId w:val="47"/>
      </w:numPr>
    </w:pPr>
  </w:style>
  <w:style w:type="paragraph" w:styleId="ListBullet2">
    <w:name w:val="List Bullet 2"/>
    <w:basedOn w:val="Normal"/>
    <w:uiPriority w:val="8"/>
    <w:rsid w:val="00C033FA"/>
    <w:pPr>
      <w:numPr>
        <w:numId w:val="1"/>
      </w:numPr>
      <w:tabs>
        <w:tab w:val="left" w:pos="851"/>
      </w:tabs>
      <w:spacing w:after="120"/>
      <w:ind w:left="850" w:hanging="425"/>
    </w:pPr>
  </w:style>
  <w:style w:type="paragraph" w:styleId="ListBullet3">
    <w:name w:val="List Bullet 3"/>
    <w:basedOn w:val="Normal"/>
    <w:uiPriority w:val="8"/>
    <w:rsid w:val="005938BD"/>
    <w:pPr>
      <w:numPr>
        <w:numId w:val="2"/>
      </w:numPr>
      <w:tabs>
        <w:tab w:val="left" w:pos="1276"/>
      </w:tabs>
      <w:spacing w:after="120"/>
      <w:ind w:left="1276" w:hanging="425"/>
    </w:pPr>
  </w:style>
  <w:style w:type="paragraph" w:styleId="ListNumber">
    <w:name w:val="List Number"/>
    <w:basedOn w:val="Normal"/>
    <w:uiPriority w:val="8"/>
    <w:rsid w:val="005938BD"/>
    <w:pPr>
      <w:numPr>
        <w:numId w:val="3"/>
      </w:numPr>
      <w:tabs>
        <w:tab w:val="left" w:pos="425"/>
      </w:tabs>
      <w:spacing w:after="120"/>
      <w:ind w:left="425" w:hanging="425"/>
    </w:pPr>
  </w:style>
  <w:style w:type="paragraph" w:styleId="ListNumber2">
    <w:name w:val="List Number 2"/>
    <w:basedOn w:val="Normal"/>
    <w:uiPriority w:val="8"/>
    <w:rsid w:val="005938BD"/>
    <w:pPr>
      <w:numPr>
        <w:numId w:val="4"/>
      </w:numPr>
      <w:tabs>
        <w:tab w:val="left" w:pos="851"/>
      </w:tabs>
      <w:spacing w:after="120"/>
      <w:ind w:left="850" w:hanging="425"/>
    </w:pPr>
  </w:style>
  <w:style w:type="character" w:customStyle="1" w:styleId="Heading4Char">
    <w:name w:val="Heading 4 Char"/>
    <w:basedOn w:val="DefaultParagraphFont"/>
    <w:link w:val="Heading4"/>
    <w:uiPriority w:val="4"/>
    <w:rsid w:val="009E2220"/>
    <w:rPr>
      <w:rFonts w:asciiTheme="majorHAnsi" w:eastAsiaTheme="majorEastAsia" w:hAnsiTheme="majorHAnsi" w:cstheme="majorBidi"/>
      <w:b/>
      <w:iCs/>
      <w:color w:val="15284C" w:themeColor="text1"/>
      <w:sz w:val="24"/>
    </w:rPr>
  </w:style>
  <w:style w:type="paragraph" w:styleId="FootnoteText">
    <w:name w:val="footnote text"/>
    <w:basedOn w:val="Normal"/>
    <w:link w:val="FootnoteTextChar"/>
    <w:uiPriority w:val="99"/>
    <w:semiHidden/>
    <w:rsid w:val="004C2E5B"/>
    <w:pPr>
      <w:tabs>
        <w:tab w:val="left" w:pos="170"/>
      </w:tabs>
      <w:spacing w:after="0" w:line="240" w:lineRule="auto"/>
      <w:ind w:left="170" w:hanging="170"/>
    </w:pPr>
    <w:rPr>
      <w:sz w:val="20"/>
      <w:szCs w:val="20"/>
    </w:rPr>
  </w:style>
  <w:style w:type="character" w:customStyle="1" w:styleId="FootnoteTextChar">
    <w:name w:val="Footnote Text Char"/>
    <w:basedOn w:val="DefaultParagraphFont"/>
    <w:link w:val="FootnoteText"/>
    <w:uiPriority w:val="99"/>
    <w:semiHidden/>
    <w:rsid w:val="00852A28"/>
    <w:rPr>
      <w:sz w:val="20"/>
      <w:szCs w:val="20"/>
    </w:rPr>
  </w:style>
  <w:style w:type="character" w:styleId="FootnoteReference">
    <w:name w:val="footnote reference"/>
    <w:basedOn w:val="DefaultParagraphFont"/>
    <w:uiPriority w:val="99"/>
    <w:semiHidden/>
    <w:unhideWhenUsed/>
    <w:rsid w:val="004C2E5B"/>
    <w:rPr>
      <w:vertAlign w:val="superscript"/>
    </w:rPr>
  </w:style>
  <w:style w:type="table" w:styleId="GridTable4">
    <w:name w:val="Grid Table 4"/>
    <w:basedOn w:val="TableNormal"/>
    <w:uiPriority w:val="49"/>
    <w:rsid w:val="00FC095A"/>
    <w:pPr>
      <w:spacing w:before="60" w:after="60" w:line="240" w:lineRule="auto"/>
    </w:pPr>
    <w:tblPr>
      <w:tblStyleRowBandSize w:val="1"/>
      <w:tblStyleColBandSize w:val="1"/>
      <w:tblBorders>
        <w:top w:val="single" w:sz="4" w:space="0" w:color="3C6DC9" w:themeColor="text1" w:themeTint="99"/>
        <w:left w:val="single" w:sz="4" w:space="0" w:color="3C6DC9" w:themeColor="text1" w:themeTint="99"/>
        <w:bottom w:val="single" w:sz="4" w:space="0" w:color="3C6DC9" w:themeColor="text1" w:themeTint="99"/>
        <w:right w:val="single" w:sz="4" w:space="0" w:color="3C6DC9" w:themeColor="text1" w:themeTint="99"/>
        <w:insideH w:val="single" w:sz="4" w:space="0" w:color="3C6DC9" w:themeColor="text1" w:themeTint="99"/>
        <w:insideV w:val="single" w:sz="4" w:space="0" w:color="3C6DC9" w:themeColor="text1" w:themeTint="99"/>
      </w:tblBorders>
    </w:tblPr>
    <w:tblStylePr w:type="firstRow">
      <w:rPr>
        <w:b/>
        <w:bCs/>
        <w:color w:val="F6F4EC" w:themeColor="background1"/>
      </w:rPr>
      <w:tblPr/>
      <w:tcPr>
        <w:tcBorders>
          <w:top w:val="single" w:sz="4" w:space="0" w:color="15284C" w:themeColor="text1"/>
          <w:left w:val="single" w:sz="4" w:space="0" w:color="15284C" w:themeColor="text1"/>
          <w:bottom w:val="single" w:sz="4" w:space="0" w:color="15284C" w:themeColor="text1"/>
          <w:right w:val="single" w:sz="4" w:space="0" w:color="15284C" w:themeColor="text1"/>
          <w:insideH w:val="nil"/>
          <w:insideV w:val="nil"/>
        </w:tcBorders>
        <w:shd w:val="clear" w:color="auto" w:fill="15284C" w:themeFill="text1"/>
      </w:tcPr>
    </w:tblStylePr>
    <w:tblStylePr w:type="lastRow">
      <w:rPr>
        <w:b/>
        <w:bCs/>
      </w:rPr>
      <w:tblPr/>
      <w:tcPr>
        <w:tcBorders>
          <w:top w:val="double" w:sz="4" w:space="0" w:color="15284C" w:themeColor="text1"/>
        </w:tcBorders>
      </w:tcPr>
    </w:tblStylePr>
    <w:tblStylePr w:type="firstCol">
      <w:rPr>
        <w:b/>
        <w:bCs/>
      </w:rPr>
    </w:tblStylePr>
    <w:tblStylePr w:type="lastCol">
      <w:rPr>
        <w:b/>
        <w:bCs/>
      </w:rPr>
    </w:tblStylePr>
    <w:tblStylePr w:type="band1Vert">
      <w:tblPr/>
      <w:tcPr>
        <w:shd w:val="clear" w:color="auto" w:fill="BECEED" w:themeFill="text1" w:themeFillTint="33"/>
      </w:tcPr>
    </w:tblStylePr>
    <w:tblStylePr w:type="band1Horz">
      <w:tblPr/>
      <w:tcPr>
        <w:shd w:val="clear" w:color="auto" w:fill="BECEED" w:themeFill="text1" w:themeFillTint="33"/>
      </w:tcPr>
    </w:tblStylePr>
  </w:style>
  <w:style w:type="table" w:customStyle="1" w:styleId="TeWhatuOra">
    <w:name w:val="Te Whatu Ora"/>
    <w:basedOn w:val="TableNormal"/>
    <w:uiPriority w:val="99"/>
    <w:rsid w:val="00852A28"/>
    <w:pPr>
      <w:spacing w:before="100" w:beforeAutospacing="1" w:after="100" w:afterAutospacing="1"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blStylePr w:type="firstRow">
      <w:pPr>
        <w:wordWrap/>
        <w:spacing w:beforeLines="0" w:before="100" w:beforeAutospacing="1" w:afterLines="0" w:after="100" w:afterAutospacing="1"/>
        <w:jc w:val="left"/>
      </w:pPr>
      <w:rPr>
        <w:b/>
      </w:rPr>
      <w:tblPr/>
      <w:tcPr>
        <w:shd w:val="clear" w:color="auto" w:fill="CFC499" w:themeFill="background1" w:themeFillShade="BF"/>
        <w:vAlign w:val="center"/>
      </w:tcPr>
    </w:tblStylePr>
    <w:tblStylePr w:type="lastRow">
      <w:rPr>
        <w:b/>
      </w:rPr>
    </w:tblStylePr>
    <w:tblStylePr w:type="firstCol">
      <w:rPr>
        <w:b/>
      </w:rPr>
      <w:tblPr/>
      <w:tcPr>
        <w:shd w:val="clear" w:color="auto" w:fill="CFC499" w:themeFill="background1" w:themeFillShade="BF"/>
      </w:tcPr>
    </w:tblStylePr>
    <w:tblStylePr w:type="lastCol">
      <w:rPr>
        <w:b/>
      </w:rPr>
    </w:tblStylePr>
  </w:style>
  <w:style w:type="table" w:styleId="ListTable4">
    <w:name w:val="List Table 4"/>
    <w:basedOn w:val="TableNormal"/>
    <w:uiPriority w:val="49"/>
    <w:rsid w:val="00C0313E"/>
    <w:pPr>
      <w:spacing w:after="0" w:line="240" w:lineRule="auto"/>
    </w:pPr>
    <w:tblPr>
      <w:tblStyleRowBandSize w:val="1"/>
      <w:tblStyleColBandSize w:val="1"/>
      <w:tblBorders>
        <w:top w:val="single" w:sz="4" w:space="0" w:color="3C6DC9" w:themeColor="text1" w:themeTint="99"/>
        <w:left w:val="single" w:sz="4" w:space="0" w:color="3C6DC9" w:themeColor="text1" w:themeTint="99"/>
        <w:bottom w:val="single" w:sz="4" w:space="0" w:color="3C6DC9" w:themeColor="text1" w:themeTint="99"/>
        <w:right w:val="single" w:sz="4" w:space="0" w:color="3C6DC9" w:themeColor="text1" w:themeTint="99"/>
        <w:insideH w:val="single" w:sz="4" w:space="0" w:color="3C6DC9" w:themeColor="text1" w:themeTint="99"/>
      </w:tblBorders>
    </w:tblPr>
    <w:tblStylePr w:type="firstRow">
      <w:rPr>
        <w:b/>
        <w:bCs/>
        <w:color w:val="F6F4EC" w:themeColor="background1"/>
      </w:rPr>
      <w:tblPr/>
      <w:tcPr>
        <w:tcBorders>
          <w:top w:val="single" w:sz="4" w:space="0" w:color="15284C" w:themeColor="text1"/>
          <w:left w:val="single" w:sz="4" w:space="0" w:color="15284C" w:themeColor="text1"/>
          <w:bottom w:val="single" w:sz="4" w:space="0" w:color="15284C" w:themeColor="text1"/>
          <w:right w:val="single" w:sz="4" w:space="0" w:color="15284C" w:themeColor="text1"/>
          <w:insideH w:val="nil"/>
        </w:tcBorders>
        <w:shd w:val="clear" w:color="auto" w:fill="15284C" w:themeFill="text1"/>
      </w:tcPr>
    </w:tblStylePr>
    <w:tblStylePr w:type="lastRow">
      <w:rPr>
        <w:b/>
        <w:bCs/>
      </w:rPr>
      <w:tblPr/>
      <w:tcPr>
        <w:tcBorders>
          <w:top w:val="double" w:sz="4" w:space="0" w:color="3C6DC9" w:themeColor="text1" w:themeTint="99"/>
        </w:tcBorders>
      </w:tcPr>
    </w:tblStylePr>
    <w:tblStylePr w:type="firstCol">
      <w:rPr>
        <w:b/>
        <w:bCs/>
      </w:rPr>
    </w:tblStylePr>
    <w:tblStylePr w:type="lastCol">
      <w:rPr>
        <w:b/>
        <w:bCs/>
      </w:rPr>
    </w:tblStylePr>
    <w:tblStylePr w:type="band1Vert">
      <w:tblPr/>
      <w:tcPr>
        <w:shd w:val="clear" w:color="auto" w:fill="BECEED" w:themeFill="text1" w:themeFillTint="33"/>
      </w:tcPr>
    </w:tblStylePr>
    <w:tblStylePr w:type="band1Horz">
      <w:tblPr/>
      <w:tcPr>
        <w:shd w:val="clear" w:color="auto" w:fill="BECEED" w:themeFill="text1" w:themeFillTint="33"/>
      </w:tcPr>
    </w:tblStylePr>
  </w:style>
  <w:style w:type="table" w:styleId="TableGrid1">
    <w:name w:val="Table Grid 1"/>
    <w:basedOn w:val="TableNormal"/>
    <w:uiPriority w:val="99"/>
    <w:semiHidden/>
    <w:unhideWhenUsed/>
    <w:rsid w:val="00AE7FFD"/>
    <w:pPr>
      <w:spacing w:before="120" w:after="240" w:line="288"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Text">
    <w:name w:val="Table Text"/>
    <w:basedOn w:val="Normal"/>
    <w:uiPriority w:val="16"/>
    <w:qFormat/>
    <w:rsid w:val="00B6651A"/>
    <w:pPr>
      <w:spacing w:before="60" w:after="0" w:line="288" w:lineRule="auto"/>
    </w:pPr>
    <w:rPr>
      <w:rFonts w:cs="Arial"/>
      <w:sz w:val="22"/>
      <w:szCs w:val="18"/>
    </w:rPr>
  </w:style>
  <w:style w:type="paragraph" w:customStyle="1" w:styleId="Figure">
    <w:name w:val="Figure"/>
    <w:basedOn w:val="Normal"/>
    <w:uiPriority w:val="11"/>
    <w:qFormat/>
    <w:rsid w:val="00BD1621"/>
    <w:rPr>
      <w:b/>
      <w:sz w:val="22"/>
      <w:szCs w:val="22"/>
    </w:rPr>
  </w:style>
  <w:style w:type="paragraph" w:customStyle="1" w:styleId="Box">
    <w:name w:val="Box"/>
    <w:basedOn w:val="Normal"/>
    <w:qFormat/>
    <w:rsid w:val="008B75D1"/>
    <w:pPr>
      <w:pBdr>
        <w:top w:val="single" w:sz="8" w:space="8" w:color="5C85D2" w:themeColor="text2" w:themeTint="80"/>
        <w:left w:val="single" w:sz="8" w:space="8" w:color="5C85D2" w:themeColor="text2" w:themeTint="80"/>
        <w:bottom w:val="single" w:sz="8" w:space="8" w:color="5C85D2" w:themeColor="text2" w:themeTint="80"/>
        <w:right w:val="single" w:sz="8" w:space="8" w:color="5C85D2" w:themeColor="text2" w:themeTint="80"/>
      </w:pBdr>
      <w:shd w:val="clear" w:color="auto" w:fill="EEF0F8"/>
      <w:spacing w:after="120"/>
      <w:ind w:left="170" w:right="170"/>
    </w:pPr>
    <w:rPr>
      <w:i/>
    </w:rPr>
  </w:style>
  <w:style w:type="paragraph" w:customStyle="1" w:styleId="BoxBullet">
    <w:name w:val="Box Bullet"/>
    <w:basedOn w:val="Box"/>
    <w:qFormat/>
    <w:rsid w:val="005561E4"/>
    <w:pPr>
      <w:numPr>
        <w:numId w:val="5"/>
      </w:numPr>
    </w:pPr>
  </w:style>
  <w:style w:type="paragraph" w:customStyle="1" w:styleId="HiddenEditorialCommentary">
    <w:name w:val="Hidden Editorial Commentary"/>
    <w:basedOn w:val="Normal"/>
    <w:link w:val="HiddenEditorialCommentaryChar"/>
    <w:qFormat/>
    <w:rsid w:val="009C350C"/>
    <w:pPr>
      <w:spacing w:after="0" w:line="240" w:lineRule="auto"/>
    </w:pPr>
    <w:rPr>
      <w:rFonts w:ascii="Calibri" w:hAnsi="Calibri" w:cs="Calibri"/>
      <w:vanish/>
      <w:color w:val="BFBFBF" w:themeColor="accent6" w:themeShade="BF"/>
    </w:rPr>
  </w:style>
  <w:style w:type="character" w:customStyle="1" w:styleId="HiddenEditorialCommentaryChar">
    <w:name w:val="Hidden Editorial Commentary Char"/>
    <w:basedOn w:val="DefaultParagraphFont"/>
    <w:link w:val="HiddenEditorialCommentary"/>
    <w:rsid w:val="009C350C"/>
    <w:rPr>
      <w:rFonts w:ascii="Calibri" w:hAnsi="Calibri" w:cs="Calibri"/>
      <w:vanish/>
      <w:color w:val="BFBFBF" w:themeColor="accent6" w:themeShade="BF"/>
    </w:rPr>
  </w:style>
  <w:style w:type="character" w:styleId="CommentReference">
    <w:name w:val="annotation reference"/>
    <w:basedOn w:val="DefaultParagraphFont"/>
    <w:uiPriority w:val="99"/>
    <w:semiHidden/>
    <w:unhideWhenUsed/>
    <w:rsid w:val="00E133D0"/>
    <w:rPr>
      <w:sz w:val="16"/>
      <w:szCs w:val="16"/>
    </w:rPr>
  </w:style>
  <w:style w:type="paragraph" w:styleId="CommentText">
    <w:name w:val="annotation text"/>
    <w:basedOn w:val="Normal"/>
    <w:link w:val="CommentTextChar"/>
    <w:uiPriority w:val="99"/>
    <w:unhideWhenUsed/>
    <w:rsid w:val="00E133D0"/>
    <w:pPr>
      <w:spacing w:after="0" w:line="240" w:lineRule="auto"/>
    </w:pPr>
    <w:rPr>
      <w:rFonts w:ascii="Calibri" w:hAnsi="Calibri" w:cs="Calibri"/>
      <w:sz w:val="20"/>
      <w:szCs w:val="20"/>
    </w:rPr>
  </w:style>
  <w:style w:type="character" w:customStyle="1" w:styleId="CommentTextChar">
    <w:name w:val="Comment Text Char"/>
    <w:basedOn w:val="DefaultParagraphFont"/>
    <w:link w:val="CommentText"/>
    <w:uiPriority w:val="99"/>
    <w:rsid w:val="00E133D0"/>
    <w:rPr>
      <w:rFonts w:ascii="Calibri" w:hAnsi="Calibri" w:cs="Calibri"/>
      <w:sz w:val="20"/>
      <w:szCs w:val="20"/>
    </w:rPr>
  </w:style>
  <w:style w:type="character" w:styleId="Strong">
    <w:name w:val="Strong"/>
    <w:basedOn w:val="DefaultParagraphFont"/>
    <w:uiPriority w:val="22"/>
    <w:qFormat/>
    <w:rsid w:val="00E133D0"/>
    <w:rPr>
      <w:b/>
      <w:bCs/>
    </w:rPr>
  </w:style>
  <w:style w:type="paragraph" w:styleId="Bibliography">
    <w:name w:val="Bibliography"/>
    <w:basedOn w:val="Normal"/>
    <w:next w:val="Normal"/>
    <w:uiPriority w:val="37"/>
    <w:unhideWhenUsed/>
    <w:rsid w:val="00A93932"/>
  </w:style>
  <w:style w:type="paragraph" w:styleId="CommentSubject">
    <w:name w:val="annotation subject"/>
    <w:basedOn w:val="CommentText"/>
    <w:next w:val="CommentText"/>
    <w:link w:val="CommentSubjectChar"/>
    <w:uiPriority w:val="99"/>
    <w:semiHidden/>
    <w:unhideWhenUsed/>
    <w:rsid w:val="008875F3"/>
    <w:pPr>
      <w:spacing w:before="120" w:after="24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8875F3"/>
    <w:rPr>
      <w:rFonts w:ascii="Calibri" w:hAnsi="Calibri" w:cs="Calibri"/>
      <w:b/>
      <w:bCs/>
      <w:sz w:val="20"/>
      <w:szCs w:val="20"/>
    </w:rPr>
  </w:style>
  <w:style w:type="paragraph" w:styleId="Caption">
    <w:name w:val="caption"/>
    <w:basedOn w:val="Normal"/>
    <w:next w:val="Normal"/>
    <w:uiPriority w:val="35"/>
    <w:unhideWhenUsed/>
    <w:qFormat/>
    <w:rsid w:val="00797D92"/>
    <w:pPr>
      <w:spacing w:after="200" w:line="240" w:lineRule="auto"/>
    </w:pPr>
    <w:rPr>
      <w:i/>
      <w:iCs/>
      <w:color w:val="15284C" w:themeColor="text2"/>
      <w:sz w:val="20"/>
      <w:szCs w:val="18"/>
    </w:rPr>
  </w:style>
  <w:style w:type="paragraph" w:styleId="ListParagraph">
    <w:name w:val="List Paragraph"/>
    <w:basedOn w:val="Normal"/>
    <w:uiPriority w:val="34"/>
    <w:qFormat/>
    <w:rsid w:val="00290132"/>
    <w:pPr>
      <w:ind w:left="720"/>
      <w:contextualSpacing/>
    </w:pPr>
  </w:style>
  <w:style w:type="paragraph" w:styleId="Revision">
    <w:name w:val="Revision"/>
    <w:hidden/>
    <w:uiPriority w:val="99"/>
    <w:semiHidden/>
    <w:rsid w:val="00851B9D"/>
    <w:pPr>
      <w:spacing w:after="0" w:line="240" w:lineRule="auto"/>
    </w:pPr>
    <w:rPr>
      <w:sz w:val="24"/>
    </w:rPr>
  </w:style>
  <w:style w:type="paragraph" w:customStyle="1" w:styleId="Requirement">
    <w:name w:val="Requirement"/>
    <w:basedOn w:val="Normal"/>
    <w:link w:val="RequirementChar"/>
    <w:qFormat/>
    <w:rsid w:val="00B219C9"/>
    <w:pPr>
      <w:keepLines/>
      <w:ind w:left="567" w:right="567"/>
    </w:pPr>
  </w:style>
  <w:style w:type="character" w:customStyle="1" w:styleId="RequirementChar">
    <w:name w:val="Requirement Char"/>
    <w:basedOn w:val="DefaultParagraphFont"/>
    <w:link w:val="Requirement"/>
    <w:rsid w:val="00B219C9"/>
    <w:rPr>
      <w:rFonts w:ascii="Arial" w:hAnsi="Arial"/>
    </w:rPr>
  </w:style>
  <w:style w:type="character" w:customStyle="1" w:styleId="MessageHeaderLabel">
    <w:name w:val="Message Header Label"/>
    <w:rsid w:val="0089268E"/>
    <w:rPr>
      <w:rFonts w:ascii="Arial Black" w:hAnsi="Arial Black"/>
      <w:sz w:val="18"/>
    </w:rPr>
  </w:style>
  <w:style w:type="character" w:styleId="FollowedHyperlink">
    <w:name w:val="FollowedHyperlink"/>
    <w:basedOn w:val="DefaultParagraphFont"/>
    <w:uiPriority w:val="99"/>
    <w:semiHidden/>
    <w:unhideWhenUsed/>
    <w:rsid w:val="00B1481C"/>
    <w:rPr>
      <w:color w:val="954F72" w:themeColor="followedHyperlink"/>
      <w:u w:val="single"/>
    </w:rPr>
  </w:style>
  <w:style w:type="character" w:customStyle="1" w:styleId="Heading5Char">
    <w:name w:val="Heading 5 Char"/>
    <w:basedOn w:val="DefaultParagraphFont"/>
    <w:link w:val="Heading5"/>
    <w:uiPriority w:val="9"/>
    <w:semiHidden/>
    <w:rsid w:val="00E85CA2"/>
    <w:rPr>
      <w:rFonts w:asciiTheme="majorHAnsi" w:eastAsiaTheme="majorEastAsia" w:hAnsiTheme="majorHAnsi" w:cstheme="majorBidi"/>
      <w:color w:val="391A5A" w:themeColor="accent1" w:themeShade="BF"/>
      <w:sz w:val="24"/>
    </w:rPr>
  </w:style>
  <w:style w:type="paragraph" w:styleId="BodyText">
    <w:name w:val="Body Text"/>
    <w:aliases w:val="bt,(Alt+1),BodyText,body,text,b,b Char Char,Body Text(Alt+1),(Alt+1) copy,(Alt+9),Body,Corps de texte,Corps de,b Char Char Char,b Char Char Char Char Char Char,Body Char1 Char1,body italic-note,block,Body Text before bullet,IRMS (T),LEFT,BT,o"/>
    <w:basedOn w:val="Normal"/>
    <w:link w:val="BodyTextChar"/>
    <w:rsid w:val="00E85CA2"/>
    <w:pPr>
      <w:spacing w:before="200" w:after="0" w:line="260" w:lineRule="atLeast"/>
      <w:ind w:left="1134"/>
    </w:pPr>
    <w:rPr>
      <w:rFonts w:eastAsia="Times New Roman" w:cs="Times New Roman"/>
      <w:kern w:val="1"/>
      <w:sz w:val="20"/>
      <w:szCs w:val="20"/>
      <w:lang w:val="en-US"/>
    </w:rPr>
  </w:style>
  <w:style w:type="character" w:customStyle="1" w:styleId="BodyTextChar">
    <w:name w:val="Body Text Char"/>
    <w:aliases w:val="bt Char,(Alt+1) Char,BodyText Char,body Char,text Char,b Char,b Char Char Char1,Body Text(Alt+1) Char,(Alt+1) copy Char,(Alt+9) Char,Body Char,Corps de texte Char,Corps de Char,b Char Char Char Char,b Char Char Char Char Char Char Char"/>
    <w:basedOn w:val="DefaultParagraphFont"/>
    <w:link w:val="BodyText"/>
    <w:rsid w:val="00E85CA2"/>
    <w:rPr>
      <w:rFonts w:ascii="Arial" w:eastAsia="Times New Roman" w:hAnsi="Arial" w:cs="Times New Roman"/>
      <w:kern w:val="1"/>
      <w:sz w:val="20"/>
      <w:szCs w:val="20"/>
      <w:lang w:val="en-US"/>
    </w:rPr>
  </w:style>
  <w:style w:type="paragraph" w:customStyle="1" w:styleId="TableHeading">
    <w:name w:val="Table Heading"/>
    <w:basedOn w:val="TableText"/>
    <w:next w:val="TableText"/>
    <w:rsid w:val="00E85CA2"/>
    <w:pPr>
      <w:keepNext/>
      <w:keepLines/>
      <w:suppressAutoHyphens/>
      <w:spacing w:after="60" w:line="260" w:lineRule="atLeast"/>
    </w:pPr>
    <w:rPr>
      <w:rFonts w:eastAsia="Times New Roman" w:cs="Times New Roman"/>
      <w:b/>
      <w:kern w:val="28"/>
      <w:sz w:val="20"/>
      <w:lang w:val="en-US"/>
    </w:rPr>
  </w:style>
  <w:style w:type="paragraph" w:customStyle="1" w:styleId="EmphasisHeading">
    <w:name w:val="Emphasis Heading"/>
    <w:basedOn w:val="Normal"/>
    <w:link w:val="EmphasisHeadingChar"/>
    <w:qFormat/>
    <w:rsid w:val="003243DC"/>
    <w:pPr>
      <w:keepNext/>
      <w:spacing w:after="80" w:line="240" w:lineRule="auto"/>
    </w:pPr>
    <w:rPr>
      <w:b/>
      <w:bCs/>
    </w:rPr>
  </w:style>
  <w:style w:type="character" w:customStyle="1" w:styleId="EmphasisHeadingChar">
    <w:name w:val="Emphasis Heading Char"/>
    <w:basedOn w:val="DefaultParagraphFont"/>
    <w:link w:val="EmphasisHeading"/>
    <w:rsid w:val="003243DC"/>
    <w:rPr>
      <w:rFonts w:ascii="Arial" w:hAnsi="Arial"/>
      <w:b/>
      <w:bCs/>
    </w:rPr>
  </w:style>
  <w:style w:type="character" w:customStyle="1" w:styleId="cf01">
    <w:name w:val="cf01"/>
    <w:basedOn w:val="DefaultParagraphFont"/>
    <w:rsid w:val="00534988"/>
    <w:rPr>
      <w:rFonts w:ascii="Segoe UI" w:hAnsi="Segoe UI" w:cs="Segoe UI" w:hint="default"/>
      <w:sz w:val="18"/>
      <w:szCs w:val="18"/>
    </w:rPr>
  </w:style>
  <w:style w:type="table" w:customStyle="1" w:styleId="AureconTable3">
    <w:name w:val="Aurecon Table 3"/>
    <w:basedOn w:val="TableNormal"/>
    <w:uiPriority w:val="99"/>
    <w:rsid w:val="00B56528"/>
    <w:pPr>
      <w:spacing w:before="60" w:after="60" w:line="240" w:lineRule="auto"/>
    </w:pPr>
    <w:rPr>
      <w:sz w:val="18"/>
      <w:szCs w:val="20"/>
      <w:lang w:val="en-AU"/>
    </w:rPr>
    <w:tblPr>
      <w:tblBorders>
        <w:top w:val="single" w:sz="4" w:space="0" w:color="0C818F" w:themeColor="accent3"/>
        <w:left w:val="single" w:sz="4" w:space="0" w:color="0C818F" w:themeColor="accent3"/>
        <w:bottom w:val="single" w:sz="4" w:space="0" w:color="0C818F" w:themeColor="accent3"/>
        <w:right w:val="single" w:sz="4" w:space="0" w:color="0C818F" w:themeColor="accent3"/>
        <w:insideH w:val="single" w:sz="4" w:space="0" w:color="0C818F" w:themeColor="accent3"/>
        <w:insideV w:val="single" w:sz="4" w:space="0" w:color="0C818F" w:themeColor="accent3"/>
      </w:tblBorders>
    </w:tblPr>
    <w:trPr>
      <w:cantSplit/>
    </w:trPr>
    <w:tblStylePr w:type="firstRow">
      <w:rPr>
        <w:b/>
        <w:color w:val="auto"/>
      </w:rPr>
      <w:tblPr/>
      <w:tcPr>
        <w:shd w:val="clear" w:color="auto" w:fill="15284C" w:themeFill="accent5"/>
      </w:tcPr>
    </w:tblStylePr>
  </w:style>
  <w:style w:type="paragraph" w:styleId="TOC4">
    <w:name w:val="toc 4"/>
    <w:basedOn w:val="Normal"/>
    <w:next w:val="Normal"/>
    <w:autoRedefine/>
    <w:uiPriority w:val="39"/>
    <w:unhideWhenUsed/>
    <w:rsid w:val="00426FE1"/>
    <w:pPr>
      <w:spacing w:after="100" w:line="278" w:lineRule="auto"/>
      <w:ind w:left="720"/>
    </w:pPr>
    <w:rPr>
      <w:rFonts w:eastAsiaTheme="minorEastAsia"/>
      <w:kern w:val="2"/>
      <w:lang w:eastAsia="en-NZ"/>
      <w14:ligatures w14:val="standardContextual"/>
    </w:rPr>
  </w:style>
  <w:style w:type="paragraph" w:styleId="TOC5">
    <w:name w:val="toc 5"/>
    <w:basedOn w:val="Normal"/>
    <w:next w:val="Normal"/>
    <w:autoRedefine/>
    <w:uiPriority w:val="39"/>
    <w:unhideWhenUsed/>
    <w:rsid w:val="00426FE1"/>
    <w:pPr>
      <w:spacing w:after="100" w:line="278" w:lineRule="auto"/>
      <w:ind w:left="960"/>
    </w:pPr>
    <w:rPr>
      <w:rFonts w:eastAsiaTheme="minorEastAsia"/>
      <w:kern w:val="2"/>
      <w:lang w:eastAsia="en-NZ"/>
      <w14:ligatures w14:val="standardContextual"/>
    </w:rPr>
  </w:style>
  <w:style w:type="paragraph" w:styleId="TOC6">
    <w:name w:val="toc 6"/>
    <w:basedOn w:val="Normal"/>
    <w:next w:val="Normal"/>
    <w:autoRedefine/>
    <w:uiPriority w:val="39"/>
    <w:unhideWhenUsed/>
    <w:rsid w:val="00426FE1"/>
    <w:pPr>
      <w:spacing w:after="100" w:line="278" w:lineRule="auto"/>
      <w:ind w:left="1200"/>
    </w:pPr>
    <w:rPr>
      <w:rFonts w:eastAsiaTheme="minorEastAsia"/>
      <w:kern w:val="2"/>
      <w:lang w:eastAsia="en-NZ"/>
      <w14:ligatures w14:val="standardContextual"/>
    </w:rPr>
  </w:style>
  <w:style w:type="paragraph" w:styleId="TOC7">
    <w:name w:val="toc 7"/>
    <w:basedOn w:val="Normal"/>
    <w:next w:val="Normal"/>
    <w:autoRedefine/>
    <w:uiPriority w:val="39"/>
    <w:unhideWhenUsed/>
    <w:rsid w:val="00426FE1"/>
    <w:pPr>
      <w:spacing w:after="100" w:line="278" w:lineRule="auto"/>
      <w:ind w:left="1440"/>
    </w:pPr>
    <w:rPr>
      <w:rFonts w:eastAsiaTheme="minorEastAsia"/>
      <w:kern w:val="2"/>
      <w:lang w:eastAsia="en-NZ"/>
      <w14:ligatures w14:val="standardContextual"/>
    </w:rPr>
  </w:style>
  <w:style w:type="paragraph" w:styleId="TOC8">
    <w:name w:val="toc 8"/>
    <w:basedOn w:val="Normal"/>
    <w:next w:val="Normal"/>
    <w:autoRedefine/>
    <w:uiPriority w:val="39"/>
    <w:unhideWhenUsed/>
    <w:rsid w:val="00426FE1"/>
    <w:pPr>
      <w:spacing w:after="100" w:line="278" w:lineRule="auto"/>
      <w:ind w:left="1680"/>
    </w:pPr>
    <w:rPr>
      <w:rFonts w:eastAsiaTheme="minorEastAsia"/>
      <w:kern w:val="2"/>
      <w:lang w:eastAsia="en-NZ"/>
      <w14:ligatures w14:val="standardContextual"/>
    </w:rPr>
  </w:style>
  <w:style w:type="paragraph" w:styleId="TOC9">
    <w:name w:val="toc 9"/>
    <w:basedOn w:val="Normal"/>
    <w:next w:val="Normal"/>
    <w:autoRedefine/>
    <w:uiPriority w:val="39"/>
    <w:unhideWhenUsed/>
    <w:rsid w:val="00426FE1"/>
    <w:pPr>
      <w:spacing w:after="100" w:line="278" w:lineRule="auto"/>
      <w:ind w:left="1920"/>
    </w:pPr>
    <w:rPr>
      <w:rFonts w:eastAsiaTheme="minorEastAsia"/>
      <w:kern w:val="2"/>
      <w:lang w:eastAsia="en-NZ"/>
      <w14:ligatures w14:val="standardContextual"/>
    </w:rPr>
  </w:style>
  <w:style w:type="paragraph" w:styleId="NormalWeb">
    <w:name w:val="Normal (Web)"/>
    <w:basedOn w:val="Normal"/>
    <w:uiPriority w:val="99"/>
    <w:unhideWhenUsed/>
    <w:rsid w:val="00426FE1"/>
    <w:pPr>
      <w:spacing w:before="100" w:beforeAutospacing="1" w:after="100" w:afterAutospacing="1" w:line="240" w:lineRule="auto"/>
    </w:pPr>
    <w:rPr>
      <w:rFonts w:ascii="Times New Roman" w:eastAsia="Times New Roman" w:hAnsi="Times New Roman" w:cs="Times New Roman"/>
      <w:lang w:eastAsia="en-NZ"/>
    </w:rPr>
  </w:style>
  <w:style w:type="paragraph" w:styleId="NoSpacing">
    <w:name w:val="No Spacing"/>
    <w:aliases w:val="Template title,Report title"/>
    <w:basedOn w:val="Normal"/>
    <w:link w:val="NoSpacingChar"/>
    <w:uiPriority w:val="1"/>
    <w:qFormat/>
    <w:rsid w:val="00A252B5"/>
    <w:pPr>
      <w:spacing w:line="240" w:lineRule="auto"/>
      <w:ind w:left="-9214" w:firstLine="9214"/>
    </w:pPr>
    <w:rPr>
      <w:rFonts w:ascii="Poppins" w:eastAsia="Roboto" w:hAnsi="Poppins" w:cs="Poppins"/>
      <w:b/>
      <w:bCs/>
      <w:color w:val="15284C"/>
      <w:sz w:val="48"/>
      <w:szCs w:val="48"/>
    </w:rPr>
  </w:style>
  <w:style w:type="character" w:customStyle="1" w:styleId="NoSpacingChar">
    <w:name w:val="No Spacing Char"/>
    <w:aliases w:val="Template title Char,Report title Char"/>
    <w:basedOn w:val="DefaultParagraphFont"/>
    <w:link w:val="NoSpacing"/>
    <w:uiPriority w:val="1"/>
    <w:rsid w:val="00A252B5"/>
    <w:rPr>
      <w:rFonts w:ascii="Poppins" w:eastAsia="Roboto" w:hAnsi="Poppins" w:cs="Poppins"/>
      <w:b/>
      <w:bCs/>
      <w:color w:val="15284C"/>
      <w:sz w:val="48"/>
      <w:szCs w:val="48"/>
    </w:rPr>
  </w:style>
  <w:style w:type="paragraph" w:customStyle="1" w:styleId="BodyHeading">
    <w:name w:val="Body Heading"/>
    <w:basedOn w:val="Normal"/>
    <w:next w:val="Normal"/>
    <w:link w:val="BodyHeadingChar"/>
    <w:qFormat/>
    <w:rsid w:val="00D56CAE"/>
    <w:pPr>
      <w:keepNext/>
      <w:keepLines/>
      <w:spacing w:after="80"/>
    </w:pPr>
    <w:rPr>
      <w:rFonts w:cs="Arial"/>
      <w:b/>
      <w:color w:val="15284C" w:themeColor="text2"/>
      <w:sz w:val="28"/>
      <w:szCs w:val="28"/>
    </w:rPr>
  </w:style>
  <w:style w:type="character" w:customStyle="1" w:styleId="BodyHeadingChar">
    <w:name w:val="Body Heading Char"/>
    <w:basedOn w:val="DefaultParagraphFont"/>
    <w:link w:val="BodyHeading"/>
    <w:rsid w:val="00D56CAE"/>
    <w:rPr>
      <w:rFonts w:ascii="Arial" w:hAnsi="Arial" w:cs="Arial"/>
      <w:b/>
      <w:color w:val="15284C" w:themeColor="text2"/>
      <w:sz w:val="28"/>
      <w:szCs w:val="28"/>
    </w:rPr>
  </w:style>
  <w:style w:type="paragraph" w:customStyle="1" w:styleId="Glossary">
    <w:name w:val="Glossary"/>
    <w:basedOn w:val="Normal"/>
    <w:link w:val="GlossaryChar"/>
    <w:qFormat/>
    <w:rsid w:val="000B77B2"/>
    <w:pPr>
      <w:keepLines/>
    </w:pPr>
  </w:style>
  <w:style w:type="character" w:customStyle="1" w:styleId="GlossaryChar">
    <w:name w:val="Glossary Char"/>
    <w:basedOn w:val="DefaultParagraphFont"/>
    <w:link w:val="Glossary"/>
    <w:rsid w:val="000B77B2"/>
    <w:rPr>
      <w:rFonts w:ascii="Arial" w:hAnsi="Arial"/>
    </w:rPr>
  </w:style>
  <w:style w:type="table" w:styleId="GridTable4-Accent5">
    <w:name w:val="Grid Table 4 Accent 5"/>
    <w:basedOn w:val="TableNormal"/>
    <w:uiPriority w:val="49"/>
    <w:rsid w:val="00FC095A"/>
    <w:pPr>
      <w:spacing w:before="60" w:after="60" w:line="240" w:lineRule="auto"/>
    </w:pPr>
    <w:tblPr>
      <w:tblStyleRowBandSize w:val="1"/>
      <w:tblStyleColBandSize w:val="1"/>
      <w:tblBorders>
        <w:top w:val="single" w:sz="4" w:space="0" w:color="15284C" w:themeColor="text1"/>
        <w:left w:val="single" w:sz="4" w:space="0" w:color="15284C" w:themeColor="text1"/>
        <w:bottom w:val="single" w:sz="4" w:space="0" w:color="15284C" w:themeColor="text1"/>
        <w:right w:val="single" w:sz="4" w:space="0" w:color="15284C" w:themeColor="text1"/>
        <w:insideH w:val="single" w:sz="4" w:space="0" w:color="15284C" w:themeColor="text1"/>
        <w:insideV w:val="single" w:sz="4" w:space="0" w:color="15284C" w:themeColor="text1"/>
      </w:tblBorders>
    </w:tblPr>
    <w:tblStylePr w:type="firstRow">
      <w:pPr>
        <w:jc w:val="center"/>
      </w:pPr>
      <w:rPr>
        <w:b/>
        <w:bCs/>
        <w:color w:val="F6F4EC" w:themeColor="background1"/>
      </w:rPr>
      <w:tblPr/>
      <w:tcPr>
        <w:tcBorders>
          <w:top w:val="nil"/>
          <w:left w:val="nil"/>
          <w:bottom w:val="nil"/>
          <w:right w:val="nil"/>
          <w:insideH w:val="single" w:sz="4" w:space="0" w:color="F6F4EC" w:themeColor="background1"/>
          <w:insideV w:val="single" w:sz="4" w:space="0" w:color="F6F4EC" w:themeColor="background1"/>
        </w:tcBorders>
        <w:shd w:val="clear" w:color="auto" w:fill="15284C" w:themeFill="accent5"/>
      </w:tcPr>
    </w:tblStylePr>
    <w:tblStylePr w:type="lastRow">
      <w:rPr>
        <w:b/>
        <w:bCs/>
      </w:rPr>
      <w:tblPr/>
      <w:tcPr>
        <w:tcBorders>
          <w:top w:val="double" w:sz="4" w:space="0" w:color="15284C" w:themeColor="accent5"/>
        </w:tcBorders>
      </w:tcPr>
    </w:tblStylePr>
    <w:tblStylePr w:type="firstCol">
      <w:rPr>
        <w:b/>
        <w:bCs/>
      </w:rPr>
      <w:tblPr/>
      <w:tcPr>
        <w:tcBorders>
          <w:top w:val="nil"/>
          <w:left w:val="nil"/>
          <w:bottom w:val="nil"/>
          <w:right w:val="nil"/>
          <w:insideH w:val="single" w:sz="4" w:space="0" w:color="FFFFFF" w:themeColor="accent6"/>
          <w:insideV w:val="single" w:sz="4" w:space="0" w:color="FFFFFF" w:themeColor="accent6"/>
        </w:tcBorders>
        <w:shd w:val="clear" w:color="auto" w:fill="15284C" w:themeFill="text1"/>
      </w:tcPr>
    </w:tblStylePr>
    <w:tblStylePr w:type="lastCol">
      <w:rPr>
        <w:b/>
        <w:bCs/>
      </w:rPr>
    </w:tblStylePr>
    <w:tblStylePr w:type="band1Vert">
      <w:tblPr/>
      <w:tcPr>
        <w:shd w:val="clear" w:color="auto" w:fill="BECEED" w:themeFill="accent5" w:themeFillTint="33"/>
      </w:tcPr>
    </w:tblStylePr>
    <w:tblStylePr w:type="band1Horz">
      <w:tblPr/>
      <w:tcPr>
        <w:shd w:val="clear" w:color="auto" w:fill="BECEED" w:themeFill="accent5" w:themeFillTint="33"/>
      </w:tcPr>
    </w:tblStylePr>
  </w:style>
  <w:style w:type="table" w:customStyle="1" w:styleId="Style1">
    <w:name w:val="Style1"/>
    <w:basedOn w:val="TableNormal"/>
    <w:uiPriority w:val="99"/>
    <w:rsid w:val="001C4C97"/>
    <w:pPr>
      <w:spacing w:before="60" w:after="60" w:line="240" w:lineRule="auto"/>
    </w:pPr>
    <w:rPr>
      <w:rFonts w:ascii="Arial" w:hAnsi="Arial"/>
    </w:rPr>
    <w:tblPr>
      <w:tblBorders>
        <w:top w:val="single" w:sz="4" w:space="0" w:color="15284C" w:themeColor="accent5"/>
        <w:left w:val="single" w:sz="4" w:space="0" w:color="15284C" w:themeColor="accent5"/>
        <w:bottom w:val="single" w:sz="4" w:space="0" w:color="15284C" w:themeColor="accent5"/>
        <w:right w:val="single" w:sz="4" w:space="0" w:color="15284C" w:themeColor="accent5"/>
        <w:insideH w:val="single" w:sz="4" w:space="0" w:color="15284C" w:themeColor="accent5"/>
        <w:insideV w:val="single" w:sz="4" w:space="0" w:color="15284C" w:themeColor="accent5"/>
      </w:tblBorders>
    </w:tblPr>
    <w:trPr>
      <w:cantSplit/>
    </w:trPr>
    <w:tblStylePr w:type="firstRow">
      <w:pPr>
        <w:jc w:val="center"/>
      </w:pPr>
      <w:rPr>
        <w:rFonts w:ascii="Arial" w:hAnsi="Arial"/>
        <w:b/>
        <w:sz w:val="22"/>
      </w:rPr>
      <w:tblPr/>
      <w:tcPr>
        <w:tcBorders>
          <w:top w:val="single" w:sz="4" w:space="0" w:color="FFFFFF" w:themeColor="accent6"/>
          <w:left w:val="single" w:sz="4" w:space="0" w:color="FFFFFF" w:themeColor="accent6"/>
          <w:bottom w:val="single" w:sz="4" w:space="0" w:color="FFFFFF" w:themeColor="accent6"/>
          <w:right w:val="single" w:sz="4" w:space="0" w:color="FFFFFF" w:themeColor="accent6"/>
          <w:insideH w:val="single" w:sz="4" w:space="0" w:color="FFFFFF" w:themeColor="accent6"/>
          <w:insideV w:val="single" w:sz="4" w:space="0" w:color="FFFFFF" w:themeColor="accent6"/>
          <w:tl2br w:val="nil"/>
          <w:tr2bl w:val="nil"/>
        </w:tcBorders>
        <w:shd w:val="clear" w:color="auto" w:fill="15284C" w:themeFill="text1"/>
      </w:tcPr>
    </w:tblStylePr>
  </w:style>
  <w:style w:type="paragraph" w:customStyle="1" w:styleId="AppendixHeading1">
    <w:name w:val="Appendix Heading 1"/>
    <w:basedOn w:val="NumberedHeading1"/>
    <w:next w:val="Normal"/>
    <w:link w:val="AppendixHeading1Char"/>
    <w:rsid w:val="00B67A96"/>
  </w:style>
  <w:style w:type="character" w:customStyle="1" w:styleId="NumberedHeading1Char">
    <w:name w:val="Numbered Heading 1 Char"/>
    <w:basedOn w:val="Heading1Char"/>
    <w:link w:val="NumberedHeading1"/>
    <w:uiPriority w:val="10"/>
    <w:rsid w:val="00B67A96"/>
    <w:rPr>
      <w:rFonts w:ascii="Poppins" w:eastAsiaTheme="majorEastAsia" w:hAnsi="Poppins" w:cstheme="majorBidi"/>
      <w:b/>
      <w:color w:val="30A1AC" w:themeColor="background2"/>
      <w:sz w:val="44"/>
      <w:szCs w:val="32"/>
    </w:rPr>
  </w:style>
  <w:style w:type="character" w:customStyle="1" w:styleId="AppendixHeading1Char">
    <w:name w:val="Appendix Heading 1 Char"/>
    <w:basedOn w:val="NumberedHeading1Char"/>
    <w:link w:val="AppendixHeading1"/>
    <w:rsid w:val="00B67A96"/>
    <w:rPr>
      <w:rFonts w:ascii="Poppins" w:eastAsiaTheme="majorEastAsia" w:hAnsi="Poppins" w:cstheme="majorBidi"/>
      <w:b/>
      <w:color w:val="30A1AC" w:themeColor="background2"/>
      <w:sz w:val="44"/>
      <w:szCs w:val="32"/>
    </w:rPr>
  </w:style>
  <w:style w:type="paragraph" w:customStyle="1" w:styleId="NumberedHeading4">
    <w:name w:val="Numbered Heading 4"/>
    <w:basedOn w:val="NumberedHeading3"/>
    <w:next w:val="Normal"/>
    <w:link w:val="NumberedHeading4Char"/>
    <w:rsid w:val="005377BD"/>
    <w:pPr>
      <w:numPr>
        <w:ilvl w:val="4"/>
      </w:numPr>
    </w:pPr>
  </w:style>
  <w:style w:type="character" w:customStyle="1" w:styleId="NumberedHeading3Char">
    <w:name w:val="Numbered Heading 3 Char"/>
    <w:basedOn w:val="Heading3Char"/>
    <w:link w:val="NumberedHeading3"/>
    <w:uiPriority w:val="10"/>
    <w:rsid w:val="005377BD"/>
    <w:rPr>
      <w:rFonts w:ascii="Arial" w:eastAsiaTheme="majorEastAsia" w:hAnsi="Arial" w:cs="Arial"/>
      <w:i/>
      <w:color w:val="15284C" w:themeColor="text2"/>
      <w:sz w:val="28"/>
      <w:szCs w:val="24"/>
    </w:rPr>
  </w:style>
  <w:style w:type="character" w:customStyle="1" w:styleId="NumberedHeading4Char">
    <w:name w:val="Numbered Heading 4 Char"/>
    <w:basedOn w:val="NumberedHeading3Char"/>
    <w:link w:val="NumberedHeading4"/>
    <w:rsid w:val="005377BD"/>
    <w:rPr>
      <w:rFonts w:ascii="Arial" w:eastAsiaTheme="majorEastAsia" w:hAnsi="Arial" w:cs="Arial"/>
      <w:i/>
      <w:color w:val="15284C" w:themeColor="text2"/>
      <w:sz w:val="28"/>
      <w:szCs w:val="24"/>
    </w:rPr>
  </w:style>
  <w:style w:type="paragraph" w:customStyle="1" w:styleId="AppendixLevel1">
    <w:name w:val="Appendix Level 1"/>
    <w:basedOn w:val="NumberedHeading1"/>
    <w:next w:val="Normal"/>
    <w:link w:val="AppendixLevel1Char"/>
    <w:qFormat/>
    <w:rsid w:val="00397949"/>
    <w:pPr>
      <w:numPr>
        <w:ilvl w:val="5"/>
      </w:numPr>
      <w:ind w:left="1134" w:hanging="1134"/>
    </w:pPr>
  </w:style>
  <w:style w:type="character" w:customStyle="1" w:styleId="AppendixLevel1Char">
    <w:name w:val="Appendix Level 1 Char"/>
    <w:basedOn w:val="NumberedHeading1Char"/>
    <w:link w:val="AppendixLevel1"/>
    <w:rsid w:val="00397949"/>
    <w:rPr>
      <w:rFonts w:ascii="Poppins" w:eastAsiaTheme="majorEastAsia" w:hAnsi="Poppins" w:cstheme="majorBidi"/>
      <w:b/>
      <w:color w:val="30A1AC" w:themeColor="background2"/>
      <w:sz w:val="44"/>
      <w:szCs w:val="32"/>
    </w:rPr>
  </w:style>
  <w:style w:type="paragraph" w:customStyle="1" w:styleId="AppendixHeading2">
    <w:name w:val="Appendix Heading 2"/>
    <w:basedOn w:val="NumberedHeading2"/>
    <w:next w:val="Normal"/>
    <w:link w:val="AppendixHeading2Char"/>
    <w:rsid w:val="00397949"/>
    <w:pPr>
      <w:numPr>
        <w:ilvl w:val="6"/>
      </w:numPr>
    </w:pPr>
  </w:style>
  <w:style w:type="character" w:customStyle="1" w:styleId="NumberedHeading2Char">
    <w:name w:val="Numbered Heading 2 Char"/>
    <w:basedOn w:val="Heading2Char"/>
    <w:link w:val="NumberedHeading2"/>
    <w:uiPriority w:val="10"/>
    <w:rsid w:val="00397949"/>
    <w:rPr>
      <w:rFonts w:ascii="Arial" w:eastAsiaTheme="majorEastAsia" w:hAnsi="Arial" w:cs="Arial"/>
      <w:b/>
      <w:color w:val="15284C"/>
      <w:sz w:val="32"/>
      <w:szCs w:val="26"/>
    </w:rPr>
  </w:style>
  <w:style w:type="character" w:customStyle="1" w:styleId="AppendixHeading2Char">
    <w:name w:val="Appendix Heading 2 Char"/>
    <w:basedOn w:val="NumberedHeading2Char"/>
    <w:link w:val="AppendixHeading2"/>
    <w:rsid w:val="00397949"/>
    <w:rPr>
      <w:rFonts w:ascii="Arial" w:eastAsiaTheme="majorEastAsia" w:hAnsi="Arial" w:cs="Arial"/>
      <w:b/>
      <w:color w:val="15284C"/>
      <w:sz w:val="32"/>
      <w:szCs w:val="26"/>
    </w:rPr>
  </w:style>
  <w:style w:type="paragraph" w:customStyle="1" w:styleId="AppendixHeading3">
    <w:name w:val="Appendix Heading 3"/>
    <w:basedOn w:val="NumberedHeading3"/>
    <w:next w:val="Normal"/>
    <w:link w:val="AppendixHeading3Char"/>
    <w:qFormat/>
    <w:rsid w:val="00E96742"/>
    <w:pPr>
      <w:numPr>
        <w:ilvl w:val="7"/>
      </w:numPr>
    </w:pPr>
  </w:style>
  <w:style w:type="character" w:customStyle="1" w:styleId="AppendixHeading3Char">
    <w:name w:val="Appendix Heading 3 Char"/>
    <w:basedOn w:val="NumberedHeading3Char"/>
    <w:link w:val="AppendixHeading3"/>
    <w:rsid w:val="00E96742"/>
    <w:rPr>
      <w:rFonts w:ascii="Arial" w:eastAsiaTheme="majorEastAsia" w:hAnsi="Arial" w:cs="Arial"/>
      <w:i/>
      <w:color w:val="15284C" w:themeColor="text2"/>
      <w:sz w:val="28"/>
      <w:szCs w:val="24"/>
    </w:rPr>
  </w:style>
  <w:style w:type="paragraph" w:customStyle="1" w:styleId="AppendixHeading4">
    <w:name w:val="Appendix Heading 4"/>
    <w:basedOn w:val="NumberedHeading4"/>
    <w:next w:val="Normal"/>
    <w:link w:val="AppendixHeading4Char"/>
    <w:qFormat/>
    <w:rsid w:val="00E96742"/>
    <w:pPr>
      <w:numPr>
        <w:ilvl w:val="8"/>
      </w:numPr>
    </w:pPr>
  </w:style>
  <w:style w:type="character" w:customStyle="1" w:styleId="AppendixHeading4Char">
    <w:name w:val="Appendix Heading 4 Char"/>
    <w:basedOn w:val="NumberedHeading4Char"/>
    <w:link w:val="AppendixHeading4"/>
    <w:rsid w:val="00E96742"/>
    <w:rPr>
      <w:rFonts w:ascii="Arial" w:eastAsiaTheme="majorEastAsia" w:hAnsi="Arial" w:cs="Arial"/>
      <w:i/>
      <w:color w:val="15284C" w:themeColor="text2"/>
      <w:sz w:val="28"/>
      <w:szCs w:val="24"/>
    </w:rPr>
  </w:style>
  <w:style w:type="paragraph" w:customStyle="1" w:styleId="Tableheading0">
    <w:name w:val="Table heading"/>
    <w:basedOn w:val="TableText"/>
    <w:qFormat/>
    <w:rsid w:val="006C5B15"/>
    <w:pPr>
      <w:spacing w:before="0" w:line="240" w:lineRule="auto"/>
    </w:pPr>
    <w:rPr>
      <w:b/>
      <w:bCs/>
      <w:color w:val="15284C" w:themeColor="text1"/>
    </w:rPr>
  </w:style>
  <w:style w:type="paragraph" w:customStyle="1" w:styleId="Table1stcolumn">
    <w:name w:val="Table 1st column"/>
    <w:basedOn w:val="TableText"/>
    <w:qFormat/>
    <w:rsid w:val="00097B9A"/>
    <w:rPr>
      <w:b/>
      <w:bCs/>
    </w:rPr>
  </w:style>
  <w:style w:type="paragraph" w:customStyle="1" w:styleId="Dividerheading">
    <w:name w:val="Divider heading"/>
    <w:next w:val="Normal"/>
    <w:qFormat/>
    <w:rsid w:val="001B1D07"/>
    <w:pPr>
      <w:spacing w:before="60" w:after="0" w:line="240" w:lineRule="auto"/>
      <w:ind w:left="1134" w:right="1134"/>
    </w:pPr>
    <w:rPr>
      <w:rFonts w:ascii="Arial" w:eastAsia="Calibri" w:hAnsi="Arial"/>
      <w:b/>
      <w:color w:val="15284C" w:themeColor="text2"/>
      <w:sz w:val="110"/>
      <w:szCs w:val="24"/>
      <w14:ligatures w14:val="standardContextual"/>
    </w:rPr>
  </w:style>
  <w:style w:type="paragraph" w:customStyle="1" w:styleId="A1NumHeading">
    <w:name w:val="A1 Num Heading"/>
    <w:basedOn w:val="Heading1"/>
    <w:rsid w:val="000A64B8"/>
    <w:pPr>
      <w:numPr>
        <w:numId w:val="106"/>
      </w:numPr>
      <w:tabs>
        <w:tab w:val="num" w:pos="360"/>
      </w:tabs>
      <w:ind w:left="0" w:firstLine="0"/>
    </w:pPr>
  </w:style>
  <w:style w:type="paragraph" w:customStyle="1" w:styleId="A11NumbHeading2">
    <w:name w:val="A1.1 Numb Heading 2"/>
    <w:basedOn w:val="NumberedHeading2"/>
    <w:rsid w:val="00707CF6"/>
  </w:style>
  <w:style w:type="paragraph" w:customStyle="1" w:styleId="Bulletpoint">
    <w:name w:val="Bullet point"/>
    <w:basedOn w:val="ListBullet"/>
    <w:next w:val="Normal"/>
    <w:link w:val="BulletpointChar"/>
    <w:uiPriority w:val="1"/>
    <w:qFormat/>
    <w:rsid w:val="00CA561F"/>
  </w:style>
  <w:style w:type="character" w:customStyle="1" w:styleId="BulletpointChar">
    <w:name w:val="Bullet point Char"/>
    <w:basedOn w:val="DefaultParagraphFont"/>
    <w:link w:val="Bulletpoint"/>
    <w:uiPriority w:val="1"/>
    <w:rsid w:val="00CA561F"/>
    <w:rPr>
      <w:rFonts w:ascii="Arial" w:hAnsi="Arial"/>
      <w:sz w:val="24"/>
      <w:szCs w:val="24"/>
    </w:rPr>
  </w:style>
  <w:style w:type="paragraph" w:customStyle="1" w:styleId="A1NumbHeading3">
    <w:name w:val="A1 Numb Heading 3"/>
    <w:basedOn w:val="NumberedHeading3"/>
    <w:rsid w:val="00F95F28"/>
    <w:pPr>
      <w:spacing w:before="360"/>
    </w:pPr>
    <w:rPr>
      <w:i w:val="0"/>
      <w:iCs/>
      <w:sz w:val="32"/>
      <w:szCs w:val="28"/>
    </w:rPr>
  </w:style>
  <w:style w:type="paragraph" w:customStyle="1" w:styleId="NumbHeading1">
    <w:name w:val="Numb Heading 1"/>
    <w:basedOn w:val="Heading1"/>
    <w:qFormat/>
    <w:rsid w:val="00294158"/>
    <w:pPr>
      <w:numPr>
        <w:numId w:val="107"/>
      </w:numPr>
    </w:pPr>
  </w:style>
  <w:style w:type="paragraph" w:customStyle="1" w:styleId="NumbHeading2">
    <w:name w:val="Numb Heading 2"/>
    <w:basedOn w:val="Heading2"/>
    <w:qFormat/>
    <w:rsid w:val="001947BB"/>
    <w:pPr>
      <w:numPr>
        <w:ilvl w:val="1"/>
        <w:numId w:val="107"/>
      </w:numPr>
    </w:pPr>
  </w:style>
  <w:style w:type="paragraph" w:customStyle="1" w:styleId="NumbHeading3">
    <w:name w:val="Numb Heading 3"/>
    <w:basedOn w:val="NumbHeading2"/>
    <w:qFormat/>
    <w:rsid w:val="00EC4A65"/>
    <w:pPr>
      <w:numPr>
        <w:ilvl w:val="2"/>
      </w:numPr>
    </w:pPr>
    <w:rPr>
      <w:b w:val="0"/>
      <w:bCs/>
    </w:rPr>
  </w:style>
  <w:style w:type="paragraph" w:customStyle="1" w:styleId="Section2Heading1">
    <w:name w:val="Section 2 Heading 1"/>
    <w:basedOn w:val="Heading1"/>
    <w:next w:val="Normal"/>
    <w:link w:val="Section2Heading1Char"/>
    <w:uiPriority w:val="9"/>
    <w:qFormat/>
    <w:rsid w:val="009D6238"/>
    <w:pPr>
      <w:numPr>
        <w:numId w:val="108"/>
      </w:numPr>
    </w:pPr>
    <w:rPr>
      <w:color w:val="0C818E"/>
    </w:rPr>
  </w:style>
  <w:style w:type="character" w:customStyle="1" w:styleId="Section2Heading1Char">
    <w:name w:val="Section 2 Heading 1 Char"/>
    <w:basedOn w:val="Heading1Char"/>
    <w:link w:val="Section2Heading1"/>
    <w:uiPriority w:val="9"/>
    <w:rsid w:val="009D6238"/>
    <w:rPr>
      <w:rFonts w:ascii="Arial" w:eastAsiaTheme="majorEastAsia" w:hAnsi="Arial" w:cs="Arial"/>
      <w:b/>
      <w:color w:val="0C818E"/>
      <w:sz w:val="52"/>
      <w:szCs w:val="32"/>
    </w:rPr>
  </w:style>
  <w:style w:type="paragraph" w:customStyle="1" w:styleId="Section2Heading2">
    <w:name w:val="Section 2 Heading 2"/>
    <w:basedOn w:val="Heading2"/>
    <w:next w:val="Normal"/>
    <w:link w:val="Section2Heading2Char"/>
    <w:uiPriority w:val="9"/>
    <w:qFormat/>
    <w:rsid w:val="009D6238"/>
    <w:pPr>
      <w:numPr>
        <w:ilvl w:val="1"/>
        <w:numId w:val="108"/>
      </w:numPr>
    </w:pPr>
    <w:rPr>
      <w:color w:val="0C818E"/>
    </w:rPr>
  </w:style>
  <w:style w:type="character" w:customStyle="1" w:styleId="Section2Heading2Char">
    <w:name w:val="Section 2 Heading 2 Char"/>
    <w:basedOn w:val="Heading2Char"/>
    <w:link w:val="Section2Heading2"/>
    <w:uiPriority w:val="9"/>
    <w:rsid w:val="009D6238"/>
    <w:rPr>
      <w:rFonts w:ascii="Arial" w:eastAsiaTheme="majorEastAsia" w:hAnsi="Arial" w:cs="Arial"/>
      <w:b/>
      <w:color w:val="0C818E"/>
      <w:sz w:val="32"/>
      <w:szCs w:val="26"/>
    </w:rPr>
  </w:style>
  <w:style w:type="paragraph" w:customStyle="1" w:styleId="Section2heading3">
    <w:name w:val="Section 2 heading 3"/>
    <w:basedOn w:val="Section2Heading2"/>
    <w:link w:val="Section2heading3Char"/>
    <w:uiPriority w:val="9"/>
    <w:qFormat/>
    <w:rsid w:val="00BE1640"/>
    <w:pPr>
      <w:numPr>
        <w:ilvl w:val="2"/>
      </w:numPr>
    </w:pPr>
    <w:rPr>
      <w:b w:val="0"/>
      <w:bCs/>
    </w:rPr>
  </w:style>
  <w:style w:type="character" w:customStyle="1" w:styleId="Section2heading3Char">
    <w:name w:val="Section 2 heading 3 Char"/>
    <w:basedOn w:val="Heading3Char"/>
    <w:link w:val="Section2heading3"/>
    <w:uiPriority w:val="9"/>
    <w:rsid w:val="00BE1640"/>
    <w:rPr>
      <w:rFonts w:ascii="Arial" w:eastAsiaTheme="majorEastAsia" w:hAnsi="Arial" w:cs="Arial"/>
      <w:bCs/>
      <w:color w:val="0C818E"/>
      <w:sz w:val="32"/>
      <w:szCs w:val="26"/>
    </w:rPr>
  </w:style>
  <w:style w:type="paragraph" w:customStyle="1" w:styleId="Section3heading1">
    <w:name w:val="Section 3 heading 1"/>
    <w:basedOn w:val="Heading1"/>
    <w:next w:val="Normal"/>
    <w:link w:val="Section3heading1Char"/>
    <w:uiPriority w:val="10"/>
    <w:qFormat/>
    <w:rsid w:val="00E812F6"/>
    <w:pPr>
      <w:numPr>
        <w:numId w:val="109"/>
      </w:numPr>
    </w:pPr>
    <w:rPr>
      <w:color w:val="003399"/>
    </w:rPr>
  </w:style>
  <w:style w:type="character" w:customStyle="1" w:styleId="Section3heading1Char">
    <w:name w:val="Section 3 heading 1 Char"/>
    <w:basedOn w:val="Section2Heading1Char"/>
    <w:link w:val="Section3heading1"/>
    <w:uiPriority w:val="10"/>
    <w:rsid w:val="00E812F6"/>
    <w:rPr>
      <w:rFonts w:ascii="Arial" w:eastAsiaTheme="majorEastAsia" w:hAnsi="Arial" w:cs="Arial"/>
      <w:b/>
      <w:color w:val="003399"/>
      <w:sz w:val="52"/>
      <w:szCs w:val="32"/>
    </w:rPr>
  </w:style>
  <w:style w:type="paragraph" w:customStyle="1" w:styleId="Section3heading2">
    <w:name w:val="Section 3 heading 2"/>
    <w:basedOn w:val="Heading2"/>
    <w:next w:val="Normal"/>
    <w:uiPriority w:val="10"/>
    <w:qFormat/>
    <w:rsid w:val="00A415A5"/>
    <w:pPr>
      <w:numPr>
        <w:ilvl w:val="1"/>
        <w:numId w:val="109"/>
      </w:numPr>
    </w:pPr>
    <w:rPr>
      <w:color w:val="003399"/>
    </w:rPr>
  </w:style>
  <w:style w:type="paragraph" w:customStyle="1" w:styleId="Section3heading3">
    <w:name w:val="Section 3 heading 3"/>
    <w:basedOn w:val="Heading3"/>
    <w:uiPriority w:val="10"/>
    <w:qFormat/>
    <w:rsid w:val="002114A2"/>
    <w:pPr>
      <w:numPr>
        <w:ilvl w:val="2"/>
        <w:numId w:val="109"/>
      </w:numPr>
    </w:pPr>
    <w:rPr>
      <w:color w:val="003399"/>
    </w:rPr>
  </w:style>
  <w:style w:type="paragraph" w:customStyle="1" w:styleId="Section6Heading1">
    <w:name w:val="Section 6 Heading 1"/>
    <w:basedOn w:val="Heading1"/>
    <w:next w:val="Normal"/>
    <w:link w:val="Section6Heading1Char"/>
    <w:uiPriority w:val="13"/>
    <w:qFormat/>
    <w:rsid w:val="00C40AC7"/>
    <w:pPr>
      <w:ind w:left="3119" w:hanging="3119"/>
    </w:pPr>
    <w:rPr>
      <w:color w:val="660033"/>
    </w:rPr>
  </w:style>
  <w:style w:type="character" w:customStyle="1" w:styleId="Section6Heading1Char">
    <w:name w:val="Section 6 Heading 1 Char"/>
    <w:basedOn w:val="Heading1Char"/>
    <w:link w:val="Section6Heading1"/>
    <w:uiPriority w:val="13"/>
    <w:rsid w:val="00C40AC7"/>
    <w:rPr>
      <w:rFonts w:ascii="Arial" w:eastAsiaTheme="majorEastAsia" w:hAnsi="Arial" w:cs="Arial"/>
      <w:b/>
      <w:color w:val="660033"/>
      <w:sz w:val="52"/>
      <w:szCs w:val="32"/>
    </w:rPr>
  </w:style>
  <w:style w:type="paragraph" w:customStyle="1" w:styleId="Section6Heading2">
    <w:name w:val="Section 6 Heading 2"/>
    <w:basedOn w:val="AppendixHeading2"/>
    <w:next w:val="Normal"/>
    <w:link w:val="Section6Heading2Char"/>
    <w:uiPriority w:val="13"/>
    <w:qFormat/>
    <w:rsid w:val="00A35E3C"/>
    <w:pPr>
      <w:numPr>
        <w:ilvl w:val="1"/>
        <w:numId w:val="111"/>
      </w:numPr>
      <w:ind w:left="1134" w:hanging="1140"/>
    </w:pPr>
    <w:rPr>
      <w:color w:val="660033"/>
    </w:rPr>
  </w:style>
  <w:style w:type="character" w:customStyle="1" w:styleId="Section6Heading2Char">
    <w:name w:val="Section 6 Heading 2 Char"/>
    <w:basedOn w:val="Heading2Char"/>
    <w:link w:val="Section6Heading2"/>
    <w:uiPriority w:val="13"/>
    <w:rsid w:val="00A35E3C"/>
    <w:rPr>
      <w:rFonts w:ascii="Arial" w:eastAsiaTheme="majorEastAsia" w:hAnsi="Arial" w:cs="Arial"/>
      <w:b/>
      <w:color w:val="660033"/>
      <w:sz w:val="32"/>
      <w:szCs w:val="26"/>
    </w:rPr>
  </w:style>
  <w:style w:type="paragraph" w:customStyle="1" w:styleId="Section6Heading3">
    <w:name w:val="Section 6 Heading 3"/>
    <w:basedOn w:val="Section6Heading2"/>
    <w:next w:val="Normal"/>
    <w:link w:val="Section6Heading3Char"/>
    <w:uiPriority w:val="13"/>
    <w:qFormat/>
    <w:rsid w:val="00AB3B5B"/>
    <w:pPr>
      <w:numPr>
        <w:ilvl w:val="2"/>
      </w:numPr>
      <w:ind w:left="1134" w:hanging="1134"/>
    </w:pPr>
    <w:rPr>
      <w:b w:val="0"/>
      <w:bCs/>
    </w:rPr>
  </w:style>
  <w:style w:type="character" w:customStyle="1" w:styleId="Section6Heading3Char">
    <w:name w:val="Section 6 Heading 3 Char"/>
    <w:basedOn w:val="Heading3Char"/>
    <w:link w:val="Section6Heading3"/>
    <w:uiPriority w:val="13"/>
    <w:rsid w:val="00AB3B5B"/>
    <w:rPr>
      <w:rFonts w:ascii="Arial" w:eastAsiaTheme="majorEastAsia" w:hAnsi="Arial" w:cs="Arial"/>
      <w:bCs/>
      <w:color w:val="660033"/>
      <w:sz w:val="32"/>
      <w:szCs w:val="26"/>
    </w:rPr>
  </w:style>
  <w:style w:type="character" w:styleId="Mention">
    <w:name w:val="Mention"/>
    <w:basedOn w:val="DefaultParagraphFont"/>
    <w:uiPriority w:val="99"/>
    <w:unhideWhenUsed/>
    <w:rsid w:val="00BB61BA"/>
    <w:rPr>
      <w:color w:val="2B579A"/>
      <w:shd w:val="clear" w:color="auto" w:fill="E1DFDD"/>
    </w:rPr>
  </w:style>
  <w:style w:type="character" w:styleId="PlaceholderText">
    <w:name w:val="Placeholder Text"/>
    <w:basedOn w:val="DefaultParagraphFont"/>
    <w:uiPriority w:val="99"/>
    <w:semiHidden/>
    <w:rsid w:val="00806A71"/>
    <w:rPr>
      <w:color w:val="666666"/>
    </w:rPr>
  </w:style>
  <w:style w:type="paragraph" w:styleId="TableofFigures">
    <w:name w:val="table of figures"/>
    <w:basedOn w:val="Normal"/>
    <w:next w:val="Normal"/>
    <w:uiPriority w:val="99"/>
    <w:unhideWhenUsed/>
    <w:rsid w:val="0094202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9640">
      <w:bodyDiv w:val="1"/>
      <w:marLeft w:val="0"/>
      <w:marRight w:val="0"/>
      <w:marTop w:val="0"/>
      <w:marBottom w:val="0"/>
      <w:divBdr>
        <w:top w:val="none" w:sz="0" w:space="0" w:color="auto"/>
        <w:left w:val="none" w:sz="0" w:space="0" w:color="auto"/>
        <w:bottom w:val="none" w:sz="0" w:space="0" w:color="auto"/>
        <w:right w:val="none" w:sz="0" w:space="0" w:color="auto"/>
      </w:divBdr>
    </w:div>
    <w:div w:id="1512288">
      <w:bodyDiv w:val="1"/>
      <w:marLeft w:val="0"/>
      <w:marRight w:val="0"/>
      <w:marTop w:val="0"/>
      <w:marBottom w:val="0"/>
      <w:divBdr>
        <w:top w:val="none" w:sz="0" w:space="0" w:color="auto"/>
        <w:left w:val="none" w:sz="0" w:space="0" w:color="auto"/>
        <w:bottom w:val="none" w:sz="0" w:space="0" w:color="auto"/>
        <w:right w:val="none" w:sz="0" w:space="0" w:color="auto"/>
      </w:divBdr>
    </w:div>
    <w:div w:id="1515701">
      <w:bodyDiv w:val="1"/>
      <w:marLeft w:val="0"/>
      <w:marRight w:val="0"/>
      <w:marTop w:val="0"/>
      <w:marBottom w:val="0"/>
      <w:divBdr>
        <w:top w:val="none" w:sz="0" w:space="0" w:color="auto"/>
        <w:left w:val="none" w:sz="0" w:space="0" w:color="auto"/>
        <w:bottom w:val="none" w:sz="0" w:space="0" w:color="auto"/>
        <w:right w:val="none" w:sz="0" w:space="0" w:color="auto"/>
      </w:divBdr>
    </w:div>
    <w:div w:id="1594190">
      <w:bodyDiv w:val="1"/>
      <w:marLeft w:val="0"/>
      <w:marRight w:val="0"/>
      <w:marTop w:val="0"/>
      <w:marBottom w:val="0"/>
      <w:divBdr>
        <w:top w:val="none" w:sz="0" w:space="0" w:color="auto"/>
        <w:left w:val="none" w:sz="0" w:space="0" w:color="auto"/>
        <w:bottom w:val="none" w:sz="0" w:space="0" w:color="auto"/>
        <w:right w:val="none" w:sz="0" w:space="0" w:color="auto"/>
      </w:divBdr>
    </w:div>
    <w:div w:id="1663685">
      <w:bodyDiv w:val="1"/>
      <w:marLeft w:val="0"/>
      <w:marRight w:val="0"/>
      <w:marTop w:val="0"/>
      <w:marBottom w:val="0"/>
      <w:divBdr>
        <w:top w:val="none" w:sz="0" w:space="0" w:color="auto"/>
        <w:left w:val="none" w:sz="0" w:space="0" w:color="auto"/>
        <w:bottom w:val="none" w:sz="0" w:space="0" w:color="auto"/>
        <w:right w:val="none" w:sz="0" w:space="0" w:color="auto"/>
      </w:divBdr>
    </w:div>
    <w:div w:id="2128767">
      <w:bodyDiv w:val="1"/>
      <w:marLeft w:val="0"/>
      <w:marRight w:val="0"/>
      <w:marTop w:val="0"/>
      <w:marBottom w:val="0"/>
      <w:divBdr>
        <w:top w:val="none" w:sz="0" w:space="0" w:color="auto"/>
        <w:left w:val="none" w:sz="0" w:space="0" w:color="auto"/>
        <w:bottom w:val="none" w:sz="0" w:space="0" w:color="auto"/>
        <w:right w:val="none" w:sz="0" w:space="0" w:color="auto"/>
      </w:divBdr>
    </w:div>
    <w:div w:id="2511272">
      <w:bodyDiv w:val="1"/>
      <w:marLeft w:val="0"/>
      <w:marRight w:val="0"/>
      <w:marTop w:val="0"/>
      <w:marBottom w:val="0"/>
      <w:divBdr>
        <w:top w:val="none" w:sz="0" w:space="0" w:color="auto"/>
        <w:left w:val="none" w:sz="0" w:space="0" w:color="auto"/>
        <w:bottom w:val="none" w:sz="0" w:space="0" w:color="auto"/>
        <w:right w:val="none" w:sz="0" w:space="0" w:color="auto"/>
      </w:divBdr>
    </w:div>
    <w:div w:id="2587620">
      <w:bodyDiv w:val="1"/>
      <w:marLeft w:val="0"/>
      <w:marRight w:val="0"/>
      <w:marTop w:val="0"/>
      <w:marBottom w:val="0"/>
      <w:divBdr>
        <w:top w:val="none" w:sz="0" w:space="0" w:color="auto"/>
        <w:left w:val="none" w:sz="0" w:space="0" w:color="auto"/>
        <w:bottom w:val="none" w:sz="0" w:space="0" w:color="auto"/>
        <w:right w:val="none" w:sz="0" w:space="0" w:color="auto"/>
      </w:divBdr>
    </w:div>
    <w:div w:id="2704779">
      <w:bodyDiv w:val="1"/>
      <w:marLeft w:val="0"/>
      <w:marRight w:val="0"/>
      <w:marTop w:val="0"/>
      <w:marBottom w:val="0"/>
      <w:divBdr>
        <w:top w:val="none" w:sz="0" w:space="0" w:color="auto"/>
        <w:left w:val="none" w:sz="0" w:space="0" w:color="auto"/>
        <w:bottom w:val="none" w:sz="0" w:space="0" w:color="auto"/>
        <w:right w:val="none" w:sz="0" w:space="0" w:color="auto"/>
      </w:divBdr>
    </w:div>
    <w:div w:id="2711630">
      <w:bodyDiv w:val="1"/>
      <w:marLeft w:val="0"/>
      <w:marRight w:val="0"/>
      <w:marTop w:val="0"/>
      <w:marBottom w:val="0"/>
      <w:divBdr>
        <w:top w:val="none" w:sz="0" w:space="0" w:color="auto"/>
        <w:left w:val="none" w:sz="0" w:space="0" w:color="auto"/>
        <w:bottom w:val="none" w:sz="0" w:space="0" w:color="auto"/>
        <w:right w:val="none" w:sz="0" w:space="0" w:color="auto"/>
      </w:divBdr>
    </w:div>
    <w:div w:id="2753085">
      <w:bodyDiv w:val="1"/>
      <w:marLeft w:val="0"/>
      <w:marRight w:val="0"/>
      <w:marTop w:val="0"/>
      <w:marBottom w:val="0"/>
      <w:divBdr>
        <w:top w:val="none" w:sz="0" w:space="0" w:color="auto"/>
        <w:left w:val="none" w:sz="0" w:space="0" w:color="auto"/>
        <w:bottom w:val="none" w:sz="0" w:space="0" w:color="auto"/>
        <w:right w:val="none" w:sz="0" w:space="0" w:color="auto"/>
      </w:divBdr>
    </w:div>
    <w:div w:id="3099504">
      <w:bodyDiv w:val="1"/>
      <w:marLeft w:val="0"/>
      <w:marRight w:val="0"/>
      <w:marTop w:val="0"/>
      <w:marBottom w:val="0"/>
      <w:divBdr>
        <w:top w:val="none" w:sz="0" w:space="0" w:color="auto"/>
        <w:left w:val="none" w:sz="0" w:space="0" w:color="auto"/>
        <w:bottom w:val="none" w:sz="0" w:space="0" w:color="auto"/>
        <w:right w:val="none" w:sz="0" w:space="0" w:color="auto"/>
      </w:divBdr>
    </w:div>
    <w:div w:id="3217132">
      <w:bodyDiv w:val="1"/>
      <w:marLeft w:val="0"/>
      <w:marRight w:val="0"/>
      <w:marTop w:val="0"/>
      <w:marBottom w:val="0"/>
      <w:divBdr>
        <w:top w:val="none" w:sz="0" w:space="0" w:color="auto"/>
        <w:left w:val="none" w:sz="0" w:space="0" w:color="auto"/>
        <w:bottom w:val="none" w:sz="0" w:space="0" w:color="auto"/>
        <w:right w:val="none" w:sz="0" w:space="0" w:color="auto"/>
      </w:divBdr>
    </w:div>
    <w:div w:id="3556757">
      <w:bodyDiv w:val="1"/>
      <w:marLeft w:val="0"/>
      <w:marRight w:val="0"/>
      <w:marTop w:val="0"/>
      <w:marBottom w:val="0"/>
      <w:divBdr>
        <w:top w:val="none" w:sz="0" w:space="0" w:color="auto"/>
        <w:left w:val="none" w:sz="0" w:space="0" w:color="auto"/>
        <w:bottom w:val="none" w:sz="0" w:space="0" w:color="auto"/>
        <w:right w:val="none" w:sz="0" w:space="0" w:color="auto"/>
      </w:divBdr>
    </w:div>
    <w:div w:id="3749113">
      <w:bodyDiv w:val="1"/>
      <w:marLeft w:val="0"/>
      <w:marRight w:val="0"/>
      <w:marTop w:val="0"/>
      <w:marBottom w:val="0"/>
      <w:divBdr>
        <w:top w:val="none" w:sz="0" w:space="0" w:color="auto"/>
        <w:left w:val="none" w:sz="0" w:space="0" w:color="auto"/>
        <w:bottom w:val="none" w:sz="0" w:space="0" w:color="auto"/>
        <w:right w:val="none" w:sz="0" w:space="0" w:color="auto"/>
      </w:divBdr>
    </w:div>
    <w:div w:id="4214596">
      <w:bodyDiv w:val="1"/>
      <w:marLeft w:val="0"/>
      <w:marRight w:val="0"/>
      <w:marTop w:val="0"/>
      <w:marBottom w:val="0"/>
      <w:divBdr>
        <w:top w:val="none" w:sz="0" w:space="0" w:color="auto"/>
        <w:left w:val="none" w:sz="0" w:space="0" w:color="auto"/>
        <w:bottom w:val="none" w:sz="0" w:space="0" w:color="auto"/>
        <w:right w:val="none" w:sz="0" w:space="0" w:color="auto"/>
      </w:divBdr>
    </w:div>
    <w:div w:id="4594188">
      <w:bodyDiv w:val="1"/>
      <w:marLeft w:val="0"/>
      <w:marRight w:val="0"/>
      <w:marTop w:val="0"/>
      <w:marBottom w:val="0"/>
      <w:divBdr>
        <w:top w:val="none" w:sz="0" w:space="0" w:color="auto"/>
        <w:left w:val="none" w:sz="0" w:space="0" w:color="auto"/>
        <w:bottom w:val="none" w:sz="0" w:space="0" w:color="auto"/>
        <w:right w:val="none" w:sz="0" w:space="0" w:color="auto"/>
      </w:divBdr>
    </w:div>
    <w:div w:id="5326643">
      <w:bodyDiv w:val="1"/>
      <w:marLeft w:val="0"/>
      <w:marRight w:val="0"/>
      <w:marTop w:val="0"/>
      <w:marBottom w:val="0"/>
      <w:divBdr>
        <w:top w:val="none" w:sz="0" w:space="0" w:color="auto"/>
        <w:left w:val="none" w:sz="0" w:space="0" w:color="auto"/>
        <w:bottom w:val="none" w:sz="0" w:space="0" w:color="auto"/>
        <w:right w:val="none" w:sz="0" w:space="0" w:color="auto"/>
      </w:divBdr>
    </w:div>
    <w:div w:id="5644093">
      <w:bodyDiv w:val="1"/>
      <w:marLeft w:val="0"/>
      <w:marRight w:val="0"/>
      <w:marTop w:val="0"/>
      <w:marBottom w:val="0"/>
      <w:divBdr>
        <w:top w:val="none" w:sz="0" w:space="0" w:color="auto"/>
        <w:left w:val="none" w:sz="0" w:space="0" w:color="auto"/>
        <w:bottom w:val="none" w:sz="0" w:space="0" w:color="auto"/>
        <w:right w:val="none" w:sz="0" w:space="0" w:color="auto"/>
      </w:divBdr>
    </w:div>
    <w:div w:id="5836247">
      <w:bodyDiv w:val="1"/>
      <w:marLeft w:val="0"/>
      <w:marRight w:val="0"/>
      <w:marTop w:val="0"/>
      <w:marBottom w:val="0"/>
      <w:divBdr>
        <w:top w:val="none" w:sz="0" w:space="0" w:color="auto"/>
        <w:left w:val="none" w:sz="0" w:space="0" w:color="auto"/>
        <w:bottom w:val="none" w:sz="0" w:space="0" w:color="auto"/>
        <w:right w:val="none" w:sz="0" w:space="0" w:color="auto"/>
      </w:divBdr>
    </w:div>
    <w:div w:id="6182325">
      <w:bodyDiv w:val="1"/>
      <w:marLeft w:val="0"/>
      <w:marRight w:val="0"/>
      <w:marTop w:val="0"/>
      <w:marBottom w:val="0"/>
      <w:divBdr>
        <w:top w:val="none" w:sz="0" w:space="0" w:color="auto"/>
        <w:left w:val="none" w:sz="0" w:space="0" w:color="auto"/>
        <w:bottom w:val="none" w:sz="0" w:space="0" w:color="auto"/>
        <w:right w:val="none" w:sz="0" w:space="0" w:color="auto"/>
      </w:divBdr>
    </w:div>
    <w:div w:id="6639363">
      <w:bodyDiv w:val="1"/>
      <w:marLeft w:val="0"/>
      <w:marRight w:val="0"/>
      <w:marTop w:val="0"/>
      <w:marBottom w:val="0"/>
      <w:divBdr>
        <w:top w:val="none" w:sz="0" w:space="0" w:color="auto"/>
        <w:left w:val="none" w:sz="0" w:space="0" w:color="auto"/>
        <w:bottom w:val="none" w:sz="0" w:space="0" w:color="auto"/>
        <w:right w:val="none" w:sz="0" w:space="0" w:color="auto"/>
      </w:divBdr>
    </w:div>
    <w:div w:id="7299706">
      <w:bodyDiv w:val="1"/>
      <w:marLeft w:val="0"/>
      <w:marRight w:val="0"/>
      <w:marTop w:val="0"/>
      <w:marBottom w:val="0"/>
      <w:divBdr>
        <w:top w:val="none" w:sz="0" w:space="0" w:color="auto"/>
        <w:left w:val="none" w:sz="0" w:space="0" w:color="auto"/>
        <w:bottom w:val="none" w:sz="0" w:space="0" w:color="auto"/>
        <w:right w:val="none" w:sz="0" w:space="0" w:color="auto"/>
      </w:divBdr>
    </w:div>
    <w:div w:id="7568701">
      <w:bodyDiv w:val="1"/>
      <w:marLeft w:val="0"/>
      <w:marRight w:val="0"/>
      <w:marTop w:val="0"/>
      <w:marBottom w:val="0"/>
      <w:divBdr>
        <w:top w:val="none" w:sz="0" w:space="0" w:color="auto"/>
        <w:left w:val="none" w:sz="0" w:space="0" w:color="auto"/>
        <w:bottom w:val="none" w:sz="0" w:space="0" w:color="auto"/>
        <w:right w:val="none" w:sz="0" w:space="0" w:color="auto"/>
      </w:divBdr>
    </w:div>
    <w:div w:id="7878419">
      <w:bodyDiv w:val="1"/>
      <w:marLeft w:val="0"/>
      <w:marRight w:val="0"/>
      <w:marTop w:val="0"/>
      <w:marBottom w:val="0"/>
      <w:divBdr>
        <w:top w:val="none" w:sz="0" w:space="0" w:color="auto"/>
        <w:left w:val="none" w:sz="0" w:space="0" w:color="auto"/>
        <w:bottom w:val="none" w:sz="0" w:space="0" w:color="auto"/>
        <w:right w:val="none" w:sz="0" w:space="0" w:color="auto"/>
      </w:divBdr>
    </w:div>
    <w:div w:id="7878923">
      <w:bodyDiv w:val="1"/>
      <w:marLeft w:val="0"/>
      <w:marRight w:val="0"/>
      <w:marTop w:val="0"/>
      <w:marBottom w:val="0"/>
      <w:divBdr>
        <w:top w:val="none" w:sz="0" w:space="0" w:color="auto"/>
        <w:left w:val="none" w:sz="0" w:space="0" w:color="auto"/>
        <w:bottom w:val="none" w:sz="0" w:space="0" w:color="auto"/>
        <w:right w:val="none" w:sz="0" w:space="0" w:color="auto"/>
      </w:divBdr>
    </w:div>
    <w:div w:id="8067211">
      <w:bodyDiv w:val="1"/>
      <w:marLeft w:val="0"/>
      <w:marRight w:val="0"/>
      <w:marTop w:val="0"/>
      <w:marBottom w:val="0"/>
      <w:divBdr>
        <w:top w:val="none" w:sz="0" w:space="0" w:color="auto"/>
        <w:left w:val="none" w:sz="0" w:space="0" w:color="auto"/>
        <w:bottom w:val="none" w:sz="0" w:space="0" w:color="auto"/>
        <w:right w:val="none" w:sz="0" w:space="0" w:color="auto"/>
      </w:divBdr>
    </w:div>
    <w:div w:id="8989946">
      <w:bodyDiv w:val="1"/>
      <w:marLeft w:val="0"/>
      <w:marRight w:val="0"/>
      <w:marTop w:val="0"/>
      <w:marBottom w:val="0"/>
      <w:divBdr>
        <w:top w:val="none" w:sz="0" w:space="0" w:color="auto"/>
        <w:left w:val="none" w:sz="0" w:space="0" w:color="auto"/>
        <w:bottom w:val="none" w:sz="0" w:space="0" w:color="auto"/>
        <w:right w:val="none" w:sz="0" w:space="0" w:color="auto"/>
      </w:divBdr>
    </w:div>
    <w:div w:id="8992570">
      <w:bodyDiv w:val="1"/>
      <w:marLeft w:val="0"/>
      <w:marRight w:val="0"/>
      <w:marTop w:val="0"/>
      <w:marBottom w:val="0"/>
      <w:divBdr>
        <w:top w:val="none" w:sz="0" w:space="0" w:color="auto"/>
        <w:left w:val="none" w:sz="0" w:space="0" w:color="auto"/>
        <w:bottom w:val="none" w:sz="0" w:space="0" w:color="auto"/>
        <w:right w:val="none" w:sz="0" w:space="0" w:color="auto"/>
      </w:divBdr>
    </w:div>
    <w:div w:id="9718286">
      <w:bodyDiv w:val="1"/>
      <w:marLeft w:val="0"/>
      <w:marRight w:val="0"/>
      <w:marTop w:val="0"/>
      <w:marBottom w:val="0"/>
      <w:divBdr>
        <w:top w:val="none" w:sz="0" w:space="0" w:color="auto"/>
        <w:left w:val="none" w:sz="0" w:space="0" w:color="auto"/>
        <w:bottom w:val="none" w:sz="0" w:space="0" w:color="auto"/>
        <w:right w:val="none" w:sz="0" w:space="0" w:color="auto"/>
      </w:divBdr>
    </w:div>
    <w:div w:id="10226595">
      <w:bodyDiv w:val="1"/>
      <w:marLeft w:val="0"/>
      <w:marRight w:val="0"/>
      <w:marTop w:val="0"/>
      <w:marBottom w:val="0"/>
      <w:divBdr>
        <w:top w:val="none" w:sz="0" w:space="0" w:color="auto"/>
        <w:left w:val="none" w:sz="0" w:space="0" w:color="auto"/>
        <w:bottom w:val="none" w:sz="0" w:space="0" w:color="auto"/>
        <w:right w:val="none" w:sz="0" w:space="0" w:color="auto"/>
      </w:divBdr>
    </w:div>
    <w:div w:id="10762400">
      <w:bodyDiv w:val="1"/>
      <w:marLeft w:val="0"/>
      <w:marRight w:val="0"/>
      <w:marTop w:val="0"/>
      <w:marBottom w:val="0"/>
      <w:divBdr>
        <w:top w:val="none" w:sz="0" w:space="0" w:color="auto"/>
        <w:left w:val="none" w:sz="0" w:space="0" w:color="auto"/>
        <w:bottom w:val="none" w:sz="0" w:space="0" w:color="auto"/>
        <w:right w:val="none" w:sz="0" w:space="0" w:color="auto"/>
      </w:divBdr>
    </w:div>
    <w:div w:id="12264964">
      <w:bodyDiv w:val="1"/>
      <w:marLeft w:val="0"/>
      <w:marRight w:val="0"/>
      <w:marTop w:val="0"/>
      <w:marBottom w:val="0"/>
      <w:divBdr>
        <w:top w:val="none" w:sz="0" w:space="0" w:color="auto"/>
        <w:left w:val="none" w:sz="0" w:space="0" w:color="auto"/>
        <w:bottom w:val="none" w:sz="0" w:space="0" w:color="auto"/>
        <w:right w:val="none" w:sz="0" w:space="0" w:color="auto"/>
      </w:divBdr>
    </w:div>
    <w:div w:id="12539920">
      <w:bodyDiv w:val="1"/>
      <w:marLeft w:val="0"/>
      <w:marRight w:val="0"/>
      <w:marTop w:val="0"/>
      <w:marBottom w:val="0"/>
      <w:divBdr>
        <w:top w:val="none" w:sz="0" w:space="0" w:color="auto"/>
        <w:left w:val="none" w:sz="0" w:space="0" w:color="auto"/>
        <w:bottom w:val="none" w:sz="0" w:space="0" w:color="auto"/>
        <w:right w:val="none" w:sz="0" w:space="0" w:color="auto"/>
      </w:divBdr>
    </w:div>
    <w:div w:id="12850563">
      <w:bodyDiv w:val="1"/>
      <w:marLeft w:val="0"/>
      <w:marRight w:val="0"/>
      <w:marTop w:val="0"/>
      <w:marBottom w:val="0"/>
      <w:divBdr>
        <w:top w:val="none" w:sz="0" w:space="0" w:color="auto"/>
        <w:left w:val="none" w:sz="0" w:space="0" w:color="auto"/>
        <w:bottom w:val="none" w:sz="0" w:space="0" w:color="auto"/>
        <w:right w:val="none" w:sz="0" w:space="0" w:color="auto"/>
      </w:divBdr>
    </w:div>
    <w:div w:id="13457837">
      <w:bodyDiv w:val="1"/>
      <w:marLeft w:val="0"/>
      <w:marRight w:val="0"/>
      <w:marTop w:val="0"/>
      <w:marBottom w:val="0"/>
      <w:divBdr>
        <w:top w:val="none" w:sz="0" w:space="0" w:color="auto"/>
        <w:left w:val="none" w:sz="0" w:space="0" w:color="auto"/>
        <w:bottom w:val="none" w:sz="0" w:space="0" w:color="auto"/>
        <w:right w:val="none" w:sz="0" w:space="0" w:color="auto"/>
      </w:divBdr>
    </w:div>
    <w:div w:id="14624449">
      <w:bodyDiv w:val="1"/>
      <w:marLeft w:val="0"/>
      <w:marRight w:val="0"/>
      <w:marTop w:val="0"/>
      <w:marBottom w:val="0"/>
      <w:divBdr>
        <w:top w:val="none" w:sz="0" w:space="0" w:color="auto"/>
        <w:left w:val="none" w:sz="0" w:space="0" w:color="auto"/>
        <w:bottom w:val="none" w:sz="0" w:space="0" w:color="auto"/>
        <w:right w:val="none" w:sz="0" w:space="0" w:color="auto"/>
      </w:divBdr>
    </w:div>
    <w:div w:id="15468235">
      <w:bodyDiv w:val="1"/>
      <w:marLeft w:val="0"/>
      <w:marRight w:val="0"/>
      <w:marTop w:val="0"/>
      <w:marBottom w:val="0"/>
      <w:divBdr>
        <w:top w:val="none" w:sz="0" w:space="0" w:color="auto"/>
        <w:left w:val="none" w:sz="0" w:space="0" w:color="auto"/>
        <w:bottom w:val="none" w:sz="0" w:space="0" w:color="auto"/>
        <w:right w:val="none" w:sz="0" w:space="0" w:color="auto"/>
      </w:divBdr>
    </w:div>
    <w:div w:id="15816812">
      <w:bodyDiv w:val="1"/>
      <w:marLeft w:val="0"/>
      <w:marRight w:val="0"/>
      <w:marTop w:val="0"/>
      <w:marBottom w:val="0"/>
      <w:divBdr>
        <w:top w:val="none" w:sz="0" w:space="0" w:color="auto"/>
        <w:left w:val="none" w:sz="0" w:space="0" w:color="auto"/>
        <w:bottom w:val="none" w:sz="0" w:space="0" w:color="auto"/>
        <w:right w:val="none" w:sz="0" w:space="0" w:color="auto"/>
      </w:divBdr>
    </w:div>
    <w:div w:id="16278961">
      <w:bodyDiv w:val="1"/>
      <w:marLeft w:val="0"/>
      <w:marRight w:val="0"/>
      <w:marTop w:val="0"/>
      <w:marBottom w:val="0"/>
      <w:divBdr>
        <w:top w:val="none" w:sz="0" w:space="0" w:color="auto"/>
        <w:left w:val="none" w:sz="0" w:space="0" w:color="auto"/>
        <w:bottom w:val="none" w:sz="0" w:space="0" w:color="auto"/>
        <w:right w:val="none" w:sz="0" w:space="0" w:color="auto"/>
      </w:divBdr>
    </w:div>
    <w:div w:id="16855386">
      <w:bodyDiv w:val="1"/>
      <w:marLeft w:val="0"/>
      <w:marRight w:val="0"/>
      <w:marTop w:val="0"/>
      <w:marBottom w:val="0"/>
      <w:divBdr>
        <w:top w:val="none" w:sz="0" w:space="0" w:color="auto"/>
        <w:left w:val="none" w:sz="0" w:space="0" w:color="auto"/>
        <w:bottom w:val="none" w:sz="0" w:space="0" w:color="auto"/>
        <w:right w:val="none" w:sz="0" w:space="0" w:color="auto"/>
      </w:divBdr>
    </w:div>
    <w:div w:id="17245367">
      <w:bodyDiv w:val="1"/>
      <w:marLeft w:val="0"/>
      <w:marRight w:val="0"/>
      <w:marTop w:val="0"/>
      <w:marBottom w:val="0"/>
      <w:divBdr>
        <w:top w:val="none" w:sz="0" w:space="0" w:color="auto"/>
        <w:left w:val="none" w:sz="0" w:space="0" w:color="auto"/>
        <w:bottom w:val="none" w:sz="0" w:space="0" w:color="auto"/>
        <w:right w:val="none" w:sz="0" w:space="0" w:color="auto"/>
      </w:divBdr>
    </w:div>
    <w:div w:id="17589932">
      <w:bodyDiv w:val="1"/>
      <w:marLeft w:val="0"/>
      <w:marRight w:val="0"/>
      <w:marTop w:val="0"/>
      <w:marBottom w:val="0"/>
      <w:divBdr>
        <w:top w:val="none" w:sz="0" w:space="0" w:color="auto"/>
        <w:left w:val="none" w:sz="0" w:space="0" w:color="auto"/>
        <w:bottom w:val="none" w:sz="0" w:space="0" w:color="auto"/>
        <w:right w:val="none" w:sz="0" w:space="0" w:color="auto"/>
      </w:divBdr>
    </w:div>
    <w:div w:id="18052783">
      <w:bodyDiv w:val="1"/>
      <w:marLeft w:val="0"/>
      <w:marRight w:val="0"/>
      <w:marTop w:val="0"/>
      <w:marBottom w:val="0"/>
      <w:divBdr>
        <w:top w:val="none" w:sz="0" w:space="0" w:color="auto"/>
        <w:left w:val="none" w:sz="0" w:space="0" w:color="auto"/>
        <w:bottom w:val="none" w:sz="0" w:space="0" w:color="auto"/>
        <w:right w:val="none" w:sz="0" w:space="0" w:color="auto"/>
      </w:divBdr>
    </w:div>
    <w:div w:id="18824678">
      <w:bodyDiv w:val="1"/>
      <w:marLeft w:val="0"/>
      <w:marRight w:val="0"/>
      <w:marTop w:val="0"/>
      <w:marBottom w:val="0"/>
      <w:divBdr>
        <w:top w:val="none" w:sz="0" w:space="0" w:color="auto"/>
        <w:left w:val="none" w:sz="0" w:space="0" w:color="auto"/>
        <w:bottom w:val="none" w:sz="0" w:space="0" w:color="auto"/>
        <w:right w:val="none" w:sz="0" w:space="0" w:color="auto"/>
      </w:divBdr>
    </w:div>
    <w:div w:id="19596541">
      <w:bodyDiv w:val="1"/>
      <w:marLeft w:val="0"/>
      <w:marRight w:val="0"/>
      <w:marTop w:val="0"/>
      <w:marBottom w:val="0"/>
      <w:divBdr>
        <w:top w:val="none" w:sz="0" w:space="0" w:color="auto"/>
        <w:left w:val="none" w:sz="0" w:space="0" w:color="auto"/>
        <w:bottom w:val="none" w:sz="0" w:space="0" w:color="auto"/>
        <w:right w:val="none" w:sz="0" w:space="0" w:color="auto"/>
      </w:divBdr>
    </w:div>
    <w:div w:id="20476391">
      <w:bodyDiv w:val="1"/>
      <w:marLeft w:val="0"/>
      <w:marRight w:val="0"/>
      <w:marTop w:val="0"/>
      <w:marBottom w:val="0"/>
      <w:divBdr>
        <w:top w:val="none" w:sz="0" w:space="0" w:color="auto"/>
        <w:left w:val="none" w:sz="0" w:space="0" w:color="auto"/>
        <w:bottom w:val="none" w:sz="0" w:space="0" w:color="auto"/>
        <w:right w:val="none" w:sz="0" w:space="0" w:color="auto"/>
      </w:divBdr>
    </w:div>
    <w:div w:id="20594584">
      <w:bodyDiv w:val="1"/>
      <w:marLeft w:val="0"/>
      <w:marRight w:val="0"/>
      <w:marTop w:val="0"/>
      <w:marBottom w:val="0"/>
      <w:divBdr>
        <w:top w:val="none" w:sz="0" w:space="0" w:color="auto"/>
        <w:left w:val="none" w:sz="0" w:space="0" w:color="auto"/>
        <w:bottom w:val="none" w:sz="0" w:space="0" w:color="auto"/>
        <w:right w:val="none" w:sz="0" w:space="0" w:color="auto"/>
      </w:divBdr>
    </w:div>
    <w:div w:id="21562662">
      <w:bodyDiv w:val="1"/>
      <w:marLeft w:val="0"/>
      <w:marRight w:val="0"/>
      <w:marTop w:val="0"/>
      <w:marBottom w:val="0"/>
      <w:divBdr>
        <w:top w:val="none" w:sz="0" w:space="0" w:color="auto"/>
        <w:left w:val="none" w:sz="0" w:space="0" w:color="auto"/>
        <w:bottom w:val="none" w:sz="0" w:space="0" w:color="auto"/>
        <w:right w:val="none" w:sz="0" w:space="0" w:color="auto"/>
      </w:divBdr>
    </w:div>
    <w:div w:id="21590744">
      <w:bodyDiv w:val="1"/>
      <w:marLeft w:val="0"/>
      <w:marRight w:val="0"/>
      <w:marTop w:val="0"/>
      <w:marBottom w:val="0"/>
      <w:divBdr>
        <w:top w:val="none" w:sz="0" w:space="0" w:color="auto"/>
        <w:left w:val="none" w:sz="0" w:space="0" w:color="auto"/>
        <w:bottom w:val="none" w:sz="0" w:space="0" w:color="auto"/>
        <w:right w:val="none" w:sz="0" w:space="0" w:color="auto"/>
      </w:divBdr>
    </w:div>
    <w:div w:id="21978229">
      <w:bodyDiv w:val="1"/>
      <w:marLeft w:val="0"/>
      <w:marRight w:val="0"/>
      <w:marTop w:val="0"/>
      <w:marBottom w:val="0"/>
      <w:divBdr>
        <w:top w:val="none" w:sz="0" w:space="0" w:color="auto"/>
        <w:left w:val="none" w:sz="0" w:space="0" w:color="auto"/>
        <w:bottom w:val="none" w:sz="0" w:space="0" w:color="auto"/>
        <w:right w:val="none" w:sz="0" w:space="0" w:color="auto"/>
      </w:divBdr>
    </w:div>
    <w:div w:id="22170747">
      <w:bodyDiv w:val="1"/>
      <w:marLeft w:val="0"/>
      <w:marRight w:val="0"/>
      <w:marTop w:val="0"/>
      <w:marBottom w:val="0"/>
      <w:divBdr>
        <w:top w:val="none" w:sz="0" w:space="0" w:color="auto"/>
        <w:left w:val="none" w:sz="0" w:space="0" w:color="auto"/>
        <w:bottom w:val="none" w:sz="0" w:space="0" w:color="auto"/>
        <w:right w:val="none" w:sz="0" w:space="0" w:color="auto"/>
      </w:divBdr>
    </w:div>
    <w:div w:id="22638330">
      <w:bodyDiv w:val="1"/>
      <w:marLeft w:val="0"/>
      <w:marRight w:val="0"/>
      <w:marTop w:val="0"/>
      <w:marBottom w:val="0"/>
      <w:divBdr>
        <w:top w:val="none" w:sz="0" w:space="0" w:color="auto"/>
        <w:left w:val="none" w:sz="0" w:space="0" w:color="auto"/>
        <w:bottom w:val="none" w:sz="0" w:space="0" w:color="auto"/>
        <w:right w:val="none" w:sz="0" w:space="0" w:color="auto"/>
      </w:divBdr>
    </w:div>
    <w:div w:id="23100880">
      <w:bodyDiv w:val="1"/>
      <w:marLeft w:val="0"/>
      <w:marRight w:val="0"/>
      <w:marTop w:val="0"/>
      <w:marBottom w:val="0"/>
      <w:divBdr>
        <w:top w:val="none" w:sz="0" w:space="0" w:color="auto"/>
        <w:left w:val="none" w:sz="0" w:space="0" w:color="auto"/>
        <w:bottom w:val="none" w:sz="0" w:space="0" w:color="auto"/>
        <w:right w:val="none" w:sz="0" w:space="0" w:color="auto"/>
      </w:divBdr>
    </w:div>
    <w:div w:id="23142426">
      <w:bodyDiv w:val="1"/>
      <w:marLeft w:val="0"/>
      <w:marRight w:val="0"/>
      <w:marTop w:val="0"/>
      <w:marBottom w:val="0"/>
      <w:divBdr>
        <w:top w:val="none" w:sz="0" w:space="0" w:color="auto"/>
        <w:left w:val="none" w:sz="0" w:space="0" w:color="auto"/>
        <w:bottom w:val="none" w:sz="0" w:space="0" w:color="auto"/>
        <w:right w:val="none" w:sz="0" w:space="0" w:color="auto"/>
      </w:divBdr>
    </w:div>
    <w:div w:id="23530922">
      <w:bodyDiv w:val="1"/>
      <w:marLeft w:val="0"/>
      <w:marRight w:val="0"/>
      <w:marTop w:val="0"/>
      <w:marBottom w:val="0"/>
      <w:divBdr>
        <w:top w:val="none" w:sz="0" w:space="0" w:color="auto"/>
        <w:left w:val="none" w:sz="0" w:space="0" w:color="auto"/>
        <w:bottom w:val="none" w:sz="0" w:space="0" w:color="auto"/>
        <w:right w:val="none" w:sz="0" w:space="0" w:color="auto"/>
      </w:divBdr>
    </w:div>
    <w:div w:id="25373023">
      <w:bodyDiv w:val="1"/>
      <w:marLeft w:val="0"/>
      <w:marRight w:val="0"/>
      <w:marTop w:val="0"/>
      <w:marBottom w:val="0"/>
      <w:divBdr>
        <w:top w:val="none" w:sz="0" w:space="0" w:color="auto"/>
        <w:left w:val="none" w:sz="0" w:space="0" w:color="auto"/>
        <w:bottom w:val="none" w:sz="0" w:space="0" w:color="auto"/>
        <w:right w:val="none" w:sz="0" w:space="0" w:color="auto"/>
      </w:divBdr>
    </w:div>
    <w:div w:id="25452795">
      <w:bodyDiv w:val="1"/>
      <w:marLeft w:val="0"/>
      <w:marRight w:val="0"/>
      <w:marTop w:val="0"/>
      <w:marBottom w:val="0"/>
      <w:divBdr>
        <w:top w:val="none" w:sz="0" w:space="0" w:color="auto"/>
        <w:left w:val="none" w:sz="0" w:space="0" w:color="auto"/>
        <w:bottom w:val="none" w:sz="0" w:space="0" w:color="auto"/>
        <w:right w:val="none" w:sz="0" w:space="0" w:color="auto"/>
      </w:divBdr>
    </w:div>
    <w:div w:id="25644034">
      <w:bodyDiv w:val="1"/>
      <w:marLeft w:val="0"/>
      <w:marRight w:val="0"/>
      <w:marTop w:val="0"/>
      <w:marBottom w:val="0"/>
      <w:divBdr>
        <w:top w:val="none" w:sz="0" w:space="0" w:color="auto"/>
        <w:left w:val="none" w:sz="0" w:space="0" w:color="auto"/>
        <w:bottom w:val="none" w:sz="0" w:space="0" w:color="auto"/>
        <w:right w:val="none" w:sz="0" w:space="0" w:color="auto"/>
      </w:divBdr>
    </w:div>
    <w:div w:id="26025427">
      <w:bodyDiv w:val="1"/>
      <w:marLeft w:val="0"/>
      <w:marRight w:val="0"/>
      <w:marTop w:val="0"/>
      <w:marBottom w:val="0"/>
      <w:divBdr>
        <w:top w:val="none" w:sz="0" w:space="0" w:color="auto"/>
        <w:left w:val="none" w:sz="0" w:space="0" w:color="auto"/>
        <w:bottom w:val="none" w:sz="0" w:space="0" w:color="auto"/>
        <w:right w:val="none" w:sz="0" w:space="0" w:color="auto"/>
      </w:divBdr>
    </w:div>
    <w:div w:id="26107376">
      <w:bodyDiv w:val="1"/>
      <w:marLeft w:val="0"/>
      <w:marRight w:val="0"/>
      <w:marTop w:val="0"/>
      <w:marBottom w:val="0"/>
      <w:divBdr>
        <w:top w:val="none" w:sz="0" w:space="0" w:color="auto"/>
        <w:left w:val="none" w:sz="0" w:space="0" w:color="auto"/>
        <w:bottom w:val="none" w:sz="0" w:space="0" w:color="auto"/>
        <w:right w:val="none" w:sz="0" w:space="0" w:color="auto"/>
      </w:divBdr>
    </w:div>
    <w:div w:id="26149584">
      <w:bodyDiv w:val="1"/>
      <w:marLeft w:val="0"/>
      <w:marRight w:val="0"/>
      <w:marTop w:val="0"/>
      <w:marBottom w:val="0"/>
      <w:divBdr>
        <w:top w:val="none" w:sz="0" w:space="0" w:color="auto"/>
        <w:left w:val="none" w:sz="0" w:space="0" w:color="auto"/>
        <w:bottom w:val="none" w:sz="0" w:space="0" w:color="auto"/>
        <w:right w:val="none" w:sz="0" w:space="0" w:color="auto"/>
      </w:divBdr>
    </w:div>
    <w:div w:id="26223807">
      <w:bodyDiv w:val="1"/>
      <w:marLeft w:val="0"/>
      <w:marRight w:val="0"/>
      <w:marTop w:val="0"/>
      <w:marBottom w:val="0"/>
      <w:divBdr>
        <w:top w:val="none" w:sz="0" w:space="0" w:color="auto"/>
        <w:left w:val="none" w:sz="0" w:space="0" w:color="auto"/>
        <w:bottom w:val="none" w:sz="0" w:space="0" w:color="auto"/>
        <w:right w:val="none" w:sz="0" w:space="0" w:color="auto"/>
      </w:divBdr>
    </w:div>
    <w:div w:id="27687510">
      <w:bodyDiv w:val="1"/>
      <w:marLeft w:val="0"/>
      <w:marRight w:val="0"/>
      <w:marTop w:val="0"/>
      <w:marBottom w:val="0"/>
      <w:divBdr>
        <w:top w:val="none" w:sz="0" w:space="0" w:color="auto"/>
        <w:left w:val="none" w:sz="0" w:space="0" w:color="auto"/>
        <w:bottom w:val="none" w:sz="0" w:space="0" w:color="auto"/>
        <w:right w:val="none" w:sz="0" w:space="0" w:color="auto"/>
      </w:divBdr>
    </w:div>
    <w:div w:id="28117636">
      <w:bodyDiv w:val="1"/>
      <w:marLeft w:val="0"/>
      <w:marRight w:val="0"/>
      <w:marTop w:val="0"/>
      <w:marBottom w:val="0"/>
      <w:divBdr>
        <w:top w:val="none" w:sz="0" w:space="0" w:color="auto"/>
        <w:left w:val="none" w:sz="0" w:space="0" w:color="auto"/>
        <w:bottom w:val="none" w:sz="0" w:space="0" w:color="auto"/>
        <w:right w:val="none" w:sz="0" w:space="0" w:color="auto"/>
      </w:divBdr>
    </w:div>
    <w:div w:id="28461353">
      <w:bodyDiv w:val="1"/>
      <w:marLeft w:val="0"/>
      <w:marRight w:val="0"/>
      <w:marTop w:val="0"/>
      <w:marBottom w:val="0"/>
      <w:divBdr>
        <w:top w:val="none" w:sz="0" w:space="0" w:color="auto"/>
        <w:left w:val="none" w:sz="0" w:space="0" w:color="auto"/>
        <w:bottom w:val="none" w:sz="0" w:space="0" w:color="auto"/>
        <w:right w:val="none" w:sz="0" w:space="0" w:color="auto"/>
      </w:divBdr>
    </w:div>
    <w:div w:id="28729542">
      <w:bodyDiv w:val="1"/>
      <w:marLeft w:val="0"/>
      <w:marRight w:val="0"/>
      <w:marTop w:val="0"/>
      <w:marBottom w:val="0"/>
      <w:divBdr>
        <w:top w:val="none" w:sz="0" w:space="0" w:color="auto"/>
        <w:left w:val="none" w:sz="0" w:space="0" w:color="auto"/>
        <w:bottom w:val="none" w:sz="0" w:space="0" w:color="auto"/>
        <w:right w:val="none" w:sz="0" w:space="0" w:color="auto"/>
      </w:divBdr>
    </w:div>
    <w:div w:id="29304042">
      <w:bodyDiv w:val="1"/>
      <w:marLeft w:val="0"/>
      <w:marRight w:val="0"/>
      <w:marTop w:val="0"/>
      <w:marBottom w:val="0"/>
      <w:divBdr>
        <w:top w:val="none" w:sz="0" w:space="0" w:color="auto"/>
        <w:left w:val="none" w:sz="0" w:space="0" w:color="auto"/>
        <w:bottom w:val="none" w:sz="0" w:space="0" w:color="auto"/>
        <w:right w:val="none" w:sz="0" w:space="0" w:color="auto"/>
      </w:divBdr>
    </w:div>
    <w:div w:id="29645380">
      <w:bodyDiv w:val="1"/>
      <w:marLeft w:val="0"/>
      <w:marRight w:val="0"/>
      <w:marTop w:val="0"/>
      <w:marBottom w:val="0"/>
      <w:divBdr>
        <w:top w:val="none" w:sz="0" w:space="0" w:color="auto"/>
        <w:left w:val="none" w:sz="0" w:space="0" w:color="auto"/>
        <w:bottom w:val="none" w:sz="0" w:space="0" w:color="auto"/>
        <w:right w:val="none" w:sz="0" w:space="0" w:color="auto"/>
      </w:divBdr>
    </w:div>
    <w:div w:id="29646113">
      <w:bodyDiv w:val="1"/>
      <w:marLeft w:val="0"/>
      <w:marRight w:val="0"/>
      <w:marTop w:val="0"/>
      <w:marBottom w:val="0"/>
      <w:divBdr>
        <w:top w:val="none" w:sz="0" w:space="0" w:color="auto"/>
        <w:left w:val="none" w:sz="0" w:space="0" w:color="auto"/>
        <w:bottom w:val="none" w:sz="0" w:space="0" w:color="auto"/>
        <w:right w:val="none" w:sz="0" w:space="0" w:color="auto"/>
      </w:divBdr>
    </w:div>
    <w:div w:id="30693856">
      <w:bodyDiv w:val="1"/>
      <w:marLeft w:val="0"/>
      <w:marRight w:val="0"/>
      <w:marTop w:val="0"/>
      <w:marBottom w:val="0"/>
      <w:divBdr>
        <w:top w:val="none" w:sz="0" w:space="0" w:color="auto"/>
        <w:left w:val="none" w:sz="0" w:space="0" w:color="auto"/>
        <w:bottom w:val="none" w:sz="0" w:space="0" w:color="auto"/>
        <w:right w:val="none" w:sz="0" w:space="0" w:color="auto"/>
      </w:divBdr>
    </w:div>
    <w:div w:id="30736784">
      <w:bodyDiv w:val="1"/>
      <w:marLeft w:val="0"/>
      <w:marRight w:val="0"/>
      <w:marTop w:val="0"/>
      <w:marBottom w:val="0"/>
      <w:divBdr>
        <w:top w:val="none" w:sz="0" w:space="0" w:color="auto"/>
        <w:left w:val="none" w:sz="0" w:space="0" w:color="auto"/>
        <w:bottom w:val="none" w:sz="0" w:space="0" w:color="auto"/>
        <w:right w:val="none" w:sz="0" w:space="0" w:color="auto"/>
      </w:divBdr>
    </w:div>
    <w:div w:id="30958044">
      <w:bodyDiv w:val="1"/>
      <w:marLeft w:val="0"/>
      <w:marRight w:val="0"/>
      <w:marTop w:val="0"/>
      <w:marBottom w:val="0"/>
      <w:divBdr>
        <w:top w:val="none" w:sz="0" w:space="0" w:color="auto"/>
        <w:left w:val="none" w:sz="0" w:space="0" w:color="auto"/>
        <w:bottom w:val="none" w:sz="0" w:space="0" w:color="auto"/>
        <w:right w:val="none" w:sz="0" w:space="0" w:color="auto"/>
      </w:divBdr>
    </w:div>
    <w:div w:id="31195505">
      <w:bodyDiv w:val="1"/>
      <w:marLeft w:val="0"/>
      <w:marRight w:val="0"/>
      <w:marTop w:val="0"/>
      <w:marBottom w:val="0"/>
      <w:divBdr>
        <w:top w:val="none" w:sz="0" w:space="0" w:color="auto"/>
        <w:left w:val="none" w:sz="0" w:space="0" w:color="auto"/>
        <w:bottom w:val="none" w:sz="0" w:space="0" w:color="auto"/>
        <w:right w:val="none" w:sz="0" w:space="0" w:color="auto"/>
      </w:divBdr>
    </w:div>
    <w:div w:id="31200555">
      <w:bodyDiv w:val="1"/>
      <w:marLeft w:val="0"/>
      <w:marRight w:val="0"/>
      <w:marTop w:val="0"/>
      <w:marBottom w:val="0"/>
      <w:divBdr>
        <w:top w:val="none" w:sz="0" w:space="0" w:color="auto"/>
        <w:left w:val="none" w:sz="0" w:space="0" w:color="auto"/>
        <w:bottom w:val="none" w:sz="0" w:space="0" w:color="auto"/>
        <w:right w:val="none" w:sz="0" w:space="0" w:color="auto"/>
      </w:divBdr>
    </w:div>
    <w:div w:id="31271639">
      <w:bodyDiv w:val="1"/>
      <w:marLeft w:val="0"/>
      <w:marRight w:val="0"/>
      <w:marTop w:val="0"/>
      <w:marBottom w:val="0"/>
      <w:divBdr>
        <w:top w:val="none" w:sz="0" w:space="0" w:color="auto"/>
        <w:left w:val="none" w:sz="0" w:space="0" w:color="auto"/>
        <w:bottom w:val="none" w:sz="0" w:space="0" w:color="auto"/>
        <w:right w:val="none" w:sz="0" w:space="0" w:color="auto"/>
      </w:divBdr>
    </w:div>
    <w:div w:id="32266140">
      <w:bodyDiv w:val="1"/>
      <w:marLeft w:val="0"/>
      <w:marRight w:val="0"/>
      <w:marTop w:val="0"/>
      <w:marBottom w:val="0"/>
      <w:divBdr>
        <w:top w:val="none" w:sz="0" w:space="0" w:color="auto"/>
        <w:left w:val="none" w:sz="0" w:space="0" w:color="auto"/>
        <w:bottom w:val="none" w:sz="0" w:space="0" w:color="auto"/>
        <w:right w:val="none" w:sz="0" w:space="0" w:color="auto"/>
      </w:divBdr>
    </w:div>
    <w:div w:id="32315387">
      <w:bodyDiv w:val="1"/>
      <w:marLeft w:val="0"/>
      <w:marRight w:val="0"/>
      <w:marTop w:val="0"/>
      <w:marBottom w:val="0"/>
      <w:divBdr>
        <w:top w:val="none" w:sz="0" w:space="0" w:color="auto"/>
        <w:left w:val="none" w:sz="0" w:space="0" w:color="auto"/>
        <w:bottom w:val="none" w:sz="0" w:space="0" w:color="auto"/>
        <w:right w:val="none" w:sz="0" w:space="0" w:color="auto"/>
      </w:divBdr>
    </w:div>
    <w:div w:id="32997220">
      <w:bodyDiv w:val="1"/>
      <w:marLeft w:val="0"/>
      <w:marRight w:val="0"/>
      <w:marTop w:val="0"/>
      <w:marBottom w:val="0"/>
      <w:divBdr>
        <w:top w:val="none" w:sz="0" w:space="0" w:color="auto"/>
        <w:left w:val="none" w:sz="0" w:space="0" w:color="auto"/>
        <w:bottom w:val="none" w:sz="0" w:space="0" w:color="auto"/>
        <w:right w:val="none" w:sz="0" w:space="0" w:color="auto"/>
      </w:divBdr>
    </w:div>
    <w:div w:id="33166759">
      <w:bodyDiv w:val="1"/>
      <w:marLeft w:val="0"/>
      <w:marRight w:val="0"/>
      <w:marTop w:val="0"/>
      <w:marBottom w:val="0"/>
      <w:divBdr>
        <w:top w:val="none" w:sz="0" w:space="0" w:color="auto"/>
        <w:left w:val="none" w:sz="0" w:space="0" w:color="auto"/>
        <w:bottom w:val="none" w:sz="0" w:space="0" w:color="auto"/>
        <w:right w:val="none" w:sz="0" w:space="0" w:color="auto"/>
      </w:divBdr>
    </w:div>
    <w:div w:id="33889120">
      <w:bodyDiv w:val="1"/>
      <w:marLeft w:val="0"/>
      <w:marRight w:val="0"/>
      <w:marTop w:val="0"/>
      <w:marBottom w:val="0"/>
      <w:divBdr>
        <w:top w:val="none" w:sz="0" w:space="0" w:color="auto"/>
        <w:left w:val="none" w:sz="0" w:space="0" w:color="auto"/>
        <w:bottom w:val="none" w:sz="0" w:space="0" w:color="auto"/>
        <w:right w:val="none" w:sz="0" w:space="0" w:color="auto"/>
      </w:divBdr>
    </w:div>
    <w:div w:id="33967673">
      <w:bodyDiv w:val="1"/>
      <w:marLeft w:val="0"/>
      <w:marRight w:val="0"/>
      <w:marTop w:val="0"/>
      <w:marBottom w:val="0"/>
      <w:divBdr>
        <w:top w:val="none" w:sz="0" w:space="0" w:color="auto"/>
        <w:left w:val="none" w:sz="0" w:space="0" w:color="auto"/>
        <w:bottom w:val="none" w:sz="0" w:space="0" w:color="auto"/>
        <w:right w:val="none" w:sz="0" w:space="0" w:color="auto"/>
      </w:divBdr>
    </w:div>
    <w:div w:id="34083057">
      <w:bodyDiv w:val="1"/>
      <w:marLeft w:val="0"/>
      <w:marRight w:val="0"/>
      <w:marTop w:val="0"/>
      <w:marBottom w:val="0"/>
      <w:divBdr>
        <w:top w:val="none" w:sz="0" w:space="0" w:color="auto"/>
        <w:left w:val="none" w:sz="0" w:space="0" w:color="auto"/>
        <w:bottom w:val="none" w:sz="0" w:space="0" w:color="auto"/>
        <w:right w:val="none" w:sz="0" w:space="0" w:color="auto"/>
      </w:divBdr>
    </w:div>
    <w:div w:id="34090140">
      <w:bodyDiv w:val="1"/>
      <w:marLeft w:val="0"/>
      <w:marRight w:val="0"/>
      <w:marTop w:val="0"/>
      <w:marBottom w:val="0"/>
      <w:divBdr>
        <w:top w:val="none" w:sz="0" w:space="0" w:color="auto"/>
        <w:left w:val="none" w:sz="0" w:space="0" w:color="auto"/>
        <w:bottom w:val="none" w:sz="0" w:space="0" w:color="auto"/>
        <w:right w:val="none" w:sz="0" w:space="0" w:color="auto"/>
      </w:divBdr>
    </w:div>
    <w:div w:id="34156652">
      <w:bodyDiv w:val="1"/>
      <w:marLeft w:val="0"/>
      <w:marRight w:val="0"/>
      <w:marTop w:val="0"/>
      <w:marBottom w:val="0"/>
      <w:divBdr>
        <w:top w:val="none" w:sz="0" w:space="0" w:color="auto"/>
        <w:left w:val="none" w:sz="0" w:space="0" w:color="auto"/>
        <w:bottom w:val="none" w:sz="0" w:space="0" w:color="auto"/>
        <w:right w:val="none" w:sz="0" w:space="0" w:color="auto"/>
      </w:divBdr>
    </w:div>
    <w:div w:id="34160036">
      <w:bodyDiv w:val="1"/>
      <w:marLeft w:val="0"/>
      <w:marRight w:val="0"/>
      <w:marTop w:val="0"/>
      <w:marBottom w:val="0"/>
      <w:divBdr>
        <w:top w:val="none" w:sz="0" w:space="0" w:color="auto"/>
        <w:left w:val="none" w:sz="0" w:space="0" w:color="auto"/>
        <w:bottom w:val="none" w:sz="0" w:space="0" w:color="auto"/>
        <w:right w:val="none" w:sz="0" w:space="0" w:color="auto"/>
      </w:divBdr>
    </w:div>
    <w:div w:id="34431063">
      <w:bodyDiv w:val="1"/>
      <w:marLeft w:val="0"/>
      <w:marRight w:val="0"/>
      <w:marTop w:val="0"/>
      <w:marBottom w:val="0"/>
      <w:divBdr>
        <w:top w:val="none" w:sz="0" w:space="0" w:color="auto"/>
        <w:left w:val="none" w:sz="0" w:space="0" w:color="auto"/>
        <w:bottom w:val="none" w:sz="0" w:space="0" w:color="auto"/>
        <w:right w:val="none" w:sz="0" w:space="0" w:color="auto"/>
      </w:divBdr>
    </w:div>
    <w:div w:id="34552360">
      <w:bodyDiv w:val="1"/>
      <w:marLeft w:val="0"/>
      <w:marRight w:val="0"/>
      <w:marTop w:val="0"/>
      <w:marBottom w:val="0"/>
      <w:divBdr>
        <w:top w:val="none" w:sz="0" w:space="0" w:color="auto"/>
        <w:left w:val="none" w:sz="0" w:space="0" w:color="auto"/>
        <w:bottom w:val="none" w:sz="0" w:space="0" w:color="auto"/>
        <w:right w:val="none" w:sz="0" w:space="0" w:color="auto"/>
      </w:divBdr>
    </w:div>
    <w:div w:id="34624458">
      <w:bodyDiv w:val="1"/>
      <w:marLeft w:val="0"/>
      <w:marRight w:val="0"/>
      <w:marTop w:val="0"/>
      <w:marBottom w:val="0"/>
      <w:divBdr>
        <w:top w:val="none" w:sz="0" w:space="0" w:color="auto"/>
        <w:left w:val="none" w:sz="0" w:space="0" w:color="auto"/>
        <w:bottom w:val="none" w:sz="0" w:space="0" w:color="auto"/>
        <w:right w:val="none" w:sz="0" w:space="0" w:color="auto"/>
      </w:divBdr>
    </w:div>
    <w:div w:id="35014273">
      <w:bodyDiv w:val="1"/>
      <w:marLeft w:val="0"/>
      <w:marRight w:val="0"/>
      <w:marTop w:val="0"/>
      <w:marBottom w:val="0"/>
      <w:divBdr>
        <w:top w:val="none" w:sz="0" w:space="0" w:color="auto"/>
        <w:left w:val="none" w:sz="0" w:space="0" w:color="auto"/>
        <w:bottom w:val="none" w:sz="0" w:space="0" w:color="auto"/>
        <w:right w:val="none" w:sz="0" w:space="0" w:color="auto"/>
      </w:divBdr>
    </w:div>
    <w:div w:id="35399911">
      <w:bodyDiv w:val="1"/>
      <w:marLeft w:val="0"/>
      <w:marRight w:val="0"/>
      <w:marTop w:val="0"/>
      <w:marBottom w:val="0"/>
      <w:divBdr>
        <w:top w:val="none" w:sz="0" w:space="0" w:color="auto"/>
        <w:left w:val="none" w:sz="0" w:space="0" w:color="auto"/>
        <w:bottom w:val="none" w:sz="0" w:space="0" w:color="auto"/>
        <w:right w:val="none" w:sz="0" w:space="0" w:color="auto"/>
      </w:divBdr>
    </w:div>
    <w:div w:id="36123761">
      <w:bodyDiv w:val="1"/>
      <w:marLeft w:val="0"/>
      <w:marRight w:val="0"/>
      <w:marTop w:val="0"/>
      <w:marBottom w:val="0"/>
      <w:divBdr>
        <w:top w:val="none" w:sz="0" w:space="0" w:color="auto"/>
        <w:left w:val="none" w:sz="0" w:space="0" w:color="auto"/>
        <w:bottom w:val="none" w:sz="0" w:space="0" w:color="auto"/>
        <w:right w:val="none" w:sz="0" w:space="0" w:color="auto"/>
      </w:divBdr>
    </w:div>
    <w:div w:id="36398793">
      <w:bodyDiv w:val="1"/>
      <w:marLeft w:val="0"/>
      <w:marRight w:val="0"/>
      <w:marTop w:val="0"/>
      <w:marBottom w:val="0"/>
      <w:divBdr>
        <w:top w:val="none" w:sz="0" w:space="0" w:color="auto"/>
        <w:left w:val="none" w:sz="0" w:space="0" w:color="auto"/>
        <w:bottom w:val="none" w:sz="0" w:space="0" w:color="auto"/>
        <w:right w:val="none" w:sz="0" w:space="0" w:color="auto"/>
      </w:divBdr>
    </w:div>
    <w:div w:id="36858787">
      <w:bodyDiv w:val="1"/>
      <w:marLeft w:val="0"/>
      <w:marRight w:val="0"/>
      <w:marTop w:val="0"/>
      <w:marBottom w:val="0"/>
      <w:divBdr>
        <w:top w:val="none" w:sz="0" w:space="0" w:color="auto"/>
        <w:left w:val="none" w:sz="0" w:space="0" w:color="auto"/>
        <w:bottom w:val="none" w:sz="0" w:space="0" w:color="auto"/>
        <w:right w:val="none" w:sz="0" w:space="0" w:color="auto"/>
      </w:divBdr>
    </w:div>
    <w:div w:id="37554086">
      <w:bodyDiv w:val="1"/>
      <w:marLeft w:val="0"/>
      <w:marRight w:val="0"/>
      <w:marTop w:val="0"/>
      <w:marBottom w:val="0"/>
      <w:divBdr>
        <w:top w:val="none" w:sz="0" w:space="0" w:color="auto"/>
        <w:left w:val="none" w:sz="0" w:space="0" w:color="auto"/>
        <w:bottom w:val="none" w:sz="0" w:space="0" w:color="auto"/>
        <w:right w:val="none" w:sz="0" w:space="0" w:color="auto"/>
      </w:divBdr>
    </w:div>
    <w:div w:id="37780021">
      <w:bodyDiv w:val="1"/>
      <w:marLeft w:val="0"/>
      <w:marRight w:val="0"/>
      <w:marTop w:val="0"/>
      <w:marBottom w:val="0"/>
      <w:divBdr>
        <w:top w:val="none" w:sz="0" w:space="0" w:color="auto"/>
        <w:left w:val="none" w:sz="0" w:space="0" w:color="auto"/>
        <w:bottom w:val="none" w:sz="0" w:space="0" w:color="auto"/>
        <w:right w:val="none" w:sz="0" w:space="0" w:color="auto"/>
      </w:divBdr>
    </w:div>
    <w:div w:id="37821361">
      <w:bodyDiv w:val="1"/>
      <w:marLeft w:val="0"/>
      <w:marRight w:val="0"/>
      <w:marTop w:val="0"/>
      <w:marBottom w:val="0"/>
      <w:divBdr>
        <w:top w:val="none" w:sz="0" w:space="0" w:color="auto"/>
        <w:left w:val="none" w:sz="0" w:space="0" w:color="auto"/>
        <w:bottom w:val="none" w:sz="0" w:space="0" w:color="auto"/>
        <w:right w:val="none" w:sz="0" w:space="0" w:color="auto"/>
      </w:divBdr>
    </w:div>
    <w:div w:id="38212066">
      <w:bodyDiv w:val="1"/>
      <w:marLeft w:val="0"/>
      <w:marRight w:val="0"/>
      <w:marTop w:val="0"/>
      <w:marBottom w:val="0"/>
      <w:divBdr>
        <w:top w:val="none" w:sz="0" w:space="0" w:color="auto"/>
        <w:left w:val="none" w:sz="0" w:space="0" w:color="auto"/>
        <w:bottom w:val="none" w:sz="0" w:space="0" w:color="auto"/>
        <w:right w:val="none" w:sz="0" w:space="0" w:color="auto"/>
      </w:divBdr>
    </w:div>
    <w:div w:id="38626054">
      <w:bodyDiv w:val="1"/>
      <w:marLeft w:val="0"/>
      <w:marRight w:val="0"/>
      <w:marTop w:val="0"/>
      <w:marBottom w:val="0"/>
      <w:divBdr>
        <w:top w:val="none" w:sz="0" w:space="0" w:color="auto"/>
        <w:left w:val="none" w:sz="0" w:space="0" w:color="auto"/>
        <w:bottom w:val="none" w:sz="0" w:space="0" w:color="auto"/>
        <w:right w:val="none" w:sz="0" w:space="0" w:color="auto"/>
      </w:divBdr>
    </w:div>
    <w:div w:id="38827541">
      <w:bodyDiv w:val="1"/>
      <w:marLeft w:val="0"/>
      <w:marRight w:val="0"/>
      <w:marTop w:val="0"/>
      <w:marBottom w:val="0"/>
      <w:divBdr>
        <w:top w:val="none" w:sz="0" w:space="0" w:color="auto"/>
        <w:left w:val="none" w:sz="0" w:space="0" w:color="auto"/>
        <w:bottom w:val="none" w:sz="0" w:space="0" w:color="auto"/>
        <w:right w:val="none" w:sz="0" w:space="0" w:color="auto"/>
      </w:divBdr>
    </w:div>
    <w:div w:id="38893915">
      <w:bodyDiv w:val="1"/>
      <w:marLeft w:val="0"/>
      <w:marRight w:val="0"/>
      <w:marTop w:val="0"/>
      <w:marBottom w:val="0"/>
      <w:divBdr>
        <w:top w:val="none" w:sz="0" w:space="0" w:color="auto"/>
        <w:left w:val="none" w:sz="0" w:space="0" w:color="auto"/>
        <w:bottom w:val="none" w:sz="0" w:space="0" w:color="auto"/>
        <w:right w:val="none" w:sz="0" w:space="0" w:color="auto"/>
      </w:divBdr>
    </w:div>
    <w:div w:id="39525938">
      <w:bodyDiv w:val="1"/>
      <w:marLeft w:val="0"/>
      <w:marRight w:val="0"/>
      <w:marTop w:val="0"/>
      <w:marBottom w:val="0"/>
      <w:divBdr>
        <w:top w:val="none" w:sz="0" w:space="0" w:color="auto"/>
        <w:left w:val="none" w:sz="0" w:space="0" w:color="auto"/>
        <w:bottom w:val="none" w:sz="0" w:space="0" w:color="auto"/>
        <w:right w:val="none" w:sz="0" w:space="0" w:color="auto"/>
      </w:divBdr>
    </w:div>
    <w:div w:id="39671564">
      <w:bodyDiv w:val="1"/>
      <w:marLeft w:val="0"/>
      <w:marRight w:val="0"/>
      <w:marTop w:val="0"/>
      <w:marBottom w:val="0"/>
      <w:divBdr>
        <w:top w:val="none" w:sz="0" w:space="0" w:color="auto"/>
        <w:left w:val="none" w:sz="0" w:space="0" w:color="auto"/>
        <w:bottom w:val="none" w:sz="0" w:space="0" w:color="auto"/>
        <w:right w:val="none" w:sz="0" w:space="0" w:color="auto"/>
      </w:divBdr>
    </w:div>
    <w:div w:id="40131383">
      <w:bodyDiv w:val="1"/>
      <w:marLeft w:val="0"/>
      <w:marRight w:val="0"/>
      <w:marTop w:val="0"/>
      <w:marBottom w:val="0"/>
      <w:divBdr>
        <w:top w:val="none" w:sz="0" w:space="0" w:color="auto"/>
        <w:left w:val="none" w:sz="0" w:space="0" w:color="auto"/>
        <w:bottom w:val="none" w:sz="0" w:space="0" w:color="auto"/>
        <w:right w:val="none" w:sz="0" w:space="0" w:color="auto"/>
      </w:divBdr>
    </w:div>
    <w:div w:id="41029796">
      <w:bodyDiv w:val="1"/>
      <w:marLeft w:val="0"/>
      <w:marRight w:val="0"/>
      <w:marTop w:val="0"/>
      <w:marBottom w:val="0"/>
      <w:divBdr>
        <w:top w:val="none" w:sz="0" w:space="0" w:color="auto"/>
        <w:left w:val="none" w:sz="0" w:space="0" w:color="auto"/>
        <w:bottom w:val="none" w:sz="0" w:space="0" w:color="auto"/>
        <w:right w:val="none" w:sz="0" w:space="0" w:color="auto"/>
      </w:divBdr>
    </w:div>
    <w:div w:id="42561452">
      <w:bodyDiv w:val="1"/>
      <w:marLeft w:val="0"/>
      <w:marRight w:val="0"/>
      <w:marTop w:val="0"/>
      <w:marBottom w:val="0"/>
      <w:divBdr>
        <w:top w:val="none" w:sz="0" w:space="0" w:color="auto"/>
        <w:left w:val="none" w:sz="0" w:space="0" w:color="auto"/>
        <w:bottom w:val="none" w:sz="0" w:space="0" w:color="auto"/>
        <w:right w:val="none" w:sz="0" w:space="0" w:color="auto"/>
      </w:divBdr>
    </w:div>
    <w:div w:id="42678981">
      <w:bodyDiv w:val="1"/>
      <w:marLeft w:val="0"/>
      <w:marRight w:val="0"/>
      <w:marTop w:val="0"/>
      <w:marBottom w:val="0"/>
      <w:divBdr>
        <w:top w:val="none" w:sz="0" w:space="0" w:color="auto"/>
        <w:left w:val="none" w:sz="0" w:space="0" w:color="auto"/>
        <w:bottom w:val="none" w:sz="0" w:space="0" w:color="auto"/>
        <w:right w:val="none" w:sz="0" w:space="0" w:color="auto"/>
      </w:divBdr>
    </w:div>
    <w:div w:id="42797067">
      <w:bodyDiv w:val="1"/>
      <w:marLeft w:val="0"/>
      <w:marRight w:val="0"/>
      <w:marTop w:val="0"/>
      <w:marBottom w:val="0"/>
      <w:divBdr>
        <w:top w:val="none" w:sz="0" w:space="0" w:color="auto"/>
        <w:left w:val="none" w:sz="0" w:space="0" w:color="auto"/>
        <w:bottom w:val="none" w:sz="0" w:space="0" w:color="auto"/>
        <w:right w:val="none" w:sz="0" w:space="0" w:color="auto"/>
      </w:divBdr>
    </w:div>
    <w:div w:id="43608297">
      <w:bodyDiv w:val="1"/>
      <w:marLeft w:val="0"/>
      <w:marRight w:val="0"/>
      <w:marTop w:val="0"/>
      <w:marBottom w:val="0"/>
      <w:divBdr>
        <w:top w:val="none" w:sz="0" w:space="0" w:color="auto"/>
        <w:left w:val="none" w:sz="0" w:space="0" w:color="auto"/>
        <w:bottom w:val="none" w:sz="0" w:space="0" w:color="auto"/>
        <w:right w:val="none" w:sz="0" w:space="0" w:color="auto"/>
      </w:divBdr>
    </w:div>
    <w:div w:id="43677935">
      <w:bodyDiv w:val="1"/>
      <w:marLeft w:val="0"/>
      <w:marRight w:val="0"/>
      <w:marTop w:val="0"/>
      <w:marBottom w:val="0"/>
      <w:divBdr>
        <w:top w:val="none" w:sz="0" w:space="0" w:color="auto"/>
        <w:left w:val="none" w:sz="0" w:space="0" w:color="auto"/>
        <w:bottom w:val="none" w:sz="0" w:space="0" w:color="auto"/>
        <w:right w:val="none" w:sz="0" w:space="0" w:color="auto"/>
      </w:divBdr>
    </w:div>
    <w:div w:id="43801103">
      <w:bodyDiv w:val="1"/>
      <w:marLeft w:val="0"/>
      <w:marRight w:val="0"/>
      <w:marTop w:val="0"/>
      <w:marBottom w:val="0"/>
      <w:divBdr>
        <w:top w:val="none" w:sz="0" w:space="0" w:color="auto"/>
        <w:left w:val="none" w:sz="0" w:space="0" w:color="auto"/>
        <w:bottom w:val="none" w:sz="0" w:space="0" w:color="auto"/>
        <w:right w:val="none" w:sz="0" w:space="0" w:color="auto"/>
      </w:divBdr>
    </w:div>
    <w:div w:id="43871097">
      <w:bodyDiv w:val="1"/>
      <w:marLeft w:val="0"/>
      <w:marRight w:val="0"/>
      <w:marTop w:val="0"/>
      <w:marBottom w:val="0"/>
      <w:divBdr>
        <w:top w:val="none" w:sz="0" w:space="0" w:color="auto"/>
        <w:left w:val="none" w:sz="0" w:space="0" w:color="auto"/>
        <w:bottom w:val="none" w:sz="0" w:space="0" w:color="auto"/>
        <w:right w:val="none" w:sz="0" w:space="0" w:color="auto"/>
      </w:divBdr>
    </w:div>
    <w:div w:id="44254773">
      <w:bodyDiv w:val="1"/>
      <w:marLeft w:val="0"/>
      <w:marRight w:val="0"/>
      <w:marTop w:val="0"/>
      <w:marBottom w:val="0"/>
      <w:divBdr>
        <w:top w:val="none" w:sz="0" w:space="0" w:color="auto"/>
        <w:left w:val="none" w:sz="0" w:space="0" w:color="auto"/>
        <w:bottom w:val="none" w:sz="0" w:space="0" w:color="auto"/>
        <w:right w:val="none" w:sz="0" w:space="0" w:color="auto"/>
      </w:divBdr>
    </w:div>
    <w:div w:id="44379109">
      <w:bodyDiv w:val="1"/>
      <w:marLeft w:val="0"/>
      <w:marRight w:val="0"/>
      <w:marTop w:val="0"/>
      <w:marBottom w:val="0"/>
      <w:divBdr>
        <w:top w:val="none" w:sz="0" w:space="0" w:color="auto"/>
        <w:left w:val="none" w:sz="0" w:space="0" w:color="auto"/>
        <w:bottom w:val="none" w:sz="0" w:space="0" w:color="auto"/>
        <w:right w:val="none" w:sz="0" w:space="0" w:color="auto"/>
      </w:divBdr>
    </w:div>
    <w:div w:id="45109867">
      <w:bodyDiv w:val="1"/>
      <w:marLeft w:val="0"/>
      <w:marRight w:val="0"/>
      <w:marTop w:val="0"/>
      <w:marBottom w:val="0"/>
      <w:divBdr>
        <w:top w:val="none" w:sz="0" w:space="0" w:color="auto"/>
        <w:left w:val="none" w:sz="0" w:space="0" w:color="auto"/>
        <w:bottom w:val="none" w:sz="0" w:space="0" w:color="auto"/>
        <w:right w:val="none" w:sz="0" w:space="0" w:color="auto"/>
      </w:divBdr>
    </w:div>
    <w:div w:id="45571113">
      <w:bodyDiv w:val="1"/>
      <w:marLeft w:val="0"/>
      <w:marRight w:val="0"/>
      <w:marTop w:val="0"/>
      <w:marBottom w:val="0"/>
      <w:divBdr>
        <w:top w:val="none" w:sz="0" w:space="0" w:color="auto"/>
        <w:left w:val="none" w:sz="0" w:space="0" w:color="auto"/>
        <w:bottom w:val="none" w:sz="0" w:space="0" w:color="auto"/>
        <w:right w:val="none" w:sz="0" w:space="0" w:color="auto"/>
      </w:divBdr>
    </w:div>
    <w:div w:id="45685725">
      <w:bodyDiv w:val="1"/>
      <w:marLeft w:val="0"/>
      <w:marRight w:val="0"/>
      <w:marTop w:val="0"/>
      <w:marBottom w:val="0"/>
      <w:divBdr>
        <w:top w:val="none" w:sz="0" w:space="0" w:color="auto"/>
        <w:left w:val="none" w:sz="0" w:space="0" w:color="auto"/>
        <w:bottom w:val="none" w:sz="0" w:space="0" w:color="auto"/>
        <w:right w:val="none" w:sz="0" w:space="0" w:color="auto"/>
      </w:divBdr>
    </w:div>
    <w:div w:id="45956686">
      <w:bodyDiv w:val="1"/>
      <w:marLeft w:val="0"/>
      <w:marRight w:val="0"/>
      <w:marTop w:val="0"/>
      <w:marBottom w:val="0"/>
      <w:divBdr>
        <w:top w:val="none" w:sz="0" w:space="0" w:color="auto"/>
        <w:left w:val="none" w:sz="0" w:space="0" w:color="auto"/>
        <w:bottom w:val="none" w:sz="0" w:space="0" w:color="auto"/>
        <w:right w:val="none" w:sz="0" w:space="0" w:color="auto"/>
      </w:divBdr>
    </w:div>
    <w:div w:id="46999532">
      <w:bodyDiv w:val="1"/>
      <w:marLeft w:val="0"/>
      <w:marRight w:val="0"/>
      <w:marTop w:val="0"/>
      <w:marBottom w:val="0"/>
      <w:divBdr>
        <w:top w:val="none" w:sz="0" w:space="0" w:color="auto"/>
        <w:left w:val="none" w:sz="0" w:space="0" w:color="auto"/>
        <w:bottom w:val="none" w:sz="0" w:space="0" w:color="auto"/>
        <w:right w:val="none" w:sz="0" w:space="0" w:color="auto"/>
      </w:divBdr>
    </w:div>
    <w:div w:id="47145285">
      <w:bodyDiv w:val="1"/>
      <w:marLeft w:val="0"/>
      <w:marRight w:val="0"/>
      <w:marTop w:val="0"/>
      <w:marBottom w:val="0"/>
      <w:divBdr>
        <w:top w:val="none" w:sz="0" w:space="0" w:color="auto"/>
        <w:left w:val="none" w:sz="0" w:space="0" w:color="auto"/>
        <w:bottom w:val="none" w:sz="0" w:space="0" w:color="auto"/>
        <w:right w:val="none" w:sz="0" w:space="0" w:color="auto"/>
      </w:divBdr>
    </w:div>
    <w:div w:id="47537233">
      <w:bodyDiv w:val="1"/>
      <w:marLeft w:val="0"/>
      <w:marRight w:val="0"/>
      <w:marTop w:val="0"/>
      <w:marBottom w:val="0"/>
      <w:divBdr>
        <w:top w:val="none" w:sz="0" w:space="0" w:color="auto"/>
        <w:left w:val="none" w:sz="0" w:space="0" w:color="auto"/>
        <w:bottom w:val="none" w:sz="0" w:space="0" w:color="auto"/>
        <w:right w:val="none" w:sz="0" w:space="0" w:color="auto"/>
      </w:divBdr>
    </w:div>
    <w:div w:id="47807372">
      <w:bodyDiv w:val="1"/>
      <w:marLeft w:val="0"/>
      <w:marRight w:val="0"/>
      <w:marTop w:val="0"/>
      <w:marBottom w:val="0"/>
      <w:divBdr>
        <w:top w:val="none" w:sz="0" w:space="0" w:color="auto"/>
        <w:left w:val="none" w:sz="0" w:space="0" w:color="auto"/>
        <w:bottom w:val="none" w:sz="0" w:space="0" w:color="auto"/>
        <w:right w:val="none" w:sz="0" w:space="0" w:color="auto"/>
      </w:divBdr>
    </w:div>
    <w:div w:id="48186329">
      <w:bodyDiv w:val="1"/>
      <w:marLeft w:val="0"/>
      <w:marRight w:val="0"/>
      <w:marTop w:val="0"/>
      <w:marBottom w:val="0"/>
      <w:divBdr>
        <w:top w:val="none" w:sz="0" w:space="0" w:color="auto"/>
        <w:left w:val="none" w:sz="0" w:space="0" w:color="auto"/>
        <w:bottom w:val="none" w:sz="0" w:space="0" w:color="auto"/>
        <w:right w:val="none" w:sz="0" w:space="0" w:color="auto"/>
      </w:divBdr>
    </w:div>
    <w:div w:id="48235988">
      <w:bodyDiv w:val="1"/>
      <w:marLeft w:val="0"/>
      <w:marRight w:val="0"/>
      <w:marTop w:val="0"/>
      <w:marBottom w:val="0"/>
      <w:divBdr>
        <w:top w:val="none" w:sz="0" w:space="0" w:color="auto"/>
        <w:left w:val="none" w:sz="0" w:space="0" w:color="auto"/>
        <w:bottom w:val="none" w:sz="0" w:space="0" w:color="auto"/>
        <w:right w:val="none" w:sz="0" w:space="0" w:color="auto"/>
      </w:divBdr>
    </w:div>
    <w:div w:id="48693312">
      <w:bodyDiv w:val="1"/>
      <w:marLeft w:val="0"/>
      <w:marRight w:val="0"/>
      <w:marTop w:val="0"/>
      <w:marBottom w:val="0"/>
      <w:divBdr>
        <w:top w:val="none" w:sz="0" w:space="0" w:color="auto"/>
        <w:left w:val="none" w:sz="0" w:space="0" w:color="auto"/>
        <w:bottom w:val="none" w:sz="0" w:space="0" w:color="auto"/>
        <w:right w:val="none" w:sz="0" w:space="0" w:color="auto"/>
      </w:divBdr>
    </w:div>
    <w:div w:id="48966818">
      <w:bodyDiv w:val="1"/>
      <w:marLeft w:val="0"/>
      <w:marRight w:val="0"/>
      <w:marTop w:val="0"/>
      <w:marBottom w:val="0"/>
      <w:divBdr>
        <w:top w:val="none" w:sz="0" w:space="0" w:color="auto"/>
        <w:left w:val="none" w:sz="0" w:space="0" w:color="auto"/>
        <w:bottom w:val="none" w:sz="0" w:space="0" w:color="auto"/>
        <w:right w:val="none" w:sz="0" w:space="0" w:color="auto"/>
      </w:divBdr>
    </w:div>
    <w:div w:id="48968444">
      <w:bodyDiv w:val="1"/>
      <w:marLeft w:val="0"/>
      <w:marRight w:val="0"/>
      <w:marTop w:val="0"/>
      <w:marBottom w:val="0"/>
      <w:divBdr>
        <w:top w:val="none" w:sz="0" w:space="0" w:color="auto"/>
        <w:left w:val="none" w:sz="0" w:space="0" w:color="auto"/>
        <w:bottom w:val="none" w:sz="0" w:space="0" w:color="auto"/>
        <w:right w:val="none" w:sz="0" w:space="0" w:color="auto"/>
      </w:divBdr>
    </w:div>
    <w:div w:id="49575803">
      <w:bodyDiv w:val="1"/>
      <w:marLeft w:val="0"/>
      <w:marRight w:val="0"/>
      <w:marTop w:val="0"/>
      <w:marBottom w:val="0"/>
      <w:divBdr>
        <w:top w:val="none" w:sz="0" w:space="0" w:color="auto"/>
        <w:left w:val="none" w:sz="0" w:space="0" w:color="auto"/>
        <w:bottom w:val="none" w:sz="0" w:space="0" w:color="auto"/>
        <w:right w:val="none" w:sz="0" w:space="0" w:color="auto"/>
      </w:divBdr>
    </w:div>
    <w:div w:id="49575900">
      <w:bodyDiv w:val="1"/>
      <w:marLeft w:val="0"/>
      <w:marRight w:val="0"/>
      <w:marTop w:val="0"/>
      <w:marBottom w:val="0"/>
      <w:divBdr>
        <w:top w:val="none" w:sz="0" w:space="0" w:color="auto"/>
        <w:left w:val="none" w:sz="0" w:space="0" w:color="auto"/>
        <w:bottom w:val="none" w:sz="0" w:space="0" w:color="auto"/>
        <w:right w:val="none" w:sz="0" w:space="0" w:color="auto"/>
      </w:divBdr>
    </w:div>
    <w:div w:id="49695175">
      <w:bodyDiv w:val="1"/>
      <w:marLeft w:val="0"/>
      <w:marRight w:val="0"/>
      <w:marTop w:val="0"/>
      <w:marBottom w:val="0"/>
      <w:divBdr>
        <w:top w:val="none" w:sz="0" w:space="0" w:color="auto"/>
        <w:left w:val="none" w:sz="0" w:space="0" w:color="auto"/>
        <w:bottom w:val="none" w:sz="0" w:space="0" w:color="auto"/>
        <w:right w:val="none" w:sz="0" w:space="0" w:color="auto"/>
      </w:divBdr>
    </w:div>
    <w:div w:id="49816179">
      <w:bodyDiv w:val="1"/>
      <w:marLeft w:val="0"/>
      <w:marRight w:val="0"/>
      <w:marTop w:val="0"/>
      <w:marBottom w:val="0"/>
      <w:divBdr>
        <w:top w:val="none" w:sz="0" w:space="0" w:color="auto"/>
        <w:left w:val="none" w:sz="0" w:space="0" w:color="auto"/>
        <w:bottom w:val="none" w:sz="0" w:space="0" w:color="auto"/>
        <w:right w:val="none" w:sz="0" w:space="0" w:color="auto"/>
      </w:divBdr>
    </w:div>
    <w:div w:id="50202750">
      <w:bodyDiv w:val="1"/>
      <w:marLeft w:val="0"/>
      <w:marRight w:val="0"/>
      <w:marTop w:val="0"/>
      <w:marBottom w:val="0"/>
      <w:divBdr>
        <w:top w:val="none" w:sz="0" w:space="0" w:color="auto"/>
        <w:left w:val="none" w:sz="0" w:space="0" w:color="auto"/>
        <w:bottom w:val="none" w:sz="0" w:space="0" w:color="auto"/>
        <w:right w:val="none" w:sz="0" w:space="0" w:color="auto"/>
      </w:divBdr>
    </w:div>
    <w:div w:id="50428180">
      <w:bodyDiv w:val="1"/>
      <w:marLeft w:val="0"/>
      <w:marRight w:val="0"/>
      <w:marTop w:val="0"/>
      <w:marBottom w:val="0"/>
      <w:divBdr>
        <w:top w:val="none" w:sz="0" w:space="0" w:color="auto"/>
        <w:left w:val="none" w:sz="0" w:space="0" w:color="auto"/>
        <w:bottom w:val="none" w:sz="0" w:space="0" w:color="auto"/>
        <w:right w:val="none" w:sz="0" w:space="0" w:color="auto"/>
      </w:divBdr>
    </w:div>
    <w:div w:id="51587922">
      <w:bodyDiv w:val="1"/>
      <w:marLeft w:val="0"/>
      <w:marRight w:val="0"/>
      <w:marTop w:val="0"/>
      <w:marBottom w:val="0"/>
      <w:divBdr>
        <w:top w:val="none" w:sz="0" w:space="0" w:color="auto"/>
        <w:left w:val="none" w:sz="0" w:space="0" w:color="auto"/>
        <w:bottom w:val="none" w:sz="0" w:space="0" w:color="auto"/>
        <w:right w:val="none" w:sz="0" w:space="0" w:color="auto"/>
      </w:divBdr>
    </w:div>
    <w:div w:id="51932566">
      <w:bodyDiv w:val="1"/>
      <w:marLeft w:val="0"/>
      <w:marRight w:val="0"/>
      <w:marTop w:val="0"/>
      <w:marBottom w:val="0"/>
      <w:divBdr>
        <w:top w:val="none" w:sz="0" w:space="0" w:color="auto"/>
        <w:left w:val="none" w:sz="0" w:space="0" w:color="auto"/>
        <w:bottom w:val="none" w:sz="0" w:space="0" w:color="auto"/>
        <w:right w:val="none" w:sz="0" w:space="0" w:color="auto"/>
      </w:divBdr>
    </w:div>
    <w:div w:id="52628145">
      <w:bodyDiv w:val="1"/>
      <w:marLeft w:val="0"/>
      <w:marRight w:val="0"/>
      <w:marTop w:val="0"/>
      <w:marBottom w:val="0"/>
      <w:divBdr>
        <w:top w:val="none" w:sz="0" w:space="0" w:color="auto"/>
        <w:left w:val="none" w:sz="0" w:space="0" w:color="auto"/>
        <w:bottom w:val="none" w:sz="0" w:space="0" w:color="auto"/>
        <w:right w:val="none" w:sz="0" w:space="0" w:color="auto"/>
      </w:divBdr>
    </w:div>
    <w:div w:id="52699149">
      <w:bodyDiv w:val="1"/>
      <w:marLeft w:val="0"/>
      <w:marRight w:val="0"/>
      <w:marTop w:val="0"/>
      <w:marBottom w:val="0"/>
      <w:divBdr>
        <w:top w:val="none" w:sz="0" w:space="0" w:color="auto"/>
        <w:left w:val="none" w:sz="0" w:space="0" w:color="auto"/>
        <w:bottom w:val="none" w:sz="0" w:space="0" w:color="auto"/>
        <w:right w:val="none" w:sz="0" w:space="0" w:color="auto"/>
      </w:divBdr>
    </w:div>
    <w:div w:id="52893692">
      <w:bodyDiv w:val="1"/>
      <w:marLeft w:val="0"/>
      <w:marRight w:val="0"/>
      <w:marTop w:val="0"/>
      <w:marBottom w:val="0"/>
      <w:divBdr>
        <w:top w:val="none" w:sz="0" w:space="0" w:color="auto"/>
        <w:left w:val="none" w:sz="0" w:space="0" w:color="auto"/>
        <w:bottom w:val="none" w:sz="0" w:space="0" w:color="auto"/>
        <w:right w:val="none" w:sz="0" w:space="0" w:color="auto"/>
      </w:divBdr>
    </w:div>
    <w:div w:id="53698554">
      <w:bodyDiv w:val="1"/>
      <w:marLeft w:val="0"/>
      <w:marRight w:val="0"/>
      <w:marTop w:val="0"/>
      <w:marBottom w:val="0"/>
      <w:divBdr>
        <w:top w:val="none" w:sz="0" w:space="0" w:color="auto"/>
        <w:left w:val="none" w:sz="0" w:space="0" w:color="auto"/>
        <w:bottom w:val="none" w:sz="0" w:space="0" w:color="auto"/>
        <w:right w:val="none" w:sz="0" w:space="0" w:color="auto"/>
      </w:divBdr>
    </w:div>
    <w:div w:id="53746552">
      <w:bodyDiv w:val="1"/>
      <w:marLeft w:val="0"/>
      <w:marRight w:val="0"/>
      <w:marTop w:val="0"/>
      <w:marBottom w:val="0"/>
      <w:divBdr>
        <w:top w:val="none" w:sz="0" w:space="0" w:color="auto"/>
        <w:left w:val="none" w:sz="0" w:space="0" w:color="auto"/>
        <w:bottom w:val="none" w:sz="0" w:space="0" w:color="auto"/>
        <w:right w:val="none" w:sz="0" w:space="0" w:color="auto"/>
      </w:divBdr>
    </w:div>
    <w:div w:id="54359193">
      <w:bodyDiv w:val="1"/>
      <w:marLeft w:val="0"/>
      <w:marRight w:val="0"/>
      <w:marTop w:val="0"/>
      <w:marBottom w:val="0"/>
      <w:divBdr>
        <w:top w:val="none" w:sz="0" w:space="0" w:color="auto"/>
        <w:left w:val="none" w:sz="0" w:space="0" w:color="auto"/>
        <w:bottom w:val="none" w:sz="0" w:space="0" w:color="auto"/>
        <w:right w:val="none" w:sz="0" w:space="0" w:color="auto"/>
      </w:divBdr>
    </w:div>
    <w:div w:id="54548323">
      <w:bodyDiv w:val="1"/>
      <w:marLeft w:val="0"/>
      <w:marRight w:val="0"/>
      <w:marTop w:val="0"/>
      <w:marBottom w:val="0"/>
      <w:divBdr>
        <w:top w:val="none" w:sz="0" w:space="0" w:color="auto"/>
        <w:left w:val="none" w:sz="0" w:space="0" w:color="auto"/>
        <w:bottom w:val="none" w:sz="0" w:space="0" w:color="auto"/>
        <w:right w:val="none" w:sz="0" w:space="0" w:color="auto"/>
      </w:divBdr>
    </w:div>
    <w:div w:id="54549720">
      <w:bodyDiv w:val="1"/>
      <w:marLeft w:val="0"/>
      <w:marRight w:val="0"/>
      <w:marTop w:val="0"/>
      <w:marBottom w:val="0"/>
      <w:divBdr>
        <w:top w:val="none" w:sz="0" w:space="0" w:color="auto"/>
        <w:left w:val="none" w:sz="0" w:space="0" w:color="auto"/>
        <w:bottom w:val="none" w:sz="0" w:space="0" w:color="auto"/>
        <w:right w:val="none" w:sz="0" w:space="0" w:color="auto"/>
      </w:divBdr>
    </w:div>
    <w:div w:id="54662969">
      <w:bodyDiv w:val="1"/>
      <w:marLeft w:val="0"/>
      <w:marRight w:val="0"/>
      <w:marTop w:val="0"/>
      <w:marBottom w:val="0"/>
      <w:divBdr>
        <w:top w:val="none" w:sz="0" w:space="0" w:color="auto"/>
        <w:left w:val="none" w:sz="0" w:space="0" w:color="auto"/>
        <w:bottom w:val="none" w:sz="0" w:space="0" w:color="auto"/>
        <w:right w:val="none" w:sz="0" w:space="0" w:color="auto"/>
      </w:divBdr>
    </w:div>
    <w:div w:id="54671721">
      <w:bodyDiv w:val="1"/>
      <w:marLeft w:val="0"/>
      <w:marRight w:val="0"/>
      <w:marTop w:val="0"/>
      <w:marBottom w:val="0"/>
      <w:divBdr>
        <w:top w:val="none" w:sz="0" w:space="0" w:color="auto"/>
        <w:left w:val="none" w:sz="0" w:space="0" w:color="auto"/>
        <w:bottom w:val="none" w:sz="0" w:space="0" w:color="auto"/>
        <w:right w:val="none" w:sz="0" w:space="0" w:color="auto"/>
      </w:divBdr>
    </w:div>
    <w:div w:id="55011832">
      <w:bodyDiv w:val="1"/>
      <w:marLeft w:val="0"/>
      <w:marRight w:val="0"/>
      <w:marTop w:val="0"/>
      <w:marBottom w:val="0"/>
      <w:divBdr>
        <w:top w:val="none" w:sz="0" w:space="0" w:color="auto"/>
        <w:left w:val="none" w:sz="0" w:space="0" w:color="auto"/>
        <w:bottom w:val="none" w:sz="0" w:space="0" w:color="auto"/>
        <w:right w:val="none" w:sz="0" w:space="0" w:color="auto"/>
      </w:divBdr>
    </w:div>
    <w:div w:id="56438533">
      <w:bodyDiv w:val="1"/>
      <w:marLeft w:val="0"/>
      <w:marRight w:val="0"/>
      <w:marTop w:val="0"/>
      <w:marBottom w:val="0"/>
      <w:divBdr>
        <w:top w:val="none" w:sz="0" w:space="0" w:color="auto"/>
        <w:left w:val="none" w:sz="0" w:space="0" w:color="auto"/>
        <w:bottom w:val="none" w:sz="0" w:space="0" w:color="auto"/>
        <w:right w:val="none" w:sz="0" w:space="0" w:color="auto"/>
      </w:divBdr>
    </w:div>
    <w:div w:id="56516203">
      <w:bodyDiv w:val="1"/>
      <w:marLeft w:val="0"/>
      <w:marRight w:val="0"/>
      <w:marTop w:val="0"/>
      <w:marBottom w:val="0"/>
      <w:divBdr>
        <w:top w:val="none" w:sz="0" w:space="0" w:color="auto"/>
        <w:left w:val="none" w:sz="0" w:space="0" w:color="auto"/>
        <w:bottom w:val="none" w:sz="0" w:space="0" w:color="auto"/>
        <w:right w:val="none" w:sz="0" w:space="0" w:color="auto"/>
      </w:divBdr>
    </w:div>
    <w:div w:id="56831341">
      <w:bodyDiv w:val="1"/>
      <w:marLeft w:val="0"/>
      <w:marRight w:val="0"/>
      <w:marTop w:val="0"/>
      <w:marBottom w:val="0"/>
      <w:divBdr>
        <w:top w:val="none" w:sz="0" w:space="0" w:color="auto"/>
        <w:left w:val="none" w:sz="0" w:space="0" w:color="auto"/>
        <w:bottom w:val="none" w:sz="0" w:space="0" w:color="auto"/>
        <w:right w:val="none" w:sz="0" w:space="0" w:color="auto"/>
      </w:divBdr>
    </w:div>
    <w:div w:id="57098601">
      <w:bodyDiv w:val="1"/>
      <w:marLeft w:val="0"/>
      <w:marRight w:val="0"/>
      <w:marTop w:val="0"/>
      <w:marBottom w:val="0"/>
      <w:divBdr>
        <w:top w:val="none" w:sz="0" w:space="0" w:color="auto"/>
        <w:left w:val="none" w:sz="0" w:space="0" w:color="auto"/>
        <w:bottom w:val="none" w:sz="0" w:space="0" w:color="auto"/>
        <w:right w:val="none" w:sz="0" w:space="0" w:color="auto"/>
      </w:divBdr>
    </w:div>
    <w:div w:id="57170654">
      <w:bodyDiv w:val="1"/>
      <w:marLeft w:val="0"/>
      <w:marRight w:val="0"/>
      <w:marTop w:val="0"/>
      <w:marBottom w:val="0"/>
      <w:divBdr>
        <w:top w:val="none" w:sz="0" w:space="0" w:color="auto"/>
        <w:left w:val="none" w:sz="0" w:space="0" w:color="auto"/>
        <w:bottom w:val="none" w:sz="0" w:space="0" w:color="auto"/>
        <w:right w:val="none" w:sz="0" w:space="0" w:color="auto"/>
      </w:divBdr>
    </w:div>
    <w:div w:id="57438530">
      <w:bodyDiv w:val="1"/>
      <w:marLeft w:val="0"/>
      <w:marRight w:val="0"/>
      <w:marTop w:val="0"/>
      <w:marBottom w:val="0"/>
      <w:divBdr>
        <w:top w:val="none" w:sz="0" w:space="0" w:color="auto"/>
        <w:left w:val="none" w:sz="0" w:space="0" w:color="auto"/>
        <w:bottom w:val="none" w:sz="0" w:space="0" w:color="auto"/>
        <w:right w:val="none" w:sz="0" w:space="0" w:color="auto"/>
      </w:divBdr>
    </w:div>
    <w:div w:id="57440754">
      <w:bodyDiv w:val="1"/>
      <w:marLeft w:val="0"/>
      <w:marRight w:val="0"/>
      <w:marTop w:val="0"/>
      <w:marBottom w:val="0"/>
      <w:divBdr>
        <w:top w:val="none" w:sz="0" w:space="0" w:color="auto"/>
        <w:left w:val="none" w:sz="0" w:space="0" w:color="auto"/>
        <w:bottom w:val="none" w:sz="0" w:space="0" w:color="auto"/>
        <w:right w:val="none" w:sz="0" w:space="0" w:color="auto"/>
      </w:divBdr>
    </w:div>
    <w:div w:id="58097225">
      <w:bodyDiv w:val="1"/>
      <w:marLeft w:val="0"/>
      <w:marRight w:val="0"/>
      <w:marTop w:val="0"/>
      <w:marBottom w:val="0"/>
      <w:divBdr>
        <w:top w:val="none" w:sz="0" w:space="0" w:color="auto"/>
        <w:left w:val="none" w:sz="0" w:space="0" w:color="auto"/>
        <w:bottom w:val="none" w:sz="0" w:space="0" w:color="auto"/>
        <w:right w:val="none" w:sz="0" w:space="0" w:color="auto"/>
      </w:divBdr>
    </w:div>
    <w:div w:id="58526172">
      <w:bodyDiv w:val="1"/>
      <w:marLeft w:val="0"/>
      <w:marRight w:val="0"/>
      <w:marTop w:val="0"/>
      <w:marBottom w:val="0"/>
      <w:divBdr>
        <w:top w:val="none" w:sz="0" w:space="0" w:color="auto"/>
        <w:left w:val="none" w:sz="0" w:space="0" w:color="auto"/>
        <w:bottom w:val="none" w:sz="0" w:space="0" w:color="auto"/>
        <w:right w:val="none" w:sz="0" w:space="0" w:color="auto"/>
      </w:divBdr>
    </w:div>
    <w:div w:id="58872604">
      <w:bodyDiv w:val="1"/>
      <w:marLeft w:val="0"/>
      <w:marRight w:val="0"/>
      <w:marTop w:val="0"/>
      <w:marBottom w:val="0"/>
      <w:divBdr>
        <w:top w:val="none" w:sz="0" w:space="0" w:color="auto"/>
        <w:left w:val="none" w:sz="0" w:space="0" w:color="auto"/>
        <w:bottom w:val="none" w:sz="0" w:space="0" w:color="auto"/>
        <w:right w:val="none" w:sz="0" w:space="0" w:color="auto"/>
      </w:divBdr>
    </w:div>
    <w:div w:id="59328129">
      <w:bodyDiv w:val="1"/>
      <w:marLeft w:val="0"/>
      <w:marRight w:val="0"/>
      <w:marTop w:val="0"/>
      <w:marBottom w:val="0"/>
      <w:divBdr>
        <w:top w:val="none" w:sz="0" w:space="0" w:color="auto"/>
        <w:left w:val="none" w:sz="0" w:space="0" w:color="auto"/>
        <w:bottom w:val="none" w:sz="0" w:space="0" w:color="auto"/>
        <w:right w:val="none" w:sz="0" w:space="0" w:color="auto"/>
      </w:divBdr>
    </w:div>
    <w:div w:id="59789395">
      <w:bodyDiv w:val="1"/>
      <w:marLeft w:val="0"/>
      <w:marRight w:val="0"/>
      <w:marTop w:val="0"/>
      <w:marBottom w:val="0"/>
      <w:divBdr>
        <w:top w:val="none" w:sz="0" w:space="0" w:color="auto"/>
        <w:left w:val="none" w:sz="0" w:space="0" w:color="auto"/>
        <w:bottom w:val="none" w:sz="0" w:space="0" w:color="auto"/>
        <w:right w:val="none" w:sz="0" w:space="0" w:color="auto"/>
      </w:divBdr>
    </w:div>
    <w:div w:id="60451930">
      <w:bodyDiv w:val="1"/>
      <w:marLeft w:val="0"/>
      <w:marRight w:val="0"/>
      <w:marTop w:val="0"/>
      <w:marBottom w:val="0"/>
      <w:divBdr>
        <w:top w:val="none" w:sz="0" w:space="0" w:color="auto"/>
        <w:left w:val="none" w:sz="0" w:space="0" w:color="auto"/>
        <w:bottom w:val="none" w:sz="0" w:space="0" w:color="auto"/>
        <w:right w:val="none" w:sz="0" w:space="0" w:color="auto"/>
      </w:divBdr>
    </w:div>
    <w:div w:id="60952773">
      <w:bodyDiv w:val="1"/>
      <w:marLeft w:val="0"/>
      <w:marRight w:val="0"/>
      <w:marTop w:val="0"/>
      <w:marBottom w:val="0"/>
      <w:divBdr>
        <w:top w:val="none" w:sz="0" w:space="0" w:color="auto"/>
        <w:left w:val="none" w:sz="0" w:space="0" w:color="auto"/>
        <w:bottom w:val="none" w:sz="0" w:space="0" w:color="auto"/>
        <w:right w:val="none" w:sz="0" w:space="0" w:color="auto"/>
      </w:divBdr>
    </w:div>
    <w:div w:id="61023375">
      <w:bodyDiv w:val="1"/>
      <w:marLeft w:val="0"/>
      <w:marRight w:val="0"/>
      <w:marTop w:val="0"/>
      <w:marBottom w:val="0"/>
      <w:divBdr>
        <w:top w:val="none" w:sz="0" w:space="0" w:color="auto"/>
        <w:left w:val="none" w:sz="0" w:space="0" w:color="auto"/>
        <w:bottom w:val="none" w:sz="0" w:space="0" w:color="auto"/>
        <w:right w:val="none" w:sz="0" w:space="0" w:color="auto"/>
      </w:divBdr>
    </w:div>
    <w:div w:id="62140008">
      <w:bodyDiv w:val="1"/>
      <w:marLeft w:val="0"/>
      <w:marRight w:val="0"/>
      <w:marTop w:val="0"/>
      <w:marBottom w:val="0"/>
      <w:divBdr>
        <w:top w:val="none" w:sz="0" w:space="0" w:color="auto"/>
        <w:left w:val="none" w:sz="0" w:space="0" w:color="auto"/>
        <w:bottom w:val="none" w:sz="0" w:space="0" w:color="auto"/>
        <w:right w:val="none" w:sz="0" w:space="0" w:color="auto"/>
      </w:divBdr>
    </w:div>
    <w:div w:id="62222114">
      <w:bodyDiv w:val="1"/>
      <w:marLeft w:val="0"/>
      <w:marRight w:val="0"/>
      <w:marTop w:val="0"/>
      <w:marBottom w:val="0"/>
      <w:divBdr>
        <w:top w:val="none" w:sz="0" w:space="0" w:color="auto"/>
        <w:left w:val="none" w:sz="0" w:space="0" w:color="auto"/>
        <w:bottom w:val="none" w:sz="0" w:space="0" w:color="auto"/>
        <w:right w:val="none" w:sz="0" w:space="0" w:color="auto"/>
      </w:divBdr>
    </w:div>
    <w:div w:id="62605863">
      <w:bodyDiv w:val="1"/>
      <w:marLeft w:val="0"/>
      <w:marRight w:val="0"/>
      <w:marTop w:val="0"/>
      <w:marBottom w:val="0"/>
      <w:divBdr>
        <w:top w:val="none" w:sz="0" w:space="0" w:color="auto"/>
        <w:left w:val="none" w:sz="0" w:space="0" w:color="auto"/>
        <w:bottom w:val="none" w:sz="0" w:space="0" w:color="auto"/>
        <w:right w:val="none" w:sz="0" w:space="0" w:color="auto"/>
      </w:divBdr>
    </w:div>
    <w:div w:id="62610956">
      <w:bodyDiv w:val="1"/>
      <w:marLeft w:val="0"/>
      <w:marRight w:val="0"/>
      <w:marTop w:val="0"/>
      <w:marBottom w:val="0"/>
      <w:divBdr>
        <w:top w:val="none" w:sz="0" w:space="0" w:color="auto"/>
        <w:left w:val="none" w:sz="0" w:space="0" w:color="auto"/>
        <w:bottom w:val="none" w:sz="0" w:space="0" w:color="auto"/>
        <w:right w:val="none" w:sz="0" w:space="0" w:color="auto"/>
      </w:divBdr>
    </w:div>
    <w:div w:id="63335367">
      <w:bodyDiv w:val="1"/>
      <w:marLeft w:val="0"/>
      <w:marRight w:val="0"/>
      <w:marTop w:val="0"/>
      <w:marBottom w:val="0"/>
      <w:divBdr>
        <w:top w:val="none" w:sz="0" w:space="0" w:color="auto"/>
        <w:left w:val="none" w:sz="0" w:space="0" w:color="auto"/>
        <w:bottom w:val="none" w:sz="0" w:space="0" w:color="auto"/>
        <w:right w:val="none" w:sz="0" w:space="0" w:color="auto"/>
      </w:divBdr>
    </w:div>
    <w:div w:id="63379548">
      <w:bodyDiv w:val="1"/>
      <w:marLeft w:val="0"/>
      <w:marRight w:val="0"/>
      <w:marTop w:val="0"/>
      <w:marBottom w:val="0"/>
      <w:divBdr>
        <w:top w:val="none" w:sz="0" w:space="0" w:color="auto"/>
        <w:left w:val="none" w:sz="0" w:space="0" w:color="auto"/>
        <w:bottom w:val="none" w:sz="0" w:space="0" w:color="auto"/>
        <w:right w:val="none" w:sz="0" w:space="0" w:color="auto"/>
      </w:divBdr>
    </w:div>
    <w:div w:id="63571158">
      <w:bodyDiv w:val="1"/>
      <w:marLeft w:val="0"/>
      <w:marRight w:val="0"/>
      <w:marTop w:val="0"/>
      <w:marBottom w:val="0"/>
      <w:divBdr>
        <w:top w:val="none" w:sz="0" w:space="0" w:color="auto"/>
        <w:left w:val="none" w:sz="0" w:space="0" w:color="auto"/>
        <w:bottom w:val="none" w:sz="0" w:space="0" w:color="auto"/>
        <w:right w:val="none" w:sz="0" w:space="0" w:color="auto"/>
      </w:divBdr>
    </w:div>
    <w:div w:id="63846345">
      <w:bodyDiv w:val="1"/>
      <w:marLeft w:val="0"/>
      <w:marRight w:val="0"/>
      <w:marTop w:val="0"/>
      <w:marBottom w:val="0"/>
      <w:divBdr>
        <w:top w:val="none" w:sz="0" w:space="0" w:color="auto"/>
        <w:left w:val="none" w:sz="0" w:space="0" w:color="auto"/>
        <w:bottom w:val="none" w:sz="0" w:space="0" w:color="auto"/>
        <w:right w:val="none" w:sz="0" w:space="0" w:color="auto"/>
      </w:divBdr>
    </w:div>
    <w:div w:id="63920128">
      <w:bodyDiv w:val="1"/>
      <w:marLeft w:val="0"/>
      <w:marRight w:val="0"/>
      <w:marTop w:val="0"/>
      <w:marBottom w:val="0"/>
      <w:divBdr>
        <w:top w:val="none" w:sz="0" w:space="0" w:color="auto"/>
        <w:left w:val="none" w:sz="0" w:space="0" w:color="auto"/>
        <w:bottom w:val="none" w:sz="0" w:space="0" w:color="auto"/>
        <w:right w:val="none" w:sz="0" w:space="0" w:color="auto"/>
      </w:divBdr>
    </w:div>
    <w:div w:id="64302644">
      <w:bodyDiv w:val="1"/>
      <w:marLeft w:val="0"/>
      <w:marRight w:val="0"/>
      <w:marTop w:val="0"/>
      <w:marBottom w:val="0"/>
      <w:divBdr>
        <w:top w:val="none" w:sz="0" w:space="0" w:color="auto"/>
        <w:left w:val="none" w:sz="0" w:space="0" w:color="auto"/>
        <w:bottom w:val="none" w:sz="0" w:space="0" w:color="auto"/>
        <w:right w:val="none" w:sz="0" w:space="0" w:color="auto"/>
      </w:divBdr>
    </w:div>
    <w:div w:id="65038009">
      <w:bodyDiv w:val="1"/>
      <w:marLeft w:val="0"/>
      <w:marRight w:val="0"/>
      <w:marTop w:val="0"/>
      <w:marBottom w:val="0"/>
      <w:divBdr>
        <w:top w:val="none" w:sz="0" w:space="0" w:color="auto"/>
        <w:left w:val="none" w:sz="0" w:space="0" w:color="auto"/>
        <w:bottom w:val="none" w:sz="0" w:space="0" w:color="auto"/>
        <w:right w:val="none" w:sz="0" w:space="0" w:color="auto"/>
      </w:divBdr>
    </w:div>
    <w:div w:id="65688507">
      <w:bodyDiv w:val="1"/>
      <w:marLeft w:val="0"/>
      <w:marRight w:val="0"/>
      <w:marTop w:val="0"/>
      <w:marBottom w:val="0"/>
      <w:divBdr>
        <w:top w:val="none" w:sz="0" w:space="0" w:color="auto"/>
        <w:left w:val="none" w:sz="0" w:space="0" w:color="auto"/>
        <w:bottom w:val="none" w:sz="0" w:space="0" w:color="auto"/>
        <w:right w:val="none" w:sz="0" w:space="0" w:color="auto"/>
      </w:divBdr>
    </w:div>
    <w:div w:id="65882834">
      <w:bodyDiv w:val="1"/>
      <w:marLeft w:val="0"/>
      <w:marRight w:val="0"/>
      <w:marTop w:val="0"/>
      <w:marBottom w:val="0"/>
      <w:divBdr>
        <w:top w:val="none" w:sz="0" w:space="0" w:color="auto"/>
        <w:left w:val="none" w:sz="0" w:space="0" w:color="auto"/>
        <w:bottom w:val="none" w:sz="0" w:space="0" w:color="auto"/>
        <w:right w:val="none" w:sz="0" w:space="0" w:color="auto"/>
      </w:divBdr>
    </w:div>
    <w:div w:id="66537594">
      <w:bodyDiv w:val="1"/>
      <w:marLeft w:val="0"/>
      <w:marRight w:val="0"/>
      <w:marTop w:val="0"/>
      <w:marBottom w:val="0"/>
      <w:divBdr>
        <w:top w:val="none" w:sz="0" w:space="0" w:color="auto"/>
        <w:left w:val="none" w:sz="0" w:space="0" w:color="auto"/>
        <w:bottom w:val="none" w:sz="0" w:space="0" w:color="auto"/>
        <w:right w:val="none" w:sz="0" w:space="0" w:color="auto"/>
      </w:divBdr>
    </w:div>
    <w:div w:id="66806070">
      <w:bodyDiv w:val="1"/>
      <w:marLeft w:val="0"/>
      <w:marRight w:val="0"/>
      <w:marTop w:val="0"/>
      <w:marBottom w:val="0"/>
      <w:divBdr>
        <w:top w:val="none" w:sz="0" w:space="0" w:color="auto"/>
        <w:left w:val="none" w:sz="0" w:space="0" w:color="auto"/>
        <w:bottom w:val="none" w:sz="0" w:space="0" w:color="auto"/>
        <w:right w:val="none" w:sz="0" w:space="0" w:color="auto"/>
      </w:divBdr>
    </w:div>
    <w:div w:id="67004187">
      <w:bodyDiv w:val="1"/>
      <w:marLeft w:val="0"/>
      <w:marRight w:val="0"/>
      <w:marTop w:val="0"/>
      <w:marBottom w:val="0"/>
      <w:divBdr>
        <w:top w:val="none" w:sz="0" w:space="0" w:color="auto"/>
        <w:left w:val="none" w:sz="0" w:space="0" w:color="auto"/>
        <w:bottom w:val="none" w:sz="0" w:space="0" w:color="auto"/>
        <w:right w:val="none" w:sz="0" w:space="0" w:color="auto"/>
      </w:divBdr>
    </w:div>
    <w:div w:id="67533755">
      <w:bodyDiv w:val="1"/>
      <w:marLeft w:val="0"/>
      <w:marRight w:val="0"/>
      <w:marTop w:val="0"/>
      <w:marBottom w:val="0"/>
      <w:divBdr>
        <w:top w:val="none" w:sz="0" w:space="0" w:color="auto"/>
        <w:left w:val="none" w:sz="0" w:space="0" w:color="auto"/>
        <w:bottom w:val="none" w:sz="0" w:space="0" w:color="auto"/>
        <w:right w:val="none" w:sz="0" w:space="0" w:color="auto"/>
      </w:divBdr>
    </w:div>
    <w:div w:id="68386297">
      <w:bodyDiv w:val="1"/>
      <w:marLeft w:val="0"/>
      <w:marRight w:val="0"/>
      <w:marTop w:val="0"/>
      <w:marBottom w:val="0"/>
      <w:divBdr>
        <w:top w:val="none" w:sz="0" w:space="0" w:color="auto"/>
        <w:left w:val="none" w:sz="0" w:space="0" w:color="auto"/>
        <w:bottom w:val="none" w:sz="0" w:space="0" w:color="auto"/>
        <w:right w:val="none" w:sz="0" w:space="0" w:color="auto"/>
      </w:divBdr>
    </w:div>
    <w:div w:id="68961728">
      <w:bodyDiv w:val="1"/>
      <w:marLeft w:val="0"/>
      <w:marRight w:val="0"/>
      <w:marTop w:val="0"/>
      <w:marBottom w:val="0"/>
      <w:divBdr>
        <w:top w:val="none" w:sz="0" w:space="0" w:color="auto"/>
        <w:left w:val="none" w:sz="0" w:space="0" w:color="auto"/>
        <w:bottom w:val="none" w:sz="0" w:space="0" w:color="auto"/>
        <w:right w:val="none" w:sz="0" w:space="0" w:color="auto"/>
      </w:divBdr>
    </w:div>
    <w:div w:id="70278717">
      <w:bodyDiv w:val="1"/>
      <w:marLeft w:val="0"/>
      <w:marRight w:val="0"/>
      <w:marTop w:val="0"/>
      <w:marBottom w:val="0"/>
      <w:divBdr>
        <w:top w:val="none" w:sz="0" w:space="0" w:color="auto"/>
        <w:left w:val="none" w:sz="0" w:space="0" w:color="auto"/>
        <w:bottom w:val="none" w:sz="0" w:space="0" w:color="auto"/>
        <w:right w:val="none" w:sz="0" w:space="0" w:color="auto"/>
      </w:divBdr>
    </w:div>
    <w:div w:id="70666541">
      <w:bodyDiv w:val="1"/>
      <w:marLeft w:val="0"/>
      <w:marRight w:val="0"/>
      <w:marTop w:val="0"/>
      <w:marBottom w:val="0"/>
      <w:divBdr>
        <w:top w:val="none" w:sz="0" w:space="0" w:color="auto"/>
        <w:left w:val="none" w:sz="0" w:space="0" w:color="auto"/>
        <w:bottom w:val="none" w:sz="0" w:space="0" w:color="auto"/>
        <w:right w:val="none" w:sz="0" w:space="0" w:color="auto"/>
      </w:divBdr>
    </w:div>
    <w:div w:id="70737395">
      <w:bodyDiv w:val="1"/>
      <w:marLeft w:val="0"/>
      <w:marRight w:val="0"/>
      <w:marTop w:val="0"/>
      <w:marBottom w:val="0"/>
      <w:divBdr>
        <w:top w:val="none" w:sz="0" w:space="0" w:color="auto"/>
        <w:left w:val="none" w:sz="0" w:space="0" w:color="auto"/>
        <w:bottom w:val="none" w:sz="0" w:space="0" w:color="auto"/>
        <w:right w:val="none" w:sz="0" w:space="0" w:color="auto"/>
      </w:divBdr>
    </w:div>
    <w:div w:id="72045602">
      <w:bodyDiv w:val="1"/>
      <w:marLeft w:val="0"/>
      <w:marRight w:val="0"/>
      <w:marTop w:val="0"/>
      <w:marBottom w:val="0"/>
      <w:divBdr>
        <w:top w:val="none" w:sz="0" w:space="0" w:color="auto"/>
        <w:left w:val="none" w:sz="0" w:space="0" w:color="auto"/>
        <w:bottom w:val="none" w:sz="0" w:space="0" w:color="auto"/>
        <w:right w:val="none" w:sz="0" w:space="0" w:color="auto"/>
      </w:divBdr>
    </w:div>
    <w:div w:id="73750686">
      <w:bodyDiv w:val="1"/>
      <w:marLeft w:val="0"/>
      <w:marRight w:val="0"/>
      <w:marTop w:val="0"/>
      <w:marBottom w:val="0"/>
      <w:divBdr>
        <w:top w:val="none" w:sz="0" w:space="0" w:color="auto"/>
        <w:left w:val="none" w:sz="0" w:space="0" w:color="auto"/>
        <w:bottom w:val="none" w:sz="0" w:space="0" w:color="auto"/>
        <w:right w:val="none" w:sz="0" w:space="0" w:color="auto"/>
      </w:divBdr>
    </w:div>
    <w:div w:id="74211741">
      <w:bodyDiv w:val="1"/>
      <w:marLeft w:val="0"/>
      <w:marRight w:val="0"/>
      <w:marTop w:val="0"/>
      <w:marBottom w:val="0"/>
      <w:divBdr>
        <w:top w:val="none" w:sz="0" w:space="0" w:color="auto"/>
        <w:left w:val="none" w:sz="0" w:space="0" w:color="auto"/>
        <w:bottom w:val="none" w:sz="0" w:space="0" w:color="auto"/>
        <w:right w:val="none" w:sz="0" w:space="0" w:color="auto"/>
      </w:divBdr>
    </w:div>
    <w:div w:id="74594254">
      <w:bodyDiv w:val="1"/>
      <w:marLeft w:val="0"/>
      <w:marRight w:val="0"/>
      <w:marTop w:val="0"/>
      <w:marBottom w:val="0"/>
      <w:divBdr>
        <w:top w:val="none" w:sz="0" w:space="0" w:color="auto"/>
        <w:left w:val="none" w:sz="0" w:space="0" w:color="auto"/>
        <w:bottom w:val="none" w:sz="0" w:space="0" w:color="auto"/>
        <w:right w:val="none" w:sz="0" w:space="0" w:color="auto"/>
      </w:divBdr>
    </w:div>
    <w:div w:id="74783224">
      <w:bodyDiv w:val="1"/>
      <w:marLeft w:val="0"/>
      <w:marRight w:val="0"/>
      <w:marTop w:val="0"/>
      <w:marBottom w:val="0"/>
      <w:divBdr>
        <w:top w:val="none" w:sz="0" w:space="0" w:color="auto"/>
        <w:left w:val="none" w:sz="0" w:space="0" w:color="auto"/>
        <w:bottom w:val="none" w:sz="0" w:space="0" w:color="auto"/>
        <w:right w:val="none" w:sz="0" w:space="0" w:color="auto"/>
      </w:divBdr>
    </w:div>
    <w:div w:id="74864509">
      <w:bodyDiv w:val="1"/>
      <w:marLeft w:val="0"/>
      <w:marRight w:val="0"/>
      <w:marTop w:val="0"/>
      <w:marBottom w:val="0"/>
      <w:divBdr>
        <w:top w:val="none" w:sz="0" w:space="0" w:color="auto"/>
        <w:left w:val="none" w:sz="0" w:space="0" w:color="auto"/>
        <w:bottom w:val="none" w:sz="0" w:space="0" w:color="auto"/>
        <w:right w:val="none" w:sz="0" w:space="0" w:color="auto"/>
      </w:divBdr>
    </w:div>
    <w:div w:id="74934134">
      <w:bodyDiv w:val="1"/>
      <w:marLeft w:val="0"/>
      <w:marRight w:val="0"/>
      <w:marTop w:val="0"/>
      <w:marBottom w:val="0"/>
      <w:divBdr>
        <w:top w:val="none" w:sz="0" w:space="0" w:color="auto"/>
        <w:left w:val="none" w:sz="0" w:space="0" w:color="auto"/>
        <w:bottom w:val="none" w:sz="0" w:space="0" w:color="auto"/>
        <w:right w:val="none" w:sz="0" w:space="0" w:color="auto"/>
      </w:divBdr>
    </w:div>
    <w:div w:id="74936423">
      <w:bodyDiv w:val="1"/>
      <w:marLeft w:val="0"/>
      <w:marRight w:val="0"/>
      <w:marTop w:val="0"/>
      <w:marBottom w:val="0"/>
      <w:divBdr>
        <w:top w:val="none" w:sz="0" w:space="0" w:color="auto"/>
        <w:left w:val="none" w:sz="0" w:space="0" w:color="auto"/>
        <w:bottom w:val="none" w:sz="0" w:space="0" w:color="auto"/>
        <w:right w:val="none" w:sz="0" w:space="0" w:color="auto"/>
      </w:divBdr>
    </w:div>
    <w:div w:id="75442017">
      <w:bodyDiv w:val="1"/>
      <w:marLeft w:val="0"/>
      <w:marRight w:val="0"/>
      <w:marTop w:val="0"/>
      <w:marBottom w:val="0"/>
      <w:divBdr>
        <w:top w:val="none" w:sz="0" w:space="0" w:color="auto"/>
        <w:left w:val="none" w:sz="0" w:space="0" w:color="auto"/>
        <w:bottom w:val="none" w:sz="0" w:space="0" w:color="auto"/>
        <w:right w:val="none" w:sz="0" w:space="0" w:color="auto"/>
      </w:divBdr>
    </w:div>
    <w:div w:id="75590628">
      <w:bodyDiv w:val="1"/>
      <w:marLeft w:val="0"/>
      <w:marRight w:val="0"/>
      <w:marTop w:val="0"/>
      <w:marBottom w:val="0"/>
      <w:divBdr>
        <w:top w:val="none" w:sz="0" w:space="0" w:color="auto"/>
        <w:left w:val="none" w:sz="0" w:space="0" w:color="auto"/>
        <w:bottom w:val="none" w:sz="0" w:space="0" w:color="auto"/>
        <w:right w:val="none" w:sz="0" w:space="0" w:color="auto"/>
      </w:divBdr>
    </w:div>
    <w:div w:id="75976812">
      <w:bodyDiv w:val="1"/>
      <w:marLeft w:val="0"/>
      <w:marRight w:val="0"/>
      <w:marTop w:val="0"/>
      <w:marBottom w:val="0"/>
      <w:divBdr>
        <w:top w:val="none" w:sz="0" w:space="0" w:color="auto"/>
        <w:left w:val="none" w:sz="0" w:space="0" w:color="auto"/>
        <w:bottom w:val="none" w:sz="0" w:space="0" w:color="auto"/>
        <w:right w:val="none" w:sz="0" w:space="0" w:color="auto"/>
      </w:divBdr>
    </w:div>
    <w:div w:id="76905484">
      <w:bodyDiv w:val="1"/>
      <w:marLeft w:val="0"/>
      <w:marRight w:val="0"/>
      <w:marTop w:val="0"/>
      <w:marBottom w:val="0"/>
      <w:divBdr>
        <w:top w:val="none" w:sz="0" w:space="0" w:color="auto"/>
        <w:left w:val="none" w:sz="0" w:space="0" w:color="auto"/>
        <w:bottom w:val="none" w:sz="0" w:space="0" w:color="auto"/>
        <w:right w:val="none" w:sz="0" w:space="0" w:color="auto"/>
      </w:divBdr>
    </w:div>
    <w:div w:id="77598070">
      <w:bodyDiv w:val="1"/>
      <w:marLeft w:val="0"/>
      <w:marRight w:val="0"/>
      <w:marTop w:val="0"/>
      <w:marBottom w:val="0"/>
      <w:divBdr>
        <w:top w:val="none" w:sz="0" w:space="0" w:color="auto"/>
        <w:left w:val="none" w:sz="0" w:space="0" w:color="auto"/>
        <w:bottom w:val="none" w:sz="0" w:space="0" w:color="auto"/>
        <w:right w:val="none" w:sz="0" w:space="0" w:color="auto"/>
      </w:divBdr>
    </w:div>
    <w:div w:id="79329849">
      <w:bodyDiv w:val="1"/>
      <w:marLeft w:val="0"/>
      <w:marRight w:val="0"/>
      <w:marTop w:val="0"/>
      <w:marBottom w:val="0"/>
      <w:divBdr>
        <w:top w:val="none" w:sz="0" w:space="0" w:color="auto"/>
        <w:left w:val="none" w:sz="0" w:space="0" w:color="auto"/>
        <w:bottom w:val="none" w:sz="0" w:space="0" w:color="auto"/>
        <w:right w:val="none" w:sz="0" w:space="0" w:color="auto"/>
      </w:divBdr>
    </w:div>
    <w:div w:id="80027623">
      <w:bodyDiv w:val="1"/>
      <w:marLeft w:val="0"/>
      <w:marRight w:val="0"/>
      <w:marTop w:val="0"/>
      <w:marBottom w:val="0"/>
      <w:divBdr>
        <w:top w:val="none" w:sz="0" w:space="0" w:color="auto"/>
        <w:left w:val="none" w:sz="0" w:space="0" w:color="auto"/>
        <w:bottom w:val="none" w:sz="0" w:space="0" w:color="auto"/>
        <w:right w:val="none" w:sz="0" w:space="0" w:color="auto"/>
      </w:divBdr>
    </w:div>
    <w:div w:id="80222310">
      <w:bodyDiv w:val="1"/>
      <w:marLeft w:val="0"/>
      <w:marRight w:val="0"/>
      <w:marTop w:val="0"/>
      <w:marBottom w:val="0"/>
      <w:divBdr>
        <w:top w:val="none" w:sz="0" w:space="0" w:color="auto"/>
        <w:left w:val="none" w:sz="0" w:space="0" w:color="auto"/>
        <w:bottom w:val="none" w:sz="0" w:space="0" w:color="auto"/>
        <w:right w:val="none" w:sz="0" w:space="0" w:color="auto"/>
      </w:divBdr>
    </w:div>
    <w:div w:id="80688417">
      <w:bodyDiv w:val="1"/>
      <w:marLeft w:val="0"/>
      <w:marRight w:val="0"/>
      <w:marTop w:val="0"/>
      <w:marBottom w:val="0"/>
      <w:divBdr>
        <w:top w:val="none" w:sz="0" w:space="0" w:color="auto"/>
        <w:left w:val="none" w:sz="0" w:space="0" w:color="auto"/>
        <w:bottom w:val="none" w:sz="0" w:space="0" w:color="auto"/>
        <w:right w:val="none" w:sz="0" w:space="0" w:color="auto"/>
      </w:divBdr>
    </w:div>
    <w:div w:id="80949931">
      <w:bodyDiv w:val="1"/>
      <w:marLeft w:val="0"/>
      <w:marRight w:val="0"/>
      <w:marTop w:val="0"/>
      <w:marBottom w:val="0"/>
      <w:divBdr>
        <w:top w:val="none" w:sz="0" w:space="0" w:color="auto"/>
        <w:left w:val="none" w:sz="0" w:space="0" w:color="auto"/>
        <w:bottom w:val="none" w:sz="0" w:space="0" w:color="auto"/>
        <w:right w:val="none" w:sz="0" w:space="0" w:color="auto"/>
      </w:divBdr>
    </w:div>
    <w:div w:id="81420070">
      <w:bodyDiv w:val="1"/>
      <w:marLeft w:val="0"/>
      <w:marRight w:val="0"/>
      <w:marTop w:val="0"/>
      <w:marBottom w:val="0"/>
      <w:divBdr>
        <w:top w:val="none" w:sz="0" w:space="0" w:color="auto"/>
        <w:left w:val="none" w:sz="0" w:space="0" w:color="auto"/>
        <w:bottom w:val="none" w:sz="0" w:space="0" w:color="auto"/>
        <w:right w:val="none" w:sz="0" w:space="0" w:color="auto"/>
      </w:divBdr>
    </w:div>
    <w:div w:id="81799607">
      <w:bodyDiv w:val="1"/>
      <w:marLeft w:val="0"/>
      <w:marRight w:val="0"/>
      <w:marTop w:val="0"/>
      <w:marBottom w:val="0"/>
      <w:divBdr>
        <w:top w:val="none" w:sz="0" w:space="0" w:color="auto"/>
        <w:left w:val="none" w:sz="0" w:space="0" w:color="auto"/>
        <w:bottom w:val="none" w:sz="0" w:space="0" w:color="auto"/>
        <w:right w:val="none" w:sz="0" w:space="0" w:color="auto"/>
      </w:divBdr>
    </w:div>
    <w:div w:id="82071085">
      <w:bodyDiv w:val="1"/>
      <w:marLeft w:val="0"/>
      <w:marRight w:val="0"/>
      <w:marTop w:val="0"/>
      <w:marBottom w:val="0"/>
      <w:divBdr>
        <w:top w:val="none" w:sz="0" w:space="0" w:color="auto"/>
        <w:left w:val="none" w:sz="0" w:space="0" w:color="auto"/>
        <w:bottom w:val="none" w:sz="0" w:space="0" w:color="auto"/>
        <w:right w:val="none" w:sz="0" w:space="0" w:color="auto"/>
      </w:divBdr>
    </w:div>
    <w:div w:id="82579193">
      <w:bodyDiv w:val="1"/>
      <w:marLeft w:val="0"/>
      <w:marRight w:val="0"/>
      <w:marTop w:val="0"/>
      <w:marBottom w:val="0"/>
      <w:divBdr>
        <w:top w:val="none" w:sz="0" w:space="0" w:color="auto"/>
        <w:left w:val="none" w:sz="0" w:space="0" w:color="auto"/>
        <w:bottom w:val="none" w:sz="0" w:space="0" w:color="auto"/>
        <w:right w:val="none" w:sz="0" w:space="0" w:color="auto"/>
      </w:divBdr>
    </w:div>
    <w:div w:id="82841377">
      <w:bodyDiv w:val="1"/>
      <w:marLeft w:val="0"/>
      <w:marRight w:val="0"/>
      <w:marTop w:val="0"/>
      <w:marBottom w:val="0"/>
      <w:divBdr>
        <w:top w:val="none" w:sz="0" w:space="0" w:color="auto"/>
        <w:left w:val="none" w:sz="0" w:space="0" w:color="auto"/>
        <w:bottom w:val="none" w:sz="0" w:space="0" w:color="auto"/>
        <w:right w:val="none" w:sz="0" w:space="0" w:color="auto"/>
      </w:divBdr>
    </w:div>
    <w:div w:id="83039154">
      <w:bodyDiv w:val="1"/>
      <w:marLeft w:val="0"/>
      <w:marRight w:val="0"/>
      <w:marTop w:val="0"/>
      <w:marBottom w:val="0"/>
      <w:divBdr>
        <w:top w:val="none" w:sz="0" w:space="0" w:color="auto"/>
        <w:left w:val="none" w:sz="0" w:space="0" w:color="auto"/>
        <w:bottom w:val="none" w:sz="0" w:space="0" w:color="auto"/>
        <w:right w:val="none" w:sz="0" w:space="0" w:color="auto"/>
      </w:divBdr>
    </w:div>
    <w:div w:id="83452378">
      <w:bodyDiv w:val="1"/>
      <w:marLeft w:val="0"/>
      <w:marRight w:val="0"/>
      <w:marTop w:val="0"/>
      <w:marBottom w:val="0"/>
      <w:divBdr>
        <w:top w:val="none" w:sz="0" w:space="0" w:color="auto"/>
        <w:left w:val="none" w:sz="0" w:space="0" w:color="auto"/>
        <w:bottom w:val="none" w:sz="0" w:space="0" w:color="auto"/>
        <w:right w:val="none" w:sz="0" w:space="0" w:color="auto"/>
      </w:divBdr>
    </w:div>
    <w:div w:id="84156357">
      <w:bodyDiv w:val="1"/>
      <w:marLeft w:val="0"/>
      <w:marRight w:val="0"/>
      <w:marTop w:val="0"/>
      <w:marBottom w:val="0"/>
      <w:divBdr>
        <w:top w:val="none" w:sz="0" w:space="0" w:color="auto"/>
        <w:left w:val="none" w:sz="0" w:space="0" w:color="auto"/>
        <w:bottom w:val="none" w:sz="0" w:space="0" w:color="auto"/>
        <w:right w:val="none" w:sz="0" w:space="0" w:color="auto"/>
      </w:divBdr>
    </w:div>
    <w:div w:id="85197808">
      <w:bodyDiv w:val="1"/>
      <w:marLeft w:val="0"/>
      <w:marRight w:val="0"/>
      <w:marTop w:val="0"/>
      <w:marBottom w:val="0"/>
      <w:divBdr>
        <w:top w:val="none" w:sz="0" w:space="0" w:color="auto"/>
        <w:left w:val="none" w:sz="0" w:space="0" w:color="auto"/>
        <w:bottom w:val="none" w:sz="0" w:space="0" w:color="auto"/>
        <w:right w:val="none" w:sz="0" w:space="0" w:color="auto"/>
      </w:divBdr>
    </w:div>
    <w:div w:id="85197917">
      <w:bodyDiv w:val="1"/>
      <w:marLeft w:val="0"/>
      <w:marRight w:val="0"/>
      <w:marTop w:val="0"/>
      <w:marBottom w:val="0"/>
      <w:divBdr>
        <w:top w:val="none" w:sz="0" w:space="0" w:color="auto"/>
        <w:left w:val="none" w:sz="0" w:space="0" w:color="auto"/>
        <w:bottom w:val="none" w:sz="0" w:space="0" w:color="auto"/>
        <w:right w:val="none" w:sz="0" w:space="0" w:color="auto"/>
      </w:divBdr>
    </w:div>
    <w:div w:id="85425273">
      <w:bodyDiv w:val="1"/>
      <w:marLeft w:val="0"/>
      <w:marRight w:val="0"/>
      <w:marTop w:val="0"/>
      <w:marBottom w:val="0"/>
      <w:divBdr>
        <w:top w:val="none" w:sz="0" w:space="0" w:color="auto"/>
        <w:left w:val="none" w:sz="0" w:space="0" w:color="auto"/>
        <w:bottom w:val="none" w:sz="0" w:space="0" w:color="auto"/>
        <w:right w:val="none" w:sz="0" w:space="0" w:color="auto"/>
      </w:divBdr>
    </w:div>
    <w:div w:id="85612813">
      <w:bodyDiv w:val="1"/>
      <w:marLeft w:val="0"/>
      <w:marRight w:val="0"/>
      <w:marTop w:val="0"/>
      <w:marBottom w:val="0"/>
      <w:divBdr>
        <w:top w:val="none" w:sz="0" w:space="0" w:color="auto"/>
        <w:left w:val="none" w:sz="0" w:space="0" w:color="auto"/>
        <w:bottom w:val="none" w:sz="0" w:space="0" w:color="auto"/>
        <w:right w:val="none" w:sz="0" w:space="0" w:color="auto"/>
      </w:divBdr>
    </w:div>
    <w:div w:id="85615467">
      <w:bodyDiv w:val="1"/>
      <w:marLeft w:val="0"/>
      <w:marRight w:val="0"/>
      <w:marTop w:val="0"/>
      <w:marBottom w:val="0"/>
      <w:divBdr>
        <w:top w:val="none" w:sz="0" w:space="0" w:color="auto"/>
        <w:left w:val="none" w:sz="0" w:space="0" w:color="auto"/>
        <w:bottom w:val="none" w:sz="0" w:space="0" w:color="auto"/>
        <w:right w:val="none" w:sz="0" w:space="0" w:color="auto"/>
      </w:divBdr>
    </w:div>
    <w:div w:id="86004520">
      <w:bodyDiv w:val="1"/>
      <w:marLeft w:val="0"/>
      <w:marRight w:val="0"/>
      <w:marTop w:val="0"/>
      <w:marBottom w:val="0"/>
      <w:divBdr>
        <w:top w:val="none" w:sz="0" w:space="0" w:color="auto"/>
        <w:left w:val="none" w:sz="0" w:space="0" w:color="auto"/>
        <w:bottom w:val="none" w:sz="0" w:space="0" w:color="auto"/>
        <w:right w:val="none" w:sz="0" w:space="0" w:color="auto"/>
      </w:divBdr>
    </w:div>
    <w:div w:id="86468965">
      <w:bodyDiv w:val="1"/>
      <w:marLeft w:val="0"/>
      <w:marRight w:val="0"/>
      <w:marTop w:val="0"/>
      <w:marBottom w:val="0"/>
      <w:divBdr>
        <w:top w:val="none" w:sz="0" w:space="0" w:color="auto"/>
        <w:left w:val="none" w:sz="0" w:space="0" w:color="auto"/>
        <w:bottom w:val="none" w:sz="0" w:space="0" w:color="auto"/>
        <w:right w:val="none" w:sz="0" w:space="0" w:color="auto"/>
      </w:divBdr>
    </w:div>
    <w:div w:id="86538935">
      <w:bodyDiv w:val="1"/>
      <w:marLeft w:val="0"/>
      <w:marRight w:val="0"/>
      <w:marTop w:val="0"/>
      <w:marBottom w:val="0"/>
      <w:divBdr>
        <w:top w:val="none" w:sz="0" w:space="0" w:color="auto"/>
        <w:left w:val="none" w:sz="0" w:space="0" w:color="auto"/>
        <w:bottom w:val="none" w:sz="0" w:space="0" w:color="auto"/>
        <w:right w:val="none" w:sz="0" w:space="0" w:color="auto"/>
      </w:divBdr>
    </w:div>
    <w:div w:id="86579756">
      <w:bodyDiv w:val="1"/>
      <w:marLeft w:val="0"/>
      <w:marRight w:val="0"/>
      <w:marTop w:val="0"/>
      <w:marBottom w:val="0"/>
      <w:divBdr>
        <w:top w:val="none" w:sz="0" w:space="0" w:color="auto"/>
        <w:left w:val="none" w:sz="0" w:space="0" w:color="auto"/>
        <w:bottom w:val="none" w:sz="0" w:space="0" w:color="auto"/>
        <w:right w:val="none" w:sz="0" w:space="0" w:color="auto"/>
      </w:divBdr>
    </w:div>
    <w:div w:id="86660362">
      <w:bodyDiv w:val="1"/>
      <w:marLeft w:val="0"/>
      <w:marRight w:val="0"/>
      <w:marTop w:val="0"/>
      <w:marBottom w:val="0"/>
      <w:divBdr>
        <w:top w:val="none" w:sz="0" w:space="0" w:color="auto"/>
        <w:left w:val="none" w:sz="0" w:space="0" w:color="auto"/>
        <w:bottom w:val="none" w:sz="0" w:space="0" w:color="auto"/>
        <w:right w:val="none" w:sz="0" w:space="0" w:color="auto"/>
      </w:divBdr>
    </w:div>
    <w:div w:id="87041011">
      <w:bodyDiv w:val="1"/>
      <w:marLeft w:val="0"/>
      <w:marRight w:val="0"/>
      <w:marTop w:val="0"/>
      <w:marBottom w:val="0"/>
      <w:divBdr>
        <w:top w:val="none" w:sz="0" w:space="0" w:color="auto"/>
        <w:left w:val="none" w:sz="0" w:space="0" w:color="auto"/>
        <w:bottom w:val="none" w:sz="0" w:space="0" w:color="auto"/>
        <w:right w:val="none" w:sz="0" w:space="0" w:color="auto"/>
      </w:divBdr>
    </w:div>
    <w:div w:id="87242540">
      <w:bodyDiv w:val="1"/>
      <w:marLeft w:val="0"/>
      <w:marRight w:val="0"/>
      <w:marTop w:val="0"/>
      <w:marBottom w:val="0"/>
      <w:divBdr>
        <w:top w:val="none" w:sz="0" w:space="0" w:color="auto"/>
        <w:left w:val="none" w:sz="0" w:space="0" w:color="auto"/>
        <w:bottom w:val="none" w:sz="0" w:space="0" w:color="auto"/>
        <w:right w:val="none" w:sz="0" w:space="0" w:color="auto"/>
      </w:divBdr>
    </w:div>
    <w:div w:id="87822254">
      <w:bodyDiv w:val="1"/>
      <w:marLeft w:val="0"/>
      <w:marRight w:val="0"/>
      <w:marTop w:val="0"/>
      <w:marBottom w:val="0"/>
      <w:divBdr>
        <w:top w:val="none" w:sz="0" w:space="0" w:color="auto"/>
        <w:left w:val="none" w:sz="0" w:space="0" w:color="auto"/>
        <w:bottom w:val="none" w:sz="0" w:space="0" w:color="auto"/>
        <w:right w:val="none" w:sz="0" w:space="0" w:color="auto"/>
      </w:divBdr>
    </w:div>
    <w:div w:id="88045756">
      <w:bodyDiv w:val="1"/>
      <w:marLeft w:val="0"/>
      <w:marRight w:val="0"/>
      <w:marTop w:val="0"/>
      <w:marBottom w:val="0"/>
      <w:divBdr>
        <w:top w:val="none" w:sz="0" w:space="0" w:color="auto"/>
        <w:left w:val="none" w:sz="0" w:space="0" w:color="auto"/>
        <w:bottom w:val="none" w:sz="0" w:space="0" w:color="auto"/>
        <w:right w:val="none" w:sz="0" w:space="0" w:color="auto"/>
      </w:divBdr>
    </w:div>
    <w:div w:id="88890323">
      <w:bodyDiv w:val="1"/>
      <w:marLeft w:val="0"/>
      <w:marRight w:val="0"/>
      <w:marTop w:val="0"/>
      <w:marBottom w:val="0"/>
      <w:divBdr>
        <w:top w:val="none" w:sz="0" w:space="0" w:color="auto"/>
        <w:left w:val="none" w:sz="0" w:space="0" w:color="auto"/>
        <w:bottom w:val="none" w:sz="0" w:space="0" w:color="auto"/>
        <w:right w:val="none" w:sz="0" w:space="0" w:color="auto"/>
      </w:divBdr>
    </w:div>
    <w:div w:id="89664349">
      <w:bodyDiv w:val="1"/>
      <w:marLeft w:val="0"/>
      <w:marRight w:val="0"/>
      <w:marTop w:val="0"/>
      <w:marBottom w:val="0"/>
      <w:divBdr>
        <w:top w:val="none" w:sz="0" w:space="0" w:color="auto"/>
        <w:left w:val="none" w:sz="0" w:space="0" w:color="auto"/>
        <w:bottom w:val="none" w:sz="0" w:space="0" w:color="auto"/>
        <w:right w:val="none" w:sz="0" w:space="0" w:color="auto"/>
      </w:divBdr>
    </w:div>
    <w:div w:id="90204670">
      <w:bodyDiv w:val="1"/>
      <w:marLeft w:val="0"/>
      <w:marRight w:val="0"/>
      <w:marTop w:val="0"/>
      <w:marBottom w:val="0"/>
      <w:divBdr>
        <w:top w:val="none" w:sz="0" w:space="0" w:color="auto"/>
        <w:left w:val="none" w:sz="0" w:space="0" w:color="auto"/>
        <w:bottom w:val="none" w:sz="0" w:space="0" w:color="auto"/>
        <w:right w:val="none" w:sz="0" w:space="0" w:color="auto"/>
      </w:divBdr>
    </w:div>
    <w:div w:id="90392213">
      <w:bodyDiv w:val="1"/>
      <w:marLeft w:val="0"/>
      <w:marRight w:val="0"/>
      <w:marTop w:val="0"/>
      <w:marBottom w:val="0"/>
      <w:divBdr>
        <w:top w:val="none" w:sz="0" w:space="0" w:color="auto"/>
        <w:left w:val="none" w:sz="0" w:space="0" w:color="auto"/>
        <w:bottom w:val="none" w:sz="0" w:space="0" w:color="auto"/>
        <w:right w:val="none" w:sz="0" w:space="0" w:color="auto"/>
      </w:divBdr>
    </w:div>
    <w:div w:id="90466976">
      <w:bodyDiv w:val="1"/>
      <w:marLeft w:val="0"/>
      <w:marRight w:val="0"/>
      <w:marTop w:val="0"/>
      <w:marBottom w:val="0"/>
      <w:divBdr>
        <w:top w:val="none" w:sz="0" w:space="0" w:color="auto"/>
        <w:left w:val="none" w:sz="0" w:space="0" w:color="auto"/>
        <w:bottom w:val="none" w:sz="0" w:space="0" w:color="auto"/>
        <w:right w:val="none" w:sz="0" w:space="0" w:color="auto"/>
      </w:divBdr>
    </w:div>
    <w:div w:id="91051662">
      <w:bodyDiv w:val="1"/>
      <w:marLeft w:val="0"/>
      <w:marRight w:val="0"/>
      <w:marTop w:val="0"/>
      <w:marBottom w:val="0"/>
      <w:divBdr>
        <w:top w:val="none" w:sz="0" w:space="0" w:color="auto"/>
        <w:left w:val="none" w:sz="0" w:space="0" w:color="auto"/>
        <w:bottom w:val="none" w:sz="0" w:space="0" w:color="auto"/>
        <w:right w:val="none" w:sz="0" w:space="0" w:color="auto"/>
      </w:divBdr>
    </w:div>
    <w:div w:id="91509452">
      <w:bodyDiv w:val="1"/>
      <w:marLeft w:val="0"/>
      <w:marRight w:val="0"/>
      <w:marTop w:val="0"/>
      <w:marBottom w:val="0"/>
      <w:divBdr>
        <w:top w:val="none" w:sz="0" w:space="0" w:color="auto"/>
        <w:left w:val="none" w:sz="0" w:space="0" w:color="auto"/>
        <w:bottom w:val="none" w:sz="0" w:space="0" w:color="auto"/>
        <w:right w:val="none" w:sz="0" w:space="0" w:color="auto"/>
      </w:divBdr>
    </w:div>
    <w:div w:id="92019657">
      <w:bodyDiv w:val="1"/>
      <w:marLeft w:val="0"/>
      <w:marRight w:val="0"/>
      <w:marTop w:val="0"/>
      <w:marBottom w:val="0"/>
      <w:divBdr>
        <w:top w:val="none" w:sz="0" w:space="0" w:color="auto"/>
        <w:left w:val="none" w:sz="0" w:space="0" w:color="auto"/>
        <w:bottom w:val="none" w:sz="0" w:space="0" w:color="auto"/>
        <w:right w:val="none" w:sz="0" w:space="0" w:color="auto"/>
      </w:divBdr>
    </w:div>
    <w:div w:id="92284479">
      <w:bodyDiv w:val="1"/>
      <w:marLeft w:val="0"/>
      <w:marRight w:val="0"/>
      <w:marTop w:val="0"/>
      <w:marBottom w:val="0"/>
      <w:divBdr>
        <w:top w:val="none" w:sz="0" w:space="0" w:color="auto"/>
        <w:left w:val="none" w:sz="0" w:space="0" w:color="auto"/>
        <w:bottom w:val="none" w:sz="0" w:space="0" w:color="auto"/>
        <w:right w:val="none" w:sz="0" w:space="0" w:color="auto"/>
      </w:divBdr>
    </w:div>
    <w:div w:id="92867396">
      <w:bodyDiv w:val="1"/>
      <w:marLeft w:val="0"/>
      <w:marRight w:val="0"/>
      <w:marTop w:val="0"/>
      <w:marBottom w:val="0"/>
      <w:divBdr>
        <w:top w:val="none" w:sz="0" w:space="0" w:color="auto"/>
        <w:left w:val="none" w:sz="0" w:space="0" w:color="auto"/>
        <w:bottom w:val="none" w:sz="0" w:space="0" w:color="auto"/>
        <w:right w:val="none" w:sz="0" w:space="0" w:color="auto"/>
      </w:divBdr>
    </w:div>
    <w:div w:id="93131404">
      <w:bodyDiv w:val="1"/>
      <w:marLeft w:val="0"/>
      <w:marRight w:val="0"/>
      <w:marTop w:val="0"/>
      <w:marBottom w:val="0"/>
      <w:divBdr>
        <w:top w:val="none" w:sz="0" w:space="0" w:color="auto"/>
        <w:left w:val="none" w:sz="0" w:space="0" w:color="auto"/>
        <w:bottom w:val="none" w:sz="0" w:space="0" w:color="auto"/>
        <w:right w:val="none" w:sz="0" w:space="0" w:color="auto"/>
      </w:divBdr>
    </w:div>
    <w:div w:id="93596606">
      <w:bodyDiv w:val="1"/>
      <w:marLeft w:val="0"/>
      <w:marRight w:val="0"/>
      <w:marTop w:val="0"/>
      <w:marBottom w:val="0"/>
      <w:divBdr>
        <w:top w:val="none" w:sz="0" w:space="0" w:color="auto"/>
        <w:left w:val="none" w:sz="0" w:space="0" w:color="auto"/>
        <w:bottom w:val="none" w:sz="0" w:space="0" w:color="auto"/>
        <w:right w:val="none" w:sz="0" w:space="0" w:color="auto"/>
      </w:divBdr>
    </w:div>
    <w:div w:id="93793279">
      <w:bodyDiv w:val="1"/>
      <w:marLeft w:val="0"/>
      <w:marRight w:val="0"/>
      <w:marTop w:val="0"/>
      <w:marBottom w:val="0"/>
      <w:divBdr>
        <w:top w:val="none" w:sz="0" w:space="0" w:color="auto"/>
        <w:left w:val="none" w:sz="0" w:space="0" w:color="auto"/>
        <w:bottom w:val="none" w:sz="0" w:space="0" w:color="auto"/>
        <w:right w:val="none" w:sz="0" w:space="0" w:color="auto"/>
      </w:divBdr>
    </w:div>
    <w:div w:id="93942213">
      <w:bodyDiv w:val="1"/>
      <w:marLeft w:val="0"/>
      <w:marRight w:val="0"/>
      <w:marTop w:val="0"/>
      <w:marBottom w:val="0"/>
      <w:divBdr>
        <w:top w:val="none" w:sz="0" w:space="0" w:color="auto"/>
        <w:left w:val="none" w:sz="0" w:space="0" w:color="auto"/>
        <w:bottom w:val="none" w:sz="0" w:space="0" w:color="auto"/>
        <w:right w:val="none" w:sz="0" w:space="0" w:color="auto"/>
      </w:divBdr>
    </w:div>
    <w:div w:id="94181978">
      <w:bodyDiv w:val="1"/>
      <w:marLeft w:val="0"/>
      <w:marRight w:val="0"/>
      <w:marTop w:val="0"/>
      <w:marBottom w:val="0"/>
      <w:divBdr>
        <w:top w:val="none" w:sz="0" w:space="0" w:color="auto"/>
        <w:left w:val="none" w:sz="0" w:space="0" w:color="auto"/>
        <w:bottom w:val="none" w:sz="0" w:space="0" w:color="auto"/>
        <w:right w:val="none" w:sz="0" w:space="0" w:color="auto"/>
      </w:divBdr>
    </w:div>
    <w:div w:id="94329415">
      <w:bodyDiv w:val="1"/>
      <w:marLeft w:val="0"/>
      <w:marRight w:val="0"/>
      <w:marTop w:val="0"/>
      <w:marBottom w:val="0"/>
      <w:divBdr>
        <w:top w:val="none" w:sz="0" w:space="0" w:color="auto"/>
        <w:left w:val="none" w:sz="0" w:space="0" w:color="auto"/>
        <w:bottom w:val="none" w:sz="0" w:space="0" w:color="auto"/>
        <w:right w:val="none" w:sz="0" w:space="0" w:color="auto"/>
      </w:divBdr>
    </w:div>
    <w:div w:id="94331533">
      <w:bodyDiv w:val="1"/>
      <w:marLeft w:val="0"/>
      <w:marRight w:val="0"/>
      <w:marTop w:val="0"/>
      <w:marBottom w:val="0"/>
      <w:divBdr>
        <w:top w:val="none" w:sz="0" w:space="0" w:color="auto"/>
        <w:left w:val="none" w:sz="0" w:space="0" w:color="auto"/>
        <w:bottom w:val="none" w:sz="0" w:space="0" w:color="auto"/>
        <w:right w:val="none" w:sz="0" w:space="0" w:color="auto"/>
      </w:divBdr>
    </w:div>
    <w:div w:id="95057531">
      <w:bodyDiv w:val="1"/>
      <w:marLeft w:val="0"/>
      <w:marRight w:val="0"/>
      <w:marTop w:val="0"/>
      <w:marBottom w:val="0"/>
      <w:divBdr>
        <w:top w:val="none" w:sz="0" w:space="0" w:color="auto"/>
        <w:left w:val="none" w:sz="0" w:space="0" w:color="auto"/>
        <w:bottom w:val="none" w:sz="0" w:space="0" w:color="auto"/>
        <w:right w:val="none" w:sz="0" w:space="0" w:color="auto"/>
      </w:divBdr>
    </w:div>
    <w:div w:id="95366728">
      <w:bodyDiv w:val="1"/>
      <w:marLeft w:val="0"/>
      <w:marRight w:val="0"/>
      <w:marTop w:val="0"/>
      <w:marBottom w:val="0"/>
      <w:divBdr>
        <w:top w:val="none" w:sz="0" w:space="0" w:color="auto"/>
        <w:left w:val="none" w:sz="0" w:space="0" w:color="auto"/>
        <w:bottom w:val="none" w:sz="0" w:space="0" w:color="auto"/>
        <w:right w:val="none" w:sz="0" w:space="0" w:color="auto"/>
      </w:divBdr>
    </w:div>
    <w:div w:id="95831482">
      <w:bodyDiv w:val="1"/>
      <w:marLeft w:val="0"/>
      <w:marRight w:val="0"/>
      <w:marTop w:val="0"/>
      <w:marBottom w:val="0"/>
      <w:divBdr>
        <w:top w:val="none" w:sz="0" w:space="0" w:color="auto"/>
        <w:left w:val="none" w:sz="0" w:space="0" w:color="auto"/>
        <w:bottom w:val="none" w:sz="0" w:space="0" w:color="auto"/>
        <w:right w:val="none" w:sz="0" w:space="0" w:color="auto"/>
      </w:divBdr>
    </w:div>
    <w:div w:id="96293297">
      <w:bodyDiv w:val="1"/>
      <w:marLeft w:val="0"/>
      <w:marRight w:val="0"/>
      <w:marTop w:val="0"/>
      <w:marBottom w:val="0"/>
      <w:divBdr>
        <w:top w:val="none" w:sz="0" w:space="0" w:color="auto"/>
        <w:left w:val="none" w:sz="0" w:space="0" w:color="auto"/>
        <w:bottom w:val="none" w:sz="0" w:space="0" w:color="auto"/>
        <w:right w:val="none" w:sz="0" w:space="0" w:color="auto"/>
      </w:divBdr>
    </w:div>
    <w:div w:id="97138925">
      <w:bodyDiv w:val="1"/>
      <w:marLeft w:val="0"/>
      <w:marRight w:val="0"/>
      <w:marTop w:val="0"/>
      <w:marBottom w:val="0"/>
      <w:divBdr>
        <w:top w:val="none" w:sz="0" w:space="0" w:color="auto"/>
        <w:left w:val="none" w:sz="0" w:space="0" w:color="auto"/>
        <w:bottom w:val="none" w:sz="0" w:space="0" w:color="auto"/>
        <w:right w:val="none" w:sz="0" w:space="0" w:color="auto"/>
      </w:divBdr>
    </w:div>
    <w:div w:id="97256313">
      <w:bodyDiv w:val="1"/>
      <w:marLeft w:val="0"/>
      <w:marRight w:val="0"/>
      <w:marTop w:val="0"/>
      <w:marBottom w:val="0"/>
      <w:divBdr>
        <w:top w:val="none" w:sz="0" w:space="0" w:color="auto"/>
        <w:left w:val="none" w:sz="0" w:space="0" w:color="auto"/>
        <w:bottom w:val="none" w:sz="0" w:space="0" w:color="auto"/>
        <w:right w:val="none" w:sz="0" w:space="0" w:color="auto"/>
      </w:divBdr>
    </w:div>
    <w:div w:id="97456852">
      <w:bodyDiv w:val="1"/>
      <w:marLeft w:val="0"/>
      <w:marRight w:val="0"/>
      <w:marTop w:val="0"/>
      <w:marBottom w:val="0"/>
      <w:divBdr>
        <w:top w:val="none" w:sz="0" w:space="0" w:color="auto"/>
        <w:left w:val="none" w:sz="0" w:space="0" w:color="auto"/>
        <w:bottom w:val="none" w:sz="0" w:space="0" w:color="auto"/>
        <w:right w:val="none" w:sz="0" w:space="0" w:color="auto"/>
      </w:divBdr>
    </w:div>
    <w:div w:id="97530018">
      <w:bodyDiv w:val="1"/>
      <w:marLeft w:val="0"/>
      <w:marRight w:val="0"/>
      <w:marTop w:val="0"/>
      <w:marBottom w:val="0"/>
      <w:divBdr>
        <w:top w:val="none" w:sz="0" w:space="0" w:color="auto"/>
        <w:left w:val="none" w:sz="0" w:space="0" w:color="auto"/>
        <w:bottom w:val="none" w:sz="0" w:space="0" w:color="auto"/>
        <w:right w:val="none" w:sz="0" w:space="0" w:color="auto"/>
      </w:divBdr>
    </w:div>
    <w:div w:id="97679404">
      <w:bodyDiv w:val="1"/>
      <w:marLeft w:val="0"/>
      <w:marRight w:val="0"/>
      <w:marTop w:val="0"/>
      <w:marBottom w:val="0"/>
      <w:divBdr>
        <w:top w:val="none" w:sz="0" w:space="0" w:color="auto"/>
        <w:left w:val="none" w:sz="0" w:space="0" w:color="auto"/>
        <w:bottom w:val="none" w:sz="0" w:space="0" w:color="auto"/>
        <w:right w:val="none" w:sz="0" w:space="0" w:color="auto"/>
      </w:divBdr>
    </w:div>
    <w:div w:id="97718753">
      <w:bodyDiv w:val="1"/>
      <w:marLeft w:val="0"/>
      <w:marRight w:val="0"/>
      <w:marTop w:val="0"/>
      <w:marBottom w:val="0"/>
      <w:divBdr>
        <w:top w:val="none" w:sz="0" w:space="0" w:color="auto"/>
        <w:left w:val="none" w:sz="0" w:space="0" w:color="auto"/>
        <w:bottom w:val="none" w:sz="0" w:space="0" w:color="auto"/>
        <w:right w:val="none" w:sz="0" w:space="0" w:color="auto"/>
      </w:divBdr>
    </w:div>
    <w:div w:id="98254751">
      <w:bodyDiv w:val="1"/>
      <w:marLeft w:val="0"/>
      <w:marRight w:val="0"/>
      <w:marTop w:val="0"/>
      <w:marBottom w:val="0"/>
      <w:divBdr>
        <w:top w:val="none" w:sz="0" w:space="0" w:color="auto"/>
        <w:left w:val="none" w:sz="0" w:space="0" w:color="auto"/>
        <w:bottom w:val="none" w:sz="0" w:space="0" w:color="auto"/>
        <w:right w:val="none" w:sz="0" w:space="0" w:color="auto"/>
      </w:divBdr>
    </w:div>
    <w:div w:id="98448718">
      <w:bodyDiv w:val="1"/>
      <w:marLeft w:val="0"/>
      <w:marRight w:val="0"/>
      <w:marTop w:val="0"/>
      <w:marBottom w:val="0"/>
      <w:divBdr>
        <w:top w:val="none" w:sz="0" w:space="0" w:color="auto"/>
        <w:left w:val="none" w:sz="0" w:space="0" w:color="auto"/>
        <w:bottom w:val="none" w:sz="0" w:space="0" w:color="auto"/>
        <w:right w:val="none" w:sz="0" w:space="0" w:color="auto"/>
      </w:divBdr>
    </w:div>
    <w:div w:id="98915623">
      <w:bodyDiv w:val="1"/>
      <w:marLeft w:val="0"/>
      <w:marRight w:val="0"/>
      <w:marTop w:val="0"/>
      <w:marBottom w:val="0"/>
      <w:divBdr>
        <w:top w:val="none" w:sz="0" w:space="0" w:color="auto"/>
        <w:left w:val="none" w:sz="0" w:space="0" w:color="auto"/>
        <w:bottom w:val="none" w:sz="0" w:space="0" w:color="auto"/>
        <w:right w:val="none" w:sz="0" w:space="0" w:color="auto"/>
      </w:divBdr>
    </w:div>
    <w:div w:id="99179685">
      <w:bodyDiv w:val="1"/>
      <w:marLeft w:val="0"/>
      <w:marRight w:val="0"/>
      <w:marTop w:val="0"/>
      <w:marBottom w:val="0"/>
      <w:divBdr>
        <w:top w:val="none" w:sz="0" w:space="0" w:color="auto"/>
        <w:left w:val="none" w:sz="0" w:space="0" w:color="auto"/>
        <w:bottom w:val="none" w:sz="0" w:space="0" w:color="auto"/>
        <w:right w:val="none" w:sz="0" w:space="0" w:color="auto"/>
      </w:divBdr>
    </w:div>
    <w:div w:id="99759079">
      <w:bodyDiv w:val="1"/>
      <w:marLeft w:val="0"/>
      <w:marRight w:val="0"/>
      <w:marTop w:val="0"/>
      <w:marBottom w:val="0"/>
      <w:divBdr>
        <w:top w:val="none" w:sz="0" w:space="0" w:color="auto"/>
        <w:left w:val="none" w:sz="0" w:space="0" w:color="auto"/>
        <w:bottom w:val="none" w:sz="0" w:space="0" w:color="auto"/>
        <w:right w:val="none" w:sz="0" w:space="0" w:color="auto"/>
      </w:divBdr>
    </w:div>
    <w:div w:id="100539228">
      <w:bodyDiv w:val="1"/>
      <w:marLeft w:val="0"/>
      <w:marRight w:val="0"/>
      <w:marTop w:val="0"/>
      <w:marBottom w:val="0"/>
      <w:divBdr>
        <w:top w:val="none" w:sz="0" w:space="0" w:color="auto"/>
        <w:left w:val="none" w:sz="0" w:space="0" w:color="auto"/>
        <w:bottom w:val="none" w:sz="0" w:space="0" w:color="auto"/>
        <w:right w:val="none" w:sz="0" w:space="0" w:color="auto"/>
      </w:divBdr>
    </w:div>
    <w:div w:id="100608861">
      <w:bodyDiv w:val="1"/>
      <w:marLeft w:val="0"/>
      <w:marRight w:val="0"/>
      <w:marTop w:val="0"/>
      <w:marBottom w:val="0"/>
      <w:divBdr>
        <w:top w:val="none" w:sz="0" w:space="0" w:color="auto"/>
        <w:left w:val="none" w:sz="0" w:space="0" w:color="auto"/>
        <w:bottom w:val="none" w:sz="0" w:space="0" w:color="auto"/>
        <w:right w:val="none" w:sz="0" w:space="0" w:color="auto"/>
      </w:divBdr>
    </w:div>
    <w:div w:id="100805128">
      <w:bodyDiv w:val="1"/>
      <w:marLeft w:val="0"/>
      <w:marRight w:val="0"/>
      <w:marTop w:val="0"/>
      <w:marBottom w:val="0"/>
      <w:divBdr>
        <w:top w:val="none" w:sz="0" w:space="0" w:color="auto"/>
        <w:left w:val="none" w:sz="0" w:space="0" w:color="auto"/>
        <w:bottom w:val="none" w:sz="0" w:space="0" w:color="auto"/>
        <w:right w:val="none" w:sz="0" w:space="0" w:color="auto"/>
      </w:divBdr>
    </w:div>
    <w:div w:id="101386048">
      <w:bodyDiv w:val="1"/>
      <w:marLeft w:val="0"/>
      <w:marRight w:val="0"/>
      <w:marTop w:val="0"/>
      <w:marBottom w:val="0"/>
      <w:divBdr>
        <w:top w:val="none" w:sz="0" w:space="0" w:color="auto"/>
        <w:left w:val="none" w:sz="0" w:space="0" w:color="auto"/>
        <w:bottom w:val="none" w:sz="0" w:space="0" w:color="auto"/>
        <w:right w:val="none" w:sz="0" w:space="0" w:color="auto"/>
      </w:divBdr>
    </w:div>
    <w:div w:id="101464209">
      <w:bodyDiv w:val="1"/>
      <w:marLeft w:val="0"/>
      <w:marRight w:val="0"/>
      <w:marTop w:val="0"/>
      <w:marBottom w:val="0"/>
      <w:divBdr>
        <w:top w:val="none" w:sz="0" w:space="0" w:color="auto"/>
        <w:left w:val="none" w:sz="0" w:space="0" w:color="auto"/>
        <w:bottom w:val="none" w:sz="0" w:space="0" w:color="auto"/>
        <w:right w:val="none" w:sz="0" w:space="0" w:color="auto"/>
      </w:divBdr>
    </w:div>
    <w:div w:id="101849585">
      <w:bodyDiv w:val="1"/>
      <w:marLeft w:val="0"/>
      <w:marRight w:val="0"/>
      <w:marTop w:val="0"/>
      <w:marBottom w:val="0"/>
      <w:divBdr>
        <w:top w:val="none" w:sz="0" w:space="0" w:color="auto"/>
        <w:left w:val="none" w:sz="0" w:space="0" w:color="auto"/>
        <w:bottom w:val="none" w:sz="0" w:space="0" w:color="auto"/>
        <w:right w:val="none" w:sz="0" w:space="0" w:color="auto"/>
      </w:divBdr>
    </w:div>
    <w:div w:id="102724421">
      <w:bodyDiv w:val="1"/>
      <w:marLeft w:val="0"/>
      <w:marRight w:val="0"/>
      <w:marTop w:val="0"/>
      <w:marBottom w:val="0"/>
      <w:divBdr>
        <w:top w:val="none" w:sz="0" w:space="0" w:color="auto"/>
        <w:left w:val="none" w:sz="0" w:space="0" w:color="auto"/>
        <w:bottom w:val="none" w:sz="0" w:space="0" w:color="auto"/>
        <w:right w:val="none" w:sz="0" w:space="0" w:color="auto"/>
      </w:divBdr>
    </w:div>
    <w:div w:id="103040820">
      <w:bodyDiv w:val="1"/>
      <w:marLeft w:val="0"/>
      <w:marRight w:val="0"/>
      <w:marTop w:val="0"/>
      <w:marBottom w:val="0"/>
      <w:divBdr>
        <w:top w:val="none" w:sz="0" w:space="0" w:color="auto"/>
        <w:left w:val="none" w:sz="0" w:space="0" w:color="auto"/>
        <w:bottom w:val="none" w:sz="0" w:space="0" w:color="auto"/>
        <w:right w:val="none" w:sz="0" w:space="0" w:color="auto"/>
      </w:divBdr>
    </w:div>
    <w:div w:id="103230619">
      <w:bodyDiv w:val="1"/>
      <w:marLeft w:val="0"/>
      <w:marRight w:val="0"/>
      <w:marTop w:val="0"/>
      <w:marBottom w:val="0"/>
      <w:divBdr>
        <w:top w:val="none" w:sz="0" w:space="0" w:color="auto"/>
        <w:left w:val="none" w:sz="0" w:space="0" w:color="auto"/>
        <w:bottom w:val="none" w:sz="0" w:space="0" w:color="auto"/>
        <w:right w:val="none" w:sz="0" w:space="0" w:color="auto"/>
      </w:divBdr>
    </w:div>
    <w:div w:id="103350822">
      <w:bodyDiv w:val="1"/>
      <w:marLeft w:val="0"/>
      <w:marRight w:val="0"/>
      <w:marTop w:val="0"/>
      <w:marBottom w:val="0"/>
      <w:divBdr>
        <w:top w:val="none" w:sz="0" w:space="0" w:color="auto"/>
        <w:left w:val="none" w:sz="0" w:space="0" w:color="auto"/>
        <w:bottom w:val="none" w:sz="0" w:space="0" w:color="auto"/>
        <w:right w:val="none" w:sz="0" w:space="0" w:color="auto"/>
      </w:divBdr>
    </w:div>
    <w:div w:id="103424339">
      <w:bodyDiv w:val="1"/>
      <w:marLeft w:val="0"/>
      <w:marRight w:val="0"/>
      <w:marTop w:val="0"/>
      <w:marBottom w:val="0"/>
      <w:divBdr>
        <w:top w:val="none" w:sz="0" w:space="0" w:color="auto"/>
        <w:left w:val="none" w:sz="0" w:space="0" w:color="auto"/>
        <w:bottom w:val="none" w:sz="0" w:space="0" w:color="auto"/>
        <w:right w:val="none" w:sz="0" w:space="0" w:color="auto"/>
      </w:divBdr>
    </w:div>
    <w:div w:id="103505114">
      <w:bodyDiv w:val="1"/>
      <w:marLeft w:val="0"/>
      <w:marRight w:val="0"/>
      <w:marTop w:val="0"/>
      <w:marBottom w:val="0"/>
      <w:divBdr>
        <w:top w:val="none" w:sz="0" w:space="0" w:color="auto"/>
        <w:left w:val="none" w:sz="0" w:space="0" w:color="auto"/>
        <w:bottom w:val="none" w:sz="0" w:space="0" w:color="auto"/>
        <w:right w:val="none" w:sz="0" w:space="0" w:color="auto"/>
      </w:divBdr>
    </w:div>
    <w:div w:id="104275681">
      <w:bodyDiv w:val="1"/>
      <w:marLeft w:val="0"/>
      <w:marRight w:val="0"/>
      <w:marTop w:val="0"/>
      <w:marBottom w:val="0"/>
      <w:divBdr>
        <w:top w:val="none" w:sz="0" w:space="0" w:color="auto"/>
        <w:left w:val="none" w:sz="0" w:space="0" w:color="auto"/>
        <w:bottom w:val="none" w:sz="0" w:space="0" w:color="auto"/>
        <w:right w:val="none" w:sz="0" w:space="0" w:color="auto"/>
      </w:divBdr>
    </w:div>
    <w:div w:id="104425537">
      <w:bodyDiv w:val="1"/>
      <w:marLeft w:val="0"/>
      <w:marRight w:val="0"/>
      <w:marTop w:val="0"/>
      <w:marBottom w:val="0"/>
      <w:divBdr>
        <w:top w:val="none" w:sz="0" w:space="0" w:color="auto"/>
        <w:left w:val="none" w:sz="0" w:space="0" w:color="auto"/>
        <w:bottom w:val="none" w:sz="0" w:space="0" w:color="auto"/>
        <w:right w:val="none" w:sz="0" w:space="0" w:color="auto"/>
      </w:divBdr>
    </w:div>
    <w:div w:id="105272560">
      <w:bodyDiv w:val="1"/>
      <w:marLeft w:val="0"/>
      <w:marRight w:val="0"/>
      <w:marTop w:val="0"/>
      <w:marBottom w:val="0"/>
      <w:divBdr>
        <w:top w:val="none" w:sz="0" w:space="0" w:color="auto"/>
        <w:left w:val="none" w:sz="0" w:space="0" w:color="auto"/>
        <w:bottom w:val="none" w:sz="0" w:space="0" w:color="auto"/>
        <w:right w:val="none" w:sz="0" w:space="0" w:color="auto"/>
      </w:divBdr>
    </w:div>
    <w:div w:id="105780936">
      <w:bodyDiv w:val="1"/>
      <w:marLeft w:val="0"/>
      <w:marRight w:val="0"/>
      <w:marTop w:val="0"/>
      <w:marBottom w:val="0"/>
      <w:divBdr>
        <w:top w:val="none" w:sz="0" w:space="0" w:color="auto"/>
        <w:left w:val="none" w:sz="0" w:space="0" w:color="auto"/>
        <w:bottom w:val="none" w:sz="0" w:space="0" w:color="auto"/>
        <w:right w:val="none" w:sz="0" w:space="0" w:color="auto"/>
      </w:divBdr>
    </w:div>
    <w:div w:id="106581859">
      <w:bodyDiv w:val="1"/>
      <w:marLeft w:val="0"/>
      <w:marRight w:val="0"/>
      <w:marTop w:val="0"/>
      <w:marBottom w:val="0"/>
      <w:divBdr>
        <w:top w:val="none" w:sz="0" w:space="0" w:color="auto"/>
        <w:left w:val="none" w:sz="0" w:space="0" w:color="auto"/>
        <w:bottom w:val="none" w:sz="0" w:space="0" w:color="auto"/>
        <w:right w:val="none" w:sz="0" w:space="0" w:color="auto"/>
      </w:divBdr>
    </w:div>
    <w:div w:id="107164896">
      <w:bodyDiv w:val="1"/>
      <w:marLeft w:val="0"/>
      <w:marRight w:val="0"/>
      <w:marTop w:val="0"/>
      <w:marBottom w:val="0"/>
      <w:divBdr>
        <w:top w:val="none" w:sz="0" w:space="0" w:color="auto"/>
        <w:left w:val="none" w:sz="0" w:space="0" w:color="auto"/>
        <w:bottom w:val="none" w:sz="0" w:space="0" w:color="auto"/>
        <w:right w:val="none" w:sz="0" w:space="0" w:color="auto"/>
      </w:divBdr>
    </w:div>
    <w:div w:id="107555440">
      <w:bodyDiv w:val="1"/>
      <w:marLeft w:val="0"/>
      <w:marRight w:val="0"/>
      <w:marTop w:val="0"/>
      <w:marBottom w:val="0"/>
      <w:divBdr>
        <w:top w:val="none" w:sz="0" w:space="0" w:color="auto"/>
        <w:left w:val="none" w:sz="0" w:space="0" w:color="auto"/>
        <w:bottom w:val="none" w:sz="0" w:space="0" w:color="auto"/>
        <w:right w:val="none" w:sz="0" w:space="0" w:color="auto"/>
      </w:divBdr>
    </w:div>
    <w:div w:id="107744976">
      <w:bodyDiv w:val="1"/>
      <w:marLeft w:val="0"/>
      <w:marRight w:val="0"/>
      <w:marTop w:val="0"/>
      <w:marBottom w:val="0"/>
      <w:divBdr>
        <w:top w:val="none" w:sz="0" w:space="0" w:color="auto"/>
        <w:left w:val="none" w:sz="0" w:space="0" w:color="auto"/>
        <w:bottom w:val="none" w:sz="0" w:space="0" w:color="auto"/>
        <w:right w:val="none" w:sz="0" w:space="0" w:color="auto"/>
      </w:divBdr>
    </w:div>
    <w:div w:id="107938744">
      <w:bodyDiv w:val="1"/>
      <w:marLeft w:val="0"/>
      <w:marRight w:val="0"/>
      <w:marTop w:val="0"/>
      <w:marBottom w:val="0"/>
      <w:divBdr>
        <w:top w:val="none" w:sz="0" w:space="0" w:color="auto"/>
        <w:left w:val="none" w:sz="0" w:space="0" w:color="auto"/>
        <w:bottom w:val="none" w:sz="0" w:space="0" w:color="auto"/>
        <w:right w:val="none" w:sz="0" w:space="0" w:color="auto"/>
      </w:divBdr>
    </w:div>
    <w:div w:id="108282143">
      <w:bodyDiv w:val="1"/>
      <w:marLeft w:val="0"/>
      <w:marRight w:val="0"/>
      <w:marTop w:val="0"/>
      <w:marBottom w:val="0"/>
      <w:divBdr>
        <w:top w:val="none" w:sz="0" w:space="0" w:color="auto"/>
        <w:left w:val="none" w:sz="0" w:space="0" w:color="auto"/>
        <w:bottom w:val="none" w:sz="0" w:space="0" w:color="auto"/>
        <w:right w:val="none" w:sz="0" w:space="0" w:color="auto"/>
      </w:divBdr>
    </w:div>
    <w:div w:id="109327165">
      <w:bodyDiv w:val="1"/>
      <w:marLeft w:val="0"/>
      <w:marRight w:val="0"/>
      <w:marTop w:val="0"/>
      <w:marBottom w:val="0"/>
      <w:divBdr>
        <w:top w:val="none" w:sz="0" w:space="0" w:color="auto"/>
        <w:left w:val="none" w:sz="0" w:space="0" w:color="auto"/>
        <w:bottom w:val="none" w:sz="0" w:space="0" w:color="auto"/>
        <w:right w:val="none" w:sz="0" w:space="0" w:color="auto"/>
      </w:divBdr>
    </w:div>
    <w:div w:id="109472613">
      <w:bodyDiv w:val="1"/>
      <w:marLeft w:val="0"/>
      <w:marRight w:val="0"/>
      <w:marTop w:val="0"/>
      <w:marBottom w:val="0"/>
      <w:divBdr>
        <w:top w:val="none" w:sz="0" w:space="0" w:color="auto"/>
        <w:left w:val="none" w:sz="0" w:space="0" w:color="auto"/>
        <w:bottom w:val="none" w:sz="0" w:space="0" w:color="auto"/>
        <w:right w:val="none" w:sz="0" w:space="0" w:color="auto"/>
      </w:divBdr>
    </w:div>
    <w:div w:id="110176855">
      <w:bodyDiv w:val="1"/>
      <w:marLeft w:val="0"/>
      <w:marRight w:val="0"/>
      <w:marTop w:val="0"/>
      <w:marBottom w:val="0"/>
      <w:divBdr>
        <w:top w:val="none" w:sz="0" w:space="0" w:color="auto"/>
        <w:left w:val="none" w:sz="0" w:space="0" w:color="auto"/>
        <w:bottom w:val="none" w:sz="0" w:space="0" w:color="auto"/>
        <w:right w:val="none" w:sz="0" w:space="0" w:color="auto"/>
      </w:divBdr>
    </w:div>
    <w:div w:id="110251646">
      <w:bodyDiv w:val="1"/>
      <w:marLeft w:val="0"/>
      <w:marRight w:val="0"/>
      <w:marTop w:val="0"/>
      <w:marBottom w:val="0"/>
      <w:divBdr>
        <w:top w:val="none" w:sz="0" w:space="0" w:color="auto"/>
        <w:left w:val="none" w:sz="0" w:space="0" w:color="auto"/>
        <w:bottom w:val="none" w:sz="0" w:space="0" w:color="auto"/>
        <w:right w:val="none" w:sz="0" w:space="0" w:color="auto"/>
      </w:divBdr>
    </w:div>
    <w:div w:id="110631400">
      <w:bodyDiv w:val="1"/>
      <w:marLeft w:val="0"/>
      <w:marRight w:val="0"/>
      <w:marTop w:val="0"/>
      <w:marBottom w:val="0"/>
      <w:divBdr>
        <w:top w:val="none" w:sz="0" w:space="0" w:color="auto"/>
        <w:left w:val="none" w:sz="0" w:space="0" w:color="auto"/>
        <w:bottom w:val="none" w:sz="0" w:space="0" w:color="auto"/>
        <w:right w:val="none" w:sz="0" w:space="0" w:color="auto"/>
      </w:divBdr>
    </w:div>
    <w:div w:id="111019026">
      <w:bodyDiv w:val="1"/>
      <w:marLeft w:val="0"/>
      <w:marRight w:val="0"/>
      <w:marTop w:val="0"/>
      <w:marBottom w:val="0"/>
      <w:divBdr>
        <w:top w:val="none" w:sz="0" w:space="0" w:color="auto"/>
        <w:left w:val="none" w:sz="0" w:space="0" w:color="auto"/>
        <w:bottom w:val="none" w:sz="0" w:space="0" w:color="auto"/>
        <w:right w:val="none" w:sz="0" w:space="0" w:color="auto"/>
      </w:divBdr>
    </w:div>
    <w:div w:id="111024733">
      <w:bodyDiv w:val="1"/>
      <w:marLeft w:val="0"/>
      <w:marRight w:val="0"/>
      <w:marTop w:val="0"/>
      <w:marBottom w:val="0"/>
      <w:divBdr>
        <w:top w:val="none" w:sz="0" w:space="0" w:color="auto"/>
        <w:left w:val="none" w:sz="0" w:space="0" w:color="auto"/>
        <w:bottom w:val="none" w:sz="0" w:space="0" w:color="auto"/>
        <w:right w:val="none" w:sz="0" w:space="0" w:color="auto"/>
      </w:divBdr>
    </w:div>
    <w:div w:id="111246334">
      <w:bodyDiv w:val="1"/>
      <w:marLeft w:val="0"/>
      <w:marRight w:val="0"/>
      <w:marTop w:val="0"/>
      <w:marBottom w:val="0"/>
      <w:divBdr>
        <w:top w:val="none" w:sz="0" w:space="0" w:color="auto"/>
        <w:left w:val="none" w:sz="0" w:space="0" w:color="auto"/>
        <w:bottom w:val="none" w:sz="0" w:space="0" w:color="auto"/>
        <w:right w:val="none" w:sz="0" w:space="0" w:color="auto"/>
      </w:divBdr>
    </w:div>
    <w:div w:id="111487292">
      <w:bodyDiv w:val="1"/>
      <w:marLeft w:val="0"/>
      <w:marRight w:val="0"/>
      <w:marTop w:val="0"/>
      <w:marBottom w:val="0"/>
      <w:divBdr>
        <w:top w:val="none" w:sz="0" w:space="0" w:color="auto"/>
        <w:left w:val="none" w:sz="0" w:space="0" w:color="auto"/>
        <w:bottom w:val="none" w:sz="0" w:space="0" w:color="auto"/>
        <w:right w:val="none" w:sz="0" w:space="0" w:color="auto"/>
      </w:divBdr>
    </w:div>
    <w:div w:id="111631152">
      <w:bodyDiv w:val="1"/>
      <w:marLeft w:val="0"/>
      <w:marRight w:val="0"/>
      <w:marTop w:val="0"/>
      <w:marBottom w:val="0"/>
      <w:divBdr>
        <w:top w:val="none" w:sz="0" w:space="0" w:color="auto"/>
        <w:left w:val="none" w:sz="0" w:space="0" w:color="auto"/>
        <w:bottom w:val="none" w:sz="0" w:space="0" w:color="auto"/>
        <w:right w:val="none" w:sz="0" w:space="0" w:color="auto"/>
      </w:divBdr>
    </w:div>
    <w:div w:id="111829629">
      <w:bodyDiv w:val="1"/>
      <w:marLeft w:val="0"/>
      <w:marRight w:val="0"/>
      <w:marTop w:val="0"/>
      <w:marBottom w:val="0"/>
      <w:divBdr>
        <w:top w:val="none" w:sz="0" w:space="0" w:color="auto"/>
        <w:left w:val="none" w:sz="0" w:space="0" w:color="auto"/>
        <w:bottom w:val="none" w:sz="0" w:space="0" w:color="auto"/>
        <w:right w:val="none" w:sz="0" w:space="0" w:color="auto"/>
      </w:divBdr>
    </w:div>
    <w:div w:id="112095763">
      <w:bodyDiv w:val="1"/>
      <w:marLeft w:val="0"/>
      <w:marRight w:val="0"/>
      <w:marTop w:val="0"/>
      <w:marBottom w:val="0"/>
      <w:divBdr>
        <w:top w:val="none" w:sz="0" w:space="0" w:color="auto"/>
        <w:left w:val="none" w:sz="0" w:space="0" w:color="auto"/>
        <w:bottom w:val="none" w:sz="0" w:space="0" w:color="auto"/>
        <w:right w:val="none" w:sz="0" w:space="0" w:color="auto"/>
      </w:divBdr>
    </w:div>
    <w:div w:id="112134681">
      <w:bodyDiv w:val="1"/>
      <w:marLeft w:val="0"/>
      <w:marRight w:val="0"/>
      <w:marTop w:val="0"/>
      <w:marBottom w:val="0"/>
      <w:divBdr>
        <w:top w:val="none" w:sz="0" w:space="0" w:color="auto"/>
        <w:left w:val="none" w:sz="0" w:space="0" w:color="auto"/>
        <w:bottom w:val="none" w:sz="0" w:space="0" w:color="auto"/>
        <w:right w:val="none" w:sz="0" w:space="0" w:color="auto"/>
      </w:divBdr>
    </w:div>
    <w:div w:id="112596207">
      <w:bodyDiv w:val="1"/>
      <w:marLeft w:val="0"/>
      <w:marRight w:val="0"/>
      <w:marTop w:val="0"/>
      <w:marBottom w:val="0"/>
      <w:divBdr>
        <w:top w:val="none" w:sz="0" w:space="0" w:color="auto"/>
        <w:left w:val="none" w:sz="0" w:space="0" w:color="auto"/>
        <w:bottom w:val="none" w:sz="0" w:space="0" w:color="auto"/>
        <w:right w:val="none" w:sz="0" w:space="0" w:color="auto"/>
      </w:divBdr>
    </w:div>
    <w:div w:id="113328230">
      <w:bodyDiv w:val="1"/>
      <w:marLeft w:val="0"/>
      <w:marRight w:val="0"/>
      <w:marTop w:val="0"/>
      <w:marBottom w:val="0"/>
      <w:divBdr>
        <w:top w:val="none" w:sz="0" w:space="0" w:color="auto"/>
        <w:left w:val="none" w:sz="0" w:space="0" w:color="auto"/>
        <w:bottom w:val="none" w:sz="0" w:space="0" w:color="auto"/>
        <w:right w:val="none" w:sz="0" w:space="0" w:color="auto"/>
      </w:divBdr>
    </w:div>
    <w:div w:id="113445340">
      <w:bodyDiv w:val="1"/>
      <w:marLeft w:val="0"/>
      <w:marRight w:val="0"/>
      <w:marTop w:val="0"/>
      <w:marBottom w:val="0"/>
      <w:divBdr>
        <w:top w:val="none" w:sz="0" w:space="0" w:color="auto"/>
        <w:left w:val="none" w:sz="0" w:space="0" w:color="auto"/>
        <w:bottom w:val="none" w:sz="0" w:space="0" w:color="auto"/>
        <w:right w:val="none" w:sz="0" w:space="0" w:color="auto"/>
      </w:divBdr>
    </w:div>
    <w:div w:id="113866562">
      <w:bodyDiv w:val="1"/>
      <w:marLeft w:val="0"/>
      <w:marRight w:val="0"/>
      <w:marTop w:val="0"/>
      <w:marBottom w:val="0"/>
      <w:divBdr>
        <w:top w:val="none" w:sz="0" w:space="0" w:color="auto"/>
        <w:left w:val="none" w:sz="0" w:space="0" w:color="auto"/>
        <w:bottom w:val="none" w:sz="0" w:space="0" w:color="auto"/>
        <w:right w:val="none" w:sz="0" w:space="0" w:color="auto"/>
      </w:divBdr>
    </w:div>
    <w:div w:id="114493152">
      <w:bodyDiv w:val="1"/>
      <w:marLeft w:val="0"/>
      <w:marRight w:val="0"/>
      <w:marTop w:val="0"/>
      <w:marBottom w:val="0"/>
      <w:divBdr>
        <w:top w:val="none" w:sz="0" w:space="0" w:color="auto"/>
        <w:left w:val="none" w:sz="0" w:space="0" w:color="auto"/>
        <w:bottom w:val="none" w:sz="0" w:space="0" w:color="auto"/>
        <w:right w:val="none" w:sz="0" w:space="0" w:color="auto"/>
      </w:divBdr>
    </w:div>
    <w:div w:id="114521242">
      <w:bodyDiv w:val="1"/>
      <w:marLeft w:val="0"/>
      <w:marRight w:val="0"/>
      <w:marTop w:val="0"/>
      <w:marBottom w:val="0"/>
      <w:divBdr>
        <w:top w:val="none" w:sz="0" w:space="0" w:color="auto"/>
        <w:left w:val="none" w:sz="0" w:space="0" w:color="auto"/>
        <w:bottom w:val="none" w:sz="0" w:space="0" w:color="auto"/>
        <w:right w:val="none" w:sz="0" w:space="0" w:color="auto"/>
      </w:divBdr>
    </w:div>
    <w:div w:id="114838482">
      <w:bodyDiv w:val="1"/>
      <w:marLeft w:val="0"/>
      <w:marRight w:val="0"/>
      <w:marTop w:val="0"/>
      <w:marBottom w:val="0"/>
      <w:divBdr>
        <w:top w:val="none" w:sz="0" w:space="0" w:color="auto"/>
        <w:left w:val="none" w:sz="0" w:space="0" w:color="auto"/>
        <w:bottom w:val="none" w:sz="0" w:space="0" w:color="auto"/>
        <w:right w:val="none" w:sz="0" w:space="0" w:color="auto"/>
      </w:divBdr>
    </w:div>
    <w:div w:id="115103096">
      <w:bodyDiv w:val="1"/>
      <w:marLeft w:val="0"/>
      <w:marRight w:val="0"/>
      <w:marTop w:val="0"/>
      <w:marBottom w:val="0"/>
      <w:divBdr>
        <w:top w:val="none" w:sz="0" w:space="0" w:color="auto"/>
        <w:left w:val="none" w:sz="0" w:space="0" w:color="auto"/>
        <w:bottom w:val="none" w:sz="0" w:space="0" w:color="auto"/>
        <w:right w:val="none" w:sz="0" w:space="0" w:color="auto"/>
      </w:divBdr>
    </w:div>
    <w:div w:id="115487832">
      <w:bodyDiv w:val="1"/>
      <w:marLeft w:val="0"/>
      <w:marRight w:val="0"/>
      <w:marTop w:val="0"/>
      <w:marBottom w:val="0"/>
      <w:divBdr>
        <w:top w:val="none" w:sz="0" w:space="0" w:color="auto"/>
        <w:left w:val="none" w:sz="0" w:space="0" w:color="auto"/>
        <w:bottom w:val="none" w:sz="0" w:space="0" w:color="auto"/>
        <w:right w:val="none" w:sz="0" w:space="0" w:color="auto"/>
      </w:divBdr>
    </w:div>
    <w:div w:id="115802949">
      <w:bodyDiv w:val="1"/>
      <w:marLeft w:val="0"/>
      <w:marRight w:val="0"/>
      <w:marTop w:val="0"/>
      <w:marBottom w:val="0"/>
      <w:divBdr>
        <w:top w:val="none" w:sz="0" w:space="0" w:color="auto"/>
        <w:left w:val="none" w:sz="0" w:space="0" w:color="auto"/>
        <w:bottom w:val="none" w:sz="0" w:space="0" w:color="auto"/>
        <w:right w:val="none" w:sz="0" w:space="0" w:color="auto"/>
      </w:divBdr>
    </w:div>
    <w:div w:id="116224176">
      <w:bodyDiv w:val="1"/>
      <w:marLeft w:val="0"/>
      <w:marRight w:val="0"/>
      <w:marTop w:val="0"/>
      <w:marBottom w:val="0"/>
      <w:divBdr>
        <w:top w:val="none" w:sz="0" w:space="0" w:color="auto"/>
        <w:left w:val="none" w:sz="0" w:space="0" w:color="auto"/>
        <w:bottom w:val="none" w:sz="0" w:space="0" w:color="auto"/>
        <w:right w:val="none" w:sz="0" w:space="0" w:color="auto"/>
      </w:divBdr>
    </w:div>
    <w:div w:id="116527075">
      <w:bodyDiv w:val="1"/>
      <w:marLeft w:val="0"/>
      <w:marRight w:val="0"/>
      <w:marTop w:val="0"/>
      <w:marBottom w:val="0"/>
      <w:divBdr>
        <w:top w:val="none" w:sz="0" w:space="0" w:color="auto"/>
        <w:left w:val="none" w:sz="0" w:space="0" w:color="auto"/>
        <w:bottom w:val="none" w:sz="0" w:space="0" w:color="auto"/>
        <w:right w:val="none" w:sz="0" w:space="0" w:color="auto"/>
      </w:divBdr>
    </w:div>
    <w:div w:id="116533024">
      <w:bodyDiv w:val="1"/>
      <w:marLeft w:val="0"/>
      <w:marRight w:val="0"/>
      <w:marTop w:val="0"/>
      <w:marBottom w:val="0"/>
      <w:divBdr>
        <w:top w:val="none" w:sz="0" w:space="0" w:color="auto"/>
        <w:left w:val="none" w:sz="0" w:space="0" w:color="auto"/>
        <w:bottom w:val="none" w:sz="0" w:space="0" w:color="auto"/>
        <w:right w:val="none" w:sz="0" w:space="0" w:color="auto"/>
      </w:divBdr>
    </w:div>
    <w:div w:id="118031435">
      <w:bodyDiv w:val="1"/>
      <w:marLeft w:val="0"/>
      <w:marRight w:val="0"/>
      <w:marTop w:val="0"/>
      <w:marBottom w:val="0"/>
      <w:divBdr>
        <w:top w:val="none" w:sz="0" w:space="0" w:color="auto"/>
        <w:left w:val="none" w:sz="0" w:space="0" w:color="auto"/>
        <w:bottom w:val="none" w:sz="0" w:space="0" w:color="auto"/>
        <w:right w:val="none" w:sz="0" w:space="0" w:color="auto"/>
      </w:divBdr>
    </w:div>
    <w:div w:id="118181666">
      <w:bodyDiv w:val="1"/>
      <w:marLeft w:val="0"/>
      <w:marRight w:val="0"/>
      <w:marTop w:val="0"/>
      <w:marBottom w:val="0"/>
      <w:divBdr>
        <w:top w:val="none" w:sz="0" w:space="0" w:color="auto"/>
        <w:left w:val="none" w:sz="0" w:space="0" w:color="auto"/>
        <w:bottom w:val="none" w:sz="0" w:space="0" w:color="auto"/>
        <w:right w:val="none" w:sz="0" w:space="0" w:color="auto"/>
      </w:divBdr>
    </w:div>
    <w:div w:id="118257994">
      <w:bodyDiv w:val="1"/>
      <w:marLeft w:val="0"/>
      <w:marRight w:val="0"/>
      <w:marTop w:val="0"/>
      <w:marBottom w:val="0"/>
      <w:divBdr>
        <w:top w:val="none" w:sz="0" w:space="0" w:color="auto"/>
        <w:left w:val="none" w:sz="0" w:space="0" w:color="auto"/>
        <w:bottom w:val="none" w:sz="0" w:space="0" w:color="auto"/>
        <w:right w:val="none" w:sz="0" w:space="0" w:color="auto"/>
      </w:divBdr>
    </w:div>
    <w:div w:id="118652034">
      <w:bodyDiv w:val="1"/>
      <w:marLeft w:val="0"/>
      <w:marRight w:val="0"/>
      <w:marTop w:val="0"/>
      <w:marBottom w:val="0"/>
      <w:divBdr>
        <w:top w:val="none" w:sz="0" w:space="0" w:color="auto"/>
        <w:left w:val="none" w:sz="0" w:space="0" w:color="auto"/>
        <w:bottom w:val="none" w:sz="0" w:space="0" w:color="auto"/>
        <w:right w:val="none" w:sz="0" w:space="0" w:color="auto"/>
      </w:divBdr>
    </w:div>
    <w:div w:id="119106612">
      <w:bodyDiv w:val="1"/>
      <w:marLeft w:val="0"/>
      <w:marRight w:val="0"/>
      <w:marTop w:val="0"/>
      <w:marBottom w:val="0"/>
      <w:divBdr>
        <w:top w:val="none" w:sz="0" w:space="0" w:color="auto"/>
        <w:left w:val="none" w:sz="0" w:space="0" w:color="auto"/>
        <w:bottom w:val="none" w:sz="0" w:space="0" w:color="auto"/>
        <w:right w:val="none" w:sz="0" w:space="0" w:color="auto"/>
      </w:divBdr>
    </w:div>
    <w:div w:id="119156734">
      <w:bodyDiv w:val="1"/>
      <w:marLeft w:val="0"/>
      <w:marRight w:val="0"/>
      <w:marTop w:val="0"/>
      <w:marBottom w:val="0"/>
      <w:divBdr>
        <w:top w:val="none" w:sz="0" w:space="0" w:color="auto"/>
        <w:left w:val="none" w:sz="0" w:space="0" w:color="auto"/>
        <w:bottom w:val="none" w:sz="0" w:space="0" w:color="auto"/>
        <w:right w:val="none" w:sz="0" w:space="0" w:color="auto"/>
      </w:divBdr>
    </w:div>
    <w:div w:id="119228390">
      <w:bodyDiv w:val="1"/>
      <w:marLeft w:val="0"/>
      <w:marRight w:val="0"/>
      <w:marTop w:val="0"/>
      <w:marBottom w:val="0"/>
      <w:divBdr>
        <w:top w:val="none" w:sz="0" w:space="0" w:color="auto"/>
        <w:left w:val="none" w:sz="0" w:space="0" w:color="auto"/>
        <w:bottom w:val="none" w:sz="0" w:space="0" w:color="auto"/>
        <w:right w:val="none" w:sz="0" w:space="0" w:color="auto"/>
      </w:divBdr>
    </w:div>
    <w:div w:id="119228549">
      <w:bodyDiv w:val="1"/>
      <w:marLeft w:val="0"/>
      <w:marRight w:val="0"/>
      <w:marTop w:val="0"/>
      <w:marBottom w:val="0"/>
      <w:divBdr>
        <w:top w:val="none" w:sz="0" w:space="0" w:color="auto"/>
        <w:left w:val="none" w:sz="0" w:space="0" w:color="auto"/>
        <w:bottom w:val="none" w:sz="0" w:space="0" w:color="auto"/>
        <w:right w:val="none" w:sz="0" w:space="0" w:color="auto"/>
      </w:divBdr>
    </w:div>
    <w:div w:id="119301478">
      <w:bodyDiv w:val="1"/>
      <w:marLeft w:val="0"/>
      <w:marRight w:val="0"/>
      <w:marTop w:val="0"/>
      <w:marBottom w:val="0"/>
      <w:divBdr>
        <w:top w:val="none" w:sz="0" w:space="0" w:color="auto"/>
        <w:left w:val="none" w:sz="0" w:space="0" w:color="auto"/>
        <w:bottom w:val="none" w:sz="0" w:space="0" w:color="auto"/>
        <w:right w:val="none" w:sz="0" w:space="0" w:color="auto"/>
      </w:divBdr>
    </w:div>
    <w:div w:id="121382692">
      <w:bodyDiv w:val="1"/>
      <w:marLeft w:val="0"/>
      <w:marRight w:val="0"/>
      <w:marTop w:val="0"/>
      <w:marBottom w:val="0"/>
      <w:divBdr>
        <w:top w:val="none" w:sz="0" w:space="0" w:color="auto"/>
        <w:left w:val="none" w:sz="0" w:space="0" w:color="auto"/>
        <w:bottom w:val="none" w:sz="0" w:space="0" w:color="auto"/>
        <w:right w:val="none" w:sz="0" w:space="0" w:color="auto"/>
      </w:divBdr>
    </w:div>
    <w:div w:id="121506361">
      <w:bodyDiv w:val="1"/>
      <w:marLeft w:val="0"/>
      <w:marRight w:val="0"/>
      <w:marTop w:val="0"/>
      <w:marBottom w:val="0"/>
      <w:divBdr>
        <w:top w:val="none" w:sz="0" w:space="0" w:color="auto"/>
        <w:left w:val="none" w:sz="0" w:space="0" w:color="auto"/>
        <w:bottom w:val="none" w:sz="0" w:space="0" w:color="auto"/>
        <w:right w:val="none" w:sz="0" w:space="0" w:color="auto"/>
      </w:divBdr>
    </w:div>
    <w:div w:id="121730318">
      <w:bodyDiv w:val="1"/>
      <w:marLeft w:val="0"/>
      <w:marRight w:val="0"/>
      <w:marTop w:val="0"/>
      <w:marBottom w:val="0"/>
      <w:divBdr>
        <w:top w:val="none" w:sz="0" w:space="0" w:color="auto"/>
        <w:left w:val="none" w:sz="0" w:space="0" w:color="auto"/>
        <w:bottom w:val="none" w:sz="0" w:space="0" w:color="auto"/>
        <w:right w:val="none" w:sz="0" w:space="0" w:color="auto"/>
      </w:divBdr>
    </w:div>
    <w:div w:id="122119180">
      <w:bodyDiv w:val="1"/>
      <w:marLeft w:val="0"/>
      <w:marRight w:val="0"/>
      <w:marTop w:val="0"/>
      <w:marBottom w:val="0"/>
      <w:divBdr>
        <w:top w:val="none" w:sz="0" w:space="0" w:color="auto"/>
        <w:left w:val="none" w:sz="0" w:space="0" w:color="auto"/>
        <w:bottom w:val="none" w:sz="0" w:space="0" w:color="auto"/>
        <w:right w:val="none" w:sz="0" w:space="0" w:color="auto"/>
      </w:divBdr>
    </w:div>
    <w:div w:id="123894379">
      <w:bodyDiv w:val="1"/>
      <w:marLeft w:val="0"/>
      <w:marRight w:val="0"/>
      <w:marTop w:val="0"/>
      <w:marBottom w:val="0"/>
      <w:divBdr>
        <w:top w:val="none" w:sz="0" w:space="0" w:color="auto"/>
        <w:left w:val="none" w:sz="0" w:space="0" w:color="auto"/>
        <w:bottom w:val="none" w:sz="0" w:space="0" w:color="auto"/>
        <w:right w:val="none" w:sz="0" w:space="0" w:color="auto"/>
      </w:divBdr>
    </w:div>
    <w:div w:id="124468238">
      <w:bodyDiv w:val="1"/>
      <w:marLeft w:val="0"/>
      <w:marRight w:val="0"/>
      <w:marTop w:val="0"/>
      <w:marBottom w:val="0"/>
      <w:divBdr>
        <w:top w:val="none" w:sz="0" w:space="0" w:color="auto"/>
        <w:left w:val="none" w:sz="0" w:space="0" w:color="auto"/>
        <w:bottom w:val="none" w:sz="0" w:space="0" w:color="auto"/>
        <w:right w:val="none" w:sz="0" w:space="0" w:color="auto"/>
      </w:divBdr>
    </w:div>
    <w:div w:id="125245664">
      <w:bodyDiv w:val="1"/>
      <w:marLeft w:val="0"/>
      <w:marRight w:val="0"/>
      <w:marTop w:val="0"/>
      <w:marBottom w:val="0"/>
      <w:divBdr>
        <w:top w:val="none" w:sz="0" w:space="0" w:color="auto"/>
        <w:left w:val="none" w:sz="0" w:space="0" w:color="auto"/>
        <w:bottom w:val="none" w:sz="0" w:space="0" w:color="auto"/>
        <w:right w:val="none" w:sz="0" w:space="0" w:color="auto"/>
      </w:divBdr>
    </w:div>
    <w:div w:id="125515226">
      <w:bodyDiv w:val="1"/>
      <w:marLeft w:val="0"/>
      <w:marRight w:val="0"/>
      <w:marTop w:val="0"/>
      <w:marBottom w:val="0"/>
      <w:divBdr>
        <w:top w:val="none" w:sz="0" w:space="0" w:color="auto"/>
        <w:left w:val="none" w:sz="0" w:space="0" w:color="auto"/>
        <w:bottom w:val="none" w:sz="0" w:space="0" w:color="auto"/>
        <w:right w:val="none" w:sz="0" w:space="0" w:color="auto"/>
      </w:divBdr>
    </w:div>
    <w:div w:id="125776672">
      <w:bodyDiv w:val="1"/>
      <w:marLeft w:val="0"/>
      <w:marRight w:val="0"/>
      <w:marTop w:val="0"/>
      <w:marBottom w:val="0"/>
      <w:divBdr>
        <w:top w:val="none" w:sz="0" w:space="0" w:color="auto"/>
        <w:left w:val="none" w:sz="0" w:space="0" w:color="auto"/>
        <w:bottom w:val="none" w:sz="0" w:space="0" w:color="auto"/>
        <w:right w:val="none" w:sz="0" w:space="0" w:color="auto"/>
      </w:divBdr>
    </w:div>
    <w:div w:id="126091891">
      <w:bodyDiv w:val="1"/>
      <w:marLeft w:val="0"/>
      <w:marRight w:val="0"/>
      <w:marTop w:val="0"/>
      <w:marBottom w:val="0"/>
      <w:divBdr>
        <w:top w:val="none" w:sz="0" w:space="0" w:color="auto"/>
        <w:left w:val="none" w:sz="0" w:space="0" w:color="auto"/>
        <w:bottom w:val="none" w:sz="0" w:space="0" w:color="auto"/>
        <w:right w:val="none" w:sz="0" w:space="0" w:color="auto"/>
      </w:divBdr>
    </w:div>
    <w:div w:id="126163014">
      <w:bodyDiv w:val="1"/>
      <w:marLeft w:val="0"/>
      <w:marRight w:val="0"/>
      <w:marTop w:val="0"/>
      <w:marBottom w:val="0"/>
      <w:divBdr>
        <w:top w:val="none" w:sz="0" w:space="0" w:color="auto"/>
        <w:left w:val="none" w:sz="0" w:space="0" w:color="auto"/>
        <w:bottom w:val="none" w:sz="0" w:space="0" w:color="auto"/>
        <w:right w:val="none" w:sz="0" w:space="0" w:color="auto"/>
      </w:divBdr>
    </w:div>
    <w:div w:id="126238436">
      <w:bodyDiv w:val="1"/>
      <w:marLeft w:val="0"/>
      <w:marRight w:val="0"/>
      <w:marTop w:val="0"/>
      <w:marBottom w:val="0"/>
      <w:divBdr>
        <w:top w:val="none" w:sz="0" w:space="0" w:color="auto"/>
        <w:left w:val="none" w:sz="0" w:space="0" w:color="auto"/>
        <w:bottom w:val="none" w:sz="0" w:space="0" w:color="auto"/>
        <w:right w:val="none" w:sz="0" w:space="0" w:color="auto"/>
      </w:divBdr>
    </w:div>
    <w:div w:id="126364001">
      <w:bodyDiv w:val="1"/>
      <w:marLeft w:val="0"/>
      <w:marRight w:val="0"/>
      <w:marTop w:val="0"/>
      <w:marBottom w:val="0"/>
      <w:divBdr>
        <w:top w:val="none" w:sz="0" w:space="0" w:color="auto"/>
        <w:left w:val="none" w:sz="0" w:space="0" w:color="auto"/>
        <w:bottom w:val="none" w:sz="0" w:space="0" w:color="auto"/>
        <w:right w:val="none" w:sz="0" w:space="0" w:color="auto"/>
      </w:divBdr>
    </w:div>
    <w:div w:id="127283953">
      <w:bodyDiv w:val="1"/>
      <w:marLeft w:val="0"/>
      <w:marRight w:val="0"/>
      <w:marTop w:val="0"/>
      <w:marBottom w:val="0"/>
      <w:divBdr>
        <w:top w:val="none" w:sz="0" w:space="0" w:color="auto"/>
        <w:left w:val="none" w:sz="0" w:space="0" w:color="auto"/>
        <w:bottom w:val="none" w:sz="0" w:space="0" w:color="auto"/>
        <w:right w:val="none" w:sz="0" w:space="0" w:color="auto"/>
      </w:divBdr>
    </w:div>
    <w:div w:id="127630357">
      <w:bodyDiv w:val="1"/>
      <w:marLeft w:val="0"/>
      <w:marRight w:val="0"/>
      <w:marTop w:val="0"/>
      <w:marBottom w:val="0"/>
      <w:divBdr>
        <w:top w:val="none" w:sz="0" w:space="0" w:color="auto"/>
        <w:left w:val="none" w:sz="0" w:space="0" w:color="auto"/>
        <w:bottom w:val="none" w:sz="0" w:space="0" w:color="auto"/>
        <w:right w:val="none" w:sz="0" w:space="0" w:color="auto"/>
      </w:divBdr>
    </w:div>
    <w:div w:id="128672547">
      <w:bodyDiv w:val="1"/>
      <w:marLeft w:val="0"/>
      <w:marRight w:val="0"/>
      <w:marTop w:val="0"/>
      <w:marBottom w:val="0"/>
      <w:divBdr>
        <w:top w:val="none" w:sz="0" w:space="0" w:color="auto"/>
        <w:left w:val="none" w:sz="0" w:space="0" w:color="auto"/>
        <w:bottom w:val="none" w:sz="0" w:space="0" w:color="auto"/>
        <w:right w:val="none" w:sz="0" w:space="0" w:color="auto"/>
      </w:divBdr>
    </w:div>
    <w:div w:id="128864291">
      <w:bodyDiv w:val="1"/>
      <w:marLeft w:val="0"/>
      <w:marRight w:val="0"/>
      <w:marTop w:val="0"/>
      <w:marBottom w:val="0"/>
      <w:divBdr>
        <w:top w:val="none" w:sz="0" w:space="0" w:color="auto"/>
        <w:left w:val="none" w:sz="0" w:space="0" w:color="auto"/>
        <w:bottom w:val="none" w:sz="0" w:space="0" w:color="auto"/>
        <w:right w:val="none" w:sz="0" w:space="0" w:color="auto"/>
      </w:divBdr>
    </w:div>
    <w:div w:id="129976940">
      <w:bodyDiv w:val="1"/>
      <w:marLeft w:val="0"/>
      <w:marRight w:val="0"/>
      <w:marTop w:val="0"/>
      <w:marBottom w:val="0"/>
      <w:divBdr>
        <w:top w:val="none" w:sz="0" w:space="0" w:color="auto"/>
        <w:left w:val="none" w:sz="0" w:space="0" w:color="auto"/>
        <w:bottom w:val="none" w:sz="0" w:space="0" w:color="auto"/>
        <w:right w:val="none" w:sz="0" w:space="0" w:color="auto"/>
      </w:divBdr>
    </w:div>
    <w:div w:id="129981484">
      <w:bodyDiv w:val="1"/>
      <w:marLeft w:val="0"/>
      <w:marRight w:val="0"/>
      <w:marTop w:val="0"/>
      <w:marBottom w:val="0"/>
      <w:divBdr>
        <w:top w:val="none" w:sz="0" w:space="0" w:color="auto"/>
        <w:left w:val="none" w:sz="0" w:space="0" w:color="auto"/>
        <w:bottom w:val="none" w:sz="0" w:space="0" w:color="auto"/>
        <w:right w:val="none" w:sz="0" w:space="0" w:color="auto"/>
      </w:divBdr>
    </w:div>
    <w:div w:id="130756984">
      <w:bodyDiv w:val="1"/>
      <w:marLeft w:val="0"/>
      <w:marRight w:val="0"/>
      <w:marTop w:val="0"/>
      <w:marBottom w:val="0"/>
      <w:divBdr>
        <w:top w:val="none" w:sz="0" w:space="0" w:color="auto"/>
        <w:left w:val="none" w:sz="0" w:space="0" w:color="auto"/>
        <w:bottom w:val="none" w:sz="0" w:space="0" w:color="auto"/>
        <w:right w:val="none" w:sz="0" w:space="0" w:color="auto"/>
      </w:divBdr>
    </w:div>
    <w:div w:id="131019704">
      <w:bodyDiv w:val="1"/>
      <w:marLeft w:val="0"/>
      <w:marRight w:val="0"/>
      <w:marTop w:val="0"/>
      <w:marBottom w:val="0"/>
      <w:divBdr>
        <w:top w:val="none" w:sz="0" w:space="0" w:color="auto"/>
        <w:left w:val="none" w:sz="0" w:space="0" w:color="auto"/>
        <w:bottom w:val="none" w:sz="0" w:space="0" w:color="auto"/>
        <w:right w:val="none" w:sz="0" w:space="0" w:color="auto"/>
      </w:divBdr>
    </w:div>
    <w:div w:id="131489525">
      <w:bodyDiv w:val="1"/>
      <w:marLeft w:val="0"/>
      <w:marRight w:val="0"/>
      <w:marTop w:val="0"/>
      <w:marBottom w:val="0"/>
      <w:divBdr>
        <w:top w:val="none" w:sz="0" w:space="0" w:color="auto"/>
        <w:left w:val="none" w:sz="0" w:space="0" w:color="auto"/>
        <w:bottom w:val="none" w:sz="0" w:space="0" w:color="auto"/>
        <w:right w:val="none" w:sz="0" w:space="0" w:color="auto"/>
      </w:divBdr>
    </w:div>
    <w:div w:id="131752672">
      <w:bodyDiv w:val="1"/>
      <w:marLeft w:val="0"/>
      <w:marRight w:val="0"/>
      <w:marTop w:val="0"/>
      <w:marBottom w:val="0"/>
      <w:divBdr>
        <w:top w:val="none" w:sz="0" w:space="0" w:color="auto"/>
        <w:left w:val="none" w:sz="0" w:space="0" w:color="auto"/>
        <w:bottom w:val="none" w:sz="0" w:space="0" w:color="auto"/>
        <w:right w:val="none" w:sz="0" w:space="0" w:color="auto"/>
      </w:divBdr>
    </w:div>
    <w:div w:id="132137806">
      <w:bodyDiv w:val="1"/>
      <w:marLeft w:val="0"/>
      <w:marRight w:val="0"/>
      <w:marTop w:val="0"/>
      <w:marBottom w:val="0"/>
      <w:divBdr>
        <w:top w:val="none" w:sz="0" w:space="0" w:color="auto"/>
        <w:left w:val="none" w:sz="0" w:space="0" w:color="auto"/>
        <w:bottom w:val="none" w:sz="0" w:space="0" w:color="auto"/>
        <w:right w:val="none" w:sz="0" w:space="0" w:color="auto"/>
      </w:divBdr>
    </w:div>
    <w:div w:id="133328972">
      <w:bodyDiv w:val="1"/>
      <w:marLeft w:val="0"/>
      <w:marRight w:val="0"/>
      <w:marTop w:val="0"/>
      <w:marBottom w:val="0"/>
      <w:divBdr>
        <w:top w:val="none" w:sz="0" w:space="0" w:color="auto"/>
        <w:left w:val="none" w:sz="0" w:space="0" w:color="auto"/>
        <w:bottom w:val="none" w:sz="0" w:space="0" w:color="auto"/>
        <w:right w:val="none" w:sz="0" w:space="0" w:color="auto"/>
      </w:divBdr>
    </w:div>
    <w:div w:id="133640811">
      <w:bodyDiv w:val="1"/>
      <w:marLeft w:val="0"/>
      <w:marRight w:val="0"/>
      <w:marTop w:val="0"/>
      <w:marBottom w:val="0"/>
      <w:divBdr>
        <w:top w:val="none" w:sz="0" w:space="0" w:color="auto"/>
        <w:left w:val="none" w:sz="0" w:space="0" w:color="auto"/>
        <w:bottom w:val="none" w:sz="0" w:space="0" w:color="auto"/>
        <w:right w:val="none" w:sz="0" w:space="0" w:color="auto"/>
      </w:divBdr>
    </w:div>
    <w:div w:id="133766038">
      <w:bodyDiv w:val="1"/>
      <w:marLeft w:val="0"/>
      <w:marRight w:val="0"/>
      <w:marTop w:val="0"/>
      <w:marBottom w:val="0"/>
      <w:divBdr>
        <w:top w:val="none" w:sz="0" w:space="0" w:color="auto"/>
        <w:left w:val="none" w:sz="0" w:space="0" w:color="auto"/>
        <w:bottom w:val="none" w:sz="0" w:space="0" w:color="auto"/>
        <w:right w:val="none" w:sz="0" w:space="0" w:color="auto"/>
      </w:divBdr>
    </w:div>
    <w:div w:id="134416295">
      <w:bodyDiv w:val="1"/>
      <w:marLeft w:val="0"/>
      <w:marRight w:val="0"/>
      <w:marTop w:val="0"/>
      <w:marBottom w:val="0"/>
      <w:divBdr>
        <w:top w:val="none" w:sz="0" w:space="0" w:color="auto"/>
        <w:left w:val="none" w:sz="0" w:space="0" w:color="auto"/>
        <w:bottom w:val="none" w:sz="0" w:space="0" w:color="auto"/>
        <w:right w:val="none" w:sz="0" w:space="0" w:color="auto"/>
      </w:divBdr>
    </w:div>
    <w:div w:id="134952653">
      <w:bodyDiv w:val="1"/>
      <w:marLeft w:val="0"/>
      <w:marRight w:val="0"/>
      <w:marTop w:val="0"/>
      <w:marBottom w:val="0"/>
      <w:divBdr>
        <w:top w:val="none" w:sz="0" w:space="0" w:color="auto"/>
        <w:left w:val="none" w:sz="0" w:space="0" w:color="auto"/>
        <w:bottom w:val="none" w:sz="0" w:space="0" w:color="auto"/>
        <w:right w:val="none" w:sz="0" w:space="0" w:color="auto"/>
      </w:divBdr>
    </w:div>
    <w:div w:id="135147700">
      <w:bodyDiv w:val="1"/>
      <w:marLeft w:val="0"/>
      <w:marRight w:val="0"/>
      <w:marTop w:val="0"/>
      <w:marBottom w:val="0"/>
      <w:divBdr>
        <w:top w:val="none" w:sz="0" w:space="0" w:color="auto"/>
        <w:left w:val="none" w:sz="0" w:space="0" w:color="auto"/>
        <w:bottom w:val="none" w:sz="0" w:space="0" w:color="auto"/>
        <w:right w:val="none" w:sz="0" w:space="0" w:color="auto"/>
      </w:divBdr>
    </w:div>
    <w:div w:id="135295761">
      <w:bodyDiv w:val="1"/>
      <w:marLeft w:val="0"/>
      <w:marRight w:val="0"/>
      <w:marTop w:val="0"/>
      <w:marBottom w:val="0"/>
      <w:divBdr>
        <w:top w:val="none" w:sz="0" w:space="0" w:color="auto"/>
        <w:left w:val="none" w:sz="0" w:space="0" w:color="auto"/>
        <w:bottom w:val="none" w:sz="0" w:space="0" w:color="auto"/>
        <w:right w:val="none" w:sz="0" w:space="0" w:color="auto"/>
      </w:divBdr>
    </w:div>
    <w:div w:id="135297862">
      <w:bodyDiv w:val="1"/>
      <w:marLeft w:val="0"/>
      <w:marRight w:val="0"/>
      <w:marTop w:val="0"/>
      <w:marBottom w:val="0"/>
      <w:divBdr>
        <w:top w:val="none" w:sz="0" w:space="0" w:color="auto"/>
        <w:left w:val="none" w:sz="0" w:space="0" w:color="auto"/>
        <w:bottom w:val="none" w:sz="0" w:space="0" w:color="auto"/>
        <w:right w:val="none" w:sz="0" w:space="0" w:color="auto"/>
      </w:divBdr>
    </w:div>
    <w:div w:id="135420768">
      <w:bodyDiv w:val="1"/>
      <w:marLeft w:val="0"/>
      <w:marRight w:val="0"/>
      <w:marTop w:val="0"/>
      <w:marBottom w:val="0"/>
      <w:divBdr>
        <w:top w:val="none" w:sz="0" w:space="0" w:color="auto"/>
        <w:left w:val="none" w:sz="0" w:space="0" w:color="auto"/>
        <w:bottom w:val="none" w:sz="0" w:space="0" w:color="auto"/>
        <w:right w:val="none" w:sz="0" w:space="0" w:color="auto"/>
      </w:divBdr>
    </w:div>
    <w:div w:id="136999680">
      <w:bodyDiv w:val="1"/>
      <w:marLeft w:val="0"/>
      <w:marRight w:val="0"/>
      <w:marTop w:val="0"/>
      <w:marBottom w:val="0"/>
      <w:divBdr>
        <w:top w:val="none" w:sz="0" w:space="0" w:color="auto"/>
        <w:left w:val="none" w:sz="0" w:space="0" w:color="auto"/>
        <w:bottom w:val="none" w:sz="0" w:space="0" w:color="auto"/>
        <w:right w:val="none" w:sz="0" w:space="0" w:color="auto"/>
      </w:divBdr>
    </w:div>
    <w:div w:id="137502817">
      <w:bodyDiv w:val="1"/>
      <w:marLeft w:val="0"/>
      <w:marRight w:val="0"/>
      <w:marTop w:val="0"/>
      <w:marBottom w:val="0"/>
      <w:divBdr>
        <w:top w:val="none" w:sz="0" w:space="0" w:color="auto"/>
        <w:left w:val="none" w:sz="0" w:space="0" w:color="auto"/>
        <w:bottom w:val="none" w:sz="0" w:space="0" w:color="auto"/>
        <w:right w:val="none" w:sz="0" w:space="0" w:color="auto"/>
      </w:divBdr>
    </w:div>
    <w:div w:id="137765480">
      <w:bodyDiv w:val="1"/>
      <w:marLeft w:val="0"/>
      <w:marRight w:val="0"/>
      <w:marTop w:val="0"/>
      <w:marBottom w:val="0"/>
      <w:divBdr>
        <w:top w:val="none" w:sz="0" w:space="0" w:color="auto"/>
        <w:left w:val="none" w:sz="0" w:space="0" w:color="auto"/>
        <w:bottom w:val="none" w:sz="0" w:space="0" w:color="auto"/>
        <w:right w:val="none" w:sz="0" w:space="0" w:color="auto"/>
      </w:divBdr>
    </w:div>
    <w:div w:id="138497300">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84554">
      <w:bodyDiv w:val="1"/>
      <w:marLeft w:val="0"/>
      <w:marRight w:val="0"/>
      <w:marTop w:val="0"/>
      <w:marBottom w:val="0"/>
      <w:divBdr>
        <w:top w:val="none" w:sz="0" w:space="0" w:color="auto"/>
        <w:left w:val="none" w:sz="0" w:space="0" w:color="auto"/>
        <w:bottom w:val="none" w:sz="0" w:space="0" w:color="auto"/>
        <w:right w:val="none" w:sz="0" w:space="0" w:color="auto"/>
      </w:divBdr>
    </w:div>
    <w:div w:id="138887688">
      <w:bodyDiv w:val="1"/>
      <w:marLeft w:val="0"/>
      <w:marRight w:val="0"/>
      <w:marTop w:val="0"/>
      <w:marBottom w:val="0"/>
      <w:divBdr>
        <w:top w:val="none" w:sz="0" w:space="0" w:color="auto"/>
        <w:left w:val="none" w:sz="0" w:space="0" w:color="auto"/>
        <w:bottom w:val="none" w:sz="0" w:space="0" w:color="auto"/>
        <w:right w:val="none" w:sz="0" w:space="0" w:color="auto"/>
      </w:divBdr>
    </w:div>
    <w:div w:id="139008064">
      <w:bodyDiv w:val="1"/>
      <w:marLeft w:val="0"/>
      <w:marRight w:val="0"/>
      <w:marTop w:val="0"/>
      <w:marBottom w:val="0"/>
      <w:divBdr>
        <w:top w:val="none" w:sz="0" w:space="0" w:color="auto"/>
        <w:left w:val="none" w:sz="0" w:space="0" w:color="auto"/>
        <w:bottom w:val="none" w:sz="0" w:space="0" w:color="auto"/>
        <w:right w:val="none" w:sz="0" w:space="0" w:color="auto"/>
      </w:divBdr>
    </w:div>
    <w:div w:id="139810841">
      <w:bodyDiv w:val="1"/>
      <w:marLeft w:val="0"/>
      <w:marRight w:val="0"/>
      <w:marTop w:val="0"/>
      <w:marBottom w:val="0"/>
      <w:divBdr>
        <w:top w:val="none" w:sz="0" w:space="0" w:color="auto"/>
        <w:left w:val="none" w:sz="0" w:space="0" w:color="auto"/>
        <w:bottom w:val="none" w:sz="0" w:space="0" w:color="auto"/>
        <w:right w:val="none" w:sz="0" w:space="0" w:color="auto"/>
      </w:divBdr>
    </w:div>
    <w:div w:id="139929298">
      <w:bodyDiv w:val="1"/>
      <w:marLeft w:val="0"/>
      <w:marRight w:val="0"/>
      <w:marTop w:val="0"/>
      <w:marBottom w:val="0"/>
      <w:divBdr>
        <w:top w:val="none" w:sz="0" w:space="0" w:color="auto"/>
        <w:left w:val="none" w:sz="0" w:space="0" w:color="auto"/>
        <w:bottom w:val="none" w:sz="0" w:space="0" w:color="auto"/>
        <w:right w:val="none" w:sz="0" w:space="0" w:color="auto"/>
      </w:divBdr>
    </w:div>
    <w:div w:id="140511816">
      <w:bodyDiv w:val="1"/>
      <w:marLeft w:val="0"/>
      <w:marRight w:val="0"/>
      <w:marTop w:val="0"/>
      <w:marBottom w:val="0"/>
      <w:divBdr>
        <w:top w:val="none" w:sz="0" w:space="0" w:color="auto"/>
        <w:left w:val="none" w:sz="0" w:space="0" w:color="auto"/>
        <w:bottom w:val="none" w:sz="0" w:space="0" w:color="auto"/>
        <w:right w:val="none" w:sz="0" w:space="0" w:color="auto"/>
      </w:divBdr>
    </w:div>
    <w:div w:id="140512266">
      <w:bodyDiv w:val="1"/>
      <w:marLeft w:val="0"/>
      <w:marRight w:val="0"/>
      <w:marTop w:val="0"/>
      <w:marBottom w:val="0"/>
      <w:divBdr>
        <w:top w:val="none" w:sz="0" w:space="0" w:color="auto"/>
        <w:left w:val="none" w:sz="0" w:space="0" w:color="auto"/>
        <w:bottom w:val="none" w:sz="0" w:space="0" w:color="auto"/>
        <w:right w:val="none" w:sz="0" w:space="0" w:color="auto"/>
      </w:divBdr>
    </w:div>
    <w:div w:id="142048062">
      <w:bodyDiv w:val="1"/>
      <w:marLeft w:val="0"/>
      <w:marRight w:val="0"/>
      <w:marTop w:val="0"/>
      <w:marBottom w:val="0"/>
      <w:divBdr>
        <w:top w:val="none" w:sz="0" w:space="0" w:color="auto"/>
        <w:left w:val="none" w:sz="0" w:space="0" w:color="auto"/>
        <w:bottom w:val="none" w:sz="0" w:space="0" w:color="auto"/>
        <w:right w:val="none" w:sz="0" w:space="0" w:color="auto"/>
      </w:divBdr>
    </w:div>
    <w:div w:id="142164213">
      <w:bodyDiv w:val="1"/>
      <w:marLeft w:val="0"/>
      <w:marRight w:val="0"/>
      <w:marTop w:val="0"/>
      <w:marBottom w:val="0"/>
      <w:divBdr>
        <w:top w:val="none" w:sz="0" w:space="0" w:color="auto"/>
        <w:left w:val="none" w:sz="0" w:space="0" w:color="auto"/>
        <w:bottom w:val="none" w:sz="0" w:space="0" w:color="auto"/>
        <w:right w:val="none" w:sz="0" w:space="0" w:color="auto"/>
      </w:divBdr>
    </w:div>
    <w:div w:id="142436024">
      <w:bodyDiv w:val="1"/>
      <w:marLeft w:val="0"/>
      <w:marRight w:val="0"/>
      <w:marTop w:val="0"/>
      <w:marBottom w:val="0"/>
      <w:divBdr>
        <w:top w:val="none" w:sz="0" w:space="0" w:color="auto"/>
        <w:left w:val="none" w:sz="0" w:space="0" w:color="auto"/>
        <w:bottom w:val="none" w:sz="0" w:space="0" w:color="auto"/>
        <w:right w:val="none" w:sz="0" w:space="0" w:color="auto"/>
      </w:divBdr>
    </w:div>
    <w:div w:id="142547748">
      <w:bodyDiv w:val="1"/>
      <w:marLeft w:val="0"/>
      <w:marRight w:val="0"/>
      <w:marTop w:val="0"/>
      <w:marBottom w:val="0"/>
      <w:divBdr>
        <w:top w:val="none" w:sz="0" w:space="0" w:color="auto"/>
        <w:left w:val="none" w:sz="0" w:space="0" w:color="auto"/>
        <w:bottom w:val="none" w:sz="0" w:space="0" w:color="auto"/>
        <w:right w:val="none" w:sz="0" w:space="0" w:color="auto"/>
      </w:divBdr>
    </w:div>
    <w:div w:id="142897257">
      <w:bodyDiv w:val="1"/>
      <w:marLeft w:val="0"/>
      <w:marRight w:val="0"/>
      <w:marTop w:val="0"/>
      <w:marBottom w:val="0"/>
      <w:divBdr>
        <w:top w:val="none" w:sz="0" w:space="0" w:color="auto"/>
        <w:left w:val="none" w:sz="0" w:space="0" w:color="auto"/>
        <w:bottom w:val="none" w:sz="0" w:space="0" w:color="auto"/>
        <w:right w:val="none" w:sz="0" w:space="0" w:color="auto"/>
      </w:divBdr>
    </w:div>
    <w:div w:id="143475928">
      <w:bodyDiv w:val="1"/>
      <w:marLeft w:val="0"/>
      <w:marRight w:val="0"/>
      <w:marTop w:val="0"/>
      <w:marBottom w:val="0"/>
      <w:divBdr>
        <w:top w:val="none" w:sz="0" w:space="0" w:color="auto"/>
        <w:left w:val="none" w:sz="0" w:space="0" w:color="auto"/>
        <w:bottom w:val="none" w:sz="0" w:space="0" w:color="auto"/>
        <w:right w:val="none" w:sz="0" w:space="0" w:color="auto"/>
      </w:divBdr>
    </w:div>
    <w:div w:id="143668234">
      <w:bodyDiv w:val="1"/>
      <w:marLeft w:val="0"/>
      <w:marRight w:val="0"/>
      <w:marTop w:val="0"/>
      <w:marBottom w:val="0"/>
      <w:divBdr>
        <w:top w:val="none" w:sz="0" w:space="0" w:color="auto"/>
        <w:left w:val="none" w:sz="0" w:space="0" w:color="auto"/>
        <w:bottom w:val="none" w:sz="0" w:space="0" w:color="auto"/>
        <w:right w:val="none" w:sz="0" w:space="0" w:color="auto"/>
      </w:divBdr>
    </w:div>
    <w:div w:id="143738851">
      <w:bodyDiv w:val="1"/>
      <w:marLeft w:val="0"/>
      <w:marRight w:val="0"/>
      <w:marTop w:val="0"/>
      <w:marBottom w:val="0"/>
      <w:divBdr>
        <w:top w:val="none" w:sz="0" w:space="0" w:color="auto"/>
        <w:left w:val="none" w:sz="0" w:space="0" w:color="auto"/>
        <w:bottom w:val="none" w:sz="0" w:space="0" w:color="auto"/>
        <w:right w:val="none" w:sz="0" w:space="0" w:color="auto"/>
      </w:divBdr>
    </w:div>
    <w:div w:id="143859728">
      <w:bodyDiv w:val="1"/>
      <w:marLeft w:val="0"/>
      <w:marRight w:val="0"/>
      <w:marTop w:val="0"/>
      <w:marBottom w:val="0"/>
      <w:divBdr>
        <w:top w:val="none" w:sz="0" w:space="0" w:color="auto"/>
        <w:left w:val="none" w:sz="0" w:space="0" w:color="auto"/>
        <w:bottom w:val="none" w:sz="0" w:space="0" w:color="auto"/>
        <w:right w:val="none" w:sz="0" w:space="0" w:color="auto"/>
      </w:divBdr>
    </w:div>
    <w:div w:id="143934738">
      <w:bodyDiv w:val="1"/>
      <w:marLeft w:val="0"/>
      <w:marRight w:val="0"/>
      <w:marTop w:val="0"/>
      <w:marBottom w:val="0"/>
      <w:divBdr>
        <w:top w:val="none" w:sz="0" w:space="0" w:color="auto"/>
        <w:left w:val="none" w:sz="0" w:space="0" w:color="auto"/>
        <w:bottom w:val="none" w:sz="0" w:space="0" w:color="auto"/>
        <w:right w:val="none" w:sz="0" w:space="0" w:color="auto"/>
      </w:divBdr>
    </w:div>
    <w:div w:id="144129025">
      <w:bodyDiv w:val="1"/>
      <w:marLeft w:val="0"/>
      <w:marRight w:val="0"/>
      <w:marTop w:val="0"/>
      <w:marBottom w:val="0"/>
      <w:divBdr>
        <w:top w:val="none" w:sz="0" w:space="0" w:color="auto"/>
        <w:left w:val="none" w:sz="0" w:space="0" w:color="auto"/>
        <w:bottom w:val="none" w:sz="0" w:space="0" w:color="auto"/>
        <w:right w:val="none" w:sz="0" w:space="0" w:color="auto"/>
      </w:divBdr>
    </w:div>
    <w:div w:id="144586620">
      <w:bodyDiv w:val="1"/>
      <w:marLeft w:val="0"/>
      <w:marRight w:val="0"/>
      <w:marTop w:val="0"/>
      <w:marBottom w:val="0"/>
      <w:divBdr>
        <w:top w:val="none" w:sz="0" w:space="0" w:color="auto"/>
        <w:left w:val="none" w:sz="0" w:space="0" w:color="auto"/>
        <w:bottom w:val="none" w:sz="0" w:space="0" w:color="auto"/>
        <w:right w:val="none" w:sz="0" w:space="0" w:color="auto"/>
      </w:divBdr>
    </w:div>
    <w:div w:id="144595073">
      <w:bodyDiv w:val="1"/>
      <w:marLeft w:val="0"/>
      <w:marRight w:val="0"/>
      <w:marTop w:val="0"/>
      <w:marBottom w:val="0"/>
      <w:divBdr>
        <w:top w:val="none" w:sz="0" w:space="0" w:color="auto"/>
        <w:left w:val="none" w:sz="0" w:space="0" w:color="auto"/>
        <w:bottom w:val="none" w:sz="0" w:space="0" w:color="auto"/>
        <w:right w:val="none" w:sz="0" w:space="0" w:color="auto"/>
      </w:divBdr>
    </w:div>
    <w:div w:id="145778283">
      <w:bodyDiv w:val="1"/>
      <w:marLeft w:val="0"/>
      <w:marRight w:val="0"/>
      <w:marTop w:val="0"/>
      <w:marBottom w:val="0"/>
      <w:divBdr>
        <w:top w:val="none" w:sz="0" w:space="0" w:color="auto"/>
        <w:left w:val="none" w:sz="0" w:space="0" w:color="auto"/>
        <w:bottom w:val="none" w:sz="0" w:space="0" w:color="auto"/>
        <w:right w:val="none" w:sz="0" w:space="0" w:color="auto"/>
      </w:divBdr>
    </w:div>
    <w:div w:id="145979306">
      <w:bodyDiv w:val="1"/>
      <w:marLeft w:val="0"/>
      <w:marRight w:val="0"/>
      <w:marTop w:val="0"/>
      <w:marBottom w:val="0"/>
      <w:divBdr>
        <w:top w:val="none" w:sz="0" w:space="0" w:color="auto"/>
        <w:left w:val="none" w:sz="0" w:space="0" w:color="auto"/>
        <w:bottom w:val="none" w:sz="0" w:space="0" w:color="auto"/>
        <w:right w:val="none" w:sz="0" w:space="0" w:color="auto"/>
      </w:divBdr>
    </w:div>
    <w:div w:id="146748228">
      <w:bodyDiv w:val="1"/>
      <w:marLeft w:val="0"/>
      <w:marRight w:val="0"/>
      <w:marTop w:val="0"/>
      <w:marBottom w:val="0"/>
      <w:divBdr>
        <w:top w:val="none" w:sz="0" w:space="0" w:color="auto"/>
        <w:left w:val="none" w:sz="0" w:space="0" w:color="auto"/>
        <w:bottom w:val="none" w:sz="0" w:space="0" w:color="auto"/>
        <w:right w:val="none" w:sz="0" w:space="0" w:color="auto"/>
      </w:divBdr>
    </w:div>
    <w:div w:id="146748453">
      <w:bodyDiv w:val="1"/>
      <w:marLeft w:val="0"/>
      <w:marRight w:val="0"/>
      <w:marTop w:val="0"/>
      <w:marBottom w:val="0"/>
      <w:divBdr>
        <w:top w:val="none" w:sz="0" w:space="0" w:color="auto"/>
        <w:left w:val="none" w:sz="0" w:space="0" w:color="auto"/>
        <w:bottom w:val="none" w:sz="0" w:space="0" w:color="auto"/>
        <w:right w:val="none" w:sz="0" w:space="0" w:color="auto"/>
      </w:divBdr>
    </w:div>
    <w:div w:id="146870890">
      <w:bodyDiv w:val="1"/>
      <w:marLeft w:val="0"/>
      <w:marRight w:val="0"/>
      <w:marTop w:val="0"/>
      <w:marBottom w:val="0"/>
      <w:divBdr>
        <w:top w:val="none" w:sz="0" w:space="0" w:color="auto"/>
        <w:left w:val="none" w:sz="0" w:space="0" w:color="auto"/>
        <w:bottom w:val="none" w:sz="0" w:space="0" w:color="auto"/>
        <w:right w:val="none" w:sz="0" w:space="0" w:color="auto"/>
      </w:divBdr>
    </w:div>
    <w:div w:id="147063007">
      <w:bodyDiv w:val="1"/>
      <w:marLeft w:val="0"/>
      <w:marRight w:val="0"/>
      <w:marTop w:val="0"/>
      <w:marBottom w:val="0"/>
      <w:divBdr>
        <w:top w:val="none" w:sz="0" w:space="0" w:color="auto"/>
        <w:left w:val="none" w:sz="0" w:space="0" w:color="auto"/>
        <w:bottom w:val="none" w:sz="0" w:space="0" w:color="auto"/>
        <w:right w:val="none" w:sz="0" w:space="0" w:color="auto"/>
      </w:divBdr>
    </w:div>
    <w:div w:id="147134672">
      <w:bodyDiv w:val="1"/>
      <w:marLeft w:val="0"/>
      <w:marRight w:val="0"/>
      <w:marTop w:val="0"/>
      <w:marBottom w:val="0"/>
      <w:divBdr>
        <w:top w:val="none" w:sz="0" w:space="0" w:color="auto"/>
        <w:left w:val="none" w:sz="0" w:space="0" w:color="auto"/>
        <w:bottom w:val="none" w:sz="0" w:space="0" w:color="auto"/>
        <w:right w:val="none" w:sz="0" w:space="0" w:color="auto"/>
      </w:divBdr>
    </w:div>
    <w:div w:id="147938297">
      <w:bodyDiv w:val="1"/>
      <w:marLeft w:val="0"/>
      <w:marRight w:val="0"/>
      <w:marTop w:val="0"/>
      <w:marBottom w:val="0"/>
      <w:divBdr>
        <w:top w:val="none" w:sz="0" w:space="0" w:color="auto"/>
        <w:left w:val="none" w:sz="0" w:space="0" w:color="auto"/>
        <w:bottom w:val="none" w:sz="0" w:space="0" w:color="auto"/>
        <w:right w:val="none" w:sz="0" w:space="0" w:color="auto"/>
      </w:divBdr>
    </w:div>
    <w:div w:id="147944185">
      <w:bodyDiv w:val="1"/>
      <w:marLeft w:val="0"/>
      <w:marRight w:val="0"/>
      <w:marTop w:val="0"/>
      <w:marBottom w:val="0"/>
      <w:divBdr>
        <w:top w:val="none" w:sz="0" w:space="0" w:color="auto"/>
        <w:left w:val="none" w:sz="0" w:space="0" w:color="auto"/>
        <w:bottom w:val="none" w:sz="0" w:space="0" w:color="auto"/>
        <w:right w:val="none" w:sz="0" w:space="0" w:color="auto"/>
      </w:divBdr>
    </w:div>
    <w:div w:id="148643900">
      <w:bodyDiv w:val="1"/>
      <w:marLeft w:val="0"/>
      <w:marRight w:val="0"/>
      <w:marTop w:val="0"/>
      <w:marBottom w:val="0"/>
      <w:divBdr>
        <w:top w:val="none" w:sz="0" w:space="0" w:color="auto"/>
        <w:left w:val="none" w:sz="0" w:space="0" w:color="auto"/>
        <w:bottom w:val="none" w:sz="0" w:space="0" w:color="auto"/>
        <w:right w:val="none" w:sz="0" w:space="0" w:color="auto"/>
      </w:divBdr>
    </w:div>
    <w:div w:id="148644775">
      <w:bodyDiv w:val="1"/>
      <w:marLeft w:val="0"/>
      <w:marRight w:val="0"/>
      <w:marTop w:val="0"/>
      <w:marBottom w:val="0"/>
      <w:divBdr>
        <w:top w:val="none" w:sz="0" w:space="0" w:color="auto"/>
        <w:left w:val="none" w:sz="0" w:space="0" w:color="auto"/>
        <w:bottom w:val="none" w:sz="0" w:space="0" w:color="auto"/>
        <w:right w:val="none" w:sz="0" w:space="0" w:color="auto"/>
      </w:divBdr>
    </w:div>
    <w:div w:id="148979985">
      <w:bodyDiv w:val="1"/>
      <w:marLeft w:val="0"/>
      <w:marRight w:val="0"/>
      <w:marTop w:val="0"/>
      <w:marBottom w:val="0"/>
      <w:divBdr>
        <w:top w:val="none" w:sz="0" w:space="0" w:color="auto"/>
        <w:left w:val="none" w:sz="0" w:space="0" w:color="auto"/>
        <w:bottom w:val="none" w:sz="0" w:space="0" w:color="auto"/>
        <w:right w:val="none" w:sz="0" w:space="0" w:color="auto"/>
      </w:divBdr>
    </w:div>
    <w:div w:id="149099375">
      <w:bodyDiv w:val="1"/>
      <w:marLeft w:val="0"/>
      <w:marRight w:val="0"/>
      <w:marTop w:val="0"/>
      <w:marBottom w:val="0"/>
      <w:divBdr>
        <w:top w:val="none" w:sz="0" w:space="0" w:color="auto"/>
        <w:left w:val="none" w:sz="0" w:space="0" w:color="auto"/>
        <w:bottom w:val="none" w:sz="0" w:space="0" w:color="auto"/>
        <w:right w:val="none" w:sz="0" w:space="0" w:color="auto"/>
      </w:divBdr>
    </w:div>
    <w:div w:id="149447819">
      <w:bodyDiv w:val="1"/>
      <w:marLeft w:val="0"/>
      <w:marRight w:val="0"/>
      <w:marTop w:val="0"/>
      <w:marBottom w:val="0"/>
      <w:divBdr>
        <w:top w:val="none" w:sz="0" w:space="0" w:color="auto"/>
        <w:left w:val="none" w:sz="0" w:space="0" w:color="auto"/>
        <w:bottom w:val="none" w:sz="0" w:space="0" w:color="auto"/>
        <w:right w:val="none" w:sz="0" w:space="0" w:color="auto"/>
      </w:divBdr>
    </w:div>
    <w:div w:id="149636082">
      <w:bodyDiv w:val="1"/>
      <w:marLeft w:val="0"/>
      <w:marRight w:val="0"/>
      <w:marTop w:val="0"/>
      <w:marBottom w:val="0"/>
      <w:divBdr>
        <w:top w:val="none" w:sz="0" w:space="0" w:color="auto"/>
        <w:left w:val="none" w:sz="0" w:space="0" w:color="auto"/>
        <w:bottom w:val="none" w:sz="0" w:space="0" w:color="auto"/>
        <w:right w:val="none" w:sz="0" w:space="0" w:color="auto"/>
      </w:divBdr>
    </w:div>
    <w:div w:id="149827776">
      <w:bodyDiv w:val="1"/>
      <w:marLeft w:val="0"/>
      <w:marRight w:val="0"/>
      <w:marTop w:val="0"/>
      <w:marBottom w:val="0"/>
      <w:divBdr>
        <w:top w:val="none" w:sz="0" w:space="0" w:color="auto"/>
        <w:left w:val="none" w:sz="0" w:space="0" w:color="auto"/>
        <w:bottom w:val="none" w:sz="0" w:space="0" w:color="auto"/>
        <w:right w:val="none" w:sz="0" w:space="0" w:color="auto"/>
      </w:divBdr>
    </w:div>
    <w:div w:id="150174951">
      <w:bodyDiv w:val="1"/>
      <w:marLeft w:val="0"/>
      <w:marRight w:val="0"/>
      <w:marTop w:val="0"/>
      <w:marBottom w:val="0"/>
      <w:divBdr>
        <w:top w:val="none" w:sz="0" w:space="0" w:color="auto"/>
        <w:left w:val="none" w:sz="0" w:space="0" w:color="auto"/>
        <w:bottom w:val="none" w:sz="0" w:space="0" w:color="auto"/>
        <w:right w:val="none" w:sz="0" w:space="0" w:color="auto"/>
      </w:divBdr>
    </w:div>
    <w:div w:id="150295506">
      <w:bodyDiv w:val="1"/>
      <w:marLeft w:val="0"/>
      <w:marRight w:val="0"/>
      <w:marTop w:val="0"/>
      <w:marBottom w:val="0"/>
      <w:divBdr>
        <w:top w:val="none" w:sz="0" w:space="0" w:color="auto"/>
        <w:left w:val="none" w:sz="0" w:space="0" w:color="auto"/>
        <w:bottom w:val="none" w:sz="0" w:space="0" w:color="auto"/>
        <w:right w:val="none" w:sz="0" w:space="0" w:color="auto"/>
      </w:divBdr>
    </w:div>
    <w:div w:id="150608368">
      <w:bodyDiv w:val="1"/>
      <w:marLeft w:val="0"/>
      <w:marRight w:val="0"/>
      <w:marTop w:val="0"/>
      <w:marBottom w:val="0"/>
      <w:divBdr>
        <w:top w:val="none" w:sz="0" w:space="0" w:color="auto"/>
        <w:left w:val="none" w:sz="0" w:space="0" w:color="auto"/>
        <w:bottom w:val="none" w:sz="0" w:space="0" w:color="auto"/>
        <w:right w:val="none" w:sz="0" w:space="0" w:color="auto"/>
      </w:divBdr>
    </w:div>
    <w:div w:id="150681833">
      <w:bodyDiv w:val="1"/>
      <w:marLeft w:val="0"/>
      <w:marRight w:val="0"/>
      <w:marTop w:val="0"/>
      <w:marBottom w:val="0"/>
      <w:divBdr>
        <w:top w:val="none" w:sz="0" w:space="0" w:color="auto"/>
        <w:left w:val="none" w:sz="0" w:space="0" w:color="auto"/>
        <w:bottom w:val="none" w:sz="0" w:space="0" w:color="auto"/>
        <w:right w:val="none" w:sz="0" w:space="0" w:color="auto"/>
      </w:divBdr>
    </w:div>
    <w:div w:id="150954648">
      <w:bodyDiv w:val="1"/>
      <w:marLeft w:val="0"/>
      <w:marRight w:val="0"/>
      <w:marTop w:val="0"/>
      <w:marBottom w:val="0"/>
      <w:divBdr>
        <w:top w:val="none" w:sz="0" w:space="0" w:color="auto"/>
        <w:left w:val="none" w:sz="0" w:space="0" w:color="auto"/>
        <w:bottom w:val="none" w:sz="0" w:space="0" w:color="auto"/>
        <w:right w:val="none" w:sz="0" w:space="0" w:color="auto"/>
      </w:divBdr>
    </w:div>
    <w:div w:id="151024430">
      <w:bodyDiv w:val="1"/>
      <w:marLeft w:val="0"/>
      <w:marRight w:val="0"/>
      <w:marTop w:val="0"/>
      <w:marBottom w:val="0"/>
      <w:divBdr>
        <w:top w:val="none" w:sz="0" w:space="0" w:color="auto"/>
        <w:left w:val="none" w:sz="0" w:space="0" w:color="auto"/>
        <w:bottom w:val="none" w:sz="0" w:space="0" w:color="auto"/>
        <w:right w:val="none" w:sz="0" w:space="0" w:color="auto"/>
      </w:divBdr>
    </w:div>
    <w:div w:id="151412506">
      <w:bodyDiv w:val="1"/>
      <w:marLeft w:val="0"/>
      <w:marRight w:val="0"/>
      <w:marTop w:val="0"/>
      <w:marBottom w:val="0"/>
      <w:divBdr>
        <w:top w:val="none" w:sz="0" w:space="0" w:color="auto"/>
        <w:left w:val="none" w:sz="0" w:space="0" w:color="auto"/>
        <w:bottom w:val="none" w:sz="0" w:space="0" w:color="auto"/>
        <w:right w:val="none" w:sz="0" w:space="0" w:color="auto"/>
      </w:divBdr>
    </w:div>
    <w:div w:id="151677513">
      <w:bodyDiv w:val="1"/>
      <w:marLeft w:val="0"/>
      <w:marRight w:val="0"/>
      <w:marTop w:val="0"/>
      <w:marBottom w:val="0"/>
      <w:divBdr>
        <w:top w:val="none" w:sz="0" w:space="0" w:color="auto"/>
        <w:left w:val="none" w:sz="0" w:space="0" w:color="auto"/>
        <w:bottom w:val="none" w:sz="0" w:space="0" w:color="auto"/>
        <w:right w:val="none" w:sz="0" w:space="0" w:color="auto"/>
      </w:divBdr>
    </w:div>
    <w:div w:id="152767883">
      <w:bodyDiv w:val="1"/>
      <w:marLeft w:val="0"/>
      <w:marRight w:val="0"/>
      <w:marTop w:val="0"/>
      <w:marBottom w:val="0"/>
      <w:divBdr>
        <w:top w:val="none" w:sz="0" w:space="0" w:color="auto"/>
        <w:left w:val="none" w:sz="0" w:space="0" w:color="auto"/>
        <w:bottom w:val="none" w:sz="0" w:space="0" w:color="auto"/>
        <w:right w:val="none" w:sz="0" w:space="0" w:color="auto"/>
      </w:divBdr>
    </w:div>
    <w:div w:id="152842949">
      <w:bodyDiv w:val="1"/>
      <w:marLeft w:val="0"/>
      <w:marRight w:val="0"/>
      <w:marTop w:val="0"/>
      <w:marBottom w:val="0"/>
      <w:divBdr>
        <w:top w:val="none" w:sz="0" w:space="0" w:color="auto"/>
        <w:left w:val="none" w:sz="0" w:space="0" w:color="auto"/>
        <w:bottom w:val="none" w:sz="0" w:space="0" w:color="auto"/>
        <w:right w:val="none" w:sz="0" w:space="0" w:color="auto"/>
      </w:divBdr>
    </w:div>
    <w:div w:id="152912177">
      <w:bodyDiv w:val="1"/>
      <w:marLeft w:val="0"/>
      <w:marRight w:val="0"/>
      <w:marTop w:val="0"/>
      <w:marBottom w:val="0"/>
      <w:divBdr>
        <w:top w:val="none" w:sz="0" w:space="0" w:color="auto"/>
        <w:left w:val="none" w:sz="0" w:space="0" w:color="auto"/>
        <w:bottom w:val="none" w:sz="0" w:space="0" w:color="auto"/>
        <w:right w:val="none" w:sz="0" w:space="0" w:color="auto"/>
      </w:divBdr>
    </w:div>
    <w:div w:id="153187476">
      <w:bodyDiv w:val="1"/>
      <w:marLeft w:val="0"/>
      <w:marRight w:val="0"/>
      <w:marTop w:val="0"/>
      <w:marBottom w:val="0"/>
      <w:divBdr>
        <w:top w:val="none" w:sz="0" w:space="0" w:color="auto"/>
        <w:left w:val="none" w:sz="0" w:space="0" w:color="auto"/>
        <w:bottom w:val="none" w:sz="0" w:space="0" w:color="auto"/>
        <w:right w:val="none" w:sz="0" w:space="0" w:color="auto"/>
      </w:divBdr>
    </w:div>
    <w:div w:id="153960327">
      <w:bodyDiv w:val="1"/>
      <w:marLeft w:val="0"/>
      <w:marRight w:val="0"/>
      <w:marTop w:val="0"/>
      <w:marBottom w:val="0"/>
      <w:divBdr>
        <w:top w:val="none" w:sz="0" w:space="0" w:color="auto"/>
        <w:left w:val="none" w:sz="0" w:space="0" w:color="auto"/>
        <w:bottom w:val="none" w:sz="0" w:space="0" w:color="auto"/>
        <w:right w:val="none" w:sz="0" w:space="0" w:color="auto"/>
      </w:divBdr>
    </w:div>
    <w:div w:id="155266918">
      <w:bodyDiv w:val="1"/>
      <w:marLeft w:val="0"/>
      <w:marRight w:val="0"/>
      <w:marTop w:val="0"/>
      <w:marBottom w:val="0"/>
      <w:divBdr>
        <w:top w:val="none" w:sz="0" w:space="0" w:color="auto"/>
        <w:left w:val="none" w:sz="0" w:space="0" w:color="auto"/>
        <w:bottom w:val="none" w:sz="0" w:space="0" w:color="auto"/>
        <w:right w:val="none" w:sz="0" w:space="0" w:color="auto"/>
      </w:divBdr>
    </w:div>
    <w:div w:id="155345294">
      <w:bodyDiv w:val="1"/>
      <w:marLeft w:val="0"/>
      <w:marRight w:val="0"/>
      <w:marTop w:val="0"/>
      <w:marBottom w:val="0"/>
      <w:divBdr>
        <w:top w:val="none" w:sz="0" w:space="0" w:color="auto"/>
        <w:left w:val="none" w:sz="0" w:space="0" w:color="auto"/>
        <w:bottom w:val="none" w:sz="0" w:space="0" w:color="auto"/>
        <w:right w:val="none" w:sz="0" w:space="0" w:color="auto"/>
      </w:divBdr>
    </w:div>
    <w:div w:id="155609211">
      <w:bodyDiv w:val="1"/>
      <w:marLeft w:val="0"/>
      <w:marRight w:val="0"/>
      <w:marTop w:val="0"/>
      <w:marBottom w:val="0"/>
      <w:divBdr>
        <w:top w:val="none" w:sz="0" w:space="0" w:color="auto"/>
        <w:left w:val="none" w:sz="0" w:space="0" w:color="auto"/>
        <w:bottom w:val="none" w:sz="0" w:space="0" w:color="auto"/>
        <w:right w:val="none" w:sz="0" w:space="0" w:color="auto"/>
      </w:divBdr>
    </w:div>
    <w:div w:id="157422280">
      <w:bodyDiv w:val="1"/>
      <w:marLeft w:val="0"/>
      <w:marRight w:val="0"/>
      <w:marTop w:val="0"/>
      <w:marBottom w:val="0"/>
      <w:divBdr>
        <w:top w:val="none" w:sz="0" w:space="0" w:color="auto"/>
        <w:left w:val="none" w:sz="0" w:space="0" w:color="auto"/>
        <w:bottom w:val="none" w:sz="0" w:space="0" w:color="auto"/>
        <w:right w:val="none" w:sz="0" w:space="0" w:color="auto"/>
      </w:divBdr>
    </w:div>
    <w:div w:id="157429839">
      <w:bodyDiv w:val="1"/>
      <w:marLeft w:val="0"/>
      <w:marRight w:val="0"/>
      <w:marTop w:val="0"/>
      <w:marBottom w:val="0"/>
      <w:divBdr>
        <w:top w:val="none" w:sz="0" w:space="0" w:color="auto"/>
        <w:left w:val="none" w:sz="0" w:space="0" w:color="auto"/>
        <w:bottom w:val="none" w:sz="0" w:space="0" w:color="auto"/>
        <w:right w:val="none" w:sz="0" w:space="0" w:color="auto"/>
      </w:divBdr>
    </w:div>
    <w:div w:id="158084928">
      <w:bodyDiv w:val="1"/>
      <w:marLeft w:val="0"/>
      <w:marRight w:val="0"/>
      <w:marTop w:val="0"/>
      <w:marBottom w:val="0"/>
      <w:divBdr>
        <w:top w:val="none" w:sz="0" w:space="0" w:color="auto"/>
        <w:left w:val="none" w:sz="0" w:space="0" w:color="auto"/>
        <w:bottom w:val="none" w:sz="0" w:space="0" w:color="auto"/>
        <w:right w:val="none" w:sz="0" w:space="0" w:color="auto"/>
      </w:divBdr>
    </w:div>
    <w:div w:id="158275673">
      <w:bodyDiv w:val="1"/>
      <w:marLeft w:val="0"/>
      <w:marRight w:val="0"/>
      <w:marTop w:val="0"/>
      <w:marBottom w:val="0"/>
      <w:divBdr>
        <w:top w:val="none" w:sz="0" w:space="0" w:color="auto"/>
        <w:left w:val="none" w:sz="0" w:space="0" w:color="auto"/>
        <w:bottom w:val="none" w:sz="0" w:space="0" w:color="auto"/>
        <w:right w:val="none" w:sz="0" w:space="0" w:color="auto"/>
      </w:divBdr>
    </w:div>
    <w:div w:id="158737431">
      <w:bodyDiv w:val="1"/>
      <w:marLeft w:val="0"/>
      <w:marRight w:val="0"/>
      <w:marTop w:val="0"/>
      <w:marBottom w:val="0"/>
      <w:divBdr>
        <w:top w:val="none" w:sz="0" w:space="0" w:color="auto"/>
        <w:left w:val="none" w:sz="0" w:space="0" w:color="auto"/>
        <w:bottom w:val="none" w:sz="0" w:space="0" w:color="auto"/>
        <w:right w:val="none" w:sz="0" w:space="0" w:color="auto"/>
      </w:divBdr>
    </w:div>
    <w:div w:id="159664780">
      <w:bodyDiv w:val="1"/>
      <w:marLeft w:val="0"/>
      <w:marRight w:val="0"/>
      <w:marTop w:val="0"/>
      <w:marBottom w:val="0"/>
      <w:divBdr>
        <w:top w:val="none" w:sz="0" w:space="0" w:color="auto"/>
        <w:left w:val="none" w:sz="0" w:space="0" w:color="auto"/>
        <w:bottom w:val="none" w:sz="0" w:space="0" w:color="auto"/>
        <w:right w:val="none" w:sz="0" w:space="0" w:color="auto"/>
      </w:divBdr>
    </w:div>
    <w:div w:id="159783696">
      <w:bodyDiv w:val="1"/>
      <w:marLeft w:val="0"/>
      <w:marRight w:val="0"/>
      <w:marTop w:val="0"/>
      <w:marBottom w:val="0"/>
      <w:divBdr>
        <w:top w:val="none" w:sz="0" w:space="0" w:color="auto"/>
        <w:left w:val="none" w:sz="0" w:space="0" w:color="auto"/>
        <w:bottom w:val="none" w:sz="0" w:space="0" w:color="auto"/>
        <w:right w:val="none" w:sz="0" w:space="0" w:color="auto"/>
      </w:divBdr>
    </w:div>
    <w:div w:id="159851910">
      <w:bodyDiv w:val="1"/>
      <w:marLeft w:val="0"/>
      <w:marRight w:val="0"/>
      <w:marTop w:val="0"/>
      <w:marBottom w:val="0"/>
      <w:divBdr>
        <w:top w:val="none" w:sz="0" w:space="0" w:color="auto"/>
        <w:left w:val="none" w:sz="0" w:space="0" w:color="auto"/>
        <w:bottom w:val="none" w:sz="0" w:space="0" w:color="auto"/>
        <w:right w:val="none" w:sz="0" w:space="0" w:color="auto"/>
      </w:divBdr>
    </w:div>
    <w:div w:id="160170919">
      <w:bodyDiv w:val="1"/>
      <w:marLeft w:val="0"/>
      <w:marRight w:val="0"/>
      <w:marTop w:val="0"/>
      <w:marBottom w:val="0"/>
      <w:divBdr>
        <w:top w:val="none" w:sz="0" w:space="0" w:color="auto"/>
        <w:left w:val="none" w:sz="0" w:space="0" w:color="auto"/>
        <w:bottom w:val="none" w:sz="0" w:space="0" w:color="auto"/>
        <w:right w:val="none" w:sz="0" w:space="0" w:color="auto"/>
      </w:divBdr>
    </w:div>
    <w:div w:id="160196035">
      <w:bodyDiv w:val="1"/>
      <w:marLeft w:val="0"/>
      <w:marRight w:val="0"/>
      <w:marTop w:val="0"/>
      <w:marBottom w:val="0"/>
      <w:divBdr>
        <w:top w:val="none" w:sz="0" w:space="0" w:color="auto"/>
        <w:left w:val="none" w:sz="0" w:space="0" w:color="auto"/>
        <w:bottom w:val="none" w:sz="0" w:space="0" w:color="auto"/>
        <w:right w:val="none" w:sz="0" w:space="0" w:color="auto"/>
      </w:divBdr>
    </w:div>
    <w:div w:id="160319099">
      <w:bodyDiv w:val="1"/>
      <w:marLeft w:val="0"/>
      <w:marRight w:val="0"/>
      <w:marTop w:val="0"/>
      <w:marBottom w:val="0"/>
      <w:divBdr>
        <w:top w:val="none" w:sz="0" w:space="0" w:color="auto"/>
        <w:left w:val="none" w:sz="0" w:space="0" w:color="auto"/>
        <w:bottom w:val="none" w:sz="0" w:space="0" w:color="auto"/>
        <w:right w:val="none" w:sz="0" w:space="0" w:color="auto"/>
      </w:divBdr>
    </w:div>
    <w:div w:id="160583012">
      <w:bodyDiv w:val="1"/>
      <w:marLeft w:val="0"/>
      <w:marRight w:val="0"/>
      <w:marTop w:val="0"/>
      <w:marBottom w:val="0"/>
      <w:divBdr>
        <w:top w:val="none" w:sz="0" w:space="0" w:color="auto"/>
        <w:left w:val="none" w:sz="0" w:space="0" w:color="auto"/>
        <w:bottom w:val="none" w:sz="0" w:space="0" w:color="auto"/>
        <w:right w:val="none" w:sz="0" w:space="0" w:color="auto"/>
      </w:divBdr>
    </w:div>
    <w:div w:id="161050125">
      <w:bodyDiv w:val="1"/>
      <w:marLeft w:val="0"/>
      <w:marRight w:val="0"/>
      <w:marTop w:val="0"/>
      <w:marBottom w:val="0"/>
      <w:divBdr>
        <w:top w:val="none" w:sz="0" w:space="0" w:color="auto"/>
        <w:left w:val="none" w:sz="0" w:space="0" w:color="auto"/>
        <w:bottom w:val="none" w:sz="0" w:space="0" w:color="auto"/>
        <w:right w:val="none" w:sz="0" w:space="0" w:color="auto"/>
      </w:divBdr>
    </w:div>
    <w:div w:id="161168412">
      <w:bodyDiv w:val="1"/>
      <w:marLeft w:val="0"/>
      <w:marRight w:val="0"/>
      <w:marTop w:val="0"/>
      <w:marBottom w:val="0"/>
      <w:divBdr>
        <w:top w:val="none" w:sz="0" w:space="0" w:color="auto"/>
        <w:left w:val="none" w:sz="0" w:space="0" w:color="auto"/>
        <w:bottom w:val="none" w:sz="0" w:space="0" w:color="auto"/>
        <w:right w:val="none" w:sz="0" w:space="0" w:color="auto"/>
      </w:divBdr>
    </w:div>
    <w:div w:id="161433604">
      <w:bodyDiv w:val="1"/>
      <w:marLeft w:val="0"/>
      <w:marRight w:val="0"/>
      <w:marTop w:val="0"/>
      <w:marBottom w:val="0"/>
      <w:divBdr>
        <w:top w:val="none" w:sz="0" w:space="0" w:color="auto"/>
        <w:left w:val="none" w:sz="0" w:space="0" w:color="auto"/>
        <w:bottom w:val="none" w:sz="0" w:space="0" w:color="auto"/>
        <w:right w:val="none" w:sz="0" w:space="0" w:color="auto"/>
      </w:divBdr>
    </w:div>
    <w:div w:id="161966581">
      <w:bodyDiv w:val="1"/>
      <w:marLeft w:val="0"/>
      <w:marRight w:val="0"/>
      <w:marTop w:val="0"/>
      <w:marBottom w:val="0"/>
      <w:divBdr>
        <w:top w:val="none" w:sz="0" w:space="0" w:color="auto"/>
        <w:left w:val="none" w:sz="0" w:space="0" w:color="auto"/>
        <w:bottom w:val="none" w:sz="0" w:space="0" w:color="auto"/>
        <w:right w:val="none" w:sz="0" w:space="0" w:color="auto"/>
      </w:divBdr>
    </w:div>
    <w:div w:id="162208237">
      <w:bodyDiv w:val="1"/>
      <w:marLeft w:val="0"/>
      <w:marRight w:val="0"/>
      <w:marTop w:val="0"/>
      <w:marBottom w:val="0"/>
      <w:divBdr>
        <w:top w:val="none" w:sz="0" w:space="0" w:color="auto"/>
        <w:left w:val="none" w:sz="0" w:space="0" w:color="auto"/>
        <w:bottom w:val="none" w:sz="0" w:space="0" w:color="auto"/>
        <w:right w:val="none" w:sz="0" w:space="0" w:color="auto"/>
      </w:divBdr>
    </w:div>
    <w:div w:id="162473830">
      <w:bodyDiv w:val="1"/>
      <w:marLeft w:val="0"/>
      <w:marRight w:val="0"/>
      <w:marTop w:val="0"/>
      <w:marBottom w:val="0"/>
      <w:divBdr>
        <w:top w:val="none" w:sz="0" w:space="0" w:color="auto"/>
        <w:left w:val="none" w:sz="0" w:space="0" w:color="auto"/>
        <w:bottom w:val="none" w:sz="0" w:space="0" w:color="auto"/>
        <w:right w:val="none" w:sz="0" w:space="0" w:color="auto"/>
      </w:divBdr>
    </w:div>
    <w:div w:id="162818798">
      <w:bodyDiv w:val="1"/>
      <w:marLeft w:val="0"/>
      <w:marRight w:val="0"/>
      <w:marTop w:val="0"/>
      <w:marBottom w:val="0"/>
      <w:divBdr>
        <w:top w:val="none" w:sz="0" w:space="0" w:color="auto"/>
        <w:left w:val="none" w:sz="0" w:space="0" w:color="auto"/>
        <w:bottom w:val="none" w:sz="0" w:space="0" w:color="auto"/>
        <w:right w:val="none" w:sz="0" w:space="0" w:color="auto"/>
      </w:divBdr>
    </w:div>
    <w:div w:id="163712927">
      <w:bodyDiv w:val="1"/>
      <w:marLeft w:val="0"/>
      <w:marRight w:val="0"/>
      <w:marTop w:val="0"/>
      <w:marBottom w:val="0"/>
      <w:divBdr>
        <w:top w:val="none" w:sz="0" w:space="0" w:color="auto"/>
        <w:left w:val="none" w:sz="0" w:space="0" w:color="auto"/>
        <w:bottom w:val="none" w:sz="0" w:space="0" w:color="auto"/>
        <w:right w:val="none" w:sz="0" w:space="0" w:color="auto"/>
      </w:divBdr>
    </w:div>
    <w:div w:id="163781790">
      <w:bodyDiv w:val="1"/>
      <w:marLeft w:val="0"/>
      <w:marRight w:val="0"/>
      <w:marTop w:val="0"/>
      <w:marBottom w:val="0"/>
      <w:divBdr>
        <w:top w:val="none" w:sz="0" w:space="0" w:color="auto"/>
        <w:left w:val="none" w:sz="0" w:space="0" w:color="auto"/>
        <w:bottom w:val="none" w:sz="0" w:space="0" w:color="auto"/>
        <w:right w:val="none" w:sz="0" w:space="0" w:color="auto"/>
      </w:divBdr>
    </w:div>
    <w:div w:id="164830187">
      <w:bodyDiv w:val="1"/>
      <w:marLeft w:val="0"/>
      <w:marRight w:val="0"/>
      <w:marTop w:val="0"/>
      <w:marBottom w:val="0"/>
      <w:divBdr>
        <w:top w:val="none" w:sz="0" w:space="0" w:color="auto"/>
        <w:left w:val="none" w:sz="0" w:space="0" w:color="auto"/>
        <w:bottom w:val="none" w:sz="0" w:space="0" w:color="auto"/>
        <w:right w:val="none" w:sz="0" w:space="0" w:color="auto"/>
      </w:divBdr>
    </w:div>
    <w:div w:id="165245590">
      <w:bodyDiv w:val="1"/>
      <w:marLeft w:val="0"/>
      <w:marRight w:val="0"/>
      <w:marTop w:val="0"/>
      <w:marBottom w:val="0"/>
      <w:divBdr>
        <w:top w:val="none" w:sz="0" w:space="0" w:color="auto"/>
        <w:left w:val="none" w:sz="0" w:space="0" w:color="auto"/>
        <w:bottom w:val="none" w:sz="0" w:space="0" w:color="auto"/>
        <w:right w:val="none" w:sz="0" w:space="0" w:color="auto"/>
      </w:divBdr>
    </w:div>
    <w:div w:id="165366841">
      <w:bodyDiv w:val="1"/>
      <w:marLeft w:val="0"/>
      <w:marRight w:val="0"/>
      <w:marTop w:val="0"/>
      <w:marBottom w:val="0"/>
      <w:divBdr>
        <w:top w:val="none" w:sz="0" w:space="0" w:color="auto"/>
        <w:left w:val="none" w:sz="0" w:space="0" w:color="auto"/>
        <w:bottom w:val="none" w:sz="0" w:space="0" w:color="auto"/>
        <w:right w:val="none" w:sz="0" w:space="0" w:color="auto"/>
      </w:divBdr>
    </w:div>
    <w:div w:id="165481400">
      <w:bodyDiv w:val="1"/>
      <w:marLeft w:val="0"/>
      <w:marRight w:val="0"/>
      <w:marTop w:val="0"/>
      <w:marBottom w:val="0"/>
      <w:divBdr>
        <w:top w:val="none" w:sz="0" w:space="0" w:color="auto"/>
        <w:left w:val="none" w:sz="0" w:space="0" w:color="auto"/>
        <w:bottom w:val="none" w:sz="0" w:space="0" w:color="auto"/>
        <w:right w:val="none" w:sz="0" w:space="0" w:color="auto"/>
      </w:divBdr>
    </w:div>
    <w:div w:id="166020365">
      <w:bodyDiv w:val="1"/>
      <w:marLeft w:val="0"/>
      <w:marRight w:val="0"/>
      <w:marTop w:val="0"/>
      <w:marBottom w:val="0"/>
      <w:divBdr>
        <w:top w:val="none" w:sz="0" w:space="0" w:color="auto"/>
        <w:left w:val="none" w:sz="0" w:space="0" w:color="auto"/>
        <w:bottom w:val="none" w:sz="0" w:space="0" w:color="auto"/>
        <w:right w:val="none" w:sz="0" w:space="0" w:color="auto"/>
      </w:divBdr>
    </w:div>
    <w:div w:id="167722438">
      <w:bodyDiv w:val="1"/>
      <w:marLeft w:val="0"/>
      <w:marRight w:val="0"/>
      <w:marTop w:val="0"/>
      <w:marBottom w:val="0"/>
      <w:divBdr>
        <w:top w:val="none" w:sz="0" w:space="0" w:color="auto"/>
        <w:left w:val="none" w:sz="0" w:space="0" w:color="auto"/>
        <w:bottom w:val="none" w:sz="0" w:space="0" w:color="auto"/>
        <w:right w:val="none" w:sz="0" w:space="0" w:color="auto"/>
      </w:divBdr>
    </w:div>
    <w:div w:id="167912556">
      <w:bodyDiv w:val="1"/>
      <w:marLeft w:val="0"/>
      <w:marRight w:val="0"/>
      <w:marTop w:val="0"/>
      <w:marBottom w:val="0"/>
      <w:divBdr>
        <w:top w:val="none" w:sz="0" w:space="0" w:color="auto"/>
        <w:left w:val="none" w:sz="0" w:space="0" w:color="auto"/>
        <w:bottom w:val="none" w:sz="0" w:space="0" w:color="auto"/>
        <w:right w:val="none" w:sz="0" w:space="0" w:color="auto"/>
      </w:divBdr>
    </w:div>
    <w:div w:id="168250841">
      <w:bodyDiv w:val="1"/>
      <w:marLeft w:val="0"/>
      <w:marRight w:val="0"/>
      <w:marTop w:val="0"/>
      <w:marBottom w:val="0"/>
      <w:divBdr>
        <w:top w:val="none" w:sz="0" w:space="0" w:color="auto"/>
        <w:left w:val="none" w:sz="0" w:space="0" w:color="auto"/>
        <w:bottom w:val="none" w:sz="0" w:space="0" w:color="auto"/>
        <w:right w:val="none" w:sz="0" w:space="0" w:color="auto"/>
      </w:divBdr>
    </w:div>
    <w:div w:id="168296773">
      <w:bodyDiv w:val="1"/>
      <w:marLeft w:val="0"/>
      <w:marRight w:val="0"/>
      <w:marTop w:val="0"/>
      <w:marBottom w:val="0"/>
      <w:divBdr>
        <w:top w:val="none" w:sz="0" w:space="0" w:color="auto"/>
        <w:left w:val="none" w:sz="0" w:space="0" w:color="auto"/>
        <w:bottom w:val="none" w:sz="0" w:space="0" w:color="auto"/>
        <w:right w:val="none" w:sz="0" w:space="0" w:color="auto"/>
      </w:divBdr>
    </w:div>
    <w:div w:id="169297672">
      <w:bodyDiv w:val="1"/>
      <w:marLeft w:val="0"/>
      <w:marRight w:val="0"/>
      <w:marTop w:val="0"/>
      <w:marBottom w:val="0"/>
      <w:divBdr>
        <w:top w:val="none" w:sz="0" w:space="0" w:color="auto"/>
        <w:left w:val="none" w:sz="0" w:space="0" w:color="auto"/>
        <w:bottom w:val="none" w:sz="0" w:space="0" w:color="auto"/>
        <w:right w:val="none" w:sz="0" w:space="0" w:color="auto"/>
      </w:divBdr>
    </w:div>
    <w:div w:id="169610992">
      <w:bodyDiv w:val="1"/>
      <w:marLeft w:val="0"/>
      <w:marRight w:val="0"/>
      <w:marTop w:val="0"/>
      <w:marBottom w:val="0"/>
      <w:divBdr>
        <w:top w:val="none" w:sz="0" w:space="0" w:color="auto"/>
        <w:left w:val="none" w:sz="0" w:space="0" w:color="auto"/>
        <w:bottom w:val="none" w:sz="0" w:space="0" w:color="auto"/>
        <w:right w:val="none" w:sz="0" w:space="0" w:color="auto"/>
      </w:divBdr>
    </w:div>
    <w:div w:id="169877727">
      <w:bodyDiv w:val="1"/>
      <w:marLeft w:val="0"/>
      <w:marRight w:val="0"/>
      <w:marTop w:val="0"/>
      <w:marBottom w:val="0"/>
      <w:divBdr>
        <w:top w:val="none" w:sz="0" w:space="0" w:color="auto"/>
        <w:left w:val="none" w:sz="0" w:space="0" w:color="auto"/>
        <w:bottom w:val="none" w:sz="0" w:space="0" w:color="auto"/>
        <w:right w:val="none" w:sz="0" w:space="0" w:color="auto"/>
      </w:divBdr>
    </w:div>
    <w:div w:id="170027972">
      <w:bodyDiv w:val="1"/>
      <w:marLeft w:val="0"/>
      <w:marRight w:val="0"/>
      <w:marTop w:val="0"/>
      <w:marBottom w:val="0"/>
      <w:divBdr>
        <w:top w:val="none" w:sz="0" w:space="0" w:color="auto"/>
        <w:left w:val="none" w:sz="0" w:space="0" w:color="auto"/>
        <w:bottom w:val="none" w:sz="0" w:space="0" w:color="auto"/>
        <w:right w:val="none" w:sz="0" w:space="0" w:color="auto"/>
      </w:divBdr>
    </w:div>
    <w:div w:id="170680533">
      <w:bodyDiv w:val="1"/>
      <w:marLeft w:val="0"/>
      <w:marRight w:val="0"/>
      <w:marTop w:val="0"/>
      <w:marBottom w:val="0"/>
      <w:divBdr>
        <w:top w:val="none" w:sz="0" w:space="0" w:color="auto"/>
        <w:left w:val="none" w:sz="0" w:space="0" w:color="auto"/>
        <w:bottom w:val="none" w:sz="0" w:space="0" w:color="auto"/>
        <w:right w:val="none" w:sz="0" w:space="0" w:color="auto"/>
      </w:divBdr>
    </w:div>
    <w:div w:id="171798418">
      <w:bodyDiv w:val="1"/>
      <w:marLeft w:val="0"/>
      <w:marRight w:val="0"/>
      <w:marTop w:val="0"/>
      <w:marBottom w:val="0"/>
      <w:divBdr>
        <w:top w:val="none" w:sz="0" w:space="0" w:color="auto"/>
        <w:left w:val="none" w:sz="0" w:space="0" w:color="auto"/>
        <w:bottom w:val="none" w:sz="0" w:space="0" w:color="auto"/>
        <w:right w:val="none" w:sz="0" w:space="0" w:color="auto"/>
      </w:divBdr>
    </w:div>
    <w:div w:id="171844005">
      <w:bodyDiv w:val="1"/>
      <w:marLeft w:val="0"/>
      <w:marRight w:val="0"/>
      <w:marTop w:val="0"/>
      <w:marBottom w:val="0"/>
      <w:divBdr>
        <w:top w:val="none" w:sz="0" w:space="0" w:color="auto"/>
        <w:left w:val="none" w:sz="0" w:space="0" w:color="auto"/>
        <w:bottom w:val="none" w:sz="0" w:space="0" w:color="auto"/>
        <w:right w:val="none" w:sz="0" w:space="0" w:color="auto"/>
      </w:divBdr>
    </w:div>
    <w:div w:id="171845797">
      <w:bodyDiv w:val="1"/>
      <w:marLeft w:val="0"/>
      <w:marRight w:val="0"/>
      <w:marTop w:val="0"/>
      <w:marBottom w:val="0"/>
      <w:divBdr>
        <w:top w:val="none" w:sz="0" w:space="0" w:color="auto"/>
        <w:left w:val="none" w:sz="0" w:space="0" w:color="auto"/>
        <w:bottom w:val="none" w:sz="0" w:space="0" w:color="auto"/>
        <w:right w:val="none" w:sz="0" w:space="0" w:color="auto"/>
      </w:divBdr>
    </w:div>
    <w:div w:id="172113387">
      <w:bodyDiv w:val="1"/>
      <w:marLeft w:val="0"/>
      <w:marRight w:val="0"/>
      <w:marTop w:val="0"/>
      <w:marBottom w:val="0"/>
      <w:divBdr>
        <w:top w:val="none" w:sz="0" w:space="0" w:color="auto"/>
        <w:left w:val="none" w:sz="0" w:space="0" w:color="auto"/>
        <w:bottom w:val="none" w:sz="0" w:space="0" w:color="auto"/>
        <w:right w:val="none" w:sz="0" w:space="0" w:color="auto"/>
      </w:divBdr>
    </w:div>
    <w:div w:id="172376424">
      <w:bodyDiv w:val="1"/>
      <w:marLeft w:val="0"/>
      <w:marRight w:val="0"/>
      <w:marTop w:val="0"/>
      <w:marBottom w:val="0"/>
      <w:divBdr>
        <w:top w:val="none" w:sz="0" w:space="0" w:color="auto"/>
        <w:left w:val="none" w:sz="0" w:space="0" w:color="auto"/>
        <w:bottom w:val="none" w:sz="0" w:space="0" w:color="auto"/>
        <w:right w:val="none" w:sz="0" w:space="0" w:color="auto"/>
      </w:divBdr>
    </w:div>
    <w:div w:id="174928648">
      <w:bodyDiv w:val="1"/>
      <w:marLeft w:val="0"/>
      <w:marRight w:val="0"/>
      <w:marTop w:val="0"/>
      <w:marBottom w:val="0"/>
      <w:divBdr>
        <w:top w:val="none" w:sz="0" w:space="0" w:color="auto"/>
        <w:left w:val="none" w:sz="0" w:space="0" w:color="auto"/>
        <w:bottom w:val="none" w:sz="0" w:space="0" w:color="auto"/>
        <w:right w:val="none" w:sz="0" w:space="0" w:color="auto"/>
      </w:divBdr>
    </w:div>
    <w:div w:id="175075577">
      <w:bodyDiv w:val="1"/>
      <w:marLeft w:val="0"/>
      <w:marRight w:val="0"/>
      <w:marTop w:val="0"/>
      <w:marBottom w:val="0"/>
      <w:divBdr>
        <w:top w:val="none" w:sz="0" w:space="0" w:color="auto"/>
        <w:left w:val="none" w:sz="0" w:space="0" w:color="auto"/>
        <w:bottom w:val="none" w:sz="0" w:space="0" w:color="auto"/>
        <w:right w:val="none" w:sz="0" w:space="0" w:color="auto"/>
      </w:divBdr>
    </w:div>
    <w:div w:id="175386604">
      <w:bodyDiv w:val="1"/>
      <w:marLeft w:val="0"/>
      <w:marRight w:val="0"/>
      <w:marTop w:val="0"/>
      <w:marBottom w:val="0"/>
      <w:divBdr>
        <w:top w:val="none" w:sz="0" w:space="0" w:color="auto"/>
        <w:left w:val="none" w:sz="0" w:space="0" w:color="auto"/>
        <w:bottom w:val="none" w:sz="0" w:space="0" w:color="auto"/>
        <w:right w:val="none" w:sz="0" w:space="0" w:color="auto"/>
      </w:divBdr>
    </w:div>
    <w:div w:id="175466320">
      <w:bodyDiv w:val="1"/>
      <w:marLeft w:val="0"/>
      <w:marRight w:val="0"/>
      <w:marTop w:val="0"/>
      <w:marBottom w:val="0"/>
      <w:divBdr>
        <w:top w:val="none" w:sz="0" w:space="0" w:color="auto"/>
        <w:left w:val="none" w:sz="0" w:space="0" w:color="auto"/>
        <w:bottom w:val="none" w:sz="0" w:space="0" w:color="auto"/>
        <w:right w:val="none" w:sz="0" w:space="0" w:color="auto"/>
      </w:divBdr>
    </w:div>
    <w:div w:id="175579151">
      <w:bodyDiv w:val="1"/>
      <w:marLeft w:val="0"/>
      <w:marRight w:val="0"/>
      <w:marTop w:val="0"/>
      <w:marBottom w:val="0"/>
      <w:divBdr>
        <w:top w:val="none" w:sz="0" w:space="0" w:color="auto"/>
        <w:left w:val="none" w:sz="0" w:space="0" w:color="auto"/>
        <w:bottom w:val="none" w:sz="0" w:space="0" w:color="auto"/>
        <w:right w:val="none" w:sz="0" w:space="0" w:color="auto"/>
      </w:divBdr>
    </w:div>
    <w:div w:id="175925701">
      <w:bodyDiv w:val="1"/>
      <w:marLeft w:val="0"/>
      <w:marRight w:val="0"/>
      <w:marTop w:val="0"/>
      <w:marBottom w:val="0"/>
      <w:divBdr>
        <w:top w:val="none" w:sz="0" w:space="0" w:color="auto"/>
        <w:left w:val="none" w:sz="0" w:space="0" w:color="auto"/>
        <w:bottom w:val="none" w:sz="0" w:space="0" w:color="auto"/>
        <w:right w:val="none" w:sz="0" w:space="0" w:color="auto"/>
      </w:divBdr>
    </w:div>
    <w:div w:id="175929728">
      <w:bodyDiv w:val="1"/>
      <w:marLeft w:val="0"/>
      <w:marRight w:val="0"/>
      <w:marTop w:val="0"/>
      <w:marBottom w:val="0"/>
      <w:divBdr>
        <w:top w:val="none" w:sz="0" w:space="0" w:color="auto"/>
        <w:left w:val="none" w:sz="0" w:space="0" w:color="auto"/>
        <w:bottom w:val="none" w:sz="0" w:space="0" w:color="auto"/>
        <w:right w:val="none" w:sz="0" w:space="0" w:color="auto"/>
      </w:divBdr>
    </w:div>
    <w:div w:id="176114356">
      <w:bodyDiv w:val="1"/>
      <w:marLeft w:val="0"/>
      <w:marRight w:val="0"/>
      <w:marTop w:val="0"/>
      <w:marBottom w:val="0"/>
      <w:divBdr>
        <w:top w:val="none" w:sz="0" w:space="0" w:color="auto"/>
        <w:left w:val="none" w:sz="0" w:space="0" w:color="auto"/>
        <w:bottom w:val="none" w:sz="0" w:space="0" w:color="auto"/>
        <w:right w:val="none" w:sz="0" w:space="0" w:color="auto"/>
      </w:divBdr>
    </w:div>
    <w:div w:id="176964967">
      <w:bodyDiv w:val="1"/>
      <w:marLeft w:val="0"/>
      <w:marRight w:val="0"/>
      <w:marTop w:val="0"/>
      <w:marBottom w:val="0"/>
      <w:divBdr>
        <w:top w:val="none" w:sz="0" w:space="0" w:color="auto"/>
        <w:left w:val="none" w:sz="0" w:space="0" w:color="auto"/>
        <w:bottom w:val="none" w:sz="0" w:space="0" w:color="auto"/>
        <w:right w:val="none" w:sz="0" w:space="0" w:color="auto"/>
      </w:divBdr>
    </w:div>
    <w:div w:id="177084167">
      <w:bodyDiv w:val="1"/>
      <w:marLeft w:val="0"/>
      <w:marRight w:val="0"/>
      <w:marTop w:val="0"/>
      <w:marBottom w:val="0"/>
      <w:divBdr>
        <w:top w:val="none" w:sz="0" w:space="0" w:color="auto"/>
        <w:left w:val="none" w:sz="0" w:space="0" w:color="auto"/>
        <w:bottom w:val="none" w:sz="0" w:space="0" w:color="auto"/>
        <w:right w:val="none" w:sz="0" w:space="0" w:color="auto"/>
      </w:divBdr>
    </w:div>
    <w:div w:id="177550054">
      <w:bodyDiv w:val="1"/>
      <w:marLeft w:val="0"/>
      <w:marRight w:val="0"/>
      <w:marTop w:val="0"/>
      <w:marBottom w:val="0"/>
      <w:divBdr>
        <w:top w:val="none" w:sz="0" w:space="0" w:color="auto"/>
        <w:left w:val="none" w:sz="0" w:space="0" w:color="auto"/>
        <w:bottom w:val="none" w:sz="0" w:space="0" w:color="auto"/>
        <w:right w:val="none" w:sz="0" w:space="0" w:color="auto"/>
      </w:divBdr>
    </w:div>
    <w:div w:id="178011940">
      <w:bodyDiv w:val="1"/>
      <w:marLeft w:val="0"/>
      <w:marRight w:val="0"/>
      <w:marTop w:val="0"/>
      <w:marBottom w:val="0"/>
      <w:divBdr>
        <w:top w:val="none" w:sz="0" w:space="0" w:color="auto"/>
        <w:left w:val="none" w:sz="0" w:space="0" w:color="auto"/>
        <w:bottom w:val="none" w:sz="0" w:space="0" w:color="auto"/>
        <w:right w:val="none" w:sz="0" w:space="0" w:color="auto"/>
      </w:divBdr>
    </w:div>
    <w:div w:id="178085063">
      <w:bodyDiv w:val="1"/>
      <w:marLeft w:val="0"/>
      <w:marRight w:val="0"/>
      <w:marTop w:val="0"/>
      <w:marBottom w:val="0"/>
      <w:divBdr>
        <w:top w:val="none" w:sz="0" w:space="0" w:color="auto"/>
        <w:left w:val="none" w:sz="0" w:space="0" w:color="auto"/>
        <w:bottom w:val="none" w:sz="0" w:space="0" w:color="auto"/>
        <w:right w:val="none" w:sz="0" w:space="0" w:color="auto"/>
      </w:divBdr>
    </w:div>
    <w:div w:id="178086426">
      <w:bodyDiv w:val="1"/>
      <w:marLeft w:val="0"/>
      <w:marRight w:val="0"/>
      <w:marTop w:val="0"/>
      <w:marBottom w:val="0"/>
      <w:divBdr>
        <w:top w:val="none" w:sz="0" w:space="0" w:color="auto"/>
        <w:left w:val="none" w:sz="0" w:space="0" w:color="auto"/>
        <w:bottom w:val="none" w:sz="0" w:space="0" w:color="auto"/>
        <w:right w:val="none" w:sz="0" w:space="0" w:color="auto"/>
      </w:divBdr>
    </w:div>
    <w:div w:id="178859009">
      <w:bodyDiv w:val="1"/>
      <w:marLeft w:val="0"/>
      <w:marRight w:val="0"/>
      <w:marTop w:val="0"/>
      <w:marBottom w:val="0"/>
      <w:divBdr>
        <w:top w:val="none" w:sz="0" w:space="0" w:color="auto"/>
        <w:left w:val="none" w:sz="0" w:space="0" w:color="auto"/>
        <w:bottom w:val="none" w:sz="0" w:space="0" w:color="auto"/>
        <w:right w:val="none" w:sz="0" w:space="0" w:color="auto"/>
      </w:divBdr>
    </w:div>
    <w:div w:id="179318157">
      <w:bodyDiv w:val="1"/>
      <w:marLeft w:val="0"/>
      <w:marRight w:val="0"/>
      <w:marTop w:val="0"/>
      <w:marBottom w:val="0"/>
      <w:divBdr>
        <w:top w:val="none" w:sz="0" w:space="0" w:color="auto"/>
        <w:left w:val="none" w:sz="0" w:space="0" w:color="auto"/>
        <w:bottom w:val="none" w:sz="0" w:space="0" w:color="auto"/>
        <w:right w:val="none" w:sz="0" w:space="0" w:color="auto"/>
      </w:divBdr>
    </w:div>
    <w:div w:id="179853437">
      <w:bodyDiv w:val="1"/>
      <w:marLeft w:val="0"/>
      <w:marRight w:val="0"/>
      <w:marTop w:val="0"/>
      <w:marBottom w:val="0"/>
      <w:divBdr>
        <w:top w:val="none" w:sz="0" w:space="0" w:color="auto"/>
        <w:left w:val="none" w:sz="0" w:space="0" w:color="auto"/>
        <w:bottom w:val="none" w:sz="0" w:space="0" w:color="auto"/>
        <w:right w:val="none" w:sz="0" w:space="0" w:color="auto"/>
      </w:divBdr>
    </w:div>
    <w:div w:id="179928552">
      <w:bodyDiv w:val="1"/>
      <w:marLeft w:val="0"/>
      <w:marRight w:val="0"/>
      <w:marTop w:val="0"/>
      <w:marBottom w:val="0"/>
      <w:divBdr>
        <w:top w:val="none" w:sz="0" w:space="0" w:color="auto"/>
        <w:left w:val="none" w:sz="0" w:space="0" w:color="auto"/>
        <w:bottom w:val="none" w:sz="0" w:space="0" w:color="auto"/>
        <w:right w:val="none" w:sz="0" w:space="0" w:color="auto"/>
      </w:divBdr>
    </w:div>
    <w:div w:id="180048388">
      <w:bodyDiv w:val="1"/>
      <w:marLeft w:val="0"/>
      <w:marRight w:val="0"/>
      <w:marTop w:val="0"/>
      <w:marBottom w:val="0"/>
      <w:divBdr>
        <w:top w:val="none" w:sz="0" w:space="0" w:color="auto"/>
        <w:left w:val="none" w:sz="0" w:space="0" w:color="auto"/>
        <w:bottom w:val="none" w:sz="0" w:space="0" w:color="auto"/>
        <w:right w:val="none" w:sz="0" w:space="0" w:color="auto"/>
      </w:divBdr>
    </w:div>
    <w:div w:id="180434526">
      <w:bodyDiv w:val="1"/>
      <w:marLeft w:val="0"/>
      <w:marRight w:val="0"/>
      <w:marTop w:val="0"/>
      <w:marBottom w:val="0"/>
      <w:divBdr>
        <w:top w:val="none" w:sz="0" w:space="0" w:color="auto"/>
        <w:left w:val="none" w:sz="0" w:space="0" w:color="auto"/>
        <w:bottom w:val="none" w:sz="0" w:space="0" w:color="auto"/>
        <w:right w:val="none" w:sz="0" w:space="0" w:color="auto"/>
      </w:divBdr>
    </w:div>
    <w:div w:id="180778373">
      <w:bodyDiv w:val="1"/>
      <w:marLeft w:val="0"/>
      <w:marRight w:val="0"/>
      <w:marTop w:val="0"/>
      <w:marBottom w:val="0"/>
      <w:divBdr>
        <w:top w:val="none" w:sz="0" w:space="0" w:color="auto"/>
        <w:left w:val="none" w:sz="0" w:space="0" w:color="auto"/>
        <w:bottom w:val="none" w:sz="0" w:space="0" w:color="auto"/>
        <w:right w:val="none" w:sz="0" w:space="0" w:color="auto"/>
      </w:divBdr>
    </w:div>
    <w:div w:id="181286396">
      <w:bodyDiv w:val="1"/>
      <w:marLeft w:val="0"/>
      <w:marRight w:val="0"/>
      <w:marTop w:val="0"/>
      <w:marBottom w:val="0"/>
      <w:divBdr>
        <w:top w:val="none" w:sz="0" w:space="0" w:color="auto"/>
        <w:left w:val="none" w:sz="0" w:space="0" w:color="auto"/>
        <w:bottom w:val="none" w:sz="0" w:space="0" w:color="auto"/>
        <w:right w:val="none" w:sz="0" w:space="0" w:color="auto"/>
      </w:divBdr>
    </w:div>
    <w:div w:id="183516868">
      <w:bodyDiv w:val="1"/>
      <w:marLeft w:val="0"/>
      <w:marRight w:val="0"/>
      <w:marTop w:val="0"/>
      <w:marBottom w:val="0"/>
      <w:divBdr>
        <w:top w:val="none" w:sz="0" w:space="0" w:color="auto"/>
        <w:left w:val="none" w:sz="0" w:space="0" w:color="auto"/>
        <w:bottom w:val="none" w:sz="0" w:space="0" w:color="auto"/>
        <w:right w:val="none" w:sz="0" w:space="0" w:color="auto"/>
      </w:divBdr>
    </w:div>
    <w:div w:id="183828833">
      <w:bodyDiv w:val="1"/>
      <w:marLeft w:val="0"/>
      <w:marRight w:val="0"/>
      <w:marTop w:val="0"/>
      <w:marBottom w:val="0"/>
      <w:divBdr>
        <w:top w:val="none" w:sz="0" w:space="0" w:color="auto"/>
        <w:left w:val="none" w:sz="0" w:space="0" w:color="auto"/>
        <w:bottom w:val="none" w:sz="0" w:space="0" w:color="auto"/>
        <w:right w:val="none" w:sz="0" w:space="0" w:color="auto"/>
      </w:divBdr>
    </w:div>
    <w:div w:id="183833078">
      <w:bodyDiv w:val="1"/>
      <w:marLeft w:val="0"/>
      <w:marRight w:val="0"/>
      <w:marTop w:val="0"/>
      <w:marBottom w:val="0"/>
      <w:divBdr>
        <w:top w:val="none" w:sz="0" w:space="0" w:color="auto"/>
        <w:left w:val="none" w:sz="0" w:space="0" w:color="auto"/>
        <w:bottom w:val="none" w:sz="0" w:space="0" w:color="auto"/>
        <w:right w:val="none" w:sz="0" w:space="0" w:color="auto"/>
      </w:divBdr>
    </w:div>
    <w:div w:id="184173798">
      <w:bodyDiv w:val="1"/>
      <w:marLeft w:val="0"/>
      <w:marRight w:val="0"/>
      <w:marTop w:val="0"/>
      <w:marBottom w:val="0"/>
      <w:divBdr>
        <w:top w:val="none" w:sz="0" w:space="0" w:color="auto"/>
        <w:left w:val="none" w:sz="0" w:space="0" w:color="auto"/>
        <w:bottom w:val="none" w:sz="0" w:space="0" w:color="auto"/>
        <w:right w:val="none" w:sz="0" w:space="0" w:color="auto"/>
      </w:divBdr>
    </w:div>
    <w:div w:id="184369079">
      <w:bodyDiv w:val="1"/>
      <w:marLeft w:val="0"/>
      <w:marRight w:val="0"/>
      <w:marTop w:val="0"/>
      <w:marBottom w:val="0"/>
      <w:divBdr>
        <w:top w:val="none" w:sz="0" w:space="0" w:color="auto"/>
        <w:left w:val="none" w:sz="0" w:space="0" w:color="auto"/>
        <w:bottom w:val="none" w:sz="0" w:space="0" w:color="auto"/>
        <w:right w:val="none" w:sz="0" w:space="0" w:color="auto"/>
      </w:divBdr>
    </w:div>
    <w:div w:id="184369430">
      <w:bodyDiv w:val="1"/>
      <w:marLeft w:val="0"/>
      <w:marRight w:val="0"/>
      <w:marTop w:val="0"/>
      <w:marBottom w:val="0"/>
      <w:divBdr>
        <w:top w:val="none" w:sz="0" w:space="0" w:color="auto"/>
        <w:left w:val="none" w:sz="0" w:space="0" w:color="auto"/>
        <w:bottom w:val="none" w:sz="0" w:space="0" w:color="auto"/>
        <w:right w:val="none" w:sz="0" w:space="0" w:color="auto"/>
      </w:divBdr>
    </w:div>
    <w:div w:id="184636442">
      <w:bodyDiv w:val="1"/>
      <w:marLeft w:val="0"/>
      <w:marRight w:val="0"/>
      <w:marTop w:val="0"/>
      <w:marBottom w:val="0"/>
      <w:divBdr>
        <w:top w:val="none" w:sz="0" w:space="0" w:color="auto"/>
        <w:left w:val="none" w:sz="0" w:space="0" w:color="auto"/>
        <w:bottom w:val="none" w:sz="0" w:space="0" w:color="auto"/>
        <w:right w:val="none" w:sz="0" w:space="0" w:color="auto"/>
      </w:divBdr>
    </w:div>
    <w:div w:id="184640327">
      <w:bodyDiv w:val="1"/>
      <w:marLeft w:val="0"/>
      <w:marRight w:val="0"/>
      <w:marTop w:val="0"/>
      <w:marBottom w:val="0"/>
      <w:divBdr>
        <w:top w:val="none" w:sz="0" w:space="0" w:color="auto"/>
        <w:left w:val="none" w:sz="0" w:space="0" w:color="auto"/>
        <w:bottom w:val="none" w:sz="0" w:space="0" w:color="auto"/>
        <w:right w:val="none" w:sz="0" w:space="0" w:color="auto"/>
      </w:divBdr>
    </w:div>
    <w:div w:id="185024074">
      <w:bodyDiv w:val="1"/>
      <w:marLeft w:val="0"/>
      <w:marRight w:val="0"/>
      <w:marTop w:val="0"/>
      <w:marBottom w:val="0"/>
      <w:divBdr>
        <w:top w:val="none" w:sz="0" w:space="0" w:color="auto"/>
        <w:left w:val="none" w:sz="0" w:space="0" w:color="auto"/>
        <w:bottom w:val="none" w:sz="0" w:space="0" w:color="auto"/>
        <w:right w:val="none" w:sz="0" w:space="0" w:color="auto"/>
      </w:divBdr>
    </w:div>
    <w:div w:id="185217754">
      <w:bodyDiv w:val="1"/>
      <w:marLeft w:val="0"/>
      <w:marRight w:val="0"/>
      <w:marTop w:val="0"/>
      <w:marBottom w:val="0"/>
      <w:divBdr>
        <w:top w:val="none" w:sz="0" w:space="0" w:color="auto"/>
        <w:left w:val="none" w:sz="0" w:space="0" w:color="auto"/>
        <w:bottom w:val="none" w:sz="0" w:space="0" w:color="auto"/>
        <w:right w:val="none" w:sz="0" w:space="0" w:color="auto"/>
      </w:divBdr>
    </w:div>
    <w:div w:id="185290235">
      <w:bodyDiv w:val="1"/>
      <w:marLeft w:val="0"/>
      <w:marRight w:val="0"/>
      <w:marTop w:val="0"/>
      <w:marBottom w:val="0"/>
      <w:divBdr>
        <w:top w:val="none" w:sz="0" w:space="0" w:color="auto"/>
        <w:left w:val="none" w:sz="0" w:space="0" w:color="auto"/>
        <w:bottom w:val="none" w:sz="0" w:space="0" w:color="auto"/>
        <w:right w:val="none" w:sz="0" w:space="0" w:color="auto"/>
      </w:divBdr>
    </w:div>
    <w:div w:id="185368432">
      <w:bodyDiv w:val="1"/>
      <w:marLeft w:val="0"/>
      <w:marRight w:val="0"/>
      <w:marTop w:val="0"/>
      <w:marBottom w:val="0"/>
      <w:divBdr>
        <w:top w:val="none" w:sz="0" w:space="0" w:color="auto"/>
        <w:left w:val="none" w:sz="0" w:space="0" w:color="auto"/>
        <w:bottom w:val="none" w:sz="0" w:space="0" w:color="auto"/>
        <w:right w:val="none" w:sz="0" w:space="0" w:color="auto"/>
      </w:divBdr>
    </w:div>
    <w:div w:id="185598878">
      <w:bodyDiv w:val="1"/>
      <w:marLeft w:val="0"/>
      <w:marRight w:val="0"/>
      <w:marTop w:val="0"/>
      <w:marBottom w:val="0"/>
      <w:divBdr>
        <w:top w:val="none" w:sz="0" w:space="0" w:color="auto"/>
        <w:left w:val="none" w:sz="0" w:space="0" w:color="auto"/>
        <w:bottom w:val="none" w:sz="0" w:space="0" w:color="auto"/>
        <w:right w:val="none" w:sz="0" w:space="0" w:color="auto"/>
      </w:divBdr>
    </w:div>
    <w:div w:id="185870962">
      <w:bodyDiv w:val="1"/>
      <w:marLeft w:val="0"/>
      <w:marRight w:val="0"/>
      <w:marTop w:val="0"/>
      <w:marBottom w:val="0"/>
      <w:divBdr>
        <w:top w:val="none" w:sz="0" w:space="0" w:color="auto"/>
        <w:left w:val="none" w:sz="0" w:space="0" w:color="auto"/>
        <w:bottom w:val="none" w:sz="0" w:space="0" w:color="auto"/>
        <w:right w:val="none" w:sz="0" w:space="0" w:color="auto"/>
      </w:divBdr>
    </w:div>
    <w:div w:id="186188482">
      <w:bodyDiv w:val="1"/>
      <w:marLeft w:val="0"/>
      <w:marRight w:val="0"/>
      <w:marTop w:val="0"/>
      <w:marBottom w:val="0"/>
      <w:divBdr>
        <w:top w:val="none" w:sz="0" w:space="0" w:color="auto"/>
        <w:left w:val="none" w:sz="0" w:space="0" w:color="auto"/>
        <w:bottom w:val="none" w:sz="0" w:space="0" w:color="auto"/>
        <w:right w:val="none" w:sz="0" w:space="0" w:color="auto"/>
      </w:divBdr>
    </w:div>
    <w:div w:id="187447955">
      <w:bodyDiv w:val="1"/>
      <w:marLeft w:val="0"/>
      <w:marRight w:val="0"/>
      <w:marTop w:val="0"/>
      <w:marBottom w:val="0"/>
      <w:divBdr>
        <w:top w:val="none" w:sz="0" w:space="0" w:color="auto"/>
        <w:left w:val="none" w:sz="0" w:space="0" w:color="auto"/>
        <w:bottom w:val="none" w:sz="0" w:space="0" w:color="auto"/>
        <w:right w:val="none" w:sz="0" w:space="0" w:color="auto"/>
      </w:divBdr>
    </w:div>
    <w:div w:id="187641747">
      <w:bodyDiv w:val="1"/>
      <w:marLeft w:val="0"/>
      <w:marRight w:val="0"/>
      <w:marTop w:val="0"/>
      <w:marBottom w:val="0"/>
      <w:divBdr>
        <w:top w:val="none" w:sz="0" w:space="0" w:color="auto"/>
        <w:left w:val="none" w:sz="0" w:space="0" w:color="auto"/>
        <w:bottom w:val="none" w:sz="0" w:space="0" w:color="auto"/>
        <w:right w:val="none" w:sz="0" w:space="0" w:color="auto"/>
      </w:divBdr>
    </w:div>
    <w:div w:id="187720953">
      <w:bodyDiv w:val="1"/>
      <w:marLeft w:val="0"/>
      <w:marRight w:val="0"/>
      <w:marTop w:val="0"/>
      <w:marBottom w:val="0"/>
      <w:divBdr>
        <w:top w:val="none" w:sz="0" w:space="0" w:color="auto"/>
        <w:left w:val="none" w:sz="0" w:space="0" w:color="auto"/>
        <w:bottom w:val="none" w:sz="0" w:space="0" w:color="auto"/>
        <w:right w:val="none" w:sz="0" w:space="0" w:color="auto"/>
      </w:divBdr>
    </w:div>
    <w:div w:id="188375721">
      <w:bodyDiv w:val="1"/>
      <w:marLeft w:val="0"/>
      <w:marRight w:val="0"/>
      <w:marTop w:val="0"/>
      <w:marBottom w:val="0"/>
      <w:divBdr>
        <w:top w:val="none" w:sz="0" w:space="0" w:color="auto"/>
        <w:left w:val="none" w:sz="0" w:space="0" w:color="auto"/>
        <w:bottom w:val="none" w:sz="0" w:space="0" w:color="auto"/>
        <w:right w:val="none" w:sz="0" w:space="0" w:color="auto"/>
      </w:divBdr>
    </w:div>
    <w:div w:id="188446718">
      <w:bodyDiv w:val="1"/>
      <w:marLeft w:val="0"/>
      <w:marRight w:val="0"/>
      <w:marTop w:val="0"/>
      <w:marBottom w:val="0"/>
      <w:divBdr>
        <w:top w:val="none" w:sz="0" w:space="0" w:color="auto"/>
        <w:left w:val="none" w:sz="0" w:space="0" w:color="auto"/>
        <w:bottom w:val="none" w:sz="0" w:space="0" w:color="auto"/>
        <w:right w:val="none" w:sz="0" w:space="0" w:color="auto"/>
      </w:divBdr>
    </w:div>
    <w:div w:id="188682664">
      <w:bodyDiv w:val="1"/>
      <w:marLeft w:val="0"/>
      <w:marRight w:val="0"/>
      <w:marTop w:val="0"/>
      <w:marBottom w:val="0"/>
      <w:divBdr>
        <w:top w:val="none" w:sz="0" w:space="0" w:color="auto"/>
        <w:left w:val="none" w:sz="0" w:space="0" w:color="auto"/>
        <w:bottom w:val="none" w:sz="0" w:space="0" w:color="auto"/>
        <w:right w:val="none" w:sz="0" w:space="0" w:color="auto"/>
      </w:divBdr>
    </w:div>
    <w:div w:id="188763910">
      <w:bodyDiv w:val="1"/>
      <w:marLeft w:val="0"/>
      <w:marRight w:val="0"/>
      <w:marTop w:val="0"/>
      <w:marBottom w:val="0"/>
      <w:divBdr>
        <w:top w:val="none" w:sz="0" w:space="0" w:color="auto"/>
        <w:left w:val="none" w:sz="0" w:space="0" w:color="auto"/>
        <w:bottom w:val="none" w:sz="0" w:space="0" w:color="auto"/>
        <w:right w:val="none" w:sz="0" w:space="0" w:color="auto"/>
      </w:divBdr>
    </w:div>
    <w:div w:id="189531904">
      <w:bodyDiv w:val="1"/>
      <w:marLeft w:val="0"/>
      <w:marRight w:val="0"/>
      <w:marTop w:val="0"/>
      <w:marBottom w:val="0"/>
      <w:divBdr>
        <w:top w:val="none" w:sz="0" w:space="0" w:color="auto"/>
        <w:left w:val="none" w:sz="0" w:space="0" w:color="auto"/>
        <w:bottom w:val="none" w:sz="0" w:space="0" w:color="auto"/>
        <w:right w:val="none" w:sz="0" w:space="0" w:color="auto"/>
      </w:divBdr>
    </w:div>
    <w:div w:id="189615012">
      <w:bodyDiv w:val="1"/>
      <w:marLeft w:val="0"/>
      <w:marRight w:val="0"/>
      <w:marTop w:val="0"/>
      <w:marBottom w:val="0"/>
      <w:divBdr>
        <w:top w:val="none" w:sz="0" w:space="0" w:color="auto"/>
        <w:left w:val="none" w:sz="0" w:space="0" w:color="auto"/>
        <w:bottom w:val="none" w:sz="0" w:space="0" w:color="auto"/>
        <w:right w:val="none" w:sz="0" w:space="0" w:color="auto"/>
      </w:divBdr>
    </w:div>
    <w:div w:id="189757988">
      <w:bodyDiv w:val="1"/>
      <w:marLeft w:val="0"/>
      <w:marRight w:val="0"/>
      <w:marTop w:val="0"/>
      <w:marBottom w:val="0"/>
      <w:divBdr>
        <w:top w:val="none" w:sz="0" w:space="0" w:color="auto"/>
        <w:left w:val="none" w:sz="0" w:space="0" w:color="auto"/>
        <w:bottom w:val="none" w:sz="0" w:space="0" w:color="auto"/>
        <w:right w:val="none" w:sz="0" w:space="0" w:color="auto"/>
      </w:divBdr>
    </w:div>
    <w:div w:id="189801247">
      <w:bodyDiv w:val="1"/>
      <w:marLeft w:val="0"/>
      <w:marRight w:val="0"/>
      <w:marTop w:val="0"/>
      <w:marBottom w:val="0"/>
      <w:divBdr>
        <w:top w:val="none" w:sz="0" w:space="0" w:color="auto"/>
        <w:left w:val="none" w:sz="0" w:space="0" w:color="auto"/>
        <w:bottom w:val="none" w:sz="0" w:space="0" w:color="auto"/>
        <w:right w:val="none" w:sz="0" w:space="0" w:color="auto"/>
      </w:divBdr>
    </w:div>
    <w:div w:id="189924882">
      <w:bodyDiv w:val="1"/>
      <w:marLeft w:val="0"/>
      <w:marRight w:val="0"/>
      <w:marTop w:val="0"/>
      <w:marBottom w:val="0"/>
      <w:divBdr>
        <w:top w:val="none" w:sz="0" w:space="0" w:color="auto"/>
        <w:left w:val="none" w:sz="0" w:space="0" w:color="auto"/>
        <w:bottom w:val="none" w:sz="0" w:space="0" w:color="auto"/>
        <w:right w:val="none" w:sz="0" w:space="0" w:color="auto"/>
      </w:divBdr>
    </w:div>
    <w:div w:id="190143261">
      <w:bodyDiv w:val="1"/>
      <w:marLeft w:val="0"/>
      <w:marRight w:val="0"/>
      <w:marTop w:val="0"/>
      <w:marBottom w:val="0"/>
      <w:divBdr>
        <w:top w:val="none" w:sz="0" w:space="0" w:color="auto"/>
        <w:left w:val="none" w:sz="0" w:space="0" w:color="auto"/>
        <w:bottom w:val="none" w:sz="0" w:space="0" w:color="auto"/>
        <w:right w:val="none" w:sz="0" w:space="0" w:color="auto"/>
      </w:divBdr>
    </w:div>
    <w:div w:id="190609163">
      <w:bodyDiv w:val="1"/>
      <w:marLeft w:val="0"/>
      <w:marRight w:val="0"/>
      <w:marTop w:val="0"/>
      <w:marBottom w:val="0"/>
      <w:divBdr>
        <w:top w:val="none" w:sz="0" w:space="0" w:color="auto"/>
        <w:left w:val="none" w:sz="0" w:space="0" w:color="auto"/>
        <w:bottom w:val="none" w:sz="0" w:space="0" w:color="auto"/>
        <w:right w:val="none" w:sz="0" w:space="0" w:color="auto"/>
      </w:divBdr>
    </w:div>
    <w:div w:id="190648040">
      <w:bodyDiv w:val="1"/>
      <w:marLeft w:val="0"/>
      <w:marRight w:val="0"/>
      <w:marTop w:val="0"/>
      <w:marBottom w:val="0"/>
      <w:divBdr>
        <w:top w:val="none" w:sz="0" w:space="0" w:color="auto"/>
        <w:left w:val="none" w:sz="0" w:space="0" w:color="auto"/>
        <w:bottom w:val="none" w:sz="0" w:space="0" w:color="auto"/>
        <w:right w:val="none" w:sz="0" w:space="0" w:color="auto"/>
      </w:divBdr>
    </w:div>
    <w:div w:id="192157506">
      <w:bodyDiv w:val="1"/>
      <w:marLeft w:val="0"/>
      <w:marRight w:val="0"/>
      <w:marTop w:val="0"/>
      <w:marBottom w:val="0"/>
      <w:divBdr>
        <w:top w:val="none" w:sz="0" w:space="0" w:color="auto"/>
        <w:left w:val="none" w:sz="0" w:space="0" w:color="auto"/>
        <w:bottom w:val="none" w:sz="0" w:space="0" w:color="auto"/>
        <w:right w:val="none" w:sz="0" w:space="0" w:color="auto"/>
      </w:divBdr>
    </w:div>
    <w:div w:id="192810300">
      <w:bodyDiv w:val="1"/>
      <w:marLeft w:val="0"/>
      <w:marRight w:val="0"/>
      <w:marTop w:val="0"/>
      <w:marBottom w:val="0"/>
      <w:divBdr>
        <w:top w:val="none" w:sz="0" w:space="0" w:color="auto"/>
        <w:left w:val="none" w:sz="0" w:space="0" w:color="auto"/>
        <w:bottom w:val="none" w:sz="0" w:space="0" w:color="auto"/>
        <w:right w:val="none" w:sz="0" w:space="0" w:color="auto"/>
      </w:divBdr>
    </w:div>
    <w:div w:id="192816404">
      <w:bodyDiv w:val="1"/>
      <w:marLeft w:val="0"/>
      <w:marRight w:val="0"/>
      <w:marTop w:val="0"/>
      <w:marBottom w:val="0"/>
      <w:divBdr>
        <w:top w:val="none" w:sz="0" w:space="0" w:color="auto"/>
        <w:left w:val="none" w:sz="0" w:space="0" w:color="auto"/>
        <w:bottom w:val="none" w:sz="0" w:space="0" w:color="auto"/>
        <w:right w:val="none" w:sz="0" w:space="0" w:color="auto"/>
      </w:divBdr>
    </w:div>
    <w:div w:id="193150845">
      <w:bodyDiv w:val="1"/>
      <w:marLeft w:val="0"/>
      <w:marRight w:val="0"/>
      <w:marTop w:val="0"/>
      <w:marBottom w:val="0"/>
      <w:divBdr>
        <w:top w:val="none" w:sz="0" w:space="0" w:color="auto"/>
        <w:left w:val="none" w:sz="0" w:space="0" w:color="auto"/>
        <w:bottom w:val="none" w:sz="0" w:space="0" w:color="auto"/>
        <w:right w:val="none" w:sz="0" w:space="0" w:color="auto"/>
      </w:divBdr>
    </w:div>
    <w:div w:id="194662550">
      <w:bodyDiv w:val="1"/>
      <w:marLeft w:val="0"/>
      <w:marRight w:val="0"/>
      <w:marTop w:val="0"/>
      <w:marBottom w:val="0"/>
      <w:divBdr>
        <w:top w:val="none" w:sz="0" w:space="0" w:color="auto"/>
        <w:left w:val="none" w:sz="0" w:space="0" w:color="auto"/>
        <w:bottom w:val="none" w:sz="0" w:space="0" w:color="auto"/>
        <w:right w:val="none" w:sz="0" w:space="0" w:color="auto"/>
      </w:divBdr>
    </w:div>
    <w:div w:id="195196542">
      <w:bodyDiv w:val="1"/>
      <w:marLeft w:val="0"/>
      <w:marRight w:val="0"/>
      <w:marTop w:val="0"/>
      <w:marBottom w:val="0"/>
      <w:divBdr>
        <w:top w:val="none" w:sz="0" w:space="0" w:color="auto"/>
        <w:left w:val="none" w:sz="0" w:space="0" w:color="auto"/>
        <w:bottom w:val="none" w:sz="0" w:space="0" w:color="auto"/>
        <w:right w:val="none" w:sz="0" w:space="0" w:color="auto"/>
      </w:divBdr>
    </w:div>
    <w:div w:id="195587776">
      <w:bodyDiv w:val="1"/>
      <w:marLeft w:val="0"/>
      <w:marRight w:val="0"/>
      <w:marTop w:val="0"/>
      <w:marBottom w:val="0"/>
      <w:divBdr>
        <w:top w:val="none" w:sz="0" w:space="0" w:color="auto"/>
        <w:left w:val="none" w:sz="0" w:space="0" w:color="auto"/>
        <w:bottom w:val="none" w:sz="0" w:space="0" w:color="auto"/>
        <w:right w:val="none" w:sz="0" w:space="0" w:color="auto"/>
      </w:divBdr>
    </w:div>
    <w:div w:id="197009402">
      <w:bodyDiv w:val="1"/>
      <w:marLeft w:val="0"/>
      <w:marRight w:val="0"/>
      <w:marTop w:val="0"/>
      <w:marBottom w:val="0"/>
      <w:divBdr>
        <w:top w:val="none" w:sz="0" w:space="0" w:color="auto"/>
        <w:left w:val="none" w:sz="0" w:space="0" w:color="auto"/>
        <w:bottom w:val="none" w:sz="0" w:space="0" w:color="auto"/>
        <w:right w:val="none" w:sz="0" w:space="0" w:color="auto"/>
      </w:divBdr>
    </w:div>
    <w:div w:id="197082530">
      <w:bodyDiv w:val="1"/>
      <w:marLeft w:val="0"/>
      <w:marRight w:val="0"/>
      <w:marTop w:val="0"/>
      <w:marBottom w:val="0"/>
      <w:divBdr>
        <w:top w:val="none" w:sz="0" w:space="0" w:color="auto"/>
        <w:left w:val="none" w:sz="0" w:space="0" w:color="auto"/>
        <w:bottom w:val="none" w:sz="0" w:space="0" w:color="auto"/>
        <w:right w:val="none" w:sz="0" w:space="0" w:color="auto"/>
      </w:divBdr>
    </w:div>
    <w:div w:id="198326498">
      <w:bodyDiv w:val="1"/>
      <w:marLeft w:val="0"/>
      <w:marRight w:val="0"/>
      <w:marTop w:val="0"/>
      <w:marBottom w:val="0"/>
      <w:divBdr>
        <w:top w:val="none" w:sz="0" w:space="0" w:color="auto"/>
        <w:left w:val="none" w:sz="0" w:space="0" w:color="auto"/>
        <w:bottom w:val="none" w:sz="0" w:space="0" w:color="auto"/>
        <w:right w:val="none" w:sz="0" w:space="0" w:color="auto"/>
      </w:divBdr>
    </w:div>
    <w:div w:id="198713940">
      <w:bodyDiv w:val="1"/>
      <w:marLeft w:val="0"/>
      <w:marRight w:val="0"/>
      <w:marTop w:val="0"/>
      <w:marBottom w:val="0"/>
      <w:divBdr>
        <w:top w:val="none" w:sz="0" w:space="0" w:color="auto"/>
        <w:left w:val="none" w:sz="0" w:space="0" w:color="auto"/>
        <w:bottom w:val="none" w:sz="0" w:space="0" w:color="auto"/>
        <w:right w:val="none" w:sz="0" w:space="0" w:color="auto"/>
      </w:divBdr>
    </w:div>
    <w:div w:id="198857805">
      <w:bodyDiv w:val="1"/>
      <w:marLeft w:val="0"/>
      <w:marRight w:val="0"/>
      <w:marTop w:val="0"/>
      <w:marBottom w:val="0"/>
      <w:divBdr>
        <w:top w:val="none" w:sz="0" w:space="0" w:color="auto"/>
        <w:left w:val="none" w:sz="0" w:space="0" w:color="auto"/>
        <w:bottom w:val="none" w:sz="0" w:space="0" w:color="auto"/>
        <w:right w:val="none" w:sz="0" w:space="0" w:color="auto"/>
      </w:divBdr>
    </w:div>
    <w:div w:id="199126420">
      <w:bodyDiv w:val="1"/>
      <w:marLeft w:val="0"/>
      <w:marRight w:val="0"/>
      <w:marTop w:val="0"/>
      <w:marBottom w:val="0"/>
      <w:divBdr>
        <w:top w:val="none" w:sz="0" w:space="0" w:color="auto"/>
        <w:left w:val="none" w:sz="0" w:space="0" w:color="auto"/>
        <w:bottom w:val="none" w:sz="0" w:space="0" w:color="auto"/>
        <w:right w:val="none" w:sz="0" w:space="0" w:color="auto"/>
      </w:divBdr>
    </w:div>
    <w:div w:id="199247368">
      <w:bodyDiv w:val="1"/>
      <w:marLeft w:val="0"/>
      <w:marRight w:val="0"/>
      <w:marTop w:val="0"/>
      <w:marBottom w:val="0"/>
      <w:divBdr>
        <w:top w:val="none" w:sz="0" w:space="0" w:color="auto"/>
        <w:left w:val="none" w:sz="0" w:space="0" w:color="auto"/>
        <w:bottom w:val="none" w:sz="0" w:space="0" w:color="auto"/>
        <w:right w:val="none" w:sz="0" w:space="0" w:color="auto"/>
      </w:divBdr>
    </w:div>
    <w:div w:id="199248907">
      <w:bodyDiv w:val="1"/>
      <w:marLeft w:val="0"/>
      <w:marRight w:val="0"/>
      <w:marTop w:val="0"/>
      <w:marBottom w:val="0"/>
      <w:divBdr>
        <w:top w:val="none" w:sz="0" w:space="0" w:color="auto"/>
        <w:left w:val="none" w:sz="0" w:space="0" w:color="auto"/>
        <w:bottom w:val="none" w:sz="0" w:space="0" w:color="auto"/>
        <w:right w:val="none" w:sz="0" w:space="0" w:color="auto"/>
      </w:divBdr>
    </w:div>
    <w:div w:id="199560238">
      <w:bodyDiv w:val="1"/>
      <w:marLeft w:val="0"/>
      <w:marRight w:val="0"/>
      <w:marTop w:val="0"/>
      <w:marBottom w:val="0"/>
      <w:divBdr>
        <w:top w:val="none" w:sz="0" w:space="0" w:color="auto"/>
        <w:left w:val="none" w:sz="0" w:space="0" w:color="auto"/>
        <w:bottom w:val="none" w:sz="0" w:space="0" w:color="auto"/>
        <w:right w:val="none" w:sz="0" w:space="0" w:color="auto"/>
      </w:divBdr>
    </w:div>
    <w:div w:id="199979641">
      <w:bodyDiv w:val="1"/>
      <w:marLeft w:val="0"/>
      <w:marRight w:val="0"/>
      <w:marTop w:val="0"/>
      <w:marBottom w:val="0"/>
      <w:divBdr>
        <w:top w:val="none" w:sz="0" w:space="0" w:color="auto"/>
        <w:left w:val="none" w:sz="0" w:space="0" w:color="auto"/>
        <w:bottom w:val="none" w:sz="0" w:space="0" w:color="auto"/>
        <w:right w:val="none" w:sz="0" w:space="0" w:color="auto"/>
      </w:divBdr>
    </w:div>
    <w:div w:id="200868096">
      <w:bodyDiv w:val="1"/>
      <w:marLeft w:val="0"/>
      <w:marRight w:val="0"/>
      <w:marTop w:val="0"/>
      <w:marBottom w:val="0"/>
      <w:divBdr>
        <w:top w:val="none" w:sz="0" w:space="0" w:color="auto"/>
        <w:left w:val="none" w:sz="0" w:space="0" w:color="auto"/>
        <w:bottom w:val="none" w:sz="0" w:space="0" w:color="auto"/>
        <w:right w:val="none" w:sz="0" w:space="0" w:color="auto"/>
      </w:divBdr>
    </w:div>
    <w:div w:id="201089497">
      <w:bodyDiv w:val="1"/>
      <w:marLeft w:val="0"/>
      <w:marRight w:val="0"/>
      <w:marTop w:val="0"/>
      <w:marBottom w:val="0"/>
      <w:divBdr>
        <w:top w:val="none" w:sz="0" w:space="0" w:color="auto"/>
        <w:left w:val="none" w:sz="0" w:space="0" w:color="auto"/>
        <w:bottom w:val="none" w:sz="0" w:space="0" w:color="auto"/>
        <w:right w:val="none" w:sz="0" w:space="0" w:color="auto"/>
      </w:divBdr>
    </w:div>
    <w:div w:id="201406787">
      <w:bodyDiv w:val="1"/>
      <w:marLeft w:val="0"/>
      <w:marRight w:val="0"/>
      <w:marTop w:val="0"/>
      <w:marBottom w:val="0"/>
      <w:divBdr>
        <w:top w:val="none" w:sz="0" w:space="0" w:color="auto"/>
        <w:left w:val="none" w:sz="0" w:space="0" w:color="auto"/>
        <w:bottom w:val="none" w:sz="0" w:space="0" w:color="auto"/>
        <w:right w:val="none" w:sz="0" w:space="0" w:color="auto"/>
      </w:divBdr>
    </w:div>
    <w:div w:id="201669643">
      <w:bodyDiv w:val="1"/>
      <w:marLeft w:val="0"/>
      <w:marRight w:val="0"/>
      <w:marTop w:val="0"/>
      <w:marBottom w:val="0"/>
      <w:divBdr>
        <w:top w:val="none" w:sz="0" w:space="0" w:color="auto"/>
        <w:left w:val="none" w:sz="0" w:space="0" w:color="auto"/>
        <w:bottom w:val="none" w:sz="0" w:space="0" w:color="auto"/>
        <w:right w:val="none" w:sz="0" w:space="0" w:color="auto"/>
      </w:divBdr>
    </w:div>
    <w:div w:id="201942091">
      <w:bodyDiv w:val="1"/>
      <w:marLeft w:val="0"/>
      <w:marRight w:val="0"/>
      <w:marTop w:val="0"/>
      <w:marBottom w:val="0"/>
      <w:divBdr>
        <w:top w:val="none" w:sz="0" w:space="0" w:color="auto"/>
        <w:left w:val="none" w:sz="0" w:space="0" w:color="auto"/>
        <w:bottom w:val="none" w:sz="0" w:space="0" w:color="auto"/>
        <w:right w:val="none" w:sz="0" w:space="0" w:color="auto"/>
      </w:divBdr>
    </w:div>
    <w:div w:id="202327236">
      <w:bodyDiv w:val="1"/>
      <w:marLeft w:val="0"/>
      <w:marRight w:val="0"/>
      <w:marTop w:val="0"/>
      <w:marBottom w:val="0"/>
      <w:divBdr>
        <w:top w:val="none" w:sz="0" w:space="0" w:color="auto"/>
        <w:left w:val="none" w:sz="0" w:space="0" w:color="auto"/>
        <w:bottom w:val="none" w:sz="0" w:space="0" w:color="auto"/>
        <w:right w:val="none" w:sz="0" w:space="0" w:color="auto"/>
      </w:divBdr>
    </w:div>
    <w:div w:id="202795858">
      <w:bodyDiv w:val="1"/>
      <w:marLeft w:val="0"/>
      <w:marRight w:val="0"/>
      <w:marTop w:val="0"/>
      <w:marBottom w:val="0"/>
      <w:divBdr>
        <w:top w:val="none" w:sz="0" w:space="0" w:color="auto"/>
        <w:left w:val="none" w:sz="0" w:space="0" w:color="auto"/>
        <w:bottom w:val="none" w:sz="0" w:space="0" w:color="auto"/>
        <w:right w:val="none" w:sz="0" w:space="0" w:color="auto"/>
      </w:divBdr>
    </w:div>
    <w:div w:id="203062267">
      <w:bodyDiv w:val="1"/>
      <w:marLeft w:val="0"/>
      <w:marRight w:val="0"/>
      <w:marTop w:val="0"/>
      <w:marBottom w:val="0"/>
      <w:divBdr>
        <w:top w:val="none" w:sz="0" w:space="0" w:color="auto"/>
        <w:left w:val="none" w:sz="0" w:space="0" w:color="auto"/>
        <w:bottom w:val="none" w:sz="0" w:space="0" w:color="auto"/>
        <w:right w:val="none" w:sz="0" w:space="0" w:color="auto"/>
      </w:divBdr>
    </w:div>
    <w:div w:id="203176149">
      <w:bodyDiv w:val="1"/>
      <w:marLeft w:val="0"/>
      <w:marRight w:val="0"/>
      <w:marTop w:val="0"/>
      <w:marBottom w:val="0"/>
      <w:divBdr>
        <w:top w:val="none" w:sz="0" w:space="0" w:color="auto"/>
        <w:left w:val="none" w:sz="0" w:space="0" w:color="auto"/>
        <w:bottom w:val="none" w:sz="0" w:space="0" w:color="auto"/>
        <w:right w:val="none" w:sz="0" w:space="0" w:color="auto"/>
      </w:divBdr>
    </w:div>
    <w:div w:id="203953179">
      <w:bodyDiv w:val="1"/>
      <w:marLeft w:val="0"/>
      <w:marRight w:val="0"/>
      <w:marTop w:val="0"/>
      <w:marBottom w:val="0"/>
      <w:divBdr>
        <w:top w:val="none" w:sz="0" w:space="0" w:color="auto"/>
        <w:left w:val="none" w:sz="0" w:space="0" w:color="auto"/>
        <w:bottom w:val="none" w:sz="0" w:space="0" w:color="auto"/>
        <w:right w:val="none" w:sz="0" w:space="0" w:color="auto"/>
      </w:divBdr>
    </w:div>
    <w:div w:id="204215222">
      <w:bodyDiv w:val="1"/>
      <w:marLeft w:val="0"/>
      <w:marRight w:val="0"/>
      <w:marTop w:val="0"/>
      <w:marBottom w:val="0"/>
      <w:divBdr>
        <w:top w:val="none" w:sz="0" w:space="0" w:color="auto"/>
        <w:left w:val="none" w:sz="0" w:space="0" w:color="auto"/>
        <w:bottom w:val="none" w:sz="0" w:space="0" w:color="auto"/>
        <w:right w:val="none" w:sz="0" w:space="0" w:color="auto"/>
      </w:divBdr>
    </w:div>
    <w:div w:id="204220792">
      <w:bodyDiv w:val="1"/>
      <w:marLeft w:val="0"/>
      <w:marRight w:val="0"/>
      <w:marTop w:val="0"/>
      <w:marBottom w:val="0"/>
      <w:divBdr>
        <w:top w:val="none" w:sz="0" w:space="0" w:color="auto"/>
        <w:left w:val="none" w:sz="0" w:space="0" w:color="auto"/>
        <w:bottom w:val="none" w:sz="0" w:space="0" w:color="auto"/>
        <w:right w:val="none" w:sz="0" w:space="0" w:color="auto"/>
      </w:divBdr>
    </w:div>
    <w:div w:id="204222864">
      <w:bodyDiv w:val="1"/>
      <w:marLeft w:val="0"/>
      <w:marRight w:val="0"/>
      <w:marTop w:val="0"/>
      <w:marBottom w:val="0"/>
      <w:divBdr>
        <w:top w:val="none" w:sz="0" w:space="0" w:color="auto"/>
        <w:left w:val="none" w:sz="0" w:space="0" w:color="auto"/>
        <w:bottom w:val="none" w:sz="0" w:space="0" w:color="auto"/>
        <w:right w:val="none" w:sz="0" w:space="0" w:color="auto"/>
      </w:divBdr>
    </w:div>
    <w:div w:id="204412272">
      <w:bodyDiv w:val="1"/>
      <w:marLeft w:val="0"/>
      <w:marRight w:val="0"/>
      <w:marTop w:val="0"/>
      <w:marBottom w:val="0"/>
      <w:divBdr>
        <w:top w:val="none" w:sz="0" w:space="0" w:color="auto"/>
        <w:left w:val="none" w:sz="0" w:space="0" w:color="auto"/>
        <w:bottom w:val="none" w:sz="0" w:space="0" w:color="auto"/>
        <w:right w:val="none" w:sz="0" w:space="0" w:color="auto"/>
      </w:divBdr>
    </w:div>
    <w:div w:id="205336867">
      <w:bodyDiv w:val="1"/>
      <w:marLeft w:val="0"/>
      <w:marRight w:val="0"/>
      <w:marTop w:val="0"/>
      <w:marBottom w:val="0"/>
      <w:divBdr>
        <w:top w:val="none" w:sz="0" w:space="0" w:color="auto"/>
        <w:left w:val="none" w:sz="0" w:space="0" w:color="auto"/>
        <w:bottom w:val="none" w:sz="0" w:space="0" w:color="auto"/>
        <w:right w:val="none" w:sz="0" w:space="0" w:color="auto"/>
      </w:divBdr>
    </w:div>
    <w:div w:id="205528105">
      <w:bodyDiv w:val="1"/>
      <w:marLeft w:val="0"/>
      <w:marRight w:val="0"/>
      <w:marTop w:val="0"/>
      <w:marBottom w:val="0"/>
      <w:divBdr>
        <w:top w:val="none" w:sz="0" w:space="0" w:color="auto"/>
        <w:left w:val="none" w:sz="0" w:space="0" w:color="auto"/>
        <w:bottom w:val="none" w:sz="0" w:space="0" w:color="auto"/>
        <w:right w:val="none" w:sz="0" w:space="0" w:color="auto"/>
      </w:divBdr>
    </w:div>
    <w:div w:id="205722493">
      <w:bodyDiv w:val="1"/>
      <w:marLeft w:val="0"/>
      <w:marRight w:val="0"/>
      <w:marTop w:val="0"/>
      <w:marBottom w:val="0"/>
      <w:divBdr>
        <w:top w:val="none" w:sz="0" w:space="0" w:color="auto"/>
        <w:left w:val="none" w:sz="0" w:space="0" w:color="auto"/>
        <w:bottom w:val="none" w:sz="0" w:space="0" w:color="auto"/>
        <w:right w:val="none" w:sz="0" w:space="0" w:color="auto"/>
      </w:divBdr>
    </w:div>
    <w:div w:id="205727851">
      <w:bodyDiv w:val="1"/>
      <w:marLeft w:val="0"/>
      <w:marRight w:val="0"/>
      <w:marTop w:val="0"/>
      <w:marBottom w:val="0"/>
      <w:divBdr>
        <w:top w:val="none" w:sz="0" w:space="0" w:color="auto"/>
        <w:left w:val="none" w:sz="0" w:space="0" w:color="auto"/>
        <w:bottom w:val="none" w:sz="0" w:space="0" w:color="auto"/>
        <w:right w:val="none" w:sz="0" w:space="0" w:color="auto"/>
      </w:divBdr>
    </w:div>
    <w:div w:id="205801635">
      <w:bodyDiv w:val="1"/>
      <w:marLeft w:val="0"/>
      <w:marRight w:val="0"/>
      <w:marTop w:val="0"/>
      <w:marBottom w:val="0"/>
      <w:divBdr>
        <w:top w:val="none" w:sz="0" w:space="0" w:color="auto"/>
        <w:left w:val="none" w:sz="0" w:space="0" w:color="auto"/>
        <w:bottom w:val="none" w:sz="0" w:space="0" w:color="auto"/>
        <w:right w:val="none" w:sz="0" w:space="0" w:color="auto"/>
      </w:divBdr>
    </w:div>
    <w:div w:id="205989818">
      <w:bodyDiv w:val="1"/>
      <w:marLeft w:val="0"/>
      <w:marRight w:val="0"/>
      <w:marTop w:val="0"/>
      <w:marBottom w:val="0"/>
      <w:divBdr>
        <w:top w:val="none" w:sz="0" w:space="0" w:color="auto"/>
        <w:left w:val="none" w:sz="0" w:space="0" w:color="auto"/>
        <w:bottom w:val="none" w:sz="0" w:space="0" w:color="auto"/>
        <w:right w:val="none" w:sz="0" w:space="0" w:color="auto"/>
      </w:divBdr>
    </w:div>
    <w:div w:id="206138579">
      <w:bodyDiv w:val="1"/>
      <w:marLeft w:val="0"/>
      <w:marRight w:val="0"/>
      <w:marTop w:val="0"/>
      <w:marBottom w:val="0"/>
      <w:divBdr>
        <w:top w:val="none" w:sz="0" w:space="0" w:color="auto"/>
        <w:left w:val="none" w:sz="0" w:space="0" w:color="auto"/>
        <w:bottom w:val="none" w:sz="0" w:space="0" w:color="auto"/>
        <w:right w:val="none" w:sz="0" w:space="0" w:color="auto"/>
      </w:divBdr>
    </w:div>
    <w:div w:id="206651238">
      <w:bodyDiv w:val="1"/>
      <w:marLeft w:val="0"/>
      <w:marRight w:val="0"/>
      <w:marTop w:val="0"/>
      <w:marBottom w:val="0"/>
      <w:divBdr>
        <w:top w:val="none" w:sz="0" w:space="0" w:color="auto"/>
        <w:left w:val="none" w:sz="0" w:space="0" w:color="auto"/>
        <w:bottom w:val="none" w:sz="0" w:space="0" w:color="auto"/>
        <w:right w:val="none" w:sz="0" w:space="0" w:color="auto"/>
      </w:divBdr>
    </w:div>
    <w:div w:id="207299906">
      <w:bodyDiv w:val="1"/>
      <w:marLeft w:val="0"/>
      <w:marRight w:val="0"/>
      <w:marTop w:val="0"/>
      <w:marBottom w:val="0"/>
      <w:divBdr>
        <w:top w:val="none" w:sz="0" w:space="0" w:color="auto"/>
        <w:left w:val="none" w:sz="0" w:space="0" w:color="auto"/>
        <w:bottom w:val="none" w:sz="0" w:space="0" w:color="auto"/>
        <w:right w:val="none" w:sz="0" w:space="0" w:color="auto"/>
      </w:divBdr>
    </w:div>
    <w:div w:id="207769052">
      <w:bodyDiv w:val="1"/>
      <w:marLeft w:val="0"/>
      <w:marRight w:val="0"/>
      <w:marTop w:val="0"/>
      <w:marBottom w:val="0"/>
      <w:divBdr>
        <w:top w:val="none" w:sz="0" w:space="0" w:color="auto"/>
        <w:left w:val="none" w:sz="0" w:space="0" w:color="auto"/>
        <w:bottom w:val="none" w:sz="0" w:space="0" w:color="auto"/>
        <w:right w:val="none" w:sz="0" w:space="0" w:color="auto"/>
      </w:divBdr>
    </w:div>
    <w:div w:id="208302792">
      <w:bodyDiv w:val="1"/>
      <w:marLeft w:val="0"/>
      <w:marRight w:val="0"/>
      <w:marTop w:val="0"/>
      <w:marBottom w:val="0"/>
      <w:divBdr>
        <w:top w:val="none" w:sz="0" w:space="0" w:color="auto"/>
        <w:left w:val="none" w:sz="0" w:space="0" w:color="auto"/>
        <w:bottom w:val="none" w:sz="0" w:space="0" w:color="auto"/>
        <w:right w:val="none" w:sz="0" w:space="0" w:color="auto"/>
      </w:divBdr>
    </w:div>
    <w:div w:id="208349285">
      <w:bodyDiv w:val="1"/>
      <w:marLeft w:val="0"/>
      <w:marRight w:val="0"/>
      <w:marTop w:val="0"/>
      <w:marBottom w:val="0"/>
      <w:divBdr>
        <w:top w:val="none" w:sz="0" w:space="0" w:color="auto"/>
        <w:left w:val="none" w:sz="0" w:space="0" w:color="auto"/>
        <w:bottom w:val="none" w:sz="0" w:space="0" w:color="auto"/>
        <w:right w:val="none" w:sz="0" w:space="0" w:color="auto"/>
      </w:divBdr>
    </w:div>
    <w:div w:id="209191775">
      <w:bodyDiv w:val="1"/>
      <w:marLeft w:val="0"/>
      <w:marRight w:val="0"/>
      <w:marTop w:val="0"/>
      <w:marBottom w:val="0"/>
      <w:divBdr>
        <w:top w:val="none" w:sz="0" w:space="0" w:color="auto"/>
        <w:left w:val="none" w:sz="0" w:space="0" w:color="auto"/>
        <w:bottom w:val="none" w:sz="0" w:space="0" w:color="auto"/>
        <w:right w:val="none" w:sz="0" w:space="0" w:color="auto"/>
      </w:divBdr>
    </w:div>
    <w:div w:id="209269014">
      <w:bodyDiv w:val="1"/>
      <w:marLeft w:val="0"/>
      <w:marRight w:val="0"/>
      <w:marTop w:val="0"/>
      <w:marBottom w:val="0"/>
      <w:divBdr>
        <w:top w:val="none" w:sz="0" w:space="0" w:color="auto"/>
        <w:left w:val="none" w:sz="0" w:space="0" w:color="auto"/>
        <w:bottom w:val="none" w:sz="0" w:space="0" w:color="auto"/>
        <w:right w:val="none" w:sz="0" w:space="0" w:color="auto"/>
      </w:divBdr>
    </w:div>
    <w:div w:id="209341884">
      <w:bodyDiv w:val="1"/>
      <w:marLeft w:val="0"/>
      <w:marRight w:val="0"/>
      <w:marTop w:val="0"/>
      <w:marBottom w:val="0"/>
      <w:divBdr>
        <w:top w:val="none" w:sz="0" w:space="0" w:color="auto"/>
        <w:left w:val="none" w:sz="0" w:space="0" w:color="auto"/>
        <w:bottom w:val="none" w:sz="0" w:space="0" w:color="auto"/>
        <w:right w:val="none" w:sz="0" w:space="0" w:color="auto"/>
      </w:divBdr>
    </w:div>
    <w:div w:id="209533377">
      <w:bodyDiv w:val="1"/>
      <w:marLeft w:val="0"/>
      <w:marRight w:val="0"/>
      <w:marTop w:val="0"/>
      <w:marBottom w:val="0"/>
      <w:divBdr>
        <w:top w:val="none" w:sz="0" w:space="0" w:color="auto"/>
        <w:left w:val="none" w:sz="0" w:space="0" w:color="auto"/>
        <w:bottom w:val="none" w:sz="0" w:space="0" w:color="auto"/>
        <w:right w:val="none" w:sz="0" w:space="0" w:color="auto"/>
      </w:divBdr>
    </w:div>
    <w:div w:id="209609626">
      <w:bodyDiv w:val="1"/>
      <w:marLeft w:val="0"/>
      <w:marRight w:val="0"/>
      <w:marTop w:val="0"/>
      <w:marBottom w:val="0"/>
      <w:divBdr>
        <w:top w:val="none" w:sz="0" w:space="0" w:color="auto"/>
        <w:left w:val="none" w:sz="0" w:space="0" w:color="auto"/>
        <w:bottom w:val="none" w:sz="0" w:space="0" w:color="auto"/>
        <w:right w:val="none" w:sz="0" w:space="0" w:color="auto"/>
      </w:divBdr>
    </w:div>
    <w:div w:id="209733297">
      <w:bodyDiv w:val="1"/>
      <w:marLeft w:val="0"/>
      <w:marRight w:val="0"/>
      <w:marTop w:val="0"/>
      <w:marBottom w:val="0"/>
      <w:divBdr>
        <w:top w:val="none" w:sz="0" w:space="0" w:color="auto"/>
        <w:left w:val="none" w:sz="0" w:space="0" w:color="auto"/>
        <w:bottom w:val="none" w:sz="0" w:space="0" w:color="auto"/>
        <w:right w:val="none" w:sz="0" w:space="0" w:color="auto"/>
      </w:divBdr>
    </w:div>
    <w:div w:id="210189613">
      <w:bodyDiv w:val="1"/>
      <w:marLeft w:val="0"/>
      <w:marRight w:val="0"/>
      <w:marTop w:val="0"/>
      <w:marBottom w:val="0"/>
      <w:divBdr>
        <w:top w:val="none" w:sz="0" w:space="0" w:color="auto"/>
        <w:left w:val="none" w:sz="0" w:space="0" w:color="auto"/>
        <w:bottom w:val="none" w:sz="0" w:space="0" w:color="auto"/>
        <w:right w:val="none" w:sz="0" w:space="0" w:color="auto"/>
      </w:divBdr>
    </w:div>
    <w:div w:id="211044256">
      <w:bodyDiv w:val="1"/>
      <w:marLeft w:val="0"/>
      <w:marRight w:val="0"/>
      <w:marTop w:val="0"/>
      <w:marBottom w:val="0"/>
      <w:divBdr>
        <w:top w:val="none" w:sz="0" w:space="0" w:color="auto"/>
        <w:left w:val="none" w:sz="0" w:space="0" w:color="auto"/>
        <w:bottom w:val="none" w:sz="0" w:space="0" w:color="auto"/>
        <w:right w:val="none" w:sz="0" w:space="0" w:color="auto"/>
      </w:divBdr>
    </w:div>
    <w:div w:id="211314729">
      <w:bodyDiv w:val="1"/>
      <w:marLeft w:val="0"/>
      <w:marRight w:val="0"/>
      <w:marTop w:val="0"/>
      <w:marBottom w:val="0"/>
      <w:divBdr>
        <w:top w:val="none" w:sz="0" w:space="0" w:color="auto"/>
        <w:left w:val="none" w:sz="0" w:space="0" w:color="auto"/>
        <w:bottom w:val="none" w:sz="0" w:space="0" w:color="auto"/>
        <w:right w:val="none" w:sz="0" w:space="0" w:color="auto"/>
      </w:divBdr>
    </w:div>
    <w:div w:id="211691972">
      <w:bodyDiv w:val="1"/>
      <w:marLeft w:val="0"/>
      <w:marRight w:val="0"/>
      <w:marTop w:val="0"/>
      <w:marBottom w:val="0"/>
      <w:divBdr>
        <w:top w:val="none" w:sz="0" w:space="0" w:color="auto"/>
        <w:left w:val="none" w:sz="0" w:space="0" w:color="auto"/>
        <w:bottom w:val="none" w:sz="0" w:space="0" w:color="auto"/>
        <w:right w:val="none" w:sz="0" w:space="0" w:color="auto"/>
      </w:divBdr>
    </w:div>
    <w:div w:id="211693357">
      <w:bodyDiv w:val="1"/>
      <w:marLeft w:val="0"/>
      <w:marRight w:val="0"/>
      <w:marTop w:val="0"/>
      <w:marBottom w:val="0"/>
      <w:divBdr>
        <w:top w:val="none" w:sz="0" w:space="0" w:color="auto"/>
        <w:left w:val="none" w:sz="0" w:space="0" w:color="auto"/>
        <w:bottom w:val="none" w:sz="0" w:space="0" w:color="auto"/>
        <w:right w:val="none" w:sz="0" w:space="0" w:color="auto"/>
      </w:divBdr>
    </w:div>
    <w:div w:id="211893236">
      <w:bodyDiv w:val="1"/>
      <w:marLeft w:val="0"/>
      <w:marRight w:val="0"/>
      <w:marTop w:val="0"/>
      <w:marBottom w:val="0"/>
      <w:divBdr>
        <w:top w:val="none" w:sz="0" w:space="0" w:color="auto"/>
        <w:left w:val="none" w:sz="0" w:space="0" w:color="auto"/>
        <w:bottom w:val="none" w:sz="0" w:space="0" w:color="auto"/>
        <w:right w:val="none" w:sz="0" w:space="0" w:color="auto"/>
      </w:divBdr>
    </w:div>
    <w:div w:id="212350127">
      <w:bodyDiv w:val="1"/>
      <w:marLeft w:val="0"/>
      <w:marRight w:val="0"/>
      <w:marTop w:val="0"/>
      <w:marBottom w:val="0"/>
      <w:divBdr>
        <w:top w:val="none" w:sz="0" w:space="0" w:color="auto"/>
        <w:left w:val="none" w:sz="0" w:space="0" w:color="auto"/>
        <w:bottom w:val="none" w:sz="0" w:space="0" w:color="auto"/>
        <w:right w:val="none" w:sz="0" w:space="0" w:color="auto"/>
      </w:divBdr>
    </w:div>
    <w:div w:id="213005679">
      <w:bodyDiv w:val="1"/>
      <w:marLeft w:val="0"/>
      <w:marRight w:val="0"/>
      <w:marTop w:val="0"/>
      <w:marBottom w:val="0"/>
      <w:divBdr>
        <w:top w:val="none" w:sz="0" w:space="0" w:color="auto"/>
        <w:left w:val="none" w:sz="0" w:space="0" w:color="auto"/>
        <w:bottom w:val="none" w:sz="0" w:space="0" w:color="auto"/>
        <w:right w:val="none" w:sz="0" w:space="0" w:color="auto"/>
      </w:divBdr>
    </w:div>
    <w:div w:id="213153503">
      <w:bodyDiv w:val="1"/>
      <w:marLeft w:val="0"/>
      <w:marRight w:val="0"/>
      <w:marTop w:val="0"/>
      <w:marBottom w:val="0"/>
      <w:divBdr>
        <w:top w:val="none" w:sz="0" w:space="0" w:color="auto"/>
        <w:left w:val="none" w:sz="0" w:space="0" w:color="auto"/>
        <w:bottom w:val="none" w:sz="0" w:space="0" w:color="auto"/>
        <w:right w:val="none" w:sz="0" w:space="0" w:color="auto"/>
      </w:divBdr>
    </w:div>
    <w:div w:id="213396223">
      <w:bodyDiv w:val="1"/>
      <w:marLeft w:val="0"/>
      <w:marRight w:val="0"/>
      <w:marTop w:val="0"/>
      <w:marBottom w:val="0"/>
      <w:divBdr>
        <w:top w:val="none" w:sz="0" w:space="0" w:color="auto"/>
        <w:left w:val="none" w:sz="0" w:space="0" w:color="auto"/>
        <w:bottom w:val="none" w:sz="0" w:space="0" w:color="auto"/>
        <w:right w:val="none" w:sz="0" w:space="0" w:color="auto"/>
      </w:divBdr>
    </w:div>
    <w:div w:id="213665796">
      <w:bodyDiv w:val="1"/>
      <w:marLeft w:val="0"/>
      <w:marRight w:val="0"/>
      <w:marTop w:val="0"/>
      <w:marBottom w:val="0"/>
      <w:divBdr>
        <w:top w:val="none" w:sz="0" w:space="0" w:color="auto"/>
        <w:left w:val="none" w:sz="0" w:space="0" w:color="auto"/>
        <w:bottom w:val="none" w:sz="0" w:space="0" w:color="auto"/>
        <w:right w:val="none" w:sz="0" w:space="0" w:color="auto"/>
      </w:divBdr>
    </w:div>
    <w:div w:id="213809133">
      <w:bodyDiv w:val="1"/>
      <w:marLeft w:val="0"/>
      <w:marRight w:val="0"/>
      <w:marTop w:val="0"/>
      <w:marBottom w:val="0"/>
      <w:divBdr>
        <w:top w:val="none" w:sz="0" w:space="0" w:color="auto"/>
        <w:left w:val="none" w:sz="0" w:space="0" w:color="auto"/>
        <w:bottom w:val="none" w:sz="0" w:space="0" w:color="auto"/>
        <w:right w:val="none" w:sz="0" w:space="0" w:color="auto"/>
      </w:divBdr>
    </w:div>
    <w:div w:id="214199616">
      <w:bodyDiv w:val="1"/>
      <w:marLeft w:val="0"/>
      <w:marRight w:val="0"/>
      <w:marTop w:val="0"/>
      <w:marBottom w:val="0"/>
      <w:divBdr>
        <w:top w:val="none" w:sz="0" w:space="0" w:color="auto"/>
        <w:left w:val="none" w:sz="0" w:space="0" w:color="auto"/>
        <w:bottom w:val="none" w:sz="0" w:space="0" w:color="auto"/>
        <w:right w:val="none" w:sz="0" w:space="0" w:color="auto"/>
      </w:divBdr>
    </w:div>
    <w:div w:id="214392824">
      <w:bodyDiv w:val="1"/>
      <w:marLeft w:val="0"/>
      <w:marRight w:val="0"/>
      <w:marTop w:val="0"/>
      <w:marBottom w:val="0"/>
      <w:divBdr>
        <w:top w:val="none" w:sz="0" w:space="0" w:color="auto"/>
        <w:left w:val="none" w:sz="0" w:space="0" w:color="auto"/>
        <w:bottom w:val="none" w:sz="0" w:space="0" w:color="auto"/>
        <w:right w:val="none" w:sz="0" w:space="0" w:color="auto"/>
      </w:divBdr>
    </w:div>
    <w:div w:id="214850641">
      <w:bodyDiv w:val="1"/>
      <w:marLeft w:val="0"/>
      <w:marRight w:val="0"/>
      <w:marTop w:val="0"/>
      <w:marBottom w:val="0"/>
      <w:divBdr>
        <w:top w:val="none" w:sz="0" w:space="0" w:color="auto"/>
        <w:left w:val="none" w:sz="0" w:space="0" w:color="auto"/>
        <w:bottom w:val="none" w:sz="0" w:space="0" w:color="auto"/>
        <w:right w:val="none" w:sz="0" w:space="0" w:color="auto"/>
      </w:divBdr>
    </w:div>
    <w:div w:id="215092721">
      <w:bodyDiv w:val="1"/>
      <w:marLeft w:val="0"/>
      <w:marRight w:val="0"/>
      <w:marTop w:val="0"/>
      <w:marBottom w:val="0"/>
      <w:divBdr>
        <w:top w:val="none" w:sz="0" w:space="0" w:color="auto"/>
        <w:left w:val="none" w:sz="0" w:space="0" w:color="auto"/>
        <w:bottom w:val="none" w:sz="0" w:space="0" w:color="auto"/>
        <w:right w:val="none" w:sz="0" w:space="0" w:color="auto"/>
      </w:divBdr>
    </w:div>
    <w:div w:id="216285049">
      <w:bodyDiv w:val="1"/>
      <w:marLeft w:val="0"/>
      <w:marRight w:val="0"/>
      <w:marTop w:val="0"/>
      <w:marBottom w:val="0"/>
      <w:divBdr>
        <w:top w:val="none" w:sz="0" w:space="0" w:color="auto"/>
        <w:left w:val="none" w:sz="0" w:space="0" w:color="auto"/>
        <w:bottom w:val="none" w:sz="0" w:space="0" w:color="auto"/>
        <w:right w:val="none" w:sz="0" w:space="0" w:color="auto"/>
      </w:divBdr>
    </w:div>
    <w:div w:id="217134321">
      <w:bodyDiv w:val="1"/>
      <w:marLeft w:val="0"/>
      <w:marRight w:val="0"/>
      <w:marTop w:val="0"/>
      <w:marBottom w:val="0"/>
      <w:divBdr>
        <w:top w:val="none" w:sz="0" w:space="0" w:color="auto"/>
        <w:left w:val="none" w:sz="0" w:space="0" w:color="auto"/>
        <w:bottom w:val="none" w:sz="0" w:space="0" w:color="auto"/>
        <w:right w:val="none" w:sz="0" w:space="0" w:color="auto"/>
      </w:divBdr>
    </w:div>
    <w:div w:id="217939042">
      <w:bodyDiv w:val="1"/>
      <w:marLeft w:val="0"/>
      <w:marRight w:val="0"/>
      <w:marTop w:val="0"/>
      <w:marBottom w:val="0"/>
      <w:divBdr>
        <w:top w:val="none" w:sz="0" w:space="0" w:color="auto"/>
        <w:left w:val="none" w:sz="0" w:space="0" w:color="auto"/>
        <w:bottom w:val="none" w:sz="0" w:space="0" w:color="auto"/>
        <w:right w:val="none" w:sz="0" w:space="0" w:color="auto"/>
      </w:divBdr>
    </w:div>
    <w:div w:id="218370238">
      <w:bodyDiv w:val="1"/>
      <w:marLeft w:val="0"/>
      <w:marRight w:val="0"/>
      <w:marTop w:val="0"/>
      <w:marBottom w:val="0"/>
      <w:divBdr>
        <w:top w:val="none" w:sz="0" w:space="0" w:color="auto"/>
        <w:left w:val="none" w:sz="0" w:space="0" w:color="auto"/>
        <w:bottom w:val="none" w:sz="0" w:space="0" w:color="auto"/>
        <w:right w:val="none" w:sz="0" w:space="0" w:color="auto"/>
      </w:divBdr>
    </w:div>
    <w:div w:id="218515151">
      <w:bodyDiv w:val="1"/>
      <w:marLeft w:val="0"/>
      <w:marRight w:val="0"/>
      <w:marTop w:val="0"/>
      <w:marBottom w:val="0"/>
      <w:divBdr>
        <w:top w:val="none" w:sz="0" w:space="0" w:color="auto"/>
        <w:left w:val="none" w:sz="0" w:space="0" w:color="auto"/>
        <w:bottom w:val="none" w:sz="0" w:space="0" w:color="auto"/>
        <w:right w:val="none" w:sz="0" w:space="0" w:color="auto"/>
      </w:divBdr>
    </w:div>
    <w:div w:id="218592506">
      <w:bodyDiv w:val="1"/>
      <w:marLeft w:val="0"/>
      <w:marRight w:val="0"/>
      <w:marTop w:val="0"/>
      <w:marBottom w:val="0"/>
      <w:divBdr>
        <w:top w:val="none" w:sz="0" w:space="0" w:color="auto"/>
        <w:left w:val="none" w:sz="0" w:space="0" w:color="auto"/>
        <w:bottom w:val="none" w:sz="0" w:space="0" w:color="auto"/>
        <w:right w:val="none" w:sz="0" w:space="0" w:color="auto"/>
      </w:divBdr>
    </w:div>
    <w:div w:id="218631875">
      <w:bodyDiv w:val="1"/>
      <w:marLeft w:val="0"/>
      <w:marRight w:val="0"/>
      <w:marTop w:val="0"/>
      <w:marBottom w:val="0"/>
      <w:divBdr>
        <w:top w:val="none" w:sz="0" w:space="0" w:color="auto"/>
        <w:left w:val="none" w:sz="0" w:space="0" w:color="auto"/>
        <w:bottom w:val="none" w:sz="0" w:space="0" w:color="auto"/>
        <w:right w:val="none" w:sz="0" w:space="0" w:color="auto"/>
      </w:divBdr>
    </w:div>
    <w:div w:id="219171206">
      <w:bodyDiv w:val="1"/>
      <w:marLeft w:val="0"/>
      <w:marRight w:val="0"/>
      <w:marTop w:val="0"/>
      <w:marBottom w:val="0"/>
      <w:divBdr>
        <w:top w:val="none" w:sz="0" w:space="0" w:color="auto"/>
        <w:left w:val="none" w:sz="0" w:space="0" w:color="auto"/>
        <w:bottom w:val="none" w:sz="0" w:space="0" w:color="auto"/>
        <w:right w:val="none" w:sz="0" w:space="0" w:color="auto"/>
      </w:divBdr>
    </w:div>
    <w:div w:id="219632856">
      <w:bodyDiv w:val="1"/>
      <w:marLeft w:val="0"/>
      <w:marRight w:val="0"/>
      <w:marTop w:val="0"/>
      <w:marBottom w:val="0"/>
      <w:divBdr>
        <w:top w:val="none" w:sz="0" w:space="0" w:color="auto"/>
        <w:left w:val="none" w:sz="0" w:space="0" w:color="auto"/>
        <w:bottom w:val="none" w:sz="0" w:space="0" w:color="auto"/>
        <w:right w:val="none" w:sz="0" w:space="0" w:color="auto"/>
      </w:divBdr>
    </w:div>
    <w:div w:id="219756065">
      <w:bodyDiv w:val="1"/>
      <w:marLeft w:val="0"/>
      <w:marRight w:val="0"/>
      <w:marTop w:val="0"/>
      <w:marBottom w:val="0"/>
      <w:divBdr>
        <w:top w:val="none" w:sz="0" w:space="0" w:color="auto"/>
        <w:left w:val="none" w:sz="0" w:space="0" w:color="auto"/>
        <w:bottom w:val="none" w:sz="0" w:space="0" w:color="auto"/>
        <w:right w:val="none" w:sz="0" w:space="0" w:color="auto"/>
      </w:divBdr>
    </w:div>
    <w:div w:id="219827841">
      <w:bodyDiv w:val="1"/>
      <w:marLeft w:val="0"/>
      <w:marRight w:val="0"/>
      <w:marTop w:val="0"/>
      <w:marBottom w:val="0"/>
      <w:divBdr>
        <w:top w:val="none" w:sz="0" w:space="0" w:color="auto"/>
        <w:left w:val="none" w:sz="0" w:space="0" w:color="auto"/>
        <w:bottom w:val="none" w:sz="0" w:space="0" w:color="auto"/>
        <w:right w:val="none" w:sz="0" w:space="0" w:color="auto"/>
      </w:divBdr>
    </w:div>
    <w:div w:id="220211094">
      <w:bodyDiv w:val="1"/>
      <w:marLeft w:val="0"/>
      <w:marRight w:val="0"/>
      <w:marTop w:val="0"/>
      <w:marBottom w:val="0"/>
      <w:divBdr>
        <w:top w:val="none" w:sz="0" w:space="0" w:color="auto"/>
        <w:left w:val="none" w:sz="0" w:space="0" w:color="auto"/>
        <w:bottom w:val="none" w:sz="0" w:space="0" w:color="auto"/>
        <w:right w:val="none" w:sz="0" w:space="0" w:color="auto"/>
      </w:divBdr>
    </w:div>
    <w:div w:id="220337782">
      <w:bodyDiv w:val="1"/>
      <w:marLeft w:val="0"/>
      <w:marRight w:val="0"/>
      <w:marTop w:val="0"/>
      <w:marBottom w:val="0"/>
      <w:divBdr>
        <w:top w:val="none" w:sz="0" w:space="0" w:color="auto"/>
        <w:left w:val="none" w:sz="0" w:space="0" w:color="auto"/>
        <w:bottom w:val="none" w:sz="0" w:space="0" w:color="auto"/>
        <w:right w:val="none" w:sz="0" w:space="0" w:color="auto"/>
      </w:divBdr>
    </w:div>
    <w:div w:id="220487033">
      <w:bodyDiv w:val="1"/>
      <w:marLeft w:val="0"/>
      <w:marRight w:val="0"/>
      <w:marTop w:val="0"/>
      <w:marBottom w:val="0"/>
      <w:divBdr>
        <w:top w:val="none" w:sz="0" w:space="0" w:color="auto"/>
        <w:left w:val="none" w:sz="0" w:space="0" w:color="auto"/>
        <w:bottom w:val="none" w:sz="0" w:space="0" w:color="auto"/>
        <w:right w:val="none" w:sz="0" w:space="0" w:color="auto"/>
      </w:divBdr>
    </w:div>
    <w:div w:id="220557365">
      <w:bodyDiv w:val="1"/>
      <w:marLeft w:val="0"/>
      <w:marRight w:val="0"/>
      <w:marTop w:val="0"/>
      <w:marBottom w:val="0"/>
      <w:divBdr>
        <w:top w:val="none" w:sz="0" w:space="0" w:color="auto"/>
        <w:left w:val="none" w:sz="0" w:space="0" w:color="auto"/>
        <w:bottom w:val="none" w:sz="0" w:space="0" w:color="auto"/>
        <w:right w:val="none" w:sz="0" w:space="0" w:color="auto"/>
      </w:divBdr>
    </w:div>
    <w:div w:id="220753947">
      <w:bodyDiv w:val="1"/>
      <w:marLeft w:val="0"/>
      <w:marRight w:val="0"/>
      <w:marTop w:val="0"/>
      <w:marBottom w:val="0"/>
      <w:divBdr>
        <w:top w:val="none" w:sz="0" w:space="0" w:color="auto"/>
        <w:left w:val="none" w:sz="0" w:space="0" w:color="auto"/>
        <w:bottom w:val="none" w:sz="0" w:space="0" w:color="auto"/>
        <w:right w:val="none" w:sz="0" w:space="0" w:color="auto"/>
      </w:divBdr>
    </w:div>
    <w:div w:id="222060898">
      <w:bodyDiv w:val="1"/>
      <w:marLeft w:val="0"/>
      <w:marRight w:val="0"/>
      <w:marTop w:val="0"/>
      <w:marBottom w:val="0"/>
      <w:divBdr>
        <w:top w:val="none" w:sz="0" w:space="0" w:color="auto"/>
        <w:left w:val="none" w:sz="0" w:space="0" w:color="auto"/>
        <w:bottom w:val="none" w:sz="0" w:space="0" w:color="auto"/>
        <w:right w:val="none" w:sz="0" w:space="0" w:color="auto"/>
      </w:divBdr>
    </w:div>
    <w:div w:id="222370971">
      <w:bodyDiv w:val="1"/>
      <w:marLeft w:val="0"/>
      <w:marRight w:val="0"/>
      <w:marTop w:val="0"/>
      <w:marBottom w:val="0"/>
      <w:divBdr>
        <w:top w:val="none" w:sz="0" w:space="0" w:color="auto"/>
        <w:left w:val="none" w:sz="0" w:space="0" w:color="auto"/>
        <w:bottom w:val="none" w:sz="0" w:space="0" w:color="auto"/>
        <w:right w:val="none" w:sz="0" w:space="0" w:color="auto"/>
      </w:divBdr>
    </w:div>
    <w:div w:id="222525011">
      <w:bodyDiv w:val="1"/>
      <w:marLeft w:val="0"/>
      <w:marRight w:val="0"/>
      <w:marTop w:val="0"/>
      <w:marBottom w:val="0"/>
      <w:divBdr>
        <w:top w:val="none" w:sz="0" w:space="0" w:color="auto"/>
        <w:left w:val="none" w:sz="0" w:space="0" w:color="auto"/>
        <w:bottom w:val="none" w:sz="0" w:space="0" w:color="auto"/>
        <w:right w:val="none" w:sz="0" w:space="0" w:color="auto"/>
      </w:divBdr>
    </w:div>
    <w:div w:id="223028083">
      <w:bodyDiv w:val="1"/>
      <w:marLeft w:val="0"/>
      <w:marRight w:val="0"/>
      <w:marTop w:val="0"/>
      <w:marBottom w:val="0"/>
      <w:divBdr>
        <w:top w:val="none" w:sz="0" w:space="0" w:color="auto"/>
        <w:left w:val="none" w:sz="0" w:space="0" w:color="auto"/>
        <w:bottom w:val="none" w:sz="0" w:space="0" w:color="auto"/>
        <w:right w:val="none" w:sz="0" w:space="0" w:color="auto"/>
      </w:divBdr>
    </w:div>
    <w:div w:id="223030416">
      <w:bodyDiv w:val="1"/>
      <w:marLeft w:val="0"/>
      <w:marRight w:val="0"/>
      <w:marTop w:val="0"/>
      <w:marBottom w:val="0"/>
      <w:divBdr>
        <w:top w:val="none" w:sz="0" w:space="0" w:color="auto"/>
        <w:left w:val="none" w:sz="0" w:space="0" w:color="auto"/>
        <w:bottom w:val="none" w:sz="0" w:space="0" w:color="auto"/>
        <w:right w:val="none" w:sz="0" w:space="0" w:color="auto"/>
      </w:divBdr>
    </w:div>
    <w:div w:id="223033412">
      <w:bodyDiv w:val="1"/>
      <w:marLeft w:val="0"/>
      <w:marRight w:val="0"/>
      <w:marTop w:val="0"/>
      <w:marBottom w:val="0"/>
      <w:divBdr>
        <w:top w:val="none" w:sz="0" w:space="0" w:color="auto"/>
        <w:left w:val="none" w:sz="0" w:space="0" w:color="auto"/>
        <w:bottom w:val="none" w:sz="0" w:space="0" w:color="auto"/>
        <w:right w:val="none" w:sz="0" w:space="0" w:color="auto"/>
      </w:divBdr>
    </w:div>
    <w:div w:id="223296395">
      <w:bodyDiv w:val="1"/>
      <w:marLeft w:val="0"/>
      <w:marRight w:val="0"/>
      <w:marTop w:val="0"/>
      <w:marBottom w:val="0"/>
      <w:divBdr>
        <w:top w:val="none" w:sz="0" w:space="0" w:color="auto"/>
        <w:left w:val="none" w:sz="0" w:space="0" w:color="auto"/>
        <w:bottom w:val="none" w:sz="0" w:space="0" w:color="auto"/>
        <w:right w:val="none" w:sz="0" w:space="0" w:color="auto"/>
      </w:divBdr>
    </w:div>
    <w:div w:id="225338281">
      <w:bodyDiv w:val="1"/>
      <w:marLeft w:val="0"/>
      <w:marRight w:val="0"/>
      <w:marTop w:val="0"/>
      <w:marBottom w:val="0"/>
      <w:divBdr>
        <w:top w:val="none" w:sz="0" w:space="0" w:color="auto"/>
        <w:left w:val="none" w:sz="0" w:space="0" w:color="auto"/>
        <w:bottom w:val="none" w:sz="0" w:space="0" w:color="auto"/>
        <w:right w:val="none" w:sz="0" w:space="0" w:color="auto"/>
      </w:divBdr>
    </w:div>
    <w:div w:id="225647591">
      <w:bodyDiv w:val="1"/>
      <w:marLeft w:val="0"/>
      <w:marRight w:val="0"/>
      <w:marTop w:val="0"/>
      <w:marBottom w:val="0"/>
      <w:divBdr>
        <w:top w:val="none" w:sz="0" w:space="0" w:color="auto"/>
        <w:left w:val="none" w:sz="0" w:space="0" w:color="auto"/>
        <w:bottom w:val="none" w:sz="0" w:space="0" w:color="auto"/>
        <w:right w:val="none" w:sz="0" w:space="0" w:color="auto"/>
      </w:divBdr>
    </w:div>
    <w:div w:id="225921302">
      <w:bodyDiv w:val="1"/>
      <w:marLeft w:val="0"/>
      <w:marRight w:val="0"/>
      <w:marTop w:val="0"/>
      <w:marBottom w:val="0"/>
      <w:divBdr>
        <w:top w:val="none" w:sz="0" w:space="0" w:color="auto"/>
        <w:left w:val="none" w:sz="0" w:space="0" w:color="auto"/>
        <w:bottom w:val="none" w:sz="0" w:space="0" w:color="auto"/>
        <w:right w:val="none" w:sz="0" w:space="0" w:color="auto"/>
      </w:divBdr>
    </w:div>
    <w:div w:id="226261646">
      <w:bodyDiv w:val="1"/>
      <w:marLeft w:val="0"/>
      <w:marRight w:val="0"/>
      <w:marTop w:val="0"/>
      <w:marBottom w:val="0"/>
      <w:divBdr>
        <w:top w:val="none" w:sz="0" w:space="0" w:color="auto"/>
        <w:left w:val="none" w:sz="0" w:space="0" w:color="auto"/>
        <w:bottom w:val="none" w:sz="0" w:space="0" w:color="auto"/>
        <w:right w:val="none" w:sz="0" w:space="0" w:color="auto"/>
      </w:divBdr>
    </w:div>
    <w:div w:id="226455201">
      <w:bodyDiv w:val="1"/>
      <w:marLeft w:val="0"/>
      <w:marRight w:val="0"/>
      <w:marTop w:val="0"/>
      <w:marBottom w:val="0"/>
      <w:divBdr>
        <w:top w:val="none" w:sz="0" w:space="0" w:color="auto"/>
        <w:left w:val="none" w:sz="0" w:space="0" w:color="auto"/>
        <w:bottom w:val="none" w:sz="0" w:space="0" w:color="auto"/>
        <w:right w:val="none" w:sz="0" w:space="0" w:color="auto"/>
      </w:divBdr>
    </w:div>
    <w:div w:id="226841265">
      <w:bodyDiv w:val="1"/>
      <w:marLeft w:val="0"/>
      <w:marRight w:val="0"/>
      <w:marTop w:val="0"/>
      <w:marBottom w:val="0"/>
      <w:divBdr>
        <w:top w:val="none" w:sz="0" w:space="0" w:color="auto"/>
        <w:left w:val="none" w:sz="0" w:space="0" w:color="auto"/>
        <w:bottom w:val="none" w:sz="0" w:space="0" w:color="auto"/>
        <w:right w:val="none" w:sz="0" w:space="0" w:color="auto"/>
      </w:divBdr>
    </w:div>
    <w:div w:id="226962749">
      <w:bodyDiv w:val="1"/>
      <w:marLeft w:val="0"/>
      <w:marRight w:val="0"/>
      <w:marTop w:val="0"/>
      <w:marBottom w:val="0"/>
      <w:divBdr>
        <w:top w:val="none" w:sz="0" w:space="0" w:color="auto"/>
        <w:left w:val="none" w:sz="0" w:space="0" w:color="auto"/>
        <w:bottom w:val="none" w:sz="0" w:space="0" w:color="auto"/>
        <w:right w:val="none" w:sz="0" w:space="0" w:color="auto"/>
      </w:divBdr>
    </w:div>
    <w:div w:id="227156356">
      <w:bodyDiv w:val="1"/>
      <w:marLeft w:val="0"/>
      <w:marRight w:val="0"/>
      <w:marTop w:val="0"/>
      <w:marBottom w:val="0"/>
      <w:divBdr>
        <w:top w:val="none" w:sz="0" w:space="0" w:color="auto"/>
        <w:left w:val="none" w:sz="0" w:space="0" w:color="auto"/>
        <w:bottom w:val="none" w:sz="0" w:space="0" w:color="auto"/>
        <w:right w:val="none" w:sz="0" w:space="0" w:color="auto"/>
      </w:divBdr>
    </w:div>
    <w:div w:id="227231186">
      <w:bodyDiv w:val="1"/>
      <w:marLeft w:val="0"/>
      <w:marRight w:val="0"/>
      <w:marTop w:val="0"/>
      <w:marBottom w:val="0"/>
      <w:divBdr>
        <w:top w:val="none" w:sz="0" w:space="0" w:color="auto"/>
        <w:left w:val="none" w:sz="0" w:space="0" w:color="auto"/>
        <w:bottom w:val="none" w:sz="0" w:space="0" w:color="auto"/>
        <w:right w:val="none" w:sz="0" w:space="0" w:color="auto"/>
      </w:divBdr>
    </w:div>
    <w:div w:id="227307581">
      <w:bodyDiv w:val="1"/>
      <w:marLeft w:val="0"/>
      <w:marRight w:val="0"/>
      <w:marTop w:val="0"/>
      <w:marBottom w:val="0"/>
      <w:divBdr>
        <w:top w:val="none" w:sz="0" w:space="0" w:color="auto"/>
        <w:left w:val="none" w:sz="0" w:space="0" w:color="auto"/>
        <w:bottom w:val="none" w:sz="0" w:space="0" w:color="auto"/>
        <w:right w:val="none" w:sz="0" w:space="0" w:color="auto"/>
      </w:divBdr>
    </w:div>
    <w:div w:id="227692840">
      <w:bodyDiv w:val="1"/>
      <w:marLeft w:val="0"/>
      <w:marRight w:val="0"/>
      <w:marTop w:val="0"/>
      <w:marBottom w:val="0"/>
      <w:divBdr>
        <w:top w:val="none" w:sz="0" w:space="0" w:color="auto"/>
        <w:left w:val="none" w:sz="0" w:space="0" w:color="auto"/>
        <w:bottom w:val="none" w:sz="0" w:space="0" w:color="auto"/>
        <w:right w:val="none" w:sz="0" w:space="0" w:color="auto"/>
      </w:divBdr>
    </w:div>
    <w:div w:id="228155125">
      <w:bodyDiv w:val="1"/>
      <w:marLeft w:val="0"/>
      <w:marRight w:val="0"/>
      <w:marTop w:val="0"/>
      <w:marBottom w:val="0"/>
      <w:divBdr>
        <w:top w:val="none" w:sz="0" w:space="0" w:color="auto"/>
        <w:left w:val="none" w:sz="0" w:space="0" w:color="auto"/>
        <w:bottom w:val="none" w:sz="0" w:space="0" w:color="auto"/>
        <w:right w:val="none" w:sz="0" w:space="0" w:color="auto"/>
      </w:divBdr>
    </w:div>
    <w:div w:id="228351247">
      <w:bodyDiv w:val="1"/>
      <w:marLeft w:val="0"/>
      <w:marRight w:val="0"/>
      <w:marTop w:val="0"/>
      <w:marBottom w:val="0"/>
      <w:divBdr>
        <w:top w:val="none" w:sz="0" w:space="0" w:color="auto"/>
        <w:left w:val="none" w:sz="0" w:space="0" w:color="auto"/>
        <w:bottom w:val="none" w:sz="0" w:space="0" w:color="auto"/>
        <w:right w:val="none" w:sz="0" w:space="0" w:color="auto"/>
      </w:divBdr>
    </w:div>
    <w:div w:id="228460442">
      <w:bodyDiv w:val="1"/>
      <w:marLeft w:val="0"/>
      <w:marRight w:val="0"/>
      <w:marTop w:val="0"/>
      <w:marBottom w:val="0"/>
      <w:divBdr>
        <w:top w:val="none" w:sz="0" w:space="0" w:color="auto"/>
        <w:left w:val="none" w:sz="0" w:space="0" w:color="auto"/>
        <w:bottom w:val="none" w:sz="0" w:space="0" w:color="auto"/>
        <w:right w:val="none" w:sz="0" w:space="0" w:color="auto"/>
      </w:divBdr>
    </w:div>
    <w:div w:id="229314611">
      <w:bodyDiv w:val="1"/>
      <w:marLeft w:val="0"/>
      <w:marRight w:val="0"/>
      <w:marTop w:val="0"/>
      <w:marBottom w:val="0"/>
      <w:divBdr>
        <w:top w:val="none" w:sz="0" w:space="0" w:color="auto"/>
        <w:left w:val="none" w:sz="0" w:space="0" w:color="auto"/>
        <w:bottom w:val="none" w:sz="0" w:space="0" w:color="auto"/>
        <w:right w:val="none" w:sz="0" w:space="0" w:color="auto"/>
      </w:divBdr>
    </w:div>
    <w:div w:id="229733754">
      <w:bodyDiv w:val="1"/>
      <w:marLeft w:val="0"/>
      <w:marRight w:val="0"/>
      <w:marTop w:val="0"/>
      <w:marBottom w:val="0"/>
      <w:divBdr>
        <w:top w:val="none" w:sz="0" w:space="0" w:color="auto"/>
        <w:left w:val="none" w:sz="0" w:space="0" w:color="auto"/>
        <w:bottom w:val="none" w:sz="0" w:space="0" w:color="auto"/>
        <w:right w:val="none" w:sz="0" w:space="0" w:color="auto"/>
      </w:divBdr>
    </w:div>
    <w:div w:id="230313075">
      <w:bodyDiv w:val="1"/>
      <w:marLeft w:val="0"/>
      <w:marRight w:val="0"/>
      <w:marTop w:val="0"/>
      <w:marBottom w:val="0"/>
      <w:divBdr>
        <w:top w:val="none" w:sz="0" w:space="0" w:color="auto"/>
        <w:left w:val="none" w:sz="0" w:space="0" w:color="auto"/>
        <w:bottom w:val="none" w:sz="0" w:space="0" w:color="auto"/>
        <w:right w:val="none" w:sz="0" w:space="0" w:color="auto"/>
      </w:divBdr>
    </w:div>
    <w:div w:id="230584861">
      <w:bodyDiv w:val="1"/>
      <w:marLeft w:val="0"/>
      <w:marRight w:val="0"/>
      <w:marTop w:val="0"/>
      <w:marBottom w:val="0"/>
      <w:divBdr>
        <w:top w:val="none" w:sz="0" w:space="0" w:color="auto"/>
        <w:left w:val="none" w:sz="0" w:space="0" w:color="auto"/>
        <w:bottom w:val="none" w:sz="0" w:space="0" w:color="auto"/>
        <w:right w:val="none" w:sz="0" w:space="0" w:color="auto"/>
      </w:divBdr>
    </w:div>
    <w:div w:id="230695781">
      <w:bodyDiv w:val="1"/>
      <w:marLeft w:val="0"/>
      <w:marRight w:val="0"/>
      <w:marTop w:val="0"/>
      <w:marBottom w:val="0"/>
      <w:divBdr>
        <w:top w:val="none" w:sz="0" w:space="0" w:color="auto"/>
        <w:left w:val="none" w:sz="0" w:space="0" w:color="auto"/>
        <w:bottom w:val="none" w:sz="0" w:space="0" w:color="auto"/>
        <w:right w:val="none" w:sz="0" w:space="0" w:color="auto"/>
      </w:divBdr>
    </w:div>
    <w:div w:id="230699221">
      <w:bodyDiv w:val="1"/>
      <w:marLeft w:val="0"/>
      <w:marRight w:val="0"/>
      <w:marTop w:val="0"/>
      <w:marBottom w:val="0"/>
      <w:divBdr>
        <w:top w:val="none" w:sz="0" w:space="0" w:color="auto"/>
        <w:left w:val="none" w:sz="0" w:space="0" w:color="auto"/>
        <w:bottom w:val="none" w:sz="0" w:space="0" w:color="auto"/>
        <w:right w:val="none" w:sz="0" w:space="0" w:color="auto"/>
      </w:divBdr>
    </w:div>
    <w:div w:id="230888299">
      <w:bodyDiv w:val="1"/>
      <w:marLeft w:val="0"/>
      <w:marRight w:val="0"/>
      <w:marTop w:val="0"/>
      <w:marBottom w:val="0"/>
      <w:divBdr>
        <w:top w:val="none" w:sz="0" w:space="0" w:color="auto"/>
        <w:left w:val="none" w:sz="0" w:space="0" w:color="auto"/>
        <w:bottom w:val="none" w:sz="0" w:space="0" w:color="auto"/>
        <w:right w:val="none" w:sz="0" w:space="0" w:color="auto"/>
      </w:divBdr>
    </w:div>
    <w:div w:id="231046825">
      <w:bodyDiv w:val="1"/>
      <w:marLeft w:val="0"/>
      <w:marRight w:val="0"/>
      <w:marTop w:val="0"/>
      <w:marBottom w:val="0"/>
      <w:divBdr>
        <w:top w:val="none" w:sz="0" w:space="0" w:color="auto"/>
        <w:left w:val="none" w:sz="0" w:space="0" w:color="auto"/>
        <w:bottom w:val="none" w:sz="0" w:space="0" w:color="auto"/>
        <w:right w:val="none" w:sz="0" w:space="0" w:color="auto"/>
      </w:divBdr>
    </w:div>
    <w:div w:id="231283813">
      <w:bodyDiv w:val="1"/>
      <w:marLeft w:val="0"/>
      <w:marRight w:val="0"/>
      <w:marTop w:val="0"/>
      <w:marBottom w:val="0"/>
      <w:divBdr>
        <w:top w:val="none" w:sz="0" w:space="0" w:color="auto"/>
        <w:left w:val="none" w:sz="0" w:space="0" w:color="auto"/>
        <w:bottom w:val="none" w:sz="0" w:space="0" w:color="auto"/>
        <w:right w:val="none" w:sz="0" w:space="0" w:color="auto"/>
      </w:divBdr>
    </w:div>
    <w:div w:id="232474943">
      <w:bodyDiv w:val="1"/>
      <w:marLeft w:val="0"/>
      <w:marRight w:val="0"/>
      <w:marTop w:val="0"/>
      <w:marBottom w:val="0"/>
      <w:divBdr>
        <w:top w:val="none" w:sz="0" w:space="0" w:color="auto"/>
        <w:left w:val="none" w:sz="0" w:space="0" w:color="auto"/>
        <w:bottom w:val="none" w:sz="0" w:space="0" w:color="auto"/>
        <w:right w:val="none" w:sz="0" w:space="0" w:color="auto"/>
      </w:divBdr>
    </w:div>
    <w:div w:id="232932428">
      <w:bodyDiv w:val="1"/>
      <w:marLeft w:val="0"/>
      <w:marRight w:val="0"/>
      <w:marTop w:val="0"/>
      <w:marBottom w:val="0"/>
      <w:divBdr>
        <w:top w:val="none" w:sz="0" w:space="0" w:color="auto"/>
        <w:left w:val="none" w:sz="0" w:space="0" w:color="auto"/>
        <w:bottom w:val="none" w:sz="0" w:space="0" w:color="auto"/>
        <w:right w:val="none" w:sz="0" w:space="0" w:color="auto"/>
      </w:divBdr>
    </w:div>
    <w:div w:id="233009627">
      <w:bodyDiv w:val="1"/>
      <w:marLeft w:val="0"/>
      <w:marRight w:val="0"/>
      <w:marTop w:val="0"/>
      <w:marBottom w:val="0"/>
      <w:divBdr>
        <w:top w:val="none" w:sz="0" w:space="0" w:color="auto"/>
        <w:left w:val="none" w:sz="0" w:space="0" w:color="auto"/>
        <w:bottom w:val="none" w:sz="0" w:space="0" w:color="auto"/>
        <w:right w:val="none" w:sz="0" w:space="0" w:color="auto"/>
      </w:divBdr>
    </w:div>
    <w:div w:id="233587260">
      <w:bodyDiv w:val="1"/>
      <w:marLeft w:val="0"/>
      <w:marRight w:val="0"/>
      <w:marTop w:val="0"/>
      <w:marBottom w:val="0"/>
      <w:divBdr>
        <w:top w:val="none" w:sz="0" w:space="0" w:color="auto"/>
        <w:left w:val="none" w:sz="0" w:space="0" w:color="auto"/>
        <w:bottom w:val="none" w:sz="0" w:space="0" w:color="auto"/>
        <w:right w:val="none" w:sz="0" w:space="0" w:color="auto"/>
      </w:divBdr>
    </w:div>
    <w:div w:id="233860190">
      <w:bodyDiv w:val="1"/>
      <w:marLeft w:val="0"/>
      <w:marRight w:val="0"/>
      <w:marTop w:val="0"/>
      <w:marBottom w:val="0"/>
      <w:divBdr>
        <w:top w:val="none" w:sz="0" w:space="0" w:color="auto"/>
        <w:left w:val="none" w:sz="0" w:space="0" w:color="auto"/>
        <w:bottom w:val="none" w:sz="0" w:space="0" w:color="auto"/>
        <w:right w:val="none" w:sz="0" w:space="0" w:color="auto"/>
      </w:divBdr>
    </w:div>
    <w:div w:id="234508737">
      <w:bodyDiv w:val="1"/>
      <w:marLeft w:val="0"/>
      <w:marRight w:val="0"/>
      <w:marTop w:val="0"/>
      <w:marBottom w:val="0"/>
      <w:divBdr>
        <w:top w:val="none" w:sz="0" w:space="0" w:color="auto"/>
        <w:left w:val="none" w:sz="0" w:space="0" w:color="auto"/>
        <w:bottom w:val="none" w:sz="0" w:space="0" w:color="auto"/>
        <w:right w:val="none" w:sz="0" w:space="0" w:color="auto"/>
      </w:divBdr>
    </w:div>
    <w:div w:id="234515596">
      <w:bodyDiv w:val="1"/>
      <w:marLeft w:val="0"/>
      <w:marRight w:val="0"/>
      <w:marTop w:val="0"/>
      <w:marBottom w:val="0"/>
      <w:divBdr>
        <w:top w:val="none" w:sz="0" w:space="0" w:color="auto"/>
        <w:left w:val="none" w:sz="0" w:space="0" w:color="auto"/>
        <w:bottom w:val="none" w:sz="0" w:space="0" w:color="auto"/>
        <w:right w:val="none" w:sz="0" w:space="0" w:color="auto"/>
      </w:divBdr>
    </w:div>
    <w:div w:id="234516718">
      <w:bodyDiv w:val="1"/>
      <w:marLeft w:val="0"/>
      <w:marRight w:val="0"/>
      <w:marTop w:val="0"/>
      <w:marBottom w:val="0"/>
      <w:divBdr>
        <w:top w:val="none" w:sz="0" w:space="0" w:color="auto"/>
        <w:left w:val="none" w:sz="0" w:space="0" w:color="auto"/>
        <w:bottom w:val="none" w:sz="0" w:space="0" w:color="auto"/>
        <w:right w:val="none" w:sz="0" w:space="0" w:color="auto"/>
      </w:divBdr>
    </w:div>
    <w:div w:id="235016816">
      <w:bodyDiv w:val="1"/>
      <w:marLeft w:val="0"/>
      <w:marRight w:val="0"/>
      <w:marTop w:val="0"/>
      <w:marBottom w:val="0"/>
      <w:divBdr>
        <w:top w:val="none" w:sz="0" w:space="0" w:color="auto"/>
        <w:left w:val="none" w:sz="0" w:space="0" w:color="auto"/>
        <w:bottom w:val="none" w:sz="0" w:space="0" w:color="auto"/>
        <w:right w:val="none" w:sz="0" w:space="0" w:color="auto"/>
      </w:divBdr>
    </w:div>
    <w:div w:id="235477186">
      <w:bodyDiv w:val="1"/>
      <w:marLeft w:val="0"/>
      <w:marRight w:val="0"/>
      <w:marTop w:val="0"/>
      <w:marBottom w:val="0"/>
      <w:divBdr>
        <w:top w:val="none" w:sz="0" w:space="0" w:color="auto"/>
        <w:left w:val="none" w:sz="0" w:space="0" w:color="auto"/>
        <w:bottom w:val="none" w:sz="0" w:space="0" w:color="auto"/>
        <w:right w:val="none" w:sz="0" w:space="0" w:color="auto"/>
      </w:divBdr>
    </w:div>
    <w:div w:id="235480669">
      <w:bodyDiv w:val="1"/>
      <w:marLeft w:val="0"/>
      <w:marRight w:val="0"/>
      <w:marTop w:val="0"/>
      <w:marBottom w:val="0"/>
      <w:divBdr>
        <w:top w:val="none" w:sz="0" w:space="0" w:color="auto"/>
        <w:left w:val="none" w:sz="0" w:space="0" w:color="auto"/>
        <w:bottom w:val="none" w:sz="0" w:space="0" w:color="auto"/>
        <w:right w:val="none" w:sz="0" w:space="0" w:color="auto"/>
      </w:divBdr>
    </w:div>
    <w:div w:id="235867446">
      <w:bodyDiv w:val="1"/>
      <w:marLeft w:val="0"/>
      <w:marRight w:val="0"/>
      <w:marTop w:val="0"/>
      <w:marBottom w:val="0"/>
      <w:divBdr>
        <w:top w:val="none" w:sz="0" w:space="0" w:color="auto"/>
        <w:left w:val="none" w:sz="0" w:space="0" w:color="auto"/>
        <w:bottom w:val="none" w:sz="0" w:space="0" w:color="auto"/>
        <w:right w:val="none" w:sz="0" w:space="0" w:color="auto"/>
      </w:divBdr>
    </w:div>
    <w:div w:id="236130300">
      <w:bodyDiv w:val="1"/>
      <w:marLeft w:val="0"/>
      <w:marRight w:val="0"/>
      <w:marTop w:val="0"/>
      <w:marBottom w:val="0"/>
      <w:divBdr>
        <w:top w:val="none" w:sz="0" w:space="0" w:color="auto"/>
        <w:left w:val="none" w:sz="0" w:space="0" w:color="auto"/>
        <w:bottom w:val="none" w:sz="0" w:space="0" w:color="auto"/>
        <w:right w:val="none" w:sz="0" w:space="0" w:color="auto"/>
      </w:divBdr>
    </w:div>
    <w:div w:id="236212665">
      <w:bodyDiv w:val="1"/>
      <w:marLeft w:val="0"/>
      <w:marRight w:val="0"/>
      <w:marTop w:val="0"/>
      <w:marBottom w:val="0"/>
      <w:divBdr>
        <w:top w:val="none" w:sz="0" w:space="0" w:color="auto"/>
        <w:left w:val="none" w:sz="0" w:space="0" w:color="auto"/>
        <w:bottom w:val="none" w:sz="0" w:space="0" w:color="auto"/>
        <w:right w:val="none" w:sz="0" w:space="0" w:color="auto"/>
      </w:divBdr>
    </w:div>
    <w:div w:id="236332706">
      <w:bodyDiv w:val="1"/>
      <w:marLeft w:val="0"/>
      <w:marRight w:val="0"/>
      <w:marTop w:val="0"/>
      <w:marBottom w:val="0"/>
      <w:divBdr>
        <w:top w:val="none" w:sz="0" w:space="0" w:color="auto"/>
        <w:left w:val="none" w:sz="0" w:space="0" w:color="auto"/>
        <w:bottom w:val="none" w:sz="0" w:space="0" w:color="auto"/>
        <w:right w:val="none" w:sz="0" w:space="0" w:color="auto"/>
      </w:divBdr>
    </w:div>
    <w:div w:id="237054756">
      <w:bodyDiv w:val="1"/>
      <w:marLeft w:val="0"/>
      <w:marRight w:val="0"/>
      <w:marTop w:val="0"/>
      <w:marBottom w:val="0"/>
      <w:divBdr>
        <w:top w:val="none" w:sz="0" w:space="0" w:color="auto"/>
        <w:left w:val="none" w:sz="0" w:space="0" w:color="auto"/>
        <w:bottom w:val="none" w:sz="0" w:space="0" w:color="auto"/>
        <w:right w:val="none" w:sz="0" w:space="0" w:color="auto"/>
      </w:divBdr>
    </w:div>
    <w:div w:id="237175154">
      <w:bodyDiv w:val="1"/>
      <w:marLeft w:val="0"/>
      <w:marRight w:val="0"/>
      <w:marTop w:val="0"/>
      <w:marBottom w:val="0"/>
      <w:divBdr>
        <w:top w:val="none" w:sz="0" w:space="0" w:color="auto"/>
        <w:left w:val="none" w:sz="0" w:space="0" w:color="auto"/>
        <w:bottom w:val="none" w:sz="0" w:space="0" w:color="auto"/>
        <w:right w:val="none" w:sz="0" w:space="0" w:color="auto"/>
      </w:divBdr>
    </w:div>
    <w:div w:id="237641989">
      <w:bodyDiv w:val="1"/>
      <w:marLeft w:val="0"/>
      <w:marRight w:val="0"/>
      <w:marTop w:val="0"/>
      <w:marBottom w:val="0"/>
      <w:divBdr>
        <w:top w:val="none" w:sz="0" w:space="0" w:color="auto"/>
        <w:left w:val="none" w:sz="0" w:space="0" w:color="auto"/>
        <w:bottom w:val="none" w:sz="0" w:space="0" w:color="auto"/>
        <w:right w:val="none" w:sz="0" w:space="0" w:color="auto"/>
      </w:divBdr>
    </w:div>
    <w:div w:id="237785985">
      <w:bodyDiv w:val="1"/>
      <w:marLeft w:val="0"/>
      <w:marRight w:val="0"/>
      <w:marTop w:val="0"/>
      <w:marBottom w:val="0"/>
      <w:divBdr>
        <w:top w:val="none" w:sz="0" w:space="0" w:color="auto"/>
        <w:left w:val="none" w:sz="0" w:space="0" w:color="auto"/>
        <w:bottom w:val="none" w:sz="0" w:space="0" w:color="auto"/>
        <w:right w:val="none" w:sz="0" w:space="0" w:color="auto"/>
      </w:divBdr>
    </w:div>
    <w:div w:id="237862551">
      <w:bodyDiv w:val="1"/>
      <w:marLeft w:val="0"/>
      <w:marRight w:val="0"/>
      <w:marTop w:val="0"/>
      <w:marBottom w:val="0"/>
      <w:divBdr>
        <w:top w:val="none" w:sz="0" w:space="0" w:color="auto"/>
        <w:left w:val="none" w:sz="0" w:space="0" w:color="auto"/>
        <w:bottom w:val="none" w:sz="0" w:space="0" w:color="auto"/>
        <w:right w:val="none" w:sz="0" w:space="0" w:color="auto"/>
      </w:divBdr>
    </w:div>
    <w:div w:id="238053545">
      <w:bodyDiv w:val="1"/>
      <w:marLeft w:val="0"/>
      <w:marRight w:val="0"/>
      <w:marTop w:val="0"/>
      <w:marBottom w:val="0"/>
      <w:divBdr>
        <w:top w:val="none" w:sz="0" w:space="0" w:color="auto"/>
        <w:left w:val="none" w:sz="0" w:space="0" w:color="auto"/>
        <w:bottom w:val="none" w:sz="0" w:space="0" w:color="auto"/>
        <w:right w:val="none" w:sz="0" w:space="0" w:color="auto"/>
      </w:divBdr>
    </w:div>
    <w:div w:id="238247082">
      <w:bodyDiv w:val="1"/>
      <w:marLeft w:val="0"/>
      <w:marRight w:val="0"/>
      <w:marTop w:val="0"/>
      <w:marBottom w:val="0"/>
      <w:divBdr>
        <w:top w:val="none" w:sz="0" w:space="0" w:color="auto"/>
        <w:left w:val="none" w:sz="0" w:space="0" w:color="auto"/>
        <w:bottom w:val="none" w:sz="0" w:space="0" w:color="auto"/>
        <w:right w:val="none" w:sz="0" w:space="0" w:color="auto"/>
      </w:divBdr>
    </w:div>
    <w:div w:id="238947788">
      <w:bodyDiv w:val="1"/>
      <w:marLeft w:val="0"/>
      <w:marRight w:val="0"/>
      <w:marTop w:val="0"/>
      <w:marBottom w:val="0"/>
      <w:divBdr>
        <w:top w:val="none" w:sz="0" w:space="0" w:color="auto"/>
        <w:left w:val="none" w:sz="0" w:space="0" w:color="auto"/>
        <w:bottom w:val="none" w:sz="0" w:space="0" w:color="auto"/>
        <w:right w:val="none" w:sz="0" w:space="0" w:color="auto"/>
      </w:divBdr>
    </w:div>
    <w:div w:id="239368151">
      <w:bodyDiv w:val="1"/>
      <w:marLeft w:val="0"/>
      <w:marRight w:val="0"/>
      <w:marTop w:val="0"/>
      <w:marBottom w:val="0"/>
      <w:divBdr>
        <w:top w:val="none" w:sz="0" w:space="0" w:color="auto"/>
        <w:left w:val="none" w:sz="0" w:space="0" w:color="auto"/>
        <w:bottom w:val="none" w:sz="0" w:space="0" w:color="auto"/>
        <w:right w:val="none" w:sz="0" w:space="0" w:color="auto"/>
      </w:divBdr>
    </w:div>
    <w:div w:id="239801047">
      <w:bodyDiv w:val="1"/>
      <w:marLeft w:val="0"/>
      <w:marRight w:val="0"/>
      <w:marTop w:val="0"/>
      <w:marBottom w:val="0"/>
      <w:divBdr>
        <w:top w:val="none" w:sz="0" w:space="0" w:color="auto"/>
        <w:left w:val="none" w:sz="0" w:space="0" w:color="auto"/>
        <w:bottom w:val="none" w:sz="0" w:space="0" w:color="auto"/>
        <w:right w:val="none" w:sz="0" w:space="0" w:color="auto"/>
      </w:divBdr>
    </w:div>
    <w:div w:id="241569892">
      <w:bodyDiv w:val="1"/>
      <w:marLeft w:val="0"/>
      <w:marRight w:val="0"/>
      <w:marTop w:val="0"/>
      <w:marBottom w:val="0"/>
      <w:divBdr>
        <w:top w:val="none" w:sz="0" w:space="0" w:color="auto"/>
        <w:left w:val="none" w:sz="0" w:space="0" w:color="auto"/>
        <w:bottom w:val="none" w:sz="0" w:space="0" w:color="auto"/>
        <w:right w:val="none" w:sz="0" w:space="0" w:color="auto"/>
      </w:divBdr>
    </w:div>
    <w:div w:id="241916582">
      <w:bodyDiv w:val="1"/>
      <w:marLeft w:val="0"/>
      <w:marRight w:val="0"/>
      <w:marTop w:val="0"/>
      <w:marBottom w:val="0"/>
      <w:divBdr>
        <w:top w:val="none" w:sz="0" w:space="0" w:color="auto"/>
        <w:left w:val="none" w:sz="0" w:space="0" w:color="auto"/>
        <w:bottom w:val="none" w:sz="0" w:space="0" w:color="auto"/>
        <w:right w:val="none" w:sz="0" w:space="0" w:color="auto"/>
      </w:divBdr>
    </w:div>
    <w:div w:id="242683087">
      <w:bodyDiv w:val="1"/>
      <w:marLeft w:val="0"/>
      <w:marRight w:val="0"/>
      <w:marTop w:val="0"/>
      <w:marBottom w:val="0"/>
      <w:divBdr>
        <w:top w:val="none" w:sz="0" w:space="0" w:color="auto"/>
        <w:left w:val="none" w:sz="0" w:space="0" w:color="auto"/>
        <w:bottom w:val="none" w:sz="0" w:space="0" w:color="auto"/>
        <w:right w:val="none" w:sz="0" w:space="0" w:color="auto"/>
      </w:divBdr>
    </w:div>
    <w:div w:id="243153158">
      <w:bodyDiv w:val="1"/>
      <w:marLeft w:val="0"/>
      <w:marRight w:val="0"/>
      <w:marTop w:val="0"/>
      <w:marBottom w:val="0"/>
      <w:divBdr>
        <w:top w:val="none" w:sz="0" w:space="0" w:color="auto"/>
        <w:left w:val="none" w:sz="0" w:space="0" w:color="auto"/>
        <w:bottom w:val="none" w:sz="0" w:space="0" w:color="auto"/>
        <w:right w:val="none" w:sz="0" w:space="0" w:color="auto"/>
      </w:divBdr>
    </w:div>
    <w:div w:id="243615643">
      <w:bodyDiv w:val="1"/>
      <w:marLeft w:val="0"/>
      <w:marRight w:val="0"/>
      <w:marTop w:val="0"/>
      <w:marBottom w:val="0"/>
      <w:divBdr>
        <w:top w:val="none" w:sz="0" w:space="0" w:color="auto"/>
        <w:left w:val="none" w:sz="0" w:space="0" w:color="auto"/>
        <w:bottom w:val="none" w:sz="0" w:space="0" w:color="auto"/>
        <w:right w:val="none" w:sz="0" w:space="0" w:color="auto"/>
      </w:divBdr>
    </w:div>
    <w:div w:id="244385022">
      <w:bodyDiv w:val="1"/>
      <w:marLeft w:val="0"/>
      <w:marRight w:val="0"/>
      <w:marTop w:val="0"/>
      <w:marBottom w:val="0"/>
      <w:divBdr>
        <w:top w:val="none" w:sz="0" w:space="0" w:color="auto"/>
        <w:left w:val="none" w:sz="0" w:space="0" w:color="auto"/>
        <w:bottom w:val="none" w:sz="0" w:space="0" w:color="auto"/>
        <w:right w:val="none" w:sz="0" w:space="0" w:color="auto"/>
      </w:divBdr>
    </w:div>
    <w:div w:id="244648393">
      <w:bodyDiv w:val="1"/>
      <w:marLeft w:val="0"/>
      <w:marRight w:val="0"/>
      <w:marTop w:val="0"/>
      <w:marBottom w:val="0"/>
      <w:divBdr>
        <w:top w:val="none" w:sz="0" w:space="0" w:color="auto"/>
        <w:left w:val="none" w:sz="0" w:space="0" w:color="auto"/>
        <w:bottom w:val="none" w:sz="0" w:space="0" w:color="auto"/>
        <w:right w:val="none" w:sz="0" w:space="0" w:color="auto"/>
      </w:divBdr>
    </w:div>
    <w:div w:id="244725559">
      <w:bodyDiv w:val="1"/>
      <w:marLeft w:val="0"/>
      <w:marRight w:val="0"/>
      <w:marTop w:val="0"/>
      <w:marBottom w:val="0"/>
      <w:divBdr>
        <w:top w:val="none" w:sz="0" w:space="0" w:color="auto"/>
        <w:left w:val="none" w:sz="0" w:space="0" w:color="auto"/>
        <w:bottom w:val="none" w:sz="0" w:space="0" w:color="auto"/>
        <w:right w:val="none" w:sz="0" w:space="0" w:color="auto"/>
      </w:divBdr>
    </w:div>
    <w:div w:id="244727967">
      <w:bodyDiv w:val="1"/>
      <w:marLeft w:val="0"/>
      <w:marRight w:val="0"/>
      <w:marTop w:val="0"/>
      <w:marBottom w:val="0"/>
      <w:divBdr>
        <w:top w:val="none" w:sz="0" w:space="0" w:color="auto"/>
        <w:left w:val="none" w:sz="0" w:space="0" w:color="auto"/>
        <w:bottom w:val="none" w:sz="0" w:space="0" w:color="auto"/>
        <w:right w:val="none" w:sz="0" w:space="0" w:color="auto"/>
      </w:divBdr>
    </w:div>
    <w:div w:id="245382727">
      <w:bodyDiv w:val="1"/>
      <w:marLeft w:val="0"/>
      <w:marRight w:val="0"/>
      <w:marTop w:val="0"/>
      <w:marBottom w:val="0"/>
      <w:divBdr>
        <w:top w:val="none" w:sz="0" w:space="0" w:color="auto"/>
        <w:left w:val="none" w:sz="0" w:space="0" w:color="auto"/>
        <w:bottom w:val="none" w:sz="0" w:space="0" w:color="auto"/>
        <w:right w:val="none" w:sz="0" w:space="0" w:color="auto"/>
      </w:divBdr>
    </w:div>
    <w:div w:id="245770006">
      <w:bodyDiv w:val="1"/>
      <w:marLeft w:val="0"/>
      <w:marRight w:val="0"/>
      <w:marTop w:val="0"/>
      <w:marBottom w:val="0"/>
      <w:divBdr>
        <w:top w:val="none" w:sz="0" w:space="0" w:color="auto"/>
        <w:left w:val="none" w:sz="0" w:space="0" w:color="auto"/>
        <w:bottom w:val="none" w:sz="0" w:space="0" w:color="auto"/>
        <w:right w:val="none" w:sz="0" w:space="0" w:color="auto"/>
      </w:divBdr>
    </w:div>
    <w:div w:id="246118509">
      <w:bodyDiv w:val="1"/>
      <w:marLeft w:val="0"/>
      <w:marRight w:val="0"/>
      <w:marTop w:val="0"/>
      <w:marBottom w:val="0"/>
      <w:divBdr>
        <w:top w:val="none" w:sz="0" w:space="0" w:color="auto"/>
        <w:left w:val="none" w:sz="0" w:space="0" w:color="auto"/>
        <w:bottom w:val="none" w:sz="0" w:space="0" w:color="auto"/>
        <w:right w:val="none" w:sz="0" w:space="0" w:color="auto"/>
      </w:divBdr>
    </w:div>
    <w:div w:id="246619125">
      <w:bodyDiv w:val="1"/>
      <w:marLeft w:val="0"/>
      <w:marRight w:val="0"/>
      <w:marTop w:val="0"/>
      <w:marBottom w:val="0"/>
      <w:divBdr>
        <w:top w:val="none" w:sz="0" w:space="0" w:color="auto"/>
        <w:left w:val="none" w:sz="0" w:space="0" w:color="auto"/>
        <w:bottom w:val="none" w:sz="0" w:space="0" w:color="auto"/>
        <w:right w:val="none" w:sz="0" w:space="0" w:color="auto"/>
      </w:divBdr>
    </w:div>
    <w:div w:id="246961122">
      <w:bodyDiv w:val="1"/>
      <w:marLeft w:val="0"/>
      <w:marRight w:val="0"/>
      <w:marTop w:val="0"/>
      <w:marBottom w:val="0"/>
      <w:divBdr>
        <w:top w:val="none" w:sz="0" w:space="0" w:color="auto"/>
        <w:left w:val="none" w:sz="0" w:space="0" w:color="auto"/>
        <w:bottom w:val="none" w:sz="0" w:space="0" w:color="auto"/>
        <w:right w:val="none" w:sz="0" w:space="0" w:color="auto"/>
      </w:divBdr>
    </w:div>
    <w:div w:id="248269352">
      <w:bodyDiv w:val="1"/>
      <w:marLeft w:val="0"/>
      <w:marRight w:val="0"/>
      <w:marTop w:val="0"/>
      <w:marBottom w:val="0"/>
      <w:divBdr>
        <w:top w:val="none" w:sz="0" w:space="0" w:color="auto"/>
        <w:left w:val="none" w:sz="0" w:space="0" w:color="auto"/>
        <w:bottom w:val="none" w:sz="0" w:space="0" w:color="auto"/>
        <w:right w:val="none" w:sz="0" w:space="0" w:color="auto"/>
      </w:divBdr>
    </w:div>
    <w:div w:id="248394408">
      <w:bodyDiv w:val="1"/>
      <w:marLeft w:val="0"/>
      <w:marRight w:val="0"/>
      <w:marTop w:val="0"/>
      <w:marBottom w:val="0"/>
      <w:divBdr>
        <w:top w:val="none" w:sz="0" w:space="0" w:color="auto"/>
        <w:left w:val="none" w:sz="0" w:space="0" w:color="auto"/>
        <w:bottom w:val="none" w:sz="0" w:space="0" w:color="auto"/>
        <w:right w:val="none" w:sz="0" w:space="0" w:color="auto"/>
      </w:divBdr>
    </w:div>
    <w:div w:id="248777134">
      <w:bodyDiv w:val="1"/>
      <w:marLeft w:val="0"/>
      <w:marRight w:val="0"/>
      <w:marTop w:val="0"/>
      <w:marBottom w:val="0"/>
      <w:divBdr>
        <w:top w:val="none" w:sz="0" w:space="0" w:color="auto"/>
        <w:left w:val="none" w:sz="0" w:space="0" w:color="auto"/>
        <w:bottom w:val="none" w:sz="0" w:space="0" w:color="auto"/>
        <w:right w:val="none" w:sz="0" w:space="0" w:color="auto"/>
      </w:divBdr>
    </w:div>
    <w:div w:id="249194110">
      <w:bodyDiv w:val="1"/>
      <w:marLeft w:val="0"/>
      <w:marRight w:val="0"/>
      <w:marTop w:val="0"/>
      <w:marBottom w:val="0"/>
      <w:divBdr>
        <w:top w:val="none" w:sz="0" w:space="0" w:color="auto"/>
        <w:left w:val="none" w:sz="0" w:space="0" w:color="auto"/>
        <w:bottom w:val="none" w:sz="0" w:space="0" w:color="auto"/>
        <w:right w:val="none" w:sz="0" w:space="0" w:color="auto"/>
      </w:divBdr>
    </w:div>
    <w:div w:id="249896213">
      <w:bodyDiv w:val="1"/>
      <w:marLeft w:val="0"/>
      <w:marRight w:val="0"/>
      <w:marTop w:val="0"/>
      <w:marBottom w:val="0"/>
      <w:divBdr>
        <w:top w:val="none" w:sz="0" w:space="0" w:color="auto"/>
        <w:left w:val="none" w:sz="0" w:space="0" w:color="auto"/>
        <w:bottom w:val="none" w:sz="0" w:space="0" w:color="auto"/>
        <w:right w:val="none" w:sz="0" w:space="0" w:color="auto"/>
      </w:divBdr>
    </w:div>
    <w:div w:id="249974532">
      <w:bodyDiv w:val="1"/>
      <w:marLeft w:val="0"/>
      <w:marRight w:val="0"/>
      <w:marTop w:val="0"/>
      <w:marBottom w:val="0"/>
      <w:divBdr>
        <w:top w:val="none" w:sz="0" w:space="0" w:color="auto"/>
        <w:left w:val="none" w:sz="0" w:space="0" w:color="auto"/>
        <w:bottom w:val="none" w:sz="0" w:space="0" w:color="auto"/>
        <w:right w:val="none" w:sz="0" w:space="0" w:color="auto"/>
      </w:divBdr>
    </w:div>
    <w:div w:id="250163120">
      <w:bodyDiv w:val="1"/>
      <w:marLeft w:val="0"/>
      <w:marRight w:val="0"/>
      <w:marTop w:val="0"/>
      <w:marBottom w:val="0"/>
      <w:divBdr>
        <w:top w:val="none" w:sz="0" w:space="0" w:color="auto"/>
        <w:left w:val="none" w:sz="0" w:space="0" w:color="auto"/>
        <w:bottom w:val="none" w:sz="0" w:space="0" w:color="auto"/>
        <w:right w:val="none" w:sz="0" w:space="0" w:color="auto"/>
      </w:divBdr>
    </w:div>
    <w:div w:id="250358660">
      <w:bodyDiv w:val="1"/>
      <w:marLeft w:val="0"/>
      <w:marRight w:val="0"/>
      <w:marTop w:val="0"/>
      <w:marBottom w:val="0"/>
      <w:divBdr>
        <w:top w:val="none" w:sz="0" w:space="0" w:color="auto"/>
        <w:left w:val="none" w:sz="0" w:space="0" w:color="auto"/>
        <w:bottom w:val="none" w:sz="0" w:space="0" w:color="auto"/>
        <w:right w:val="none" w:sz="0" w:space="0" w:color="auto"/>
      </w:divBdr>
    </w:div>
    <w:div w:id="251204727">
      <w:bodyDiv w:val="1"/>
      <w:marLeft w:val="0"/>
      <w:marRight w:val="0"/>
      <w:marTop w:val="0"/>
      <w:marBottom w:val="0"/>
      <w:divBdr>
        <w:top w:val="none" w:sz="0" w:space="0" w:color="auto"/>
        <w:left w:val="none" w:sz="0" w:space="0" w:color="auto"/>
        <w:bottom w:val="none" w:sz="0" w:space="0" w:color="auto"/>
        <w:right w:val="none" w:sz="0" w:space="0" w:color="auto"/>
      </w:divBdr>
    </w:div>
    <w:div w:id="251554364">
      <w:bodyDiv w:val="1"/>
      <w:marLeft w:val="0"/>
      <w:marRight w:val="0"/>
      <w:marTop w:val="0"/>
      <w:marBottom w:val="0"/>
      <w:divBdr>
        <w:top w:val="none" w:sz="0" w:space="0" w:color="auto"/>
        <w:left w:val="none" w:sz="0" w:space="0" w:color="auto"/>
        <w:bottom w:val="none" w:sz="0" w:space="0" w:color="auto"/>
        <w:right w:val="none" w:sz="0" w:space="0" w:color="auto"/>
      </w:divBdr>
    </w:div>
    <w:div w:id="251666605">
      <w:bodyDiv w:val="1"/>
      <w:marLeft w:val="0"/>
      <w:marRight w:val="0"/>
      <w:marTop w:val="0"/>
      <w:marBottom w:val="0"/>
      <w:divBdr>
        <w:top w:val="none" w:sz="0" w:space="0" w:color="auto"/>
        <w:left w:val="none" w:sz="0" w:space="0" w:color="auto"/>
        <w:bottom w:val="none" w:sz="0" w:space="0" w:color="auto"/>
        <w:right w:val="none" w:sz="0" w:space="0" w:color="auto"/>
      </w:divBdr>
    </w:div>
    <w:div w:id="252327746">
      <w:bodyDiv w:val="1"/>
      <w:marLeft w:val="0"/>
      <w:marRight w:val="0"/>
      <w:marTop w:val="0"/>
      <w:marBottom w:val="0"/>
      <w:divBdr>
        <w:top w:val="none" w:sz="0" w:space="0" w:color="auto"/>
        <w:left w:val="none" w:sz="0" w:space="0" w:color="auto"/>
        <w:bottom w:val="none" w:sz="0" w:space="0" w:color="auto"/>
        <w:right w:val="none" w:sz="0" w:space="0" w:color="auto"/>
      </w:divBdr>
    </w:div>
    <w:div w:id="252393714">
      <w:bodyDiv w:val="1"/>
      <w:marLeft w:val="0"/>
      <w:marRight w:val="0"/>
      <w:marTop w:val="0"/>
      <w:marBottom w:val="0"/>
      <w:divBdr>
        <w:top w:val="none" w:sz="0" w:space="0" w:color="auto"/>
        <w:left w:val="none" w:sz="0" w:space="0" w:color="auto"/>
        <w:bottom w:val="none" w:sz="0" w:space="0" w:color="auto"/>
        <w:right w:val="none" w:sz="0" w:space="0" w:color="auto"/>
      </w:divBdr>
    </w:div>
    <w:div w:id="252982016">
      <w:bodyDiv w:val="1"/>
      <w:marLeft w:val="0"/>
      <w:marRight w:val="0"/>
      <w:marTop w:val="0"/>
      <w:marBottom w:val="0"/>
      <w:divBdr>
        <w:top w:val="none" w:sz="0" w:space="0" w:color="auto"/>
        <w:left w:val="none" w:sz="0" w:space="0" w:color="auto"/>
        <w:bottom w:val="none" w:sz="0" w:space="0" w:color="auto"/>
        <w:right w:val="none" w:sz="0" w:space="0" w:color="auto"/>
      </w:divBdr>
    </w:div>
    <w:div w:id="253057051">
      <w:bodyDiv w:val="1"/>
      <w:marLeft w:val="0"/>
      <w:marRight w:val="0"/>
      <w:marTop w:val="0"/>
      <w:marBottom w:val="0"/>
      <w:divBdr>
        <w:top w:val="none" w:sz="0" w:space="0" w:color="auto"/>
        <w:left w:val="none" w:sz="0" w:space="0" w:color="auto"/>
        <w:bottom w:val="none" w:sz="0" w:space="0" w:color="auto"/>
        <w:right w:val="none" w:sz="0" w:space="0" w:color="auto"/>
      </w:divBdr>
    </w:div>
    <w:div w:id="253131237">
      <w:bodyDiv w:val="1"/>
      <w:marLeft w:val="0"/>
      <w:marRight w:val="0"/>
      <w:marTop w:val="0"/>
      <w:marBottom w:val="0"/>
      <w:divBdr>
        <w:top w:val="none" w:sz="0" w:space="0" w:color="auto"/>
        <w:left w:val="none" w:sz="0" w:space="0" w:color="auto"/>
        <w:bottom w:val="none" w:sz="0" w:space="0" w:color="auto"/>
        <w:right w:val="none" w:sz="0" w:space="0" w:color="auto"/>
      </w:divBdr>
    </w:div>
    <w:div w:id="253320335">
      <w:bodyDiv w:val="1"/>
      <w:marLeft w:val="0"/>
      <w:marRight w:val="0"/>
      <w:marTop w:val="0"/>
      <w:marBottom w:val="0"/>
      <w:divBdr>
        <w:top w:val="none" w:sz="0" w:space="0" w:color="auto"/>
        <w:left w:val="none" w:sz="0" w:space="0" w:color="auto"/>
        <w:bottom w:val="none" w:sz="0" w:space="0" w:color="auto"/>
        <w:right w:val="none" w:sz="0" w:space="0" w:color="auto"/>
      </w:divBdr>
    </w:div>
    <w:div w:id="253443279">
      <w:bodyDiv w:val="1"/>
      <w:marLeft w:val="0"/>
      <w:marRight w:val="0"/>
      <w:marTop w:val="0"/>
      <w:marBottom w:val="0"/>
      <w:divBdr>
        <w:top w:val="none" w:sz="0" w:space="0" w:color="auto"/>
        <w:left w:val="none" w:sz="0" w:space="0" w:color="auto"/>
        <w:bottom w:val="none" w:sz="0" w:space="0" w:color="auto"/>
        <w:right w:val="none" w:sz="0" w:space="0" w:color="auto"/>
      </w:divBdr>
    </w:div>
    <w:div w:id="253828246">
      <w:bodyDiv w:val="1"/>
      <w:marLeft w:val="0"/>
      <w:marRight w:val="0"/>
      <w:marTop w:val="0"/>
      <w:marBottom w:val="0"/>
      <w:divBdr>
        <w:top w:val="none" w:sz="0" w:space="0" w:color="auto"/>
        <w:left w:val="none" w:sz="0" w:space="0" w:color="auto"/>
        <w:bottom w:val="none" w:sz="0" w:space="0" w:color="auto"/>
        <w:right w:val="none" w:sz="0" w:space="0" w:color="auto"/>
      </w:divBdr>
    </w:div>
    <w:div w:id="253828721">
      <w:bodyDiv w:val="1"/>
      <w:marLeft w:val="0"/>
      <w:marRight w:val="0"/>
      <w:marTop w:val="0"/>
      <w:marBottom w:val="0"/>
      <w:divBdr>
        <w:top w:val="none" w:sz="0" w:space="0" w:color="auto"/>
        <w:left w:val="none" w:sz="0" w:space="0" w:color="auto"/>
        <w:bottom w:val="none" w:sz="0" w:space="0" w:color="auto"/>
        <w:right w:val="none" w:sz="0" w:space="0" w:color="auto"/>
      </w:divBdr>
    </w:div>
    <w:div w:id="253903026">
      <w:bodyDiv w:val="1"/>
      <w:marLeft w:val="0"/>
      <w:marRight w:val="0"/>
      <w:marTop w:val="0"/>
      <w:marBottom w:val="0"/>
      <w:divBdr>
        <w:top w:val="none" w:sz="0" w:space="0" w:color="auto"/>
        <w:left w:val="none" w:sz="0" w:space="0" w:color="auto"/>
        <w:bottom w:val="none" w:sz="0" w:space="0" w:color="auto"/>
        <w:right w:val="none" w:sz="0" w:space="0" w:color="auto"/>
      </w:divBdr>
    </w:div>
    <w:div w:id="254436519">
      <w:bodyDiv w:val="1"/>
      <w:marLeft w:val="0"/>
      <w:marRight w:val="0"/>
      <w:marTop w:val="0"/>
      <w:marBottom w:val="0"/>
      <w:divBdr>
        <w:top w:val="none" w:sz="0" w:space="0" w:color="auto"/>
        <w:left w:val="none" w:sz="0" w:space="0" w:color="auto"/>
        <w:bottom w:val="none" w:sz="0" w:space="0" w:color="auto"/>
        <w:right w:val="none" w:sz="0" w:space="0" w:color="auto"/>
      </w:divBdr>
    </w:div>
    <w:div w:id="255329981">
      <w:bodyDiv w:val="1"/>
      <w:marLeft w:val="0"/>
      <w:marRight w:val="0"/>
      <w:marTop w:val="0"/>
      <w:marBottom w:val="0"/>
      <w:divBdr>
        <w:top w:val="none" w:sz="0" w:space="0" w:color="auto"/>
        <w:left w:val="none" w:sz="0" w:space="0" w:color="auto"/>
        <w:bottom w:val="none" w:sz="0" w:space="0" w:color="auto"/>
        <w:right w:val="none" w:sz="0" w:space="0" w:color="auto"/>
      </w:divBdr>
    </w:div>
    <w:div w:id="255332079">
      <w:bodyDiv w:val="1"/>
      <w:marLeft w:val="0"/>
      <w:marRight w:val="0"/>
      <w:marTop w:val="0"/>
      <w:marBottom w:val="0"/>
      <w:divBdr>
        <w:top w:val="none" w:sz="0" w:space="0" w:color="auto"/>
        <w:left w:val="none" w:sz="0" w:space="0" w:color="auto"/>
        <w:bottom w:val="none" w:sz="0" w:space="0" w:color="auto"/>
        <w:right w:val="none" w:sz="0" w:space="0" w:color="auto"/>
      </w:divBdr>
    </w:div>
    <w:div w:id="255477771">
      <w:bodyDiv w:val="1"/>
      <w:marLeft w:val="0"/>
      <w:marRight w:val="0"/>
      <w:marTop w:val="0"/>
      <w:marBottom w:val="0"/>
      <w:divBdr>
        <w:top w:val="none" w:sz="0" w:space="0" w:color="auto"/>
        <w:left w:val="none" w:sz="0" w:space="0" w:color="auto"/>
        <w:bottom w:val="none" w:sz="0" w:space="0" w:color="auto"/>
        <w:right w:val="none" w:sz="0" w:space="0" w:color="auto"/>
      </w:divBdr>
    </w:div>
    <w:div w:id="255556194">
      <w:bodyDiv w:val="1"/>
      <w:marLeft w:val="0"/>
      <w:marRight w:val="0"/>
      <w:marTop w:val="0"/>
      <w:marBottom w:val="0"/>
      <w:divBdr>
        <w:top w:val="none" w:sz="0" w:space="0" w:color="auto"/>
        <w:left w:val="none" w:sz="0" w:space="0" w:color="auto"/>
        <w:bottom w:val="none" w:sz="0" w:space="0" w:color="auto"/>
        <w:right w:val="none" w:sz="0" w:space="0" w:color="auto"/>
      </w:divBdr>
    </w:div>
    <w:div w:id="255867902">
      <w:bodyDiv w:val="1"/>
      <w:marLeft w:val="0"/>
      <w:marRight w:val="0"/>
      <w:marTop w:val="0"/>
      <w:marBottom w:val="0"/>
      <w:divBdr>
        <w:top w:val="none" w:sz="0" w:space="0" w:color="auto"/>
        <w:left w:val="none" w:sz="0" w:space="0" w:color="auto"/>
        <w:bottom w:val="none" w:sz="0" w:space="0" w:color="auto"/>
        <w:right w:val="none" w:sz="0" w:space="0" w:color="auto"/>
      </w:divBdr>
    </w:div>
    <w:div w:id="255945126">
      <w:bodyDiv w:val="1"/>
      <w:marLeft w:val="0"/>
      <w:marRight w:val="0"/>
      <w:marTop w:val="0"/>
      <w:marBottom w:val="0"/>
      <w:divBdr>
        <w:top w:val="none" w:sz="0" w:space="0" w:color="auto"/>
        <w:left w:val="none" w:sz="0" w:space="0" w:color="auto"/>
        <w:bottom w:val="none" w:sz="0" w:space="0" w:color="auto"/>
        <w:right w:val="none" w:sz="0" w:space="0" w:color="auto"/>
      </w:divBdr>
    </w:div>
    <w:div w:id="257326853">
      <w:bodyDiv w:val="1"/>
      <w:marLeft w:val="0"/>
      <w:marRight w:val="0"/>
      <w:marTop w:val="0"/>
      <w:marBottom w:val="0"/>
      <w:divBdr>
        <w:top w:val="none" w:sz="0" w:space="0" w:color="auto"/>
        <w:left w:val="none" w:sz="0" w:space="0" w:color="auto"/>
        <w:bottom w:val="none" w:sz="0" w:space="0" w:color="auto"/>
        <w:right w:val="none" w:sz="0" w:space="0" w:color="auto"/>
      </w:divBdr>
    </w:div>
    <w:div w:id="257491800">
      <w:bodyDiv w:val="1"/>
      <w:marLeft w:val="0"/>
      <w:marRight w:val="0"/>
      <w:marTop w:val="0"/>
      <w:marBottom w:val="0"/>
      <w:divBdr>
        <w:top w:val="none" w:sz="0" w:space="0" w:color="auto"/>
        <w:left w:val="none" w:sz="0" w:space="0" w:color="auto"/>
        <w:bottom w:val="none" w:sz="0" w:space="0" w:color="auto"/>
        <w:right w:val="none" w:sz="0" w:space="0" w:color="auto"/>
      </w:divBdr>
    </w:div>
    <w:div w:id="257492694">
      <w:bodyDiv w:val="1"/>
      <w:marLeft w:val="0"/>
      <w:marRight w:val="0"/>
      <w:marTop w:val="0"/>
      <w:marBottom w:val="0"/>
      <w:divBdr>
        <w:top w:val="none" w:sz="0" w:space="0" w:color="auto"/>
        <w:left w:val="none" w:sz="0" w:space="0" w:color="auto"/>
        <w:bottom w:val="none" w:sz="0" w:space="0" w:color="auto"/>
        <w:right w:val="none" w:sz="0" w:space="0" w:color="auto"/>
      </w:divBdr>
    </w:div>
    <w:div w:id="257713820">
      <w:bodyDiv w:val="1"/>
      <w:marLeft w:val="0"/>
      <w:marRight w:val="0"/>
      <w:marTop w:val="0"/>
      <w:marBottom w:val="0"/>
      <w:divBdr>
        <w:top w:val="none" w:sz="0" w:space="0" w:color="auto"/>
        <w:left w:val="none" w:sz="0" w:space="0" w:color="auto"/>
        <w:bottom w:val="none" w:sz="0" w:space="0" w:color="auto"/>
        <w:right w:val="none" w:sz="0" w:space="0" w:color="auto"/>
      </w:divBdr>
    </w:div>
    <w:div w:id="259337260">
      <w:bodyDiv w:val="1"/>
      <w:marLeft w:val="0"/>
      <w:marRight w:val="0"/>
      <w:marTop w:val="0"/>
      <w:marBottom w:val="0"/>
      <w:divBdr>
        <w:top w:val="none" w:sz="0" w:space="0" w:color="auto"/>
        <w:left w:val="none" w:sz="0" w:space="0" w:color="auto"/>
        <w:bottom w:val="none" w:sz="0" w:space="0" w:color="auto"/>
        <w:right w:val="none" w:sz="0" w:space="0" w:color="auto"/>
      </w:divBdr>
    </w:div>
    <w:div w:id="259412393">
      <w:bodyDiv w:val="1"/>
      <w:marLeft w:val="0"/>
      <w:marRight w:val="0"/>
      <w:marTop w:val="0"/>
      <w:marBottom w:val="0"/>
      <w:divBdr>
        <w:top w:val="none" w:sz="0" w:space="0" w:color="auto"/>
        <w:left w:val="none" w:sz="0" w:space="0" w:color="auto"/>
        <w:bottom w:val="none" w:sz="0" w:space="0" w:color="auto"/>
        <w:right w:val="none" w:sz="0" w:space="0" w:color="auto"/>
      </w:divBdr>
    </w:div>
    <w:div w:id="260797520">
      <w:bodyDiv w:val="1"/>
      <w:marLeft w:val="0"/>
      <w:marRight w:val="0"/>
      <w:marTop w:val="0"/>
      <w:marBottom w:val="0"/>
      <w:divBdr>
        <w:top w:val="none" w:sz="0" w:space="0" w:color="auto"/>
        <w:left w:val="none" w:sz="0" w:space="0" w:color="auto"/>
        <w:bottom w:val="none" w:sz="0" w:space="0" w:color="auto"/>
        <w:right w:val="none" w:sz="0" w:space="0" w:color="auto"/>
      </w:divBdr>
    </w:div>
    <w:div w:id="260836940">
      <w:bodyDiv w:val="1"/>
      <w:marLeft w:val="0"/>
      <w:marRight w:val="0"/>
      <w:marTop w:val="0"/>
      <w:marBottom w:val="0"/>
      <w:divBdr>
        <w:top w:val="none" w:sz="0" w:space="0" w:color="auto"/>
        <w:left w:val="none" w:sz="0" w:space="0" w:color="auto"/>
        <w:bottom w:val="none" w:sz="0" w:space="0" w:color="auto"/>
        <w:right w:val="none" w:sz="0" w:space="0" w:color="auto"/>
      </w:divBdr>
    </w:div>
    <w:div w:id="261493949">
      <w:bodyDiv w:val="1"/>
      <w:marLeft w:val="0"/>
      <w:marRight w:val="0"/>
      <w:marTop w:val="0"/>
      <w:marBottom w:val="0"/>
      <w:divBdr>
        <w:top w:val="none" w:sz="0" w:space="0" w:color="auto"/>
        <w:left w:val="none" w:sz="0" w:space="0" w:color="auto"/>
        <w:bottom w:val="none" w:sz="0" w:space="0" w:color="auto"/>
        <w:right w:val="none" w:sz="0" w:space="0" w:color="auto"/>
      </w:divBdr>
    </w:div>
    <w:div w:id="261686827">
      <w:bodyDiv w:val="1"/>
      <w:marLeft w:val="0"/>
      <w:marRight w:val="0"/>
      <w:marTop w:val="0"/>
      <w:marBottom w:val="0"/>
      <w:divBdr>
        <w:top w:val="none" w:sz="0" w:space="0" w:color="auto"/>
        <w:left w:val="none" w:sz="0" w:space="0" w:color="auto"/>
        <w:bottom w:val="none" w:sz="0" w:space="0" w:color="auto"/>
        <w:right w:val="none" w:sz="0" w:space="0" w:color="auto"/>
      </w:divBdr>
    </w:div>
    <w:div w:id="262033826">
      <w:bodyDiv w:val="1"/>
      <w:marLeft w:val="0"/>
      <w:marRight w:val="0"/>
      <w:marTop w:val="0"/>
      <w:marBottom w:val="0"/>
      <w:divBdr>
        <w:top w:val="none" w:sz="0" w:space="0" w:color="auto"/>
        <w:left w:val="none" w:sz="0" w:space="0" w:color="auto"/>
        <w:bottom w:val="none" w:sz="0" w:space="0" w:color="auto"/>
        <w:right w:val="none" w:sz="0" w:space="0" w:color="auto"/>
      </w:divBdr>
    </w:div>
    <w:div w:id="262344493">
      <w:bodyDiv w:val="1"/>
      <w:marLeft w:val="0"/>
      <w:marRight w:val="0"/>
      <w:marTop w:val="0"/>
      <w:marBottom w:val="0"/>
      <w:divBdr>
        <w:top w:val="none" w:sz="0" w:space="0" w:color="auto"/>
        <w:left w:val="none" w:sz="0" w:space="0" w:color="auto"/>
        <w:bottom w:val="none" w:sz="0" w:space="0" w:color="auto"/>
        <w:right w:val="none" w:sz="0" w:space="0" w:color="auto"/>
      </w:divBdr>
    </w:div>
    <w:div w:id="263073150">
      <w:bodyDiv w:val="1"/>
      <w:marLeft w:val="0"/>
      <w:marRight w:val="0"/>
      <w:marTop w:val="0"/>
      <w:marBottom w:val="0"/>
      <w:divBdr>
        <w:top w:val="none" w:sz="0" w:space="0" w:color="auto"/>
        <w:left w:val="none" w:sz="0" w:space="0" w:color="auto"/>
        <w:bottom w:val="none" w:sz="0" w:space="0" w:color="auto"/>
        <w:right w:val="none" w:sz="0" w:space="0" w:color="auto"/>
      </w:divBdr>
    </w:div>
    <w:div w:id="263342483">
      <w:bodyDiv w:val="1"/>
      <w:marLeft w:val="0"/>
      <w:marRight w:val="0"/>
      <w:marTop w:val="0"/>
      <w:marBottom w:val="0"/>
      <w:divBdr>
        <w:top w:val="none" w:sz="0" w:space="0" w:color="auto"/>
        <w:left w:val="none" w:sz="0" w:space="0" w:color="auto"/>
        <w:bottom w:val="none" w:sz="0" w:space="0" w:color="auto"/>
        <w:right w:val="none" w:sz="0" w:space="0" w:color="auto"/>
      </w:divBdr>
    </w:div>
    <w:div w:id="263921552">
      <w:bodyDiv w:val="1"/>
      <w:marLeft w:val="0"/>
      <w:marRight w:val="0"/>
      <w:marTop w:val="0"/>
      <w:marBottom w:val="0"/>
      <w:divBdr>
        <w:top w:val="none" w:sz="0" w:space="0" w:color="auto"/>
        <w:left w:val="none" w:sz="0" w:space="0" w:color="auto"/>
        <w:bottom w:val="none" w:sz="0" w:space="0" w:color="auto"/>
        <w:right w:val="none" w:sz="0" w:space="0" w:color="auto"/>
      </w:divBdr>
    </w:div>
    <w:div w:id="264077092">
      <w:bodyDiv w:val="1"/>
      <w:marLeft w:val="0"/>
      <w:marRight w:val="0"/>
      <w:marTop w:val="0"/>
      <w:marBottom w:val="0"/>
      <w:divBdr>
        <w:top w:val="none" w:sz="0" w:space="0" w:color="auto"/>
        <w:left w:val="none" w:sz="0" w:space="0" w:color="auto"/>
        <w:bottom w:val="none" w:sz="0" w:space="0" w:color="auto"/>
        <w:right w:val="none" w:sz="0" w:space="0" w:color="auto"/>
      </w:divBdr>
    </w:div>
    <w:div w:id="265121967">
      <w:bodyDiv w:val="1"/>
      <w:marLeft w:val="0"/>
      <w:marRight w:val="0"/>
      <w:marTop w:val="0"/>
      <w:marBottom w:val="0"/>
      <w:divBdr>
        <w:top w:val="none" w:sz="0" w:space="0" w:color="auto"/>
        <w:left w:val="none" w:sz="0" w:space="0" w:color="auto"/>
        <w:bottom w:val="none" w:sz="0" w:space="0" w:color="auto"/>
        <w:right w:val="none" w:sz="0" w:space="0" w:color="auto"/>
      </w:divBdr>
    </w:div>
    <w:div w:id="265814716">
      <w:bodyDiv w:val="1"/>
      <w:marLeft w:val="0"/>
      <w:marRight w:val="0"/>
      <w:marTop w:val="0"/>
      <w:marBottom w:val="0"/>
      <w:divBdr>
        <w:top w:val="none" w:sz="0" w:space="0" w:color="auto"/>
        <w:left w:val="none" w:sz="0" w:space="0" w:color="auto"/>
        <w:bottom w:val="none" w:sz="0" w:space="0" w:color="auto"/>
        <w:right w:val="none" w:sz="0" w:space="0" w:color="auto"/>
      </w:divBdr>
    </w:div>
    <w:div w:id="265960987">
      <w:bodyDiv w:val="1"/>
      <w:marLeft w:val="0"/>
      <w:marRight w:val="0"/>
      <w:marTop w:val="0"/>
      <w:marBottom w:val="0"/>
      <w:divBdr>
        <w:top w:val="none" w:sz="0" w:space="0" w:color="auto"/>
        <w:left w:val="none" w:sz="0" w:space="0" w:color="auto"/>
        <w:bottom w:val="none" w:sz="0" w:space="0" w:color="auto"/>
        <w:right w:val="none" w:sz="0" w:space="0" w:color="auto"/>
      </w:divBdr>
    </w:div>
    <w:div w:id="266694203">
      <w:bodyDiv w:val="1"/>
      <w:marLeft w:val="0"/>
      <w:marRight w:val="0"/>
      <w:marTop w:val="0"/>
      <w:marBottom w:val="0"/>
      <w:divBdr>
        <w:top w:val="none" w:sz="0" w:space="0" w:color="auto"/>
        <w:left w:val="none" w:sz="0" w:space="0" w:color="auto"/>
        <w:bottom w:val="none" w:sz="0" w:space="0" w:color="auto"/>
        <w:right w:val="none" w:sz="0" w:space="0" w:color="auto"/>
      </w:divBdr>
    </w:div>
    <w:div w:id="267658687">
      <w:bodyDiv w:val="1"/>
      <w:marLeft w:val="0"/>
      <w:marRight w:val="0"/>
      <w:marTop w:val="0"/>
      <w:marBottom w:val="0"/>
      <w:divBdr>
        <w:top w:val="none" w:sz="0" w:space="0" w:color="auto"/>
        <w:left w:val="none" w:sz="0" w:space="0" w:color="auto"/>
        <w:bottom w:val="none" w:sz="0" w:space="0" w:color="auto"/>
        <w:right w:val="none" w:sz="0" w:space="0" w:color="auto"/>
      </w:divBdr>
    </w:div>
    <w:div w:id="267784414">
      <w:bodyDiv w:val="1"/>
      <w:marLeft w:val="0"/>
      <w:marRight w:val="0"/>
      <w:marTop w:val="0"/>
      <w:marBottom w:val="0"/>
      <w:divBdr>
        <w:top w:val="none" w:sz="0" w:space="0" w:color="auto"/>
        <w:left w:val="none" w:sz="0" w:space="0" w:color="auto"/>
        <w:bottom w:val="none" w:sz="0" w:space="0" w:color="auto"/>
        <w:right w:val="none" w:sz="0" w:space="0" w:color="auto"/>
      </w:divBdr>
    </w:div>
    <w:div w:id="268703711">
      <w:bodyDiv w:val="1"/>
      <w:marLeft w:val="0"/>
      <w:marRight w:val="0"/>
      <w:marTop w:val="0"/>
      <w:marBottom w:val="0"/>
      <w:divBdr>
        <w:top w:val="none" w:sz="0" w:space="0" w:color="auto"/>
        <w:left w:val="none" w:sz="0" w:space="0" w:color="auto"/>
        <w:bottom w:val="none" w:sz="0" w:space="0" w:color="auto"/>
        <w:right w:val="none" w:sz="0" w:space="0" w:color="auto"/>
      </w:divBdr>
    </w:div>
    <w:div w:id="269046298">
      <w:bodyDiv w:val="1"/>
      <w:marLeft w:val="0"/>
      <w:marRight w:val="0"/>
      <w:marTop w:val="0"/>
      <w:marBottom w:val="0"/>
      <w:divBdr>
        <w:top w:val="none" w:sz="0" w:space="0" w:color="auto"/>
        <w:left w:val="none" w:sz="0" w:space="0" w:color="auto"/>
        <w:bottom w:val="none" w:sz="0" w:space="0" w:color="auto"/>
        <w:right w:val="none" w:sz="0" w:space="0" w:color="auto"/>
      </w:divBdr>
    </w:div>
    <w:div w:id="270236764">
      <w:bodyDiv w:val="1"/>
      <w:marLeft w:val="0"/>
      <w:marRight w:val="0"/>
      <w:marTop w:val="0"/>
      <w:marBottom w:val="0"/>
      <w:divBdr>
        <w:top w:val="none" w:sz="0" w:space="0" w:color="auto"/>
        <w:left w:val="none" w:sz="0" w:space="0" w:color="auto"/>
        <w:bottom w:val="none" w:sz="0" w:space="0" w:color="auto"/>
        <w:right w:val="none" w:sz="0" w:space="0" w:color="auto"/>
      </w:divBdr>
    </w:div>
    <w:div w:id="270281459">
      <w:bodyDiv w:val="1"/>
      <w:marLeft w:val="0"/>
      <w:marRight w:val="0"/>
      <w:marTop w:val="0"/>
      <w:marBottom w:val="0"/>
      <w:divBdr>
        <w:top w:val="none" w:sz="0" w:space="0" w:color="auto"/>
        <w:left w:val="none" w:sz="0" w:space="0" w:color="auto"/>
        <w:bottom w:val="none" w:sz="0" w:space="0" w:color="auto"/>
        <w:right w:val="none" w:sz="0" w:space="0" w:color="auto"/>
      </w:divBdr>
    </w:div>
    <w:div w:id="270864969">
      <w:bodyDiv w:val="1"/>
      <w:marLeft w:val="0"/>
      <w:marRight w:val="0"/>
      <w:marTop w:val="0"/>
      <w:marBottom w:val="0"/>
      <w:divBdr>
        <w:top w:val="none" w:sz="0" w:space="0" w:color="auto"/>
        <w:left w:val="none" w:sz="0" w:space="0" w:color="auto"/>
        <w:bottom w:val="none" w:sz="0" w:space="0" w:color="auto"/>
        <w:right w:val="none" w:sz="0" w:space="0" w:color="auto"/>
      </w:divBdr>
    </w:div>
    <w:div w:id="271591583">
      <w:bodyDiv w:val="1"/>
      <w:marLeft w:val="0"/>
      <w:marRight w:val="0"/>
      <w:marTop w:val="0"/>
      <w:marBottom w:val="0"/>
      <w:divBdr>
        <w:top w:val="none" w:sz="0" w:space="0" w:color="auto"/>
        <w:left w:val="none" w:sz="0" w:space="0" w:color="auto"/>
        <w:bottom w:val="none" w:sz="0" w:space="0" w:color="auto"/>
        <w:right w:val="none" w:sz="0" w:space="0" w:color="auto"/>
      </w:divBdr>
    </w:div>
    <w:div w:id="271744201">
      <w:bodyDiv w:val="1"/>
      <w:marLeft w:val="0"/>
      <w:marRight w:val="0"/>
      <w:marTop w:val="0"/>
      <w:marBottom w:val="0"/>
      <w:divBdr>
        <w:top w:val="none" w:sz="0" w:space="0" w:color="auto"/>
        <w:left w:val="none" w:sz="0" w:space="0" w:color="auto"/>
        <w:bottom w:val="none" w:sz="0" w:space="0" w:color="auto"/>
        <w:right w:val="none" w:sz="0" w:space="0" w:color="auto"/>
      </w:divBdr>
    </w:div>
    <w:div w:id="271868170">
      <w:bodyDiv w:val="1"/>
      <w:marLeft w:val="0"/>
      <w:marRight w:val="0"/>
      <w:marTop w:val="0"/>
      <w:marBottom w:val="0"/>
      <w:divBdr>
        <w:top w:val="none" w:sz="0" w:space="0" w:color="auto"/>
        <w:left w:val="none" w:sz="0" w:space="0" w:color="auto"/>
        <w:bottom w:val="none" w:sz="0" w:space="0" w:color="auto"/>
        <w:right w:val="none" w:sz="0" w:space="0" w:color="auto"/>
      </w:divBdr>
    </w:div>
    <w:div w:id="272329625">
      <w:bodyDiv w:val="1"/>
      <w:marLeft w:val="0"/>
      <w:marRight w:val="0"/>
      <w:marTop w:val="0"/>
      <w:marBottom w:val="0"/>
      <w:divBdr>
        <w:top w:val="none" w:sz="0" w:space="0" w:color="auto"/>
        <w:left w:val="none" w:sz="0" w:space="0" w:color="auto"/>
        <w:bottom w:val="none" w:sz="0" w:space="0" w:color="auto"/>
        <w:right w:val="none" w:sz="0" w:space="0" w:color="auto"/>
      </w:divBdr>
    </w:div>
    <w:div w:id="272712106">
      <w:bodyDiv w:val="1"/>
      <w:marLeft w:val="0"/>
      <w:marRight w:val="0"/>
      <w:marTop w:val="0"/>
      <w:marBottom w:val="0"/>
      <w:divBdr>
        <w:top w:val="none" w:sz="0" w:space="0" w:color="auto"/>
        <w:left w:val="none" w:sz="0" w:space="0" w:color="auto"/>
        <w:bottom w:val="none" w:sz="0" w:space="0" w:color="auto"/>
        <w:right w:val="none" w:sz="0" w:space="0" w:color="auto"/>
      </w:divBdr>
    </w:div>
    <w:div w:id="272828454">
      <w:bodyDiv w:val="1"/>
      <w:marLeft w:val="0"/>
      <w:marRight w:val="0"/>
      <w:marTop w:val="0"/>
      <w:marBottom w:val="0"/>
      <w:divBdr>
        <w:top w:val="none" w:sz="0" w:space="0" w:color="auto"/>
        <w:left w:val="none" w:sz="0" w:space="0" w:color="auto"/>
        <w:bottom w:val="none" w:sz="0" w:space="0" w:color="auto"/>
        <w:right w:val="none" w:sz="0" w:space="0" w:color="auto"/>
      </w:divBdr>
    </w:div>
    <w:div w:id="272829447">
      <w:bodyDiv w:val="1"/>
      <w:marLeft w:val="0"/>
      <w:marRight w:val="0"/>
      <w:marTop w:val="0"/>
      <w:marBottom w:val="0"/>
      <w:divBdr>
        <w:top w:val="none" w:sz="0" w:space="0" w:color="auto"/>
        <w:left w:val="none" w:sz="0" w:space="0" w:color="auto"/>
        <w:bottom w:val="none" w:sz="0" w:space="0" w:color="auto"/>
        <w:right w:val="none" w:sz="0" w:space="0" w:color="auto"/>
      </w:divBdr>
    </w:div>
    <w:div w:id="274100147">
      <w:bodyDiv w:val="1"/>
      <w:marLeft w:val="0"/>
      <w:marRight w:val="0"/>
      <w:marTop w:val="0"/>
      <w:marBottom w:val="0"/>
      <w:divBdr>
        <w:top w:val="none" w:sz="0" w:space="0" w:color="auto"/>
        <w:left w:val="none" w:sz="0" w:space="0" w:color="auto"/>
        <w:bottom w:val="none" w:sz="0" w:space="0" w:color="auto"/>
        <w:right w:val="none" w:sz="0" w:space="0" w:color="auto"/>
      </w:divBdr>
    </w:div>
    <w:div w:id="274556657">
      <w:bodyDiv w:val="1"/>
      <w:marLeft w:val="0"/>
      <w:marRight w:val="0"/>
      <w:marTop w:val="0"/>
      <w:marBottom w:val="0"/>
      <w:divBdr>
        <w:top w:val="none" w:sz="0" w:space="0" w:color="auto"/>
        <w:left w:val="none" w:sz="0" w:space="0" w:color="auto"/>
        <w:bottom w:val="none" w:sz="0" w:space="0" w:color="auto"/>
        <w:right w:val="none" w:sz="0" w:space="0" w:color="auto"/>
      </w:divBdr>
    </w:div>
    <w:div w:id="274795329">
      <w:bodyDiv w:val="1"/>
      <w:marLeft w:val="0"/>
      <w:marRight w:val="0"/>
      <w:marTop w:val="0"/>
      <w:marBottom w:val="0"/>
      <w:divBdr>
        <w:top w:val="none" w:sz="0" w:space="0" w:color="auto"/>
        <w:left w:val="none" w:sz="0" w:space="0" w:color="auto"/>
        <w:bottom w:val="none" w:sz="0" w:space="0" w:color="auto"/>
        <w:right w:val="none" w:sz="0" w:space="0" w:color="auto"/>
      </w:divBdr>
    </w:div>
    <w:div w:id="274871103">
      <w:bodyDiv w:val="1"/>
      <w:marLeft w:val="0"/>
      <w:marRight w:val="0"/>
      <w:marTop w:val="0"/>
      <w:marBottom w:val="0"/>
      <w:divBdr>
        <w:top w:val="none" w:sz="0" w:space="0" w:color="auto"/>
        <w:left w:val="none" w:sz="0" w:space="0" w:color="auto"/>
        <w:bottom w:val="none" w:sz="0" w:space="0" w:color="auto"/>
        <w:right w:val="none" w:sz="0" w:space="0" w:color="auto"/>
      </w:divBdr>
    </w:div>
    <w:div w:id="274991252">
      <w:bodyDiv w:val="1"/>
      <w:marLeft w:val="0"/>
      <w:marRight w:val="0"/>
      <w:marTop w:val="0"/>
      <w:marBottom w:val="0"/>
      <w:divBdr>
        <w:top w:val="none" w:sz="0" w:space="0" w:color="auto"/>
        <w:left w:val="none" w:sz="0" w:space="0" w:color="auto"/>
        <w:bottom w:val="none" w:sz="0" w:space="0" w:color="auto"/>
        <w:right w:val="none" w:sz="0" w:space="0" w:color="auto"/>
      </w:divBdr>
    </w:div>
    <w:div w:id="275136071">
      <w:bodyDiv w:val="1"/>
      <w:marLeft w:val="0"/>
      <w:marRight w:val="0"/>
      <w:marTop w:val="0"/>
      <w:marBottom w:val="0"/>
      <w:divBdr>
        <w:top w:val="none" w:sz="0" w:space="0" w:color="auto"/>
        <w:left w:val="none" w:sz="0" w:space="0" w:color="auto"/>
        <w:bottom w:val="none" w:sz="0" w:space="0" w:color="auto"/>
        <w:right w:val="none" w:sz="0" w:space="0" w:color="auto"/>
      </w:divBdr>
    </w:div>
    <w:div w:id="275215644">
      <w:bodyDiv w:val="1"/>
      <w:marLeft w:val="0"/>
      <w:marRight w:val="0"/>
      <w:marTop w:val="0"/>
      <w:marBottom w:val="0"/>
      <w:divBdr>
        <w:top w:val="none" w:sz="0" w:space="0" w:color="auto"/>
        <w:left w:val="none" w:sz="0" w:space="0" w:color="auto"/>
        <w:bottom w:val="none" w:sz="0" w:space="0" w:color="auto"/>
        <w:right w:val="none" w:sz="0" w:space="0" w:color="auto"/>
      </w:divBdr>
    </w:div>
    <w:div w:id="275217399">
      <w:bodyDiv w:val="1"/>
      <w:marLeft w:val="0"/>
      <w:marRight w:val="0"/>
      <w:marTop w:val="0"/>
      <w:marBottom w:val="0"/>
      <w:divBdr>
        <w:top w:val="none" w:sz="0" w:space="0" w:color="auto"/>
        <w:left w:val="none" w:sz="0" w:space="0" w:color="auto"/>
        <w:bottom w:val="none" w:sz="0" w:space="0" w:color="auto"/>
        <w:right w:val="none" w:sz="0" w:space="0" w:color="auto"/>
      </w:divBdr>
    </w:div>
    <w:div w:id="275911115">
      <w:bodyDiv w:val="1"/>
      <w:marLeft w:val="0"/>
      <w:marRight w:val="0"/>
      <w:marTop w:val="0"/>
      <w:marBottom w:val="0"/>
      <w:divBdr>
        <w:top w:val="none" w:sz="0" w:space="0" w:color="auto"/>
        <w:left w:val="none" w:sz="0" w:space="0" w:color="auto"/>
        <w:bottom w:val="none" w:sz="0" w:space="0" w:color="auto"/>
        <w:right w:val="none" w:sz="0" w:space="0" w:color="auto"/>
      </w:divBdr>
    </w:div>
    <w:div w:id="275915688">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6956075">
      <w:bodyDiv w:val="1"/>
      <w:marLeft w:val="0"/>
      <w:marRight w:val="0"/>
      <w:marTop w:val="0"/>
      <w:marBottom w:val="0"/>
      <w:divBdr>
        <w:top w:val="none" w:sz="0" w:space="0" w:color="auto"/>
        <w:left w:val="none" w:sz="0" w:space="0" w:color="auto"/>
        <w:bottom w:val="none" w:sz="0" w:space="0" w:color="auto"/>
        <w:right w:val="none" w:sz="0" w:space="0" w:color="auto"/>
      </w:divBdr>
    </w:div>
    <w:div w:id="276958574">
      <w:bodyDiv w:val="1"/>
      <w:marLeft w:val="0"/>
      <w:marRight w:val="0"/>
      <w:marTop w:val="0"/>
      <w:marBottom w:val="0"/>
      <w:divBdr>
        <w:top w:val="none" w:sz="0" w:space="0" w:color="auto"/>
        <w:left w:val="none" w:sz="0" w:space="0" w:color="auto"/>
        <w:bottom w:val="none" w:sz="0" w:space="0" w:color="auto"/>
        <w:right w:val="none" w:sz="0" w:space="0" w:color="auto"/>
      </w:divBdr>
    </w:div>
    <w:div w:id="277639570">
      <w:bodyDiv w:val="1"/>
      <w:marLeft w:val="0"/>
      <w:marRight w:val="0"/>
      <w:marTop w:val="0"/>
      <w:marBottom w:val="0"/>
      <w:divBdr>
        <w:top w:val="none" w:sz="0" w:space="0" w:color="auto"/>
        <w:left w:val="none" w:sz="0" w:space="0" w:color="auto"/>
        <w:bottom w:val="none" w:sz="0" w:space="0" w:color="auto"/>
        <w:right w:val="none" w:sz="0" w:space="0" w:color="auto"/>
      </w:divBdr>
    </w:div>
    <w:div w:id="278293222">
      <w:bodyDiv w:val="1"/>
      <w:marLeft w:val="0"/>
      <w:marRight w:val="0"/>
      <w:marTop w:val="0"/>
      <w:marBottom w:val="0"/>
      <w:divBdr>
        <w:top w:val="none" w:sz="0" w:space="0" w:color="auto"/>
        <w:left w:val="none" w:sz="0" w:space="0" w:color="auto"/>
        <w:bottom w:val="none" w:sz="0" w:space="0" w:color="auto"/>
        <w:right w:val="none" w:sz="0" w:space="0" w:color="auto"/>
      </w:divBdr>
    </w:div>
    <w:div w:id="278340516">
      <w:bodyDiv w:val="1"/>
      <w:marLeft w:val="0"/>
      <w:marRight w:val="0"/>
      <w:marTop w:val="0"/>
      <w:marBottom w:val="0"/>
      <w:divBdr>
        <w:top w:val="none" w:sz="0" w:space="0" w:color="auto"/>
        <w:left w:val="none" w:sz="0" w:space="0" w:color="auto"/>
        <w:bottom w:val="none" w:sz="0" w:space="0" w:color="auto"/>
        <w:right w:val="none" w:sz="0" w:space="0" w:color="auto"/>
      </w:divBdr>
    </w:div>
    <w:div w:id="278412752">
      <w:bodyDiv w:val="1"/>
      <w:marLeft w:val="0"/>
      <w:marRight w:val="0"/>
      <w:marTop w:val="0"/>
      <w:marBottom w:val="0"/>
      <w:divBdr>
        <w:top w:val="none" w:sz="0" w:space="0" w:color="auto"/>
        <w:left w:val="none" w:sz="0" w:space="0" w:color="auto"/>
        <w:bottom w:val="none" w:sz="0" w:space="0" w:color="auto"/>
        <w:right w:val="none" w:sz="0" w:space="0" w:color="auto"/>
      </w:divBdr>
    </w:div>
    <w:div w:id="278731152">
      <w:bodyDiv w:val="1"/>
      <w:marLeft w:val="0"/>
      <w:marRight w:val="0"/>
      <w:marTop w:val="0"/>
      <w:marBottom w:val="0"/>
      <w:divBdr>
        <w:top w:val="none" w:sz="0" w:space="0" w:color="auto"/>
        <w:left w:val="none" w:sz="0" w:space="0" w:color="auto"/>
        <w:bottom w:val="none" w:sz="0" w:space="0" w:color="auto"/>
        <w:right w:val="none" w:sz="0" w:space="0" w:color="auto"/>
      </w:divBdr>
    </w:div>
    <w:div w:id="279072172">
      <w:bodyDiv w:val="1"/>
      <w:marLeft w:val="0"/>
      <w:marRight w:val="0"/>
      <w:marTop w:val="0"/>
      <w:marBottom w:val="0"/>
      <w:divBdr>
        <w:top w:val="none" w:sz="0" w:space="0" w:color="auto"/>
        <w:left w:val="none" w:sz="0" w:space="0" w:color="auto"/>
        <w:bottom w:val="none" w:sz="0" w:space="0" w:color="auto"/>
        <w:right w:val="none" w:sz="0" w:space="0" w:color="auto"/>
      </w:divBdr>
    </w:div>
    <w:div w:id="279148572">
      <w:bodyDiv w:val="1"/>
      <w:marLeft w:val="0"/>
      <w:marRight w:val="0"/>
      <w:marTop w:val="0"/>
      <w:marBottom w:val="0"/>
      <w:divBdr>
        <w:top w:val="none" w:sz="0" w:space="0" w:color="auto"/>
        <w:left w:val="none" w:sz="0" w:space="0" w:color="auto"/>
        <w:bottom w:val="none" w:sz="0" w:space="0" w:color="auto"/>
        <w:right w:val="none" w:sz="0" w:space="0" w:color="auto"/>
      </w:divBdr>
    </w:div>
    <w:div w:id="280114739">
      <w:bodyDiv w:val="1"/>
      <w:marLeft w:val="0"/>
      <w:marRight w:val="0"/>
      <w:marTop w:val="0"/>
      <w:marBottom w:val="0"/>
      <w:divBdr>
        <w:top w:val="none" w:sz="0" w:space="0" w:color="auto"/>
        <w:left w:val="none" w:sz="0" w:space="0" w:color="auto"/>
        <w:bottom w:val="none" w:sz="0" w:space="0" w:color="auto"/>
        <w:right w:val="none" w:sz="0" w:space="0" w:color="auto"/>
      </w:divBdr>
    </w:div>
    <w:div w:id="280235865">
      <w:bodyDiv w:val="1"/>
      <w:marLeft w:val="0"/>
      <w:marRight w:val="0"/>
      <w:marTop w:val="0"/>
      <w:marBottom w:val="0"/>
      <w:divBdr>
        <w:top w:val="none" w:sz="0" w:space="0" w:color="auto"/>
        <w:left w:val="none" w:sz="0" w:space="0" w:color="auto"/>
        <w:bottom w:val="none" w:sz="0" w:space="0" w:color="auto"/>
        <w:right w:val="none" w:sz="0" w:space="0" w:color="auto"/>
      </w:divBdr>
    </w:div>
    <w:div w:id="280307833">
      <w:bodyDiv w:val="1"/>
      <w:marLeft w:val="0"/>
      <w:marRight w:val="0"/>
      <w:marTop w:val="0"/>
      <w:marBottom w:val="0"/>
      <w:divBdr>
        <w:top w:val="none" w:sz="0" w:space="0" w:color="auto"/>
        <w:left w:val="none" w:sz="0" w:space="0" w:color="auto"/>
        <w:bottom w:val="none" w:sz="0" w:space="0" w:color="auto"/>
        <w:right w:val="none" w:sz="0" w:space="0" w:color="auto"/>
      </w:divBdr>
    </w:div>
    <w:div w:id="281040777">
      <w:bodyDiv w:val="1"/>
      <w:marLeft w:val="0"/>
      <w:marRight w:val="0"/>
      <w:marTop w:val="0"/>
      <w:marBottom w:val="0"/>
      <w:divBdr>
        <w:top w:val="none" w:sz="0" w:space="0" w:color="auto"/>
        <w:left w:val="none" w:sz="0" w:space="0" w:color="auto"/>
        <w:bottom w:val="none" w:sz="0" w:space="0" w:color="auto"/>
        <w:right w:val="none" w:sz="0" w:space="0" w:color="auto"/>
      </w:divBdr>
    </w:div>
    <w:div w:id="281425488">
      <w:bodyDiv w:val="1"/>
      <w:marLeft w:val="0"/>
      <w:marRight w:val="0"/>
      <w:marTop w:val="0"/>
      <w:marBottom w:val="0"/>
      <w:divBdr>
        <w:top w:val="none" w:sz="0" w:space="0" w:color="auto"/>
        <w:left w:val="none" w:sz="0" w:space="0" w:color="auto"/>
        <w:bottom w:val="none" w:sz="0" w:space="0" w:color="auto"/>
        <w:right w:val="none" w:sz="0" w:space="0" w:color="auto"/>
      </w:divBdr>
    </w:div>
    <w:div w:id="282033897">
      <w:bodyDiv w:val="1"/>
      <w:marLeft w:val="0"/>
      <w:marRight w:val="0"/>
      <w:marTop w:val="0"/>
      <w:marBottom w:val="0"/>
      <w:divBdr>
        <w:top w:val="none" w:sz="0" w:space="0" w:color="auto"/>
        <w:left w:val="none" w:sz="0" w:space="0" w:color="auto"/>
        <w:bottom w:val="none" w:sz="0" w:space="0" w:color="auto"/>
        <w:right w:val="none" w:sz="0" w:space="0" w:color="auto"/>
      </w:divBdr>
    </w:div>
    <w:div w:id="282152768">
      <w:bodyDiv w:val="1"/>
      <w:marLeft w:val="0"/>
      <w:marRight w:val="0"/>
      <w:marTop w:val="0"/>
      <w:marBottom w:val="0"/>
      <w:divBdr>
        <w:top w:val="none" w:sz="0" w:space="0" w:color="auto"/>
        <w:left w:val="none" w:sz="0" w:space="0" w:color="auto"/>
        <w:bottom w:val="none" w:sz="0" w:space="0" w:color="auto"/>
        <w:right w:val="none" w:sz="0" w:space="0" w:color="auto"/>
      </w:divBdr>
    </w:div>
    <w:div w:id="282155840">
      <w:bodyDiv w:val="1"/>
      <w:marLeft w:val="0"/>
      <w:marRight w:val="0"/>
      <w:marTop w:val="0"/>
      <w:marBottom w:val="0"/>
      <w:divBdr>
        <w:top w:val="none" w:sz="0" w:space="0" w:color="auto"/>
        <w:left w:val="none" w:sz="0" w:space="0" w:color="auto"/>
        <w:bottom w:val="none" w:sz="0" w:space="0" w:color="auto"/>
        <w:right w:val="none" w:sz="0" w:space="0" w:color="auto"/>
      </w:divBdr>
    </w:div>
    <w:div w:id="282422345">
      <w:bodyDiv w:val="1"/>
      <w:marLeft w:val="0"/>
      <w:marRight w:val="0"/>
      <w:marTop w:val="0"/>
      <w:marBottom w:val="0"/>
      <w:divBdr>
        <w:top w:val="none" w:sz="0" w:space="0" w:color="auto"/>
        <w:left w:val="none" w:sz="0" w:space="0" w:color="auto"/>
        <w:bottom w:val="none" w:sz="0" w:space="0" w:color="auto"/>
        <w:right w:val="none" w:sz="0" w:space="0" w:color="auto"/>
      </w:divBdr>
    </w:div>
    <w:div w:id="282734506">
      <w:bodyDiv w:val="1"/>
      <w:marLeft w:val="0"/>
      <w:marRight w:val="0"/>
      <w:marTop w:val="0"/>
      <w:marBottom w:val="0"/>
      <w:divBdr>
        <w:top w:val="none" w:sz="0" w:space="0" w:color="auto"/>
        <w:left w:val="none" w:sz="0" w:space="0" w:color="auto"/>
        <w:bottom w:val="none" w:sz="0" w:space="0" w:color="auto"/>
        <w:right w:val="none" w:sz="0" w:space="0" w:color="auto"/>
      </w:divBdr>
    </w:div>
    <w:div w:id="283118403">
      <w:bodyDiv w:val="1"/>
      <w:marLeft w:val="0"/>
      <w:marRight w:val="0"/>
      <w:marTop w:val="0"/>
      <w:marBottom w:val="0"/>
      <w:divBdr>
        <w:top w:val="none" w:sz="0" w:space="0" w:color="auto"/>
        <w:left w:val="none" w:sz="0" w:space="0" w:color="auto"/>
        <w:bottom w:val="none" w:sz="0" w:space="0" w:color="auto"/>
        <w:right w:val="none" w:sz="0" w:space="0" w:color="auto"/>
      </w:divBdr>
    </w:div>
    <w:div w:id="283393695">
      <w:bodyDiv w:val="1"/>
      <w:marLeft w:val="0"/>
      <w:marRight w:val="0"/>
      <w:marTop w:val="0"/>
      <w:marBottom w:val="0"/>
      <w:divBdr>
        <w:top w:val="none" w:sz="0" w:space="0" w:color="auto"/>
        <w:left w:val="none" w:sz="0" w:space="0" w:color="auto"/>
        <w:bottom w:val="none" w:sz="0" w:space="0" w:color="auto"/>
        <w:right w:val="none" w:sz="0" w:space="0" w:color="auto"/>
      </w:divBdr>
    </w:div>
    <w:div w:id="284239618">
      <w:bodyDiv w:val="1"/>
      <w:marLeft w:val="0"/>
      <w:marRight w:val="0"/>
      <w:marTop w:val="0"/>
      <w:marBottom w:val="0"/>
      <w:divBdr>
        <w:top w:val="none" w:sz="0" w:space="0" w:color="auto"/>
        <w:left w:val="none" w:sz="0" w:space="0" w:color="auto"/>
        <w:bottom w:val="none" w:sz="0" w:space="0" w:color="auto"/>
        <w:right w:val="none" w:sz="0" w:space="0" w:color="auto"/>
      </w:divBdr>
    </w:div>
    <w:div w:id="284510187">
      <w:bodyDiv w:val="1"/>
      <w:marLeft w:val="0"/>
      <w:marRight w:val="0"/>
      <w:marTop w:val="0"/>
      <w:marBottom w:val="0"/>
      <w:divBdr>
        <w:top w:val="none" w:sz="0" w:space="0" w:color="auto"/>
        <w:left w:val="none" w:sz="0" w:space="0" w:color="auto"/>
        <w:bottom w:val="none" w:sz="0" w:space="0" w:color="auto"/>
        <w:right w:val="none" w:sz="0" w:space="0" w:color="auto"/>
      </w:divBdr>
    </w:div>
    <w:div w:id="285282710">
      <w:bodyDiv w:val="1"/>
      <w:marLeft w:val="0"/>
      <w:marRight w:val="0"/>
      <w:marTop w:val="0"/>
      <w:marBottom w:val="0"/>
      <w:divBdr>
        <w:top w:val="none" w:sz="0" w:space="0" w:color="auto"/>
        <w:left w:val="none" w:sz="0" w:space="0" w:color="auto"/>
        <w:bottom w:val="none" w:sz="0" w:space="0" w:color="auto"/>
        <w:right w:val="none" w:sz="0" w:space="0" w:color="auto"/>
      </w:divBdr>
    </w:div>
    <w:div w:id="285357168">
      <w:bodyDiv w:val="1"/>
      <w:marLeft w:val="0"/>
      <w:marRight w:val="0"/>
      <w:marTop w:val="0"/>
      <w:marBottom w:val="0"/>
      <w:divBdr>
        <w:top w:val="none" w:sz="0" w:space="0" w:color="auto"/>
        <w:left w:val="none" w:sz="0" w:space="0" w:color="auto"/>
        <w:bottom w:val="none" w:sz="0" w:space="0" w:color="auto"/>
        <w:right w:val="none" w:sz="0" w:space="0" w:color="auto"/>
      </w:divBdr>
    </w:div>
    <w:div w:id="285624504">
      <w:bodyDiv w:val="1"/>
      <w:marLeft w:val="0"/>
      <w:marRight w:val="0"/>
      <w:marTop w:val="0"/>
      <w:marBottom w:val="0"/>
      <w:divBdr>
        <w:top w:val="none" w:sz="0" w:space="0" w:color="auto"/>
        <w:left w:val="none" w:sz="0" w:space="0" w:color="auto"/>
        <w:bottom w:val="none" w:sz="0" w:space="0" w:color="auto"/>
        <w:right w:val="none" w:sz="0" w:space="0" w:color="auto"/>
      </w:divBdr>
    </w:div>
    <w:div w:id="285820820">
      <w:bodyDiv w:val="1"/>
      <w:marLeft w:val="0"/>
      <w:marRight w:val="0"/>
      <w:marTop w:val="0"/>
      <w:marBottom w:val="0"/>
      <w:divBdr>
        <w:top w:val="none" w:sz="0" w:space="0" w:color="auto"/>
        <w:left w:val="none" w:sz="0" w:space="0" w:color="auto"/>
        <w:bottom w:val="none" w:sz="0" w:space="0" w:color="auto"/>
        <w:right w:val="none" w:sz="0" w:space="0" w:color="auto"/>
      </w:divBdr>
    </w:div>
    <w:div w:id="286089819">
      <w:bodyDiv w:val="1"/>
      <w:marLeft w:val="0"/>
      <w:marRight w:val="0"/>
      <w:marTop w:val="0"/>
      <w:marBottom w:val="0"/>
      <w:divBdr>
        <w:top w:val="none" w:sz="0" w:space="0" w:color="auto"/>
        <w:left w:val="none" w:sz="0" w:space="0" w:color="auto"/>
        <w:bottom w:val="none" w:sz="0" w:space="0" w:color="auto"/>
        <w:right w:val="none" w:sz="0" w:space="0" w:color="auto"/>
      </w:divBdr>
    </w:div>
    <w:div w:id="286468337">
      <w:bodyDiv w:val="1"/>
      <w:marLeft w:val="0"/>
      <w:marRight w:val="0"/>
      <w:marTop w:val="0"/>
      <w:marBottom w:val="0"/>
      <w:divBdr>
        <w:top w:val="none" w:sz="0" w:space="0" w:color="auto"/>
        <w:left w:val="none" w:sz="0" w:space="0" w:color="auto"/>
        <w:bottom w:val="none" w:sz="0" w:space="0" w:color="auto"/>
        <w:right w:val="none" w:sz="0" w:space="0" w:color="auto"/>
      </w:divBdr>
    </w:div>
    <w:div w:id="286664053">
      <w:bodyDiv w:val="1"/>
      <w:marLeft w:val="0"/>
      <w:marRight w:val="0"/>
      <w:marTop w:val="0"/>
      <w:marBottom w:val="0"/>
      <w:divBdr>
        <w:top w:val="none" w:sz="0" w:space="0" w:color="auto"/>
        <w:left w:val="none" w:sz="0" w:space="0" w:color="auto"/>
        <w:bottom w:val="none" w:sz="0" w:space="0" w:color="auto"/>
        <w:right w:val="none" w:sz="0" w:space="0" w:color="auto"/>
      </w:divBdr>
    </w:div>
    <w:div w:id="286817076">
      <w:bodyDiv w:val="1"/>
      <w:marLeft w:val="0"/>
      <w:marRight w:val="0"/>
      <w:marTop w:val="0"/>
      <w:marBottom w:val="0"/>
      <w:divBdr>
        <w:top w:val="none" w:sz="0" w:space="0" w:color="auto"/>
        <w:left w:val="none" w:sz="0" w:space="0" w:color="auto"/>
        <w:bottom w:val="none" w:sz="0" w:space="0" w:color="auto"/>
        <w:right w:val="none" w:sz="0" w:space="0" w:color="auto"/>
      </w:divBdr>
    </w:div>
    <w:div w:id="286934970">
      <w:bodyDiv w:val="1"/>
      <w:marLeft w:val="0"/>
      <w:marRight w:val="0"/>
      <w:marTop w:val="0"/>
      <w:marBottom w:val="0"/>
      <w:divBdr>
        <w:top w:val="none" w:sz="0" w:space="0" w:color="auto"/>
        <w:left w:val="none" w:sz="0" w:space="0" w:color="auto"/>
        <w:bottom w:val="none" w:sz="0" w:space="0" w:color="auto"/>
        <w:right w:val="none" w:sz="0" w:space="0" w:color="auto"/>
      </w:divBdr>
    </w:div>
    <w:div w:id="287131455">
      <w:bodyDiv w:val="1"/>
      <w:marLeft w:val="0"/>
      <w:marRight w:val="0"/>
      <w:marTop w:val="0"/>
      <w:marBottom w:val="0"/>
      <w:divBdr>
        <w:top w:val="none" w:sz="0" w:space="0" w:color="auto"/>
        <w:left w:val="none" w:sz="0" w:space="0" w:color="auto"/>
        <w:bottom w:val="none" w:sz="0" w:space="0" w:color="auto"/>
        <w:right w:val="none" w:sz="0" w:space="0" w:color="auto"/>
      </w:divBdr>
    </w:div>
    <w:div w:id="287473380">
      <w:bodyDiv w:val="1"/>
      <w:marLeft w:val="0"/>
      <w:marRight w:val="0"/>
      <w:marTop w:val="0"/>
      <w:marBottom w:val="0"/>
      <w:divBdr>
        <w:top w:val="none" w:sz="0" w:space="0" w:color="auto"/>
        <w:left w:val="none" w:sz="0" w:space="0" w:color="auto"/>
        <w:bottom w:val="none" w:sz="0" w:space="0" w:color="auto"/>
        <w:right w:val="none" w:sz="0" w:space="0" w:color="auto"/>
      </w:divBdr>
    </w:div>
    <w:div w:id="287518294">
      <w:bodyDiv w:val="1"/>
      <w:marLeft w:val="0"/>
      <w:marRight w:val="0"/>
      <w:marTop w:val="0"/>
      <w:marBottom w:val="0"/>
      <w:divBdr>
        <w:top w:val="none" w:sz="0" w:space="0" w:color="auto"/>
        <w:left w:val="none" w:sz="0" w:space="0" w:color="auto"/>
        <w:bottom w:val="none" w:sz="0" w:space="0" w:color="auto"/>
        <w:right w:val="none" w:sz="0" w:space="0" w:color="auto"/>
      </w:divBdr>
    </w:div>
    <w:div w:id="288050328">
      <w:bodyDiv w:val="1"/>
      <w:marLeft w:val="0"/>
      <w:marRight w:val="0"/>
      <w:marTop w:val="0"/>
      <w:marBottom w:val="0"/>
      <w:divBdr>
        <w:top w:val="none" w:sz="0" w:space="0" w:color="auto"/>
        <w:left w:val="none" w:sz="0" w:space="0" w:color="auto"/>
        <w:bottom w:val="none" w:sz="0" w:space="0" w:color="auto"/>
        <w:right w:val="none" w:sz="0" w:space="0" w:color="auto"/>
      </w:divBdr>
    </w:div>
    <w:div w:id="288753057">
      <w:bodyDiv w:val="1"/>
      <w:marLeft w:val="0"/>
      <w:marRight w:val="0"/>
      <w:marTop w:val="0"/>
      <w:marBottom w:val="0"/>
      <w:divBdr>
        <w:top w:val="none" w:sz="0" w:space="0" w:color="auto"/>
        <w:left w:val="none" w:sz="0" w:space="0" w:color="auto"/>
        <w:bottom w:val="none" w:sz="0" w:space="0" w:color="auto"/>
        <w:right w:val="none" w:sz="0" w:space="0" w:color="auto"/>
      </w:divBdr>
    </w:div>
    <w:div w:id="289551591">
      <w:bodyDiv w:val="1"/>
      <w:marLeft w:val="0"/>
      <w:marRight w:val="0"/>
      <w:marTop w:val="0"/>
      <w:marBottom w:val="0"/>
      <w:divBdr>
        <w:top w:val="none" w:sz="0" w:space="0" w:color="auto"/>
        <w:left w:val="none" w:sz="0" w:space="0" w:color="auto"/>
        <w:bottom w:val="none" w:sz="0" w:space="0" w:color="auto"/>
        <w:right w:val="none" w:sz="0" w:space="0" w:color="auto"/>
      </w:divBdr>
    </w:div>
    <w:div w:id="290088928">
      <w:bodyDiv w:val="1"/>
      <w:marLeft w:val="0"/>
      <w:marRight w:val="0"/>
      <w:marTop w:val="0"/>
      <w:marBottom w:val="0"/>
      <w:divBdr>
        <w:top w:val="none" w:sz="0" w:space="0" w:color="auto"/>
        <w:left w:val="none" w:sz="0" w:space="0" w:color="auto"/>
        <w:bottom w:val="none" w:sz="0" w:space="0" w:color="auto"/>
        <w:right w:val="none" w:sz="0" w:space="0" w:color="auto"/>
      </w:divBdr>
    </w:div>
    <w:div w:id="290668650">
      <w:bodyDiv w:val="1"/>
      <w:marLeft w:val="0"/>
      <w:marRight w:val="0"/>
      <w:marTop w:val="0"/>
      <w:marBottom w:val="0"/>
      <w:divBdr>
        <w:top w:val="none" w:sz="0" w:space="0" w:color="auto"/>
        <w:left w:val="none" w:sz="0" w:space="0" w:color="auto"/>
        <w:bottom w:val="none" w:sz="0" w:space="0" w:color="auto"/>
        <w:right w:val="none" w:sz="0" w:space="0" w:color="auto"/>
      </w:divBdr>
    </w:div>
    <w:div w:id="290792903">
      <w:bodyDiv w:val="1"/>
      <w:marLeft w:val="0"/>
      <w:marRight w:val="0"/>
      <w:marTop w:val="0"/>
      <w:marBottom w:val="0"/>
      <w:divBdr>
        <w:top w:val="none" w:sz="0" w:space="0" w:color="auto"/>
        <w:left w:val="none" w:sz="0" w:space="0" w:color="auto"/>
        <w:bottom w:val="none" w:sz="0" w:space="0" w:color="auto"/>
        <w:right w:val="none" w:sz="0" w:space="0" w:color="auto"/>
      </w:divBdr>
    </w:div>
    <w:div w:id="292565870">
      <w:bodyDiv w:val="1"/>
      <w:marLeft w:val="0"/>
      <w:marRight w:val="0"/>
      <w:marTop w:val="0"/>
      <w:marBottom w:val="0"/>
      <w:divBdr>
        <w:top w:val="none" w:sz="0" w:space="0" w:color="auto"/>
        <w:left w:val="none" w:sz="0" w:space="0" w:color="auto"/>
        <w:bottom w:val="none" w:sz="0" w:space="0" w:color="auto"/>
        <w:right w:val="none" w:sz="0" w:space="0" w:color="auto"/>
      </w:divBdr>
    </w:div>
    <w:div w:id="292906024">
      <w:bodyDiv w:val="1"/>
      <w:marLeft w:val="0"/>
      <w:marRight w:val="0"/>
      <w:marTop w:val="0"/>
      <w:marBottom w:val="0"/>
      <w:divBdr>
        <w:top w:val="none" w:sz="0" w:space="0" w:color="auto"/>
        <w:left w:val="none" w:sz="0" w:space="0" w:color="auto"/>
        <w:bottom w:val="none" w:sz="0" w:space="0" w:color="auto"/>
        <w:right w:val="none" w:sz="0" w:space="0" w:color="auto"/>
      </w:divBdr>
    </w:div>
    <w:div w:id="293946969">
      <w:bodyDiv w:val="1"/>
      <w:marLeft w:val="0"/>
      <w:marRight w:val="0"/>
      <w:marTop w:val="0"/>
      <w:marBottom w:val="0"/>
      <w:divBdr>
        <w:top w:val="none" w:sz="0" w:space="0" w:color="auto"/>
        <w:left w:val="none" w:sz="0" w:space="0" w:color="auto"/>
        <w:bottom w:val="none" w:sz="0" w:space="0" w:color="auto"/>
        <w:right w:val="none" w:sz="0" w:space="0" w:color="auto"/>
      </w:divBdr>
    </w:div>
    <w:div w:id="295182775">
      <w:bodyDiv w:val="1"/>
      <w:marLeft w:val="0"/>
      <w:marRight w:val="0"/>
      <w:marTop w:val="0"/>
      <w:marBottom w:val="0"/>
      <w:divBdr>
        <w:top w:val="none" w:sz="0" w:space="0" w:color="auto"/>
        <w:left w:val="none" w:sz="0" w:space="0" w:color="auto"/>
        <w:bottom w:val="none" w:sz="0" w:space="0" w:color="auto"/>
        <w:right w:val="none" w:sz="0" w:space="0" w:color="auto"/>
      </w:divBdr>
    </w:div>
    <w:div w:id="295573729">
      <w:bodyDiv w:val="1"/>
      <w:marLeft w:val="0"/>
      <w:marRight w:val="0"/>
      <w:marTop w:val="0"/>
      <w:marBottom w:val="0"/>
      <w:divBdr>
        <w:top w:val="none" w:sz="0" w:space="0" w:color="auto"/>
        <w:left w:val="none" w:sz="0" w:space="0" w:color="auto"/>
        <w:bottom w:val="none" w:sz="0" w:space="0" w:color="auto"/>
        <w:right w:val="none" w:sz="0" w:space="0" w:color="auto"/>
      </w:divBdr>
    </w:div>
    <w:div w:id="295599003">
      <w:bodyDiv w:val="1"/>
      <w:marLeft w:val="0"/>
      <w:marRight w:val="0"/>
      <w:marTop w:val="0"/>
      <w:marBottom w:val="0"/>
      <w:divBdr>
        <w:top w:val="none" w:sz="0" w:space="0" w:color="auto"/>
        <w:left w:val="none" w:sz="0" w:space="0" w:color="auto"/>
        <w:bottom w:val="none" w:sz="0" w:space="0" w:color="auto"/>
        <w:right w:val="none" w:sz="0" w:space="0" w:color="auto"/>
      </w:divBdr>
    </w:div>
    <w:div w:id="295961528">
      <w:bodyDiv w:val="1"/>
      <w:marLeft w:val="0"/>
      <w:marRight w:val="0"/>
      <w:marTop w:val="0"/>
      <w:marBottom w:val="0"/>
      <w:divBdr>
        <w:top w:val="none" w:sz="0" w:space="0" w:color="auto"/>
        <w:left w:val="none" w:sz="0" w:space="0" w:color="auto"/>
        <w:bottom w:val="none" w:sz="0" w:space="0" w:color="auto"/>
        <w:right w:val="none" w:sz="0" w:space="0" w:color="auto"/>
      </w:divBdr>
    </w:div>
    <w:div w:id="296496472">
      <w:bodyDiv w:val="1"/>
      <w:marLeft w:val="0"/>
      <w:marRight w:val="0"/>
      <w:marTop w:val="0"/>
      <w:marBottom w:val="0"/>
      <w:divBdr>
        <w:top w:val="none" w:sz="0" w:space="0" w:color="auto"/>
        <w:left w:val="none" w:sz="0" w:space="0" w:color="auto"/>
        <w:bottom w:val="none" w:sz="0" w:space="0" w:color="auto"/>
        <w:right w:val="none" w:sz="0" w:space="0" w:color="auto"/>
      </w:divBdr>
    </w:div>
    <w:div w:id="298077986">
      <w:bodyDiv w:val="1"/>
      <w:marLeft w:val="0"/>
      <w:marRight w:val="0"/>
      <w:marTop w:val="0"/>
      <w:marBottom w:val="0"/>
      <w:divBdr>
        <w:top w:val="none" w:sz="0" w:space="0" w:color="auto"/>
        <w:left w:val="none" w:sz="0" w:space="0" w:color="auto"/>
        <w:bottom w:val="none" w:sz="0" w:space="0" w:color="auto"/>
        <w:right w:val="none" w:sz="0" w:space="0" w:color="auto"/>
      </w:divBdr>
    </w:div>
    <w:div w:id="298264326">
      <w:bodyDiv w:val="1"/>
      <w:marLeft w:val="0"/>
      <w:marRight w:val="0"/>
      <w:marTop w:val="0"/>
      <w:marBottom w:val="0"/>
      <w:divBdr>
        <w:top w:val="none" w:sz="0" w:space="0" w:color="auto"/>
        <w:left w:val="none" w:sz="0" w:space="0" w:color="auto"/>
        <w:bottom w:val="none" w:sz="0" w:space="0" w:color="auto"/>
        <w:right w:val="none" w:sz="0" w:space="0" w:color="auto"/>
      </w:divBdr>
    </w:div>
    <w:div w:id="298345556">
      <w:bodyDiv w:val="1"/>
      <w:marLeft w:val="0"/>
      <w:marRight w:val="0"/>
      <w:marTop w:val="0"/>
      <w:marBottom w:val="0"/>
      <w:divBdr>
        <w:top w:val="none" w:sz="0" w:space="0" w:color="auto"/>
        <w:left w:val="none" w:sz="0" w:space="0" w:color="auto"/>
        <w:bottom w:val="none" w:sz="0" w:space="0" w:color="auto"/>
        <w:right w:val="none" w:sz="0" w:space="0" w:color="auto"/>
      </w:divBdr>
    </w:div>
    <w:div w:id="298539498">
      <w:bodyDiv w:val="1"/>
      <w:marLeft w:val="0"/>
      <w:marRight w:val="0"/>
      <w:marTop w:val="0"/>
      <w:marBottom w:val="0"/>
      <w:divBdr>
        <w:top w:val="none" w:sz="0" w:space="0" w:color="auto"/>
        <w:left w:val="none" w:sz="0" w:space="0" w:color="auto"/>
        <w:bottom w:val="none" w:sz="0" w:space="0" w:color="auto"/>
        <w:right w:val="none" w:sz="0" w:space="0" w:color="auto"/>
      </w:divBdr>
    </w:div>
    <w:div w:id="298919707">
      <w:bodyDiv w:val="1"/>
      <w:marLeft w:val="0"/>
      <w:marRight w:val="0"/>
      <w:marTop w:val="0"/>
      <w:marBottom w:val="0"/>
      <w:divBdr>
        <w:top w:val="none" w:sz="0" w:space="0" w:color="auto"/>
        <w:left w:val="none" w:sz="0" w:space="0" w:color="auto"/>
        <w:bottom w:val="none" w:sz="0" w:space="0" w:color="auto"/>
        <w:right w:val="none" w:sz="0" w:space="0" w:color="auto"/>
      </w:divBdr>
    </w:div>
    <w:div w:id="299385021">
      <w:bodyDiv w:val="1"/>
      <w:marLeft w:val="0"/>
      <w:marRight w:val="0"/>
      <w:marTop w:val="0"/>
      <w:marBottom w:val="0"/>
      <w:divBdr>
        <w:top w:val="none" w:sz="0" w:space="0" w:color="auto"/>
        <w:left w:val="none" w:sz="0" w:space="0" w:color="auto"/>
        <w:bottom w:val="none" w:sz="0" w:space="0" w:color="auto"/>
        <w:right w:val="none" w:sz="0" w:space="0" w:color="auto"/>
      </w:divBdr>
    </w:div>
    <w:div w:id="299650542">
      <w:bodyDiv w:val="1"/>
      <w:marLeft w:val="0"/>
      <w:marRight w:val="0"/>
      <w:marTop w:val="0"/>
      <w:marBottom w:val="0"/>
      <w:divBdr>
        <w:top w:val="none" w:sz="0" w:space="0" w:color="auto"/>
        <w:left w:val="none" w:sz="0" w:space="0" w:color="auto"/>
        <w:bottom w:val="none" w:sz="0" w:space="0" w:color="auto"/>
        <w:right w:val="none" w:sz="0" w:space="0" w:color="auto"/>
      </w:divBdr>
    </w:div>
    <w:div w:id="299775647">
      <w:bodyDiv w:val="1"/>
      <w:marLeft w:val="0"/>
      <w:marRight w:val="0"/>
      <w:marTop w:val="0"/>
      <w:marBottom w:val="0"/>
      <w:divBdr>
        <w:top w:val="none" w:sz="0" w:space="0" w:color="auto"/>
        <w:left w:val="none" w:sz="0" w:space="0" w:color="auto"/>
        <w:bottom w:val="none" w:sz="0" w:space="0" w:color="auto"/>
        <w:right w:val="none" w:sz="0" w:space="0" w:color="auto"/>
      </w:divBdr>
    </w:div>
    <w:div w:id="299848112">
      <w:bodyDiv w:val="1"/>
      <w:marLeft w:val="0"/>
      <w:marRight w:val="0"/>
      <w:marTop w:val="0"/>
      <w:marBottom w:val="0"/>
      <w:divBdr>
        <w:top w:val="none" w:sz="0" w:space="0" w:color="auto"/>
        <w:left w:val="none" w:sz="0" w:space="0" w:color="auto"/>
        <w:bottom w:val="none" w:sz="0" w:space="0" w:color="auto"/>
        <w:right w:val="none" w:sz="0" w:space="0" w:color="auto"/>
      </w:divBdr>
    </w:div>
    <w:div w:id="301422841">
      <w:bodyDiv w:val="1"/>
      <w:marLeft w:val="0"/>
      <w:marRight w:val="0"/>
      <w:marTop w:val="0"/>
      <w:marBottom w:val="0"/>
      <w:divBdr>
        <w:top w:val="none" w:sz="0" w:space="0" w:color="auto"/>
        <w:left w:val="none" w:sz="0" w:space="0" w:color="auto"/>
        <w:bottom w:val="none" w:sz="0" w:space="0" w:color="auto"/>
        <w:right w:val="none" w:sz="0" w:space="0" w:color="auto"/>
      </w:divBdr>
    </w:div>
    <w:div w:id="301811132">
      <w:bodyDiv w:val="1"/>
      <w:marLeft w:val="0"/>
      <w:marRight w:val="0"/>
      <w:marTop w:val="0"/>
      <w:marBottom w:val="0"/>
      <w:divBdr>
        <w:top w:val="none" w:sz="0" w:space="0" w:color="auto"/>
        <w:left w:val="none" w:sz="0" w:space="0" w:color="auto"/>
        <w:bottom w:val="none" w:sz="0" w:space="0" w:color="auto"/>
        <w:right w:val="none" w:sz="0" w:space="0" w:color="auto"/>
      </w:divBdr>
    </w:div>
    <w:div w:id="302853229">
      <w:bodyDiv w:val="1"/>
      <w:marLeft w:val="0"/>
      <w:marRight w:val="0"/>
      <w:marTop w:val="0"/>
      <w:marBottom w:val="0"/>
      <w:divBdr>
        <w:top w:val="none" w:sz="0" w:space="0" w:color="auto"/>
        <w:left w:val="none" w:sz="0" w:space="0" w:color="auto"/>
        <w:bottom w:val="none" w:sz="0" w:space="0" w:color="auto"/>
        <w:right w:val="none" w:sz="0" w:space="0" w:color="auto"/>
      </w:divBdr>
    </w:div>
    <w:div w:id="303580428">
      <w:bodyDiv w:val="1"/>
      <w:marLeft w:val="0"/>
      <w:marRight w:val="0"/>
      <w:marTop w:val="0"/>
      <w:marBottom w:val="0"/>
      <w:divBdr>
        <w:top w:val="none" w:sz="0" w:space="0" w:color="auto"/>
        <w:left w:val="none" w:sz="0" w:space="0" w:color="auto"/>
        <w:bottom w:val="none" w:sz="0" w:space="0" w:color="auto"/>
        <w:right w:val="none" w:sz="0" w:space="0" w:color="auto"/>
      </w:divBdr>
    </w:div>
    <w:div w:id="303700325">
      <w:bodyDiv w:val="1"/>
      <w:marLeft w:val="0"/>
      <w:marRight w:val="0"/>
      <w:marTop w:val="0"/>
      <w:marBottom w:val="0"/>
      <w:divBdr>
        <w:top w:val="none" w:sz="0" w:space="0" w:color="auto"/>
        <w:left w:val="none" w:sz="0" w:space="0" w:color="auto"/>
        <w:bottom w:val="none" w:sz="0" w:space="0" w:color="auto"/>
        <w:right w:val="none" w:sz="0" w:space="0" w:color="auto"/>
      </w:divBdr>
    </w:div>
    <w:div w:id="305209024">
      <w:bodyDiv w:val="1"/>
      <w:marLeft w:val="0"/>
      <w:marRight w:val="0"/>
      <w:marTop w:val="0"/>
      <w:marBottom w:val="0"/>
      <w:divBdr>
        <w:top w:val="none" w:sz="0" w:space="0" w:color="auto"/>
        <w:left w:val="none" w:sz="0" w:space="0" w:color="auto"/>
        <w:bottom w:val="none" w:sz="0" w:space="0" w:color="auto"/>
        <w:right w:val="none" w:sz="0" w:space="0" w:color="auto"/>
      </w:divBdr>
    </w:div>
    <w:div w:id="305547981">
      <w:bodyDiv w:val="1"/>
      <w:marLeft w:val="0"/>
      <w:marRight w:val="0"/>
      <w:marTop w:val="0"/>
      <w:marBottom w:val="0"/>
      <w:divBdr>
        <w:top w:val="none" w:sz="0" w:space="0" w:color="auto"/>
        <w:left w:val="none" w:sz="0" w:space="0" w:color="auto"/>
        <w:bottom w:val="none" w:sz="0" w:space="0" w:color="auto"/>
        <w:right w:val="none" w:sz="0" w:space="0" w:color="auto"/>
      </w:divBdr>
    </w:div>
    <w:div w:id="306788298">
      <w:bodyDiv w:val="1"/>
      <w:marLeft w:val="0"/>
      <w:marRight w:val="0"/>
      <w:marTop w:val="0"/>
      <w:marBottom w:val="0"/>
      <w:divBdr>
        <w:top w:val="none" w:sz="0" w:space="0" w:color="auto"/>
        <w:left w:val="none" w:sz="0" w:space="0" w:color="auto"/>
        <w:bottom w:val="none" w:sz="0" w:space="0" w:color="auto"/>
        <w:right w:val="none" w:sz="0" w:space="0" w:color="auto"/>
      </w:divBdr>
    </w:div>
    <w:div w:id="306861220">
      <w:bodyDiv w:val="1"/>
      <w:marLeft w:val="0"/>
      <w:marRight w:val="0"/>
      <w:marTop w:val="0"/>
      <w:marBottom w:val="0"/>
      <w:divBdr>
        <w:top w:val="none" w:sz="0" w:space="0" w:color="auto"/>
        <w:left w:val="none" w:sz="0" w:space="0" w:color="auto"/>
        <w:bottom w:val="none" w:sz="0" w:space="0" w:color="auto"/>
        <w:right w:val="none" w:sz="0" w:space="0" w:color="auto"/>
      </w:divBdr>
    </w:div>
    <w:div w:id="306933917">
      <w:bodyDiv w:val="1"/>
      <w:marLeft w:val="0"/>
      <w:marRight w:val="0"/>
      <w:marTop w:val="0"/>
      <w:marBottom w:val="0"/>
      <w:divBdr>
        <w:top w:val="none" w:sz="0" w:space="0" w:color="auto"/>
        <w:left w:val="none" w:sz="0" w:space="0" w:color="auto"/>
        <w:bottom w:val="none" w:sz="0" w:space="0" w:color="auto"/>
        <w:right w:val="none" w:sz="0" w:space="0" w:color="auto"/>
      </w:divBdr>
    </w:div>
    <w:div w:id="307246504">
      <w:bodyDiv w:val="1"/>
      <w:marLeft w:val="0"/>
      <w:marRight w:val="0"/>
      <w:marTop w:val="0"/>
      <w:marBottom w:val="0"/>
      <w:divBdr>
        <w:top w:val="none" w:sz="0" w:space="0" w:color="auto"/>
        <w:left w:val="none" w:sz="0" w:space="0" w:color="auto"/>
        <w:bottom w:val="none" w:sz="0" w:space="0" w:color="auto"/>
        <w:right w:val="none" w:sz="0" w:space="0" w:color="auto"/>
      </w:divBdr>
    </w:div>
    <w:div w:id="307787542">
      <w:bodyDiv w:val="1"/>
      <w:marLeft w:val="0"/>
      <w:marRight w:val="0"/>
      <w:marTop w:val="0"/>
      <w:marBottom w:val="0"/>
      <w:divBdr>
        <w:top w:val="none" w:sz="0" w:space="0" w:color="auto"/>
        <w:left w:val="none" w:sz="0" w:space="0" w:color="auto"/>
        <w:bottom w:val="none" w:sz="0" w:space="0" w:color="auto"/>
        <w:right w:val="none" w:sz="0" w:space="0" w:color="auto"/>
      </w:divBdr>
    </w:div>
    <w:div w:id="308216463">
      <w:bodyDiv w:val="1"/>
      <w:marLeft w:val="0"/>
      <w:marRight w:val="0"/>
      <w:marTop w:val="0"/>
      <w:marBottom w:val="0"/>
      <w:divBdr>
        <w:top w:val="none" w:sz="0" w:space="0" w:color="auto"/>
        <w:left w:val="none" w:sz="0" w:space="0" w:color="auto"/>
        <w:bottom w:val="none" w:sz="0" w:space="0" w:color="auto"/>
        <w:right w:val="none" w:sz="0" w:space="0" w:color="auto"/>
      </w:divBdr>
    </w:div>
    <w:div w:id="308755609">
      <w:bodyDiv w:val="1"/>
      <w:marLeft w:val="0"/>
      <w:marRight w:val="0"/>
      <w:marTop w:val="0"/>
      <w:marBottom w:val="0"/>
      <w:divBdr>
        <w:top w:val="none" w:sz="0" w:space="0" w:color="auto"/>
        <w:left w:val="none" w:sz="0" w:space="0" w:color="auto"/>
        <w:bottom w:val="none" w:sz="0" w:space="0" w:color="auto"/>
        <w:right w:val="none" w:sz="0" w:space="0" w:color="auto"/>
      </w:divBdr>
    </w:div>
    <w:div w:id="309676083">
      <w:bodyDiv w:val="1"/>
      <w:marLeft w:val="0"/>
      <w:marRight w:val="0"/>
      <w:marTop w:val="0"/>
      <w:marBottom w:val="0"/>
      <w:divBdr>
        <w:top w:val="none" w:sz="0" w:space="0" w:color="auto"/>
        <w:left w:val="none" w:sz="0" w:space="0" w:color="auto"/>
        <w:bottom w:val="none" w:sz="0" w:space="0" w:color="auto"/>
        <w:right w:val="none" w:sz="0" w:space="0" w:color="auto"/>
      </w:divBdr>
    </w:div>
    <w:div w:id="309941517">
      <w:bodyDiv w:val="1"/>
      <w:marLeft w:val="0"/>
      <w:marRight w:val="0"/>
      <w:marTop w:val="0"/>
      <w:marBottom w:val="0"/>
      <w:divBdr>
        <w:top w:val="none" w:sz="0" w:space="0" w:color="auto"/>
        <w:left w:val="none" w:sz="0" w:space="0" w:color="auto"/>
        <w:bottom w:val="none" w:sz="0" w:space="0" w:color="auto"/>
        <w:right w:val="none" w:sz="0" w:space="0" w:color="auto"/>
      </w:divBdr>
    </w:div>
    <w:div w:id="310601261">
      <w:bodyDiv w:val="1"/>
      <w:marLeft w:val="0"/>
      <w:marRight w:val="0"/>
      <w:marTop w:val="0"/>
      <w:marBottom w:val="0"/>
      <w:divBdr>
        <w:top w:val="none" w:sz="0" w:space="0" w:color="auto"/>
        <w:left w:val="none" w:sz="0" w:space="0" w:color="auto"/>
        <w:bottom w:val="none" w:sz="0" w:space="0" w:color="auto"/>
        <w:right w:val="none" w:sz="0" w:space="0" w:color="auto"/>
      </w:divBdr>
    </w:div>
    <w:div w:id="310643265">
      <w:bodyDiv w:val="1"/>
      <w:marLeft w:val="0"/>
      <w:marRight w:val="0"/>
      <w:marTop w:val="0"/>
      <w:marBottom w:val="0"/>
      <w:divBdr>
        <w:top w:val="none" w:sz="0" w:space="0" w:color="auto"/>
        <w:left w:val="none" w:sz="0" w:space="0" w:color="auto"/>
        <w:bottom w:val="none" w:sz="0" w:space="0" w:color="auto"/>
        <w:right w:val="none" w:sz="0" w:space="0" w:color="auto"/>
      </w:divBdr>
    </w:div>
    <w:div w:id="311061071">
      <w:bodyDiv w:val="1"/>
      <w:marLeft w:val="0"/>
      <w:marRight w:val="0"/>
      <w:marTop w:val="0"/>
      <w:marBottom w:val="0"/>
      <w:divBdr>
        <w:top w:val="none" w:sz="0" w:space="0" w:color="auto"/>
        <w:left w:val="none" w:sz="0" w:space="0" w:color="auto"/>
        <w:bottom w:val="none" w:sz="0" w:space="0" w:color="auto"/>
        <w:right w:val="none" w:sz="0" w:space="0" w:color="auto"/>
      </w:divBdr>
    </w:div>
    <w:div w:id="311373265">
      <w:bodyDiv w:val="1"/>
      <w:marLeft w:val="0"/>
      <w:marRight w:val="0"/>
      <w:marTop w:val="0"/>
      <w:marBottom w:val="0"/>
      <w:divBdr>
        <w:top w:val="none" w:sz="0" w:space="0" w:color="auto"/>
        <w:left w:val="none" w:sz="0" w:space="0" w:color="auto"/>
        <w:bottom w:val="none" w:sz="0" w:space="0" w:color="auto"/>
        <w:right w:val="none" w:sz="0" w:space="0" w:color="auto"/>
      </w:divBdr>
    </w:div>
    <w:div w:id="312566064">
      <w:bodyDiv w:val="1"/>
      <w:marLeft w:val="0"/>
      <w:marRight w:val="0"/>
      <w:marTop w:val="0"/>
      <w:marBottom w:val="0"/>
      <w:divBdr>
        <w:top w:val="none" w:sz="0" w:space="0" w:color="auto"/>
        <w:left w:val="none" w:sz="0" w:space="0" w:color="auto"/>
        <w:bottom w:val="none" w:sz="0" w:space="0" w:color="auto"/>
        <w:right w:val="none" w:sz="0" w:space="0" w:color="auto"/>
      </w:divBdr>
    </w:div>
    <w:div w:id="312760597">
      <w:bodyDiv w:val="1"/>
      <w:marLeft w:val="0"/>
      <w:marRight w:val="0"/>
      <w:marTop w:val="0"/>
      <w:marBottom w:val="0"/>
      <w:divBdr>
        <w:top w:val="none" w:sz="0" w:space="0" w:color="auto"/>
        <w:left w:val="none" w:sz="0" w:space="0" w:color="auto"/>
        <w:bottom w:val="none" w:sz="0" w:space="0" w:color="auto"/>
        <w:right w:val="none" w:sz="0" w:space="0" w:color="auto"/>
      </w:divBdr>
    </w:div>
    <w:div w:id="313294157">
      <w:bodyDiv w:val="1"/>
      <w:marLeft w:val="0"/>
      <w:marRight w:val="0"/>
      <w:marTop w:val="0"/>
      <w:marBottom w:val="0"/>
      <w:divBdr>
        <w:top w:val="none" w:sz="0" w:space="0" w:color="auto"/>
        <w:left w:val="none" w:sz="0" w:space="0" w:color="auto"/>
        <w:bottom w:val="none" w:sz="0" w:space="0" w:color="auto"/>
        <w:right w:val="none" w:sz="0" w:space="0" w:color="auto"/>
      </w:divBdr>
    </w:div>
    <w:div w:id="313680123">
      <w:bodyDiv w:val="1"/>
      <w:marLeft w:val="0"/>
      <w:marRight w:val="0"/>
      <w:marTop w:val="0"/>
      <w:marBottom w:val="0"/>
      <w:divBdr>
        <w:top w:val="none" w:sz="0" w:space="0" w:color="auto"/>
        <w:left w:val="none" w:sz="0" w:space="0" w:color="auto"/>
        <w:bottom w:val="none" w:sz="0" w:space="0" w:color="auto"/>
        <w:right w:val="none" w:sz="0" w:space="0" w:color="auto"/>
      </w:divBdr>
    </w:div>
    <w:div w:id="313917632">
      <w:bodyDiv w:val="1"/>
      <w:marLeft w:val="0"/>
      <w:marRight w:val="0"/>
      <w:marTop w:val="0"/>
      <w:marBottom w:val="0"/>
      <w:divBdr>
        <w:top w:val="none" w:sz="0" w:space="0" w:color="auto"/>
        <w:left w:val="none" w:sz="0" w:space="0" w:color="auto"/>
        <w:bottom w:val="none" w:sz="0" w:space="0" w:color="auto"/>
        <w:right w:val="none" w:sz="0" w:space="0" w:color="auto"/>
      </w:divBdr>
    </w:div>
    <w:div w:id="313991693">
      <w:bodyDiv w:val="1"/>
      <w:marLeft w:val="0"/>
      <w:marRight w:val="0"/>
      <w:marTop w:val="0"/>
      <w:marBottom w:val="0"/>
      <w:divBdr>
        <w:top w:val="none" w:sz="0" w:space="0" w:color="auto"/>
        <w:left w:val="none" w:sz="0" w:space="0" w:color="auto"/>
        <w:bottom w:val="none" w:sz="0" w:space="0" w:color="auto"/>
        <w:right w:val="none" w:sz="0" w:space="0" w:color="auto"/>
      </w:divBdr>
    </w:div>
    <w:div w:id="314067657">
      <w:bodyDiv w:val="1"/>
      <w:marLeft w:val="0"/>
      <w:marRight w:val="0"/>
      <w:marTop w:val="0"/>
      <w:marBottom w:val="0"/>
      <w:divBdr>
        <w:top w:val="none" w:sz="0" w:space="0" w:color="auto"/>
        <w:left w:val="none" w:sz="0" w:space="0" w:color="auto"/>
        <w:bottom w:val="none" w:sz="0" w:space="0" w:color="auto"/>
        <w:right w:val="none" w:sz="0" w:space="0" w:color="auto"/>
      </w:divBdr>
    </w:div>
    <w:div w:id="314338254">
      <w:bodyDiv w:val="1"/>
      <w:marLeft w:val="0"/>
      <w:marRight w:val="0"/>
      <w:marTop w:val="0"/>
      <w:marBottom w:val="0"/>
      <w:divBdr>
        <w:top w:val="none" w:sz="0" w:space="0" w:color="auto"/>
        <w:left w:val="none" w:sz="0" w:space="0" w:color="auto"/>
        <w:bottom w:val="none" w:sz="0" w:space="0" w:color="auto"/>
        <w:right w:val="none" w:sz="0" w:space="0" w:color="auto"/>
      </w:divBdr>
    </w:div>
    <w:div w:id="315032022">
      <w:bodyDiv w:val="1"/>
      <w:marLeft w:val="0"/>
      <w:marRight w:val="0"/>
      <w:marTop w:val="0"/>
      <w:marBottom w:val="0"/>
      <w:divBdr>
        <w:top w:val="none" w:sz="0" w:space="0" w:color="auto"/>
        <w:left w:val="none" w:sz="0" w:space="0" w:color="auto"/>
        <w:bottom w:val="none" w:sz="0" w:space="0" w:color="auto"/>
        <w:right w:val="none" w:sz="0" w:space="0" w:color="auto"/>
      </w:divBdr>
    </w:div>
    <w:div w:id="315190228">
      <w:bodyDiv w:val="1"/>
      <w:marLeft w:val="0"/>
      <w:marRight w:val="0"/>
      <w:marTop w:val="0"/>
      <w:marBottom w:val="0"/>
      <w:divBdr>
        <w:top w:val="none" w:sz="0" w:space="0" w:color="auto"/>
        <w:left w:val="none" w:sz="0" w:space="0" w:color="auto"/>
        <w:bottom w:val="none" w:sz="0" w:space="0" w:color="auto"/>
        <w:right w:val="none" w:sz="0" w:space="0" w:color="auto"/>
      </w:divBdr>
    </w:div>
    <w:div w:id="315501779">
      <w:bodyDiv w:val="1"/>
      <w:marLeft w:val="0"/>
      <w:marRight w:val="0"/>
      <w:marTop w:val="0"/>
      <w:marBottom w:val="0"/>
      <w:divBdr>
        <w:top w:val="none" w:sz="0" w:space="0" w:color="auto"/>
        <w:left w:val="none" w:sz="0" w:space="0" w:color="auto"/>
        <w:bottom w:val="none" w:sz="0" w:space="0" w:color="auto"/>
        <w:right w:val="none" w:sz="0" w:space="0" w:color="auto"/>
      </w:divBdr>
    </w:div>
    <w:div w:id="315652318">
      <w:bodyDiv w:val="1"/>
      <w:marLeft w:val="0"/>
      <w:marRight w:val="0"/>
      <w:marTop w:val="0"/>
      <w:marBottom w:val="0"/>
      <w:divBdr>
        <w:top w:val="none" w:sz="0" w:space="0" w:color="auto"/>
        <w:left w:val="none" w:sz="0" w:space="0" w:color="auto"/>
        <w:bottom w:val="none" w:sz="0" w:space="0" w:color="auto"/>
        <w:right w:val="none" w:sz="0" w:space="0" w:color="auto"/>
      </w:divBdr>
    </w:div>
    <w:div w:id="315837115">
      <w:bodyDiv w:val="1"/>
      <w:marLeft w:val="0"/>
      <w:marRight w:val="0"/>
      <w:marTop w:val="0"/>
      <w:marBottom w:val="0"/>
      <w:divBdr>
        <w:top w:val="none" w:sz="0" w:space="0" w:color="auto"/>
        <w:left w:val="none" w:sz="0" w:space="0" w:color="auto"/>
        <w:bottom w:val="none" w:sz="0" w:space="0" w:color="auto"/>
        <w:right w:val="none" w:sz="0" w:space="0" w:color="auto"/>
      </w:divBdr>
    </w:div>
    <w:div w:id="317153014">
      <w:bodyDiv w:val="1"/>
      <w:marLeft w:val="0"/>
      <w:marRight w:val="0"/>
      <w:marTop w:val="0"/>
      <w:marBottom w:val="0"/>
      <w:divBdr>
        <w:top w:val="none" w:sz="0" w:space="0" w:color="auto"/>
        <w:left w:val="none" w:sz="0" w:space="0" w:color="auto"/>
        <w:bottom w:val="none" w:sz="0" w:space="0" w:color="auto"/>
        <w:right w:val="none" w:sz="0" w:space="0" w:color="auto"/>
      </w:divBdr>
    </w:div>
    <w:div w:id="317344851">
      <w:bodyDiv w:val="1"/>
      <w:marLeft w:val="0"/>
      <w:marRight w:val="0"/>
      <w:marTop w:val="0"/>
      <w:marBottom w:val="0"/>
      <w:divBdr>
        <w:top w:val="none" w:sz="0" w:space="0" w:color="auto"/>
        <w:left w:val="none" w:sz="0" w:space="0" w:color="auto"/>
        <w:bottom w:val="none" w:sz="0" w:space="0" w:color="auto"/>
        <w:right w:val="none" w:sz="0" w:space="0" w:color="auto"/>
      </w:divBdr>
    </w:div>
    <w:div w:id="317464149">
      <w:bodyDiv w:val="1"/>
      <w:marLeft w:val="0"/>
      <w:marRight w:val="0"/>
      <w:marTop w:val="0"/>
      <w:marBottom w:val="0"/>
      <w:divBdr>
        <w:top w:val="none" w:sz="0" w:space="0" w:color="auto"/>
        <w:left w:val="none" w:sz="0" w:space="0" w:color="auto"/>
        <w:bottom w:val="none" w:sz="0" w:space="0" w:color="auto"/>
        <w:right w:val="none" w:sz="0" w:space="0" w:color="auto"/>
      </w:divBdr>
    </w:div>
    <w:div w:id="317467760">
      <w:bodyDiv w:val="1"/>
      <w:marLeft w:val="0"/>
      <w:marRight w:val="0"/>
      <w:marTop w:val="0"/>
      <w:marBottom w:val="0"/>
      <w:divBdr>
        <w:top w:val="none" w:sz="0" w:space="0" w:color="auto"/>
        <w:left w:val="none" w:sz="0" w:space="0" w:color="auto"/>
        <w:bottom w:val="none" w:sz="0" w:space="0" w:color="auto"/>
        <w:right w:val="none" w:sz="0" w:space="0" w:color="auto"/>
      </w:divBdr>
    </w:div>
    <w:div w:id="317539185">
      <w:bodyDiv w:val="1"/>
      <w:marLeft w:val="0"/>
      <w:marRight w:val="0"/>
      <w:marTop w:val="0"/>
      <w:marBottom w:val="0"/>
      <w:divBdr>
        <w:top w:val="none" w:sz="0" w:space="0" w:color="auto"/>
        <w:left w:val="none" w:sz="0" w:space="0" w:color="auto"/>
        <w:bottom w:val="none" w:sz="0" w:space="0" w:color="auto"/>
        <w:right w:val="none" w:sz="0" w:space="0" w:color="auto"/>
      </w:divBdr>
    </w:div>
    <w:div w:id="317729647">
      <w:bodyDiv w:val="1"/>
      <w:marLeft w:val="0"/>
      <w:marRight w:val="0"/>
      <w:marTop w:val="0"/>
      <w:marBottom w:val="0"/>
      <w:divBdr>
        <w:top w:val="none" w:sz="0" w:space="0" w:color="auto"/>
        <w:left w:val="none" w:sz="0" w:space="0" w:color="auto"/>
        <w:bottom w:val="none" w:sz="0" w:space="0" w:color="auto"/>
        <w:right w:val="none" w:sz="0" w:space="0" w:color="auto"/>
      </w:divBdr>
    </w:div>
    <w:div w:id="317810577">
      <w:bodyDiv w:val="1"/>
      <w:marLeft w:val="0"/>
      <w:marRight w:val="0"/>
      <w:marTop w:val="0"/>
      <w:marBottom w:val="0"/>
      <w:divBdr>
        <w:top w:val="none" w:sz="0" w:space="0" w:color="auto"/>
        <w:left w:val="none" w:sz="0" w:space="0" w:color="auto"/>
        <w:bottom w:val="none" w:sz="0" w:space="0" w:color="auto"/>
        <w:right w:val="none" w:sz="0" w:space="0" w:color="auto"/>
      </w:divBdr>
    </w:div>
    <w:div w:id="318004598">
      <w:bodyDiv w:val="1"/>
      <w:marLeft w:val="0"/>
      <w:marRight w:val="0"/>
      <w:marTop w:val="0"/>
      <w:marBottom w:val="0"/>
      <w:divBdr>
        <w:top w:val="none" w:sz="0" w:space="0" w:color="auto"/>
        <w:left w:val="none" w:sz="0" w:space="0" w:color="auto"/>
        <w:bottom w:val="none" w:sz="0" w:space="0" w:color="auto"/>
        <w:right w:val="none" w:sz="0" w:space="0" w:color="auto"/>
      </w:divBdr>
    </w:div>
    <w:div w:id="319501386">
      <w:bodyDiv w:val="1"/>
      <w:marLeft w:val="0"/>
      <w:marRight w:val="0"/>
      <w:marTop w:val="0"/>
      <w:marBottom w:val="0"/>
      <w:divBdr>
        <w:top w:val="none" w:sz="0" w:space="0" w:color="auto"/>
        <w:left w:val="none" w:sz="0" w:space="0" w:color="auto"/>
        <w:bottom w:val="none" w:sz="0" w:space="0" w:color="auto"/>
        <w:right w:val="none" w:sz="0" w:space="0" w:color="auto"/>
      </w:divBdr>
    </w:div>
    <w:div w:id="319508578">
      <w:bodyDiv w:val="1"/>
      <w:marLeft w:val="0"/>
      <w:marRight w:val="0"/>
      <w:marTop w:val="0"/>
      <w:marBottom w:val="0"/>
      <w:divBdr>
        <w:top w:val="none" w:sz="0" w:space="0" w:color="auto"/>
        <w:left w:val="none" w:sz="0" w:space="0" w:color="auto"/>
        <w:bottom w:val="none" w:sz="0" w:space="0" w:color="auto"/>
        <w:right w:val="none" w:sz="0" w:space="0" w:color="auto"/>
      </w:divBdr>
    </w:div>
    <w:div w:id="319625781">
      <w:bodyDiv w:val="1"/>
      <w:marLeft w:val="0"/>
      <w:marRight w:val="0"/>
      <w:marTop w:val="0"/>
      <w:marBottom w:val="0"/>
      <w:divBdr>
        <w:top w:val="none" w:sz="0" w:space="0" w:color="auto"/>
        <w:left w:val="none" w:sz="0" w:space="0" w:color="auto"/>
        <w:bottom w:val="none" w:sz="0" w:space="0" w:color="auto"/>
        <w:right w:val="none" w:sz="0" w:space="0" w:color="auto"/>
      </w:divBdr>
    </w:div>
    <w:div w:id="319970827">
      <w:bodyDiv w:val="1"/>
      <w:marLeft w:val="0"/>
      <w:marRight w:val="0"/>
      <w:marTop w:val="0"/>
      <w:marBottom w:val="0"/>
      <w:divBdr>
        <w:top w:val="none" w:sz="0" w:space="0" w:color="auto"/>
        <w:left w:val="none" w:sz="0" w:space="0" w:color="auto"/>
        <w:bottom w:val="none" w:sz="0" w:space="0" w:color="auto"/>
        <w:right w:val="none" w:sz="0" w:space="0" w:color="auto"/>
      </w:divBdr>
    </w:div>
    <w:div w:id="320080233">
      <w:bodyDiv w:val="1"/>
      <w:marLeft w:val="0"/>
      <w:marRight w:val="0"/>
      <w:marTop w:val="0"/>
      <w:marBottom w:val="0"/>
      <w:divBdr>
        <w:top w:val="none" w:sz="0" w:space="0" w:color="auto"/>
        <w:left w:val="none" w:sz="0" w:space="0" w:color="auto"/>
        <w:bottom w:val="none" w:sz="0" w:space="0" w:color="auto"/>
        <w:right w:val="none" w:sz="0" w:space="0" w:color="auto"/>
      </w:divBdr>
    </w:div>
    <w:div w:id="320281988">
      <w:bodyDiv w:val="1"/>
      <w:marLeft w:val="0"/>
      <w:marRight w:val="0"/>
      <w:marTop w:val="0"/>
      <w:marBottom w:val="0"/>
      <w:divBdr>
        <w:top w:val="none" w:sz="0" w:space="0" w:color="auto"/>
        <w:left w:val="none" w:sz="0" w:space="0" w:color="auto"/>
        <w:bottom w:val="none" w:sz="0" w:space="0" w:color="auto"/>
        <w:right w:val="none" w:sz="0" w:space="0" w:color="auto"/>
      </w:divBdr>
    </w:div>
    <w:div w:id="320425054">
      <w:bodyDiv w:val="1"/>
      <w:marLeft w:val="0"/>
      <w:marRight w:val="0"/>
      <w:marTop w:val="0"/>
      <w:marBottom w:val="0"/>
      <w:divBdr>
        <w:top w:val="none" w:sz="0" w:space="0" w:color="auto"/>
        <w:left w:val="none" w:sz="0" w:space="0" w:color="auto"/>
        <w:bottom w:val="none" w:sz="0" w:space="0" w:color="auto"/>
        <w:right w:val="none" w:sz="0" w:space="0" w:color="auto"/>
      </w:divBdr>
    </w:div>
    <w:div w:id="320427723">
      <w:bodyDiv w:val="1"/>
      <w:marLeft w:val="0"/>
      <w:marRight w:val="0"/>
      <w:marTop w:val="0"/>
      <w:marBottom w:val="0"/>
      <w:divBdr>
        <w:top w:val="none" w:sz="0" w:space="0" w:color="auto"/>
        <w:left w:val="none" w:sz="0" w:space="0" w:color="auto"/>
        <w:bottom w:val="none" w:sz="0" w:space="0" w:color="auto"/>
        <w:right w:val="none" w:sz="0" w:space="0" w:color="auto"/>
      </w:divBdr>
    </w:div>
    <w:div w:id="320698204">
      <w:bodyDiv w:val="1"/>
      <w:marLeft w:val="0"/>
      <w:marRight w:val="0"/>
      <w:marTop w:val="0"/>
      <w:marBottom w:val="0"/>
      <w:divBdr>
        <w:top w:val="none" w:sz="0" w:space="0" w:color="auto"/>
        <w:left w:val="none" w:sz="0" w:space="0" w:color="auto"/>
        <w:bottom w:val="none" w:sz="0" w:space="0" w:color="auto"/>
        <w:right w:val="none" w:sz="0" w:space="0" w:color="auto"/>
      </w:divBdr>
    </w:div>
    <w:div w:id="321201217">
      <w:bodyDiv w:val="1"/>
      <w:marLeft w:val="0"/>
      <w:marRight w:val="0"/>
      <w:marTop w:val="0"/>
      <w:marBottom w:val="0"/>
      <w:divBdr>
        <w:top w:val="none" w:sz="0" w:space="0" w:color="auto"/>
        <w:left w:val="none" w:sz="0" w:space="0" w:color="auto"/>
        <w:bottom w:val="none" w:sz="0" w:space="0" w:color="auto"/>
        <w:right w:val="none" w:sz="0" w:space="0" w:color="auto"/>
      </w:divBdr>
    </w:div>
    <w:div w:id="321275569">
      <w:bodyDiv w:val="1"/>
      <w:marLeft w:val="0"/>
      <w:marRight w:val="0"/>
      <w:marTop w:val="0"/>
      <w:marBottom w:val="0"/>
      <w:divBdr>
        <w:top w:val="none" w:sz="0" w:space="0" w:color="auto"/>
        <w:left w:val="none" w:sz="0" w:space="0" w:color="auto"/>
        <w:bottom w:val="none" w:sz="0" w:space="0" w:color="auto"/>
        <w:right w:val="none" w:sz="0" w:space="0" w:color="auto"/>
      </w:divBdr>
    </w:div>
    <w:div w:id="321548863">
      <w:bodyDiv w:val="1"/>
      <w:marLeft w:val="0"/>
      <w:marRight w:val="0"/>
      <w:marTop w:val="0"/>
      <w:marBottom w:val="0"/>
      <w:divBdr>
        <w:top w:val="none" w:sz="0" w:space="0" w:color="auto"/>
        <w:left w:val="none" w:sz="0" w:space="0" w:color="auto"/>
        <w:bottom w:val="none" w:sz="0" w:space="0" w:color="auto"/>
        <w:right w:val="none" w:sz="0" w:space="0" w:color="auto"/>
      </w:divBdr>
    </w:div>
    <w:div w:id="323702386">
      <w:bodyDiv w:val="1"/>
      <w:marLeft w:val="0"/>
      <w:marRight w:val="0"/>
      <w:marTop w:val="0"/>
      <w:marBottom w:val="0"/>
      <w:divBdr>
        <w:top w:val="none" w:sz="0" w:space="0" w:color="auto"/>
        <w:left w:val="none" w:sz="0" w:space="0" w:color="auto"/>
        <w:bottom w:val="none" w:sz="0" w:space="0" w:color="auto"/>
        <w:right w:val="none" w:sz="0" w:space="0" w:color="auto"/>
      </w:divBdr>
    </w:div>
    <w:div w:id="324017958">
      <w:bodyDiv w:val="1"/>
      <w:marLeft w:val="0"/>
      <w:marRight w:val="0"/>
      <w:marTop w:val="0"/>
      <w:marBottom w:val="0"/>
      <w:divBdr>
        <w:top w:val="none" w:sz="0" w:space="0" w:color="auto"/>
        <w:left w:val="none" w:sz="0" w:space="0" w:color="auto"/>
        <w:bottom w:val="none" w:sz="0" w:space="0" w:color="auto"/>
        <w:right w:val="none" w:sz="0" w:space="0" w:color="auto"/>
      </w:divBdr>
    </w:div>
    <w:div w:id="324282128">
      <w:bodyDiv w:val="1"/>
      <w:marLeft w:val="0"/>
      <w:marRight w:val="0"/>
      <w:marTop w:val="0"/>
      <w:marBottom w:val="0"/>
      <w:divBdr>
        <w:top w:val="none" w:sz="0" w:space="0" w:color="auto"/>
        <w:left w:val="none" w:sz="0" w:space="0" w:color="auto"/>
        <w:bottom w:val="none" w:sz="0" w:space="0" w:color="auto"/>
        <w:right w:val="none" w:sz="0" w:space="0" w:color="auto"/>
      </w:divBdr>
    </w:div>
    <w:div w:id="324406997">
      <w:bodyDiv w:val="1"/>
      <w:marLeft w:val="0"/>
      <w:marRight w:val="0"/>
      <w:marTop w:val="0"/>
      <w:marBottom w:val="0"/>
      <w:divBdr>
        <w:top w:val="none" w:sz="0" w:space="0" w:color="auto"/>
        <w:left w:val="none" w:sz="0" w:space="0" w:color="auto"/>
        <w:bottom w:val="none" w:sz="0" w:space="0" w:color="auto"/>
        <w:right w:val="none" w:sz="0" w:space="0" w:color="auto"/>
      </w:divBdr>
    </w:div>
    <w:div w:id="325090777">
      <w:bodyDiv w:val="1"/>
      <w:marLeft w:val="0"/>
      <w:marRight w:val="0"/>
      <w:marTop w:val="0"/>
      <w:marBottom w:val="0"/>
      <w:divBdr>
        <w:top w:val="none" w:sz="0" w:space="0" w:color="auto"/>
        <w:left w:val="none" w:sz="0" w:space="0" w:color="auto"/>
        <w:bottom w:val="none" w:sz="0" w:space="0" w:color="auto"/>
        <w:right w:val="none" w:sz="0" w:space="0" w:color="auto"/>
      </w:divBdr>
    </w:div>
    <w:div w:id="325598798">
      <w:bodyDiv w:val="1"/>
      <w:marLeft w:val="0"/>
      <w:marRight w:val="0"/>
      <w:marTop w:val="0"/>
      <w:marBottom w:val="0"/>
      <w:divBdr>
        <w:top w:val="none" w:sz="0" w:space="0" w:color="auto"/>
        <w:left w:val="none" w:sz="0" w:space="0" w:color="auto"/>
        <w:bottom w:val="none" w:sz="0" w:space="0" w:color="auto"/>
        <w:right w:val="none" w:sz="0" w:space="0" w:color="auto"/>
      </w:divBdr>
    </w:div>
    <w:div w:id="325861752">
      <w:bodyDiv w:val="1"/>
      <w:marLeft w:val="0"/>
      <w:marRight w:val="0"/>
      <w:marTop w:val="0"/>
      <w:marBottom w:val="0"/>
      <w:divBdr>
        <w:top w:val="none" w:sz="0" w:space="0" w:color="auto"/>
        <w:left w:val="none" w:sz="0" w:space="0" w:color="auto"/>
        <w:bottom w:val="none" w:sz="0" w:space="0" w:color="auto"/>
        <w:right w:val="none" w:sz="0" w:space="0" w:color="auto"/>
      </w:divBdr>
    </w:div>
    <w:div w:id="326128744">
      <w:bodyDiv w:val="1"/>
      <w:marLeft w:val="0"/>
      <w:marRight w:val="0"/>
      <w:marTop w:val="0"/>
      <w:marBottom w:val="0"/>
      <w:divBdr>
        <w:top w:val="none" w:sz="0" w:space="0" w:color="auto"/>
        <w:left w:val="none" w:sz="0" w:space="0" w:color="auto"/>
        <w:bottom w:val="none" w:sz="0" w:space="0" w:color="auto"/>
        <w:right w:val="none" w:sz="0" w:space="0" w:color="auto"/>
      </w:divBdr>
    </w:div>
    <w:div w:id="326596930">
      <w:bodyDiv w:val="1"/>
      <w:marLeft w:val="0"/>
      <w:marRight w:val="0"/>
      <w:marTop w:val="0"/>
      <w:marBottom w:val="0"/>
      <w:divBdr>
        <w:top w:val="none" w:sz="0" w:space="0" w:color="auto"/>
        <w:left w:val="none" w:sz="0" w:space="0" w:color="auto"/>
        <w:bottom w:val="none" w:sz="0" w:space="0" w:color="auto"/>
        <w:right w:val="none" w:sz="0" w:space="0" w:color="auto"/>
      </w:divBdr>
    </w:div>
    <w:div w:id="326787606">
      <w:bodyDiv w:val="1"/>
      <w:marLeft w:val="0"/>
      <w:marRight w:val="0"/>
      <w:marTop w:val="0"/>
      <w:marBottom w:val="0"/>
      <w:divBdr>
        <w:top w:val="none" w:sz="0" w:space="0" w:color="auto"/>
        <w:left w:val="none" w:sz="0" w:space="0" w:color="auto"/>
        <w:bottom w:val="none" w:sz="0" w:space="0" w:color="auto"/>
        <w:right w:val="none" w:sz="0" w:space="0" w:color="auto"/>
      </w:divBdr>
    </w:div>
    <w:div w:id="327101500">
      <w:bodyDiv w:val="1"/>
      <w:marLeft w:val="0"/>
      <w:marRight w:val="0"/>
      <w:marTop w:val="0"/>
      <w:marBottom w:val="0"/>
      <w:divBdr>
        <w:top w:val="none" w:sz="0" w:space="0" w:color="auto"/>
        <w:left w:val="none" w:sz="0" w:space="0" w:color="auto"/>
        <w:bottom w:val="none" w:sz="0" w:space="0" w:color="auto"/>
        <w:right w:val="none" w:sz="0" w:space="0" w:color="auto"/>
      </w:divBdr>
    </w:div>
    <w:div w:id="327101769">
      <w:bodyDiv w:val="1"/>
      <w:marLeft w:val="0"/>
      <w:marRight w:val="0"/>
      <w:marTop w:val="0"/>
      <w:marBottom w:val="0"/>
      <w:divBdr>
        <w:top w:val="none" w:sz="0" w:space="0" w:color="auto"/>
        <w:left w:val="none" w:sz="0" w:space="0" w:color="auto"/>
        <w:bottom w:val="none" w:sz="0" w:space="0" w:color="auto"/>
        <w:right w:val="none" w:sz="0" w:space="0" w:color="auto"/>
      </w:divBdr>
    </w:div>
    <w:div w:id="327176287">
      <w:bodyDiv w:val="1"/>
      <w:marLeft w:val="0"/>
      <w:marRight w:val="0"/>
      <w:marTop w:val="0"/>
      <w:marBottom w:val="0"/>
      <w:divBdr>
        <w:top w:val="none" w:sz="0" w:space="0" w:color="auto"/>
        <w:left w:val="none" w:sz="0" w:space="0" w:color="auto"/>
        <w:bottom w:val="none" w:sz="0" w:space="0" w:color="auto"/>
        <w:right w:val="none" w:sz="0" w:space="0" w:color="auto"/>
      </w:divBdr>
    </w:div>
    <w:div w:id="327558605">
      <w:bodyDiv w:val="1"/>
      <w:marLeft w:val="0"/>
      <w:marRight w:val="0"/>
      <w:marTop w:val="0"/>
      <w:marBottom w:val="0"/>
      <w:divBdr>
        <w:top w:val="none" w:sz="0" w:space="0" w:color="auto"/>
        <w:left w:val="none" w:sz="0" w:space="0" w:color="auto"/>
        <w:bottom w:val="none" w:sz="0" w:space="0" w:color="auto"/>
        <w:right w:val="none" w:sz="0" w:space="0" w:color="auto"/>
      </w:divBdr>
    </w:div>
    <w:div w:id="327750679">
      <w:bodyDiv w:val="1"/>
      <w:marLeft w:val="0"/>
      <w:marRight w:val="0"/>
      <w:marTop w:val="0"/>
      <w:marBottom w:val="0"/>
      <w:divBdr>
        <w:top w:val="none" w:sz="0" w:space="0" w:color="auto"/>
        <w:left w:val="none" w:sz="0" w:space="0" w:color="auto"/>
        <w:bottom w:val="none" w:sz="0" w:space="0" w:color="auto"/>
        <w:right w:val="none" w:sz="0" w:space="0" w:color="auto"/>
      </w:divBdr>
    </w:div>
    <w:div w:id="328944847">
      <w:bodyDiv w:val="1"/>
      <w:marLeft w:val="0"/>
      <w:marRight w:val="0"/>
      <w:marTop w:val="0"/>
      <w:marBottom w:val="0"/>
      <w:divBdr>
        <w:top w:val="none" w:sz="0" w:space="0" w:color="auto"/>
        <w:left w:val="none" w:sz="0" w:space="0" w:color="auto"/>
        <w:bottom w:val="none" w:sz="0" w:space="0" w:color="auto"/>
        <w:right w:val="none" w:sz="0" w:space="0" w:color="auto"/>
      </w:divBdr>
    </w:div>
    <w:div w:id="329449897">
      <w:bodyDiv w:val="1"/>
      <w:marLeft w:val="0"/>
      <w:marRight w:val="0"/>
      <w:marTop w:val="0"/>
      <w:marBottom w:val="0"/>
      <w:divBdr>
        <w:top w:val="none" w:sz="0" w:space="0" w:color="auto"/>
        <w:left w:val="none" w:sz="0" w:space="0" w:color="auto"/>
        <w:bottom w:val="none" w:sz="0" w:space="0" w:color="auto"/>
        <w:right w:val="none" w:sz="0" w:space="0" w:color="auto"/>
      </w:divBdr>
    </w:div>
    <w:div w:id="329869228">
      <w:bodyDiv w:val="1"/>
      <w:marLeft w:val="0"/>
      <w:marRight w:val="0"/>
      <w:marTop w:val="0"/>
      <w:marBottom w:val="0"/>
      <w:divBdr>
        <w:top w:val="none" w:sz="0" w:space="0" w:color="auto"/>
        <w:left w:val="none" w:sz="0" w:space="0" w:color="auto"/>
        <w:bottom w:val="none" w:sz="0" w:space="0" w:color="auto"/>
        <w:right w:val="none" w:sz="0" w:space="0" w:color="auto"/>
      </w:divBdr>
    </w:div>
    <w:div w:id="329993044">
      <w:bodyDiv w:val="1"/>
      <w:marLeft w:val="0"/>
      <w:marRight w:val="0"/>
      <w:marTop w:val="0"/>
      <w:marBottom w:val="0"/>
      <w:divBdr>
        <w:top w:val="none" w:sz="0" w:space="0" w:color="auto"/>
        <w:left w:val="none" w:sz="0" w:space="0" w:color="auto"/>
        <w:bottom w:val="none" w:sz="0" w:space="0" w:color="auto"/>
        <w:right w:val="none" w:sz="0" w:space="0" w:color="auto"/>
      </w:divBdr>
    </w:div>
    <w:div w:id="330261532">
      <w:bodyDiv w:val="1"/>
      <w:marLeft w:val="0"/>
      <w:marRight w:val="0"/>
      <w:marTop w:val="0"/>
      <w:marBottom w:val="0"/>
      <w:divBdr>
        <w:top w:val="none" w:sz="0" w:space="0" w:color="auto"/>
        <w:left w:val="none" w:sz="0" w:space="0" w:color="auto"/>
        <w:bottom w:val="none" w:sz="0" w:space="0" w:color="auto"/>
        <w:right w:val="none" w:sz="0" w:space="0" w:color="auto"/>
      </w:divBdr>
    </w:div>
    <w:div w:id="330529773">
      <w:bodyDiv w:val="1"/>
      <w:marLeft w:val="0"/>
      <w:marRight w:val="0"/>
      <w:marTop w:val="0"/>
      <w:marBottom w:val="0"/>
      <w:divBdr>
        <w:top w:val="none" w:sz="0" w:space="0" w:color="auto"/>
        <w:left w:val="none" w:sz="0" w:space="0" w:color="auto"/>
        <w:bottom w:val="none" w:sz="0" w:space="0" w:color="auto"/>
        <w:right w:val="none" w:sz="0" w:space="0" w:color="auto"/>
      </w:divBdr>
    </w:div>
    <w:div w:id="330835361">
      <w:bodyDiv w:val="1"/>
      <w:marLeft w:val="0"/>
      <w:marRight w:val="0"/>
      <w:marTop w:val="0"/>
      <w:marBottom w:val="0"/>
      <w:divBdr>
        <w:top w:val="none" w:sz="0" w:space="0" w:color="auto"/>
        <w:left w:val="none" w:sz="0" w:space="0" w:color="auto"/>
        <w:bottom w:val="none" w:sz="0" w:space="0" w:color="auto"/>
        <w:right w:val="none" w:sz="0" w:space="0" w:color="auto"/>
      </w:divBdr>
    </w:div>
    <w:div w:id="330987357">
      <w:bodyDiv w:val="1"/>
      <w:marLeft w:val="0"/>
      <w:marRight w:val="0"/>
      <w:marTop w:val="0"/>
      <w:marBottom w:val="0"/>
      <w:divBdr>
        <w:top w:val="none" w:sz="0" w:space="0" w:color="auto"/>
        <w:left w:val="none" w:sz="0" w:space="0" w:color="auto"/>
        <w:bottom w:val="none" w:sz="0" w:space="0" w:color="auto"/>
        <w:right w:val="none" w:sz="0" w:space="0" w:color="auto"/>
      </w:divBdr>
    </w:div>
    <w:div w:id="331223993">
      <w:bodyDiv w:val="1"/>
      <w:marLeft w:val="0"/>
      <w:marRight w:val="0"/>
      <w:marTop w:val="0"/>
      <w:marBottom w:val="0"/>
      <w:divBdr>
        <w:top w:val="none" w:sz="0" w:space="0" w:color="auto"/>
        <w:left w:val="none" w:sz="0" w:space="0" w:color="auto"/>
        <w:bottom w:val="none" w:sz="0" w:space="0" w:color="auto"/>
        <w:right w:val="none" w:sz="0" w:space="0" w:color="auto"/>
      </w:divBdr>
    </w:div>
    <w:div w:id="332293952">
      <w:bodyDiv w:val="1"/>
      <w:marLeft w:val="0"/>
      <w:marRight w:val="0"/>
      <w:marTop w:val="0"/>
      <w:marBottom w:val="0"/>
      <w:divBdr>
        <w:top w:val="none" w:sz="0" w:space="0" w:color="auto"/>
        <w:left w:val="none" w:sz="0" w:space="0" w:color="auto"/>
        <w:bottom w:val="none" w:sz="0" w:space="0" w:color="auto"/>
        <w:right w:val="none" w:sz="0" w:space="0" w:color="auto"/>
      </w:divBdr>
    </w:div>
    <w:div w:id="332339595">
      <w:bodyDiv w:val="1"/>
      <w:marLeft w:val="0"/>
      <w:marRight w:val="0"/>
      <w:marTop w:val="0"/>
      <w:marBottom w:val="0"/>
      <w:divBdr>
        <w:top w:val="none" w:sz="0" w:space="0" w:color="auto"/>
        <w:left w:val="none" w:sz="0" w:space="0" w:color="auto"/>
        <w:bottom w:val="none" w:sz="0" w:space="0" w:color="auto"/>
        <w:right w:val="none" w:sz="0" w:space="0" w:color="auto"/>
      </w:divBdr>
    </w:div>
    <w:div w:id="332342206">
      <w:bodyDiv w:val="1"/>
      <w:marLeft w:val="0"/>
      <w:marRight w:val="0"/>
      <w:marTop w:val="0"/>
      <w:marBottom w:val="0"/>
      <w:divBdr>
        <w:top w:val="none" w:sz="0" w:space="0" w:color="auto"/>
        <w:left w:val="none" w:sz="0" w:space="0" w:color="auto"/>
        <w:bottom w:val="none" w:sz="0" w:space="0" w:color="auto"/>
        <w:right w:val="none" w:sz="0" w:space="0" w:color="auto"/>
      </w:divBdr>
    </w:div>
    <w:div w:id="332755882">
      <w:bodyDiv w:val="1"/>
      <w:marLeft w:val="0"/>
      <w:marRight w:val="0"/>
      <w:marTop w:val="0"/>
      <w:marBottom w:val="0"/>
      <w:divBdr>
        <w:top w:val="none" w:sz="0" w:space="0" w:color="auto"/>
        <w:left w:val="none" w:sz="0" w:space="0" w:color="auto"/>
        <w:bottom w:val="none" w:sz="0" w:space="0" w:color="auto"/>
        <w:right w:val="none" w:sz="0" w:space="0" w:color="auto"/>
      </w:divBdr>
    </w:div>
    <w:div w:id="332807601">
      <w:bodyDiv w:val="1"/>
      <w:marLeft w:val="0"/>
      <w:marRight w:val="0"/>
      <w:marTop w:val="0"/>
      <w:marBottom w:val="0"/>
      <w:divBdr>
        <w:top w:val="none" w:sz="0" w:space="0" w:color="auto"/>
        <w:left w:val="none" w:sz="0" w:space="0" w:color="auto"/>
        <w:bottom w:val="none" w:sz="0" w:space="0" w:color="auto"/>
        <w:right w:val="none" w:sz="0" w:space="0" w:color="auto"/>
      </w:divBdr>
    </w:div>
    <w:div w:id="334188758">
      <w:bodyDiv w:val="1"/>
      <w:marLeft w:val="0"/>
      <w:marRight w:val="0"/>
      <w:marTop w:val="0"/>
      <w:marBottom w:val="0"/>
      <w:divBdr>
        <w:top w:val="none" w:sz="0" w:space="0" w:color="auto"/>
        <w:left w:val="none" w:sz="0" w:space="0" w:color="auto"/>
        <w:bottom w:val="none" w:sz="0" w:space="0" w:color="auto"/>
        <w:right w:val="none" w:sz="0" w:space="0" w:color="auto"/>
      </w:divBdr>
    </w:div>
    <w:div w:id="334453978">
      <w:bodyDiv w:val="1"/>
      <w:marLeft w:val="0"/>
      <w:marRight w:val="0"/>
      <w:marTop w:val="0"/>
      <w:marBottom w:val="0"/>
      <w:divBdr>
        <w:top w:val="none" w:sz="0" w:space="0" w:color="auto"/>
        <w:left w:val="none" w:sz="0" w:space="0" w:color="auto"/>
        <w:bottom w:val="none" w:sz="0" w:space="0" w:color="auto"/>
        <w:right w:val="none" w:sz="0" w:space="0" w:color="auto"/>
      </w:divBdr>
    </w:div>
    <w:div w:id="334499529">
      <w:bodyDiv w:val="1"/>
      <w:marLeft w:val="0"/>
      <w:marRight w:val="0"/>
      <w:marTop w:val="0"/>
      <w:marBottom w:val="0"/>
      <w:divBdr>
        <w:top w:val="none" w:sz="0" w:space="0" w:color="auto"/>
        <w:left w:val="none" w:sz="0" w:space="0" w:color="auto"/>
        <w:bottom w:val="none" w:sz="0" w:space="0" w:color="auto"/>
        <w:right w:val="none" w:sz="0" w:space="0" w:color="auto"/>
      </w:divBdr>
    </w:div>
    <w:div w:id="334963838">
      <w:bodyDiv w:val="1"/>
      <w:marLeft w:val="0"/>
      <w:marRight w:val="0"/>
      <w:marTop w:val="0"/>
      <w:marBottom w:val="0"/>
      <w:divBdr>
        <w:top w:val="none" w:sz="0" w:space="0" w:color="auto"/>
        <w:left w:val="none" w:sz="0" w:space="0" w:color="auto"/>
        <w:bottom w:val="none" w:sz="0" w:space="0" w:color="auto"/>
        <w:right w:val="none" w:sz="0" w:space="0" w:color="auto"/>
      </w:divBdr>
    </w:div>
    <w:div w:id="335301831">
      <w:bodyDiv w:val="1"/>
      <w:marLeft w:val="0"/>
      <w:marRight w:val="0"/>
      <w:marTop w:val="0"/>
      <w:marBottom w:val="0"/>
      <w:divBdr>
        <w:top w:val="none" w:sz="0" w:space="0" w:color="auto"/>
        <w:left w:val="none" w:sz="0" w:space="0" w:color="auto"/>
        <w:bottom w:val="none" w:sz="0" w:space="0" w:color="auto"/>
        <w:right w:val="none" w:sz="0" w:space="0" w:color="auto"/>
      </w:divBdr>
    </w:div>
    <w:div w:id="335497571">
      <w:bodyDiv w:val="1"/>
      <w:marLeft w:val="0"/>
      <w:marRight w:val="0"/>
      <w:marTop w:val="0"/>
      <w:marBottom w:val="0"/>
      <w:divBdr>
        <w:top w:val="none" w:sz="0" w:space="0" w:color="auto"/>
        <w:left w:val="none" w:sz="0" w:space="0" w:color="auto"/>
        <w:bottom w:val="none" w:sz="0" w:space="0" w:color="auto"/>
        <w:right w:val="none" w:sz="0" w:space="0" w:color="auto"/>
      </w:divBdr>
    </w:div>
    <w:div w:id="336155021">
      <w:bodyDiv w:val="1"/>
      <w:marLeft w:val="0"/>
      <w:marRight w:val="0"/>
      <w:marTop w:val="0"/>
      <w:marBottom w:val="0"/>
      <w:divBdr>
        <w:top w:val="none" w:sz="0" w:space="0" w:color="auto"/>
        <w:left w:val="none" w:sz="0" w:space="0" w:color="auto"/>
        <w:bottom w:val="none" w:sz="0" w:space="0" w:color="auto"/>
        <w:right w:val="none" w:sz="0" w:space="0" w:color="auto"/>
      </w:divBdr>
    </w:div>
    <w:div w:id="336352221">
      <w:bodyDiv w:val="1"/>
      <w:marLeft w:val="0"/>
      <w:marRight w:val="0"/>
      <w:marTop w:val="0"/>
      <w:marBottom w:val="0"/>
      <w:divBdr>
        <w:top w:val="none" w:sz="0" w:space="0" w:color="auto"/>
        <w:left w:val="none" w:sz="0" w:space="0" w:color="auto"/>
        <w:bottom w:val="none" w:sz="0" w:space="0" w:color="auto"/>
        <w:right w:val="none" w:sz="0" w:space="0" w:color="auto"/>
      </w:divBdr>
    </w:div>
    <w:div w:id="337117339">
      <w:bodyDiv w:val="1"/>
      <w:marLeft w:val="0"/>
      <w:marRight w:val="0"/>
      <w:marTop w:val="0"/>
      <w:marBottom w:val="0"/>
      <w:divBdr>
        <w:top w:val="none" w:sz="0" w:space="0" w:color="auto"/>
        <w:left w:val="none" w:sz="0" w:space="0" w:color="auto"/>
        <w:bottom w:val="none" w:sz="0" w:space="0" w:color="auto"/>
        <w:right w:val="none" w:sz="0" w:space="0" w:color="auto"/>
      </w:divBdr>
    </w:div>
    <w:div w:id="337385624">
      <w:bodyDiv w:val="1"/>
      <w:marLeft w:val="0"/>
      <w:marRight w:val="0"/>
      <w:marTop w:val="0"/>
      <w:marBottom w:val="0"/>
      <w:divBdr>
        <w:top w:val="none" w:sz="0" w:space="0" w:color="auto"/>
        <w:left w:val="none" w:sz="0" w:space="0" w:color="auto"/>
        <w:bottom w:val="none" w:sz="0" w:space="0" w:color="auto"/>
        <w:right w:val="none" w:sz="0" w:space="0" w:color="auto"/>
      </w:divBdr>
    </w:div>
    <w:div w:id="337732717">
      <w:bodyDiv w:val="1"/>
      <w:marLeft w:val="0"/>
      <w:marRight w:val="0"/>
      <w:marTop w:val="0"/>
      <w:marBottom w:val="0"/>
      <w:divBdr>
        <w:top w:val="none" w:sz="0" w:space="0" w:color="auto"/>
        <w:left w:val="none" w:sz="0" w:space="0" w:color="auto"/>
        <w:bottom w:val="none" w:sz="0" w:space="0" w:color="auto"/>
        <w:right w:val="none" w:sz="0" w:space="0" w:color="auto"/>
      </w:divBdr>
    </w:div>
    <w:div w:id="337780665">
      <w:bodyDiv w:val="1"/>
      <w:marLeft w:val="0"/>
      <w:marRight w:val="0"/>
      <w:marTop w:val="0"/>
      <w:marBottom w:val="0"/>
      <w:divBdr>
        <w:top w:val="none" w:sz="0" w:space="0" w:color="auto"/>
        <w:left w:val="none" w:sz="0" w:space="0" w:color="auto"/>
        <w:bottom w:val="none" w:sz="0" w:space="0" w:color="auto"/>
        <w:right w:val="none" w:sz="0" w:space="0" w:color="auto"/>
      </w:divBdr>
    </w:div>
    <w:div w:id="337970798">
      <w:bodyDiv w:val="1"/>
      <w:marLeft w:val="0"/>
      <w:marRight w:val="0"/>
      <w:marTop w:val="0"/>
      <w:marBottom w:val="0"/>
      <w:divBdr>
        <w:top w:val="none" w:sz="0" w:space="0" w:color="auto"/>
        <w:left w:val="none" w:sz="0" w:space="0" w:color="auto"/>
        <w:bottom w:val="none" w:sz="0" w:space="0" w:color="auto"/>
        <w:right w:val="none" w:sz="0" w:space="0" w:color="auto"/>
      </w:divBdr>
    </w:div>
    <w:div w:id="338387869">
      <w:bodyDiv w:val="1"/>
      <w:marLeft w:val="0"/>
      <w:marRight w:val="0"/>
      <w:marTop w:val="0"/>
      <w:marBottom w:val="0"/>
      <w:divBdr>
        <w:top w:val="none" w:sz="0" w:space="0" w:color="auto"/>
        <w:left w:val="none" w:sz="0" w:space="0" w:color="auto"/>
        <w:bottom w:val="none" w:sz="0" w:space="0" w:color="auto"/>
        <w:right w:val="none" w:sz="0" w:space="0" w:color="auto"/>
      </w:divBdr>
    </w:div>
    <w:div w:id="339165298">
      <w:bodyDiv w:val="1"/>
      <w:marLeft w:val="0"/>
      <w:marRight w:val="0"/>
      <w:marTop w:val="0"/>
      <w:marBottom w:val="0"/>
      <w:divBdr>
        <w:top w:val="none" w:sz="0" w:space="0" w:color="auto"/>
        <w:left w:val="none" w:sz="0" w:space="0" w:color="auto"/>
        <w:bottom w:val="none" w:sz="0" w:space="0" w:color="auto"/>
        <w:right w:val="none" w:sz="0" w:space="0" w:color="auto"/>
      </w:divBdr>
    </w:div>
    <w:div w:id="339359080">
      <w:bodyDiv w:val="1"/>
      <w:marLeft w:val="0"/>
      <w:marRight w:val="0"/>
      <w:marTop w:val="0"/>
      <w:marBottom w:val="0"/>
      <w:divBdr>
        <w:top w:val="none" w:sz="0" w:space="0" w:color="auto"/>
        <w:left w:val="none" w:sz="0" w:space="0" w:color="auto"/>
        <w:bottom w:val="none" w:sz="0" w:space="0" w:color="auto"/>
        <w:right w:val="none" w:sz="0" w:space="0" w:color="auto"/>
      </w:divBdr>
    </w:div>
    <w:div w:id="339745033">
      <w:bodyDiv w:val="1"/>
      <w:marLeft w:val="0"/>
      <w:marRight w:val="0"/>
      <w:marTop w:val="0"/>
      <w:marBottom w:val="0"/>
      <w:divBdr>
        <w:top w:val="none" w:sz="0" w:space="0" w:color="auto"/>
        <w:left w:val="none" w:sz="0" w:space="0" w:color="auto"/>
        <w:bottom w:val="none" w:sz="0" w:space="0" w:color="auto"/>
        <w:right w:val="none" w:sz="0" w:space="0" w:color="auto"/>
      </w:divBdr>
    </w:div>
    <w:div w:id="340398081">
      <w:bodyDiv w:val="1"/>
      <w:marLeft w:val="0"/>
      <w:marRight w:val="0"/>
      <w:marTop w:val="0"/>
      <w:marBottom w:val="0"/>
      <w:divBdr>
        <w:top w:val="none" w:sz="0" w:space="0" w:color="auto"/>
        <w:left w:val="none" w:sz="0" w:space="0" w:color="auto"/>
        <w:bottom w:val="none" w:sz="0" w:space="0" w:color="auto"/>
        <w:right w:val="none" w:sz="0" w:space="0" w:color="auto"/>
      </w:divBdr>
    </w:div>
    <w:div w:id="340548288">
      <w:bodyDiv w:val="1"/>
      <w:marLeft w:val="0"/>
      <w:marRight w:val="0"/>
      <w:marTop w:val="0"/>
      <w:marBottom w:val="0"/>
      <w:divBdr>
        <w:top w:val="none" w:sz="0" w:space="0" w:color="auto"/>
        <w:left w:val="none" w:sz="0" w:space="0" w:color="auto"/>
        <w:bottom w:val="none" w:sz="0" w:space="0" w:color="auto"/>
        <w:right w:val="none" w:sz="0" w:space="0" w:color="auto"/>
      </w:divBdr>
    </w:div>
    <w:div w:id="341324899">
      <w:bodyDiv w:val="1"/>
      <w:marLeft w:val="0"/>
      <w:marRight w:val="0"/>
      <w:marTop w:val="0"/>
      <w:marBottom w:val="0"/>
      <w:divBdr>
        <w:top w:val="none" w:sz="0" w:space="0" w:color="auto"/>
        <w:left w:val="none" w:sz="0" w:space="0" w:color="auto"/>
        <w:bottom w:val="none" w:sz="0" w:space="0" w:color="auto"/>
        <w:right w:val="none" w:sz="0" w:space="0" w:color="auto"/>
      </w:divBdr>
    </w:div>
    <w:div w:id="341396227">
      <w:bodyDiv w:val="1"/>
      <w:marLeft w:val="0"/>
      <w:marRight w:val="0"/>
      <w:marTop w:val="0"/>
      <w:marBottom w:val="0"/>
      <w:divBdr>
        <w:top w:val="none" w:sz="0" w:space="0" w:color="auto"/>
        <w:left w:val="none" w:sz="0" w:space="0" w:color="auto"/>
        <w:bottom w:val="none" w:sz="0" w:space="0" w:color="auto"/>
        <w:right w:val="none" w:sz="0" w:space="0" w:color="auto"/>
      </w:divBdr>
    </w:div>
    <w:div w:id="341670324">
      <w:bodyDiv w:val="1"/>
      <w:marLeft w:val="0"/>
      <w:marRight w:val="0"/>
      <w:marTop w:val="0"/>
      <w:marBottom w:val="0"/>
      <w:divBdr>
        <w:top w:val="none" w:sz="0" w:space="0" w:color="auto"/>
        <w:left w:val="none" w:sz="0" w:space="0" w:color="auto"/>
        <w:bottom w:val="none" w:sz="0" w:space="0" w:color="auto"/>
        <w:right w:val="none" w:sz="0" w:space="0" w:color="auto"/>
      </w:divBdr>
    </w:div>
    <w:div w:id="342124612">
      <w:bodyDiv w:val="1"/>
      <w:marLeft w:val="0"/>
      <w:marRight w:val="0"/>
      <w:marTop w:val="0"/>
      <w:marBottom w:val="0"/>
      <w:divBdr>
        <w:top w:val="none" w:sz="0" w:space="0" w:color="auto"/>
        <w:left w:val="none" w:sz="0" w:space="0" w:color="auto"/>
        <w:bottom w:val="none" w:sz="0" w:space="0" w:color="auto"/>
        <w:right w:val="none" w:sz="0" w:space="0" w:color="auto"/>
      </w:divBdr>
    </w:div>
    <w:div w:id="342361014">
      <w:bodyDiv w:val="1"/>
      <w:marLeft w:val="0"/>
      <w:marRight w:val="0"/>
      <w:marTop w:val="0"/>
      <w:marBottom w:val="0"/>
      <w:divBdr>
        <w:top w:val="none" w:sz="0" w:space="0" w:color="auto"/>
        <w:left w:val="none" w:sz="0" w:space="0" w:color="auto"/>
        <w:bottom w:val="none" w:sz="0" w:space="0" w:color="auto"/>
        <w:right w:val="none" w:sz="0" w:space="0" w:color="auto"/>
      </w:divBdr>
    </w:div>
    <w:div w:id="342897665">
      <w:bodyDiv w:val="1"/>
      <w:marLeft w:val="0"/>
      <w:marRight w:val="0"/>
      <w:marTop w:val="0"/>
      <w:marBottom w:val="0"/>
      <w:divBdr>
        <w:top w:val="none" w:sz="0" w:space="0" w:color="auto"/>
        <w:left w:val="none" w:sz="0" w:space="0" w:color="auto"/>
        <w:bottom w:val="none" w:sz="0" w:space="0" w:color="auto"/>
        <w:right w:val="none" w:sz="0" w:space="0" w:color="auto"/>
      </w:divBdr>
    </w:div>
    <w:div w:id="343091486">
      <w:bodyDiv w:val="1"/>
      <w:marLeft w:val="0"/>
      <w:marRight w:val="0"/>
      <w:marTop w:val="0"/>
      <w:marBottom w:val="0"/>
      <w:divBdr>
        <w:top w:val="none" w:sz="0" w:space="0" w:color="auto"/>
        <w:left w:val="none" w:sz="0" w:space="0" w:color="auto"/>
        <w:bottom w:val="none" w:sz="0" w:space="0" w:color="auto"/>
        <w:right w:val="none" w:sz="0" w:space="0" w:color="auto"/>
      </w:divBdr>
    </w:div>
    <w:div w:id="344064704">
      <w:bodyDiv w:val="1"/>
      <w:marLeft w:val="0"/>
      <w:marRight w:val="0"/>
      <w:marTop w:val="0"/>
      <w:marBottom w:val="0"/>
      <w:divBdr>
        <w:top w:val="none" w:sz="0" w:space="0" w:color="auto"/>
        <w:left w:val="none" w:sz="0" w:space="0" w:color="auto"/>
        <w:bottom w:val="none" w:sz="0" w:space="0" w:color="auto"/>
        <w:right w:val="none" w:sz="0" w:space="0" w:color="auto"/>
      </w:divBdr>
    </w:div>
    <w:div w:id="344553298">
      <w:bodyDiv w:val="1"/>
      <w:marLeft w:val="0"/>
      <w:marRight w:val="0"/>
      <w:marTop w:val="0"/>
      <w:marBottom w:val="0"/>
      <w:divBdr>
        <w:top w:val="none" w:sz="0" w:space="0" w:color="auto"/>
        <w:left w:val="none" w:sz="0" w:space="0" w:color="auto"/>
        <w:bottom w:val="none" w:sz="0" w:space="0" w:color="auto"/>
        <w:right w:val="none" w:sz="0" w:space="0" w:color="auto"/>
      </w:divBdr>
    </w:div>
    <w:div w:id="344862004">
      <w:bodyDiv w:val="1"/>
      <w:marLeft w:val="0"/>
      <w:marRight w:val="0"/>
      <w:marTop w:val="0"/>
      <w:marBottom w:val="0"/>
      <w:divBdr>
        <w:top w:val="none" w:sz="0" w:space="0" w:color="auto"/>
        <w:left w:val="none" w:sz="0" w:space="0" w:color="auto"/>
        <w:bottom w:val="none" w:sz="0" w:space="0" w:color="auto"/>
        <w:right w:val="none" w:sz="0" w:space="0" w:color="auto"/>
      </w:divBdr>
    </w:div>
    <w:div w:id="344868759">
      <w:bodyDiv w:val="1"/>
      <w:marLeft w:val="0"/>
      <w:marRight w:val="0"/>
      <w:marTop w:val="0"/>
      <w:marBottom w:val="0"/>
      <w:divBdr>
        <w:top w:val="none" w:sz="0" w:space="0" w:color="auto"/>
        <w:left w:val="none" w:sz="0" w:space="0" w:color="auto"/>
        <w:bottom w:val="none" w:sz="0" w:space="0" w:color="auto"/>
        <w:right w:val="none" w:sz="0" w:space="0" w:color="auto"/>
      </w:divBdr>
    </w:div>
    <w:div w:id="344986539">
      <w:bodyDiv w:val="1"/>
      <w:marLeft w:val="0"/>
      <w:marRight w:val="0"/>
      <w:marTop w:val="0"/>
      <w:marBottom w:val="0"/>
      <w:divBdr>
        <w:top w:val="none" w:sz="0" w:space="0" w:color="auto"/>
        <w:left w:val="none" w:sz="0" w:space="0" w:color="auto"/>
        <w:bottom w:val="none" w:sz="0" w:space="0" w:color="auto"/>
        <w:right w:val="none" w:sz="0" w:space="0" w:color="auto"/>
      </w:divBdr>
    </w:div>
    <w:div w:id="345329152">
      <w:bodyDiv w:val="1"/>
      <w:marLeft w:val="0"/>
      <w:marRight w:val="0"/>
      <w:marTop w:val="0"/>
      <w:marBottom w:val="0"/>
      <w:divBdr>
        <w:top w:val="none" w:sz="0" w:space="0" w:color="auto"/>
        <w:left w:val="none" w:sz="0" w:space="0" w:color="auto"/>
        <w:bottom w:val="none" w:sz="0" w:space="0" w:color="auto"/>
        <w:right w:val="none" w:sz="0" w:space="0" w:color="auto"/>
      </w:divBdr>
    </w:div>
    <w:div w:id="345794257">
      <w:bodyDiv w:val="1"/>
      <w:marLeft w:val="0"/>
      <w:marRight w:val="0"/>
      <w:marTop w:val="0"/>
      <w:marBottom w:val="0"/>
      <w:divBdr>
        <w:top w:val="none" w:sz="0" w:space="0" w:color="auto"/>
        <w:left w:val="none" w:sz="0" w:space="0" w:color="auto"/>
        <w:bottom w:val="none" w:sz="0" w:space="0" w:color="auto"/>
        <w:right w:val="none" w:sz="0" w:space="0" w:color="auto"/>
      </w:divBdr>
    </w:div>
    <w:div w:id="345837535">
      <w:bodyDiv w:val="1"/>
      <w:marLeft w:val="0"/>
      <w:marRight w:val="0"/>
      <w:marTop w:val="0"/>
      <w:marBottom w:val="0"/>
      <w:divBdr>
        <w:top w:val="none" w:sz="0" w:space="0" w:color="auto"/>
        <w:left w:val="none" w:sz="0" w:space="0" w:color="auto"/>
        <w:bottom w:val="none" w:sz="0" w:space="0" w:color="auto"/>
        <w:right w:val="none" w:sz="0" w:space="0" w:color="auto"/>
      </w:divBdr>
    </w:div>
    <w:div w:id="346295186">
      <w:bodyDiv w:val="1"/>
      <w:marLeft w:val="0"/>
      <w:marRight w:val="0"/>
      <w:marTop w:val="0"/>
      <w:marBottom w:val="0"/>
      <w:divBdr>
        <w:top w:val="none" w:sz="0" w:space="0" w:color="auto"/>
        <w:left w:val="none" w:sz="0" w:space="0" w:color="auto"/>
        <w:bottom w:val="none" w:sz="0" w:space="0" w:color="auto"/>
        <w:right w:val="none" w:sz="0" w:space="0" w:color="auto"/>
      </w:divBdr>
    </w:div>
    <w:div w:id="346519353">
      <w:bodyDiv w:val="1"/>
      <w:marLeft w:val="0"/>
      <w:marRight w:val="0"/>
      <w:marTop w:val="0"/>
      <w:marBottom w:val="0"/>
      <w:divBdr>
        <w:top w:val="none" w:sz="0" w:space="0" w:color="auto"/>
        <w:left w:val="none" w:sz="0" w:space="0" w:color="auto"/>
        <w:bottom w:val="none" w:sz="0" w:space="0" w:color="auto"/>
        <w:right w:val="none" w:sz="0" w:space="0" w:color="auto"/>
      </w:divBdr>
    </w:div>
    <w:div w:id="346562302">
      <w:bodyDiv w:val="1"/>
      <w:marLeft w:val="0"/>
      <w:marRight w:val="0"/>
      <w:marTop w:val="0"/>
      <w:marBottom w:val="0"/>
      <w:divBdr>
        <w:top w:val="none" w:sz="0" w:space="0" w:color="auto"/>
        <w:left w:val="none" w:sz="0" w:space="0" w:color="auto"/>
        <w:bottom w:val="none" w:sz="0" w:space="0" w:color="auto"/>
        <w:right w:val="none" w:sz="0" w:space="0" w:color="auto"/>
      </w:divBdr>
    </w:div>
    <w:div w:id="346638838">
      <w:bodyDiv w:val="1"/>
      <w:marLeft w:val="0"/>
      <w:marRight w:val="0"/>
      <w:marTop w:val="0"/>
      <w:marBottom w:val="0"/>
      <w:divBdr>
        <w:top w:val="none" w:sz="0" w:space="0" w:color="auto"/>
        <w:left w:val="none" w:sz="0" w:space="0" w:color="auto"/>
        <w:bottom w:val="none" w:sz="0" w:space="0" w:color="auto"/>
        <w:right w:val="none" w:sz="0" w:space="0" w:color="auto"/>
      </w:divBdr>
    </w:div>
    <w:div w:id="346639202">
      <w:bodyDiv w:val="1"/>
      <w:marLeft w:val="0"/>
      <w:marRight w:val="0"/>
      <w:marTop w:val="0"/>
      <w:marBottom w:val="0"/>
      <w:divBdr>
        <w:top w:val="none" w:sz="0" w:space="0" w:color="auto"/>
        <w:left w:val="none" w:sz="0" w:space="0" w:color="auto"/>
        <w:bottom w:val="none" w:sz="0" w:space="0" w:color="auto"/>
        <w:right w:val="none" w:sz="0" w:space="0" w:color="auto"/>
      </w:divBdr>
    </w:div>
    <w:div w:id="346713555">
      <w:bodyDiv w:val="1"/>
      <w:marLeft w:val="0"/>
      <w:marRight w:val="0"/>
      <w:marTop w:val="0"/>
      <w:marBottom w:val="0"/>
      <w:divBdr>
        <w:top w:val="none" w:sz="0" w:space="0" w:color="auto"/>
        <w:left w:val="none" w:sz="0" w:space="0" w:color="auto"/>
        <w:bottom w:val="none" w:sz="0" w:space="0" w:color="auto"/>
        <w:right w:val="none" w:sz="0" w:space="0" w:color="auto"/>
      </w:divBdr>
    </w:div>
    <w:div w:id="346903246">
      <w:bodyDiv w:val="1"/>
      <w:marLeft w:val="0"/>
      <w:marRight w:val="0"/>
      <w:marTop w:val="0"/>
      <w:marBottom w:val="0"/>
      <w:divBdr>
        <w:top w:val="none" w:sz="0" w:space="0" w:color="auto"/>
        <w:left w:val="none" w:sz="0" w:space="0" w:color="auto"/>
        <w:bottom w:val="none" w:sz="0" w:space="0" w:color="auto"/>
        <w:right w:val="none" w:sz="0" w:space="0" w:color="auto"/>
      </w:divBdr>
    </w:div>
    <w:div w:id="346947704">
      <w:bodyDiv w:val="1"/>
      <w:marLeft w:val="0"/>
      <w:marRight w:val="0"/>
      <w:marTop w:val="0"/>
      <w:marBottom w:val="0"/>
      <w:divBdr>
        <w:top w:val="none" w:sz="0" w:space="0" w:color="auto"/>
        <w:left w:val="none" w:sz="0" w:space="0" w:color="auto"/>
        <w:bottom w:val="none" w:sz="0" w:space="0" w:color="auto"/>
        <w:right w:val="none" w:sz="0" w:space="0" w:color="auto"/>
      </w:divBdr>
    </w:div>
    <w:div w:id="347831923">
      <w:bodyDiv w:val="1"/>
      <w:marLeft w:val="0"/>
      <w:marRight w:val="0"/>
      <w:marTop w:val="0"/>
      <w:marBottom w:val="0"/>
      <w:divBdr>
        <w:top w:val="none" w:sz="0" w:space="0" w:color="auto"/>
        <w:left w:val="none" w:sz="0" w:space="0" w:color="auto"/>
        <w:bottom w:val="none" w:sz="0" w:space="0" w:color="auto"/>
        <w:right w:val="none" w:sz="0" w:space="0" w:color="auto"/>
      </w:divBdr>
    </w:div>
    <w:div w:id="348023354">
      <w:bodyDiv w:val="1"/>
      <w:marLeft w:val="0"/>
      <w:marRight w:val="0"/>
      <w:marTop w:val="0"/>
      <w:marBottom w:val="0"/>
      <w:divBdr>
        <w:top w:val="none" w:sz="0" w:space="0" w:color="auto"/>
        <w:left w:val="none" w:sz="0" w:space="0" w:color="auto"/>
        <w:bottom w:val="none" w:sz="0" w:space="0" w:color="auto"/>
        <w:right w:val="none" w:sz="0" w:space="0" w:color="auto"/>
      </w:divBdr>
    </w:div>
    <w:div w:id="348261363">
      <w:bodyDiv w:val="1"/>
      <w:marLeft w:val="0"/>
      <w:marRight w:val="0"/>
      <w:marTop w:val="0"/>
      <w:marBottom w:val="0"/>
      <w:divBdr>
        <w:top w:val="none" w:sz="0" w:space="0" w:color="auto"/>
        <w:left w:val="none" w:sz="0" w:space="0" w:color="auto"/>
        <w:bottom w:val="none" w:sz="0" w:space="0" w:color="auto"/>
        <w:right w:val="none" w:sz="0" w:space="0" w:color="auto"/>
      </w:divBdr>
    </w:div>
    <w:div w:id="348336722">
      <w:bodyDiv w:val="1"/>
      <w:marLeft w:val="0"/>
      <w:marRight w:val="0"/>
      <w:marTop w:val="0"/>
      <w:marBottom w:val="0"/>
      <w:divBdr>
        <w:top w:val="none" w:sz="0" w:space="0" w:color="auto"/>
        <w:left w:val="none" w:sz="0" w:space="0" w:color="auto"/>
        <w:bottom w:val="none" w:sz="0" w:space="0" w:color="auto"/>
        <w:right w:val="none" w:sz="0" w:space="0" w:color="auto"/>
      </w:divBdr>
    </w:div>
    <w:div w:id="349378741">
      <w:bodyDiv w:val="1"/>
      <w:marLeft w:val="0"/>
      <w:marRight w:val="0"/>
      <w:marTop w:val="0"/>
      <w:marBottom w:val="0"/>
      <w:divBdr>
        <w:top w:val="none" w:sz="0" w:space="0" w:color="auto"/>
        <w:left w:val="none" w:sz="0" w:space="0" w:color="auto"/>
        <w:bottom w:val="none" w:sz="0" w:space="0" w:color="auto"/>
        <w:right w:val="none" w:sz="0" w:space="0" w:color="auto"/>
      </w:divBdr>
    </w:div>
    <w:div w:id="349571067">
      <w:bodyDiv w:val="1"/>
      <w:marLeft w:val="0"/>
      <w:marRight w:val="0"/>
      <w:marTop w:val="0"/>
      <w:marBottom w:val="0"/>
      <w:divBdr>
        <w:top w:val="none" w:sz="0" w:space="0" w:color="auto"/>
        <w:left w:val="none" w:sz="0" w:space="0" w:color="auto"/>
        <w:bottom w:val="none" w:sz="0" w:space="0" w:color="auto"/>
        <w:right w:val="none" w:sz="0" w:space="0" w:color="auto"/>
      </w:divBdr>
    </w:div>
    <w:div w:id="349912603">
      <w:bodyDiv w:val="1"/>
      <w:marLeft w:val="0"/>
      <w:marRight w:val="0"/>
      <w:marTop w:val="0"/>
      <w:marBottom w:val="0"/>
      <w:divBdr>
        <w:top w:val="none" w:sz="0" w:space="0" w:color="auto"/>
        <w:left w:val="none" w:sz="0" w:space="0" w:color="auto"/>
        <w:bottom w:val="none" w:sz="0" w:space="0" w:color="auto"/>
        <w:right w:val="none" w:sz="0" w:space="0" w:color="auto"/>
      </w:divBdr>
    </w:div>
    <w:div w:id="349994182">
      <w:bodyDiv w:val="1"/>
      <w:marLeft w:val="0"/>
      <w:marRight w:val="0"/>
      <w:marTop w:val="0"/>
      <w:marBottom w:val="0"/>
      <w:divBdr>
        <w:top w:val="none" w:sz="0" w:space="0" w:color="auto"/>
        <w:left w:val="none" w:sz="0" w:space="0" w:color="auto"/>
        <w:bottom w:val="none" w:sz="0" w:space="0" w:color="auto"/>
        <w:right w:val="none" w:sz="0" w:space="0" w:color="auto"/>
      </w:divBdr>
    </w:div>
    <w:div w:id="350566606">
      <w:bodyDiv w:val="1"/>
      <w:marLeft w:val="0"/>
      <w:marRight w:val="0"/>
      <w:marTop w:val="0"/>
      <w:marBottom w:val="0"/>
      <w:divBdr>
        <w:top w:val="none" w:sz="0" w:space="0" w:color="auto"/>
        <w:left w:val="none" w:sz="0" w:space="0" w:color="auto"/>
        <w:bottom w:val="none" w:sz="0" w:space="0" w:color="auto"/>
        <w:right w:val="none" w:sz="0" w:space="0" w:color="auto"/>
      </w:divBdr>
    </w:div>
    <w:div w:id="351151204">
      <w:bodyDiv w:val="1"/>
      <w:marLeft w:val="0"/>
      <w:marRight w:val="0"/>
      <w:marTop w:val="0"/>
      <w:marBottom w:val="0"/>
      <w:divBdr>
        <w:top w:val="none" w:sz="0" w:space="0" w:color="auto"/>
        <w:left w:val="none" w:sz="0" w:space="0" w:color="auto"/>
        <w:bottom w:val="none" w:sz="0" w:space="0" w:color="auto"/>
        <w:right w:val="none" w:sz="0" w:space="0" w:color="auto"/>
      </w:divBdr>
    </w:div>
    <w:div w:id="351415232">
      <w:bodyDiv w:val="1"/>
      <w:marLeft w:val="0"/>
      <w:marRight w:val="0"/>
      <w:marTop w:val="0"/>
      <w:marBottom w:val="0"/>
      <w:divBdr>
        <w:top w:val="none" w:sz="0" w:space="0" w:color="auto"/>
        <w:left w:val="none" w:sz="0" w:space="0" w:color="auto"/>
        <w:bottom w:val="none" w:sz="0" w:space="0" w:color="auto"/>
        <w:right w:val="none" w:sz="0" w:space="0" w:color="auto"/>
      </w:divBdr>
    </w:div>
    <w:div w:id="352417105">
      <w:bodyDiv w:val="1"/>
      <w:marLeft w:val="0"/>
      <w:marRight w:val="0"/>
      <w:marTop w:val="0"/>
      <w:marBottom w:val="0"/>
      <w:divBdr>
        <w:top w:val="none" w:sz="0" w:space="0" w:color="auto"/>
        <w:left w:val="none" w:sz="0" w:space="0" w:color="auto"/>
        <w:bottom w:val="none" w:sz="0" w:space="0" w:color="auto"/>
        <w:right w:val="none" w:sz="0" w:space="0" w:color="auto"/>
      </w:divBdr>
    </w:div>
    <w:div w:id="352727438">
      <w:bodyDiv w:val="1"/>
      <w:marLeft w:val="0"/>
      <w:marRight w:val="0"/>
      <w:marTop w:val="0"/>
      <w:marBottom w:val="0"/>
      <w:divBdr>
        <w:top w:val="none" w:sz="0" w:space="0" w:color="auto"/>
        <w:left w:val="none" w:sz="0" w:space="0" w:color="auto"/>
        <w:bottom w:val="none" w:sz="0" w:space="0" w:color="auto"/>
        <w:right w:val="none" w:sz="0" w:space="0" w:color="auto"/>
      </w:divBdr>
    </w:div>
    <w:div w:id="352807357">
      <w:bodyDiv w:val="1"/>
      <w:marLeft w:val="0"/>
      <w:marRight w:val="0"/>
      <w:marTop w:val="0"/>
      <w:marBottom w:val="0"/>
      <w:divBdr>
        <w:top w:val="none" w:sz="0" w:space="0" w:color="auto"/>
        <w:left w:val="none" w:sz="0" w:space="0" w:color="auto"/>
        <w:bottom w:val="none" w:sz="0" w:space="0" w:color="auto"/>
        <w:right w:val="none" w:sz="0" w:space="0" w:color="auto"/>
      </w:divBdr>
    </w:div>
    <w:div w:id="353387109">
      <w:bodyDiv w:val="1"/>
      <w:marLeft w:val="0"/>
      <w:marRight w:val="0"/>
      <w:marTop w:val="0"/>
      <w:marBottom w:val="0"/>
      <w:divBdr>
        <w:top w:val="none" w:sz="0" w:space="0" w:color="auto"/>
        <w:left w:val="none" w:sz="0" w:space="0" w:color="auto"/>
        <w:bottom w:val="none" w:sz="0" w:space="0" w:color="auto"/>
        <w:right w:val="none" w:sz="0" w:space="0" w:color="auto"/>
      </w:divBdr>
    </w:div>
    <w:div w:id="354700700">
      <w:bodyDiv w:val="1"/>
      <w:marLeft w:val="0"/>
      <w:marRight w:val="0"/>
      <w:marTop w:val="0"/>
      <w:marBottom w:val="0"/>
      <w:divBdr>
        <w:top w:val="none" w:sz="0" w:space="0" w:color="auto"/>
        <w:left w:val="none" w:sz="0" w:space="0" w:color="auto"/>
        <w:bottom w:val="none" w:sz="0" w:space="0" w:color="auto"/>
        <w:right w:val="none" w:sz="0" w:space="0" w:color="auto"/>
      </w:divBdr>
    </w:div>
    <w:div w:id="354964954">
      <w:bodyDiv w:val="1"/>
      <w:marLeft w:val="0"/>
      <w:marRight w:val="0"/>
      <w:marTop w:val="0"/>
      <w:marBottom w:val="0"/>
      <w:divBdr>
        <w:top w:val="none" w:sz="0" w:space="0" w:color="auto"/>
        <w:left w:val="none" w:sz="0" w:space="0" w:color="auto"/>
        <w:bottom w:val="none" w:sz="0" w:space="0" w:color="auto"/>
        <w:right w:val="none" w:sz="0" w:space="0" w:color="auto"/>
      </w:divBdr>
    </w:div>
    <w:div w:id="355155899">
      <w:bodyDiv w:val="1"/>
      <w:marLeft w:val="0"/>
      <w:marRight w:val="0"/>
      <w:marTop w:val="0"/>
      <w:marBottom w:val="0"/>
      <w:divBdr>
        <w:top w:val="none" w:sz="0" w:space="0" w:color="auto"/>
        <w:left w:val="none" w:sz="0" w:space="0" w:color="auto"/>
        <w:bottom w:val="none" w:sz="0" w:space="0" w:color="auto"/>
        <w:right w:val="none" w:sz="0" w:space="0" w:color="auto"/>
      </w:divBdr>
    </w:div>
    <w:div w:id="355352409">
      <w:bodyDiv w:val="1"/>
      <w:marLeft w:val="0"/>
      <w:marRight w:val="0"/>
      <w:marTop w:val="0"/>
      <w:marBottom w:val="0"/>
      <w:divBdr>
        <w:top w:val="none" w:sz="0" w:space="0" w:color="auto"/>
        <w:left w:val="none" w:sz="0" w:space="0" w:color="auto"/>
        <w:bottom w:val="none" w:sz="0" w:space="0" w:color="auto"/>
        <w:right w:val="none" w:sz="0" w:space="0" w:color="auto"/>
      </w:divBdr>
    </w:div>
    <w:div w:id="355617980">
      <w:bodyDiv w:val="1"/>
      <w:marLeft w:val="0"/>
      <w:marRight w:val="0"/>
      <w:marTop w:val="0"/>
      <w:marBottom w:val="0"/>
      <w:divBdr>
        <w:top w:val="none" w:sz="0" w:space="0" w:color="auto"/>
        <w:left w:val="none" w:sz="0" w:space="0" w:color="auto"/>
        <w:bottom w:val="none" w:sz="0" w:space="0" w:color="auto"/>
        <w:right w:val="none" w:sz="0" w:space="0" w:color="auto"/>
      </w:divBdr>
    </w:div>
    <w:div w:id="355622062">
      <w:bodyDiv w:val="1"/>
      <w:marLeft w:val="0"/>
      <w:marRight w:val="0"/>
      <w:marTop w:val="0"/>
      <w:marBottom w:val="0"/>
      <w:divBdr>
        <w:top w:val="none" w:sz="0" w:space="0" w:color="auto"/>
        <w:left w:val="none" w:sz="0" w:space="0" w:color="auto"/>
        <w:bottom w:val="none" w:sz="0" w:space="0" w:color="auto"/>
        <w:right w:val="none" w:sz="0" w:space="0" w:color="auto"/>
      </w:divBdr>
    </w:div>
    <w:div w:id="356658217">
      <w:bodyDiv w:val="1"/>
      <w:marLeft w:val="0"/>
      <w:marRight w:val="0"/>
      <w:marTop w:val="0"/>
      <w:marBottom w:val="0"/>
      <w:divBdr>
        <w:top w:val="none" w:sz="0" w:space="0" w:color="auto"/>
        <w:left w:val="none" w:sz="0" w:space="0" w:color="auto"/>
        <w:bottom w:val="none" w:sz="0" w:space="0" w:color="auto"/>
        <w:right w:val="none" w:sz="0" w:space="0" w:color="auto"/>
      </w:divBdr>
    </w:div>
    <w:div w:id="357125919">
      <w:bodyDiv w:val="1"/>
      <w:marLeft w:val="0"/>
      <w:marRight w:val="0"/>
      <w:marTop w:val="0"/>
      <w:marBottom w:val="0"/>
      <w:divBdr>
        <w:top w:val="none" w:sz="0" w:space="0" w:color="auto"/>
        <w:left w:val="none" w:sz="0" w:space="0" w:color="auto"/>
        <w:bottom w:val="none" w:sz="0" w:space="0" w:color="auto"/>
        <w:right w:val="none" w:sz="0" w:space="0" w:color="auto"/>
      </w:divBdr>
    </w:div>
    <w:div w:id="357317868">
      <w:bodyDiv w:val="1"/>
      <w:marLeft w:val="0"/>
      <w:marRight w:val="0"/>
      <w:marTop w:val="0"/>
      <w:marBottom w:val="0"/>
      <w:divBdr>
        <w:top w:val="none" w:sz="0" w:space="0" w:color="auto"/>
        <w:left w:val="none" w:sz="0" w:space="0" w:color="auto"/>
        <w:bottom w:val="none" w:sz="0" w:space="0" w:color="auto"/>
        <w:right w:val="none" w:sz="0" w:space="0" w:color="auto"/>
      </w:divBdr>
    </w:div>
    <w:div w:id="357774317">
      <w:bodyDiv w:val="1"/>
      <w:marLeft w:val="0"/>
      <w:marRight w:val="0"/>
      <w:marTop w:val="0"/>
      <w:marBottom w:val="0"/>
      <w:divBdr>
        <w:top w:val="none" w:sz="0" w:space="0" w:color="auto"/>
        <w:left w:val="none" w:sz="0" w:space="0" w:color="auto"/>
        <w:bottom w:val="none" w:sz="0" w:space="0" w:color="auto"/>
        <w:right w:val="none" w:sz="0" w:space="0" w:color="auto"/>
      </w:divBdr>
    </w:div>
    <w:div w:id="358118287">
      <w:bodyDiv w:val="1"/>
      <w:marLeft w:val="0"/>
      <w:marRight w:val="0"/>
      <w:marTop w:val="0"/>
      <w:marBottom w:val="0"/>
      <w:divBdr>
        <w:top w:val="none" w:sz="0" w:space="0" w:color="auto"/>
        <w:left w:val="none" w:sz="0" w:space="0" w:color="auto"/>
        <w:bottom w:val="none" w:sz="0" w:space="0" w:color="auto"/>
        <w:right w:val="none" w:sz="0" w:space="0" w:color="auto"/>
      </w:divBdr>
    </w:div>
    <w:div w:id="358355609">
      <w:bodyDiv w:val="1"/>
      <w:marLeft w:val="0"/>
      <w:marRight w:val="0"/>
      <w:marTop w:val="0"/>
      <w:marBottom w:val="0"/>
      <w:divBdr>
        <w:top w:val="none" w:sz="0" w:space="0" w:color="auto"/>
        <w:left w:val="none" w:sz="0" w:space="0" w:color="auto"/>
        <w:bottom w:val="none" w:sz="0" w:space="0" w:color="auto"/>
        <w:right w:val="none" w:sz="0" w:space="0" w:color="auto"/>
      </w:divBdr>
    </w:div>
    <w:div w:id="358940943">
      <w:bodyDiv w:val="1"/>
      <w:marLeft w:val="0"/>
      <w:marRight w:val="0"/>
      <w:marTop w:val="0"/>
      <w:marBottom w:val="0"/>
      <w:divBdr>
        <w:top w:val="none" w:sz="0" w:space="0" w:color="auto"/>
        <w:left w:val="none" w:sz="0" w:space="0" w:color="auto"/>
        <w:bottom w:val="none" w:sz="0" w:space="0" w:color="auto"/>
        <w:right w:val="none" w:sz="0" w:space="0" w:color="auto"/>
      </w:divBdr>
    </w:div>
    <w:div w:id="359016828">
      <w:bodyDiv w:val="1"/>
      <w:marLeft w:val="0"/>
      <w:marRight w:val="0"/>
      <w:marTop w:val="0"/>
      <w:marBottom w:val="0"/>
      <w:divBdr>
        <w:top w:val="none" w:sz="0" w:space="0" w:color="auto"/>
        <w:left w:val="none" w:sz="0" w:space="0" w:color="auto"/>
        <w:bottom w:val="none" w:sz="0" w:space="0" w:color="auto"/>
        <w:right w:val="none" w:sz="0" w:space="0" w:color="auto"/>
      </w:divBdr>
    </w:div>
    <w:div w:id="359212112">
      <w:bodyDiv w:val="1"/>
      <w:marLeft w:val="0"/>
      <w:marRight w:val="0"/>
      <w:marTop w:val="0"/>
      <w:marBottom w:val="0"/>
      <w:divBdr>
        <w:top w:val="none" w:sz="0" w:space="0" w:color="auto"/>
        <w:left w:val="none" w:sz="0" w:space="0" w:color="auto"/>
        <w:bottom w:val="none" w:sz="0" w:space="0" w:color="auto"/>
        <w:right w:val="none" w:sz="0" w:space="0" w:color="auto"/>
      </w:divBdr>
    </w:div>
    <w:div w:id="360135538">
      <w:bodyDiv w:val="1"/>
      <w:marLeft w:val="0"/>
      <w:marRight w:val="0"/>
      <w:marTop w:val="0"/>
      <w:marBottom w:val="0"/>
      <w:divBdr>
        <w:top w:val="none" w:sz="0" w:space="0" w:color="auto"/>
        <w:left w:val="none" w:sz="0" w:space="0" w:color="auto"/>
        <w:bottom w:val="none" w:sz="0" w:space="0" w:color="auto"/>
        <w:right w:val="none" w:sz="0" w:space="0" w:color="auto"/>
      </w:divBdr>
    </w:div>
    <w:div w:id="360204790">
      <w:bodyDiv w:val="1"/>
      <w:marLeft w:val="0"/>
      <w:marRight w:val="0"/>
      <w:marTop w:val="0"/>
      <w:marBottom w:val="0"/>
      <w:divBdr>
        <w:top w:val="none" w:sz="0" w:space="0" w:color="auto"/>
        <w:left w:val="none" w:sz="0" w:space="0" w:color="auto"/>
        <w:bottom w:val="none" w:sz="0" w:space="0" w:color="auto"/>
        <w:right w:val="none" w:sz="0" w:space="0" w:color="auto"/>
      </w:divBdr>
    </w:div>
    <w:div w:id="360210759">
      <w:bodyDiv w:val="1"/>
      <w:marLeft w:val="0"/>
      <w:marRight w:val="0"/>
      <w:marTop w:val="0"/>
      <w:marBottom w:val="0"/>
      <w:divBdr>
        <w:top w:val="none" w:sz="0" w:space="0" w:color="auto"/>
        <w:left w:val="none" w:sz="0" w:space="0" w:color="auto"/>
        <w:bottom w:val="none" w:sz="0" w:space="0" w:color="auto"/>
        <w:right w:val="none" w:sz="0" w:space="0" w:color="auto"/>
      </w:divBdr>
    </w:div>
    <w:div w:id="360860460">
      <w:bodyDiv w:val="1"/>
      <w:marLeft w:val="0"/>
      <w:marRight w:val="0"/>
      <w:marTop w:val="0"/>
      <w:marBottom w:val="0"/>
      <w:divBdr>
        <w:top w:val="none" w:sz="0" w:space="0" w:color="auto"/>
        <w:left w:val="none" w:sz="0" w:space="0" w:color="auto"/>
        <w:bottom w:val="none" w:sz="0" w:space="0" w:color="auto"/>
        <w:right w:val="none" w:sz="0" w:space="0" w:color="auto"/>
      </w:divBdr>
    </w:div>
    <w:div w:id="361129466">
      <w:bodyDiv w:val="1"/>
      <w:marLeft w:val="0"/>
      <w:marRight w:val="0"/>
      <w:marTop w:val="0"/>
      <w:marBottom w:val="0"/>
      <w:divBdr>
        <w:top w:val="none" w:sz="0" w:space="0" w:color="auto"/>
        <w:left w:val="none" w:sz="0" w:space="0" w:color="auto"/>
        <w:bottom w:val="none" w:sz="0" w:space="0" w:color="auto"/>
        <w:right w:val="none" w:sz="0" w:space="0" w:color="auto"/>
      </w:divBdr>
    </w:div>
    <w:div w:id="362361462">
      <w:bodyDiv w:val="1"/>
      <w:marLeft w:val="0"/>
      <w:marRight w:val="0"/>
      <w:marTop w:val="0"/>
      <w:marBottom w:val="0"/>
      <w:divBdr>
        <w:top w:val="none" w:sz="0" w:space="0" w:color="auto"/>
        <w:left w:val="none" w:sz="0" w:space="0" w:color="auto"/>
        <w:bottom w:val="none" w:sz="0" w:space="0" w:color="auto"/>
        <w:right w:val="none" w:sz="0" w:space="0" w:color="auto"/>
      </w:divBdr>
    </w:div>
    <w:div w:id="362825955">
      <w:bodyDiv w:val="1"/>
      <w:marLeft w:val="0"/>
      <w:marRight w:val="0"/>
      <w:marTop w:val="0"/>
      <w:marBottom w:val="0"/>
      <w:divBdr>
        <w:top w:val="none" w:sz="0" w:space="0" w:color="auto"/>
        <w:left w:val="none" w:sz="0" w:space="0" w:color="auto"/>
        <w:bottom w:val="none" w:sz="0" w:space="0" w:color="auto"/>
        <w:right w:val="none" w:sz="0" w:space="0" w:color="auto"/>
      </w:divBdr>
    </w:div>
    <w:div w:id="363093444">
      <w:bodyDiv w:val="1"/>
      <w:marLeft w:val="0"/>
      <w:marRight w:val="0"/>
      <w:marTop w:val="0"/>
      <w:marBottom w:val="0"/>
      <w:divBdr>
        <w:top w:val="none" w:sz="0" w:space="0" w:color="auto"/>
        <w:left w:val="none" w:sz="0" w:space="0" w:color="auto"/>
        <w:bottom w:val="none" w:sz="0" w:space="0" w:color="auto"/>
        <w:right w:val="none" w:sz="0" w:space="0" w:color="auto"/>
      </w:divBdr>
    </w:div>
    <w:div w:id="363530083">
      <w:bodyDiv w:val="1"/>
      <w:marLeft w:val="0"/>
      <w:marRight w:val="0"/>
      <w:marTop w:val="0"/>
      <w:marBottom w:val="0"/>
      <w:divBdr>
        <w:top w:val="none" w:sz="0" w:space="0" w:color="auto"/>
        <w:left w:val="none" w:sz="0" w:space="0" w:color="auto"/>
        <w:bottom w:val="none" w:sz="0" w:space="0" w:color="auto"/>
        <w:right w:val="none" w:sz="0" w:space="0" w:color="auto"/>
      </w:divBdr>
    </w:div>
    <w:div w:id="363988800">
      <w:bodyDiv w:val="1"/>
      <w:marLeft w:val="0"/>
      <w:marRight w:val="0"/>
      <w:marTop w:val="0"/>
      <w:marBottom w:val="0"/>
      <w:divBdr>
        <w:top w:val="none" w:sz="0" w:space="0" w:color="auto"/>
        <w:left w:val="none" w:sz="0" w:space="0" w:color="auto"/>
        <w:bottom w:val="none" w:sz="0" w:space="0" w:color="auto"/>
        <w:right w:val="none" w:sz="0" w:space="0" w:color="auto"/>
      </w:divBdr>
    </w:div>
    <w:div w:id="363991536">
      <w:bodyDiv w:val="1"/>
      <w:marLeft w:val="0"/>
      <w:marRight w:val="0"/>
      <w:marTop w:val="0"/>
      <w:marBottom w:val="0"/>
      <w:divBdr>
        <w:top w:val="none" w:sz="0" w:space="0" w:color="auto"/>
        <w:left w:val="none" w:sz="0" w:space="0" w:color="auto"/>
        <w:bottom w:val="none" w:sz="0" w:space="0" w:color="auto"/>
        <w:right w:val="none" w:sz="0" w:space="0" w:color="auto"/>
      </w:divBdr>
    </w:div>
    <w:div w:id="364017316">
      <w:bodyDiv w:val="1"/>
      <w:marLeft w:val="0"/>
      <w:marRight w:val="0"/>
      <w:marTop w:val="0"/>
      <w:marBottom w:val="0"/>
      <w:divBdr>
        <w:top w:val="none" w:sz="0" w:space="0" w:color="auto"/>
        <w:left w:val="none" w:sz="0" w:space="0" w:color="auto"/>
        <w:bottom w:val="none" w:sz="0" w:space="0" w:color="auto"/>
        <w:right w:val="none" w:sz="0" w:space="0" w:color="auto"/>
      </w:divBdr>
    </w:div>
    <w:div w:id="364870874">
      <w:bodyDiv w:val="1"/>
      <w:marLeft w:val="0"/>
      <w:marRight w:val="0"/>
      <w:marTop w:val="0"/>
      <w:marBottom w:val="0"/>
      <w:divBdr>
        <w:top w:val="none" w:sz="0" w:space="0" w:color="auto"/>
        <w:left w:val="none" w:sz="0" w:space="0" w:color="auto"/>
        <w:bottom w:val="none" w:sz="0" w:space="0" w:color="auto"/>
        <w:right w:val="none" w:sz="0" w:space="0" w:color="auto"/>
      </w:divBdr>
    </w:div>
    <w:div w:id="365133798">
      <w:bodyDiv w:val="1"/>
      <w:marLeft w:val="0"/>
      <w:marRight w:val="0"/>
      <w:marTop w:val="0"/>
      <w:marBottom w:val="0"/>
      <w:divBdr>
        <w:top w:val="none" w:sz="0" w:space="0" w:color="auto"/>
        <w:left w:val="none" w:sz="0" w:space="0" w:color="auto"/>
        <w:bottom w:val="none" w:sz="0" w:space="0" w:color="auto"/>
        <w:right w:val="none" w:sz="0" w:space="0" w:color="auto"/>
      </w:divBdr>
    </w:div>
    <w:div w:id="365177885">
      <w:bodyDiv w:val="1"/>
      <w:marLeft w:val="0"/>
      <w:marRight w:val="0"/>
      <w:marTop w:val="0"/>
      <w:marBottom w:val="0"/>
      <w:divBdr>
        <w:top w:val="none" w:sz="0" w:space="0" w:color="auto"/>
        <w:left w:val="none" w:sz="0" w:space="0" w:color="auto"/>
        <w:bottom w:val="none" w:sz="0" w:space="0" w:color="auto"/>
        <w:right w:val="none" w:sz="0" w:space="0" w:color="auto"/>
      </w:divBdr>
    </w:div>
    <w:div w:id="365910471">
      <w:bodyDiv w:val="1"/>
      <w:marLeft w:val="0"/>
      <w:marRight w:val="0"/>
      <w:marTop w:val="0"/>
      <w:marBottom w:val="0"/>
      <w:divBdr>
        <w:top w:val="none" w:sz="0" w:space="0" w:color="auto"/>
        <w:left w:val="none" w:sz="0" w:space="0" w:color="auto"/>
        <w:bottom w:val="none" w:sz="0" w:space="0" w:color="auto"/>
        <w:right w:val="none" w:sz="0" w:space="0" w:color="auto"/>
      </w:divBdr>
    </w:div>
    <w:div w:id="366026913">
      <w:bodyDiv w:val="1"/>
      <w:marLeft w:val="0"/>
      <w:marRight w:val="0"/>
      <w:marTop w:val="0"/>
      <w:marBottom w:val="0"/>
      <w:divBdr>
        <w:top w:val="none" w:sz="0" w:space="0" w:color="auto"/>
        <w:left w:val="none" w:sz="0" w:space="0" w:color="auto"/>
        <w:bottom w:val="none" w:sz="0" w:space="0" w:color="auto"/>
        <w:right w:val="none" w:sz="0" w:space="0" w:color="auto"/>
      </w:divBdr>
    </w:div>
    <w:div w:id="366612924">
      <w:bodyDiv w:val="1"/>
      <w:marLeft w:val="0"/>
      <w:marRight w:val="0"/>
      <w:marTop w:val="0"/>
      <w:marBottom w:val="0"/>
      <w:divBdr>
        <w:top w:val="none" w:sz="0" w:space="0" w:color="auto"/>
        <w:left w:val="none" w:sz="0" w:space="0" w:color="auto"/>
        <w:bottom w:val="none" w:sz="0" w:space="0" w:color="auto"/>
        <w:right w:val="none" w:sz="0" w:space="0" w:color="auto"/>
      </w:divBdr>
    </w:div>
    <w:div w:id="366832243">
      <w:bodyDiv w:val="1"/>
      <w:marLeft w:val="0"/>
      <w:marRight w:val="0"/>
      <w:marTop w:val="0"/>
      <w:marBottom w:val="0"/>
      <w:divBdr>
        <w:top w:val="none" w:sz="0" w:space="0" w:color="auto"/>
        <w:left w:val="none" w:sz="0" w:space="0" w:color="auto"/>
        <w:bottom w:val="none" w:sz="0" w:space="0" w:color="auto"/>
        <w:right w:val="none" w:sz="0" w:space="0" w:color="auto"/>
      </w:divBdr>
    </w:div>
    <w:div w:id="367032054">
      <w:bodyDiv w:val="1"/>
      <w:marLeft w:val="0"/>
      <w:marRight w:val="0"/>
      <w:marTop w:val="0"/>
      <w:marBottom w:val="0"/>
      <w:divBdr>
        <w:top w:val="none" w:sz="0" w:space="0" w:color="auto"/>
        <w:left w:val="none" w:sz="0" w:space="0" w:color="auto"/>
        <w:bottom w:val="none" w:sz="0" w:space="0" w:color="auto"/>
        <w:right w:val="none" w:sz="0" w:space="0" w:color="auto"/>
      </w:divBdr>
    </w:div>
    <w:div w:id="367343033">
      <w:bodyDiv w:val="1"/>
      <w:marLeft w:val="0"/>
      <w:marRight w:val="0"/>
      <w:marTop w:val="0"/>
      <w:marBottom w:val="0"/>
      <w:divBdr>
        <w:top w:val="none" w:sz="0" w:space="0" w:color="auto"/>
        <w:left w:val="none" w:sz="0" w:space="0" w:color="auto"/>
        <w:bottom w:val="none" w:sz="0" w:space="0" w:color="auto"/>
        <w:right w:val="none" w:sz="0" w:space="0" w:color="auto"/>
      </w:divBdr>
    </w:div>
    <w:div w:id="367533264">
      <w:bodyDiv w:val="1"/>
      <w:marLeft w:val="0"/>
      <w:marRight w:val="0"/>
      <w:marTop w:val="0"/>
      <w:marBottom w:val="0"/>
      <w:divBdr>
        <w:top w:val="none" w:sz="0" w:space="0" w:color="auto"/>
        <w:left w:val="none" w:sz="0" w:space="0" w:color="auto"/>
        <w:bottom w:val="none" w:sz="0" w:space="0" w:color="auto"/>
        <w:right w:val="none" w:sz="0" w:space="0" w:color="auto"/>
      </w:divBdr>
    </w:div>
    <w:div w:id="367680493">
      <w:bodyDiv w:val="1"/>
      <w:marLeft w:val="0"/>
      <w:marRight w:val="0"/>
      <w:marTop w:val="0"/>
      <w:marBottom w:val="0"/>
      <w:divBdr>
        <w:top w:val="none" w:sz="0" w:space="0" w:color="auto"/>
        <w:left w:val="none" w:sz="0" w:space="0" w:color="auto"/>
        <w:bottom w:val="none" w:sz="0" w:space="0" w:color="auto"/>
        <w:right w:val="none" w:sz="0" w:space="0" w:color="auto"/>
      </w:divBdr>
    </w:div>
    <w:div w:id="367989983">
      <w:bodyDiv w:val="1"/>
      <w:marLeft w:val="0"/>
      <w:marRight w:val="0"/>
      <w:marTop w:val="0"/>
      <w:marBottom w:val="0"/>
      <w:divBdr>
        <w:top w:val="none" w:sz="0" w:space="0" w:color="auto"/>
        <w:left w:val="none" w:sz="0" w:space="0" w:color="auto"/>
        <w:bottom w:val="none" w:sz="0" w:space="0" w:color="auto"/>
        <w:right w:val="none" w:sz="0" w:space="0" w:color="auto"/>
      </w:divBdr>
    </w:div>
    <w:div w:id="368146184">
      <w:bodyDiv w:val="1"/>
      <w:marLeft w:val="0"/>
      <w:marRight w:val="0"/>
      <w:marTop w:val="0"/>
      <w:marBottom w:val="0"/>
      <w:divBdr>
        <w:top w:val="none" w:sz="0" w:space="0" w:color="auto"/>
        <w:left w:val="none" w:sz="0" w:space="0" w:color="auto"/>
        <w:bottom w:val="none" w:sz="0" w:space="0" w:color="auto"/>
        <w:right w:val="none" w:sz="0" w:space="0" w:color="auto"/>
      </w:divBdr>
    </w:div>
    <w:div w:id="368453145">
      <w:bodyDiv w:val="1"/>
      <w:marLeft w:val="0"/>
      <w:marRight w:val="0"/>
      <w:marTop w:val="0"/>
      <w:marBottom w:val="0"/>
      <w:divBdr>
        <w:top w:val="none" w:sz="0" w:space="0" w:color="auto"/>
        <w:left w:val="none" w:sz="0" w:space="0" w:color="auto"/>
        <w:bottom w:val="none" w:sz="0" w:space="0" w:color="auto"/>
        <w:right w:val="none" w:sz="0" w:space="0" w:color="auto"/>
      </w:divBdr>
    </w:div>
    <w:div w:id="368651122">
      <w:bodyDiv w:val="1"/>
      <w:marLeft w:val="0"/>
      <w:marRight w:val="0"/>
      <w:marTop w:val="0"/>
      <w:marBottom w:val="0"/>
      <w:divBdr>
        <w:top w:val="none" w:sz="0" w:space="0" w:color="auto"/>
        <w:left w:val="none" w:sz="0" w:space="0" w:color="auto"/>
        <w:bottom w:val="none" w:sz="0" w:space="0" w:color="auto"/>
        <w:right w:val="none" w:sz="0" w:space="0" w:color="auto"/>
      </w:divBdr>
    </w:div>
    <w:div w:id="369886002">
      <w:bodyDiv w:val="1"/>
      <w:marLeft w:val="0"/>
      <w:marRight w:val="0"/>
      <w:marTop w:val="0"/>
      <w:marBottom w:val="0"/>
      <w:divBdr>
        <w:top w:val="none" w:sz="0" w:space="0" w:color="auto"/>
        <w:left w:val="none" w:sz="0" w:space="0" w:color="auto"/>
        <w:bottom w:val="none" w:sz="0" w:space="0" w:color="auto"/>
        <w:right w:val="none" w:sz="0" w:space="0" w:color="auto"/>
      </w:divBdr>
    </w:div>
    <w:div w:id="370227717">
      <w:bodyDiv w:val="1"/>
      <w:marLeft w:val="0"/>
      <w:marRight w:val="0"/>
      <w:marTop w:val="0"/>
      <w:marBottom w:val="0"/>
      <w:divBdr>
        <w:top w:val="none" w:sz="0" w:space="0" w:color="auto"/>
        <w:left w:val="none" w:sz="0" w:space="0" w:color="auto"/>
        <w:bottom w:val="none" w:sz="0" w:space="0" w:color="auto"/>
        <w:right w:val="none" w:sz="0" w:space="0" w:color="auto"/>
      </w:divBdr>
    </w:div>
    <w:div w:id="370960276">
      <w:bodyDiv w:val="1"/>
      <w:marLeft w:val="0"/>
      <w:marRight w:val="0"/>
      <w:marTop w:val="0"/>
      <w:marBottom w:val="0"/>
      <w:divBdr>
        <w:top w:val="none" w:sz="0" w:space="0" w:color="auto"/>
        <w:left w:val="none" w:sz="0" w:space="0" w:color="auto"/>
        <w:bottom w:val="none" w:sz="0" w:space="0" w:color="auto"/>
        <w:right w:val="none" w:sz="0" w:space="0" w:color="auto"/>
      </w:divBdr>
    </w:div>
    <w:div w:id="371350831">
      <w:bodyDiv w:val="1"/>
      <w:marLeft w:val="0"/>
      <w:marRight w:val="0"/>
      <w:marTop w:val="0"/>
      <w:marBottom w:val="0"/>
      <w:divBdr>
        <w:top w:val="none" w:sz="0" w:space="0" w:color="auto"/>
        <w:left w:val="none" w:sz="0" w:space="0" w:color="auto"/>
        <w:bottom w:val="none" w:sz="0" w:space="0" w:color="auto"/>
        <w:right w:val="none" w:sz="0" w:space="0" w:color="auto"/>
      </w:divBdr>
    </w:div>
    <w:div w:id="371662153">
      <w:bodyDiv w:val="1"/>
      <w:marLeft w:val="0"/>
      <w:marRight w:val="0"/>
      <w:marTop w:val="0"/>
      <w:marBottom w:val="0"/>
      <w:divBdr>
        <w:top w:val="none" w:sz="0" w:space="0" w:color="auto"/>
        <w:left w:val="none" w:sz="0" w:space="0" w:color="auto"/>
        <w:bottom w:val="none" w:sz="0" w:space="0" w:color="auto"/>
        <w:right w:val="none" w:sz="0" w:space="0" w:color="auto"/>
      </w:divBdr>
    </w:div>
    <w:div w:id="372270062">
      <w:bodyDiv w:val="1"/>
      <w:marLeft w:val="0"/>
      <w:marRight w:val="0"/>
      <w:marTop w:val="0"/>
      <w:marBottom w:val="0"/>
      <w:divBdr>
        <w:top w:val="none" w:sz="0" w:space="0" w:color="auto"/>
        <w:left w:val="none" w:sz="0" w:space="0" w:color="auto"/>
        <w:bottom w:val="none" w:sz="0" w:space="0" w:color="auto"/>
        <w:right w:val="none" w:sz="0" w:space="0" w:color="auto"/>
      </w:divBdr>
    </w:div>
    <w:div w:id="372383289">
      <w:bodyDiv w:val="1"/>
      <w:marLeft w:val="0"/>
      <w:marRight w:val="0"/>
      <w:marTop w:val="0"/>
      <w:marBottom w:val="0"/>
      <w:divBdr>
        <w:top w:val="none" w:sz="0" w:space="0" w:color="auto"/>
        <w:left w:val="none" w:sz="0" w:space="0" w:color="auto"/>
        <w:bottom w:val="none" w:sz="0" w:space="0" w:color="auto"/>
        <w:right w:val="none" w:sz="0" w:space="0" w:color="auto"/>
      </w:divBdr>
    </w:div>
    <w:div w:id="372509367">
      <w:bodyDiv w:val="1"/>
      <w:marLeft w:val="0"/>
      <w:marRight w:val="0"/>
      <w:marTop w:val="0"/>
      <w:marBottom w:val="0"/>
      <w:divBdr>
        <w:top w:val="none" w:sz="0" w:space="0" w:color="auto"/>
        <w:left w:val="none" w:sz="0" w:space="0" w:color="auto"/>
        <w:bottom w:val="none" w:sz="0" w:space="0" w:color="auto"/>
        <w:right w:val="none" w:sz="0" w:space="0" w:color="auto"/>
      </w:divBdr>
    </w:div>
    <w:div w:id="373238652">
      <w:bodyDiv w:val="1"/>
      <w:marLeft w:val="0"/>
      <w:marRight w:val="0"/>
      <w:marTop w:val="0"/>
      <w:marBottom w:val="0"/>
      <w:divBdr>
        <w:top w:val="none" w:sz="0" w:space="0" w:color="auto"/>
        <w:left w:val="none" w:sz="0" w:space="0" w:color="auto"/>
        <w:bottom w:val="none" w:sz="0" w:space="0" w:color="auto"/>
        <w:right w:val="none" w:sz="0" w:space="0" w:color="auto"/>
      </w:divBdr>
    </w:div>
    <w:div w:id="373389091">
      <w:bodyDiv w:val="1"/>
      <w:marLeft w:val="0"/>
      <w:marRight w:val="0"/>
      <w:marTop w:val="0"/>
      <w:marBottom w:val="0"/>
      <w:divBdr>
        <w:top w:val="none" w:sz="0" w:space="0" w:color="auto"/>
        <w:left w:val="none" w:sz="0" w:space="0" w:color="auto"/>
        <w:bottom w:val="none" w:sz="0" w:space="0" w:color="auto"/>
        <w:right w:val="none" w:sz="0" w:space="0" w:color="auto"/>
      </w:divBdr>
    </w:div>
    <w:div w:id="373503610">
      <w:bodyDiv w:val="1"/>
      <w:marLeft w:val="0"/>
      <w:marRight w:val="0"/>
      <w:marTop w:val="0"/>
      <w:marBottom w:val="0"/>
      <w:divBdr>
        <w:top w:val="none" w:sz="0" w:space="0" w:color="auto"/>
        <w:left w:val="none" w:sz="0" w:space="0" w:color="auto"/>
        <w:bottom w:val="none" w:sz="0" w:space="0" w:color="auto"/>
        <w:right w:val="none" w:sz="0" w:space="0" w:color="auto"/>
      </w:divBdr>
    </w:div>
    <w:div w:id="373578574">
      <w:bodyDiv w:val="1"/>
      <w:marLeft w:val="0"/>
      <w:marRight w:val="0"/>
      <w:marTop w:val="0"/>
      <w:marBottom w:val="0"/>
      <w:divBdr>
        <w:top w:val="none" w:sz="0" w:space="0" w:color="auto"/>
        <w:left w:val="none" w:sz="0" w:space="0" w:color="auto"/>
        <w:bottom w:val="none" w:sz="0" w:space="0" w:color="auto"/>
        <w:right w:val="none" w:sz="0" w:space="0" w:color="auto"/>
      </w:divBdr>
    </w:div>
    <w:div w:id="373623682">
      <w:bodyDiv w:val="1"/>
      <w:marLeft w:val="0"/>
      <w:marRight w:val="0"/>
      <w:marTop w:val="0"/>
      <w:marBottom w:val="0"/>
      <w:divBdr>
        <w:top w:val="none" w:sz="0" w:space="0" w:color="auto"/>
        <w:left w:val="none" w:sz="0" w:space="0" w:color="auto"/>
        <w:bottom w:val="none" w:sz="0" w:space="0" w:color="auto"/>
        <w:right w:val="none" w:sz="0" w:space="0" w:color="auto"/>
      </w:divBdr>
    </w:div>
    <w:div w:id="373624178">
      <w:bodyDiv w:val="1"/>
      <w:marLeft w:val="0"/>
      <w:marRight w:val="0"/>
      <w:marTop w:val="0"/>
      <w:marBottom w:val="0"/>
      <w:divBdr>
        <w:top w:val="none" w:sz="0" w:space="0" w:color="auto"/>
        <w:left w:val="none" w:sz="0" w:space="0" w:color="auto"/>
        <w:bottom w:val="none" w:sz="0" w:space="0" w:color="auto"/>
        <w:right w:val="none" w:sz="0" w:space="0" w:color="auto"/>
      </w:divBdr>
    </w:div>
    <w:div w:id="373819749">
      <w:bodyDiv w:val="1"/>
      <w:marLeft w:val="0"/>
      <w:marRight w:val="0"/>
      <w:marTop w:val="0"/>
      <w:marBottom w:val="0"/>
      <w:divBdr>
        <w:top w:val="none" w:sz="0" w:space="0" w:color="auto"/>
        <w:left w:val="none" w:sz="0" w:space="0" w:color="auto"/>
        <w:bottom w:val="none" w:sz="0" w:space="0" w:color="auto"/>
        <w:right w:val="none" w:sz="0" w:space="0" w:color="auto"/>
      </w:divBdr>
    </w:div>
    <w:div w:id="373849825">
      <w:bodyDiv w:val="1"/>
      <w:marLeft w:val="0"/>
      <w:marRight w:val="0"/>
      <w:marTop w:val="0"/>
      <w:marBottom w:val="0"/>
      <w:divBdr>
        <w:top w:val="none" w:sz="0" w:space="0" w:color="auto"/>
        <w:left w:val="none" w:sz="0" w:space="0" w:color="auto"/>
        <w:bottom w:val="none" w:sz="0" w:space="0" w:color="auto"/>
        <w:right w:val="none" w:sz="0" w:space="0" w:color="auto"/>
      </w:divBdr>
    </w:div>
    <w:div w:id="374013981">
      <w:bodyDiv w:val="1"/>
      <w:marLeft w:val="0"/>
      <w:marRight w:val="0"/>
      <w:marTop w:val="0"/>
      <w:marBottom w:val="0"/>
      <w:divBdr>
        <w:top w:val="none" w:sz="0" w:space="0" w:color="auto"/>
        <w:left w:val="none" w:sz="0" w:space="0" w:color="auto"/>
        <w:bottom w:val="none" w:sz="0" w:space="0" w:color="auto"/>
        <w:right w:val="none" w:sz="0" w:space="0" w:color="auto"/>
      </w:divBdr>
    </w:div>
    <w:div w:id="375590930">
      <w:bodyDiv w:val="1"/>
      <w:marLeft w:val="0"/>
      <w:marRight w:val="0"/>
      <w:marTop w:val="0"/>
      <w:marBottom w:val="0"/>
      <w:divBdr>
        <w:top w:val="none" w:sz="0" w:space="0" w:color="auto"/>
        <w:left w:val="none" w:sz="0" w:space="0" w:color="auto"/>
        <w:bottom w:val="none" w:sz="0" w:space="0" w:color="auto"/>
        <w:right w:val="none" w:sz="0" w:space="0" w:color="auto"/>
      </w:divBdr>
    </w:div>
    <w:div w:id="377167431">
      <w:bodyDiv w:val="1"/>
      <w:marLeft w:val="0"/>
      <w:marRight w:val="0"/>
      <w:marTop w:val="0"/>
      <w:marBottom w:val="0"/>
      <w:divBdr>
        <w:top w:val="none" w:sz="0" w:space="0" w:color="auto"/>
        <w:left w:val="none" w:sz="0" w:space="0" w:color="auto"/>
        <w:bottom w:val="none" w:sz="0" w:space="0" w:color="auto"/>
        <w:right w:val="none" w:sz="0" w:space="0" w:color="auto"/>
      </w:divBdr>
    </w:div>
    <w:div w:id="377555703">
      <w:bodyDiv w:val="1"/>
      <w:marLeft w:val="0"/>
      <w:marRight w:val="0"/>
      <w:marTop w:val="0"/>
      <w:marBottom w:val="0"/>
      <w:divBdr>
        <w:top w:val="none" w:sz="0" w:space="0" w:color="auto"/>
        <w:left w:val="none" w:sz="0" w:space="0" w:color="auto"/>
        <w:bottom w:val="none" w:sz="0" w:space="0" w:color="auto"/>
        <w:right w:val="none" w:sz="0" w:space="0" w:color="auto"/>
      </w:divBdr>
    </w:div>
    <w:div w:id="377751258">
      <w:bodyDiv w:val="1"/>
      <w:marLeft w:val="0"/>
      <w:marRight w:val="0"/>
      <w:marTop w:val="0"/>
      <w:marBottom w:val="0"/>
      <w:divBdr>
        <w:top w:val="none" w:sz="0" w:space="0" w:color="auto"/>
        <w:left w:val="none" w:sz="0" w:space="0" w:color="auto"/>
        <w:bottom w:val="none" w:sz="0" w:space="0" w:color="auto"/>
        <w:right w:val="none" w:sz="0" w:space="0" w:color="auto"/>
      </w:divBdr>
    </w:div>
    <w:div w:id="378549598">
      <w:bodyDiv w:val="1"/>
      <w:marLeft w:val="0"/>
      <w:marRight w:val="0"/>
      <w:marTop w:val="0"/>
      <w:marBottom w:val="0"/>
      <w:divBdr>
        <w:top w:val="none" w:sz="0" w:space="0" w:color="auto"/>
        <w:left w:val="none" w:sz="0" w:space="0" w:color="auto"/>
        <w:bottom w:val="none" w:sz="0" w:space="0" w:color="auto"/>
        <w:right w:val="none" w:sz="0" w:space="0" w:color="auto"/>
      </w:divBdr>
    </w:div>
    <w:div w:id="378558748">
      <w:bodyDiv w:val="1"/>
      <w:marLeft w:val="0"/>
      <w:marRight w:val="0"/>
      <w:marTop w:val="0"/>
      <w:marBottom w:val="0"/>
      <w:divBdr>
        <w:top w:val="none" w:sz="0" w:space="0" w:color="auto"/>
        <w:left w:val="none" w:sz="0" w:space="0" w:color="auto"/>
        <w:bottom w:val="none" w:sz="0" w:space="0" w:color="auto"/>
        <w:right w:val="none" w:sz="0" w:space="0" w:color="auto"/>
      </w:divBdr>
    </w:div>
    <w:div w:id="380446394">
      <w:bodyDiv w:val="1"/>
      <w:marLeft w:val="0"/>
      <w:marRight w:val="0"/>
      <w:marTop w:val="0"/>
      <w:marBottom w:val="0"/>
      <w:divBdr>
        <w:top w:val="none" w:sz="0" w:space="0" w:color="auto"/>
        <w:left w:val="none" w:sz="0" w:space="0" w:color="auto"/>
        <w:bottom w:val="none" w:sz="0" w:space="0" w:color="auto"/>
        <w:right w:val="none" w:sz="0" w:space="0" w:color="auto"/>
      </w:divBdr>
    </w:div>
    <w:div w:id="380716199">
      <w:bodyDiv w:val="1"/>
      <w:marLeft w:val="0"/>
      <w:marRight w:val="0"/>
      <w:marTop w:val="0"/>
      <w:marBottom w:val="0"/>
      <w:divBdr>
        <w:top w:val="none" w:sz="0" w:space="0" w:color="auto"/>
        <w:left w:val="none" w:sz="0" w:space="0" w:color="auto"/>
        <w:bottom w:val="none" w:sz="0" w:space="0" w:color="auto"/>
        <w:right w:val="none" w:sz="0" w:space="0" w:color="auto"/>
      </w:divBdr>
    </w:div>
    <w:div w:id="380786422">
      <w:bodyDiv w:val="1"/>
      <w:marLeft w:val="0"/>
      <w:marRight w:val="0"/>
      <w:marTop w:val="0"/>
      <w:marBottom w:val="0"/>
      <w:divBdr>
        <w:top w:val="none" w:sz="0" w:space="0" w:color="auto"/>
        <w:left w:val="none" w:sz="0" w:space="0" w:color="auto"/>
        <w:bottom w:val="none" w:sz="0" w:space="0" w:color="auto"/>
        <w:right w:val="none" w:sz="0" w:space="0" w:color="auto"/>
      </w:divBdr>
    </w:div>
    <w:div w:id="381291236">
      <w:bodyDiv w:val="1"/>
      <w:marLeft w:val="0"/>
      <w:marRight w:val="0"/>
      <w:marTop w:val="0"/>
      <w:marBottom w:val="0"/>
      <w:divBdr>
        <w:top w:val="none" w:sz="0" w:space="0" w:color="auto"/>
        <w:left w:val="none" w:sz="0" w:space="0" w:color="auto"/>
        <w:bottom w:val="none" w:sz="0" w:space="0" w:color="auto"/>
        <w:right w:val="none" w:sz="0" w:space="0" w:color="auto"/>
      </w:divBdr>
    </w:div>
    <w:div w:id="382603087">
      <w:bodyDiv w:val="1"/>
      <w:marLeft w:val="0"/>
      <w:marRight w:val="0"/>
      <w:marTop w:val="0"/>
      <w:marBottom w:val="0"/>
      <w:divBdr>
        <w:top w:val="none" w:sz="0" w:space="0" w:color="auto"/>
        <w:left w:val="none" w:sz="0" w:space="0" w:color="auto"/>
        <w:bottom w:val="none" w:sz="0" w:space="0" w:color="auto"/>
        <w:right w:val="none" w:sz="0" w:space="0" w:color="auto"/>
      </w:divBdr>
    </w:div>
    <w:div w:id="383139533">
      <w:bodyDiv w:val="1"/>
      <w:marLeft w:val="0"/>
      <w:marRight w:val="0"/>
      <w:marTop w:val="0"/>
      <w:marBottom w:val="0"/>
      <w:divBdr>
        <w:top w:val="none" w:sz="0" w:space="0" w:color="auto"/>
        <w:left w:val="none" w:sz="0" w:space="0" w:color="auto"/>
        <w:bottom w:val="none" w:sz="0" w:space="0" w:color="auto"/>
        <w:right w:val="none" w:sz="0" w:space="0" w:color="auto"/>
      </w:divBdr>
    </w:div>
    <w:div w:id="383529906">
      <w:bodyDiv w:val="1"/>
      <w:marLeft w:val="0"/>
      <w:marRight w:val="0"/>
      <w:marTop w:val="0"/>
      <w:marBottom w:val="0"/>
      <w:divBdr>
        <w:top w:val="none" w:sz="0" w:space="0" w:color="auto"/>
        <w:left w:val="none" w:sz="0" w:space="0" w:color="auto"/>
        <w:bottom w:val="none" w:sz="0" w:space="0" w:color="auto"/>
        <w:right w:val="none" w:sz="0" w:space="0" w:color="auto"/>
      </w:divBdr>
    </w:div>
    <w:div w:id="383601901">
      <w:bodyDiv w:val="1"/>
      <w:marLeft w:val="0"/>
      <w:marRight w:val="0"/>
      <w:marTop w:val="0"/>
      <w:marBottom w:val="0"/>
      <w:divBdr>
        <w:top w:val="none" w:sz="0" w:space="0" w:color="auto"/>
        <w:left w:val="none" w:sz="0" w:space="0" w:color="auto"/>
        <w:bottom w:val="none" w:sz="0" w:space="0" w:color="auto"/>
        <w:right w:val="none" w:sz="0" w:space="0" w:color="auto"/>
      </w:divBdr>
    </w:div>
    <w:div w:id="383915862">
      <w:bodyDiv w:val="1"/>
      <w:marLeft w:val="0"/>
      <w:marRight w:val="0"/>
      <w:marTop w:val="0"/>
      <w:marBottom w:val="0"/>
      <w:divBdr>
        <w:top w:val="none" w:sz="0" w:space="0" w:color="auto"/>
        <w:left w:val="none" w:sz="0" w:space="0" w:color="auto"/>
        <w:bottom w:val="none" w:sz="0" w:space="0" w:color="auto"/>
        <w:right w:val="none" w:sz="0" w:space="0" w:color="auto"/>
      </w:divBdr>
    </w:div>
    <w:div w:id="384574262">
      <w:bodyDiv w:val="1"/>
      <w:marLeft w:val="0"/>
      <w:marRight w:val="0"/>
      <w:marTop w:val="0"/>
      <w:marBottom w:val="0"/>
      <w:divBdr>
        <w:top w:val="none" w:sz="0" w:space="0" w:color="auto"/>
        <w:left w:val="none" w:sz="0" w:space="0" w:color="auto"/>
        <w:bottom w:val="none" w:sz="0" w:space="0" w:color="auto"/>
        <w:right w:val="none" w:sz="0" w:space="0" w:color="auto"/>
      </w:divBdr>
    </w:div>
    <w:div w:id="384763007">
      <w:bodyDiv w:val="1"/>
      <w:marLeft w:val="0"/>
      <w:marRight w:val="0"/>
      <w:marTop w:val="0"/>
      <w:marBottom w:val="0"/>
      <w:divBdr>
        <w:top w:val="none" w:sz="0" w:space="0" w:color="auto"/>
        <w:left w:val="none" w:sz="0" w:space="0" w:color="auto"/>
        <w:bottom w:val="none" w:sz="0" w:space="0" w:color="auto"/>
        <w:right w:val="none" w:sz="0" w:space="0" w:color="auto"/>
      </w:divBdr>
    </w:div>
    <w:div w:id="385565455">
      <w:bodyDiv w:val="1"/>
      <w:marLeft w:val="0"/>
      <w:marRight w:val="0"/>
      <w:marTop w:val="0"/>
      <w:marBottom w:val="0"/>
      <w:divBdr>
        <w:top w:val="none" w:sz="0" w:space="0" w:color="auto"/>
        <w:left w:val="none" w:sz="0" w:space="0" w:color="auto"/>
        <w:bottom w:val="none" w:sz="0" w:space="0" w:color="auto"/>
        <w:right w:val="none" w:sz="0" w:space="0" w:color="auto"/>
      </w:divBdr>
    </w:div>
    <w:div w:id="385763594">
      <w:bodyDiv w:val="1"/>
      <w:marLeft w:val="0"/>
      <w:marRight w:val="0"/>
      <w:marTop w:val="0"/>
      <w:marBottom w:val="0"/>
      <w:divBdr>
        <w:top w:val="none" w:sz="0" w:space="0" w:color="auto"/>
        <w:left w:val="none" w:sz="0" w:space="0" w:color="auto"/>
        <w:bottom w:val="none" w:sz="0" w:space="0" w:color="auto"/>
        <w:right w:val="none" w:sz="0" w:space="0" w:color="auto"/>
      </w:divBdr>
    </w:div>
    <w:div w:id="386104081">
      <w:bodyDiv w:val="1"/>
      <w:marLeft w:val="0"/>
      <w:marRight w:val="0"/>
      <w:marTop w:val="0"/>
      <w:marBottom w:val="0"/>
      <w:divBdr>
        <w:top w:val="none" w:sz="0" w:space="0" w:color="auto"/>
        <w:left w:val="none" w:sz="0" w:space="0" w:color="auto"/>
        <w:bottom w:val="none" w:sz="0" w:space="0" w:color="auto"/>
        <w:right w:val="none" w:sz="0" w:space="0" w:color="auto"/>
      </w:divBdr>
    </w:div>
    <w:div w:id="386223259">
      <w:bodyDiv w:val="1"/>
      <w:marLeft w:val="0"/>
      <w:marRight w:val="0"/>
      <w:marTop w:val="0"/>
      <w:marBottom w:val="0"/>
      <w:divBdr>
        <w:top w:val="none" w:sz="0" w:space="0" w:color="auto"/>
        <w:left w:val="none" w:sz="0" w:space="0" w:color="auto"/>
        <w:bottom w:val="none" w:sz="0" w:space="0" w:color="auto"/>
        <w:right w:val="none" w:sz="0" w:space="0" w:color="auto"/>
      </w:divBdr>
    </w:div>
    <w:div w:id="386343156">
      <w:bodyDiv w:val="1"/>
      <w:marLeft w:val="0"/>
      <w:marRight w:val="0"/>
      <w:marTop w:val="0"/>
      <w:marBottom w:val="0"/>
      <w:divBdr>
        <w:top w:val="none" w:sz="0" w:space="0" w:color="auto"/>
        <w:left w:val="none" w:sz="0" w:space="0" w:color="auto"/>
        <w:bottom w:val="none" w:sz="0" w:space="0" w:color="auto"/>
        <w:right w:val="none" w:sz="0" w:space="0" w:color="auto"/>
      </w:divBdr>
    </w:div>
    <w:div w:id="386414139">
      <w:bodyDiv w:val="1"/>
      <w:marLeft w:val="0"/>
      <w:marRight w:val="0"/>
      <w:marTop w:val="0"/>
      <w:marBottom w:val="0"/>
      <w:divBdr>
        <w:top w:val="none" w:sz="0" w:space="0" w:color="auto"/>
        <w:left w:val="none" w:sz="0" w:space="0" w:color="auto"/>
        <w:bottom w:val="none" w:sz="0" w:space="0" w:color="auto"/>
        <w:right w:val="none" w:sz="0" w:space="0" w:color="auto"/>
      </w:divBdr>
    </w:div>
    <w:div w:id="386608471">
      <w:bodyDiv w:val="1"/>
      <w:marLeft w:val="0"/>
      <w:marRight w:val="0"/>
      <w:marTop w:val="0"/>
      <w:marBottom w:val="0"/>
      <w:divBdr>
        <w:top w:val="none" w:sz="0" w:space="0" w:color="auto"/>
        <w:left w:val="none" w:sz="0" w:space="0" w:color="auto"/>
        <w:bottom w:val="none" w:sz="0" w:space="0" w:color="auto"/>
        <w:right w:val="none" w:sz="0" w:space="0" w:color="auto"/>
      </w:divBdr>
    </w:div>
    <w:div w:id="386876747">
      <w:bodyDiv w:val="1"/>
      <w:marLeft w:val="0"/>
      <w:marRight w:val="0"/>
      <w:marTop w:val="0"/>
      <w:marBottom w:val="0"/>
      <w:divBdr>
        <w:top w:val="none" w:sz="0" w:space="0" w:color="auto"/>
        <w:left w:val="none" w:sz="0" w:space="0" w:color="auto"/>
        <w:bottom w:val="none" w:sz="0" w:space="0" w:color="auto"/>
        <w:right w:val="none" w:sz="0" w:space="0" w:color="auto"/>
      </w:divBdr>
    </w:div>
    <w:div w:id="386883304">
      <w:bodyDiv w:val="1"/>
      <w:marLeft w:val="0"/>
      <w:marRight w:val="0"/>
      <w:marTop w:val="0"/>
      <w:marBottom w:val="0"/>
      <w:divBdr>
        <w:top w:val="none" w:sz="0" w:space="0" w:color="auto"/>
        <w:left w:val="none" w:sz="0" w:space="0" w:color="auto"/>
        <w:bottom w:val="none" w:sz="0" w:space="0" w:color="auto"/>
        <w:right w:val="none" w:sz="0" w:space="0" w:color="auto"/>
      </w:divBdr>
    </w:div>
    <w:div w:id="386955781">
      <w:bodyDiv w:val="1"/>
      <w:marLeft w:val="0"/>
      <w:marRight w:val="0"/>
      <w:marTop w:val="0"/>
      <w:marBottom w:val="0"/>
      <w:divBdr>
        <w:top w:val="none" w:sz="0" w:space="0" w:color="auto"/>
        <w:left w:val="none" w:sz="0" w:space="0" w:color="auto"/>
        <w:bottom w:val="none" w:sz="0" w:space="0" w:color="auto"/>
        <w:right w:val="none" w:sz="0" w:space="0" w:color="auto"/>
      </w:divBdr>
    </w:div>
    <w:div w:id="386992672">
      <w:bodyDiv w:val="1"/>
      <w:marLeft w:val="0"/>
      <w:marRight w:val="0"/>
      <w:marTop w:val="0"/>
      <w:marBottom w:val="0"/>
      <w:divBdr>
        <w:top w:val="none" w:sz="0" w:space="0" w:color="auto"/>
        <w:left w:val="none" w:sz="0" w:space="0" w:color="auto"/>
        <w:bottom w:val="none" w:sz="0" w:space="0" w:color="auto"/>
        <w:right w:val="none" w:sz="0" w:space="0" w:color="auto"/>
      </w:divBdr>
    </w:div>
    <w:div w:id="387269405">
      <w:bodyDiv w:val="1"/>
      <w:marLeft w:val="0"/>
      <w:marRight w:val="0"/>
      <w:marTop w:val="0"/>
      <w:marBottom w:val="0"/>
      <w:divBdr>
        <w:top w:val="none" w:sz="0" w:space="0" w:color="auto"/>
        <w:left w:val="none" w:sz="0" w:space="0" w:color="auto"/>
        <w:bottom w:val="none" w:sz="0" w:space="0" w:color="auto"/>
        <w:right w:val="none" w:sz="0" w:space="0" w:color="auto"/>
      </w:divBdr>
    </w:div>
    <w:div w:id="387724322">
      <w:bodyDiv w:val="1"/>
      <w:marLeft w:val="0"/>
      <w:marRight w:val="0"/>
      <w:marTop w:val="0"/>
      <w:marBottom w:val="0"/>
      <w:divBdr>
        <w:top w:val="none" w:sz="0" w:space="0" w:color="auto"/>
        <w:left w:val="none" w:sz="0" w:space="0" w:color="auto"/>
        <w:bottom w:val="none" w:sz="0" w:space="0" w:color="auto"/>
        <w:right w:val="none" w:sz="0" w:space="0" w:color="auto"/>
      </w:divBdr>
    </w:div>
    <w:div w:id="387730931">
      <w:bodyDiv w:val="1"/>
      <w:marLeft w:val="0"/>
      <w:marRight w:val="0"/>
      <w:marTop w:val="0"/>
      <w:marBottom w:val="0"/>
      <w:divBdr>
        <w:top w:val="none" w:sz="0" w:space="0" w:color="auto"/>
        <w:left w:val="none" w:sz="0" w:space="0" w:color="auto"/>
        <w:bottom w:val="none" w:sz="0" w:space="0" w:color="auto"/>
        <w:right w:val="none" w:sz="0" w:space="0" w:color="auto"/>
      </w:divBdr>
    </w:div>
    <w:div w:id="388112026">
      <w:bodyDiv w:val="1"/>
      <w:marLeft w:val="0"/>
      <w:marRight w:val="0"/>
      <w:marTop w:val="0"/>
      <w:marBottom w:val="0"/>
      <w:divBdr>
        <w:top w:val="none" w:sz="0" w:space="0" w:color="auto"/>
        <w:left w:val="none" w:sz="0" w:space="0" w:color="auto"/>
        <w:bottom w:val="none" w:sz="0" w:space="0" w:color="auto"/>
        <w:right w:val="none" w:sz="0" w:space="0" w:color="auto"/>
      </w:divBdr>
    </w:div>
    <w:div w:id="389154095">
      <w:bodyDiv w:val="1"/>
      <w:marLeft w:val="0"/>
      <w:marRight w:val="0"/>
      <w:marTop w:val="0"/>
      <w:marBottom w:val="0"/>
      <w:divBdr>
        <w:top w:val="none" w:sz="0" w:space="0" w:color="auto"/>
        <w:left w:val="none" w:sz="0" w:space="0" w:color="auto"/>
        <w:bottom w:val="none" w:sz="0" w:space="0" w:color="auto"/>
        <w:right w:val="none" w:sz="0" w:space="0" w:color="auto"/>
      </w:divBdr>
    </w:div>
    <w:div w:id="389310671">
      <w:bodyDiv w:val="1"/>
      <w:marLeft w:val="0"/>
      <w:marRight w:val="0"/>
      <w:marTop w:val="0"/>
      <w:marBottom w:val="0"/>
      <w:divBdr>
        <w:top w:val="none" w:sz="0" w:space="0" w:color="auto"/>
        <w:left w:val="none" w:sz="0" w:space="0" w:color="auto"/>
        <w:bottom w:val="none" w:sz="0" w:space="0" w:color="auto"/>
        <w:right w:val="none" w:sz="0" w:space="0" w:color="auto"/>
      </w:divBdr>
    </w:div>
    <w:div w:id="389964566">
      <w:bodyDiv w:val="1"/>
      <w:marLeft w:val="0"/>
      <w:marRight w:val="0"/>
      <w:marTop w:val="0"/>
      <w:marBottom w:val="0"/>
      <w:divBdr>
        <w:top w:val="none" w:sz="0" w:space="0" w:color="auto"/>
        <w:left w:val="none" w:sz="0" w:space="0" w:color="auto"/>
        <w:bottom w:val="none" w:sz="0" w:space="0" w:color="auto"/>
        <w:right w:val="none" w:sz="0" w:space="0" w:color="auto"/>
      </w:divBdr>
    </w:div>
    <w:div w:id="391663320">
      <w:bodyDiv w:val="1"/>
      <w:marLeft w:val="0"/>
      <w:marRight w:val="0"/>
      <w:marTop w:val="0"/>
      <w:marBottom w:val="0"/>
      <w:divBdr>
        <w:top w:val="none" w:sz="0" w:space="0" w:color="auto"/>
        <w:left w:val="none" w:sz="0" w:space="0" w:color="auto"/>
        <w:bottom w:val="none" w:sz="0" w:space="0" w:color="auto"/>
        <w:right w:val="none" w:sz="0" w:space="0" w:color="auto"/>
      </w:divBdr>
    </w:div>
    <w:div w:id="392965198">
      <w:bodyDiv w:val="1"/>
      <w:marLeft w:val="0"/>
      <w:marRight w:val="0"/>
      <w:marTop w:val="0"/>
      <w:marBottom w:val="0"/>
      <w:divBdr>
        <w:top w:val="none" w:sz="0" w:space="0" w:color="auto"/>
        <w:left w:val="none" w:sz="0" w:space="0" w:color="auto"/>
        <w:bottom w:val="none" w:sz="0" w:space="0" w:color="auto"/>
        <w:right w:val="none" w:sz="0" w:space="0" w:color="auto"/>
      </w:divBdr>
    </w:div>
    <w:div w:id="393090872">
      <w:bodyDiv w:val="1"/>
      <w:marLeft w:val="0"/>
      <w:marRight w:val="0"/>
      <w:marTop w:val="0"/>
      <w:marBottom w:val="0"/>
      <w:divBdr>
        <w:top w:val="none" w:sz="0" w:space="0" w:color="auto"/>
        <w:left w:val="none" w:sz="0" w:space="0" w:color="auto"/>
        <w:bottom w:val="none" w:sz="0" w:space="0" w:color="auto"/>
        <w:right w:val="none" w:sz="0" w:space="0" w:color="auto"/>
      </w:divBdr>
    </w:div>
    <w:div w:id="393166366">
      <w:bodyDiv w:val="1"/>
      <w:marLeft w:val="0"/>
      <w:marRight w:val="0"/>
      <w:marTop w:val="0"/>
      <w:marBottom w:val="0"/>
      <w:divBdr>
        <w:top w:val="none" w:sz="0" w:space="0" w:color="auto"/>
        <w:left w:val="none" w:sz="0" w:space="0" w:color="auto"/>
        <w:bottom w:val="none" w:sz="0" w:space="0" w:color="auto"/>
        <w:right w:val="none" w:sz="0" w:space="0" w:color="auto"/>
      </w:divBdr>
    </w:div>
    <w:div w:id="393436469">
      <w:bodyDiv w:val="1"/>
      <w:marLeft w:val="0"/>
      <w:marRight w:val="0"/>
      <w:marTop w:val="0"/>
      <w:marBottom w:val="0"/>
      <w:divBdr>
        <w:top w:val="none" w:sz="0" w:space="0" w:color="auto"/>
        <w:left w:val="none" w:sz="0" w:space="0" w:color="auto"/>
        <w:bottom w:val="none" w:sz="0" w:space="0" w:color="auto"/>
        <w:right w:val="none" w:sz="0" w:space="0" w:color="auto"/>
      </w:divBdr>
    </w:div>
    <w:div w:id="393892547">
      <w:bodyDiv w:val="1"/>
      <w:marLeft w:val="0"/>
      <w:marRight w:val="0"/>
      <w:marTop w:val="0"/>
      <w:marBottom w:val="0"/>
      <w:divBdr>
        <w:top w:val="none" w:sz="0" w:space="0" w:color="auto"/>
        <w:left w:val="none" w:sz="0" w:space="0" w:color="auto"/>
        <w:bottom w:val="none" w:sz="0" w:space="0" w:color="auto"/>
        <w:right w:val="none" w:sz="0" w:space="0" w:color="auto"/>
      </w:divBdr>
    </w:div>
    <w:div w:id="394553233">
      <w:bodyDiv w:val="1"/>
      <w:marLeft w:val="0"/>
      <w:marRight w:val="0"/>
      <w:marTop w:val="0"/>
      <w:marBottom w:val="0"/>
      <w:divBdr>
        <w:top w:val="none" w:sz="0" w:space="0" w:color="auto"/>
        <w:left w:val="none" w:sz="0" w:space="0" w:color="auto"/>
        <w:bottom w:val="none" w:sz="0" w:space="0" w:color="auto"/>
        <w:right w:val="none" w:sz="0" w:space="0" w:color="auto"/>
      </w:divBdr>
    </w:div>
    <w:div w:id="395130579">
      <w:bodyDiv w:val="1"/>
      <w:marLeft w:val="0"/>
      <w:marRight w:val="0"/>
      <w:marTop w:val="0"/>
      <w:marBottom w:val="0"/>
      <w:divBdr>
        <w:top w:val="none" w:sz="0" w:space="0" w:color="auto"/>
        <w:left w:val="none" w:sz="0" w:space="0" w:color="auto"/>
        <w:bottom w:val="none" w:sz="0" w:space="0" w:color="auto"/>
        <w:right w:val="none" w:sz="0" w:space="0" w:color="auto"/>
      </w:divBdr>
    </w:div>
    <w:div w:id="395519747">
      <w:bodyDiv w:val="1"/>
      <w:marLeft w:val="0"/>
      <w:marRight w:val="0"/>
      <w:marTop w:val="0"/>
      <w:marBottom w:val="0"/>
      <w:divBdr>
        <w:top w:val="none" w:sz="0" w:space="0" w:color="auto"/>
        <w:left w:val="none" w:sz="0" w:space="0" w:color="auto"/>
        <w:bottom w:val="none" w:sz="0" w:space="0" w:color="auto"/>
        <w:right w:val="none" w:sz="0" w:space="0" w:color="auto"/>
      </w:divBdr>
    </w:div>
    <w:div w:id="395590231">
      <w:bodyDiv w:val="1"/>
      <w:marLeft w:val="0"/>
      <w:marRight w:val="0"/>
      <w:marTop w:val="0"/>
      <w:marBottom w:val="0"/>
      <w:divBdr>
        <w:top w:val="none" w:sz="0" w:space="0" w:color="auto"/>
        <w:left w:val="none" w:sz="0" w:space="0" w:color="auto"/>
        <w:bottom w:val="none" w:sz="0" w:space="0" w:color="auto"/>
        <w:right w:val="none" w:sz="0" w:space="0" w:color="auto"/>
      </w:divBdr>
    </w:div>
    <w:div w:id="395973691">
      <w:bodyDiv w:val="1"/>
      <w:marLeft w:val="0"/>
      <w:marRight w:val="0"/>
      <w:marTop w:val="0"/>
      <w:marBottom w:val="0"/>
      <w:divBdr>
        <w:top w:val="none" w:sz="0" w:space="0" w:color="auto"/>
        <w:left w:val="none" w:sz="0" w:space="0" w:color="auto"/>
        <w:bottom w:val="none" w:sz="0" w:space="0" w:color="auto"/>
        <w:right w:val="none" w:sz="0" w:space="0" w:color="auto"/>
      </w:divBdr>
    </w:div>
    <w:div w:id="396056537">
      <w:bodyDiv w:val="1"/>
      <w:marLeft w:val="0"/>
      <w:marRight w:val="0"/>
      <w:marTop w:val="0"/>
      <w:marBottom w:val="0"/>
      <w:divBdr>
        <w:top w:val="none" w:sz="0" w:space="0" w:color="auto"/>
        <w:left w:val="none" w:sz="0" w:space="0" w:color="auto"/>
        <w:bottom w:val="none" w:sz="0" w:space="0" w:color="auto"/>
        <w:right w:val="none" w:sz="0" w:space="0" w:color="auto"/>
      </w:divBdr>
    </w:div>
    <w:div w:id="396317545">
      <w:bodyDiv w:val="1"/>
      <w:marLeft w:val="0"/>
      <w:marRight w:val="0"/>
      <w:marTop w:val="0"/>
      <w:marBottom w:val="0"/>
      <w:divBdr>
        <w:top w:val="none" w:sz="0" w:space="0" w:color="auto"/>
        <w:left w:val="none" w:sz="0" w:space="0" w:color="auto"/>
        <w:bottom w:val="none" w:sz="0" w:space="0" w:color="auto"/>
        <w:right w:val="none" w:sz="0" w:space="0" w:color="auto"/>
      </w:divBdr>
    </w:div>
    <w:div w:id="396511932">
      <w:bodyDiv w:val="1"/>
      <w:marLeft w:val="0"/>
      <w:marRight w:val="0"/>
      <w:marTop w:val="0"/>
      <w:marBottom w:val="0"/>
      <w:divBdr>
        <w:top w:val="none" w:sz="0" w:space="0" w:color="auto"/>
        <w:left w:val="none" w:sz="0" w:space="0" w:color="auto"/>
        <w:bottom w:val="none" w:sz="0" w:space="0" w:color="auto"/>
        <w:right w:val="none" w:sz="0" w:space="0" w:color="auto"/>
      </w:divBdr>
    </w:div>
    <w:div w:id="396703692">
      <w:bodyDiv w:val="1"/>
      <w:marLeft w:val="0"/>
      <w:marRight w:val="0"/>
      <w:marTop w:val="0"/>
      <w:marBottom w:val="0"/>
      <w:divBdr>
        <w:top w:val="none" w:sz="0" w:space="0" w:color="auto"/>
        <w:left w:val="none" w:sz="0" w:space="0" w:color="auto"/>
        <w:bottom w:val="none" w:sz="0" w:space="0" w:color="auto"/>
        <w:right w:val="none" w:sz="0" w:space="0" w:color="auto"/>
      </w:divBdr>
    </w:div>
    <w:div w:id="396978907">
      <w:bodyDiv w:val="1"/>
      <w:marLeft w:val="0"/>
      <w:marRight w:val="0"/>
      <w:marTop w:val="0"/>
      <w:marBottom w:val="0"/>
      <w:divBdr>
        <w:top w:val="none" w:sz="0" w:space="0" w:color="auto"/>
        <w:left w:val="none" w:sz="0" w:space="0" w:color="auto"/>
        <w:bottom w:val="none" w:sz="0" w:space="0" w:color="auto"/>
        <w:right w:val="none" w:sz="0" w:space="0" w:color="auto"/>
      </w:divBdr>
    </w:div>
    <w:div w:id="397048126">
      <w:bodyDiv w:val="1"/>
      <w:marLeft w:val="0"/>
      <w:marRight w:val="0"/>
      <w:marTop w:val="0"/>
      <w:marBottom w:val="0"/>
      <w:divBdr>
        <w:top w:val="none" w:sz="0" w:space="0" w:color="auto"/>
        <w:left w:val="none" w:sz="0" w:space="0" w:color="auto"/>
        <w:bottom w:val="none" w:sz="0" w:space="0" w:color="auto"/>
        <w:right w:val="none" w:sz="0" w:space="0" w:color="auto"/>
      </w:divBdr>
    </w:div>
    <w:div w:id="397441468">
      <w:bodyDiv w:val="1"/>
      <w:marLeft w:val="0"/>
      <w:marRight w:val="0"/>
      <w:marTop w:val="0"/>
      <w:marBottom w:val="0"/>
      <w:divBdr>
        <w:top w:val="none" w:sz="0" w:space="0" w:color="auto"/>
        <w:left w:val="none" w:sz="0" w:space="0" w:color="auto"/>
        <w:bottom w:val="none" w:sz="0" w:space="0" w:color="auto"/>
        <w:right w:val="none" w:sz="0" w:space="0" w:color="auto"/>
      </w:divBdr>
    </w:div>
    <w:div w:id="398747841">
      <w:bodyDiv w:val="1"/>
      <w:marLeft w:val="0"/>
      <w:marRight w:val="0"/>
      <w:marTop w:val="0"/>
      <w:marBottom w:val="0"/>
      <w:divBdr>
        <w:top w:val="none" w:sz="0" w:space="0" w:color="auto"/>
        <w:left w:val="none" w:sz="0" w:space="0" w:color="auto"/>
        <w:bottom w:val="none" w:sz="0" w:space="0" w:color="auto"/>
        <w:right w:val="none" w:sz="0" w:space="0" w:color="auto"/>
      </w:divBdr>
    </w:div>
    <w:div w:id="398868563">
      <w:bodyDiv w:val="1"/>
      <w:marLeft w:val="0"/>
      <w:marRight w:val="0"/>
      <w:marTop w:val="0"/>
      <w:marBottom w:val="0"/>
      <w:divBdr>
        <w:top w:val="none" w:sz="0" w:space="0" w:color="auto"/>
        <w:left w:val="none" w:sz="0" w:space="0" w:color="auto"/>
        <w:bottom w:val="none" w:sz="0" w:space="0" w:color="auto"/>
        <w:right w:val="none" w:sz="0" w:space="0" w:color="auto"/>
      </w:divBdr>
    </w:div>
    <w:div w:id="399445830">
      <w:bodyDiv w:val="1"/>
      <w:marLeft w:val="0"/>
      <w:marRight w:val="0"/>
      <w:marTop w:val="0"/>
      <w:marBottom w:val="0"/>
      <w:divBdr>
        <w:top w:val="none" w:sz="0" w:space="0" w:color="auto"/>
        <w:left w:val="none" w:sz="0" w:space="0" w:color="auto"/>
        <w:bottom w:val="none" w:sz="0" w:space="0" w:color="auto"/>
        <w:right w:val="none" w:sz="0" w:space="0" w:color="auto"/>
      </w:divBdr>
    </w:div>
    <w:div w:id="399527136">
      <w:bodyDiv w:val="1"/>
      <w:marLeft w:val="0"/>
      <w:marRight w:val="0"/>
      <w:marTop w:val="0"/>
      <w:marBottom w:val="0"/>
      <w:divBdr>
        <w:top w:val="none" w:sz="0" w:space="0" w:color="auto"/>
        <w:left w:val="none" w:sz="0" w:space="0" w:color="auto"/>
        <w:bottom w:val="none" w:sz="0" w:space="0" w:color="auto"/>
        <w:right w:val="none" w:sz="0" w:space="0" w:color="auto"/>
      </w:divBdr>
    </w:div>
    <w:div w:id="399836505">
      <w:bodyDiv w:val="1"/>
      <w:marLeft w:val="0"/>
      <w:marRight w:val="0"/>
      <w:marTop w:val="0"/>
      <w:marBottom w:val="0"/>
      <w:divBdr>
        <w:top w:val="none" w:sz="0" w:space="0" w:color="auto"/>
        <w:left w:val="none" w:sz="0" w:space="0" w:color="auto"/>
        <w:bottom w:val="none" w:sz="0" w:space="0" w:color="auto"/>
        <w:right w:val="none" w:sz="0" w:space="0" w:color="auto"/>
      </w:divBdr>
    </w:div>
    <w:div w:id="400056141">
      <w:bodyDiv w:val="1"/>
      <w:marLeft w:val="0"/>
      <w:marRight w:val="0"/>
      <w:marTop w:val="0"/>
      <w:marBottom w:val="0"/>
      <w:divBdr>
        <w:top w:val="none" w:sz="0" w:space="0" w:color="auto"/>
        <w:left w:val="none" w:sz="0" w:space="0" w:color="auto"/>
        <w:bottom w:val="none" w:sz="0" w:space="0" w:color="auto"/>
        <w:right w:val="none" w:sz="0" w:space="0" w:color="auto"/>
      </w:divBdr>
    </w:div>
    <w:div w:id="400057582">
      <w:bodyDiv w:val="1"/>
      <w:marLeft w:val="0"/>
      <w:marRight w:val="0"/>
      <w:marTop w:val="0"/>
      <w:marBottom w:val="0"/>
      <w:divBdr>
        <w:top w:val="none" w:sz="0" w:space="0" w:color="auto"/>
        <w:left w:val="none" w:sz="0" w:space="0" w:color="auto"/>
        <w:bottom w:val="none" w:sz="0" w:space="0" w:color="auto"/>
        <w:right w:val="none" w:sz="0" w:space="0" w:color="auto"/>
      </w:divBdr>
    </w:div>
    <w:div w:id="400759107">
      <w:bodyDiv w:val="1"/>
      <w:marLeft w:val="0"/>
      <w:marRight w:val="0"/>
      <w:marTop w:val="0"/>
      <w:marBottom w:val="0"/>
      <w:divBdr>
        <w:top w:val="none" w:sz="0" w:space="0" w:color="auto"/>
        <w:left w:val="none" w:sz="0" w:space="0" w:color="auto"/>
        <w:bottom w:val="none" w:sz="0" w:space="0" w:color="auto"/>
        <w:right w:val="none" w:sz="0" w:space="0" w:color="auto"/>
      </w:divBdr>
    </w:div>
    <w:div w:id="400832109">
      <w:bodyDiv w:val="1"/>
      <w:marLeft w:val="0"/>
      <w:marRight w:val="0"/>
      <w:marTop w:val="0"/>
      <w:marBottom w:val="0"/>
      <w:divBdr>
        <w:top w:val="none" w:sz="0" w:space="0" w:color="auto"/>
        <w:left w:val="none" w:sz="0" w:space="0" w:color="auto"/>
        <w:bottom w:val="none" w:sz="0" w:space="0" w:color="auto"/>
        <w:right w:val="none" w:sz="0" w:space="0" w:color="auto"/>
      </w:divBdr>
    </w:div>
    <w:div w:id="401560368">
      <w:bodyDiv w:val="1"/>
      <w:marLeft w:val="0"/>
      <w:marRight w:val="0"/>
      <w:marTop w:val="0"/>
      <w:marBottom w:val="0"/>
      <w:divBdr>
        <w:top w:val="none" w:sz="0" w:space="0" w:color="auto"/>
        <w:left w:val="none" w:sz="0" w:space="0" w:color="auto"/>
        <w:bottom w:val="none" w:sz="0" w:space="0" w:color="auto"/>
        <w:right w:val="none" w:sz="0" w:space="0" w:color="auto"/>
      </w:divBdr>
    </w:div>
    <w:div w:id="401753587">
      <w:bodyDiv w:val="1"/>
      <w:marLeft w:val="0"/>
      <w:marRight w:val="0"/>
      <w:marTop w:val="0"/>
      <w:marBottom w:val="0"/>
      <w:divBdr>
        <w:top w:val="none" w:sz="0" w:space="0" w:color="auto"/>
        <w:left w:val="none" w:sz="0" w:space="0" w:color="auto"/>
        <w:bottom w:val="none" w:sz="0" w:space="0" w:color="auto"/>
        <w:right w:val="none" w:sz="0" w:space="0" w:color="auto"/>
      </w:divBdr>
    </w:div>
    <w:div w:id="402215849">
      <w:bodyDiv w:val="1"/>
      <w:marLeft w:val="0"/>
      <w:marRight w:val="0"/>
      <w:marTop w:val="0"/>
      <w:marBottom w:val="0"/>
      <w:divBdr>
        <w:top w:val="none" w:sz="0" w:space="0" w:color="auto"/>
        <w:left w:val="none" w:sz="0" w:space="0" w:color="auto"/>
        <w:bottom w:val="none" w:sz="0" w:space="0" w:color="auto"/>
        <w:right w:val="none" w:sz="0" w:space="0" w:color="auto"/>
      </w:divBdr>
    </w:div>
    <w:div w:id="402601978">
      <w:bodyDiv w:val="1"/>
      <w:marLeft w:val="0"/>
      <w:marRight w:val="0"/>
      <w:marTop w:val="0"/>
      <w:marBottom w:val="0"/>
      <w:divBdr>
        <w:top w:val="none" w:sz="0" w:space="0" w:color="auto"/>
        <w:left w:val="none" w:sz="0" w:space="0" w:color="auto"/>
        <w:bottom w:val="none" w:sz="0" w:space="0" w:color="auto"/>
        <w:right w:val="none" w:sz="0" w:space="0" w:color="auto"/>
      </w:divBdr>
    </w:div>
    <w:div w:id="402947098">
      <w:bodyDiv w:val="1"/>
      <w:marLeft w:val="0"/>
      <w:marRight w:val="0"/>
      <w:marTop w:val="0"/>
      <w:marBottom w:val="0"/>
      <w:divBdr>
        <w:top w:val="none" w:sz="0" w:space="0" w:color="auto"/>
        <w:left w:val="none" w:sz="0" w:space="0" w:color="auto"/>
        <w:bottom w:val="none" w:sz="0" w:space="0" w:color="auto"/>
        <w:right w:val="none" w:sz="0" w:space="0" w:color="auto"/>
      </w:divBdr>
    </w:div>
    <w:div w:id="402987793">
      <w:bodyDiv w:val="1"/>
      <w:marLeft w:val="0"/>
      <w:marRight w:val="0"/>
      <w:marTop w:val="0"/>
      <w:marBottom w:val="0"/>
      <w:divBdr>
        <w:top w:val="none" w:sz="0" w:space="0" w:color="auto"/>
        <w:left w:val="none" w:sz="0" w:space="0" w:color="auto"/>
        <w:bottom w:val="none" w:sz="0" w:space="0" w:color="auto"/>
        <w:right w:val="none" w:sz="0" w:space="0" w:color="auto"/>
      </w:divBdr>
    </w:div>
    <w:div w:id="403142704">
      <w:bodyDiv w:val="1"/>
      <w:marLeft w:val="0"/>
      <w:marRight w:val="0"/>
      <w:marTop w:val="0"/>
      <w:marBottom w:val="0"/>
      <w:divBdr>
        <w:top w:val="none" w:sz="0" w:space="0" w:color="auto"/>
        <w:left w:val="none" w:sz="0" w:space="0" w:color="auto"/>
        <w:bottom w:val="none" w:sz="0" w:space="0" w:color="auto"/>
        <w:right w:val="none" w:sz="0" w:space="0" w:color="auto"/>
      </w:divBdr>
    </w:div>
    <w:div w:id="403646314">
      <w:bodyDiv w:val="1"/>
      <w:marLeft w:val="0"/>
      <w:marRight w:val="0"/>
      <w:marTop w:val="0"/>
      <w:marBottom w:val="0"/>
      <w:divBdr>
        <w:top w:val="none" w:sz="0" w:space="0" w:color="auto"/>
        <w:left w:val="none" w:sz="0" w:space="0" w:color="auto"/>
        <w:bottom w:val="none" w:sz="0" w:space="0" w:color="auto"/>
        <w:right w:val="none" w:sz="0" w:space="0" w:color="auto"/>
      </w:divBdr>
    </w:div>
    <w:div w:id="403727510">
      <w:bodyDiv w:val="1"/>
      <w:marLeft w:val="0"/>
      <w:marRight w:val="0"/>
      <w:marTop w:val="0"/>
      <w:marBottom w:val="0"/>
      <w:divBdr>
        <w:top w:val="none" w:sz="0" w:space="0" w:color="auto"/>
        <w:left w:val="none" w:sz="0" w:space="0" w:color="auto"/>
        <w:bottom w:val="none" w:sz="0" w:space="0" w:color="auto"/>
        <w:right w:val="none" w:sz="0" w:space="0" w:color="auto"/>
      </w:divBdr>
    </w:div>
    <w:div w:id="404108300">
      <w:bodyDiv w:val="1"/>
      <w:marLeft w:val="0"/>
      <w:marRight w:val="0"/>
      <w:marTop w:val="0"/>
      <w:marBottom w:val="0"/>
      <w:divBdr>
        <w:top w:val="none" w:sz="0" w:space="0" w:color="auto"/>
        <w:left w:val="none" w:sz="0" w:space="0" w:color="auto"/>
        <w:bottom w:val="none" w:sz="0" w:space="0" w:color="auto"/>
        <w:right w:val="none" w:sz="0" w:space="0" w:color="auto"/>
      </w:divBdr>
    </w:div>
    <w:div w:id="404842650">
      <w:bodyDiv w:val="1"/>
      <w:marLeft w:val="0"/>
      <w:marRight w:val="0"/>
      <w:marTop w:val="0"/>
      <w:marBottom w:val="0"/>
      <w:divBdr>
        <w:top w:val="none" w:sz="0" w:space="0" w:color="auto"/>
        <w:left w:val="none" w:sz="0" w:space="0" w:color="auto"/>
        <w:bottom w:val="none" w:sz="0" w:space="0" w:color="auto"/>
        <w:right w:val="none" w:sz="0" w:space="0" w:color="auto"/>
      </w:divBdr>
    </w:div>
    <w:div w:id="405153068">
      <w:bodyDiv w:val="1"/>
      <w:marLeft w:val="0"/>
      <w:marRight w:val="0"/>
      <w:marTop w:val="0"/>
      <w:marBottom w:val="0"/>
      <w:divBdr>
        <w:top w:val="none" w:sz="0" w:space="0" w:color="auto"/>
        <w:left w:val="none" w:sz="0" w:space="0" w:color="auto"/>
        <w:bottom w:val="none" w:sz="0" w:space="0" w:color="auto"/>
        <w:right w:val="none" w:sz="0" w:space="0" w:color="auto"/>
      </w:divBdr>
    </w:div>
    <w:div w:id="405230189">
      <w:bodyDiv w:val="1"/>
      <w:marLeft w:val="0"/>
      <w:marRight w:val="0"/>
      <w:marTop w:val="0"/>
      <w:marBottom w:val="0"/>
      <w:divBdr>
        <w:top w:val="none" w:sz="0" w:space="0" w:color="auto"/>
        <w:left w:val="none" w:sz="0" w:space="0" w:color="auto"/>
        <w:bottom w:val="none" w:sz="0" w:space="0" w:color="auto"/>
        <w:right w:val="none" w:sz="0" w:space="0" w:color="auto"/>
      </w:divBdr>
    </w:div>
    <w:div w:id="405494611">
      <w:bodyDiv w:val="1"/>
      <w:marLeft w:val="0"/>
      <w:marRight w:val="0"/>
      <w:marTop w:val="0"/>
      <w:marBottom w:val="0"/>
      <w:divBdr>
        <w:top w:val="none" w:sz="0" w:space="0" w:color="auto"/>
        <w:left w:val="none" w:sz="0" w:space="0" w:color="auto"/>
        <w:bottom w:val="none" w:sz="0" w:space="0" w:color="auto"/>
        <w:right w:val="none" w:sz="0" w:space="0" w:color="auto"/>
      </w:divBdr>
    </w:div>
    <w:div w:id="405956800">
      <w:bodyDiv w:val="1"/>
      <w:marLeft w:val="0"/>
      <w:marRight w:val="0"/>
      <w:marTop w:val="0"/>
      <w:marBottom w:val="0"/>
      <w:divBdr>
        <w:top w:val="none" w:sz="0" w:space="0" w:color="auto"/>
        <w:left w:val="none" w:sz="0" w:space="0" w:color="auto"/>
        <w:bottom w:val="none" w:sz="0" w:space="0" w:color="auto"/>
        <w:right w:val="none" w:sz="0" w:space="0" w:color="auto"/>
      </w:divBdr>
    </w:div>
    <w:div w:id="406002941">
      <w:bodyDiv w:val="1"/>
      <w:marLeft w:val="0"/>
      <w:marRight w:val="0"/>
      <w:marTop w:val="0"/>
      <w:marBottom w:val="0"/>
      <w:divBdr>
        <w:top w:val="none" w:sz="0" w:space="0" w:color="auto"/>
        <w:left w:val="none" w:sz="0" w:space="0" w:color="auto"/>
        <w:bottom w:val="none" w:sz="0" w:space="0" w:color="auto"/>
        <w:right w:val="none" w:sz="0" w:space="0" w:color="auto"/>
      </w:divBdr>
    </w:div>
    <w:div w:id="406653149">
      <w:bodyDiv w:val="1"/>
      <w:marLeft w:val="0"/>
      <w:marRight w:val="0"/>
      <w:marTop w:val="0"/>
      <w:marBottom w:val="0"/>
      <w:divBdr>
        <w:top w:val="none" w:sz="0" w:space="0" w:color="auto"/>
        <w:left w:val="none" w:sz="0" w:space="0" w:color="auto"/>
        <w:bottom w:val="none" w:sz="0" w:space="0" w:color="auto"/>
        <w:right w:val="none" w:sz="0" w:space="0" w:color="auto"/>
      </w:divBdr>
    </w:div>
    <w:div w:id="406657914">
      <w:bodyDiv w:val="1"/>
      <w:marLeft w:val="0"/>
      <w:marRight w:val="0"/>
      <w:marTop w:val="0"/>
      <w:marBottom w:val="0"/>
      <w:divBdr>
        <w:top w:val="none" w:sz="0" w:space="0" w:color="auto"/>
        <w:left w:val="none" w:sz="0" w:space="0" w:color="auto"/>
        <w:bottom w:val="none" w:sz="0" w:space="0" w:color="auto"/>
        <w:right w:val="none" w:sz="0" w:space="0" w:color="auto"/>
      </w:divBdr>
    </w:div>
    <w:div w:id="406732630">
      <w:bodyDiv w:val="1"/>
      <w:marLeft w:val="0"/>
      <w:marRight w:val="0"/>
      <w:marTop w:val="0"/>
      <w:marBottom w:val="0"/>
      <w:divBdr>
        <w:top w:val="none" w:sz="0" w:space="0" w:color="auto"/>
        <w:left w:val="none" w:sz="0" w:space="0" w:color="auto"/>
        <w:bottom w:val="none" w:sz="0" w:space="0" w:color="auto"/>
        <w:right w:val="none" w:sz="0" w:space="0" w:color="auto"/>
      </w:divBdr>
    </w:div>
    <w:div w:id="407112925">
      <w:bodyDiv w:val="1"/>
      <w:marLeft w:val="0"/>
      <w:marRight w:val="0"/>
      <w:marTop w:val="0"/>
      <w:marBottom w:val="0"/>
      <w:divBdr>
        <w:top w:val="none" w:sz="0" w:space="0" w:color="auto"/>
        <w:left w:val="none" w:sz="0" w:space="0" w:color="auto"/>
        <w:bottom w:val="none" w:sz="0" w:space="0" w:color="auto"/>
        <w:right w:val="none" w:sz="0" w:space="0" w:color="auto"/>
      </w:divBdr>
    </w:div>
    <w:div w:id="408356992">
      <w:bodyDiv w:val="1"/>
      <w:marLeft w:val="0"/>
      <w:marRight w:val="0"/>
      <w:marTop w:val="0"/>
      <w:marBottom w:val="0"/>
      <w:divBdr>
        <w:top w:val="none" w:sz="0" w:space="0" w:color="auto"/>
        <w:left w:val="none" w:sz="0" w:space="0" w:color="auto"/>
        <w:bottom w:val="none" w:sz="0" w:space="0" w:color="auto"/>
        <w:right w:val="none" w:sz="0" w:space="0" w:color="auto"/>
      </w:divBdr>
    </w:div>
    <w:div w:id="408429475">
      <w:bodyDiv w:val="1"/>
      <w:marLeft w:val="0"/>
      <w:marRight w:val="0"/>
      <w:marTop w:val="0"/>
      <w:marBottom w:val="0"/>
      <w:divBdr>
        <w:top w:val="none" w:sz="0" w:space="0" w:color="auto"/>
        <w:left w:val="none" w:sz="0" w:space="0" w:color="auto"/>
        <w:bottom w:val="none" w:sz="0" w:space="0" w:color="auto"/>
        <w:right w:val="none" w:sz="0" w:space="0" w:color="auto"/>
      </w:divBdr>
    </w:div>
    <w:div w:id="408503529">
      <w:bodyDiv w:val="1"/>
      <w:marLeft w:val="0"/>
      <w:marRight w:val="0"/>
      <w:marTop w:val="0"/>
      <w:marBottom w:val="0"/>
      <w:divBdr>
        <w:top w:val="none" w:sz="0" w:space="0" w:color="auto"/>
        <w:left w:val="none" w:sz="0" w:space="0" w:color="auto"/>
        <w:bottom w:val="none" w:sz="0" w:space="0" w:color="auto"/>
        <w:right w:val="none" w:sz="0" w:space="0" w:color="auto"/>
      </w:divBdr>
    </w:div>
    <w:div w:id="408694142">
      <w:bodyDiv w:val="1"/>
      <w:marLeft w:val="0"/>
      <w:marRight w:val="0"/>
      <w:marTop w:val="0"/>
      <w:marBottom w:val="0"/>
      <w:divBdr>
        <w:top w:val="none" w:sz="0" w:space="0" w:color="auto"/>
        <w:left w:val="none" w:sz="0" w:space="0" w:color="auto"/>
        <w:bottom w:val="none" w:sz="0" w:space="0" w:color="auto"/>
        <w:right w:val="none" w:sz="0" w:space="0" w:color="auto"/>
      </w:divBdr>
    </w:div>
    <w:div w:id="408845959">
      <w:bodyDiv w:val="1"/>
      <w:marLeft w:val="0"/>
      <w:marRight w:val="0"/>
      <w:marTop w:val="0"/>
      <w:marBottom w:val="0"/>
      <w:divBdr>
        <w:top w:val="none" w:sz="0" w:space="0" w:color="auto"/>
        <w:left w:val="none" w:sz="0" w:space="0" w:color="auto"/>
        <w:bottom w:val="none" w:sz="0" w:space="0" w:color="auto"/>
        <w:right w:val="none" w:sz="0" w:space="0" w:color="auto"/>
      </w:divBdr>
    </w:div>
    <w:div w:id="409424947">
      <w:bodyDiv w:val="1"/>
      <w:marLeft w:val="0"/>
      <w:marRight w:val="0"/>
      <w:marTop w:val="0"/>
      <w:marBottom w:val="0"/>
      <w:divBdr>
        <w:top w:val="none" w:sz="0" w:space="0" w:color="auto"/>
        <w:left w:val="none" w:sz="0" w:space="0" w:color="auto"/>
        <w:bottom w:val="none" w:sz="0" w:space="0" w:color="auto"/>
        <w:right w:val="none" w:sz="0" w:space="0" w:color="auto"/>
      </w:divBdr>
    </w:div>
    <w:div w:id="409618817">
      <w:bodyDiv w:val="1"/>
      <w:marLeft w:val="0"/>
      <w:marRight w:val="0"/>
      <w:marTop w:val="0"/>
      <w:marBottom w:val="0"/>
      <w:divBdr>
        <w:top w:val="none" w:sz="0" w:space="0" w:color="auto"/>
        <w:left w:val="none" w:sz="0" w:space="0" w:color="auto"/>
        <w:bottom w:val="none" w:sz="0" w:space="0" w:color="auto"/>
        <w:right w:val="none" w:sz="0" w:space="0" w:color="auto"/>
      </w:divBdr>
    </w:div>
    <w:div w:id="409741980">
      <w:bodyDiv w:val="1"/>
      <w:marLeft w:val="0"/>
      <w:marRight w:val="0"/>
      <w:marTop w:val="0"/>
      <w:marBottom w:val="0"/>
      <w:divBdr>
        <w:top w:val="none" w:sz="0" w:space="0" w:color="auto"/>
        <w:left w:val="none" w:sz="0" w:space="0" w:color="auto"/>
        <w:bottom w:val="none" w:sz="0" w:space="0" w:color="auto"/>
        <w:right w:val="none" w:sz="0" w:space="0" w:color="auto"/>
      </w:divBdr>
    </w:div>
    <w:div w:id="410741974">
      <w:bodyDiv w:val="1"/>
      <w:marLeft w:val="0"/>
      <w:marRight w:val="0"/>
      <w:marTop w:val="0"/>
      <w:marBottom w:val="0"/>
      <w:divBdr>
        <w:top w:val="none" w:sz="0" w:space="0" w:color="auto"/>
        <w:left w:val="none" w:sz="0" w:space="0" w:color="auto"/>
        <w:bottom w:val="none" w:sz="0" w:space="0" w:color="auto"/>
        <w:right w:val="none" w:sz="0" w:space="0" w:color="auto"/>
      </w:divBdr>
    </w:div>
    <w:div w:id="411245702">
      <w:bodyDiv w:val="1"/>
      <w:marLeft w:val="0"/>
      <w:marRight w:val="0"/>
      <w:marTop w:val="0"/>
      <w:marBottom w:val="0"/>
      <w:divBdr>
        <w:top w:val="none" w:sz="0" w:space="0" w:color="auto"/>
        <w:left w:val="none" w:sz="0" w:space="0" w:color="auto"/>
        <w:bottom w:val="none" w:sz="0" w:space="0" w:color="auto"/>
        <w:right w:val="none" w:sz="0" w:space="0" w:color="auto"/>
      </w:divBdr>
    </w:div>
    <w:div w:id="411969071">
      <w:bodyDiv w:val="1"/>
      <w:marLeft w:val="0"/>
      <w:marRight w:val="0"/>
      <w:marTop w:val="0"/>
      <w:marBottom w:val="0"/>
      <w:divBdr>
        <w:top w:val="none" w:sz="0" w:space="0" w:color="auto"/>
        <w:left w:val="none" w:sz="0" w:space="0" w:color="auto"/>
        <w:bottom w:val="none" w:sz="0" w:space="0" w:color="auto"/>
        <w:right w:val="none" w:sz="0" w:space="0" w:color="auto"/>
      </w:divBdr>
    </w:div>
    <w:div w:id="412312579">
      <w:bodyDiv w:val="1"/>
      <w:marLeft w:val="0"/>
      <w:marRight w:val="0"/>
      <w:marTop w:val="0"/>
      <w:marBottom w:val="0"/>
      <w:divBdr>
        <w:top w:val="none" w:sz="0" w:space="0" w:color="auto"/>
        <w:left w:val="none" w:sz="0" w:space="0" w:color="auto"/>
        <w:bottom w:val="none" w:sz="0" w:space="0" w:color="auto"/>
        <w:right w:val="none" w:sz="0" w:space="0" w:color="auto"/>
      </w:divBdr>
    </w:div>
    <w:div w:id="413010861">
      <w:bodyDiv w:val="1"/>
      <w:marLeft w:val="0"/>
      <w:marRight w:val="0"/>
      <w:marTop w:val="0"/>
      <w:marBottom w:val="0"/>
      <w:divBdr>
        <w:top w:val="none" w:sz="0" w:space="0" w:color="auto"/>
        <w:left w:val="none" w:sz="0" w:space="0" w:color="auto"/>
        <w:bottom w:val="none" w:sz="0" w:space="0" w:color="auto"/>
        <w:right w:val="none" w:sz="0" w:space="0" w:color="auto"/>
      </w:divBdr>
    </w:div>
    <w:div w:id="413551648">
      <w:bodyDiv w:val="1"/>
      <w:marLeft w:val="0"/>
      <w:marRight w:val="0"/>
      <w:marTop w:val="0"/>
      <w:marBottom w:val="0"/>
      <w:divBdr>
        <w:top w:val="none" w:sz="0" w:space="0" w:color="auto"/>
        <w:left w:val="none" w:sz="0" w:space="0" w:color="auto"/>
        <w:bottom w:val="none" w:sz="0" w:space="0" w:color="auto"/>
        <w:right w:val="none" w:sz="0" w:space="0" w:color="auto"/>
      </w:divBdr>
    </w:div>
    <w:div w:id="413744992">
      <w:bodyDiv w:val="1"/>
      <w:marLeft w:val="0"/>
      <w:marRight w:val="0"/>
      <w:marTop w:val="0"/>
      <w:marBottom w:val="0"/>
      <w:divBdr>
        <w:top w:val="none" w:sz="0" w:space="0" w:color="auto"/>
        <w:left w:val="none" w:sz="0" w:space="0" w:color="auto"/>
        <w:bottom w:val="none" w:sz="0" w:space="0" w:color="auto"/>
        <w:right w:val="none" w:sz="0" w:space="0" w:color="auto"/>
      </w:divBdr>
    </w:div>
    <w:div w:id="413866224">
      <w:bodyDiv w:val="1"/>
      <w:marLeft w:val="0"/>
      <w:marRight w:val="0"/>
      <w:marTop w:val="0"/>
      <w:marBottom w:val="0"/>
      <w:divBdr>
        <w:top w:val="none" w:sz="0" w:space="0" w:color="auto"/>
        <w:left w:val="none" w:sz="0" w:space="0" w:color="auto"/>
        <w:bottom w:val="none" w:sz="0" w:space="0" w:color="auto"/>
        <w:right w:val="none" w:sz="0" w:space="0" w:color="auto"/>
      </w:divBdr>
    </w:div>
    <w:div w:id="414128027">
      <w:bodyDiv w:val="1"/>
      <w:marLeft w:val="0"/>
      <w:marRight w:val="0"/>
      <w:marTop w:val="0"/>
      <w:marBottom w:val="0"/>
      <w:divBdr>
        <w:top w:val="none" w:sz="0" w:space="0" w:color="auto"/>
        <w:left w:val="none" w:sz="0" w:space="0" w:color="auto"/>
        <w:bottom w:val="none" w:sz="0" w:space="0" w:color="auto"/>
        <w:right w:val="none" w:sz="0" w:space="0" w:color="auto"/>
      </w:divBdr>
    </w:div>
    <w:div w:id="414863969">
      <w:bodyDiv w:val="1"/>
      <w:marLeft w:val="0"/>
      <w:marRight w:val="0"/>
      <w:marTop w:val="0"/>
      <w:marBottom w:val="0"/>
      <w:divBdr>
        <w:top w:val="none" w:sz="0" w:space="0" w:color="auto"/>
        <w:left w:val="none" w:sz="0" w:space="0" w:color="auto"/>
        <w:bottom w:val="none" w:sz="0" w:space="0" w:color="auto"/>
        <w:right w:val="none" w:sz="0" w:space="0" w:color="auto"/>
      </w:divBdr>
    </w:div>
    <w:div w:id="414935553">
      <w:bodyDiv w:val="1"/>
      <w:marLeft w:val="0"/>
      <w:marRight w:val="0"/>
      <w:marTop w:val="0"/>
      <w:marBottom w:val="0"/>
      <w:divBdr>
        <w:top w:val="none" w:sz="0" w:space="0" w:color="auto"/>
        <w:left w:val="none" w:sz="0" w:space="0" w:color="auto"/>
        <w:bottom w:val="none" w:sz="0" w:space="0" w:color="auto"/>
        <w:right w:val="none" w:sz="0" w:space="0" w:color="auto"/>
      </w:divBdr>
    </w:div>
    <w:div w:id="415252344">
      <w:bodyDiv w:val="1"/>
      <w:marLeft w:val="0"/>
      <w:marRight w:val="0"/>
      <w:marTop w:val="0"/>
      <w:marBottom w:val="0"/>
      <w:divBdr>
        <w:top w:val="none" w:sz="0" w:space="0" w:color="auto"/>
        <w:left w:val="none" w:sz="0" w:space="0" w:color="auto"/>
        <w:bottom w:val="none" w:sz="0" w:space="0" w:color="auto"/>
        <w:right w:val="none" w:sz="0" w:space="0" w:color="auto"/>
      </w:divBdr>
    </w:div>
    <w:div w:id="415397874">
      <w:bodyDiv w:val="1"/>
      <w:marLeft w:val="0"/>
      <w:marRight w:val="0"/>
      <w:marTop w:val="0"/>
      <w:marBottom w:val="0"/>
      <w:divBdr>
        <w:top w:val="none" w:sz="0" w:space="0" w:color="auto"/>
        <w:left w:val="none" w:sz="0" w:space="0" w:color="auto"/>
        <w:bottom w:val="none" w:sz="0" w:space="0" w:color="auto"/>
        <w:right w:val="none" w:sz="0" w:space="0" w:color="auto"/>
      </w:divBdr>
    </w:div>
    <w:div w:id="416249430">
      <w:bodyDiv w:val="1"/>
      <w:marLeft w:val="0"/>
      <w:marRight w:val="0"/>
      <w:marTop w:val="0"/>
      <w:marBottom w:val="0"/>
      <w:divBdr>
        <w:top w:val="none" w:sz="0" w:space="0" w:color="auto"/>
        <w:left w:val="none" w:sz="0" w:space="0" w:color="auto"/>
        <w:bottom w:val="none" w:sz="0" w:space="0" w:color="auto"/>
        <w:right w:val="none" w:sz="0" w:space="0" w:color="auto"/>
      </w:divBdr>
    </w:div>
    <w:div w:id="416291997">
      <w:bodyDiv w:val="1"/>
      <w:marLeft w:val="0"/>
      <w:marRight w:val="0"/>
      <w:marTop w:val="0"/>
      <w:marBottom w:val="0"/>
      <w:divBdr>
        <w:top w:val="none" w:sz="0" w:space="0" w:color="auto"/>
        <w:left w:val="none" w:sz="0" w:space="0" w:color="auto"/>
        <w:bottom w:val="none" w:sz="0" w:space="0" w:color="auto"/>
        <w:right w:val="none" w:sz="0" w:space="0" w:color="auto"/>
      </w:divBdr>
    </w:div>
    <w:div w:id="416753557">
      <w:bodyDiv w:val="1"/>
      <w:marLeft w:val="0"/>
      <w:marRight w:val="0"/>
      <w:marTop w:val="0"/>
      <w:marBottom w:val="0"/>
      <w:divBdr>
        <w:top w:val="none" w:sz="0" w:space="0" w:color="auto"/>
        <w:left w:val="none" w:sz="0" w:space="0" w:color="auto"/>
        <w:bottom w:val="none" w:sz="0" w:space="0" w:color="auto"/>
        <w:right w:val="none" w:sz="0" w:space="0" w:color="auto"/>
      </w:divBdr>
    </w:div>
    <w:div w:id="417019806">
      <w:bodyDiv w:val="1"/>
      <w:marLeft w:val="0"/>
      <w:marRight w:val="0"/>
      <w:marTop w:val="0"/>
      <w:marBottom w:val="0"/>
      <w:divBdr>
        <w:top w:val="none" w:sz="0" w:space="0" w:color="auto"/>
        <w:left w:val="none" w:sz="0" w:space="0" w:color="auto"/>
        <w:bottom w:val="none" w:sz="0" w:space="0" w:color="auto"/>
        <w:right w:val="none" w:sz="0" w:space="0" w:color="auto"/>
      </w:divBdr>
    </w:div>
    <w:div w:id="417606457">
      <w:bodyDiv w:val="1"/>
      <w:marLeft w:val="0"/>
      <w:marRight w:val="0"/>
      <w:marTop w:val="0"/>
      <w:marBottom w:val="0"/>
      <w:divBdr>
        <w:top w:val="none" w:sz="0" w:space="0" w:color="auto"/>
        <w:left w:val="none" w:sz="0" w:space="0" w:color="auto"/>
        <w:bottom w:val="none" w:sz="0" w:space="0" w:color="auto"/>
        <w:right w:val="none" w:sz="0" w:space="0" w:color="auto"/>
      </w:divBdr>
    </w:div>
    <w:div w:id="417752447">
      <w:bodyDiv w:val="1"/>
      <w:marLeft w:val="0"/>
      <w:marRight w:val="0"/>
      <w:marTop w:val="0"/>
      <w:marBottom w:val="0"/>
      <w:divBdr>
        <w:top w:val="none" w:sz="0" w:space="0" w:color="auto"/>
        <w:left w:val="none" w:sz="0" w:space="0" w:color="auto"/>
        <w:bottom w:val="none" w:sz="0" w:space="0" w:color="auto"/>
        <w:right w:val="none" w:sz="0" w:space="0" w:color="auto"/>
      </w:divBdr>
    </w:div>
    <w:div w:id="417868585">
      <w:bodyDiv w:val="1"/>
      <w:marLeft w:val="0"/>
      <w:marRight w:val="0"/>
      <w:marTop w:val="0"/>
      <w:marBottom w:val="0"/>
      <w:divBdr>
        <w:top w:val="none" w:sz="0" w:space="0" w:color="auto"/>
        <w:left w:val="none" w:sz="0" w:space="0" w:color="auto"/>
        <w:bottom w:val="none" w:sz="0" w:space="0" w:color="auto"/>
        <w:right w:val="none" w:sz="0" w:space="0" w:color="auto"/>
      </w:divBdr>
    </w:div>
    <w:div w:id="419447007">
      <w:bodyDiv w:val="1"/>
      <w:marLeft w:val="0"/>
      <w:marRight w:val="0"/>
      <w:marTop w:val="0"/>
      <w:marBottom w:val="0"/>
      <w:divBdr>
        <w:top w:val="none" w:sz="0" w:space="0" w:color="auto"/>
        <w:left w:val="none" w:sz="0" w:space="0" w:color="auto"/>
        <w:bottom w:val="none" w:sz="0" w:space="0" w:color="auto"/>
        <w:right w:val="none" w:sz="0" w:space="0" w:color="auto"/>
      </w:divBdr>
    </w:div>
    <w:div w:id="420486981">
      <w:bodyDiv w:val="1"/>
      <w:marLeft w:val="0"/>
      <w:marRight w:val="0"/>
      <w:marTop w:val="0"/>
      <w:marBottom w:val="0"/>
      <w:divBdr>
        <w:top w:val="none" w:sz="0" w:space="0" w:color="auto"/>
        <w:left w:val="none" w:sz="0" w:space="0" w:color="auto"/>
        <w:bottom w:val="none" w:sz="0" w:space="0" w:color="auto"/>
        <w:right w:val="none" w:sz="0" w:space="0" w:color="auto"/>
      </w:divBdr>
    </w:div>
    <w:div w:id="420878994">
      <w:bodyDiv w:val="1"/>
      <w:marLeft w:val="0"/>
      <w:marRight w:val="0"/>
      <w:marTop w:val="0"/>
      <w:marBottom w:val="0"/>
      <w:divBdr>
        <w:top w:val="none" w:sz="0" w:space="0" w:color="auto"/>
        <w:left w:val="none" w:sz="0" w:space="0" w:color="auto"/>
        <w:bottom w:val="none" w:sz="0" w:space="0" w:color="auto"/>
        <w:right w:val="none" w:sz="0" w:space="0" w:color="auto"/>
      </w:divBdr>
    </w:div>
    <w:div w:id="421032790">
      <w:bodyDiv w:val="1"/>
      <w:marLeft w:val="0"/>
      <w:marRight w:val="0"/>
      <w:marTop w:val="0"/>
      <w:marBottom w:val="0"/>
      <w:divBdr>
        <w:top w:val="none" w:sz="0" w:space="0" w:color="auto"/>
        <w:left w:val="none" w:sz="0" w:space="0" w:color="auto"/>
        <w:bottom w:val="none" w:sz="0" w:space="0" w:color="auto"/>
        <w:right w:val="none" w:sz="0" w:space="0" w:color="auto"/>
      </w:divBdr>
    </w:div>
    <w:div w:id="421073057">
      <w:bodyDiv w:val="1"/>
      <w:marLeft w:val="0"/>
      <w:marRight w:val="0"/>
      <w:marTop w:val="0"/>
      <w:marBottom w:val="0"/>
      <w:divBdr>
        <w:top w:val="none" w:sz="0" w:space="0" w:color="auto"/>
        <w:left w:val="none" w:sz="0" w:space="0" w:color="auto"/>
        <w:bottom w:val="none" w:sz="0" w:space="0" w:color="auto"/>
        <w:right w:val="none" w:sz="0" w:space="0" w:color="auto"/>
      </w:divBdr>
    </w:div>
    <w:div w:id="421099413">
      <w:bodyDiv w:val="1"/>
      <w:marLeft w:val="0"/>
      <w:marRight w:val="0"/>
      <w:marTop w:val="0"/>
      <w:marBottom w:val="0"/>
      <w:divBdr>
        <w:top w:val="none" w:sz="0" w:space="0" w:color="auto"/>
        <w:left w:val="none" w:sz="0" w:space="0" w:color="auto"/>
        <w:bottom w:val="none" w:sz="0" w:space="0" w:color="auto"/>
        <w:right w:val="none" w:sz="0" w:space="0" w:color="auto"/>
      </w:divBdr>
    </w:div>
    <w:div w:id="421267814">
      <w:bodyDiv w:val="1"/>
      <w:marLeft w:val="0"/>
      <w:marRight w:val="0"/>
      <w:marTop w:val="0"/>
      <w:marBottom w:val="0"/>
      <w:divBdr>
        <w:top w:val="none" w:sz="0" w:space="0" w:color="auto"/>
        <w:left w:val="none" w:sz="0" w:space="0" w:color="auto"/>
        <w:bottom w:val="none" w:sz="0" w:space="0" w:color="auto"/>
        <w:right w:val="none" w:sz="0" w:space="0" w:color="auto"/>
      </w:divBdr>
    </w:div>
    <w:div w:id="421877090">
      <w:bodyDiv w:val="1"/>
      <w:marLeft w:val="0"/>
      <w:marRight w:val="0"/>
      <w:marTop w:val="0"/>
      <w:marBottom w:val="0"/>
      <w:divBdr>
        <w:top w:val="none" w:sz="0" w:space="0" w:color="auto"/>
        <w:left w:val="none" w:sz="0" w:space="0" w:color="auto"/>
        <w:bottom w:val="none" w:sz="0" w:space="0" w:color="auto"/>
        <w:right w:val="none" w:sz="0" w:space="0" w:color="auto"/>
      </w:divBdr>
    </w:div>
    <w:div w:id="422460728">
      <w:bodyDiv w:val="1"/>
      <w:marLeft w:val="0"/>
      <w:marRight w:val="0"/>
      <w:marTop w:val="0"/>
      <w:marBottom w:val="0"/>
      <w:divBdr>
        <w:top w:val="none" w:sz="0" w:space="0" w:color="auto"/>
        <w:left w:val="none" w:sz="0" w:space="0" w:color="auto"/>
        <w:bottom w:val="none" w:sz="0" w:space="0" w:color="auto"/>
        <w:right w:val="none" w:sz="0" w:space="0" w:color="auto"/>
      </w:divBdr>
    </w:div>
    <w:div w:id="422992792">
      <w:bodyDiv w:val="1"/>
      <w:marLeft w:val="0"/>
      <w:marRight w:val="0"/>
      <w:marTop w:val="0"/>
      <w:marBottom w:val="0"/>
      <w:divBdr>
        <w:top w:val="none" w:sz="0" w:space="0" w:color="auto"/>
        <w:left w:val="none" w:sz="0" w:space="0" w:color="auto"/>
        <w:bottom w:val="none" w:sz="0" w:space="0" w:color="auto"/>
        <w:right w:val="none" w:sz="0" w:space="0" w:color="auto"/>
      </w:divBdr>
    </w:div>
    <w:div w:id="423115353">
      <w:bodyDiv w:val="1"/>
      <w:marLeft w:val="0"/>
      <w:marRight w:val="0"/>
      <w:marTop w:val="0"/>
      <w:marBottom w:val="0"/>
      <w:divBdr>
        <w:top w:val="none" w:sz="0" w:space="0" w:color="auto"/>
        <w:left w:val="none" w:sz="0" w:space="0" w:color="auto"/>
        <w:bottom w:val="none" w:sz="0" w:space="0" w:color="auto"/>
        <w:right w:val="none" w:sz="0" w:space="0" w:color="auto"/>
      </w:divBdr>
    </w:div>
    <w:div w:id="423645083">
      <w:bodyDiv w:val="1"/>
      <w:marLeft w:val="0"/>
      <w:marRight w:val="0"/>
      <w:marTop w:val="0"/>
      <w:marBottom w:val="0"/>
      <w:divBdr>
        <w:top w:val="none" w:sz="0" w:space="0" w:color="auto"/>
        <w:left w:val="none" w:sz="0" w:space="0" w:color="auto"/>
        <w:bottom w:val="none" w:sz="0" w:space="0" w:color="auto"/>
        <w:right w:val="none" w:sz="0" w:space="0" w:color="auto"/>
      </w:divBdr>
    </w:div>
    <w:div w:id="423645285">
      <w:bodyDiv w:val="1"/>
      <w:marLeft w:val="0"/>
      <w:marRight w:val="0"/>
      <w:marTop w:val="0"/>
      <w:marBottom w:val="0"/>
      <w:divBdr>
        <w:top w:val="none" w:sz="0" w:space="0" w:color="auto"/>
        <w:left w:val="none" w:sz="0" w:space="0" w:color="auto"/>
        <w:bottom w:val="none" w:sz="0" w:space="0" w:color="auto"/>
        <w:right w:val="none" w:sz="0" w:space="0" w:color="auto"/>
      </w:divBdr>
    </w:div>
    <w:div w:id="424033259">
      <w:bodyDiv w:val="1"/>
      <w:marLeft w:val="0"/>
      <w:marRight w:val="0"/>
      <w:marTop w:val="0"/>
      <w:marBottom w:val="0"/>
      <w:divBdr>
        <w:top w:val="none" w:sz="0" w:space="0" w:color="auto"/>
        <w:left w:val="none" w:sz="0" w:space="0" w:color="auto"/>
        <w:bottom w:val="none" w:sz="0" w:space="0" w:color="auto"/>
        <w:right w:val="none" w:sz="0" w:space="0" w:color="auto"/>
      </w:divBdr>
    </w:div>
    <w:div w:id="424109648">
      <w:bodyDiv w:val="1"/>
      <w:marLeft w:val="0"/>
      <w:marRight w:val="0"/>
      <w:marTop w:val="0"/>
      <w:marBottom w:val="0"/>
      <w:divBdr>
        <w:top w:val="none" w:sz="0" w:space="0" w:color="auto"/>
        <w:left w:val="none" w:sz="0" w:space="0" w:color="auto"/>
        <w:bottom w:val="none" w:sz="0" w:space="0" w:color="auto"/>
        <w:right w:val="none" w:sz="0" w:space="0" w:color="auto"/>
      </w:divBdr>
    </w:div>
    <w:div w:id="424114688">
      <w:bodyDiv w:val="1"/>
      <w:marLeft w:val="0"/>
      <w:marRight w:val="0"/>
      <w:marTop w:val="0"/>
      <w:marBottom w:val="0"/>
      <w:divBdr>
        <w:top w:val="none" w:sz="0" w:space="0" w:color="auto"/>
        <w:left w:val="none" w:sz="0" w:space="0" w:color="auto"/>
        <w:bottom w:val="none" w:sz="0" w:space="0" w:color="auto"/>
        <w:right w:val="none" w:sz="0" w:space="0" w:color="auto"/>
      </w:divBdr>
    </w:div>
    <w:div w:id="424153980">
      <w:bodyDiv w:val="1"/>
      <w:marLeft w:val="0"/>
      <w:marRight w:val="0"/>
      <w:marTop w:val="0"/>
      <w:marBottom w:val="0"/>
      <w:divBdr>
        <w:top w:val="none" w:sz="0" w:space="0" w:color="auto"/>
        <w:left w:val="none" w:sz="0" w:space="0" w:color="auto"/>
        <w:bottom w:val="none" w:sz="0" w:space="0" w:color="auto"/>
        <w:right w:val="none" w:sz="0" w:space="0" w:color="auto"/>
      </w:divBdr>
    </w:div>
    <w:div w:id="424765962">
      <w:bodyDiv w:val="1"/>
      <w:marLeft w:val="0"/>
      <w:marRight w:val="0"/>
      <w:marTop w:val="0"/>
      <w:marBottom w:val="0"/>
      <w:divBdr>
        <w:top w:val="none" w:sz="0" w:space="0" w:color="auto"/>
        <w:left w:val="none" w:sz="0" w:space="0" w:color="auto"/>
        <w:bottom w:val="none" w:sz="0" w:space="0" w:color="auto"/>
        <w:right w:val="none" w:sz="0" w:space="0" w:color="auto"/>
      </w:divBdr>
    </w:div>
    <w:div w:id="424770850">
      <w:bodyDiv w:val="1"/>
      <w:marLeft w:val="0"/>
      <w:marRight w:val="0"/>
      <w:marTop w:val="0"/>
      <w:marBottom w:val="0"/>
      <w:divBdr>
        <w:top w:val="none" w:sz="0" w:space="0" w:color="auto"/>
        <w:left w:val="none" w:sz="0" w:space="0" w:color="auto"/>
        <w:bottom w:val="none" w:sz="0" w:space="0" w:color="auto"/>
        <w:right w:val="none" w:sz="0" w:space="0" w:color="auto"/>
      </w:divBdr>
    </w:div>
    <w:div w:id="426923381">
      <w:bodyDiv w:val="1"/>
      <w:marLeft w:val="0"/>
      <w:marRight w:val="0"/>
      <w:marTop w:val="0"/>
      <w:marBottom w:val="0"/>
      <w:divBdr>
        <w:top w:val="none" w:sz="0" w:space="0" w:color="auto"/>
        <w:left w:val="none" w:sz="0" w:space="0" w:color="auto"/>
        <w:bottom w:val="none" w:sz="0" w:space="0" w:color="auto"/>
        <w:right w:val="none" w:sz="0" w:space="0" w:color="auto"/>
      </w:divBdr>
    </w:div>
    <w:div w:id="427626345">
      <w:bodyDiv w:val="1"/>
      <w:marLeft w:val="0"/>
      <w:marRight w:val="0"/>
      <w:marTop w:val="0"/>
      <w:marBottom w:val="0"/>
      <w:divBdr>
        <w:top w:val="none" w:sz="0" w:space="0" w:color="auto"/>
        <w:left w:val="none" w:sz="0" w:space="0" w:color="auto"/>
        <w:bottom w:val="none" w:sz="0" w:space="0" w:color="auto"/>
        <w:right w:val="none" w:sz="0" w:space="0" w:color="auto"/>
      </w:divBdr>
    </w:div>
    <w:div w:id="427778808">
      <w:bodyDiv w:val="1"/>
      <w:marLeft w:val="0"/>
      <w:marRight w:val="0"/>
      <w:marTop w:val="0"/>
      <w:marBottom w:val="0"/>
      <w:divBdr>
        <w:top w:val="none" w:sz="0" w:space="0" w:color="auto"/>
        <w:left w:val="none" w:sz="0" w:space="0" w:color="auto"/>
        <w:bottom w:val="none" w:sz="0" w:space="0" w:color="auto"/>
        <w:right w:val="none" w:sz="0" w:space="0" w:color="auto"/>
      </w:divBdr>
    </w:div>
    <w:div w:id="428157964">
      <w:bodyDiv w:val="1"/>
      <w:marLeft w:val="0"/>
      <w:marRight w:val="0"/>
      <w:marTop w:val="0"/>
      <w:marBottom w:val="0"/>
      <w:divBdr>
        <w:top w:val="none" w:sz="0" w:space="0" w:color="auto"/>
        <w:left w:val="none" w:sz="0" w:space="0" w:color="auto"/>
        <w:bottom w:val="none" w:sz="0" w:space="0" w:color="auto"/>
        <w:right w:val="none" w:sz="0" w:space="0" w:color="auto"/>
      </w:divBdr>
    </w:div>
    <w:div w:id="428308145">
      <w:bodyDiv w:val="1"/>
      <w:marLeft w:val="0"/>
      <w:marRight w:val="0"/>
      <w:marTop w:val="0"/>
      <w:marBottom w:val="0"/>
      <w:divBdr>
        <w:top w:val="none" w:sz="0" w:space="0" w:color="auto"/>
        <w:left w:val="none" w:sz="0" w:space="0" w:color="auto"/>
        <w:bottom w:val="none" w:sz="0" w:space="0" w:color="auto"/>
        <w:right w:val="none" w:sz="0" w:space="0" w:color="auto"/>
      </w:divBdr>
    </w:div>
    <w:div w:id="428429557">
      <w:bodyDiv w:val="1"/>
      <w:marLeft w:val="0"/>
      <w:marRight w:val="0"/>
      <w:marTop w:val="0"/>
      <w:marBottom w:val="0"/>
      <w:divBdr>
        <w:top w:val="none" w:sz="0" w:space="0" w:color="auto"/>
        <w:left w:val="none" w:sz="0" w:space="0" w:color="auto"/>
        <w:bottom w:val="none" w:sz="0" w:space="0" w:color="auto"/>
        <w:right w:val="none" w:sz="0" w:space="0" w:color="auto"/>
      </w:divBdr>
    </w:div>
    <w:div w:id="428550898">
      <w:bodyDiv w:val="1"/>
      <w:marLeft w:val="0"/>
      <w:marRight w:val="0"/>
      <w:marTop w:val="0"/>
      <w:marBottom w:val="0"/>
      <w:divBdr>
        <w:top w:val="none" w:sz="0" w:space="0" w:color="auto"/>
        <w:left w:val="none" w:sz="0" w:space="0" w:color="auto"/>
        <w:bottom w:val="none" w:sz="0" w:space="0" w:color="auto"/>
        <w:right w:val="none" w:sz="0" w:space="0" w:color="auto"/>
      </w:divBdr>
    </w:div>
    <w:div w:id="428623133">
      <w:bodyDiv w:val="1"/>
      <w:marLeft w:val="0"/>
      <w:marRight w:val="0"/>
      <w:marTop w:val="0"/>
      <w:marBottom w:val="0"/>
      <w:divBdr>
        <w:top w:val="none" w:sz="0" w:space="0" w:color="auto"/>
        <w:left w:val="none" w:sz="0" w:space="0" w:color="auto"/>
        <w:bottom w:val="none" w:sz="0" w:space="0" w:color="auto"/>
        <w:right w:val="none" w:sz="0" w:space="0" w:color="auto"/>
      </w:divBdr>
    </w:div>
    <w:div w:id="428739264">
      <w:bodyDiv w:val="1"/>
      <w:marLeft w:val="0"/>
      <w:marRight w:val="0"/>
      <w:marTop w:val="0"/>
      <w:marBottom w:val="0"/>
      <w:divBdr>
        <w:top w:val="none" w:sz="0" w:space="0" w:color="auto"/>
        <w:left w:val="none" w:sz="0" w:space="0" w:color="auto"/>
        <w:bottom w:val="none" w:sz="0" w:space="0" w:color="auto"/>
        <w:right w:val="none" w:sz="0" w:space="0" w:color="auto"/>
      </w:divBdr>
    </w:div>
    <w:div w:id="429010718">
      <w:bodyDiv w:val="1"/>
      <w:marLeft w:val="0"/>
      <w:marRight w:val="0"/>
      <w:marTop w:val="0"/>
      <w:marBottom w:val="0"/>
      <w:divBdr>
        <w:top w:val="none" w:sz="0" w:space="0" w:color="auto"/>
        <w:left w:val="none" w:sz="0" w:space="0" w:color="auto"/>
        <w:bottom w:val="none" w:sz="0" w:space="0" w:color="auto"/>
        <w:right w:val="none" w:sz="0" w:space="0" w:color="auto"/>
      </w:divBdr>
    </w:div>
    <w:div w:id="429591049">
      <w:bodyDiv w:val="1"/>
      <w:marLeft w:val="0"/>
      <w:marRight w:val="0"/>
      <w:marTop w:val="0"/>
      <w:marBottom w:val="0"/>
      <w:divBdr>
        <w:top w:val="none" w:sz="0" w:space="0" w:color="auto"/>
        <w:left w:val="none" w:sz="0" w:space="0" w:color="auto"/>
        <w:bottom w:val="none" w:sz="0" w:space="0" w:color="auto"/>
        <w:right w:val="none" w:sz="0" w:space="0" w:color="auto"/>
      </w:divBdr>
    </w:div>
    <w:div w:id="430205158">
      <w:bodyDiv w:val="1"/>
      <w:marLeft w:val="0"/>
      <w:marRight w:val="0"/>
      <w:marTop w:val="0"/>
      <w:marBottom w:val="0"/>
      <w:divBdr>
        <w:top w:val="none" w:sz="0" w:space="0" w:color="auto"/>
        <w:left w:val="none" w:sz="0" w:space="0" w:color="auto"/>
        <w:bottom w:val="none" w:sz="0" w:space="0" w:color="auto"/>
        <w:right w:val="none" w:sz="0" w:space="0" w:color="auto"/>
      </w:divBdr>
    </w:div>
    <w:div w:id="430273928">
      <w:bodyDiv w:val="1"/>
      <w:marLeft w:val="0"/>
      <w:marRight w:val="0"/>
      <w:marTop w:val="0"/>
      <w:marBottom w:val="0"/>
      <w:divBdr>
        <w:top w:val="none" w:sz="0" w:space="0" w:color="auto"/>
        <w:left w:val="none" w:sz="0" w:space="0" w:color="auto"/>
        <w:bottom w:val="none" w:sz="0" w:space="0" w:color="auto"/>
        <w:right w:val="none" w:sz="0" w:space="0" w:color="auto"/>
      </w:divBdr>
    </w:div>
    <w:div w:id="432095459">
      <w:bodyDiv w:val="1"/>
      <w:marLeft w:val="0"/>
      <w:marRight w:val="0"/>
      <w:marTop w:val="0"/>
      <w:marBottom w:val="0"/>
      <w:divBdr>
        <w:top w:val="none" w:sz="0" w:space="0" w:color="auto"/>
        <w:left w:val="none" w:sz="0" w:space="0" w:color="auto"/>
        <w:bottom w:val="none" w:sz="0" w:space="0" w:color="auto"/>
        <w:right w:val="none" w:sz="0" w:space="0" w:color="auto"/>
      </w:divBdr>
    </w:div>
    <w:div w:id="432286684">
      <w:bodyDiv w:val="1"/>
      <w:marLeft w:val="0"/>
      <w:marRight w:val="0"/>
      <w:marTop w:val="0"/>
      <w:marBottom w:val="0"/>
      <w:divBdr>
        <w:top w:val="none" w:sz="0" w:space="0" w:color="auto"/>
        <w:left w:val="none" w:sz="0" w:space="0" w:color="auto"/>
        <w:bottom w:val="none" w:sz="0" w:space="0" w:color="auto"/>
        <w:right w:val="none" w:sz="0" w:space="0" w:color="auto"/>
      </w:divBdr>
    </w:div>
    <w:div w:id="432550960">
      <w:bodyDiv w:val="1"/>
      <w:marLeft w:val="0"/>
      <w:marRight w:val="0"/>
      <w:marTop w:val="0"/>
      <w:marBottom w:val="0"/>
      <w:divBdr>
        <w:top w:val="none" w:sz="0" w:space="0" w:color="auto"/>
        <w:left w:val="none" w:sz="0" w:space="0" w:color="auto"/>
        <w:bottom w:val="none" w:sz="0" w:space="0" w:color="auto"/>
        <w:right w:val="none" w:sz="0" w:space="0" w:color="auto"/>
      </w:divBdr>
    </w:div>
    <w:div w:id="432669782">
      <w:bodyDiv w:val="1"/>
      <w:marLeft w:val="0"/>
      <w:marRight w:val="0"/>
      <w:marTop w:val="0"/>
      <w:marBottom w:val="0"/>
      <w:divBdr>
        <w:top w:val="none" w:sz="0" w:space="0" w:color="auto"/>
        <w:left w:val="none" w:sz="0" w:space="0" w:color="auto"/>
        <w:bottom w:val="none" w:sz="0" w:space="0" w:color="auto"/>
        <w:right w:val="none" w:sz="0" w:space="0" w:color="auto"/>
      </w:divBdr>
    </w:div>
    <w:div w:id="433793541">
      <w:bodyDiv w:val="1"/>
      <w:marLeft w:val="0"/>
      <w:marRight w:val="0"/>
      <w:marTop w:val="0"/>
      <w:marBottom w:val="0"/>
      <w:divBdr>
        <w:top w:val="none" w:sz="0" w:space="0" w:color="auto"/>
        <w:left w:val="none" w:sz="0" w:space="0" w:color="auto"/>
        <w:bottom w:val="none" w:sz="0" w:space="0" w:color="auto"/>
        <w:right w:val="none" w:sz="0" w:space="0" w:color="auto"/>
      </w:divBdr>
    </w:div>
    <w:div w:id="434060329">
      <w:bodyDiv w:val="1"/>
      <w:marLeft w:val="0"/>
      <w:marRight w:val="0"/>
      <w:marTop w:val="0"/>
      <w:marBottom w:val="0"/>
      <w:divBdr>
        <w:top w:val="none" w:sz="0" w:space="0" w:color="auto"/>
        <w:left w:val="none" w:sz="0" w:space="0" w:color="auto"/>
        <w:bottom w:val="none" w:sz="0" w:space="0" w:color="auto"/>
        <w:right w:val="none" w:sz="0" w:space="0" w:color="auto"/>
      </w:divBdr>
    </w:div>
    <w:div w:id="434594686">
      <w:bodyDiv w:val="1"/>
      <w:marLeft w:val="0"/>
      <w:marRight w:val="0"/>
      <w:marTop w:val="0"/>
      <w:marBottom w:val="0"/>
      <w:divBdr>
        <w:top w:val="none" w:sz="0" w:space="0" w:color="auto"/>
        <w:left w:val="none" w:sz="0" w:space="0" w:color="auto"/>
        <w:bottom w:val="none" w:sz="0" w:space="0" w:color="auto"/>
        <w:right w:val="none" w:sz="0" w:space="0" w:color="auto"/>
      </w:divBdr>
    </w:div>
    <w:div w:id="434711750">
      <w:bodyDiv w:val="1"/>
      <w:marLeft w:val="0"/>
      <w:marRight w:val="0"/>
      <w:marTop w:val="0"/>
      <w:marBottom w:val="0"/>
      <w:divBdr>
        <w:top w:val="none" w:sz="0" w:space="0" w:color="auto"/>
        <w:left w:val="none" w:sz="0" w:space="0" w:color="auto"/>
        <w:bottom w:val="none" w:sz="0" w:space="0" w:color="auto"/>
        <w:right w:val="none" w:sz="0" w:space="0" w:color="auto"/>
      </w:divBdr>
    </w:div>
    <w:div w:id="434983068">
      <w:bodyDiv w:val="1"/>
      <w:marLeft w:val="0"/>
      <w:marRight w:val="0"/>
      <w:marTop w:val="0"/>
      <w:marBottom w:val="0"/>
      <w:divBdr>
        <w:top w:val="none" w:sz="0" w:space="0" w:color="auto"/>
        <w:left w:val="none" w:sz="0" w:space="0" w:color="auto"/>
        <w:bottom w:val="none" w:sz="0" w:space="0" w:color="auto"/>
        <w:right w:val="none" w:sz="0" w:space="0" w:color="auto"/>
      </w:divBdr>
    </w:div>
    <w:div w:id="435056162">
      <w:bodyDiv w:val="1"/>
      <w:marLeft w:val="0"/>
      <w:marRight w:val="0"/>
      <w:marTop w:val="0"/>
      <w:marBottom w:val="0"/>
      <w:divBdr>
        <w:top w:val="none" w:sz="0" w:space="0" w:color="auto"/>
        <w:left w:val="none" w:sz="0" w:space="0" w:color="auto"/>
        <w:bottom w:val="none" w:sz="0" w:space="0" w:color="auto"/>
        <w:right w:val="none" w:sz="0" w:space="0" w:color="auto"/>
      </w:divBdr>
    </w:div>
    <w:div w:id="435947879">
      <w:bodyDiv w:val="1"/>
      <w:marLeft w:val="0"/>
      <w:marRight w:val="0"/>
      <w:marTop w:val="0"/>
      <w:marBottom w:val="0"/>
      <w:divBdr>
        <w:top w:val="none" w:sz="0" w:space="0" w:color="auto"/>
        <w:left w:val="none" w:sz="0" w:space="0" w:color="auto"/>
        <w:bottom w:val="none" w:sz="0" w:space="0" w:color="auto"/>
        <w:right w:val="none" w:sz="0" w:space="0" w:color="auto"/>
      </w:divBdr>
    </w:div>
    <w:div w:id="436489874">
      <w:bodyDiv w:val="1"/>
      <w:marLeft w:val="0"/>
      <w:marRight w:val="0"/>
      <w:marTop w:val="0"/>
      <w:marBottom w:val="0"/>
      <w:divBdr>
        <w:top w:val="none" w:sz="0" w:space="0" w:color="auto"/>
        <w:left w:val="none" w:sz="0" w:space="0" w:color="auto"/>
        <w:bottom w:val="none" w:sz="0" w:space="0" w:color="auto"/>
        <w:right w:val="none" w:sz="0" w:space="0" w:color="auto"/>
      </w:divBdr>
    </w:div>
    <w:div w:id="437483900">
      <w:bodyDiv w:val="1"/>
      <w:marLeft w:val="0"/>
      <w:marRight w:val="0"/>
      <w:marTop w:val="0"/>
      <w:marBottom w:val="0"/>
      <w:divBdr>
        <w:top w:val="none" w:sz="0" w:space="0" w:color="auto"/>
        <w:left w:val="none" w:sz="0" w:space="0" w:color="auto"/>
        <w:bottom w:val="none" w:sz="0" w:space="0" w:color="auto"/>
        <w:right w:val="none" w:sz="0" w:space="0" w:color="auto"/>
      </w:divBdr>
    </w:div>
    <w:div w:id="438373147">
      <w:bodyDiv w:val="1"/>
      <w:marLeft w:val="0"/>
      <w:marRight w:val="0"/>
      <w:marTop w:val="0"/>
      <w:marBottom w:val="0"/>
      <w:divBdr>
        <w:top w:val="none" w:sz="0" w:space="0" w:color="auto"/>
        <w:left w:val="none" w:sz="0" w:space="0" w:color="auto"/>
        <w:bottom w:val="none" w:sz="0" w:space="0" w:color="auto"/>
        <w:right w:val="none" w:sz="0" w:space="0" w:color="auto"/>
      </w:divBdr>
    </w:div>
    <w:div w:id="438568001">
      <w:bodyDiv w:val="1"/>
      <w:marLeft w:val="0"/>
      <w:marRight w:val="0"/>
      <w:marTop w:val="0"/>
      <w:marBottom w:val="0"/>
      <w:divBdr>
        <w:top w:val="none" w:sz="0" w:space="0" w:color="auto"/>
        <w:left w:val="none" w:sz="0" w:space="0" w:color="auto"/>
        <w:bottom w:val="none" w:sz="0" w:space="0" w:color="auto"/>
        <w:right w:val="none" w:sz="0" w:space="0" w:color="auto"/>
      </w:divBdr>
    </w:div>
    <w:div w:id="439566570">
      <w:bodyDiv w:val="1"/>
      <w:marLeft w:val="0"/>
      <w:marRight w:val="0"/>
      <w:marTop w:val="0"/>
      <w:marBottom w:val="0"/>
      <w:divBdr>
        <w:top w:val="none" w:sz="0" w:space="0" w:color="auto"/>
        <w:left w:val="none" w:sz="0" w:space="0" w:color="auto"/>
        <w:bottom w:val="none" w:sz="0" w:space="0" w:color="auto"/>
        <w:right w:val="none" w:sz="0" w:space="0" w:color="auto"/>
      </w:divBdr>
    </w:div>
    <w:div w:id="440422281">
      <w:bodyDiv w:val="1"/>
      <w:marLeft w:val="0"/>
      <w:marRight w:val="0"/>
      <w:marTop w:val="0"/>
      <w:marBottom w:val="0"/>
      <w:divBdr>
        <w:top w:val="none" w:sz="0" w:space="0" w:color="auto"/>
        <w:left w:val="none" w:sz="0" w:space="0" w:color="auto"/>
        <w:bottom w:val="none" w:sz="0" w:space="0" w:color="auto"/>
        <w:right w:val="none" w:sz="0" w:space="0" w:color="auto"/>
      </w:divBdr>
    </w:div>
    <w:div w:id="440995542">
      <w:bodyDiv w:val="1"/>
      <w:marLeft w:val="0"/>
      <w:marRight w:val="0"/>
      <w:marTop w:val="0"/>
      <w:marBottom w:val="0"/>
      <w:divBdr>
        <w:top w:val="none" w:sz="0" w:space="0" w:color="auto"/>
        <w:left w:val="none" w:sz="0" w:space="0" w:color="auto"/>
        <w:bottom w:val="none" w:sz="0" w:space="0" w:color="auto"/>
        <w:right w:val="none" w:sz="0" w:space="0" w:color="auto"/>
      </w:divBdr>
    </w:div>
    <w:div w:id="441262914">
      <w:bodyDiv w:val="1"/>
      <w:marLeft w:val="0"/>
      <w:marRight w:val="0"/>
      <w:marTop w:val="0"/>
      <w:marBottom w:val="0"/>
      <w:divBdr>
        <w:top w:val="none" w:sz="0" w:space="0" w:color="auto"/>
        <w:left w:val="none" w:sz="0" w:space="0" w:color="auto"/>
        <w:bottom w:val="none" w:sz="0" w:space="0" w:color="auto"/>
        <w:right w:val="none" w:sz="0" w:space="0" w:color="auto"/>
      </w:divBdr>
    </w:div>
    <w:div w:id="441345755">
      <w:bodyDiv w:val="1"/>
      <w:marLeft w:val="0"/>
      <w:marRight w:val="0"/>
      <w:marTop w:val="0"/>
      <w:marBottom w:val="0"/>
      <w:divBdr>
        <w:top w:val="none" w:sz="0" w:space="0" w:color="auto"/>
        <w:left w:val="none" w:sz="0" w:space="0" w:color="auto"/>
        <w:bottom w:val="none" w:sz="0" w:space="0" w:color="auto"/>
        <w:right w:val="none" w:sz="0" w:space="0" w:color="auto"/>
      </w:divBdr>
    </w:div>
    <w:div w:id="441464829">
      <w:bodyDiv w:val="1"/>
      <w:marLeft w:val="0"/>
      <w:marRight w:val="0"/>
      <w:marTop w:val="0"/>
      <w:marBottom w:val="0"/>
      <w:divBdr>
        <w:top w:val="none" w:sz="0" w:space="0" w:color="auto"/>
        <w:left w:val="none" w:sz="0" w:space="0" w:color="auto"/>
        <w:bottom w:val="none" w:sz="0" w:space="0" w:color="auto"/>
        <w:right w:val="none" w:sz="0" w:space="0" w:color="auto"/>
      </w:divBdr>
    </w:div>
    <w:div w:id="441649358">
      <w:bodyDiv w:val="1"/>
      <w:marLeft w:val="0"/>
      <w:marRight w:val="0"/>
      <w:marTop w:val="0"/>
      <w:marBottom w:val="0"/>
      <w:divBdr>
        <w:top w:val="none" w:sz="0" w:space="0" w:color="auto"/>
        <w:left w:val="none" w:sz="0" w:space="0" w:color="auto"/>
        <w:bottom w:val="none" w:sz="0" w:space="0" w:color="auto"/>
        <w:right w:val="none" w:sz="0" w:space="0" w:color="auto"/>
      </w:divBdr>
    </w:div>
    <w:div w:id="442044819">
      <w:bodyDiv w:val="1"/>
      <w:marLeft w:val="0"/>
      <w:marRight w:val="0"/>
      <w:marTop w:val="0"/>
      <w:marBottom w:val="0"/>
      <w:divBdr>
        <w:top w:val="none" w:sz="0" w:space="0" w:color="auto"/>
        <w:left w:val="none" w:sz="0" w:space="0" w:color="auto"/>
        <w:bottom w:val="none" w:sz="0" w:space="0" w:color="auto"/>
        <w:right w:val="none" w:sz="0" w:space="0" w:color="auto"/>
      </w:divBdr>
    </w:div>
    <w:div w:id="442110823">
      <w:bodyDiv w:val="1"/>
      <w:marLeft w:val="0"/>
      <w:marRight w:val="0"/>
      <w:marTop w:val="0"/>
      <w:marBottom w:val="0"/>
      <w:divBdr>
        <w:top w:val="none" w:sz="0" w:space="0" w:color="auto"/>
        <w:left w:val="none" w:sz="0" w:space="0" w:color="auto"/>
        <w:bottom w:val="none" w:sz="0" w:space="0" w:color="auto"/>
        <w:right w:val="none" w:sz="0" w:space="0" w:color="auto"/>
      </w:divBdr>
    </w:div>
    <w:div w:id="442119019">
      <w:bodyDiv w:val="1"/>
      <w:marLeft w:val="0"/>
      <w:marRight w:val="0"/>
      <w:marTop w:val="0"/>
      <w:marBottom w:val="0"/>
      <w:divBdr>
        <w:top w:val="none" w:sz="0" w:space="0" w:color="auto"/>
        <w:left w:val="none" w:sz="0" w:space="0" w:color="auto"/>
        <w:bottom w:val="none" w:sz="0" w:space="0" w:color="auto"/>
        <w:right w:val="none" w:sz="0" w:space="0" w:color="auto"/>
      </w:divBdr>
    </w:div>
    <w:div w:id="442455143">
      <w:bodyDiv w:val="1"/>
      <w:marLeft w:val="0"/>
      <w:marRight w:val="0"/>
      <w:marTop w:val="0"/>
      <w:marBottom w:val="0"/>
      <w:divBdr>
        <w:top w:val="none" w:sz="0" w:space="0" w:color="auto"/>
        <w:left w:val="none" w:sz="0" w:space="0" w:color="auto"/>
        <w:bottom w:val="none" w:sz="0" w:space="0" w:color="auto"/>
        <w:right w:val="none" w:sz="0" w:space="0" w:color="auto"/>
      </w:divBdr>
    </w:div>
    <w:div w:id="442576491">
      <w:bodyDiv w:val="1"/>
      <w:marLeft w:val="0"/>
      <w:marRight w:val="0"/>
      <w:marTop w:val="0"/>
      <w:marBottom w:val="0"/>
      <w:divBdr>
        <w:top w:val="none" w:sz="0" w:space="0" w:color="auto"/>
        <w:left w:val="none" w:sz="0" w:space="0" w:color="auto"/>
        <w:bottom w:val="none" w:sz="0" w:space="0" w:color="auto"/>
        <w:right w:val="none" w:sz="0" w:space="0" w:color="auto"/>
      </w:divBdr>
    </w:div>
    <w:div w:id="442723956">
      <w:bodyDiv w:val="1"/>
      <w:marLeft w:val="0"/>
      <w:marRight w:val="0"/>
      <w:marTop w:val="0"/>
      <w:marBottom w:val="0"/>
      <w:divBdr>
        <w:top w:val="none" w:sz="0" w:space="0" w:color="auto"/>
        <w:left w:val="none" w:sz="0" w:space="0" w:color="auto"/>
        <w:bottom w:val="none" w:sz="0" w:space="0" w:color="auto"/>
        <w:right w:val="none" w:sz="0" w:space="0" w:color="auto"/>
      </w:divBdr>
    </w:div>
    <w:div w:id="444815985">
      <w:bodyDiv w:val="1"/>
      <w:marLeft w:val="0"/>
      <w:marRight w:val="0"/>
      <w:marTop w:val="0"/>
      <w:marBottom w:val="0"/>
      <w:divBdr>
        <w:top w:val="none" w:sz="0" w:space="0" w:color="auto"/>
        <w:left w:val="none" w:sz="0" w:space="0" w:color="auto"/>
        <w:bottom w:val="none" w:sz="0" w:space="0" w:color="auto"/>
        <w:right w:val="none" w:sz="0" w:space="0" w:color="auto"/>
      </w:divBdr>
    </w:div>
    <w:div w:id="445387949">
      <w:bodyDiv w:val="1"/>
      <w:marLeft w:val="0"/>
      <w:marRight w:val="0"/>
      <w:marTop w:val="0"/>
      <w:marBottom w:val="0"/>
      <w:divBdr>
        <w:top w:val="none" w:sz="0" w:space="0" w:color="auto"/>
        <w:left w:val="none" w:sz="0" w:space="0" w:color="auto"/>
        <w:bottom w:val="none" w:sz="0" w:space="0" w:color="auto"/>
        <w:right w:val="none" w:sz="0" w:space="0" w:color="auto"/>
      </w:divBdr>
    </w:div>
    <w:div w:id="445731417">
      <w:bodyDiv w:val="1"/>
      <w:marLeft w:val="0"/>
      <w:marRight w:val="0"/>
      <w:marTop w:val="0"/>
      <w:marBottom w:val="0"/>
      <w:divBdr>
        <w:top w:val="none" w:sz="0" w:space="0" w:color="auto"/>
        <w:left w:val="none" w:sz="0" w:space="0" w:color="auto"/>
        <w:bottom w:val="none" w:sz="0" w:space="0" w:color="auto"/>
        <w:right w:val="none" w:sz="0" w:space="0" w:color="auto"/>
      </w:divBdr>
    </w:div>
    <w:div w:id="445854280">
      <w:bodyDiv w:val="1"/>
      <w:marLeft w:val="0"/>
      <w:marRight w:val="0"/>
      <w:marTop w:val="0"/>
      <w:marBottom w:val="0"/>
      <w:divBdr>
        <w:top w:val="none" w:sz="0" w:space="0" w:color="auto"/>
        <w:left w:val="none" w:sz="0" w:space="0" w:color="auto"/>
        <w:bottom w:val="none" w:sz="0" w:space="0" w:color="auto"/>
        <w:right w:val="none" w:sz="0" w:space="0" w:color="auto"/>
      </w:divBdr>
    </w:div>
    <w:div w:id="446196064">
      <w:bodyDiv w:val="1"/>
      <w:marLeft w:val="0"/>
      <w:marRight w:val="0"/>
      <w:marTop w:val="0"/>
      <w:marBottom w:val="0"/>
      <w:divBdr>
        <w:top w:val="none" w:sz="0" w:space="0" w:color="auto"/>
        <w:left w:val="none" w:sz="0" w:space="0" w:color="auto"/>
        <w:bottom w:val="none" w:sz="0" w:space="0" w:color="auto"/>
        <w:right w:val="none" w:sz="0" w:space="0" w:color="auto"/>
      </w:divBdr>
    </w:div>
    <w:div w:id="446431508">
      <w:bodyDiv w:val="1"/>
      <w:marLeft w:val="0"/>
      <w:marRight w:val="0"/>
      <w:marTop w:val="0"/>
      <w:marBottom w:val="0"/>
      <w:divBdr>
        <w:top w:val="none" w:sz="0" w:space="0" w:color="auto"/>
        <w:left w:val="none" w:sz="0" w:space="0" w:color="auto"/>
        <w:bottom w:val="none" w:sz="0" w:space="0" w:color="auto"/>
        <w:right w:val="none" w:sz="0" w:space="0" w:color="auto"/>
      </w:divBdr>
    </w:div>
    <w:div w:id="446703305">
      <w:bodyDiv w:val="1"/>
      <w:marLeft w:val="0"/>
      <w:marRight w:val="0"/>
      <w:marTop w:val="0"/>
      <w:marBottom w:val="0"/>
      <w:divBdr>
        <w:top w:val="none" w:sz="0" w:space="0" w:color="auto"/>
        <w:left w:val="none" w:sz="0" w:space="0" w:color="auto"/>
        <w:bottom w:val="none" w:sz="0" w:space="0" w:color="auto"/>
        <w:right w:val="none" w:sz="0" w:space="0" w:color="auto"/>
      </w:divBdr>
    </w:div>
    <w:div w:id="447703064">
      <w:bodyDiv w:val="1"/>
      <w:marLeft w:val="0"/>
      <w:marRight w:val="0"/>
      <w:marTop w:val="0"/>
      <w:marBottom w:val="0"/>
      <w:divBdr>
        <w:top w:val="none" w:sz="0" w:space="0" w:color="auto"/>
        <w:left w:val="none" w:sz="0" w:space="0" w:color="auto"/>
        <w:bottom w:val="none" w:sz="0" w:space="0" w:color="auto"/>
        <w:right w:val="none" w:sz="0" w:space="0" w:color="auto"/>
      </w:divBdr>
    </w:div>
    <w:div w:id="448160585">
      <w:bodyDiv w:val="1"/>
      <w:marLeft w:val="0"/>
      <w:marRight w:val="0"/>
      <w:marTop w:val="0"/>
      <w:marBottom w:val="0"/>
      <w:divBdr>
        <w:top w:val="none" w:sz="0" w:space="0" w:color="auto"/>
        <w:left w:val="none" w:sz="0" w:space="0" w:color="auto"/>
        <w:bottom w:val="none" w:sz="0" w:space="0" w:color="auto"/>
        <w:right w:val="none" w:sz="0" w:space="0" w:color="auto"/>
      </w:divBdr>
    </w:div>
    <w:div w:id="448356263">
      <w:bodyDiv w:val="1"/>
      <w:marLeft w:val="0"/>
      <w:marRight w:val="0"/>
      <w:marTop w:val="0"/>
      <w:marBottom w:val="0"/>
      <w:divBdr>
        <w:top w:val="none" w:sz="0" w:space="0" w:color="auto"/>
        <w:left w:val="none" w:sz="0" w:space="0" w:color="auto"/>
        <w:bottom w:val="none" w:sz="0" w:space="0" w:color="auto"/>
        <w:right w:val="none" w:sz="0" w:space="0" w:color="auto"/>
      </w:divBdr>
    </w:div>
    <w:div w:id="448746232">
      <w:bodyDiv w:val="1"/>
      <w:marLeft w:val="0"/>
      <w:marRight w:val="0"/>
      <w:marTop w:val="0"/>
      <w:marBottom w:val="0"/>
      <w:divBdr>
        <w:top w:val="none" w:sz="0" w:space="0" w:color="auto"/>
        <w:left w:val="none" w:sz="0" w:space="0" w:color="auto"/>
        <w:bottom w:val="none" w:sz="0" w:space="0" w:color="auto"/>
        <w:right w:val="none" w:sz="0" w:space="0" w:color="auto"/>
      </w:divBdr>
    </w:div>
    <w:div w:id="448940320">
      <w:bodyDiv w:val="1"/>
      <w:marLeft w:val="0"/>
      <w:marRight w:val="0"/>
      <w:marTop w:val="0"/>
      <w:marBottom w:val="0"/>
      <w:divBdr>
        <w:top w:val="none" w:sz="0" w:space="0" w:color="auto"/>
        <w:left w:val="none" w:sz="0" w:space="0" w:color="auto"/>
        <w:bottom w:val="none" w:sz="0" w:space="0" w:color="auto"/>
        <w:right w:val="none" w:sz="0" w:space="0" w:color="auto"/>
      </w:divBdr>
    </w:div>
    <w:div w:id="449281398">
      <w:bodyDiv w:val="1"/>
      <w:marLeft w:val="0"/>
      <w:marRight w:val="0"/>
      <w:marTop w:val="0"/>
      <w:marBottom w:val="0"/>
      <w:divBdr>
        <w:top w:val="none" w:sz="0" w:space="0" w:color="auto"/>
        <w:left w:val="none" w:sz="0" w:space="0" w:color="auto"/>
        <w:bottom w:val="none" w:sz="0" w:space="0" w:color="auto"/>
        <w:right w:val="none" w:sz="0" w:space="0" w:color="auto"/>
      </w:divBdr>
    </w:div>
    <w:div w:id="449396211">
      <w:bodyDiv w:val="1"/>
      <w:marLeft w:val="0"/>
      <w:marRight w:val="0"/>
      <w:marTop w:val="0"/>
      <w:marBottom w:val="0"/>
      <w:divBdr>
        <w:top w:val="none" w:sz="0" w:space="0" w:color="auto"/>
        <w:left w:val="none" w:sz="0" w:space="0" w:color="auto"/>
        <w:bottom w:val="none" w:sz="0" w:space="0" w:color="auto"/>
        <w:right w:val="none" w:sz="0" w:space="0" w:color="auto"/>
      </w:divBdr>
    </w:div>
    <w:div w:id="449974434">
      <w:bodyDiv w:val="1"/>
      <w:marLeft w:val="0"/>
      <w:marRight w:val="0"/>
      <w:marTop w:val="0"/>
      <w:marBottom w:val="0"/>
      <w:divBdr>
        <w:top w:val="none" w:sz="0" w:space="0" w:color="auto"/>
        <w:left w:val="none" w:sz="0" w:space="0" w:color="auto"/>
        <w:bottom w:val="none" w:sz="0" w:space="0" w:color="auto"/>
        <w:right w:val="none" w:sz="0" w:space="0" w:color="auto"/>
      </w:divBdr>
    </w:div>
    <w:div w:id="450393304">
      <w:bodyDiv w:val="1"/>
      <w:marLeft w:val="0"/>
      <w:marRight w:val="0"/>
      <w:marTop w:val="0"/>
      <w:marBottom w:val="0"/>
      <w:divBdr>
        <w:top w:val="none" w:sz="0" w:space="0" w:color="auto"/>
        <w:left w:val="none" w:sz="0" w:space="0" w:color="auto"/>
        <w:bottom w:val="none" w:sz="0" w:space="0" w:color="auto"/>
        <w:right w:val="none" w:sz="0" w:space="0" w:color="auto"/>
      </w:divBdr>
    </w:div>
    <w:div w:id="450587830">
      <w:bodyDiv w:val="1"/>
      <w:marLeft w:val="0"/>
      <w:marRight w:val="0"/>
      <w:marTop w:val="0"/>
      <w:marBottom w:val="0"/>
      <w:divBdr>
        <w:top w:val="none" w:sz="0" w:space="0" w:color="auto"/>
        <w:left w:val="none" w:sz="0" w:space="0" w:color="auto"/>
        <w:bottom w:val="none" w:sz="0" w:space="0" w:color="auto"/>
        <w:right w:val="none" w:sz="0" w:space="0" w:color="auto"/>
      </w:divBdr>
    </w:div>
    <w:div w:id="450711809">
      <w:bodyDiv w:val="1"/>
      <w:marLeft w:val="0"/>
      <w:marRight w:val="0"/>
      <w:marTop w:val="0"/>
      <w:marBottom w:val="0"/>
      <w:divBdr>
        <w:top w:val="none" w:sz="0" w:space="0" w:color="auto"/>
        <w:left w:val="none" w:sz="0" w:space="0" w:color="auto"/>
        <w:bottom w:val="none" w:sz="0" w:space="0" w:color="auto"/>
        <w:right w:val="none" w:sz="0" w:space="0" w:color="auto"/>
      </w:divBdr>
    </w:div>
    <w:div w:id="451245534">
      <w:bodyDiv w:val="1"/>
      <w:marLeft w:val="0"/>
      <w:marRight w:val="0"/>
      <w:marTop w:val="0"/>
      <w:marBottom w:val="0"/>
      <w:divBdr>
        <w:top w:val="none" w:sz="0" w:space="0" w:color="auto"/>
        <w:left w:val="none" w:sz="0" w:space="0" w:color="auto"/>
        <w:bottom w:val="none" w:sz="0" w:space="0" w:color="auto"/>
        <w:right w:val="none" w:sz="0" w:space="0" w:color="auto"/>
      </w:divBdr>
    </w:div>
    <w:div w:id="452140898">
      <w:bodyDiv w:val="1"/>
      <w:marLeft w:val="0"/>
      <w:marRight w:val="0"/>
      <w:marTop w:val="0"/>
      <w:marBottom w:val="0"/>
      <w:divBdr>
        <w:top w:val="none" w:sz="0" w:space="0" w:color="auto"/>
        <w:left w:val="none" w:sz="0" w:space="0" w:color="auto"/>
        <w:bottom w:val="none" w:sz="0" w:space="0" w:color="auto"/>
        <w:right w:val="none" w:sz="0" w:space="0" w:color="auto"/>
      </w:divBdr>
    </w:div>
    <w:div w:id="452480015">
      <w:bodyDiv w:val="1"/>
      <w:marLeft w:val="0"/>
      <w:marRight w:val="0"/>
      <w:marTop w:val="0"/>
      <w:marBottom w:val="0"/>
      <w:divBdr>
        <w:top w:val="none" w:sz="0" w:space="0" w:color="auto"/>
        <w:left w:val="none" w:sz="0" w:space="0" w:color="auto"/>
        <w:bottom w:val="none" w:sz="0" w:space="0" w:color="auto"/>
        <w:right w:val="none" w:sz="0" w:space="0" w:color="auto"/>
      </w:divBdr>
    </w:div>
    <w:div w:id="452596461">
      <w:bodyDiv w:val="1"/>
      <w:marLeft w:val="0"/>
      <w:marRight w:val="0"/>
      <w:marTop w:val="0"/>
      <w:marBottom w:val="0"/>
      <w:divBdr>
        <w:top w:val="none" w:sz="0" w:space="0" w:color="auto"/>
        <w:left w:val="none" w:sz="0" w:space="0" w:color="auto"/>
        <w:bottom w:val="none" w:sz="0" w:space="0" w:color="auto"/>
        <w:right w:val="none" w:sz="0" w:space="0" w:color="auto"/>
      </w:divBdr>
    </w:div>
    <w:div w:id="452864197">
      <w:bodyDiv w:val="1"/>
      <w:marLeft w:val="0"/>
      <w:marRight w:val="0"/>
      <w:marTop w:val="0"/>
      <w:marBottom w:val="0"/>
      <w:divBdr>
        <w:top w:val="none" w:sz="0" w:space="0" w:color="auto"/>
        <w:left w:val="none" w:sz="0" w:space="0" w:color="auto"/>
        <w:bottom w:val="none" w:sz="0" w:space="0" w:color="auto"/>
        <w:right w:val="none" w:sz="0" w:space="0" w:color="auto"/>
      </w:divBdr>
    </w:div>
    <w:div w:id="453334784">
      <w:bodyDiv w:val="1"/>
      <w:marLeft w:val="0"/>
      <w:marRight w:val="0"/>
      <w:marTop w:val="0"/>
      <w:marBottom w:val="0"/>
      <w:divBdr>
        <w:top w:val="none" w:sz="0" w:space="0" w:color="auto"/>
        <w:left w:val="none" w:sz="0" w:space="0" w:color="auto"/>
        <w:bottom w:val="none" w:sz="0" w:space="0" w:color="auto"/>
        <w:right w:val="none" w:sz="0" w:space="0" w:color="auto"/>
      </w:divBdr>
    </w:div>
    <w:div w:id="453444923">
      <w:bodyDiv w:val="1"/>
      <w:marLeft w:val="0"/>
      <w:marRight w:val="0"/>
      <w:marTop w:val="0"/>
      <w:marBottom w:val="0"/>
      <w:divBdr>
        <w:top w:val="none" w:sz="0" w:space="0" w:color="auto"/>
        <w:left w:val="none" w:sz="0" w:space="0" w:color="auto"/>
        <w:bottom w:val="none" w:sz="0" w:space="0" w:color="auto"/>
        <w:right w:val="none" w:sz="0" w:space="0" w:color="auto"/>
      </w:divBdr>
    </w:div>
    <w:div w:id="453446626">
      <w:bodyDiv w:val="1"/>
      <w:marLeft w:val="0"/>
      <w:marRight w:val="0"/>
      <w:marTop w:val="0"/>
      <w:marBottom w:val="0"/>
      <w:divBdr>
        <w:top w:val="none" w:sz="0" w:space="0" w:color="auto"/>
        <w:left w:val="none" w:sz="0" w:space="0" w:color="auto"/>
        <w:bottom w:val="none" w:sz="0" w:space="0" w:color="auto"/>
        <w:right w:val="none" w:sz="0" w:space="0" w:color="auto"/>
      </w:divBdr>
    </w:div>
    <w:div w:id="453452204">
      <w:bodyDiv w:val="1"/>
      <w:marLeft w:val="0"/>
      <w:marRight w:val="0"/>
      <w:marTop w:val="0"/>
      <w:marBottom w:val="0"/>
      <w:divBdr>
        <w:top w:val="none" w:sz="0" w:space="0" w:color="auto"/>
        <w:left w:val="none" w:sz="0" w:space="0" w:color="auto"/>
        <w:bottom w:val="none" w:sz="0" w:space="0" w:color="auto"/>
        <w:right w:val="none" w:sz="0" w:space="0" w:color="auto"/>
      </w:divBdr>
    </w:div>
    <w:div w:id="453905776">
      <w:bodyDiv w:val="1"/>
      <w:marLeft w:val="0"/>
      <w:marRight w:val="0"/>
      <w:marTop w:val="0"/>
      <w:marBottom w:val="0"/>
      <w:divBdr>
        <w:top w:val="none" w:sz="0" w:space="0" w:color="auto"/>
        <w:left w:val="none" w:sz="0" w:space="0" w:color="auto"/>
        <w:bottom w:val="none" w:sz="0" w:space="0" w:color="auto"/>
        <w:right w:val="none" w:sz="0" w:space="0" w:color="auto"/>
      </w:divBdr>
    </w:div>
    <w:div w:id="454522522">
      <w:bodyDiv w:val="1"/>
      <w:marLeft w:val="0"/>
      <w:marRight w:val="0"/>
      <w:marTop w:val="0"/>
      <w:marBottom w:val="0"/>
      <w:divBdr>
        <w:top w:val="none" w:sz="0" w:space="0" w:color="auto"/>
        <w:left w:val="none" w:sz="0" w:space="0" w:color="auto"/>
        <w:bottom w:val="none" w:sz="0" w:space="0" w:color="auto"/>
        <w:right w:val="none" w:sz="0" w:space="0" w:color="auto"/>
      </w:divBdr>
    </w:div>
    <w:div w:id="454758636">
      <w:bodyDiv w:val="1"/>
      <w:marLeft w:val="0"/>
      <w:marRight w:val="0"/>
      <w:marTop w:val="0"/>
      <w:marBottom w:val="0"/>
      <w:divBdr>
        <w:top w:val="none" w:sz="0" w:space="0" w:color="auto"/>
        <w:left w:val="none" w:sz="0" w:space="0" w:color="auto"/>
        <w:bottom w:val="none" w:sz="0" w:space="0" w:color="auto"/>
        <w:right w:val="none" w:sz="0" w:space="0" w:color="auto"/>
      </w:divBdr>
    </w:div>
    <w:div w:id="454760206">
      <w:bodyDiv w:val="1"/>
      <w:marLeft w:val="0"/>
      <w:marRight w:val="0"/>
      <w:marTop w:val="0"/>
      <w:marBottom w:val="0"/>
      <w:divBdr>
        <w:top w:val="none" w:sz="0" w:space="0" w:color="auto"/>
        <w:left w:val="none" w:sz="0" w:space="0" w:color="auto"/>
        <w:bottom w:val="none" w:sz="0" w:space="0" w:color="auto"/>
        <w:right w:val="none" w:sz="0" w:space="0" w:color="auto"/>
      </w:divBdr>
    </w:div>
    <w:div w:id="454910139">
      <w:bodyDiv w:val="1"/>
      <w:marLeft w:val="0"/>
      <w:marRight w:val="0"/>
      <w:marTop w:val="0"/>
      <w:marBottom w:val="0"/>
      <w:divBdr>
        <w:top w:val="none" w:sz="0" w:space="0" w:color="auto"/>
        <w:left w:val="none" w:sz="0" w:space="0" w:color="auto"/>
        <w:bottom w:val="none" w:sz="0" w:space="0" w:color="auto"/>
        <w:right w:val="none" w:sz="0" w:space="0" w:color="auto"/>
      </w:divBdr>
    </w:div>
    <w:div w:id="456145070">
      <w:bodyDiv w:val="1"/>
      <w:marLeft w:val="0"/>
      <w:marRight w:val="0"/>
      <w:marTop w:val="0"/>
      <w:marBottom w:val="0"/>
      <w:divBdr>
        <w:top w:val="none" w:sz="0" w:space="0" w:color="auto"/>
        <w:left w:val="none" w:sz="0" w:space="0" w:color="auto"/>
        <w:bottom w:val="none" w:sz="0" w:space="0" w:color="auto"/>
        <w:right w:val="none" w:sz="0" w:space="0" w:color="auto"/>
      </w:divBdr>
    </w:div>
    <w:div w:id="457189156">
      <w:bodyDiv w:val="1"/>
      <w:marLeft w:val="0"/>
      <w:marRight w:val="0"/>
      <w:marTop w:val="0"/>
      <w:marBottom w:val="0"/>
      <w:divBdr>
        <w:top w:val="none" w:sz="0" w:space="0" w:color="auto"/>
        <w:left w:val="none" w:sz="0" w:space="0" w:color="auto"/>
        <w:bottom w:val="none" w:sz="0" w:space="0" w:color="auto"/>
        <w:right w:val="none" w:sz="0" w:space="0" w:color="auto"/>
      </w:divBdr>
    </w:div>
    <w:div w:id="457335303">
      <w:bodyDiv w:val="1"/>
      <w:marLeft w:val="0"/>
      <w:marRight w:val="0"/>
      <w:marTop w:val="0"/>
      <w:marBottom w:val="0"/>
      <w:divBdr>
        <w:top w:val="none" w:sz="0" w:space="0" w:color="auto"/>
        <w:left w:val="none" w:sz="0" w:space="0" w:color="auto"/>
        <w:bottom w:val="none" w:sz="0" w:space="0" w:color="auto"/>
        <w:right w:val="none" w:sz="0" w:space="0" w:color="auto"/>
      </w:divBdr>
    </w:div>
    <w:div w:id="457527305">
      <w:bodyDiv w:val="1"/>
      <w:marLeft w:val="0"/>
      <w:marRight w:val="0"/>
      <w:marTop w:val="0"/>
      <w:marBottom w:val="0"/>
      <w:divBdr>
        <w:top w:val="none" w:sz="0" w:space="0" w:color="auto"/>
        <w:left w:val="none" w:sz="0" w:space="0" w:color="auto"/>
        <w:bottom w:val="none" w:sz="0" w:space="0" w:color="auto"/>
        <w:right w:val="none" w:sz="0" w:space="0" w:color="auto"/>
      </w:divBdr>
    </w:div>
    <w:div w:id="457845229">
      <w:bodyDiv w:val="1"/>
      <w:marLeft w:val="0"/>
      <w:marRight w:val="0"/>
      <w:marTop w:val="0"/>
      <w:marBottom w:val="0"/>
      <w:divBdr>
        <w:top w:val="none" w:sz="0" w:space="0" w:color="auto"/>
        <w:left w:val="none" w:sz="0" w:space="0" w:color="auto"/>
        <w:bottom w:val="none" w:sz="0" w:space="0" w:color="auto"/>
        <w:right w:val="none" w:sz="0" w:space="0" w:color="auto"/>
      </w:divBdr>
    </w:div>
    <w:div w:id="458260038">
      <w:bodyDiv w:val="1"/>
      <w:marLeft w:val="0"/>
      <w:marRight w:val="0"/>
      <w:marTop w:val="0"/>
      <w:marBottom w:val="0"/>
      <w:divBdr>
        <w:top w:val="none" w:sz="0" w:space="0" w:color="auto"/>
        <w:left w:val="none" w:sz="0" w:space="0" w:color="auto"/>
        <w:bottom w:val="none" w:sz="0" w:space="0" w:color="auto"/>
        <w:right w:val="none" w:sz="0" w:space="0" w:color="auto"/>
      </w:divBdr>
    </w:div>
    <w:div w:id="458884774">
      <w:bodyDiv w:val="1"/>
      <w:marLeft w:val="0"/>
      <w:marRight w:val="0"/>
      <w:marTop w:val="0"/>
      <w:marBottom w:val="0"/>
      <w:divBdr>
        <w:top w:val="none" w:sz="0" w:space="0" w:color="auto"/>
        <w:left w:val="none" w:sz="0" w:space="0" w:color="auto"/>
        <w:bottom w:val="none" w:sz="0" w:space="0" w:color="auto"/>
        <w:right w:val="none" w:sz="0" w:space="0" w:color="auto"/>
      </w:divBdr>
    </w:div>
    <w:div w:id="459039152">
      <w:bodyDiv w:val="1"/>
      <w:marLeft w:val="0"/>
      <w:marRight w:val="0"/>
      <w:marTop w:val="0"/>
      <w:marBottom w:val="0"/>
      <w:divBdr>
        <w:top w:val="none" w:sz="0" w:space="0" w:color="auto"/>
        <w:left w:val="none" w:sz="0" w:space="0" w:color="auto"/>
        <w:bottom w:val="none" w:sz="0" w:space="0" w:color="auto"/>
        <w:right w:val="none" w:sz="0" w:space="0" w:color="auto"/>
      </w:divBdr>
    </w:div>
    <w:div w:id="459149185">
      <w:bodyDiv w:val="1"/>
      <w:marLeft w:val="0"/>
      <w:marRight w:val="0"/>
      <w:marTop w:val="0"/>
      <w:marBottom w:val="0"/>
      <w:divBdr>
        <w:top w:val="none" w:sz="0" w:space="0" w:color="auto"/>
        <w:left w:val="none" w:sz="0" w:space="0" w:color="auto"/>
        <w:bottom w:val="none" w:sz="0" w:space="0" w:color="auto"/>
        <w:right w:val="none" w:sz="0" w:space="0" w:color="auto"/>
      </w:divBdr>
    </w:div>
    <w:div w:id="459736132">
      <w:bodyDiv w:val="1"/>
      <w:marLeft w:val="0"/>
      <w:marRight w:val="0"/>
      <w:marTop w:val="0"/>
      <w:marBottom w:val="0"/>
      <w:divBdr>
        <w:top w:val="none" w:sz="0" w:space="0" w:color="auto"/>
        <w:left w:val="none" w:sz="0" w:space="0" w:color="auto"/>
        <w:bottom w:val="none" w:sz="0" w:space="0" w:color="auto"/>
        <w:right w:val="none" w:sz="0" w:space="0" w:color="auto"/>
      </w:divBdr>
    </w:div>
    <w:div w:id="459882984">
      <w:bodyDiv w:val="1"/>
      <w:marLeft w:val="0"/>
      <w:marRight w:val="0"/>
      <w:marTop w:val="0"/>
      <w:marBottom w:val="0"/>
      <w:divBdr>
        <w:top w:val="none" w:sz="0" w:space="0" w:color="auto"/>
        <w:left w:val="none" w:sz="0" w:space="0" w:color="auto"/>
        <w:bottom w:val="none" w:sz="0" w:space="0" w:color="auto"/>
        <w:right w:val="none" w:sz="0" w:space="0" w:color="auto"/>
      </w:divBdr>
    </w:div>
    <w:div w:id="460272274">
      <w:bodyDiv w:val="1"/>
      <w:marLeft w:val="0"/>
      <w:marRight w:val="0"/>
      <w:marTop w:val="0"/>
      <w:marBottom w:val="0"/>
      <w:divBdr>
        <w:top w:val="none" w:sz="0" w:space="0" w:color="auto"/>
        <w:left w:val="none" w:sz="0" w:space="0" w:color="auto"/>
        <w:bottom w:val="none" w:sz="0" w:space="0" w:color="auto"/>
        <w:right w:val="none" w:sz="0" w:space="0" w:color="auto"/>
      </w:divBdr>
    </w:div>
    <w:div w:id="461726121">
      <w:bodyDiv w:val="1"/>
      <w:marLeft w:val="0"/>
      <w:marRight w:val="0"/>
      <w:marTop w:val="0"/>
      <w:marBottom w:val="0"/>
      <w:divBdr>
        <w:top w:val="none" w:sz="0" w:space="0" w:color="auto"/>
        <w:left w:val="none" w:sz="0" w:space="0" w:color="auto"/>
        <w:bottom w:val="none" w:sz="0" w:space="0" w:color="auto"/>
        <w:right w:val="none" w:sz="0" w:space="0" w:color="auto"/>
      </w:divBdr>
    </w:div>
    <w:div w:id="462505610">
      <w:bodyDiv w:val="1"/>
      <w:marLeft w:val="0"/>
      <w:marRight w:val="0"/>
      <w:marTop w:val="0"/>
      <w:marBottom w:val="0"/>
      <w:divBdr>
        <w:top w:val="none" w:sz="0" w:space="0" w:color="auto"/>
        <w:left w:val="none" w:sz="0" w:space="0" w:color="auto"/>
        <w:bottom w:val="none" w:sz="0" w:space="0" w:color="auto"/>
        <w:right w:val="none" w:sz="0" w:space="0" w:color="auto"/>
      </w:divBdr>
    </w:div>
    <w:div w:id="463080888">
      <w:bodyDiv w:val="1"/>
      <w:marLeft w:val="0"/>
      <w:marRight w:val="0"/>
      <w:marTop w:val="0"/>
      <w:marBottom w:val="0"/>
      <w:divBdr>
        <w:top w:val="none" w:sz="0" w:space="0" w:color="auto"/>
        <w:left w:val="none" w:sz="0" w:space="0" w:color="auto"/>
        <w:bottom w:val="none" w:sz="0" w:space="0" w:color="auto"/>
        <w:right w:val="none" w:sz="0" w:space="0" w:color="auto"/>
      </w:divBdr>
    </w:div>
    <w:div w:id="463154846">
      <w:bodyDiv w:val="1"/>
      <w:marLeft w:val="0"/>
      <w:marRight w:val="0"/>
      <w:marTop w:val="0"/>
      <w:marBottom w:val="0"/>
      <w:divBdr>
        <w:top w:val="none" w:sz="0" w:space="0" w:color="auto"/>
        <w:left w:val="none" w:sz="0" w:space="0" w:color="auto"/>
        <w:bottom w:val="none" w:sz="0" w:space="0" w:color="auto"/>
        <w:right w:val="none" w:sz="0" w:space="0" w:color="auto"/>
      </w:divBdr>
    </w:div>
    <w:div w:id="463541377">
      <w:bodyDiv w:val="1"/>
      <w:marLeft w:val="0"/>
      <w:marRight w:val="0"/>
      <w:marTop w:val="0"/>
      <w:marBottom w:val="0"/>
      <w:divBdr>
        <w:top w:val="none" w:sz="0" w:space="0" w:color="auto"/>
        <w:left w:val="none" w:sz="0" w:space="0" w:color="auto"/>
        <w:bottom w:val="none" w:sz="0" w:space="0" w:color="auto"/>
        <w:right w:val="none" w:sz="0" w:space="0" w:color="auto"/>
      </w:divBdr>
    </w:div>
    <w:div w:id="463735277">
      <w:bodyDiv w:val="1"/>
      <w:marLeft w:val="0"/>
      <w:marRight w:val="0"/>
      <w:marTop w:val="0"/>
      <w:marBottom w:val="0"/>
      <w:divBdr>
        <w:top w:val="none" w:sz="0" w:space="0" w:color="auto"/>
        <w:left w:val="none" w:sz="0" w:space="0" w:color="auto"/>
        <w:bottom w:val="none" w:sz="0" w:space="0" w:color="auto"/>
        <w:right w:val="none" w:sz="0" w:space="0" w:color="auto"/>
      </w:divBdr>
    </w:div>
    <w:div w:id="464200914">
      <w:bodyDiv w:val="1"/>
      <w:marLeft w:val="0"/>
      <w:marRight w:val="0"/>
      <w:marTop w:val="0"/>
      <w:marBottom w:val="0"/>
      <w:divBdr>
        <w:top w:val="none" w:sz="0" w:space="0" w:color="auto"/>
        <w:left w:val="none" w:sz="0" w:space="0" w:color="auto"/>
        <w:bottom w:val="none" w:sz="0" w:space="0" w:color="auto"/>
        <w:right w:val="none" w:sz="0" w:space="0" w:color="auto"/>
      </w:divBdr>
    </w:div>
    <w:div w:id="464932036">
      <w:bodyDiv w:val="1"/>
      <w:marLeft w:val="0"/>
      <w:marRight w:val="0"/>
      <w:marTop w:val="0"/>
      <w:marBottom w:val="0"/>
      <w:divBdr>
        <w:top w:val="none" w:sz="0" w:space="0" w:color="auto"/>
        <w:left w:val="none" w:sz="0" w:space="0" w:color="auto"/>
        <w:bottom w:val="none" w:sz="0" w:space="0" w:color="auto"/>
        <w:right w:val="none" w:sz="0" w:space="0" w:color="auto"/>
      </w:divBdr>
    </w:div>
    <w:div w:id="465003477">
      <w:bodyDiv w:val="1"/>
      <w:marLeft w:val="0"/>
      <w:marRight w:val="0"/>
      <w:marTop w:val="0"/>
      <w:marBottom w:val="0"/>
      <w:divBdr>
        <w:top w:val="none" w:sz="0" w:space="0" w:color="auto"/>
        <w:left w:val="none" w:sz="0" w:space="0" w:color="auto"/>
        <w:bottom w:val="none" w:sz="0" w:space="0" w:color="auto"/>
        <w:right w:val="none" w:sz="0" w:space="0" w:color="auto"/>
      </w:divBdr>
    </w:div>
    <w:div w:id="465244798">
      <w:bodyDiv w:val="1"/>
      <w:marLeft w:val="0"/>
      <w:marRight w:val="0"/>
      <w:marTop w:val="0"/>
      <w:marBottom w:val="0"/>
      <w:divBdr>
        <w:top w:val="none" w:sz="0" w:space="0" w:color="auto"/>
        <w:left w:val="none" w:sz="0" w:space="0" w:color="auto"/>
        <w:bottom w:val="none" w:sz="0" w:space="0" w:color="auto"/>
        <w:right w:val="none" w:sz="0" w:space="0" w:color="auto"/>
      </w:divBdr>
    </w:div>
    <w:div w:id="467167821">
      <w:bodyDiv w:val="1"/>
      <w:marLeft w:val="0"/>
      <w:marRight w:val="0"/>
      <w:marTop w:val="0"/>
      <w:marBottom w:val="0"/>
      <w:divBdr>
        <w:top w:val="none" w:sz="0" w:space="0" w:color="auto"/>
        <w:left w:val="none" w:sz="0" w:space="0" w:color="auto"/>
        <w:bottom w:val="none" w:sz="0" w:space="0" w:color="auto"/>
        <w:right w:val="none" w:sz="0" w:space="0" w:color="auto"/>
      </w:divBdr>
    </w:div>
    <w:div w:id="467281198">
      <w:bodyDiv w:val="1"/>
      <w:marLeft w:val="0"/>
      <w:marRight w:val="0"/>
      <w:marTop w:val="0"/>
      <w:marBottom w:val="0"/>
      <w:divBdr>
        <w:top w:val="none" w:sz="0" w:space="0" w:color="auto"/>
        <w:left w:val="none" w:sz="0" w:space="0" w:color="auto"/>
        <w:bottom w:val="none" w:sz="0" w:space="0" w:color="auto"/>
        <w:right w:val="none" w:sz="0" w:space="0" w:color="auto"/>
      </w:divBdr>
    </w:div>
    <w:div w:id="467868565">
      <w:bodyDiv w:val="1"/>
      <w:marLeft w:val="0"/>
      <w:marRight w:val="0"/>
      <w:marTop w:val="0"/>
      <w:marBottom w:val="0"/>
      <w:divBdr>
        <w:top w:val="none" w:sz="0" w:space="0" w:color="auto"/>
        <w:left w:val="none" w:sz="0" w:space="0" w:color="auto"/>
        <w:bottom w:val="none" w:sz="0" w:space="0" w:color="auto"/>
        <w:right w:val="none" w:sz="0" w:space="0" w:color="auto"/>
      </w:divBdr>
    </w:div>
    <w:div w:id="468400401">
      <w:bodyDiv w:val="1"/>
      <w:marLeft w:val="0"/>
      <w:marRight w:val="0"/>
      <w:marTop w:val="0"/>
      <w:marBottom w:val="0"/>
      <w:divBdr>
        <w:top w:val="none" w:sz="0" w:space="0" w:color="auto"/>
        <w:left w:val="none" w:sz="0" w:space="0" w:color="auto"/>
        <w:bottom w:val="none" w:sz="0" w:space="0" w:color="auto"/>
        <w:right w:val="none" w:sz="0" w:space="0" w:color="auto"/>
      </w:divBdr>
    </w:div>
    <w:div w:id="468519291">
      <w:bodyDiv w:val="1"/>
      <w:marLeft w:val="0"/>
      <w:marRight w:val="0"/>
      <w:marTop w:val="0"/>
      <w:marBottom w:val="0"/>
      <w:divBdr>
        <w:top w:val="none" w:sz="0" w:space="0" w:color="auto"/>
        <w:left w:val="none" w:sz="0" w:space="0" w:color="auto"/>
        <w:bottom w:val="none" w:sz="0" w:space="0" w:color="auto"/>
        <w:right w:val="none" w:sz="0" w:space="0" w:color="auto"/>
      </w:divBdr>
    </w:div>
    <w:div w:id="468785975">
      <w:bodyDiv w:val="1"/>
      <w:marLeft w:val="0"/>
      <w:marRight w:val="0"/>
      <w:marTop w:val="0"/>
      <w:marBottom w:val="0"/>
      <w:divBdr>
        <w:top w:val="none" w:sz="0" w:space="0" w:color="auto"/>
        <w:left w:val="none" w:sz="0" w:space="0" w:color="auto"/>
        <w:bottom w:val="none" w:sz="0" w:space="0" w:color="auto"/>
        <w:right w:val="none" w:sz="0" w:space="0" w:color="auto"/>
      </w:divBdr>
    </w:div>
    <w:div w:id="469514757">
      <w:bodyDiv w:val="1"/>
      <w:marLeft w:val="0"/>
      <w:marRight w:val="0"/>
      <w:marTop w:val="0"/>
      <w:marBottom w:val="0"/>
      <w:divBdr>
        <w:top w:val="none" w:sz="0" w:space="0" w:color="auto"/>
        <w:left w:val="none" w:sz="0" w:space="0" w:color="auto"/>
        <w:bottom w:val="none" w:sz="0" w:space="0" w:color="auto"/>
        <w:right w:val="none" w:sz="0" w:space="0" w:color="auto"/>
      </w:divBdr>
    </w:div>
    <w:div w:id="469589285">
      <w:bodyDiv w:val="1"/>
      <w:marLeft w:val="0"/>
      <w:marRight w:val="0"/>
      <w:marTop w:val="0"/>
      <w:marBottom w:val="0"/>
      <w:divBdr>
        <w:top w:val="none" w:sz="0" w:space="0" w:color="auto"/>
        <w:left w:val="none" w:sz="0" w:space="0" w:color="auto"/>
        <w:bottom w:val="none" w:sz="0" w:space="0" w:color="auto"/>
        <w:right w:val="none" w:sz="0" w:space="0" w:color="auto"/>
      </w:divBdr>
    </w:div>
    <w:div w:id="469589377">
      <w:bodyDiv w:val="1"/>
      <w:marLeft w:val="0"/>
      <w:marRight w:val="0"/>
      <w:marTop w:val="0"/>
      <w:marBottom w:val="0"/>
      <w:divBdr>
        <w:top w:val="none" w:sz="0" w:space="0" w:color="auto"/>
        <w:left w:val="none" w:sz="0" w:space="0" w:color="auto"/>
        <w:bottom w:val="none" w:sz="0" w:space="0" w:color="auto"/>
        <w:right w:val="none" w:sz="0" w:space="0" w:color="auto"/>
      </w:divBdr>
    </w:div>
    <w:div w:id="469591704">
      <w:bodyDiv w:val="1"/>
      <w:marLeft w:val="0"/>
      <w:marRight w:val="0"/>
      <w:marTop w:val="0"/>
      <w:marBottom w:val="0"/>
      <w:divBdr>
        <w:top w:val="none" w:sz="0" w:space="0" w:color="auto"/>
        <w:left w:val="none" w:sz="0" w:space="0" w:color="auto"/>
        <w:bottom w:val="none" w:sz="0" w:space="0" w:color="auto"/>
        <w:right w:val="none" w:sz="0" w:space="0" w:color="auto"/>
      </w:divBdr>
    </w:div>
    <w:div w:id="470250305">
      <w:bodyDiv w:val="1"/>
      <w:marLeft w:val="0"/>
      <w:marRight w:val="0"/>
      <w:marTop w:val="0"/>
      <w:marBottom w:val="0"/>
      <w:divBdr>
        <w:top w:val="none" w:sz="0" w:space="0" w:color="auto"/>
        <w:left w:val="none" w:sz="0" w:space="0" w:color="auto"/>
        <w:bottom w:val="none" w:sz="0" w:space="0" w:color="auto"/>
        <w:right w:val="none" w:sz="0" w:space="0" w:color="auto"/>
      </w:divBdr>
    </w:div>
    <w:div w:id="470488415">
      <w:bodyDiv w:val="1"/>
      <w:marLeft w:val="0"/>
      <w:marRight w:val="0"/>
      <w:marTop w:val="0"/>
      <w:marBottom w:val="0"/>
      <w:divBdr>
        <w:top w:val="none" w:sz="0" w:space="0" w:color="auto"/>
        <w:left w:val="none" w:sz="0" w:space="0" w:color="auto"/>
        <w:bottom w:val="none" w:sz="0" w:space="0" w:color="auto"/>
        <w:right w:val="none" w:sz="0" w:space="0" w:color="auto"/>
      </w:divBdr>
    </w:div>
    <w:div w:id="471219335">
      <w:bodyDiv w:val="1"/>
      <w:marLeft w:val="0"/>
      <w:marRight w:val="0"/>
      <w:marTop w:val="0"/>
      <w:marBottom w:val="0"/>
      <w:divBdr>
        <w:top w:val="none" w:sz="0" w:space="0" w:color="auto"/>
        <w:left w:val="none" w:sz="0" w:space="0" w:color="auto"/>
        <w:bottom w:val="none" w:sz="0" w:space="0" w:color="auto"/>
        <w:right w:val="none" w:sz="0" w:space="0" w:color="auto"/>
      </w:divBdr>
    </w:div>
    <w:div w:id="471364940">
      <w:bodyDiv w:val="1"/>
      <w:marLeft w:val="0"/>
      <w:marRight w:val="0"/>
      <w:marTop w:val="0"/>
      <w:marBottom w:val="0"/>
      <w:divBdr>
        <w:top w:val="none" w:sz="0" w:space="0" w:color="auto"/>
        <w:left w:val="none" w:sz="0" w:space="0" w:color="auto"/>
        <w:bottom w:val="none" w:sz="0" w:space="0" w:color="auto"/>
        <w:right w:val="none" w:sz="0" w:space="0" w:color="auto"/>
      </w:divBdr>
    </w:div>
    <w:div w:id="471949887">
      <w:bodyDiv w:val="1"/>
      <w:marLeft w:val="0"/>
      <w:marRight w:val="0"/>
      <w:marTop w:val="0"/>
      <w:marBottom w:val="0"/>
      <w:divBdr>
        <w:top w:val="none" w:sz="0" w:space="0" w:color="auto"/>
        <w:left w:val="none" w:sz="0" w:space="0" w:color="auto"/>
        <w:bottom w:val="none" w:sz="0" w:space="0" w:color="auto"/>
        <w:right w:val="none" w:sz="0" w:space="0" w:color="auto"/>
      </w:divBdr>
    </w:div>
    <w:div w:id="472019506">
      <w:bodyDiv w:val="1"/>
      <w:marLeft w:val="0"/>
      <w:marRight w:val="0"/>
      <w:marTop w:val="0"/>
      <w:marBottom w:val="0"/>
      <w:divBdr>
        <w:top w:val="none" w:sz="0" w:space="0" w:color="auto"/>
        <w:left w:val="none" w:sz="0" w:space="0" w:color="auto"/>
        <w:bottom w:val="none" w:sz="0" w:space="0" w:color="auto"/>
        <w:right w:val="none" w:sz="0" w:space="0" w:color="auto"/>
      </w:divBdr>
    </w:div>
    <w:div w:id="472067591">
      <w:bodyDiv w:val="1"/>
      <w:marLeft w:val="0"/>
      <w:marRight w:val="0"/>
      <w:marTop w:val="0"/>
      <w:marBottom w:val="0"/>
      <w:divBdr>
        <w:top w:val="none" w:sz="0" w:space="0" w:color="auto"/>
        <w:left w:val="none" w:sz="0" w:space="0" w:color="auto"/>
        <w:bottom w:val="none" w:sz="0" w:space="0" w:color="auto"/>
        <w:right w:val="none" w:sz="0" w:space="0" w:color="auto"/>
      </w:divBdr>
    </w:div>
    <w:div w:id="472140994">
      <w:bodyDiv w:val="1"/>
      <w:marLeft w:val="0"/>
      <w:marRight w:val="0"/>
      <w:marTop w:val="0"/>
      <w:marBottom w:val="0"/>
      <w:divBdr>
        <w:top w:val="none" w:sz="0" w:space="0" w:color="auto"/>
        <w:left w:val="none" w:sz="0" w:space="0" w:color="auto"/>
        <w:bottom w:val="none" w:sz="0" w:space="0" w:color="auto"/>
        <w:right w:val="none" w:sz="0" w:space="0" w:color="auto"/>
      </w:divBdr>
    </w:div>
    <w:div w:id="472525424">
      <w:bodyDiv w:val="1"/>
      <w:marLeft w:val="0"/>
      <w:marRight w:val="0"/>
      <w:marTop w:val="0"/>
      <w:marBottom w:val="0"/>
      <w:divBdr>
        <w:top w:val="none" w:sz="0" w:space="0" w:color="auto"/>
        <w:left w:val="none" w:sz="0" w:space="0" w:color="auto"/>
        <w:bottom w:val="none" w:sz="0" w:space="0" w:color="auto"/>
        <w:right w:val="none" w:sz="0" w:space="0" w:color="auto"/>
      </w:divBdr>
    </w:div>
    <w:div w:id="474178958">
      <w:bodyDiv w:val="1"/>
      <w:marLeft w:val="0"/>
      <w:marRight w:val="0"/>
      <w:marTop w:val="0"/>
      <w:marBottom w:val="0"/>
      <w:divBdr>
        <w:top w:val="none" w:sz="0" w:space="0" w:color="auto"/>
        <w:left w:val="none" w:sz="0" w:space="0" w:color="auto"/>
        <w:bottom w:val="none" w:sz="0" w:space="0" w:color="auto"/>
        <w:right w:val="none" w:sz="0" w:space="0" w:color="auto"/>
      </w:divBdr>
    </w:div>
    <w:div w:id="475076503">
      <w:bodyDiv w:val="1"/>
      <w:marLeft w:val="0"/>
      <w:marRight w:val="0"/>
      <w:marTop w:val="0"/>
      <w:marBottom w:val="0"/>
      <w:divBdr>
        <w:top w:val="none" w:sz="0" w:space="0" w:color="auto"/>
        <w:left w:val="none" w:sz="0" w:space="0" w:color="auto"/>
        <w:bottom w:val="none" w:sz="0" w:space="0" w:color="auto"/>
        <w:right w:val="none" w:sz="0" w:space="0" w:color="auto"/>
      </w:divBdr>
    </w:div>
    <w:div w:id="475687320">
      <w:bodyDiv w:val="1"/>
      <w:marLeft w:val="0"/>
      <w:marRight w:val="0"/>
      <w:marTop w:val="0"/>
      <w:marBottom w:val="0"/>
      <w:divBdr>
        <w:top w:val="none" w:sz="0" w:space="0" w:color="auto"/>
        <w:left w:val="none" w:sz="0" w:space="0" w:color="auto"/>
        <w:bottom w:val="none" w:sz="0" w:space="0" w:color="auto"/>
        <w:right w:val="none" w:sz="0" w:space="0" w:color="auto"/>
      </w:divBdr>
    </w:div>
    <w:div w:id="476993182">
      <w:bodyDiv w:val="1"/>
      <w:marLeft w:val="0"/>
      <w:marRight w:val="0"/>
      <w:marTop w:val="0"/>
      <w:marBottom w:val="0"/>
      <w:divBdr>
        <w:top w:val="none" w:sz="0" w:space="0" w:color="auto"/>
        <w:left w:val="none" w:sz="0" w:space="0" w:color="auto"/>
        <w:bottom w:val="none" w:sz="0" w:space="0" w:color="auto"/>
        <w:right w:val="none" w:sz="0" w:space="0" w:color="auto"/>
      </w:divBdr>
    </w:div>
    <w:div w:id="477378043">
      <w:bodyDiv w:val="1"/>
      <w:marLeft w:val="0"/>
      <w:marRight w:val="0"/>
      <w:marTop w:val="0"/>
      <w:marBottom w:val="0"/>
      <w:divBdr>
        <w:top w:val="none" w:sz="0" w:space="0" w:color="auto"/>
        <w:left w:val="none" w:sz="0" w:space="0" w:color="auto"/>
        <w:bottom w:val="none" w:sz="0" w:space="0" w:color="auto"/>
        <w:right w:val="none" w:sz="0" w:space="0" w:color="auto"/>
      </w:divBdr>
    </w:div>
    <w:div w:id="477384438">
      <w:bodyDiv w:val="1"/>
      <w:marLeft w:val="0"/>
      <w:marRight w:val="0"/>
      <w:marTop w:val="0"/>
      <w:marBottom w:val="0"/>
      <w:divBdr>
        <w:top w:val="none" w:sz="0" w:space="0" w:color="auto"/>
        <w:left w:val="none" w:sz="0" w:space="0" w:color="auto"/>
        <w:bottom w:val="none" w:sz="0" w:space="0" w:color="auto"/>
        <w:right w:val="none" w:sz="0" w:space="0" w:color="auto"/>
      </w:divBdr>
    </w:div>
    <w:div w:id="477574370">
      <w:bodyDiv w:val="1"/>
      <w:marLeft w:val="0"/>
      <w:marRight w:val="0"/>
      <w:marTop w:val="0"/>
      <w:marBottom w:val="0"/>
      <w:divBdr>
        <w:top w:val="none" w:sz="0" w:space="0" w:color="auto"/>
        <w:left w:val="none" w:sz="0" w:space="0" w:color="auto"/>
        <w:bottom w:val="none" w:sz="0" w:space="0" w:color="auto"/>
        <w:right w:val="none" w:sz="0" w:space="0" w:color="auto"/>
      </w:divBdr>
    </w:div>
    <w:div w:id="478305093">
      <w:bodyDiv w:val="1"/>
      <w:marLeft w:val="0"/>
      <w:marRight w:val="0"/>
      <w:marTop w:val="0"/>
      <w:marBottom w:val="0"/>
      <w:divBdr>
        <w:top w:val="none" w:sz="0" w:space="0" w:color="auto"/>
        <w:left w:val="none" w:sz="0" w:space="0" w:color="auto"/>
        <w:bottom w:val="none" w:sz="0" w:space="0" w:color="auto"/>
        <w:right w:val="none" w:sz="0" w:space="0" w:color="auto"/>
      </w:divBdr>
    </w:div>
    <w:div w:id="478613342">
      <w:bodyDiv w:val="1"/>
      <w:marLeft w:val="0"/>
      <w:marRight w:val="0"/>
      <w:marTop w:val="0"/>
      <w:marBottom w:val="0"/>
      <w:divBdr>
        <w:top w:val="none" w:sz="0" w:space="0" w:color="auto"/>
        <w:left w:val="none" w:sz="0" w:space="0" w:color="auto"/>
        <w:bottom w:val="none" w:sz="0" w:space="0" w:color="auto"/>
        <w:right w:val="none" w:sz="0" w:space="0" w:color="auto"/>
      </w:divBdr>
    </w:div>
    <w:div w:id="479228161">
      <w:bodyDiv w:val="1"/>
      <w:marLeft w:val="0"/>
      <w:marRight w:val="0"/>
      <w:marTop w:val="0"/>
      <w:marBottom w:val="0"/>
      <w:divBdr>
        <w:top w:val="none" w:sz="0" w:space="0" w:color="auto"/>
        <w:left w:val="none" w:sz="0" w:space="0" w:color="auto"/>
        <w:bottom w:val="none" w:sz="0" w:space="0" w:color="auto"/>
        <w:right w:val="none" w:sz="0" w:space="0" w:color="auto"/>
      </w:divBdr>
    </w:div>
    <w:div w:id="481192889">
      <w:bodyDiv w:val="1"/>
      <w:marLeft w:val="0"/>
      <w:marRight w:val="0"/>
      <w:marTop w:val="0"/>
      <w:marBottom w:val="0"/>
      <w:divBdr>
        <w:top w:val="none" w:sz="0" w:space="0" w:color="auto"/>
        <w:left w:val="none" w:sz="0" w:space="0" w:color="auto"/>
        <w:bottom w:val="none" w:sz="0" w:space="0" w:color="auto"/>
        <w:right w:val="none" w:sz="0" w:space="0" w:color="auto"/>
      </w:divBdr>
    </w:div>
    <w:div w:id="481234913">
      <w:bodyDiv w:val="1"/>
      <w:marLeft w:val="0"/>
      <w:marRight w:val="0"/>
      <w:marTop w:val="0"/>
      <w:marBottom w:val="0"/>
      <w:divBdr>
        <w:top w:val="none" w:sz="0" w:space="0" w:color="auto"/>
        <w:left w:val="none" w:sz="0" w:space="0" w:color="auto"/>
        <w:bottom w:val="none" w:sz="0" w:space="0" w:color="auto"/>
        <w:right w:val="none" w:sz="0" w:space="0" w:color="auto"/>
      </w:divBdr>
    </w:div>
    <w:div w:id="481820917">
      <w:bodyDiv w:val="1"/>
      <w:marLeft w:val="0"/>
      <w:marRight w:val="0"/>
      <w:marTop w:val="0"/>
      <w:marBottom w:val="0"/>
      <w:divBdr>
        <w:top w:val="none" w:sz="0" w:space="0" w:color="auto"/>
        <w:left w:val="none" w:sz="0" w:space="0" w:color="auto"/>
        <w:bottom w:val="none" w:sz="0" w:space="0" w:color="auto"/>
        <w:right w:val="none" w:sz="0" w:space="0" w:color="auto"/>
      </w:divBdr>
    </w:div>
    <w:div w:id="482237368">
      <w:bodyDiv w:val="1"/>
      <w:marLeft w:val="0"/>
      <w:marRight w:val="0"/>
      <w:marTop w:val="0"/>
      <w:marBottom w:val="0"/>
      <w:divBdr>
        <w:top w:val="none" w:sz="0" w:space="0" w:color="auto"/>
        <w:left w:val="none" w:sz="0" w:space="0" w:color="auto"/>
        <w:bottom w:val="none" w:sz="0" w:space="0" w:color="auto"/>
        <w:right w:val="none" w:sz="0" w:space="0" w:color="auto"/>
      </w:divBdr>
    </w:div>
    <w:div w:id="482308278">
      <w:bodyDiv w:val="1"/>
      <w:marLeft w:val="0"/>
      <w:marRight w:val="0"/>
      <w:marTop w:val="0"/>
      <w:marBottom w:val="0"/>
      <w:divBdr>
        <w:top w:val="none" w:sz="0" w:space="0" w:color="auto"/>
        <w:left w:val="none" w:sz="0" w:space="0" w:color="auto"/>
        <w:bottom w:val="none" w:sz="0" w:space="0" w:color="auto"/>
        <w:right w:val="none" w:sz="0" w:space="0" w:color="auto"/>
      </w:divBdr>
    </w:div>
    <w:div w:id="482358368">
      <w:bodyDiv w:val="1"/>
      <w:marLeft w:val="0"/>
      <w:marRight w:val="0"/>
      <w:marTop w:val="0"/>
      <w:marBottom w:val="0"/>
      <w:divBdr>
        <w:top w:val="none" w:sz="0" w:space="0" w:color="auto"/>
        <w:left w:val="none" w:sz="0" w:space="0" w:color="auto"/>
        <w:bottom w:val="none" w:sz="0" w:space="0" w:color="auto"/>
        <w:right w:val="none" w:sz="0" w:space="0" w:color="auto"/>
      </w:divBdr>
    </w:div>
    <w:div w:id="482889840">
      <w:bodyDiv w:val="1"/>
      <w:marLeft w:val="0"/>
      <w:marRight w:val="0"/>
      <w:marTop w:val="0"/>
      <w:marBottom w:val="0"/>
      <w:divBdr>
        <w:top w:val="none" w:sz="0" w:space="0" w:color="auto"/>
        <w:left w:val="none" w:sz="0" w:space="0" w:color="auto"/>
        <w:bottom w:val="none" w:sz="0" w:space="0" w:color="auto"/>
        <w:right w:val="none" w:sz="0" w:space="0" w:color="auto"/>
      </w:divBdr>
    </w:div>
    <w:div w:id="483818394">
      <w:bodyDiv w:val="1"/>
      <w:marLeft w:val="0"/>
      <w:marRight w:val="0"/>
      <w:marTop w:val="0"/>
      <w:marBottom w:val="0"/>
      <w:divBdr>
        <w:top w:val="none" w:sz="0" w:space="0" w:color="auto"/>
        <w:left w:val="none" w:sz="0" w:space="0" w:color="auto"/>
        <w:bottom w:val="none" w:sz="0" w:space="0" w:color="auto"/>
        <w:right w:val="none" w:sz="0" w:space="0" w:color="auto"/>
      </w:divBdr>
    </w:div>
    <w:div w:id="484323163">
      <w:bodyDiv w:val="1"/>
      <w:marLeft w:val="0"/>
      <w:marRight w:val="0"/>
      <w:marTop w:val="0"/>
      <w:marBottom w:val="0"/>
      <w:divBdr>
        <w:top w:val="none" w:sz="0" w:space="0" w:color="auto"/>
        <w:left w:val="none" w:sz="0" w:space="0" w:color="auto"/>
        <w:bottom w:val="none" w:sz="0" w:space="0" w:color="auto"/>
        <w:right w:val="none" w:sz="0" w:space="0" w:color="auto"/>
      </w:divBdr>
    </w:div>
    <w:div w:id="484710725">
      <w:bodyDiv w:val="1"/>
      <w:marLeft w:val="0"/>
      <w:marRight w:val="0"/>
      <w:marTop w:val="0"/>
      <w:marBottom w:val="0"/>
      <w:divBdr>
        <w:top w:val="none" w:sz="0" w:space="0" w:color="auto"/>
        <w:left w:val="none" w:sz="0" w:space="0" w:color="auto"/>
        <w:bottom w:val="none" w:sz="0" w:space="0" w:color="auto"/>
        <w:right w:val="none" w:sz="0" w:space="0" w:color="auto"/>
      </w:divBdr>
    </w:div>
    <w:div w:id="484903965">
      <w:bodyDiv w:val="1"/>
      <w:marLeft w:val="0"/>
      <w:marRight w:val="0"/>
      <w:marTop w:val="0"/>
      <w:marBottom w:val="0"/>
      <w:divBdr>
        <w:top w:val="none" w:sz="0" w:space="0" w:color="auto"/>
        <w:left w:val="none" w:sz="0" w:space="0" w:color="auto"/>
        <w:bottom w:val="none" w:sz="0" w:space="0" w:color="auto"/>
        <w:right w:val="none" w:sz="0" w:space="0" w:color="auto"/>
      </w:divBdr>
    </w:div>
    <w:div w:id="485055784">
      <w:bodyDiv w:val="1"/>
      <w:marLeft w:val="0"/>
      <w:marRight w:val="0"/>
      <w:marTop w:val="0"/>
      <w:marBottom w:val="0"/>
      <w:divBdr>
        <w:top w:val="none" w:sz="0" w:space="0" w:color="auto"/>
        <w:left w:val="none" w:sz="0" w:space="0" w:color="auto"/>
        <w:bottom w:val="none" w:sz="0" w:space="0" w:color="auto"/>
        <w:right w:val="none" w:sz="0" w:space="0" w:color="auto"/>
      </w:divBdr>
    </w:div>
    <w:div w:id="485167507">
      <w:bodyDiv w:val="1"/>
      <w:marLeft w:val="0"/>
      <w:marRight w:val="0"/>
      <w:marTop w:val="0"/>
      <w:marBottom w:val="0"/>
      <w:divBdr>
        <w:top w:val="none" w:sz="0" w:space="0" w:color="auto"/>
        <w:left w:val="none" w:sz="0" w:space="0" w:color="auto"/>
        <w:bottom w:val="none" w:sz="0" w:space="0" w:color="auto"/>
        <w:right w:val="none" w:sz="0" w:space="0" w:color="auto"/>
      </w:divBdr>
    </w:div>
    <w:div w:id="485243568">
      <w:bodyDiv w:val="1"/>
      <w:marLeft w:val="0"/>
      <w:marRight w:val="0"/>
      <w:marTop w:val="0"/>
      <w:marBottom w:val="0"/>
      <w:divBdr>
        <w:top w:val="none" w:sz="0" w:space="0" w:color="auto"/>
        <w:left w:val="none" w:sz="0" w:space="0" w:color="auto"/>
        <w:bottom w:val="none" w:sz="0" w:space="0" w:color="auto"/>
        <w:right w:val="none" w:sz="0" w:space="0" w:color="auto"/>
      </w:divBdr>
    </w:div>
    <w:div w:id="486286386">
      <w:bodyDiv w:val="1"/>
      <w:marLeft w:val="0"/>
      <w:marRight w:val="0"/>
      <w:marTop w:val="0"/>
      <w:marBottom w:val="0"/>
      <w:divBdr>
        <w:top w:val="none" w:sz="0" w:space="0" w:color="auto"/>
        <w:left w:val="none" w:sz="0" w:space="0" w:color="auto"/>
        <w:bottom w:val="none" w:sz="0" w:space="0" w:color="auto"/>
        <w:right w:val="none" w:sz="0" w:space="0" w:color="auto"/>
      </w:divBdr>
    </w:div>
    <w:div w:id="486944471">
      <w:bodyDiv w:val="1"/>
      <w:marLeft w:val="0"/>
      <w:marRight w:val="0"/>
      <w:marTop w:val="0"/>
      <w:marBottom w:val="0"/>
      <w:divBdr>
        <w:top w:val="none" w:sz="0" w:space="0" w:color="auto"/>
        <w:left w:val="none" w:sz="0" w:space="0" w:color="auto"/>
        <w:bottom w:val="none" w:sz="0" w:space="0" w:color="auto"/>
        <w:right w:val="none" w:sz="0" w:space="0" w:color="auto"/>
      </w:divBdr>
    </w:div>
    <w:div w:id="488058324">
      <w:bodyDiv w:val="1"/>
      <w:marLeft w:val="0"/>
      <w:marRight w:val="0"/>
      <w:marTop w:val="0"/>
      <w:marBottom w:val="0"/>
      <w:divBdr>
        <w:top w:val="none" w:sz="0" w:space="0" w:color="auto"/>
        <w:left w:val="none" w:sz="0" w:space="0" w:color="auto"/>
        <w:bottom w:val="none" w:sz="0" w:space="0" w:color="auto"/>
        <w:right w:val="none" w:sz="0" w:space="0" w:color="auto"/>
      </w:divBdr>
    </w:div>
    <w:div w:id="488331992">
      <w:bodyDiv w:val="1"/>
      <w:marLeft w:val="0"/>
      <w:marRight w:val="0"/>
      <w:marTop w:val="0"/>
      <w:marBottom w:val="0"/>
      <w:divBdr>
        <w:top w:val="none" w:sz="0" w:space="0" w:color="auto"/>
        <w:left w:val="none" w:sz="0" w:space="0" w:color="auto"/>
        <w:bottom w:val="none" w:sz="0" w:space="0" w:color="auto"/>
        <w:right w:val="none" w:sz="0" w:space="0" w:color="auto"/>
      </w:divBdr>
    </w:div>
    <w:div w:id="488375308">
      <w:bodyDiv w:val="1"/>
      <w:marLeft w:val="0"/>
      <w:marRight w:val="0"/>
      <w:marTop w:val="0"/>
      <w:marBottom w:val="0"/>
      <w:divBdr>
        <w:top w:val="none" w:sz="0" w:space="0" w:color="auto"/>
        <w:left w:val="none" w:sz="0" w:space="0" w:color="auto"/>
        <w:bottom w:val="none" w:sz="0" w:space="0" w:color="auto"/>
        <w:right w:val="none" w:sz="0" w:space="0" w:color="auto"/>
      </w:divBdr>
    </w:div>
    <w:div w:id="488520481">
      <w:bodyDiv w:val="1"/>
      <w:marLeft w:val="0"/>
      <w:marRight w:val="0"/>
      <w:marTop w:val="0"/>
      <w:marBottom w:val="0"/>
      <w:divBdr>
        <w:top w:val="none" w:sz="0" w:space="0" w:color="auto"/>
        <w:left w:val="none" w:sz="0" w:space="0" w:color="auto"/>
        <w:bottom w:val="none" w:sz="0" w:space="0" w:color="auto"/>
        <w:right w:val="none" w:sz="0" w:space="0" w:color="auto"/>
      </w:divBdr>
    </w:div>
    <w:div w:id="488642899">
      <w:bodyDiv w:val="1"/>
      <w:marLeft w:val="0"/>
      <w:marRight w:val="0"/>
      <w:marTop w:val="0"/>
      <w:marBottom w:val="0"/>
      <w:divBdr>
        <w:top w:val="none" w:sz="0" w:space="0" w:color="auto"/>
        <w:left w:val="none" w:sz="0" w:space="0" w:color="auto"/>
        <w:bottom w:val="none" w:sz="0" w:space="0" w:color="auto"/>
        <w:right w:val="none" w:sz="0" w:space="0" w:color="auto"/>
      </w:divBdr>
    </w:div>
    <w:div w:id="488718780">
      <w:bodyDiv w:val="1"/>
      <w:marLeft w:val="0"/>
      <w:marRight w:val="0"/>
      <w:marTop w:val="0"/>
      <w:marBottom w:val="0"/>
      <w:divBdr>
        <w:top w:val="none" w:sz="0" w:space="0" w:color="auto"/>
        <w:left w:val="none" w:sz="0" w:space="0" w:color="auto"/>
        <w:bottom w:val="none" w:sz="0" w:space="0" w:color="auto"/>
        <w:right w:val="none" w:sz="0" w:space="0" w:color="auto"/>
      </w:divBdr>
    </w:div>
    <w:div w:id="488978981">
      <w:bodyDiv w:val="1"/>
      <w:marLeft w:val="0"/>
      <w:marRight w:val="0"/>
      <w:marTop w:val="0"/>
      <w:marBottom w:val="0"/>
      <w:divBdr>
        <w:top w:val="none" w:sz="0" w:space="0" w:color="auto"/>
        <w:left w:val="none" w:sz="0" w:space="0" w:color="auto"/>
        <w:bottom w:val="none" w:sz="0" w:space="0" w:color="auto"/>
        <w:right w:val="none" w:sz="0" w:space="0" w:color="auto"/>
      </w:divBdr>
    </w:div>
    <w:div w:id="489054448">
      <w:bodyDiv w:val="1"/>
      <w:marLeft w:val="0"/>
      <w:marRight w:val="0"/>
      <w:marTop w:val="0"/>
      <w:marBottom w:val="0"/>
      <w:divBdr>
        <w:top w:val="none" w:sz="0" w:space="0" w:color="auto"/>
        <w:left w:val="none" w:sz="0" w:space="0" w:color="auto"/>
        <w:bottom w:val="none" w:sz="0" w:space="0" w:color="auto"/>
        <w:right w:val="none" w:sz="0" w:space="0" w:color="auto"/>
      </w:divBdr>
    </w:div>
    <w:div w:id="489365693">
      <w:bodyDiv w:val="1"/>
      <w:marLeft w:val="0"/>
      <w:marRight w:val="0"/>
      <w:marTop w:val="0"/>
      <w:marBottom w:val="0"/>
      <w:divBdr>
        <w:top w:val="none" w:sz="0" w:space="0" w:color="auto"/>
        <w:left w:val="none" w:sz="0" w:space="0" w:color="auto"/>
        <w:bottom w:val="none" w:sz="0" w:space="0" w:color="auto"/>
        <w:right w:val="none" w:sz="0" w:space="0" w:color="auto"/>
      </w:divBdr>
    </w:div>
    <w:div w:id="490294854">
      <w:bodyDiv w:val="1"/>
      <w:marLeft w:val="0"/>
      <w:marRight w:val="0"/>
      <w:marTop w:val="0"/>
      <w:marBottom w:val="0"/>
      <w:divBdr>
        <w:top w:val="none" w:sz="0" w:space="0" w:color="auto"/>
        <w:left w:val="none" w:sz="0" w:space="0" w:color="auto"/>
        <w:bottom w:val="none" w:sz="0" w:space="0" w:color="auto"/>
        <w:right w:val="none" w:sz="0" w:space="0" w:color="auto"/>
      </w:divBdr>
    </w:div>
    <w:div w:id="490368396">
      <w:bodyDiv w:val="1"/>
      <w:marLeft w:val="0"/>
      <w:marRight w:val="0"/>
      <w:marTop w:val="0"/>
      <w:marBottom w:val="0"/>
      <w:divBdr>
        <w:top w:val="none" w:sz="0" w:space="0" w:color="auto"/>
        <w:left w:val="none" w:sz="0" w:space="0" w:color="auto"/>
        <w:bottom w:val="none" w:sz="0" w:space="0" w:color="auto"/>
        <w:right w:val="none" w:sz="0" w:space="0" w:color="auto"/>
      </w:divBdr>
    </w:div>
    <w:div w:id="490491470">
      <w:bodyDiv w:val="1"/>
      <w:marLeft w:val="0"/>
      <w:marRight w:val="0"/>
      <w:marTop w:val="0"/>
      <w:marBottom w:val="0"/>
      <w:divBdr>
        <w:top w:val="none" w:sz="0" w:space="0" w:color="auto"/>
        <w:left w:val="none" w:sz="0" w:space="0" w:color="auto"/>
        <w:bottom w:val="none" w:sz="0" w:space="0" w:color="auto"/>
        <w:right w:val="none" w:sz="0" w:space="0" w:color="auto"/>
      </w:divBdr>
    </w:div>
    <w:div w:id="491023242">
      <w:bodyDiv w:val="1"/>
      <w:marLeft w:val="0"/>
      <w:marRight w:val="0"/>
      <w:marTop w:val="0"/>
      <w:marBottom w:val="0"/>
      <w:divBdr>
        <w:top w:val="none" w:sz="0" w:space="0" w:color="auto"/>
        <w:left w:val="none" w:sz="0" w:space="0" w:color="auto"/>
        <w:bottom w:val="none" w:sz="0" w:space="0" w:color="auto"/>
        <w:right w:val="none" w:sz="0" w:space="0" w:color="auto"/>
      </w:divBdr>
    </w:div>
    <w:div w:id="491145287">
      <w:bodyDiv w:val="1"/>
      <w:marLeft w:val="0"/>
      <w:marRight w:val="0"/>
      <w:marTop w:val="0"/>
      <w:marBottom w:val="0"/>
      <w:divBdr>
        <w:top w:val="none" w:sz="0" w:space="0" w:color="auto"/>
        <w:left w:val="none" w:sz="0" w:space="0" w:color="auto"/>
        <w:bottom w:val="none" w:sz="0" w:space="0" w:color="auto"/>
        <w:right w:val="none" w:sz="0" w:space="0" w:color="auto"/>
      </w:divBdr>
    </w:div>
    <w:div w:id="491290266">
      <w:bodyDiv w:val="1"/>
      <w:marLeft w:val="0"/>
      <w:marRight w:val="0"/>
      <w:marTop w:val="0"/>
      <w:marBottom w:val="0"/>
      <w:divBdr>
        <w:top w:val="none" w:sz="0" w:space="0" w:color="auto"/>
        <w:left w:val="none" w:sz="0" w:space="0" w:color="auto"/>
        <w:bottom w:val="none" w:sz="0" w:space="0" w:color="auto"/>
        <w:right w:val="none" w:sz="0" w:space="0" w:color="auto"/>
      </w:divBdr>
    </w:div>
    <w:div w:id="491332343">
      <w:bodyDiv w:val="1"/>
      <w:marLeft w:val="0"/>
      <w:marRight w:val="0"/>
      <w:marTop w:val="0"/>
      <w:marBottom w:val="0"/>
      <w:divBdr>
        <w:top w:val="none" w:sz="0" w:space="0" w:color="auto"/>
        <w:left w:val="none" w:sz="0" w:space="0" w:color="auto"/>
        <w:bottom w:val="none" w:sz="0" w:space="0" w:color="auto"/>
        <w:right w:val="none" w:sz="0" w:space="0" w:color="auto"/>
      </w:divBdr>
    </w:div>
    <w:div w:id="492069190">
      <w:bodyDiv w:val="1"/>
      <w:marLeft w:val="0"/>
      <w:marRight w:val="0"/>
      <w:marTop w:val="0"/>
      <w:marBottom w:val="0"/>
      <w:divBdr>
        <w:top w:val="none" w:sz="0" w:space="0" w:color="auto"/>
        <w:left w:val="none" w:sz="0" w:space="0" w:color="auto"/>
        <w:bottom w:val="none" w:sz="0" w:space="0" w:color="auto"/>
        <w:right w:val="none" w:sz="0" w:space="0" w:color="auto"/>
      </w:divBdr>
    </w:div>
    <w:div w:id="492795149">
      <w:bodyDiv w:val="1"/>
      <w:marLeft w:val="0"/>
      <w:marRight w:val="0"/>
      <w:marTop w:val="0"/>
      <w:marBottom w:val="0"/>
      <w:divBdr>
        <w:top w:val="none" w:sz="0" w:space="0" w:color="auto"/>
        <w:left w:val="none" w:sz="0" w:space="0" w:color="auto"/>
        <w:bottom w:val="none" w:sz="0" w:space="0" w:color="auto"/>
        <w:right w:val="none" w:sz="0" w:space="0" w:color="auto"/>
      </w:divBdr>
    </w:div>
    <w:div w:id="493226467">
      <w:bodyDiv w:val="1"/>
      <w:marLeft w:val="0"/>
      <w:marRight w:val="0"/>
      <w:marTop w:val="0"/>
      <w:marBottom w:val="0"/>
      <w:divBdr>
        <w:top w:val="none" w:sz="0" w:space="0" w:color="auto"/>
        <w:left w:val="none" w:sz="0" w:space="0" w:color="auto"/>
        <w:bottom w:val="none" w:sz="0" w:space="0" w:color="auto"/>
        <w:right w:val="none" w:sz="0" w:space="0" w:color="auto"/>
      </w:divBdr>
    </w:div>
    <w:div w:id="493230742">
      <w:bodyDiv w:val="1"/>
      <w:marLeft w:val="0"/>
      <w:marRight w:val="0"/>
      <w:marTop w:val="0"/>
      <w:marBottom w:val="0"/>
      <w:divBdr>
        <w:top w:val="none" w:sz="0" w:space="0" w:color="auto"/>
        <w:left w:val="none" w:sz="0" w:space="0" w:color="auto"/>
        <w:bottom w:val="none" w:sz="0" w:space="0" w:color="auto"/>
        <w:right w:val="none" w:sz="0" w:space="0" w:color="auto"/>
      </w:divBdr>
    </w:div>
    <w:div w:id="493497870">
      <w:bodyDiv w:val="1"/>
      <w:marLeft w:val="0"/>
      <w:marRight w:val="0"/>
      <w:marTop w:val="0"/>
      <w:marBottom w:val="0"/>
      <w:divBdr>
        <w:top w:val="none" w:sz="0" w:space="0" w:color="auto"/>
        <w:left w:val="none" w:sz="0" w:space="0" w:color="auto"/>
        <w:bottom w:val="none" w:sz="0" w:space="0" w:color="auto"/>
        <w:right w:val="none" w:sz="0" w:space="0" w:color="auto"/>
      </w:divBdr>
    </w:div>
    <w:div w:id="494297327">
      <w:bodyDiv w:val="1"/>
      <w:marLeft w:val="0"/>
      <w:marRight w:val="0"/>
      <w:marTop w:val="0"/>
      <w:marBottom w:val="0"/>
      <w:divBdr>
        <w:top w:val="none" w:sz="0" w:space="0" w:color="auto"/>
        <w:left w:val="none" w:sz="0" w:space="0" w:color="auto"/>
        <w:bottom w:val="none" w:sz="0" w:space="0" w:color="auto"/>
        <w:right w:val="none" w:sz="0" w:space="0" w:color="auto"/>
      </w:divBdr>
    </w:div>
    <w:div w:id="494498067">
      <w:bodyDiv w:val="1"/>
      <w:marLeft w:val="0"/>
      <w:marRight w:val="0"/>
      <w:marTop w:val="0"/>
      <w:marBottom w:val="0"/>
      <w:divBdr>
        <w:top w:val="none" w:sz="0" w:space="0" w:color="auto"/>
        <w:left w:val="none" w:sz="0" w:space="0" w:color="auto"/>
        <w:bottom w:val="none" w:sz="0" w:space="0" w:color="auto"/>
        <w:right w:val="none" w:sz="0" w:space="0" w:color="auto"/>
      </w:divBdr>
    </w:div>
    <w:div w:id="494733226">
      <w:bodyDiv w:val="1"/>
      <w:marLeft w:val="0"/>
      <w:marRight w:val="0"/>
      <w:marTop w:val="0"/>
      <w:marBottom w:val="0"/>
      <w:divBdr>
        <w:top w:val="none" w:sz="0" w:space="0" w:color="auto"/>
        <w:left w:val="none" w:sz="0" w:space="0" w:color="auto"/>
        <w:bottom w:val="none" w:sz="0" w:space="0" w:color="auto"/>
        <w:right w:val="none" w:sz="0" w:space="0" w:color="auto"/>
      </w:divBdr>
    </w:div>
    <w:div w:id="495614438">
      <w:bodyDiv w:val="1"/>
      <w:marLeft w:val="0"/>
      <w:marRight w:val="0"/>
      <w:marTop w:val="0"/>
      <w:marBottom w:val="0"/>
      <w:divBdr>
        <w:top w:val="none" w:sz="0" w:space="0" w:color="auto"/>
        <w:left w:val="none" w:sz="0" w:space="0" w:color="auto"/>
        <w:bottom w:val="none" w:sz="0" w:space="0" w:color="auto"/>
        <w:right w:val="none" w:sz="0" w:space="0" w:color="auto"/>
      </w:divBdr>
    </w:div>
    <w:div w:id="495729394">
      <w:bodyDiv w:val="1"/>
      <w:marLeft w:val="0"/>
      <w:marRight w:val="0"/>
      <w:marTop w:val="0"/>
      <w:marBottom w:val="0"/>
      <w:divBdr>
        <w:top w:val="none" w:sz="0" w:space="0" w:color="auto"/>
        <w:left w:val="none" w:sz="0" w:space="0" w:color="auto"/>
        <w:bottom w:val="none" w:sz="0" w:space="0" w:color="auto"/>
        <w:right w:val="none" w:sz="0" w:space="0" w:color="auto"/>
      </w:divBdr>
    </w:div>
    <w:div w:id="496000317">
      <w:bodyDiv w:val="1"/>
      <w:marLeft w:val="0"/>
      <w:marRight w:val="0"/>
      <w:marTop w:val="0"/>
      <w:marBottom w:val="0"/>
      <w:divBdr>
        <w:top w:val="none" w:sz="0" w:space="0" w:color="auto"/>
        <w:left w:val="none" w:sz="0" w:space="0" w:color="auto"/>
        <w:bottom w:val="none" w:sz="0" w:space="0" w:color="auto"/>
        <w:right w:val="none" w:sz="0" w:space="0" w:color="auto"/>
      </w:divBdr>
    </w:div>
    <w:div w:id="496044148">
      <w:bodyDiv w:val="1"/>
      <w:marLeft w:val="0"/>
      <w:marRight w:val="0"/>
      <w:marTop w:val="0"/>
      <w:marBottom w:val="0"/>
      <w:divBdr>
        <w:top w:val="none" w:sz="0" w:space="0" w:color="auto"/>
        <w:left w:val="none" w:sz="0" w:space="0" w:color="auto"/>
        <w:bottom w:val="none" w:sz="0" w:space="0" w:color="auto"/>
        <w:right w:val="none" w:sz="0" w:space="0" w:color="auto"/>
      </w:divBdr>
    </w:div>
    <w:div w:id="496117597">
      <w:bodyDiv w:val="1"/>
      <w:marLeft w:val="0"/>
      <w:marRight w:val="0"/>
      <w:marTop w:val="0"/>
      <w:marBottom w:val="0"/>
      <w:divBdr>
        <w:top w:val="none" w:sz="0" w:space="0" w:color="auto"/>
        <w:left w:val="none" w:sz="0" w:space="0" w:color="auto"/>
        <w:bottom w:val="none" w:sz="0" w:space="0" w:color="auto"/>
        <w:right w:val="none" w:sz="0" w:space="0" w:color="auto"/>
      </w:divBdr>
    </w:div>
    <w:div w:id="496385042">
      <w:bodyDiv w:val="1"/>
      <w:marLeft w:val="0"/>
      <w:marRight w:val="0"/>
      <w:marTop w:val="0"/>
      <w:marBottom w:val="0"/>
      <w:divBdr>
        <w:top w:val="none" w:sz="0" w:space="0" w:color="auto"/>
        <w:left w:val="none" w:sz="0" w:space="0" w:color="auto"/>
        <w:bottom w:val="none" w:sz="0" w:space="0" w:color="auto"/>
        <w:right w:val="none" w:sz="0" w:space="0" w:color="auto"/>
      </w:divBdr>
    </w:div>
    <w:div w:id="498085945">
      <w:bodyDiv w:val="1"/>
      <w:marLeft w:val="0"/>
      <w:marRight w:val="0"/>
      <w:marTop w:val="0"/>
      <w:marBottom w:val="0"/>
      <w:divBdr>
        <w:top w:val="none" w:sz="0" w:space="0" w:color="auto"/>
        <w:left w:val="none" w:sz="0" w:space="0" w:color="auto"/>
        <w:bottom w:val="none" w:sz="0" w:space="0" w:color="auto"/>
        <w:right w:val="none" w:sz="0" w:space="0" w:color="auto"/>
      </w:divBdr>
    </w:div>
    <w:div w:id="499001849">
      <w:bodyDiv w:val="1"/>
      <w:marLeft w:val="0"/>
      <w:marRight w:val="0"/>
      <w:marTop w:val="0"/>
      <w:marBottom w:val="0"/>
      <w:divBdr>
        <w:top w:val="none" w:sz="0" w:space="0" w:color="auto"/>
        <w:left w:val="none" w:sz="0" w:space="0" w:color="auto"/>
        <w:bottom w:val="none" w:sz="0" w:space="0" w:color="auto"/>
        <w:right w:val="none" w:sz="0" w:space="0" w:color="auto"/>
      </w:divBdr>
    </w:div>
    <w:div w:id="499198609">
      <w:bodyDiv w:val="1"/>
      <w:marLeft w:val="0"/>
      <w:marRight w:val="0"/>
      <w:marTop w:val="0"/>
      <w:marBottom w:val="0"/>
      <w:divBdr>
        <w:top w:val="none" w:sz="0" w:space="0" w:color="auto"/>
        <w:left w:val="none" w:sz="0" w:space="0" w:color="auto"/>
        <w:bottom w:val="none" w:sz="0" w:space="0" w:color="auto"/>
        <w:right w:val="none" w:sz="0" w:space="0" w:color="auto"/>
      </w:divBdr>
    </w:div>
    <w:div w:id="499277103">
      <w:bodyDiv w:val="1"/>
      <w:marLeft w:val="0"/>
      <w:marRight w:val="0"/>
      <w:marTop w:val="0"/>
      <w:marBottom w:val="0"/>
      <w:divBdr>
        <w:top w:val="none" w:sz="0" w:space="0" w:color="auto"/>
        <w:left w:val="none" w:sz="0" w:space="0" w:color="auto"/>
        <w:bottom w:val="none" w:sz="0" w:space="0" w:color="auto"/>
        <w:right w:val="none" w:sz="0" w:space="0" w:color="auto"/>
      </w:divBdr>
    </w:div>
    <w:div w:id="499659608">
      <w:bodyDiv w:val="1"/>
      <w:marLeft w:val="0"/>
      <w:marRight w:val="0"/>
      <w:marTop w:val="0"/>
      <w:marBottom w:val="0"/>
      <w:divBdr>
        <w:top w:val="none" w:sz="0" w:space="0" w:color="auto"/>
        <w:left w:val="none" w:sz="0" w:space="0" w:color="auto"/>
        <w:bottom w:val="none" w:sz="0" w:space="0" w:color="auto"/>
        <w:right w:val="none" w:sz="0" w:space="0" w:color="auto"/>
      </w:divBdr>
    </w:div>
    <w:div w:id="499857418">
      <w:bodyDiv w:val="1"/>
      <w:marLeft w:val="0"/>
      <w:marRight w:val="0"/>
      <w:marTop w:val="0"/>
      <w:marBottom w:val="0"/>
      <w:divBdr>
        <w:top w:val="none" w:sz="0" w:space="0" w:color="auto"/>
        <w:left w:val="none" w:sz="0" w:space="0" w:color="auto"/>
        <w:bottom w:val="none" w:sz="0" w:space="0" w:color="auto"/>
        <w:right w:val="none" w:sz="0" w:space="0" w:color="auto"/>
      </w:divBdr>
    </w:div>
    <w:div w:id="500001917">
      <w:bodyDiv w:val="1"/>
      <w:marLeft w:val="0"/>
      <w:marRight w:val="0"/>
      <w:marTop w:val="0"/>
      <w:marBottom w:val="0"/>
      <w:divBdr>
        <w:top w:val="none" w:sz="0" w:space="0" w:color="auto"/>
        <w:left w:val="none" w:sz="0" w:space="0" w:color="auto"/>
        <w:bottom w:val="none" w:sz="0" w:space="0" w:color="auto"/>
        <w:right w:val="none" w:sz="0" w:space="0" w:color="auto"/>
      </w:divBdr>
    </w:div>
    <w:div w:id="500197505">
      <w:bodyDiv w:val="1"/>
      <w:marLeft w:val="0"/>
      <w:marRight w:val="0"/>
      <w:marTop w:val="0"/>
      <w:marBottom w:val="0"/>
      <w:divBdr>
        <w:top w:val="none" w:sz="0" w:space="0" w:color="auto"/>
        <w:left w:val="none" w:sz="0" w:space="0" w:color="auto"/>
        <w:bottom w:val="none" w:sz="0" w:space="0" w:color="auto"/>
        <w:right w:val="none" w:sz="0" w:space="0" w:color="auto"/>
      </w:divBdr>
    </w:div>
    <w:div w:id="500857394">
      <w:bodyDiv w:val="1"/>
      <w:marLeft w:val="0"/>
      <w:marRight w:val="0"/>
      <w:marTop w:val="0"/>
      <w:marBottom w:val="0"/>
      <w:divBdr>
        <w:top w:val="none" w:sz="0" w:space="0" w:color="auto"/>
        <w:left w:val="none" w:sz="0" w:space="0" w:color="auto"/>
        <w:bottom w:val="none" w:sz="0" w:space="0" w:color="auto"/>
        <w:right w:val="none" w:sz="0" w:space="0" w:color="auto"/>
      </w:divBdr>
    </w:div>
    <w:div w:id="501093069">
      <w:bodyDiv w:val="1"/>
      <w:marLeft w:val="0"/>
      <w:marRight w:val="0"/>
      <w:marTop w:val="0"/>
      <w:marBottom w:val="0"/>
      <w:divBdr>
        <w:top w:val="none" w:sz="0" w:space="0" w:color="auto"/>
        <w:left w:val="none" w:sz="0" w:space="0" w:color="auto"/>
        <w:bottom w:val="none" w:sz="0" w:space="0" w:color="auto"/>
        <w:right w:val="none" w:sz="0" w:space="0" w:color="auto"/>
      </w:divBdr>
    </w:div>
    <w:div w:id="501164750">
      <w:bodyDiv w:val="1"/>
      <w:marLeft w:val="0"/>
      <w:marRight w:val="0"/>
      <w:marTop w:val="0"/>
      <w:marBottom w:val="0"/>
      <w:divBdr>
        <w:top w:val="none" w:sz="0" w:space="0" w:color="auto"/>
        <w:left w:val="none" w:sz="0" w:space="0" w:color="auto"/>
        <w:bottom w:val="none" w:sz="0" w:space="0" w:color="auto"/>
        <w:right w:val="none" w:sz="0" w:space="0" w:color="auto"/>
      </w:divBdr>
    </w:div>
    <w:div w:id="501353570">
      <w:bodyDiv w:val="1"/>
      <w:marLeft w:val="0"/>
      <w:marRight w:val="0"/>
      <w:marTop w:val="0"/>
      <w:marBottom w:val="0"/>
      <w:divBdr>
        <w:top w:val="none" w:sz="0" w:space="0" w:color="auto"/>
        <w:left w:val="none" w:sz="0" w:space="0" w:color="auto"/>
        <w:bottom w:val="none" w:sz="0" w:space="0" w:color="auto"/>
        <w:right w:val="none" w:sz="0" w:space="0" w:color="auto"/>
      </w:divBdr>
    </w:div>
    <w:div w:id="501579721">
      <w:bodyDiv w:val="1"/>
      <w:marLeft w:val="0"/>
      <w:marRight w:val="0"/>
      <w:marTop w:val="0"/>
      <w:marBottom w:val="0"/>
      <w:divBdr>
        <w:top w:val="none" w:sz="0" w:space="0" w:color="auto"/>
        <w:left w:val="none" w:sz="0" w:space="0" w:color="auto"/>
        <w:bottom w:val="none" w:sz="0" w:space="0" w:color="auto"/>
        <w:right w:val="none" w:sz="0" w:space="0" w:color="auto"/>
      </w:divBdr>
    </w:div>
    <w:div w:id="503279234">
      <w:bodyDiv w:val="1"/>
      <w:marLeft w:val="0"/>
      <w:marRight w:val="0"/>
      <w:marTop w:val="0"/>
      <w:marBottom w:val="0"/>
      <w:divBdr>
        <w:top w:val="none" w:sz="0" w:space="0" w:color="auto"/>
        <w:left w:val="none" w:sz="0" w:space="0" w:color="auto"/>
        <w:bottom w:val="none" w:sz="0" w:space="0" w:color="auto"/>
        <w:right w:val="none" w:sz="0" w:space="0" w:color="auto"/>
      </w:divBdr>
    </w:div>
    <w:div w:id="503977241">
      <w:bodyDiv w:val="1"/>
      <w:marLeft w:val="0"/>
      <w:marRight w:val="0"/>
      <w:marTop w:val="0"/>
      <w:marBottom w:val="0"/>
      <w:divBdr>
        <w:top w:val="none" w:sz="0" w:space="0" w:color="auto"/>
        <w:left w:val="none" w:sz="0" w:space="0" w:color="auto"/>
        <w:bottom w:val="none" w:sz="0" w:space="0" w:color="auto"/>
        <w:right w:val="none" w:sz="0" w:space="0" w:color="auto"/>
      </w:divBdr>
    </w:div>
    <w:div w:id="504591153">
      <w:bodyDiv w:val="1"/>
      <w:marLeft w:val="0"/>
      <w:marRight w:val="0"/>
      <w:marTop w:val="0"/>
      <w:marBottom w:val="0"/>
      <w:divBdr>
        <w:top w:val="none" w:sz="0" w:space="0" w:color="auto"/>
        <w:left w:val="none" w:sz="0" w:space="0" w:color="auto"/>
        <w:bottom w:val="none" w:sz="0" w:space="0" w:color="auto"/>
        <w:right w:val="none" w:sz="0" w:space="0" w:color="auto"/>
      </w:divBdr>
    </w:div>
    <w:div w:id="504856217">
      <w:bodyDiv w:val="1"/>
      <w:marLeft w:val="0"/>
      <w:marRight w:val="0"/>
      <w:marTop w:val="0"/>
      <w:marBottom w:val="0"/>
      <w:divBdr>
        <w:top w:val="none" w:sz="0" w:space="0" w:color="auto"/>
        <w:left w:val="none" w:sz="0" w:space="0" w:color="auto"/>
        <w:bottom w:val="none" w:sz="0" w:space="0" w:color="auto"/>
        <w:right w:val="none" w:sz="0" w:space="0" w:color="auto"/>
      </w:divBdr>
    </w:div>
    <w:div w:id="505441805">
      <w:bodyDiv w:val="1"/>
      <w:marLeft w:val="0"/>
      <w:marRight w:val="0"/>
      <w:marTop w:val="0"/>
      <w:marBottom w:val="0"/>
      <w:divBdr>
        <w:top w:val="none" w:sz="0" w:space="0" w:color="auto"/>
        <w:left w:val="none" w:sz="0" w:space="0" w:color="auto"/>
        <w:bottom w:val="none" w:sz="0" w:space="0" w:color="auto"/>
        <w:right w:val="none" w:sz="0" w:space="0" w:color="auto"/>
      </w:divBdr>
    </w:div>
    <w:div w:id="505562811">
      <w:bodyDiv w:val="1"/>
      <w:marLeft w:val="0"/>
      <w:marRight w:val="0"/>
      <w:marTop w:val="0"/>
      <w:marBottom w:val="0"/>
      <w:divBdr>
        <w:top w:val="none" w:sz="0" w:space="0" w:color="auto"/>
        <w:left w:val="none" w:sz="0" w:space="0" w:color="auto"/>
        <w:bottom w:val="none" w:sz="0" w:space="0" w:color="auto"/>
        <w:right w:val="none" w:sz="0" w:space="0" w:color="auto"/>
      </w:divBdr>
    </w:div>
    <w:div w:id="506016920">
      <w:bodyDiv w:val="1"/>
      <w:marLeft w:val="0"/>
      <w:marRight w:val="0"/>
      <w:marTop w:val="0"/>
      <w:marBottom w:val="0"/>
      <w:divBdr>
        <w:top w:val="none" w:sz="0" w:space="0" w:color="auto"/>
        <w:left w:val="none" w:sz="0" w:space="0" w:color="auto"/>
        <w:bottom w:val="none" w:sz="0" w:space="0" w:color="auto"/>
        <w:right w:val="none" w:sz="0" w:space="0" w:color="auto"/>
      </w:divBdr>
    </w:div>
    <w:div w:id="506137004">
      <w:bodyDiv w:val="1"/>
      <w:marLeft w:val="0"/>
      <w:marRight w:val="0"/>
      <w:marTop w:val="0"/>
      <w:marBottom w:val="0"/>
      <w:divBdr>
        <w:top w:val="none" w:sz="0" w:space="0" w:color="auto"/>
        <w:left w:val="none" w:sz="0" w:space="0" w:color="auto"/>
        <w:bottom w:val="none" w:sz="0" w:space="0" w:color="auto"/>
        <w:right w:val="none" w:sz="0" w:space="0" w:color="auto"/>
      </w:divBdr>
    </w:div>
    <w:div w:id="506140618">
      <w:bodyDiv w:val="1"/>
      <w:marLeft w:val="0"/>
      <w:marRight w:val="0"/>
      <w:marTop w:val="0"/>
      <w:marBottom w:val="0"/>
      <w:divBdr>
        <w:top w:val="none" w:sz="0" w:space="0" w:color="auto"/>
        <w:left w:val="none" w:sz="0" w:space="0" w:color="auto"/>
        <w:bottom w:val="none" w:sz="0" w:space="0" w:color="auto"/>
        <w:right w:val="none" w:sz="0" w:space="0" w:color="auto"/>
      </w:divBdr>
    </w:div>
    <w:div w:id="506790556">
      <w:bodyDiv w:val="1"/>
      <w:marLeft w:val="0"/>
      <w:marRight w:val="0"/>
      <w:marTop w:val="0"/>
      <w:marBottom w:val="0"/>
      <w:divBdr>
        <w:top w:val="none" w:sz="0" w:space="0" w:color="auto"/>
        <w:left w:val="none" w:sz="0" w:space="0" w:color="auto"/>
        <w:bottom w:val="none" w:sz="0" w:space="0" w:color="auto"/>
        <w:right w:val="none" w:sz="0" w:space="0" w:color="auto"/>
      </w:divBdr>
    </w:div>
    <w:div w:id="507477021">
      <w:bodyDiv w:val="1"/>
      <w:marLeft w:val="0"/>
      <w:marRight w:val="0"/>
      <w:marTop w:val="0"/>
      <w:marBottom w:val="0"/>
      <w:divBdr>
        <w:top w:val="none" w:sz="0" w:space="0" w:color="auto"/>
        <w:left w:val="none" w:sz="0" w:space="0" w:color="auto"/>
        <w:bottom w:val="none" w:sz="0" w:space="0" w:color="auto"/>
        <w:right w:val="none" w:sz="0" w:space="0" w:color="auto"/>
      </w:divBdr>
    </w:div>
    <w:div w:id="507527116">
      <w:bodyDiv w:val="1"/>
      <w:marLeft w:val="0"/>
      <w:marRight w:val="0"/>
      <w:marTop w:val="0"/>
      <w:marBottom w:val="0"/>
      <w:divBdr>
        <w:top w:val="none" w:sz="0" w:space="0" w:color="auto"/>
        <w:left w:val="none" w:sz="0" w:space="0" w:color="auto"/>
        <w:bottom w:val="none" w:sz="0" w:space="0" w:color="auto"/>
        <w:right w:val="none" w:sz="0" w:space="0" w:color="auto"/>
      </w:divBdr>
    </w:div>
    <w:div w:id="507794859">
      <w:bodyDiv w:val="1"/>
      <w:marLeft w:val="0"/>
      <w:marRight w:val="0"/>
      <w:marTop w:val="0"/>
      <w:marBottom w:val="0"/>
      <w:divBdr>
        <w:top w:val="none" w:sz="0" w:space="0" w:color="auto"/>
        <w:left w:val="none" w:sz="0" w:space="0" w:color="auto"/>
        <w:bottom w:val="none" w:sz="0" w:space="0" w:color="auto"/>
        <w:right w:val="none" w:sz="0" w:space="0" w:color="auto"/>
      </w:divBdr>
    </w:div>
    <w:div w:id="508057812">
      <w:bodyDiv w:val="1"/>
      <w:marLeft w:val="0"/>
      <w:marRight w:val="0"/>
      <w:marTop w:val="0"/>
      <w:marBottom w:val="0"/>
      <w:divBdr>
        <w:top w:val="none" w:sz="0" w:space="0" w:color="auto"/>
        <w:left w:val="none" w:sz="0" w:space="0" w:color="auto"/>
        <w:bottom w:val="none" w:sz="0" w:space="0" w:color="auto"/>
        <w:right w:val="none" w:sz="0" w:space="0" w:color="auto"/>
      </w:divBdr>
    </w:div>
    <w:div w:id="508183696">
      <w:bodyDiv w:val="1"/>
      <w:marLeft w:val="0"/>
      <w:marRight w:val="0"/>
      <w:marTop w:val="0"/>
      <w:marBottom w:val="0"/>
      <w:divBdr>
        <w:top w:val="none" w:sz="0" w:space="0" w:color="auto"/>
        <w:left w:val="none" w:sz="0" w:space="0" w:color="auto"/>
        <w:bottom w:val="none" w:sz="0" w:space="0" w:color="auto"/>
        <w:right w:val="none" w:sz="0" w:space="0" w:color="auto"/>
      </w:divBdr>
    </w:div>
    <w:div w:id="508259714">
      <w:bodyDiv w:val="1"/>
      <w:marLeft w:val="0"/>
      <w:marRight w:val="0"/>
      <w:marTop w:val="0"/>
      <w:marBottom w:val="0"/>
      <w:divBdr>
        <w:top w:val="none" w:sz="0" w:space="0" w:color="auto"/>
        <w:left w:val="none" w:sz="0" w:space="0" w:color="auto"/>
        <w:bottom w:val="none" w:sz="0" w:space="0" w:color="auto"/>
        <w:right w:val="none" w:sz="0" w:space="0" w:color="auto"/>
      </w:divBdr>
    </w:div>
    <w:div w:id="508370820">
      <w:bodyDiv w:val="1"/>
      <w:marLeft w:val="0"/>
      <w:marRight w:val="0"/>
      <w:marTop w:val="0"/>
      <w:marBottom w:val="0"/>
      <w:divBdr>
        <w:top w:val="none" w:sz="0" w:space="0" w:color="auto"/>
        <w:left w:val="none" w:sz="0" w:space="0" w:color="auto"/>
        <w:bottom w:val="none" w:sz="0" w:space="0" w:color="auto"/>
        <w:right w:val="none" w:sz="0" w:space="0" w:color="auto"/>
      </w:divBdr>
    </w:div>
    <w:div w:id="508639112">
      <w:bodyDiv w:val="1"/>
      <w:marLeft w:val="0"/>
      <w:marRight w:val="0"/>
      <w:marTop w:val="0"/>
      <w:marBottom w:val="0"/>
      <w:divBdr>
        <w:top w:val="none" w:sz="0" w:space="0" w:color="auto"/>
        <w:left w:val="none" w:sz="0" w:space="0" w:color="auto"/>
        <w:bottom w:val="none" w:sz="0" w:space="0" w:color="auto"/>
        <w:right w:val="none" w:sz="0" w:space="0" w:color="auto"/>
      </w:divBdr>
    </w:div>
    <w:div w:id="508644389">
      <w:bodyDiv w:val="1"/>
      <w:marLeft w:val="0"/>
      <w:marRight w:val="0"/>
      <w:marTop w:val="0"/>
      <w:marBottom w:val="0"/>
      <w:divBdr>
        <w:top w:val="none" w:sz="0" w:space="0" w:color="auto"/>
        <w:left w:val="none" w:sz="0" w:space="0" w:color="auto"/>
        <w:bottom w:val="none" w:sz="0" w:space="0" w:color="auto"/>
        <w:right w:val="none" w:sz="0" w:space="0" w:color="auto"/>
      </w:divBdr>
    </w:div>
    <w:div w:id="509565526">
      <w:bodyDiv w:val="1"/>
      <w:marLeft w:val="0"/>
      <w:marRight w:val="0"/>
      <w:marTop w:val="0"/>
      <w:marBottom w:val="0"/>
      <w:divBdr>
        <w:top w:val="none" w:sz="0" w:space="0" w:color="auto"/>
        <w:left w:val="none" w:sz="0" w:space="0" w:color="auto"/>
        <w:bottom w:val="none" w:sz="0" w:space="0" w:color="auto"/>
        <w:right w:val="none" w:sz="0" w:space="0" w:color="auto"/>
      </w:divBdr>
    </w:div>
    <w:div w:id="509611297">
      <w:bodyDiv w:val="1"/>
      <w:marLeft w:val="0"/>
      <w:marRight w:val="0"/>
      <w:marTop w:val="0"/>
      <w:marBottom w:val="0"/>
      <w:divBdr>
        <w:top w:val="none" w:sz="0" w:space="0" w:color="auto"/>
        <w:left w:val="none" w:sz="0" w:space="0" w:color="auto"/>
        <w:bottom w:val="none" w:sz="0" w:space="0" w:color="auto"/>
        <w:right w:val="none" w:sz="0" w:space="0" w:color="auto"/>
      </w:divBdr>
    </w:div>
    <w:div w:id="510291533">
      <w:bodyDiv w:val="1"/>
      <w:marLeft w:val="0"/>
      <w:marRight w:val="0"/>
      <w:marTop w:val="0"/>
      <w:marBottom w:val="0"/>
      <w:divBdr>
        <w:top w:val="none" w:sz="0" w:space="0" w:color="auto"/>
        <w:left w:val="none" w:sz="0" w:space="0" w:color="auto"/>
        <w:bottom w:val="none" w:sz="0" w:space="0" w:color="auto"/>
        <w:right w:val="none" w:sz="0" w:space="0" w:color="auto"/>
      </w:divBdr>
    </w:div>
    <w:div w:id="511342476">
      <w:bodyDiv w:val="1"/>
      <w:marLeft w:val="0"/>
      <w:marRight w:val="0"/>
      <w:marTop w:val="0"/>
      <w:marBottom w:val="0"/>
      <w:divBdr>
        <w:top w:val="none" w:sz="0" w:space="0" w:color="auto"/>
        <w:left w:val="none" w:sz="0" w:space="0" w:color="auto"/>
        <w:bottom w:val="none" w:sz="0" w:space="0" w:color="auto"/>
        <w:right w:val="none" w:sz="0" w:space="0" w:color="auto"/>
      </w:divBdr>
    </w:div>
    <w:div w:id="511921422">
      <w:bodyDiv w:val="1"/>
      <w:marLeft w:val="0"/>
      <w:marRight w:val="0"/>
      <w:marTop w:val="0"/>
      <w:marBottom w:val="0"/>
      <w:divBdr>
        <w:top w:val="none" w:sz="0" w:space="0" w:color="auto"/>
        <w:left w:val="none" w:sz="0" w:space="0" w:color="auto"/>
        <w:bottom w:val="none" w:sz="0" w:space="0" w:color="auto"/>
        <w:right w:val="none" w:sz="0" w:space="0" w:color="auto"/>
      </w:divBdr>
    </w:div>
    <w:div w:id="512187676">
      <w:bodyDiv w:val="1"/>
      <w:marLeft w:val="0"/>
      <w:marRight w:val="0"/>
      <w:marTop w:val="0"/>
      <w:marBottom w:val="0"/>
      <w:divBdr>
        <w:top w:val="none" w:sz="0" w:space="0" w:color="auto"/>
        <w:left w:val="none" w:sz="0" w:space="0" w:color="auto"/>
        <w:bottom w:val="none" w:sz="0" w:space="0" w:color="auto"/>
        <w:right w:val="none" w:sz="0" w:space="0" w:color="auto"/>
      </w:divBdr>
    </w:div>
    <w:div w:id="512426083">
      <w:bodyDiv w:val="1"/>
      <w:marLeft w:val="0"/>
      <w:marRight w:val="0"/>
      <w:marTop w:val="0"/>
      <w:marBottom w:val="0"/>
      <w:divBdr>
        <w:top w:val="none" w:sz="0" w:space="0" w:color="auto"/>
        <w:left w:val="none" w:sz="0" w:space="0" w:color="auto"/>
        <w:bottom w:val="none" w:sz="0" w:space="0" w:color="auto"/>
        <w:right w:val="none" w:sz="0" w:space="0" w:color="auto"/>
      </w:divBdr>
    </w:div>
    <w:div w:id="512498291">
      <w:bodyDiv w:val="1"/>
      <w:marLeft w:val="0"/>
      <w:marRight w:val="0"/>
      <w:marTop w:val="0"/>
      <w:marBottom w:val="0"/>
      <w:divBdr>
        <w:top w:val="none" w:sz="0" w:space="0" w:color="auto"/>
        <w:left w:val="none" w:sz="0" w:space="0" w:color="auto"/>
        <w:bottom w:val="none" w:sz="0" w:space="0" w:color="auto"/>
        <w:right w:val="none" w:sz="0" w:space="0" w:color="auto"/>
      </w:divBdr>
    </w:div>
    <w:div w:id="513878741">
      <w:bodyDiv w:val="1"/>
      <w:marLeft w:val="0"/>
      <w:marRight w:val="0"/>
      <w:marTop w:val="0"/>
      <w:marBottom w:val="0"/>
      <w:divBdr>
        <w:top w:val="none" w:sz="0" w:space="0" w:color="auto"/>
        <w:left w:val="none" w:sz="0" w:space="0" w:color="auto"/>
        <w:bottom w:val="none" w:sz="0" w:space="0" w:color="auto"/>
        <w:right w:val="none" w:sz="0" w:space="0" w:color="auto"/>
      </w:divBdr>
    </w:div>
    <w:div w:id="514000745">
      <w:bodyDiv w:val="1"/>
      <w:marLeft w:val="0"/>
      <w:marRight w:val="0"/>
      <w:marTop w:val="0"/>
      <w:marBottom w:val="0"/>
      <w:divBdr>
        <w:top w:val="none" w:sz="0" w:space="0" w:color="auto"/>
        <w:left w:val="none" w:sz="0" w:space="0" w:color="auto"/>
        <w:bottom w:val="none" w:sz="0" w:space="0" w:color="auto"/>
        <w:right w:val="none" w:sz="0" w:space="0" w:color="auto"/>
      </w:divBdr>
    </w:div>
    <w:div w:id="514540355">
      <w:bodyDiv w:val="1"/>
      <w:marLeft w:val="0"/>
      <w:marRight w:val="0"/>
      <w:marTop w:val="0"/>
      <w:marBottom w:val="0"/>
      <w:divBdr>
        <w:top w:val="none" w:sz="0" w:space="0" w:color="auto"/>
        <w:left w:val="none" w:sz="0" w:space="0" w:color="auto"/>
        <w:bottom w:val="none" w:sz="0" w:space="0" w:color="auto"/>
        <w:right w:val="none" w:sz="0" w:space="0" w:color="auto"/>
      </w:divBdr>
    </w:div>
    <w:div w:id="514617428">
      <w:bodyDiv w:val="1"/>
      <w:marLeft w:val="0"/>
      <w:marRight w:val="0"/>
      <w:marTop w:val="0"/>
      <w:marBottom w:val="0"/>
      <w:divBdr>
        <w:top w:val="none" w:sz="0" w:space="0" w:color="auto"/>
        <w:left w:val="none" w:sz="0" w:space="0" w:color="auto"/>
        <w:bottom w:val="none" w:sz="0" w:space="0" w:color="auto"/>
        <w:right w:val="none" w:sz="0" w:space="0" w:color="auto"/>
      </w:divBdr>
    </w:div>
    <w:div w:id="515311011">
      <w:bodyDiv w:val="1"/>
      <w:marLeft w:val="0"/>
      <w:marRight w:val="0"/>
      <w:marTop w:val="0"/>
      <w:marBottom w:val="0"/>
      <w:divBdr>
        <w:top w:val="none" w:sz="0" w:space="0" w:color="auto"/>
        <w:left w:val="none" w:sz="0" w:space="0" w:color="auto"/>
        <w:bottom w:val="none" w:sz="0" w:space="0" w:color="auto"/>
        <w:right w:val="none" w:sz="0" w:space="0" w:color="auto"/>
      </w:divBdr>
    </w:div>
    <w:div w:id="515771584">
      <w:bodyDiv w:val="1"/>
      <w:marLeft w:val="0"/>
      <w:marRight w:val="0"/>
      <w:marTop w:val="0"/>
      <w:marBottom w:val="0"/>
      <w:divBdr>
        <w:top w:val="none" w:sz="0" w:space="0" w:color="auto"/>
        <w:left w:val="none" w:sz="0" w:space="0" w:color="auto"/>
        <w:bottom w:val="none" w:sz="0" w:space="0" w:color="auto"/>
        <w:right w:val="none" w:sz="0" w:space="0" w:color="auto"/>
      </w:divBdr>
    </w:div>
    <w:div w:id="515775996">
      <w:bodyDiv w:val="1"/>
      <w:marLeft w:val="0"/>
      <w:marRight w:val="0"/>
      <w:marTop w:val="0"/>
      <w:marBottom w:val="0"/>
      <w:divBdr>
        <w:top w:val="none" w:sz="0" w:space="0" w:color="auto"/>
        <w:left w:val="none" w:sz="0" w:space="0" w:color="auto"/>
        <w:bottom w:val="none" w:sz="0" w:space="0" w:color="auto"/>
        <w:right w:val="none" w:sz="0" w:space="0" w:color="auto"/>
      </w:divBdr>
    </w:div>
    <w:div w:id="516190687">
      <w:bodyDiv w:val="1"/>
      <w:marLeft w:val="0"/>
      <w:marRight w:val="0"/>
      <w:marTop w:val="0"/>
      <w:marBottom w:val="0"/>
      <w:divBdr>
        <w:top w:val="none" w:sz="0" w:space="0" w:color="auto"/>
        <w:left w:val="none" w:sz="0" w:space="0" w:color="auto"/>
        <w:bottom w:val="none" w:sz="0" w:space="0" w:color="auto"/>
        <w:right w:val="none" w:sz="0" w:space="0" w:color="auto"/>
      </w:divBdr>
    </w:div>
    <w:div w:id="517080924">
      <w:bodyDiv w:val="1"/>
      <w:marLeft w:val="0"/>
      <w:marRight w:val="0"/>
      <w:marTop w:val="0"/>
      <w:marBottom w:val="0"/>
      <w:divBdr>
        <w:top w:val="none" w:sz="0" w:space="0" w:color="auto"/>
        <w:left w:val="none" w:sz="0" w:space="0" w:color="auto"/>
        <w:bottom w:val="none" w:sz="0" w:space="0" w:color="auto"/>
        <w:right w:val="none" w:sz="0" w:space="0" w:color="auto"/>
      </w:divBdr>
    </w:div>
    <w:div w:id="517744681">
      <w:bodyDiv w:val="1"/>
      <w:marLeft w:val="0"/>
      <w:marRight w:val="0"/>
      <w:marTop w:val="0"/>
      <w:marBottom w:val="0"/>
      <w:divBdr>
        <w:top w:val="none" w:sz="0" w:space="0" w:color="auto"/>
        <w:left w:val="none" w:sz="0" w:space="0" w:color="auto"/>
        <w:bottom w:val="none" w:sz="0" w:space="0" w:color="auto"/>
        <w:right w:val="none" w:sz="0" w:space="0" w:color="auto"/>
      </w:divBdr>
    </w:div>
    <w:div w:id="518160307">
      <w:bodyDiv w:val="1"/>
      <w:marLeft w:val="0"/>
      <w:marRight w:val="0"/>
      <w:marTop w:val="0"/>
      <w:marBottom w:val="0"/>
      <w:divBdr>
        <w:top w:val="none" w:sz="0" w:space="0" w:color="auto"/>
        <w:left w:val="none" w:sz="0" w:space="0" w:color="auto"/>
        <w:bottom w:val="none" w:sz="0" w:space="0" w:color="auto"/>
        <w:right w:val="none" w:sz="0" w:space="0" w:color="auto"/>
      </w:divBdr>
    </w:div>
    <w:div w:id="518355878">
      <w:bodyDiv w:val="1"/>
      <w:marLeft w:val="0"/>
      <w:marRight w:val="0"/>
      <w:marTop w:val="0"/>
      <w:marBottom w:val="0"/>
      <w:divBdr>
        <w:top w:val="none" w:sz="0" w:space="0" w:color="auto"/>
        <w:left w:val="none" w:sz="0" w:space="0" w:color="auto"/>
        <w:bottom w:val="none" w:sz="0" w:space="0" w:color="auto"/>
        <w:right w:val="none" w:sz="0" w:space="0" w:color="auto"/>
      </w:divBdr>
    </w:div>
    <w:div w:id="519052073">
      <w:bodyDiv w:val="1"/>
      <w:marLeft w:val="0"/>
      <w:marRight w:val="0"/>
      <w:marTop w:val="0"/>
      <w:marBottom w:val="0"/>
      <w:divBdr>
        <w:top w:val="none" w:sz="0" w:space="0" w:color="auto"/>
        <w:left w:val="none" w:sz="0" w:space="0" w:color="auto"/>
        <w:bottom w:val="none" w:sz="0" w:space="0" w:color="auto"/>
        <w:right w:val="none" w:sz="0" w:space="0" w:color="auto"/>
      </w:divBdr>
    </w:div>
    <w:div w:id="519200812">
      <w:bodyDiv w:val="1"/>
      <w:marLeft w:val="0"/>
      <w:marRight w:val="0"/>
      <w:marTop w:val="0"/>
      <w:marBottom w:val="0"/>
      <w:divBdr>
        <w:top w:val="none" w:sz="0" w:space="0" w:color="auto"/>
        <w:left w:val="none" w:sz="0" w:space="0" w:color="auto"/>
        <w:bottom w:val="none" w:sz="0" w:space="0" w:color="auto"/>
        <w:right w:val="none" w:sz="0" w:space="0" w:color="auto"/>
      </w:divBdr>
    </w:div>
    <w:div w:id="519468032">
      <w:bodyDiv w:val="1"/>
      <w:marLeft w:val="0"/>
      <w:marRight w:val="0"/>
      <w:marTop w:val="0"/>
      <w:marBottom w:val="0"/>
      <w:divBdr>
        <w:top w:val="none" w:sz="0" w:space="0" w:color="auto"/>
        <w:left w:val="none" w:sz="0" w:space="0" w:color="auto"/>
        <w:bottom w:val="none" w:sz="0" w:space="0" w:color="auto"/>
        <w:right w:val="none" w:sz="0" w:space="0" w:color="auto"/>
      </w:divBdr>
    </w:div>
    <w:div w:id="519509667">
      <w:bodyDiv w:val="1"/>
      <w:marLeft w:val="0"/>
      <w:marRight w:val="0"/>
      <w:marTop w:val="0"/>
      <w:marBottom w:val="0"/>
      <w:divBdr>
        <w:top w:val="none" w:sz="0" w:space="0" w:color="auto"/>
        <w:left w:val="none" w:sz="0" w:space="0" w:color="auto"/>
        <w:bottom w:val="none" w:sz="0" w:space="0" w:color="auto"/>
        <w:right w:val="none" w:sz="0" w:space="0" w:color="auto"/>
      </w:divBdr>
    </w:div>
    <w:div w:id="520048722">
      <w:bodyDiv w:val="1"/>
      <w:marLeft w:val="0"/>
      <w:marRight w:val="0"/>
      <w:marTop w:val="0"/>
      <w:marBottom w:val="0"/>
      <w:divBdr>
        <w:top w:val="none" w:sz="0" w:space="0" w:color="auto"/>
        <w:left w:val="none" w:sz="0" w:space="0" w:color="auto"/>
        <w:bottom w:val="none" w:sz="0" w:space="0" w:color="auto"/>
        <w:right w:val="none" w:sz="0" w:space="0" w:color="auto"/>
      </w:divBdr>
    </w:div>
    <w:div w:id="520819749">
      <w:bodyDiv w:val="1"/>
      <w:marLeft w:val="0"/>
      <w:marRight w:val="0"/>
      <w:marTop w:val="0"/>
      <w:marBottom w:val="0"/>
      <w:divBdr>
        <w:top w:val="none" w:sz="0" w:space="0" w:color="auto"/>
        <w:left w:val="none" w:sz="0" w:space="0" w:color="auto"/>
        <w:bottom w:val="none" w:sz="0" w:space="0" w:color="auto"/>
        <w:right w:val="none" w:sz="0" w:space="0" w:color="auto"/>
      </w:divBdr>
    </w:div>
    <w:div w:id="520822047">
      <w:bodyDiv w:val="1"/>
      <w:marLeft w:val="0"/>
      <w:marRight w:val="0"/>
      <w:marTop w:val="0"/>
      <w:marBottom w:val="0"/>
      <w:divBdr>
        <w:top w:val="none" w:sz="0" w:space="0" w:color="auto"/>
        <w:left w:val="none" w:sz="0" w:space="0" w:color="auto"/>
        <w:bottom w:val="none" w:sz="0" w:space="0" w:color="auto"/>
        <w:right w:val="none" w:sz="0" w:space="0" w:color="auto"/>
      </w:divBdr>
    </w:div>
    <w:div w:id="521824564">
      <w:bodyDiv w:val="1"/>
      <w:marLeft w:val="0"/>
      <w:marRight w:val="0"/>
      <w:marTop w:val="0"/>
      <w:marBottom w:val="0"/>
      <w:divBdr>
        <w:top w:val="none" w:sz="0" w:space="0" w:color="auto"/>
        <w:left w:val="none" w:sz="0" w:space="0" w:color="auto"/>
        <w:bottom w:val="none" w:sz="0" w:space="0" w:color="auto"/>
        <w:right w:val="none" w:sz="0" w:space="0" w:color="auto"/>
      </w:divBdr>
    </w:div>
    <w:div w:id="522137339">
      <w:bodyDiv w:val="1"/>
      <w:marLeft w:val="0"/>
      <w:marRight w:val="0"/>
      <w:marTop w:val="0"/>
      <w:marBottom w:val="0"/>
      <w:divBdr>
        <w:top w:val="none" w:sz="0" w:space="0" w:color="auto"/>
        <w:left w:val="none" w:sz="0" w:space="0" w:color="auto"/>
        <w:bottom w:val="none" w:sz="0" w:space="0" w:color="auto"/>
        <w:right w:val="none" w:sz="0" w:space="0" w:color="auto"/>
      </w:divBdr>
    </w:div>
    <w:div w:id="522862442">
      <w:bodyDiv w:val="1"/>
      <w:marLeft w:val="0"/>
      <w:marRight w:val="0"/>
      <w:marTop w:val="0"/>
      <w:marBottom w:val="0"/>
      <w:divBdr>
        <w:top w:val="none" w:sz="0" w:space="0" w:color="auto"/>
        <w:left w:val="none" w:sz="0" w:space="0" w:color="auto"/>
        <w:bottom w:val="none" w:sz="0" w:space="0" w:color="auto"/>
        <w:right w:val="none" w:sz="0" w:space="0" w:color="auto"/>
      </w:divBdr>
    </w:div>
    <w:div w:id="522980333">
      <w:bodyDiv w:val="1"/>
      <w:marLeft w:val="0"/>
      <w:marRight w:val="0"/>
      <w:marTop w:val="0"/>
      <w:marBottom w:val="0"/>
      <w:divBdr>
        <w:top w:val="none" w:sz="0" w:space="0" w:color="auto"/>
        <w:left w:val="none" w:sz="0" w:space="0" w:color="auto"/>
        <w:bottom w:val="none" w:sz="0" w:space="0" w:color="auto"/>
        <w:right w:val="none" w:sz="0" w:space="0" w:color="auto"/>
      </w:divBdr>
    </w:div>
    <w:div w:id="524557770">
      <w:bodyDiv w:val="1"/>
      <w:marLeft w:val="0"/>
      <w:marRight w:val="0"/>
      <w:marTop w:val="0"/>
      <w:marBottom w:val="0"/>
      <w:divBdr>
        <w:top w:val="none" w:sz="0" w:space="0" w:color="auto"/>
        <w:left w:val="none" w:sz="0" w:space="0" w:color="auto"/>
        <w:bottom w:val="none" w:sz="0" w:space="0" w:color="auto"/>
        <w:right w:val="none" w:sz="0" w:space="0" w:color="auto"/>
      </w:divBdr>
    </w:div>
    <w:div w:id="525483916">
      <w:bodyDiv w:val="1"/>
      <w:marLeft w:val="0"/>
      <w:marRight w:val="0"/>
      <w:marTop w:val="0"/>
      <w:marBottom w:val="0"/>
      <w:divBdr>
        <w:top w:val="none" w:sz="0" w:space="0" w:color="auto"/>
        <w:left w:val="none" w:sz="0" w:space="0" w:color="auto"/>
        <w:bottom w:val="none" w:sz="0" w:space="0" w:color="auto"/>
        <w:right w:val="none" w:sz="0" w:space="0" w:color="auto"/>
      </w:divBdr>
    </w:div>
    <w:div w:id="525796933">
      <w:bodyDiv w:val="1"/>
      <w:marLeft w:val="0"/>
      <w:marRight w:val="0"/>
      <w:marTop w:val="0"/>
      <w:marBottom w:val="0"/>
      <w:divBdr>
        <w:top w:val="none" w:sz="0" w:space="0" w:color="auto"/>
        <w:left w:val="none" w:sz="0" w:space="0" w:color="auto"/>
        <w:bottom w:val="none" w:sz="0" w:space="0" w:color="auto"/>
        <w:right w:val="none" w:sz="0" w:space="0" w:color="auto"/>
      </w:divBdr>
    </w:div>
    <w:div w:id="526060667">
      <w:bodyDiv w:val="1"/>
      <w:marLeft w:val="0"/>
      <w:marRight w:val="0"/>
      <w:marTop w:val="0"/>
      <w:marBottom w:val="0"/>
      <w:divBdr>
        <w:top w:val="none" w:sz="0" w:space="0" w:color="auto"/>
        <w:left w:val="none" w:sz="0" w:space="0" w:color="auto"/>
        <w:bottom w:val="none" w:sz="0" w:space="0" w:color="auto"/>
        <w:right w:val="none" w:sz="0" w:space="0" w:color="auto"/>
      </w:divBdr>
    </w:div>
    <w:div w:id="526069081">
      <w:bodyDiv w:val="1"/>
      <w:marLeft w:val="0"/>
      <w:marRight w:val="0"/>
      <w:marTop w:val="0"/>
      <w:marBottom w:val="0"/>
      <w:divBdr>
        <w:top w:val="none" w:sz="0" w:space="0" w:color="auto"/>
        <w:left w:val="none" w:sz="0" w:space="0" w:color="auto"/>
        <w:bottom w:val="none" w:sz="0" w:space="0" w:color="auto"/>
        <w:right w:val="none" w:sz="0" w:space="0" w:color="auto"/>
      </w:divBdr>
    </w:div>
    <w:div w:id="526674365">
      <w:bodyDiv w:val="1"/>
      <w:marLeft w:val="0"/>
      <w:marRight w:val="0"/>
      <w:marTop w:val="0"/>
      <w:marBottom w:val="0"/>
      <w:divBdr>
        <w:top w:val="none" w:sz="0" w:space="0" w:color="auto"/>
        <w:left w:val="none" w:sz="0" w:space="0" w:color="auto"/>
        <w:bottom w:val="none" w:sz="0" w:space="0" w:color="auto"/>
        <w:right w:val="none" w:sz="0" w:space="0" w:color="auto"/>
      </w:divBdr>
    </w:div>
    <w:div w:id="527066973">
      <w:bodyDiv w:val="1"/>
      <w:marLeft w:val="0"/>
      <w:marRight w:val="0"/>
      <w:marTop w:val="0"/>
      <w:marBottom w:val="0"/>
      <w:divBdr>
        <w:top w:val="none" w:sz="0" w:space="0" w:color="auto"/>
        <w:left w:val="none" w:sz="0" w:space="0" w:color="auto"/>
        <w:bottom w:val="none" w:sz="0" w:space="0" w:color="auto"/>
        <w:right w:val="none" w:sz="0" w:space="0" w:color="auto"/>
      </w:divBdr>
    </w:div>
    <w:div w:id="527334416">
      <w:bodyDiv w:val="1"/>
      <w:marLeft w:val="0"/>
      <w:marRight w:val="0"/>
      <w:marTop w:val="0"/>
      <w:marBottom w:val="0"/>
      <w:divBdr>
        <w:top w:val="none" w:sz="0" w:space="0" w:color="auto"/>
        <w:left w:val="none" w:sz="0" w:space="0" w:color="auto"/>
        <w:bottom w:val="none" w:sz="0" w:space="0" w:color="auto"/>
        <w:right w:val="none" w:sz="0" w:space="0" w:color="auto"/>
      </w:divBdr>
    </w:div>
    <w:div w:id="528180822">
      <w:bodyDiv w:val="1"/>
      <w:marLeft w:val="0"/>
      <w:marRight w:val="0"/>
      <w:marTop w:val="0"/>
      <w:marBottom w:val="0"/>
      <w:divBdr>
        <w:top w:val="none" w:sz="0" w:space="0" w:color="auto"/>
        <w:left w:val="none" w:sz="0" w:space="0" w:color="auto"/>
        <w:bottom w:val="none" w:sz="0" w:space="0" w:color="auto"/>
        <w:right w:val="none" w:sz="0" w:space="0" w:color="auto"/>
      </w:divBdr>
    </w:div>
    <w:div w:id="528419891">
      <w:bodyDiv w:val="1"/>
      <w:marLeft w:val="0"/>
      <w:marRight w:val="0"/>
      <w:marTop w:val="0"/>
      <w:marBottom w:val="0"/>
      <w:divBdr>
        <w:top w:val="none" w:sz="0" w:space="0" w:color="auto"/>
        <w:left w:val="none" w:sz="0" w:space="0" w:color="auto"/>
        <w:bottom w:val="none" w:sz="0" w:space="0" w:color="auto"/>
        <w:right w:val="none" w:sz="0" w:space="0" w:color="auto"/>
      </w:divBdr>
    </w:div>
    <w:div w:id="528639584">
      <w:bodyDiv w:val="1"/>
      <w:marLeft w:val="0"/>
      <w:marRight w:val="0"/>
      <w:marTop w:val="0"/>
      <w:marBottom w:val="0"/>
      <w:divBdr>
        <w:top w:val="none" w:sz="0" w:space="0" w:color="auto"/>
        <w:left w:val="none" w:sz="0" w:space="0" w:color="auto"/>
        <w:bottom w:val="none" w:sz="0" w:space="0" w:color="auto"/>
        <w:right w:val="none" w:sz="0" w:space="0" w:color="auto"/>
      </w:divBdr>
    </w:div>
    <w:div w:id="528762642">
      <w:bodyDiv w:val="1"/>
      <w:marLeft w:val="0"/>
      <w:marRight w:val="0"/>
      <w:marTop w:val="0"/>
      <w:marBottom w:val="0"/>
      <w:divBdr>
        <w:top w:val="none" w:sz="0" w:space="0" w:color="auto"/>
        <w:left w:val="none" w:sz="0" w:space="0" w:color="auto"/>
        <w:bottom w:val="none" w:sz="0" w:space="0" w:color="auto"/>
        <w:right w:val="none" w:sz="0" w:space="0" w:color="auto"/>
      </w:divBdr>
    </w:div>
    <w:div w:id="529032926">
      <w:bodyDiv w:val="1"/>
      <w:marLeft w:val="0"/>
      <w:marRight w:val="0"/>
      <w:marTop w:val="0"/>
      <w:marBottom w:val="0"/>
      <w:divBdr>
        <w:top w:val="none" w:sz="0" w:space="0" w:color="auto"/>
        <w:left w:val="none" w:sz="0" w:space="0" w:color="auto"/>
        <w:bottom w:val="none" w:sz="0" w:space="0" w:color="auto"/>
        <w:right w:val="none" w:sz="0" w:space="0" w:color="auto"/>
      </w:divBdr>
    </w:div>
    <w:div w:id="529295501">
      <w:bodyDiv w:val="1"/>
      <w:marLeft w:val="0"/>
      <w:marRight w:val="0"/>
      <w:marTop w:val="0"/>
      <w:marBottom w:val="0"/>
      <w:divBdr>
        <w:top w:val="none" w:sz="0" w:space="0" w:color="auto"/>
        <w:left w:val="none" w:sz="0" w:space="0" w:color="auto"/>
        <w:bottom w:val="none" w:sz="0" w:space="0" w:color="auto"/>
        <w:right w:val="none" w:sz="0" w:space="0" w:color="auto"/>
      </w:divBdr>
    </w:div>
    <w:div w:id="529492822">
      <w:bodyDiv w:val="1"/>
      <w:marLeft w:val="0"/>
      <w:marRight w:val="0"/>
      <w:marTop w:val="0"/>
      <w:marBottom w:val="0"/>
      <w:divBdr>
        <w:top w:val="none" w:sz="0" w:space="0" w:color="auto"/>
        <w:left w:val="none" w:sz="0" w:space="0" w:color="auto"/>
        <w:bottom w:val="none" w:sz="0" w:space="0" w:color="auto"/>
        <w:right w:val="none" w:sz="0" w:space="0" w:color="auto"/>
      </w:divBdr>
    </w:div>
    <w:div w:id="529876215">
      <w:bodyDiv w:val="1"/>
      <w:marLeft w:val="0"/>
      <w:marRight w:val="0"/>
      <w:marTop w:val="0"/>
      <w:marBottom w:val="0"/>
      <w:divBdr>
        <w:top w:val="none" w:sz="0" w:space="0" w:color="auto"/>
        <w:left w:val="none" w:sz="0" w:space="0" w:color="auto"/>
        <w:bottom w:val="none" w:sz="0" w:space="0" w:color="auto"/>
        <w:right w:val="none" w:sz="0" w:space="0" w:color="auto"/>
      </w:divBdr>
    </w:div>
    <w:div w:id="529876783">
      <w:bodyDiv w:val="1"/>
      <w:marLeft w:val="0"/>
      <w:marRight w:val="0"/>
      <w:marTop w:val="0"/>
      <w:marBottom w:val="0"/>
      <w:divBdr>
        <w:top w:val="none" w:sz="0" w:space="0" w:color="auto"/>
        <w:left w:val="none" w:sz="0" w:space="0" w:color="auto"/>
        <w:bottom w:val="none" w:sz="0" w:space="0" w:color="auto"/>
        <w:right w:val="none" w:sz="0" w:space="0" w:color="auto"/>
      </w:divBdr>
    </w:div>
    <w:div w:id="530074185">
      <w:bodyDiv w:val="1"/>
      <w:marLeft w:val="0"/>
      <w:marRight w:val="0"/>
      <w:marTop w:val="0"/>
      <w:marBottom w:val="0"/>
      <w:divBdr>
        <w:top w:val="none" w:sz="0" w:space="0" w:color="auto"/>
        <w:left w:val="none" w:sz="0" w:space="0" w:color="auto"/>
        <w:bottom w:val="none" w:sz="0" w:space="0" w:color="auto"/>
        <w:right w:val="none" w:sz="0" w:space="0" w:color="auto"/>
      </w:divBdr>
    </w:div>
    <w:div w:id="530263977">
      <w:bodyDiv w:val="1"/>
      <w:marLeft w:val="0"/>
      <w:marRight w:val="0"/>
      <w:marTop w:val="0"/>
      <w:marBottom w:val="0"/>
      <w:divBdr>
        <w:top w:val="none" w:sz="0" w:space="0" w:color="auto"/>
        <w:left w:val="none" w:sz="0" w:space="0" w:color="auto"/>
        <w:bottom w:val="none" w:sz="0" w:space="0" w:color="auto"/>
        <w:right w:val="none" w:sz="0" w:space="0" w:color="auto"/>
      </w:divBdr>
    </w:div>
    <w:div w:id="530530268">
      <w:bodyDiv w:val="1"/>
      <w:marLeft w:val="0"/>
      <w:marRight w:val="0"/>
      <w:marTop w:val="0"/>
      <w:marBottom w:val="0"/>
      <w:divBdr>
        <w:top w:val="none" w:sz="0" w:space="0" w:color="auto"/>
        <w:left w:val="none" w:sz="0" w:space="0" w:color="auto"/>
        <w:bottom w:val="none" w:sz="0" w:space="0" w:color="auto"/>
        <w:right w:val="none" w:sz="0" w:space="0" w:color="auto"/>
      </w:divBdr>
    </w:div>
    <w:div w:id="530580858">
      <w:bodyDiv w:val="1"/>
      <w:marLeft w:val="0"/>
      <w:marRight w:val="0"/>
      <w:marTop w:val="0"/>
      <w:marBottom w:val="0"/>
      <w:divBdr>
        <w:top w:val="none" w:sz="0" w:space="0" w:color="auto"/>
        <w:left w:val="none" w:sz="0" w:space="0" w:color="auto"/>
        <w:bottom w:val="none" w:sz="0" w:space="0" w:color="auto"/>
        <w:right w:val="none" w:sz="0" w:space="0" w:color="auto"/>
      </w:divBdr>
    </w:div>
    <w:div w:id="530800724">
      <w:bodyDiv w:val="1"/>
      <w:marLeft w:val="0"/>
      <w:marRight w:val="0"/>
      <w:marTop w:val="0"/>
      <w:marBottom w:val="0"/>
      <w:divBdr>
        <w:top w:val="none" w:sz="0" w:space="0" w:color="auto"/>
        <w:left w:val="none" w:sz="0" w:space="0" w:color="auto"/>
        <w:bottom w:val="none" w:sz="0" w:space="0" w:color="auto"/>
        <w:right w:val="none" w:sz="0" w:space="0" w:color="auto"/>
      </w:divBdr>
    </w:div>
    <w:div w:id="531655943">
      <w:bodyDiv w:val="1"/>
      <w:marLeft w:val="0"/>
      <w:marRight w:val="0"/>
      <w:marTop w:val="0"/>
      <w:marBottom w:val="0"/>
      <w:divBdr>
        <w:top w:val="none" w:sz="0" w:space="0" w:color="auto"/>
        <w:left w:val="none" w:sz="0" w:space="0" w:color="auto"/>
        <w:bottom w:val="none" w:sz="0" w:space="0" w:color="auto"/>
        <w:right w:val="none" w:sz="0" w:space="0" w:color="auto"/>
      </w:divBdr>
    </w:div>
    <w:div w:id="531768155">
      <w:bodyDiv w:val="1"/>
      <w:marLeft w:val="0"/>
      <w:marRight w:val="0"/>
      <w:marTop w:val="0"/>
      <w:marBottom w:val="0"/>
      <w:divBdr>
        <w:top w:val="none" w:sz="0" w:space="0" w:color="auto"/>
        <w:left w:val="none" w:sz="0" w:space="0" w:color="auto"/>
        <w:bottom w:val="none" w:sz="0" w:space="0" w:color="auto"/>
        <w:right w:val="none" w:sz="0" w:space="0" w:color="auto"/>
      </w:divBdr>
    </w:div>
    <w:div w:id="531847373">
      <w:bodyDiv w:val="1"/>
      <w:marLeft w:val="0"/>
      <w:marRight w:val="0"/>
      <w:marTop w:val="0"/>
      <w:marBottom w:val="0"/>
      <w:divBdr>
        <w:top w:val="none" w:sz="0" w:space="0" w:color="auto"/>
        <w:left w:val="none" w:sz="0" w:space="0" w:color="auto"/>
        <w:bottom w:val="none" w:sz="0" w:space="0" w:color="auto"/>
        <w:right w:val="none" w:sz="0" w:space="0" w:color="auto"/>
      </w:divBdr>
    </w:div>
    <w:div w:id="531915864">
      <w:bodyDiv w:val="1"/>
      <w:marLeft w:val="0"/>
      <w:marRight w:val="0"/>
      <w:marTop w:val="0"/>
      <w:marBottom w:val="0"/>
      <w:divBdr>
        <w:top w:val="none" w:sz="0" w:space="0" w:color="auto"/>
        <w:left w:val="none" w:sz="0" w:space="0" w:color="auto"/>
        <w:bottom w:val="none" w:sz="0" w:space="0" w:color="auto"/>
        <w:right w:val="none" w:sz="0" w:space="0" w:color="auto"/>
      </w:divBdr>
    </w:div>
    <w:div w:id="532040420">
      <w:bodyDiv w:val="1"/>
      <w:marLeft w:val="0"/>
      <w:marRight w:val="0"/>
      <w:marTop w:val="0"/>
      <w:marBottom w:val="0"/>
      <w:divBdr>
        <w:top w:val="none" w:sz="0" w:space="0" w:color="auto"/>
        <w:left w:val="none" w:sz="0" w:space="0" w:color="auto"/>
        <w:bottom w:val="none" w:sz="0" w:space="0" w:color="auto"/>
        <w:right w:val="none" w:sz="0" w:space="0" w:color="auto"/>
      </w:divBdr>
    </w:div>
    <w:div w:id="532234345">
      <w:bodyDiv w:val="1"/>
      <w:marLeft w:val="0"/>
      <w:marRight w:val="0"/>
      <w:marTop w:val="0"/>
      <w:marBottom w:val="0"/>
      <w:divBdr>
        <w:top w:val="none" w:sz="0" w:space="0" w:color="auto"/>
        <w:left w:val="none" w:sz="0" w:space="0" w:color="auto"/>
        <w:bottom w:val="none" w:sz="0" w:space="0" w:color="auto"/>
        <w:right w:val="none" w:sz="0" w:space="0" w:color="auto"/>
      </w:divBdr>
    </w:div>
    <w:div w:id="532352874">
      <w:bodyDiv w:val="1"/>
      <w:marLeft w:val="0"/>
      <w:marRight w:val="0"/>
      <w:marTop w:val="0"/>
      <w:marBottom w:val="0"/>
      <w:divBdr>
        <w:top w:val="none" w:sz="0" w:space="0" w:color="auto"/>
        <w:left w:val="none" w:sz="0" w:space="0" w:color="auto"/>
        <w:bottom w:val="none" w:sz="0" w:space="0" w:color="auto"/>
        <w:right w:val="none" w:sz="0" w:space="0" w:color="auto"/>
      </w:divBdr>
    </w:div>
    <w:div w:id="532426967">
      <w:bodyDiv w:val="1"/>
      <w:marLeft w:val="0"/>
      <w:marRight w:val="0"/>
      <w:marTop w:val="0"/>
      <w:marBottom w:val="0"/>
      <w:divBdr>
        <w:top w:val="none" w:sz="0" w:space="0" w:color="auto"/>
        <w:left w:val="none" w:sz="0" w:space="0" w:color="auto"/>
        <w:bottom w:val="none" w:sz="0" w:space="0" w:color="auto"/>
        <w:right w:val="none" w:sz="0" w:space="0" w:color="auto"/>
      </w:divBdr>
    </w:div>
    <w:div w:id="532886992">
      <w:bodyDiv w:val="1"/>
      <w:marLeft w:val="0"/>
      <w:marRight w:val="0"/>
      <w:marTop w:val="0"/>
      <w:marBottom w:val="0"/>
      <w:divBdr>
        <w:top w:val="none" w:sz="0" w:space="0" w:color="auto"/>
        <w:left w:val="none" w:sz="0" w:space="0" w:color="auto"/>
        <w:bottom w:val="none" w:sz="0" w:space="0" w:color="auto"/>
        <w:right w:val="none" w:sz="0" w:space="0" w:color="auto"/>
      </w:divBdr>
    </w:div>
    <w:div w:id="533032836">
      <w:bodyDiv w:val="1"/>
      <w:marLeft w:val="0"/>
      <w:marRight w:val="0"/>
      <w:marTop w:val="0"/>
      <w:marBottom w:val="0"/>
      <w:divBdr>
        <w:top w:val="none" w:sz="0" w:space="0" w:color="auto"/>
        <w:left w:val="none" w:sz="0" w:space="0" w:color="auto"/>
        <w:bottom w:val="none" w:sz="0" w:space="0" w:color="auto"/>
        <w:right w:val="none" w:sz="0" w:space="0" w:color="auto"/>
      </w:divBdr>
    </w:div>
    <w:div w:id="533150603">
      <w:bodyDiv w:val="1"/>
      <w:marLeft w:val="0"/>
      <w:marRight w:val="0"/>
      <w:marTop w:val="0"/>
      <w:marBottom w:val="0"/>
      <w:divBdr>
        <w:top w:val="none" w:sz="0" w:space="0" w:color="auto"/>
        <w:left w:val="none" w:sz="0" w:space="0" w:color="auto"/>
        <w:bottom w:val="none" w:sz="0" w:space="0" w:color="auto"/>
        <w:right w:val="none" w:sz="0" w:space="0" w:color="auto"/>
      </w:divBdr>
    </w:div>
    <w:div w:id="533273495">
      <w:bodyDiv w:val="1"/>
      <w:marLeft w:val="0"/>
      <w:marRight w:val="0"/>
      <w:marTop w:val="0"/>
      <w:marBottom w:val="0"/>
      <w:divBdr>
        <w:top w:val="none" w:sz="0" w:space="0" w:color="auto"/>
        <w:left w:val="none" w:sz="0" w:space="0" w:color="auto"/>
        <w:bottom w:val="none" w:sz="0" w:space="0" w:color="auto"/>
        <w:right w:val="none" w:sz="0" w:space="0" w:color="auto"/>
      </w:divBdr>
    </w:div>
    <w:div w:id="534390325">
      <w:bodyDiv w:val="1"/>
      <w:marLeft w:val="0"/>
      <w:marRight w:val="0"/>
      <w:marTop w:val="0"/>
      <w:marBottom w:val="0"/>
      <w:divBdr>
        <w:top w:val="none" w:sz="0" w:space="0" w:color="auto"/>
        <w:left w:val="none" w:sz="0" w:space="0" w:color="auto"/>
        <w:bottom w:val="none" w:sz="0" w:space="0" w:color="auto"/>
        <w:right w:val="none" w:sz="0" w:space="0" w:color="auto"/>
      </w:divBdr>
    </w:div>
    <w:div w:id="534392119">
      <w:bodyDiv w:val="1"/>
      <w:marLeft w:val="0"/>
      <w:marRight w:val="0"/>
      <w:marTop w:val="0"/>
      <w:marBottom w:val="0"/>
      <w:divBdr>
        <w:top w:val="none" w:sz="0" w:space="0" w:color="auto"/>
        <w:left w:val="none" w:sz="0" w:space="0" w:color="auto"/>
        <w:bottom w:val="none" w:sz="0" w:space="0" w:color="auto"/>
        <w:right w:val="none" w:sz="0" w:space="0" w:color="auto"/>
      </w:divBdr>
    </w:div>
    <w:div w:id="534580838">
      <w:bodyDiv w:val="1"/>
      <w:marLeft w:val="0"/>
      <w:marRight w:val="0"/>
      <w:marTop w:val="0"/>
      <w:marBottom w:val="0"/>
      <w:divBdr>
        <w:top w:val="none" w:sz="0" w:space="0" w:color="auto"/>
        <w:left w:val="none" w:sz="0" w:space="0" w:color="auto"/>
        <w:bottom w:val="none" w:sz="0" w:space="0" w:color="auto"/>
        <w:right w:val="none" w:sz="0" w:space="0" w:color="auto"/>
      </w:divBdr>
    </w:div>
    <w:div w:id="535581928">
      <w:bodyDiv w:val="1"/>
      <w:marLeft w:val="0"/>
      <w:marRight w:val="0"/>
      <w:marTop w:val="0"/>
      <w:marBottom w:val="0"/>
      <w:divBdr>
        <w:top w:val="none" w:sz="0" w:space="0" w:color="auto"/>
        <w:left w:val="none" w:sz="0" w:space="0" w:color="auto"/>
        <w:bottom w:val="none" w:sz="0" w:space="0" w:color="auto"/>
        <w:right w:val="none" w:sz="0" w:space="0" w:color="auto"/>
      </w:divBdr>
    </w:div>
    <w:div w:id="535626154">
      <w:bodyDiv w:val="1"/>
      <w:marLeft w:val="0"/>
      <w:marRight w:val="0"/>
      <w:marTop w:val="0"/>
      <w:marBottom w:val="0"/>
      <w:divBdr>
        <w:top w:val="none" w:sz="0" w:space="0" w:color="auto"/>
        <w:left w:val="none" w:sz="0" w:space="0" w:color="auto"/>
        <w:bottom w:val="none" w:sz="0" w:space="0" w:color="auto"/>
        <w:right w:val="none" w:sz="0" w:space="0" w:color="auto"/>
      </w:divBdr>
    </w:div>
    <w:div w:id="535696868">
      <w:bodyDiv w:val="1"/>
      <w:marLeft w:val="0"/>
      <w:marRight w:val="0"/>
      <w:marTop w:val="0"/>
      <w:marBottom w:val="0"/>
      <w:divBdr>
        <w:top w:val="none" w:sz="0" w:space="0" w:color="auto"/>
        <w:left w:val="none" w:sz="0" w:space="0" w:color="auto"/>
        <w:bottom w:val="none" w:sz="0" w:space="0" w:color="auto"/>
        <w:right w:val="none" w:sz="0" w:space="0" w:color="auto"/>
      </w:divBdr>
    </w:div>
    <w:div w:id="536160429">
      <w:bodyDiv w:val="1"/>
      <w:marLeft w:val="0"/>
      <w:marRight w:val="0"/>
      <w:marTop w:val="0"/>
      <w:marBottom w:val="0"/>
      <w:divBdr>
        <w:top w:val="none" w:sz="0" w:space="0" w:color="auto"/>
        <w:left w:val="none" w:sz="0" w:space="0" w:color="auto"/>
        <w:bottom w:val="none" w:sz="0" w:space="0" w:color="auto"/>
        <w:right w:val="none" w:sz="0" w:space="0" w:color="auto"/>
      </w:divBdr>
    </w:div>
    <w:div w:id="536429306">
      <w:bodyDiv w:val="1"/>
      <w:marLeft w:val="0"/>
      <w:marRight w:val="0"/>
      <w:marTop w:val="0"/>
      <w:marBottom w:val="0"/>
      <w:divBdr>
        <w:top w:val="none" w:sz="0" w:space="0" w:color="auto"/>
        <w:left w:val="none" w:sz="0" w:space="0" w:color="auto"/>
        <w:bottom w:val="none" w:sz="0" w:space="0" w:color="auto"/>
        <w:right w:val="none" w:sz="0" w:space="0" w:color="auto"/>
      </w:divBdr>
    </w:div>
    <w:div w:id="536508078">
      <w:bodyDiv w:val="1"/>
      <w:marLeft w:val="0"/>
      <w:marRight w:val="0"/>
      <w:marTop w:val="0"/>
      <w:marBottom w:val="0"/>
      <w:divBdr>
        <w:top w:val="none" w:sz="0" w:space="0" w:color="auto"/>
        <w:left w:val="none" w:sz="0" w:space="0" w:color="auto"/>
        <w:bottom w:val="none" w:sz="0" w:space="0" w:color="auto"/>
        <w:right w:val="none" w:sz="0" w:space="0" w:color="auto"/>
      </w:divBdr>
    </w:div>
    <w:div w:id="536548073">
      <w:bodyDiv w:val="1"/>
      <w:marLeft w:val="0"/>
      <w:marRight w:val="0"/>
      <w:marTop w:val="0"/>
      <w:marBottom w:val="0"/>
      <w:divBdr>
        <w:top w:val="none" w:sz="0" w:space="0" w:color="auto"/>
        <w:left w:val="none" w:sz="0" w:space="0" w:color="auto"/>
        <w:bottom w:val="none" w:sz="0" w:space="0" w:color="auto"/>
        <w:right w:val="none" w:sz="0" w:space="0" w:color="auto"/>
      </w:divBdr>
    </w:div>
    <w:div w:id="536939849">
      <w:bodyDiv w:val="1"/>
      <w:marLeft w:val="0"/>
      <w:marRight w:val="0"/>
      <w:marTop w:val="0"/>
      <w:marBottom w:val="0"/>
      <w:divBdr>
        <w:top w:val="none" w:sz="0" w:space="0" w:color="auto"/>
        <w:left w:val="none" w:sz="0" w:space="0" w:color="auto"/>
        <w:bottom w:val="none" w:sz="0" w:space="0" w:color="auto"/>
        <w:right w:val="none" w:sz="0" w:space="0" w:color="auto"/>
      </w:divBdr>
    </w:div>
    <w:div w:id="537159717">
      <w:bodyDiv w:val="1"/>
      <w:marLeft w:val="0"/>
      <w:marRight w:val="0"/>
      <w:marTop w:val="0"/>
      <w:marBottom w:val="0"/>
      <w:divBdr>
        <w:top w:val="none" w:sz="0" w:space="0" w:color="auto"/>
        <w:left w:val="none" w:sz="0" w:space="0" w:color="auto"/>
        <w:bottom w:val="none" w:sz="0" w:space="0" w:color="auto"/>
        <w:right w:val="none" w:sz="0" w:space="0" w:color="auto"/>
      </w:divBdr>
    </w:div>
    <w:div w:id="537281580">
      <w:bodyDiv w:val="1"/>
      <w:marLeft w:val="0"/>
      <w:marRight w:val="0"/>
      <w:marTop w:val="0"/>
      <w:marBottom w:val="0"/>
      <w:divBdr>
        <w:top w:val="none" w:sz="0" w:space="0" w:color="auto"/>
        <w:left w:val="none" w:sz="0" w:space="0" w:color="auto"/>
        <w:bottom w:val="none" w:sz="0" w:space="0" w:color="auto"/>
        <w:right w:val="none" w:sz="0" w:space="0" w:color="auto"/>
      </w:divBdr>
    </w:div>
    <w:div w:id="537472388">
      <w:bodyDiv w:val="1"/>
      <w:marLeft w:val="0"/>
      <w:marRight w:val="0"/>
      <w:marTop w:val="0"/>
      <w:marBottom w:val="0"/>
      <w:divBdr>
        <w:top w:val="none" w:sz="0" w:space="0" w:color="auto"/>
        <w:left w:val="none" w:sz="0" w:space="0" w:color="auto"/>
        <w:bottom w:val="none" w:sz="0" w:space="0" w:color="auto"/>
        <w:right w:val="none" w:sz="0" w:space="0" w:color="auto"/>
      </w:divBdr>
    </w:div>
    <w:div w:id="537861782">
      <w:bodyDiv w:val="1"/>
      <w:marLeft w:val="0"/>
      <w:marRight w:val="0"/>
      <w:marTop w:val="0"/>
      <w:marBottom w:val="0"/>
      <w:divBdr>
        <w:top w:val="none" w:sz="0" w:space="0" w:color="auto"/>
        <w:left w:val="none" w:sz="0" w:space="0" w:color="auto"/>
        <w:bottom w:val="none" w:sz="0" w:space="0" w:color="auto"/>
        <w:right w:val="none" w:sz="0" w:space="0" w:color="auto"/>
      </w:divBdr>
    </w:div>
    <w:div w:id="538250651">
      <w:bodyDiv w:val="1"/>
      <w:marLeft w:val="0"/>
      <w:marRight w:val="0"/>
      <w:marTop w:val="0"/>
      <w:marBottom w:val="0"/>
      <w:divBdr>
        <w:top w:val="none" w:sz="0" w:space="0" w:color="auto"/>
        <w:left w:val="none" w:sz="0" w:space="0" w:color="auto"/>
        <w:bottom w:val="none" w:sz="0" w:space="0" w:color="auto"/>
        <w:right w:val="none" w:sz="0" w:space="0" w:color="auto"/>
      </w:divBdr>
    </w:div>
    <w:div w:id="539129107">
      <w:bodyDiv w:val="1"/>
      <w:marLeft w:val="0"/>
      <w:marRight w:val="0"/>
      <w:marTop w:val="0"/>
      <w:marBottom w:val="0"/>
      <w:divBdr>
        <w:top w:val="none" w:sz="0" w:space="0" w:color="auto"/>
        <w:left w:val="none" w:sz="0" w:space="0" w:color="auto"/>
        <w:bottom w:val="none" w:sz="0" w:space="0" w:color="auto"/>
        <w:right w:val="none" w:sz="0" w:space="0" w:color="auto"/>
      </w:divBdr>
    </w:div>
    <w:div w:id="539443744">
      <w:bodyDiv w:val="1"/>
      <w:marLeft w:val="0"/>
      <w:marRight w:val="0"/>
      <w:marTop w:val="0"/>
      <w:marBottom w:val="0"/>
      <w:divBdr>
        <w:top w:val="none" w:sz="0" w:space="0" w:color="auto"/>
        <w:left w:val="none" w:sz="0" w:space="0" w:color="auto"/>
        <w:bottom w:val="none" w:sz="0" w:space="0" w:color="auto"/>
        <w:right w:val="none" w:sz="0" w:space="0" w:color="auto"/>
      </w:divBdr>
    </w:div>
    <w:div w:id="539981065">
      <w:bodyDiv w:val="1"/>
      <w:marLeft w:val="0"/>
      <w:marRight w:val="0"/>
      <w:marTop w:val="0"/>
      <w:marBottom w:val="0"/>
      <w:divBdr>
        <w:top w:val="none" w:sz="0" w:space="0" w:color="auto"/>
        <w:left w:val="none" w:sz="0" w:space="0" w:color="auto"/>
        <w:bottom w:val="none" w:sz="0" w:space="0" w:color="auto"/>
        <w:right w:val="none" w:sz="0" w:space="0" w:color="auto"/>
      </w:divBdr>
    </w:div>
    <w:div w:id="541209217">
      <w:bodyDiv w:val="1"/>
      <w:marLeft w:val="0"/>
      <w:marRight w:val="0"/>
      <w:marTop w:val="0"/>
      <w:marBottom w:val="0"/>
      <w:divBdr>
        <w:top w:val="none" w:sz="0" w:space="0" w:color="auto"/>
        <w:left w:val="none" w:sz="0" w:space="0" w:color="auto"/>
        <w:bottom w:val="none" w:sz="0" w:space="0" w:color="auto"/>
        <w:right w:val="none" w:sz="0" w:space="0" w:color="auto"/>
      </w:divBdr>
    </w:div>
    <w:div w:id="541789491">
      <w:bodyDiv w:val="1"/>
      <w:marLeft w:val="0"/>
      <w:marRight w:val="0"/>
      <w:marTop w:val="0"/>
      <w:marBottom w:val="0"/>
      <w:divBdr>
        <w:top w:val="none" w:sz="0" w:space="0" w:color="auto"/>
        <w:left w:val="none" w:sz="0" w:space="0" w:color="auto"/>
        <w:bottom w:val="none" w:sz="0" w:space="0" w:color="auto"/>
        <w:right w:val="none" w:sz="0" w:space="0" w:color="auto"/>
      </w:divBdr>
    </w:div>
    <w:div w:id="541794280">
      <w:bodyDiv w:val="1"/>
      <w:marLeft w:val="0"/>
      <w:marRight w:val="0"/>
      <w:marTop w:val="0"/>
      <w:marBottom w:val="0"/>
      <w:divBdr>
        <w:top w:val="none" w:sz="0" w:space="0" w:color="auto"/>
        <w:left w:val="none" w:sz="0" w:space="0" w:color="auto"/>
        <w:bottom w:val="none" w:sz="0" w:space="0" w:color="auto"/>
        <w:right w:val="none" w:sz="0" w:space="0" w:color="auto"/>
      </w:divBdr>
    </w:div>
    <w:div w:id="542062129">
      <w:bodyDiv w:val="1"/>
      <w:marLeft w:val="0"/>
      <w:marRight w:val="0"/>
      <w:marTop w:val="0"/>
      <w:marBottom w:val="0"/>
      <w:divBdr>
        <w:top w:val="none" w:sz="0" w:space="0" w:color="auto"/>
        <w:left w:val="none" w:sz="0" w:space="0" w:color="auto"/>
        <w:bottom w:val="none" w:sz="0" w:space="0" w:color="auto"/>
        <w:right w:val="none" w:sz="0" w:space="0" w:color="auto"/>
      </w:divBdr>
    </w:div>
    <w:div w:id="542597793">
      <w:bodyDiv w:val="1"/>
      <w:marLeft w:val="0"/>
      <w:marRight w:val="0"/>
      <w:marTop w:val="0"/>
      <w:marBottom w:val="0"/>
      <w:divBdr>
        <w:top w:val="none" w:sz="0" w:space="0" w:color="auto"/>
        <w:left w:val="none" w:sz="0" w:space="0" w:color="auto"/>
        <w:bottom w:val="none" w:sz="0" w:space="0" w:color="auto"/>
        <w:right w:val="none" w:sz="0" w:space="0" w:color="auto"/>
      </w:divBdr>
    </w:div>
    <w:div w:id="542641478">
      <w:bodyDiv w:val="1"/>
      <w:marLeft w:val="0"/>
      <w:marRight w:val="0"/>
      <w:marTop w:val="0"/>
      <w:marBottom w:val="0"/>
      <w:divBdr>
        <w:top w:val="none" w:sz="0" w:space="0" w:color="auto"/>
        <w:left w:val="none" w:sz="0" w:space="0" w:color="auto"/>
        <w:bottom w:val="none" w:sz="0" w:space="0" w:color="auto"/>
        <w:right w:val="none" w:sz="0" w:space="0" w:color="auto"/>
      </w:divBdr>
    </w:div>
    <w:div w:id="542718861">
      <w:bodyDiv w:val="1"/>
      <w:marLeft w:val="0"/>
      <w:marRight w:val="0"/>
      <w:marTop w:val="0"/>
      <w:marBottom w:val="0"/>
      <w:divBdr>
        <w:top w:val="none" w:sz="0" w:space="0" w:color="auto"/>
        <w:left w:val="none" w:sz="0" w:space="0" w:color="auto"/>
        <w:bottom w:val="none" w:sz="0" w:space="0" w:color="auto"/>
        <w:right w:val="none" w:sz="0" w:space="0" w:color="auto"/>
      </w:divBdr>
    </w:div>
    <w:div w:id="542904830">
      <w:bodyDiv w:val="1"/>
      <w:marLeft w:val="0"/>
      <w:marRight w:val="0"/>
      <w:marTop w:val="0"/>
      <w:marBottom w:val="0"/>
      <w:divBdr>
        <w:top w:val="none" w:sz="0" w:space="0" w:color="auto"/>
        <w:left w:val="none" w:sz="0" w:space="0" w:color="auto"/>
        <w:bottom w:val="none" w:sz="0" w:space="0" w:color="auto"/>
        <w:right w:val="none" w:sz="0" w:space="0" w:color="auto"/>
      </w:divBdr>
    </w:div>
    <w:div w:id="542905131">
      <w:bodyDiv w:val="1"/>
      <w:marLeft w:val="0"/>
      <w:marRight w:val="0"/>
      <w:marTop w:val="0"/>
      <w:marBottom w:val="0"/>
      <w:divBdr>
        <w:top w:val="none" w:sz="0" w:space="0" w:color="auto"/>
        <w:left w:val="none" w:sz="0" w:space="0" w:color="auto"/>
        <w:bottom w:val="none" w:sz="0" w:space="0" w:color="auto"/>
        <w:right w:val="none" w:sz="0" w:space="0" w:color="auto"/>
      </w:divBdr>
    </w:div>
    <w:div w:id="543567517">
      <w:bodyDiv w:val="1"/>
      <w:marLeft w:val="0"/>
      <w:marRight w:val="0"/>
      <w:marTop w:val="0"/>
      <w:marBottom w:val="0"/>
      <w:divBdr>
        <w:top w:val="none" w:sz="0" w:space="0" w:color="auto"/>
        <w:left w:val="none" w:sz="0" w:space="0" w:color="auto"/>
        <w:bottom w:val="none" w:sz="0" w:space="0" w:color="auto"/>
        <w:right w:val="none" w:sz="0" w:space="0" w:color="auto"/>
      </w:divBdr>
    </w:div>
    <w:div w:id="543568214">
      <w:bodyDiv w:val="1"/>
      <w:marLeft w:val="0"/>
      <w:marRight w:val="0"/>
      <w:marTop w:val="0"/>
      <w:marBottom w:val="0"/>
      <w:divBdr>
        <w:top w:val="none" w:sz="0" w:space="0" w:color="auto"/>
        <w:left w:val="none" w:sz="0" w:space="0" w:color="auto"/>
        <w:bottom w:val="none" w:sz="0" w:space="0" w:color="auto"/>
        <w:right w:val="none" w:sz="0" w:space="0" w:color="auto"/>
      </w:divBdr>
    </w:div>
    <w:div w:id="543905153">
      <w:bodyDiv w:val="1"/>
      <w:marLeft w:val="0"/>
      <w:marRight w:val="0"/>
      <w:marTop w:val="0"/>
      <w:marBottom w:val="0"/>
      <w:divBdr>
        <w:top w:val="none" w:sz="0" w:space="0" w:color="auto"/>
        <w:left w:val="none" w:sz="0" w:space="0" w:color="auto"/>
        <w:bottom w:val="none" w:sz="0" w:space="0" w:color="auto"/>
        <w:right w:val="none" w:sz="0" w:space="0" w:color="auto"/>
      </w:divBdr>
    </w:div>
    <w:div w:id="543981542">
      <w:bodyDiv w:val="1"/>
      <w:marLeft w:val="0"/>
      <w:marRight w:val="0"/>
      <w:marTop w:val="0"/>
      <w:marBottom w:val="0"/>
      <w:divBdr>
        <w:top w:val="none" w:sz="0" w:space="0" w:color="auto"/>
        <w:left w:val="none" w:sz="0" w:space="0" w:color="auto"/>
        <w:bottom w:val="none" w:sz="0" w:space="0" w:color="auto"/>
        <w:right w:val="none" w:sz="0" w:space="0" w:color="auto"/>
      </w:divBdr>
    </w:div>
    <w:div w:id="544028155">
      <w:bodyDiv w:val="1"/>
      <w:marLeft w:val="0"/>
      <w:marRight w:val="0"/>
      <w:marTop w:val="0"/>
      <w:marBottom w:val="0"/>
      <w:divBdr>
        <w:top w:val="none" w:sz="0" w:space="0" w:color="auto"/>
        <w:left w:val="none" w:sz="0" w:space="0" w:color="auto"/>
        <w:bottom w:val="none" w:sz="0" w:space="0" w:color="auto"/>
        <w:right w:val="none" w:sz="0" w:space="0" w:color="auto"/>
      </w:divBdr>
    </w:div>
    <w:div w:id="544175217">
      <w:bodyDiv w:val="1"/>
      <w:marLeft w:val="0"/>
      <w:marRight w:val="0"/>
      <w:marTop w:val="0"/>
      <w:marBottom w:val="0"/>
      <w:divBdr>
        <w:top w:val="none" w:sz="0" w:space="0" w:color="auto"/>
        <w:left w:val="none" w:sz="0" w:space="0" w:color="auto"/>
        <w:bottom w:val="none" w:sz="0" w:space="0" w:color="auto"/>
        <w:right w:val="none" w:sz="0" w:space="0" w:color="auto"/>
      </w:divBdr>
    </w:div>
    <w:div w:id="544414326">
      <w:bodyDiv w:val="1"/>
      <w:marLeft w:val="0"/>
      <w:marRight w:val="0"/>
      <w:marTop w:val="0"/>
      <w:marBottom w:val="0"/>
      <w:divBdr>
        <w:top w:val="none" w:sz="0" w:space="0" w:color="auto"/>
        <w:left w:val="none" w:sz="0" w:space="0" w:color="auto"/>
        <w:bottom w:val="none" w:sz="0" w:space="0" w:color="auto"/>
        <w:right w:val="none" w:sz="0" w:space="0" w:color="auto"/>
      </w:divBdr>
    </w:div>
    <w:div w:id="545025236">
      <w:bodyDiv w:val="1"/>
      <w:marLeft w:val="0"/>
      <w:marRight w:val="0"/>
      <w:marTop w:val="0"/>
      <w:marBottom w:val="0"/>
      <w:divBdr>
        <w:top w:val="none" w:sz="0" w:space="0" w:color="auto"/>
        <w:left w:val="none" w:sz="0" w:space="0" w:color="auto"/>
        <w:bottom w:val="none" w:sz="0" w:space="0" w:color="auto"/>
        <w:right w:val="none" w:sz="0" w:space="0" w:color="auto"/>
      </w:divBdr>
    </w:div>
    <w:div w:id="545291102">
      <w:bodyDiv w:val="1"/>
      <w:marLeft w:val="0"/>
      <w:marRight w:val="0"/>
      <w:marTop w:val="0"/>
      <w:marBottom w:val="0"/>
      <w:divBdr>
        <w:top w:val="none" w:sz="0" w:space="0" w:color="auto"/>
        <w:left w:val="none" w:sz="0" w:space="0" w:color="auto"/>
        <w:bottom w:val="none" w:sz="0" w:space="0" w:color="auto"/>
        <w:right w:val="none" w:sz="0" w:space="0" w:color="auto"/>
      </w:divBdr>
    </w:div>
    <w:div w:id="545456331">
      <w:bodyDiv w:val="1"/>
      <w:marLeft w:val="0"/>
      <w:marRight w:val="0"/>
      <w:marTop w:val="0"/>
      <w:marBottom w:val="0"/>
      <w:divBdr>
        <w:top w:val="none" w:sz="0" w:space="0" w:color="auto"/>
        <w:left w:val="none" w:sz="0" w:space="0" w:color="auto"/>
        <w:bottom w:val="none" w:sz="0" w:space="0" w:color="auto"/>
        <w:right w:val="none" w:sz="0" w:space="0" w:color="auto"/>
      </w:divBdr>
    </w:div>
    <w:div w:id="545680462">
      <w:bodyDiv w:val="1"/>
      <w:marLeft w:val="0"/>
      <w:marRight w:val="0"/>
      <w:marTop w:val="0"/>
      <w:marBottom w:val="0"/>
      <w:divBdr>
        <w:top w:val="none" w:sz="0" w:space="0" w:color="auto"/>
        <w:left w:val="none" w:sz="0" w:space="0" w:color="auto"/>
        <w:bottom w:val="none" w:sz="0" w:space="0" w:color="auto"/>
        <w:right w:val="none" w:sz="0" w:space="0" w:color="auto"/>
      </w:divBdr>
    </w:div>
    <w:div w:id="545723458">
      <w:bodyDiv w:val="1"/>
      <w:marLeft w:val="0"/>
      <w:marRight w:val="0"/>
      <w:marTop w:val="0"/>
      <w:marBottom w:val="0"/>
      <w:divBdr>
        <w:top w:val="none" w:sz="0" w:space="0" w:color="auto"/>
        <w:left w:val="none" w:sz="0" w:space="0" w:color="auto"/>
        <w:bottom w:val="none" w:sz="0" w:space="0" w:color="auto"/>
        <w:right w:val="none" w:sz="0" w:space="0" w:color="auto"/>
      </w:divBdr>
    </w:div>
    <w:div w:id="545991108">
      <w:bodyDiv w:val="1"/>
      <w:marLeft w:val="0"/>
      <w:marRight w:val="0"/>
      <w:marTop w:val="0"/>
      <w:marBottom w:val="0"/>
      <w:divBdr>
        <w:top w:val="none" w:sz="0" w:space="0" w:color="auto"/>
        <w:left w:val="none" w:sz="0" w:space="0" w:color="auto"/>
        <w:bottom w:val="none" w:sz="0" w:space="0" w:color="auto"/>
        <w:right w:val="none" w:sz="0" w:space="0" w:color="auto"/>
      </w:divBdr>
    </w:div>
    <w:div w:id="546376018">
      <w:bodyDiv w:val="1"/>
      <w:marLeft w:val="0"/>
      <w:marRight w:val="0"/>
      <w:marTop w:val="0"/>
      <w:marBottom w:val="0"/>
      <w:divBdr>
        <w:top w:val="none" w:sz="0" w:space="0" w:color="auto"/>
        <w:left w:val="none" w:sz="0" w:space="0" w:color="auto"/>
        <w:bottom w:val="none" w:sz="0" w:space="0" w:color="auto"/>
        <w:right w:val="none" w:sz="0" w:space="0" w:color="auto"/>
      </w:divBdr>
    </w:div>
    <w:div w:id="546720655">
      <w:bodyDiv w:val="1"/>
      <w:marLeft w:val="0"/>
      <w:marRight w:val="0"/>
      <w:marTop w:val="0"/>
      <w:marBottom w:val="0"/>
      <w:divBdr>
        <w:top w:val="none" w:sz="0" w:space="0" w:color="auto"/>
        <w:left w:val="none" w:sz="0" w:space="0" w:color="auto"/>
        <w:bottom w:val="none" w:sz="0" w:space="0" w:color="auto"/>
        <w:right w:val="none" w:sz="0" w:space="0" w:color="auto"/>
      </w:divBdr>
    </w:div>
    <w:div w:id="546841711">
      <w:bodyDiv w:val="1"/>
      <w:marLeft w:val="0"/>
      <w:marRight w:val="0"/>
      <w:marTop w:val="0"/>
      <w:marBottom w:val="0"/>
      <w:divBdr>
        <w:top w:val="none" w:sz="0" w:space="0" w:color="auto"/>
        <w:left w:val="none" w:sz="0" w:space="0" w:color="auto"/>
        <w:bottom w:val="none" w:sz="0" w:space="0" w:color="auto"/>
        <w:right w:val="none" w:sz="0" w:space="0" w:color="auto"/>
      </w:divBdr>
    </w:div>
    <w:div w:id="546989579">
      <w:bodyDiv w:val="1"/>
      <w:marLeft w:val="0"/>
      <w:marRight w:val="0"/>
      <w:marTop w:val="0"/>
      <w:marBottom w:val="0"/>
      <w:divBdr>
        <w:top w:val="none" w:sz="0" w:space="0" w:color="auto"/>
        <w:left w:val="none" w:sz="0" w:space="0" w:color="auto"/>
        <w:bottom w:val="none" w:sz="0" w:space="0" w:color="auto"/>
        <w:right w:val="none" w:sz="0" w:space="0" w:color="auto"/>
      </w:divBdr>
    </w:div>
    <w:div w:id="547305802">
      <w:bodyDiv w:val="1"/>
      <w:marLeft w:val="0"/>
      <w:marRight w:val="0"/>
      <w:marTop w:val="0"/>
      <w:marBottom w:val="0"/>
      <w:divBdr>
        <w:top w:val="none" w:sz="0" w:space="0" w:color="auto"/>
        <w:left w:val="none" w:sz="0" w:space="0" w:color="auto"/>
        <w:bottom w:val="none" w:sz="0" w:space="0" w:color="auto"/>
        <w:right w:val="none" w:sz="0" w:space="0" w:color="auto"/>
      </w:divBdr>
    </w:div>
    <w:div w:id="547762546">
      <w:bodyDiv w:val="1"/>
      <w:marLeft w:val="0"/>
      <w:marRight w:val="0"/>
      <w:marTop w:val="0"/>
      <w:marBottom w:val="0"/>
      <w:divBdr>
        <w:top w:val="none" w:sz="0" w:space="0" w:color="auto"/>
        <w:left w:val="none" w:sz="0" w:space="0" w:color="auto"/>
        <w:bottom w:val="none" w:sz="0" w:space="0" w:color="auto"/>
        <w:right w:val="none" w:sz="0" w:space="0" w:color="auto"/>
      </w:divBdr>
    </w:div>
    <w:div w:id="548031537">
      <w:bodyDiv w:val="1"/>
      <w:marLeft w:val="0"/>
      <w:marRight w:val="0"/>
      <w:marTop w:val="0"/>
      <w:marBottom w:val="0"/>
      <w:divBdr>
        <w:top w:val="none" w:sz="0" w:space="0" w:color="auto"/>
        <w:left w:val="none" w:sz="0" w:space="0" w:color="auto"/>
        <w:bottom w:val="none" w:sz="0" w:space="0" w:color="auto"/>
        <w:right w:val="none" w:sz="0" w:space="0" w:color="auto"/>
      </w:divBdr>
    </w:div>
    <w:div w:id="548109957">
      <w:bodyDiv w:val="1"/>
      <w:marLeft w:val="0"/>
      <w:marRight w:val="0"/>
      <w:marTop w:val="0"/>
      <w:marBottom w:val="0"/>
      <w:divBdr>
        <w:top w:val="none" w:sz="0" w:space="0" w:color="auto"/>
        <w:left w:val="none" w:sz="0" w:space="0" w:color="auto"/>
        <w:bottom w:val="none" w:sz="0" w:space="0" w:color="auto"/>
        <w:right w:val="none" w:sz="0" w:space="0" w:color="auto"/>
      </w:divBdr>
    </w:div>
    <w:div w:id="548612404">
      <w:bodyDiv w:val="1"/>
      <w:marLeft w:val="0"/>
      <w:marRight w:val="0"/>
      <w:marTop w:val="0"/>
      <w:marBottom w:val="0"/>
      <w:divBdr>
        <w:top w:val="none" w:sz="0" w:space="0" w:color="auto"/>
        <w:left w:val="none" w:sz="0" w:space="0" w:color="auto"/>
        <w:bottom w:val="none" w:sz="0" w:space="0" w:color="auto"/>
        <w:right w:val="none" w:sz="0" w:space="0" w:color="auto"/>
      </w:divBdr>
    </w:div>
    <w:div w:id="548956857">
      <w:bodyDiv w:val="1"/>
      <w:marLeft w:val="0"/>
      <w:marRight w:val="0"/>
      <w:marTop w:val="0"/>
      <w:marBottom w:val="0"/>
      <w:divBdr>
        <w:top w:val="none" w:sz="0" w:space="0" w:color="auto"/>
        <w:left w:val="none" w:sz="0" w:space="0" w:color="auto"/>
        <w:bottom w:val="none" w:sz="0" w:space="0" w:color="auto"/>
        <w:right w:val="none" w:sz="0" w:space="0" w:color="auto"/>
      </w:divBdr>
    </w:div>
    <w:div w:id="549457611">
      <w:bodyDiv w:val="1"/>
      <w:marLeft w:val="0"/>
      <w:marRight w:val="0"/>
      <w:marTop w:val="0"/>
      <w:marBottom w:val="0"/>
      <w:divBdr>
        <w:top w:val="none" w:sz="0" w:space="0" w:color="auto"/>
        <w:left w:val="none" w:sz="0" w:space="0" w:color="auto"/>
        <w:bottom w:val="none" w:sz="0" w:space="0" w:color="auto"/>
        <w:right w:val="none" w:sz="0" w:space="0" w:color="auto"/>
      </w:divBdr>
    </w:div>
    <w:div w:id="549804928">
      <w:bodyDiv w:val="1"/>
      <w:marLeft w:val="0"/>
      <w:marRight w:val="0"/>
      <w:marTop w:val="0"/>
      <w:marBottom w:val="0"/>
      <w:divBdr>
        <w:top w:val="none" w:sz="0" w:space="0" w:color="auto"/>
        <w:left w:val="none" w:sz="0" w:space="0" w:color="auto"/>
        <w:bottom w:val="none" w:sz="0" w:space="0" w:color="auto"/>
        <w:right w:val="none" w:sz="0" w:space="0" w:color="auto"/>
      </w:divBdr>
    </w:div>
    <w:div w:id="549926892">
      <w:bodyDiv w:val="1"/>
      <w:marLeft w:val="0"/>
      <w:marRight w:val="0"/>
      <w:marTop w:val="0"/>
      <w:marBottom w:val="0"/>
      <w:divBdr>
        <w:top w:val="none" w:sz="0" w:space="0" w:color="auto"/>
        <w:left w:val="none" w:sz="0" w:space="0" w:color="auto"/>
        <w:bottom w:val="none" w:sz="0" w:space="0" w:color="auto"/>
        <w:right w:val="none" w:sz="0" w:space="0" w:color="auto"/>
      </w:divBdr>
    </w:div>
    <w:div w:id="550459963">
      <w:bodyDiv w:val="1"/>
      <w:marLeft w:val="0"/>
      <w:marRight w:val="0"/>
      <w:marTop w:val="0"/>
      <w:marBottom w:val="0"/>
      <w:divBdr>
        <w:top w:val="none" w:sz="0" w:space="0" w:color="auto"/>
        <w:left w:val="none" w:sz="0" w:space="0" w:color="auto"/>
        <w:bottom w:val="none" w:sz="0" w:space="0" w:color="auto"/>
        <w:right w:val="none" w:sz="0" w:space="0" w:color="auto"/>
      </w:divBdr>
    </w:div>
    <w:div w:id="550731470">
      <w:bodyDiv w:val="1"/>
      <w:marLeft w:val="0"/>
      <w:marRight w:val="0"/>
      <w:marTop w:val="0"/>
      <w:marBottom w:val="0"/>
      <w:divBdr>
        <w:top w:val="none" w:sz="0" w:space="0" w:color="auto"/>
        <w:left w:val="none" w:sz="0" w:space="0" w:color="auto"/>
        <w:bottom w:val="none" w:sz="0" w:space="0" w:color="auto"/>
        <w:right w:val="none" w:sz="0" w:space="0" w:color="auto"/>
      </w:divBdr>
    </w:div>
    <w:div w:id="551425952">
      <w:bodyDiv w:val="1"/>
      <w:marLeft w:val="0"/>
      <w:marRight w:val="0"/>
      <w:marTop w:val="0"/>
      <w:marBottom w:val="0"/>
      <w:divBdr>
        <w:top w:val="none" w:sz="0" w:space="0" w:color="auto"/>
        <w:left w:val="none" w:sz="0" w:space="0" w:color="auto"/>
        <w:bottom w:val="none" w:sz="0" w:space="0" w:color="auto"/>
        <w:right w:val="none" w:sz="0" w:space="0" w:color="auto"/>
      </w:divBdr>
    </w:div>
    <w:div w:id="551772757">
      <w:bodyDiv w:val="1"/>
      <w:marLeft w:val="0"/>
      <w:marRight w:val="0"/>
      <w:marTop w:val="0"/>
      <w:marBottom w:val="0"/>
      <w:divBdr>
        <w:top w:val="none" w:sz="0" w:space="0" w:color="auto"/>
        <w:left w:val="none" w:sz="0" w:space="0" w:color="auto"/>
        <w:bottom w:val="none" w:sz="0" w:space="0" w:color="auto"/>
        <w:right w:val="none" w:sz="0" w:space="0" w:color="auto"/>
      </w:divBdr>
    </w:div>
    <w:div w:id="551887623">
      <w:bodyDiv w:val="1"/>
      <w:marLeft w:val="0"/>
      <w:marRight w:val="0"/>
      <w:marTop w:val="0"/>
      <w:marBottom w:val="0"/>
      <w:divBdr>
        <w:top w:val="none" w:sz="0" w:space="0" w:color="auto"/>
        <w:left w:val="none" w:sz="0" w:space="0" w:color="auto"/>
        <w:bottom w:val="none" w:sz="0" w:space="0" w:color="auto"/>
        <w:right w:val="none" w:sz="0" w:space="0" w:color="auto"/>
      </w:divBdr>
    </w:div>
    <w:div w:id="552085678">
      <w:bodyDiv w:val="1"/>
      <w:marLeft w:val="0"/>
      <w:marRight w:val="0"/>
      <w:marTop w:val="0"/>
      <w:marBottom w:val="0"/>
      <w:divBdr>
        <w:top w:val="none" w:sz="0" w:space="0" w:color="auto"/>
        <w:left w:val="none" w:sz="0" w:space="0" w:color="auto"/>
        <w:bottom w:val="none" w:sz="0" w:space="0" w:color="auto"/>
        <w:right w:val="none" w:sz="0" w:space="0" w:color="auto"/>
      </w:divBdr>
    </w:div>
    <w:div w:id="552352212">
      <w:bodyDiv w:val="1"/>
      <w:marLeft w:val="0"/>
      <w:marRight w:val="0"/>
      <w:marTop w:val="0"/>
      <w:marBottom w:val="0"/>
      <w:divBdr>
        <w:top w:val="none" w:sz="0" w:space="0" w:color="auto"/>
        <w:left w:val="none" w:sz="0" w:space="0" w:color="auto"/>
        <w:bottom w:val="none" w:sz="0" w:space="0" w:color="auto"/>
        <w:right w:val="none" w:sz="0" w:space="0" w:color="auto"/>
      </w:divBdr>
    </w:div>
    <w:div w:id="552549325">
      <w:bodyDiv w:val="1"/>
      <w:marLeft w:val="0"/>
      <w:marRight w:val="0"/>
      <w:marTop w:val="0"/>
      <w:marBottom w:val="0"/>
      <w:divBdr>
        <w:top w:val="none" w:sz="0" w:space="0" w:color="auto"/>
        <w:left w:val="none" w:sz="0" w:space="0" w:color="auto"/>
        <w:bottom w:val="none" w:sz="0" w:space="0" w:color="auto"/>
        <w:right w:val="none" w:sz="0" w:space="0" w:color="auto"/>
      </w:divBdr>
    </w:div>
    <w:div w:id="552809525">
      <w:bodyDiv w:val="1"/>
      <w:marLeft w:val="0"/>
      <w:marRight w:val="0"/>
      <w:marTop w:val="0"/>
      <w:marBottom w:val="0"/>
      <w:divBdr>
        <w:top w:val="none" w:sz="0" w:space="0" w:color="auto"/>
        <w:left w:val="none" w:sz="0" w:space="0" w:color="auto"/>
        <w:bottom w:val="none" w:sz="0" w:space="0" w:color="auto"/>
        <w:right w:val="none" w:sz="0" w:space="0" w:color="auto"/>
      </w:divBdr>
    </w:div>
    <w:div w:id="553125791">
      <w:bodyDiv w:val="1"/>
      <w:marLeft w:val="0"/>
      <w:marRight w:val="0"/>
      <w:marTop w:val="0"/>
      <w:marBottom w:val="0"/>
      <w:divBdr>
        <w:top w:val="none" w:sz="0" w:space="0" w:color="auto"/>
        <w:left w:val="none" w:sz="0" w:space="0" w:color="auto"/>
        <w:bottom w:val="none" w:sz="0" w:space="0" w:color="auto"/>
        <w:right w:val="none" w:sz="0" w:space="0" w:color="auto"/>
      </w:divBdr>
    </w:div>
    <w:div w:id="553198792">
      <w:bodyDiv w:val="1"/>
      <w:marLeft w:val="0"/>
      <w:marRight w:val="0"/>
      <w:marTop w:val="0"/>
      <w:marBottom w:val="0"/>
      <w:divBdr>
        <w:top w:val="none" w:sz="0" w:space="0" w:color="auto"/>
        <w:left w:val="none" w:sz="0" w:space="0" w:color="auto"/>
        <w:bottom w:val="none" w:sz="0" w:space="0" w:color="auto"/>
        <w:right w:val="none" w:sz="0" w:space="0" w:color="auto"/>
      </w:divBdr>
    </w:div>
    <w:div w:id="554317141">
      <w:bodyDiv w:val="1"/>
      <w:marLeft w:val="0"/>
      <w:marRight w:val="0"/>
      <w:marTop w:val="0"/>
      <w:marBottom w:val="0"/>
      <w:divBdr>
        <w:top w:val="none" w:sz="0" w:space="0" w:color="auto"/>
        <w:left w:val="none" w:sz="0" w:space="0" w:color="auto"/>
        <w:bottom w:val="none" w:sz="0" w:space="0" w:color="auto"/>
        <w:right w:val="none" w:sz="0" w:space="0" w:color="auto"/>
      </w:divBdr>
    </w:div>
    <w:div w:id="554438891">
      <w:bodyDiv w:val="1"/>
      <w:marLeft w:val="0"/>
      <w:marRight w:val="0"/>
      <w:marTop w:val="0"/>
      <w:marBottom w:val="0"/>
      <w:divBdr>
        <w:top w:val="none" w:sz="0" w:space="0" w:color="auto"/>
        <w:left w:val="none" w:sz="0" w:space="0" w:color="auto"/>
        <w:bottom w:val="none" w:sz="0" w:space="0" w:color="auto"/>
        <w:right w:val="none" w:sz="0" w:space="0" w:color="auto"/>
      </w:divBdr>
    </w:div>
    <w:div w:id="556476725">
      <w:bodyDiv w:val="1"/>
      <w:marLeft w:val="0"/>
      <w:marRight w:val="0"/>
      <w:marTop w:val="0"/>
      <w:marBottom w:val="0"/>
      <w:divBdr>
        <w:top w:val="none" w:sz="0" w:space="0" w:color="auto"/>
        <w:left w:val="none" w:sz="0" w:space="0" w:color="auto"/>
        <w:bottom w:val="none" w:sz="0" w:space="0" w:color="auto"/>
        <w:right w:val="none" w:sz="0" w:space="0" w:color="auto"/>
      </w:divBdr>
    </w:div>
    <w:div w:id="556866715">
      <w:bodyDiv w:val="1"/>
      <w:marLeft w:val="0"/>
      <w:marRight w:val="0"/>
      <w:marTop w:val="0"/>
      <w:marBottom w:val="0"/>
      <w:divBdr>
        <w:top w:val="none" w:sz="0" w:space="0" w:color="auto"/>
        <w:left w:val="none" w:sz="0" w:space="0" w:color="auto"/>
        <w:bottom w:val="none" w:sz="0" w:space="0" w:color="auto"/>
        <w:right w:val="none" w:sz="0" w:space="0" w:color="auto"/>
      </w:divBdr>
    </w:div>
    <w:div w:id="557790175">
      <w:bodyDiv w:val="1"/>
      <w:marLeft w:val="0"/>
      <w:marRight w:val="0"/>
      <w:marTop w:val="0"/>
      <w:marBottom w:val="0"/>
      <w:divBdr>
        <w:top w:val="none" w:sz="0" w:space="0" w:color="auto"/>
        <w:left w:val="none" w:sz="0" w:space="0" w:color="auto"/>
        <w:bottom w:val="none" w:sz="0" w:space="0" w:color="auto"/>
        <w:right w:val="none" w:sz="0" w:space="0" w:color="auto"/>
      </w:divBdr>
    </w:div>
    <w:div w:id="557862490">
      <w:bodyDiv w:val="1"/>
      <w:marLeft w:val="0"/>
      <w:marRight w:val="0"/>
      <w:marTop w:val="0"/>
      <w:marBottom w:val="0"/>
      <w:divBdr>
        <w:top w:val="none" w:sz="0" w:space="0" w:color="auto"/>
        <w:left w:val="none" w:sz="0" w:space="0" w:color="auto"/>
        <w:bottom w:val="none" w:sz="0" w:space="0" w:color="auto"/>
        <w:right w:val="none" w:sz="0" w:space="0" w:color="auto"/>
      </w:divBdr>
    </w:div>
    <w:div w:id="558444897">
      <w:bodyDiv w:val="1"/>
      <w:marLeft w:val="0"/>
      <w:marRight w:val="0"/>
      <w:marTop w:val="0"/>
      <w:marBottom w:val="0"/>
      <w:divBdr>
        <w:top w:val="none" w:sz="0" w:space="0" w:color="auto"/>
        <w:left w:val="none" w:sz="0" w:space="0" w:color="auto"/>
        <w:bottom w:val="none" w:sz="0" w:space="0" w:color="auto"/>
        <w:right w:val="none" w:sz="0" w:space="0" w:color="auto"/>
      </w:divBdr>
    </w:div>
    <w:div w:id="558907337">
      <w:bodyDiv w:val="1"/>
      <w:marLeft w:val="0"/>
      <w:marRight w:val="0"/>
      <w:marTop w:val="0"/>
      <w:marBottom w:val="0"/>
      <w:divBdr>
        <w:top w:val="none" w:sz="0" w:space="0" w:color="auto"/>
        <w:left w:val="none" w:sz="0" w:space="0" w:color="auto"/>
        <w:bottom w:val="none" w:sz="0" w:space="0" w:color="auto"/>
        <w:right w:val="none" w:sz="0" w:space="0" w:color="auto"/>
      </w:divBdr>
    </w:div>
    <w:div w:id="559633401">
      <w:bodyDiv w:val="1"/>
      <w:marLeft w:val="0"/>
      <w:marRight w:val="0"/>
      <w:marTop w:val="0"/>
      <w:marBottom w:val="0"/>
      <w:divBdr>
        <w:top w:val="none" w:sz="0" w:space="0" w:color="auto"/>
        <w:left w:val="none" w:sz="0" w:space="0" w:color="auto"/>
        <w:bottom w:val="none" w:sz="0" w:space="0" w:color="auto"/>
        <w:right w:val="none" w:sz="0" w:space="0" w:color="auto"/>
      </w:divBdr>
    </w:div>
    <w:div w:id="559754485">
      <w:bodyDiv w:val="1"/>
      <w:marLeft w:val="0"/>
      <w:marRight w:val="0"/>
      <w:marTop w:val="0"/>
      <w:marBottom w:val="0"/>
      <w:divBdr>
        <w:top w:val="none" w:sz="0" w:space="0" w:color="auto"/>
        <w:left w:val="none" w:sz="0" w:space="0" w:color="auto"/>
        <w:bottom w:val="none" w:sz="0" w:space="0" w:color="auto"/>
        <w:right w:val="none" w:sz="0" w:space="0" w:color="auto"/>
      </w:divBdr>
    </w:div>
    <w:div w:id="560479509">
      <w:bodyDiv w:val="1"/>
      <w:marLeft w:val="0"/>
      <w:marRight w:val="0"/>
      <w:marTop w:val="0"/>
      <w:marBottom w:val="0"/>
      <w:divBdr>
        <w:top w:val="none" w:sz="0" w:space="0" w:color="auto"/>
        <w:left w:val="none" w:sz="0" w:space="0" w:color="auto"/>
        <w:bottom w:val="none" w:sz="0" w:space="0" w:color="auto"/>
        <w:right w:val="none" w:sz="0" w:space="0" w:color="auto"/>
      </w:divBdr>
    </w:div>
    <w:div w:id="560483497">
      <w:bodyDiv w:val="1"/>
      <w:marLeft w:val="0"/>
      <w:marRight w:val="0"/>
      <w:marTop w:val="0"/>
      <w:marBottom w:val="0"/>
      <w:divBdr>
        <w:top w:val="none" w:sz="0" w:space="0" w:color="auto"/>
        <w:left w:val="none" w:sz="0" w:space="0" w:color="auto"/>
        <w:bottom w:val="none" w:sz="0" w:space="0" w:color="auto"/>
        <w:right w:val="none" w:sz="0" w:space="0" w:color="auto"/>
      </w:divBdr>
    </w:div>
    <w:div w:id="560675886">
      <w:bodyDiv w:val="1"/>
      <w:marLeft w:val="0"/>
      <w:marRight w:val="0"/>
      <w:marTop w:val="0"/>
      <w:marBottom w:val="0"/>
      <w:divBdr>
        <w:top w:val="none" w:sz="0" w:space="0" w:color="auto"/>
        <w:left w:val="none" w:sz="0" w:space="0" w:color="auto"/>
        <w:bottom w:val="none" w:sz="0" w:space="0" w:color="auto"/>
        <w:right w:val="none" w:sz="0" w:space="0" w:color="auto"/>
      </w:divBdr>
    </w:div>
    <w:div w:id="560799017">
      <w:bodyDiv w:val="1"/>
      <w:marLeft w:val="0"/>
      <w:marRight w:val="0"/>
      <w:marTop w:val="0"/>
      <w:marBottom w:val="0"/>
      <w:divBdr>
        <w:top w:val="none" w:sz="0" w:space="0" w:color="auto"/>
        <w:left w:val="none" w:sz="0" w:space="0" w:color="auto"/>
        <w:bottom w:val="none" w:sz="0" w:space="0" w:color="auto"/>
        <w:right w:val="none" w:sz="0" w:space="0" w:color="auto"/>
      </w:divBdr>
    </w:div>
    <w:div w:id="561215302">
      <w:bodyDiv w:val="1"/>
      <w:marLeft w:val="0"/>
      <w:marRight w:val="0"/>
      <w:marTop w:val="0"/>
      <w:marBottom w:val="0"/>
      <w:divBdr>
        <w:top w:val="none" w:sz="0" w:space="0" w:color="auto"/>
        <w:left w:val="none" w:sz="0" w:space="0" w:color="auto"/>
        <w:bottom w:val="none" w:sz="0" w:space="0" w:color="auto"/>
        <w:right w:val="none" w:sz="0" w:space="0" w:color="auto"/>
      </w:divBdr>
    </w:div>
    <w:div w:id="561722457">
      <w:bodyDiv w:val="1"/>
      <w:marLeft w:val="0"/>
      <w:marRight w:val="0"/>
      <w:marTop w:val="0"/>
      <w:marBottom w:val="0"/>
      <w:divBdr>
        <w:top w:val="none" w:sz="0" w:space="0" w:color="auto"/>
        <w:left w:val="none" w:sz="0" w:space="0" w:color="auto"/>
        <w:bottom w:val="none" w:sz="0" w:space="0" w:color="auto"/>
        <w:right w:val="none" w:sz="0" w:space="0" w:color="auto"/>
      </w:divBdr>
    </w:div>
    <w:div w:id="562059761">
      <w:bodyDiv w:val="1"/>
      <w:marLeft w:val="0"/>
      <w:marRight w:val="0"/>
      <w:marTop w:val="0"/>
      <w:marBottom w:val="0"/>
      <w:divBdr>
        <w:top w:val="none" w:sz="0" w:space="0" w:color="auto"/>
        <w:left w:val="none" w:sz="0" w:space="0" w:color="auto"/>
        <w:bottom w:val="none" w:sz="0" w:space="0" w:color="auto"/>
        <w:right w:val="none" w:sz="0" w:space="0" w:color="auto"/>
      </w:divBdr>
    </w:div>
    <w:div w:id="562179110">
      <w:bodyDiv w:val="1"/>
      <w:marLeft w:val="0"/>
      <w:marRight w:val="0"/>
      <w:marTop w:val="0"/>
      <w:marBottom w:val="0"/>
      <w:divBdr>
        <w:top w:val="none" w:sz="0" w:space="0" w:color="auto"/>
        <w:left w:val="none" w:sz="0" w:space="0" w:color="auto"/>
        <w:bottom w:val="none" w:sz="0" w:space="0" w:color="auto"/>
        <w:right w:val="none" w:sz="0" w:space="0" w:color="auto"/>
      </w:divBdr>
    </w:div>
    <w:div w:id="562256620">
      <w:bodyDiv w:val="1"/>
      <w:marLeft w:val="0"/>
      <w:marRight w:val="0"/>
      <w:marTop w:val="0"/>
      <w:marBottom w:val="0"/>
      <w:divBdr>
        <w:top w:val="none" w:sz="0" w:space="0" w:color="auto"/>
        <w:left w:val="none" w:sz="0" w:space="0" w:color="auto"/>
        <w:bottom w:val="none" w:sz="0" w:space="0" w:color="auto"/>
        <w:right w:val="none" w:sz="0" w:space="0" w:color="auto"/>
      </w:divBdr>
    </w:div>
    <w:div w:id="562448921">
      <w:bodyDiv w:val="1"/>
      <w:marLeft w:val="0"/>
      <w:marRight w:val="0"/>
      <w:marTop w:val="0"/>
      <w:marBottom w:val="0"/>
      <w:divBdr>
        <w:top w:val="none" w:sz="0" w:space="0" w:color="auto"/>
        <w:left w:val="none" w:sz="0" w:space="0" w:color="auto"/>
        <w:bottom w:val="none" w:sz="0" w:space="0" w:color="auto"/>
        <w:right w:val="none" w:sz="0" w:space="0" w:color="auto"/>
      </w:divBdr>
    </w:div>
    <w:div w:id="562570059">
      <w:bodyDiv w:val="1"/>
      <w:marLeft w:val="0"/>
      <w:marRight w:val="0"/>
      <w:marTop w:val="0"/>
      <w:marBottom w:val="0"/>
      <w:divBdr>
        <w:top w:val="none" w:sz="0" w:space="0" w:color="auto"/>
        <w:left w:val="none" w:sz="0" w:space="0" w:color="auto"/>
        <w:bottom w:val="none" w:sz="0" w:space="0" w:color="auto"/>
        <w:right w:val="none" w:sz="0" w:space="0" w:color="auto"/>
      </w:divBdr>
    </w:div>
    <w:div w:id="562717001">
      <w:bodyDiv w:val="1"/>
      <w:marLeft w:val="0"/>
      <w:marRight w:val="0"/>
      <w:marTop w:val="0"/>
      <w:marBottom w:val="0"/>
      <w:divBdr>
        <w:top w:val="none" w:sz="0" w:space="0" w:color="auto"/>
        <w:left w:val="none" w:sz="0" w:space="0" w:color="auto"/>
        <w:bottom w:val="none" w:sz="0" w:space="0" w:color="auto"/>
        <w:right w:val="none" w:sz="0" w:space="0" w:color="auto"/>
      </w:divBdr>
    </w:div>
    <w:div w:id="562907908">
      <w:bodyDiv w:val="1"/>
      <w:marLeft w:val="0"/>
      <w:marRight w:val="0"/>
      <w:marTop w:val="0"/>
      <w:marBottom w:val="0"/>
      <w:divBdr>
        <w:top w:val="none" w:sz="0" w:space="0" w:color="auto"/>
        <w:left w:val="none" w:sz="0" w:space="0" w:color="auto"/>
        <w:bottom w:val="none" w:sz="0" w:space="0" w:color="auto"/>
        <w:right w:val="none" w:sz="0" w:space="0" w:color="auto"/>
      </w:divBdr>
    </w:div>
    <w:div w:id="562908826">
      <w:bodyDiv w:val="1"/>
      <w:marLeft w:val="0"/>
      <w:marRight w:val="0"/>
      <w:marTop w:val="0"/>
      <w:marBottom w:val="0"/>
      <w:divBdr>
        <w:top w:val="none" w:sz="0" w:space="0" w:color="auto"/>
        <w:left w:val="none" w:sz="0" w:space="0" w:color="auto"/>
        <w:bottom w:val="none" w:sz="0" w:space="0" w:color="auto"/>
        <w:right w:val="none" w:sz="0" w:space="0" w:color="auto"/>
      </w:divBdr>
    </w:div>
    <w:div w:id="563370273">
      <w:bodyDiv w:val="1"/>
      <w:marLeft w:val="0"/>
      <w:marRight w:val="0"/>
      <w:marTop w:val="0"/>
      <w:marBottom w:val="0"/>
      <w:divBdr>
        <w:top w:val="none" w:sz="0" w:space="0" w:color="auto"/>
        <w:left w:val="none" w:sz="0" w:space="0" w:color="auto"/>
        <w:bottom w:val="none" w:sz="0" w:space="0" w:color="auto"/>
        <w:right w:val="none" w:sz="0" w:space="0" w:color="auto"/>
      </w:divBdr>
    </w:div>
    <w:div w:id="563444105">
      <w:bodyDiv w:val="1"/>
      <w:marLeft w:val="0"/>
      <w:marRight w:val="0"/>
      <w:marTop w:val="0"/>
      <w:marBottom w:val="0"/>
      <w:divBdr>
        <w:top w:val="none" w:sz="0" w:space="0" w:color="auto"/>
        <w:left w:val="none" w:sz="0" w:space="0" w:color="auto"/>
        <w:bottom w:val="none" w:sz="0" w:space="0" w:color="auto"/>
        <w:right w:val="none" w:sz="0" w:space="0" w:color="auto"/>
      </w:divBdr>
    </w:div>
    <w:div w:id="563493236">
      <w:bodyDiv w:val="1"/>
      <w:marLeft w:val="0"/>
      <w:marRight w:val="0"/>
      <w:marTop w:val="0"/>
      <w:marBottom w:val="0"/>
      <w:divBdr>
        <w:top w:val="none" w:sz="0" w:space="0" w:color="auto"/>
        <w:left w:val="none" w:sz="0" w:space="0" w:color="auto"/>
        <w:bottom w:val="none" w:sz="0" w:space="0" w:color="auto"/>
        <w:right w:val="none" w:sz="0" w:space="0" w:color="auto"/>
      </w:divBdr>
    </w:div>
    <w:div w:id="563681539">
      <w:bodyDiv w:val="1"/>
      <w:marLeft w:val="0"/>
      <w:marRight w:val="0"/>
      <w:marTop w:val="0"/>
      <w:marBottom w:val="0"/>
      <w:divBdr>
        <w:top w:val="none" w:sz="0" w:space="0" w:color="auto"/>
        <w:left w:val="none" w:sz="0" w:space="0" w:color="auto"/>
        <w:bottom w:val="none" w:sz="0" w:space="0" w:color="auto"/>
        <w:right w:val="none" w:sz="0" w:space="0" w:color="auto"/>
      </w:divBdr>
    </w:div>
    <w:div w:id="564875563">
      <w:bodyDiv w:val="1"/>
      <w:marLeft w:val="0"/>
      <w:marRight w:val="0"/>
      <w:marTop w:val="0"/>
      <w:marBottom w:val="0"/>
      <w:divBdr>
        <w:top w:val="none" w:sz="0" w:space="0" w:color="auto"/>
        <w:left w:val="none" w:sz="0" w:space="0" w:color="auto"/>
        <w:bottom w:val="none" w:sz="0" w:space="0" w:color="auto"/>
        <w:right w:val="none" w:sz="0" w:space="0" w:color="auto"/>
      </w:divBdr>
    </w:div>
    <w:div w:id="564947669">
      <w:bodyDiv w:val="1"/>
      <w:marLeft w:val="0"/>
      <w:marRight w:val="0"/>
      <w:marTop w:val="0"/>
      <w:marBottom w:val="0"/>
      <w:divBdr>
        <w:top w:val="none" w:sz="0" w:space="0" w:color="auto"/>
        <w:left w:val="none" w:sz="0" w:space="0" w:color="auto"/>
        <w:bottom w:val="none" w:sz="0" w:space="0" w:color="auto"/>
        <w:right w:val="none" w:sz="0" w:space="0" w:color="auto"/>
      </w:divBdr>
    </w:div>
    <w:div w:id="565920893">
      <w:bodyDiv w:val="1"/>
      <w:marLeft w:val="0"/>
      <w:marRight w:val="0"/>
      <w:marTop w:val="0"/>
      <w:marBottom w:val="0"/>
      <w:divBdr>
        <w:top w:val="none" w:sz="0" w:space="0" w:color="auto"/>
        <w:left w:val="none" w:sz="0" w:space="0" w:color="auto"/>
        <w:bottom w:val="none" w:sz="0" w:space="0" w:color="auto"/>
        <w:right w:val="none" w:sz="0" w:space="0" w:color="auto"/>
      </w:divBdr>
    </w:div>
    <w:div w:id="565993454">
      <w:bodyDiv w:val="1"/>
      <w:marLeft w:val="0"/>
      <w:marRight w:val="0"/>
      <w:marTop w:val="0"/>
      <w:marBottom w:val="0"/>
      <w:divBdr>
        <w:top w:val="none" w:sz="0" w:space="0" w:color="auto"/>
        <w:left w:val="none" w:sz="0" w:space="0" w:color="auto"/>
        <w:bottom w:val="none" w:sz="0" w:space="0" w:color="auto"/>
        <w:right w:val="none" w:sz="0" w:space="0" w:color="auto"/>
      </w:divBdr>
    </w:div>
    <w:div w:id="566305392">
      <w:bodyDiv w:val="1"/>
      <w:marLeft w:val="0"/>
      <w:marRight w:val="0"/>
      <w:marTop w:val="0"/>
      <w:marBottom w:val="0"/>
      <w:divBdr>
        <w:top w:val="none" w:sz="0" w:space="0" w:color="auto"/>
        <w:left w:val="none" w:sz="0" w:space="0" w:color="auto"/>
        <w:bottom w:val="none" w:sz="0" w:space="0" w:color="auto"/>
        <w:right w:val="none" w:sz="0" w:space="0" w:color="auto"/>
      </w:divBdr>
    </w:div>
    <w:div w:id="566452710">
      <w:bodyDiv w:val="1"/>
      <w:marLeft w:val="0"/>
      <w:marRight w:val="0"/>
      <w:marTop w:val="0"/>
      <w:marBottom w:val="0"/>
      <w:divBdr>
        <w:top w:val="none" w:sz="0" w:space="0" w:color="auto"/>
        <w:left w:val="none" w:sz="0" w:space="0" w:color="auto"/>
        <w:bottom w:val="none" w:sz="0" w:space="0" w:color="auto"/>
        <w:right w:val="none" w:sz="0" w:space="0" w:color="auto"/>
      </w:divBdr>
    </w:div>
    <w:div w:id="566494118">
      <w:bodyDiv w:val="1"/>
      <w:marLeft w:val="0"/>
      <w:marRight w:val="0"/>
      <w:marTop w:val="0"/>
      <w:marBottom w:val="0"/>
      <w:divBdr>
        <w:top w:val="none" w:sz="0" w:space="0" w:color="auto"/>
        <w:left w:val="none" w:sz="0" w:space="0" w:color="auto"/>
        <w:bottom w:val="none" w:sz="0" w:space="0" w:color="auto"/>
        <w:right w:val="none" w:sz="0" w:space="0" w:color="auto"/>
      </w:divBdr>
    </w:div>
    <w:div w:id="566964937">
      <w:bodyDiv w:val="1"/>
      <w:marLeft w:val="0"/>
      <w:marRight w:val="0"/>
      <w:marTop w:val="0"/>
      <w:marBottom w:val="0"/>
      <w:divBdr>
        <w:top w:val="none" w:sz="0" w:space="0" w:color="auto"/>
        <w:left w:val="none" w:sz="0" w:space="0" w:color="auto"/>
        <w:bottom w:val="none" w:sz="0" w:space="0" w:color="auto"/>
        <w:right w:val="none" w:sz="0" w:space="0" w:color="auto"/>
      </w:divBdr>
    </w:div>
    <w:div w:id="567350537">
      <w:bodyDiv w:val="1"/>
      <w:marLeft w:val="0"/>
      <w:marRight w:val="0"/>
      <w:marTop w:val="0"/>
      <w:marBottom w:val="0"/>
      <w:divBdr>
        <w:top w:val="none" w:sz="0" w:space="0" w:color="auto"/>
        <w:left w:val="none" w:sz="0" w:space="0" w:color="auto"/>
        <w:bottom w:val="none" w:sz="0" w:space="0" w:color="auto"/>
        <w:right w:val="none" w:sz="0" w:space="0" w:color="auto"/>
      </w:divBdr>
    </w:div>
    <w:div w:id="567500315">
      <w:bodyDiv w:val="1"/>
      <w:marLeft w:val="0"/>
      <w:marRight w:val="0"/>
      <w:marTop w:val="0"/>
      <w:marBottom w:val="0"/>
      <w:divBdr>
        <w:top w:val="none" w:sz="0" w:space="0" w:color="auto"/>
        <w:left w:val="none" w:sz="0" w:space="0" w:color="auto"/>
        <w:bottom w:val="none" w:sz="0" w:space="0" w:color="auto"/>
        <w:right w:val="none" w:sz="0" w:space="0" w:color="auto"/>
      </w:divBdr>
    </w:div>
    <w:div w:id="567812839">
      <w:bodyDiv w:val="1"/>
      <w:marLeft w:val="0"/>
      <w:marRight w:val="0"/>
      <w:marTop w:val="0"/>
      <w:marBottom w:val="0"/>
      <w:divBdr>
        <w:top w:val="none" w:sz="0" w:space="0" w:color="auto"/>
        <w:left w:val="none" w:sz="0" w:space="0" w:color="auto"/>
        <w:bottom w:val="none" w:sz="0" w:space="0" w:color="auto"/>
        <w:right w:val="none" w:sz="0" w:space="0" w:color="auto"/>
      </w:divBdr>
    </w:div>
    <w:div w:id="568153139">
      <w:bodyDiv w:val="1"/>
      <w:marLeft w:val="0"/>
      <w:marRight w:val="0"/>
      <w:marTop w:val="0"/>
      <w:marBottom w:val="0"/>
      <w:divBdr>
        <w:top w:val="none" w:sz="0" w:space="0" w:color="auto"/>
        <w:left w:val="none" w:sz="0" w:space="0" w:color="auto"/>
        <w:bottom w:val="none" w:sz="0" w:space="0" w:color="auto"/>
        <w:right w:val="none" w:sz="0" w:space="0" w:color="auto"/>
      </w:divBdr>
    </w:div>
    <w:div w:id="568223610">
      <w:bodyDiv w:val="1"/>
      <w:marLeft w:val="0"/>
      <w:marRight w:val="0"/>
      <w:marTop w:val="0"/>
      <w:marBottom w:val="0"/>
      <w:divBdr>
        <w:top w:val="none" w:sz="0" w:space="0" w:color="auto"/>
        <w:left w:val="none" w:sz="0" w:space="0" w:color="auto"/>
        <w:bottom w:val="none" w:sz="0" w:space="0" w:color="auto"/>
        <w:right w:val="none" w:sz="0" w:space="0" w:color="auto"/>
      </w:divBdr>
    </w:div>
    <w:div w:id="568926017">
      <w:bodyDiv w:val="1"/>
      <w:marLeft w:val="0"/>
      <w:marRight w:val="0"/>
      <w:marTop w:val="0"/>
      <w:marBottom w:val="0"/>
      <w:divBdr>
        <w:top w:val="none" w:sz="0" w:space="0" w:color="auto"/>
        <w:left w:val="none" w:sz="0" w:space="0" w:color="auto"/>
        <w:bottom w:val="none" w:sz="0" w:space="0" w:color="auto"/>
        <w:right w:val="none" w:sz="0" w:space="0" w:color="auto"/>
      </w:divBdr>
    </w:div>
    <w:div w:id="569080079">
      <w:bodyDiv w:val="1"/>
      <w:marLeft w:val="0"/>
      <w:marRight w:val="0"/>
      <w:marTop w:val="0"/>
      <w:marBottom w:val="0"/>
      <w:divBdr>
        <w:top w:val="none" w:sz="0" w:space="0" w:color="auto"/>
        <w:left w:val="none" w:sz="0" w:space="0" w:color="auto"/>
        <w:bottom w:val="none" w:sz="0" w:space="0" w:color="auto"/>
        <w:right w:val="none" w:sz="0" w:space="0" w:color="auto"/>
      </w:divBdr>
    </w:div>
    <w:div w:id="569390204">
      <w:bodyDiv w:val="1"/>
      <w:marLeft w:val="0"/>
      <w:marRight w:val="0"/>
      <w:marTop w:val="0"/>
      <w:marBottom w:val="0"/>
      <w:divBdr>
        <w:top w:val="none" w:sz="0" w:space="0" w:color="auto"/>
        <w:left w:val="none" w:sz="0" w:space="0" w:color="auto"/>
        <w:bottom w:val="none" w:sz="0" w:space="0" w:color="auto"/>
        <w:right w:val="none" w:sz="0" w:space="0" w:color="auto"/>
      </w:divBdr>
    </w:div>
    <w:div w:id="570509311">
      <w:bodyDiv w:val="1"/>
      <w:marLeft w:val="0"/>
      <w:marRight w:val="0"/>
      <w:marTop w:val="0"/>
      <w:marBottom w:val="0"/>
      <w:divBdr>
        <w:top w:val="none" w:sz="0" w:space="0" w:color="auto"/>
        <w:left w:val="none" w:sz="0" w:space="0" w:color="auto"/>
        <w:bottom w:val="none" w:sz="0" w:space="0" w:color="auto"/>
        <w:right w:val="none" w:sz="0" w:space="0" w:color="auto"/>
      </w:divBdr>
    </w:div>
    <w:div w:id="570849344">
      <w:bodyDiv w:val="1"/>
      <w:marLeft w:val="0"/>
      <w:marRight w:val="0"/>
      <w:marTop w:val="0"/>
      <w:marBottom w:val="0"/>
      <w:divBdr>
        <w:top w:val="none" w:sz="0" w:space="0" w:color="auto"/>
        <w:left w:val="none" w:sz="0" w:space="0" w:color="auto"/>
        <w:bottom w:val="none" w:sz="0" w:space="0" w:color="auto"/>
        <w:right w:val="none" w:sz="0" w:space="0" w:color="auto"/>
      </w:divBdr>
    </w:div>
    <w:div w:id="571044530">
      <w:bodyDiv w:val="1"/>
      <w:marLeft w:val="0"/>
      <w:marRight w:val="0"/>
      <w:marTop w:val="0"/>
      <w:marBottom w:val="0"/>
      <w:divBdr>
        <w:top w:val="none" w:sz="0" w:space="0" w:color="auto"/>
        <w:left w:val="none" w:sz="0" w:space="0" w:color="auto"/>
        <w:bottom w:val="none" w:sz="0" w:space="0" w:color="auto"/>
        <w:right w:val="none" w:sz="0" w:space="0" w:color="auto"/>
      </w:divBdr>
    </w:div>
    <w:div w:id="571238888">
      <w:bodyDiv w:val="1"/>
      <w:marLeft w:val="0"/>
      <w:marRight w:val="0"/>
      <w:marTop w:val="0"/>
      <w:marBottom w:val="0"/>
      <w:divBdr>
        <w:top w:val="none" w:sz="0" w:space="0" w:color="auto"/>
        <w:left w:val="none" w:sz="0" w:space="0" w:color="auto"/>
        <w:bottom w:val="none" w:sz="0" w:space="0" w:color="auto"/>
        <w:right w:val="none" w:sz="0" w:space="0" w:color="auto"/>
      </w:divBdr>
    </w:div>
    <w:div w:id="571551669">
      <w:bodyDiv w:val="1"/>
      <w:marLeft w:val="0"/>
      <w:marRight w:val="0"/>
      <w:marTop w:val="0"/>
      <w:marBottom w:val="0"/>
      <w:divBdr>
        <w:top w:val="none" w:sz="0" w:space="0" w:color="auto"/>
        <w:left w:val="none" w:sz="0" w:space="0" w:color="auto"/>
        <w:bottom w:val="none" w:sz="0" w:space="0" w:color="auto"/>
        <w:right w:val="none" w:sz="0" w:space="0" w:color="auto"/>
      </w:divBdr>
    </w:div>
    <w:div w:id="571815074">
      <w:bodyDiv w:val="1"/>
      <w:marLeft w:val="0"/>
      <w:marRight w:val="0"/>
      <w:marTop w:val="0"/>
      <w:marBottom w:val="0"/>
      <w:divBdr>
        <w:top w:val="none" w:sz="0" w:space="0" w:color="auto"/>
        <w:left w:val="none" w:sz="0" w:space="0" w:color="auto"/>
        <w:bottom w:val="none" w:sz="0" w:space="0" w:color="auto"/>
        <w:right w:val="none" w:sz="0" w:space="0" w:color="auto"/>
      </w:divBdr>
    </w:div>
    <w:div w:id="572549425">
      <w:bodyDiv w:val="1"/>
      <w:marLeft w:val="0"/>
      <w:marRight w:val="0"/>
      <w:marTop w:val="0"/>
      <w:marBottom w:val="0"/>
      <w:divBdr>
        <w:top w:val="none" w:sz="0" w:space="0" w:color="auto"/>
        <w:left w:val="none" w:sz="0" w:space="0" w:color="auto"/>
        <w:bottom w:val="none" w:sz="0" w:space="0" w:color="auto"/>
        <w:right w:val="none" w:sz="0" w:space="0" w:color="auto"/>
      </w:divBdr>
    </w:div>
    <w:div w:id="573245224">
      <w:bodyDiv w:val="1"/>
      <w:marLeft w:val="0"/>
      <w:marRight w:val="0"/>
      <w:marTop w:val="0"/>
      <w:marBottom w:val="0"/>
      <w:divBdr>
        <w:top w:val="none" w:sz="0" w:space="0" w:color="auto"/>
        <w:left w:val="none" w:sz="0" w:space="0" w:color="auto"/>
        <w:bottom w:val="none" w:sz="0" w:space="0" w:color="auto"/>
        <w:right w:val="none" w:sz="0" w:space="0" w:color="auto"/>
      </w:divBdr>
    </w:div>
    <w:div w:id="573515080">
      <w:bodyDiv w:val="1"/>
      <w:marLeft w:val="0"/>
      <w:marRight w:val="0"/>
      <w:marTop w:val="0"/>
      <w:marBottom w:val="0"/>
      <w:divBdr>
        <w:top w:val="none" w:sz="0" w:space="0" w:color="auto"/>
        <w:left w:val="none" w:sz="0" w:space="0" w:color="auto"/>
        <w:bottom w:val="none" w:sz="0" w:space="0" w:color="auto"/>
        <w:right w:val="none" w:sz="0" w:space="0" w:color="auto"/>
      </w:divBdr>
    </w:div>
    <w:div w:id="573591327">
      <w:bodyDiv w:val="1"/>
      <w:marLeft w:val="0"/>
      <w:marRight w:val="0"/>
      <w:marTop w:val="0"/>
      <w:marBottom w:val="0"/>
      <w:divBdr>
        <w:top w:val="none" w:sz="0" w:space="0" w:color="auto"/>
        <w:left w:val="none" w:sz="0" w:space="0" w:color="auto"/>
        <w:bottom w:val="none" w:sz="0" w:space="0" w:color="auto"/>
        <w:right w:val="none" w:sz="0" w:space="0" w:color="auto"/>
      </w:divBdr>
    </w:div>
    <w:div w:id="573971765">
      <w:bodyDiv w:val="1"/>
      <w:marLeft w:val="0"/>
      <w:marRight w:val="0"/>
      <w:marTop w:val="0"/>
      <w:marBottom w:val="0"/>
      <w:divBdr>
        <w:top w:val="none" w:sz="0" w:space="0" w:color="auto"/>
        <w:left w:val="none" w:sz="0" w:space="0" w:color="auto"/>
        <w:bottom w:val="none" w:sz="0" w:space="0" w:color="auto"/>
        <w:right w:val="none" w:sz="0" w:space="0" w:color="auto"/>
      </w:divBdr>
    </w:div>
    <w:div w:id="574170948">
      <w:bodyDiv w:val="1"/>
      <w:marLeft w:val="0"/>
      <w:marRight w:val="0"/>
      <w:marTop w:val="0"/>
      <w:marBottom w:val="0"/>
      <w:divBdr>
        <w:top w:val="none" w:sz="0" w:space="0" w:color="auto"/>
        <w:left w:val="none" w:sz="0" w:space="0" w:color="auto"/>
        <w:bottom w:val="none" w:sz="0" w:space="0" w:color="auto"/>
        <w:right w:val="none" w:sz="0" w:space="0" w:color="auto"/>
      </w:divBdr>
    </w:div>
    <w:div w:id="574822599">
      <w:bodyDiv w:val="1"/>
      <w:marLeft w:val="0"/>
      <w:marRight w:val="0"/>
      <w:marTop w:val="0"/>
      <w:marBottom w:val="0"/>
      <w:divBdr>
        <w:top w:val="none" w:sz="0" w:space="0" w:color="auto"/>
        <w:left w:val="none" w:sz="0" w:space="0" w:color="auto"/>
        <w:bottom w:val="none" w:sz="0" w:space="0" w:color="auto"/>
        <w:right w:val="none" w:sz="0" w:space="0" w:color="auto"/>
      </w:divBdr>
    </w:div>
    <w:div w:id="574824283">
      <w:bodyDiv w:val="1"/>
      <w:marLeft w:val="0"/>
      <w:marRight w:val="0"/>
      <w:marTop w:val="0"/>
      <w:marBottom w:val="0"/>
      <w:divBdr>
        <w:top w:val="none" w:sz="0" w:space="0" w:color="auto"/>
        <w:left w:val="none" w:sz="0" w:space="0" w:color="auto"/>
        <w:bottom w:val="none" w:sz="0" w:space="0" w:color="auto"/>
        <w:right w:val="none" w:sz="0" w:space="0" w:color="auto"/>
      </w:divBdr>
    </w:div>
    <w:div w:id="574826708">
      <w:bodyDiv w:val="1"/>
      <w:marLeft w:val="0"/>
      <w:marRight w:val="0"/>
      <w:marTop w:val="0"/>
      <w:marBottom w:val="0"/>
      <w:divBdr>
        <w:top w:val="none" w:sz="0" w:space="0" w:color="auto"/>
        <w:left w:val="none" w:sz="0" w:space="0" w:color="auto"/>
        <w:bottom w:val="none" w:sz="0" w:space="0" w:color="auto"/>
        <w:right w:val="none" w:sz="0" w:space="0" w:color="auto"/>
      </w:divBdr>
    </w:div>
    <w:div w:id="575358444">
      <w:bodyDiv w:val="1"/>
      <w:marLeft w:val="0"/>
      <w:marRight w:val="0"/>
      <w:marTop w:val="0"/>
      <w:marBottom w:val="0"/>
      <w:divBdr>
        <w:top w:val="none" w:sz="0" w:space="0" w:color="auto"/>
        <w:left w:val="none" w:sz="0" w:space="0" w:color="auto"/>
        <w:bottom w:val="none" w:sz="0" w:space="0" w:color="auto"/>
        <w:right w:val="none" w:sz="0" w:space="0" w:color="auto"/>
      </w:divBdr>
    </w:div>
    <w:div w:id="575362904">
      <w:bodyDiv w:val="1"/>
      <w:marLeft w:val="0"/>
      <w:marRight w:val="0"/>
      <w:marTop w:val="0"/>
      <w:marBottom w:val="0"/>
      <w:divBdr>
        <w:top w:val="none" w:sz="0" w:space="0" w:color="auto"/>
        <w:left w:val="none" w:sz="0" w:space="0" w:color="auto"/>
        <w:bottom w:val="none" w:sz="0" w:space="0" w:color="auto"/>
        <w:right w:val="none" w:sz="0" w:space="0" w:color="auto"/>
      </w:divBdr>
    </w:div>
    <w:div w:id="575633719">
      <w:bodyDiv w:val="1"/>
      <w:marLeft w:val="0"/>
      <w:marRight w:val="0"/>
      <w:marTop w:val="0"/>
      <w:marBottom w:val="0"/>
      <w:divBdr>
        <w:top w:val="none" w:sz="0" w:space="0" w:color="auto"/>
        <w:left w:val="none" w:sz="0" w:space="0" w:color="auto"/>
        <w:bottom w:val="none" w:sz="0" w:space="0" w:color="auto"/>
        <w:right w:val="none" w:sz="0" w:space="0" w:color="auto"/>
      </w:divBdr>
    </w:div>
    <w:div w:id="577132324">
      <w:bodyDiv w:val="1"/>
      <w:marLeft w:val="0"/>
      <w:marRight w:val="0"/>
      <w:marTop w:val="0"/>
      <w:marBottom w:val="0"/>
      <w:divBdr>
        <w:top w:val="none" w:sz="0" w:space="0" w:color="auto"/>
        <w:left w:val="none" w:sz="0" w:space="0" w:color="auto"/>
        <w:bottom w:val="none" w:sz="0" w:space="0" w:color="auto"/>
        <w:right w:val="none" w:sz="0" w:space="0" w:color="auto"/>
      </w:divBdr>
    </w:div>
    <w:div w:id="577137014">
      <w:bodyDiv w:val="1"/>
      <w:marLeft w:val="0"/>
      <w:marRight w:val="0"/>
      <w:marTop w:val="0"/>
      <w:marBottom w:val="0"/>
      <w:divBdr>
        <w:top w:val="none" w:sz="0" w:space="0" w:color="auto"/>
        <w:left w:val="none" w:sz="0" w:space="0" w:color="auto"/>
        <w:bottom w:val="none" w:sz="0" w:space="0" w:color="auto"/>
        <w:right w:val="none" w:sz="0" w:space="0" w:color="auto"/>
      </w:divBdr>
    </w:div>
    <w:div w:id="577717348">
      <w:bodyDiv w:val="1"/>
      <w:marLeft w:val="0"/>
      <w:marRight w:val="0"/>
      <w:marTop w:val="0"/>
      <w:marBottom w:val="0"/>
      <w:divBdr>
        <w:top w:val="none" w:sz="0" w:space="0" w:color="auto"/>
        <w:left w:val="none" w:sz="0" w:space="0" w:color="auto"/>
        <w:bottom w:val="none" w:sz="0" w:space="0" w:color="auto"/>
        <w:right w:val="none" w:sz="0" w:space="0" w:color="auto"/>
      </w:divBdr>
    </w:div>
    <w:div w:id="578178226">
      <w:bodyDiv w:val="1"/>
      <w:marLeft w:val="0"/>
      <w:marRight w:val="0"/>
      <w:marTop w:val="0"/>
      <w:marBottom w:val="0"/>
      <w:divBdr>
        <w:top w:val="none" w:sz="0" w:space="0" w:color="auto"/>
        <w:left w:val="none" w:sz="0" w:space="0" w:color="auto"/>
        <w:bottom w:val="none" w:sz="0" w:space="0" w:color="auto"/>
        <w:right w:val="none" w:sz="0" w:space="0" w:color="auto"/>
      </w:divBdr>
    </w:div>
    <w:div w:id="579800262">
      <w:bodyDiv w:val="1"/>
      <w:marLeft w:val="0"/>
      <w:marRight w:val="0"/>
      <w:marTop w:val="0"/>
      <w:marBottom w:val="0"/>
      <w:divBdr>
        <w:top w:val="none" w:sz="0" w:space="0" w:color="auto"/>
        <w:left w:val="none" w:sz="0" w:space="0" w:color="auto"/>
        <w:bottom w:val="none" w:sz="0" w:space="0" w:color="auto"/>
        <w:right w:val="none" w:sz="0" w:space="0" w:color="auto"/>
      </w:divBdr>
    </w:div>
    <w:div w:id="579877013">
      <w:bodyDiv w:val="1"/>
      <w:marLeft w:val="0"/>
      <w:marRight w:val="0"/>
      <w:marTop w:val="0"/>
      <w:marBottom w:val="0"/>
      <w:divBdr>
        <w:top w:val="none" w:sz="0" w:space="0" w:color="auto"/>
        <w:left w:val="none" w:sz="0" w:space="0" w:color="auto"/>
        <w:bottom w:val="none" w:sz="0" w:space="0" w:color="auto"/>
        <w:right w:val="none" w:sz="0" w:space="0" w:color="auto"/>
      </w:divBdr>
    </w:div>
    <w:div w:id="579949180">
      <w:bodyDiv w:val="1"/>
      <w:marLeft w:val="0"/>
      <w:marRight w:val="0"/>
      <w:marTop w:val="0"/>
      <w:marBottom w:val="0"/>
      <w:divBdr>
        <w:top w:val="none" w:sz="0" w:space="0" w:color="auto"/>
        <w:left w:val="none" w:sz="0" w:space="0" w:color="auto"/>
        <w:bottom w:val="none" w:sz="0" w:space="0" w:color="auto"/>
        <w:right w:val="none" w:sz="0" w:space="0" w:color="auto"/>
      </w:divBdr>
    </w:div>
    <w:div w:id="580604067">
      <w:bodyDiv w:val="1"/>
      <w:marLeft w:val="0"/>
      <w:marRight w:val="0"/>
      <w:marTop w:val="0"/>
      <w:marBottom w:val="0"/>
      <w:divBdr>
        <w:top w:val="none" w:sz="0" w:space="0" w:color="auto"/>
        <w:left w:val="none" w:sz="0" w:space="0" w:color="auto"/>
        <w:bottom w:val="none" w:sz="0" w:space="0" w:color="auto"/>
        <w:right w:val="none" w:sz="0" w:space="0" w:color="auto"/>
      </w:divBdr>
    </w:div>
    <w:div w:id="580793659">
      <w:bodyDiv w:val="1"/>
      <w:marLeft w:val="0"/>
      <w:marRight w:val="0"/>
      <w:marTop w:val="0"/>
      <w:marBottom w:val="0"/>
      <w:divBdr>
        <w:top w:val="none" w:sz="0" w:space="0" w:color="auto"/>
        <w:left w:val="none" w:sz="0" w:space="0" w:color="auto"/>
        <w:bottom w:val="none" w:sz="0" w:space="0" w:color="auto"/>
        <w:right w:val="none" w:sz="0" w:space="0" w:color="auto"/>
      </w:divBdr>
    </w:div>
    <w:div w:id="580796937">
      <w:bodyDiv w:val="1"/>
      <w:marLeft w:val="0"/>
      <w:marRight w:val="0"/>
      <w:marTop w:val="0"/>
      <w:marBottom w:val="0"/>
      <w:divBdr>
        <w:top w:val="none" w:sz="0" w:space="0" w:color="auto"/>
        <w:left w:val="none" w:sz="0" w:space="0" w:color="auto"/>
        <w:bottom w:val="none" w:sz="0" w:space="0" w:color="auto"/>
        <w:right w:val="none" w:sz="0" w:space="0" w:color="auto"/>
      </w:divBdr>
    </w:div>
    <w:div w:id="580871913">
      <w:bodyDiv w:val="1"/>
      <w:marLeft w:val="0"/>
      <w:marRight w:val="0"/>
      <w:marTop w:val="0"/>
      <w:marBottom w:val="0"/>
      <w:divBdr>
        <w:top w:val="none" w:sz="0" w:space="0" w:color="auto"/>
        <w:left w:val="none" w:sz="0" w:space="0" w:color="auto"/>
        <w:bottom w:val="none" w:sz="0" w:space="0" w:color="auto"/>
        <w:right w:val="none" w:sz="0" w:space="0" w:color="auto"/>
      </w:divBdr>
    </w:div>
    <w:div w:id="581185664">
      <w:bodyDiv w:val="1"/>
      <w:marLeft w:val="0"/>
      <w:marRight w:val="0"/>
      <w:marTop w:val="0"/>
      <w:marBottom w:val="0"/>
      <w:divBdr>
        <w:top w:val="none" w:sz="0" w:space="0" w:color="auto"/>
        <w:left w:val="none" w:sz="0" w:space="0" w:color="auto"/>
        <w:bottom w:val="none" w:sz="0" w:space="0" w:color="auto"/>
        <w:right w:val="none" w:sz="0" w:space="0" w:color="auto"/>
      </w:divBdr>
    </w:div>
    <w:div w:id="581258955">
      <w:bodyDiv w:val="1"/>
      <w:marLeft w:val="0"/>
      <w:marRight w:val="0"/>
      <w:marTop w:val="0"/>
      <w:marBottom w:val="0"/>
      <w:divBdr>
        <w:top w:val="none" w:sz="0" w:space="0" w:color="auto"/>
        <w:left w:val="none" w:sz="0" w:space="0" w:color="auto"/>
        <w:bottom w:val="none" w:sz="0" w:space="0" w:color="auto"/>
        <w:right w:val="none" w:sz="0" w:space="0" w:color="auto"/>
      </w:divBdr>
    </w:div>
    <w:div w:id="581840452">
      <w:bodyDiv w:val="1"/>
      <w:marLeft w:val="0"/>
      <w:marRight w:val="0"/>
      <w:marTop w:val="0"/>
      <w:marBottom w:val="0"/>
      <w:divBdr>
        <w:top w:val="none" w:sz="0" w:space="0" w:color="auto"/>
        <w:left w:val="none" w:sz="0" w:space="0" w:color="auto"/>
        <w:bottom w:val="none" w:sz="0" w:space="0" w:color="auto"/>
        <w:right w:val="none" w:sz="0" w:space="0" w:color="auto"/>
      </w:divBdr>
    </w:div>
    <w:div w:id="582222061">
      <w:bodyDiv w:val="1"/>
      <w:marLeft w:val="0"/>
      <w:marRight w:val="0"/>
      <w:marTop w:val="0"/>
      <w:marBottom w:val="0"/>
      <w:divBdr>
        <w:top w:val="none" w:sz="0" w:space="0" w:color="auto"/>
        <w:left w:val="none" w:sz="0" w:space="0" w:color="auto"/>
        <w:bottom w:val="none" w:sz="0" w:space="0" w:color="auto"/>
        <w:right w:val="none" w:sz="0" w:space="0" w:color="auto"/>
      </w:divBdr>
    </w:div>
    <w:div w:id="582567184">
      <w:bodyDiv w:val="1"/>
      <w:marLeft w:val="0"/>
      <w:marRight w:val="0"/>
      <w:marTop w:val="0"/>
      <w:marBottom w:val="0"/>
      <w:divBdr>
        <w:top w:val="none" w:sz="0" w:space="0" w:color="auto"/>
        <w:left w:val="none" w:sz="0" w:space="0" w:color="auto"/>
        <w:bottom w:val="none" w:sz="0" w:space="0" w:color="auto"/>
        <w:right w:val="none" w:sz="0" w:space="0" w:color="auto"/>
      </w:divBdr>
    </w:div>
    <w:div w:id="582615424">
      <w:bodyDiv w:val="1"/>
      <w:marLeft w:val="0"/>
      <w:marRight w:val="0"/>
      <w:marTop w:val="0"/>
      <w:marBottom w:val="0"/>
      <w:divBdr>
        <w:top w:val="none" w:sz="0" w:space="0" w:color="auto"/>
        <w:left w:val="none" w:sz="0" w:space="0" w:color="auto"/>
        <w:bottom w:val="none" w:sz="0" w:space="0" w:color="auto"/>
        <w:right w:val="none" w:sz="0" w:space="0" w:color="auto"/>
      </w:divBdr>
    </w:div>
    <w:div w:id="582761922">
      <w:bodyDiv w:val="1"/>
      <w:marLeft w:val="0"/>
      <w:marRight w:val="0"/>
      <w:marTop w:val="0"/>
      <w:marBottom w:val="0"/>
      <w:divBdr>
        <w:top w:val="none" w:sz="0" w:space="0" w:color="auto"/>
        <w:left w:val="none" w:sz="0" w:space="0" w:color="auto"/>
        <w:bottom w:val="none" w:sz="0" w:space="0" w:color="auto"/>
        <w:right w:val="none" w:sz="0" w:space="0" w:color="auto"/>
      </w:divBdr>
    </w:div>
    <w:div w:id="582953583">
      <w:bodyDiv w:val="1"/>
      <w:marLeft w:val="0"/>
      <w:marRight w:val="0"/>
      <w:marTop w:val="0"/>
      <w:marBottom w:val="0"/>
      <w:divBdr>
        <w:top w:val="none" w:sz="0" w:space="0" w:color="auto"/>
        <w:left w:val="none" w:sz="0" w:space="0" w:color="auto"/>
        <w:bottom w:val="none" w:sz="0" w:space="0" w:color="auto"/>
        <w:right w:val="none" w:sz="0" w:space="0" w:color="auto"/>
      </w:divBdr>
    </w:div>
    <w:div w:id="583220559">
      <w:bodyDiv w:val="1"/>
      <w:marLeft w:val="0"/>
      <w:marRight w:val="0"/>
      <w:marTop w:val="0"/>
      <w:marBottom w:val="0"/>
      <w:divBdr>
        <w:top w:val="none" w:sz="0" w:space="0" w:color="auto"/>
        <w:left w:val="none" w:sz="0" w:space="0" w:color="auto"/>
        <w:bottom w:val="none" w:sz="0" w:space="0" w:color="auto"/>
        <w:right w:val="none" w:sz="0" w:space="0" w:color="auto"/>
      </w:divBdr>
    </w:div>
    <w:div w:id="583227648">
      <w:bodyDiv w:val="1"/>
      <w:marLeft w:val="0"/>
      <w:marRight w:val="0"/>
      <w:marTop w:val="0"/>
      <w:marBottom w:val="0"/>
      <w:divBdr>
        <w:top w:val="none" w:sz="0" w:space="0" w:color="auto"/>
        <w:left w:val="none" w:sz="0" w:space="0" w:color="auto"/>
        <w:bottom w:val="none" w:sz="0" w:space="0" w:color="auto"/>
        <w:right w:val="none" w:sz="0" w:space="0" w:color="auto"/>
      </w:divBdr>
    </w:div>
    <w:div w:id="583537127">
      <w:bodyDiv w:val="1"/>
      <w:marLeft w:val="0"/>
      <w:marRight w:val="0"/>
      <w:marTop w:val="0"/>
      <w:marBottom w:val="0"/>
      <w:divBdr>
        <w:top w:val="none" w:sz="0" w:space="0" w:color="auto"/>
        <w:left w:val="none" w:sz="0" w:space="0" w:color="auto"/>
        <w:bottom w:val="none" w:sz="0" w:space="0" w:color="auto"/>
        <w:right w:val="none" w:sz="0" w:space="0" w:color="auto"/>
      </w:divBdr>
    </w:div>
    <w:div w:id="583682968">
      <w:bodyDiv w:val="1"/>
      <w:marLeft w:val="0"/>
      <w:marRight w:val="0"/>
      <w:marTop w:val="0"/>
      <w:marBottom w:val="0"/>
      <w:divBdr>
        <w:top w:val="none" w:sz="0" w:space="0" w:color="auto"/>
        <w:left w:val="none" w:sz="0" w:space="0" w:color="auto"/>
        <w:bottom w:val="none" w:sz="0" w:space="0" w:color="auto"/>
        <w:right w:val="none" w:sz="0" w:space="0" w:color="auto"/>
      </w:divBdr>
    </w:div>
    <w:div w:id="584456980">
      <w:bodyDiv w:val="1"/>
      <w:marLeft w:val="0"/>
      <w:marRight w:val="0"/>
      <w:marTop w:val="0"/>
      <w:marBottom w:val="0"/>
      <w:divBdr>
        <w:top w:val="none" w:sz="0" w:space="0" w:color="auto"/>
        <w:left w:val="none" w:sz="0" w:space="0" w:color="auto"/>
        <w:bottom w:val="none" w:sz="0" w:space="0" w:color="auto"/>
        <w:right w:val="none" w:sz="0" w:space="0" w:color="auto"/>
      </w:divBdr>
    </w:div>
    <w:div w:id="585530999">
      <w:bodyDiv w:val="1"/>
      <w:marLeft w:val="0"/>
      <w:marRight w:val="0"/>
      <w:marTop w:val="0"/>
      <w:marBottom w:val="0"/>
      <w:divBdr>
        <w:top w:val="none" w:sz="0" w:space="0" w:color="auto"/>
        <w:left w:val="none" w:sz="0" w:space="0" w:color="auto"/>
        <w:bottom w:val="none" w:sz="0" w:space="0" w:color="auto"/>
        <w:right w:val="none" w:sz="0" w:space="0" w:color="auto"/>
      </w:divBdr>
    </w:div>
    <w:div w:id="585917297">
      <w:bodyDiv w:val="1"/>
      <w:marLeft w:val="0"/>
      <w:marRight w:val="0"/>
      <w:marTop w:val="0"/>
      <w:marBottom w:val="0"/>
      <w:divBdr>
        <w:top w:val="none" w:sz="0" w:space="0" w:color="auto"/>
        <w:left w:val="none" w:sz="0" w:space="0" w:color="auto"/>
        <w:bottom w:val="none" w:sz="0" w:space="0" w:color="auto"/>
        <w:right w:val="none" w:sz="0" w:space="0" w:color="auto"/>
      </w:divBdr>
    </w:div>
    <w:div w:id="586574312">
      <w:bodyDiv w:val="1"/>
      <w:marLeft w:val="0"/>
      <w:marRight w:val="0"/>
      <w:marTop w:val="0"/>
      <w:marBottom w:val="0"/>
      <w:divBdr>
        <w:top w:val="none" w:sz="0" w:space="0" w:color="auto"/>
        <w:left w:val="none" w:sz="0" w:space="0" w:color="auto"/>
        <w:bottom w:val="none" w:sz="0" w:space="0" w:color="auto"/>
        <w:right w:val="none" w:sz="0" w:space="0" w:color="auto"/>
      </w:divBdr>
    </w:div>
    <w:div w:id="587421283">
      <w:bodyDiv w:val="1"/>
      <w:marLeft w:val="0"/>
      <w:marRight w:val="0"/>
      <w:marTop w:val="0"/>
      <w:marBottom w:val="0"/>
      <w:divBdr>
        <w:top w:val="none" w:sz="0" w:space="0" w:color="auto"/>
        <w:left w:val="none" w:sz="0" w:space="0" w:color="auto"/>
        <w:bottom w:val="none" w:sz="0" w:space="0" w:color="auto"/>
        <w:right w:val="none" w:sz="0" w:space="0" w:color="auto"/>
      </w:divBdr>
    </w:div>
    <w:div w:id="587736578">
      <w:bodyDiv w:val="1"/>
      <w:marLeft w:val="0"/>
      <w:marRight w:val="0"/>
      <w:marTop w:val="0"/>
      <w:marBottom w:val="0"/>
      <w:divBdr>
        <w:top w:val="none" w:sz="0" w:space="0" w:color="auto"/>
        <w:left w:val="none" w:sz="0" w:space="0" w:color="auto"/>
        <w:bottom w:val="none" w:sz="0" w:space="0" w:color="auto"/>
        <w:right w:val="none" w:sz="0" w:space="0" w:color="auto"/>
      </w:divBdr>
    </w:div>
    <w:div w:id="588084597">
      <w:bodyDiv w:val="1"/>
      <w:marLeft w:val="0"/>
      <w:marRight w:val="0"/>
      <w:marTop w:val="0"/>
      <w:marBottom w:val="0"/>
      <w:divBdr>
        <w:top w:val="none" w:sz="0" w:space="0" w:color="auto"/>
        <w:left w:val="none" w:sz="0" w:space="0" w:color="auto"/>
        <w:bottom w:val="none" w:sz="0" w:space="0" w:color="auto"/>
        <w:right w:val="none" w:sz="0" w:space="0" w:color="auto"/>
      </w:divBdr>
    </w:div>
    <w:div w:id="588388796">
      <w:bodyDiv w:val="1"/>
      <w:marLeft w:val="0"/>
      <w:marRight w:val="0"/>
      <w:marTop w:val="0"/>
      <w:marBottom w:val="0"/>
      <w:divBdr>
        <w:top w:val="none" w:sz="0" w:space="0" w:color="auto"/>
        <w:left w:val="none" w:sz="0" w:space="0" w:color="auto"/>
        <w:bottom w:val="none" w:sz="0" w:space="0" w:color="auto"/>
        <w:right w:val="none" w:sz="0" w:space="0" w:color="auto"/>
      </w:divBdr>
    </w:div>
    <w:div w:id="588392165">
      <w:bodyDiv w:val="1"/>
      <w:marLeft w:val="0"/>
      <w:marRight w:val="0"/>
      <w:marTop w:val="0"/>
      <w:marBottom w:val="0"/>
      <w:divBdr>
        <w:top w:val="none" w:sz="0" w:space="0" w:color="auto"/>
        <w:left w:val="none" w:sz="0" w:space="0" w:color="auto"/>
        <w:bottom w:val="none" w:sz="0" w:space="0" w:color="auto"/>
        <w:right w:val="none" w:sz="0" w:space="0" w:color="auto"/>
      </w:divBdr>
    </w:div>
    <w:div w:id="588805628">
      <w:bodyDiv w:val="1"/>
      <w:marLeft w:val="0"/>
      <w:marRight w:val="0"/>
      <w:marTop w:val="0"/>
      <w:marBottom w:val="0"/>
      <w:divBdr>
        <w:top w:val="none" w:sz="0" w:space="0" w:color="auto"/>
        <w:left w:val="none" w:sz="0" w:space="0" w:color="auto"/>
        <w:bottom w:val="none" w:sz="0" w:space="0" w:color="auto"/>
        <w:right w:val="none" w:sz="0" w:space="0" w:color="auto"/>
      </w:divBdr>
    </w:div>
    <w:div w:id="588853559">
      <w:bodyDiv w:val="1"/>
      <w:marLeft w:val="0"/>
      <w:marRight w:val="0"/>
      <w:marTop w:val="0"/>
      <w:marBottom w:val="0"/>
      <w:divBdr>
        <w:top w:val="none" w:sz="0" w:space="0" w:color="auto"/>
        <w:left w:val="none" w:sz="0" w:space="0" w:color="auto"/>
        <w:bottom w:val="none" w:sz="0" w:space="0" w:color="auto"/>
        <w:right w:val="none" w:sz="0" w:space="0" w:color="auto"/>
      </w:divBdr>
    </w:div>
    <w:div w:id="589002986">
      <w:bodyDiv w:val="1"/>
      <w:marLeft w:val="0"/>
      <w:marRight w:val="0"/>
      <w:marTop w:val="0"/>
      <w:marBottom w:val="0"/>
      <w:divBdr>
        <w:top w:val="none" w:sz="0" w:space="0" w:color="auto"/>
        <w:left w:val="none" w:sz="0" w:space="0" w:color="auto"/>
        <w:bottom w:val="none" w:sz="0" w:space="0" w:color="auto"/>
        <w:right w:val="none" w:sz="0" w:space="0" w:color="auto"/>
      </w:divBdr>
    </w:div>
    <w:div w:id="589048971">
      <w:bodyDiv w:val="1"/>
      <w:marLeft w:val="0"/>
      <w:marRight w:val="0"/>
      <w:marTop w:val="0"/>
      <w:marBottom w:val="0"/>
      <w:divBdr>
        <w:top w:val="none" w:sz="0" w:space="0" w:color="auto"/>
        <w:left w:val="none" w:sz="0" w:space="0" w:color="auto"/>
        <w:bottom w:val="none" w:sz="0" w:space="0" w:color="auto"/>
        <w:right w:val="none" w:sz="0" w:space="0" w:color="auto"/>
      </w:divBdr>
    </w:div>
    <w:div w:id="589587638">
      <w:bodyDiv w:val="1"/>
      <w:marLeft w:val="0"/>
      <w:marRight w:val="0"/>
      <w:marTop w:val="0"/>
      <w:marBottom w:val="0"/>
      <w:divBdr>
        <w:top w:val="none" w:sz="0" w:space="0" w:color="auto"/>
        <w:left w:val="none" w:sz="0" w:space="0" w:color="auto"/>
        <w:bottom w:val="none" w:sz="0" w:space="0" w:color="auto"/>
        <w:right w:val="none" w:sz="0" w:space="0" w:color="auto"/>
      </w:divBdr>
    </w:div>
    <w:div w:id="591817290">
      <w:bodyDiv w:val="1"/>
      <w:marLeft w:val="0"/>
      <w:marRight w:val="0"/>
      <w:marTop w:val="0"/>
      <w:marBottom w:val="0"/>
      <w:divBdr>
        <w:top w:val="none" w:sz="0" w:space="0" w:color="auto"/>
        <w:left w:val="none" w:sz="0" w:space="0" w:color="auto"/>
        <w:bottom w:val="none" w:sz="0" w:space="0" w:color="auto"/>
        <w:right w:val="none" w:sz="0" w:space="0" w:color="auto"/>
      </w:divBdr>
    </w:div>
    <w:div w:id="592511954">
      <w:bodyDiv w:val="1"/>
      <w:marLeft w:val="0"/>
      <w:marRight w:val="0"/>
      <w:marTop w:val="0"/>
      <w:marBottom w:val="0"/>
      <w:divBdr>
        <w:top w:val="none" w:sz="0" w:space="0" w:color="auto"/>
        <w:left w:val="none" w:sz="0" w:space="0" w:color="auto"/>
        <w:bottom w:val="none" w:sz="0" w:space="0" w:color="auto"/>
        <w:right w:val="none" w:sz="0" w:space="0" w:color="auto"/>
      </w:divBdr>
    </w:div>
    <w:div w:id="592664063">
      <w:bodyDiv w:val="1"/>
      <w:marLeft w:val="0"/>
      <w:marRight w:val="0"/>
      <w:marTop w:val="0"/>
      <w:marBottom w:val="0"/>
      <w:divBdr>
        <w:top w:val="none" w:sz="0" w:space="0" w:color="auto"/>
        <w:left w:val="none" w:sz="0" w:space="0" w:color="auto"/>
        <w:bottom w:val="none" w:sz="0" w:space="0" w:color="auto"/>
        <w:right w:val="none" w:sz="0" w:space="0" w:color="auto"/>
      </w:divBdr>
    </w:div>
    <w:div w:id="594050296">
      <w:bodyDiv w:val="1"/>
      <w:marLeft w:val="0"/>
      <w:marRight w:val="0"/>
      <w:marTop w:val="0"/>
      <w:marBottom w:val="0"/>
      <w:divBdr>
        <w:top w:val="none" w:sz="0" w:space="0" w:color="auto"/>
        <w:left w:val="none" w:sz="0" w:space="0" w:color="auto"/>
        <w:bottom w:val="none" w:sz="0" w:space="0" w:color="auto"/>
        <w:right w:val="none" w:sz="0" w:space="0" w:color="auto"/>
      </w:divBdr>
    </w:div>
    <w:div w:id="594629721">
      <w:bodyDiv w:val="1"/>
      <w:marLeft w:val="0"/>
      <w:marRight w:val="0"/>
      <w:marTop w:val="0"/>
      <w:marBottom w:val="0"/>
      <w:divBdr>
        <w:top w:val="none" w:sz="0" w:space="0" w:color="auto"/>
        <w:left w:val="none" w:sz="0" w:space="0" w:color="auto"/>
        <w:bottom w:val="none" w:sz="0" w:space="0" w:color="auto"/>
        <w:right w:val="none" w:sz="0" w:space="0" w:color="auto"/>
      </w:divBdr>
    </w:div>
    <w:div w:id="594823384">
      <w:bodyDiv w:val="1"/>
      <w:marLeft w:val="0"/>
      <w:marRight w:val="0"/>
      <w:marTop w:val="0"/>
      <w:marBottom w:val="0"/>
      <w:divBdr>
        <w:top w:val="none" w:sz="0" w:space="0" w:color="auto"/>
        <w:left w:val="none" w:sz="0" w:space="0" w:color="auto"/>
        <w:bottom w:val="none" w:sz="0" w:space="0" w:color="auto"/>
        <w:right w:val="none" w:sz="0" w:space="0" w:color="auto"/>
      </w:divBdr>
    </w:div>
    <w:div w:id="595093343">
      <w:bodyDiv w:val="1"/>
      <w:marLeft w:val="0"/>
      <w:marRight w:val="0"/>
      <w:marTop w:val="0"/>
      <w:marBottom w:val="0"/>
      <w:divBdr>
        <w:top w:val="none" w:sz="0" w:space="0" w:color="auto"/>
        <w:left w:val="none" w:sz="0" w:space="0" w:color="auto"/>
        <w:bottom w:val="none" w:sz="0" w:space="0" w:color="auto"/>
        <w:right w:val="none" w:sz="0" w:space="0" w:color="auto"/>
      </w:divBdr>
    </w:div>
    <w:div w:id="596213745">
      <w:bodyDiv w:val="1"/>
      <w:marLeft w:val="0"/>
      <w:marRight w:val="0"/>
      <w:marTop w:val="0"/>
      <w:marBottom w:val="0"/>
      <w:divBdr>
        <w:top w:val="none" w:sz="0" w:space="0" w:color="auto"/>
        <w:left w:val="none" w:sz="0" w:space="0" w:color="auto"/>
        <w:bottom w:val="none" w:sz="0" w:space="0" w:color="auto"/>
        <w:right w:val="none" w:sz="0" w:space="0" w:color="auto"/>
      </w:divBdr>
    </w:div>
    <w:div w:id="596450340">
      <w:bodyDiv w:val="1"/>
      <w:marLeft w:val="0"/>
      <w:marRight w:val="0"/>
      <w:marTop w:val="0"/>
      <w:marBottom w:val="0"/>
      <w:divBdr>
        <w:top w:val="none" w:sz="0" w:space="0" w:color="auto"/>
        <w:left w:val="none" w:sz="0" w:space="0" w:color="auto"/>
        <w:bottom w:val="none" w:sz="0" w:space="0" w:color="auto"/>
        <w:right w:val="none" w:sz="0" w:space="0" w:color="auto"/>
      </w:divBdr>
    </w:div>
    <w:div w:id="597098789">
      <w:bodyDiv w:val="1"/>
      <w:marLeft w:val="0"/>
      <w:marRight w:val="0"/>
      <w:marTop w:val="0"/>
      <w:marBottom w:val="0"/>
      <w:divBdr>
        <w:top w:val="none" w:sz="0" w:space="0" w:color="auto"/>
        <w:left w:val="none" w:sz="0" w:space="0" w:color="auto"/>
        <w:bottom w:val="none" w:sz="0" w:space="0" w:color="auto"/>
        <w:right w:val="none" w:sz="0" w:space="0" w:color="auto"/>
      </w:divBdr>
    </w:div>
    <w:div w:id="597836105">
      <w:bodyDiv w:val="1"/>
      <w:marLeft w:val="0"/>
      <w:marRight w:val="0"/>
      <w:marTop w:val="0"/>
      <w:marBottom w:val="0"/>
      <w:divBdr>
        <w:top w:val="none" w:sz="0" w:space="0" w:color="auto"/>
        <w:left w:val="none" w:sz="0" w:space="0" w:color="auto"/>
        <w:bottom w:val="none" w:sz="0" w:space="0" w:color="auto"/>
        <w:right w:val="none" w:sz="0" w:space="0" w:color="auto"/>
      </w:divBdr>
    </w:div>
    <w:div w:id="597910649">
      <w:bodyDiv w:val="1"/>
      <w:marLeft w:val="0"/>
      <w:marRight w:val="0"/>
      <w:marTop w:val="0"/>
      <w:marBottom w:val="0"/>
      <w:divBdr>
        <w:top w:val="none" w:sz="0" w:space="0" w:color="auto"/>
        <w:left w:val="none" w:sz="0" w:space="0" w:color="auto"/>
        <w:bottom w:val="none" w:sz="0" w:space="0" w:color="auto"/>
        <w:right w:val="none" w:sz="0" w:space="0" w:color="auto"/>
      </w:divBdr>
    </w:div>
    <w:div w:id="598611048">
      <w:bodyDiv w:val="1"/>
      <w:marLeft w:val="0"/>
      <w:marRight w:val="0"/>
      <w:marTop w:val="0"/>
      <w:marBottom w:val="0"/>
      <w:divBdr>
        <w:top w:val="none" w:sz="0" w:space="0" w:color="auto"/>
        <w:left w:val="none" w:sz="0" w:space="0" w:color="auto"/>
        <w:bottom w:val="none" w:sz="0" w:space="0" w:color="auto"/>
        <w:right w:val="none" w:sz="0" w:space="0" w:color="auto"/>
      </w:divBdr>
    </w:div>
    <w:div w:id="598760264">
      <w:bodyDiv w:val="1"/>
      <w:marLeft w:val="0"/>
      <w:marRight w:val="0"/>
      <w:marTop w:val="0"/>
      <w:marBottom w:val="0"/>
      <w:divBdr>
        <w:top w:val="none" w:sz="0" w:space="0" w:color="auto"/>
        <w:left w:val="none" w:sz="0" w:space="0" w:color="auto"/>
        <w:bottom w:val="none" w:sz="0" w:space="0" w:color="auto"/>
        <w:right w:val="none" w:sz="0" w:space="0" w:color="auto"/>
      </w:divBdr>
    </w:div>
    <w:div w:id="598947334">
      <w:bodyDiv w:val="1"/>
      <w:marLeft w:val="0"/>
      <w:marRight w:val="0"/>
      <w:marTop w:val="0"/>
      <w:marBottom w:val="0"/>
      <w:divBdr>
        <w:top w:val="none" w:sz="0" w:space="0" w:color="auto"/>
        <w:left w:val="none" w:sz="0" w:space="0" w:color="auto"/>
        <w:bottom w:val="none" w:sz="0" w:space="0" w:color="auto"/>
        <w:right w:val="none" w:sz="0" w:space="0" w:color="auto"/>
      </w:divBdr>
    </w:div>
    <w:div w:id="598954750">
      <w:bodyDiv w:val="1"/>
      <w:marLeft w:val="0"/>
      <w:marRight w:val="0"/>
      <w:marTop w:val="0"/>
      <w:marBottom w:val="0"/>
      <w:divBdr>
        <w:top w:val="none" w:sz="0" w:space="0" w:color="auto"/>
        <w:left w:val="none" w:sz="0" w:space="0" w:color="auto"/>
        <w:bottom w:val="none" w:sz="0" w:space="0" w:color="auto"/>
        <w:right w:val="none" w:sz="0" w:space="0" w:color="auto"/>
      </w:divBdr>
    </w:div>
    <w:div w:id="599142034">
      <w:bodyDiv w:val="1"/>
      <w:marLeft w:val="0"/>
      <w:marRight w:val="0"/>
      <w:marTop w:val="0"/>
      <w:marBottom w:val="0"/>
      <w:divBdr>
        <w:top w:val="none" w:sz="0" w:space="0" w:color="auto"/>
        <w:left w:val="none" w:sz="0" w:space="0" w:color="auto"/>
        <w:bottom w:val="none" w:sz="0" w:space="0" w:color="auto"/>
        <w:right w:val="none" w:sz="0" w:space="0" w:color="auto"/>
      </w:divBdr>
    </w:div>
    <w:div w:id="599336723">
      <w:bodyDiv w:val="1"/>
      <w:marLeft w:val="0"/>
      <w:marRight w:val="0"/>
      <w:marTop w:val="0"/>
      <w:marBottom w:val="0"/>
      <w:divBdr>
        <w:top w:val="none" w:sz="0" w:space="0" w:color="auto"/>
        <w:left w:val="none" w:sz="0" w:space="0" w:color="auto"/>
        <w:bottom w:val="none" w:sz="0" w:space="0" w:color="auto"/>
        <w:right w:val="none" w:sz="0" w:space="0" w:color="auto"/>
      </w:divBdr>
    </w:div>
    <w:div w:id="599529415">
      <w:bodyDiv w:val="1"/>
      <w:marLeft w:val="0"/>
      <w:marRight w:val="0"/>
      <w:marTop w:val="0"/>
      <w:marBottom w:val="0"/>
      <w:divBdr>
        <w:top w:val="none" w:sz="0" w:space="0" w:color="auto"/>
        <w:left w:val="none" w:sz="0" w:space="0" w:color="auto"/>
        <w:bottom w:val="none" w:sz="0" w:space="0" w:color="auto"/>
        <w:right w:val="none" w:sz="0" w:space="0" w:color="auto"/>
      </w:divBdr>
    </w:div>
    <w:div w:id="599685414">
      <w:bodyDiv w:val="1"/>
      <w:marLeft w:val="0"/>
      <w:marRight w:val="0"/>
      <w:marTop w:val="0"/>
      <w:marBottom w:val="0"/>
      <w:divBdr>
        <w:top w:val="none" w:sz="0" w:space="0" w:color="auto"/>
        <w:left w:val="none" w:sz="0" w:space="0" w:color="auto"/>
        <w:bottom w:val="none" w:sz="0" w:space="0" w:color="auto"/>
        <w:right w:val="none" w:sz="0" w:space="0" w:color="auto"/>
      </w:divBdr>
    </w:div>
    <w:div w:id="600259987">
      <w:bodyDiv w:val="1"/>
      <w:marLeft w:val="0"/>
      <w:marRight w:val="0"/>
      <w:marTop w:val="0"/>
      <w:marBottom w:val="0"/>
      <w:divBdr>
        <w:top w:val="none" w:sz="0" w:space="0" w:color="auto"/>
        <w:left w:val="none" w:sz="0" w:space="0" w:color="auto"/>
        <w:bottom w:val="none" w:sz="0" w:space="0" w:color="auto"/>
        <w:right w:val="none" w:sz="0" w:space="0" w:color="auto"/>
      </w:divBdr>
    </w:div>
    <w:div w:id="600769319">
      <w:bodyDiv w:val="1"/>
      <w:marLeft w:val="0"/>
      <w:marRight w:val="0"/>
      <w:marTop w:val="0"/>
      <w:marBottom w:val="0"/>
      <w:divBdr>
        <w:top w:val="none" w:sz="0" w:space="0" w:color="auto"/>
        <w:left w:val="none" w:sz="0" w:space="0" w:color="auto"/>
        <w:bottom w:val="none" w:sz="0" w:space="0" w:color="auto"/>
        <w:right w:val="none" w:sz="0" w:space="0" w:color="auto"/>
      </w:divBdr>
    </w:div>
    <w:div w:id="601300689">
      <w:bodyDiv w:val="1"/>
      <w:marLeft w:val="0"/>
      <w:marRight w:val="0"/>
      <w:marTop w:val="0"/>
      <w:marBottom w:val="0"/>
      <w:divBdr>
        <w:top w:val="none" w:sz="0" w:space="0" w:color="auto"/>
        <w:left w:val="none" w:sz="0" w:space="0" w:color="auto"/>
        <w:bottom w:val="none" w:sz="0" w:space="0" w:color="auto"/>
        <w:right w:val="none" w:sz="0" w:space="0" w:color="auto"/>
      </w:divBdr>
    </w:div>
    <w:div w:id="601454064">
      <w:bodyDiv w:val="1"/>
      <w:marLeft w:val="0"/>
      <w:marRight w:val="0"/>
      <w:marTop w:val="0"/>
      <w:marBottom w:val="0"/>
      <w:divBdr>
        <w:top w:val="none" w:sz="0" w:space="0" w:color="auto"/>
        <w:left w:val="none" w:sz="0" w:space="0" w:color="auto"/>
        <w:bottom w:val="none" w:sz="0" w:space="0" w:color="auto"/>
        <w:right w:val="none" w:sz="0" w:space="0" w:color="auto"/>
      </w:divBdr>
    </w:div>
    <w:div w:id="602155840">
      <w:bodyDiv w:val="1"/>
      <w:marLeft w:val="0"/>
      <w:marRight w:val="0"/>
      <w:marTop w:val="0"/>
      <w:marBottom w:val="0"/>
      <w:divBdr>
        <w:top w:val="none" w:sz="0" w:space="0" w:color="auto"/>
        <w:left w:val="none" w:sz="0" w:space="0" w:color="auto"/>
        <w:bottom w:val="none" w:sz="0" w:space="0" w:color="auto"/>
        <w:right w:val="none" w:sz="0" w:space="0" w:color="auto"/>
      </w:divBdr>
    </w:div>
    <w:div w:id="602423299">
      <w:bodyDiv w:val="1"/>
      <w:marLeft w:val="0"/>
      <w:marRight w:val="0"/>
      <w:marTop w:val="0"/>
      <w:marBottom w:val="0"/>
      <w:divBdr>
        <w:top w:val="none" w:sz="0" w:space="0" w:color="auto"/>
        <w:left w:val="none" w:sz="0" w:space="0" w:color="auto"/>
        <w:bottom w:val="none" w:sz="0" w:space="0" w:color="auto"/>
        <w:right w:val="none" w:sz="0" w:space="0" w:color="auto"/>
      </w:divBdr>
    </w:div>
    <w:div w:id="602494741">
      <w:bodyDiv w:val="1"/>
      <w:marLeft w:val="0"/>
      <w:marRight w:val="0"/>
      <w:marTop w:val="0"/>
      <w:marBottom w:val="0"/>
      <w:divBdr>
        <w:top w:val="none" w:sz="0" w:space="0" w:color="auto"/>
        <w:left w:val="none" w:sz="0" w:space="0" w:color="auto"/>
        <w:bottom w:val="none" w:sz="0" w:space="0" w:color="auto"/>
        <w:right w:val="none" w:sz="0" w:space="0" w:color="auto"/>
      </w:divBdr>
    </w:div>
    <w:div w:id="602612025">
      <w:bodyDiv w:val="1"/>
      <w:marLeft w:val="0"/>
      <w:marRight w:val="0"/>
      <w:marTop w:val="0"/>
      <w:marBottom w:val="0"/>
      <w:divBdr>
        <w:top w:val="none" w:sz="0" w:space="0" w:color="auto"/>
        <w:left w:val="none" w:sz="0" w:space="0" w:color="auto"/>
        <w:bottom w:val="none" w:sz="0" w:space="0" w:color="auto"/>
        <w:right w:val="none" w:sz="0" w:space="0" w:color="auto"/>
      </w:divBdr>
    </w:div>
    <w:div w:id="602878174">
      <w:bodyDiv w:val="1"/>
      <w:marLeft w:val="0"/>
      <w:marRight w:val="0"/>
      <w:marTop w:val="0"/>
      <w:marBottom w:val="0"/>
      <w:divBdr>
        <w:top w:val="none" w:sz="0" w:space="0" w:color="auto"/>
        <w:left w:val="none" w:sz="0" w:space="0" w:color="auto"/>
        <w:bottom w:val="none" w:sz="0" w:space="0" w:color="auto"/>
        <w:right w:val="none" w:sz="0" w:space="0" w:color="auto"/>
      </w:divBdr>
    </w:div>
    <w:div w:id="602956769">
      <w:bodyDiv w:val="1"/>
      <w:marLeft w:val="0"/>
      <w:marRight w:val="0"/>
      <w:marTop w:val="0"/>
      <w:marBottom w:val="0"/>
      <w:divBdr>
        <w:top w:val="none" w:sz="0" w:space="0" w:color="auto"/>
        <w:left w:val="none" w:sz="0" w:space="0" w:color="auto"/>
        <w:bottom w:val="none" w:sz="0" w:space="0" w:color="auto"/>
        <w:right w:val="none" w:sz="0" w:space="0" w:color="auto"/>
      </w:divBdr>
    </w:div>
    <w:div w:id="603077695">
      <w:bodyDiv w:val="1"/>
      <w:marLeft w:val="0"/>
      <w:marRight w:val="0"/>
      <w:marTop w:val="0"/>
      <w:marBottom w:val="0"/>
      <w:divBdr>
        <w:top w:val="none" w:sz="0" w:space="0" w:color="auto"/>
        <w:left w:val="none" w:sz="0" w:space="0" w:color="auto"/>
        <w:bottom w:val="none" w:sz="0" w:space="0" w:color="auto"/>
        <w:right w:val="none" w:sz="0" w:space="0" w:color="auto"/>
      </w:divBdr>
    </w:div>
    <w:div w:id="603729418">
      <w:bodyDiv w:val="1"/>
      <w:marLeft w:val="0"/>
      <w:marRight w:val="0"/>
      <w:marTop w:val="0"/>
      <w:marBottom w:val="0"/>
      <w:divBdr>
        <w:top w:val="none" w:sz="0" w:space="0" w:color="auto"/>
        <w:left w:val="none" w:sz="0" w:space="0" w:color="auto"/>
        <w:bottom w:val="none" w:sz="0" w:space="0" w:color="auto"/>
        <w:right w:val="none" w:sz="0" w:space="0" w:color="auto"/>
      </w:divBdr>
    </w:div>
    <w:div w:id="603920666">
      <w:bodyDiv w:val="1"/>
      <w:marLeft w:val="0"/>
      <w:marRight w:val="0"/>
      <w:marTop w:val="0"/>
      <w:marBottom w:val="0"/>
      <w:divBdr>
        <w:top w:val="none" w:sz="0" w:space="0" w:color="auto"/>
        <w:left w:val="none" w:sz="0" w:space="0" w:color="auto"/>
        <w:bottom w:val="none" w:sz="0" w:space="0" w:color="auto"/>
        <w:right w:val="none" w:sz="0" w:space="0" w:color="auto"/>
      </w:divBdr>
    </w:div>
    <w:div w:id="604770402">
      <w:bodyDiv w:val="1"/>
      <w:marLeft w:val="0"/>
      <w:marRight w:val="0"/>
      <w:marTop w:val="0"/>
      <w:marBottom w:val="0"/>
      <w:divBdr>
        <w:top w:val="none" w:sz="0" w:space="0" w:color="auto"/>
        <w:left w:val="none" w:sz="0" w:space="0" w:color="auto"/>
        <w:bottom w:val="none" w:sz="0" w:space="0" w:color="auto"/>
        <w:right w:val="none" w:sz="0" w:space="0" w:color="auto"/>
      </w:divBdr>
    </w:div>
    <w:div w:id="604927577">
      <w:bodyDiv w:val="1"/>
      <w:marLeft w:val="0"/>
      <w:marRight w:val="0"/>
      <w:marTop w:val="0"/>
      <w:marBottom w:val="0"/>
      <w:divBdr>
        <w:top w:val="none" w:sz="0" w:space="0" w:color="auto"/>
        <w:left w:val="none" w:sz="0" w:space="0" w:color="auto"/>
        <w:bottom w:val="none" w:sz="0" w:space="0" w:color="auto"/>
        <w:right w:val="none" w:sz="0" w:space="0" w:color="auto"/>
      </w:divBdr>
    </w:div>
    <w:div w:id="605696362">
      <w:bodyDiv w:val="1"/>
      <w:marLeft w:val="0"/>
      <w:marRight w:val="0"/>
      <w:marTop w:val="0"/>
      <w:marBottom w:val="0"/>
      <w:divBdr>
        <w:top w:val="none" w:sz="0" w:space="0" w:color="auto"/>
        <w:left w:val="none" w:sz="0" w:space="0" w:color="auto"/>
        <w:bottom w:val="none" w:sz="0" w:space="0" w:color="auto"/>
        <w:right w:val="none" w:sz="0" w:space="0" w:color="auto"/>
      </w:divBdr>
    </w:div>
    <w:div w:id="605769400">
      <w:bodyDiv w:val="1"/>
      <w:marLeft w:val="0"/>
      <w:marRight w:val="0"/>
      <w:marTop w:val="0"/>
      <w:marBottom w:val="0"/>
      <w:divBdr>
        <w:top w:val="none" w:sz="0" w:space="0" w:color="auto"/>
        <w:left w:val="none" w:sz="0" w:space="0" w:color="auto"/>
        <w:bottom w:val="none" w:sz="0" w:space="0" w:color="auto"/>
        <w:right w:val="none" w:sz="0" w:space="0" w:color="auto"/>
      </w:divBdr>
    </w:div>
    <w:div w:id="605775785">
      <w:bodyDiv w:val="1"/>
      <w:marLeft w:val="0"/>
      <w:marRight w:val="0"/>
      <w:marTop w:val="0"/>
      <w:marBottom w:val="0"/>
      <w:divBdr>
        <w:top w:val="none" w:sz="0" w:space="0" w:color="auto"/>
        <w:left w:val="none" w:sz="0" w:space="0" w:color="auto"/>
        <w:bottom w:val="none" w:sz="0" w:space="0" w:color="auto"/>
        <w:right w:val="none" w:sz="0" w:space="0" w:color="auto"/>
      </w:divBdr>
    </w:div>
    <w:div w:id="606234697">
      <w:bodyDiv w:val="1"/>
      <w:marLeft w:val="0"/>
      <w:marRight w:val="0"/>
      <w:marTop w:val="0"/>
      <w:marBottom w:val="0"/>
      <w:divBdr>
        <w:top w:val="none" w:sz="0" w:space="0" w:color="auto"/>
        <w:left w:val="none" w:sz="0" w:space="0" w:color="auto"/>
        <w:bottom w:val="none" w:sz="0" w:space="0" w:color="auto"/>
        <w:right w:val="none" w:sz="0" w:space="0" w:color="auto"/>
      </w:divBdr>
    </w:div>
    <w:div w:id="606624147">
      <w:bodyDiv w:val="1"/>
      <w:marLeft w:val="0"/>
      <w:marRight w:val="0"/>
      <w:marTop w:val="0"/>
      <w:marBottom w:val="0"/>
      <w:divBdr>
        <w:top w:val="none" w:sz="0" w:space="0" w:color="auto"/>
        <w:left w:val="none" w:sz="0" w:space="0" w:color="auto"/>
        <w:bottom w:val="none" w:sz="0" w:space="0" w:color="auto"/>
        <w:right w:val="none" w:sz="0" w:space="0" w:color="auto"/>
      </w:divBdr>
    </w:div>
    <w:div w:id="606933733">
      <w:bodyDiv w:val="1"/>
      <w:marLeft w:val="0"/>
      <w:marRight w:val="0"/>
      <w:marTop w:val="0"/>
      <w:marBottom w:val="0"/>
      <w:divBdr>
        <w:top w:val="none" w:sz="0" w:space="0" w:color="auto"/>
        <w:left w:val="none" w:sz="0" w:space="0" w:color="auto"/>
        <w:bottom w:val="none" w:sz="0" w:space="0" w:color="auto"/>
        <w:right w:val="none" w:sz="0" w:space="0" w:color="auto"/>
      </w:divBdr>
    </w:div>
    <w:div w:id="607202707">
      <w:bodyDiv w:val="1"/>
      <w:marLeft w:val="0"/>
      <w:marRight w:val="0"/>
      <w:marTop w:val="0"/>
      <w:marBottom w:val="0"/>
      <w:divBdr>
        <w:top w:val="none" w:sz="0" w:space="0" w:color="auto"/>
        <w:left w:val="none" w:sz="0" w:space="0" w:color="auto"/>
        <w:bottom w:val="none" w:sz="0" w:space="0" w:color="auto"/>
        <w:right w:val="none" w:sz="0" w:space="0" w:color="auto"/>
      </w:divBdr>
    </w:div>
    <w:div w:id="607585029">
      <w:bodyDiv w:val="1"/>
      <w:marLeft w:val="0"/>
      <w:marRight w:val="0"/>
      <w:marTop w:val="0"/>
      <w:marBottom w:val="0"/>
      <w:divBdr>
        <w:top w:val="none" w:sz="0" w:space="0" w:color="auto"/>
        <w:left w:val="none" w:sz="0" w:space="0" w:color="auto"/>
        <w:bottom w:val="none" w:sz="0" w:space="0" w:color="auto"/>
        <w:right w:val="none" w:sz="0" w:space="0" w:color="auto"/>
      </w:divBdr>
    </w:div>
    <w:div w:id="608045506">
      <w:bodyDiv w:val="1"/>
      <w:marLeft w:val="0"/>
      <w:marRight w:val="0"/>
      <w:marTop w:val="0"/>
      <w:marBottom w:val="0"/>
      <w:divBdr>
        <w:top w:val="none" w:sz="0" w:space="0" w:color="auto"/>
        <w:left w:val="none" w:sz="0" w:space="0" w:color="auto"/>
        <w:bottom w:val="none" w:sz="0" w:space="0" w:color="auto"/>
        <w:right w:val="none" w:sz="0" w:space="0" w:color="auto"/>
      </w:divBdr>
    </w:div>
    <w:div w:id="608321560">
      <w:bodyDiv w:val="1"/>
      <w:marLeft w:val="0"/>
      <w:marRight w:val="0"/>
      <w:marTop w:val="0"/>
      <w:marBottom w:val="0"/>
      <w:divBdr>
        <w:top w:val="none" w:sz="0" w:space="0" w:color="auto"/>
        <w:left w:val="none" w:sz="0" w:space="0" w:color="auto"/>
        <w:bottom w:val="none" w:sz="0" w:space="0" w:color="auto"/>
        <w:right w:val="none" w:sz="0" w:space="0" w:color="auto"/>
      </w:divBdr>
    </w:div>
    <w:div w:id="609750570">
      <w:bodyDiv w:val="1"/>
      <w:marLeft w:val="0"/>
      <w:marRight w:val="0"/>
      <w:marTop w:val="0"/>
      <w:marBottom w:val="0"/>
      <w:divBdr>
        <w:top w:val="none" w:sz="0" w:space="0" w:color="auto"/>
        <w:left w:val="none" w:sz="0" w:space="0" w:color="auto"/>
        <w:bottom w:val="none" w:sz="0" w:space="0" w:color="auto"/>
        <w:right w:val="none" w:sz="0" w:space="0" w:color="auto"/>
      </w:divBdr>
    </w:div>
    <w:div w:id="609899346">
      <w:bodyDiv w:val="1"/>
      <w:marLeft w:val="0"/>
      <w:marRight w:val="0"/>
      <w:marTop w:val="0"/>
      <w:marBottom w:val="0"/>
      <w:divBdr>
        <w:top w:val="none" w:sz="0" w:space="0" w:color="auto"/>
        <w:left w:val="none" w:sz="0" w:space="0" w:color="auto"/>
        <w:bottom w:val="none" w:sz="0" w:space="0" w:color="auto"/>
        <w:right w:val="none" w:sz="0" w:space="0" w:color="auto"/>
      </w:divBdr>
    </w:div>
    <w:div w:id="610356664">
      <w:bodyDiv w:val="1"/>
      <w:marLeft w:val="0"/>
      <w:marRight w:val="0"/>
      <w:marTop w:val="0"/>
      <w:marBottom w:val="0"/>
      <w:divBdr>
        <w:top w:val="none" w:sz="0" w:space="0" w:color="auto"/>
        <w:left w:val="none" w:sz="0" w:space="0" w:color="auto"/>
        <w:bottom w:val="none" w:sz="0" w:space="0" w:color="auto"/>
        <w:right w:val="none" w:sz="0" w:space="0" w:color="auto"/>
      </w:divBdr>
    </w:div>
    <w:div w:id="610475772">
      <w:bodyDiv w:val="1"/>
      <w:marLeft w:val="0"/>
      <w:marRight w:val="0"/>
      <w:marTop w:val="0"/>
      <w:marBottom w:val="0"/>
      <w:divBdr>
        <w:top w:val="none" w:sz="0" w:space="0" w:color="auto"/>
        <w:left w:val="none" w:sz="0" w:space="0" w:color="auto"/>
        <w:bottom w:val="none" w:sz="0" w:space="0" w:color="auto"/>
        <w:right w:val="none" w:sz="0" w:space="0" w:color="auto"/>
      </w:divBdr>
    </w:div>
    <w:div w:id="610741185">
      <w:bodyDiv w:val="1"/>
      <w:marLeft w:val="0"/>
      <w:marRight w:val="0"/>
      <w:marTop w:val="0"/>
      <w:marBottom w:val="0"/>
      <w:divBdr>
        <w:top w:val="none" w:sz="0" w:space="0" w:color="auto"/>
        <w:left w:val="none" w:sz="0" w:space="0" w:color="auto"/>
        <w:bottom w:val="none" w:sz="0" w:space="0" w:color="auto"/>
        <w:right w:val="none" w:sz="0" w:space="0" w:color="auto"/>
      </w:divBdr>
    </w:div>
    <w:div w:id="611279300">
      <w:bodyDiv w:val="1"/>
      <w:marLeft w:val="0"/>
      <w:marRight w:val="0"/>
      <w:marTop w:val="0"/>
      <w:marBottom w:val="0"/>
      <w:divBdr>
        <w:top w:val="none" w:sz="0" w:space="0" w:color="auto"/>
        <w:left w:val="none" w:sz="0" w:space="0" w:color="auto"/>
        <w:bottom w:val="none" w:sz="0" w:space="0" w:color="auto"/>
        <w:right w:val="none" w:sz="0" w:space="0" w:color="auto"/>
      </w:divBdr>
    </w:div>
    <w:div w:id="611744449">
      <w:bodyDiv w:val="1"/>
      <w:marLeft w:val="0"/>
      <w:marRight w:val="0"/>
      <w:marTop w:val="0"/>
      <w:marBottom w:val="0"/>
      <w:divBdr>
        <w:top w:val="none" w:sz="0" w:space="0" w:color="auto"/>
        <w:left w:val="none" w:sz="0" w:space="0" w:color="auto"/>
        <w:bottom w:val="none" w:sz="0" w:space="0" w:color="auto"/>
        <w:right w:val="none" w:sz="0" w:space="0" w:color="auto"/>
      </w:divBdr>
    </w:div>
    <w:div w:id="612635053">
      <w:bodyDiv w:val="1"/>
      <w:marLeft w:val="0"/>
      <w:marRight w:val="0"/>
      <w:marTop w:val="0"/>
      <w:marBottom w:val="0"/>
      <w:divBdr>
        <w:top w:val="none" w:sz="0" w:space="0" w:color="auto"/>
        <w:left w:val="none" w:sz="0" w:space="0" w:color="auto"/>
        <w:bottom w:val="none" w:sz="0" w:space="0" w:color="auto"/>
        <w:right w:val="none" w:sz="0" w:space="0" w:color="auto"/>
      </w:divBdr>
    </w:div>
    <w:div w:id="613247104">
      <w:bodyDiv w:val="1"/>
      <w:marLeft w:val="0"/>
      <w:marRight w:val="0"/>
      <w:marTop w:val="0"/>
      <w:marBottom w:val="0"/>
      <w:divBdr>
        <w:top w:val="none" w:sz="0" w:space="0" w:color="auto"/>
        <w:left w:val="none" w:sz="0" w:space="0" w:color="auto"/>
        <w:bottom w:val="none" w:sz="0" w:space="0" w:color="auto"/>
        <w:right w:val="none" w:sz="0" w:space="0" w:color="auto"/>
      </w:divBdr>
    </w:div>
    <w:div w:id="613950473">
      <w:bodyDiv w:val="1"/>
      <w:marLeft w:val="0"/>
      <w:marRight w:val="0"/>
      <w:marTop w:val="0"/>
      <w:marBottom w:val="0"/>
      <w:divBdr>
        <w:top w:val="none" w:sz="0" w:space="0" w:color="auto"/>
        <w:left w:val="none" w:sz="0" w:space="0" w:color="auto"/>
        <w:bottom w:val="none" w:sz="0" w:space="0" w:color="auto"/>
        <w:right w:val="none" w:sz="0" w:space="0" w:color="auto"/>
      </w:divBdr>
    </w:div>
    <w:div w:id="614018777">
      <w:bodyDiv w:val="1"/>
      <w:marLeft w:val="0"/>
      <w:marRight w:val="0"/>
      <w:marTop w:val="0"/>
      <w:marBottom w:val="0"/>
      <w:divBdr>
        <w:top w:val="none" w:sz="0" w:space="0" w:color="auto"/>
        <w:left w:val="none" w:sz="0" w:space="0" w:color="auto"/>
        <w:bottom w:val="none" w:sz="0" w:space="0" w:color="auto"/>
        <w:right w:val="none" w:sz="0" w:space="0" w:color="auto"/>
      </w:divBdr>
    </w:div>
    <w:div w:id="614019453">
      <w:bodyDiv w:val="1"/>
      <w:marLeft w:val="0"/>
      <w:marRight w:val="0"/>
      <w:marTop w:val="0"/>
      <w:marBottom w:val="0"/>
      <w:divBdr>
        <w:top w:val="none" w:sz="0" w:space="0" w:color="auto"/>
        <w:left w:val="none" w:sz="0" w:space="0" w:color="auto"/>
        <w:bottom w:val="none" w:sz="0" w:space="0" w:color="auto"/>
        <w:right w:val="none" w:sz="0" w:space="0" w:color="auto"/>
      </w:divBdr>
    </w:div>
    <w:div w:id="614795039">
      <w:bodyDiv w:val="1"/>
      <w:marLeft w:val="0"/>
      <w:marRight w:val="0"/>
      <w:marTop w:val="0"/>
      <w:marBottom w:val="0"/>
      <w:divBdr>
        <w:top w:val="none" w:sz="0" w:space="0" w:color="auto"/>
        <w:left w:val="none" w:sz="0" w:space="0" w:color="auto"/>
        <w:bottom w:val="none" w:sz="0" w:space="0" w:color="auto"/>
        <w:right w:val="none" w:sz="0" w:space="0" w:color="auto"/>
      </w:divBdr>
    </w:div>
    <w:div w:id="614871870">
      <w:bodyDiv w:val="1"/>
      <w:marLeft w:val="0"/>
      <w:marRight w:val="0"/>
      <w:marTop w:val="0"/>
      <w:marBottom w:val="0"/>
      <w:divBdr>
        <w:top w:val="none" w:sz="0" w:space="0" w:color="auto"/>
        <w:left w:val="none" w:sz="0" w:space="0" w:color="auto"/>
        <w:bottom w:val="none" w:sz="0" w:space="0" w:color="auto"/>
        <w:right w:val="none" w:sz="0" w:space="0" w:color="auto"/>
      </w:divBdr>
    </w:div>
    <w:div w:id="615016765">
      <w:bodyDiv w:val="1"/>
      <w:marLeft w:val="0"/>
      <w:marRight w:val="0"/>
      <w:marTop w:val="0"/>
      <w:marBottom w:val="0"/>
      <w:divBdr>
        <w:top w:val="none" w:sz="0" w:space="0" w:color="auto"/>
        <w:left w:val="none" w:sz="0" w:space="0" w:color="auto"/>
        <w:bottom w:val="none" w:sz="0" w:space="0" w:color="auto"/>
        <w:right w:val="none" w:sz="0" w:space="0" w:color="auto"/>
      </w:divBdr>
    </w:div>
    <w:div w:id="615060829">
      <w:bodyDiv w:val="1"/>
      <w:marLeft w:val="0"/>
      <w:marRight w:val="0"/>
      <w:marTop w:val="0"/>
      <w:marBottom w:val="0"/>
      <w:divBdr>
        <w:top w:val="none" w:sz="0" w:space="0" w:color="auto"/>
        <w:left w:val="none" w:sz="0" w:space="0" w:color="auto"/>
        <w:bottom w:val="none" w:sz="0" w:space="0" w:color="auto"/>
        <w:right w:val="none" w:sz="0" w:space="0" w:color="auto"/>
      </w:divBdr>
    </w:div>
    <w:div w:id="616524409">
      <w:bodyDiv w:val="1"/>
      <w:marLeft w:val="0"/>
      <w:marRight w:val="0"/>
      <w:marTop w:val="0"/>
      <w:marBottom w:val="0"/>
      <w:divBdr>
        <w:top w:val="none" w:sz="0" w:space="0" w:color="auto"/>
        <w:left w:val="none" w:sz="0" w:space="0" w:color="auto"/>
        <w:bottom w:val="none" w:sz="0" w:space="0" w:color="auto"/>
        <w:right w:val="none" w:sz="0" w:space="0" w:color="auto"/>
      </w:divBdr>
    </w:div>
    <w:div w:id="616916281">
      <w:bodyDiv w:val="1"/>
      <w:marLeft w:val="0"/>
      <w:marRight w:val="0"/>
      <w:marTop w:val="0"/>
      <w:marBottom w:val="0"/>
      <w:divBdr>
        <w:top w:val="none" w:sz="0" w:space="0" w:color="auto"/>
        <w:left w:val="none" w:sz="0" w:space="0" w:color="auto"/>
        <w:bottom w:val="none" w:sz="0" w:space="0" w:color="auto"/>
        <w:right w:val="none" w:sz="0" w:space="0" w:color="auto"/>
      </w:divBdr>
    </w:div>
    <w:div w:id="617492430">
      <w:bodyDiv w:val="1"/>
      <w:marLeft w:val="0"/>
      <w:marRight w:val="0"/>
      <w:marTop w:val="0"/>
      <w:marBottom w:val="0"/>
      <w:divBdr>
        <w:top w:val="none" w:sz="0" w:space="0" w:color="auto"/>
        <w:left w:val="none" w:sz="0" w:space="0" w:color="auto"/>
        <w:bottom w:val="none" w:sz="0" w:space="0" w:color="auto"/>
        <w:right w:val="none" w:sz="0" w:space="0" w:color="auto"/>
      </w:divBdr>
    </w:div>
    <w:div w:id="617639621">
      <w:bodyDiv w:val="1"/>
      <w:marLeft w:val="0"/>
      <w:marRight w:val="0"/>
      <w:marTop w:val="0"/>
      <w:marBottom w:val="0"/>
      <w:divBdr>
        <w:top w:val="none" w:sz="0" w:space="0" w:color="auto"/>
        <w:left w:val="none" w:sz="0" w:space="0" w:color="auto"/>
        <w:bottom w:val="none" w:sz="0" w:space="0" w:color="auto"/>
        <w:right w:val="none" w:sz="0" w:space="0" w:color="auto"/>
      </w:divBdr>
    </w:div>
    <w:div w:id="618225543">
      <w:bodyDiv w:val="1"/>
      <w:marLeft w:val="0"/>
      <w:marRight w:val="0"/>
      <w:marTop w:val="0"/>
      <w:marBottom w:val="0"/>
      <w:divBdr>
        <w:top w:val="none" w:sz="0" w:space="0" w:color="auto"/>
        <w:left w:val="none" w:sz="0" w:space="0" w:color="auto"/>
        <w:bottom w:val="none" w:sz="0" w:space="0" w:color="auto"/>
        <w:right w:val="none" w:sz="0" w:space="0" w:color="auto"/>
      </w:divBdr>
    </w:div>
    <w:div w:id="618533034">
      <w:bodyDiv w:val="1"/>
      <w:marLeft w:val="0"/>
      <w:marRight w:val="0"/>
      <w:marTop w:val="0"/>
      <w:marBottom w:val="0"/>
      <w:divBdr>
        <w:top w:val="none" w:sz="0" w:space="0" w:color="auto"/>
        <w:left w:val="none" w:sz="0" w:space="0" w:color="auto"/>
        <w:bottom w:val="none" w:sz="0" w:space="0" w:color="auto"/>
        <w:right w:val="none" w:sz="0" w:space="0" w:color="auto"/>
      </w:divBdr>
    </w:div>
    <w:div w:id="618536366">
      <w:bodyDiv w:val="1"/>
      <w:marLeft w:val="0"/>
      <w:marRight w:val="0"/>
      <w:marTop w:val="0"/>
      <w:marBottom w:val="0"/>
      <w:divBdr>
        <w:top w:val="none" w:sz="0" w:space="0" w:color="auto"/>
        <w:left w:val="none" w:sz="0" w:space="0" w:color="auto"/>
        <w:bottom w:val="none" w:sz="0" w:space="0" w:color="auto"/>
        <w:right w:val="none" w:sz="0" w:space="0" w:color="auto"/>
      </w:divBdr>
    </w:div>
    <w:div w:id="618608328">
      <w:bodyDiv w:val="1"/>
      <w:marLeft w:val="0"/>
      <w:marRight w:val="0"/>
      <w:marTop w:val="0"/>
      <w:marBottom w:val="0"/>
      <w:divBdr>
        <w:top w:val="none" w:sz="0" w:space="0" w:color="auto"/>
        <w:left w:val="none" w:sz="0" w:space="0" w:color="auto"/>
        <w:bottom w:val="none" w:sz="0" w:space="0" w:color="auto"/>
        <w:right w:val="none" w:sz="0" w:space="0" w:color="auto"/>
      </w:divBdr>
    </w:div>
    <w:div w:id="618608521">
      <w:bodyDiv w:val="1"/>
      <w:marLeft w:val="0"/>
      <w:marRight w:val="0"/>
      <w:marTop w:val="0"/>
      <w:marBottom w:val="0"/>
      <w:divBdr>
        <w:top w:val="none" w:sz="0" w:space="0" w:color="auto"/>
        <w:left w:val="none" w:sz="0" w:space="0" w:color="auto"/>
        <w:bottom w:val="none" w:sz="0" w:space="0" w:color="auto"/>
        <w:right w:val="none" w:sz="0" w:space="0" w:color="auto"/>
      </w:divBdr>
    </w:div>
    <w:div w:id="619381266">
      <w:bodyDiv w:val="1"/>
      <w:marLeft w:val="0"/>
      <w:marRight w:val="0"/>
      <w:marTop w:val="0"/>
      <w:marBottom w:val="0"/>
      <w:divBdr>
        <w:top w:val="none" w:sz="0" w:space="0" w:color="auto"/>
        <w:left w:val="none" w:sz="0" w:space="0" w:color="auto"/>
        <w:bottom w:val="none" w:sz="0" w:space="0" w:color="auto"/>
        <w:right w:val="none" w:sz="0" w:space="0" w:color="auto"/>
      </w:divBdr>
    </w:div>
    <w:div w:id="621772004">
      <w:bodyDiv w:val="1"/>
      <w:marLeft w:val="0"/>
      <w:marRight w:val="0"/>
      <w:marTop w:val="0"/>
      <w:marBottom w:val="0"/>
      <w:divBdr>
        <w:top w:val="none" w:sz="0" w:space="0" w:color="auto"/>
        <w:left w:val="none" w:sz="0" w:space="0" w:color="auto"/>
        <w:bottom w:val="none" w:sz="0" w:space="0" w:color="auto"/>
        <w:right w:val="none" w:sz="0" w:space="0" w:color="auto"/>
      </w:divBdr>
    </w:div>
    <w:div w:id="622229723">
      <w:bodyDiv w:val="1"/>
      <w:marLeft w:val="0"/>
      <w:marRight w:val="0"/>
      <w:marTop w:val="0"/>
      <w:marBottom w:val="0"/>
      <w:divBdr>
        <w:top w:val="none" w:sz="0" w:space="0" w:color="auto"/>
        <w:left w:val="none" w:sz="0" w:space="0" w:color="auto"/>
        <w:bottom w:val="none" w:sz="0" w:space="0" w:color="auto"/>
        <w:right w:val="none" w:sz="0" w:space="0" w:color="auto"/>
      </w:divBdr>
    </w:div>
    <w:div w:id="622272225">
      <w:bodyDiv w:val="1"/>
      <w:marLeft w:val="0"/>
      <w:marRight w:val="0"/>
      <w:marTop w:val="0"/>
      <w:marBottom w:val="0"/>
      <w:divBdr>
        <w:top w:val="none" w:sz="0" w:space="0" w:color="auto"/>
        <w:left w:val="none" w:sz="0" w:space="0" w:color="auto"/>
        <w:bottom w:val="none" w:sz="0" w:space="0" w:color="auto"/>
        <w:right w:val="none" w:sz="0" w:space="0" w:color="auto"/>
      </w:divBdr>
    </w:div>
    <w:div w:id="623198879">
      <w:bodyDiv w:val="1"/>
      <w:marLeft w:val="0"/>
      <w:marRight w:val="0"/>
      <w:marTop w:val="0"/>
      <w:marBottom w:val="0"/>
      <w:divBdr>
        <w:top w:val="none" w:sz="0" w:space="0" w:color="auto"/>
        <w:left w:val="none" w:sz="0" w:space="0" w:color="auto"/>
        <w:bottom w:val="none" w:sz="0" w:space="0" w:color="auto"/>
        <w:right w:val="none" w:sz="0" w:space="0" w:color="auto"/>
      </w:divBdr>
    </w:div>
    <w:div w:id="623343255">
      <w:bodyDiv w:val="1"/>
      <w:marLeft w:val="0"/>
      <w:marRight w:val="0"/>
      <w:marTop w:val="0"/>
      <w:marBottom w:val="0"/>
      <w:divBdr>
        <w:top w:val="none" w:sz="0" w:space="0" w:color="auto"/>
        <w:left w:val="none" w:sz="0" w:space="0" w:color="auto"/>
        <w:bottom w:val="none" w:sz="0" w:space="0" w:color="auto"/>
        <w:right w:val="none" w:sz="0" w:space="0" w:color="auto"/>
      </w:divBdr>
    </w:div>
    <w:div w:id="623733600">
      <w:bodyDiv w:val="1"/>
      <w:marLeft w:val="0"/>
      <w:marRight w:val="0"/>
      <w:marTop w:val="0"/>
      <w:marBottom w:val="0"/>
      <w:divBdr>
        <w:top w:val="none" w:sz="0" w:space="0" w:color="auto"/>
        <w:left w:val="none" w:sz="0" w:space="0" w:color="auto"/>
        <w:bottom w:val="none" w:sz="0" w:space="0" w:color="auto"/>
        <w:right w:val="none" w:sz="0" w:space="0" w:color="auto"/>
      </w:divBdr>
    </w:div>
    <w:div w:id="623926257">
      <w:bodyDiv w:val="1"/>
      <w:marLeft w:val="0"/>
      <w:marRight w:val="0"/>
      <w:marTop w:val="0"/>
      <w:marBottom w:val="0"/>
      <w:divBdr>
        <w:top w:val="none" w:sz="0" w:space="0" w:color="auto"/>
        <w:left w:val="none" w:sz="0" w:space="0" w:color="auto"/>
        <w:bottom w:val="none" w:sz="0" w:space="0" w:color="auto"/>
        <w:right w:val="none" w:sz="0" w:space="0" w:color="auto"/>
      </w:divBdr>
    </w:div>
    <w:div w:id="624694616">
      <w:bodyDiv w:val="1"/>
      <w:marLeft w:val="0"/>
      <w:marRight w:val="0"/>
      <w:marTop w:val="0"/>
      <w:marBottom w:val="0"/>
      <w:divBdr>
        <w:top w:val="none" w:sz="0" w:space="0" w:color="auto"/>
        <w:left w:val="none" w:sz="0" w:space="0" w:color="auto"/>
        <w:bottom w:val="none" w:sz="0" w:space="0" w:color="auto"/>
        <w:right w:val="none" w:sz="0" w:space="0" w:color="auto"/>
      </w:divBdr>
    </w:div>
    <w:div w:id="624895981">
      <w:bodyDiv w:val="1"/>
      <w:marLeft w:val="0"/>
      <w:marRight w:val="0"/>
      <w:marTop w:val="0"/>
      <w:marBottom w:val="0"/>
      <w:divBdr>
        <w:top w:val="none" w:sz="0" w:space="0" w:color="auto"/>
        <w:left w:val="none" w:sz="0" w:space="0" w:color="auto"/>
        <w:bottom w:val="none" w:sz="0" w:space="0" w:color="auto"/>
        <w:right w:val="none" w:sz="0" w:space="0" w:color="auto"/>
      </w:divBdr>
    </w:div>
    <w:div w:id="624966135">
      <w:bodyDiv w:val="1"/>
      <w:marLeft w:val="0"/>
      <w:marRight w:val="0"/>
      <w:marTop w:val="0"/>
      <w:marBottom w:val="0"/>
      <w:divBdr>
        <w:top w:val="none" w:sz="0" w:space="0" w:color="auto"/>
        <w:left w:val="none" w:sz="0" w:space="0" w:color="auto"/>
        <w:bottom w:val="none" w:sz="0" w:space="0" w:color="auto"/>
        <w:right w:val="none" w:sz="0" w:space="0" w:color="auto"/>
      </w:divBdr>
    </w:div>
    <w:div w:id="625742298">
      <w:bodyDiv w:val="1"/>
      <w:marLeft w:val="0"/>
      <w:marRight w:val="0"/>
      <w:marTop w:val="0"/>
      <w:marBottom w:val="0"/>
      <w:divBdr>
        <w:top w:val="none" w:sz="0" w:space="0" w:color="auto"/>
        <w:left w:val="none" w:sz="0" w:space="0" w:color="auto"/>
        <w:bottom w:val="none" w:sz="0" w:space="0" w:color="auto"/>
        <w:right w:val="none" w:sz="0" w:space="0" w:color="auto"/>
      </w:divBdr>
    </w:div>
    <w:div w:id="625890542">
      <w:bodyDiv w:val="1"/>
      <w:marLeft w:val="0"/>
      <w:marRight w:val="0"/>
      <w:marTop w:val="0"/>
      <w:marBottom w:val="0"/>
      <w:divBdr>
        <w:top w:val="none" w:sz="0" w:space="0" w:color="auto"/>
        <w:left w:val="none" w:sz="0" w:space="0" w:color="auto"/>
        <w:bottom w:val="none" w:sz="0" w:space="0" w:color="auto"/>
        <w:right w:val="none" w:sz="0" w:space="0" w:color="auto"/>
      </w:divBdr>
    </w:div>
    <w:div w:id="625894303">
      <w:bodyDiv w:val="1"/>
      <w:marLeft w:val="0"/>
      <w:marRight w:val="0"/>
      <w:marTop w:val="0"/>
      <w:marBottom w:val="0"/>
      <w:divBdr>
        <w:top w:val="none" w:sz="0" w:space="0" w:color="auto"/>
        <w:left w:val="none" w:sz="0" w:space="0" w:color="auto"/>
        <w:bottom w:val="none" w:sz="0" w:space="0" w:color="auto"/>
        <w:right w:val="none" w:sz="0" w:space="0" w:color="auto"/>
      </w:divBdr>
    </w:div>
    <w:div w:id="626661524">
      <w:bodyDiv w:val="1"/>
      <w:marLeft w:val="0"/>
      <w:marRight w:val="0"/>
      <w:marTop w:val="0"/>
      <w:marBottom w:val="0"/>
      <w:divBdr>
        <w:top w:val="none" w:sz="0" w:space="0" w:color="auto"/>
        <w:left w:val="none" w:sz="0" w:space="0" w:color="auto"/>
        <w:bottom w:val="none" w:sz="0" w:space="0" w:color="auto"/>
        <w:right w:val="none" w:sz="0" w:space="0" w:color="auto"/>
      </w:divBdr>
    </w:div>
    <w:div w:id="628052451">
      <w:bodyDiv w:val="1"/>
      <w:marLeft w:val="0"/>
      <w:marRight w:val="0"/>
      <w:marTop w:val="0"/>
      <w:marBottom w:val="0"/>
      <w:divBdr>
        <w:top w:val="none" w:sz="0" w:space="0" w:color="auto"/>
        <w:left w:val="none" w:sz="0" w:space="0" w:color="auto"/>
        <w:bottom w:val="none" w:sz="0" w:space="0" w:color="auto"/>
        <w:right w:val="none" w:sz="0" w:space="0" w:color="auto"/>
      </w:divBdr>
    </w:div>
    <w:div w:id="628164921">
      <w:bodyDiv w:val="1"/>
      <w:marLeft w:val="0"/>
      <w:marRight w:val="0"/>
      <w:marTop w:val="0"/>
      <w:marBottom w:val="0"/>
      <w:divBdr>
        <w:top w:val="none" w:sz="0" w:space="0" w:color="auto"/>
        <w:left w:val="none" w:sz="0" w:space="0" w:color="auto"/>
        <w:bottom w:val="none" w:sz="0" w:space="0" w:color="auto"/>
        <w:right w:val="none" w:sz="0" w:space="0" w:color="auto"/>
      </w:divBdr>
    </w:div>
    <w:div w:id="628247350">
      <w:bodyDiv w:val="1"/>
      <w:marLeft w:val="0"/>
      <w:marRight w:val="0"/>
      <w:marTop w:val="0"/>
      <w:marBottom w:val="0"/>
      <w:divBdr>
        <w:top w:val="none" w:sz="0" w:space="0" w:color="auto"/>
        <w:left w:val="none" w:sz="0" w:space="0" w:color="auto"/>
        <w:bottom w:val="none" w:sz="0" w:space="0" w:color="auto"/>
        <w:right w:val="none" w:sz="0" w:space="0" w:color="auto"/>
      </w:divBdr>
    </w:div>
    <w:div w:id="628558603">
      <w:bodyDiv w:val="1"/>
      <w:marLeft w:val="0"/>
      <w:marRight w:val="0"/>
      <w:marTop w:val="0"/>
      <w:marBottom w:val="0"/>
      <w:divBdr>
        <w:top w:val="none" w:sz="0" w:space="0" w:color="auto"/>
        <w:left w:val="none" w:sz="0" w:space="0" w:color="auto"/>
        <w:bottom w:val="none" w:sz="0" w:space="0" w:color="auto"/>
        <w:right w:val="none" w:sz="0" w:space="0" w:color="auto"/>
      </w:divBdr>
    </w:div>
    <w:div w:id="629017686">
      <w:bodyDiv w:val="1"/>
      <w:marLeft w:val="0"/>
      <w:marRight w:val="0"/>
      <w:marTop w:val="0"/>
      <w:marBottom w:val="0"/>
      <w:divBdr>
        <w:top w:val="none" w:sz="0" w:space="0" w:color="auto"/>
        <w:left w:val="none" w:sz="0" w:space="0" w:color="auto"/>
        <w:bottom w:val="none" w:sz="0" w:space="0" w:color="auto"/>
        <w:right w:val="none" w:sz="0" w:space="0" w:color="auto"/>
      </w:divBdr>
    </w:div>
    <w:div w:id="629363471">
      <w:bodyDiv w:val="1"/>
      <w:marLeft w:val="0"/>
      <w:marRight w:val="0"/>
      <w:marTop w:val="0"/>
      <w:marBottom w:val="0"/>
      <w:divBdr>
        <w:top w:val="none" w:sz="0" w:space="0" w:color="auto"/>
        <w:left w:val="none" w:sz="0" w:space="0" w:color="auto"/>
        <w:bottom w:val="none" w:sz="0" w:space="0" w:color="auto"/>
        <w:right w:val="none" w:sz="0" w:space="0" w:color="auto"/>
      </w:divBdr>
    </w:div>
    <w:div w:id="629627749">
      <w:bodyDiv w:val="1"/>
      <w:marLeft w:val="0"/>
      <w:marRight w:val="0"/>
      <w:marTop w:val="0"/>
      <w:marBottom w:val="0"/>
      <w:divBdr>
        <w:top w:val="none" w:sz="0" w:space="0" w:color="auto"/>
        <w:left w:val="none" w:sz="0" w:space="0" w:color="auto"/>
        <w:bottom w:val="none" w:sz="0" w:space="0" w:color="auto"/>
        <w:right w:val="none" w:sz="0" w:space="0" w:color="auto"/>
      </w:divBdr>
    </w:div>
    <w:div w:id="629752568">
      <w:bodyDiv w:val="1"/>
      <w:marLeft w:val="0"/>
      <w:marRight w:val="0"/>
      <w:marTop w:val="0"/>
      <w:marBottom w:val="0"/>
      <w:divBdr>
        <w:top w:val="none" w:sz="0" w:space="0" w:color="auto"/>
        <w:left w:val="none" w:sz="0" w:space="0" w:color="auto"/>
        <w:bottom w:val="none" w:sz="0" w:space="0" w:color="auto"/>
        <w:right w:val="none" w:sz="0" w:space="0" w:color="auto"/>
      </w:divBdr>
    </w:div>
    <w:div w:id="629822636">
      <w:bodyDiv w:val="1"/>
      <w:marLeft w:val="0"/>
      <w:marRight w:val="0"/>
      <w:marTop w:val="0"/>
      <w:marBottom w:val="0"/>
      <w:divBdr>
        <w:top w:val="none" w:sz="0" w:space="0" w:color="auto"/>
        <w:left w:val="none" w:sz="0" w:space="0" w:color="auto"/>
        <w:bottom w:val="none" w:sz="0" w:space="0" w:color="auto"/>
        <w:right w:val="none" w:sz="0" w:space="0" w:color="auto"/>
      </w:divBdr>
    </w:div>
    <w:div w:id="629943125">
      <w:bodyDiv w:val="1"/>
      <w:marLeft w:val="0"/>
      <w:marRight w:val="0"/>
      <w:marTop w:val="0"/>
      <w:marBottom w:val="0"/>
      <w:divBdr>
        <w:top w:val="none" w:sz="0" w:space="0" w:color="auto"/>
        <w:left w:val="none" w:sz="0" w:space="0" w:color="auto"/>
        <w:bottom w:val="none" w:sz="0" w:space="0" w:color="auto"/>
        <w:right w:val="none" w:sz="0" w:space="0" w:color="auto"/>
      </w:divBdr>
    </w:div>
    <w:div w:id="630526021">
      <w:bodyDiv w:val="1"/>
      <w:marLeft w:val="0"/>
      <w:marRight w:val="0"/>
      <w:marTop w:val="0"/>
      <w:marBottom w:val="0"/>
      <w:divBdr>
        <w:top w:val="none" w:sz="0" w:space="0" w:color="auto"/>
        <w:left w:val="none" w:sz="0" w:space="0" w:color="auto"/>
        <w:bottom w:val="none" w:sz="0" w:space="0" w:color="auto"/>
        <w:right w:val="none" w:sz="0" w:space="0" w:color="auto"/>
      </w:divBdr>
    </w:div>
    <w:div w:id="631714045">
      <w:bodyDiv w:val="1"/>
      <w:marLeft w:val="0"/>
      <w:marRight w:val="0"/>
      <w:marTop w:val="0"/>
      <w:marBottom w:val="0"/>
      <w:divBdr>
        <w:top w:val="none" w:sz="0" w:space="0" w:color="auto"/>
        <w:left w:val="none" w:sz="0" w:space="0" w:color="auto"/>
        <w:bottom w:val="none" w:sz="0" w:space="0" w:color="auto"/>
        <w:right w:val="none" w:sz="0" w:space="0" w:color="auto"/>
      </w:divBdr>
    </w:div>
    <w:div w:id="632370603">
      <w:bodyDiv w:val="1"/>
      <w:marLeft w:val="0"/>
      <w:marRight w:val="0"/>
      <w:marTop w:val="0"/>
      <w:marBottom w:val="0"/>
      <w:divBdr>
        <w:top w:val="none" w:sz="0" w:space="0" w:color="auto"/>
        <w:left w:val="none" w:sz="0" w:space="0" w:color="auto"/>
        <w:bottom w:val="none" w:sz="0" w:space="0" w:color="auto"/>
        <w:right w:val="none" w:sz="0" w:space="0" w:color="auto"/>
      </w:divBdr>
    </w:div>
    <w:div w:id="632714179">
      <w:bodyDiv w:val="1"/>
      <w:marLeft w:val="0"/>
      <w:marRight w:val="0"/>
      <w:marTop w:val="0"/>
      <w:marBottom w:val="0"/>
      <w:divBdr>
        <w:top w:val="none" w:sz="0" w:space="0" w:color="auto"/>
        <w:left w:val="none" w:sz="0" w:space="0" w:color="auto"/>
        <w:bottom w:val="none" w:sz="0" w:space="0" w:color="auto"/>
        <w:right w:val="none" w:sz="0" w:space="0" w:color="auto"/>
      </w:divBdr>
    </w:div>
    <w:div w:id="633028059">
      <w:bodyDiv w:val="1"/>
      <w:marLeft w:val="0"/>
      <w:marRight w:val="0"/>
      <w:marTop w:val="0"/>
      <w:marBottom w:val="0"/>
      <w:divBdr>
        <w:top w:val="none" w:sz="0" w:space="0" w:color="auto"/>
        <w:left w:val="none" w:sz="0" w:space="0" w:color="auto"/>
        <w:bottom w:val="none" w:sz="0" w:space="0" w:color="auto"/>
        <w:right w:val="none" w:sz="0" w:space="0" w:color="auto"/>
      </w:divBdr>
    </w:div>
    <w:div w:id="633172437">
      <w:bodyDiv w:val="1"/>
      <w:marLeft w:val="0"/>
      <w:marRight w:val="0"/>
      <w:marTop w:val="0"/>
      <w:marBottom w:val="0"/>
      <w:divBdr>
        <w:top w:val="none" w:sz="0" w:space="0" w:color="auto"/>
        <w:left w:val="none" w:sz="0" w:space="0" w:color="auto"/>
        <w:bottom w:val="none" w:sz="0" w:space="0" w:color="auto"/>
        <w:right w:val="none" w:sz="0" w:space="0" w:color="auto"/>
      </w:divBdr>
    </w:div>
    <w:div w:id="634332039">
      <w:bodyDiv w:val="1"/>
      <w:marLeft w:val="0"/>
      <w:marRight w:val="0"/>
      <w:marTop w:val="0"/>
      <w:marBottom w:val="0"/>
      <w:divBdr>
        <w:top w:val="none" w:sz="0" w:space="0" w:color="auto"/>
        <w:left w:val="none" w:sz="0" w:space="0" w:color="auto"/>
        <w:bottom w:val="none" w:sz="0" w:space="0" w:color="auto"/>
        <w:right w:val="none" w:sz="0" w:space="0" w:color="auto"/>
      </w:divBdr>
    </w:div>
    <w:div w:id="634486571">
      <w:bodyDiv w:val="1"/>
      <w:marLeft w:val="0"/>
      <w:marRight w:val="0"/>
      <w:marTop w:val="0"/>
      <w:marBottom w:val="0"/>
      <w:divBdr>
        <w:top w:val="none" w:sz="0" w:space="0" w:color="auto"/>
        <w:left w:val="none" w:sz="0" w:space="0" w:color="auto"/>
        <w:bottom w:val="none" w:sz="0" w:space="0" w:color="auto"/>
        <w:right w:val="none" w:sz="0" w:space="0" w:color="auto"/>
      </w:divBdr>
    </w:div>
    <w:div w:id="634606193">
      <w:bodyDiv w:val="1"/>
      <w:marLeft w:val="0"/>
      <w:marRight w:val="0"/>
      <w:marTop w:val="0"/>
      <w:marBottom w:val="0"/>
      <w:divBdr>
        <w:top w:val="none" w:sz="0" w:space="0" w:color="auto"/>
        <w:left w:val="none" w:sz="0" w:space="0" w:color="auto"/>
        <w:bottom w:val="none" w:sz="0" w:space="0" w:color="auto"/>
        <w:right w:val="none" w:sz="0" w:space="0" w:color="auto"/>
      </w:divBdr>
    </w:div>
    <w:div w:id="635527712">
      <w:bodyDiv w:val="1"/>
      <w:marLeft w:val="0"/>
      <w:marRight w:val="0"/>
      <w:marTop w:val="0"/>
      <w:marBottom w:val="0"/>
      <w:divBdr>
        <w:top w:val="none" w:sz="0" w:space="0" w:color="auto"/>
        <w:left w:val="none" w:sz="0" w:space="0" w:color="auto"/>
        <w:bottom w:val="none" w:sz="0" w:space="0" w:color="auto"/>
        <w:right w:val="none" w:sz="0" w:space="0" w:color="auto"/>
      </w:divBdr>
    </w:div>
    <w:div w:id="636033493">
      <w:bodyDiv w:val="1"/>
      <w:marLeft w:val="0"/>
      <w:marRight w:val="0"/>
      <w:marTop w:val="0"/>
      <w:marBottom w:val="0"/>
      <w:divBdr>
        <w:top w:val="none" w:sz="0" w:space="0" w:color="auto"/>
        <w:left w:val="none" w:sz="0" w:space="0" w:color="auto"/>
        <w:bottom w:val="none" w:sz="0" w:space="0" w:color="auto"/>
        <w:right w:val="none" w:sz="0" w:space="0" w:color="auto"/>
      </w:divBdr>
    </w:div>
    <w:div w:id="636225885">
      <w:bodyDiv w:val="1"/>
      <w:marLeft w:val="0"/>
      <w:marRight w:val="0"/>
      <w:marTop w:val="0"/>
      <w:marBottom w:val="0"/>
      <w:divBdr>
        <w:top w:val="none" w:sz="0" w:space="0" w:color="auto"/>
        <w:left w:val="none" w:sz="0" w:space="0" w:color="auto"/>
        <w:bottom w:val="none" w:sz="0" w:space="0" w:color="auto"/>
        <w:right w:val="none" w:sz="0" w:space="0" w:color="auto"/>
      </w:divBdr>
    </w:div>
    <w:div w:id="636450022">
      <w:bodyDiv w:val="1"/>
      <w:marLeft w:val="0"/>
      <w:marRight w:val="0"/>
      <w:marTop w:val="0"/>
      <w:marBottom w:val="0"/>
      <w:divBdr>
        <w:top w:val="none" w:sz="0" w:space="0" w:color="auto"/>
        <w:left w:val="none" w:sz="0" w:space="0" w:color="auto"/>
        <w:bottom w:val="none" w:sz="0" w:space="0" w:color="auto"/>
        <w:right w:val="none" w:sz="0" w:space="0" w:color="auto"/>
      </w:divBdr>
    </w:div>
    <w:div w:id="636685459">
      <w:bodyDiv w:val="1"/>
      <w:marLeft w:val="0"/>
      <w:marRight w:val="0"/>
      <w:marTop w:val="0"/>
      <w:marBottom w:val="0"/>
      <w:divBdr>
        <w:top w:val="none" w:sz="0" w:space="0" w:color="auto"/>
        <w:left w:val="none" w:sz="0" w:space="0" w:color="auto"/>
        <w:bottom w:val="none" w:sz="0" w:space="0" w:color="auto"/>
        <w:right w:val="none" w:sz="0" w:space="0" w:color="auto"/>
      </w:divBdr>
    </w:div>
    <w:div w:id="637026740">
      <w:bodyDiv w:val="1"/>
      <w:marLeft w:val="0"/>
      <w:marRight w:val="0"/>
      <w:marTop w:val="0"/>
      <w:marBottom w:val="0"/>
      <w:divBdr>
        <w:top w:val="none" w:sz="0" w:space="0" w:color="auto"/>
        <w:left w:val="none" w:sz="0" w:space="0" w:color="auto"/>
        <w:bottom w:val="none" w:sz="0" w:space="0" w:color="auto"/>
        <w:right w:val="none" w:sz="0" w:space="0" w:color="auto"/>
      </w:divBdr>
    </w:div>
    <w:div w:id="637028002">
      <w:bodyDiv w:val="1"/>
      <w:marLeft w:val="0"/>
      <w:marRight w:val="0"/>
      <w:marTop w:val="0"/>
      <w:marBottom w:val="0"/>
      <w:divBdr>
        <w:top w:val="none" w:sz="0" w:space="0" w:color="auto"/>
        <w:left w:val="none" w:sz="0" w:space="0" w:color="auto"/>
        <w:bottom w:val="none" w:sz="0" w:space="0" w:color="auto"/>
        <w:right w:val="none" w:sz="0" w:space="0" w:color="auto"/>
      </w:divBdr>
    </w:div>
    <w:div w:id="637802993">
      <w:bodyDiv w:val="1"/>
      <w:marLeft w:val="0"/>
      <w:marRight w:val="0"/>
      <w:marTop w:val="0"/>
      <w:marBottom w:val="0"/>
      <w:divBdr>
        <w:top w:val="none" w:sz="0" w:space="0" w:color="auto"/>
        <w:left w:val="none" w:sz="0" w:space="0" w:color="auto"/>
        <w:bottom w:val="none" w:sz="0" w:space="0" w:color="auto"/>
        <w:right w:val="none" w:sz="0" w:space="0" w:color="auto"/>
      </w:divBdr>
    </w:div>
    <w:div w:id="638337312">
      <w:bodyDiv w:val="1"/>
      <w:marLeft w:val="0"/>
      <w:marRight w:val="0"/>
      <w:marTop w:val="0"/>
      <w:marBottom w:val="0"/>
      <w:divBdr>
        <w:top w:val="none" w:sz="0" w:space="0" w:color="auto"/>
        <w:left w:val="none" w:sz="0" w:space="0" w:color="auto"/>
        <w:bottom w:val="none" w:sz="0" w:space="0" w:color="auto"/>
        <w:right w:val="none" w:sz="0" w:space="0" w:color="auto"/>
      </w:divBdr>
    </w:div>
    <w:div w:id="639456369">
      <w:bodyDiv w:val="1"/>
      <w:marLeft w:val="0"/>
      <w:marRight w:val="0"/>
      <w:marTop w:val="0"/>
      <w:marBottom w:val="0"/>
      <w:divBdr>
        <w:top w:val="none" w:sz="0" w:space="0" w:color="auto"/>
        <w:left w:val="none" w:sz="0" w:space="0" w:color="auto"/>
        <w:bottom w:val="none" w:sz="0" w:space="0" w:color="auto"/>
        <w:right w:val="none" w:sz="0" w:space="0" w:color="auto"/>
      </w:divBdr>
    </w:div>
    <w:div w:id="639503246">
      <w:bodyDiv w:val="1"/>
      <w:marLeft w:val="0"/>
      <w:marRight w:val="0"/>
      <w:marTop w:val="0"/>
      <w:marBottom w:val="0"/>
      <w:divBdr>
        <w:top w:val="none" w:sz="0" w:space="0" w:color="auto"/>
        <w:left w:val="none" w:sz="0" w:space="0" w:color="auto"/>
        <w:bottom w:val="none" w:sz="0" w:space="0" w:color="auto"/>
        <w:right w:val="none" w:sz="0" w:space="0" w:color="auto"/>
      </w:divBdr>
    </w:div>
    <w:div w:id="639697834">
      <w:bodyDiv w:val="1"/>
      <w:marLeft w:val="0"/>
      <w:marRight w:val="0"/>
      <w:marTop w:val="0"/>
      <w:marBottom w:val="0"/>
      <w:divBdr>
        <w:top w:val="none" w:sz="0" w:space="0" w:color="auto"/>
        <w:left w:val="none" w:sz="0" w:space="0" w:color="auto"/>
        <w:bottom w:val="none" w:sz="0" w:space="0" w:color="auto"/>
        <w:right w:val="none" w:sz="0" w:space="0" w:color="auto"/>
      </w:divBdr>
    </w:div>
    <w:div w:id="639918715">
      <w:bodyDiv w:val="1"/>
      <w:marLeft w:val="0"/>
      <w:marRight w:val="0"/>
      <w:marTop w:val="0"/>
      <w:marBottom w:val="0"/>
      <w:divBdr>
        <w:top w:val="none" w:sz="0" w:space="0" w:color="auto"/>
        <w:left w:val="none" w:sz="0" w:space="0" w:color="auto"/>
        <w:bottom w:val="none" w:sz="0" w:space="0" w:color="auto"/>
        <w:right w:val="none" w:sz="0" w:space="0" w:color="auto"/>
      </w:divBdr>
    </w:div>
    <w:div w:id="641274155">
      <w:bodyDiv w:val="1"/>
      <w:marLeft w:val="0"/>
      <w:marRight w:val="0"/>
      <w:marTop w:val="0"/>
      <w:marBottom w:val="0"/>
      <w:divBdr>
        <w:top w:val="none" w:sz="0" w:space="0" w:color="auto"/>
        <w:left w:val="none" w:sz="0" w:space="0" w:color="auto"/>
        <w:bottom w:val="none" w:sz="0" w:space="0" w:color="auto"/>
        <w:right w:val="none" w:sz="0" w:space="0" w:color="auto"/>
      </w:divBdr>
    </w:div>
    <w:div w:id="641277089">
      <w:bodyDiv w:val="1"/>
      <w:marLeft w:val="0"/>
      <w:marRight w:val="0"/>
      <w:marTop w:val="0"/>
      <w:marBottom w:val="0"/>
      <w:divBdr>
        <w:top w:val="none" w:sz="0" w:space="0" w:color="auto"/>
        <w:left w:val="none" w:sz="0" w:space="0" w:color="auto"/>
        <w:bottom w:val="none" w:sz="0" w:space="0" w:color="auto"/>
        <w:right w:val="none" w:sz="0" w:space="0" w:color="auto"/>
      </w:divBdr>
    </w:div>
    <w:div w:id="641929301">
      <w:bodyDiv w:val="1"/>
      <w:marLeft w:val="0"/>
      <w:marRight w:val="0"/>
      <w:marTop w:val="0"/>
      <w:marBottom w:val="0"/>
      <w:divBdr>
        <w:top w:val="none" w:sz="0" w:space="0" w:color="auto"/>
        <w:left w:val="none" w:sz="0" w:space="0" w:color="auto"/>
        <w:bottom w:val="none" w:sz="0" w:space="0" w:color="auto"/>
        <w:right w:val="none" w:sz="0" w:space="0" w:color="auto"/>
      </w:divBdr>
    </w:div>
    <w:div w:id="642003402">
      <w:bodyDiv w:val="1"/>
      <w:marLeft w:val="0"/>
      <w:marRight w:val="0"/>
      <w:marTop w:val="0"/>
      <w:marBottom w:val="0"/>
      <w:divBdr>
        <w:top w:val="none" w:sz="0" w:space="0" w:color="auto"/>
        <w:left w:val="none" w:sz="0" w:space="0" w:color="auto"/>
        <w:bottom w:val="none" w:sz="0" w:space="0" w:color="auto"/>
        <w:right w:val="none" w:sz="0" w:space="0" w:color="auto"/>
      </w:divBdr>
    </w:div>
    <w:div w:id="642009112">
      <w:bodyDiv w:val="1"/>
      <w:marLeft w:val="0"/>
      <w:marRight w:val="0"/>
      <w:marTop w:val="0"/>
      <w:marBottom w:val="0"/>
      <w:divBdr>
        <w:top w:val="none" w:sz="0" w:space="0" w:color="auto"/>
        <w:left w:val="none" w:sz="0" w:space="0" w:color="auto"/>
        <w:bottom w:val="none" w:sz="0" w:space="0" w:color="auto"/>
        <w:right w:val="none" w:sz="0" w:space="0" w:color="auto"/>
      </w:divBdr>
    </w:div>
    <w:div w:id="642350554">
      <w:bodyDiv w:val="1"/>
      <w:marLeft w:val="0"/>
      <w:marRight w:val="0"/>
      <w:marTop w:val="0"/>
      <w:marBottom w:val="0"/>
      <w:divBdr>
        <w:top w:val="none" w:sz="0" w:space="0" w:color="auto"/>
        <w:left w:val="none" w:sz="0" w:space="0" w:color="auto"/>
        <w:bottom w:val="none" w:sz="0" w:space="0" w:color="auto"/>
        <w:right w:val="none" w:sz="0" w:space="0" w:color="auto"/>
      </w:divBdr>
    </w:div>
    <w:div w:id="642543456">
      <w:bodyDiv w:val="1"/>
      <w:marLeft w:val="0"/>
      <w:marRight w:val="0"/>
      <w:marTop w:val="0"/>
      <w:marBottom w:val="0"/>
      <w:divBdr>
        <w:top w:val="none" w:sz="0" w:space="0" w:color="auto"/>
        <w:left w:val="none" w:sz="0" w:space="0" w:color="auto"/>
        <w:bottom w:val="none" w:sz="0" w:space="0" w:color="auto"/>
        <w:right w:val="none" w:sz="0" w:space="0" w:color="auto"/>
      </w:divBdr>
    </w:div>
    <w:div w:id="643436233">
      <w:bodyDiv w:val="1"/>
      <w:marLeft w:val="0"/>
      <w:marRight w:val="0"/>
      <w:marTop w:val="0"/>
      <w:marBottom w:val="0"/>
      <w:divBdr>
        <w:top w:val="none" w:sz="0" w:space="0" w:color="auto"/>
        <w:left w:val="none" w:sz="0" w:space="0" w:color="auto"/>
        <w:bottom w:val="none" w:sz="0" w:space="0" w:color="auto"/>
        <w:right w:val="none" w:sz="0" w:space="0" w:color="auto"/>
      </w:divBdr>
    </w:div>
    <w:div w:id="644243035">
      <w:bodyDiv w:val="1"/>
      <w:marLeft w:val="0"/>
      <w:marRight w:val="0"/>
      <w:marTop w:val="0"/>
      <w:marBottom w:val="0"/>
      <w:divBdr>
        <w:top w:val="none" w:sz="0" w:space="0" w:color="auto"/>
        <w:left w:val="none" w:sz="0" w:space="0" w:color="auto"/>
        <w:bottom w:val="none" w:sz="0" w:space="0" w:color="auto"/>
        <w:right w:val="none" w:sz="0" w:space="0" w:color="auto"/>
      </w:divBdr>
    </w:div>
    <w:div w:id="645285765">
      <w:bodyDiv w:val="1"/>
      <w:marLeft w:val="0"/>
      <w:marRight w:val="0"/>
      <w:marTop w:val="0"/>
      <w:marBottom w:val="0"/>
      <w:divBdr>
        <w:top w:val="none" w:sz="0" w:space="0" w:color="auto"/>
        <w:left w:val="none" w:sz="0" w:space="0" w:color="auto"/>
        <w:bottom w:val="none" w:sz="0" w:space="0" w:color="auto"/>
        <w:right w:val="none" w:sz="0" w:space="0" w:color="auto"/>
      </w:divBdr>
    </w:div>
    <w:div w:id="646059033">
      <w:bodyDiv w:val="1"/>
      <w:marLeft w:val="0"/>
      <w:marRight w:val="0"/>
      <w:marTop w:val="0"/>
      <w:marBottom w:val="0"/>
      <w:divBdr>
        <w:top w:val="none" w:sz="0" w:space="0" w:color="auto"/>
        <w:left w:val="none" w:sz="0" w:space="0" w:color="auto"/>
        <w:bottom w:val="none" w:sz="0" w:space="0" w:color="auto"/>
        <w:right w:val="none" w:sz="0" w:space="0" w:color="auto"/>
      </w:divBdr>
    </w:div>
    <w:div w:id="646059232">
      <w:bodyDiv w:val="1"/>
      <w:marLeft w:val="0"/>
      <w:marRight w:val="0"/>
      <w:marTop w:val="0"/>
      <w:marBottom w:val="0"/>
      <w:divBdr>
        <w:top w:val="none" w:sz="0" w:space="0" w:color="auto"/>
        <w:left w:val="none" w:sz="0" w:space="0" w:color="auto"/>
        <w:bottom w:val="none" w:sz="0" w:space="0" w:color="auto"/>
        <w:right w:val="none" w:sz="0" w:space="0" w:color="auto"/>
      </w:divBdr>
    </w:div>
    <w:div w:id="647248033">
      <w:bodyDiv w:val="1"/>
      <w:marLeft w:val="0"/>
      <w:marRight w:val="0"/>
      <w:marTop w:val="0"/>
      <w:marBottom w:val="0"/>
      <w:divBdr>
        <w:top w:val="none" w:sz="0" w:space="0" w:color="auto"/>
        <w:left w:val="none" w:sz="0" w:space="0" w:color="auto"/>
        <w:bottom w:val="none" w:sz="0" w:space="0" w:color="auto"/>
        <w:right w:val="none" w:sz="0" w:space="0" w:color="auto"/>
      </w:divBdr>
    </w:div>
    <w:div w:id="647561545">
      <w:bodyDiv w:val="1"/>
      <w:marLeft w:val="0"/>
      <w:marRight w:val="0"/>
      <w:marTop w:val="0"/>
      <w:marBottom w:val="0"/>
      <w:divBdr>
        <w:top w:val="none" w:sz="0" w:space="0" w:color="auto"/>
        <w:left w:val="none" w:sz="0" w:space="0" w:color="auto"/>
        <w:bottom w:val="none" w:sz="0" w:space="0" w:color="auto"/>
        <w:right w:val="none" w:sz="0" w:space="0" w:color="auto"/>
      </w:divBdr>
    </w:div>
    <w:div w:id="647898358">
      <w:bodyDiv w:val="1"/>
      <w:marLeft w:val="0"/>
      <w:marRight w:val="0"/>
      <w:marTop w:val="0"/>
      <w:marBottom w:val="0"/>
      <w:divBdr>
        <w:top w:val="none" w:sz="0" w:space="0" w:color="auto"/>
        <w:left w:val="none" w:sz="0" w:space="0" w:color="auto"/>
        <w:bottom w:val="none" w:sz="0" w:space="0" w:color="auto"/>
        <w:right w:val="none" w:sz="0" w:space="0" w:color="auto"/>
      </w:divBdr>
    </w:div>
    <w:div w:id="648024502">
      <w:bodyDiv w:val="1"/>
      <w:marLeft w:val="0"/>
      <w:marRight w:val="0"/>
      <w:marTop w:val="0"/>
      <w:marBottom w:val="0"/>
      <w:divBdr>
        <w:top w:val="none" w:sz="0" w:space="0" w:color="auto"/>
        <w:left w:val="none" w:sz="0" w:space="0" w:color="auto"/>
        <w:bottom w:val="none" w:sz="0" w:space="0" w:color="auto"/>
        <w:right w:val="none" w:sz="0" w:space="0" w:color="auto"/>
      </w:divBdr>
    </w:div>
    <w:div w:id="648100366">
      <w:bodyDiv w:val="1"/>
      <w:marLeft w:val="0"/>
      <w:marRight w:val="0"/>
      <w:marTop w:val="0"/>
      <w:marBottom w:val="0"/>
      <w:divBdr>
        <w:top w:val="none" w:sz="0" w:space="0" w:color="auto"/>
        <w:left w:val="none" w:sz="0" w:space="0" w:color="auto"/>
        <w:bottom w:val="none" w:sz="0" w:space="0" w:color="auto"/>
        <w:right w:val="none" w:sz="0" w:space="0" w:color="auto"/>
      </w:divBdr>
    </w:div>
    <w:div w:id="648362352">
      <w:bodyDiv w:val="1"/>
      <w:marLeft w:val="0"/>
      <w:marRight w:val="0"/>
      <w:marTop w:val="0"/>
      <w:marBottom w:val="0"/>
      <w:divBdr>
        <w:top w:val="none" w:sz="0" w:space="0" w:color="auto"/>
        <w:left w:val="none" w:sz="0" w:space="0" w:color="auto"/>
        <w:bottom w:val="none" w:sz="0" w:space="0" w:color="auto"/>
        <w:right w:val="none" w:sz="0" w:space="0" w:color="auto"/>
      </w:divBdr>
    </w:div>
    <w:div w:id="648363557">
      <w:bodyDiv w:val="1"/>
      <w:marLeft w:val="0"/>
      <w:marRight w:val="0"/>
      <w:marTop w:val="0"/>
      <w:marBottom w:val="0"/>
      <w:divBdr>
        <w:top w:val="none" w:sz="0" w:space="0" w:color="auto"/>
        <w:left w:val="none" w:sz="0" w:space="0" w:color="auto"/>
        <w:bottom w:val="none" w:sz="0" w:space="0" w:color="auto"/>
        <w:right w:val="none" w:sz="0" w:space="0" w:color="auto"/>
      </w:divBdr>
    </w:div>
    <w:div w:id="648438219">
      <w:bodyDiv w:val="1"/>
      <w:marLeft w:val="0"/>
      <w:marRight w:val="0"/>
      <w:marTop w:val="0"/>
      <w:marBottom w:val="0"/>
      <w:divBdr>
        <w:top w:val="none" w:sz="0" w:space="0" w:color="auto"/>
        <w:left w:val="none" w:sz="0" w:space="0" w:color="auto"/>
        <w:bottom w:val="none" w:sz="0" w:space="0" w:color="auto"/>
        <w:right w:val="none" w:sz="0" w:space="0" w:color="auto"/>
      </w:divBdr>
    </w:div>
    <w:div w:id="648486190">
      <w:bodyDiv w:val="1"/>
      <w:marLeft w:val="0"/>
      <w:marRight w:val="0"/>
      <w:marTop w:val="0"/>
      <w:marBottom w:val="0"/>
      <w:divBdr>
        <w:top w:val="none" w:sz="0" w:space="0" w:color="auto"/>
        <w:left w:val="none" w:sz="0" w:space="0" w:color="auto"/>
        <w:bottom w:val="none" w:sz="0" w:space="0" w:color="auto"/>
        <w:right w:val="none" w:sz="0" w:space="0" w:color="auto"/>
      </w:divBdr>
    </w:div>
    <w:div w:id="648900391">
      <w:bodyDiv w:val="1"/>
      <w:marLeft w:val="0"/>
      <w:marRight w:val="0"/>
      <w:marTop w:val="0"/>
      <w:marBottom w:val="0"/>
      <w:divBdr>
        <w:top w:val="none" w:sz="0" w:space="0" w:color="auto"/>
        <w:left w:val="none" w:sz="0" w:space="0" w:color="auto"/>
        <w:bottom w:val="none" w:sz="0" w:space="0" w:color="auto"/>
        <w:right w:val="none" w:sz="0" w:space="0" w:color="auto"/>
      </w:divBdr>
    </w:div>
    <w:div w:id="649092409">
      <w:bodyDiv w:val="1"/>
      <w:marLeft w:val="0"/>
      <w:marRight w:val="0"/>
      <w:marTop w:val="0"/>
      <w:marBottom w:val="0"/>
      <w:divBdr>
        <w:top w:val="none" w:sz="0" w:space="0" w:color="auto"/>
        <w:left w:val="none" w:sz="0" w:space="0" w:color="auto"/>
        <w:bottom w:val="none" w:sz="0" w:space="0" w:color="auto"/>
        <w:right w:val="none" w:sz="0" w:space="0" w:color="auto"/>
      </w:divBdr>
    </w:div>
    <w:div w:id="650211524">
      <w:bodyDiv w:val="1"/>
      <w:marLeft w:val="0"/>
      <w:marRight w:val="0"/>
      <w:marTop w:val="0"/>
      <w:marBottom w:val="0"/>
      <w:divBdr>
        <w:top w:val="none" w:sz="0" w:space="0" w:color="auto"/>
        <w:left w:val="none" w:sz="0" w:space="0" w:color="auto"/>
        <w:bottom w:val="none" w:sz="0" w:space="0" w:color="auto"/>
        <w:right w:val="none" w:sz="0" w:space="0" w:color="auto"/>
      </w:divBdr>
    </w:div>
    <w:div w:id="650451524">
      <w:bodyDiv w:val="1"/>
      <w:marLeft w:val="0"/>
      <w:marRight w:val="0"/>
      <w:marTop w:val="0"/>
      <w:marBottom w:val="0"/>
      <w:divBdr>
        <w:top w:val="none" w:sz="0" w:space="0" w:color="auto"/>
        <w:left w:val="none" w:sz="0" w:space="0" w:color="auto"/>
        <w:bottom w:val="none" w:sz="0" w:space="0" w:color="auto"/>
        <w:right w:val="none" w:sz="0" w:space="0" w:color="auto"/>
      </w:divBdr>
    </w:div>
    <w:div w:id="651568044">
      <w:bodyDiv w:val="1"/>
      <w:marLeft w:val="0"/>
      <w:marRight w:val="0"/>
      <w:marTop w:val="0"/>
      <w:marBottom w:val="0"/>
      <w:divBdr>
        <w:top w:val="none" w:sz="0" w:space="0" w:color="auto"/>
        <w:left w:val="none" w:sz="0" w:space="0" w:color="auto"/>
        <w:bottom w:val="none" w:sz="0" w:space="0" w:color="auto"/>
        <w:right w:val="none" w:sz="0" w:space="0" w:color="auto"/>
      </w:divBdr>
    </w:div>
    <w:div w:id="651640917">
      <w:bodyDiv w:val="1"/>
      <w:marLeft w:val="0"/>
      <w:marRight w:val="0"/>
      <w:marTop w:val="0"/>
      <w:marBottom w:val="0"/>
      <w:divBdr>
        <w:top w:val="none" w:sz="0" w:space="0" w:color="auto"/>
        <w:left w:val="none" w:sz="0" w:space="0" w:color="auto"/>
        <w:bottom w:val="none" w:sz="0" w:space="0" w:color="auto"/>
        <w:right w:val="none" w:sz="0" w:space="0" w:color="auto"/>
      </w:divBdr>
    </w:div>
    <w:div w:id="651641423">
      <w:bodyDiv w:val="1"/>
      <w:marLeft w:val="0"/>
      <w:marRight w:val="0"/>
      <w:marTop w:val="0"/>
      <w:marBottom w:val="0"/>
      <w:divBdr>
        <w:top w:val="none" w:sz="0" w:space="0" w:color="auto"/>
        <w:left w:val="none" w:sz="0" w:space="0" w:color="auto"/>
        <w:bottom w:val="none" w:sz="0" w:space="0" w:color="auto"/>
        <w:right w:val="none" w:sz="0" w:space="0" w:color="auto"/>
      </w:divBdr>
    </w:div>
    <w:div w:id="651645351">
      <w:bodyDiv w:val="1"/>
      <w:marLeft w:val="0"/>
      <w:marRight w:val="0"/>
      <w:marTop w:val="0"/>
      <w:marBottom w:val="0"/>
      <w:divBdr>
        <w:top w:val="none" w:sz="0" w:space="0" w:color="auto"/>
        <w:left w:val="none" w:sz="0" w:space="0" w:color="auto"/>
        <w:bottom w:val="none" w:sz="0" w:space="0" w:color="auto"/>
        <w:right w:val="none" w:sz="0" w:space="0" w:color="auto"/>
      </w:divBdr>
    </w:div>
    <w:div w:id="651763011">
      <w:bodyDiv w:val="1"/>
      <w:marLeft w:val="0"/>
      <w:marRight w:val="0"/>
      <w:marTop w:val="0"/>
      <w:marBottom w:val="0"/>
      <w:divBdr>
        <w:top w:val="none" w:sz="0" w:space="0" w:color="auto"/>
        <w:left w:val="none" w:sz="0" w:space="0" w:color="auto"/>
        <w:bottom w:val="none" w:sz="0" w:space="0" w:color="auto"/>
        <w:right w:val="none" w:sz="0" w:space="0" w:color="auto"/>
      </w:divBdr>
    </w:div>
    <w:div w:id="652562721">
      <w:bodyDiv w:val="1"/>
      <w:marLeft w:val="0"/>
      <w:marRight w:val="0"/>
      <w:marTop w:val="0"/>
      <w:marBottom w:val="0"/>
      <w:divBdr>
        <w:top w:val="none" w:sz="0" w:space="0" w:color="auto"/>
        <w:left w:val="none" w:sz="0" w:space="0" w:color="auto"/>
        <w:bottom w:val="none" w:sz="0" w:space="0" w:color="auto"/>
        <w:right w:val="none" w:sz="0" w:space="0" w:color="auto"/>
      </w:divBdr>
    </w:div>
    <w:div w:id="652955235">
      <w:bodyDiv w:val="1"/>
      <w:marLeft w:val="0"/>
      <w:marRight w:val="0"/>
      <w:marTop w:val="0"/>
      <w:marBottom w:val="0"/>
      <w:divBdr>
        <w:top w:val="none" w:sz="0" w:space="0" w:color="auto"/>
        <w:left w:val="none" w:sz="0" w:space="0" w:color="auto"/>
        <w:bottom w:val="none" w:sz="0" w:space="0" w:color="auto"/>
        <w:right w:val="none" w:sz="0" w:space="0" w:color="auto"/>
      </w:divBdr>
    </w:div>
    <w:div w:id="653027048">
      <w:bodyDiv w:val="1"/>
      <w:marLeft w:val="0"/>
      <w:marRight w:val="0"/>
      <w:marTop w:val="0"/>
      <w:marBottom w:val="0"/>
      <w:divBdr>
        <w:top w:val="none" w:sz="0" w:space="0" w:color="auto"/>
        <w:left w:val="none" w:sz="0" w:space="0" w:color="auto"/>
        <w:bottom w:val="none" w:sz="0" w:space="0" w:color="auto"/>
        <w:right w:val="none" w:sz="0" w:space="0" w:color="auto"/>
      </w:divBdr>
    </w:div>
    <w:div w:id="653411009">
      <w:bodyDiv w:val="1"/>
      <w:marLeft w:val="0"/>
      <w:marRight w:val="0"/>
      <w:marTop w:val="0"/>
      <w:marBottom w:val="0"/>
      <w:divBdr>
        <w:top w:val="none" w:sz="0" w:space="0" w:color="auto"/>
        <w:left w:val="none" w:sz="0" w:space="0" w:color="auto"/>
        <w:bottom w:val="none" w:sz="0" w:space="0" w:color="auto"/>
        <w:right w:val="none" w:sz="0" w:space="0" w:color="auto"/>
      </w:divBdr>
    </w:div>
    <w:div w:id="653527780">
      <w:bodyDiv w:val="1"/>
      <w:marLeft w:val="0"/>
      <w:marRight w:val="0"/>
      <w:marTop w:val="0"/>
      <w:marBottom w:val="0"/>
      <w:divBdr>
        <w:top w:val="none" w:sz="0" w:space="0" w:color="auto"/>
        <w:left w:val="none" w:sz="0" w:space="0" w:color="auto"/>
        <w:bottom w:val="none" w:sz="0" w:space="0" w:color="auto"/>
        <w:right w:val="none" w:sz="0" w:space="0" w:color="auto"/>
      </w:divBdr>
    </w:div>
    <w:div w:id="653799313">
      <w:bodyDiv w:val="1"/>
      <w:marLeft w:val="0"/>
      <w:marRight w:val="0"/>
      <w:marTop w:val="0"/>
      <w:marBottom w:val="0"/>
      <w:divBdr>
        <w:top w:val="none" w:sz="0" w:space="0" w:color="auto"/>
        <w:left w:val="none" w:sz="0" w:space="0" w:color="auto"/>
        <w:bottom w:val="none" w:sz="0" w:space="0" w:color="auto"/>
        <w:right w:val="none" w:sz="0" w:space="0" w:color="auto"/>
      </w:divBdr>
    </w:div>
    <w:div w:id="654649277">
      <w:bodyDiv w:val="1"/>
      <w:marLeft w:val="0"/>
      <w:marRight w:val="0"/>
      <w:marTop w:val="0"/>
      <w:marBottom w:val="0"/>
      <w:divBdr>
        <w:top w:val="none" w:sz="0" w:space="0" w:color="auto"/>
        <w:left w:val="none" w:sz="0" w:space="0" w:color="auto"/>
        <w:bottom w:val="none" w:sz="0" w:space="0" w:color="auto"/>
        <w:right w:val="none" w:sz="0" w:space="0" w:color="auto"/>
      </w:divBdr>
    </w:div>
    <w:div w:id="654727783">
      <w:bodyDiv w:val="1"/>
      <w:marLeft w:val="0"/>
      <w:marRight w:val="0"/>
      <w:marTop w:val="0"/>
      <w:marBottom w:val="0"/>
      <w:divBdr>
        <w:top w:val="none" w:sz="0" w:space="0" w:color="auto"/>
        <w:left w:val="none" w:sz="0" w:space="0" w:color="auto"/>
        <w:bottom w:val="none" w:sz="0" w:space="0" w:color="auto"/>
        <w:right w:val="none" w:sz="0" w:space="0" w:color="auto"/>
      </w:divBdr>
    </w:div>
    <w:div w:id="654844226">
      <w:bodyDiv w:val="1"/>
      <w:marLeft w:val="0"/>
      <w:marRight w:val="0"/>
      <w:marTop w:val="0"/>
      <w:marBottom w:val="0"/>
      <w:divBdr>
        <w:top w:val="none" w:sz="0" w:space="0" w:color="auto"/>
        <w:left w:val="none" w:sz="0" w:space="0" w:color="auto"/>
        <w:bottom w:val="none" w:sz="0" w:space="0" w:color="auto"/>
        <w:right w:val="none" w:sz="0" w:space="0" w:color="auto"/>
      </w:divBdr>
    </w:div>
    <w:div w:id="655577152">
      <w:bodyDiv w:val="1"/>
      <w:marLeft w:val="0"/>
      <w:marRight w:val="0"/>
      <w:marTop w:val="0"/>
      <w:marBottom w:val="0"/>
      <w:divBdr>
        <w:top w:val="none" w:sz="0" w:space="0" w:color="auto"/>
        <w:left w:val="none" w:sz="0" w:space="0" w:color="auto"/>
        <w:bottom w:val="none" w:sz="0" w:space="0" w:color="auto"/>
        <w:right w:val="none" w:sz="0" w:space="0" w:color="auto"/>
      </w:divBdr>
    </w:div>
    <w:div w:id="655694704">
      <w:bodyDiv w:val="1"/>
      <w:marLeft w:val="0"/>
      <w:marRight w:val="0"/>
      <w:marTop w:val="0"/>
      <w:marBottom w:val="0"/>
      <w:divBdr>
        <w:top w:val="none" w:sz="0" w:space="0" w:color="auto"/>
        <w:left w:val="none" w:sz="0" w:space="0" w:color="auto"/>
        <w:bottom w:val="none" w:sz="0" w:space="0" w:color="auto"/>
        <w:right w:val="none" w:sz="0" w:space="0" w:color="auto"/>
      </w:divBdr>
    </w:div>
    <w:div w:id="655885189">
      <w:bodyDiv w:val="1"/>
      <w:marLeft w:val="0"/>
      <w:marRight w:val="0"/>
      <w:marTop w:val="0"/>
      <w:marBottom w:val="0"/>
      <w:divBdr>
        <w:top w:val="none" w:sz="0" w:space="0" w:color="auto"/>
        <w:left w:val="none" w:sz="0" w:space="0" w:color="auto"/>
        <w:bottom w:val="none" w:sz="0" w:space="0" w:color="auto"/>
        <w:right w:val="none" w:sz="0" w:space="0" w:color="auto"/>
      </w:divBdr>
    </w:div>
    <w:div w:id="656500800">
      <w:bodyDiv w:val="1"/>
      <w:marLeft w:val="0"/>
      <w:marRight w:val="0"/>
      <w:marTop w:val="0"/>
      <w:marBottom w:val="0"/>
      <w:divBdr>
        <w:top w:val="none" w:sz="0" w:space="0" w:color="auto"/>
        <w:left w:val="none" w:sz="0" w:space="0" w:color="auto"/>
        <w:bottom w:val="none" w:sz="0" w:space="0" w:color="auto"/>
        <w:right w:val="none" w:sz="0" w:space="0" w:color="auto"/>
      </w:divBdr>
    </w:div>
    <w:div w:id="656609842">
      <w:bodyDiv w:val="1"/>
      <w:marLeft w:val="0"/>
      <w:marRight w:val="0"/>
      <w:marTop w:val="0"/>
      <w:marBottom w:val="0"/>
      <w:divBdr>
        <w:top w:val="none" w:sz="0" w:space="0" w:color="auto"/>
        <w:left w:val="none" w:sz="0" w:space="0" w:color="auto"/>
        <w:bottom w:val="none" w:sz="0" w:space="0" w:color="auto"/>
        <w:right w:val="none" w:sz="0" w:space="0" w:color="auto"/>
      </w:divBdr>
    </w:div>
    <w:div w:id="657685429">
      <w:bodyDiv w:val="1"/>
      <w:marLeft w:val="0"/>
      <w:marRight w:val="0"/>
      <w:marTop w:val="0"/>
      <w:marBottom w:val="0"/>
      <w:divBdr>
        <w:top w:val="none" w:sz="0" w:space="0" w:color="auto"/>
        <w:left w:val="none" w:sz="0" w:space="0" w:color="auto"/>
        <w:bottom w:val="none" w:sz="0" w:space="0" w:color="auto"/>
        <w:right w:val="none" w:sz="0" w:space="0" w:color="auto"/>
      </w:divBdr>
    </w:div>
    <w:div w:id="658385181">
      <w:bodyDiv w:val="1"/>
      <w:marLeft w:val="0"/>
      <w:marRight w:val="0"/>
      <w:marTop w:val="0"/>
      <w:marBottom w:val="0"/>
      <w:divBdr>
        <w:top w:val="none" w:sz="0" w:space="0" w:color="auto"/>
        <w:left w:val="none" w:sz="0" w:space="0" w:color="auto"/>
        <w:bottom w:val="none" w:sz="0" w:space="0" w:color="auto"/>
        <w:right w:val="none" w:sz="0" w:space="0" w:color="auto"/>
      </w:divBdr>
    </w:div>
    <w:div w:id="659501954">
      <w:bodyDiv w:val="1"/>
      <w:marLeft w:val="0"/>
      <w:marRight w:val="0"/>
      <w:marTop w:val="0"/>
      <w:marBottom w:val="0"/>
      <w:divBdr>
        <w:top w:val="none" w:sz="0" w:space="0" w:color="auto"/>
        <w:left w:val="none" w:sz="0" w:space="0" w:color="auto"/>
        <w:bottom w:val="none" w:sz="0" w:space="0" w:color="auto"/>
        <w:right w:val="none" w:sz="0" w:space="0" w:color="auto"/>
      </w:divBdr>
    </w:div>
    <w:div w:id="659843411">
      <w:bodyDiv w:val="1"/>
      <w:marLeft w:val="0"/>
      <w:marRight w:val="0"/>
      <w:marTop w:val="0"/>
      <w:marBottom w:val="0"/>
      <w:divBdr>
        <w:top w:val="none" w:sz="0" w:space="0" w:color="auto"/>
        <w:left w:val="none" w:sz="0" w:space="0" w:color="auto"/>
        <w:bottom w:val="none" w:sz="0" w:space="0" w:color="auto"/>
        <w:right w:val="none" w:sz="0" w:space="0" w:color="auto"/>
      </w:divBdr>
    </w:div>
    <w:div w:id="659895230">
      <w:bodyDiv w:val="1"/>
      <w:marLeft w:val="0"/>
      <w:marRight w:val="0"/>
      <w:marTop w:val="0"/>
      <w:marBottom w:val="0"/>
      <w:divBdr>
        <w:top w:val="none" w:sz="0" w:space="0" w:color="auto"/>
        <w:left w:val="none" w:sz="0" w:space="0" w:color="auto"/>
        <w:bottom w:val="none" w:sz="0" w:space="0" w:color="auto"/>
        <w:right w:val="none" w:sz="0" w:space="0" w:color="auto"/>
      </w:divBdr>
    </w:div>
    <w:div w:id="660307794">
      <w:bodyDiv w:val="1"/>
      <w:marLeft w:val="0"/>
      <w:marRight w:val="0"/>
      <w:marTop w:val="0"/>
      <w:marBottom w:val="0"/>
      <w:divBdr>
        <w:top w:val="none" w:sz="0" w:space="0" w:color="auto"/>
        <w:left w:val="none" w:sz="0" w:space="0" w:color="auto"/>
        <w:bottom w:val="none" w:sz="0" w:space="0" w:color="auto"/>
        <w:right w:val="none" w:sz="0" w:space="0" w:color="auto"/>
      </w:divBdr>
    </w:div>
    <w:div w:id="660349739">
      <w:bodyDiv w:val="1"/>
      <w:marLeft w:val="0"/>
      <w:marRight w:val="0"/>
      <w:marTop w:val="0"/>
      <w:marBottom w:val="0"/>
      <w:divBdr>
        <w:top w:val="none" w:sz="0" w:space="0" w:color="auto"/>
        <w:left w:val="none" w:sz="0" w:space="0" w:color="auto"/>
        <w:bottom w:val="none" w:sz="0" w:space="0" w:color="auto"/>
        <w:right w:val="none" w:sz="0" w:space="0" w:color="auto"/>
      </w:divBdr>
    </w:div>
    <w:div w:id="660473208">
      <w:bodyDiv w:val="1"/>
      <w:marLeft w:val="0"/>
      <w:marRight w:val="0"/>
      <w:marTop w:val="0"/>
      <w:marBottom w:val="0"/>
      <w:divBdr>
        <w:top w:val="none" w:sz="0" w:space="0" w:color="auto"/>
        <w:left w:val="none" w:sz="0" w:space="0" w:color="auto"/>
        <w:bottom w:val="none" w:sz="0" w:space="0" w:color="auto"/>
        <w:right w:val="none" w:sz="0" w:space="0" w:color="auto"/>
      </w:divBdr>
    </w:div>
    <w:div w:id="660621906">
      <w:bodyDiv w:val="1"/>
      <w:marLeft w:val="0"/>
      <w:marRight w:val="0"/>
      <w:marTop w:val="0"/>
      <w:marBottom w:val="0"/>
      <w:divBdr>
        <w:top w:val="none" w:sz="0" w:space="0" w:color="auto"/>
        <w:left w:val="none" w:sz="0" w:space="0" w:color="auto"/>
        <w:bottom w:val="none" w:sz="0" w:space="0" w:color="auto"/>
        <w:right w:val="none" w:sz="0" w:space="0" w:color="auto"/>
      </w:divBdr>
    </w:div>
    <w:div w:id="660699644">
      <w:bodyDiv w:val="1"/>
      <w:marLeft w:val="0"/>
      <w:marRight w:val="0"/>
      <w:marTop w:val="0"/>
      <w:marBottom w:val="0"/>
      <w:divBdr>
        <w:top w:val="none" w:sz="0" w:space="0" w:color="auto"/>
        <w:left w:val="none" w:sz="0" w:space="0" w:color="auto"/>
        <w:bottom w:val="none" w:sz="0" w:space="0" w:color="auto"/>
        <w:right w:val="none" w:sz="0" w:space="0" w:color="auto"/>
      </w:divBdr>
    </w:div>
    <w:div w:id="661205544">
      <w:bodyDiv w:val="1"/>
      <w:marLeft w:val="0"/>
      <w:marRight w:val="0"/>
      <w:marTop w:val="0"/>
      <w:marBottom w:val="0"/>
      <w:divBdr>
        <w:top w:val="none" w:sz="0" w:space="0" w:color="auto"/>
        <w:left w:val="none" w:sz="0" w:space="0" w:color="auto"/>
        <w:bottom w:val="none" w:sz="0" w:space="0" w:color="auto"/>
        <w:right w:val="none" w:sz="0" w:space="0" w:color="auto"/>
      </w:divBdr>
    </w:div>
    <w:div w:id="662045892">
      <w:bodyDiv w:val="1"/>
      <w:marLeft w:val="0"/>
      <w:marRight w:val="0"/>
      <w:marTop w:val="0"/>
      <w:marBottom w:val="0"/>
      <w:divBdr>
        <w:top w:val="none" w:sz="0" w:space="0" w:color="auto"/>
        <w:left w:val="none" w:sz="0" w:space="0" w:color="auto"/>
        <w:bottom w:val="none" w:sz="0" w:space="0" w:color="auto"/>
        <w:right w:val="none" w:sz="0" w:space="0" w:color="auto"/>
      </w:divBdr>
    </w:div>
    <w:div w:id="662197631">
      <w:bodyDiv w:val="1"/>
      <w:marLeft w:val="0"/>
      <w:marRight w:val="0"/>
      <w:marTop w:val="0"/>
      <w:marBottom w:val="0"/>
      <w:divBdr>
        <w:top w:val="none" w:sz="0" w:space="0" w:color="auto"/>
        <w:left w:val="none" w:sz="0" w:space="0" w:color="auto"/>
        <w:bottom w:val="none" w:sz="0" w:space="0" w:color="auto"/>
        <w:right w:val="none" w:sz="0" w:space="0" w:color="auto"/>
      </w:divBdr>
    </w:div>
    <w:div w:id="662389536">
      <w:bodyDiv w:val="1"/>
      <w:marLeft w:val="0"/>
      <w:marRight w:val="0"/>
      <w:marTop w:val="0"/>
      <w:marBottom w:val="0"/>
      <w:divBdr>
        <w:top w:val="none" w:sz="0" w:space="0" w:color="auto"/>
        <w:left w:val="none" w:sz="0" w:space="0" w:color="auto"/>
        <w:bottom w:val="none" w:sz="0" w:space="0" w:color="auto"/>
        <w:right w:val="none" w:sz="0" w:space="0" w:color="auto"/>
      </w:divBdr>
    </w:div>
    <w:div w:id="662516564">
      <w:bodyDiv w:val="1"/>
      <w:marLeft w:val="0"/>
      <w:marRight w:val="0"/>
      <w:marTop w:val="0"/>
      <w:marBottom w:val="0"/>
      <w:divBdr>
        <w:top w:val="none" w:sz="0" w:space="0" w:color="auto"/>
        <w:left w:val="none" w:sz="0" w:space="0" w:color="auto"/>
        <w:bottom w:val="none" w:sz="0" w:space="0" w:color="auto"/>
        <w:right w:val="none" w:sz="0" w:space="0" w:color="auto"/>
      </w:divBdr>
    </w:div>
    <w:div w:id="663168782">
      <w:bodyDiv w:val="1"/>
      <w:marLeft w:val="0"/>
      <w:marRight w:val="0"/>
      <w:marTop w:val="0"/>
      <w:marBottom w:val="0"/>
      <w:divBdr>
        <w:top w:val="none" w:sz="0" w:space="0" w:color="auto"/>
        <w:left w:val="none" w:sz="0" w:space="0" w:color="auto"/>
        <w:bottom w:val="none" w:sz="0" w:space="0" w:color="auto"/>
        <w:right w:val="none" w:sz="0" w:space="0" w:color="auto"/>
      </w:divBdr>
    </w:div>
    <w:div w:id="663240842">
      <w:bodyDiv w:val="1"/>
      <w:marLeft w:val="0"/>
      <w:marRight w:val="0"/>
      <w:marTop w:val="0"/>
      <w:marBottom w:val="0"/>
      <w:divBdr>
        <w:top w:val="none" w:sz="0" w:space="0" w:color="auto"/>
        <w:left w:val="none" w:sz="0" w:space="0" w:color="auto"/>
        <w:bottom w:val="none" w:sz="0" w:space="0" w:color="auto"/>
        <w:right w:val="none" w:sz="0" w:space="0" w:color="auto"/>
      </w:divBdr>
    </w:div>
    <w:div w:id="663510927">
      <w:bodyDiv w:val="1"/>
      <w:marLeft w:val="0"/>
      <w:marRight w:val="0"/>
      <w:marTop w:val="0"/>
      <w:marBottom w:val="0"/>
      <w:divBdr>
        <w:top w:val="none" w:sz="0" w:space="0" w:color="auto"/>
        <w:left w:val="none" w:sz="0" w:space="0" w:color="auto"/>
        <w:bottom w:val="none" w:sz="0" w:space="0" w:color="auto"/>
        <w:right w:val="none" w:sz="0" w:space="0" w:color="auto"/>
      </w:divBdr>
    </w:div>
    <w:div w:id="663511521">
      <w:bodyDiv w:val="1"/>
      <w:marLeft w:val="0"/>
      <w:marRight w:val="0"/>
      <w:marTop w:val="0"/>
      <w:marBottom w:val="0"/>
      <w:divBdr>
        <w:top w:val="none" w:sz="0" w:space="0" w:color="auto"/>
        <w:left w:val="none" w:sz="0" w:space="0" w:color="auto"/>
        <w:bottom w:val="none" w:sz="0" w:space="0" w:color="auto"/>
        <w:right w:val="none" w:sz="0" w:space="0" w:color="auto"/>
      </w:divBdr>
    </w:div>
    <w:div w:id="663977618">
      <w:bodyDiv w:val="1"/>
      <w:marLeft w:val="0"/>
      <w:marRight w:val="0"/>
      <w:marTop w:val="0"/>
      <w:marBottom w:val="0"/>
      <w:divBdr>
        <w:top w:val="none" w:sz="0" w:space="0" w:color="auto"/>
        <w:left w:val="none" w:sz="0" w:space="0" w:color="auto"/>
        <w:bottom w:val="none" w:sz="0" w:space="0" w:color="auto"/>
        <w:right w:val="none" w:sz="0" w:space="0" w:color="auto"/>
      </w:divBdr>
    </w:div>
    <w:div w:id="664094448">
      <w:bodyDiv w:val="1"/>
      <w:marLeft w:val="0"/>
      <w:marRight w:val="0"/>
      <w:marTop w:val="0"/>
      <w:marBottom w:val="0"/>
      <w:divBdr>
        <w:top w:val="none" w:sz="0" w:space="0" w:color="auto"/>
        <w:left w:val="none" w:sz="0" w:space="0" w:color="auto"/>
        <w:bottom w:val="none" w:sz="0" w:space="0" w:color="auto"/>
        <w:right w:val="none" w:sz="0" w:space="0" w:color="auto"/>
      </w:divBdr>
    </w:div>
    <w:div w:id="664360562">
      <w:bodyDiv w:val="1"/>
      <w:marLeft w:val="0"/>
      <w:marRight w:val="0"/>
      <w:marTop w:val="0"/>
      <w:marBottom w:val="0"/>
      <w:divBdr>
        <w:top w:val="none" w:sz="0" w:space="0" w:color="auto"/>
        <w:left w:val="none" w:sz="0" w:space="0" w:color="auto"/>
        <w:bottom w:val="none" w:sz="0" w:space="0" w:color="auto"/>
        <w:right w:val="none" w:sz="0" w:space="0" w:color="auto"/>
      </w:divBdr>
    </w:div>
    <w:div w:id="664475767">
      <w:bodyDiv w:val="1"/>
      <w:marLeft w:val="0"/>
      <w:marRight w:val="0"/>
      <w:marTop w:val="0"/>
      <w:marBottom w:val="0"/>
      <w:divBdr>
        <w:top w:val="none" w:sz="0" w:space="0" w:color="auto"/>
        <w:left w:val="none" w:sz="0" w:space="0" w:color="auto"/>
        <w:bottom w:val="none" w:sz="0" w:space="0" w:color="auto"/>
        <w:right w:val="none" w:sz="0" w:space="0" w:color="auto"/>
      </w:divBdr>
    </w:div>
    <w:div w:id="664629215">
      <w:bodyDiv w:val="1"/>
      <w:marLeft w:val="0"/>
      <w:marRight w:val="0"/>
      <w:marTop w:val="0"/>
      <w:marBottom w:val="0"/>
      <w:divBdr>
        <w:top w:val="none" w:sz="0" w:space="0" w:color="auto"/>
        <w:left w:val="none" w:sz="0" w:space="0" w:color="auto"/>
        <w:bottom w:val="none" w:sz="0" w:space="0" w:color="auto"/>
        <w:right w:val="none" w:sz="0" w:space="0" w:color="auto"/>
      </w:divBdr>
    </w:div>
    <w:div w:id="664750516">
      <w:bodyDiv w:val="1"/>
      <w:marLeft w:val="0"/>
      <w:marRight w:val="0"/>
      <w:marTop w:val="0"/>
      <w:marBottom w:val="0"/>
      <w:divBdr>
        <w:top w:val="none" w:sz="0" w:space="0" w:color="auto"/>
        <w:left w:val="none" w:sz="0" w:space="0" w:color="auto"/>
        <w:bottom w:val="none" w:sz="0" w:space="0" w:color="auto"/>
        <w:right w:val="none" w:sz="0" w:space="0" w:color="auto"/>
      </w:divBdr>
    </w:div>
    <w:div w:id="665061956">
      <w:bodyDiv w:val="1"/>
      <w:marLeft w:val="0"/>
      <w:marRight w:val="0"/>
      <w:marTop w:val="0"/>
      <w:marBottom w:val="0"/>
      <w:divBdr>
        <w:top w:val="none" w:sz="0" w:space="0" w:color="auto"/>
        <w:left w:val="none" w:sz="0" w:space="0" w:color="auto"/>
        <w:bottom w:val="none" w:sz="0" w:space="0" w:color="auto"/>
        <w:right w:val="none" w:sz="0" w:space="0" w:color="auto"/>
      </w:divBdr>
    </w:div>
    <w:div w:id="665284484">
      <w:bodyDiv w:val="1"/>
      <w:marLeft w:val="0"/>
      <w:marRight w:val="0"/>
      <w:marTop w:val="0"/>
      <w:marBottom w:val="0"/>
      <w:divBdr>
        <w:top w:val="none" w:sz="0" w:space="0" w:color="auto"/>
        <w:left w:val="none" w:sz="0" w:space="0" w:color="auto"/>
        <w:bottom w:val="none" w:sz="0" w:space="0" w:color="auto"/>
        <w:right w:val="none" w:sz="0" w:space="0" w:color="auto"/>
      </w:divBdr>
    </w:div>
    <w:div w:id="666321845">
      <w:bodyDiv w:val="1"/>
      <w:marLeft w:val="0"/>
      <w:marRight w:val="0"/>
      <w:marTop w:val="0"/>
      <w:marBottom w:val="0"/>
      <w:divBdr>
        <w:top w:val="none" w:sz="0" w:space="0" w:color="auto"/>
        <w:left w:val="none" w:sz="0" w:space="0" w:color="auto"/>
        <w:bottom w:val="none" w:sz="0" w:space="0" w:color="auto"/>
        <w:right w:val="none" w:sz="0" w:space="0" w:color="auto"/>
      </w:divBdr>
    </w:div>
    <w:div w:id="666636861">
      <w:bodyDiv w:val="1"/>
      <w:marLeft w:val="0"/>
      <w:marRight w:val="0"/>
      <w:marTop w:val="0"/>
      <w:marBottom w:val="0"/>
      <w:divBdr>
        <w:top w:val="none" w:sz="0" w:space="0" w:color="auto"/>
        <w:left w:val="none" w:sz="0" w:space="0" w:color="auto"/>
        <w:bottom w:val="none" w:sz="0" w:space="0" w:color="auto"/>
        <w:right w:val="none" w:sz="0" w:space="0" w:color="auto"/>
      </w:divBdr>
    </w:div>
    <w:div w:id="666713240">
      <w:bodyDiv w:val="1"/>
      <w:marLeft w:val="0"/>
      <w:marRight w:val="0"/>
      <w:marTop w:val="0"/>
      <w:marBottom w:val="0"/>
      <w:divBdr>
        <w:top w:val="none" w:sz="0" w:space="0" w:color="auto"/>
        <w:left w:val="none" w:sz="0" w:space="0" w:color="auto"/>
        <w:bottom w:val="none" w:sz="0" w:space="0" w:color="auto"/>
        <w:right w:val="none" w:sz="0" w:space="0" w:color="auto"/>
      </w:divBdr>
    </w:div>
    <w:div w:id="666906453">
      <w:bodyDiv w:val="1"/>
      <w:marLeft w:val="0"/>
      <w:marRight w:val="0"/>
      <w:marTop w:val="0"/>
      <w:marBottom w:val="0"/>
      <w:divBdr>
        <w:top w:val="none" w:sz="0" w:space="0" w:color="auto"/>
        <w:left w:val="none" w:sz="0" w:space="0" w:color="auto"/>
        <w:bottom w:val="none" w:sz="0" w:space="0" w:color="auto"/>
        <w:right w:val="none" w:sz="0" w:space="0" w:color="auto"/>
      </w:divBdr>
    </w:div>
    <w:div w:id="668874798">
      <w:bodyDiv w:val="1"/>
      <w:marLeft w:val="0"/>
      <w:marRight w:val="0"/>
      <w:marTop w:val="0"/>
      <w:marBottom w:val="0"/>
      <w:divBdr>
        <w:top w:val="none" w:sz="0" w:space="0" w:color="auto"/>
        <w:left w:val="none" w:sz="0" w:space="0" w:color="auto"/>
        <w:bottom w:val="none" w:sz="0" w:space="0" w:color="auto"/>
        <w:right w:val="none" w:sz="0" w:space="0" w:color="auto"/>
      </w:divBdr>
    </w:div>
    <w:div w:id="670177295">
      <w:bodyDiv w:val="1"/>
      <w:marLeft w:val="0"/>
      <w:marRight w:val="0"/>
      <w:marTop w:val="0"/>
      <w:marBottom w:val="0"/>
      <w:divBdr>
        <w:top w:val="none" w:sz="0" w:space="0" w:color="auto"/>
        <w:left w:val="none" w:sz="0" w:space="0" w:color="auto"/>
        <w:bottom w:val="none" w:sz="0" w:space="0" w:color="auto"/>
        <w:right w:val="none" w:sz="0" w:space="0" w:color="auto"/>
      </w:divBdr>
    </w:div>
    <w:div w:id="671447631">
      <w:bodyDiv w:val="1"/>
      <w:marLeft w:val="0"/>
      <w:marRight w:val="0"/>
      <w:marTop w:val="0"/>
      <w:marBottom w:val="0"/>
      <w:divBdr>
        <w:top w:val="none" w:sz="0" w:space="0" w:color="auto"/>
        <w:left w:val="none" w:sz="0" w:space="0" w:color="auto"/>
        <w:bottom w:val="none" w:sz="0" w:space="0" w:color="auto"/>
        <w:right w:val="none" w:sz="0" w:space="0" w:color="auto"/>
      </w:divBdr>
    </w:div>
    <w:div w:id="671565863">
      <w:bodyDiv w:val="1"/>
      <w:marLeft w:val="0"/>
      <w:marRight w:val="0"/>
      <w:marTop w:val="0"/>
      <w:marBottom w:val="0"/>
      <w:divBdr>
        <w:top w:val="none" w:sz="0" w:space="0" w:color="auto"/>
        <w:left w:val="none" w:sz="0" w:space="0" w:color="auto"/>
        <w:bottom w:val="none" w:sz="0" w:space="0" w:color="auto"/>
        <w:right w:val="none" w:sz="0" w:space="0" w:color="auto"/>
      </w:divBdr>
    </w:div>
    <w:div w:id="672027713">
      <w:bodyDiv w:val="1"/>
      <w:marLeft w:val="0"/>
      <w:marRight w:val="0"/>
      <w:marTop w:val="0"/>
      <w:marBottom w:val="0"/>
      <w:divBdr>
        <w:top w:val="none" w:sz="0" w:space="0" w:color="auto"/>
        <w:left w:val="none" w:sz="0" w:space="0" w:color="auto"/>
        <w:bottom w:val="none" w:sz="0" w:space="0" w:color="auto"/>
        <w:right w:val="none" w:sz="0" w:space="0" w:color="auto"/>
      </w:divBdr>
    </w:div>
    <w:div w:id="672143898">
      <w:bodyDiv w:val="1"/>
      <w:marLeft w:val="0"/>
      <w:marRight w:val="0"/>
      <w:marTop w:val="0"/>
      <w:marBottom w:val="0"/>
      <w:divBdr>
        <w:top w:val="none" w:sz="0" w:space="0" w:color="auto"/>
        <w:left w:val="none" w:sz="0" w:space="0" w:color="auto"/>
        <w:bottom w:val="none" w:sz="0" w:space="0" w:color="auto"/>
        <w:right w:val="none" w:sz="0" w:space="0" w:color="auto"/>
      </w:divBdr>
    </w:div>
    <w:div w:id="672613944">
      <w:bodyDiv w:val="1"/>
      <w:marLeft w:val="0"/>
      <w:marRight w:val="0"/>
      <w:marTop w:val="0"/>
      <w:marBottom w:val="0"/>
      <w:divBdr>
        <w:top w:val="none" w:sz="0" w:space="0" w:color="auto"/>
        <w:left w:val="none" w:sz="0" w:space="0" w:color="auto"/>
        <w:bottom w:val="none" w:sz="0" w:space="0" w:color="auto"/>
        <w:right w:val="none" w:sz="0" w:space="0" w:color="auto"/>
      </w:divBdr>
    </w:div>
    <w:div w:id="673218267">
      <w:bodyDiv w:val="1"/>
      <w:marLeft w:val="0"/>
      <w:marRight w:val="0"/>
      <w:marTop w:val="0"/>
      <w:marBottom w:val="0"/>
      <w:divBdr>
        <w:top w:val="none" w:sz="0" w:space="0" w:color="auto"/>
        <w:left w:val="none" w:sz="0" w:space="0" w:color="auto"/>
        <w:bottom w:val="none" w:sz="0" w:space="0" w:color="auto"/>
        <w:right w:val="none" w:sz="0" w:space="0" w:color="auto"/>
      </w:divBdr>
    </w:div>
    <w:div w:id="673923683">
      <w:bodyDiv w:val="1"/>
      <w:marLeft w:val="0"/>
      <w:marRight w:val="0"/>
      <w:marTop w:val="0"/>
      <w:marBottom w:val="0"/>
      <w:divBdr>
        <w:top w:val="none" w:sz="0" w:space="0" w:color="auto"/>
        <w:left w:val="none" w:sz="0" w:space="0" w:color="auto"/>
        <w:bottom w:val="none" w:sz="0" w:space="0" w:color="auto"/>
        <w:right w:val="none" w:sz="0" w:space="0" w:color="auto"/>
      </w:divBdr>
    </w:div>
    <w:div w:id="675041607">
      <w:bodyDiv w:val="1"/>
      <w:marLeft w:val="0"/>
      <w:marRight w:val="0"/>
      <w:marTop w:val="0"/>
      <w:marBottom w:val="0"/>
      <w:divBdr>
        <w:top w:val="none" w:sz="0" w:space="0" w:color="auto"/>
        <w:left w:val="none" w:sz="0" w:space="0" w:color="auto"/>
        <w:bottom w:val="none" w:sz="0" w:space="0" w:color="auto"/>
        <w:right w:val="none" w:sz="0" w:space="0" w:color="auto"/>
      </w:divBdr>
    </w:div>
    <w:div w:id="675497242">
      <w:bodyDiv w:val="1"/>
      <w:marLeft w:val="0"/>
      <w:marRight w:val="0"/>
      <w:marTop w:val="0"/>
      <w:marBottom w:val="0"/>
      <w:divBdr>
        <w:top w:val="none" w:sz="0" w:space="0" w:color="auto"/>
        <w:left w:val="none" w:sz="0" w:space="0" w:color="auto"/>
        <w:bottom w:val="none" w:sz="0" w:space="0" w:color="auto"/>
        <w:right w:val="none" w:sz="0" w:space="0" w:color="auto"/>
      </w:divBdr>
    </w:div>
    <w:div w:id="675502743">
      <w:bodyDiv w:val="1"/>
      <w:marLeft w:val="0"/>
      <w:marRight w:val="0"/>
      <w:marTop w:val="0"/>
      <w:marBottom w:val="0"/>
      <w:divBdr>
        <w:top w:val="none" w:sz="0" w:space="0" w:color="auto"/>
        <w:left w:val="none" w:sz="0" w:space="0" w:color="auto"/>
        <w:bottom w:val="none" w:sz="0" w:space="0" w:color="auto"/>
        <w:right w:val="none" w:sz="0" w:space="0" w:color="auto"/>
      </w:divBdr>
    </w:div>
    <w:div w:id="676813113">
      <w:bodyDiv w:val="1"/>
      <w:marLeft w:val="0"/>
      <w:marRight w:val="0"/>
      <w:marTop w:val="0"/>
      <w:marBottom w:val="0"/>
      <w:divBdr>
        <w:top w:val="none" w:sz="0" w:space="0" w:color="auto"/>
        <w:left w:val="none" w:sz="0" w:space="0" w:color="auto"/>
        <w:bottom w:val="none" w:sz="0" w:space="0" w:color="auto"/>
        <w:right w:val="none" w:sz="0" w:space="0" w:color="auto"/>
      </w:divBdr>
    </w:div>
    <w:div w:id="677200684">
      <w:bodyDiv w:val="1"/>
      <w:marLeft w:val="0"/>
      <w:marRight w:val="0"/>
      <w:marTop w:val="0"/>
      <w:marBottom w:val="0"/>
      <w:divBdr>
        <w:top w:val="none" w:sz="0" w:space="0" w:color="auto"/>
        <w:left w:val="none" w:sz="0" w:space="0" w:color="auto"/>
        <w:bottom w:val="none" w:sz="0" w:space="0" w:color="auto"/>
        <w:right w:val="none" w:sz="0" w:space="0" w:color="auto"/>
      </w:divBdr>
    </w:div>
    <w:div w:id="678387014">
      <w:bodyDiv w:val="1"/>
      <w:marLeft w:val="0"/>
      <w:marRight w:val="0"/>
      <w:marTop w:val="0"/>
      <w:marBottom w:val="0"/>
      <w:divBdr>
        <w:top w:val="none" w:sz="0" w:space="0" w:color="auto"/>
        <w:left w:val="none" w:sz="0" w:space="0" w:color="auto"/>
        <w:bottom w:val="none" w:sz="0" w:space="0" w:color="auto"/>
        <w:right w:val="none" w:sz="0" w:space="0" w:color="auto"/>
      </w:divBdr>
    </w:div>
    <w:div w:id="678777707">
      <w:bodyDiv w:val="1"/>
      <w:marLeft w:val="0"/>
      <w:marRight w:val="0"/>
      <w:marTop w:val="0"/>
      <w:marBottom w:val="0"/>
      <w:divBdr>
        <w:top w:val="none" w:sz="0" w:space="0" w:color="auto"/>
        <w:left w:val="none" w:sz="0" w:space="0" w:color="auto"/>
        <w:bottom w:val="none" w:sz="0" w:space="0" w:color="auto"/>
        <w:right w:val="none" w:sz="0" w:space="0" w:color="auto"/>
      </w:divBdr>
    </w:div>
    <w:div w:id="678972084">
      <w:bodyDiv w:val="1"/>
      <w:marLeft w:val="0"/>
      <w:marRight w:val="0"/>
      <w:marTop w:val="0"/>
      <w:marBottom w:val="0"/>
      <w:divBdr>
        <w:top w:val="none" w:sz="0" w:space="0" w:color="auto"/>
        <w:left w:val="none" w:sz="0" w:space="0" w:color="auto"/>
        <w:bottom w:val="none" w:sz="0" w:space="0" w:color="auto"/>
        <w:right w:val="none" w:sz="0" w:space="0" w:color="auto"/>
      </w:divBdr>
    </w:div>
    <w:div w:id="679432221">
      <w:bodyDiv w:val="1"/>
      <w:marLeft w:val="0"/>
      <w:marRight w:val="0"/>
      <w:marTop w:val="0"/>
      <w:marBottom w:val="0"/>
      <w:divBdr>
        <w:top w:val="none" w:sz="0" w:space="0" w:color="auto"/>
        <w:left w:val="none" w:sz="0" w:space="0" w:color="auto"/>
        <w:bottom w:val="none" w:sz="0" w:space="0" w:color="auto"/>
        <w:right w:val="none" w:sz="0" w:space="0" w:color="auto"/>
      </w:divBdr>
    </w:div>
    <w:div w:id="680546267">
      <w:bodyDiv w:val="1"/>
      <w:marLeft w:val="0"/>
      <w:marRight w:val="0"/>
      <w:marTop w:val="0"/>
      <w:marBottom w:val="0"/>
      <w:divBdr>
        <w:top w:val="none" w:sz="0" w:space="0" w:color="auto"/>
        <w:left w:val="none" w:sz="0" w:space="0" w:color="auto"/>
        <w:bottom w:val="none" w:sz="0" w:space="0" w:color="auto"/>
        <w:right w:val="none" w:sz="0" w:space="0" w:color="auto"/>
      </w:divBdr>
    </w:div>
    <w:div w:id="680670136">
      <w:bodyDiv w:val="1"/>
      <w:marLeft w:val="0"/>
      <w:marRight w:val="0"/>
      <w:marTop w:val="0"/>
      <w:marBottom w:val="0"/>
      <w:divBdr>
        <w:top w:val="none" w:sz="0" w:space="0" w:color="auto"/>
        <w:left w:val="none" w:sz="0" w:space="0" w:color="auto"/>
        <w:bottom w:val="none" w:sz="0" w:space="0" w:color="auto"/>
        <w:right w:val="none" w:sz="0" w:space="0" w:color="auto"/>
      </w:divBdr>
    </w:div>
    <w:div w:id="680937553">
      <w:bodyDiv w:val="1"/>
      <w:marLeft w:val="0"/>
      <w:marRight w:val="0"/>
      <w:marTop w:val="0"/>
      <w:marBottom w:val="0"/>
      <w:divBdr>
        <w:top w:val="none" w:sz="0" w:space="0" w:color="auto"/>
        <w:left w:val="none" w:sz="0" w:space="0" w:color="auto"/>
        <w:bottom w:val="none" w:sz="0" w:space="0" w:color="auto"/>
        <w:right w:val="none" w:sz="0" w:space="0" w:color="auto"/>
      </w:divBdr>
    </w:div>
    <w:div w:id="681661089">
      <w:bodyDiv w:val="1"/>
      <w:marLeft w:val="0"/>
      <w:marRight w:val="0"/>
      <w:marTop w:val="0"/>
      <w:marBottom w:val="0"/>
      <w:divBdr>
        <w:top w:val="none" w:sz="0" w:space="0" w:color="auto"/>
        <w:left w:val="none" w:sz="0" w:space="0" w:color="auto"/>
        <w:bottom w:val="none" w:sz="0" w:space="0" w:color="auto"/>
        <w:right w:val="none" w:sz="0" w:space="0" w:color="auto"/>
      </w:divBdr>
    </w:div>
    <w:div w:id="683359031">
      <w:bodyDiv w:val="1"/>
      <w:marLeft w:val="0"/>
      <w:marRight w:val="0"/>
      <w:marTop w:val="0"/>
      <w:marBottom w:val="0"/>
      <w:divBdr>
        <w:top w:val="none" w:sz="0" w:space="0" w:color="auto"/>
        <w:left w:val="none" w:sz="0" w:space="0" w:color="auto"/>
        <w:bottom w:val="none" w:sz="0" w:space="0" w:color="auto"/>
        <w:right w:val="none" w:sz="0" w:space="0" w:color="auto"/>
      </w:divBdr>
    </w:div>
    <w:div w:id="684479361">
      <w:bodyDiv w:val="1"/>
      <w:marLeft w:val="0"/>
      <w:marRight w:val="0"/>
      <w:marTop w:val="0"/>
      <w:marBottom w:val="0"/>
      <w:divBdr>
        <w:top w:val="none" w:sz="0" w:space="0" w:color="auto"/>
        <w:left w:val="none" w:sz="0" w:space="0" w:color="auto"/>
        <w:bottom w:val="none" w:sz="0" w:space="0" w:color="auto"/>
        <w:right w:val="none" w:sz="0" w:space="0" w:color="auto"/>
      </w:divBdr>
    </w:div>
    <w:div w:id="684601138">
      <w:bodyDiv w:val="1"/>
      <w:marLeft w:val="0"/>
      <w:marRight w:val="0"/>
      <w:marTop w:val="0"/>
      <w:marBottom w:val="0"/>
      <w:divBdr>
        <w:top w:val="none" w:sz="0" w:space="0" w:color="auto"/>
        <w:left w:val="none" w:sz="0" w:space="0" w:color="auto"/>
        <w:bottom w:val="none" w:sz="0" w:space="0" w:color="auto"/>
        <w:right w:val="none" w:sz="0" w:space="0" w:color="auto"/>
      </w:divBdr>
    </w:div>
    <w:div w:id="684941628">
      <w:bodyDiv w:val="1"/>
      <w:marLeft w:val="0"/>
      <w:marRight w:val="0"/>
      <w:marTop w:val="0"/>
      <w:marBottom w:val="0"/>
      <w:divBdr>
        <w:top w:val="none" w:sz="0" w:space="0" w:color="auto"/>
        <w:left w:val="none" w:sz="0" w:space="0" w:color="auto"/>
        <w:bottom w:val="none" w:sz="0" w:space="0" w:color="auto"/>
        <w:right w:val="none" w:sz="0" w:space="0" w:color="auto"/>
      </w:divBdr>
    </w:div>
    <w:div w:id="685331637">
      <w:bodyDiv w:val="1"/>
      <w:marLeft w:val="0"/>
      <w:marRight w:val="0"/>
      <w:marTop w:val="0"/>
      <w:marBottom w:val="0"/>
      <w:divBdr>
        <w:top w:val="none" w:sz="0" w:space="0" w:color="auto"/>
        <w:left w:val="none" w:sz="0" w:space="0" w:color="auto"/>
        <w:bottom w:val="none" w:sz="0" w:space="0" w:color="auto"/>
        <w:right w:val="none" w:sz="0" w:space="0" w:color="auto"/>
      </w:divBdr>
    </w:div>
    <w:div w:id="685445088">
      <w:bodyDiv w:val="1"/>
      <w:marLeft w:val="0"/>
      <w:marRight w:val="0"/>
      <w:marTop w:val="0"/>
      <w:marBottom w:val="0"/>
      <w:divBdr>
        <w:top w:val="none" w:sz="0" w:space="0" w:color="auto"/>
        <w:left w:val="none" w:sz="0" w:space="0" w:color="auto"/>
        <w:bottom w:val="none" w:sz="0" w:space="0" w:color="auto"/>
        <w:right w:val="none" w:sz="0" w:space="0" w:color="auto"/>
      </w:divBdr>
    </w:div>
    <w:div w:id="685788802">
      <w:bodyDiv w:val="1"/>
      <w:marLeft w:val="0"/>
      <w:marRight w:val="0"/>
      <w:marTop w:val="0"/>
      <w:marBottom w:val="0"/>
      <w:divBdr>
        <w:top w:val="none" w:sz="0" w:space="0" w:color="auto"/>
        <w:left w:val="none" w:sz="0" w:space="0" w:color="auto"/>
        <w:bottom w:val="none" w:sz="0" w:space="0" w:color="auto"/>
        <w:right w:val="none" w:sz="0" w:space="0" w:color="auto"/>
      </w:divBdr>
    </w:div>
    <w:div w:id="686449805">
      <w:bodyDiv w:val="1"/>
      <w:marLeft w:val="0"/>
      <w:marRight w:val="0"/>
      <w:marTop w:val="0"/>
      <w:marBottom w:val="0"/>
      <w:divBdr>
        <w:top w:val="none" w:sz="0" w:space="0" w:color="auto"/>
        <w:left w:val="none" w:sz="0" w:space="0" w:color="auto"/>
        <w:bottom w:val="none" w:sz="0" w:space="0" w:color="auto"/>
        <w:right w:val="none" w:sz="0" w:space="0" w:color="auto"/>
      </w:divBdr>
      <w:divsChild>
        <w:div w:id="255791737">
          <w:marLeft w:val="547"/>
          <w:marRight w:val="0"/>
          <w:marTop w:val="0"/>
          <w:marBottom w:val="0"/>
          <w:divBdr>
            <w:top w:val="none" w:sz="0" w:space="0" w:color="auto"/>
            <w:left w:val="none" w:sz="0" w:space="0" w:color="auto"/>
            <w:bottom w:val="none" w:sz="0" w:space="0" w:color="auto"/>
            <w:right w:val="none" w:sz="0" w:space="0" w:color="auto"/>
          </w:divBdr>
        </w:div>
      </w:divsChild>
    </w:div>
    <w:div w:id="686718140">
      <w:bodyDiv w:val="1"/>
      <w:marLeft w:val="0"/>
      <w:marRight w:val="0"/>
      <w:marTop w:val="0"/>
      <w:marBottom w:val="0"/>
      <w:divBdr>
        <w:top w:val="none" w:sz="0" w:space="0" w:color="auto"/>
        <w:left w:val="none" w:sz="0" w:space="0" w:color="auto"/>
        <w:bottom w:val="none" w:sz="0" w:space="0" w:color="auto"/>
        <w:right w:val="none" w:sz="0" w:space="0" w:color="auto"/>
      </w:divBdr>
    </w:div>
    <w:div w:id="686834182">
      <w:bodyDiv w:val="1"/>
      <w:marLeft w:val="0"/>
      <w:marRight w:val="0"/>
      <w:marTop w:val="0"/>
      <w:marBottom w:val="0"/>
      <w:divBdr>
        <w:top w:val="none" w:sz="0" w:space="0" w:color="auto"/>
        <w:left w:val="none" w:sz="0" w:space="0" w:color="auto"/>
        <w:bottom w:val="none" w:sz="0" w:space="0" w:color="auto"/>
        <w:right w:val="none" w:sz="0" w:space="0" w:color="auto"/>
      </w:divBdr>
    </w:div>
    <w:div w:id="687297406">
      <w:bodyDiv w:val="1"/>
      <w:marLeft w:val="0"/>
      <w:marRight w:val="0"/>
      <w:marTop w:val="0"/>
      <w:marBottom w:val="0"/>
      <w:divBdr>
        <w:top w:val="none" w:sz="0" w:space="0" w:color="auto"/>
        <w:left w:val="none" w:sz="0" w:space="0" w:color="auto"/>
        <w:bottom w:val="none" w:sz="0" w:space="0" w:color="auto"/>
        <w:right w:val="none" w:sz="0" w:space="0" w:color="auto"/>
      </w:divBdr>
    </w:div>
    <w:div w:id="687368330">
      <w:bodyDiv w:val="1"/>
      <w:marLeft w:val="0"/>
      <w:marRight w:val="0"/>
      <w:marTop w:val="0"/>
      <w:marBottom w:val="0"/>
      <w:divBdr>
        <w:top w:val="none" w:sz="0" w:space="0" w:color="auto"/>
        <w:left w:val="none" w:sz="0" w:space="0" w:color="auto"/>
        <w:bottom w:val="none" w:sz="0" w:space="0" w:color="auto"/>
        <w:right w:val="none" w:sz="0" w:space="0" w:color="auto"/>
      </w:divBdr>
    </w:div>
    <w:div w:id="687370202">
      <w:bodyDiv w:val="1"/>
      <w:marLeft w:val="0"/>
      <w:marRight w:val="0"/>
      <w:marTop w:val="0"/>
      <w:marBottom w:val="0"/>
      <w:divBdr>
        <w:top w:val="none" w:sz="0" w:space="0" w:color="auto"/>
        <w:left w:val="none" w:sz="0" w:space="0" w:color="auto"/>
        <w:bottom w:val="none" w:sz="0" w:space="0" w:color="auto"/>
        <w:right w:val="none" w:sz="0" w:space="0" w:color="auto"/>
      </w:divBdr>
    </w:div>
    <w:div w:id="687635551">
      <w:bodyDiv w:val="1"/>
      <w:marLeft w:val="0"/>
      <w:marRight w:val="0"/>
      <w:marTop w:val="0"/>
      <w:marBottom w:val="0"/>
      <w:divBdr>
        <w:top w:val="none" w:sz="0" w:space="0" w:color="auto"/>
        <w:left w:val="none" w:sz="0" w:space="0" w:color="auto"/>
        <w:bottom w:val="none" w:sz="0" w:space="0" w:color="auto"/>
        <w:right w:val="none" w:sz="0" w:space="0" w:color="auto"/>
      </w:divBdr>
    </w:div>
    <w:div w:id="687757090">
      <w:bodyDiv w:val="1"/>
      <w:marLeft w:val="0"/>
      <w:marRight w:val="0"/>
      <w:marTop w:val="0"/>
      <w:marBottom w:val="0"/>
      <w:divBdr>
        <w:top w:val="none" w:sz="0" w:space="0" w:color="auto"/>
        <w:left w:val="none" w:sz="0" w:space="0" w:color="auto"/>
        <w:bottom w:val="none" w:sz="0" w:space="0" w:color="auto"/>
        <w:right w:val="none" w:sz="0" w:space="0" w:color="auto"/>
      </w:divBdr>
    </w:div>
    <w:div w:id="687757323">
      <w:bodyDiv w:val="1"/>
      <w:marLeft w:val="0"/>
      <w:marRight w:val="0"/>
      <w:marTop w:val="0"/>
      <w:marBottom w:val="0"/>
      <w:divBdr>
        <w:top w:val="none" w:sz="0" w:space="0" w:color="auto"/>
        <w:left w:val="none" w:sz="0" w:space="0" w:color="auto"/>
        <w:bottom w:val="none" w:sz="0" w:space="0" w:color="auto"/>
        <w:right w:val="none" w:sz="0" w:space="0" w:color="auto"/>
      </w:divBdr>
    </w:div>
    <w:div w:id="687869139">
      <w:bodyDiv w:val="1"/>
      <w:marLeft w:val="0"/>
      <w:marRight w:val="0"/>
      <w:marTop w:val="0"/>
      <w:marBottom w:val="0"/>
      <w:divBdr>
        <w:top w:val="none" w:sz="0" w:space="0" w:color="auto"/>
        <w:left w:val="none" w:sz="0" w:space="0" w:color="auto"/>
        <w:bottom w:val="none" w:sz="0" w:space="0" w:color="auto"/>
        <w:right w:val="none" w:sz="0" w:space="0" w:color="auto"/>
      </w:divBdr>
    </w:div>
    <w:div w:id="687950428">
      <w:bodyDiv w:val="1"/>
      <w:marLeft w:val="0"/>
      <w:marRight w:val="0"/>
      <w:marTop w:val="0"/>
      <w:marBottom w:val="0"/>
      <w:divBdr>
        <w:top w:val="none" w:sz="0" w:space="0" w:color="auto"/>
        <w:left w:val="none" w:sz="0" w:space="0" w:color="auto"/>
        <w:bottom w:val="none" w:sz="0" w:space="0" w:color="auto"/>
        <w:right w:val="none" w:sz="0" w:space="0" w:color="auto"/>
      </w:divBdr>
    </w:div>
    <w:div w:id="688259685">
      <w:bodyDiv w:val="1"/>
      <w:marLeft w:val="0"/>
      <w:marRight w:val="0"/>
      <w:marTop w:val="0"/>
      <w:marBottom w:val="0"/>
      <w:divBdr>
        <w:top w:val="none" w:sz="0" w:space="0" w:color="auto"/>
        <w:left w:val="none" w:sz="0" w:space="0" w:color="auto"/>
        <w:bottom w:val="none" w:sz="0" w:space="0" w:color="auto"/>
        <w:right w:val="none" w:sz="0" w:space="0" w:color="auto"/>
      </w:divBdr>
    </w:div>
    <w:div w:id="688609018">
      <w:bodyDiv w:val="1"/>
      <w:marLeft w:val="0"/>
      <w:marRight w:val="0"/>
      <w:marTop w:val="0"/>
      <w:marBottom w:val="0"/>
      <w:divBdr>
        <w:top w:val="none" w:sz="0" w:space="0" w:color="auto"/>
        <w:left w:val="none" w:sz="0" w:space="0" w:color="auto"/>
        <w:bottom w:val="none" w:sz="0" w:space="0" w:color="auto"/>
        <w:right w:val="none" w:sz="0" w:space="0" w:color="auto"/>
      </w:divBdr>
    </w:div>
    <w:div w:id="688989697">
      <w:bodyDiv w:val="1"/>
      <w:marLeft w:val="0"/>
      <w:marRight w:val="0"/>
      <w:marTop w:val="0"/>
      <w:marBottom w:val="0"/>
      <w:divBdr>
        <w:top w:val="none" w:sz="0" w:space="0" w:color="auto"/>
        <w:left w:val="none" w:sz="0" w:space="0" w:color="auto"/>
        <w:bottom w:val="none" w:sz="0" w:space="0" w:color="auto"/>
        <w:right w:val="none" w:sz="0" w:space="0" w:color="auto"/>
      </w:divBdr>
    </w:div>
    <w:div w:id="689798105">
      <w:bodyDiv w:val="1"/>
      <w:marLeft w:val="0"/>
      <w:marRight w:val="0"/>
      <w:marTop w:val="0"/>
      <w:marBottom w:val="0"/>
      <w:divBdr>
        <w:top w:val="none" w:sz="0" w:space="0" w:color="auto"/>
        <w:left w:val="none" w:sz="0" w:space="0" w:color="auto"/>
        <w:bottom w:val="none" w:sz="0" w:space="0" w:color="auto"/>
        <w:right w:val="none" w:sz="0" w:space="0" w:color="auto"/>
      </w:divBdr>
    </w:div>
    <w:div w:id="690104367">
      <w:bodyDiv w:val="1"/>
      <w:marLeft w:val="0"/>
      <w:marRight w:val="0"/>
      <w:marTop w:val="0"/>
      <w:marBottom w:val="0"/>
      <w:divBdr>
        <w:top w:val="none" w:sz="0" w:space="0" w:color="auto"/>
        <w:left w:val="none" w:sz="0" w:space="0" w:color="auto"/>
        <w:bottom w:val="none" w:sz="0" w:space="0" w:color="auto"/>
        <w:right w:val="none" w:sz="0" w:space="0" w:color="auto"/>
      </w:divBdr>
    </w:div>
    <w:div w:id="690836560">
      <w:bodyDiv w:val="1"/>
      <w:marLeft w:val="0"/>
      <w:marRight w:val="0"/>
      <w:marTop w:val="0"/>
      <w:marBottom w:val="0"/>
      <w:divBdr>
        <w:top w:val="none" w:sz="0" w:space="0" w:color="auto"/>
        <w:left w:val="none" w:sz="0" w:space="0" w:color="auto"/>
        <w:bottom w:val="none" w:sz="0" w:space="0" w:color="auto"/>
        <w:right w:val="none" w:sz="0" w:space="0" w:color="auto"/>
      </w:divBdr>
    </w:div>
    <w:div w:id="692615376">
      <w:bodyDiv w:val="1"/>
      <w:marLeft w:val="0"/>
      <w:marRight w:val="0"/>
      <w:marTop w:val="0"/>
      <w:marBottom w:val="0"/>
      <w:divBdr>
        <w:top w:val="none" w:sz="0" w:space="0" w:color="auto"/>
        <w:left w:val="none" w:sz="0" w:space="0" w:color="auto"/>
        <w:bottom w:val="none" w:sz="0" w:space="0" w:color="auto"/>
        <w:right w:val="none" w:sz="0" w:space="0" w:color="auto"/>
      </w:divBdr>
    </w:div>
    <w:div w:id="692800666">
      <w:bodyDiv w:val="1"/>
      <w:marLeft w:val="0"/>
      <w:marRight w:val="0"/>
      <w:marTop w:val="0"/>
      <w:marBottom w:val="0"/>
      <w:divBdr>
        <w:top w:val="none" w:sz="0" w:space="0" w:color="auto"/>
        <w:left w:val="none" w:sz="0" w:space="0" w:color="auto"/>
        <w:bottom w:val="none" w:sz="0" w:space="0" w:color="auto"/>
        <w:right w:val="none" w:sz="0" w:space="0" w:color="auto"/>
      </w:divBdr>
    </w:div>
    <w:div w:id="694573502">
      <w:bodyDiv w:val="1"/>
      <w:marLeft w:val="0"/>
      <w:marRight w:val="0"/>
      <w:marTop w:val="0"/>
      <w:marBottom w:val="0"/>
      <w:divBdr>
        <w:top w:val="none" w:sz="0" w:space="0" w:color="auto"/>
        <w:left w:val="none" w:sz="0" w:space="0" w:color="auto"/>
        <w:bottom w:val="none" w:sz="0" w:space="0" w:color="auto"/>
        <w:right w:val="none" w:sz="0" w:space="0" w:color="auto"/>
      </w:divBdr>
    </w:div>
    <w:div w:id="694766219">
      <w:bodyDiv w:val="1"/>
      <w:marLeft w:val="0"/>
      <w:marRight w:val="0"/>
      <w:marTop w:val="0"/>
      <w:marBottom w:val="0"/>
      <w:divBdr>
        <w:top w:val="none" w:sz="0" w:space="0" w:color="auto"/>
        <w:left w:val="none" w:sz="0" w:space="0" w:color="auto"/>
        <w:bottom w:val="none" w:sz="0" w:space="0" w:color="auto"/>
        <w:right w:val="none" w:sz="0" w:space="0" w:color="auto"/>
      </w:divBdr>
    </w:div>
    <w:div w:id="696201009">
      <w:bodyDiv w:val="1"/>
      <w:marLeft w:val="0"/>
      <w:marRight w:val="0"/>
      <w:marTop w:val="0"/>
      <w:marBottom w:val="0"/>
      <w:divBdr>
        <w:top w:val="none" w:sz="0" w:space="0" w:color="auto"/>
        <w:left w:val="none" w:sz="0" w:space="0" w:color="auto"/>
        <w:bottom w:val="none" w:sz="0" w:space="0" w:color="auto"/>
        <w:right w:val="none" w:sz="0" w:space="0" w:color="auto"/>
      </w:divBdr>
    </w:div>
    <w:div w:id="696588360">
      <w:bodyDiv w:val="1"/>
      <w:marLeft w:val="0"/>
      <w:marRight w:val="0"/>
      <w:marTop w:val="0"/>
      <w:marBottom w:val="0"/>
      <w:divBdr>
        <w:top w:val="none" w:sz="0" w:space="0" w:color="auto"/>
        <w:left w:val="none" w:sz="0" w:space="0" w:color="auto"/>
        <w:bottom w:val="none" w:sz="0" w:space="0" w:color="auto"/>
        <w:right w:val="none" w:sz="0" w:space="0" w:color="auto"/>
      </w:divBdr>
    </w:div>
    <w:div w:id="696781138">
      <w:bodyDiv w:val="1"/>
      <w:marLeft w:val="0"/>
      <w:marRight w:val="0"/>
      <w:marTop w:val="0"/>
      <w:marBottom w:val="0"/>
      <w:divBdr>
        <w:top w:val="none" w:sz="0" w:space="0" w:color="auto"/>
        <w:left w:val="none" w:sz="0" w:space="0" w:color="auto"/>
        <w:bottom w:val="none" w:sz="0" w:space="0" w:color="auto"/>
        <w:right w:val="none" w:sz="0" w:space="0" w:color="auto"/>
      </w:divBdr>
    </w:div>
    <w:div w:id="697202246">
      <w:bodyDiv w:val="1"/>
      <w:marLeft w:val="0"/>
      <w:marRight w:val="0"/>
      <w:marTop w:val="0"/>
      <w:marBottom w:val="0"/>
      <w:divBdr>
        <w:top w:val="none" w:sz="0" w:space="0" w:color="auto"/>
        <w:left w:val="none" w:sz="0" w:space="0" w:color="auto"/>
        <w:bottom w:val="none" w:sz="0" w:space="0" w:color="auto"/>
        <w:right w:val="none" w:sz="0" w:space="0" w:color="auto"/>
      </w:divBdr>
    </w:div>
    <w:div w:id="697509215">
      <w:bodyDiv w:val="1"/>
      <w:marLeft w:val="0"/>
      <w:marRight w:val="0"/>
      <w:marTop w:val="0"/>
      <w:marBottom w:val="0"/>
      <w:divBdr>
        <w:top w:val="none" w:sz="0" w:space="0" w:color="auto"/>
        <w:left w:val="none" w:sz="0" w:space="0" w:color="auto"/>
        <w:bottom w:val="none" w:sz="0" w:space="0" w:color="auto"/>
        <w:right w:val="none" w:sz="0" w:space="0" w:color="auto"/>
      </w:divBdr>
    </w:div>
    <w:div w:id="697655617">
      <w:bodyDiv w:val="1"/>
      <w:marLeft w:val="0"/>
      <w:marRight w:val="0"/>
      <w:marTop w:val="0"/>
      <w:marBottom w:val="0"/>
      <w:divBdr>
        <w:top w:val="none" w:sz="0" w:space="0" w:color="auto"/>
        <w:left w:val="none" w:sz="0" w:space="0" w:color="auto"/>
        <w:bottom w:val="none" w:sz="0" w:space="0" w:color="auto"/>
        <w:right w:val="none" w:sz="0" w:space="0" w:color="auto"/>
      </w:divBdr>
    </w:div>
    <w:div w:id="697975823">
      <w:bodyDiv w:val="1"/>
      <w:marLeft w:val="0"/>
      <w:marRight w:val="0"/>
      <w:marTop w:val="0"/>
      <w:marBottom w:val="0"/>
      <w:divBdr>
        <w:top w:val="none" w:sz="0" w:space="0" w:color="auto"/>
        <w:left w:val="none" w:sz="0" w:space="0" w:color="auto"/>
        <w:bottom w:val="none" w:sz="0" w:space="0" w:color="auto"/>
        <w:right w:val="none" w:sz="0" w:space="0" w:color="auto"/>
      </w:divBdr>
    </w:div>
    <w:div w:id="698050213">
      <w:bodyDiv w:val="1"/>
      <w:marLeft w:val="0"/>
      <w:marRight w:val="0"/>
      <w:marTop w:val="0"/>
      <w:marBottom w:val="0"/>
      <w:divBdr>
        <w:top w:val="none" w:sz="0" w:space="0" w:color="auto"/>
        <w:left w:val="none" w:sz="0" w:space="0" w:color="auto"/>
        <w:bottom w:val="none" w:sz="0" w:space="0" w:color="auto"/>
        <w:right w:val="none" w:sz="0" w:space="0" w:color="auto"/>
      </w:divBdr>
    </w:div>
    <w:div w:id="698362945">
      <w:bodyDiv w:val="1"/>
      <w:marLeft w:val="0"/>
      <w:marRight w:val="0"/>
      <w:marTop w:val="0"/>
      <w:marBottom w:val="0"/>
      <w:divBdr>
        <w:top w:val="none" w:sz="0" w:space="0" w:color="auto"/>
        <w:left w:val="none" w:sz="0" w:space="0" w:color="auto"/>
        <w:bottom w:val="none" w:sz="0" w:space="0" w:color="auto"/>
        <w:right w:val="none" w:sz="0" w:space="0" w:color="auto"/>
      </w:divBdr>
    </w:div>
    <w:div w:id="698622816">
      <w:bodyDiv w:val="1"/>
      <w:marLeft w:val="0"/>
      <w:marRight w:val="0"/>
      <w:marTop w:val="0"/>
      <w:marBottom w:val="0"/>
      <w:divBdr>
        <w:top w:val="none" w:sz="0" w:space="0" w:color="auto"/>
        <w:left w:val="none" w:sz="0" w:space="0" w:color="auto"/>
        <w:bottom w:val="none" w:sz="0" w:space="0" w:color="auto"/>
        <w:right w:val="none" w:sz="0" w:space="0" w:color="auto"/>
      </w:divBdr>
    </w:div>
    <w:div w:id="699476009">
      <w:bodyDiv w:val="1"/>
      <w:marLeft w:val="0"/>
      <w:marRight w:val="0"/>
      <w:marTop w:val="0"/>
      <w:marBottom w:val="0"/>
      <w:divBdr>
        <w:top w:val="none" w:sz="0" w:space="0" w:color="auto"/>
        <w:left w:val="none" w:sz="0" w:space="0" w:color="auto"/>
        <w:bottom w:val="none" w:sz="0" w:space="0" w:color="auto"/>
        <w:right w:val="none" w:sz="0" w:space="0" w:color="auto"/>
      </w:divBdr>
    </w:div>
    <w:div w:id="700205456">
      <w:bodyDiv w:val="1"/>
      <w:marLeft w:val="0"/>
      <w:marRight w:val="0"/>
      <w:marTop w:val="0"/>
      <w:marBottom w:val="0"/>
      <w:divBdr>
        <w:top w:val="none" w:sz="0" w:space="0" w:color="auto"/>
        <w:left w:val="none" w:sz="0" w:space="0" w:color="auto"/>
        <w:bottom w:val="none" w:sz="0" w:space="0" w:color="auto"/>
        <w:right w:val="none" w:sz="0" w:space="0" w:color="auto"/>
      </w:divBdr>
    </w:div>
    <w:div w:id="700207356">
      <w:bodyDiv w:val="1"/>
      <w:marLeft w:val="0"/>
      <w:marRight w:val="0"/>
      <w:marTop w:val="0"/>
      <w:marBottom w:val="0"/>
      <w:divBdr>
        <w:top w:val="none" w:sz="0" w:space="0" w:color="auto"/>
        <w:left w:val="none" w:sz="0" w:space="0" w:color="auto"/>
        <w:bottom w:val="none" w:sz="0" w:space="0" w:color="auto"/>
        <w:right w:val="none" w:sz="0" w:space="0" w:color="auto"/>
      </w:divBdr>
    </w:div>
    <w:div w:id="700252328">
      <w:bodyDiv w:val="1"/>
      <w:marLeft w:val="0"/>
      <w:marRight w:val="0"/>
      <w:marTop w:val="0"/>
      <w:marBottom w:val="0"/>
      <w:divBdr>
        <w:top w:val="none" w:sz="0" w:space="0" w:color="auto"/>
        <w:left w:val="none" w:sz="0" w:space="0" w:color="auto"/>
        <w:bottom w:val="none" w:sz="0" w:space="0" w:color="auto"/>
        <w:right w:val="none" w:sz="0" w:space="0" w:color="auto"/>
      </w:divBdr>
    </w:div>
    <w:div w:id="700785092">
      <w:bodyDiv w:val="1"/>
      <w:marLeft w:val="0"/>
      <w:marRight w:val="0"/>
      <w:marTop w:val="0"/>
      <w:marBottom w:val="0"/>
      <w:divBdr>
        <w:top w:val="none" w:sz="0" w:space="0" w:color="auto"/>
        <w:left w:val="none" w:sz="0" w:space="0" w:color="auto"/>
        <w:bottom w:val="none" w:sz="0" w:space="0" w:color="auto"/>
        <w:right w:val="none" w:sz="0" w:space="0" w:color="auto"/>
      </w:divBdr>
    </w:div>
    <w:div w:id="701323178">
      <w:bodyDiv w:val="1"/>
      <w:marLeft w:val="0"/>
      <w:marRight w:val="0"/>
      <w:marTop w:val="0"/>
      <w:marBottom w:val="0"/>
      <w:divBdr>
        <w:top w:val="none" w:sz="0" w:space="0" w:color="auto"/>
        <w:left w:val="none" w:sz="0" w:space="0" w:color="auto"/>
        <w:bottom w:val="none" w:sz="0" w:space="0" w:color="auto"/>
        <w:right w:val="none" w:sz="0" w:space="0" w:color="auto"/>
      </w:divBdr>
    </w:div>
    <w:div w:id="701827710">
      <w:bodyDiv w:val="1"/>
      <w:marLeft w:val="0"/>
      <w:marRight w:val="0"/>
      <w:marTop w:val="0"/>
      <w:marBottom w:val="0"/>
      <w:divBdr>
        <w:top w:val="none" w:sz="0" w:space="0" w:color="auto"/>
        <w:left w:val="none" w:sz="0" w:space="0" w:color="auto"/>
        <w:bottom w:val="none" w:sz="0" w:space="0" w:color="auto"/>
        <w:right w:val="none" w:sz="0" w:space="0" w:color="auto"/>
      </w:divBdr>
    </w:div>
    <w:div w:id="703286955">
      <w:bodyDiv w:val="1"/>
      <w:marLeft w:val="0"/>
      <w:marRight w:val="0"/>
      <w:marTop w:val="0"/>
      <w:marBottom w:val="0"/>
      <w:divBdr>
        <w:top w:val="none" w:sz="0" w:space="0" w:color="auto"/>
        <w:left w:val="none" w:sz="0" w:space="0" w:color="auto"/>
        <w:bottom w:val="none" w:sz="0" w:space="0" w:color="auto"/>
        <w:right w:val="none" w:sz="0" w:space="0" w:color="auto"/>
      </w:divBdr>
    </w:div>
    <w:div w:id="703409247">
      <w:bodyDiv w:val="1"/>
      <w:marLeft w:val="0"/>
      <w:marRight w:val="0"/>
      <w:marTop w:val="0"/>
      <w:marBottom w:val="0"/>
      <w:divBdr>
        <w:top w:val="none" w:sz="0" w:space="0" w:color="auto"/>
        <w:left w:val="none" w:sz="0" w:space="0" w:color="auto"/>
        <w:bottom w:val="none" w:sz="0" w:space="0" w:color="auto"/>
        <w:right w:val="none" w:sz="0" w:space="0" w:color="auto"/>
      </w:divBdr>
    </w:div>
    <w:div w:id="704255593">
      <w:bodyDiv w:val="1"/>
      <w:marLeft w:val="0"/>
      <w:marRight w:val="0"/>
      <w:marTop w:val="0"/>
      <w:marBottom w:val="0"/>
      <w:divBdr>
        <w:top w:val="none" w:sz="0" w:space="0" w:color="auto"/>
        <w:left w:val="none" w:sz="0" w:space="0" w:color="auto"/>
        <w:bottom w:val="none" w:sz="0" w:space="0" w:color="auto"/>
        <w:right w:val="none" w:sz="0" w:space="0" w:color="auto"/>
      </w:divBdr>
    </w:div>
    <w:div w:id="704331354">
      <w:bodyDiv w:val="1"/>
      <w:marLeft w:val="0"/>
      <w:marRight w:val="0"/>
      <w:marTop w:val="0"/>
      <w:marBottom w:val="0"/>
      <w:divBdr>
        <w:top w:val="none" w:sz="0" w:space="0" w:color="auto"/>
        <w:left w:val="none" w:sz="0" w:space="0" w:color="auto"/>
        <w:bottom w:val="none" w:sz="0" w:space="0" w:color="auto"/>
        <w:right w:val="none" w:sz="0" w:space="0" w:color="auto"/>
      </w:divBdr>
    </w:div>
    <w:div w:id="704717213">
      <w:bodyDiv w:val="1"/>
      <w:marLeft w:val="0"/>
      <w:marRight w:val="0"/>
      <w:marTop w:val="0"/>
      <w:marBottom w:val="0"/>
      <w:divBdr>
        <w:top w:val="none" w:sz="0" w:space="0" w:color="auto"/>
        <w:left w:val="none" w:sz="0" w:space="0" w:color="auto"/>
        <w:bottom w:val="none" w:sz="0" w:space="0" w:color="auto"/>
        <w:right w:val="none" w:sz="0" w:space="0" w:color="auto"/>
      </w:divBdr>
    </w:div>
    <w:div w:id="704791593">
      <w:bodyDiv w:val="1"/>
      <w:marLeft w:val="0"/>
      <w:marRight w:val="0"/>
      <w:marTop w:val="0"/>
      <w:marBottom w:val="0"/>
      <w:divBdr>
        <w:top w:val="none" w:sz="0" w:space="0" w:color="auto"/>
        <w:left w:val="none" w:sz="0" w:space="0" w:color="auto"/>
        <w:bottom w:val="none" w:sz="0" w:space="0" w:color="auto"/>
        <w:right w:val="none" w:sz="0" w:space="0" w:color="auto"/>
      </w:divBdr>
    </w:div>
    <w:div w:id="705325603">
      <w:bodyDiv w:val="1"/>
      <w:marLeft w:val="0"/>
      <w:marRight w:val="0"/>
      <w:marTop w:val="0"/>
      <w:marBottom w:val="0"/>
      <w:divBdr>
        <w:top w:val="none" w:sz="0" w:space="0" w:color="auto"/>
        <w:left w:val="none" w:sz="0" w:space="0" w:color="auto"/>
        <w:bottom w:val="none" w:sz="0" w:space="0" w:color="auto"/>
        <w:right w:val="none" w:sz="0" w:space="0" w:color="auto"/>
      </w:divBdr>
    </w:div>
    <w:div w:id="706416267">
      <w:bodyDiv w:val="1"/>
      <w:marLeft w:val="0"/>
      <w:marRight w:val="0"/>
      <w:marTop w:val="0"/>
      <w:marBottom w:val="0"/>
      <w:divBdr>
        <w:top w:val="none" w:sz="0" w:space="0" w:color="auto"/>
        <w:left w:val="none" w:sz="0" w:space="0" w:color="auto"/>
        <w:bottom w:val="none" w:sz="0" w:space="0" w:color="auto"/>
        <w:right w:val="none" w:sz="0" w:space="0" w:color="auto"/>
      </w:divBdr>
    </w:div>
    <w:div w:id="707222328">
      <w:bodyDiv w:val="1"/>
      <w:marLeft w:val="0"/>
      <w:marRight w:val="0"/>
      <w:marTop w:val="0"/>
      <w:marBottom w:val="0"/>
      <w:divBdr>
        <w:top w:val="none" w:sz="0" w:space="0" w:color="auto"/>
        <w:left w:val="none" w:sz="0" w:space="0" w:color="auto"/>
        <w:bottom w:val="none" w:sz="0" w:space="0" w:color="auto"/>
        <w:right w:val="none" w:sz="0" w:space="0" w:color="auto"/>
      </w:divBdr>
    </w:div>
    <w:div w:id="707532214">
      <w:bodyDiv w:val="1"/>
      <w:marLeft w:val="0"/>
      <w:marRight w:val="0"/>
      <w:marTop w:val="0"/>
      <w:marBottom w:val="0"/>
      <w:divBdr>
        <w:top w:val="none" w:sz="0" w:space="0" w:color="auto"/>
        <w:left w:val="none" w:sz="0" w:space="0" w:color="auto"/>
        <w:bottom w:val="none" w:sz="0" w:space="0" w:color="auto"/>
        <w:right w:val="none" w:sz="0" w:space="0" w:color="auto"/>
      </w:divBdr>
    </w:div>
    <w:div w:id="708184004">
      <w:bodyDiv w:val="1"/>
      <w:marLeft w:val="0"/>
      <w:marRight w:val="0"/>
      <w:marTop w:val="0"/>
      <w:marBottom w:val="0"/>
      <w:divBdr>
        <w:top w:val="none" w:sz="0" w:space="0" w:color="auto"/>
        <w:left w:val="none" w:sz="0" w:space="0" w:color="auto"/>
        <w:bottom w:val="none" w:sz="0" w:space="0" w:color="auto"/>
        <w:right w:val="none" w:sz="0" w:space="0" w:color="auto"/>
      </w:divBdr>
    </w:div>
    <w:div w:id="708531097">
      <w:bodyDiv w:val="1"/>
      <w:marLeft w:val="0"/>
      <w:marRight w:val="0"/>
      <w:marTop w:val="0"/>
      <w:marBottom w:val="0"/>
      <w:divBdr>
        <w:top w:val="none" w:sz="0" w:space="0" w:color="auto"/>
        <w:left w:val="none" w:sz="0" w:space="0" w:color="auto"/>
        <w:bottom w:val="none" w:sz="0" w:space="0" w:color="auto"/>
        <w:right w:val="none" w:sz="0" w:space="0" w:color="auto"/>
      </w:divBdr>
    </w:div>
    <w:div w:id="708531273">
      <w:bodyDiv w:val="1"/>
      <w:marLeft w:val="0"/>
      <w:marRight w:val="0"/>
      <w:marTop w:val="0"/>
      <w:marBottom w:val="0"/>
      <w:divBdr>
        <w:top w:val="none" w:sz="0" w:space="0" w:color="auto"/>
        <w:left w:val="none" w:sz="0" w:space="0" w:color="auto"/>
        <w:bottom w:val="none" w:sz="0" w:space="0" w:color="auto"/>
        <w:right w:val="none" w:sz="0" w:space="0" w:color="auto"/>
      </w:divBdr>
    </w:div>
    <w:div w:id="708534612">
      <w:bodyDiv w:val="1"/>
      <w:marLeft w:val="0"/>
      <w:marRight w:val="0"/>
      <w:marTop w:val="0"/>
      <w:marBottom w:val="0"/>
      <w:divBdr>
        <w:top w:val="none" w:sz="0" w:space="0" w:color="auto"/>
        <w:left w:val="none" w:sz="0" w:space="0" w:color="auto"/>
        <w:bottom w:val="none" w:sz="0" w:space="0" w:color="auto"/>
        <w:right w:val="none" w:sz="0" w:space="0" w:color="auto"/>
      </w:divBdr>
    </w:div>
    <w:div w:id="709183541">
      <w:bodyDiv w:val="1"/>
      <w:marLeft w:val="0"/>
      <w:marRight w:val="0"/>
      <w:marTop w:val="0"/>
      <w:marBottom w:val="0"/>
      <w:divBdr>
        <w:top w:val="none" w:sz="0" w:space="0" w:color="auto"/>
        <w:left w:val="none" w:sz="0" w:space="0" w:color="auto"/>
        <w:bottom w:val="none" w:sz="0" w:space="0" w:color="auto"/>
        <w:right w:val="none" w:sz="0" w:space="0" w:color="auto"/>
      </w:divBdr>
    </w:div>
    <w:div w:id="709260806">
      <w:bodyDiv w:val="1"/>
      <w:marLeft w:val="0"/>
      <w:marRight w:val="0"/>
      <w:marTop w:val="0"/>
      <w:marBottom w:val="0"/>
      <w:divBdr>
        <w:top w:val="none" w:sz="0" w:space="0" w:color="auto"/>
        <w:left w:val="none" w:sz="0" w:space="0" w:color="auto"/>
        <w:bottom w:val="none" w:sz="0" w:space="0" w:color="auto"/>
        <w:right w:val="none" w:sz="0" w:space="0" w:color="auto"/>
      </w:divBdr>
    </w:div>
    <w:div w:id="710230857">
      <w:bodyDiv w:val="1"/>
      <w:marLeft w:val="0"/>
      <w:marRight w:val="0"/>
      <w:marTop w:val="0"/>
      <w:marBottom w:val="0"/>
      <w:divBdr>
        <w:top w:val="none" w:sz="0" w:space="0" w:color="auto"/>
        <w:left w:val="none" w:sz="0" w:space="0" w:color="auto"/>
        <w:bottom w:val="none" w:sz="0" w:space="0" w:color="auto"/>
        <w:right w:val="none" w:sz="0" w:space="0" w:color="auto"/>
      </w:divBdr>
    </w:div>
    <w:div w:id="710424412">
      <w:bodyDiv w:val="1"/>
      <w:marLeft w:val="0"/>
      <w:marRight w:val="0"/>
      <w:marTop w:val="0"/>
      <w:marBottom w:val="0"/>
      <w:divBdr>
        <w:top w:val="none" w:sz="0" w:space="0" w:color="auto"/>
        <w:left w:val="none" w:sz="0" w:space="0" w:color="auto"/>
        <w:bottom w:val="none" w:sz="0" w:space="0" w:color="auto"/>
        <w:right w:val="none" w:sz="0" w:space="0" w:color="auto"/>
      </w:divBdr>
    </w:div>
    <w:div w:id="710955563">
      <w:bodyDiv w:val="1"/>
      <w:marLeft w:val="0"/>
      <w:marRight w:val="0"/>
      <w:marTop w:val="0"/>
      <w:marBottom w:val="0"/>
      <w:divBdr>
        <w:top w:val="none" w:sz="0" w:space="0" w:color="auto"/>
        <w:left w:val="none" w:sz="0" w:space="0" w:color="auto"/>
        <w:bottom w:val="none" w:sz="0" w:space="0" w:color="auto"/>
        <w:right w:val="none" w:sz="0" w:space="0" w:color="auto"/>
      </w:divBdr>
    </w:div>
    <w:div w:id="711884518">
      <w:bodyDiv w:val="1"/>
      <w:marLeft w:val="0"/>
      <w:marRight w:val="0"/>
      <w:marTop w:val="0"/>
      <w:marBottom w:val="0"/>
      <w:divBdr>
        <w:top w:val="none" w:sz="0" w:space="0" w:color="auto"/>
        <w:left w:val="none" w:sz="0" w:space="0" w:color="auto"/>
        <w:bottom w:val="none" w:sz="0" w:space="0" w:color="auto"/>
        <w:right w:val="none" w:sz="0" w:space="0" w:color="auto"/>
      </w:divBdr>
    </w:div>
    <w:div w:id="711996769">
      <w:bodyDiv w:val="1"/>
      <w:marLeft w:val="0"/>
      <w:marRight w:val="0"/>
      <w:marTop w:val="0"/>
      <w:marBottom w:val="0"/>
      <w:divBdr>
        <w:top w:val="none" w:sz="0" w:space="0" w:color="auto"/>
        <w:left w:val="none" w:sz="0" w:space="0" w:color="auto"/>
        <w:bottom w:val="none" w:sz="0" w:space="0" w:color="auto"/>
        <w:right w:val="none" w:sz="0" w:space="0" w:color="auto"/>
      </w:divBdr>
    </w:div>
    <w:div w:id="712458872">
      <w:bodyDiv w:val="1"/>
      <w:marLeft w:val="0"/>
      <w:marRight w:val="0"/>
      <w:marTop w:val="0"/>
      <w:marBottom w:val="0"/>
      <w:divBdr>
        <w:top w:val="none" w:sz="0" w:space="0" w:color="auto"/>
        <w:left w:val="none" w:sz="0" w:space="0" w:color="auto"/>
        <w:bottom w:val="none" w:sz="0" w:space="0" w:color="auto"/>
        <w:right w:val="none" w:sz="0" w:space="0" w:color="auto"/>
      </w:divBdr>
    </w:div>
    <w:div w:id="712654348">
      <w:bodyDiv w:val="1"/>
      <w:marLeft w:val="0"/>
      <w:marRight w:val="0"/>
      <w:marTop w:val="0"/>
      <w:marBottom w:val="0"/>
      <w:divBdr>
        <w:top w:val="none" w:sz="0" w:space="0" w:color="auto"/>
        <w:left w:val="none" w:sz="0" w:space="0" w:color="auto"/>
        <w:bottom w:val="none" w:sz="0" w:space="0" w:color="auto"/>
        <w:right w:val="none" w:sz="0" w:space="0" w:color="auto"/>
      </w:divBdr>
    </w:div>
    <w:div w:id="712655927">
      <w:bodyDiv w:val="1"/>
      <w:marLeft w:val="0"/>
      <w:marRight w:val="0"/>
      <w:marTop w:val="0"/>
      <w:marBottom w:val="0"/>
      <w:divBdr>
        <w:top w:val="none" w:sz="0" w:space="0" w:color="auto"/>
        <w:left w:val="none" w:sz="0" w:space="0" w:color="auto"/>
        <w:bottom w:val="none" w:sz="0" w:space="0" w:color="auto"/>
        <w:right w:val="none" w:sz="0" w:space="0" w:color="auto"/>
      </w:divBdr>
    </w:div>
    <w:div w:id="713433807">
      <w:bodyDiv w:val="1"/>
      <w:marLeft w:val="0"/>
      <w:marRight w:val="0"/>
      <w:marTop w:val="0"/>
      <w:marBottom w:val="0"/>
      <w:divBdr>
        <w:top w:val="none" w:sz="0" w:space="0" w:color="auto"/>
        <w:left w:val="none" w:sz="0" w:space="0" w:color="auto"/>
        <w:bottom w:val="none" w:sz="0" w:space="0" w:color="auto"/>
        <w:right w:val="none" w:sz="0" w:space="0" w:color="auto"/>
      </w:divBdr>
    </w:div>
    <w:div w:id="714894484">
      <w:bodyDiv w:val="1"/>
      <w:marLeft w:val="0"/>
      <w:marRight w:val="0"/>
      <w:marTop w:val="0"/>
      <w:marBottom w:val="0"/>
      <w:divBdr>
        <w:top w:val="none" w:sz="0" w:space="0" w:color="auto"/>
        <w:left w:val="none" w:sz="0" w:space="0" w:color="auto"/>
        <w:bottom w:val="none" w:sz="0" w:space="0" w:color="auto"/>
        <w:right w:val="none" w:sz="0" w:space="0" w:color="auto"/>
      </w:divBdr>
    </w:div>
    <w:div w:id="715082405">
      <w:bodyDiv w:val="1"/>
      <w:marLeft w:val="0"/>
      <w:marRight w:val="0"/>
      <w:marTop w:val="0"/>
      <w:marBottom w:val="0"/>
      <w:divBdr>
        <w:top w:val="none" w:sz="0" w:space="0" w:color="auto"/>
        <w:left w:val="none" w:sz="0" w:space="0" w:color="auto"/>
        <w:bottom w:val="none" w:sz="0" w:space="0" w:color="auto"/>
        <w:right w:val="none" w:sz="0" w:space="0" w:color="auto"/>
      </w:divBdr>
    </w:div>
    <w:div w:id="715274335">
      <w:bodyDiv w:val="1"/>
      <w:marLeft w:val="0"/>
      <w:marRight w:val="0"/>
      <w:marTop w:val="0"/>
      <w:marBottom w:val="0"/>
      <w:divBdr>
        <w:top w:val="none" w:sz="0" w:space="0" w:color="auto"/>
        <w:left w:val="none" w:sz="0" w:space="0" w:color="auto"/>
        <w:bottom w:val="none" w:sz="0" w:space="0" w:color="auto"/>
        <w:right w:val="none" w:sz="0" w:space="0" w:color="auto"/>
      </w:divBdr>
    </w:div>
    <w:div w:id="715393150">
      <w:bodyDiv w:val="1"/>
      <w:marLeft w:val="0"/>
      <w:marRight w:val="0"/>
      <w:marTop w:val="0"/>
      <w:marBottom w:val="0"/>
      <w:divBdr>
        <w:top w:val="none" w:sz="0" w:space="0" w:color="auto"/>
        <w:left w:val="none" w:sz="0" w:space="0" w:color="auto"/>
        <w:bottom w:val="none" w:sz="0" w:space="0" w:color="auto"/>
        <w:right w:val="none" w:sz="0" w:space="0" w:color="auto"/>
      </w:divBdr>
    </w:div>
    <w:div w:id="716590001">
      <w:bodyDiv w:val="1"/>
      <w:marLeft w:val="0"/>
      <w:marRight w:val="0"/>
      <w:marTop w:val="0"/>
      <w:marBottom w:val="0"/>
      <w:divBdr>
        <w:top w:val="none" w:sz="0" w:space="0" w:color="auto"/>
        <w:left w:val="none" w:sz="0" w:space="0" w:color="auto"/>
        <w:bottom w:val="none" w:sz="0" w:space="0" w:color="auto"/>
        <w:right w:val="none" w:sz="0" w:space="0" w:color="auto"/>
      </w:divBdr>
    </w:div>
    <w:div w:id="716859846">
      <w:bodyDiv w:val="1"/>
      <w:marLeft w:val="0"/>
      <w:marRight w:val="0"/>
      <w:marTop w:val="0"/>
      <w:marBottom w:val="0"/>
      <w:divBdr>
        <w:top w:val="none" w:sz="0" w:space="0" w:color="auto"/>
        <w:left w:val="none" w:sz="0" w:space="0" w:color="auto"/>
        <w:bottom w:val="none" w:sz="0" w:space="0" w:color="auto"/>
        <w:right w:val="none" w:sz="0" w:space="0" w:color="auto"/>
      </w:divBdr>
    </w:div>
    <w:div w:id="717702236">
      <w:bodyDiv w:val="1"/>
      <w:marLeft w:val="0"/>
      <w:marRight w:val="0"/>
      <w:marTop w:val="0"/>
      <w:marBottom w:val="0"/>
      <w:divBdr>
        <w:top w:val="none" w:sz="0" w:space="0" w:color="auto"/>
        <w:left w:val="none" w:sz="0" w:space="0" w:color="auto"/>
        <w:bottom w:val="none" w:sz="0" w:space="0" w:color="auto"/>
        <w:right w:val="none" w:sz="0" w:space="0" w:color="auto"/>
      </w:divBdr>
    </w:div>
    <w:div w:id="717819023">
      <w:bodyDiv w:val="1"/>
      <w:marLeft w:val="0"/>
      <w:marRight w:val="0"/>
      <w:marTop w:val="0"/>
      <w:marBottom w:val="0"/>
      <w:divBdr>
        <w:top w:val="none" w:sz="0" w:space="0" w:color="auto"/>
        <w:left w:val="none" w:sz="0" w:space="0" w:color="auto"/>
        <w:bottom w:val="none" w:sz="0" w:space="0" w:color="auto"/>
        <w:right w:val="none" w:sz="0" w:space="0" w:color="auto"/>
      </w:divBdr>
    </w:div>
    <w:div w:id="717826424">
      <w:bodyDiv w:val="1"/>
      <w:marLeft w:val="0"/>
      <w:marRight w:val="0"/>
      <w:marTop w:val="0"/>
      <w:marBottom w:val="0"/>
      <w:divBdr>
        <w:top w:val="none" w:sz="0" w:space="0" w:color="auto"/>
        <w:left w:val="none" w:sz="0" w:space="0" w:color="auto"/>
        <w:bottom w:val="none" w:sz="0" w:space="0" w:color="auto"/>
        <w:right w:val="none" w:sz="0" w:space="0" w:color="auto"/>
      </w:divBdr>
    </w:div>
    <w:div w:id="718287092">
      <w:bodyDiv w:val="1"/>
      <w:marLeft w:val="0"/>
      <w:marRight w:val="0"/>
      <w:marTop w:val="0"/>
      <w:marBottom w:val="0"/>
      <w:divBdr>
        <w:top w:val="none" w:sz="0" w:space="0" w:color="auto"/>
        <w:left w:val="none" w:sz="0" w:space="0" w:color="auto"/>
        <w:bottom w:val="none" w:sz="0" w:space="0" w:color="auto"/>
        <w:right w:val="none" w:sz="0" w:space="0" w:color="auto"/>
      </w:divBdr>
    </w:div>
    <w:div w:id="718895702">
      <w:bodyDiv w:val="1"/>
      <w:marLeft w:val="0"/>
      <w:marRight w:val="0"/>
      <w:marTop w:val="0"/>
      <w:marBottom w:val="0"/>
      <w:divBdr>
        <w:top w:val="none" w:sz="0" w:space="0" w:color="auto"/>
        <w:left w:val="none" w:sz="0" w:space="0" w:color="auto"/>
        <w:bottom w:val="none" w:sz="0" w:space="0" w:color="auto"/>
        <w:right w:val="none" w:sz="0" w:space="0" w:color="auto"/>
      </w:divBdr>
    </w:div>
    <w:div w:id="719207759">
      <w:bodyDiv w:val="1"/>
      <w:marLeft w:val="0"/>
      <w:marRight w:val="0"/>
      <w:marTop w:val="0"/>
      <w:marBottom w:val="0"/>
      <w:divBdr>
        <w:top w:val="none" w:sz="0" w:space="0" w:color="auto"/>
        <w:left w:val="none" w:sz="0" w:space="0" w:color="auto"/>
        <w:bottom w:val="none" w:sz="0" w:space="0" w:color="auto"/>
        <w:right w:val="none" w:sz="0" w:space="0" w:color="auto"/>
      </w:divBdr>
    </w:div>
    <w:div w:id="720440039">
      <w:bodyDiv w:val="1"/>
      <w:marLeft w:val="0"/>
      <w:marRight w:val="0"/>
      <w:marTop w:val="0"/>
      <w:marBottom w:val="0"/>
      <w:divBdr>
        <w:top w:val="none" w:sz="0" w:space="0" w:color="auto"/>
        <w:left w:val="none" w:sz="0" w:space="0" w:color="auto"/>
        <w:bottom w:val="none" w:sz="0" w:space="0" w:color="auto"/>
        <w:right w:val="none" w:sz="0" w:space="0" w:color="auto"/>
      </w:divBdr>
    </w:div>
    <w:div w:id="721027989">
      <w:bodyDiv w:val="1"/>
      <w:marLeft w:val="0"/>
      <w:marRight w:val="0"/>
      <w:marTop w:val="0"/>
      <w:marBottom w:val="0"/>
      <w:divBdr>
        <w:top w:val="none" w:sz="0" w:space="0" w:color="auto"/>
        <w:left w:val="none" w:sz="0" w:space="0" w:color="auto"/>
        <w:bottom w:val="none" w:sz="0" w:space="0" w:color="auto"/>
        <w:right w:val="none" w:sz="0" w:space="0" w:color="auto"/>
      </w:divBdr>
    </w:div>
    <w:div w:id="721099249">
      <w:bodyDiv w:val="1"/>
      <w:marLeft w:val="0"/>
      <w:marRight w:val="0"/>
      <w:marTop w:val="0"/>
      <w:marBottom w:val="0"/>
      <w:divBdr>
        <w:top w:val="none" w:sz="0" w:space="0" w:color="auto"/>
        <w:left w:val="none" w:sz="0" w:space="0" w:color="auto"/>
        <w:bottom w:val="none" w:sz="0" w:space="0" w:color="auto"/>
        <w:right w:val="none" w:sz="0" w:space="0" w:color="auto"/>
      </w:divBdr>
    </w:div>
    <w:div w:id="721102398">
      <w:bodyDiv w:val="1"/>
      <w:marLeft w:val="0"/>
      <w:marRight w:val="0"/>
      <w:marTop w:val="0"/>
      <w:marBottom w:val="0"/>
      <w:divBdr>
        <w:top w:val="none" w:sz="0" w:space="0" w:color="auto"/>
        <w:left w:val="none" w:sz="0" w:space="0" w:color="auto"/>
        <w:bottom w:val="none" w:sz="0" w:space="0" w:color="auto"/>
        <w:right w:val="none" w:sz="0" w:space="0" w:color="auto"/>
      </w:divBdr>
    </w:div>
    <w:div w:id="721558432">
      <w:bodyDiv w:val="1"/>
      <w:marLeft w:val="0"/>
      <w:marRight w:val="0"/>
      <w:marTop w:val="0"/>
      <w:marBottom w:val="0"/>
      <w:divBdr>
        <w:top w:val="none" w:sz="0" w:space="0" w:color="auto"/>
        <w:left w:val="none" w:sz="0" w:space="0" w:color="auto"/>
        <w:bottom w:val="none" w:sz="0" w:space="0" w:color="auto"/>
        <w:right w:val="none" w:sz="0" w:space="0" w:color="auto"/>
      </w:divBdr>
    </w:div>
    <w:div w:id="721908173">
      <w:bodyDiv w:val="1"/>
      <w:marLeft w:val="0"/>
      <w:marRight w:val="0"/>
      <w:marTop w:val="0"/>
      <w:marBottom w:val="0"/>
      <w:divBdr>
        <w:top w:val="none" w:sz="0" w:space="0" w:color="auto"/>
        <w:left w:val="none" w:sz="0" w:space="0" w:color="auto"/>
        <w:bottom w:val="none" w:sz="0" w:space="0" w:color="auto"/>
        <w:right w:val="none" w:sz="0" w:space="0" w:color="auto"/>
      </w:divBdr>
    </w:div>
    <w:div w:id="722338869">
      <w:bodyDiv w:val="1"/>
      <w:marLeft w:val="0"/>
      <w:marRight w:val="0"/>
      <w:marTop w:val="0"/>
      <w:marBottom w:val="0"/>
      <w:divBdr>
        <w:top w:val="none" w:sz="0" w:space="0" w:color="auto"/>
        <w:left w:val="none" w:sz="0" w:space="0" w:color="auto"/>
        <w:bottom w:val="none" w:sz="0" w:space="0" w:color="auto"/>
        <w:right w:val="none" w:sz="0" w:space="0" w:color="auto"/>
      </w:divBdr>
    </w:div>
    <w:div w:id="722412859">
      <w:bodyDiv w:val="1"/>
      <w:marLeft w:val="0"/>
      <w:marRight w:val="0"/>
      <w:marTop w:val="0"/>
      <w:marBottom w:val="0"/>
      <w:divBdr>
        <w:top w:val="none" w:sz="0" w:space="0" w:color="auto"/>
        <w:left w:val="none" w:sz="0" w:space="0" w:color="auto"/>
        <w:bottom w:val="none" w:sz="0" w:space="0" w:color="auto"/>
        <w:right w:val="none" w:sz="0" w:space="0" w:color="auto"/>
      </w:divBdr>
    </w:div>
    <w:div w:id="722681870">
      <w:bodyDiv w:val="1"/>
      <w:marLeft w:val="0"/>
      <w:marRight w:val="0"/>
      <w:marTop w:val="0"/>
      <w:marBottom w:val="0"/>
      <w:divBdr>
        <w:top w:val="none" w:sz="0" w:space="0" w:color="auto"/>
        <w:left w:val="none" w:sz="0" w:space="0" w:color="auto"/>
        <w:bottom w:val="none" w:sz="0" w:space="0" w:color="auto"/>
        <w:right w:val="none" w:sz="0" w:space="0" w:color="auto"/>
      </w:divBdr>
    </w:div>
    <w:div w:id="722749899">
      <w:bodyDiv w:val="1"/>
      <w:marLeft w:val="0"/>
      <w:marRight w:val="0"/>
      <w:marTop w:val="0"/>
      <w:marBottom w:val="0"/>
      <w:divBdr>
        <w:top w:val="none" w:sz="0" w:space="0" w:color="auto"/>
        <w:left w:val="none" w:sz="0" w:space="0" w:color="auto"/>
        <w:bottom w:val="none" w:sz="0" w:space="0" w:color="auto"/>
        <w:right w:val="none" w:sz="0" w:space="0" w:color="auto"/>
      </w:divBdr>
    </w:div>
    <w:div w:id="723333618">
      <w:bodyDiv w:val="1"/>
      <w:marLeft w:val="0"/>
      <w:marRight w:val="0"/>
      <w:marTop w:val="0"/>
      <w:marBottom w:val="0"/>
      <w:divBdr>
        <w:top w:val="none" w:sz="0" w:space="0" w:color="auto"/>
        <w:left w:val="none" w:sz="0" w:space="0" w:color="auto"/>
        <w:bottom w:val="none" w:sz="0" w:space="0" w:color="auto"/>
        <w:right w:val="none" w:sz="0" w:space="0" w:color="auto"/>
      </w:divBdr>
    </w:div>
    <w:div w:id="725182423">
      <w:bodyDiv w:val="1"/>
      <w:marLeft w:val="0"/>
      <w:marRight w:val="0"/>
      <w:marTop w:val="0"/>
      <w:marBottom w:val="0"/>
      <w:divBdr>
        <w:top w:val="none" w:sz="0" w:space="0" w:color="auto"/>
        <w:left w:val="none" w:sz="0" w:space="0" w:color="auto"/>
        <w:bottom w:val="none" w:sz="0" w:space="0" w:color="auto"/>
        <w:right w:val="none" w:sz="0" w:space="0" w:color="auto"/>
      </w:divBdr>
    </w:div>
    <w:div w:id="726225011">
      <w:bodyDiv w:val="1"/>
      <w:marLeft w:val="0"/>
      <w:marRight w:val="0"/>
      <w:marTop w:val="0"/>
      <w:marBottom w:val="0"/>
      <w:divBdr>
        <w:top w:val="none" w:sz="0" w:space="0" w:color="auto"/>
        <w:left w:val="none" w:sz="0" w:space="0" w:color="auto"/>
        <w:bottom w:val="none" w:sz="0" w:space="0" w:color="auto"/>
        <w:right w:val="none" w:sz="0" w:space="0" w:color="auto"/>
      </w:divBdr>
    </w:div>
    <w:div w:id="726606547">
      <w:bodyDiv w:val="1"/>
      <w:marLeft w:val="0"/>
      <w:marRight w:val="0"/>
      <w:marTop w:val="0"/>
      <w:marBottom w:val="0"/>
      <w:divBdr>
        <w:top w:val="none" w:sz="0" w:space="0" w:color="auto"/>
        <w:left w:val="none" w:sz="0" w:space="0" w:color="auto"/>
        <w:bottom w:val="none" w:sz="0" w:space="0" w:color="auto"/>
        <w:right w:val="none" w:sz="0" w:space="0" w:color="auto"/>
      </w:divBdr>
    </w:div>
    <w:div w:id="726613993">
      <w:bodyDiv w:val="1"/>
      <w:marLeft w:val="0"/>
      <w:marRight w:val="0"/>
      <w:marTop w:val="0"/>
      <w:marBottom w:val="0"/>
      <w:divBdr>
        <w:top w:val="none" w:sz="0" w:space="0" w:color="auto"/>
        <w:left w:val="none" w:sz="0" w:space="0" w:color="auto"/>
        <w:bottom w:val="none" w:sz="0" w:space="0" w:color="auto"/>
        <w:right w:val="none" w:sz="0" w:space="0" w:color="auto"/>
      </w:divBdr>
    </w:div>
    <w:div w:id="726991927">
      <w:bodyDiv w:val="1"/>
      <w:marLeft w:val="0"/>
      <w:marRight w:val="0"/>
      <w:marTop w:val="0"/>
      <w:marBottom w:val="0"/>
      <w:divBdr>
        <w:top w:val="none" w:sz="0" w:space="0" w:color="auto"/>
        <w:left w:val="none" w:sz="0" w:space="0" w:color="auto"/>
        <w:bottom w:val="none" w:sz="0" w:space="0" w:color="auto"/>
        <w:right w:val="none" w:sz="0" w:space="0" w:color="auto"/>
      </w:divBdr>
    </w:div>
    <w:div w:id="727610485">
      <w:bodyDiv w:val="1"/>
      <w:marLeft w:val="0"/>
      <w:marRight w:val="0"/>
      <w:marTop w:val="0"/>
      <w:marBottom w:val="0"/>
      <w:divBdr>
        <w:top w:val="none" w:sz="0" w:space="0" w:color="auto"/>
        <w:left w:val="none" w:sz="0" w:space="0" w:color="auto"/>
        <w:bottom w:val="none" w:sz="0" w:space="0" w:color="auto"/>
        <w:right w:val="none" w:sz="0" w:space="0" w:color="auto"/>
      </w:divBdr>
    </w:div>
    <w:div w:id="727874059">
      <w:bodyDiv w:val="1"/>
      <w:marLeft w:val="0"/>
      <w:marRight w:val="0"/>
      <w:marTop w:val="0"/>
      <w:marBottom w:val="0"/>
      <w:divBdr>
        <w:top w:val="none" w:sz="0" w:space="0" w:color="auto"/>
        <w:left w:val="none" w:sz="0" w:space="0" w:color="auto"/>
        <w:bottom w:val="none" w:sz="0" w:space="0" w:color="auto"/>
        <w:right w:val="none" w:sz="0" w:space="0" w:color="auto"/>
      </w:divBdr>
    </w:div>
    <w:div w:id="727923939">
      <w:bodyDiv w:val="1"/>
      <w:marLeft w:val="0"/>
      <w:marRight w:val="0"/>
      <w:marTop w:val="0"/>
      <w:marBottom w:val="0"/>
      <w:divBdr>
        <w:top w:val="none" w:sz="0" w:space="0" w:color="auto"/>
        <w:left w:val="none" w:sz="0" w:space="0" w:color="auto"/>
        <w:bottom w:val="none" w:sz="0" w:space="0" w:color="auto"/>
        <w:right w:val="none" w:sz="0" w:space="0" w:color="auto"/>
      </w:divBdr>
    </w:div>
    <w:div w:id="728188716">
      <w:bodyDiv w:val="1"/>
      <w:marLeft w:val="0"/>
      <w:marRight w:val="0"/>
      <w:marTop w:val="0"/>
      <w:marBottom w:val="0"/>
      <w:divBdr>
        <w:top w:val="none" w:sz="0" w:space="0" w:color="auto"/>
        <w:left w:val="none" w:sz="0" w:space="0" w:color="auto"/>
        <w:bottom w:val="none" w:sz="0" w:space="0" w:color="auto"/>
        <w:right w:val="none" w:sz="0" w:space="0" w:color="auto"/>
      </w:divBdr>
    </w:div>
    <w:div w:id="728266440">
      <w:bodyDiv w:val="1"/>
      <w:marLeft w:val="0"/>
      <w:marRight w:val="0"/>
      <w:marTop w:val="0"/>
      <w:marBottom w:val="0"/>
      <w:divBdr>
        <w:top w:val="none" w:sz="0" w:space="0" w:color="auto"/>
        <w:left w:val="none" w:sz="0" w:space="0" w:color="auto"/>
        <w:bottom w:val="none" w:sz="0" w:space="0" w:color="auto"/>
        <w:right w:val="none" w:sz="0" w:space="0" w:color="auto"/>
      </w:divBdr>
    </w:div>
    <w:div w:id="728848083">
      <w:bodyDiv w:val="1"/>
      <w:marLeft w:val="0"/>
      <w:marRight w:val="0"/>
      <w:marTop w:val="0"/>
      <w:marBottom w:val="0"/>
      <w:divBdr>
        <w:top w:val="none" w:sz="0" w:space="0" w:color="auto"/>
        <w:left w:val="none" w:sz="0" w:space="0" w:color="auto"/>
        <w:bottom w:val="none" w:sz="0" w:space="0" w:color="auto"/>
        <w:right w:val="none" w:sz="0" w:space="0" w:color="auto"/>
      </w:divBdr>
    </w:div>
    <w:div w:id="729157475">
      <w:bodyDiv w:val="1"/>
      <w:marLeft w:val="0"/>
      <w:marRight w:val="0"/>
      <w:marTop w:val="0"/>
      <w:marBottom w:val="0"/>
      <w:divBdr>
        <w:top w:val="none" w:sz="0" w:space="0" w:color="auto"/>
        <w:left w:val="none" w:sz="0" w:space="0" w:color="auto"/>
        <w:bottom w:val="none" w:sz="0" w:space="0" w:color="auto"/>
        <w:right w:val="none" w:sz="0" w:space="0" w:color="auto"/>
      </w:divBdr>
    </w:div>
    <w:div w:id="729354040">
      <w:bodyDiv w:val="1"/>
      <w:marLeft w:val="0"/>
      <w:marRight w:val="0"/>
      <w:marTop w:val="0"/>
      <w:marBottom w:val="0"/>
      <w:divBdr>
        <w:top w:val="none" w:sz="0" w:space="0" w:color="auto"/>
        <w:left w:val="none" w:sz="0" w:space="0" w:color="auto"/>
        <w:bottom w:val="none" w:sz="0" w:space="0" w:color="auto"/>
        <w:right w:val="none" w:sz="0" w:space="0" w:color="auto"/>
      </w:divBdr>
    </w:div>
    <w:div w:id="729965899">
      <w:bodyDiv w:val="1"/>
      <w:marLeft w:val="0"/>
      <w:marRight w:val="0"/>
      <w:marTop w:val="0"/>
      <w:marBottom w:val="0"/>
      <w:divBdr>
        <w:top w:val="none" w:sz="0" w:space="0" w:color="auto"/>
        <w:left w:val="none" w:sz="0" w:space="0" w:color="auto"/>
        <w:bottom w:val="none" w:sz="0" w:space="0" w:color="auto"/>
        <w:right w:val="none" w:sz="0" w:space="0" w:color="auto"/>
      </w:divBdr>
    </w:div>
    <w:div w:id="730428297">
      <w:bodyDiv w:val="1"/>
      <w:marLeft w:val="0"/>
      <w:marRight w:val="0"/>
      <w:marTop w:val="0"/>
      <w:marBottom w:val="0"/>
      <w:divBdr>
        <w:top w:val="none" w:sz="0" w:space="0" w:color="auto"/>
        <w:left w:val="none" w:sz="0" w:space="0" w:color="auto"/>
        <w:bottom w:val="none" w:sz="0" w:space="0" w:color="auto"/>
        <w:right w:val="none" w:sz="0" w:space="0" w:color="auto"/>
      </w:divBdr>
    </w:div>
    <w:div w:id="730932974">
      <w:bodyDiv w:val="1"/>
      <w:marLeft w:val="0"/>
      <w:marRight w:val="0"/>
      <w:marTop w:val="0"/>
      <w:marBottom w:val="0"/>
      <w:divBdr>
        <w:top w:val="none" w:sz="0" w:space="0" w:color="auto"/>
        <w:left w:val="none" w:sz="0" w:space="0" w:color="auto"/>
        <w:bottom w:val="none" w:sz="0" w:space="0" w:color="auto"/>
        <w:right w:val="none" w:sz="0" w:space="0" w:color="auto"/>
      </w:divBdr>
    </w:div>
    <w:div w:id="731002270">
      <w:bodyDiv w:val="1"/>
      <w:marLeft w:val="0"/>
      <w:marRight w:val="0"/>
      <w:marTop w:val="0"/>
      <w:marBottom w:val="0"/>
      <w:divBdr>
        <w:top w:val="none" w:sz="0" w:space="0" w:color="auto"/>
        <w:left w:val="none" w:sz="0" w:space="0" w:color="auto"/>
        <w:bottom w:val="none" w:sz="0" w:space="0" w:color="auto"/>
        <w:right w:val="none" w:sz="0" w:space="0" w:color="auto"/>
      </w:divBdr>
    </w:div>
    <w:div w:id="732124258">
      <w:bodyDiv w:val="1"/>
      <w:marLeft w:val="0"/>
      <w:marRight w:val="0"/>
      <w:marTop w:val="0"/>
      <w:marBottom w:val="0"/>
      <w:divBdr>
        <w:top w:val="none" w:sz="0" w:space="0" w:color="auto"/>
        <w:left w:val="none" w:sz="0" w:space="0" w:color="auto"/>
        <w:bottom w:val="none" w:sz="0" w:space="0" w:color="auto"/>
        <w:right w:val="none" w:sz="0" w:space="0" w:color="auto"/>
      </w:divBdr>
    </w:div>
    <w:div w:id="732659466">
      <w:bodyDiv w:val="1"/>
      <w:marLeft w:val="0"/>
      <w:marRight w:val="0"/>
      <w:marTop w:val="0"/>
      <w:marBottom w:val="0"/>
      <w:divBdr>
        <w:top w:val="none" w:sz="0" w:space="0" w:color="auto"/>
        <w:left w:val="none" w:sz="0" w:space="0" w:color="auto"/>
        <w:bottom w:val="none" w:sz="0" w:space="0" w:color="auto"/>
        <w:right w:val="none" w:sz="0" w:space="0" w:color="auto"/>
      </w:divBdr>
    </w:div>
    <w:div w:id="732701323">
      <w:bodyDiv w:val="1"/>
      <w:marLeft w:val="0"/>
      <w:marRight w:val="0"/>
      <w:marTop w:val="0"/>
      <w:marBottom w:val="0"/>
      <w:divBdr>
        <w:top w:val="none" w:sz="0" w:space="0" w:color="auto"/>
        <w:left w:val="none" w:sz="0" w:space="0" w:color="auto"/>
        <w:bottom w:val="none" w:sz="0" w:space="0" w:color="auto"/>
        <w:right w:val="none" w:sz="0" w:space="0" w:color="auto"/>
      </w:divBdr>
    </w:div>
    <w:div w:id="732850226">
      <w:bodyDiv w:val="1"/>
      <w:marLeft w:val="0"/>
      <w:marRight w:val="0"/>
      <w:marTop w:val="0"/>
      <w:marBottom w:val="0"/>
      <w:divBdr>
        <w:top w:val="none" w:sz="0" w:space="0" w:color="auto"/>
        <w:left w:val="none" w:sz="0" w:space="0" w:color="auto"/>
        <w:bottom w:val="none" w:sz="0" w:space="0" w:color="auto"/>
        <w:right w:val="none" w:sz="0" w:space="0" w:color="auto"/>
      </w:divBdr>
    </w:div>
    <w:div w:id="733508654">
      <w:bodyDiv w:val="1"/>
      <w:marLeft w:val="0"/>
      <w:marRight w:val="0"/>
      <w:marTop w:val="0"/>
      <w:marBottom w:val="0"/>
      <w:divBdr>
        <w:top w:val="none" w:sz="0" w:space="0" w:color="auto"/>
        <w:left w:val="none" w:sz="0" w:space="0" w:color="auto"/>
        <w:bottom w:val="none" w:sz="0" w:space="0" w:color="auto"/>
        <w:right w:val="none" w:sz="0" w:space="0" w:color="auto"/>
      </w:divBdr>
    </w:div>
    <w:div w:id="733701594">
      <w:bodyDiv w:val="1"/>
      <w:marLeft w:val="0"/>
      <w:marRight w:val="0"/>
      <w:marTop w:val="0"/>
      <w:marBottom w:val="0"/>
      <w:divBdr>
        <w:top w:val="none" w:sz="0" w:space="0" w:color="auto"/>
        <w:left w:val="none" w:sz="0" w:space="0" w:color="auto"/>
        <w:bottom w:val="none" w:sz="0" w:space="0" w:color="auto"/>
        <w:right w:val="none" w:sz="0" w:space="0" w:color="auto"/>
      </w:divBdr>
    </w:div>
    <w:div w:id="735323194">
      <w:bodyDiv w:val="1"/>
      <w:marLeft w:val="0"/>
      <w:marRight w:val="0"/>
      <w:marTop w:val="0"/>
      <w:marBottom w:val="0"/>
      <w:divBdr>
        <w:top w:val="none" w:sz="0" w:space="0" w:color="auto"/>
        <w:left w:val="none" w:sz="0" w:space="0" w:color="auto"/>
        <w:bottom w:val="none" w:sz="0" w:space="0" w:color="auto"/>
        <w:right w:val="none" w:sz="0" w:space="0" w:color="auto"/>
      </w:divBdr>
    </w:div>
    <w:div w:id="735932421">
      <w:bodyDiv w:val="1"/>
      <w:marLeft w:val="0"/>
      <w:marRight w:val="0"/>
      <w:marTop w:val="0"/>
      <w:marBottom w:val="0"/>
      <w:divBdr>
        <w:top w:val="none" w:sz="0" w:space="0" w:color="auto"/>
        <w:left w:val="none" w:sz="0" w:space="0" w:color="auto"/>
        <w:bottom w:val="none" w:sz="0" w:space="0" w:color="auto"/>
        <w:right w:val="none" w:sz="0" w:space="0" w:color="auto"/>
      </w:divBdr>
    </w:div>
    <w:div w:id="736127025">
      <w:bodyDiv w:val="1"/>
      <w:marLeft w:val="0"/>
      <w:marRight w:val="0"/>
      <w:marTop w:val="0"/>
      <w:marBottom w:val="0"/>
      <w:divBdr>
        <w:top w:val="none" w:sz="0" w:space="0" w:color="auto"/>
        <w:left w:val="none" w:sz="0" w:space="0" w:color="auto"/>
        <w:bottom w:val="none" w:sz="0" w:space="0" w:color="auto"/>
        <w:right w:val="none" w:sz="0" w:space="0" w:color="auto"/>
      </w:divBdr>
    </w:div>
    <w:div w:id="736707846">
      <w:bodyDiv w:val="1"/>
      <w:marLeft w:val="0"/>
      <w:marRight w:val="0"/>
      <w:marTop w:val="0"/>
      <w:marBottom w:val="0"/>
      <w:divBdr>
        <w:top w:val="none" w:sz="0" w:space="0" w:color="auto"/>
        <w:left w:val="none" w:sz="0" w:space="0" w:color="auto"/>
        <w:bottom w:val="none" w:sz="0" w:space="0" w:color="auto"/>
        <w:right w:val="none" w:sz="0" w:space="0" w:color="auto"/>
      </w:divBdr>
    </w:div>
    <w:div w:id="736787402">
      <w:bodyDiv w:val="1"/>
      <w:marLeft w:val="0"/>
      <w:marRight w:val="0"/>
      <w:marTop w:val="0"/>
      <w:marBottom w:val="0"/>
      <w:divBdr>
        <w:top w:val="none" w:sz="0" w:space="0" w:color="auto"/>
        <w:left w:val="none" w:sz="0" w:space="0" w:color="auto"/>
        <w:bottom w:val="none" w:sz="0" w:space="0" w:color="auto"/>
        <w:right w:val="none" w:sz="0" w:space="0" w:color="auto"/>
      </w:divBdr>
    </w:div>
    <w:div w:id="737823857">
      <w:bodyDiv w:val="1"/>
      <w:marLeft w:val="0"/>
      <w:marRight w:val="0"/>
      <w:marTop w:val="0"/>
      <w:marBottom w:val="0"/>
      <w:divBdr>
        <w:top w:val="none" w:sz="0" w:space="0" w:color="auto"/>
        <w:left w:val="none" w:sz="0" w:space="0" w:color="auto"/>
        <w:bottom w:val="none" w:sz="0" w:space="0" w:color="auto"/>
        <w:right w:val="none" w:sz="0" w:space="0" w:color="auto"/>
      </w:divBdr>
    </w:div>
    <w:div w:id="737895770">
      <w:bodyDiv w:val="1"/>
      <w:marLeft w:val="0"/>
      <w:marRight w:val="0"/>
      <w:marTop w:val="0"/>
      <w:marBottom w:val="0"/>
      <w:divBdr>
        <w:top w:val="none" w:sz="0" w:space="0" w:color="auto"/>
        <w:left w:val="none" w:sz="0" w:space="0" w:color="auto"/>
        <w:bottom w:val="none" w:sz="0" w:space="0" w:color="auto"/>
        <w:right w:val="none" w:sz="0" w:space="0" w:color="auto"/>
      </w:divBdr>
    </w:div>
    <w:div w:id="738211604">
      <w:bodyDiv w:val="1"/>
      <w:marLeft w:val="0"/>
      <w:marRight w:val="0"/>
      <w:marTop w:val="0"/>
      <w:marBottom w:val="0"/>
      <w:divBdr>
        <w:top w:val="none" w:sz="0" w:space="0" w:color="auto"/>
        <w:left w:val="none" w:sz="0" w:space="0" w:color="auto"/>
        <w:bottom w:val="none" w:sz="0" w:space="0" w:color="auto"/>
        <w:right w:val="none" w:sz="0" w:space="0" w:color="auto"/>
      </w:divBdr>
    </w:div>
    <w:div w:id="738332557">
      <w:bodyDiv w:val="1"/>
      <w:marLeft w:val="0"/>
      <w:marRight w:val="0"/>
      <w:marTop w:val="0"/>
      <w:marBottom w:val="0"/>
      <w:divBdr>
        <w:top w:val="none" w:sz="0" w:space="0" w:color="auto"/>
        <w:left w:val="none" w:sz="0" w:space="0" w:color="auto"/>
        <w:bottom w:val="none" w:sz="0" w:space="0" w:color="auto"/>
        <w:right w:val="none" w:sz="0" w:space="0" w:color="auto"/>
      </w:divBdr>
    </w:div>
    <w:div w:id="738865760">
      <w:bodyDiv w:val="1"/>
      <w:marLeft w:val="0"/>
      <w:marRight w:val="0"/>
      <w:marTop w:val="0"/>
      <w:marBottom w:val="0"/>
      <w:divBdr>
        <w:top w:val="none" w:sz="0" w:space="0" w:color="auto"/>
        <w:left w:val="none" w:sz="0" w:space="0" w:color="auto"/>
        <w:bottom w:val="none" w:sz="0" w:space="0" w:color="auto"/>
        <w:right w:val="none" w:sz="0" w:space="0" w:color="auto"/>
      </w:divBdr>
    </w:div>
    <w:div w:id="738988025">
      <w:bodyDiv w:val="1"/>
      <w:marLeft w:val="0"/>
      <w:marRight w:val="0"/>
      <w:marTop w:val="0"/>
      <w:marBottom w:val="0"/>
      <w:divBdr>
        <w:top w:val="none" w:sz="0" w:space="0" w:color="auto"/>
        <w:left w:val="none" w:sz="0" w:space="0" w:color="auto"/>
        <w:bottom w:val="none" w:sz="0" w:space="0" w:color="auto"/>
        <w:right w:val="none" w:sz="0" w:space="0" w:color="auto"/>
      </w:divBdr>
    </w:div>
    <w:div w:id="739449964">
      <w:bodyDiv w:val="1"/>
      <w:marLeft w:val="0"/>
      <w:marRight w:val="0"/>
      <w:marTop w:val="0"/>
      <w:marBottom w:val="0"/>
      <w:divBdr>
        <w:top w:val="none" w:sz="0" w:space="0" w:color="auto"/>
        <w:left w:val="none" w:sz="0" w:space="0" w:color="auto"/>
        <w:bottom w:val="none" w:sz="0" w:space="0" w:color="auto"/>
        <w:right w:val="none" w:sz="0" w:space="0" w:color="auto"/>
      </w:divBdr>
    </w:div>
    <w:div w:id="739525547">
      <w:bodyDiv w:val="1"/>
      <w:marLeft w:val="0"/>
      <w:marRight w:val="0"/>
      <w:marTop w:val="0"/>
      <w:marBottom w:val="0"/>
      <w:divBdr>
        <w:top w:val="none" w:sz="0" w:space="0" w:color="auto"/>
        <w:left w:val="none" w:sz="0" w:space="0" w:color="auto"/>
        <w:bottom w:val="none" w:sz="0" w:space="0" w:color="auto"/>
        <w:right w:val="none" w:sz="0" w:space="0" w:color="auto"/>
      </w:divBdr>
    </w:div>
    <w:div w:id="740102291">
      <w:bodyDiv w:val="1"/>
      <w:marLeft w:val="0"/>
      <w:marRight w:val="0"/>
      <w:marTop w:val="0"/>
      <w:marBottom w:val="0"/>
      <w:divBdr>
        <w:top w:val="none" w:sz="0" w:space="0" w:color="auto"/>
        <w:left w:val="none" w:sz="0" w:space="0" w:color="auto"/>
        <w:bottom w:val="none" w:sz="0" w:space="0" w:color="auto"/>
        <w:right w:val="none" w:sz="0" w:space="0" w:color="auto"/>
      </w:divBdr>
    </w:div>
    <w:div w:id="740327037">
      <w:bodyDiv w:val="1"/>
      <w:marLeft w:val="0"/>
      <w:marRight w:val="0"/>
      <w:marTop w:val="0"/>
      <w:marBottom w:val="0"/>
      <w:divBdr>
        <w:top w:val="none" w:sz="0" w:space="0" w:color="auto"/>
        <w:left w:val="none" w:sz="0" w:space="0" w:color="auto"/>
        <w:bottom w:val="none" w:sz="0" w:space="0" w:color="auto"/>
        <w:right w:val="none" w:sz="0" w:space="0" w:color="auto"/>
      </w:divBdr>
    </w:div>
    <w:div w:id="740524029">
      <w:bodyDiv w:val="1"/>
      <w:marLeft w:val="0"/>
      <w:marRight w:val="0"/>
      <w:marTop w:val="0"/>
      <w:marBottom w:val="0"/>
      <w:divBdr>
        <w:top w:val="none" w:sz="0" w:space="0" w:color="auto"/>
        <w:left w:val="none" w:sz="0" w:space="0" w:color="auto"/>
        <w:bottom w:val="none" w:sz="0" w:space="0" w:color="auto"/>
        <w:right w:val="none" w:sz="0" w:space="0" w:color="auto"/>
      </w:divBdr>
    </w:div>
    <w:div w:id="741223254">
      <w:bodyDiv w:val="1"/>
      <w:marLeft w:val="0"/>
      <w:marRight w:val="0"/>
      <w:marTop w:val="0"/>
      <w:marBottom w:val="0"/>
      <w:divBdr>
        <w:top w:val="none" w:sz="0" w:space="0" w:color="auto"/>
        <w:left w:val="none" w:sz="0" w:space="0" w:color="auto"/>
        <w:bottom w:val="none" w:sz="0" w:space="0" w:color="auto"/>
        <w:right w:val="none" w:sz="0" w:space="0" w:color="auto"/>
      </w:divBdr>
    </w:div>
    <w:div w:id="741368062">
      <w:bodyDiv w:val="1"/>
      <w:marLeft w:val="0"/>
      <w:marRight w:val="0"/>
      <w:marTop w:val="0"/>
      <w:marBottom w:val="0"/>
      <w:divBdr>
        <w:top w:val="none" w:sz="0" w:space="0" w:color="auto"/>
        <w:left w:val="none" w:sz="0" w:space="0" w:color="auto"/>
        <w:bottom w:val="none" w:sz="0" w:space="0" w:color="auto"/>
        <w:right w:val="none" w:sz="0" w:space="0" w:color="auto"/>
      </w:divBdr>
    </w:div>
    <w:div w:id="741754024">
      <w:bodyDiv w:val="1"/>
      <w:marLeft w:val="0"/>
      <w:marRight w:val="0"/>
      <w:marTop w:val="0"/>
      <w:marBottom w:val="0"/>
      <w:divBdr>
        <w:top w:val="none" w:sz="0" w:space="0" w:color="auto"/>
        <w:left w:val="none" w:sz="0" w:space="0" w:color="auto"/>
        <w:bottom w:val="none" w:sz="0" w:space="0" w:color="auto"/>
        <w:right w:val="none" w:sz="0" w:space="0" w:color="auto"/>
      </w:divBdr>
    </w:div>
    <w:div w:id="742146116">
      <w:bodyDiv w:val="1"/>
      <w:marLeft w:val="0"/>
      <w:marRight w:val="0"/>
      <w:marTop w:val="0"/>
      <w:marBottom w:val="0"/>
      <w:divBdr>
        <w:top w:val="none" w:sz="0" w:space="0" w:color="auto"/>
        <w:left w:val="none" w:sz="0" w:space="0" w:color="auto"/>
        <w:bottom w:val="none" w:sz="0" w:space="0" w:color="auto"/>
        <w:right w:val="none" w:sz="0" w:space="0" w:color="auto"/>
      </w:divBdr>
    </w:div>
    <w:div w:id="742719565">
      <w:bodyDiv w:val="1"/>
      <w:marLeft w:val="0"/>
      <w:marRight w:val="0"/>
      <w:marTop w:val="0"/>
      <w:marBottom w:val="0"/>
      <w:divBdr>
        <w:top w:val="none" w:sz="0" w:space="0" w:color="auto"/>
        <w:left w:val="none" w:sz="0" w:space="0" w:color="auto"/>
        <w:bottom w:val="none" w:sz="0" w:space="0" w:color="auto"/>
        <w:right w:val="none" w:sz="0" w:space="0" w:color="auto"/>
      </w:divBdr>
    </w:div>
    <w:div w:id="742721320">
      <w:bodyDiv w:val="1"/>
      <w:marLeft w:val="0"/>
      <w:marRight w:val="0"/>
      <w:marTop w:val="0"/>
      <w:marBottom w:val="0"/>
      <w:divBdr>
        <w:top w:val="none" w:sz="0" w:space="0" w:color="auto"/>
        <w:left w:val="none" w:sz="0" w:space="0" w:color="auto"/>
        <w:bottom w:val="none" w:sz="0" w:space="0" w:color="auto"/>
        <w:right w:val="none" w:sz="0" w:space="0" w:color="auto"/>
      </w:divBdr>
    </w:div>
    <w:div w:id="744034675">
      <w:bodyDiv w:val="1"/>
      <w:marLeft w:val="0"/>
      <w:marRight w:val="0"/>
      <w:marTop w:val="0"/>
      <w:marBottom w:val="0"/>
      <w:divBdr>
        <w:top w:val="none" w:sz="0" w:space="0" w:color="auto"/>
        <w:left w:val="none" w:sz="0" w:space="0" w:color="auto"/>
        <w:bottom w:val="none" w:sz="0" w:space="0" w:color="auto"/>
        <w:right w:val="none" w:sz="0" w:space="0" w:color="auto"/>
      </w:divBdr>
    </w:div>
    <w:div w:id="744107283">
      <w:bodyDiv w:val="1"/>
      <w:marLeft w:val="0"/>
      <w:marRight w:val="0"/>
      <w:marTop w:val="0"/>
      <w:marBottom w:val="0"/>
      <w:divBdr>
        <w:top w:val="none" w:sz="0" w:space="0" w:color="auto"/>
        <w:left w:val="none" w:sz="0" w:space="0" w:color="auto"/>
        <w:bottom w:val="none" w:sz="0" w:space="0" w:color="auto"/>
        <w:right w:val="none" w:sz="0" w:space="0" w:color="auto"/>
      </w:divBdr>
    </w:div>
    <w:div w:id="744185866">
      <w:bodyDiv w:val="1"/>
      <w:marLeft w:val="0"/>
      <w:marRight w:val="0"/>
      <w:marTop w:val="0"/>
      <w:marBottom w:val="0"/>
      <w:divBdr>
        <w:top w:val="none" w:sz="0" w:space="0" w:color="auto"/>
        <w:left w:val="none" w:sz="0" w:space="0" w:color="auto"/>
        <w:bottom w:val="none" w:sz="0" w:space="0" w:color="auto"/>
        <w:right w:val="none" w:sz="0" w:space="0" w:color="auto"/>
      </w:divBdr>
    </w:div>
    <w:div w:id="744838559">
      <w:bodyDiv w:val="1"/>
      <w:marLeft w:val="0"/>
      <w:marRight w:val="0"/>
      <w:marTop w:val="0"/>
      <w:marBottom w:val="0"/>
      <w:divBdr>
        <w:top w:val="none" w:sz="0" w:space="0" w:color="auto"/>
        <w:left w:val="none" w:sz="0" w:space="0" w:color="auto"/>
        <w:bottom w:val="none" w:sz="0" w:space="0" w:color="auto"/>
        <w:right w:val="none" w:sz="0" w:space="0" w:color="auto"/>
      </w:divBdr>
    </w:div>
    <w:div w:id="745761690">
      <w:bodyDiv w:val="1"/>
      <w:marLeft w:val="0"/>
      <w:marRight w:val="0"/>
      <w:marTop w:val="0"/>
      <w:marBottom w:val="0"/>
      <w:divBdr>
        <w:top w:val="none" w:sz="0" w:space="0" w:color="auto"/>
        <w:left w:val="none" w:sz="0" w:space="0" w:color="auto"/>
        <w:bottom w:val="none" w:sz="0" w:space="0" w:color="auto"/>
        <w:right w:val="none" w:sz="0" w:space="0" w:color="auto"/>
      </w:divBdr>
    </w:div>
    <w:div w:id="745886016">
      <w:bodyDiv w:val="1"/>
      <w:marLeft w:val="0"/>
      <w:marRight w:val="0"/>
      <w:marTop w:val="0"/>
      <w:marBottom w:val="0"/>
      <w:divBdr>
        <w:top w:val="none" w:sz="0" w:space="0" w:color="auto"/>
        <w:left w:val="none" w:sz="0" w:space="0" w:color="auto"/>
        <w:bottom w:val="none" w:sz="0" w:space="0" w:color="auto"/>
        <w:right w:val="none" w:sz="0" w:space="0" w:color="auto"/>
      </w:divBdr>
    </w:div>
    <w:div w:id="746071066">
      <w:bodyDiv w:val="1"/>
      <w:marLeft w:val="0"/>
      <w:marRight w:val="0"/>
      <w:marTop w:val="0"/>
      <w:marBottom w:val="0"/>
      <w:divBdr>
        <w:top w:val="none" w:sz="0" w:space="0" w:color="auto"/>
        <w:left w:val="none" w:sz="0" w:space="0" w:color="auto"/>
        <w:bottom w:val="none" w:sz="0" w:space="0" w:color="auto"/>
        <w:right w:val="none" w:sz="0" w:space="0" w:color="auto"/>
      </w:divBdr>
    </w:div>
    <w:div w:id="746999658">
      <w:bodyDiv w:val="1"/>
      <w:marLeft w:val="0"/>
      <w:marRight w:val="0"/>
      <w:marTop w:val="0"/>
      <w:marBottom w:val="0"/>
      <w:divBdr>
        <w:top w:val="none" w:sz="0" w:space="0" w:color="auto"/>
        <w:left w:val="none" w:sz="0" w:space="0" w:color="auto"/>
        <w:bottom w:val="none" w:sz="0" w:space="0" w:color="auto"/>
        <w:right w:val="none" w:sz="0" w:space="0" w:color="auto"/>
      </w:divBdr>
    </w:div>
    <w:div w:id="747075812">
      <w:bodyDiv w:val="1"/>
      <w:marLeft w:val="0"/>
      <w:marRight w:val="0"/>
      <w:marTop w:val="0"/>
      <w:marBottom w:val="0"/>
      <w:divBdr>
        <w:top w:val="none" w:sz="0" w:space="0" w:color="auto"/>
        <w:left w:val="none" w:sz="0" w:space="0" w:color="auto"/>
        <w:bottom w:val="none" w:sz="0" w:space="0" w:color="auto"/>
        <w:right w:val="none" w:sz="0" w:space="0" w:color="auto"/>
      </w:divBdr>
    </w:div>
    <w:div w:id="747119660">
      <w:bodyDiv w:val="1"/>
      <w:marLeft w:val="0"/>
      <w:marRight w:val="0"/>
      <w:marTop w:val="0"/>
      <w:marBottom w:val="0"/>
      <w:divBdr>
        <w:top w:val="none" w:sz="0" w:space="0" w:color="auto"/>
        <w:left w:val="none" w:sz="0" w:space="0" w:color="auto"/>
        <w:bottom w:val="none" w:sz="0" w:space="0" w:color="auto"/>
        <w:right w:val="none" w:sz="0" w:space="0" w:color="auto"/>
      </w:divBdr>
    </w:div>
    <w:div w:id="747265154">
      <w:bodyDiv w:val="1"/>
      <w:marLeft w:val="0"/>
      <w:marRight w:val="0"/>
      <w:marTop w:val="0"/>
      <w:marBottom w:val="0"/>
      <w:divBdr>
        <w:top w:val="none" w:sz="0" w:space="0" w:color="auto"/>
        <w:left w:val="none" w:sz="0" w:space="0" w:color="auto"/>
        <w:bottom w:val="none" w:sz="0" w:space="0" w:color="auto"/>
        <w:right w:val="none" w:sz="0" w:space="0" w:color="auto"/>
      </w:divBdr>
    </w:div>
    <w:div w:id="747459813">
      <w:bodyDiv w:val="1"/>
      <w:marLeft w:val="0"/>
      <w:marRight w:val="0"/>
      <w:marTop w:val="0"/>
      <w:marBottom w:val="0"/>
      <w:divBdr>
        <w:top w:val="none" w:sz="0" w:space="0" w:color="auto"/>
        <w:left w:val="none" w:sz="0" w:space="0" w:color="auto"/>
        <w:bottom w:val="none" w:sz="0" w:space="0" w:color="auto"/>
        <w:right w:val="none" w:sz="0" w:space="0" w:color="auto"/>
      </w:divBdr>
    </w:div>
    <w:div w:id="747464889">
      <w:bodyDiv w:val="1"/>
      <w:marLeft w:val="0"/>
      <w:marRight w:val="0"/>
      <w:marTop w:val="0"/>
      <w:marBottom w:val="0"/>
      <w:divBdr>
        <w:top w:val="none" w:sz="0" w:space="0" w:color="auto"/>
        <w:left w:val="none" w:sz="0" w:space="0" w:color="auto"/>
        <w:bottom w:val="none" w:sz="0" w:space="0" w:color="auto"/>
        <w:right w:val="none" w:sz="0" w:space="0" w:color="auto"/>
      </w:divBdr>
    </w:div>
    <w:div w:id="747926248">
      <w:bodyDiv w:val="1"/>
      <w:marLeft w:val="0"/>
      <w:marRight w:val="0"/>
      <w:marTop w:val="0"/>
      <w:marBottom w:val="0"/>
      <w:divBdr>
        <w:top w:val="none" w:sz="0" w:space="0" w:color="auto"/>
        <w:left w:val="none" w:sz="0" w:space="0" w:color="auto"/>
        <w:bottom w:val="none" w:sz="0" w:space="0" w:color="auto"/>
        <w:right w:val="none" w:sz="0" w:space="0" w:color="auto"/>
      </w:divBdr>
    </w:div>
    <w:div w:id="748423525">
      <w:bodyDiv w:val="1"/>
      <w:marLeft w:val="0"/>
      <w:marRight w:val="0"/>
      <w:marTop w:val="0"/>
      <w:marBottom w:val="0"/>
      <w:divBdr>
        <w:top w:val="none" w:sz="0" w:space="0" w:color="auto"/>
        <w:left w:val="none" w:sz="0" w:space="0" w:color="auto"/>
        <w:bottom w:val="none" w:sz="0" w:space="0" w:color="auto"/>
        <w:right w:val="none" w:sz="0" w:space="0" w:color="auto"/>
      </w:divBdr>
    </w:div>
    <w:div w:id="748498000">
      <w:bodyDiv w:val="1"/>
      <w:marLeft w:val="0"/>
      <w:marRight w:val="0"/>
      <w:marTop w:val="0"/>
      <w:marBottom w:val="0"/>
      <w:divBdr>
        <w:top w:val="none" w:sz="0" w:space="0" w:color="auto"/>
        <w:left w:val="none" w:sz="0" w:space="0" w:color="auto"/>
        <w:bottom w:val="none" w:sz="0" w:space="0" w:color="auto"/>
        <w:right w:val="none" w:sz="0" w:space="0" w:color="auto"/>
      </w:divBdr>
    </w:div>
    <w:div w:id="748507357">
      <w:bodyDiv w:val="1"/>
      <w:marLeft w:val="0"/>
      <w:marRight w:val="0"/>
      <w:marTop w:val="0"/>
      <w:marBottom w:val="0"/>
      <w:divBdr>
        <w:top w:val="none" w:sz="0" w:space="0" w:color="auto"/>
        <w:left w:val="none" w:sz="0" w:space="0" w:color="auto"/>
        <w:bottom w:val="none" w:sz="0" w:space="0" w:color="auto"/>
        <w:right w:val="none" w:sz="0" w:space="0" w:color="auto"/>
      </w:divBdr>
    </w:div>
    <w:div w:id="748887546">
      <w:bodyDiv w:val="1"/>
      <w:marLeft w:val="0"/>
      <w:marRight w:val="0"/>
      <w:marTop w:val="0"/>
      <w:marBottom w:val="0"/>
      <w:divBdr>
        <w:top w:val="none" w:sz="0" w:space="0" w:color="auto"/>
        <w:left w:val="none" w:sz="0" w:space="0" w:color="auto"/>
        <w:bottom w:val="none" w:sz="0" w:space="0" w:color="auto"/>
        <w:right w:val="none" w:sz="0" w:space="0" w:color="auto"/>
      </w:divBdr>
    </w:div>
    <w:div w:id="748887987">
      <w:bodyDiv w:val="1"/>
      <w:marLeft w:val="0"/>
      <w:marRight w:val="0"/>
      <w:marTop w:val="0"/>
      <w:marBottom w:val="0"/>
      <w:divBdr>
        <w:top w:val="none" w:sz="0" w:space="0" w:color="auto"/>
        <w:left w:val="none" w:sz="0" w:space="0" w:color="auto"/>
        <w:bottom w:val="none" w:sz="0" w:space="0" w:color="auto"/>
        <w:right w:val="none" w:sz="0" w:space="0" w:color="auto"/>
      </w:divBdr>
    </w:div>
    <w:div w:id="749236247">
      <w:bodyDiv w:val="1"/>
      <w:marLeft w:val="0"/>
      <w:marRight w:val="0"/>
      <w:marTop w:val="0"/>
      <w:marBottom w:val="0"/>
      <w:divBdr>
        <w:top w:val="none" w:sz="0" w:space="0" w:color="auto"/>
        <w:left w:val="none" w:sz="0" w:space="0" w:color="auto"/>
        <w:bottom w:val="none" w:sz="0" w:space="0" w:color="auto"/>
        <w:right w:val="none" w:sz="0" w:space="0" w:color="auto"/>
      </w:divBdr>
    </w:div>
    <w:div w:id="749472048">
      <w:bodyDiv w:val="1"/>
      <w:marLeft w:val="0"/>
      <w:marRight w:val="0"/>
      <w:marTop w:val="0"/>
      <w:marBottom w:val="0"/>
      <w:divBdr>
        <w:top w:val="none" w:sz="0" w:space="0" w:color="auto"/>
        <w:left w:val="none" w:sz="0" w:space="0" w:color="auto"/>
        <w:bottom w:val="none" w:sz="0" w:space="0" w:color="auto"/>
        <w:right w:val="none" w:sz="0" w:space="0" w:color="auto"/>
      </w:divBdr>
    </w:div>
    <w:div w:id="749931388">
      <w:bodyDiv w:val="1"/>
      <w:marLeft w:val="0"/>
      <w:marRight w:val="0"/>
      <w:marTop w:val="0"/>
      <w:marBottom w:val="0"/>
      <w:divBdr>
        <w:top w:val="none" w:sz="0" w:space="0" w:color="auto"/>
        <w:left w:val="none" w:sz="0" w:space="0" w:color="auto"/>
        <w:bottom w:val="none" w:sz="0" w:space="0" w:color="auto"/>
        <w:right w:val="none" w:sz="0" w:space="0" w:color="auto"/>
      </w:divBdr>
    </w:div>
    <w:div w:id="749934569">
      <w:bodyDiv w:val="1"/>
      <w:marLeft w:val="0"/>
      <w:marRight w:val="0"/>
      <w:marTop w:val="0"/>
      <w:marBottom w:val="0"/>
      <w:divBdr>
        <w:top w:val="none" w:sz="0" w:space="0" w:color="auto"/>
        <w:left w:val="none" w:sz="0" w:space="0" w:color="auto"/>
        <w:bottom w:val="none" w:sz="0" w:space="0" w:color="auto"/>
        <w:right w:val="none" w:sz="0" w:space="0" w:color="auto"/>
      </w:divBdr>
    </w:div>
    <w:div w:id="750471544">
      <w:bodyDiv w:val="1"/>
      <w:marLeft w:val="0"/>
      <w:marRight w:val="0"/>
      <w:marTop w:val="0"/>
      <w:marBottom w:val="0"/>
      <w:divBdr>
        <w:top w:val="none" w:sz="0" w:space="0" w:color="auto"/>
        <w:left w:val="none" w:sz="0" w:space="0" w:color="auto"/>
        <w:bottom w:val="none" w:sz="0" w:space="0" w:color="auto"/>
        <w:right w:val="none" w:sz="0" w:space="0" w:color="auto"/>
      </w:divBdr>
    </w:div>
    <w:div w:id="751241602">
      <w:bodyDiv w:val="1"/>
      <w:marLeft w:val="0"/>
      <w:marRight w:val="0"/>
      <w:marTop w:val="0"/>
      <w:marBottom w:val="0"/>
      <w:divBdr>
        <w:top w:val="none" w:sz="0" w:space="0" w:color="auto"/>
        <w:left w:val="none" w:sz="0" w:space="0" w:color="auto"/>
        <w:bottom w:val="none" w:sz="0" w:space="0" w:color="auto"/>
        <w:right w:val="none" w:sz="0" w:space="0" w:color="auto"/>
      </w:divBdr>
    </w:div>
    <w:div w:id="751513069">
      <w:bodyDiv w:val="1"/>
      <w:marLeft w:val="0"/>
      <w:marRight w:val="0"/>
      <w:marTop w:val="0"/>
      <w:marBottom w:val="0"/>
      <w:divBdr>
        <w:top w:val="none" w:sz="0" w:space="0" w:color="auto"/>
        <w:left w:val="none" w:sz="0" w:space="0" w:color="auto"/>
        <w:bottom w:val="none" w:sz="0" w:space="0" w:color="auto"/>
        <w:right w:val="none" w:sz="0" w:space="0" w:color="auto"/>
      </w:divBdr>
    </w:div>
    <w:div w:id="751968331">
      <w:bodyDiv w:val="1"/>
      <w:marLeft w:val="0"/>
      <w:marRight w:val="0"/>
      <w:marTop w:val="0"/>
      <w:marBottom w:val="0"/>
      <w:divBdr>
        <w:top w:val="none" w:sz="0" w:space="0" w:color="auto"/>
        <w:left w:val="none" w:sz="0" w:space="0" w:color="auto"/>
        <w:bottom w:val="none" w:sz="0" w:space="0" w:color="auto"/>
        <w:right w:val="none" w:sz="0" w:space="0" w:color="auto"/>
      </w:divBdr>
    </w:div>
    <w:div w:id="752967813">
      <w:bodyDiv w:val="1"/>
      <w:marLeft w:val="0"/>
      <w:marRight w:val="0"/>
      <w:marTop w:val="0"/>
      <w:marBottom w:val="0"/>
      <w:divBdr>
        <w:top w:val="none" w:sz="0" w:space="0" w:color="auto"/>
        <w:left w:val="none" w:sz="0" w:space="0" w:color="auto"/>
        <w:bottom w:val="none" w:sz="0" w:space="0" w:color="auto"/>
        <w:right w:val="none" w:sz="0" w:space="0" w:color="auto"/>
      </w:divBdr>
    </w:div>
    <w:div w:id="753014937">
      <w:bodyDiv w:val="1"/>
      <w:marLeft w:val="0"/>
      <w:marRight w:val="0"/>
      <w:marTop w:val="0"/>
      <w:marBottom w:val="0"/>
      <w:divBdr>
        <w:top w:val="none" w:sz="0" w:space="0" w:color="auto"/>
        <w:left w:val="none" w:sz="0" w:space="0" w:color="auto"/>
        <w:bottom w:val="none" w:sz="0" w:space="0" w:color="auto"/>
        <w:right w:val="none" w:sz="0" w:space="0" w:color="auto"/>
      </w:divBdr>
    </w:div>
    <w:div w:id="753473752">
      <w:bodyDiv w:val="1"/>
      <w:marLeft w:val="0"/>
      <w:marRight w:val="0"/>
      <w:marTop w:val="0"/>
      <w:marBottom w:val="0"/>
      <w:divBdr>
        <w:top w:val="none" w:sz="0" w:space="0" w:color="auto"/>
        <w:left w:val="none" w:sz="0" w:space="0" w:color="auto"/>
        <w:bottom w:val="none" w:sz="0" w:space="0" w:color="auto"/>
        <w:right w:val="none" w:sz="0" w:space="0" w:color="auto"/>
      </w:divBdr>
    </w:div>
    <w:div w:id="754326992">
      <w:bodyDiv w:val="1"/>
      <w:marLeft w:val="0"/>
      <w:marRight w:val="0"/>
      <w:marTop w:val="0"/>
      <w:marBottom w:val="0"/>
      <w:divBdr>
        <w:top w:val="none" w:sz="0" w:space="0" w:color="auto"/>
        <w:left w:val="none" w:sz="0" w:space="0" w:color="auto"/>
        <w:bottom w:val="none" w:sz="0" w:space="0" w:color="auto"/>
        <w:right w:val="none" w:sz="0" w:space="0" w:color="auto"/>
      </w:divBdr>
    </w:div>
    <w:div w:id="754742670">
      <w:bodyDiv w:val="1"/>
      <w:marLeft w:val="0"/>
      <w:marRight w:val="0"/>
      <w:marTop w:val="0"/>
      <w:marBottom w:val="0"/>
      <w:divBdr>
        <w:top w:val="none" w:sz="0" w:space="0" w:color="auto"/>
        <w:left w:val="none" w:sz="0" w:space="0" w:color="auto"/>
        <w:bottom w:val="none" w:sz="0" w:space="0" w:color="auto"/>
        <w:right w:val="none" w:sz="0" w:space="0" w:color="auto"/>
      </w:divBdr>
    </w:div>
    <w:div w:id="755903634">
      <w:bodyDiv w:val="1"/>
      <w:marLeft w:val="0"/>
      <w:marRight w:val="0"/>
      <w:marTop w:val="0"/>
      <w:marBottom w:val="0"/>
      <w:divBdr>
        <w:top w:val="none" w:sz="0" w:space="0" w:color="auto"/>
        <w:left w:val="none" w:sz="0" w:space="0" w:color="auto"/>
        <w:bottom w:val="none" w:sz="0" w:space="0" w:color="auto"/>
        <w:right w:val="none" w:sz="0" w:space="0" w:color="auto"/>
      </w:divBdr>
    </w:div>
    <w:div w:id="756446037">
      <w:bodyDiv w:val="1"/>
      <w:marLeft w:val="0"/>
      <w:marRight w:val="0"/>
      <w:marTop w:val="0"/>
      <w:marBottom w:val="0"/>
      <w:divBdr>
        <w:top w:val="none" w:sz="0" w:space="0" w:color="auto"/>
        <w:left w:val="none" w:sz="0" w:space="0" w:color="auto"/>
        <w:bottom w:val="none" w:sz="0" w:space="0" w:color="auto"/>
        <w:right w:val="none" w:sz="0" w:space="0" w:color="auto"/>
      </w:divBdr>
    </w:div>
    <w:div w:id="756829298">
      <w:bodyDiv w:val="1"/>
      <w:marLeft w:val="0"/>
      <w:marRight w:val="0"/>
      <w:marTop w:val="0"/>
      <w:marBottom w:val="0"/>
      <w:divBdr>
        <w:top w:val="none" w:sz="0" w:space="0" w:color="auto"/>
        <w:left w:val="none" w:sz="0" w:space="0" w:color="auto"/>
        <w:bottom w:val="none" w:sz="0" w:space="0" w:color="auto"/>
        <w:right w:val="none" w:sz="0" w:space="0" w:color="auto"/>
      </w:divBdr>
    </w:div>
    <w:div w:id="756942017">
      <w:bodyDiv w:val="1"/>
      <w:marLeft w:val="0"/>
      <w:marRight w:val="0"/>
      <w:marTop w:val="0"/>
      <w:marBottom w:val="0"/>
      <w:divBdr>
        <w:top w:val="none" w:sz="0" w:space="0" w:color="auto"/>
        <w:left w:val="none" w:sz="0" w:space="0" w:color="auto"/>
        <w:bottom w:val="none" w:sz="0" w:space="0" w:color="auto"/>
        <w:right w:val="none" w:sz="0" w:space="0" w:color="auto"/>
      </w:divBdr>
    </w:div>
    <w:div w:id="757101007">
      <w:bodyDiv w:val="1"/>
      <w:marLeft w:val="0"/>
      <w:marRight w:val="0"/>
      <w:marTop w:val="0"/>
      <w:marBottom w:val="0"/>
      <w:divBdr>
        <w:top w:val="none" w:sz="0" w:space="0" w:color="auto"/>
        <w:left w:val="none" w:sz="0" w:space="0" w:color="auto"/>
        <w:bottom w:val="none" w:sz="0" w:space="0" w:color="auto"/>
        <w:right w:val="none" w:sz="0" w:space="0" w:color="auto"/>
      </w:divBdr>
    </w:div>
    <w:div w:id="757794162">
      <w:bodyDiv w:val="1"/>
      <w:marLeft w:val="0"/>
      <w:marRight w:val="0"/>
      <w:marTop w:val="0"/>
      <w:marBottom w:val="0"/>
      <w:divBdr>
        <w:top w:val="none" w:sz="0" w:space="0" w:color="auto"/>
        <w:left w:val="none" w:sz="0" w:space="0" w:color="auto"/>
        <w:bottom w:val="none" w:sz="0" w:space="0" w:color="auto"/>
        <w:right w:val="none" w:sz="0" w:space="0" w:color="auto"/>
      </w:divBdr>
    </w:div>
    <w:div w:id="758064839">
      <w:bodyDiv w:val="1"/>
      <w:marLeft w:val="0"/>
      <w:marRight w:val="0"/>
      <w:marTop w:val="0"/>
      <w:marBottom w:val="0"/>
      <w:divBdr>
        <w:top w:val="none" w:sz="0" w:space="0" w:color="auto"/>
        <w:left w:val="none" w:sz="0" w:space="0" w:color="auto"/>
        <w:bottom w:val="none" w:sz="0" w:space="0" w:color="auto"/>
        <w:right w:val="none" w:sz="0" w:space="0" w:color="auto"/>
      </w:divBdr>
    </w:div>
    <w:div w:id="758134662">
      <w:bodyDiv w:val="1"/>
      <w:marLeft w:val="0"/>
      <w:marRight w:val="0"/>
      <w:marTop w:val="0"/>
      <w:marBottom w:val="0"/>
      <w:divBdr>
        <w:top w:val="none" w:sz="0" w:space="0" w:color="auto"/>
        <w:left w:val="none" w:sz="0" w:space="0" w:color="auto"/>
        <w:bottom w:val="none" w:sz="0" w:space="0" w:color="auto"/>
        <w:right w:val="none" w:sz="0" w:space="0" w:color="auto"/>
      </w:divBdr>
    </w:div>
    <w:div w:id="758451563">
      <w:bodyDiv w:val="1"/>
      <w:marLeft w:val="0"/>
      <w:marRight w:val="0"/>
      <w:marTop w:val="0"/>
      <w:marBottom w:val="0"/>
      <w:divBdr>
        <w:top w:val="none" w:sz="0" w:space="0" w:color="auto"/>
        <w:left w:val="none" w:sz="0" w:space="0" w:color="auto"/>
        <w:bottom w:val="none" w:sz="0" w:space="0" w:color="auto"/>
        <w:right w:val="none" w:sz="0" w:space="0" w:color="auto"/>
      </w:divBdr>
    </w:div>
    <w:div w:id="759058094">
      <w:bodyDiv w:val="1"/>
      <w:marLeft w:val="0"/>
      <w:marRight w:val="0"/>
      <w:marTop w:val="0"/>
      <w:marBottom w:val="0"/>
      <w:divBdr>
        <w:top w:val="none" w:sz="0" w:space="0" w:color="auto"/>
        <w:left w:val="none" w:sz="0" w:space="0" w:color="auto"/>
        <w:bottom w:val="none" w:sz="0" w:space="0" w:color="auto"/>
        <w:right w:val="none" w:sz="0" w:space="0" w:color="auto"/>
      </w:divBdr>
    </w:div>
    <w:div w:id="759135097">
      <w:bodyDiv w:val="1"/>
      <w:marLeft w:val="0"/>
      <w:marRight w:val="0"/>
      <w:marTop w:val="0"/>
      <w:marBottom w:val="0"/>
      <w:divBdr>
        <w:top w:val="none" w:sz="0" w:space="0" w:color="auto"/>
        <w:left w:val="none" w:sz="0" w:space="0" w:color="auto"/>
        <w:bottom w:val="none" w:sz="0" w:space="0" w:color="auto"/>
        <w:right w:val="none" w:sz="0" w:space="0" w:color="auto"/>
      </w:divBdr>
    </w:div>
    <w:div w:id="759370654">
      <w:bodyDiv w:val="1"/>
      <w:marLeft w:val="0"/>
      <w:marRight w:val="0"/>
      <w:marTop w:val="0"/>
      <w:marBottom w:val="0"/>
      <w:divBdr>
        <w:top w:val="none" w:sz="0" w:space="0" w:color="auto"/>
        <w:left w:val="none" w:sz="0" w:space="0" w:color="auto"/>
        <w:bottom w:val="none" w:sz="0" w:space="0" w:color="auto"/>
        <w:right w:val="none" w:sz="0" w:space="0" w:color="auto"/>
      </w:divBdr>
    </w:div>
    <w:div w:id="759839400">
      <w:bodyDiv w:val="1"/>
      <w:marLeft w:val="0"/>
      <w:marRight w:val="0"/>
      <w:marTop w:val="0"/>
      <w:marBottom w:val="0"/>
      <w:divBdr>
        <w:top w:val="none" w:sz="0" w:space="0" w:color="auto"/>
        <w:left w:val="none" w:sz="0" w:space="0" w:color="auto"/>
        <w:bottom w:val="none" w:sz="0" w:space="0" w:color="auto"/>
        <w:right w:val="none" w:sz="0" w:space="0" w:color="auto"/>
      </w:divBdr>
    </w:div>
    <w:div w:id="759987999">
      <w:bodyDiv w:val="1"/>
      <w:marLeft w:val="0"/>
      <w:marRight w:val="0"/>
      <w:marTop w:val="0"/>
      <w:marBottom w:val="0"/>
      <w:divBdr>
        <w:top w:val="none" w:sz="0" w:space="0" w:color="auto"/>
        <w:left w:val="none" w:sz="0" w:space="0" w:color="auto"/>
        <w:bottom w:val="none" w:sz="0" w:space="0" w:color="auto"/>
        <w:right w:val="none" w:sz="0" w:space="0" w:color="auto"/>
      </w:divBdr>
    </w:div>
    <w:div w:id="760030470">
      <w:bodyDiv w:val="1"/>
      <w:marLeft w:val="0"/>
      <w:marRight w:val="0"/>
      <w:marTop w:val="0"/>
      <w:marBottom w:val="0"/>
      <w:divBdr>
        <w:top w:val="none" w:sz="0" w:space="0" w:color="auto"/>
        <w:left w:val="none" w:sz="0" w:space="0" w:color="auto"/>
        <w:bottom w:val="none" w:sz="0" w:space="0" w:color="auto"/>
        <w:right w:val="none" w:sz="0" w:space="0" w:color="auto"/>
      </w:divBdr>
    </w:div>
    <w:div w:id="760485941">
      <w:bodyDiv w:val="1"/>
      <w:marLeft w:val="0"/>
      <w:marRight w:val="0"/>
      <w:marTop w:val="0"/>
      <w:marBottom w:val="0"/>
      <w:divBdr>
        <w:top w:val="none" w:sz="0" w:space="0" w:color="auto"/>
        <w:left w:val="none" w:sz="0" w:space="0" w:color="auto"/>
        <w:bottom w:val="none" w:sz="0" w:space="0" w:color="auto"/>
        <w:right w:val="none" w:sz="0" w:space="0" w:color="auto"/>
      </w:divBdr>
    </w:div>
    <w:div w:id="760755773">
      <w:bodyDiv w:val="1"/>
      <w:marLeft w:val="0"/>
      <w:marRight w:val="0"/>
      <w:marTop w:val="0"/>
      <w:marBottom w:val="0"/>
      <w:divBdr>
        <w:top w:val="none" w:sz="0" w:space="0" w:color="auto"/>
        <w:left w:val="none" w:sz="0" w:space="0" w:color="auto"/>
        <w:bottom w:val="none" w:sz="0" w:space="0" w:color="auto"/>
        <w:right w:val="none" w:sz="0" w:space="0" w:color="auto"/>
      </w:divBdr>
    </w:div>
    <w:div w:id="761150866">
      <w:bodyDiv w:val="1"/>
      <w:marLeft w:val="0"/>
      <w:marRight w:val="0"/>
      <w:marTop w:val="0"/>
      <w:marBottom w:val="0"/>
      <w:divBdr>
        <w:top w:val="none" w:sz="0" w:space="0" w:color="auto"/>
        <w:left w:val="none" w:sz="0" w:space="0" w:color="auto"/>
        <w:bottom w:val="none" w:sz="0" w:space="0" w:color="auto"/>
        <w:right w:val="none" w:sz="0" w:space="0" w:color="auto"/>
      </w:divBdr>
    </w:div>
    <w:div w:id="761341785">
      <w:bodyDiv w:val="1"/>
      <w:marLeft w:val="0"/>
      <w:marRight w:val="0"/>
      <w:marTop w:val="0"/>
      <w:marBottom w:val="0"/>
      <w:divBdr>
        <w:top w:val="none" w:sz="0" w:space="0" w:color="auto"/>
        <w:left w:val="none" w:sz="0" w:space="0" w:color="auto"/>
        <w:bottom w:val="none" w:sz="0" w:space="0" w:color="auto"/>
        <w:right w:val="none" w:sz="0" w:space="0" w:color="auto"/>
      </w:divBdr>
    </w:div>
    <w:div w:id="762191986">
      <w:bodyDiv w:val="1"/>
      <w:marLeft w:val="0"/>
      <w:marRight w:val="0"/>
      <w:marTop w:val="0"/>
      <w:marBottom w:val="0"/>
      <w:divBdr>
        <w:top w:val="none" w:sz="0" w:space="0" w:color="auto"/>
        <w:left w:val="none" w:sz="0" w:space="0" w:color="auto"/>
        <w:bottom w:val="none" w:sz="0" w:space="0" w:color="auto"/>
        <w:right w:val="none" w:sz="0" w:space="0" w:color="auto"/>
      </w:divBdr>
    </w:div>
    <w:div w:id="762265743">
      <w:bodyDiv w:val="1"/>
      <w:marLeft w:val="0"/>
      <w:marRight w:val="0"/>
      <w:marTop w:val="0"/>
      <w:marBottom w:val="0"/>
      <w:divBdr>
        <w:top w:val="none" w:sz="0" w:space="0" w:color="auto"/>
        <w:left w:val="none" w:sz="0" w:space="0" w:color="auto"/>
        <w:bottom w:val="none" w:sz="0" w:space="0" w:color="auto"/>
        <w:right w:val="none" w:sz="0" w:space="0" w:color="auto"/>
      </w:divBdr>
    </w:div>
    <w:div w:id="762604617">
      <w:bodyDiv w:val="1"/>
      <w:marLeft w:val="0"/>
      <w:marRight w:val="0"/>
      <w:marTop w:val="0"/>
      <w:marBottom w:val="0"/>
      <w:divBdr>
        <w:top w:val="none" w:sz="0" w:space="0" w:color="auto"/>
        <w:left w:val="none" w:sz="0" w:space="0" w:color="auto"/>
        <w:bottom w:val="none" w:sz="0" w:space="0" w:color="auto"/>
        <w:right w:val="none" w:sz="0" w:space="0" w:color="auto"/>
      </w:divBdr>
    </w:div>
    <w:div w:id="762919523">
      <w:bodyDiv w:val="1"/>
      <w:marLeft w:val="0"/>
      <w:marRight w:val="0"/>
      <w:marTop w:val="0"/>
      <w:marBottom w:val="0"/>
      <w:divBdr>
        <w:top w:val="none" w:sz="0" w:space="0" w:color="auto"/>
        <w:left w:val="none" w:sz="0" w:space="0" w:color="auto"/>
        <w:bottom w:val="none" w:sz="0" w:space="0" w:color="auto"/>
        <w:right w:val="none" w:sz="0" w:space="0" w:color="auto"/>
      </w:divBdr>
    </w:div>
    <w:div w:id="763110266">
      <w:bodyDiv w:val="1"/>
      <w:marLeft w:val="0"/>
      <w:marRight w:val="0"/>
      <w:marTop w:val="0"/>
      <w:marBottom w:val="0"/>
      <w:divBdr>
        <w:top w:val="none" w:sz="0" w:space="0" w:color="auto"/>
        <w:left w:val="none" w:sz="0" w:space="0" w:color="auto"/>
        <w:bottom w:val="none" w:sz="0" w:space="0" w:color="auto"/>
        <w:right w:val="none" w:sz="0" w:space="0" w:color="auto"/>
      </w:divBdr>
    </w:div>
    <w:div w:id="763259697">
      <w:bodyDiv w:val="1"/>
      <w:marLeft w:val="0"/>
      <w:marRight w:val="0"/>
      <w:marTop w:val="0"/>
      <w:marBottom w:val="0"/>
      <w:divBdr>
        <w:top w:val="none" w:sz="0" w:space="0" w:color="auto"/>
        <w:left w:val="none" w:sz="0" w:space="0" w:color="auto"/>
        <w:bottom w:val="none" w:sz="0" w:space="0" w:color="auto"/>
        <w:right w:val="none" w:sz="0" w:space="0" w:color="auto"/>
      </w:divBdr>
    </w:div>
    <w:div w:id="764032639">
      <w:bodyDiv w:val="1"/>
      <w:marLeft w:val="0"/>
      <w:marRight w:val="0"/>
      <w:marTop w:val="0"/>
      <w:marBottom w:val="0"/>
      <w:divBdr>
        <w:top w:val="none" w:sz="0" w:space="0" w:color="auto"/>
        <w:left w:val="none" w:sz="0" w:space="0" w:color="auto"/>
        <w:bottom w:val="none" w:sz="0" w:space="0" w:color="auto"/>
        <w:right w:val="none" w:sz="0" w:space="0" w:color="auto"/>
      </w:divBdr>
    </w:div>
    <w:div w:id="764110705">
      <w:bodyDiv w:val="1"/>
      <w:marLeft w:val="0"/>
      <w:marRight w:val="0"/>
      <w:marTop w:val="0"/>
      <w:marBottom w:val="0"/>
      <w:divBdr>
        <w:top w:val="none" w:sz="0" w:space="0" w:color="auto"/>
        <w:left w:val="none" w:sz="0" w:space="0" w:color="auto"/>
        <w:bottom w:val="none" w:sz="0" w:space="0" w:color="auto"/>
        <w:right w:val="none" w:sz="0" w:space="0" w:color="auto"/>
      </w:divBdr>
    </w:div>
    <w:div w:id="764149996">
      <w:bodyDiv w:val="1"/>
      <w:marLeft w:val="0"/>
      <w:marRight w:val="0"/>
      <w:marTop w:val="0"/>
      <w:marBottom w:val="0"/>
      <w:divBdr>
        <w:top w:val="none" w:sz="0" w:space="0" w:color="auto"/>
        <w:left w:val="none" w:sz="0" w:space="0" w:color="auto"/>
        <w:bottom w:val="none" w:sz="0" w:space="0" w:color="auto"/>
        <w:right w:val="none" w:sz="0" w:space="0" w:color="auto"/>
      </w:divBdr>
    </w:div>
    <w:div w:id="764615700">
      <w:bodyDiv w:val="1"/>
      <w:marLeft w:val="0"/>
      <w:marRight w:val="0"/>
      <w:marTop w:val="0"/>
      <w:marBottom w:val="0"/>
      <w:divBdr>
        <w:top w:val="none" w:sz="0" w:space="0" w:color="auto"/>
        <w:left w:val="none" w:sz="0" w:space="0" w:color="auto"/>
        <w:bottom w:val="none" w:sz="0" w:space="0" w:color="auto"/>
        <w:right w:val="none" w:sz="0" w:space="0" w:color="auto"/>
      </w:divBdr>
    </w:div>
    <w:div w:id="764766971">
      <w:bodyDiv w:val="1"/>
      <w:marLeft w:val="0"/>
      <w:marRight w:val="0"/>
      <w:marTop w:val="0"/>
      <w:marBottom w:val="0"/>
      <w:divBdr>
        <w:top w:val="none" w:sz="0" w:space="0" w:color="auto"/>
        <w:left w:val="none" w:sz="0" w:space="0" w:color="auto"/>
        <w:bottom w:val="none" w:sz="0" w:space="0" w:color="auto"/>
        <w:right w:val="none" w:sz="0" w:space="0" w:color="auto"/>
      </w:divBdr>
    </w:div>
    <w:div w:id="765885190">
      <w:bodyDiv w:val="1"/>
      <w:marLeft w:val="0"/>
      <w:marRight w:val="0"/>
      <w:marTop w:val="0"/>
      <w:marBottom w:val="0"/>
      <w:divBdr>
        <w:top w:val="none" w:sz="0" w:space="0" w:color="auto"/>
        <w:left w:val="none" w:sz="0" w:space="0" w:color="auto"/>
        <w:bottom w:val="none" w:sz="0" w:space="0" w:color="auto"/>
        <w:right w:val="none" w:sz="0" w:space="0" w:color="auto"/>
      </w:divBdr>
    </w:div>
    <w:div w:id="765929378">
      <w:bodyDiv w:val="1"/>
      <w:marLeft w:val="0"/>
      <w:marRight w:val="0"/>
      <w:marTop w:val="0"/>
      <w:marBottom w:val="0"/>
      <w:divBdr>
        <w:top w:val="none" w:sz="0" w:space="0" w:color="auto"/>
        <w:left w:val="none" w:sz="0" w:space="0" w:color="auto"/>
        <w:bottom w:val="none" w:sz="0" w:space="0" w:color="auto"/>
        <w:right w:val="none" w:sz="0" w:space="0" w:color="auto"/>
      </w:divBdr>
    </w:div>
    <w:div w:id="766775961">
      <w:bodyDiv w:val="1"/>
      <w:marLeft w:val="0"/>
      <w:marRight w:val="0"/>
      <w:marTop w:val="0"/>
      <w:marBottom w:val="0"/>
      <w:divBdr>
        <w:top w:val="none" w:sz="0" w:space="0" w:color="auto"/>
        <w:left w:val="none" w:sz="0" w:space="0" w:color="auto"/>
        <w:bottom w:val="none" w:sz="0" w:space="0" w:color="auto"/>
        <w:right w:val="none" w:sz="0" w:space="0" w:color="auto"/>
      </w:divBdr>
    </w:div>
    <w:div w:id="767119571">
      <w:bodyDiv w:val="1"/>
      <w:marLeft w:val="0"/>
      <w:marRight w:val="0"/>
      <w:marTop w:val="0"/>
      <w:marBottom w:val="0"/>
      <w:divBdr>
        <w:top w:val="none" w:sz="0" w:space="0" w:color="auto"/>
        <w:left w:val="none" w:sz="0" w:space="0" w:color="auto"/>
        <w:bottom w:val="none" w:sz="0" w:space="0" w:color="auto"/>
        <w:right w:val="none" w:sz="0" w:space="0" w:color="auto"/>
      </w:divBdr>
    </w:div>
    <w:div w:id="767236747">
      <w:bodyDiv w:val="1"/>
      <w:marLeft w:val="0"/>
      <w:marRight w:val="0"/>
      <w:marTop w:val="0"/>
      <w:marBottom w:val="0"/>
      <w:divBdr>
        <w:top w:val="none" w:sz="0" w:space="0" w:color="auto"/>
        <w:left w:val="none" w:sz="0" w:space="0" w:color="auto"/>
        <w:bottom w:val="none" w:sz="0" w:space="0" w:color="auto"/>
        <w:right w:val="none" w:sz="0" w:space="0" w:color="auto"/>
      </w:divBdr>
    </w:div>
    <w:div w:id="768086774">
      <w:bodyDiv w:val="1"/>
      <w:marLeft w:val="0"/>
      <w:marRight w:val="0"/>
      <w:marTop w:val="0"/>
      <w:marBottom w:val="0"/>
      <w:divBdr>
        <w:top w:val="none" w:sz="0" w:space="0" w:color="auto"/>
        <w:left w:val="none" w:sz="0" w:space="0" w:color="auto"/>
        <w:bottom w:val="none" w:sz="0" w:space="0" w:color="auto"/>
        <w:right w:val="none" w:sz="0" w:space="0" w:color="auto"/>
      </w:divBdr>
    </w:div>
    <w:div w:id="768962180">
      <w:bodyDiv w:val="1"/>
      <w:marLeft w:val="0"/>
      <w:marRight w:val="0"/>
      <w:marTop w:val="0"/>
      <w:marBottom w:val="0"/>
      <w:divBdr>
        <w:top w:val="none" w:sz="0" w:space="0" w:color="auto"/>
        <w:left w:val="none" w:sz="0" w:space="0" w:color="auto"/>
        <w:bottom w:val="none" w:sz="0" w:space="0" w:color="auto"/>
        <w:right w:val="none" w:sz="0" w:space="0" w:color="auto"/>
      </w:divBdr>
    </w:div>
    <w:div w:id="769741043">
      <w:bodyDiv w:val="1"/>
      <w:marLeft w:val="0"/>
      <w:marRight w:val="0"/>
      <w:marTop w:val="0"/>
      <w:marBottom w:val="0"/>
      <w:divBdr>
        <w:top w:val="none" w:sz="0" w:space="0" w:color="auto"/>
        <w:left w:val="none" w:sz="0" w:space="0" w:color="auto"/>
        <w:bottom w:val="none" w:sz="0" w:space="0" w:color="auto"/>
        <w:right w:val="none" w:sz="0" w:space="0" w:color="auto"/>
      </w:divBdr>
    </w:div>
    <w:div w:id="770324681">
      <w:bodyDiv w:val="1"/>
      <w:marLeft w:val="0"/>
      <w:marRight w:val="0"/>
      <w:marTop w:val="0"/>
      <w:marBottom w:val="0"/>
      <w:divBdr>
        <w:top w:val="none" w:sz="0" w:space="0" w:color="auto"/>
        <w:left w:val="none" w:sz="0" w:space="0" w:color="auto"/>
        <w:bottom w:val="none" w:sz="0" w:space="0" w:color="auto"/>
        <w:right w:val="none" w:sz="0" w:space="0" w:color="auto"/>
      </w:divBdr>
    </w:div>
    <w:div w:id="771240344">
      <w:bodyDiv w:val="1"/>
      <w:marLeft w:val="0"/>
      <w:marRight w:val="0"/>
      <w:marTop w:val="0"/>
      <w:marBottom w:val="0"/>
      <w:divBdr>
        <w:top w:val="none" w:sz="0" w:space="0" w:color="auto"/>
        <w:left w:val="none" w:sz="0" w:space="0" w:color="auto"/>
        <w:bottom w:val="none" w:sz="0" w:space="0" w:color="auto"/>
        <w:right w:val="none" w:sz="0" w:space="0" w:color="auto"/>
      </w:divBdr>
    </w:div>
    <w:div w:id="771323988">
      <w:bodyDiv w:val="1"/>
      <w:marLeft w:val="0"/>
      <w:marRight w:val="0"/>
      <w:marTop w:val="0"/>
      <w:marBottom w:val="0"/>
      <w:divBdr>
        <w:top w:val="none" w:sz="0" w:space="0" w:color="auto"/>
        <w:left w:val="none" w:sz="0" w:space="0" w:color="auto"/>
        <w:bottom w:val="none" w:sz="0" w:space="0" w:color="auto"/>
        <w:right w:val="none" w:sz="0" w:space="0" w:color="auto"/>
      </w:divBdr>
    </w:div>
    <w:div w:id="771435931">
      <w:bodyDiv w:val="1"/>
      <w:marLeft w:val="0"/>
      <w:marRight w:val="0"/>
      <w:marTop w:val="0"/>
      <w:marBottom w:val="0"/>
      <w:divBdr>
        <w:top w:val="none" w:sz="0" w:space="0" w:color="auto"/>
        <w:left w:val="none" w:sz="0" w:space="0" w:color="auto"/>
        <w:bottom w:val="none" w:sz="0" w:space="0" w:color="auto"/>
        <w:right w:val="none" w:sz="0" w:space="0" w:color="auto"/>
      </w:divBdr>
    </w:div>
    <w:div w:id="771511508">
      <w:bodyDiv w:val="1"/>
      <w:marLeft w:val="0"/>
      <w:marRight w:val="0"/>
      <w:marTop w:val="0"/>
      <w:marBottom w:val="0"/>
      <w:divBdr>
        <w:top w:val="none" w:sz="0" w:space="0" w:color="auto"/>
        <w:left w:val="none" w:sz="0" w:space="0" w:color="auto"/>
        <w:bottom w:val="none" w:sz="0" w:space="0" w:color="auto"/>
        <w:right w:val="none" w:sz="0" w:space="0" w:color="auto"/>
      </w:divBdr>
    </w:div>
    <w:div w:id="771780122">
      <w:bodyDiv w:val="1"/>
      <w:marLeft w:val="0"/>
      <w:marRight w:val="0"/>
      <w:marTop w:val="0"/>
      <w:marBottom w:val="0"/>
      <w:divBdr>
        <w:top w:val="none" w:sz="0" w:space="0" w:color="auto"/>
        <w:left w:val="none" w:sz="0" w:space="0" w:color="auto"/>
        <w:bottom w:val="none" w:sz="0" w:space="0" w:color="auto"/>
        <w:right w:val="none" w:sz="0" w:space="0" w:color="auto"/>
      </w:divBdr>
    </w:div>
    <w:div w:id="771973559">
      <w:bodyDiv w:val="1"/>
      <w:marLeft w:val="0"/>
      <w:marRight w:val="0"/>
      <w:marTop w:val="0"/>
      <w:marBottom w:val="0"/>
      <w:divBdr>
        <w:top w:val="none" w:sz="0" w:space="0" w:color="auto"/>
        <w:left w:val="none" w:sz="0" w:space="0" w:color="auto"/>
        <w:bottom w:val="none" w:sz="0" w:space="0" w:color="auto"/>
        <w:right w:val="none" w:sz="0" w:space="0" w:color="auto"/>
      </w:divBdr>
    </w:div>
    <w:div w:id="772474998">
      <w:bodyDiv w:val="1"/>
      <w:marLeft w:val="0"/>
      <w:marRight w:val="0"/>
      <w:marTop w:val="0"/>
      <w:marBottom w:val="0"/>
      <w:divBdr>
        <w:top w:val="none" w:sz="0" w:space="0" w:color="auto"/>
        <w:left w:val="none" w:sz="0" w:space="0" w:color="auto"/>
        <w:bottom w:val="none" w:sz="0" w:space="0" w:color="auto"/>
        <w:right w:val="none" w:sz="0" w:space="0" w:color="auto"/>
      </w:divBdr>
    </w:div>
    <w:div w:id="772632896">
      <w:bodyDiv w:val="1"/>
      <w:marLeft w:val="0"/>
      <w:marRight w:val="0"/>
      <w:marTop w:val="0"/>
      <w:marBottom w:val="0"/>
      <w:divBdr>
        <w:top w:val="none" w:sz="0" w:space="0" w:color="auto"/>
        <w:left w:val="none" w:sz="0" w:space="0" w:color="auto"/>
        <w:bottom w:val="none" w:sz="0" w:space="0" w:color="auto"/>
        <w:right w:val="none" w:sz="0" w:space="0" w:color="auto"/>
      </w:divBdr>
    </w:div>
    <w:div w:id="772942527">
      <w:bodyDiv w:val="1"/>
      <w:marLeft w:val="0"/>
      <w:marRight w:val="0"/>
      <w:marTop w:val="0"/>
      <w:marBottom w:val="0"/>
      <w:divBdr>
        <w:top w:val="none" w:sz="0" w:space="0" w:color="auto"/>
        <w:left w:val="none" w:sz="0" w:space="0" w:color="auto"/>
        <w:bottom w:val="none" w:sz="0" w:space="0" w:color="auto"/>
        <w:right w:val="none" w:sz="0" w:space="0" w:color="auto"/>
      </w:divBdr>
    </w:div>
    <w:div w:id="773280931">
      <w:bodyDiv w:val="1"/>
      <w:marLeft w:val="0"/>
      <w:marRight w:val="0"/>
      <w:marTop w:val="0"/>
      <w:marBottom w:val="0"/>
      <w:divBdr>
        <w:top w:val="none" w:sz="0" w:space="0" w:color="auto"/>
        <w:left w:val="none" w:sz="0" w:space="0" w:color="auto"/>
        <w:bottom w:val="none" w:sz="0" w:space="0" w:color="auto"/>
        <w:right w:val="none" w:sz="0" w:space="0" w:color="auto"/>
      </w:divBdr>
    </w:div>
    <w:div w:id="773475776">
      <w:bodyDiv w:val="1"/>
      <w:marLeft w:val="0"/>
      <w:marRight w:val="0"/>
      <w:marTop w:val="0"/>
      <w:marBottom w:val="0"/>
      <w:divBdr>
        <w:top w:val="none" w:sz="0" w:space="0" w:color="auto"/>
        <w:left w:val="none" w:sz="0" w:space="0" w:color="auto"/>
        <w:bottom w:val="none" w:sz="0" w:space="0" w:color="auto"/>
        <w:right w:val="none" w:sz="0" w:space="0" w:color="auto"/>
      </w:divBdr>
    </w:div>
    <w:div w:id="773670011">
      <w:bodyDiv w:val="1"/>
      <w:marLeft w:val="0"/>
      <w:marRight w:val="0"/>
      <w:marTop w:val="0"/>
      <w:marBottom w:val="0"/>
      <w:divBdr>
        <w:top w:val="none" w:sz="0" w:space="0" w:color="auto"/>
        <w:left w:val="none" w:sz="0" w:space="0" w:color="auto"/>
        <w:bottom w:val="none" w:sz="0" w:space="0" w:color="auto"/>
        <w:right w:val="none" w:sz="0" w:space="0" w:color="auto"/>
      </w:divBdr>
    </w:div>
    <w:div w:id="774010747">
      <w:bodyDiv w:val="1"/>
      <w:marLeft w:val="0"/>
      <w:marRight w:val="0"/>
      <w:marTop w:val="0"/>
      <w:marBottom w:val="0"/>
      <w:divBdr>
        <w:top w:val="none" w:sz="0" w:space="0" w:color="auto"/>
        <w:left w:val="none" w:sz="0" w:space="0" w:color="auto"/>
        <w:bottom w:val="none" w:sz="0" w:space="0" w:color="auto"/>
        <w:right w:val="none" w:sz="0" w:space="0" w:color="auto"/>
      </w:divBdr>
    </w:div>
    <w:div w:id="774595212">
      <w:bodyDiv w:val="1"/>
      <w:marLeft w:val="0"/>
      <w:marRight w:val="0"/>
      <w:marTop w:val="0"/>
      <w:marBottom w:val="0"/>
      <w:divBdr>
        <w:top w:val="none" w:sz="0" w:space="0" w:color="auto"/>
        <w:left w:val="none" w:sz="0" w:space="0" w:color="auto"/>
        <w:bottom w:val="none" w:sz="0" w:space="0" w:color="auto"/>
        <w:right w:val="none" w:sz="0" w:space="0" w:color="auto"/>
      </w:divBdr>
    </w:div>
    <w:div w:id="775059287">
      <w:bodyDiv w:val="1"/>
      <w:marLeft w:val="0"/>
      <w:marRight w:val="0"/>
      <w:marTop w:val="0"/>
      <w:marBottom w:val="0"/>
      <w:divBdr>
        <w:top w:val="none" w:sz="0" w:space="0" w:color="auto"/>
        <w:left w:val="none" w:sz="0" w:space="0" w:color="auto"/>
        <w:bottom w:val="none" w:sz="0" w:space="0" w:color="auto"/>
        <w:right w:val="none" w:sz="0" w:space="0" w:color="auto"/>
      </w:divBdr>
    </w:div>
    <w:div w:id="775834985">
      <w:bodyDiv w:val="1"/>
      <w:marLeft w:val="0"/>
      <w:marRight w:val="0"/>
      <w:marTop w:val="0"/>
      <w:marBottom w:val="0"/>
      <w:divBdr>
        <w:top w:val="none" w:sz="0" w:space="0" w:color="auto"/>
        <w:left w:val="none" w:sz="0" w:space="0" w:color="auto"/>
        <w:bottom w:val="none" w:sz="0" w:space="0" w:color="auto"/>
        <w:right w:val="none" w:sz="0" w:space="0" w:color="auto"/>
      </w:divBdr>
    </w:div>
    <w:div w:id="775977394">
      <w:bodyDiv w:val="1"/>
      <w:marLeft w:val="0"/>
      <w:marRight w:val="0"/>
      <w:marTop w:val="0"/>
      <w:marBottom w:val="0"/>
      <w:divBdr>
        <w:top w:val="none" w:sz="0" w:space="0" w:color="auto"/>
        <w:left w:val="none" w:sz="0" w:space="0" w:color="auto"/>
        <w:bottom w:val="none" w:sz="0" w:space="0" w:color="auto"/>
        <w:right w:val="none" w:sz="0" w:space="0" w:color="auto"/>
      </w:divBdr>
    </w:div>
    <w:div w:id="776171863">
      <w:bodyDiv w:val="1"/>
      <w:marLeft w:val="0"/>
      <w:marRight w:val="0"/>
      <w:marTop w:val="0"/>
      <w:marBottom w:val="0"/>
      <w:divBdr>
        <w:top w:val="none" w:sz="0" w:space="0" w:color="auto"/>
        <w:left w:val="none" w:sz="0" w:space="0" w:color="auto"/>
        <w:bottom w:val="none" w:sz="0" w:space="0" w:color="auto"/>
        <w:right w:val="none" w:sz="0" w:space="0" w:color="auto"/>
      </w:divBdr>
    </w:div>
    <w:div w:id="776679259">
      <w:bodyDiv w:val="1"/>
      <w:marLeft w:val="0"/>
      <w:marRight w:val="0"/>
      <w:marTop w:val="0"/>
      <w:marBottom w:val="0"/>
      <w:divBdr>
        <w:top w:val="none" w:sz="0" w:space="0" w:color="auto"/>
        <w:left w:val="none" w:sz="0" w:space="0" w:color="auto"/>
        <w:bottom w:val="none" w:sz="0" w:space="0" w:color="auto"/>
        <w:right w:val="none" w:sz="0" w:space="0" w:color="auto"/>
      </w:divBdr>
    </w:div>
    <w:div w:id="777871473">
      <w:bodyDiv w:val="1"/>
      <w:marLeft w:val="0"/>
      <w:marRight w:val="0"/>
      <w:marTop w:val="0"/>
      <w:marBottom w:val="0"/>
      <w:divBdr>
        <w:top w:val="none" w:sz="0" w:space="0" w:color="auto"/>
        <w:left w:val="none" w:sz="0" w:space="0" w:color="auto"/>
        <w:bottom w:val="none" w:sz="0" w:space="0" w:color="auto"/>
        <w:right w:val="none" w:sz="0" w:space="0" w:color="auto"/>
      </w:divBdr>
    </w:div>
    <w:div w:id="777917595">
      <w:bodyDiv w:val="1"/>
      <w:marLeft w:val="0"/>
      <w:marRight w:val="0"/>
      <w:marTop w:val="0"/>
      <w:marBottom w:val="0"/>
      <w:divBdr>
        <w:top w:val="none" w:sz="0" w:space="0" w:color="auto"/>
        <w:left w:val="none" w:sz="0" w:space="0" w:color="auto"/>
        <w:bottom w:val="none" w:sz="0" w:space="0" w:color="auto"/>
        <w:right w:val="none" w:sz="0" w:space="0" w:color="auto"/>
      </w:divBdr>
    </w:div>
    <w:div w:id="777989309">
      <w:bodyDiv w:val="1"/>
      <w:marLeft w:val="0"/>
      <w:marRight w:val="0"/>
      <w:marTop w:val="0"/>
      <w:marBottom w:val="0"/>
      <w:divBdr>
        <w:top w:val="none" w:sz="0" w:space="0" w:color="auto"/>
        <w:left w:val="none" w:sz="0" w:space="0" w:color="auto"/>
        <w:bottom w:val="none" w:sz="0" w:space="0" w:color="auto"/>
        <w:right w:val="none" w:sz="0" w:space="0" w:color="auto"/>
      </w:divBdr>
    </w:div>
    <w:div w:id="778140223">
      <w:bodyDiv w:val="1"/>
      <w:marLeft w:val="0"/>
      <w:marRight w:val="0"/>
      <w:marTop w:val="0"/>
      <w:marBottom w:val="0"/>
      <w:divBdr>
        <w:top w:val="none" w:sz="0" w:space="0" w:color="auto"/>
        <w:left w:val="none" w:sz="0" w:space="0" w:color="auto"/>
        <w:bottom w:val="none" w:sz="0" w:space="0" w:color="auto"/>
        <w:right w:val="none" w:sz="0" w:space="0" w:color="auto"/>
      </w:divBdr>
    </w:div>
    <w:div w:id="778526856">
      <w:bodyDiv w:val="1"/>
      <w:marLeft w:val="0"/>
      <w:marRight w:val="0"/>
      <w:marTop w:val="0"/>
      <w:marBottom w:val="0"/>
      <w:divBdr>
        <w:top w:val="none" w:sz="0" w:space="0" w:color="auto"/>
        <w:left w:val="none" w:sz="0" w:space="0" w:color="auto"/>
        <w:bottom w:val="none" w:sz="0" w:space="0" w:color="auto"/>
        <w:right w:val="none" w:sz="0" w:space="0" w:color="auto"/>
      </w:divBdr>
    </w:div>
    <w:div w:id="778719672">
      <w:bodyDiv w:val="1"/>
      <w:marLeft w:val="0"/>
      <w:marRight w:val="0"/>
      <w:marTop w:val="0"/>
      <w:marBottom w:val="0"/>
      <w:divBdr>
        <w:top w:val="none" w:sz="0" w:space="0" w:color="auto"/>
        <w:left w:val="none" w:sz="0" w:space="0" w:color="auto"/>
        <w:bottom w:val="none" w:sz="0" w:space="0" w:color="auto"/>
        <w:right w:val="none" w:sz="0" w:space="0" w:color="auto"/>
      </w:divBdr>
    </w:div>
    <w:div w:id="778720280">
      <w:bodyDiv w:val="1"/>
      <w:marLeft w:val="0"/>
      <w:marRight w:val="0"/>
      <w:marTop w:val="0"/>
      <w:marBottom w:val="0"/>
      <w:divBdr>
        <w:top w:val="none" w:sz="0" w:space="0" w:color="auto"/>
        <w:left w:val="none" w:sz="0" w:space="0" w:color="auto"/>
        <w:bottom w:val="none" w:sz="0" w:space="0" w:color="auto"/>
        <w:right w:val="none" w:sz="0" w:space="0" w:color="auto"/>
      </w:divBdr>
    </w:div>
    <w:div w:id="778835536">
      <w:bodyDiv w:val="1"/>
      <w:marLeft w:val="0"/>
      <w:marRight w:val="0"/>
      <w:marTop w:val="0"/>
      <w:marBottom w:val="0"/>
      <w:divBdr>
        <w:top w:val="none" w:sz="0" w:space="0" w:color="auto"/>
        <w:left w:val="none" w:sz="0" w:space="0" w:color="auto"/>
        <w:bottom w:val="none" w:sz="0" w:space="0" w:color="auto"/>
        <w:right w:val="none" w:sz="0" w:space="0" w:color="auto"/>
      </w:divBdr>
    </w:div>
    <w:div w:id="779764324">
      <w:bodyDiv w:val="1"/>
      <w:marLeft w:val="0"/>
      <w:marRight w:val="0"/>
      <w:marTop w:val="0"/>
      <w:marBottom w:val="0"/>
      <w:divBdr>
        <w:top w:val="none" w:sz="0" w:space="0" w:color="auto"/>
        <w:left w:val="none" w:sz="0" w:space="0" w:color="auto"/>
        <w:bottom w:val="none" w:sz="0" w:space="0" w:color="auto"/>
        <w:right w:val="none" w:sz="0" w:space="0" w:color="auto"/>
      </w:divBdr>
    </w:div>
    <w:div w:id="781148191">
      <w:bodyDiv w:val="1"/>
      <w:marLeft w:val="0"/>
      <w:marRight w:val="0"/>
      <w:marTop w:val="0"/>
      <w:marBottom w:val="0"/>
      <w:divBdr>
        <w:top w:val="none" w:sz="0" w:space="0" w:color="auto"/>
        <w:left w:val="none" w:sz="0" w:space="0" w:color="auto"/>
        <w:bottom w:val="none" w:sz="0" w:space="0" w:color="auto"/>
        <w:right w:val="none" w:sz="0" w:space="0" w:color="auto"/>
      </w:divBdr>
    </w:div>
    <w:div w:id="781656342">
      <w:bodyDiv w:val="1"/>
      <w:marLeft w:val="0"/>
      <w:marRight w:val="0"/>
      <w:marTop w:val="0"/>
      <w:marBottom w:val="0"/>
      <w:divBdr>
        <w:top w:val="none" w:sz="0" w:space="0" w:color="auto"/>
        <w:left w:val="none" w:sz="0" w:space="0" w:color="auto"/>
        <w:bottom w:val="none" w:sz="0" w:space="0" w:color="auto"/>
        <w:right w:val="none" w:sz="0" w:space="0" w:color="auto"/>
      </w:divBdr>
    </w:div>
    <w:div w:id="781725435">
      <w:bodyDiv w:val="1"/>
      <w:marLeft w:val="0"/>
      <w:marRight w:val="0"/>
      <w:marTop w:val="0"/>
      <w:marBottom w:val="0"/>
      <w:divBdr>
        <w:top w:val="none" w:sz="0" w:space="0" w:color="auto"/>
        <w:left w:val="none" w:sz="0" w:space="0" w:color="auto"/>
        <w:bottom w:val="none" w:sz="0" w:space="0" w:color="auto"/>
        <w:right w:val="none" w:sz="0" w:space="0" w:color="auto"/>
      </w:divBdr>
    </w:div>
    <w:div w:id="782187001">
      <w:bodyDiv w:val="1"/>
      <w:marLeft w:val="0"/>
      <w:marRight w:val="0"/>
      <w:marTop w:val="0"/>
      <w:marBottom w:val="0"/>
      <w:divBdr>
        <w:top w:val="none" w:sz="0" w:space="0" w:color="auto"/>
        <w:left w:val="none" w:sz="0" w:space="0" w:color="auto"/>
        <w:bottom w:val="none" w:sz="0" w:space="0" w:color="auto"/>
        <w:right w:val="none" w:sz="0" w:space="0" w:color="auto"/>
      </w:divBdr>
    </w:div>
    <w:div w:id="782382705">
      <w:bodyDiv w:val="1"/>
      <w:marLeft w:val="0"/>
      <w:marRight w:val="0"/>
      <w:marTop w:val="0"/>
      <w:marBottom w:val="0"/>
      <w:divBdr>
        <w:top w:val="none" w:sz="0" w:space="0" w:color="auto"/>
        <w:left w:val="none" w:sz="0" w:space="0" w:color="auto"/>
        <w:bottom w:val="none" w:sz="0" w:space="0" w:color="auto"/>
        <w:right w:val="none" w:sz="0" w:space="0" w:color="auto"/>
      </w:divBdr>
    </w:div>
    <w:div w:id="782844260">
      <w:bodyDiv w:val="1"/>
      <w:marLeft w:val="0"/>
      <w:marRight w:val="0"/>
      <w:marTop w:val="0"/>
      <w:marBottom w:val="0"/>
      <w:divBdr>
        <w:top w:val="none" w:sz="0" w:space="0" w:color="auto"/>
        <w:left w:val="none" w:sz="0" w:space="0" w:color="auto"/>
        <w:bottom w:val="none" w:sz="0" w:space="0" w:color="auto"/>
        <w:right w:val="none" w:sz="0" w:space="0" w:color="auto"/>
      </w:divBdr>
    </w:div>
    <w:div w:id="783572945">
      <w:bodyDiv w:val="1"/>
      <w:marLeft w:val="0"/>
      <w:marRight w:val="0"/>
      <w:marTop w:val="0"/>
      <w:marBottom w:val="0"/>
      <w:divBdr>
        <w:top w:val="none" w:sz="0" w:space="0" w:color="auto"/>
        <w:left w:val="none" w:sz="0" w:space="0" w:color="auto"/>
        <w:bottom w:val="none" w:sz="0" w:space="0" w:color="auto"/>
        <w:right w:val="none" w:sz="0" w:space="0" w:color="auto"/>
      </w:divBdr>
    </w:div>
    <w:div w:id="784694757">
      <w:bodyDiv w:val="1"/>
      <w:marLeft w:val="0"/>
      <w:marRight w:val="0"/>
      <w:marTop w:val="0"/>
      <w:marBottom w:val="0"/>
      <w:divBdr>
        <w:top w:val="none" w:sz="0" w:space="0" w:color="auto"/>
        <w:left w:val="none" w:sz="0" w:space="0" w:color="auto"/>
        <w:bottom w:val="none" w:sz="0" w:space="0" w:color="auto"/>
        <w:right w:val="none" w:sz="0" w:space="0" w:color="auto"/>
      </w:divBdr>
    </w:div>
    <w:div w:id="785395129">
      <w:bodyDiv w:val="1"/>
      <w:marLeft w:val="0"/>
      <w:marRight w:val="0"/>
      <w:marTop w:val="0"/>
      <w:marBottom w:val="0"/>
      <w:divBdr>
        <w:top w:val="none" w:sz="0" w:space="0" w:color="auto"/>
        <w:left w:val="none" w:sz="0" w:space="0" w:color="auto"/>
        <w:bottom w:val="none" w:sz="0" w:space="0" w:color="auto"/>
        <w:right w:val="none" w:sz="0" w:space="0" w:color="auto"/>
      </w:divBdr>
    </w:div>
    <w:div w:id="785461654">
      <w:bodyDiv w:val="1"/>
      <w:marLeft w:val="0"/>
      <w:marRight w:val="0"/>
      <w:marTop w:val="0"/>
      <w:marBottom w:val="0"/>
      <w:divBdr>
        <w:top w:val="none" w:sz="0" w:space="0" w:color="auto"/>
        <w:left w:val="none" w:sz="0" w:space="0" w:color="auto"/>
        <w:bottom w:val="none" w:sz="0" w:space="0" w:color="auto"/>
        <w:right w:val="none" w:sz="0" w:space="0" w:color="auto"/>
      </w:divBdr>
    </w:div>
    <w:div w:id="785730629">
      <w:bodyDiv w:val="1"/>
      <w:marLeft w:val="0"/>
      <w:marRight w:val="0"/>
      <w:marTop w:val="0"/>
      <w:marBottom w:val="0"/>
      <w:divBdr>
        <w:top w:val="none" w:sz="0" w:space="0" w:color="auto"/>
        <w:left w:val="none" w:sz="0" w:space="0" w:color="auto"/>
        <w:bottom w:val="none" w:sz="0" w:space="0" w:color="auto"/>
        <w:right w:val="none" w:sz="0" w:space="0" w:color="auto"/>
      </w:divBdr>
    </w:div>
    <w:div w:id="785731191">
      <w:bodyDiv w:val="1"/>
      <w:marLeft w:val="0"/>
      <w:marRight w:val="0"/>
      <w:marTop w:val="0"/>
      <w:marBottom w:val="0"/>
      <w:divBdr>
        <w:top w:val="none" w:sz="0" w:space="0" w:color="auto"/>
        <w:left w:val="none" w:sz="0" w:space="0" w:color="auto"/>
        <w:bottom w:val="none" w:sz="0" w:space="0" w:color="auto"/>
        <w:right w:val="none" w:sz="0" w:space="0" w:color="auto"/>
      </w:divBdr>
    </w:div>
    <w:div w:id="785735854">
      <w:bodyDiv w:val="1"/>
      <w:marLeft w:val="0"/>
      <w:marRight w:val="0"/>
      <w:marTop w:val="0"/>
      <w:marBottom w:val="0"/>
      <w:divBdr>
        <w:top w:val="none" w:sz="0" w:space="0" w:color="auto"/>
        <w:left w:val="none" w:sz="0" w:space="0" w:color="auto"/>
        <w:bottom w:val="none" w:sz="0" w:space="0" w:color="auto"/>
        <w:right w:val="none" w:sz="0" w:space="0" w:color="auto"/>
      </w:divBdr>
    </w:div>
    <w:div w:id="786705909">
      <w:bodyDiv w:val="1"/>
      <w:marLeft w:val="0"/>
      <w:marRight w:val="0"/>
      <w:marTop w:val="0"/>
      <w:marBottom w:val="0"/>
      <w:divBdr>
        <w:top w:val="none" w:sz="0" w:space="0" w:color="auto"/>
        <w:left w:val="none" w:sz="0" w:space="0" w:color="auto"/>
        <w:bottom w:val="none" w:sz="0" w:space="0" w:color="auto"/>
        <w:right w:val="none" w:sz="0" w:space="0" w:color="auto"/>
      </w:divBdr>
    </w:div>
    <w:div w:id="787160743">
      <w:bodyDiv w:val="1"/>
      <w:marLeft w:val="0"/>
      <w:marRight w:val="0"/>
      <w:marTop w:val="0"/>
      <w:marBottom w:val="0"/>
      <w:divBdr>
        <w:top w:val="none" w:sz="0" w:space="0" w:color="auto"/>
        <w:left w:val="none" w:sz="0" w:space="0" w:color="auto"/>
        <w:bottom w:val="none" w:sz="0" w:space="0" w:color="auto"/>
        <w:right w:val="none" w:sz="0" w:space="0" w:color="auto"/>
      </w:divBdr>
    </w:div>
    <w:div w:id="787163286">
      <w:bodyDiv w:val="1"/>
      <w:marLeft w:val="0"/>
      <w:marRight w:val="0"/>
      <w:marTop w:val="0"/>
      <w:marBottom w:val="0"/>
      <w:divBdr>
        <w:top w:val="none" w:sz="0" w:space="0" w:color="auto"/>
        <w:left w:val="none" w:sz="0" w:space="0" w:color="auto"/>
        <w:bottom w:val="none" w:sz="0" w:space="0" w:color="auto"/>
        <w:right w:val="none" w:sz="0" w:space="0" w:color="auto"/>
      </w:divBdr>
    </w:div>
    <w:div w:id="787316458">
      <w:bodyDiv w:val="1"/>
      <w:marLeft w:val="0"/>
      <w:marRight w:val="0"/>
      <w:marTop w:val="0"/>
      <w:marBottom w:val="0"/>
      <w:divBdr>
        <w:top w:val="none" w:sz="0" w:space="0" w:color="auto"/>
        <w:left w:val="none" w:sz="0" w:space="0" w:color="auto"/>
        <w:bottom w:val="none" w:sz="0" w:space="0" w:color="auto"/>
        <w:right w:val="none" w:sz="0" w:space="0" w:color="auto"/>
      </w:divBdr>
    </w:div>
    <w:div w:id="787434800">
      <w:bodyDiv w:val="1"/>
      <w:marLeft w:val="0"/>
      <w:marRight w:val="0"/>
      <w:marTop w:val="0"/>
      <w:marBottom w:val="0"/>
      <w:divBdr>
        <w:top w:val="none" w:sz="0" w:space="0" w:color="auto"/>
        <w:left w:val="none" w:sz="0" w:space="0" w:color="auto"/>
        <w:bottom w:val="none" w:sz="0" w:space="0" w:color="auto"/>
        <w:right w:val="none" w:sz="0" w:space="0" w:color="auto"/>
      </w:divBdr>
    </w:div>
    <w:div w:id="787546758">
      <w:bodyDiv w:val="1"/>
      <w:marLeft w:val="0"/>
      <w:marRight w:val="0"/>
      <w:marTop w:val="0"/>
      <w:marBottom w:val="0"/>
      <w:divBdr>
        <w:top w:val="none" w:sz="0" w:space="0" w:color="auto"/>
        <w:left w:val="none" w:sz="0" w:space="0" w:color="auto"/>
        <w:bottom w:val="none" w:sz="0" w:space="0" w:color="auto"/>
        <w:right w:val="none" w:sz="0" w:space="0" w:color="auto"/>
      </w:divBdr>
    </w:div>
    <w:div w:id="788860515">
      <w:bodyDiv w:val="1"/>
      <w:marLeft w:val="0"/>
      <w:marRight w:val="0"/>
      <w:marTop w:val="0"/>
      <w:marBottom w:val="0"/>
      <w:divBdr>
        <w:top w:val="none" w:sz="0" w:space="0" w:color="auto"/>
        <w:left w:val="none" w:sz="0" w:space="0" w:color="auto"/>
        <w:bottom w:val="none" w:sz="0" w:space="0" w:color="auto"/>
        <w:right w:val="none" w:sz="0" w:space="0" w:color="auto"/>
      </w:divBdr>
    </w:div>
    <w:div w:id="789014598">
      <w:bodyDiv w:val="1"/>
      <w:marLeft w:val="0"/>
      <w:marRight w:val="0"/>
      <w:marTop w:val="0"/>
      <w:marBottom w:val="0"/>
      <w:divBdr>
        <w:top w:val="none" w:sz="0" w:space="0" w:color="auto"/>
        <w:left w:val="none" w:sz="0" w:space="0" w:color="auto"/>
        <w:bottom w:val="none" w:sz="0" w:space="0" w:color="auto"/>
        <w:right w:val="none" w:sz="0" w:space="0" w:color="auto"/>
      </w:divBdr>
    </w:div>
    <w:div w:id="789282071">
      <w:bodyDiv w:val="1"/>
      <w:marLeft w:val="0"/>
      <w:marRight w:val="0"/>
      <w:marTop w:val="0"/>
      <w:marBottom w:val="0"/>
      <w:divBdr>
        <w:top w:val="none" w:sz="0" w:space="0" w:color="auto"/>
        <w:left w:val="none" w:sz="0" w:space="0" w:color="auto"/>
        <w:bottom w:val="none" w:sz="0" w:space="0" w:color="auto"/>
        <w:right w:val="none" w:sz="0" w:space="0" w:color="auto"/>
      </w:divBdr>
    </w:div>
    <w:div w:id="790055258">
      <w:bodyDiv w:val="1"/>
      <w:marLeft w:val="0"/>
      <w:marRight w:val="0"/>
      <w:marTop w:val="0"/>
      <w:marBottom w:val="0"/>
      <w:divBdr>
        <w:top w:val="none" w:sz="0" w:space="0" w:color="auto"/>
        <w:left w:val="none" w:sz="0" w:space="0" w:color="auto"/>
        <w:bottom w:val="none" w:sz="0" w:space="0" w:color="auto"/>
        <w:right w:val="none" w:sz="0" w:space="0" w:color="auto"/>
      </w:divBdr>
    </w:div>
    <w:div w:id="790981499">
      <w:bodyDiv w:val="1"/>
      <w:marLeft w:val="0"/>
      <w:marRight w:val="0"/>
      <w:marTop w:val="0"/>
      <w:marBottom w:val="0"/>
      <w:divBdr>
        <w:top w:val="none" w:sz="0" w:space="0" w:color="auto"/>
        <w:left w:val="none" w:sz="0" w:space="0" w:color="auto"/>
        <w:bottom w:val="none" w:sz="0" w:space="0" w:color="auto"/>
        <w:right w:val="none" w:sz="0" w:space="0" w:color="auto"/>
      </w:divBdr>
    </w:div>
    <w:div w:id="791050306">
      <w:bodyDiv w:val="1"/>
      <w:marLeft w:val="0"/>
      <w:marRight w:val="0"/>
      <w:marTop w:val="0"/>
      <w:marBottom w:val="0"/>
      <w:divBdr>
        <w:top w:val="none" w:sz="0" w:space="0" w:color="auto"/>
        <w:left w:val="none" w:sz="0" w:space="0" w:color="auto"/>
        <w:bottom w:val="none" w:sz="0" w:space="0" w:color="auto"/>
        <w:right w:val="none" w:sz="0" w:space="0" w:color="auto"/>
      </w:divBdr>
    </w:div>
    <w:div w:id="791091853">
      <w:bodyDiv w:val="1"/>
      <w:marLeft w:val="0"/>
      <w:marRight w:val="0"/>
      <w:marTop w:val="0"/>
      <w:marBottom w:val="0"/>
      <w:divBdr>
        <w:top w:val="none" w:sz="0" w:space="0" w:color="auto"/>
        <w:left w:val="none" w:sz="0" w:space="0" w:color="auto"/>
        <w:bottom w:val="none" w:sz="0" w:space="0" w:color="auto"/>
        <w:right w:val="none" w:sz="0" w:space="0" w:color="auto"/>
      </w:divBdr>
    </w:div>
    <w:div w:id="792019197">
      <w:bodyDiv w:val="1"/>
      <w:marLeft w:val="0"/>
      <w:marRight w:val="0"/>
      <w:marTop w:val="0"/>
      <w:marBottom w:val="0"/>
      <w:divBdr>
        <w:top w:val="none" w:sz="0" w:space="0" w:color="auto"/>
        <w:left w:val="none" w:sz="0" w:space="0" w:color="auto"/>
        <w:bottom w:val="none" w:sz="0" w:space="0" w:color="auto"/>
        <w:right w:val="none" w:sz="0" w:space="0" w:color="auto"/>
      </w:divBdr>
    </w:div>
    <w:div w:id="792098784">
      <w:bodyDiv w:val="1"/>
      <w:marLeft w:val="0"/>
      <w:marRight w:val="0"/>
      <w:marTop w:val="0"/>
      <w:marBottom w:val="0"/>
      <w:divBdr>
        <w:top w:val="none" w:sz="0" w:space="0" w:color="auto"/>
        <w:left w:val="none" w:sz="0" w:space="0" w:color="auto"/>
        <w:bottom w:val="none" w:sz="0" w:space="0" w:color="auto"/>
        <w:right w:val="none" w:sz="0" w:space="0" w:color="auto"/>
      </w:divBdr>
    </w:div>
    <w:div w:id="792552333">
      <w:bodyDiv w:val="1"/>
      <w:marLeft w:val="0"/>
      <w:marRight w:val="0"/>
      <w:marTop w:val="0"/>
      <w:marBottom w:val="0"/>
      <w:divBdr>
        <w:top w:val="none" w:sz="0" w:space="0" w:color="auto"/>
        <w:left w:val="none" w:sz="0" w:space="0" w:color="auto"/>
        <w:bottom w:val="none" w:sz="0" w:space="0" w:color="auto"/>
        <w:right w:val="none" w:sz="0" w:space="0" w:color="auto"/>
      </w:divBdr>
    </w:div>
    <w:div w:id="792869300">
      <w:bodyDiv w:val="1"/>
      <w:marLeft w:val="0"/>
      <w:marRight w:val="0"/>
      <w:marTop w:val="0"/>
      <w:marBottom w:val="0"/>
      <w:divBdr>
        <w:top w:val="none" w:sz="0" w:space="0" w:color="auto"/>
        <w:left w:val="none" w:sz="0" w:space="0" w:color="auto"/>
        <w:bottom w:val="none" w:sz="0" w:space="0" w:color="auto"/>
        <w:right w:val="none" w:sz="0" w:space="0" w:color="auto"/>
      </w:divBdr>
    </w:div>
    <w:div w:id="793788501">
      <w:bodyDiv w:val="1"/>
      <w:marLeft w:val="0"/>
      <w:marRight w:val="0"/>
      <w:marTop w:val="0"/>
      <w:marBottom w:val="0"/>
      <w:divBdr>
        <w:top w:val="none" w:sz="0" w:space="0" w:color="auto"/>
        <w:left w:val="none" w:sz="0" w:space="0" w:color="auto"/>
        <w:bottom w:val="none" w:sz="0" w:space="0" w:color="auto"/>
        <w:right w:val="none" w:sz="0" w:space="0" w:color="auto"/>
      </w:divBdr>
    </w:div>
    <w:div w:id="794761051">
      <w:bodyDiv w:val="1"/>
      <w:marLeft w:val="0"/>
      <w:marRight w:val="0"/>
      <w:marTop w:val="0"/>
      <w:marBottom w:val="0"/>
      <w:divBdr>
        <w:top w:val="none" w:sz="0" w:space="0" w:color="auto"/>
        <w:left w:val="none" w:sz="0" w:space="0" w:color="auto"/>
        <w:bottom w:val="none" w:sz="0" w:space="0" w:color="auto"/>
        <w:right w:val="none" w:sz="0" w:space="0" w:color="auto"/>
      </w:divBdr>
    </w:div>
    <w:div w:id="795298809">
      <w:bodyDiv w:val="1"/>
      <w:marLeft w:val="0"/>
      <w:marRight w:val="0"/>
      <w:marTop w:val="0"/>
      <w:marBottom w:val="0"/>
      <w:divBdr>
        <w:top w:val="none" w:sz="0" w:space="0" w:color="auto"/>
        <w:left w:val="none" w:sz="0" w:space="0" w:color="auto"/>
        <w:bottom w:val="none" w:sz="0" w:space="0" w:color="auto"/>
        <w:right w:val="none" w:sz="0" w:space="0" w:color="auto"/>
      </w:divBdr>
    </w:div>
    <w:div w:id="795607841">
      <w:bodyDiv w:val="1"/>
      <w:marLeft w:val="0"/>
      <w:marRight w:val="0"/>
      <w:marTop w:val="0"/>
      <w:marBottom w:val="0"/>
      <w:divBdr>
        <w:top w:val="none" w:sz="0" w:space="0" w:color="auto"/>
        <w:left w:val="none" w:sz="0" w:space="0" w:color="auto"/>
        <w:bottom w:val="none" w:sz="0" w:space="0" w:color="auto"/>
        <w:right w:val="none" w:sz="0" w:space="0" w:color="auto"/>
      </w:divBdr>
    </w:div>
    <w:div w:id="795679264">
      <w:bodyDiv w:val="1"/>
      <w:marLeft w:val="0"/>
      <w:marRight w:val="0"/>
      <w:marTop w:val="0"/>
      <w:marBottom w:val="0"/>
      <w:divBdr>
        <w:top w:val="none" w:sz="0" w:space="0" w:color="auto"/>
        <w:left w:val="none" w:sz="0" w:space="0" w:color="auto"/>
        <w:bottom w:val="none" w:sz="0" w:space="0" w:color="auto"/>
        <w:right w:val="none" w:sz="0" w:space="0" w:color="auto"/>
      </w:divBdr>
    </w:div>
    <w:div w:id="795834218">
      <w:bodyDiv w:val="1"/>
      <w:marLeft w:val="0"/>
      <w:marRight w:val="0"/>
      <w:marTop w:val="0"/>
      <w:marBottom w:val="0"/>
      <w:divBdr>
        <w:top w:val="none" w:sz="0" w:space="0" w:color="auto"/>
        <w:left w:val="none" w:sz="0" w:space="0" w:color="auto"/>
        <w:bottom w:val="none" w:sz="0" w:space="0" w:color="auto"/>
        <w:right w:val="none" w:sz="0" w:space="0" w:color="auto"/>
      </w:divBdr>
    </w:div>
    <w:div w:id="795876726">
      <w:bodyDiv w:val="1"/>
      <w:marLeft w:val="0"/>
      <w:marRight w:val="0"/>
      <w:marTop w:val="0"/>
      <w:marBottom w:val="0"/>
      <w:divBdr>
        <w:top w:val="none" w:sz="0" w:space="0" w:color="auto"/>
        <w:left w:val="none" w:sz="0" w:space="0" w:color="auto"/>
        <w:bottom w:val="none" w:sz="0" w:space="0" w:color="auto"/>
        <w:right w:val="none" w:sz="0" w:space="0" w:color="auto"/>
      </w:divBdr>
    </w:div>
    <w:div w:id="797071771">
      <w:bodyDiv w:val="1"/>
      <w:marLeft w:val="0"/>
      <w:marRight w:val="0"/>
      <w:marTop w:val="0"/>
      <w:marBottom w:val="0"/>
      <w:divBdr>
        <w:top w:val="none" w:sz="0" w:space="0" w:color="auto"/>
        <w:left w:val="none" w:sz="0" w:space="0" w:color="auto"/>
        <w:bottom w:val="none" w:sz="0" w:space="0" w:color="auto"/>
        <w:right w:val="none" w:sz="0" w:space="0" w:color="auto"/>
      </w:divBdr>
    </w:div>
    <w:div w:id="797988706">
      <w:bodyDiv w:val="1"/>
      <w:marLeft w:val="0"/>
      <w:marRight w:val="0"/>
      <w:marTop w:val="0"/>
      <w:marBottom w:val="0"/>
      <w:divBdr>
        <w:top w:val="none" w:sz="0" w:space="0" w:color="auto"/>
        <w:left w:val="none" w:sz="0" w:space="0" w:color="auto"/>
        <w:bottom w:val="none" w:sz="0" w:space="0" w:color="auto"/>
        <w:right w:val="none" w:sz="0" w:space="0" w:color="auto"/>
      </w:divBdr>
    </w:div>
    <w:div w:id="798231412">
      <w:bodyDiv w:val="1"/>
      <w:marLeft w:val="0"/>
      <w:marRight w:val="0"/>
      <w:marTop w:val="0"/>
      <w:marBottom w:val="0"/>
      <w:divBdr>
        <w:top w:val="none" w:sz="0" w:space="0" w:color="auto"/>
        <w:left w:val="none" w:sz="0" w:space="0" w:color="auto"/>
        <w:bottom w:val="none" w:sz="0" w:space="0" w:color="auto"/>
        <w:right w:val="none" w:sz="0" w:space="0" w:color="auto"/>
      </w:divBdr>
    </w:div>
    <w:div w:id="798256237">
      <w:bodyDiv w:val="1"/>
      <w:marLeft w:val="0"/>
      <w:marRight w:val="0"/>
      <w:marTop w:val="0"/>
      <w:marBottom w:val="0"/>
      <w:divBdr>
        <w:top w:val="none" w:sz="0" w:space="0" w:color="auto"/>
        <w:left w:val="none" w:sz="0" w:space="0" w:color="auto"/>
        <w:bottom w:val="none" w:sz="0" w:space="0" w:color="auto"/>
        <w:right w:val="none" w:sz="0" w:space="0" w:color="auto"/>
      </w:divBdr>
    </w:div>
    <w:div w:id="798376330">
      <w:bodyDiv w:val="1"/>
      <w:marLeft w:val="0"/>
      <w:marRight w:val="0"/>
      <w:marTop w:val="0"/>
      <w:marBottom w:val="0"/>
      <w:divBdr>
        <w:top w:val="none" w:sz="0" w:space="0" w:color="auto"/>
        <w:left w:val="none" w:sz="0" w:space="0" w:color="auto"/>
        <w:bottom w:val="none" w:sz="0" w:space="0" w:color="auto"/>
        <w:right w:val="none" w:sz="0" w:space="0" w:color="auto"/>
      </w:divBdr>
    </w:div>
    <w:div w:id="798452875">
      <w:bodyDiv w:val="1"/>
      <w:marLeft w:val="0"/>
      <w:marRight w:val="0"/>
      <w:marTop w:val="0"/>
      <w:marBottom w:val="0"/>
      <w:divBdr>
        <w:top w:val="none" w:sz="0" w:space="0" w:color="auto"/>
        <w:left w:val="none" w:sz="0" w:space="0" w:color="auto"/>
        <w:bottom w:val="none" w:sz="0" w:space="0" w:color="auto"/>
        <w:right w:val="none" w:sz="0" w:space="0" w:color="auto"/>
      </w:divBdr>
    </w:div>
    <w:div w:id="798883935">
      <w:bodyDiv w:val="1"/>
      <w:marLeft w:val="0"/>
      <w:marRight w:val="0"/>
      <w:marTop w:val="0"/>
      <w:marBottom w:val="0"/>
      <w:divBdr>
        <w:top w:val="none" w:sz="0" w:space="0" w:color="auto"/>
        <w:left w:val="none" w:sz="0" w:space="0" w:color="auto"/>
        <w:bottom w:val="none" w:sz="0" w:space="0" w:color="auto"/>
        <w:right w:val="none" w:sz="0" w:space="0" w:color="auto"/>
      </w:divBdr>
    </w:div>
    <w:div w:id="799154317">
      <w:bodyDiv w:val="1"/>
      <w:marLeft w:val="0"/>
      <w:marRight w:val="0"/>
      <w:marTop w:val="0"/>
      <w:marBottom w:val="0"/>
      <w:divBdr>
        <w:top w:val="none" w:sz="0" w:space="0" w:color="auto"/>
        <w:left w:val="none" w:sz="0" w:space="0" w:color="auto"/>
        <w:bottom w:val="none" w:sz="0" w:space="0" w:color="auto"/>
        <w:right w:val="none" w:sz="0" w:space="0" w:color="auto"/>
      </w:divBdr>
    </w:div>
    <w:div w:id="799223990">
      <w:bodyDiv w:val="1"/>
      <w:marLeft w:val="0"/>
      <w:marRight w:val="0"/>
      <w:marTop w:val="0"/>
      <w:marBottom w:val="0"/>
      <w:divBdr>
        <w:top w:val="none" w:sz="0" w:space="0" w:color="auto"/>
        <w:left w:val="none" w:sz="0" w:space="0" w:color="auto"/>
        <w:bottom w:val="none" w:sz="0" w:space="0" w:color="auto"/>
        <w:right w:val="none" w:sz="0" w:space="0" w:color="auto"/>
      </w:divBdr>
    </w:div>
    <w:div w:id="799609062">
      <w:bodyDiv w:val="1"/>
      <w:marLeft w:val="0"/>
      <w:marRight w:val="0"/>
      <w:marTop w:val="0"/>
      <w:marBottom w:val="0"/>
      <w:divBdr>
        <w:top w:val="none" w:sz="0" w:space="0" w:color="auto"/>
        <w:left w:val="none" w:sz="0" w:space="0" w:color="auto"/>
        <w:bottom w:val="none" w:sz="0" w:space="0" w:color="auto"/>
        <w:right w:val="none" w:sz="0" w:space="0" w:color="auto"/>
      </w:divBdr>
    </w:div>
    <w:div w:id="799880183">
      <w:bodyDiv w:val="1"/>
      <w:marLeft w:val="0"/>
      <w:marRight w:val="0"/>
      <w:marTop w:val="0"/>
      <w:marBottom w:val="0"/>
      <w:divBdr>
        <w:top w:val="none" w:sz="0" w:space="0" w:color="auto"/>
        <w:left w:val="none" w:sz="0" w:space="0" w:color="auto"/>
        <w:bottom w:val="none" w:sz="0" w:space="0" w:color="auto"/>
        <w:right w:val="none" w:sz="0" w:space="0" w:color="auto"/>
      </w:divBdr>
    </w:div>
    <w:div w:id="800028636">
      <w:bodyDiv w:val="1"/>
      <w:marLeft w:val="0"/>
      <w:marRight w:val="0"/>
      <w:marTop w:val="0"/>
      <w:marBottom w:val="0"/>
      <w:divBdr>
        <w:top w:val="none" w:sz="0" w:space="0" w:color="auto"/>
        <w:left w:val="none" w:sz="0" w:space="0" w:color="auto"/>
        <w:bottom w:val="none" w:sz="0" w:space="0" w:color="auto"/>
        <w:right w:val="none" w:sz="0" w:space="0" w:color="auto"/>
      </w:divBdr>
    </w:div>
    <w:div w:id="800070792">
      <w:bodyDiv w:val="1"/>
      <w:marLeft w:val="0"/>
      <w:marRight w:val="0"/>
      <w:marTop w:val="0"/>
      <w:marBottom w:val="0"/>
      <w:divBdr>
        <w:top w:val="none" w:sz="0" w:space="0" w:color="auto"/>
        <w:left w:val="none" w:sz="0" w:space="0" w:color="auto"/>
        <w:bottom w:val="none" w:sz="0" w:space="0" w:color="auto"/>
        <w:right w:val="none" w:sz="0" w:space="0" w:color="auto"/>
      </w:divBdr>
    </w:div>
    <w:div w:id="800345073">
      <w:bodyDiv w:val="1"/>
      <w:marLeft w:val="0"/>
      <w:marRight w:val="0"/>
      <w:marTop w:val="0"/>
      <w:marBottom w:val="0"/>
      <w:divBdr>
        <w:top w:val="none" w:sz="0" w:space="0" w:color="auto"/>
        <w:left w:val="none" w:sz="0" w:space="0" w:color="auto"/>
        <w:bottom w:val="none" w:sz="0" w:space="0" w:color="auto"/>
        <w:right w:val="none" w:sz="0" w:space="0" w:color="auto"/>
      </w:divBdr>
    </w:div>
    <w:div w:id="800462155">
      <w:bodyDiv w:val="1"/>
      <w:marLeft w:val="0"/>
      <w:marRight w:val="0"/>
      <w:marTop w:val="0"/>
      <w:marBottom w:val="0"/>
      <w:divBdr>
        <w:top w:val="none" w:sz="0" w:space="0" w:color="auto"/>
        <w:left w:val="none" w:sz="0" w:space="0" w:color="auto"/>
        <w:bottom w:val="none" w:sz="0" w:space="0" w:color="auto"/>
        <w:right w:val="none" w:sz="0" w:space="0" w:color="auto"/>
      </w:divBdr>
    </w:div>
    <w:div w:id="801308965">
      <w:bodyDiv w:val="1"/>
      <w:marLeft w:val="0"/>
      <w:marRight w:val="0"/>
      <w:marTop w:val="0"/>
      <w:marBottom w:val="0"/>
      <w:divBdr>
        <w:top w:val="none" w:sz="0" w:space="0" w:color="auto"/>
        <w:left w:val="none" w:sz="0" w:space="0" w:color="auto"/>
        <w:bottom w:val="none" w:sz="0" w:space="0" w:color="auto"/>
        <w:right w:val="none" w:sz="0" w:space="0" w:color="auto"/>
      </w:divBdr>
    </w:div>
    <w:div w:id="801387910">
      <w:bodyDiv w:val="1"/>
      <w:marLeft w:val="0"/>
      <w:marRight w:val="0"/>
      <w:marTop w:val="0"/>
      <w:marBottom w:val="0"/>
      <w:divBdr>
        <w:top w:val="none" w:sz="0" w:space="0" w:color="auto"/>
        <w:left w:val="none" w:sz="0" w:space="0" w:color="auto"/>
        <w:bottom w:val="none" w:sz="0" w:space="0" w:color="auto"/>
        <w:right w:val="none" w:sz="0" w:space="0" w:color="auto"/>
      </w:divBdr>
    </w:div>
    <w:div w:id="801847138">
      <w:bodyDiv w:val="1"/>
      <w:marLeft w:val="0"/>
      <w:marRight w:val="0"/>
      <w:marTop w:val="0"/>
      <w:marBottom w:val="0"/>
      <w:divBdr>
        <w:top w:val="none" w:sz="0" w:space="0" w:color="auto"/>
        <w:left w:val="none" w:sz="0" w:space="0" w:color="auto"/>
        <w:bottom w:val="none" w:sz="0" w:space="0" w:color="auto"/>
        <w:right w:val="none" w:sz="0" w:space="0" w:color="auto"/>
      </w:divBdr>
    </w:div>
    <w:div w:id="801927718">
      <w:bodyDiv w:val="1"/>
      <w:marLeft w:val="0"/>
      <w:marRight w:val="0"/>
      <w:marTop w:val="0"/>
      <w:marBottom w:val="0"/>
      <w:divBdr>
        <w:top w:val="none" w:sz="0" w:space="0" w:color="auto"/>
        <w:left w:val="none" w:sz="0" w:space="0" w:color="auto"/>
        <w:bottom w:val="none" w:sz="0" w:space="0" w:color="auto"/>
        <w:right w:val="none" w:sz="0" w:space="0" w:color="auto"/>
      </w:divBdr>
    </w:div>
    <w:div w:id="803231325">
      <w:bodyDiv w:val="1"/>
      <w:marLeft w:val="0"/>
      <w:marRight w:val="0"/>
      <w:marTop w:val="0"/>
      <w:marBottom w:val="0"/>
      <w:divBdr>
        <w:top w:val="none" w:sz="0" w:space="0" w:color="auto"/>
        <w:left w:val="none" w:sz="0" w:space="0" w:color="auto"/>
        <w:bottom w:val="none" w:sz="0" w:space="0" w:color="auto"/>
        <w:right w:val="none" w:sz="0" w:space="0" w:color="auto"/>
      </w:divBdr>
    </w:div>
    <w:div w:id="803735049">
      <w:bodyDiv w:val="1"/>
      <w:marLeft w:val="0"/>
      <w:marRight w:val="0"/>
      <w:marTop w:val="0"/>
      <w:marBottom w:val="0"/>
      <w:divBdr>
        <w:top w:val="none" w:sz="0" w:space="0" w:color="auto"/>
        <w:left w:val="none" w:sz="0" w:space="0" w:color="auto"/>
        <w:bottom w:val="none" w:sz="0" w:space="0" w:color="auto"/>
        <w:right w:val="none" w:sz="0" w:space="0" w:color="auto"/>
      </w:divBdr>
    </w:div>
    <w:div w:id="804740464">
      <w:bodyDiv w:val="1"/>
      <w:marLeft w:val="0"/>
      <w:marRight w:val="0"/>
      <w:marTop w:val="0"/>
      <w:marBottom w:val="0"/>
      <w:divBdr>
        <w:top w:val="none" w:sz="0" w:space="0" w:color="auto"/>
        <w:left w:val="none" w:sz="0" w:space="0" w:color="auto"/>
        <w:bottom w:val="none" w:sz="0" w:space="0" w:color="auto"/>
        <w:right w:val="none" w:sz="0" w:space="0" w:color="auto"/>
      </w:divBdr>
    </w:div>
    <w:div w:id="805051341">
      <w:bodyDiv w:val="1"/>
      <w:marLeft w:val="0"/>
      <w:marRight w:val="0"/>
      <w:marTop w:val="0"/>
      <w:marBottom w:val="0"/>
      <w:divBdr>
        <w:top w:val="none" w:sz="0" w:space="0" w:color="auto"/>
        <w:left w:val="none" w:sz="0" w:space="0" w:color="auto"/>
        <w:bottom w:val="none" w:sz="0" w:space="0" w:color="auto"/>
        <w:right w:val="none" w:sz="0" w:space="0" w:color="auto"/>
      </w:divBdr>
    </w:div>
    <w:div w:id="805666347">
      <w:bodyDiv w:val="1"/>
      <w:marLeft w:val="0"/>
      <w:marRight w:val="0"/>
      <w:marTop w:val="0"/>
      <w:marBottom w:val="0"/>
      <w:divBdr>
        <w:top w:val="none" w:sz="0" w:space="0" w:color="auto"/>
        <w:left w:val="none" w:sz="0" w:space="0" w:color="auto"/>
        <w:bottom w:val="none" w:sz="0" w:space="0" w:color="auto"/>
        <w:right w:val="none" w:sz="0" w:space="0" w:color="auto"/>
      </w:divBdr>
    </w:div>
    <w:div w:id="806045970">
      <w:bodyDiv w:val="1"/>
      <w:marLeft w:val="0"/>
      <w:marRight w:val="0"/>
      <w:marTop w:val="0"/>
      <w:marBottom w:val="0"/>
      <w:divBdr>
        <w:top w:val="none" w:sz="0" w:space="0" w:color="auto"/>
        <w:left w:val="none" w:sz="0" w:space="0" w:color="auto"/>
        <w:bottom w:val="none" w:sz="0" w:space="0" w:color="auto"/>
        <w:right w:val="none" w:sz="0" w:space="0" w:color="auto"/>
      </w:divBdr>
    </w:div>
    <w:div w:id="806431986">
      <w:bodyDiv w:val="1"/>
      <w:marLeft w:val="0"/>
      <w:marRight w:val="0"/>
      <w:marTop w:val="0"/>
      <w:marBottom w:val="0"/>
      <w:divBdr>
        <w:top w:val="none" w:sz="0" w:space="0" w:color="auto"/>
        <w:left w:val="none" w:sz="0" w:space="0" w:color="auto"/>
        <w:bottom w:val="none" w:sz="0" w:space="0" w:color="auto"/>
        <w:right w:val="none" w:sz="0" w:space="0" w:color="auto"/>
      </w:divBdr>
    </w:div>
    <w:div w:id="806435481">
      <w:bodyDiv w:val="1"/>
      <w:marLeft w:val="0"/>
      <w:marRight w:val="0"/>
      <w:marTop w:val="0"/>
      <w:marBottom w:val="0"/>
      <w:divBdr>
        <w:top w:val="none" w:sz="0" w:space="0" w:color="auto"/>
        <w:left w:val="none" w:sz="0" w:space="0" w:color="auto"/>
        <w:bottom w:val="none" w:sz="0" w:space="0" w:color="auto"/>
        <w:right w:val="none" w:sz="0" w:space="0" w:color="auto"/>
      </w:divBdr>
    </w:div>
    <w:div w:id="806554934">
      <w:bodyDiv w:val="1"/>
      <w:marLeft w:val="0"/>
      <w:marRight w:val="0"/>
      <w:marTop w:val="0"/>
      <w:marBottom w:val="0"/>
      <w:divBdr>
        <w:top w:val="none" w:sz="0" w:space="0" w:color="auto"/>
        <w:left w:val="none" w:sz="0" w:space="0" w:color="auto"/>
        <w:bottom w:val="none" w:sz="0" w:space="0" w:color="auto"/>
        <w:right w:val="none" w:sz="0" w:space="0" w:color="auto"/>
      </w:divBdr>
    </w:div>
    <w:div w:id="806824362">
      <w:bodyDiv w:val="1"/>
      <w:marLeft w:val="0"/>
      <w:marRight w:val="0"/>
      <w:marTop w:val="0"/>
      <w:marBottom w:val="0"/>
      <w:divBdr>
        <w:top w:val="none" w:sz="0" w:space="0" w:color="auto"/>
        <w:left w:val="none" w:sz="0" w:space="0" w:color="auto"/>
        <w:bottom w:val="none" w:sz="0" w:space="0" w:color="auto"/>
        <w:right w:val="none" w:sz="0" w:space="0" w:color="auto"/>
      </w:divBdr>
    </w:div>
    <w:div w:id="806826076">
      <w:bodyDiv w:val="1"/>
      <w:marLeft w:val="0"/>
      <w:marRight w:val="0"/>
      <w:marTop w:val="0"/>
      <w:marBottom w:val="0"/>
      <w:divBdr>
        <w:top w:val="none" w:sz="0" w:space="0" w:color="auto"/>
        <w:left w:val="none" w:sz="0" w:space="0" w:color="auto"/>
        <w:bottom w:val="none" w:sz="0" w:space="0" w:color="auto"/>
        <w:right w:val="none" w:sz="0" w:space="0" w:color="auto"/>
      </w:divBdr>
    </w:div>
    <w:div w:id="806973741">
      <w:bodyDiv w:val="1"/>
      <w:marLeft w:val="0"/>
      <w:marRight w:val="0"/>
      <w:marTop w:val="0"/>
      <w:marBottom w:val="0"/>
      <w:divBdr>
        <w:top w:val="none" w:sz="0" w:space="0" w:color="auto"/>
        <w:left w:val="none" w:sz="0" w:space="0" w:color="auto"/>
        <w:bottom w:val="none" w:sz="0" w:space="0" w:color="auto"/>
        <w:right w:val="none" w:sz="0" w:space="0" w:color="auto"/>
      </w:divBdr>
    </w:div>
    <w:div w:id="807435403">
      <w:bodyDiv w:val="1"/>
      <w:marLeft w:val="0"/>
      <w:marRight w:val="0"/>
      <w:marTop w:val="0"/>
      <w:marBottom w:val="0"/>
      <w:divBdr>
        <w:top w:val="none" w:sz="0" w:space="0" w:color="auto"/>
        <w:left w:val="none" w:sz="0" w:space="0" w:color="auto"/>
        <w:bottom w:val="none" w:sz="0" w:space="0" w:color="auto"/>
        <w:right w:val="none" w:sz="0" w:space="0" w:color="auto"/>
      </w:divBdr>
    </w:div>
    <w:div w:id="807893578">
      <w:bodyDiv w:val="1"/>
      <w:marLeft w:val="0"/>
      <w:marRight w:val="0"/>
      <w:marTop w:val="0"/>
      <w:marBottom w:val="0"/>
      <w:divBdr>
        <w:top w:val="none" w:sz="0" w:space="0" w:color="auto"/>
        <w:left w:val="none" w:sz="0" w:space="0" w:color="auto"/>
        <w:bottom w:val="none" w:sz="0" w:space="0" w:color="auto"/>
        <w:right w:val="none" w:sz="0" w:space="0" w:color="auto"/>
      </w:divBdr>
    </w:div>
    <w:div w:id="807942894">
      <w:bodyDiv w:val="1"/>
      <w:marLeft w:val="0"/>
      <w:marRight w:val="0"/>
      <w:marTop w:val="0"/>
      <w:marBottom w:val="0"/>
      <w:divBdr>
        <w:top w:val="none" w:sz="0" w:space="0" w:color="auto"/>
        <w:left w:val="none" w:sz="0" w:space="0" w:color="auto"/>
        <w:bottom w:val="none" w:sz="0" w:space="0" w:color="auto"/>
        <w:right w:val="none" w:sz="0" w:space="0" w:color="auto"/>
      </w:divBdr>
    </w:div>
    <w:div w:id="810825408">
      <w:bodyDiv w:val="1"/>
      <w:marLeft w:val="0"/>
      <w:marRight w:val="0"/>
      <w:marTop w:val="0"/>
      <w:marBottom w:val="0"/>
      <w:divBdr>
        <w:top w:val="none" w:sz="0" w:space="0" w:color="auto"/>
        <w:left w:val="none" w:sz="0" w:space="0" w:color="auto"/>
        <w:bottom w:val="none" w:sz="0" w:space="0" w:color="auto"/>
        <w:right w:val="none" w:sz="0" w:space="0" w:color="auto"/>
      </w:divBdr>
    </w:div>
    <w:div w:id="810831422">
      <w:bodyDiv w:val="1"/>
      <w:marLeft w:val="0"/>
      <w:marRight w:val="0"/>
      <w:marTop w:val="0"/>
      <w:marBottom w:val="0"/>
      <w:divBdr>
        <w:top w:val="none" w:sz="0" w:space="0" w:color="auto"/>
        <w:left w:val="none" w:sz="0" w:space="0" w:color="auto"/>
        <w:bottom w:val="none" w:sz="0" w:space="0" w:color="auto"/>
        <w:right w:val="none" w:sz="0" w:space="0" w:color="auto"/>
      </w:divBdr>
    </w:div>
    <w:div w:id="811101230">
      <w:bodyDiv w:val="1"/>
      <w:marLeft w:val="0"/>
      <w:marRight w:val="0"/>
      <w:marTop w:val="0"/>
      <w:marBottom w:val="0"/>
      <w:divBdr>
        <w:top w:val="none" w:sz="0" w:space="0" w:color="auto"/>
        <w:left w:val="none" w:sz="0" w:space="0" w:color="auto"/>
        <w:bottom w:val="none" w:sz="0" w:space="0" w:color="auto"/>
        <w:right w:val="none" w:sz="0" w:space="0" w:color="auto"/>
      </w:divBdr>
    </w:div>
    <w:div w:id="811407697">
      <w:bodyDiv w:val="1"/>
      <w:marLeft w:val="0"/>
      <w:marRight w:val="0"/>
      <w:marTop w:val="0"/>
      <w:marBottom w:val="0"/>
      <w:divBdr>
        <w:top w:val="none" w:sz="0" w:space="0" w:color="auto"/>
        <w:left w:val="none" w:sz="0" w:space="0" w:color="auto"/>
        <w:bottom w:val="none" w:sz="0" w:space="0" w:color="auto"/>
        <w:right w:val="none" w:sz="0" w:space="0" w:color="auto"/>
      </w:divBdr>
    </w:div>
    <w:div w:id="811407916">
      <w:bodyDiv w:val="1"/>
      <w:marLeft w:val="0"/>
      <w:marRight w:val="0"/>
      <w:marTop w:val="0"/>
      <w:marBottom w:val="0"/>
      <w:divBdr>
        <w:top w:val="none" w:sz="0" w:space="0" w:color="auto"/>
        <w:left w:val="none" w:sz="0" w:space="0" w:color="auto"/>
        <w:bottom w:val="none" w:sz="0" w:space="0" w:color="auto"/>
        <w:right w:val="none" w:sz="0" w:space="0" w:color="auto"/>
      </w:divBdr>
    </w:div>
    <w:div w:id="811747707">
      <w:bodyDiv w:val="1"/>
      <w:marLeft w:val="0"/>
      <w:marRight w:val="0"/>
      <w:marTop w:val="0"/>
      <w:marBottom w:val="0"/>
      <w:divBdr>
        <w:top w:val="none" w:sz="0" w:space="0" w:color="auto"/>
        <w:left w:val="none" w:sz="0" w:space="0" w:color="auto"/>
        <w:bottom w:val="none" w:sz="0" w:space="0" w:color="auto"/>
        <w:right w:val="none" w:sz="0" w:space="0" w:color="auto"/>
      </w:divBdr>
    </w:div>
    <w:div w:id="811755166">
      <w:bodyDiv w:val="1"/>
      <w:marLeft w:val="0"/>
      <w:marRight w:val="0"/>
      <w:marTop w:val="0"/>
      <w:marBottom w:val="0"/>
      <w:divBdr>
        <w:top w:val="none" w:sz="0" w:space="0" w:color="auto"/>
        <w:left w:val="none" w:sz="0" w:space="0" w:color="auto"/>
        <w:bottom w:val="none" w:sz="0" w:space="0" w:color="auto"/>
        <w:right w:val="none" w:sz="0" w:space="0" w:color="auto"/>
      </w:divBdr>
    </w:div>
    <w:div w:id="812021553">
      <w:bodyDiv w:val="1"/>
      <w:marLeft w:val="0"/>
      <w:marRight w:val="0"/>
      <w:marTop w:val="0"/>
      <w:marBottom w:val="0"/>
      <w:divBdr>
        <w:top w:val="none" w:sz="0" w:space="0" w:color="auto"/>
        <w:left w:val="none" w:sz="0" w:space="0" w:color="auto"/>
        <w:bottom w:val="none" w:sz="0" w:space="0" w:color="auto"/>
        <w:right w:val="none" w:sz="0" w:space="0" w:color="auto"/>
      </w:divBdr>
    </w:div>
    <w:div w:id="812059641">
      <w:bodyDiv w:val="1"/>
      <w:marLeft w:val="0"/>
      <w:marRight w:val="0"/>
      <w:marTop w:val="0"/>
      <w:marBottom w:val="0"/>
      <w:divBdr>
        <w:top w:val="none" w:sz="0" w:space="0" w:color="auto"/>
        <w:left w:val="none" w:sz="0" w:space="0" w:color="auto"/>
        <w:bottom w:val="none" w:sz="0" w:space="0" w:color="auto"/>
        <w:right w:val="none" w:sz="0" w:space="0" w:color="auto"/>
      </w:divBdr>
    </w:div>
    <w:div w:id="812258524">
      <w:bodyDiv w:val="1"/>
      <w:marLeft w:val="0"/>
      <w:marRight w:val="0"/>
      <w:marTop w:val="0"/>
      <w:marBottom w:val="0"/>
      <w:divBdr>
        <w:top w:val="none" w:sz="0" w:space="0" w:color="auto"/>
        <w:left w:val="none" w:sz="0" w:space="0" w:color="auto"/>
        <w:bottom w:val="none" w:sz="0" w:space="0" w:color="auto"/>
        <w:right w:val="none" w:sz="0" w:space="0" w:color="auto"/>
      </w:divBdr>
    </w:div>
    <w:div w:id="812526457">
      <w:bodyDiv w:val="1"/>
      <w:marLeft w:val="0"/>
      <w:marRight w:val="0"/>
      <w:marTop w:val="0"/>
      <w:marBottom w:val="0"/>
      <w:divBdr>
        <w:top w:val="none" w:sz="0" w:space="0" w:color="auto"/>
        <w:left w:val="none" w:sz="0" w:space="0" w:color="auto"/>
        <w:bottom w:val="none" w:sz="0" w:space="0" w:color="auto"/>
        <w:right w:val="none" w:sz="0" w:space="0" w:color="auto"/>
      </w:divBdr>
    </w:div>
    <w:div w:id="812909039">
      <w:bodyDiv w:val="1"/>
      <w:marLeft w:val="0"/>
      <w:marRight w:val="0"/>
      <w:marTop w:val="0"/>
      <w:marBottom w:val="0"/>
      <w:divBdr>
        <w:top w:val="none" w:sz="0" w:space="0" w:color="auto"/>
        <w:left w:val="none" w:sz="0" w:space="0" w:color="auto"/>
        <w:bottom w:val="none" w:sz="0" w:space="0" w:color="auto"/>
        <w:right w:val="none" w:sz="0" w:space="0" w:color="auto"/>
      </w:divBdr>
    </w:div>
    <w:div w:id="813183045">
      <w:bodyDiv w:val="1"/>
      <w:marLeft w:val="0"/>
      <w:marRight w:val="0"/>
      <w:marTop w:val="0"/>
      <w:marBottom w:val="0"/>
      <w:divBdr>
        <w:top w:val="none" w:sz="0" w:space="0" w:color="auto"/>
        <w:left w:val="none" w:sz="0" w:space="0" w:color="auto"/>
        <w:bottom w:val="none" w:sz="0" w:space="0" w:color="auto"/>
        <w:right w:val="none" w:sz="0" w:space="0" w:color="auto"/>
      </w:divBdr>
    </w:div>
    <w:div w:id="813253517">
      <w:bodyDiv w:val="1"/>
      <w:marLeft w:val="0"/>
      <w:marRight w:val="0"/>
      <w:marTop w:val="0"/>
      <w:marBottom w:val="0"/>
      <w:divBdr>
        <w:top w:val="none" w:sz="0" w:space="0" w:color="auto"/>
        <w:left w:val="none" w:sz="0" w:space="0" w:color="auto"/>
        <w:bottom w:val="none" w:sz="0" w:space="0" w:color="auto"/>
        <w:right w:val="none" w:sz="0" w:space="0" w:color="auto"/>
      </w:divBdr>
    </w:div>
    <w:div w:id="813444885">
      <w:bodyDiv w:val="1"/>
      <w:marLeft w:val="0"/>
      <w:marRight w:val="0"/>
      <w:marTop w:val="0"/>
      <w:marBottom w:val="0"/>
      <w:divBdr>
        <w:top w:val="none" w:sz="0" w:space="0" w:color="auto"/>
        <w:left w:val="none" w:sz="0" w:space="0" w:color="auto"/>
        <w:bottom w:val="none" w:sz="0" w:space="0" w:color="auto"/>
        <w:right w:val="none" w:sz="0" w:space="0" w:color="auto"/>
      </w:divBdr>
    </w:div>
    <w:div w:id="813788945">
      <w:bodyDiv w:val="1"/>
      <w:marLeft w:val="0"/>
      <w:marRight w:val="0"/>
      <w:marTop w:val="0"/>
      <w:marBottom w:val="0"/>
      <w:divBdr>
        <w:top w:val="none" w:sz="0" w:space="0" w:color="auto"/>
        <w:left w:val="none" w:sz="0" w:space="0" w:color="auto"/>
        <w:bottom w:val="none" w:sz="0" w:space="0" w:color="auto"/>
        <w:right w:val="none" w:sz="0" w:space="0" w:color="auto"/>
      </w:divBdr>
    </w:div>
    <w:div w:id="814105320">
      <w:bodyDiv w:val="1"/>
      <w:marLeft w:val="0"/>
      <w:marRight w:val="0"/>
      <w:marTop w:val="0"/>
      <w:marBottom w:val="0"/>
      <w:divBdr>
        <w:top w:val="none" w:sz="0" w:space="0" w:color="auto"/>
        <w:left w:val="none" w:sz="0" w:space="0" w:color="auto"/>
        <w:bottom w:val="none" w:sz="0" w:space="0" w:color="auto"/>
        <w:right w:val="none" w:sz="0" w:space="0" w:color="auto"/>
      </w:divBdr>
    </w:div>
    <w:div w:id="814251387">
      <w:bodyDiv w:val="1"/>
      <w:marLeft w:val="0"/>
      <w:marRight w:val="0"/>
      <w:marTop w:val="0"/>
      <w:marBottom w:val="0"/>
      <w:divBdr>
        <w:top w:val="none" w:sz="0" w:space="0" w:color="auto"/>
        <w:left w:val="none" w:sz="0" w:space="0" w:color="auto"/>
        <w:bottom w:val="none" w:sz="0" w:space="0" w:color="auto"/>
        <w:right w:val="none" w:sz="0" w:space="0" w:color="auto"/>
      </w:divBdr>
    </w:div>
    <w:div w:id="814374509">
      <w:bodyDiv w:val="1"/>
      <w:marLeft w:val="0"/>
      <w:marRight w:val="0"/>
      <w:marTop w:val="0"/>
      <w:marBottom w:val="0"/>
      <w:divBdr>
        <w:top w:val="none" w:sz="0" w:space="0" w:color="auto"/>
        <w:left w:val="none" w:sz="0" w:space="0" w:color="auto"/>
        <w:bottom w:val="none" w:sz="0" w:space="0" w:color="auto"/>
        <w:right w:val="none" w:sz="0" w:space="0" w:color="auto"/>
      </w:divBdr>
    </w:div>
    <w:div w:id="814570031">
      <w:bodyDiv w:val="1"/>
      <w:marLeft w:val="0"/>
      <w:marRight w:val="0"/>
      <w:marTop w:val="0"/>
      <w:marBottom w:val="0"/>
      <w:divBdr>
        <w:top w:val="none" w:sz="0" w:space="0" w:color="auto"/>
        <w:left w:val="none" w:sz="0" w:space="0" w:color="auto"/>
        <w:bottom w:val="none" w:sz="0" w:space="0" w:color="auto"/>
        <w:right w:val="none" w:sz="0" w:space="0" w:color="auto"/>
      </w:divBdr>
    </w:div>
    <w:div w:id="814876291">
      <w:bodyDiv w:val="1"/>
      <w:marLeft w:val="0"/>
      <w:marRight w:val="0"/>
      <w:marTop w:val="0"/>
      <w:marBottom w:val="0"/>
      <w:divBdr>
        <w:top w:val="none" w:sz="0" w:space="0" w:color="auto"/>
        <w:left w:val="none" w:sz="0" w:space="0" w:color="auto"/>
        <w:bottom w:val="none" w:sz="0" w:space="0" w:color="auto"/>
        <w:right w:val="none" w:sz="0" w:space="0" w:color="auto"/>
      </w:divBdr>
    </w:div>
    <w:div w:id="815754974">
      <w:bodyDiv w:val="1"/>
      <w:marLeft w:val="0"/>
      <w:marRight w:val="0"/>
      <w:marTop w:val="0"/>
      <w:marBottom w:val="0"/>
      <w:divBdr>
        <w:top w:val="none" w:sz="0" w:space="0" w:color="auto"/>
        <w:left w:val="none" w:sz="0" w:space="0" w:color="auto"/>
        <w:bottom w:val="none" w:sz="0" w:space="0" w:color="auto"/>
        <w:right w:val="none" w:sz="0" w:space="0" w:color="auto"/>
      </w:divBdr>
    </w:div>
    <w:div w:id="816192472">
      <w:bodyDiv w:val="1"/>
      <w:marLeft w:val="0"/>
      <w:marRight w:val="0"/>
      <w:marTop w:val="0"/>
      <w:marBottom w:val="0"/>
      <w:divBdr>
        <w:top w:val="none" w:sz="0" w:space="0" w:color="auto"/>
        <w:left w:val="none" w:sz="0" w:space="0" w:color="auto"/>
        <w:bottom w:val="none" w:sz="0" w:space="0" w:color="auto"/>
        <w:right w:val="none" w:sz="0" w:space="0" w:color="auto"/>
      </w:divBdr>
    </w:div>
    <w:div w:id="816452721">
      <w:bodyDiv w:val="1"/>
      <w:marLeft w:val="0"/>
      <w:marRight w:val="0"/>
      <w:marTop w:val="0"/>
      <w:marBottom w:val="0"/>
      <w:divBdr>
        <w:top w:val="none" w:sz="0" w:space="0" w:color="auto"/>
        <w:left w:val="none" w:sz="0" w:space="0" w:color="auto"/>
        <w:bottom w:val="none" w:sz="0" w:space="0" w:color="auto"/>
        <w:right w:val="none" w:sz="0" w:space="0" w:color="auto"/>
      </w:divBdr>
    </w:div>
    <w:div w:id="817649202">
      <w:bodyDiv w:val="1"/>
      <w:marLeft w:val="0"/>
      <w:marRight w:val="0"/>
      <w:marTop w:val="0"/>
      <w:marBottom w:val="0"/>
      <w:divBdr>
        <w:top w:val="none" w:sz="0" w:space="0" w:color="auto"/>
        <w:left w:val="none" w:sz="0" w:space="0" w:color="auto"/>
        <w:bottom w:val="none" w:sz="0" w:space="0" w:color="auto"/>
        <w:right w:val="none" w:sz="0" w:space="0" w:color="auto"/>
      </w:divBdr>
    </w:div>
    <w:div w:id="817650821">
      <w:bodyDiv w:val="1"/>
      <w:marLeft w:val="0"/>
      <w:marRight w:val="0"/>
      <w:marTop w:val="0"/>
      <w:marBottom w:val="0"/>
      <w:divBdr>
        <w:top w:val="none" w:sz="0" w:space="0" w:color="auto"/>
        <w:left w:val="none" w:sz="0" w:space="0" w:color="auto"/>
        <w:bottom w:val="none" w:sz="0" w:space="0" w:color="auto"/>
        <w:right w:val="none" w:sz="0" w:space="0" w:color="auto"/>
      </w:divBdr>
    </w:div>
    <w:div w:id="817697444">
      <w:bodyDiv w:val="1"/>
      <w:marLeft w:val="0"/>
      <w:marRight w:val="0"/>
      <w:marTop w:val="0"/>
      <w:marBottom w:val="0"/>
      <w:divBdr>
        <w:top w:val="none" w:sz="0" w:space="0" w:color="auto"/>
        <w:left w:val="none" w:sz="0" w:space="0" w:color="auto"/>
        <w:bottom w:val="none" w:sz="0" w:space="0" w:color="auto"/>
        <w:right w:val="none" w:sz="0" w:space="0" w:color="auto"/>
      </w:divBdr>
    </w:div>
    <w:div w:id="818036543">
      <w:bodyDiv w:val="1"/>
      <w:marLeft w:val="0"/>
      <w:marRight w:val="0"/>
      <w:marTop w:val="0"/>
      <w:marBottom w:val="0"/>
      <w:divBdr>
        <w:top w:val="none" w:sz="0" w:space="0" w:color="auto"/>
        <w:left w:val="none" w:sz="0" w:space="0" w:color="auto"/>
        <w:bottom w:val="none" w:sz="0" w:space="0" w:color="auto"/>
        <w:right w:val="none" w:sz="0" w:space="0" w:color="auto"/>
      </w:divBdr>
    </w:div>
    <w:div w:id="818962989">
      <w:bodyDiv w:val="1"/>
      <w:marLeft w:val="0"/>
      <w:marRight w:val="0"/>
      <w:marTop w:val="0"/>
      <w:marBottom w:val="0"/>
      <w:divBdr>
        <w:top w:val="none" w:sz="0" w:space="0" w:color="auto"/>
        <w:left w:val="none" w:sz="0" w:space="0" w:color="auto"/>
        <w:bottom w:val="none" w:sz="0" w:space="0" w:color="auto"/>
        <w:right w:val="none" w:sz="0" w:space="0" w:color="auto"/>
      </w:divBdr>
    </w:div>
    <w:div w:id="819003495">
      <w:bodyDiv w:val="1"/>
      <w:marLeft w:val="0"/>
      <w:marRight w:val="0"/>
      <w:marTop w:val="0"/>
      <w:marBottom w:val="0"/>
      <w:divBdr>
        <w:top w:val="none" w:sz="0" w:space="0" w:color="auto"/>
        <w:left w:val="none" w:sz="0" w:space="0" w:color="auto"/>
        <w:bottom w:val="none" w:sz="0" w:space="0" w:color="auto"/>
        <w:right w:val="none" w:sz="0" w:space="0" w:color="auto"/>
      </w:divBdr>
    </w:div>
    <w:div w:id="819344892">
      <w:bodyDiv w:val="1"/>
      <w:marLeft w:val="0"/>
      <w:marRight w:val="0"/>
      <w:marTop w:val="0"/>
      <w:marBottom w:val="0"/>
      <w:divBdr>
        <w:top w:val="none" w:sz="0" w:space="0" w:color="auto"/>
        <w:left w:val="none" w:sz="0" w:space="0" w:color="auto"/>
        <w:bottom w:val="none" w:sz="0" w:space="0" w:color="auto"/>
        <w:right w:val="none" w:sz="0" w:space="0" w:color="auto"/>
      </w:divBdr>
    </w:div>
    <w:div w:id="819468463">
      <w:bodyDiv w:val="1"/>
      <w:marLeft w:val="0"/>
      <w:marRight w:val="0"/>
      <w:marTop w:val="0"/>
      <w:marBottom w:val="0"/>
      <w:divBdr>
        <w:top w:val="none" w:sz="0" w:space="0" w:color="auto"/>
        <w:left w:val="none" w:sz="0" w:space="0" w:color="auto"/>
        <w:bottom w:val="none" w:sz="0" w:space="0" w:color="auto"/>
        <w:right w:val="none" w:sz="0" w:space="0" w:color="auto"/>
      </w:divBdr>
    </w:div>
    <w:div w:id="819613139">
      <w:bodyDiv w:val="1"/>
      <w:marLeft w:val="0"/>
      <w:marRight w:val="0"/>
      <w:marTop w:val="0"/>
      <w:marBottom w:val="0"/>
      <w:divBdr>
        <w:top w:val="none" w:sz="0" w:space="0" w:color="auto"/>
        <w:left w:val="none" w:sz="0" w:space="0" w:color="auto"/>
        <w:bottom w:val="none" w:sz="0" w:space="0" w:color="auto"/>
        <w:right w:val="none" w:sz="0" w:space="0" w:color="auto"/>
      </w:divBdr>
    </w:div>
    <w:div w:id="819613731">
      <w:bodyDiv w:val="1"/>
      <w:marLeft w:val="0"/>
      <w:marRight w:val="0"/>
      <w:marTop w:val="0"/>
      <w:marBottom w:val="0"/>
      <w:divBdr>
        <w:top w:val="none" w:sz="0" w:space="0" w:color="auto"/>
        <w:left w:val="none" w:sz="0" w:space="0" w:color="auto"/>
        <w:bottom w:val="none" w:sz="0" w:space="0" w:color="auto"/>
        <w:right w:val="none" w:sz="0" w:space="0" w:color="auto"/>
      </w:divBdr>
    </w:div>
    <w:div w:id="820076158">
      <w:bodyDiv w:val="1"/>
      <w:marLeft w:val="0"/>
      <w:marRight w:val="0"/>
      <w:marTop w:val="0"/>
      <w:marBottom w:val="0"/>
      <w:divBdr>
        <w:top w:val="none" w:sz="0" w:space="0" w:color="auto"/>
        <w:left w:val="none" w:sz="0" w:space="0" w:color="auto"/>
        <w:bottom w:val="none" w:sz="0" w:space="0" w:color="auto"/>
        <w:right w:val="none" w:sz="0" w:space="0" w:color="auto"/>
      </w:divBdr>
    </w:div>
    <w:div w:id="820191488">
      <w:bodyDiv w:val="1"/>
      <w:marLeft w:val="0"/>
      <w:marRight w:val="0"/>
      <w:marTop w:val="0"/>
      <w:marBottom w:val="0"/>
      <w:divBdr>
        <w:top w:val="none" w:sz="0" w:space="0" w:color="auto"/>
        <w:left w:val="none" w:sz="0" w:space="0" w:color="auto"/>
        <w:bottom w:val="none" w:sz="0" w:space="0" w:color="auto"/>
        <w:right w:val="none" w:sz="0" w:space="0" w:color="auto"/>
      </w:divBdr>
    </w:div>
    <w:div w:id="820317923">
      <w:bodyDiv w:val="1"/>
      <w:marLeft w:val="0"/>
      <w:marRight w:val="0"/>
      <w:marTop w:val="0"/>
      <w:marBottom w:val="0"/>
      <w:divBdr>
        <w:top w:val="none" w:sz="0" w:space="0" w:color="auto"/>
        <w:left w:val="none" w:sz="0" w:space="0" w:color="auto"/>
        <w:bottom w:val="none" w:sz="0" w:space="0" w:color="auto"/>
        <w:right w:val="none" w:sz="0" w:space="0" w:color="auto"/>
      </w:divBdr>
    </w:div>
    <w:div w:id="820343783">
      <w:bodyDiv w:val="1"/>
      <w:marLeft w:val="0"/>
      <w:marRight w:val="0"/>
      <w:marTop w:val="0"/>
      <w:marBottom w:val="0"/>
      <w:divBdr>
        <w:top w:val="none" w:sz="0" w:space="0" w:color="auto"/>
        <w:left w:val="none" w:sz="0" w:space="0" w:color="auto"/>
        <w:bottom w:val="none" w:sz="0" w:space="0" w:color="auto"/>
        <w:right w:val="none" w:sz="0" w:space="0" w:color="auto"/>
      </w:divBdr>
    </w:div>
    <w:div w:id="820466393">
      <w:bodyDiv w:val="1"/>
      <w:marLeft w:val="0"/>
      <w:marRight w:val="0"/>
      <w:marTop w:val="0"/>
      <w:marBottom w:val="0"/>
      <w:divBdr>
        <w:top w:val="none" w:sz="0" w:space="0" w:color="auto"/>
        <w:left w:val="none" w:sz="0" w:space="0" w:color="auto"/>
        <w:bottom w:val="none" w:sz="0" w:space="0" w:color="auto"/>
        <w:right w:val="none" w:sz="0" w:space="0" w:color="auto"/>
      </w:divBdr>
    </w:div>
    <w:div w:id="820729114">
      <w:bodyDiv w:val="1"/>
      <w:marLeft w:val="0"/>
      <w:marRight w:val="0"/>
      <w:marTop w:val="0"/>
      <w:marBottom w:val="0"/>
      <w:divBdr>
        <w:top w:val="none" w:sz="0" w:space="0" w:color="auto"/>
        <w:left w:val="none" w:sz="0" w:space="0" w:color="auto"/>
        <w:bottom w:val="none" w:sz="0" w:space="0" w:color="auto"/>
        <w:right w:val="none" w:sz="0" w:space="0" w:color="auto"/>
      </w:divBdr>
    </w:div>
    <w:div w:id="820736926">
      <w:bodyDiv w:val="1"/>
      <w:marLeft w:val="0"/>
      <w:marRight w:val="0"/>
      <w:marTop w:val="0"/>
      <w:marBottom w:val="0"/>
      <w:divBdr>
        <w:top w:val="none" w:sz="0" w:space="0" w:color="auto"/>
        <w:left w:val="none" w:sz="0" w:space="0" w:color="auto"/>
        <w:bottom w:val="none" w:sz="0" w:space="0" w:color="auto"/>
        <w:right w:val="none" w:sz="0" w:space="0" w:color="auto"/>
      </w:divBdr>
    </w:div>
    <w:div w:id="821384069">
      <w:bodyDiv w:val="1"/>
      <w:marLeft w:val="0"/>
      <w:marRight w:val="0"/>
      <w:marTop w:val="0"/>
      <w:marBottom w:val="0"/>
      <w:divBdr>
        <w:top w:val="none" w:sz="0" w:space="0" w:color="auto"/>
        <w:left w:val="none" w:sz="0" w:space="0" w:color="auto"/>
        <w:bottom w:val="none" w:sz="0" w:space="0" w:color="auto"/>
        <w:right w:val="none" w:sz="0" w:space="0" w:color="auto"/>
      </w:divBdr>
    </w:div>
    <w:div w:id="821627527">
      <w:bodyDiv w:val="1"/>
      <w:marLeft w:val="0"/>
      <w:marRight w:val="0"/>
      <w:marTop w:val="0"/>
      <w:marBottom w:val="0"/>
      <w:divBdr>
        <w:top w:val="none" w:sz="0" w:space="0" w:color="auto"/>
        <w:left w:val="none" w:sz="0" w:space="0" w:color="auto"/>
        <w:bottom w:val="none" w:sz="0" w:space="0" w:color="auto"/>
        <w:right w:val="none" w:sz="0" w:space="0" w:color="auto"/>
      </w:divBdr>
    </w:div>
    <w:div w:id="821773783">
      <w:bodyDiv w:val="1"/>
      <w:marLeft w:val="0"/>
      <w:marRight w:val="0"/>
      <w:marTop w:val="0"/>
      <w:marBottom w:val="0"/>
      <w:divBdr>
        <w:top w:val="none" w:sz="0" w:space="0" w:color="auto"/>
        <w:left w:val="none" w:sz="0" w:space="0" w:color="auto"/>
        <w:bottom w:val="none" w:sz="0" w:space="0" w:color="auto"/>
        <w:right w:val="none" w:sz="0" w:space="0" w:color="auto"/>
      </w:divBdr>
    </w:div>
    <w:div w:id="821970625">
      <w:bodyDiv w:val="1"/>
      <w:marLeft w:val="0"/>
      <w:marRight w:val="0"/>
      <w:marTop w:val="0"/>
      <w:marBottom w:val="0"/>
      <w:divBdr>
        <w:top w:val="none" w:sz="0" w:space="0" w:color="auto"/>
        <w:left w:val="none" w:sz="0" w:space="0" w:color="auto"/>
        <w:bottom w:val="none" w:sz="0" w:space="0" w:color="auto"/>
        <w:right w:val="none" w:sz="0" w:space="0" w:color="auto"/>
      </w:divBdr>
    </w:div>
    <w:div w:id="822085791">
      <w:bodyDiv w:val="1"/>
      <w:marLeft w:val="0"/>
      <w:marRight w:val="0"/>
      <w:marTop w:val="0"/>
      <w:marBottom w:val="0"/>
      <w:divBdr>
        <w:top w:val="none" w:sz="0" w:space="0" w:color="auto"/>
        <w:left w:val="none" w:sz="0" w:space="0" w:color="auto"/>
        <w:bottom w:val="none" w:sz="0" w:space="0" w:color="auto"/>
        <w:right w:val="none" w:sz="0" w:space="0" w:color="auto"/>
      </w:divBdr>
    </w:div>
    <w:div w:id="822088770">
      <w:bodyDiv w:val="1"/>
      <w:marLeft w:val="0"/>
      <w:marRight w:val="0"/>
      <w:marTop w:val="0"/>
      <w:marBottom w:val="0"/>
      <w:divBdr>
        <w:top w:val="none" w:sz="0" w:space="0" w:color="auto"/>
        <w:left w:val="none" w:sz="0" w:space="0" w:color="auto"/>
        <w:bottom w:val="none" w:sz="0" w:space="0" w:color="auto"/>
        <w:right w:val="none" w:sz="0" w:space="0" w:color="auto"/>
      </w:divBdr>
    </w:div>
    <w:div w:id="822309801">
      <w:bodyDiv w:val="1"/>
      <w:marLeft w:val="0"/>
      <w:marRight w:val="0"/>
      <w:marTop w:val="0"/>
      <w:marBottom w:val="0"/>
      <w:divBdr>
        <w:top w:val="none" w:sz="0" w:space="0" w:color="auto"/>
        <w:left w:val="none" w:sz="0" w:space="0" w:color="auto"/>
        <w:bottom w:val="none" w:sz="0" w:space="0" w:color="auto"/>
        <w:right w:val="none" w:sz="0" w:space="0" w:color="auto"/>
      </w:divBdr>
    </w:div>
    <w:div w:id="822310672">
      <w:bodyDiv w:val="1"/>
      <w:marLeft w:val="0"/>
      <w:marRight w:val="0"/>
      <w:marTop w:val="0"/>
      <w:marBottom w:val="0"/>
      <w:divBdr>
        <w:top w:val="none" w:sz="0" w:space="0" w:color="auto"/>
        <w:left w:val="none" w:sz="0" w:space="0" w:color="auto"/>
        <w:bottom w:val="none" w:sz="0" w:space="0" w:color="auto"/>
        <w:right w:val="none" w:sz="0" w:space="0" w:color="auto"/>
      </w:divBdr>
    </w:div>
    <w:div w:id="822545922">
      <w:bodyDiv w:val="1"/>
      <w:marLeft w:val="0"/>
      <w:marRight w:val="0"/>
      <w:marTop w:val="0"/>
      <w:marBottom w:val="0"/>
      <w:divBdr>
        <w:top w:val="none" w:sz="0" w:space="0" w:color="auto"/>
        <w:left w:val="none" w:sz="0" w:space="0" w:color="auto"/>
        <w:bottom w:val="none" w:sz="0" w:space="0" w:color="auto"/>
        <w:right w:val="none" w:sz="0" w:space="0" w:color="auto"/>
      </w:divBdr>
    </w:div>
    <w:div w:id="824124232">
      <w:bodyDiv w:val="1"/>
      <w:marLeft w:val="0"/>
      <w:marRight w:val="0"/>
      <w:marTop w:val="0"/>
      <w:marBottom w:val="0"/>
      <w:divBdr>
        <w:top w:val="none" w:sz="0" w:space="0" w:color="auto"/>
        <w:left w:val="none" w:sz="0" w:space="0" w:color="auto"/>
        <w:bottom w:val="none" w:sz="0" w:space="0" w:color="auto"/>
        <w:right w:val="none" w:sz="0" w:space="0" w:color="auto"/>
      </w:divBdr>
    </w:div>
    <w:div w:id="824273217">
      <w:bodyDiv w:val="1"/>
      <w:marLeft w:val="0"/>
      <w:marRight w:val="0"/>
      <w:marTop w:val="0"/>
      <w:marBottom w:val="0"/>
      <w:divBdr>
        <w:top w:val="none" w:sz="0" w:space="0" w:color="auto"/>
        <w:left w:val="none" w:sz="0" w:space="0" w:color="auto"/>
        <w:bottom w:val="none" w:sz="0" w:space="0" w:color="auto"/>
        <w:right w:val="none" w:sz="0" w:space="0" w:color="auto"/>
      </w:divBdr>
    </w:div>
    <w:div w:id="824468103">
      <w:bodyDiv w:val="1"/>
      <w:marLeft w:val="0"/>
      <w:marRight w:val="0"/>
      <w:marTop w:val="0"/>
      <w:marBottom w:val="0"/>
      <w:divBdr>
        <w:top w:val="none" w:sz="0" w:space="0" w:color="auto"/>
        <w:left w:val="none" w:sz="0" w:space="0" w:color="auto"/>
        <w:bottom w:val="none" w:sz="0" w:space="0" w:color="auto"/>
        <w:right w:val="none" w:sz="0" w:space="0" w:color="auto"/>
      </w:divBdr>
    </w:div>
    <w:div w:id="825435275">
      <w:bodyDiv w:val="1"/>
      <w:marLeft w:val="0"/>
      <w:marRight w:val="0"/>
      <w:marTop w:val="0"/>
      <w:marBottom w:val="0"/>
      <w:divBdr>
        <w:top w:val="none" w:sz="0" w:space="0" w:color="auto"/>
        <w:left w:val="none" w:sz="0" w:space="0" w:color="auto"/>
        <w:bottom w:val="none" w:sz="0" w:space="0" w:color="auto"/>
        <w:right w:val="none" w:sz="0" w:space="0" w:color="auto"/>
      </w:divBdr>
    </w:div>
    <w:div w:id="826703387">
      <w:bodyDiv w:val="1"/>
      <w:marLeft w:val="0"/>
      <w:marRight w:val="0"/>
      <w:marTop w:val="0"/>
      <w:marBottom w:val="0"/>
      <w:divBdr>
        <w:top w:val="none" w:sz="0" w:space="0" w:color="auto"/>
        <w:left w:val="none" w:sz="0" w:space="0" w:color="auto"/>
        <w:bottom w:val="none" w:sz="0" w:space="0" w:color="auto"/>
        <w:right w:val="none" w:sz="0" w:space="0" w:color="auto"/>
      </w:divBdr>
    </w:div>
    <w:div w:id="827596634">
      <w:bodyDiv w:val="1"/>
      <w:marLeft w:val="0"/>
      <w:marRight w:val="0"/>
      <w:marTop w:val="0"/>
      <w:marBottom w:val="0"/>
      <w:divBdr>
        <w:top w:val="none" w:sz="0" w:space="0" w:color="auto"/>
        <w:left w:val="none" w:sz="0" w:space="0" w:color="auto"/>
        <w:bottom w:val="none" w:sz="0" w:space="0" w:color="auto"/>
        <w:right w:val="none" w:sz="0" w:space="0" w:color="auto"/>
      </w:divBdr>
    </w:div>
    <w:div w:id="827674511">
      <w:bodyDiv w:val="1"/>
      <w:marLeft w:val="0"/>
      <w:marRight w:val="0"/>
      <w:marTop w:val="0"/>
      <w:marBottom w:val="0"/>
      <w:divBdr>
        <w:top w:val="none" w:sz="0" w:space="0" w:color="auto"/>
        <w:left w:val="none" w:sz="0" w:space="0" w:color="auto"/>
        <w:bottom w:val="none" w:sz="0" w:space="0" w:color="auto"/>
        <w:right w:val="none" w:sz="0" w:space="0" w:color="auto"/>
      </w:divBdr>
    </w:div>
    <w:div w:id="828331753">
      <w:bodyDiv w:val="1"/>
      <w:marLeft w:val="0"/>
      <w:marRight w:val="0"/>
      <w:marTop w:val="0"/>
      <w:marBottom w:val="0"/>
      <w:divBdr>
        <w:top w:val="none" w:sz="0" w:space="0" w:color="auto"/>
        <w:left w:val="none" w:sz="0" w:space="0" w:color="auto"/>
        <w:bottom w:val="none" w:sz="0" w:space="0" w:color="auto"/>
        <w:right w:val="none" w:sz="0" w:space="0" w:color="auto"/>
      </w:divBdr>
    </w:div>
    <w:div w:id="828600715">
      <w:bodyDiv w:val="1"/>
      <w:marLeft w:val="0"/>
      <w:marRight w:val="0"/>
      <w:marTop w:val="0"/>
      <w:marBottom w:val="0"/>
      <w:divBdr>
        <w:top w:val="none" w:sz="0" w:space="0" w:color="auto"/>
        <w:left w:val="none" w:sz="0" w:space="0" w:color="auto"/>
        <w:bottom w:val="none" w:sz="0" w:space="0" w:color="auto"/>
        <w:right w:val="none" w:sz="0" w:space="0" w:color="auto"/>
      </w:divBdr>
    </w:div>
    <w:div w:id="828638751">
      <w:bodyDiv w:val="1"/>
      <w:marLeft w:val="0"/>
      <w:marRight w:val="0"/>
      <w:marTop w:val="0"/>
      <w:marBottom w:val="0"/>
      <w:divBdr>
        <w:top w:val="none" w:sz="0" w:space="0" w:color="auto"/>
        <w:left w:val="none" w:sz="0" w:space="0" w:color="auto"/>
        <w:bottom w:val="none" w:sz="0" w:space="0" w:color="auto"/>
        <w:right w:val="none" w:sz="0" w:space="0" w:color="auto"/>
      </w:divBdr>
    </w:div>
    <w:div w:id="828642736">
      <w:bodyDiv w:val="1"/>
      <w:marLeft w:val="0"/>
      <w:marRight w:val="0"/>
      <w:marTop w:val="0"/>
      <w:marBottom w:val="0"/>
      <w:divBdr>
        <w:top w:val="none" w:sz="0" w:space="0" w:color="auto"/>
        <w:left w:val="none" w:sz="0" w:space="0" w:color="auto"/>
        <w:bottom w:val="none" w:sz="0" w:space="0" w:color="auto"/>
        <w:right w:val="none" w:sz="0" w:space="0" w:color="auto"/>
      </w:divBdr>
    </w:div>
    <w:div w:id="828709588">
      <w:bodyDiv w:val="1"/>
      <w:marLeft w:val="0"/>
      <w:marRight w:val="0"/>
      <w:marTop w:val="0"/>
      <w:marBottom w:val="0"/>
      <w:divBdr>
        <w:top w:val="none" w:sz="0" w:space="0" w:color="auto"/>
        <w:left w:val="none" w:sz="0" w:space="0" w:color="auto"/>
        <w:bottom w:val="none" w:sz="0" w:space="0" w:color="auto"/>
        <w:right w:val="none" w:sz="0" w:space="0" w:color="auto"/>
      </w:divBdr>
    </w:div>
    <w:div w:id="828710317">
      <w:bodyDiv w:val="1"/>
      <w:marLeft w:val="0"/>
      <w:marRight w:val="0"/>
      <w:marTop w:val="0"/>
      <w:marBottom w:val="0"/>
      <w:divBdr>
        <w:top w:val="none" w:sz="0" w:space="0" w:color="auto"/>
        <w:left w:val="none" w:sz="0" w:space="0" w:color="auto"/>
        <w:bottom w:val="none" w:sz="0" w:space="0" w:color="auto"/>
        <w:right w:val="none" w:sz="0" w:space="0" w:color="auto"/>
      </w:divBdr>
    </w:div>
    <w:div w:id="829057424">
      <w:bodyDiv w:val="1"/>
      <w:marLeft w:val="0"/>
      <w:marRight w:val="0"/>
      <w:marTop w:val="0"/>
      <w:marBottom w:val="0"/>
      <w:divBdr>
        <w:top w:val="none" w:sz="0" w:space="0" w:color="auto"/>
        <w:left w:val="none" w:sz="0" w:space="0" w:color="auto"/>
        <w:bottom w:val="none" w:sz="0" w:space="0" w:color="auto"/>
        <w:right w:val="none" w:sz="0" w:space="0" w:color="auto"/>
      </w:divBdr>
    </w:div>
    <w:div w:id="829834972">
      <w:bodyDiv w:val="1"/>
      <w:marLeft w:val="0"/>
      <w:marRight w:val="0"/>
      <w:marTop w:val="0"/>
      <w:marBottom w:val="0"/>
      <w:divBdr>
        <w:top w:val="none" w:sz="0" w:space="0" w:color="auto"/>
        <w:left w:val="none" w:sz="0" w:space="0" w:color="auto"/>
        <w:bottom w:val="none" w:sz="0" w:space="0" w:color="auto"/>
        <w:right w:val="none" w:sz="0" w:space="0" w:color="auto"/>
      </w:divBdr>
    </w:div>
    <w:div w:id="829910485">
      <w:bodyDiv w:val="1"/>
      <w:marLeft w:val="0"/>
      <w:marRight w:val="0"/>
      <w:marTop w:val="0"/>
      <w:marBottom w:val="0"/>
      <w:divBdr>
        <w:top w:val="none" w:sz="0" w:space="0" w:color="auto"/>
        <w:left w:val="none" w:sz="0" w:space="0" w:color="auto"/>
        <w:bottom w:val="none" w:sz="0" w:space="0" w:color="auto"/>
        <w:right w:val="none" w:sz="0" w:space="0" w:color="auto"/>
      </w:divBdr>
    </w:div>
    <w:div w:id="829953620">
      <w:bodyDiv w:val="1"/>
      <w:marLeft w:val="0"/>
      <w:marRight w:val="0"/>
      <w:marTop w:val="0"/>
      <w:marBottom w:val="0"/>
      <w:divBdr>
        <w:top w:val="none" w:sz="0" w:space="0" w:color="auto"/>
        <w:left w:val="none" w:sz="0" w:space="0" w:color="auto"/>
        <w:bottom w:val="none" w:sz="0" w:space="0" w:color="auto"/>
        <w:right w:val="none" w:sz="0" w:space="0" w:color="auto"/>
      </w:divBdr>
    </w:div>
    <w:div w:id="830213417">
      <w:bodyDiv w:val="1"/>
      <w:marLeft w:val="0"/>
      <w:marRight w:val="0"/>
      <w:marTop w:val="0"/>
      <w:marBottom w:val="0"/>
      <w:divBdr>
        <w:top w:val="none" w:sz="0" w:space="0" w:color="auto"/>
        <w:left w:val="none" w:sz="0" w:space="0" w:color="auto"/>
        <w:bottom w:val="none" w:sz="0" w:space="0" w:color="auto"/>
        <w:right w:val="none" w:sz="0" w:space="0" w:color="auto"/>
      </w:divBdr>
    </w:div>
    <w:div w:id="830870453">
      <w:bodyDiv w:val="1"/>
      <w:marLeft w:val="0"/>
      <w:marRight w:val="0"/>
      <w:marTop w:val="0"/>
      <w:marBottom w:val="0"/>
      <w:divBdr>
        <w:top w:val="none" w:sz="0" w:space="0" w:color="auto"/>
        <w:left w:val="none" w:sz="0" w:space="0" w:color="auto"/>
        <w:bottom w:val="none" w:sz="0" w:space="0" w:color="auto"/>
        <w:right w:val="none" w:sz="0" w:space="0" w:color="auto"/>
      </w:divBdr>
    </w:div>
    <w:div w:id="831066410">
      <w:bodyDiv w:val="1"/>
      <w:marLeft w:val="0"/>
      <w:marRight w:val="0"/>
      <w:marTop w:val="0"/>
      <w:marBottom w:val="0"/>
      <w:divBdr>
        <w:top w:val="none" w:sz="0" w:space="0" w:color="auto"/>
        <w:left w:val="none" w:sz="0" w:space="0" w:color="auto"/>
        <w:bottom w:val="none" w:sz="0" w:space="0" w:color="auto"/>
        <w:right w:val="none" w:sz="0" w:space="0" w:color="auto"/>
      </w:divBdr>
    </w:div>
    <w:div w:id="831068246">
      <w:bodyDiv w:val="1"/>
      <w:marLeft w:val="0"/>
      <w:marRight w:val="0"/>
      <w:marTop w:val="0"/>
      <w:marBottom w:val="0"/>
      <w:divBdr>
        <w:top w:val="none" w:sz="0" w:space="0" w:color="auto"/>
        <w:left w:val="none" w:sz="0" w:space="0" w:color="auto"/>
        <w:bottom w:val="none" w:sz="0" w:space="0" w:color="auto"/>
        <w:right w:val="none" w:sz="0" w:space="0" w:color="auto"/>
      </w:divBdr>
    </w:div>
    <w:div w:id="831138817">
      <w:bodyDiv w:val="1"/>
      <w:marLeft w:val="0"/>
      <w:marRight w:val="0"/>
      <w:marTop w:val="0"/>
      <w:marBottom w:val="0"/>
      <w:divBdr>
        <w:top w:val="none" w:sz="0" w:space="0" w:color="auto"/>
        <w:left w:val="none" w:sz="0" w:space="0" w:color="auto"/>
        <w:bottom w:val="none" w:sz="0" w:space="0" w:color="auto"/>
        <w:right w:val="none" w:sz="0" w:space="0" w:color="auto"/>
      </w:divBdr>
    </w:div>
    <w:div w:id="831332005">
      <w:bodyDiv w:val="1"/>
      <w:marLeft w:val="0"/>
      <w:marRight w:val="0"/>
      <w:marTop w:val="0"/>
      <w:marBottom w:val="0"/>
      <w:divBdr>
        <w:top w:val="none" w:sz="0" w:space="0" w:color="auto"/>
        <w:left w:val="none" w:sz="0" w:space="0" w:color="auto"/>
        <w:bottom w:val="none" w:sz="0" w:space="0" w:color="auto"/>
        <w:right w:val="none" w:sz="0" w:space="0" w:color="auto"/>
      </w:divBdr>
    </w:div>
    <w:div w:id="831414057">
      <w:bodyDiv w:val="1"/>
      <w:marLeft w:val="0"/>
      <w:marRight w:val="0"/>
      <w:marTop w:val="0"/>
      <w:marBottom w:val="0"/>
      <w:divBdr>
        <w:top w:val="none" w:sz="0" w:space="0" w:color="auto"/>
        <w:left w:val="none" w:sz="0" w:space="0" w:color="auto"/>
        <w:bottom w:val="none" w:sz="0" w:space="0" w:color="auto"/>
        <w:right w:val="none" w:sz="0" w:space="0" w:color="auto"/>
      </w:divBdr>
    </w:div>
    <w:div w:id="831875551">
      <w:bodyDiv w:val="1"/>
      <w:marLeft w:val="0"/>
      <w:marRight w:val="0"/>
      <w:marTop w:val="0"/>
      <w:marBottom w:val="0"/>
      <w:divBdr>
        <w:top w:val="none" w:sz="0" w:space="0" w:color="auto"/>
        <w:left w:val="none" w:sz="0" w:space="0" w:color="auto"/>
        <w:bottom w:val="none" w:sz="0" w:space="0" w:color="auto"/>
        <w:right w:val="none" w:sz="0" w:space="0" w:color="auto"/>
      </w:divBdr>
    </w:div>
    <w:div w:id="832331896">
      <w:bodyDiv w:val="1"/>
      <w:marLeft w:val="0"/>
      <w:marRight w:val="0"/>
      <w:marTop w:val="0"/>
      <w:marBottom w:val="0"/>
      <w:divBdr>
        <w:top w:val="none" w:sz="0" w:space="0" w:color="auto"/>
        <w:left w:val="none" w:sz="0" w:space="0" w:color="auto"/>
        <w:bottom w:val="none" w:sz="0" w:space="0" w:color="auto"/>
        <w:right w:val="none" w:sz="0" w:space="0" w:color="auto"/>
      </w:divBdr>
    </w:div>
    <w:div w:id="832530045">
      <w:bodyDiv w:val="1"/>
      <w:marLeft w:val="0"/>
      <w:marRight w:val="0"/>
      <w:marTop w:val="0"/>
      <w:marBottom w:val="0"/>
      <w:divBdr>
        <w:top w:val="none" w:sz="0" w:space="0" w:color="auto"/>
        <w:left w:val="none" w:sz="0" w:space="0" w:color="auto"/>
        <w:bottom w:val="none" w:sz="0" w:space="0" w:color="auto"/>
        <w:right w:val="none" w:sz="0" w:space="0" w:color="auto"/>
      </w:divBdr>
    </w:div>
    <w:div w:id="832569940">
      <w:bodyDiv w:val="1"/>
      <w:marLeft w:val="0"/>
      <w:marRight w:val="0"/>
      <w:marTop w:val="0"/>
      <w:marBottom w:val="0"/>
      <w:divBdr>
        <w:top w:val="none" w:sz="0" w:space="0" w:color="auto"/>
        <w:left w:val="none" w:sz="0" w:space="0" w:color="auto"/>
        <w:bottom w:val="none" w:sz="0" w:space="0" w:color="auto"/>
        <w:right w:val="none" w:sz="0" w:space="0" w:color="auto"/>
      </w:divBdr>
    </w:div>
    <w:div w:id="832911651">
      <w:bodyDiv w:val="1"/>
      <w:marLeft w:val="0"/>
      <w:marRight w:val="0"/>
      <w:marTop w:val="0"/>
      <w:marBottom w:val="0"/>
      <w:divBdr>
        <w:top w:val="none" w:sz="0" w:space="0" w:color="auto"/>
        <w:left w:val="none" w:sz="0" w:space="0" w:color="auto"/>
        <w:bottom w:val="none" w:sz="0" w:space="0" w:color="auto"/>
        <w:right w:val="none" w:sz="0" w:space="0" w:color="auto"/>
      </w:divBdr>
    </w:div>
    <w:div w:id="833028177">
      <w:bodyDiv w:val="1"/>
      <w:marLeft w:val="0"/>
      <w:marRight w:val="0"/>
      <w:marTop w:val="0"/>
      <w:marBottom w:val="0"/>
      <w:divBdr>
        <w:top w:val="none" w:sz="0" w:space="0" w:color="auto"/>
        <w:left w:val="none" w:sz="0" w:space="0" w:color="auto"/>
        <w:bottom w:val="none" w:sz="0" w:space="0" w:color="auto"/>
        <w:right w:val="none" w:sz="0" w:space="0" w:color="auto"/>
      </w:divBdr>
    </w:div>
    <w:div w:id="833187216">
      <w:bodyDiv w:val="1"/>
      <w:marLeft w:val="0"/>
      <w:marRight w:val="0"/>
      <w:marTop w:val="0"/>
      <w:marBottom w:val="0"/>
      <w:divBdr>
        <w:top w:val="none" w:sz="0" w:space="0" w:color="auto"/>
        <w:left w:val="none" w:sz="0" w:space="0" w:color="auto"/>
        <w:bottom w:val="none" w:sz="0" w:space="0" w:color="auto"/>
        <w:right w:val="none" w:sz="0" w:space="0" w:color="auto"/>
      </w:divBdr>
    </w:div>
    <w:div w:id="833299364">
      <w:bodyDiv w:val="1"/>
      <w:marLeft w:val="0"/>
      <w:marRight w:val="0"/>
      <w:marTop w:val="0"/>
      <w:marBottom w:val="0"/>
      <w:divBdr>
        <w:top w:val="none" w:sz="0" w:space="0" w:color="auto"/>
        <w:left w:val="none" w:sz="0" w:space="0" w:color="auto"/>
        <w:bottom w:val="none" w:sz="0" w:space="0" w:color="auto"/>
        <w:right w:val="none" w:sz="0" w:space="0" w:color="auto"/>
      </w:divBdr>
    </w:div>
    <w:div w:id="833449923">
      <w:bodyDiv w:val="1"/>
      <w:marLeft w:val="0"/>
      <w:marRight w:val="0"/>
      <w:marTop w:val="0"/>
      <w:marBottom w:val="0"/>
      <w:divBdr>
        <w:top w:val="none" w:sz="0" w:space="0" w:color="auto"/>
        <w:left w:val="none" w:sz="0" w:space="0" w:color="auto"/>
        <w:bottom w:val="none" w:sz="0" w:space="0" w:color="auto"/>
        <w:right w:val="none" w:sz="0" w:space="0" w:color="auto"/>
      </w:divBdr>
    </w:div>
    <w:div w:id="833452967">
      <w:bodyDiv w:val="1"/>
      <w:marLeft w:val="0"/>
      <w:marRight w:val="0"/>
      <w:marTop w:val="0"/>
      <w:marBottom w:val="0"/>
      <w:divBdr>
        <w:top w:val="none" w:sz="0" w:space="0" w:color="auto"/>
        <w:left w:val="none" w:sz="0" w:space="0" w:color="auto"/>
        <w:bottom w:val="none" w:sz="0" w:space="0" w:color="auto"/>
        <w:right w:val="none" w:sz="0" w:space="0" w:color="auto"/>
      </w:divBdr>
    </w:div>
    <w:div w:id="834028651">
      <w:bodyDiv w:val="1"/>
      <w:marLeft w:val="0"/>
      <w:marRight w:val="0"/>
      <w:marTop w:val="0"/>
      <w:marBottom w:val="0"/>
      <w:divBdr>
        <w:top w:val="none" w:sz="0" w:space="0" w:color="auto"/>
        <w:left w:val="none" w:sz="0" w:space="0" w:color="auto"/>
        <w:bottom w:val="none" w:sz="0" w:space="0" w:color="auto"/>
        <w:right w:val="none" w:sz="0" w:space="0" w:color="auto"/>
      </w:divBdr>
    </w:div>
    <w:div w:id="834033843">
      <w:bodyDiv w:val="1"/>
      <w:marLeft w:val="0"/>
      <w:marRight w:val="0"/>
      <w:marTop w:val="0"/>
      <w:marBottom w:val="0"/>
      <w:divBdr>
        <w:top w:val="none" w:sz="0" w:space="0" w:color="auto"/>
        <w:left w:val="none" w:sz="0" w:space="0" w:color="auto"/>
        <w:bottom w:val="none" w:sz="0" w:space="0" w:color="auto"/>
        <w:right w:val="none" w:sz="0" w:space="0" w:color="auto"/>
      </w:divBdr>
    </w:div>
    <w:div w:id="834682420">
      <w:bodyDiv w:val="1"/>
      <w:marLeft w:val="0"/>
      <w:marRight w:val="0"/>
      <w:marTop w:val="0"/>
      <w:marBottom w:val="0"/>
      <w:divBdr>
        <w:top w:val="none" w:sz="0" w:space="0" w:color="auto"/>
        <w:left w:val="none" w:sz="0" w:space="0" w:color="auto"/>
        <w:bottom w:val="none" w:sz="0" w:space="0" w:color="auto"/>
        <w:right w:val="none" w:sz="0" w:space="0" w:color="auto"/>
      </w:divBdr>
    </w:div>
    <w:div w:id="835464089">
      <w:bodyDiv w:val="1"/>
      <w:marLeft w:val="0"/>
      <w:marRight w:val="0"/>
      <w:marTop w:val="0"/>
      <w:marBottom w:val="0"/>
      <w:divBdr>
        <w:top w:val="none" w:sz="0" w:space="0" w:color="auto"/>
        <w:left w:val="none" w:sz="0" w:space="0" w:color="auto"/>
        <w:bottom w:val="none" w:sz="0" w:space="0" w:color="auto"/>
        <w:right w:val="none" w:sz="0" w:space="0" w:color="auto"/>
      </w:divBdr>
    </w:div>
    <w:div w:id="836728263">
      <w:bodyDiv w:val="1"/>
      <w:marLeft w:val="0"/>
      <w:marRight w:val="0"/>
      <w:marTop w:val="0"/>
      <w:marBottom w:val="0"/>
      <w:divBdr>
        <w:top w:val="none" w:sz="0" w:space="0" w:color="auto"/>
        <w:left w:val="none" w:sz="0" w:space="0" w:color="auto"/>
        <w:bottom w:val="none" w:sz="0" w:space="0" w:color="auto"/>
        <w:right w:val="none" w:sz="0" w:space="0" w:color="auto"/>
      </w:divBdr>
    </w:div>
    <w:div w:id="837378977">
      <w:bodyDiv w:val="1"/>
      <w:marLeft w:val="0"/>
      <w:marRight w:val="0"/>
      <w:marTop w:val="0"/>
      <w:marBottom w:val="0"/>
      <w:divBdr>
        <w:top w:val="none" w:sz="0" w:space="0" w:color="auto"/>
        <w:left w:val="none" w:sz="0" w:space="0" w:color="auto"/>
        <w:bottom w:val="none" w:sz="0" w:space="0" w:color="auto"/>
        <w:right w:val="none" w:sz="0" w:space="0" w:color="auto"/>
      </w:divBdr>
    </w:div>
    <w:div w:id="837698577">
      <w:bodyDiv w:val="1"/>
      <w:marLeft w:val="0"/>
      <w:marRight w:val="0"/>
      <w:marTop w:val="0"/>
      <w:marBottom w:val="0"/>
      <w:divBdr>
        <w:top w:val="none" w:sz="0" w:space="0" w:color="auto"/>
        <w:left w:val="none" w:sz="0" w:space="0" w:color="auto"/>
        <w:bottom w:val="none" w:sz="0" w:space="0" w:color="auto"/>
        <w:right w:val="none" w:sz="0" w:space="0" w:color="auto"/>
      </w:divBdr>
    </w:div>
    <w:div w:id="838696356">
      <w:bodyDiv w:val="1"/>
      <w:marLeft w:val="0"/>
      <w:marRight w:val="0"/>
      <w:marTop w:val="0"/>
      <w:marBottom w:val="0"/>
      <w:divBdr>
        <w:top w:val="none" w:sz="0" w:space="0" w:color="auto"/>
        <w:left w:val="none" w:sz="0" w:space="0" w:color="auto"/>
        <w:bottom w:val="none" w:sz="0" w:space="0" w:color="auto"/>
        <w:right w:val="none" w:sz="0" w:space="0" w:color="auto"/>
      </w:divBdr>
    </w:div>
    <w:div w:id="839078603">
      <w:bodyDiv w:val="1"/>
      <w:marLeft w:val="0"/>
      <w:marRight w:val="0"/>
      <w:marTop w:val="0"/>
      <w:marBottom w:val="0"/>
      <w:divBdr>
        <w:top w:val="none" w:sz="0" w:space="0" w:color="auto"/>
        <w:left w:val="none" w:sz="0" w:space="0" w:color="auto"/>
        <w:bottom w:val="none" w:sz="0" w:space="0" w:color="auto"/>
        <w:right w:val="none" w:sz="0" w:space="0" w:color="auto"/>
      </w:divBdr>
    </w:div>
    <w:div w:id="839391936">
      <w:bodyDiv w:val="1"/>
      <w:marLeft w:val="0"/>
      <w:marRight w:val="0"/>
      <w:marTop w:val="0"/>
      <w:marBottom w:val="0"/>
      <w:divBdr>
        <w:top w:val="none" w:sz="0" w:space="0" w:color="auto"/>
        <w:left w:val="none" w:sz="0" w:space="0" w:color="auto"/>
        <w:bottom w:val="none" w:sz="0" w:space="0" w:color="auto"/>
        <w:right w:val="none" w:sz="0" w:space="0" w:color="auto"/>
      </w:divBdr>
    </w:div>
    <w:div w:id="840317801">
      <w:bodyDiv w:val="1"/>
      <w:marLeft w:val="0"/>
      <w:marRight w:val="0"/>
      <w:marTop w:val="0"/>
      <w:marBottom w:val="0"/>
      <w:divBdr>
        <w:top w:val="none" w:sz="0" w:space="0" w:color="auto"/>
        <w:left w:val="none" w:sz="0" w:space="0" w:color="auto"/>
        <w:bottom w:val="none" w:sz="0" w:space="0" w:color="auto"/>
        <w:right w:val="none" w:sz="0" w:space="0" w:color="auto"/>
      </w:divBdr>
    </w:div>
    <w:div w:id="840580918">
      <w:bodyDiv w:val="1"/>
      <w:marLeft w:val="0"/>
      <w:marRight w:val="0"/>
      <w:marTop w:val="0"/>
      <w:marBottom w:val="0"/>
      <w:divBdr>
        <w:top w:val="none" w:sz="0" w:space="0" w:color="auto"/>
        <w:left w:val="none" w:sz="0" w:space="0" w:color="auto"/>
        <w:bottom w:val="none" w:sz="0" w:space="0" w:color="auto"/>
        <w:right w:val="none" w:sz="0" w:space="0" w:color="auto"/>
      </w:divBdr>
    </w:div>
    <w:div w:id="840700416">
      <w:bodyDiv w:val="1"/>
      <w:marLeft w:val="0"/>
      <w:marRight w:val="0"/>
      <w:marTop w:val="0"/>
      <w:marBottom w:val="0"/>
      <w:divBdr>
        <w:top w:val="none" w:sz="0" w:space="0" w:color="auto"/>
        <w:left w:val="none" w:sz="0" w:space="0" w:color="auto"/>
        <w:bottom w:val="none" w:sz="0" w:space="0" w:color="auto"/>
        <w:right w:val="none" w:sz="0" w:space="0" w:color="auto"/>
      </w:divBdr>
    </w:div>
    <w:div w:id="840702664">
      <w:bodyDiv w:val="1"/>
      <w:marLeft w:val="0"/>
      <w:marRight w:val="0"/>
      <w:marTop w:val="0"/>
      <w:marBottom w:val="0"/>
      <w:divBdr>
        <w:top w:val="none" w:sz="0" w:space="0" w:color="auto"/>
        <w:left w:val="none" w:sz="0" w:space="0" w:color="auto"/>
        <w:bottom w:val="none" w:sz="0" w:space="0" w:color="auto"/>
        <w:right w:val="none" w:sz="0" w:space="0" w:color="auto"/>
      </w:divBdr>
    </w:div>
    <w:div w:id="842092769">
      <w:bodyDiv w:val="1"/>
      <w:marLeft w:val="0"/>
      <w:marRight w:val="0"/>
      <w:marTop w:val="0"/>
      <w:marBottom w:val="0"/>
      <w:divBdr>
        <w:top w:val="none" w:sz="0" w:space="0" w:color="auto"/>
        <w:left w:val="none" w:sz="0" w:space="0" w:color="auto"/>
        <w:bottom w:val="none" w:sz="0" w:space="0" w:color="auto"/>
        <w:right w:val="none" w:sz="0" w:space="0" w:color="auto"/>
      </w:divBdr>
    </w:div>
    <w:div w:id="842665441">
      <w:bodyDiv w:val="1"/>
      <w:marLeft w:val="0"/>
      <w:marRight w:val="0"/>
      <w:marTop w:val="0"/>
      <w:marBottom w:val="0"/>
      <w:divBdr>
        <w:top w:val="none" w:sz="0" w:space="0" w:color="auto"/>
        <w:left w:val="none" w:sz="0" w:space="0" w:color="auto"/>
        <w:bottom w:val="none" w:sz="0" w:space="0" w:color="auto"/>
        <w:right w:val="none" w:sz="0" w:space="0" w:color="auto"/>
      </w:divBdr>
    </w:div>
    <w:div w:id="842820131">
      <w:bodyDiv w:val="1"/>
      <w:marLeft w:val="0"/>
      <w:marRight w:val="0"/>
      <w:marTop w:val="0"/>
      <w:marBottom w:val="0"/>
      <w:divBdr>
        <w:top w:val="none" w:sz="0" w:space="0" w:color="auto"/>
        <w:left w:val="none" w:sz="0" w:space="0" w:color="auto"/>
        <w:bottom w:val="none" w:sz="0" w:space="0" w:color="auto"/>
        <w:right w:val="none" w:sz="0" w:space="0" w:color="auto"/>
      </w:divBdr>
    </w:div>
    <w:div w:id="843284113">
      <w:bodyDiv w:val="1"/>
      <w:marLeft w:val="0"/>
      <w:marRight w:val="0"/>
      <w:marTop w:val="0"/>
      <w:marBottom w:val="0"/>
      <w:divBdr>
        <w:top w:val="none" w:sz="0" w:space="0" w:color="auto"/>
        <w:left w:val="none" w:sz="0" w:space="0" w:color="auto"/>
        <w:bottom w:val="none" w:sz="0" w:space="0" w:color="auto"/>
        <w:right w:val="none" w:sz="0" w:space="0" w:color="auto"/>
      </w:divBdr>
    </w:div>
    <w:div w:id="843594013">
      <w:bodyDiv w:val="1"/>
      <w:marLeft w:val="0"/>
      <w:marRight w:val="0"/>
      <w:marTop w:val="0"/>
      <w:marBottom w:val="0"/>
      <w:divBdr>
        <w:top w:val="none" w:sz="0" w:space="0" w:color="auto"/>
        <w:left w:val="none" w:sz="0" w:space="0" w:color="auto"/>
        <w:bottom w:val="none" w:sz="0" w:space="0" w:color="auto"/>
        <w:right w:val="none" w:sz="0" w:space="0" w:color="auto"/>
      </w:divBdr>
    </w:div>
    <w:div w:id="843664065">
      <w:bodyDiv w:val="1"/>
      <w:marLeft w:val="0"/>
      <w:marRight w:val="0"/>
      <w:marTop w:val="0"/>
      <w:marBottom w:val="0"/>
      <w:divBdr>
        <w:top w:val="none" w:sz="0" w:space="0" w:color="auto"/>
        <w:left w:val="none" w:sz="0" w:space="0" w:color="auto"/>
        <w:bottom w:val="none" w:sz="0" w:space="0" w:color="auto"/>
        <w:right w:val="none" w:sz="0" w:space="0" w:color="auto"/>
      </w:divBdr>
    </w:div>
    <w:div w:id="843935266">
      <w:bodyDiv w:val="1"/>
      <w:marLeft w:val="0"/>
      <w:marRight w:val="0"/>
      <w:marTop w:val="0"/>
      <w:marBottom w:val="0"/>
      <w:divBdr>
        <w:top w:val="none" w:sz="0" w:space="0" w:color="auto"/>
        <w:left w:val="none" w:sz="0" w:space="0" w:color="auto"/>
        <w:bottom w:val="none" w:sz="0" w:space="0" w:color="auto"/>
        <w:right w:val="none" w:sz="0" w:space="0" w:color="auto"/>
      </w:divBdr>
    </w:div>
    <w:div w:id="844128323">
      <w:bodyDiv w:val="1"/>
      <w:marLeft w:val="0"/>
      <w:marRight w:val="0"/>
      <w:marTop w:val="0"/>
      <w:marBottom w:val="0"/>
      <w:divBdr>
        <w:top w:val="none" w:sz="0" w:space="0" w:color="auto"/>
        <w:left w:val="none" w:sz="0" w:space="0" w:color="auto"/>
        <w:bottom w:val="none" w:sz="0" w:space="0" w:color="auto"/>
        <w:right w:val="none" w:sz="0" w:space="0" w:color="auto"/>
      </w:divBdr>
    </w:div>
    <w:div w:id="844170713">
      <w:bodyDiv w:val="1"/>
      <w:marLeft w:val="0"/>
      <w:marRight w:val="0"/>
      <w:marTop w:val="0"/>
      <w:marBottom w:val="0"/>
      <w:divBdr>
        <w:top w:val="none" w:sz="0" w:space="0" w:color="auto"/>
        <w:left w:val="none" w:sz="0" w:space="0" w:color="auto"/>
        <w:bottom w:val="none" w:sz="0" w:space="0" w:color="auto"/>
        <w:right w:val="none" w:sz="0" w:space="0" w:color="auto"/>
      </w:divBdr>
    </w:div>
    <w:div w:id="844245060">
      <w:bodyDiv w:val="1"/>
      <w:marLeft w:val="0"/>
      <w:marRight w:val="0"/>
      <w:marTop w:val="0"/>
      <w:marBottom w:val="0"/>
      <w:divBdr>
        <w:top w:val="none" w:sz="0" w:space="0" w:color="auto"/>
        <w:left w:val="none" w:sz="0" w:space="0" w:color="auto"/>
        <w:bottom w:val="none" w:sz="0" w:space="0" w:color="auto"/>
        <w:right w:val="none" w:sz="0" w:space="0" w:color="auto"/>
      </w:divBdr>
    </w:div>
    <w:div w:id="844323577">
      <w:bodyDiv w:val="1"/>
      <w:marLeft w:val="0"/>
      <w:marRight w:val="0"/>
      <w:marTop w:val="0"/>
      <w:marBottom w:val="0"/>
      <w:divBdr>
        <w:top w:val="none" w:sz="0" w:space="0" w:color="auto"/>
        <w:left w:val="none" w:sz="0" w:space="0" w:color="auto"/>
        <w:bottom w:val="none" w:sz="0" w:space="0" w:color="auto"/>
        <w:right w:val="none" w:sz="0" w:space="0" w:color="auto"/>
      </w:divBdr>
    </w:div>
    <w:div w:id="845249475">
      <w:bodyDiv w:val="1"/>
      <w:marLeft w:val="0"/>
      <w:marRight w:val="0"/>
      <w:marTop w:val="0"/>
      <w:marBottom w:val="0"/>
      <w:divBdr>
        <w:top w:val="none" w:sz="0" w:space="0" w:color="auto"/>
        <w:left w:val="none" w:sz="0" w:space="0" w:color="auto"/>
        <w:bottom w:val="none" w:sz="0" w:space="0" w:color="auto"/>
        <w:right w:val="none" w:sz="0" w:space="0" w:color="auto"/>
      </w:divBdr>
    </w:div>
    <w:div w:id="845288548">
      <w:bodyDiv w:val="1"/>
      <w:marLeft w:val="0"/>
      <w:marRight w:val="0"/>
      <w:marTop w:val="0"/>
      <w:marBottom w:val="0"/>
      <w:divBdr>
        <w:top w:val="none" w:sz="0" w:space="0" w:color="auto"/>
        <w:left w:val="none" w:sz="0" w:space="0" w:color="auto"/>
        <w:bottom w:val="none" w:sz="0" w:space="0" w:color="auto"/>
        <w:right w:val="none" w:sz="0" w:space="0" w:color="auto"/>
      </w:divBdr>
    </w:div>
    <w:div w:id="845293498">
      <w:bodyDiv w:val="1"/>
      <w:marLeft w:val="0"/>
      <w:marRight w:val="0"/>
      <w:marTop w:val="0"/>
      <w:marBottom w:val="0"/>
      <w:divBdr>
        <w:top w:val="none" w:sz="0" w:space="0" w:color="auto"/>
        <w:left w:val="none" w:sz="0" w:space="0" w:color="auto"/>
        <w:bottom w:val="none" w:sz="0" w:space="0" w:color="auto"/>
        <w:right w:val="none" w:sz="0" w:space="0" w:color="auto"/>
      </w:divBdr>
    </w:div>
    <w:div w:id="845633683">
      <w:bodyDiv w:val="1"/>
      <w:marLeft w:val="0"/>
      <w:marRight w:val="0"/>
      <w:marTop w:val="0"/>
      <w:marBottom w:val="0"/>
      <w:divBdr>
        <w:top w:val="none" w:sz="0" w:space="0" w:color="auto"/>
        <w:left w:val="none" w:sz="0" w:space="0" w:color="auto"/>
        <w:bottom w:val="none" w:sz="0" w:space="0" w:color="auto"/>
        <w:right w:val="none" w:sz="0" w:space="0" w:color="auto"/>
      </w:divBdr>
    </w:div>
    <w:div w:id="846098740">
      <w:bodyDiv w:val="1"/>
      <w:marLeft w:val="0"/>
      <w:marRight w:val="0"/>
      <w:marTop w:val="0"/>
      <w:marBottom w:val="0"/>
      <w:divBdr>
        <w:top w:val="none" w:sz="0" w:space="0" w:color="auto"/>
        <w:left w:val="none" w:sz="0" w:space="0" w:color="auto"/>
        <w:bottom w:val="none" w:sz="0" w:space="0" w:color="auto"/>
        <w:right w:val="none" w:sz="0" w:space="0" w:color="auto"/>
      </w:divBdr>
    </w:div>
    <w:div w:id="846553846">
      <w:bodyDiv w:val="1"/>
      <w:marLeft w:val="0"/>
      <w:marRight w:val="0"/>
      <w:marTop w:val="0"/>
      <w:marBottom w:val="0"/>
      <w:divBdr>
        <w:top w:val="none" w:sz="0" w:space="0" w:color="auto"/>
        <w:left w:val="none" w:sz="0" w:space="0" w:color="auto"/>
        <w:bottom w:val="none" w:sz="0" w:space="0" w:color="auto"/>
        <w:right w:val="none" w:sz="0" w:space="0" w:color="auto"/>
      </w:divBdr>
    </w:div>
    <w:div w:id="847789169">
      <w:bodyDiv w:val="1"/>
      <w:marLeft w:val="0"/>
      <w:marRight w:val="0"/>
      <w:marTop w:val="0"/>
      <w:marBottom w:val="0"/>
      <w:divBdr>
        <w:top w:val="none" w:sz="0" w:space="0" w:color="auto"/>
        <w:left w:val="none" w:sz="0" w:space="0" w:color="auto"/>
        <w:bottom w:val="none" w:sz="0" w:space="0" w:color="auto"/>
        <w:right w:val="none" w:sz="0" w:space="0" w:color="auto"/>
      </w:divBdr>
    </w:div>
    <w:div w:id="847792941">
      <w:bodyDiv w:val="1"/>
      <w:marLeft w:val="0"/>
      <w:marRight w:val="0"/>
      <w:marTop w:val="0"/>
      <w:marBottom w:val="0"/>
      <w:divBdr>
        <w:top w:val="none" w:sz="0" w:space="0" w:color="auto"/>
        <w:left w:val="none" w:sz="0" w:space="0" w:color="auto"/>
        <w:bottom w:val="none" w:sz="0" w:space="0" w:color="auto"/>
        <w:right w:val="none" w:sz="0" w:space="0" w:color="auto"/>
      </w:divBdr>
    </w:div>
    <w:div w:id="848256422">
      <w:bodyDiv w:val="1"/>
      <w:marLeft w:val="0"/>
      <w:marRight w:val="0"/>
      <w:marTop w:val="0"/>
      <w:marBottom w:val="0"/>
      <w:divBdr>
        <w:top w:val="none" w:sz="0" w:space="0" w:color="auto"/>
        <w:left w:val="none" w:sz="0" w:space="0" w:color="auto"/>
        <w:bottom w:val="none" w:sz="0" w:space="0" w:color="auto"/>
        <w:right w:val="none" w:sz="0" w:space="0" w:color="auto"/>
      </w:divBdr>
    </w:div>
    <w:div w:id="848564844">
      <w:bodyDiv w:val="1"/>
      <w:marLeft w:val="0"/>
      <w:marRight w:val="0"/>
      <w:marTop w:val="0"/>
      <w:marBottom w:val="0"/>
      <w:divBdr>
        <w:top w:val="none" w:sz="0" w:space="0" w:color="auto"/>
        <w:left w:val="none" w:sz="0" w:space="0" w:color="auto"/>
        <w:bottom w:val="none" w:sz="0" w:space="0" w:color="auto"/>
        <w:right w:val="none" w:sz="0" w:space="0" w:color="auto"/>
      </w:divBdr>
    </w:div>
    <w:div w:id="849372044">
      <w:bodyDiv w:val="1"/>
      <w:marLeft w:val="0"/>
      <w:marRight w:val="0"/>
      <w:marTop w:val="0"/>
      <w:marBottom w:val="0"/>
      <w:divBdr>
        <w:top w:val="none" w:sz="0" w:space="0" w:color="auto"/>
        <w:left w:val="none" w:sz="0" w:space="0" w:color="auto"/>
        <w:bottom w:val="none" w:sz="0" w:space="0" w:color="auto"/>
        <w:right w:val="none" w:sz="0" w:space="0" w:color="auto"/>
      </w:divBdr>
    </w:div>
    <w:div w:id="849565349">
      <w:bodyDiv w:val="1"/>
      <w:marLeft w:val="0"/>
      <w:marRight w:val="0"/>
      <w:marTop w:val="0"/>
      <w:marBottom w:val="0"/>
      <w:divBdr>
        <w:top w:val="none" w:sz="0" w:space="0" w:color="auto"/>
        <w:left w:val="none" w:sz="0" w:space="0" w:color="auto"/>
        <w:bottom w:val="none" w:sz="0" w:space="0" w:color="auto"/>
        <w:right w:val="none" w:sz="0" w:space="0" w:color="auto"/>
      </w:divBdr>
    </w:div>
    <w:div w:id="849609344">
      <w:bodyDiv w:val="1"/>
      <w:marLeft w:val="0"/>
      <w:marRight w:val="0"/>
      <w:marTop w:val="0"/>
      <w:marBottom w:val="0"/>
      <w:divBdr>
        <w:top w:val="none" w:sz="0" w:space="0" w:color="auto"/>
        <w:left w:val="none" w:sz="0" w:space="0" w:color="auto"/>
        <w:bottom w:val="none" w:sz="0" w:space="0" w:color="auto"/>
        <w:right w:val="none" w:sz="0" w:space="0" w:color="auto"/>
      </w:divBdr>
    </w:div>
    <w:div w:id="850416149">
      <w:bodyDiv w:val="1"/>
      <w:marLeft w:val="0"/>
      <w:marRight w:val="0"/>
      <w:marTop w:val="0"/>
      <w:marBottom w:val="0"/>
      <w:divBdr>
        <w:top w:val="none" w:sz="0" w:space="0" w:color="auto"/>
        <w:left w:val="none" w:sz="0" w:space="0" w:color="auto"/>
        <w:bottom w:val="none" w:sz="0" w:space="0" w:color="auto"/>
        <w:right w:val="none" w:sz="0" w:space="0" w:color="auto"/>
      </w:divBdr>
    </w:div>
    <w:div w:id="850873524">
      <w:bodyDiv w:val="1"/>
      <w:marLeft w:val="0"/>
      <w:marRight w:val="0"/>
      <w:marTop w:val="0"/>
      <w:marBottom w:val="0"/>
      <w:divBdr>
        <w:top w:val="none" w:sz="0" w:space="0" w:color="auto"/>
        <w:left w:val="none" w:sz="0" w:space="0" w:color="auto"/>
        <w:bottom w:val="none" w:sz="0" w:space="0" w:color="auto"/>
        <w:right w:val="none" w:sz="0" w:space="0" w:color="auto"/>
      </w:divBdr>
    </w:div>
    <w:div w:id="851341381">
      <w:bodyDiv w:val="1"/>
      <w:marLeft w:val="0"/>
      <w:marRight w:val="0"/>
      <w:marTop w:val="0"/>
      <w:marBottom w:val="0"/>
      <w:divBdr>
        <w:top w:val="none" w:sz="0" w:space="0" w:color="auto"/>
        <w:left w:val="none" w:sz="0" w:space="0" w:color="auto"/>
        <w:bottom w:val="none" w:sz="0" w:space="0" w:color="auto"/>
        <w:right w:val="none" w:sz="0" w:space="0" w:color="auto"/>
      </w:divBdr>
    </w:div>
    <w:div w:id="851454441">
      <w:bodyDiv w:val="1"/>
      <w:marLeft w:val="0"/>
      <w:marRight w:val="0"/>
      <w:marTop w:val="0"/>
      <w:marBottom w:val="0"/>
      <w:divBdr>
        <w:top w:val="none" w:sz="0" w:space="0" w:color="auto"/>
        <w:left w:val="none" w:sz="0" w:space="0" w:color="auto"/>
        <w:bottom w:val="none" w:sz="0" w:space="0" w:color="auto"/>
        <w:right w:val="none" w:sz="0" w:space="0" w:color="auto"/>
      </w:divBdr>
    </w:div>
    <w:div w:id="851527498">
      <w:bodyDiv w:val="1"/>
      <w:marLeft w:val="0"/>
      <w:marRight w:val="0"/>
      <w:marTop w:val="0"/>
      <w:marBottom w:val="0"/>
      <w:divBdr>
        <w:top w:val="none" w:sz="0" w:space="0" w:color="auto"/>
        <w:left w:val="none" w:sz="0" w:space="0" w:color="auto"/>
        <w:bottom w:val="none" w:sz="0" w:space="0" w:color="auto"/>
        <w:right w:val="none" w:sz="0" w:space="0" w:color="auto"/>
      </w:divBdr>
    </w:div>
    <w:div w:id="851721631">
      <w:bodyDiv w:val="1"/>
      <w:marLeft w:val="0"/>
      <w:marRight w:val="0"/>
      <w:marTop w:val="0"/>
      <w:marBottom w:val="0"/>
      <w:divBdr>
        <w:top w:val="none" w:sz="0" w:space="0" w:color="auto"/>
        <w:left w:val="none" w:sz="0" w:space="0" w:color="auto"/>
        <w:bottom w:val="none" w:sz="0" w:space="0" w:color="auto"/>
        <w:right w:val="none" w:sz="0" w:space="0" w:color="auto"/>
      </w:divBdr>
    </w:div>
    <w:div w:id="851798825">
      <w:bodyDiv w:val="1"/>
      <w:marLeft w:val="0"/>
      <w:marRight w:val="0"/>
      <w:marTop w:val="0"/>
      <w:marBottom w:val="0"/>
      <w:divBdr>
        <w:top w:val="none" w:sz="0" w:space="0" w:color="auto"/>
        <w:left w:val="none" w:sz="0" w:space="0" w:color="auto"/>
        <w:bottom w:val="none" w:sz="0" w:space="0" w:color="auto"/>
        <w:right w:val="none" w:sz="0" w:space="0" w:color="auto"/>
      </w:divBdr>
    </w:div>
    <w:div w:id="851917505">
      <w:bodyDiv w:val="1"/>
      <w:marLeft w:val="0"/>
      <w:marRight w:val="0"/>
      <w:marTop w:val="0"/>
      <w:marBottom w:val="0"/>
      <w:divBdr>
        <w:top w:val="none" w:sz="0" w:space="0" w:color="auto"/>
        <w:left w:val="none" w:sz="0" w:space="0" w:color="auto"/>
        <w:bottom w:val="none" w:sz="0" w:space="0" w:color="auto"/>
        <w:right w:val="none" w:sz="0" w:space="0" w:color="auto"/>
      </w:divBdr>
    </w:div>
    <w:div w:id="851920589">
      <w:bodyDiv w:val="1"/>
      <w:marLeft w:val="0"/>
      <w:marRight w:val="0"/>
      <w:marTop w:val="0"/>
      <w:marBottom w:val="0"/>
      <w:divBdr>
        <w:top w:val="none" w:sz="0" w:space="0" w:color="auto"/>
        <w:left w:val="none" w:sz="0" w:space="0" w:color="auto"/>
        <w:bottom w:val="none" w:sz="0" w:space="0" w:color="auto"/>
        <w:right w:val="none" w:sz="0" w:space="0" w:color="auto"/>
      </w:divBdr>
    </w:div>
    <w:div w:id="852378065">
      <w:bodyDiv w:val="1"/>
      <w:marLeft w:val="0"/>
      <w:marRight w:val="0"/>
      <w:marTop w:val="0"/>
      <w:marBottom w:val="0"/>
      <w:divBdr>
        <w:top w:val="none" w:sz="0" w:space="0" w:color="auto"/>
        <w:left w:val="none" w:sz="0" w:space="0" w:color="auto"/>
        <w:bottom w:val="none" w:sz="0" w:space="0" w:color="auto"/>
        <w:right w:val="none" w:sz="0" w:space="0" w:color="auto"/>
      </w:divBdr>
    </w:div>
    <w:div w:id="852453454">
      <w:bodyDiv w:val="1"/>
      <w:marLeft w:val="0"/>
      <w:marRight w:val="0"/>
      <w:marTop w:val="0"/>
      <w:marBottom w:val="0"/>
      <w:divBdr>
        <w:top w:val="none" w:sz="0" w:space="0" w:color="auto"/>
        <w:left w:val="none" w:sz="0" w:space="0" w:color="auto"/>
        <w:bottom w:val="none" w:sz="0" w:space="0" w:color="auto"/>
        <w:right w:val="none" w:sz="0" w:space="0" w:color="auto"/>
      </w:divBdr>
    </w:div>
    <w:div w:id="852915621">
      <w:bodyDiv w:val="1"/>
      <w:marLeft w:val="0"/>
      <w:marRight w:val="0"/>
      <w:marTop w:val="0"/>
      <w:marBottom w:val="0"/>
      <w:divBdr>
        <w:top w:val="none" w:sz="0" w:space="0" w:color="auto"/>
        <w:left w:val="none" w:sz="0" w:space="0" w:color="auto"/>
        <w:bottom w:val="none" w:sz="0" w:space="0" w:color="auto"/>
        <w:right w:val="none" w:sz="0" w:space="0" w:color="auto"/>
      </w:divBdr>
    </w:div>
    <w:div w:id="853110850">
      <w:bodyDiv w:val="1"/>
      <w:marLeft w:val="0"/>
      <w:marRight w:val="0"/>
      <w:marTop w:val="0"/>
      <w:marBottom w:val="0"/>
      <w:divBdr>
        <w:top w:val="none" w:sz="0" w:space="0" w:color="auto"/>
        <w:left w:val="none" w:sz="0" w:space="0" w:color="auto"/>
        <w:bottom w:val="none" w:sz="0" w:space="0" w:color="auto"/>
        <w:right w:val="none" w:sz="0" w:space="0" w:color="auto"/>
      </w:divBdr>
    </w:div>
    <w:div w:id="853374918">
      <w:bodyDiv w:val="1"/>
      <w:marLeft w:val="0"/>
      <w:marRight w:val="0"/>
      <w:marTop w:val="0"/>
      <w:marBottom w:val="0"/>
      <w:divBdr>
        <w:top w:val="none" w:sz="0" w:space="0" w:color="auto"/>
        <w:left w:val="none" w:sz="0" w:space="0" w:color="auto"/>
        <w:bottom w:val="none" w:sz="0" w:space="0" w:color="auto"/>
        <w:right w:val="none" w:sz="0" w:space="0" w:color="auto"/>
      </w:divBdr>
    </w:div>
    <w:div w:id="853617861">
      <w:bodyDiv w:val="1"/>
      <w:marLeft w:val="0"/>
      <w:marRight w:val="0"/>
      <w:marTop w:val="0"/>
      <w:marBottom w:val="0"/>
      <w:divBdr>
        <w:top w:val="none" w:sz="0" w:space="0" w:color="auto"/>
        <w:left w:val="none" w:sz="0" w:space="0" w:color="auto"/>
        <w:bottom w:val="none" w:sz="0" w:space="0" w:color="auto"/>
        <w:right w:val="none" w:sz="0" w:space="0" w:color="auto"/>
      </w:divBdr>
    </w:div>
    <w:div w:id="853878375">
      <w:bodyDiv w:val="1"/>
      <w:marLeft w:val="0"/>
      <w:marRight w:val="0"/>
      <w:marTop w:val="0"/>
      <w:marBottom w:val="0"/>
      <w:divBdr>
        <w:top w:val="none" w:sz="0" w:space="0" w:color="auto"/>
        <w:left w:val="none" w:sz="0" w:space="0" w:color="auto"/>
        <w:bottom w:val="none" w:sz="0" w:space="0" w:color="auto"/>
        <w:right w:val="none" w:sz="0" w:space="0" w:color="auto"/>
      </w:divBdr>
    </w:div>
    <w:div w:id="854029078">
      <w:bodyDiv w:val="1"/>
      <w:marLeft w:val="0"/>
      <w:marRight w:val="0"/>
      <w:marTop w:val="0"/>
      <w:marBottom w:val="0"/>
      <w:divBdr>
        <w:top w:val="none" w:sz="0" w:space="0" w:color="auto"/>
        <w:left w:val="none" w:sz="0" w:space="0" w:color="auto"/>
        <w:bottom w:val="none" w:sz="0" w:space="0" w:color="auto"/>
        <w:right w:val="none" w:sz="0" w:space="0" w:color="auto"/>
      </w:divBdr>
    </w:div>
    <w:div w:id="854684239">
      <w:bodyDiv w:val="1"/>
      <w:marLeft w:val="0"/>
      <w:marRight w:val="0"/>
      <w:marTop w:val="0"/>
      <w:marBottom w:val="0"/>
      <w:divBdr>
        <w:top w:val="none" w:sz="0" w:space="0" w:color="auto"/>
        <w:left w:val="none" w:sz="0" w:space="0" w:color="auto"/>
        <w:bottom w:val="none" w:sz="0" w:space="0" w:color="auto"/>
        <w:right w:val="none" w:sz="0" w:space="0" w:color="auto"/>
      </w:divBdr>
    </w:div>
    <w:div w:id="854924795">
      <w:bodyDiv w:val="1"/>
      <w:marLeft w:val="0"/>
      <w:marRight w:val="0"/>
      <w:marTop w:val="0"/>
      <w:marBottom w:val="0"/>
      <w:divBdr>
        <w:top w:val="none" w:sz="0" w:space="0" w:color="auto"/>
        <w:left w:val="none" w:sz="0" w:space="0" w:color="auto"/>
        <w:bottom w:val="none" w:sz="0" w:space="0" w:color="auto"/>
        <w:right w:val="none" w:sz="0" w:space="0" w:color="auto"/>
      </w:divBdr>
    </w:div>
    <w:div w:id="855340279">
      <w:bodyDiv w:val="1"/>
      <w:marLeft w:val="0"/>
      <w:marRight w:val="0"/>
      <w:marTop w:val="0"/>
      <w:marBottom w:val="0"/>
      <w:divBdr>
        <w:top w:val="none" w:sz="0" w:space="0" w:color="auto"/>
        <w:left w:val="none" w:sz="0" w:space="0" w:color="auto"/>
        <w:bottom w:val="none" w:sz="0" w:space="0" w:color="auto"/>
        <w:right w:val="none" w:sz="0" w:space="0" w:color="auto"/>
      </w:divBdr>
    </w:div>
    <w:div w:id="855467095">
      <w:bodyDiv w:val="1"/>
      <w:marLeft w:val="0"/>
      <w:marRight w:val="0"/>
      <w:marTop w:val="0"/>
      <w:marBottom w:val="0"/>
      <w:divBdr>
        <w:top w:val="none" w:sz="0" w:space="0" w:color="auto"/>
        <w:left w:val="none" w:sz="0" w:space="0" w:color="auto"/>
        <w:bottom w:val="none" w:sz="0" w:space="0" w:color="auto"/>
        <w:right w:val="none" w:sz="0" w:space="0" w:color="auto"/>
      </w:divBdr>
    </w:div>
    <w:div w:id="855776227">
      <w:bodyDiv w:val="1"/>
      <w:marLeft w:val="0"/>
      <w:marRight w:val="0"/>
      <w:marTop w:val="0"/>
      <w:marBottom w:val="0"/>
      <w:divBdr>
        <w:top w:val="none" w:sz="0" w:space="0" w:color="auto"/>
        <w:left w:val="none" w:sz="0" w:space="0" w:color="auto"/>
        <w:bottom w:val="none" w:sz="0" w:space="0" w:color="auto"/>
        <w:right w:val="none" w:sz="0" w:space="0" w:color="auto"/>
      </w:divBdr>
    </w:div>
    <w:div w:id="855998282">
      <w:bodyDiv w:val="1"/>
      <w:marLeft w:val="0"/>
      <w:marRight w:val="0"/>
      <w:marTop w:val="0"/>
      <w:marBottom w:val="0"/>
      <w:divBdr>
        <w:top w:val="none" w:sz="0" w:space="0" w:color="auto"/>
        <w:left w:val="none" w:sz="0" w:space="0" w:color="auto"/>
        <w:bottom w:val="none" w:sz="0" w:space="0" w:color="auto"/>
        <w:right w:val="none" w:sz="0" w:space="0" w:color="auto"/>
      </w:divBdr>
    </w:div>
    <w:div w:id="856042047">
      <w:bodyDiv w:val="1"/>
      <w:marLeft w:val="0"/>
      <w:marRight w:val="0"/>
      <w:marTop w:val="0"/>
      <w:marBottom w:val="0"/>
      <w:divBdr>
        <w:top w:val="none" w:sz="0" w:space="0" w:color="auto"/>
        <w:left w:val="none" w:sz="0" w:space="0" w:color="auto"/>
        <w:bottom w:val="none" w:sz="0" w:space="0" w:color="auto"/>
        <w:right w:val="none" w:sz="0" w:space="0" w:color="auto"/>
      </w:divBdr>
    </w:div>
    <w:div w:id="856112843">
      <w:bodyDiv w:val="1"/>
      <w:marLeft w:val="0"/>
      <w:marRight w:val="0"/>
      <w:marTop w:val="0"/>
      <w:marBottom w:val="0"/>
      <w:divBdr>
        <w:top w:val="none" w:sz="0" w:space="0" w:color="auto"/>
        <w:left w:val="none" w:sz="0" w:space="0" w:color="auto"/>
        <w:bottom w:val="none" w:sz="0" w:space="0" w:color="auto"/>
        <w:right w:val="none" w:sz="0" w:space="0" w:color="auto"/>
      </w:divBdr>
    </w:div>
    <w:div w:id="856121173">
      <w:bodyDiv w:val="1"/>
      <w:marLeft w:val="0"/>
      <w:marRight w:val="0"/>
      <w:marTop w:val="0"/>
      <w:marBottom w:val="0"/>
      <w:divBdr>
        <w:top w:val="none" w:sz="0" w:space="0" w:color="auto"/>
        <w:left w:val="none" w:sz="0" w:space="0" w:color="auto"/>
        <w:bottom w:val="none" w:sz="0" w:space="0" w:color="auto"/>
        <w:right w:val="none" w:sz="0" w:space="0" w:color="auto"/>
      </w:divBdr>
    </w:div>
    <w:div w:id="856164382">
      <w:bodyDiv w:val="1"/>
      <w:marLeft w:val="0"/>
      <w:marRight w:val="0"/>
      <w:marTop w:val="0"/>
      <w:marBottom w:val="0"/>
      <w:divBdr>
        <w:top w:val="none" w:sz="0" w:space="0" w:color="auto"/>
        <w:left w:val="none" w:sz="0" w:space="0" w:color="auto"/>
        <w:bottom w:val="none" w:sz="0" w:space="0" w:color="auto"/>
        <w:right w:val="none" w:sz="0" w:space="0" w:color="auto"/>
      </w:divBdr>
    </w:div>
    <w:div w:id="856818375">
      <w:bodyDiv w:val="1"/>
      <w:marLeft w:val="0"/>
      <w:marRight w:val="0"/>
      <w:marTop w:val="0"/>
      <w:marBottom w:val="0"/>
      <w:divBdr>
        <w:top w:val="none" w:sz="0" w:space="0" w:color="auto"/>
        <w:left w:val="none" w:sz="0" w:space="0" w:color="auto"/>
        <w:bottom w:val="none" w:sz="0" w:space="0" w:color="auto"/>
        <w:right w:val="none" w:sz="0" w:space="0" w:color="auto"/>
      </w:divBdr>
    </w:div>
    <w:div w:id="856966688">
      <w:bodyDiv w:val="1"/>
      <w:marLeft w:val="0"/>
      <w:marRight w:val="0"/>
      <w:marTop w:val="0"/>
      <w:marBottom w:val="0"/>
      <w:divBdr>
        <w:top w:val="none" w:sz="0" w:space="0" w:color="auto"/>
        <w:left w:val="none" w:sz="0" w:space="0" w:color="auto"/>
        <w:bottom w:val="none" w:sz="0" w:space="0" w:color="auto"/>
        <w:right w:val="none" w:sz="0" w:space="0" w:color="auto"/>
      </w:divBdr>
    </w:div>
    <w:div w:id="857305414">
      <w:bodyDiv w:val="1"/>
      <w:marLeft w:val="0"/>
      <w:marRight w:val="0"/>
      <w:marTop w:val="0"/>
      <w:marBottom w:val="0"/>
      <w:divBdr>
        <w:top w:val="none" w:sz="0" w:space="0" w:color="auto"/>
        <w:left w:val="none" w:sz="0" w:space="0" w:color="auto"/>
        <w:bottom w:val="none" w:sz="0" w:space="0" w:color="auto"/>
        <w:right w:val="none" w:sz="0" w:space="0" w:color="auto"/>
      </w:divBdr>
    </w:div>
    <w:div w:id="857541852">
      <w:bodyDiv w:val="1"/>
      <w:marLeft w:val="0"/>
      <w:marRight w:val="0"/>
      <w:marTop w:val="0"/>
      <w:marBottom w:val="0"/>
      <w:divBdr>
        <w:top w:val="none" w:sz="0" w:space="0" w:color="auto"/>
        <w:left w:val="none" w:sz="0" w:space="0" w:color="auto"/>
        <w:bottom w:val="none" w:sz="0" w:space="0" w:color="auto"/>
        <w:right w:val="none" w:sz="0" w:space="0" w:color="auto"/>
      </w:divBdr>
    </w:div>
    <w:div w:id="857545808">
      <w:bodyDiv w:val="1"/>
      <w:marLeft w:val="0"/>
      <w:marRight w:val="0"/>
      <w:marTop w:val="0"/>
      <w:marBottom w:val="0"/>
      <w:divBdr>
        <w:top w:val="none" w:sz="0" w:space="0" w:color="auto"/>
        <w:left w:val="none" w:sz="0" w:space="0" w:color="auto"/>
        <w:bottom w:val="none" w:sz="0" w:space="0" w:color="auto"/>
        <w:right w:val="none" w:sz="0" w:space="0" w:color="auto"/>
      </w:divBdr>
    </w:div>
    <w:div w:id="857934192">
      <w:bodyDiv w:val="1"/>
      <w:marLeft w:val="0"/>
      <w:marRight w:val="0"/>
      <w:marTop w:val="0"/>
      <w:marBottom w:val="0"/>
      <w:divBdr>
        <w:top w:val="none" w:sz="0" w:space="0" w:color="auto"/>
        <w:left w:val="none" w:sz="0" w:space="0" w:color="auto"/>
        <w:bottom w:val="none" w:sz="0" w:space="0" w:color="auto"/>
        <w:right w:val="none" w:sz="0" w:space="0" w:color="auto"/>
      </w:divBdr>
    </w:div>
    <w:div w:id="858155534">
      <w:bodyDiv w:val="1"/>
      <w:marLeft w:val="0"/>
      <w:marRight w:val="0"/>
      <w:marTop w:val="0"/>
      <w:marBottom w:val="0"/>
      <w:divBdr>
        <w:top w:val="none" w:sz="0" w:space="0" w:color="auto"/>
        <w:left w:val="none" w:sz="0" w:space="0" w:color="auto"/>
        <w:bottom w:val="none" w:sz="0" w:space="0" w:color="auto"/>
        <w:right w:val="none" w:sz="0" w:space="0" w:color="auto"/>
      </w:divBdr>
    </w:div>
    <w:div w:id="858200976">
      <w:bodyDiv w:val="1"/>
      <w:marLeft w:val="0"/>
      <w:marRight w:val="0"/>
      <w:marTop w:val="0"/>
      <w:marBottom w:val="0"/>
      <w:divBdr>
        <w:top w:val="none" w:sz="0" w:space="0" w:color="auto"/>
        <w:left w:val="none" w:sz="0" w:space="0" w:color="auto"/>
        <w:bottom w:val="none" w:sz="0" w:space="0" w:color="auto"/>
        <w:right w:val="none" w:sz="0" w:space="0" w:color="auto"/>
      </w:divBdr>
    </w:div>
    <w:div w:id="858351386">
      <w:bodyDiv w:val="1"/>
      <w:marLeft w:val="0"/>
      <w:marRight w:val="0"/>
      <w:marTop w:val="0"/>
      <w:marBottom w:val="0"/>
      <w:divBdr>
        <w:top w:val="none" w:sz="0" w:space="0" w:color="auto"/>
        <w:left w:val="none" w:sz="0" w:space="0" w:color="auto"/>
        <w:bottom w:val="none" w:sz="0" w:space="0" w:color="auto"/>
        <w:right w:val="none" w:sz="0" w:space="0" w:color="auto"/>
      </w:divBdr>
    </w:div>
    <w:div w:id="858471339">
      <w:bodyDiv w:val="1"/>
      <w:marLeft w:val="0"/>
      <w:marRight w:val="0"/>
      <w:marTop w:val="0"/>
      <w:marBottom w:val="0"/>
      <w:divBdr>
        <w:top w:val="none" w:sz="0" w:space="0" w:color="auto"/>
        <w:left w:val="none" w:sz="0" w:space="0" w:color="auto"/>
        <w:bottom w:val="none" w:sz="0" w:space="0" w:color="auto"/>
        <w:right w:val="none" w:sz="0" w:space="0" w:color="auto"/>
      </w:divBdr>
    </w:div>
    <w:div w:id="859202627">
      <w:bodyDiv w:val="1"/>
      <w:marLeft w:val="0"/>
      <w:marRight w:val="0"/>
      <w:marTop w:val="0"/>
      <w:marBottom w:val="0"/>
      <w:divBdr>
        <w:top w:val="none" w:sz="0" w:space="0" w:color="auto"/>
        <w:left w:val="none" w:sz="0" w:space="0" w:color="auto"/>
        <w:bottom w:val="none" w:sz="0" w:space="0" w:color="auto"/>
        <w:right w:val="none" w:sz="0" w:space="0" w:color="auto"/>
      </w:divBdr>
    </w:div>
    <w:div w:id="859393652">
      <w:bodyDiv w:val="1"/>
      <w:marLeft w:val="0"/>
      <w:marRight w:val="0"/>
      <w:marTop w:val="0"/>
      <w:marBottom w:val="0"/>
      <w:divBdr>
        <w:top w:val="none" w:sz="0" w:space="0" w:color="auto"/>
        <w:left w:val="none" w:sz="0" w:space="0" w:color="auto"/>
        <w:bottom w:val="none" w:sz="0" w:space="0" w:color="auto"/>
        <w:right w:val="none" w:sz="0" w:space="0" w:color="auto"/>
      </w:divBdr>
    </w:div>
    <w:div w:id="859512012">
      <w:bodyDiv w:val="1"/>
      <w:marLeft w:val="0"/>
      <w:marRight w:val="0"/>
      <w:marTop w:val="0"/>
      <w:marBottom w:val="0"/>
      <w:divBdr>
        <w:top w:val="none" w:sz="0" w:space="0" w:color="auto"/>
        <w:left w:val="none" w:sz="0" w:space="0" w:color="auto"/>
        <w:bottom w:val="none" w:sz="0" w:space="0" w:color="auto"/>
        <w:right w:val="none" w:sz="0" w:space="0" w:color="auto"/>
      </w:divBdr>
    </w:div>
    <w:div w:id="859515205">
      <w:bodyDiv w:val="1"/>
      <w:marLeft w:val="0"/>
      <w:marRight w:val="0"/>
      <w:marTop w:val="0"/>
      <w:marBottom w:val="0"/>
      <w:divBdr>
        <w:top w:val="none" w:sz="0" w:space="0" w:color="auto"/>
        <w:left w:val="none" w:sz="0" w:space="0" w:color="auto"/>
        <w:bottom w:val="none" w:sz="0" w:space="0" w:color="auto"/>
        <w:right w:val="none" w:sz="0" w:space="0" w:color="auto"/>
      </w:divBdr>
    </w:div>
    <w:div w:id="859583917">
      <w:bodyDiv w:val="1"/>
      <w:marLeft w:val="0"/>
      <w:marRight w:val="0"/>
      <w:marTop w:val="0"/>
      <w:marBottom w:val="0"/>
      <w:divBdr>
        <w:top w:val="none" w:sz="0" w:space="0" w:color="auto"/>
        <w:left w:val="none" w:sz="0" w:space="0" w:color="auto"/>
        <w:bottom w:val="none" w:sz="0" w:space="0" w:color="auto"/>
        <w:right w:val="none" w:sz="0" w:space="0" w:color="auto"/>
      </w:divBdr>
    </w:div>
    <w:div w:id="860052595">
      <w:bodyDiv w:val="1"/>
      <w:marLeft w:val="0"/>
      <w:marRight w:val="0"/>
      <w:marTop w:val="0"/>
      <w:marBottom w:val="0"/>
      <w:divBdr>
        <w:top w:val="none" w:sz="0" w:space="0" w:color="auto"/>
        <w:left w:val="none" w:sz="0" w:space="0" w:color="auto"/>
        <w:bottom w:val="none" w:sz="0" w:space="0" w:color="auto"/>
        <w:right w:val="none" w:sz="0" w:space="0" w:color="auto"/>
      </w:divBdr>
    </w:div>
    <w:div w:id="860628515">
      <w:bodyDiv w:val="1"/>
      <w:marLeft w:val="0"/>
      <w:marRight w:val="0"/>
      <w:marTop w:val="0"/>
      <w:marBottom w:val="0"/>
      <w:divBdr>
        <w:top w:val="none" w:sz="0" w:space="0" w:color="auto"/>
        <w:left w:val="none" w:sz="0" w:space="0" w:color="auto"/>
        <w:bottom w:val="none" w:sz="0" w:space="0" w:color="auto"/>
        <w:right w:val="none" w:sz="0" w:space="0" w:color="auto"/>
      </w:divBdr>
    </w:div>
    <w:div w:id="860898885">
      <w:bodyDiv w:val="1"/>
      <w:marLeft w:val="0"/>
      <w:marRight w:val="0"/>
      <w:marTop w:val="0"/>
      <w:marBottom w:val="0"/>
      <w:divBdr>
        <w:top w:val="none" w:sz="0" w:space="0" w:color="auto"/>
        <w:left w:val="none" w:sz="0" w:space="0" w:color="auto"/>
        <w:bottom w:val="none" w:sz="0" w:space="0" w:color="auto"/>
        <w:right w:val="none" w:sz="0" w:space="0" w:color="auto"/>
      </w:divBdr>
    </w:div>
    <w:div w:id="860969029">
      <w:bodyDiv w:val="1"/>
      <w:marLeft w:val="0"/>
      <w:marRight w:val="0"/>
      <w:marTop w:val="0"/>
      <w:marBottom w:val="0"/>
      <w:divBdr>
        <w:top w:val="none" w:sz="0" w:space="0" w:color="auto"/>
        <w:left w:val="none" w:sz="0" w:space="0" w:color="auto"/>
        <w:bottom w:val="none" w:sz="0" w:space="0" w:color="auto"/>
        <w:right w:val="none" w:sz="0" w:space="0" w:color="auto"/>
      </w:divBdr>
    </w:div>
    <w:div w:id="861018810">
      <w:bodyDiv w:val="1"/>
      <w:marLeft w:val="0"/>
      <w:marRight w:val="0"/>
      <w:marTop w:val="0"/>
      <w:marBottom w:val="0"/>
      <w:divBdr>
        <w:top w:val="none" w:sz="0" w:space="0" w:color="auto"/>
        <w:left w:val="none" w:sz="0" w:space="0" w:color="auto"/>
        <w:bottom w:val="none" w:sz="0" w:space="0" w:color="auto"/>
        <w:right w:val="none" w:sz="0" w:space="0" w:color="auto"/>
      </w:divBdr>
    </w:div>
    <w:div w:id="861238348">
      <w:bodyDiv w:val="1"/>
      <w:marLeft w:val="0"/>
      <w:marRight w:val="0"/>
      <w:marTop w:val="0"/>
      <w:marBottom w:val="0"/>
      <w:divBdr>
        <w:top w:val="none" w:sz="0" w:space="0" w:color="auto"/>
        <w:left w:val="none" w:sz="0" w:space="0" w:color="auto"/>
        <w:bottom w:val="none" w:sz="0" w:space="0" w:color="auto"/>
        <w:right w:val="none" w:sz="0" w:space="0" w:color="auto"/>
      </w:divBdr>
    </w:div>
    <w:div w:id="861673248">
      <w:bodyDiv w:val="1"/>
      <w:marLeft w:val="0"/>
      <w:marRight w:val="0"/>
      <w:marTop w:val="0"/>
      <w:marBottom w:val="0"/>
      <w:divBdr>
        <w:top w:val="none" w:sz="0" w:space="0" w:color="auto"/>
        <w:left w:val="none" w:sz="0" w:space="0" w:color="auto"/>
        <w:bottom w:val="none" w:sz="0" w:space="0" w:color="auto"/>
        <w:right w:val="none" w:sz="0" w:space="0" w:color="auto"/>
      </w:divBdr>
    </w:div>
    <w:div w:id="861673651">
      <w:bodyDiv w:val="1"/>
      <w:marLeft w:val="0"/>
      <w:marRight w:val="0"/>
      <w:marTop w:val="0"/>
      <w:marBottom w:val="0"/>
      <w:divBdr>
        <w:top w:val="none" w:sz="0" w:space="0" w:color="auto"/>
        <w:left w:val="none" w:sz="0" w:space="0" w:color="auto"/>
        <w:bottom w:val="none" w:sz="0" w:space="0" w:color="auto"/>
        <w:right w:val="none" w:sz="0" w:space="0" w:color="auto"/>
      </w:divBdr>
    </w:div>
    <w:div w:id="861893336">
      <w:bodyDiv w:val="1"/>
      <w:marLeft w:val="0"/>
      <w:marRight w:val="0"/>
      <w:marTop w:val="0"/>
      <w:marBottom w:val="0"/>
      <w:divBdr>
        <w:top w:val="none" w:sz="0" w:space="0" w:color="auto"/>
        <w:left w:val="none" w:sz="0" w:space="0" w:color="auto"/>
        <w:bottom w:val="none" w:sz="0" w:space="0" w:color="auto"/>
        <w:right w:val="none" w:sz="0" w:space="0" w:color="auto"/>
      </w:divBdr>
    </w:div>
    <w:div w:id="863328334">
      <w:bodyDiv w:val="1"/>
      <w:marLeft w:val="0"/>
      <w:marRight w:val="0"/>
      <w:marTop w:val="0"/>
      <w:marBottom w:val="0"/>
      <w:divBdr>
        <w:top w:val="none" w:sz="0" w:space="0" w:color="auto"/>
        <w:left w:val="none" w:sz="0" w:space="0" w:color="auto"/>
        <w:bottom w:val="none" w:sz="0" w:space="0" w:color="auto"/>
        <w:right w:val="none" w:sz="0" w:space="0" w:color="auto"/>
      </w:divBdr>
    </w:div>
    <w:div w:id="863517981">
      <w:bodyDiv w:val="1"/>
      <w:marLeft w:val="0"/>
      <w:marRight w:val="0"/>
      <w:marTop w:val="0"/>
      <w:marBottom w:val="0"/>
      <w:divBdr>
        <w:top w:val="none" w:sz="0" w:space="0" w:color="auto"/>
        <w:left w:val="none" w:sz="0" w:space="0" w:color="auto"/>
        <w:bottom w:val="none" w:sz="0" w:space="0" w:color="auto"/>
        <w:right w:val="none" w:sz="0" w:space="0" w:color="auto"/>
      </w:divBdr>
    </w:div>
    <w:div w:id="864177942">
      <w:bodyDiv w:val="1"/>
      <w:marLeft w:val="0"/>
      <w:marRight w:val="0"/>
      <w:marTop w:val="0"/>
      <w:marBottom w:val="0"/>
      <w:divBdr>
        <w:top w:val="none" w:sz="0" w:space="0" w:color="auto"/>
        <w:left w:val="none" w:sz="0" w:space="0" w:color="auto"/>
        <w:bottom w:val="none" w:sz="0" w:space="0" w:color="auto"/>
        <w:right w:val="none" w:sz="0" w:space="0" w:color="auto"/>
      </w:divBdr>
    </w:div>
    <w:div w:id="864515913">
      <w:bodyDiv w:val="1"/>
      <w:marLeft w:val="0"/>
      <w:marRight w:val="0"/>
      <w:marTop w:val="0"/>
      <w:marBottom w:val="0"/>
      <w:divBdr>
        <w:top w:val="none" w:sz="0" w:space="0" w:color="auto"/>
        <w:left w:val="none" w:sz="0" w:space="0" w:color="auto"/>
        <w:bottom w:val="none" w:sz="0" w:space="0" w:color="auto"/>
        <w:right w:val="none" w:sz="0" w:space="0" w:color="auto"/>
      </w:divBdr>
    </w:div>
    <w:div w:id="864709193">
      <w:bodyDiv w:val="1"/>
      <w:marLeft w:val="0"/>
      <w:marRight w:val="0"/>
      <w:marTop w:val="0"/>
      <w:marBottom w:val="0"/>
      <w:divBdr>
        <w:top w:val="none" w:sz="0" w:space="0" w:color="auto"/>
        <w:left w:val="none" w:sz="0" w:space="0" w:color="auto"/>
        <w:bottom w:val="none" w:sz="0" w:space="0" w:color="auto"/>
        <w:right w:val="none" w:sz="0" w:space="0" w:color="auto"/>
      </w:divBdr>
    </w:div>
    <w:div w:id="864826712">
      <w:bodyDiv w:val="1"/>
      <w:marLeft w:val="0"/>
      <w:marRight w:val="0"/>
      <w:marTop w:val="0"/>
      <w:marBottom w:val="0"/>
      <w:divBdr>
        <w:top w:val="none" w:sz="0" w:space="0" w:color="auto"/>
        <w:left w:val="none" w:sz="0" w:space="0" w:color="auto"/>
        <w:bottom w:val="none" w:sz="0" w:space="0" w:color="auto"/>
        <w:right w:val="none" w:sz="0" w:space="0" w:color="auto"/>
      </w:divBdr>
    </w:div>
    <w:div w:id="865286380">
      <w:bodyDiv w:val="1"/>
      <w:marLeft w:val="0"/>
      <w:marRight w:val="0"/>
      <w:marTop w:val="0"/>
      <w:marBottom w:val="0"/>
      <w:divBdr>
        <w:top w:val="none" w:sz="0" w:space="0" w:color="auto"/>
        <w:left w:val="none" w:sz="0" w:space="0" w:color="auto"/>
        <w:bottom w:val="none" w:sz="0" w:space="0" w:color="auto"/>
        <w:right w:val="none" w:sz="0" w:space="0" w:color="auto"/>
      </w:divBdr>
    </w:div>
    <w:div w:id="865368143">
      <w:bodyDiv w:val="1"/>
      <w:marLeft w:val="0"/>
      <w:marRight w:val="0"/>
      <w:marTop w:val="0"/>
      <w:marBottom w:val="0"/>
      <w:divBdr>
        <w:top w:val="none" w:sz="0" w:space="0" w:color="auto"/>
        <w:left w:val="none" w:sz="0" w:space="0" w:color="auto"/>
        <w:bottom w:val="none" w:sz="0" w:space="0" w:color="auto"/>
        <w:right w:val="none" w:sz="0" w:space="0" w:color="auto"/>
      </w:divBdr>
    </w:div>
    <w:div w:id="866061772">
      <w:bodyDiv w:val="1"/>
      <w:marLeft w:val="0"/>
      <w:marRight w:val="0"/>
      <w:marTop w:val="0"/>
      <w:marBottom w:val="0"/>
      <w:divBdr>
        <w:top w:val="none" w:sz="0" w:space="0" w:color="auto"/>
        <w:left w:val="none" w:sz="0" w:space="0" w:color="auto"/>
        <w:bottom w:val="none" w:sz="0" w:space="0" w:color="auto"/>
        <w:right w:val="none" w:sz="0" w:space="0" w:color="auto"/>
      </w:divBdr>
    </w:div>
    <w:div w:id="866287580">
      <w:bodyDiv w:val="1"/>
      <w:marLeft w:val="0"/>
      <w:marRight w:val="0"/>
      <w:marTop w:val="0"/>
      <w:marBottom w:val="0"/>
      <w:divBdr>
        <w:top w:val="none" w:sz="0" w:space="0" w:color="auto"/>
        <w:left w:val="none" w:sz="0" w:space="0" w:color="auto"/>
        <w:bottom w:val="none" w:sz="0" w:space="0" w:color="auto"/>
        <w:right w:val="none" w:sz="0" w:space="0" w:color="auto"/>
      </w:divBdr>
    </w:div>
    <w:div w:id="866332750">
      <w:bodyDiv w:val="1"/>
      <w:marLeft w:val="0"/>
      <w:marRight w:val="0"/>
      <w:marTop w:val="0"/>
      <w:marBottom w:val="0"/>
      <w:divBdr>
        <w:top w:val="none" w:sz="0" w:space="0" w:color="auto"/>
        <w:left w:val="none" w:sz="0" w:space="0" w:color="auto"/>
        <w:bottom w:val="none" w:sz="0" w:space="0" w:color="auto"/>
        <w:right w:val="none" w:sz="0" w:space="0" w:color="auto"/>
      </w:divBdr>
    </w:div>
    <w:div w:id="866676695">
      <w:bodyDiv w:val="1"/>
      <w:marLeft w:val="0"/>
      <w:marRight w:val="0"/>
      <w:marTop w:val="0"/>
      <w:marBottom w:val="0"/>
      <w:divBdr>
        <w:top w:val="none" w:sz="0" w:space="0" w:color="auto"/>
        <w:left w:val="none" w:sz="0" w:space="0" w:color="auto"/>
        <w:bottom w:val="none" w:sz="0" w:space="0" w:color="auto"/>
        <w:right w:val="none" w:sz="0" w:space="0" w:color="auto"/>
      </w:divBdr>
    </w:div>
    <w:div w:id="867913584">
      <w:bodyDiv w:val="1"/>
      <w:marLeft w:val="0"/>
      <w:marRight w:val="0"/>
      <w:marTop w:val="0"/>
      <w:marBottom w:val="0"/>
      <w:divBdr>
        <w:top w:val="none" w:sz="0" w:space="0" w:color="auto"/>
        <w:left w:val="none" w:sz="0" w:space="0" w:color="auto"/>
        <w:bottom w:val="none" w:sz="0" w:space="0" w:color="auto"/>
        <w:right w:val="none" w:sz="0" w:space="0" w:color="auto"/>
      </w:divBdr>
    </w:div>
    <w:div w:id="868176578">
      <w:bodyDiv w:val="1"/>
      <w:marLeft w:val="0"/>
      <w:marRight w:val="0"/>
      <w:marTop w:val="0"/>
      <w:marBottom w:val="0"/>
      <w:divBdr>
        <w:top w:val="none" w:sz="0" w:space="0" w:color="auto"/>
        <w:left w:val="none" w:sz="0" w:space="0" w:color="auto"/>
        <w:bottom w:val="none" w:sz="0" w:space="0" w:color="auto"/>
        <w:right w:val="none" w:sz="0" w:space="0" w:color="auto"/>
      </w:divBdr>
    </w:div>
    <w:div w:id="868225141">
      <w:bodyDiv w:val="1"/>
      <w:marLeft w:val="0"/>
      <w:marRight w:val="0"/>
      <w:marTop w:val="0"/>
      <w:marBottom w:val="0"/>
      <w:divBdr>
        <w:top w:val="none" w:sz="0" w:space="0" w:color="auto"/>
        <w:left w:val="none" w:sz="0" w:space="0" w:color="auto"/>
        <w:bottom w:val="none" w:sz="0" w:space="0" w:color="auto"/>
        <w:right w:val="none" w:sz="0" w:space="0" w:color="auto"/>
      </w:divBdr>
    </w:div>
    <w:div w:id="868496754">
      <w:bodyDiv w:val="1"/>
      <w:marLeft w:val="0"/>
      <w:marRight w:val="0"/>
      <w:marTop w:val="0"/>
      <w:marBottom w:val="0"/>
      <w:divBdr>
        <w:top w:val="none" w:sz="0" w:space="0" w:color="auto"/>
        <w:left w:val="none" w:sz="0" w:space="0" w:color="auto"/>
        <w:bottom w:val="none" w:sz="0" w:space="0" w:color="auto"/>
        <w:right w:val="none" w:sz="0" w:space="0" w:color="auto"/>
      </w:divBdr>
    </w:div>
    <w:div w:id="868569138">
      <w:bodyDiv w:val="1"/>
      <w:marLeft w:val="0"/>
      <w:marRight w:val="0"/>
      <w:marTop w:val="0"/>
      <w:marBottom w:val="0"/>
      <w:divBdr>
        <w:top w:val="none" w:sz="0" w:space="0" w:color="auto"/>
        <w:left w:val="none" w:sz="0" w:space="0" w:color="auto"/>
        <w:bottom w:val="none" w:sz="0" w:space="0" w:color="auto"/>
        <w:right w:val="none" w:sz="0" w:space="0" w:color="auto"/>
      </w:divBdr>
    </w:div>
    <w:div w:id="869026908">
      <w:bodyDiv w:val="1"/>
      <w:marLeft w:val="0"/>
      <w:marRight w:val="0"/>
      <w:marTop w:val="0"/>
      <w:marBottom w:val="0"/>
      <w:divBdr>
        <w:top w:val="none" w:sz="0" w:space="0" w:color="auto"/>
        <w:left w:val="none" w:sz="0" w:space="0" w:color="auto"/>
        <w:bottom w:val="none" w:sz="0" w:space="0" w:color="auto"/>
        <w:right w:val="none" w:sz="0" w:space="0" w:color="auto"/>
      </w:divBdr>
    </w:div>
    <w:div w:id="869339360">
      <w:bodyDiv w:val="1"/>
      <w:marLeft w:val="0"/>
      <w:marRight w:val="0"/>
      <w:marTop w:val="0"/>
      <w:marBottom w:val="0"/>
      <w:divBdr>
        <w:top w:val="none" w:sz="0" w:space="0" w:color="auto"/>
        <w:left w:val="none" w:sz="0" w:space="0" w:color="auto"/>
        <w:bottom w:val="none" w:sz="0" w:space="0" w:color="auto"/>
        <w:right w:val="none" w:sz="0" w:space="0" w:color="auto"/>
      </w:divBdr>
    </w:div>
    <w:div w:id="869680741">
      <w:bodyDiv w:val="1"/>
      <w:marLeft w:val="0"/>
      <w:marRight w:val="0"/>
      <w:marTop w:val="0"/>
      <w:marBottom w:val="0"/>
      <w:divBdr>
        <w:top w:val="none" w:sz="0" w:space="0" w:color="auto"/>
        <w:left w:val="none" w:sz="0" w:space="0" w:color="auto"/>
        <w:bottom w:val="none" w:sz="0" w:space="0" w:color="auto"/>
        <w:right w:val="none" w:sz="0" w:space="0" w:color="auto"/>
      </w:divBdr>
    </w:div>
    <w:div w:id="869802160">
      <w:bodyDiv w:val="1"/>
      <w:marLeft w:val="0"/>
      <w:marRight w:val="0"/>
      <w:marTop w:val="0"/>
      <w:marBottom w:val="0"/>
      <w:divBdr>
        <w:top w:val="none" w:sz="0" w:space="0" w:color="auto"/>
        <w:left w:val="none" w:sz="0" w:space="0" w:color="auto"/>
        <w:bottom w:val="none" w:sz="0" w:space="0" w:color="auto"/>
        <w:right w:val="none" w:sz="0" w:space="0" w:color="auto"/>
      </w:divBdr>
    </w:div>
    <w:div w:id="870336882">
      <w:bodyDiv w:val="1"/>
      <w:marLeft w:val="0"/>
      <w:marRight w:val="0"/>
      <w:marTop w:val="0"/>
      <w:marBottom w:val="0"/>
      <w:divBdr>
        <w:top w:val="none" w:sz="0" w:space="0" w:color="auto"/>
        <w:left w:val="none" w:sz="0" w:space="0" w:color="auto"/>
        <w:bottom w:val="none" w:sz="0" w:space="0" w:color="auto"/>
        <w:right w:val="none" w:sz="0" w:space="0" w:color="auto"/>
      </w:divBdr>
    </w:div>
    <w:div w:id="870845134">
      <w:bodyDiv w:val="1"/>
      <w:marLeft w:val="0"/>
      <w:marRight w:val="0"/>
      <w:marTop w:val="0"/>
      <w:marBottom w:val="0"/>
      <w:divBdr>
        <w:top w:val="none" w:sz="0" w:space="0" w:color="auto"/>
        <w:left w:val="none" w:sz="0" w:space="0" w:color="auto"/>
        <w:bottom w:val="none" w:sz="0" w:space="0" w:color="auto"/>
        <w:right w:val="none" w:sz="0" w:space="0" w:color="auto"/>
      </w:divBdr>
    </w:div>
    <w:div w:id="870847610">
      <w:bodyDiv w:val="1"/>
      <w:marLeft w:val="0"/>
      <w:marRight w:val="0"/>
      <w:marTop w:val="0"/>
      <w:marBottom w:val="0"/>
      <w:divBdr>
        <w:top w:val="none" w:sz="0" w:space="0" w:color="auto"/>
        <w:left w:val="none" w:sz="0" w:space="0" w:color="auto"/>
        <w:bottom w:val="none" w:sz="0" w:space="0" w:color="auto"/>
        <w:right w:val="none" w:sz="0" w:space="0" w:color="auto"/>
      </w:divBdr>
    </w:div>
    <w:div w:id="871114252">
      <w:bodyDiv w:val="1"/>
      <w:marLeft w:val="0"/>
      <w:marRight w:val="0"/>
      <w:marTop w:val="0"/>
      <w:marBottom w:val="0"/>
      <w:divBdr>
        <w:top w:val="none" w:sz="0" w:space="0" w:color="auto"/>
        <w:left w:val="none" w:sz="0" w:space="0" w:color="auto"/>
        <w:bottom w:val="none" w:sz="0" w:space="0" w:color="auto"/>
        <w:right w:val="none" w:sz="0" w:space="0" w:color="auto"/>
      </w:divBdr>
    </w:div>
    <w:div w:id="871381234">
      <w:bodyDiv w:val="1"/>
      <w:marLeft w:val="0"/>
      <w:marRight w:val="0"/>
      <w:marTop w:val="0"/>
      <w:marBottom w:val="0"/>
      <w:divBdr>
        <w:top w:val="none" w:sz="0" w:space="0" w:color="auto"/>
        <w:left w:val="none" w:sz="0" w:space="0" w:color="auto"/>
        <w:bottom w:val="none" w:sz="0" w:space="0" w:color="auto"/>
        <w:right w:val="none" w:sz="0" w:space="0" w:color="auto"/>
      </w:divBdr>
    </w:div>
    <w:div w:id="872886112">
      <w:bodyDiv w:val="1"/>
      <w:marLeft w:val="0"/>
      <w:marRight w:val="0"/>
      <w:marTop w:val="0"/>
      <w:marBottom w:val="0"/>
      <w:divBdr>
        <w:top w:val="none" w:sz="0" w:space="0" w:color="auto"/>
        <w:left w:val="none" w:sz="0" w:space="0" w:color="auto"/>
        <w:bottom w:val="none" w:sz="0" w:space="0" w:color="auto"/>
        <w:right w:val="none" w:sz="0" w:space="0" w:color="auto"/>
      </w:divBdr>
    </w:div>
    <w:div w:id="872890675">
      <w:bodyDiv w:val="1"/>
      <w:marLeft w:val="0"/>
      <w:marRight w:val="0"/>
      <w:marTop w:val="0"/>
      <w:marBottom w:val="0"/>
      <w:divBdr>
        <w:top w:val="none" w:sz="0" w:space="0" w:color="auto"/>
        <w:left w:val="none" w:sz="0" w:space="0" w:color="auto"/>
        <w:bottom w:val="none" w:sz="0" w:space="0" w:color="auto"/>
        <w:right w:val="none" w:sz="0" w:space="0" w:color="auto"/>
      </w:divBdr>
    </w:div>
    <w:div w:id="873269184">
      <w:bodyDiv w:val="1"/>
      <w:marLeft w:val="0"/>
      <w:marRight w:val="0"/>
      <w:marTop w:val="0"/>
      <w:marBottom w:val="0"/>
      <w:divBdr>
        <w:top w:val="none" w:sz="0" w:space="0" w:color="auto"/>
        <w:left w:val="none" w:sz="0" w:space="0" w:color="auto"/>
        <w:bottom w:val="none" w:sz="0" w:space="0" w:color="auto"/>
        <w:right w:val="none" w:sz="0" w:space="0" w:color="auto"/>
      </w:divBdr>
    </w:div>
    <w:div w:id="873349259">
      <w:bodyDiv w:val="1"/>
      <w:marLeft w:val="0"/>
      <w:marRight w:val="0"/>
      <w:marTop w:val="0"/>
      <w:marBottom w:val="0"/>
      <w:divBdr>
        <w:top w:val="none" w:sz="0" w:space="0" w:color="auto"/>
        <w:left w:val="none" w:sz="0" w:space="0" w:color="auto"/>
        <w:bottom w:val="none" w:sz="0" w:space="0" w:color="auto"/>
        <w:right w:val="none" w:sz="0" w:space="0" w:color="auto"/>
      </w:divBdr>
    </w:div>
    <w:div w:id="873419523">
      <w:bodyDiv w:val="1"/>
      <w:marLeft w:val="0"/>
      <w:marRight w:val="0"/>
      <w:marTop w:val="0"/>
      <w:marBottom w:val="0"/>
      <w:divBdr>
        <w:top w:val="none" w:sz="0" w:space="0" w:color="auto"/>
        <w:left w:val="none" w:sz="0" w:space="0" w:color="auto"/>
        <w:bottom w:val="none" w:sz="0" w:space="0" w:color="auto"/>
        <w:right w:val="none" w:sz="0" w:space="0" w:color="auto"/>
      </w:divBdr>
    </w:div>
    <w:div w:id="875389359">
      <w:bodyDiv w:val="1"/>
      <w:marLeft w:val="0"/>
      <w:marRight w:val="0"/>
      <w:marTop w:val="0"/>
      <w:marBottom w:val="0"/>
      <w:divBdr>
        <w:top w:val="none" w:sz="0" w:space="0" w:color="auto"/>
        <w:left w:val="none" w:sz="0" w:space="0" w:color="auto"/>
        <w:bottom w:val="none" w:sz="0" w:space="0" w:color="auto"/>
        <w:right w:val="none" w:sz="0" w:space="0" w:color="auto"/>
      </w:divBdr>
    </w:div>
    <w:div w:id="875972057">
      <w:bodyDiv w:val="1"/>
      <w:marLeft w:val="0"/>
      <w:marRight w:val="0"/>
      <w:marTop w:val="0"/>
      <w:marBottom w:val="0"/>
      <w:divBdr>
        <w:top w:val="none" w:sz="0" w:space="0" w:color="auto"/>
        <w:left w:val="none" w:sz="0" w:space="0" w:color="auto"/>
        <w:bottom w:val="none" w:sz="0" w:space="0" w:color="auto"/>
        <w:right w:val="none" w:sz="0" w:space="0" w:color="auto"/>
      </w:divBdr>
    </w:div>
    <w:div w:id="876821594">
      <w:bodyDiv w:val="1"/>
      <w:marLeft w:val="0"/>
      <w:marRight w:val="0"/>
      <w:marTop w:val="0"/>
      <w:marBottom w:val="0"/>
      <w:divBdr>
        <w:top w:val="none" w:sz="0" w:space="0" w:color="auto"/>
        <w:left w:val="none" w:sz="0" w:space="0" w:color="auto"/>
        <w:bottom w:val="none" w:sz="0" w:space="0" w:color="auto"/>
        <w:right w:val="none" w:sz="0" w:space="0" w:color="auto"/>
      </w:divBdr>
    </w:div>
    <w:div w:id="876892590">
      <w:bodyDiv w:val="1"/>
      <w:marLeft w:val="0"/>
      <w:marRight w:val="0"/>
      <w:marTop w:val="0"/>
      <w:marBottom w:val="0"/>
      <w:divBdr>
        <w:top w:val="none" w:sz="0" w:space="0" w:color="auto"/>
        <w:left w:val="none" w:sz="0" w:space="0" w:color="auto"/>
        <w:bottom w:val="none" w:sz="0" w:space="0" w:color="auto"/>
        <w:right w:val="none" w:sz="0" w:space="0" w:color="auto"/>
      </w:divBdr>
    </w:div>
    <w:div w:id="877085313">
      <w:bodyDiv w:val="1"/>
      <w:marLeft w:val="0"/>
      <w:marRight w:val="0"/>
      <w:marTop w:val="0"/>
      <w:marBottom w:val="0"/>
      <w:divBdr>
        <w:top w:val="none" w:sz="0" w:space="0" w:color="auto"/>
        <w:left w:val="none" w:sz="0" w:space="0" w:color="auto"/>
        <w:bottom w:val="none" w:sz="0" w:space="0" w:color="auto"/>
        <w:right w:val="none" w:sz="0" w:space="0" w:color="auto"/>
      </w:divBdr>
    </w:div>
    <w:div w:id="877398215">
      <w:bodyDiv w:val="1"/>
      <w:marLeft w:val="0"/>
      <w:marRight w:val="0"/>
      <w:marTop w:val="0"/>
      <w:marBottom w:val="0"/>
      <w:divBdr>
        <w:top w:val="none" w:sz="0" w:space="0" w:color="auto"/>
        <w:left w:val="none" w:sz="0" w:space="0" w:color="auto"/>
        <w:bottom w:val="none" w:sz="0" w:space="0" w:color="auto"/>
        <w:right w:val="none" w:sz="0" w:space="0" w:color="auto"/>
      </w:divBdr>
    </w:div>
    <w:div w:id="877665315">
      <w:bodyDiv w:val="1"/>
      <w:marLeft w:val="0"/>
      <w:marRight w:val="0"/>
      <w:marTop w:val="0"/>
      <w:marBottom w:val="0"/>
      <w:divBdr>
        <w:top w:val="none" w:sz="0" w:space="0" w:color="auto"/>
        <w:left w:val="none" w:sz="0" w:space="0" w:color="auto"/>
        <w:bottom w:val="none" w:sz="0" w:space="0" w:color="auto"/>
        <w:right w:val="none" w:sz="0" w:space="0" w:color="auto"/>
      </w:divBdr>
    </w:div>
    <w:div w:id="877742466">
      <w:bodyDiv w:val="1"/>
      <w:marLeft w:val="0"/>
      <w:marRight w:val="0"/>
      <w:marTop w:val="0"/>
      <w:marBottom w:val="0"/>
      <w:divBdr>
        <w:top w:val="none" w:sz="0" w:space="0" w:color="auto"/>
        <w:left w:val="none" w:sz="0" w:space="0" w:color="auto"/>
        <w:bottom w:val="none" w:sz="0" w:space="0" w:color="auto"/>
        <w:right w:val="none" w:sz="0" w:space="0" w:color="auto"/>
      </w:divBdr>
    </w:div>
    <w:div w:id="879322001">
      <w:bodyDiv w:val="1"/>
      <w:marLeft w:val="0"/>
      <w:marRight w:val="0"/>
      <w:marTop w:val="0"/>
      <w:marBottom w:val="0"/>
      <w:divBdr>
        <w:top w:val="none" w:sz="0" w:space="0" w:color="auto"/>
        <w:left w:val="none" w:sz="0" w:space="0" w:color="auto"/>
        <w:bottom w:val="none" w:sz="0" w:space="0" w:color="auto"/>
        <w:right w:val="none" w:sz="0" w:space="0" w:color="auto"/>
      </w:divBdr>
    </w:div>
    <w:div w:id="879559773">
      <w:bodyDiv w:val="1"/>
      <w:marLeft w:val="0"/>
      <w:marRight w:val="0"/>
      <w:marTop w:val="0"/>
      <w:marBottom w:val="0"/>
      <w:divBdr>
        <w:top w:val="none" w:sz="0" w:space="0" w:color="auto"/>
        <w:left w:val="none" w:sz="0" w:space="0" w:color="auto"/>
        <w:bottom w:val="none" w:sz="0" w:space="0" w:color="auto"/>
        <w:right w:val="none" w:sz="0" w:space="0" w:color="auto"/>
      </w:divBdr>
    </w:div>
    <w:div w:id="879828444">
      <w:bodyDiv w:val="1"/>
      <w:marLeft w:val="0"/>
      <w:marRight w:val="0"/>
      <w:marTop w:val="0"/>
      <w:marBottom w:val="0"/>
      <w:divBdr>
        <w:top w:val="none" w:sz="0" w:space="0" w:color="auto"/>
        <w:left w:val="none" w:sz="0" w:space="0" w:color="auto"/>
        <w:bottom w:val="none" w:sz="0" w:space="0" w:color="auto"/>
        <w:right w:val="none" w:sz="0" w:space="0" w:color="auto"/>
      </w:divBdr>
    </w:div>
    <w:div w:id="879972459">
      <w:bodyDiv w:val="1"/>
      <w:marLeft w:val="0"/>
      <w:marRight w:val="0"/>
      <w:marTop w:val="0"/>
      <w:marBottom w:val="0"/>
      <w:divBdr>
        <w:top w:val="none" w:sz="0" w:space="0" w:color="auto"/>
        <w:left w:val="none" w:sz="0" w:space="0" w:color="auto"/>
        <w:bottom w:val="none" w:sz="0" w:space="0" w:color="auto"/>
        <w:right w:val="none" w:sz="0" w:space="0" w:color="auto"/>
      </w:divBdr>
    </w:div>
    <w:div w:id="881360552">
      <w:bodyDiv w:val="1"/>
      <w:marLeft w:val="0"/>
      <w:marRight w:val="0"/>
      <w:marTop w:val="0"/>
      <w:marBottom w:val="0"/>
      <w:divBdr>
        <w:top w:val="none" w:sz="0" w:space="0" w:color="auto"/>
        <w:left w:val="none" w:sz="0" w:space="0" w:color="auto"/>
        <w:bottom w:val="none" w:sz="0" w:space="0" w:color="auto"/>
        <w:right w:val="none" w:sz="0" w:space="0" w:color="auto"/>
      </w:divBdr>
    </w:div>
    <w:div w:id="882063212">
      <w:bodyDiv w:val="1"/>
      <w:marLeft w:val="0"/>
      <w:marRight w:val="0"/>
      <w:marTop w:val="0"/>
      <w:marBottom w:val="0"/>
      <w:divBdr>
        <w:top w:val="none" w:sz="0" w:space="0" w:color="auto"/>
        <w:left w:val="none" w:sz="0" w:space="0" w:color="auto"/>
        <w:bottom w:val="none" w:sz="0" w:space="0" w:color="auto"/>
        <w:right w:val="none" w:sz="0" w:space="0" w:color="auto"/>
      </w:divBdr>
    </w:div>
    <w:div w:id="882866961">
      <w:bodyDiv w:val="1"/>
      <w:marLeft w:val="0"/>
      <w:marRight w:val="0"/>
      <w:marTop w:val="0"/>
      <w:marBottom w:val="0"/>
      <w:divBdr>
        <w:top w:val="none" w:sz="0" w:space="0" w:color="auto"/>
        <w:left w:val="none" w:sz="0" w:space="0" w:color="auto"/>
        <w:bottom w:val="none" w:sz="0" w:space="0" w:color="auto"/>
        <w:right w:val="none" w:sz="0" w:space="0" w:color="auto"/>
      </w:divBdr>
    </w:div>
    <w:div w:id="884410173">
      <w:bodyDiv w:val="1"/>
      <w:marLeft w:val="0"/>
      <w:marRight w:val="0"/>
      <w:marTop w:val="0"/>
      <w:marBottom w:val="0"/>
      <w:divBdr>
        <w:top w:val="none" w:sz="0" w:space="0" w:color="auto"/>
        <w:left w:val="none" w:sz="0" w:space="0" w:color="auto"/>
        <w:bottom w:val="none" w:sz="0" w:space="0" w:color="auto"/>
        <w:right w:val="none" w:sz="0" w:space="0" w:color="auto"/>
      </w:divBdr>
    </w:div>
    <w:div w:id="884567367">
      <w:bodyDiv w:val="1"/>
      <w:marLeft w:val="0"/>
      <w:marRight w:val="0"/>
      <w:marTop w:val="0"/>
      <w:marBottom w:val="0"/>
      <w:divBdr>
        <w:top w:val="none" w:sz="0" w:space="0" w:color="auto"/>
        <w:left w:val="none" w:sz="0" w:space="0" w:color="auto"/>
        <w:bottom w:val="none" w:sz="0" w:space="0" w:color="auto"/>
        <w:right w:val="none" w:sz="0" w:space="0" w:color="auto"/>
      </w:divBdr>
    </w:div>
    <w:div w:id="885215819">
      <w:bodyDiv w:val="1"/>
      <w:marLeft w:val="0"/>
      <w:marRight w:val="0"/>
      <w:marTop w:val="0"/>
      <w:marBottom w:val="0"/>
      <w:divBdr>
        <w:top w:val="none" w:sz="0" w:space="0" w:color="auto"/>
        <w:left w:val="none" w:sz="0" w:space="0" w:color="auto"/>
        <w:bottom w:val="none" w:sz="0" w:space="0" w:color="auto"/>
        <w:right w:val="none" w:sz="0" w:space="0" w:color="auto"/>
      </w:divBdr>
    </w:div>
    <w:div w:id="886524366">
      <w:bodyDiv w:val="1"/>
      <w:marLeft w:val="0"/>
      <w:marRight w:val="0"/>
      <w:marTop w:val="0"/>
      <w:marBottom w:val="0"/>
      <w:divBdr>
        <w:top w:val="none" w:sz="0" w:space="0" w:color="auto"/>
        <w:left w:val="none" w:sz="0" w:space="0" w:color="auto"/>
        <w:bottom w:val="none" w:sz="0" w:space="0" w:color="auto"/>
        <w:right w:val="none" w:sz="0" w:space="0" w:color="auto"/>
      </w:divBdr>
    </w:div>
    <w:div w:id="886798567">
      <w:bodyDiv w:val="1"/>
      <w:marLeft w:val="0"/>
      <w:marRight w:val="0"/>
      <w:marTop w:val="0"/>
      <w:marBottom w:val="0"/>
      <w:divBdr>
        <w:top w:val="none" w:sz="0" w:space="0" w:color="auto"/>
        <w:left w:val="none" w:sz="0" w:space="0" w:color="auto"/>
        <w:bottom w:val="none" w:sz="0" w:space="0" w:color="auto"/>
        <w:right w:val="none" w:sz="0" w:space="0" w:color="auto"/>
      </w:divBdr>
    </w:div>
    <w:div w:id="887685911">
      <w:bodyDiv w:val="1"/>
      <w:marLeft w:val="0"/>
      <w:marRight w:val="0"/>
      <w:marTop w:val="0"/>
      <w:marBottom w:val="0"/>
      <w:divBdr>
        <w:top w:val="none" w:sz="0" w:space="0" w:color="auto"/>
        <w:left w:val="none" w:sz="0" w:space="0" w:color="auto"/>
        <w:bottom w:val="none" w:sz="0" w:space="0" w:color="auto"/>
        <w:right w:val="none" w:sz="0" w:space="0" w:color="auto"/>
      </w:divBdr>
    </w:div>
    <w:div w:id="887836619">
      <w:bodyDiv w:val="1"/>
      <w:marLeft w:val="0"/>
      <w:marRight w:val="0"/>
      <w:marTop w:val="0"/>
      <w:marBottom w:val="0"/>
      <w:divBdr>
        <w:top w:val="none" w:sz="0" w:space="0" w:color="auto"/>
        <w:left w:val="none" w:sz="0" w:space="0" w:color="auto"/>
        <w:bottom w:val="none" w:sz="0" w:space="0" w:color="auto"/>
        <w:right w:val="none" w:sz="0" w:space="0" w:color="auto"/>
      </w:divBdr>
    </w:div>
    <w:div w:id="888079192">
      <w:bodyDiv w:val="1"/>
      <w:marLeft w:val="0"/>
      <w:marRight w:val="0"/>
      <w:marTop w:val="0"/>
      <w:marBottom w:val="0"/>
      <w:divBdr>
        <w:top w:val="none" w:sz="0" w:space="0" w:color="auto"/>
        <w:left w:val="none" w:sz="0" w:space="0" w:color="auto"/>
        <w:bottom w:val="none" w:sz="0" w:space="0" w:color="auto"/>
        <w:right w:val="none" w:sz="0" w:space="0" w:color="auto"/>
      </w:divBdr>
    </w:div>
    <w:div w:id="888490371">
      <w:bodyDiv w:val="1"/>
      <w:marLeft w:val="0"/>
      <w:marRight w:val="0"/>
      <w:marTop w:val="0"/>
      <w:marBottom w:val="0"/>
      <w:divBdr>
        <w:top w:val="none" w:sz="0" w:space="0" w:color="auto"/>
        <w:left w:val="none" w:sz="0" w:space="0" w:color="auto"/>
        <w:bottom w:val="none" w:sz="0" w:space="0" w:color="auto"/>
        <w:right w:val="none" w:sz="0" w:space="0" w:color="auto"/>
      </w:divBdr>
    </w:div>
    <w:div w:id="888493417">
      <w:bodyDiv w:val="1"/>
      <w:marLeft w:val="0"/>
      <w:marRight w:val="0"/>
      <w:marTop w:val="0"/>
      <w:marBottom w:val="0"/>
      <w:divBdr>
        <w:top w:val="none" w:sz="0" w:space="0" w:color="auto"/>
        <w:left w:val="none" w:sz="0" w:space="0" w:color="auto"/>
        <w:bottom w:val="none" w:sz="0" w:space="0" w:color="auto"/>
        <w:right w:val="none" w:sz="0" w:space="0" w:color="auto"/>
      </w:divBdr>
    </w:div>
    <w:div w:id="888957340">
      <w:bodyDiv w:val="1"/>
      <w:marLeft w:val="0"/>
      <w:marRight w:val="0"/>
      <w:marTop w:val="0"/>
      <w:marBottom w:val="0"/>
      <w:divBdr>
        <w:top w:val="none" w:sz="0" w:space="0" w:color="auto"/>
        <w:left w:val="none" w:sz="0" w:space="0" w:color="auto"/>
        <w:bottom w:val="none" w:sz="0" w:space="0" w:color="auto"/>
        <w:right w:val="none" w:sz="0" w:space="0" w:color="auto"/>
      </w:divBdr>
    </w:div>
    <w:div w:id="888957752">
      <w:bodyDiv w:val="1"/>
      <w:marLeft w:val="0"/>
      <w:marRight w:val="0"/>
      <w:marTop w:val="0"/>
      <w:marBottom w:val="0"/>
      <w:divBdr>
        <w:top w:val="none" w:sz="0" w:space="0" w:color="auto"/>
        <w:left w:val="none" w:sz="0" w:space="0" w:color="auto"/>
        <w:bottom w:val="none" w:sz="0" w:space="0" w:color="auto"/>
        <w:right w:val="none" w:sz="0" w:space="0" w:color="auto"/>
      </w:divBdr>
    </w:div>
    <w:div w:id="889002220">
      <w:bodyDiv w:val="1"/>
      <w:marLeft w:val="0"/>
      <w:marRight w:val="0"/>
      <w:marTop w:val="0"/>
      <w:marBottom w:val="0"/>
      <w:divBdr>
        <w:top w:val="none" w:sz="0" w:space="0" w:color="auto"/>
        <w:left w:val="none" w:sz="0" w:space="0" w:color="auto"/>
        <w:bottom w:val="none" w:sz="0" w:space="0" w:color="auto"/>
        <w:right w:val="none" w:sz="0" w:space="0" w:color="auto"/>
      </w:divBdr>
    </w:div>
    <w:div w:id="889918995">
      <w:bodyDiv w:val="1"/>
      <w:marLeft w:val="0"/>
      <w:marRight w:val="0"/>
      <w:marTop w:val="0"/>
      <w:marBottom w:val="0"/>
      <w:divBdr>
        <w:top w:val="none" w:sz="0" w:space="0" w:color="auto"/>
        <w:left w:val="none" w:sz="0" w:space="0" w:color="auto"/>
        <w:bottom w:val="none" w:sz="0" w:space="0" w:color="auto"/>
        <w:right w:val="none" w:sz="0" w:space="0" w:color="auto"/>
      </w:divBdr>
    </w:div>
    <w:div w:id="890309908">
      <w:bodyDiv w:val="1"/>
      <w:marLeft w:val="0"/>
      <w:marRight w:val="0"/>
      <w:marTop w:val="0"/>
      <w:marBottom w:val="0"/>
      <w:divBdr>
        <w:top w:val="none" w:sz="0" w:space="0" w:color="auto"/>
        <w:left w:val="none" w:sz="0" w:space="0" w:color="auto"/>
        <w:bottom w:val="none" w:sz="0" w:space="0" w:color="auto"/>
        <w:right w:val="none" w:sz="0" w:space="0" w:color="auto"/>
      </w:divBdr>
    </w:div>
    <w:div w:id="890312358">
      <w:bodyDiv w:val="1"/>
      <w:marLeft w:val="0"/>
      <w:marRight w:val="0"/>
      <w:marTop w:val="0"/>
      <w:marBottom w:val="0"/>
      <w:divBdr>
        <w:top w:val="none" w:sz="0" w:space="0" w:color="auto"/>
        <w:left w:val="none" w:sz="0" w:space="0" w:color="auto"/>
        <w:bottom w:val="none" w:sz="0" w:space="0" w:color="auto"/>
        <w:right w:val="none" w:sz="0" w:space="0" w:color="auto"/>
      </w:divBdr>
    </w:div>
    <w:div w:id="890462968">
      <w:bodyDiv w:val="1"/>
      <w:marLeft w:val="0"/>
      <w:marRight w:val="0"/>
      <w:marTop w:val="0"/>
      <w:marBottom w:val="0"/>
      <w:divBdr>
        <w:top w:val="none" w:sz="0" w:space="0" w:color="auto"/>
        <w:left w:val="none" w:sz="0" w:space="0" w:color="auto"/>
        <w:bottom w:val="none" w:sz="0" w:space="0" w:color="auto"/>
        <w:right w:val="none" w:sz="0" w:space="0" w:color="auto"/>
      </w:divBdr>
    </w:div>
    <w:div w:id="890730637">
      <w:bodyDiv w:val="1"/>
      <w:marLeft w:val="0"/>
      <w:marRight w:val="0"/>
      <w:marTop w:val="0"/>
      <w:marBottom w:val="0"/>
      <w:divBdr>
        <w:top w:val="none" w:sz="0" w:space="0" w:color="auto"/>
        <w:left w:val="none" w:sz="0" w:space="0" w:color="auto"/>
        <w:bottom w:val="none" w:sz="0" w:space="0" w:color="auto"/>
        <w:right w:val="none" w:sz="0" w:space="0" w:color="auto"/>
      </w:divBdr>
    </w:div>
    <w:div w:id="891313059">
      <w:bodyDiv w:val="1"/>
      <w:marLeft w:val="0"/>
      <w:marRight w:val="0"/>
      <w:marTop w:val="0"/>
      <w:marBottom w:val="0"/>
      <w:divBdr>
        <w:top w:val="none" w:sz="0" w:space="0" w:color="auto"/>
        <w:left w:val="none" w:sz="0" w:space="0" w:color="auto"/>
        <w:bottom w:val="none" w:sz="0" w:space="0" w:color="auto"/>
        <w:right w:val="none" w:sz="0" w:space="0" w:color="auto"/>
      </w:divBdr>
    </w:div>
    <w:div w:id="891428004">
      <w:bodyDiv w:val="1"/>
      <w:marLeft w:val="0"/>
      <w:marRight w:val="0"/>
      <w:marTop w:val="0"/>
      <w:marBottom w:val="0"/>
      <w:divBdr>
        <w:top w:val="none" w:sz="0" w:space="0" w:color="auto"/>
        <w:left w:val="none" w:sz="0" w:space="0" w:color="auto"/>
        <w:bottom w:val="none" w:sz="0" w:space="0" w:color="auto"/>
        <w:right w:val="none" w:sz="0" w:space="0" w:color="auto"/>
      </w:divBdr>
    </w:div>
    <w:div w:id="891695520">
      <w:bodyDiv w:val="1"/>
      <w:marLeft w:val="0"/>
      <w:marRight w:val="0"/>
      <w:marTop w:val="0"/>
      <w:marBottom w:val="0"/>
      <w:divBdr>
        <w:top w:val="none" w:sz="0" w:space="0" w:color="auto"/>
        <w:left w:val="none" w:sz="0" w:space="0" w:color="auto"/>
        <w:bottom w:val="none" w:sz="0" w:space="0" w:color="auto"/>
        <w:right w:val="none" w:sz="0" w:space="0" w:color="auto"/>
      </w:divBdr>
    </w:div>
    <w:div w:id="892011336">
      <w:bodyDiv w:val="1"/>
      <w:marLeft w:val="0"/>
      <w:marRight w:val="0"/>
      <w:marTop w:val="0"/>
      <w:marBottom w:val="0"/>
      <w:divBdr>
        <w:top w:val="none" w:sz="0" w:space="0" w:color="auto"/>
        <w:left w:val="none" w:sz="0" w:space="0" w:color="auto"/>
        <w:bottom w:val="none" w:sz="0" w:space="0" w:color="auto"/>
        <w:right w:val="none" w:sz="0" w:space="0" w:color="auto"/>
      </w:divBdr>
    </w:div>
    <w:div w:id="893084976">
      <w:bodyDiv w:val="1"/>
      <w:marLeft w:val="0"/>
      <w:marRight w:val="0"/>
      <w:marTop w:val="0"/>
      <w:marBottom w:val="0"/>
      <w:divBdr>
        <w:top w:val="none" w:sz="0" w:space="0" w:color="auto"/>
        <w:left w:val="none" w:sz="0" w:space="0" w:color="auto"/>
        <w:bottom w:val="none" w:sz="0" w:space="0" w:color="auto"/>
        <w:right w:val="none" w:sz="0" w:space="0" w:color="auto"/>
      </w:divBdr>
    </w:div>
    <w:div w:id="893274566">
      <w:bodyDiv w:val="1"/>
      <w:marLeft w:val="0"/>
      <w:marRight w:val="0"/>
      <w:marTop w:val="0"/>
      <w:marBottom w:val="0"/>
      <w:divBdr>
        <w:top w:val="none" w:sz="0" w:space="0" w:color="auto"/>
        <w:left w:val="none" w:sz="0" w:space="0" w:color="auto"/>
        <w:bottom w:val="none" w:sz="0" w:space="0" w:color="auto"/>
        <w:right w:val="none" w:sz="0" w:space="0" w:color="auto"/>
      </w:divBdr>
    </w:div>
    <w:div w:id="893544092">
      <w:bodyDiv w:val="1"/>
      <w:marLeft w:val="0"/>
      <w:marRight w:val="0"/>
      <w:marTop w:val="0"/>
      <w:marBottom w:val="0"/>
      <w:divBdr>
        <w:top w:val="none" w:sz="0" w:space="0" w:color="auto"/>
        <w:left w:val="none" w:sz="0" w:space="0" w:color="auto"/>
        <w:bottom w:val="none" w:sz="0" w:space="0" w:color="auto"/>
        <w:right w:val="none" w:sz="0" w:space="0" w:color="auto"/>
      </w:divBdr>
    </w:div>
    <w:div w:id="894120177">
      <w:bodyDiv w:val="1"/>
      <w:marLeft w:val="0"/>
      <w:marRight w:val="0"/>
      <w:marTop w:val="0"/>
      <w:marBottom w:val="0"/>
      <w:divBdr>
        <w:top w:val="none" w:sz="0" w:space="0" w:color="auto"/>
        <w:left w:val="none" w:sz="0" w:space="0" w:color="auto"/>
        <w:bottom w:val="none" w:sz="0" w:space="0" w:color="auto"/>
        <w:right w:val="none" w:sz="0" w:space="0" w:color="auto"/>
      </w:divBdr>
    </w:div>
    <w:div w:id="894244818">
      <w:bodyDiv w:val="1"/>
      <w:marLeft w:val="0"/>
      <w:marRight w:val="0"/>
      <w:marTop w:val="0"/>
      <w:marBottom w:val="0"/>
      <w:divBdr>
        <w:top w:val="none" w:sz="0" w:space="0" w:color="auto"/>
        <w:left w:val="none" w:sz="0" w:space="0" w:color="auto"/>
        <w:bottom w:val="none" w:sz="0" w:space="0" w:color="auto"/>
        <w:right w:val="none" w:sz="0" w:space="0" w:color="auto"/>
      </w:divBdr>
    </w:div>
    <w:div w:id="894513496">
      <w:bodyDiv w:val="1"/>
      <w:marLeft w:val="0"/>
      <w:marRight w:val="0"/>
      <w:marTop w:val="0"/>
      <w:marBottom w:val="0"/>
      <w:divBdr>
        <w:top w:val="none" w:sz="0" w:space="0" w:color="auto"/>
        <w:left w:val="none" w:sz="0" w:space="0" w:color="auto"/>
        <w:bottom w:val="none" w:sz="0" w:space="0" w:color="auto"/>
        <w:right w:val="none" w:sz="0" w:space="0" w:color="auto"/>
      </w:divBdr>
    </w:div>
    <w:div w:id="894773502">
      <w:bodyDiv w:val="1"/>
      <w:marLeft w:val="0"/>
      <w:marRight w:val="0"/>
      <w:marTop w:val="0"/>
      <w:marBottom w:val="0"/>
      <w:divBdr>
        <w:top w:val="none" w:sz="0" w:space="0" w:color="auto"/>
        <w:left w:val="none" w:sz="0" w:space="0" w:color="auto"/>
        <w:bottom w:val="none" w:sz="0" w:space="0" w:color="auto"/>
        <w:right w:val="none" w:sz="0" w:space="0" w:color="auto"/>
      </w:divBdr>
    </w:div>
    <w:div w:id="894970846">
      <w:bodyDiv w:val="1"/>
      <w:marLeft w:val="0"/>
      <w:marRight w:val="0"/>
      <w:marTop w:val="0"/>
      <w:marBottom w:val="0"/>
      <w:divBdr>
        <w:top w:val="none" w:sz="0" w:space="0" w:color="auto"/>
        <w:left w:val="none" w:sz="0" w:space="0" w:color="auto"/>
        <w:bottom w:val="none" w:sz="0" w:space="0" w:color="auto"/>
        <w:right w:val="none" w:sz="0" w:space="0" w:color="auto"/>
      </w:divBdr>
    </w:div>
    <w:div w:id="895093317">
      <w:bodyDiv w:val="1"/>
      <w:marLeft w:val="0"/>
      <w:marRight w:val="0"/>
      <w:marTop w:val="0"/>
      <w:marBottom w:val="0"/>
      <w:divBdr>
        <w:top w:val="none" w:sz="0" w:space="0" w:color="auto"/>
        <w:left w:val="none" w:sz="0" w:space="0" w:color="auto"/>
        <w:bottom w:val="none" w:sz="0" w:space="0" w:color="auto"/>
        <w:right w:val="none" w:sz="0" w:space="0" w:color="auto"/>
      </w:divBdr>
    </w:div>
    <w:div w:id="895117630">
      <w:bodyDiv w:val="1"/>
      <w:marLeft w:val="0"/>
      <w:marRight w:val="0"/>
      <w:marTop w:val="0"/>
      <w:marBottom w:val="0"/>
      <w:divBdr>
        <w:top w:val="none" w:sz="0" w:space="0" w:color="auto"/>
        <w:left w:val="none" w:sz="0" w:space="0" w:color="auto"/>
        <w:bottom w:val="none" w:sz="0" w:space="0" w:color="auto"/>
        <w:right w:val="none" w:sz="0" w:space="0" w:color="auto"/>
      </w:divBdr>
    </w:div>
    <w:div w:id="895161371">
      <w:bodyDiv w:val="1"/>
      <w:marLeft w:val="0"/>
      <w:marRight w:val="0"/>
      <w:marTop w:val="0"/>
      <w:marBottom w:val="0"/>
      <w:divBdr>
        <w:top w:val="none" w:sz="0" w:space="0" w:color="auto"/>
        <w:left w:val="none" w:sz="0" w:space="0" w:color="auto"/>
        <w:bottom w:val="none" w:sz="0" w:space="0" w:color="auto"/>
        <w:right w:val="none" w:sz="0" w:space="0" w:color="auto"/>
      </w:divBdr>
    </w:div>
    <w:div w:id="895746904">
      <w:bodyDiv w:val="1"/>
      <w:marLeft w:val="0"/>
      <w:marRight w:val="0"/>
      <w:marTop w:val="0"/>
      <w:marBottom w:val="0"/>
      <w:divBdr>
        <w:top w:val="none" w:sz="0" w:space="0" w:color="auto"/>
        <w:left w:val="none" w:sz="0" w:space="0" w:color="auto"/>
        <w:bottom w:val="none" w:sz="0" w:space="0" w:color="auto"/>
        <w:right w:val="none" w:sz="0" w:space="0" w:color="auto"/>
      </w:divBdr>
    </w:div>
    <w:div w:id="896474923">
      <w:bodyDiv w:val="1"/>
      <w:marLeft w:val="0"/>
      <w:marRight w:val="0"/>
      <w:marTop w:val="0"/>
      <w:marBottom w:val="0"/>
      <w:divBdr>
        <w:top w:val="none" w:sz="0" w:space="0" w:color="auto"/>
        <w:left w:val="none" w:sz="0" w:space="0" w:color="auto"/>
        <w:bottom w:val="none" w:sz="0" w:space="0" w:color="auto"/>
        <w:right w:val="none" w:sz="0" w:space="0" w:color="auto"/>
      </w:divBdr>
    </w:div>
    <w:div w:id="896940266">
      <w:bodyDiv w:val="1"/>
      <w:marLeft w:val="0"/>
      <w:marRight w:val="0"/>
      <w:marTop w:val="0"/>
      <w:marBottom w:val="0"/>
      <w:divBdr>
        <w:top w:val="none" w:sz="0" w:space="0" w:color="auto"/>
        <w:left w:val="none" w:sz="0" w:space="0" w:color="auto"/>
        <w:bottom w:val="none" w:sz="0" w:space="0" w:color="auto"/>
        <w:right w:val="none" w:sz="0" w:space="0" w:color="auto"/>
      </w:divBdr>
    </w:div>
    <w:div w:id="898056600">
      <w:bodyDiv w:val="1"/>
      <w:marLeft w:val="0"/>
      <w:marRight w:val="0"/>
      <w:marTop w:val="0"/>
      <w:marBottom w:val="0"/>
      <w:divBdr>
        <w:top w:val="none" w:sz="0" w:space="0" w:color="auto"/>
        <w:left w:val="none" w:sz="0" w:space="0" w:color="auto"/>
        <w:bottom w:val="none" w:sz="0" w:space="0" w:color="auto"/>
        <w:right w:val="none" w:sz="0" w:space="0" w:color="auto"/>
      </w:divBdr>
    </w:div>
    <w:div w:id="898712313">
      <w:bodyDiv w:val="1"/>
      <w:marLeft w:val="0"/>
      <w:marRight w:val="0"/>
      <w:marTop w:val="0"/>
      <w:marBottom w:val="0"/>
      <w:divBdr>
        <w:top w:val="none" w:sz="0" w:space="0" w:color="auto"/>
        <w:left w:val="none" w:sz="0" w:space="0" w:color="auto"/>
        <w:bottom w:val="none" w:sz="0" w:space="0" w:color="auto"/>
        <w:right w:val="none" w:sz="0" w:space="0" w:color="auto"/>
      </w:divBdr>
    </w:div>
    <w:div w:id="899244342">
      <w:bodyDiv w:val="1"/>
      <w:marLeft w:val="0"/>
      <w:marRight w:val="0"/>
      <w:marTop w:val="0"/>
      <w:marBottom w:val="0"/>
      <w:divBdr>
        <w:top w:val="none" w:sz="0" w:space="0" w:color="auto"/>
        <w:left w:val="none" w:sz="0" w:space="0" w:color="auto"/>
        <w:bottom w:val="none" w:sz="0" w:space="0" w:color="auto"/>
        <w:right w:val="none" w:sz="0" w:space="0" w:color="auto"/>
      </w:divBdr>
    </w:div>
    <w:div w:id="899513964">
      <w:bodyDiv w:val="1"/>
      <w:marLeft w:val="0"/>
      <w:marRight w:val="0"/>
      <w:marTop w:val="0"/>
      <w:marBottom w:val="0"/>
      <w:divBdr>
        <w:top w:val="none" w:sz="0" w:space="0" w:color="auto"/>
        <w:left w:val="none" w:sz="0" w:space="0" w:color="auto"/>
        <w:bottom w:val="none" w:sz="0" w:space="0" w:color="auto"/>
        <w:right w:val="none" w:sz="0" w:space="0" w:color="auto"/>
      </w:divBdr>
    </w:div>
    <w:div w:id="900483928">
      <w:bodyDiv w:val="1"/>
      <w:marLeft w:val="0"/>
      <w:marRight w:val="0"/>
      <w:marTop w:val="0"/>
      <w:marBottom w:val="0"/>
      <w:divBdr>
        <w:top w:val="none" w:sz="0" w:space="0" w:color="auto"/>
        <w:left w:val="none" w:sz="0" w:space="0" w:color="auto"/>
        <w:bottom w:val="none" w:sz="0" w:space="0" w:color="auto"/>
        <w:right w:val="none" w:sz="0" w:space="0" w:color="auto"/>
      </w:divBdr>
    </w:div>
    <w:div w:id="900557724">
      <w:bodyDiv w:val="1"/>
      <w:marLeft w:val="0"/>
      <w:marRight w:val="0"/>
      <w:marTop w:val="0"/>
      <w:marBottom w:val="0"/>
      <w:divBdr>
        <w:top w:val="none" w:sz="0" w:space="0" w:color="auto"/>
        <w:left w:val="none" w:sz="0" w:space="0" w:color="auto"/>
        <w:bottom w:val="none" w:sz="0" w:space="0" w:color="auto"/>
        <w:right w:val="none" w:sz="0" w:space="0" w:color="auto"/>
      </w:divBdr>
    </w:div>
    <w:div w:id="900795865">
      <w:bodyDiv w:val="1"/>
      <w:marLeft w:val="0"/>
      <w:marRight w:val="0"/>
      <w:marTop w:val="0"/>
      <w:marBottom w:val="0"/>
      <w:divBdr>
        <w:top w:val="none" w:sz="0" w:space="0" w:color="auto"/>
        <w:left w:val="none" w:sz="0" w:space="0" w:color="auto"/>
        <w:bottom w:val="none" w:sz="0" w:space="0" w:color="auto"/>
        <w:right w:val="none" w:sz="0" w:space="0" w:color="auto"/>
      </w:divBdr>
    </w:div>
    <w:div w:id="900870473">
      <w:bodyDiv w:val="1"/>
      <w:marLeft w:val="0"/>
      <w:marRight w:val="0"/>
      <w:marTop w:val="0"/>
      <w:marBottom w:val="0"/>
      <w:divBdr>
        <w:top w:val="none" w:sz="0" w:space="0" w:color="auto"/>
        <w:left w:val="none" w:sz="0" w:space="0" w:color="auto"/>
        <w:bottom w:val="none" w:sz="0" w:space="0" w:color="auto"/>
        <w:right w:val="none" w:sz="0" w:space="0" w:color="auto"/>
      </w:divBdr>
    </w:div>
    <w:div w:id="901403845">
      <w:bodyDiv w:val="1"/>
      <w:marLeft w:val="0"/>
      <w:marRight w:val="0"/>
      <w:marTop w:val="0"/>
      <w:marBottom w:val="0"/>
      <w:divBdr>
        <w:top w:val="none" w:sz="0" w:space="0" w:color="auto"/>
        <w:left w:val="none" w:sz="0" w:space="0" w:color="auto"/>
        <w:bottom w:val="none" w:sz="0" w:space="0" w:color="auto"/>
        <w:right w:val="none" w:sz="0" w:space="0" w:color="auto"/>
      </w:divBdr>
    </w:div>
    <w:div w:id="901793625">
      <w:bodyDiv w:val="1"/>
      <w:marLeft w:val="0"/>
      <w:marRight w:val="0"/>
      <w:marTop w:val="0"/>
      <w:marBottom w:val="0"/>
      <w:divBdr>
        <w:top w:val="none" w:sz="0" w:space="0" w:color="auto"/>
        <w:left w:val="none" w:sz="0" w:space="0" w:color="auto"/>
        <w:bottom w:val="none" w:sz="0" w:space="0" w:color="auto"/>
        <w:right w:val="none" w:sz="0" w:space="0" w:color="auto"/>
      </w:divBdr>
    </w:div>
    <w:div w:id="902522259">
      <w:bodyDiv w:val="1"/>
      <w:marLeft w:val="0"/>
      <w:marRight w:val="0"/>
      <w:marTop w:val="0"/>
      <w:marBottom w:val="0"/>
      <w:divBdr>
        <w:top w:val="none" w:sz="0" w:space="0" w:color="auto"/>
        <w:left w:val="none" w:sz="0" w:space="0" w:color="auto"/>
        <w:bottom w:val="none" w:sz="0" w:space="0" w:color="auto"/>
        <w:right w:val="none" w:sz="0" w:space="0" w:color="auto"/>
      </w:divBdr>
    </w:div>
    <w:div w:id="902528346">
      <w:bodyDiv w:val="1"/>
      <w:marLeft w:val="0"/>
      <w:marRight w:val="0"/>
      <w:marTop w:val="0"/>
      <w:marBottom w:val="0"/>
      <w:divBdr>
        <w:top w:val="none" w:sz="0" w:space="0" w:color="auto"/>
        <w:left w:val="none" w:sz="0" w:space="0" w:color="auto"/>
        <w:bottom w:val="none" w:sz="0" w:space="0" w:color="auto"/>
        <w:right w:val="none" w:sz="0" w:space="0" w:color="auto"/>
      </w:divBdr>
    </w:div>
    <w:div w:id="902839529">
      <w:bodyDiv w:val="1"/>
      <w:marLeft w:val="0"/>
      <w:marRight w:val="0"/>
      <w:marTop w:val="0"/>
      <w:marBottom w:val="0"/>
      <w:divBdr>
        <w:top w:val="none" w:sz="0" w:space="0" w:color="auto"/>
        <w:left w:val="none" w:sz="0" w:space="0" w:color="auto"/>
        <w:bottom w:val="none" w:sz="0" w:space="0" w:color="auto"/>
        <w:right w:val="none" w:sz="0" w:space="0" w:color="auto"/>
      </w:divBdr>
    </w:div>
    <w:div w:id="903681647">
      <w:bodyDiv w:val="1"/>
      <w:marLeft w:val="0"/>
      <w:marRight w:val="0"/>
      <w:marTop w:val="0"/>
      <w:marBottom w:val="0"/>
      <w:divBdr>
        <w:top w:val="none" w:sz="0" w:space="0" w:color="auto"/>
        <w:left w:val="none" w:sz="0" w:space="0" w:color="auto"/>
        <w:bottom w:val="none" w:sz="0" w:space="0" w:color="auto"/>
        <w:right w:val="none" w:sz="0" w:space="0" w:color="auto"/>
      </w:divBdr>
    </w:div>
    <w:div w:id="904339358">
      <w:bodyDiv w:val="1"/>
      <w:marLeft w:val="0"/>
      <w:marRight w:val="0"/>
      <w:marTop w:val="0"/>
      <w:marBottom w:val="0"/>
      <w:divBdr>
        <w:top w:val="none" w:sz="0" w:space="0" w:color="auto"/>
        <w:left w:val="none" w:sz="0" w:space="0" w:color="auto"/>
        <w:bottom w:val="none" w:sz="0" w:space="0" w:color="auto"/>
        <w:right w:val="none" w:sz="0" w:space="0" w:color="auto"/>
      </w:divBdr>
    </w:div>
    <w:div w:id="904879933">
      <w:bodyDiv w:val="1"/>
      <w:marLeft w:val="0"/>
      <w:marRight w:val="0"/>
      <w:marTop w:val="0"/>
      <w:marBottom w:val="0"/>
      <w:divBdr>
        <w:top w:val="none" w:sz="0" w:space="0" w:color="auto"/>
        <w:left w:val="none" w:sz="0" w:space="0" w:color="auto"/>
        <w:bottom w:val="none" w:sz="0" w:space="0" w:color="auto"/>
        <w:right w:val="none" w:sz="0" w:space="0" w:color="auto"/>
      </w:divBdr>
    </w:div>
    <w:div w:id="905067584">
      <w:bodyDiv w:val="1"/>
      <w:marLeft w:val="0"/>
      <w:marRight w:val="0"/>
      <w:marTop w:val="0"/>
      <w:marBottom w:val="0"/>
      <w:divBdr>
        <w:top w:val="none" w:sz="0" w:space="0" w:color="auto"/>
        <w:left w:val="none" w:sz="0" w:space="0" w:color="auto"/>
        <w:bottom w:val="none" w:sz="0" w:space="0" w:color="auto"/>
        <w:right w:val="none" w:sz="0" w:space="0" w:color="auto"/>
      </w:divBdr>
    </w:div>
    <w:div w:id="905070939">
      <w:bodyDiv w:val="1"/>
      <w:marLeft w:val="0"/>
      <w:marRight w:val="0"/>
      <w:marTop w:val="0"/>
      <w:marBottom w:val="0"/>
      <w:divBdr>
        <w:top w:val="none" w:sz="0" w:space="0" w:color="auto"/>
        <w:left w:val="none" w:sz="0" w:space="0" w:color="auto"/>
        <w:bottom w:val="none" w:sz="0" w:space="0" w:color="auto"/>
        <w:right w:val="none" w:sz="0" w:space="0" w:color="auto"/>
      </w:divBdr>
    </w:div>
    <w:div w:id="905334685">
      <w:bodyDiv w:val="1"/>
      <w:marLeft w:val="0"/>
      <w:marRight w:val="0"/>
      <w:marTop w:val="0"/>
      <w:marBottom w:val="0"/>
      <w:divBdr>
        <w:top w:val="none" w:sz="0" w:space="0" w:color="auto"/>
        <w:left w:val="none" w:sz="0" w:space="0" w:color="auto"/>
        <w:bottom w:val="none" w:sz="0" w:space="0" w:color="auto"/>
        <w:right w:val="none" w:sz="0" w:space="0" w:color="auto"/>
      </w:divBdr>
    </w:div>
    <w:div w:id="905383920">
      <w:bodyDiv w:val="1"/>
      <w:marLeft w:val="0"/>
      <w:marRight w:val="0"/>
      <w:marTop w:val="0"/>
      <w:marBottom w:val="0"/>
      <w:divBdr>
        <w:top w:val="none" w:sz="0" w:space="0" w:color="auto"/>
        <w:left w:val="none" w:sz="0" w:space="0" w:color="auto"/>
        <w:bottom w:val="none" w:sz="0" w:space="0" w:color="auto"/>
        <w:right w:val="none" w:sz="0" w:space="0" w:color="auto"/>
      </w:divBdr>
    </w:div>
    <w:div w:id="906191096">
      <w:bodyDiv w:val="1"/>
      <w:marLeft w:val="0"/>
      <w:marRight w:val="0"/>
      <w:marTop w:val="0"/>
      <w:marBottom w:val="0"/>
      <w:divBdr>
        <w:top w:val="none" w:sz="0" w:space="0" w:color="auto"/>
        <w:left w:val="none" w:sz="0" w:space="0" w:color="auto"/>
        <w:bottom w:val="none" w:sz="0" w:space="0" w:color="auto"/>
        <w:right w:val="none" w:sz="0" w:space="0" w:color="auto"/>
      </w:divBdr>
    </w:div>
    <w:div w:id="906455581">
      <w:bodyDiv w:val="1"/>
      <w:marLeft w:val="0"/>
      <w:marRight w:val="0"/>
      <w:marTop w:val="0"/>
      <w:marBottom w:val="0"/>
      <w:divBdr>
        <w:top w:val="none" w:sz="0" w:space="0" w:color="auto"/>
        <w:left w:val="none" w:sz="0" w:space="0" w:color="auto"/>
        <w:bottom w:val="none" w:sz="0" w:space="0" w:color="auto"/>
        <w:right w:val="none" w:sz="0" w:space="0" w:color="auto"/>
      </w:divBdr>
    </w:div>
    <w:div w:id="907963084">
      <w:bodyDiv w:val="1"/>
      <w:marLeft w:val="0"/>
      <w:marRight w:val="0"/>
      <w:marTop w:val="0"/>
      <w:marBottom w:val="0"/>
      <w:divBdr>
        <w:top w:val="none" w:sz="0" w:space="0" w:color="auto"/>
        <w:left w:val="none" w:sz="0" w:space="0" w:color="auto"/>
        <w:bottom w:val="none" w:sz="0" w:space="0" w:color="auto"/>
        <w:right w:val="none" w:sz="0" w:space="0" w:color="auto"/>
      </w:divBdr>
    </w:div>
    <w:div w:id="908921590">
      <w:bodyDiv w:val="1"/>
      <w:marLeft w:val="0"/>
      <w:marRight w:val="0"/>
      <w:marTop w:val="0"/>
      <w:marBottom w:val="0"/>
      <w:divBdr>
        <w:top w:val="none" w:sz="0" w:space="0" w:color="auto"/>
        <w:left w:val="none" w:sz="0" w:space="0" w:color="auto"/>
        <w:bottom w:val="none" w:sz="0" w:space="0" w:color="auto"/>
        <w:right w:val="none" w:sz="0" w:space="0" w:color="auto"/>
      </w:divBdr>
    </w:div>
    <w:div w:id="909778394">
      <w:bodyDiv w:val="1"/>
      <w:marLeft w:val="0"/>
      <w:marRight w:val="0"/>
      <w:marTop w:val="0"/>
      <w:marBottom w:val="0"/>
      <w:divBdr>
        <w:top w:val="none" w:sz="0" w:space="0" w:color="auto"/>
        <w:left w:val="none" w:sz="0" w:space="0" w:color="auto"/>
        <w:bottom w:val="none" w:sz="0" w:space="0" w:color="auto"/>
        <w:right w:val="none" w:sz="0" w:space="0" w:color="auto"/>
      </w:divBdr>
    </w:div>
    <w:div w:id="910314411">
      <w:bodyDiv w:val="1"/>
      <w:marLeft w:val="0"/>
      <w:marRight w:val="0"/>
      <w:marTop w:val="0"/>
      <w:marBottom w:val="0"/>
      <w:divBdr>
        <w:top w:val="none" w:sz="0" w:space="0" w:color="auto"/>
        <w:left w:val="none" w:sz="0" w:space="0" w:color="auto"/>
        <w:bottom w:val="none" w:sz="0" w:space="0" w:color="auto"/>
        <w:right w:val="none" w:sz="0" w:space="0" w:color="auto"/>
      </w:divBdr>
    </w:div>
    <w:div w:id="910429092">
      <w:bodyDiv w:val="1"/>
      <w:marLeft w:val="0"/>
      <w:marRight w:val="0"/>
      <w:marTop w:val="0"/>
      <w:marBottom w:val="0"/>
      <w:divBdr>
        <w:top w:val="none" w:sz="0" w:space="0" w:color="auto"/>
        <w:left w:val="none" w:sz="0" w:space="0" w:color="auto"/>
        <w:bottom w:val="none" w:sz="0" w:space="0" w:color="auto"/>
        <w:right w:val="none" w:sz="0" w:space="0" w:color="auto"/>
      </w:divBdr>
    </w:div>
    <w:div w:id="910508117">
      <w:bodyDiv w:val="1"/>
      <w:marLeft w:val="0"/>
      <w:marRight w:val="0"/>
      <w:marTop w:val="0"/>
      <w:marBottom w:val="0"/>
      <w:divBdr>
        <w:top w:val="none" w:sz="0" w:space="0" w:color="auto"/>
        <w:left w:val="none" w:sz="0" w:space="0" w:color="auto"/>
        <w:bottom w:val="none" w:sz="0" w:space="0" w:color="auto"/>
        <w:right w:val="none" w:sz="0" w:space="0" w:color="auto"/>
      </w:divBdr>
    </w:div>
    <w:div w:id="910963420">
      <w:bodyDiv w:val="1"/>
      <w:marLeft w:val="0"/>
      <w:marRight w:val="0"/>
      <w:marTop w:val="0"/>
      <w:marBottom w:val="0"/>
      <w:divBdr>
        <w:top w:val="none" w:sz="0" w:space="0" w:color="auto"/>
        <w:left w:val="none" w:sz="0" w:space="0" w:color="auto"/>
        <w:bottom w:val="none" w:sz="0" w:space="0" w:color="auto"/>
        <w:right w:val="none" w:sz="0" w:space="0" w:color="auto"/>
      </w:divBdr>
    </w:div>
    <w:div w:id="910967428">
      <w:bodyDiv w:val="1"/>
      <w:marLeft w:val="0"/>
      <w:marRight w:val="0"/>
      <w:marTop w:val="0"/>
      <w:marBottom w:val="0"/>
      <w:divBdr>
        <w:top w:val="none" w:sz="0" w:space="0" w:color="auto"/>
        <w:left w:val="none" w:sz="0" w:space="0" w:color="auto"/>
        <w:bottom w:val="none" w:sz="0" w:space="0" w:color="auto"/>
        <w:right w:val="none" w:sz="0" w:space="0" w:color="auto"/>
      </w:divBdr>
    </w:div>
    <w:div w:id="911236803">
      <w:bodyDiv w:val="1"/>
      <w:marLeft w:val="0"/>
      <w:marRight w:val="0"/>
      <w:marTop w:val="0"/>
      <w:marBottom w:val="0"/>
      <w:divBdr>
        <w:top w:val="none" w:sz="0" w:space="0" w:color="auto"/>
        <w:left w:val="none" w:sz="0" w:space="0" w:color="auto"/>
        <w:bottom w:val="none" w:sz="0" w:space="0" w:color="auto"/>
        <w:right w:val="none" w:sz="0" w:space="0" w:color="auto"/>
      </w:divBdr>
    </w:div>
    <w:div w:id="911358125">
      <w:bodyDiv w:val="1"/>
      <w:marLeft w:val="0"/>
      <w:marRight w:val="0"/>
      <w:marTop w:val="0"/>
      <w:marBottom w:val="0"/>
      <w:divBdr>
        <w:top w:val="none" w:sz="0" w:space="0" w:color="auto"/>
        <w:left w:val="none" w:sz="0" w:space="0" w:color="auto"/>
        <w:bottom w:val="none" w:sz="0" w:space="0" w:color="auto"/>
        <w:right w:val="none" w:sz="0" w:space="0" w:color="auto"/>
      </w:divBdr>
    </w:div>
    <w:div w:id="911499510">
      <w:bodyDiv w:val="1"/>
      <w:marLeft w:val="0"/>
      <w:marRight w:val="0"/>
      <w:marTop w:val="0"/>
      <w:marBottom w:val="0"/>
      <w:divBdr>
        <w:top w:val="none" w:sz="0" w:space="0" w:color="auto"/>
        <w:left w:val="none" w:sz="0" w:space="0" w:color="auto"/>
        <w:bottom w:val="none" w:sz="0" w:space="0" w:color="auto"/>
        <w:right w:val="none" w:sz="0" w:space="0" w:color="auto"/>
      </w:divBdr>
    </w:div>
    <w:div w:id="912659603">
      <w:bodyDiv w:val="1"/>
      <w:marLeft w:val="0"/>
      <w:marRight w:val="0"/>
      <w:marTop w:val="0"/>
      <w:marBottom w:val="0"/>
      <w:divBdr>
        <w:top w:val="none" w:sz="0" w:space="0" w:color="auto"/>
        <w:left w:val="none" w:sz="0" w:space="0" w:color="auto"/>
        <w:bottom w:val="none" w:sz="0" w:space="0" w:color="auto"/>
        <w:right w:val="none" w:sz="0" w:space="0" w:color="auto"/>
      </w:divBdr>
    </w:div>
    <w:div w:id="913735544">
      <w:bodyDiv w:val="1"/>
      <w:marLeft w:val="0"/>
      <w:marRight w:val="0"/>
      <w:marTop w:val="0"/>
      <w:marBottom w:val="0"/>
      <w:divBdr>
        <w:top w:val="none" w:sz="0" w:space="0" w:color="auto"/>
        <w:left w:val="none" w:sz="0" w:space="0" w:color="auto"/>
        <w:bottom w:val="none" w:sz="0" w:space="0" w:color="auto"/>
        <w:right w:val="none" w:sz="0" w:space="0" w:color="auto"/>
      </w:divBdr>
    </w:div>
    <w:div w:id="913852798">
      <w:bodyDiv w:val="1"/>
      <w:marLeft w:val="0"/>
      <w:marRight w:val="0"/>
      <w:marTop w:val="0"/>
      <w:marBottom w:val="0"/>
      <w:divBdr>
        <w:top w:val="none" w:sz="0" w:space="0" w:color="auto"/>
        <w:left w:val="none" w:sz="0" w:space="0" w:color="auto"/>
        <w:bottom w:val="none" w:sz="0" w:space="0" w:color="auto"/>
        <w:right w:val="none" w:sz="0" w:space="0" w:color="auto"/>
      </w:divBdr>
    </w:div>
    <w:div w:id="913853197">
      <w:bodyDiv w:val="1"/>
      <w:marLeft w:val="0"/>
      <w:marRight w:val="0"/>
      <w:marTop w:val="0"/>
      <w:marBottom w:val="0"/>
      <w:divBdr>
        <w:top w:val="none" w:sz="0" w:space="0" w:color="auto"/>
        <w:left w:val="none" w:sz="0" w:space="0" w:color="auto"/>
        <w:bottom w:val="none" w:sz="0" w:space="0" w:color="auto"/>
        <w:right w:val="none" w:sz="0" w:space="0" w:color="auto"/>
      </w:divBdr>
    </w:div>
    <w:div w:id="914705042">
      <w:bodyDiv w:val="1"/>
      <w:marLeft w:val="0"/>
      <w:marRight w:val="0"/>
      <w:marTop w:val="0"/>
      <w:marBottom w:val="0"/>
      <w:divBdr>
        <w:top w:val="none" w:sz="0" w:space="0" w:color="auto"/>
        <w:left w:val="none" w:sz="0" w:space="0" w:color="auto"/>
        <w:bottom w:val="none" w:sz="0" w:space="0" w:color="auto"/>
        <w:right w:val="none" w:sz="0" w:space="0" w:color="auto"/>
      </w:divBdr>
    </w:div>
    <w:div w:id="915359842">
      <w:bodyDiv w:val="1"/>
      <w:marLeft w:val="0"/>
      <w:marRight w:val="0"/>
      <w:marTop w:val="0"/>
      <w:marBottom w:val="0"/>
      <w:divBdr>
        <w:top w:val="none" w:sz="0" w:space="0" w:color="auto"/>
        <w:left w:val="none" w:sz="0" w:space="0" w:color="auto"/>
        <w:bottom w:val="none" w:sz="0" w:space="0" w:color="auto"/>
        <w:right w:val="none" w:sz="0" w:space="0" w:color="auto"/>
      </w:divBdr>
    </w:div>
    <w:div w:id="915474726">
      <w:bodyDiv w:val="1"/>
      <w:marLeft w:val="0"/>
      <w:marRight w:val="0"/>
      <w:marTop w:val="0"/>
      <w:marBottom w:val="0"/>
      <w:divBdr>
        <w:top w:val="none" w:sz="0" w:space="0" w:color="auto"/>
        <w:left w:val="none" w:sz="0" w:space="0" w:color="auto"/>
        <w:bottom w:val="none" w:sz="0" w:space="0" w:color="auto"/>
        <w:right w:val="none" w:sz="0" w:space="0" w:color="auto"/>
      </w:divBdr>
    </w:div>
    <w:div w:id="915631375">
      <w:bodyDiv w:val="1"/>
      <w:marLeft w:val="0"/>
      <w:marRight w:val="0"/>
      <w:marTop w:val="0"/>
      <w:marBottom w:val="0"/>
      <w:divBdr>
        <w:top w:val="none" w:sz="0" w:space="0" w:color="auto"/>
        <w:left w:val="none" w:sz="0" w:space="0" w:color="auto"/>
        <w:bottom w:val="none" w:sz="0" w:space="0" w:color="auto"/>
        <w:right w:val="none" w:sz="0" w:space="0" w:color="auto"/>
      </w:divBdr>
    </w:div>
    <w:div w:id="915893969">
      <w:bodyDiv w:val="1"/>
      <w:marLeft w:val="0"/>
      <w:marRight w:val="0"/>
      <w:marTop w:val="0"/>
      <w:marBottom w:val="0"/>
      <w:divBdr>
        <w:top w:val="none" w:sz="0" w:space="0" w:color="auto"/>
        <w:left w:val="none" w:sz="0" w:space="0" w:color="auto"/>
        <w:bottom w:val="none" w:sz="0" w:space="0" w:color="auto"/>
        <w:right w:val="none" w:sz="0" w:space="0" w:color="auto"/>
      </w:divBdr>
    </w:div>
    <w:div w:id="916016751">
      <w:bodyDiv w:val="1"/>
      <w:marLeft w:val="0"/>
      <w:marRight w:val="0"/>
      <w:marTop w:val="0"/>
      <w:marBottom w:val="0"/>
      <w:divBdr>
        <w:top w:val="none" w:sz="0" w:space="0" w:color="auto"/>
        <w:left w:val="none" w:sz="0" w:space="0" w:color="auto"/>
        <w:bottom w:val="none" w:sz="0" w:space="0" w:color="auto"/>
        <w:right w:val="none" w:sz="0" w:space="0" w:color="auto"/>
      </w:divBdr>
    </w:div>
    <w:div w:id="916478577">
      <w:bodyDiv w:val="1"/>
      <w:marLeft w:val="0"/>
      <w:marRight w:val="0"/>
      <w:marTop w:val="0"/>
      <w:marBottom w:val="0"/>
      <w:divBdr>
        <w:top w:val="none" w:sz="0" w:space="0" w:color="auto"/>
        <w:left w:val="none" w:sz="0" w:space="0" w:color="auto"/>
        <w:bottom w:val="none" w:sz="0" w:space="0" w:color="auto"/>
        <w:right w:val="none" w:sz="0" w:space="0" w:color="auto"/>
      </w:divBdr>
    </w:div>
    <w:div w:id="916672838">
      <w:bodyDiv w:val="1"/>
      <w:marLeft w:val="0"/>
      <w:marRight w:val="0"/>
      <w:marTop w:val="0"/>
      <w:marBottom w:val="0"/>
      <w:divBdr>
        <w:top w:val="none" w:sz="0" w:space="0" w:color="auto"/>
        <w:left w:val="none" w:sz="0" w:space="0" w:color="auto"/>
        <w:bottom w:val="none" w:sz="0" w:space="0" w:color="auto"/>
        <w:right w:val="none" w:sz="0" w:space="0" w:color="auto"/>
      </w:divBdr>
    </w:div>
    <w:div w:id="917716036">
      <w:bodyDiv w:val="1"/>
      <w:marLeft w:val="0"/>
      <w:marRight w:val="0"/>
      <w:marTop w:val="0"/>
      <w:marBottom w:val="0"/>
      <w:divBdr>
        <w:top w:val="none" w:sz="0" w:space="0" w:color="auto"/>
        <w:left w:val="none" w:sz="0" w:space="0" w:color="auto"/>
        <w:bottom w:val="none" w:sz="0" w:space="0" w:color="auto"/>
        <w:right w:val="none" w:sz="0" w:space="0" w:color="auto"/>
      </w:divBdr>
    </w:div>
    <w:div w:id="918248793">
      <w:bodyDiv w:val="1"/>
      <w:marLeft w:val="0"/>
      <w:marRight w:val="0"/>
      <w:marTop w:val="0"/>
      <w:marBottom w:val="0"/>
      <w:divBdr>
        <w:top w:val="none" w:sz="0" w:space="0" w:color="auto"/>
        <w:left w:val="none" w:sz="0" w:space="0" w:color="auto"/>
        <w:bottom w:val="none" w:sz="0" w:space="0" w:color="auto"/>
        <w:right w:val="none" w:sz="0" w:space="0" w:color="auto"/>
      </w:divBdr>
    </w:div>
    <w:div w:id="918830380">
      <w:bodyDiv w:val="1"/>
      <w:marLeft w:val="0"/>
      <w:marRight w:val="0"/>
      <w:marTop w:val="0"/>
      <w:marBottom w:val="0"/>
      <w:divBdr>
        <w:top w:val="none" w:sz="0" w:space="0" w:color="auto"/>
        <w:left w:val="none" w:sz="0" w:space="0" w:color="auto"/>
        <w:bottom w:val="none" w:sz="0" w:space="0" w:color="auto"/>
        <w:right w:val="none" w:sz="0" w:space="0" w:color="auto"/>
      </w:divBdr>
    </w:div>
    <w:div w:id="919678516">
      <w:bodyDiv w:val="1"/>
      <w:marLeft w:val="0"/>
      <w:marRight w:val="0"/>
      <w:marTop w:val="0"/>
      <w:marBottom w:val="0"/>
      <w:divBdr>
        <w:top w:val="none" w:sz="0" w:space="0" w:color="auto"/>
        <w:left w:val="none" w:sz="0" w:space="0" w:color="auto"/>
        <w:bottom w:val="none" w:sz="0" w:space="0" w:color="auto"/>
        <w:right w:val="none" w:sz="0" w:space="0" w:color="auto"/>
      </w:divBdr>
    </w:div>
    <w:div w:id="919828740">
      <w:bodyDiv w:val="1"/>
      <w:marLeft w:val="0"/>
      <w:marRight w:val="0"/>
      <w:marTop w:val="0"/>
      <w:marBottom w:val="0"/>
      <w:divBdr>
        <w:top w:val="none" w:sz="0" w:space="0" w:color="auto"/>
        <w:left w:val="none" w:sz="0" w:space="0" w:color="auto"/>
        <w:bottom w:val="none" w:sz="0" w:space="0" w:color="auto"/>
        <w:right w:val="none" w:sz="0" w:space="0" w:color="auto"/>
      </w:divBdr>
    </w:div>
    <w:div w:id="919945497">
      <w:bodyDiv w:val="1"/>
      <w:marLeft w:val="0"/>
      <w:marRight w:val="0"/>
      <w:marTop w:val="0"/>
      <w:marBottom w:val="0"/>
      <w:divBdr>
        <w:top w:val="none" w:sz="0" w:space="0" w:color="auto"/>
        <w:left w:val="none" w:sz="0" w:space="0" w:color="auto"/>
        <w:bottom w:val="none" w:sz="0" w:space="0" w:color="auto"/>
        <w:right w:val="none" w:sz="0" w:space="0" w:color="auto"/>
      </w:divBdr>
    </w:div>
    <w:div w:id="920260597">
      <w:bodyDiv w:val="1"/>
      <w:marLeft w:val="0"/>
      <w:marRight w:val="0"/>
      <w:marTop w:val="0"/>
      <w:marBottom w:val="0"/>
      <w:divBdr>
        <w:top w:val="none" w:sz="0" w:space="0" w:color="auto"/>
        <w:left w:val="none" w:sz="0" w:space="0" w:color="auto"/>
        <w:bottom w:val="none" w:sz="0" w:space="0" w:color="auto"/>
        <w:right w:val="none" w:sz="0" w:space="0" w:color="auto"/>
      </w:divBdr>
    </w:div>
    <w:div w:id="920794877">
      <w:bodyDiv w:val="1"/>
      <w:marLeft w:val="0"/>
      <w:marRight w:val="0"/>
      <w:marTop w:val="0"/>
      <w:marBottom w:val="0"/>
      <w:divBdr>
        <w:top w:val="none" w:sz="0" w:space="0" w:color="auto"/>
        <w:left w:val="none" w:sz="0" w:space="0" w:color="auto"/>
        <w:bottom w:val="none" w:sz="0" w:space="0" w:color="auto"/>
        <w:right w:val="none" w:sz="0" w:space="0" w:color="auto"/>
      </w:divBdr>
    </w:div>
    <w:div w:id="920993644">
      <w:bodyDiv w:val="1"/>
      <w:marLeft w:val="0"/>
      <w:marRight w:val="0"/>
      <w:marTop w:val="0"/>
      <w:marBottom w:val="0"/>
      <w:divBdr>
        <w:top w:val="none" w:sz="0" w:space="0" w:color="auto"/>
        <w:left w:val="none" w:sz="0" w:space="0" w:color="auto"/>
        <w:bottom w:val="none" w:sz="0" w:space="0" w:color="auto"/>
        <w:right w:val="none" w:sz="0" w:space="0" w:color="auto"/>
      </w:divBdr>
    </w:div>
    <w:div w:id="921111847">
      <w:bodyDiv w:val="1"/>
      <w:marLeft w:val="0"/>
      <w:marRight w:val="0"/>
      <w:marTop w:val="0"/>
      <w:marBottom w:val="0"/>
      <w:divBdr>
        <w:top w:val="none" w:sz="0" w:space="0" w:color="auto"/>
        <w:left w:val="none" w:sz="0" w:space="0" w:color="auto"/>
        <w:bottom w:val="none" w:sz="0" w:space="0" w:color="auto"/>
        <w:right w:val="none" w:sz="0" w:space="0" w:color="auto"/>
      </w:divBdr>
    </w:div>
    <w:div w:id="921334440">
      <w:bodyDiv w:val="1"/>
      <w:marLeft w:val="0"/>
      <w:marRight w:val="0"/>
      <w:marTop w:val="0"/>
      <w:marBottom w:val="0"/>
      <w:divBdr>
        <w:top w:val="none" w:sz="0" w:space="0" w:color="auto"/>
        <w:left w:val="none" w:sz="0" w:space="0" w:color="auto"/>
        <w:bottom w:val="none" w:sz="0" w:space="0" w:color="auto"/>
        <w:right w:val="none" w:sz="0" w:space="0" w:color="auto"/>
      </w:divBdr>
    </w:div>
    <w:div w:id="921524477">
      <w:bodyDiv w:val="1"/>
      <w:marLeft w:val="0"/>
      <w:marRight w:val="0"/>
      <w:marTop w:val="0"/>
      <w:marBottom w:val="0"/>
      <w:divBdr>
        <w:top w:val="none" w:sz="0" w:space="0" w:color="auto"/>
        <w:left w:val="none" w:sz="0" w:space="0" w:color="auto"/>
        <w:bottom w:val="none" w:sz="0" w:space="0" w:color="auto"/>
        <w:right w:val="none" w:sz="0" w:space="0" w:color="auto"/>
      </w:divBdr>
    </w:div>
    <w:div w:id="921991332">
      <w:bodyDiv w:val="1"/>
      <w:marLeft w:val="0"/>
      <w:marRight w:val="0"/>
      <w:marTop w:val="0"/>
      <w:marBottom w:val="0"/>
      <w:divBdr>
        <w:top w:val="none" w:sz="0" w:space="0" w:color="auto"/>
        <w:left w:val="none" w:sz="0" w:space="0" w:color="auto"/>
        <w:bottom w:val="none" w:sz="0" w:space="0" w:color="auto"/>
        <w:right w:val="none" w:sz="0" w:space="0" w:color="auto"/>
      </w:divBdr>
    </w:div>
    <w:div w:id="922304298">
      <w:bodyDiv w:val="1"/>
      <w:marLeft w:val="0"/>
      <w:marRight w:val="0"/>
      <w:marTop w:val="0"/>
      <w:marBottom w:val="0"/>
      <w:divBdr>
        <w:top w:val="none" w:sz="0" w:space="0" w:color="auto"/>
        <w:left w:val="none" w:sz="0" w:space="0" w:color="auto"/>
        <w:bottom w:val="none" w:sz="0" w:space="0" w:color="auto"/>
        <w:right w:val="none" w:sz="0" w:space="0" w:color="auto"/>
      </w:divBdr>
    </w:div>
    <w:div w:id="922569292">
      <w:bodyDiv w:val="1"/>
      <w:marLeft w:val="0"/>
      <w:marRight w:val="0"/>
      <w:marTop w:val="0"/>
      <w:marBottom w:val="0"/>
      <w:divBdr>
        <w:top w:val="none" w:sz="0" w:space="0" w:color="auto"/>
        <w:left w:val="none" w:sz="0" w:space="0" w:color="auto"/>
        <w:bottom w:val="none" w:sz="0" w:space="0" w:color="auto"/>
        <w:right w:val="none" w:sz="0" w:space="0" w:color="auto"/>
      </w:divBdr>
    </w:div>
    <w:div w:id="922689824">
      <w:bodyDiv w:val="1"/>
      <w:marLeft w:val="0"/>
      <w:marRight w:val="0"/>
      <w:marTop w:val="0"/>
      <w:marBottom w:val="0"/>
      <w:divBdr>
        <w:top w:val="none" w:sz="0" w:space="0" w:color="auto"/>
        <w:left w:val="none" w:sz="0" w:space="0" w:color="auto"/>
        <w:bottom w:val="none" w:sz="0" w:space="0" w:color="auto"/>
        <w:right w:val="none" w:sz="0" w:space="0" w:color="auto"/>
      </w:divBdr>
    </w:div>
    <w:div w:id="923027259">
      <w:bodyDiv w:val="1"/>
      <w:marLeft w:val="0"/>
      <w:marRight w:val="0"/>
      <w:marTop w:val="0"/>
      <w:marBottom w:val="0"/>
      <w:divBdr>
        <w:top w:val="none" w:sz="0" w:space="0" w:color="auto"/>
        <w:left w:val="none" w:sz="0" w:space="0" w:color="auto"/>
        <w:bottom w:val="none" w:sz="0" w:space="0" w:color="auto"/>
        <w:right w:val="none" w:sz="0" w:space="0" w:color="auto"/>
      </w:divBdr>
    </w:div>
    <w:div w:id="923103286">
      <w:bodyDiv w:val="1"/>
      <w:marLeft w:val="0"/>
      <w:marRight w:val="0"/>
      <w:marTop w:val="0"/>
      <w:marBottom w:val="0"/>
      <w:divBdr>
        <w:top w:val="none" w:sz="0" w:space="0" w:color="auto"/>
        <w:left w:val="none" w:sz="0" w:space="0" w:color="auto"/>
        <w:bottom w:val="none" w:sz="0" w:space="0" w:color="auto"/>
        <w:right w:val="none" w:sz="0" w:space="0" w:color="auto"/>
      </w:divBdr>
    </w:div>
    <w:div w:id="923343586">
      <w:bodyDiv w:val="1"/>
      <w:marLeft w:val="0"/>
      <w:marRight w:val="0"/>
      <w:marTop w:val="0"/>
      <w:marBottom w:val="0"/>
      <w:divBdr>
        <w:top w:val="none" w:sz="0" w:space="0" w:color="auto"/>
        <w:left w:val="none" w:sz="0" w:space="0" w:color="auto"/>
        <w:bottom w:val="none" w:sz="0" w:space="0" w:color="auto"/>
        <w:right w:val="none" w:sz="0" w:space="0" w:color="auto"/>
      </w:divBdr>
    </w:div>
    <w:div w:id="923689786">
      <w:bodyDiv w:val="1"/>
      <w:marLeft w:val="0"/>
      <w:marRight w:val="0"/>
      <w:marTop w:val="0"/>
      <w:marBottom w:val="0"/>
      <w:divBdr>
        <w:top w:val="none" w:sz="0" w:space="0" w:color="auto"/>
        <w:left w:val="none" w:sz="0" w:space="0" w:color="auto"/>
        <w:bottom w:val="none" w:sz="0" w:space="0" w:color="auto"/>
        <w:right w:val="none" w:sz="0" w:space="0" w:color="auto"/>
      </w:divBdr>
    </w:div>
    <w:div w:id="924345526">
      <w:bodyDiv w:val="1"/>
      <w:marLeft w:val="0"/>
      <w:marRight w:val="0"/>
      <w:marTop w:val="0"/>
      <w:marBottom w:val="0"/>
      <w:divBdr>
        <w:top w:val="none" w:sz="0" w:space="0" w:color="auto"/>
        <w:left w:val="none" w:sz="0" w:space="0" w:color="auto"/>
        <w:bottom w:val="none" w:sz="0" w:space="0" w:color="auto"/>
        <w:right w:val="none" w:sz="0" w:space="0" w:color="auto"/>
      </w:divBdr>
    </w:div>
    <w:div w:id="924726107">
      <w:bodyDiv w:val="1"/>
      <w:marLeft w:val="0"/>
      <w:marRight w:val="0"/>
      <w:marTop w:val="0"/>
      <w:marBottom w:val="0"/>
      <w:divBdr>
        <w:top w:val="none" w:sz="0" w:space="0" w:color="auto"/>
        <w:left w:val="none" w:sz="0" w:space="0" w:color="auto"/>
        <w:bottom w:val="none" w:sz="0" w:space="0" w:color="auto"/>
        <w:right w:val="none" w:sz="0" w:space="0" w:color="auto"/>
      </w:divBdr>
    </w:div>
    <w:div w:id="925773594">
      <w:bodyDiv w:val="1"/>
      <w:marLeft w:val="0"/>
      <w:marRight w:val="0"/>
      <w:marTop w:val="0"/>
      <w:marBottom w:val="0"/>
      <w:divBdr>
        <w:top w:val="none" w:sz="0" w:space="0" w:color="auto"/>
        <w:left w:val="none" w:sz="0" w:space="0" w:color="auto"/>
        <w:bottom w:val="none" w:sz="0" w:space="0" w:color="auto"/>
        <w:right w:val="none" w:sz="0" w:space="0" w:color="auto"/>
      </w:divBdr>
    </w:div>
    <w:div w:id="926426531">
      <w:bodyDiv w:val="1"/>
      <w:marLeft w:val="0"/>
      <w:marRight w:val="0"/>
      <w:marTop w:val="0"/>
      <w:marBottom w:val="0"/>
      <w:divBdr>
        <w:top w:val="none" w:sz="0" w:space="0" w:color="auto"/>
        <w:left w:val="none" w:sz="0" w:space="0" w:color="auto"/>
        <w:bottom w:val="none" w:sz="0" w:space="0" w:color="auto"/>
        <w:right w:val="none" w:sz="0" w:space="0" w:color="auto"/>
      </w:divBdr>
    </w:div>
    <w:div w:id="926960825">
      <w:bodyDiv w:val="1"/>
      <w:marLeft w:val="0"/>
      <w:marRight w:val="0"/>
      <w:marTop w:val="0"/>
      <w:marBottom w:val="0"/>
      <w:divBdr>
        <w:top w:val="none" w:sz="0" w:space="0" w:color="auto"/>
        <w:left w:val="none" w:sz="0" w:space="0" w:color="auto"/>
        <w:bottom w:val="none" w:sz="0" w:space="0" w:color="auto"/>
        <w:right w:val="none" w:sz="0" w:space="0" w:color="auto"/>
      </w:divBdr>
    </w:div>
    <w:div w:id="927153100">
      <w:bodyDiv w:val="1"/>
      <w:marLeft w:val="0"/>
      <w:marRight w:val="0"/>
      <w:marTop w:val="0"/>
      <w:marBottom w:val="0"/>
      <w:divBdr>
        <w:top w:val="none" w:sz="0" w:space="0" w:color="auto"/>
        <w:left w:val="none" w:sz="0" w:space="0" w:color="auto"/>
        <w:bottom w:val="none" w:sz="0" w:space="0" w:color="auto"/>
        <w:right w:val="none" w:sz="0" w:space="0" w:color="auto"/>
      </w:divBdr>
    </w:div>
    <w:div w:id="927227169">
      <w:bodyDiv w:val="1"/>
      <w:marLeft w:val="0"/>
      <w:marRight w:val="0"/>
      <w:marTop w:val="0"/>
      <w:marBottom w:val="0"/>
      <w:divBdr>
        <w:top w:val="none" w:sz="0" w:space="0" w:color="auto"/>
        <w:left w:val="none" w:sz="0" w:space="0" w:color="auto"/>
        <w:bottom w:val="none" w:sz="0" w:space="0" w:color="auto"/>
        <w:right w:val="none" w:sz="0" w:space="0" w:color="auto"/>
      </w:divBdr>
    </w:div>
    <w:div w:id="927691444">
      <w:bodyDiv w:val="1"/>
      <w:marLeft w:val="0"/>
      <w:marRight w:val="0"/>
      <w:marTop w:val="0"/>
      <w:marBottom w:val="0"/>
      <w:divBdr>
        <w:top w:val="none" w:sz="0" w:space="0" w:color="auto"/>
        <w:left w:val="none" w:sz="0" w:space="0" w:color="auto"/>
        <w:bottom w:val="none" w:sz="0" w:space="0" w:color="auto"/>
        <w:right w:val="none" w:sz="0" w:space="0" w:color="auto"/>
      </w:divBdr>
    </w:div>
    <w:div w:id="927808834">
      <w:bodyDiv w:val="1"/>
      <w:marLeft w:val="0"/>
      <w:marRight w:val="0"/>
      <w:marTop w:val="0"/>
      <w:marBottom w:val="0"/>
      <w:divBdr>
        <w:top w:val="none" w:sz="0" w:space="0" w:color="auto"/>
        <w:left w:val="none" w:sz="0" w:space="0" w:color="auto"/>
        <w:bottom w:val="none" w:sz="0" w:space="0" w:color="auto"/>
        <w:right w:val="none" w:sz="0" w:space="0" w:color="auto"/>
      </w:divBdr>
    </w:div>
    <w:div w:id="928150148">
      <w:bodyDiv w:val="1"/>
      <w:marLeft w:val="0"/>
      <w:marRight w:val="0"/>
      <w:marTop w:val="0"/>
      <w:marBottom w:val="0"/>
      <w:divBdr>
        <w:top w:val="none" w:sz="0" w:space="0" w:color="auto"/>
        <w:left w:val="none" w:sz="0" w:space="0" w:color="auto"/>
        <w:bottom w:val="none" w:sz="0" w:space="0" w:color="auto"/>
        <w:right w:val="none" w:sz="0" w:space="0" w:color="auto"/>
      </w:divBdr>
    </w:div>
    <w:div w:id="928200272">
      <w:bodyDiv w:val="1"/>
      <w:marLeft w:val="0"/>
      <w:marRight w:val="0"/>
      <w:marTop w:val="0"/>
      <w:marBottom w:val="0"/>
      <w:divBdr>
        <w:top w:val="none" w:sz="0" w:space="0" w:color="auto"/>
        <w:left w:val="none" w:sz="0" w:space="0" w:color="auto"/>
        <w:bottom w:val="none" w:sz="0" w:space="0" w:color="auto"/>
        <w:right w:val="none" w:sz="0" w:space="0" w:color="auto"/>
      </w:divBdr>
    </w:div>
    <w:div w:id="928930376">
      <w:bodyDiv w:val="1"/>
      <w:marLeft w:val="0"/>
      <w:marRight w:val="0"/>
      <w:marTop w:val="0"/>
      <w:marBottom w:val="0"/>
      <w:divBdr>
        <w:top w:val="none" w:sz="0" w:space="0" w:color="auto"/>
        <w:left w:val="none" w:sz="0" w:space="0" w:color="auto"/>
        <w:bottom w:val="none" w:sz="0" w:space="0" w:color="auto"/>
        <w:right w:val="none" w:sz="0" w:space="0" w:color="auto"/>
      </w:divBdr>
    </w:div>
    <w:div w:id="929777851">
      <w:bodyDiv w:val="1"/>
      <w:marLeft w:val="0"/>
      <w:marRight w:val="0"/>
      <w:marTop w:val="0"/>
      <w:marBottom w:val="0"/>
      <w:divBdr>
        <w:top w:val="none" w:sz="0" w:space="0" w:color="auto"/>
        <w:left w:val="none" w:sz="0" w:space="0" w:color="auto"/>
        <w:bottom w:val="none" w:sz="0" w:space="0" w:color="auto"/>
        <w:right w:val="none" w:sz="0" w:space="0" w:color="auto"/>
      </w:divBdr>
    </w:div>
    <w:div w:id="930309277">
      <w:bodyDiv w:val="1"/>
      <w:marLeft w:val="0"/>
      <w:marRight w:val="0"/>
      <w:marTop w:val="0"/>
      <w:marBottom w:val="0"/>
      <w:divBdr>
        <w:top w:val="none" w:sz="0" w:space="0" w:color="auto"/>
        <w:left w:val="none" w:sz="0" w:space="0" w:color="auto"/>
        <w:bottom w:val="none" w:sz="0" w:space="0" w:color="auto"/>
        <w:right w:val="none" w:sz="0" w:space="0" w:color="auto"/>
      </w:divBdr>
    </w:div>
    <w:div w:id="930548203">
      <w:bodyDiv w:val="1"/>
      <w:marLeft w:val="0"/>
      <w:marRight w:val="0"/>
      <w:marTop w:val="0"/>
      <w:marBottom w:val="0"/>
      <w:divBdr>
        <w:top w:val="none" w:sz="0" w:space="0" w:color="auto"/>
        <w:left w:val="none" w:sz="0" w:space="0" w:color="auto"/>
        <w:bottom w:val="none" w:sz="0" w:space="0" w:color="auto"/>
        <w:right w:val="none" w:sz="0" w:space="0" w:color="auto"/>
      </w:divBdr>
    </w:div>
    <w:div w:id="930891611">
      <w:bodyDiv w:val="1"/>
      <w:marLeft w:val="0"/>
      <w:marRight w:val="0"/>
      <w:marTop w:val="0"/>
      <w:marBottom w:val="0"/>
      <w:divBdr>
        <w:top w:val="none" w:sz="0" w:space="0" w:color="auto"/>
        <w:left w:val="none" w:sz="0" w:space="0" w:color="auto"/>
        <w:bottom w:val="none" w:sz="0" w:space="0" w:color="auto"/>
        <w:right w:val="none" w:sz="0" w:space="0" w:color="auto"/>
      </w:divBdr>
    </w:div>
    <w:div w:id="931081982">
      <w:bodyDiv w:val="1"/>
      <w:marLeft w:val="0"/>
      <w:marRight w:val="0"/>
      <w:marTop w:val="0"/>
      <w:marBottom w:val="0"/>
      <w:divBdr>
        <w:top w:val="none" w:sz="0" w:space="0" w:color="auto"/>
        <w:left w:val="none" w:sz="0" w:space="0" w:color="auto"/>
        <w:bottom w:val="none" w:sz="0" w:space="0" w:color="auto"/>
        <w:right w:val="none" w:sz="0" w:space="0" w:color="auto"/>
      </w:divBdr>
    </w:div>
    <w:div w:id="931205625">
      <w:bodyDiv w:val="1"/>
      <w:marLeft w:val="0"/>
      <w:marRight w:val="0"/>
      <w:marTop w:val="0"/>
      <w:marBottom w:val="0"/>
      <w:divBdr>
        <w:top w:val="none" w:sz="0" w:space="0" w:color="auto"/>
        <w:left w:val="none" w:sz="0" w:space="0" w:color="auto"/>
        <w:bottom w:val="none" w:sz="0" w:space="0" w:color="auto"/>
        <w:right w:val="none" w:sz="0" w:space="0" w:color="auto"/>
      </w:divBdr>
    </w:div>
    <w:div w:id="931936878">
      <w:bodyDiv w:val="1"/>
      <w:marLeft w:val="0"/>
      <w:marRight w:val="0"/>
      <w:marTop w:val="0"/>
      <w:marBottom w:val="0"/>
      <w:divBdr>
        <w:top w:val="none" w:sz="0" w:space="0" w:color="auto"/>
        <w:left w:val="none" w:sz="0" w:space="0" w:color="auto"/>
        <w:bottom w:val="none" w:sz="0" w:space="0" w:color="auto"/>
        <w:right w:val="none" w:sz="0" w:space="0" w:color="auto"/>
      </w:divBdr>
    </w:div>
    <w:div w:id="932250442">
      <w:bodyDiv w:val="1"/>
      <w:marLeft w:val="0"/>
      <w:marRight w:val="0"/>
      <w:marTop w:val="0"/>
      <w:marBottom w:val="0"/>
      <w:divBdr>
        <w:top w:val="none" w:sz="0" w:space="0" w:color="auto"/>
        <w:left w:val="none" w:sz="0" w:space="0" w:color="auto"/>
        <w:bottom w:val="none" w:sz="0" w:space="0" w:color="auto"/>
        <w:right w:val="none" w:sz="0" w:space="0" w:color="auto"/>
      </w:divBdr>
    </w:div>
    <w:div w:id="932395696">
      <w:bodyDiv w:val="1"/>
      <w:marLeft w:val="0"/>
      <w:marRight w:val="0"/>
      <w:marTop w:val="0"/>
      <w:marBottom w:val="0"/>
      <w:divBdr>
        <w:top w:val="none" w:sz="0" w:space="0" w:color="auto"/>
        <w:left w:val="none" w:sz="0" w:space="0" w:color="auto"/>
        <w:bottom w:val="none" w:sz="0" w:space="0" w:color="auto"/>
        <w:right w:val="none" w:sz="0" w:space="0" w:color="auto"/>
      </w:divBdr>
    </w:div>
    <w:div w:id="933779189">
      <w:bodyDiv w:val="1"/>
      <w:marLeft w:val="0"/>
      <w:marRight w:val="0"/>
      <w:marTop w:val="0"/>
      <w:marBottom w:val="0"/>
      <w:divBdr>
        <w:top w:val="none" w:sz="0" w:space="0" w:color="auto"/>
        <w:left w:val="none" w:sz="0" w:space="0" w:color="auto"/>
        <w:bottom w:val="none" w:sz="0" w:space="0" w:color="auto"/>
        <w:right w:val="none" w:sz="0" w:space="0" w:color="auto"/>
      </w:divBdr>
    </w:div>
    <w:div w:id="933782861">
      <w:bodyDiv w:val="1"/>
      <w:marLeft w:val="0"/>
      <w:marRight w:val="0"/>
      <w:marTop w:val="0"/>
      <w:marBottom w:val="0"/>
      <w:divBdr>
        <w:top w:val="none" w:sz="0" w:space="0" w:color="auto"/>
        <w:left w:val="none" w:sz="0" w:space="0" w:color="auto"/>
        <w:bottom w:val="none" w:sz="0" w:space="0" w:color="auto"/>
        <w:right w:val="none" w:sz="0" w:space="0" w:color="auto"/>
      </w:divBdr>
    </w:div>
    <w:div w:id="933896908">
      <w:bodyDiv w:val="1"/>
      <w:marLeft w:val="0"/>
      <w:marRight w:val="0"/>
      <w:marTop w:val="0"/>
      <w:marBottom w:val="0"/>
      <w:divBdr>
        <w:top w:val="none" w:sz="0" w:space="0" w:color="auto"/>
        <w:left w:val="none" w:sz="0" w:space="0" w:color="auto"/>
        <w:bottom w:val="none" w:sz="0" w:space="0" w:color="auto"/>
        <w:right w:val="none" w:sz="0" w:space="0" w:color="auto"/>
      </w:divBdr>
    </w:div>
    <w:div w:id="934098319">
      <w:bodyDiv w:val="1"/>
      <w:marLeft w:val="0"/>
      <w:marRight w:val="0"/>
      <w:marTop w:val="0"/>
      <w:marBottom w:val="0"/>
      <w:divBdr>
        <w:top w:val="none" w:sz="0" w:space="0" w:color="auto"/>
        <w:left w:val="none" w:sz="0" w:space="0" w:color="auto"/>
        <w:bottom w:val="none" w:sz="0" w:space="0" w:color="auto"/>
        <w:right w:val="none" w:sz="0" w:space="0" w:color="auto"/>
      </w:divBdr>
    </w:div>
    <w:div w:id="934559281">
      <w:bodyDiv w:val="1"/>
      <w:marLeft w:val="0"/>
      <w:marRight w:val="0"/>
      <w:marTop w:val="0"/>
      <w:marBottom w:val="0"/>
      <w:divBdr>
        <w:top w:val="none" w:sz="0" w:space="0" w:color="auto"/>
        <w:left w:val="none" w:sz="0" w:space="0" w:color="auto"/>
        <w:bottom w:val="none" w:sz="0" w:space="0" w:color="auto"/>
        <w:right w:val="none" w:sz="0" w:space="0" w:color="auto"/>
      </w:divBdr>
    </w:div>
    <w:div w:id="934748869">
      <w:bodyDiv w:val="1"/>
      <w:marLeft w:val="0"/>
      <w:marRight w:val="0"/>
      <w:marTop w:val="0"/>
      <w:marBottom w:val="0"/>
      <w:divBdr>
        <w:top w:val="none" w:sz="0" w:space="0" w:color="auto"/>
        <w:left w:val="none" w:sz="0" w:space="0" w:color="auto"/>
        <w:bottom w:val="none" w:sz="0" w:space="0" w:color="auto"/>
        <w:right w:val="none" w:sz="0" w:space="0" w:color="auto"/>
      </w:divBdr>
    </w:div>
    <w:div w:id="934946229">
      <w:bodyDiv w:val="1"/>
      <w:marLeft w:val="0"/>
      <w:marRight w:val="0"/>
      <w:marTop w:val="0"/>
      <w:marBottom w:val="0"/>
      <w:divBdr>
        <w:top w:val="none" w:sz="0" w:space="0" w:color="auto"/>
        <w:left w:val="none" w:sz="0" w:space="0" w:color="auto"/>
        <w:bottom w:val="none" w:sz="0" w:space="0" w:color="auto"/>
        <w:right w:val="none" w:sz="0" w:space="0" w:color="auto"/>
      </w:divBdr>
    </w:div>
    <w:div w:id="935016748">
      <w:bodyDiv w:val="1"/>
      <w:marLeft w:val="0"/>
      <w:marRight w:val="0"/>
      <w:marTop w:val="0"/>
      <w:marBottom w:val="0"/>
      <w:divBdr>
        <w:top w:val="none" w:sz="0" w:space="0" w:color="auto"/>
        <w:left w:val="none" w:sz="0" w:space="0" w:color="auto"/>
        <w:bottom w:val="none" w:sz="0" w:space="0" w:color="auto"/>
        <w:right w:val="none" w:sz="0" w:space="0" w:color="auto"/>
      </w:divBdr>
    </w:div>
    <w:div w:id="935527632">
      <w:bodyDiv w:val="1"/>
      <w:marLeft w:val="0"/>
      <w:marRight w:val="0"/>
      <w:marTop w:val="0"/>
      <w:marBottom w:val="0"/>
      <w:divBdr>
        <w:top w:val="none" w:sz="0" w:space="0" w:color="auto"/>
        <w:left w:val="none" w:sz="0" w:space="0" w:color="auto"/>
        <w:bottom w:val="none" w:sz="0" w:space="0" w:color="auto"/>
        <w:right w:val="none" w:sz="0" w:space="0" w:color="auto"/>
      </w:divBdr>
    </w:div>
    <w:div w:id="935677836">
      <w:bodyDiv w:val="1"/>
      <w:marLeft w:val="0"/>
      <w:marRight w:val="0"/>
      <w:marTop w:val="0"/>
      <w:marBottom w:val="0"/>
      <w:divBdr>
        <w:top w:val="none" w:sz="0" w:space="0" w:color="auto"/>
        <w:left w:val="none" w:sz="0" w:space="0" w:color="auto"/>
        <w:bottom w:val="none" w:sz="0" w:space="0" w:color="auto"/>
        <w:right w:val="none" w:sz="0" w:space="0" w:color="auto"/>
      </w:divBdr>
    </w:div>
    <w:div w:id="936212805">
      <w:bodyDiv w:val="1"/>
      <w:marLeft w:val="0"/>
      <w:marRight w:val="0"/>
      <w:marTop w:val="0"/>
      <w:marBottom w:val="0"/>
      <w:divBdr>
        <w:top w:val="none" w:sz="0" w:space="0" w:color="auto"/>
        <w:left w:val="none" w:sz="0" w:space="0" w:color="auto"/>
        <w:bottom w:val="none" w:sz="0" w:space="0" w:color="auto"/>
        <w:right w:val="none" w:sz="0" w:space="0" w:color="auto"/>
      </w:divBdr>
    </w:div>
    <w:div w:id="936476457">
      <w:bodyDiv w:val="1"/>
      <w:marLeft w:val="0"/>
      <w:marRight w:val="0"/>
      <w:marTop w:val="0"/>
      <w:marBottom w:val="0"/>
      <w:divBdr>
        <w:top w:val="none" w:sz="0" w:space="0" w:color="auto"/>
        <w:left w:val="none" w:sz="0" w:space="0" w:color="auto"/>
        <w:bottom w:val="none" w:sz="0" w:space="0" w:color="auto"/>
        <w:right w:val="none" w:sz="0" w:space="0" w:color="auto"/>
      </w:divBdr>
    </w:div>
    <w:div w:id="936642543">
      <w:bodyDiv w:val="1"/>
      <w:marLeft w:val="0"/>
      <w:marRight w:val="0"/>
      <w:marTop w:val="0"/>
      <w:marBottom w:val="0"/>
      <w:divBdr>
        <w:top w:val="none" w:sz="0" w:space="0" w:color="auto"/>
        <w:left w:val="none" w:sz="0" w:space="0" w:color="auto"/>
        <w:bottom w:val="none" w:sz="0" w:space="0" w:color="auto"/>
        <w:right w:val="none" w:sz="0" w:space="0" w:color="auto"/>
      </w:divBdr>
    </w:div>
    <w:div w:id="937105473">
      <w:bodyDiv w:val="1"/>
      <w:marLeft w:val="0"/>
      <w:marRight w:val="0"/>
      <w:marTop w:val="0"/>
      <w:marBottom w:val="0"/>
      <w:divBdr>
        <w:top w:val="none" w:sz="0" w:space="0" w:color="auto"/>
        <w:left w:val="none" w:sz="0" w:space="0" w:color="auto"/>
        <w:bottom w:val="none" w:sz="0" w:space="0" w:color="auto"/>
        <w:right w:val="none" w:sz="0" w:space="0" w:color="auto"/>
      </w:divBdr>
    </w:div>
    <w:div w:id="937182445">
      <w:bodyDiv w:val="1"/>
      <w:marLeft w:val="0"/>
      <w:marRight w:val="0"/>
      <w:marTop w:val="0"/>
      <w:marBottom w:val="0"/>
      <w:divBdr>
        <w:top w:val="none" w:sz="0" w:space="0" w:color="auto"/>
        <w:left w:val="none" w:sz="0" w:space="0" w:color="auto"/>
        <w:bottom w:val="none" w:sz="0" w:space="0" w:color="auto"/>
        <w:right w:val="none" w:sz="0" w:space="0" w:color="auto"/>
      </w:divBdr>
    </w:div>
    <w:div w:id="937519810">
      <w:bodyDiv w:val="1"/>
      <w:marLeft w:val="0"/>
      <w:marRight w:val="0"/>
      <w:marTop w:val="0"/>
      <w:marBottom w:val="0"/>
      <w:divBdr>
        <w:top w:val="none" w:sz="0" w:space="0" w:color="auto"/>
        <w:left w:val="none" w:sz="0" w:space="0" w:color="auto"/>
        <w:bottom w:val="none" w:sz="0" w:space="0" w:color="auto"/>
        <w:right w:val="none" w:sz="0" w:space="0" w:color="auto"/>
      </w:divBdr>
    </w:div>
    <w:div w:id="937562842">
      <w:bodyDiv w:val="1"/>
      <w:marLeft w:val="0"/>
      <w:marRight w:val="0"/>
      <w:marTop w:val="0"/>
      <w:marBottom w:val="0"/>
      <w:divBdr>
        <w:top w:val="none" w:sz="0" w:space="0" w:color="auto"/>
        <w:left w:val="none" w:sz="0" w:space="0" w:color="auto"/>
        <w:bottom w:val="none" w:sz="0" w:space="0" w:color="auto"/>
        <w:right w:val="none" w:sz="0" w:space="0" w:color="auto"/>
      </w:divBdr>
    </w:div>
    <w:div w:id="937832105">
      <w:bodyDiv w:val="1"/>
      <w:marLeft w:val="0"/>
      <w:marRight w:val="0"/>
      <w:marTop w:val="0"/>
      <w:marBottom w:val="0"/>
      <w:divBdr>
        <w:top w:val="none" w:sz="0" w:space="0" w:color="auto"/>
        <w:left w:val="none" w:sz="0" w:space="0" w:color="auto"/>
        <w:bottom w:val="none" w:sz="0" w:space="0" w:color="auto"/>
        <w:right w:val="none" w:sz="0" w:space="0" w:color="auto"/>
      </w:divBdr>
    </w:div>
    <w:div w:id="938176830">
      <w:bodyDiv w:val="1"/>
      <w:marLeft w:val="0"/>
      <w:marRight w:val="0"/>
      <w:marTop w:val="0"/>
      <w:marBottom w:val="0"/>
      <w:divBdr>
        <w:top w:val="none" w:sz="0" w:space="0" w:color="auto"/>
        <w:left w:val="none" w:sz="0" w:space="0" w:color="auto"/>
        <w:bottom w:val="none" w:sz="0" w:space="0" w:color="auto"/>
        <w:right w:val="none" w:sz="0" w:space="0" w:color="auto"/>
      </w:divBdr>
    </w:div>
    <w:div w:id="938214821">
      <w:bodyDiv w:val="1"/>
      <w:marLeft w:val="0"/>
      <w:marRight w:val="0"/>
      <w:marTop w:val="0"/>
      <w:marBottom w:val="0"/>
      <w:divBdr>
        <w:top w:val="none" w:sz="0" w:space="0" w:color="auto"/>
        <w:left w:val="none" w:sz="0" w:space="0" w:color="auto"/>
        <w:bottom w:val="none" w:sz="0" w:space="0" w:color="auto"/>
        <w:right w:val="none" w:sz="0" w:space="0" w:color="auto"/>
      </w:divBdr>
    </w:div>
    <w:div w:id="940338457">
      <w:bodyDiv w:val="1"/>
      <w:marLeft w:val="0"/>
      <w:marRight w:val="0"/>
      <w:marTop w:val="0"/>
      <w:marBottom w:val="0"/>
      <w:divBdr>
        <w:top w:val="none" w:sz="0" w:space="0" w:color="auto"/>
        <w:left w:val="none" w:sz="0" w:space="0" w:color="auto"/>
        <w:bottom w:val="none" w:sz="0" w:space="0" w:color="auto"/>
        <w:right w:val="none" w:sz="0" w:space="0" w:color="auto"/>
      </w:divBdr>
    </w:div>
    <w:div w:id="940643433">
      <w:bodyDiv w:val="1"/>
      <w:marLeft w:val="0"/>
      <w:marRight w:val="0"/>
      <w:marTop w:val="0"/>
      <w:marBottom w:val="0"/>
      <w:divBdr>
        <w:top w:val="none" w:sz="0" w:space="0" w:color="auto"/>
        <w:left w:val="none" w:sz="0" w:space="0" w:color="auto"/>
        <w:bottom w:val="none" w:sz="0" w:space="0" w:color="auto"/>
        <w:right w:val="none" w:sz="0" w:space="0" w:color="auto"/>
      </w:divBdr>
    </w:div>
    <w:div w:id="940797591">
      <w:bodyDiv w:val="1"/>
      <w:marLeft w:val="0"/>
      <w:marRight w:val="0"/>
      <w:marTop w:val="0"/>
      <w:marBottom w:val="0"/>
      <w:divBdr>
        <w:top w:val="none" w:sz="0" w:space="0" w:color="auto"/>
        <w:left w:val="none" w:sz="0" w:space="0" w:color="auto"/>
        <w:bottom w:val="none" w:sz="0" w:space="0" w:color="auto"/>
        <w:right w:val="none" w:sz="0" w:space="0" w:color="auto"/>
      </w:divBdr>
    </w:div>
    <w:div w:id="940911161">
      <w:bodyDiv w:val="1"/>
      <w:marLeft w:val="0"/>
      <w:marRight w:val="0"/>
      <w:marTop w:val="0"/>
      <w:marBottom w:val="0"/>
      <w:divBdr>
        <w:top w:val="none" w:sz="0" w:space="0" w:color="auto"/>
        <w:left w:val="none" w:sz="0" w:space="0" w:color="auto"/>
        <w:bottom w:val="none" w:sz="0" w:space="0" w:color="auto"/>
        <w:right w:val="none" w:sz="0" w:space="0" w:color="auto"/>
      </w:divBdr>
    </w:div>
    <w:div w:id="941382139">
      <w:bodyDiv w:val="1"/>
      <w:marLeft w:val="0"/>
      <w:marRight w:val="0"/>
      <w:marTop w:val="0"/>
      <w:marBottom w:val="0"/>
      <w:divBdr>
        <w:top w:val="none" w:sz="0" w:space="0" w:color="auto"/>
        <w:left w:val="none" w:sz="0" w:space="0" w:color="auto"/>
        <w:bottom w:val="none" w:sz="0" w:space="0" w:color="auto"/>
        <w:right w:val="none" w:sz="0" w:space="0" w:color="auto"/>
      </w:divBdr>
    </w:div>
    <w:div w:id="941766867">
      <w:bodyDiv w:val="1"/>
      <w:marLeft w:val="0"/>
      <w:marRight w:val="0"/>
      <w:marTop w:val="0"/>
      <w:marBottom w:val="0"/>
      <w:divBdr>
        <w:top w:val="none" w:sz="0" w:space="0" w:color="auto"/>
        <w:left w:val="none" w:sz="0" w:space="0" w:color="auto"/>
        <w:bottom w:val="none" w:sz="0" w:space="0" w:color="auto"/>
        <w:right w:val="none" w:sz="0" w:space="0" w:color="auto"/>
      </w:divBdr>
    </w:div>
    <w:div w:id="942686494">
      <w:bodyDiv w:val="1"/>
      <w:marLeft w:val="0"/>
      <w:marRight w:val="0"/>
      <w:marTop w:val="0"/>
      <w:marBottom w:val="0"/>
      <w:divBdr>
        <w:top w:val="none" w:sz="0" w:space="0" w:color="auto"/>
        <w:left w:val="none" w:sz="0" w:space="0" w:color="auto"/>
        <w:bottom w:val="none" w:sz="0" w:space="0" w:color="auto"/>
        <w:right w:val="none" w:sz="0" w:space="0" w:color="auto"/>
      </w:divBdr>
    </w:div>
    <w:div w:id="944071005">
      <w:bodyDiv w:val="1"/>
      <w:marLeft w:val="0"/>
      <w:marRight w:val="0"/>
      <w:marTop w:val="0"/>
      <w:marBottom w:val="0"/>
      <w:divBdr>
        <w:top w:val="none" w:sz="0" w:space="0" w:color="auto"/>
        <w:left w:val="none" w:sz="0" w:space="0" w:color="auto"/>
        <w:bottom w:val="none" w:sz="0" w:space="0" w:color="auto"/>
        <w:right w:val="none" w:sz="0" w:space="0" w:color="auto"/>
      </w:divBdr>
    </w:div>
    <w:div w:id="944505848">
      <w:bodyDiv w:val="1"/>
      <w:marLeft w:val="0"/>
      <w:marRight w:val="0"/>
      <w:marTop w:val="0"/>
      <w:marBottom w:val="0"/>
      <w:divBdr>
        <w:top w:val="none" w:sz="0" w:space="0" w:color="auto"/>
        <w:left w:val="none" w:sz="0" w:space="0" w:color="auto"/>
        <w:bottom w:val="none" w:sz="0" w:space="0" w:color="auto"/>
        <w:right w:val="none" w:sz="0" w:space="0" w:color="auto"/>
      </w:divBdr>
    </w:div>
    <w:div w:id="944575579">
      <w:bodyDiv w:val="1"/>
      <w:marLeft w:val="0"/>
      <w:marRight w:val="0"/>
      <w:marTop w:val="0"/>
      <w:marBottom w:val="0"/>
      <w:divBdr>
        <w:top w:val="none" w:sz="0" w:space="0" w:color="auto"/>
        <w:left w:val="none" w:sz="0" w:space="0" w:color="auto"/>
        <w:bottom w:val="none" w:sz="0" w:space="0" w:color="auto"/>
        <w:right w:val="none" w:sz="0" w:space="0" w:color="auto"/>
      </w:divBdr>
    </w:div>
    <w:div w:id="945038153">
      <w:bodyDiv w:val="1"/>
      <w:marLeft w:val="0"/>
      <w:marRight w:val="0"/>
      <w:marTop w:val="0"/>
      <w:marBottom w:val="0"/>
      <w:divBdr>
        <w:top w:val="none" w:sz="0" w:space="0" w:color="auto"/>
        <w:left w:val="none" w:sz="0" w:space="0" w:color="auto"/>
        <w:bottom w:val="none" w:sz="0" w:space="0" w:color="auto"/>
        <w:right w:val="none" w:sz="0" w:space="0" w:color="auto"/>
      </w:divBdr>
    </w:div>
    <w:div w:id="945499608">
      <w:bodyDiv w:val="1"/>
      <w:marLeft w:val="0"/>
      <w:marRight w:val="0"/>
      <w:marTop w:val="0"/>
      <w:marBottom w:val="0"/>
      <w:divBdr>
        <w:top w:val="none" w:sz="0" w:space="0" w:color="auto"/>
        <w:left w:val="none" w:sz="0" w:space="0" w:color="auto"/>
        <w:bottom w:val="none" w:sz="0" w:space="0" w:color="auto"/>
        <w:right w:val="none" w:sz="0" w:space="0" w:color="auto"/>
      </w:divBdr>
    </w:div>
    <w:div w:id="945578312">
      <w:bodyDiv w:val="1"/>
      <w:marLeft w:val="0"/>
      <w:marRight w:val="0"/>
      <w:marTop w:val="0"/>
      <w:marBottom w:val="0"/>
      <w:divBdr>
        <w:top w:val="none" w:sz="0" w:space="0" w:color="auto"/>
        <w:left w:val="none" w:sz="0" w:space="0" w:color="auto"/>
        <w:bottom w:val="none" w:sz="0" w:space="0" w:color="auto"/>
        <w:right w:val="none" w:sz="0" w:space="0" w:color="auto"/>
      </w:divBdr>
    </w:div>
    <w:div w:id="945623554">
      <w:bodyDiv w:val="1"/>
      <w:marLeft w:val="0"/>
      <w:marRight w:val="0"/>
      <w:marTop w:val="0"/>
      <w:marBottom w:val="0"/>
      <w:divBdr>
        <w:top w:val="none" w:sz="0" w:space="0" w:color="auto"/>
        <w:left w:val="none" w:sz="0" w:space="0" w:color="auto"/>
        <w:bottom w:val="none" w:sz="0" w:space="0" w:color="auto"/>
        <w:right w:val="none" w:sz="0" w:space="0" w:color="auto"/>
      </w:divBdr>
    </w:div>
    <w:div w:id="945846226">
      <w:bodyDiv w:val="1"/>
      <w:marLeft w:val="0"/>
      <w:marRight w:val="0"/>
      <w:marTop w:val="0"/>
      <w:marBottom w:val="0"/>
      <w:divBdr>
        <w:top w:val="none" w:sz="0" w:space="0" w:color="auto"/>
        <w:left w:val="none" w:sz="0" w:space="0" w:color="auto"/>
        <w:bottom w:val="none" w:sz="0" w:space="0" w:color="auto"/>
        <w:right w:val="none" w:sz="0" w:space="0" w:color="auto"/>
      </w:divBdr>
    </w:div>
    <w:div w:id="946349042">
      <w:bodyDiv w:val="1"/>
      <w:marLeft w:val="0"/>
      <w:marRight w:val="0"/>
      <w:marTop w:val="0"/>
      <w:marBottom w:val="0"/>
      <w:divBdr>
        <w:top w:val="none" w:sz="0" w:space="0" w:color="auto"/>
        <w:left w:val="none" w:sz="0" w:space="0" w:color="auto"/>
        <w:bottom w:val="none" w:sz="0" w:space="0" w:color="auto"/>
        <w:right w:val="none" w:sz="0" w:space="0" w:color="auto"/>
      </w:divBdr>
    </w:div>
    <w:div w:id="947275831">
      <w:bodyDiv w:val="1"/>
      <w:marLeft w:val="0"/>
      <w:marRight w:val="0"/>
      <w:marTop w:val="0"/>
      <w:marBottom w:val="0"/>
      <w:divBdr>
        <w:top w:val="none" w:sz="0" w:space="0" w:color="auto"/>
        <w:left w:val="none" w:sz="0" w:space="0" w:color="auto"/>
        <w:bottom w:val="none" w:sz="0" w:space="0" w:color="auto"/>
        <w:right w:val="none" w:sz="0" w:space="0" w:color="auto"/>
      </w:divBdr>
    </w:div>
    <w:div w:id="947545734">
      <w:bodyDiv w:val="1"/>
      <w:marLeft w:val="0"/>
      <w:marRight w:val="0"/>
      <w:marTop w:val="0"/>
      <w:marBottom w:val="0"/>
      <w:divBdr>
        <w:top w:val="none" w:sz="0" w:space="0" w:color="auto"/>
        <w:left w:val="none" w:sz="0" w:space="0" w:color="auto"/>
        <w:bottom w:val="none" w:sz="0" w:space="0" w:color="auto"/>
        <w:right w:val="none" w:sz="0" w:space="0" w:color="auto"/>
      </w:divBdr>
    </w:div>
    <w:div w:id="948004797">
      <w:bodyDiv w:val="1"/>
      <w:marLeft w:val="0"/>
      <w:marRight w:val="0"/>
      <w:marTop w:val="0"/>
      <w:marBottom w:val="0"/>
      <w:divBdr>
        <w:top w:val="none" w:sz="0" w:space="0" w:color="auto"/>
        <w:left w:val="none" w:sz="0" w:space="0" w:color="auto"/>
        <w:bottom w:val="none" w:sz="0" w:space="0" w:color="auto"/>
        <w:right w:val="none" w:sz="0" w:space="0" w:color="auto"/>
      </w:divBdr>
    </w:div>
    <w:div w:id="948318356">
      <w:bodyDiv w:val="1"/>
      <w:marLeft w:val="0"/>
      <w:marRight w:val="0"/>
      <w:marTop w:val="0"/>
      <w:marBottom w:val="0"/>
      <w:divBdr>
        <w:top w:val="none" w:sz="0" w:space="0" w:color="auto"/>
        <w:left w:val="none" w:sz="0" w:space="0" w:color="auto"/>
        <w:bottom w:val="none" w:sz="0" w:space="0" w:color="auto"/>
        <w:right w:val="none" w:sz="0" w:space="0" w:color="auto"/>
      </w:divBdr>
    </w:div>
    <w:div w:id="948437752">
      <w:bodyDiv w:val="1"/>
      <w:marLeft w:val="0"/>
      <w:marRight w:val="0"/>
      <w:marTop w:val="0"/>
      <w:marBottom w:val="0"/>
      <w:divBdr>
        <w:top w:val="none" w:sz="0" w:space="0" w:color="auto"/>
        <w:left w:val="none" w:sz="0" w:space="0" w:color="auto"/>
        <w:bottom w:val="none" w:sz="0" w:space="0" w:color="auto"/>
        <w:right w:val="none" w:sz="0" w:space="0" w:color="auto"/>
      </w:divBdr>
    </w:div>
    <w:div w:id="948466378">
      <w:bodyDiv w:val="1"/>
      <w:marLeft w:val="0"/>
      <w:marRight w:val="0"/>
      <w:marTop w:val="0"/>
      <w:marBottom w:val="0"/>
      <w:divBdr>
        <w:top w:val="none" w:sz="0" w:space="0" w:color="auto"/>
        <w:left w:val="none" w:sz="0" w:space="0" w:color="auto"/>
        <w:bottom w:val="none" w:sz="0" w:space="0" w:color="auto"/>
        <w:right w:val="none" w:sz="0" w:space="0" w:color="auto"/>
      </w:divBdr>
    </w:div>
    <w:div w:id="948705964">
      <w:bodyDiv w:val="1"/>
      <w:marLeft w:val="0"/>
      <w:marRight w:val="0"/>
      <w:marTop w:val="0"/>
      <w:marBottom w:val="0"/>
      <w:divBdr>
        <w:top w:val="none" w:sz="0" w:space="0" w:color="auto"/>
        <w:left w:val="none" w:sz="0" w:space="0" w:color="auto"/>
        <w:bottom w:val="none" w:sz="0" w:space="0" w:color="auto"/>
        <w:right w:val="none" w:sz="0" w:space="0" w:color="auto"/>
      </w:divBdr>
    </w:div>
    <w:div w:id="949243143">
      <w:bodyDiv w:val="1"/>
      <w:marLeft w:val="0"/>
      <w:marRight w:val="0"/>
      <w:marTop w:val="0"/>
      <w:marBottom w:val="0"/>
      <w:divBdr>
        <w:top w:val="none" w:sz="0" w:space="0" w:color="auto"/>
        <w:left w:val="none" w:sz="0" w:space="0" w:color="auto"/>
        <w:bottom w:val="none" w:sz="0" w:space="0" w:color="auto"/>
        <w:right w:val="none" w:sz="0" w:space="0" w:color="auto"/>
      </w:divBdr>
    </w:div>
    <w:div w:id="949580330">
      <w:bodyDiv w:val="1"/>
      <w:marLeft w:val="0"/>
      <w:marRight w:val="0"/>
      <w:marTop w:val="0"/>
      <w:marBottom w:val="0"/>
      <w:divBdr>
        <w:top w:val="none" w:sz="0" w:space="0" w:color="auto"/>
        <w:left w:val="none" w:sz="0" w:space="0" w:color="auto"/>
        <w:bottom w:val="none" w:sz="0" w:space="0" w:color="auto"/>
        <w:right w:val="none" w:sz="0" w:space="0" w:color="auto"/>
      </w:divBdr>
    </w:div>
    <w:div w:id="950355756">
      <w:bodyDiv w:val="1"/>
      <w:marLeft w:val="0"/>
      <w:marRight w:val="0"/>
      <w:marTop w:val="0"/>
      <w:marBottom w:val="0"/>
      <w:divBdr>
        <w:top w:val="none" w:sz="0" w:space="0" w:color="auto"/>
        <w:left w:val="none" w:sz="0" w:space="0" w:color="auto"/>
        <w:bottom w:val="none" w:sz="0" w:space="0" w:color="auto"/>
        <w:right w:val="none" w:sz="0" w:space="0" w:color="auto"/>
      </w:divBdr>
    </w:div>
    <w:div w:id="951326005">
      <w:bodyDiv w:val="1"/>
      <w:marLeft w:val="0"/>
      <w:marRight w:val="0"/>
      <w:marTop w:val="0"/>
      <w:marBottom w:val="0"/>
      <w:divBdr>
        <w:top w:val="none" w:sz="0" w:space="0" w:color="auto"/>
        <w:left w:val="none" w:sz="0" w:space="0" w:color="auto"/>
        <w:bottom w:val="none" w:sz="0" w:space="0" w:color="auto"/>
        <w:right w:val="none" w:sz="0" w:space="0" w:color="auto"/>
      </w:divBdr>
    </w:div>
    <w:div w:id="951789361">
      <w:bodyDiv w:val="1"/>
      <w:marLeft w:val="0"/>
      <w:marRight w:val="0"/>
      <w:marTop w:val="0"/>
      <w:marBottom w:val="0"/>
      <w:divBdr>
        <w:top w:val="none" w:sz="0" w:space="0" w:color="auto"/>
        <w:left w:val="none" w:sz="0" w:space="0" w:color="auto"/>
        <w:bottom w:val="none" w:sz="0" w:space="0" w:color="auto"/>
        <w:right w:val="none" w:sz="0" w:space="0" w:color="auto"/>
      </w:divBdr>
    </w:div>
    <w:div w:id="952441998">
      <w:bodyDiv w:val="1"/>
      <w:marLeft w:val="0"/>
      <w:marRight w:val="0"/>
      <w:marTop w:val="0"/>
      <w:marBottom w:val="0"/>
      <w:divBdr>
        <w:top w:val="none" w:sz="0" w:space="0" w:color="auto"/>
        <w:left w:val="none" w:sz="0" w:space="0" w:color="auto"/>
        <w:bottom w:val="none" w:sz="0" w:space="0" w:color="auto"/>
        <w:right w:val="none" w:sz="0" w:space="0" w:color="auto"/>
      </w:divBdr>
    </w:div>
    <w:div w:id="952781657">
      <w:bodyDiv w:val="1"/>
      <w:marLeft w:val="0"/>
      <w:marRight w:val="0"/>
      <w:marTop w:val="0"/>
      <w:marBottom w:val="0"/>
      <w:divBdr>
        <w:top w:val="none" w:sz="0" w:space="0" w:color="auto"/>
        <w:left w:val="none" w:sz="0" w:space="0" w:color="auto"/>
        <w:bottom w:val="none" w:sz="0" w:space="0" w:color="auto"/>
        <w:right w:val="none" w:sz="0" w:space="0" w:color="auto"/>
      </w:divBdr>
    </w:div>
    <w:div w:id="953054084">
      <w:bodyDiv w:val="1"/>
      <w:marLeft w:val="0"/>
      <w:marRight w:val="0"/>
      <w:marTop w:val="0"/>
      <w:marBottom w:val="0"/>
      <w:divBdr>
        <w:top w:val="none" w:sz="0" w:space="0" w:color="auto"/>
        <w:left w:val="none" w:sz="0" w:space="0" w:color="auto"/>
        <w:bottom w:val="none" w:sz="0" w:space="0" w:color="auto"/>
        <w:right w:val="none" w:sz="0" w:space="0" w:color="auto"/>
      </w:divBdr>
    </w:div>
    <w:div w:id="953630885">
      <w:bodyDiv w:val="1"/>
      <w:marLeft w:val="0"/>
      <w:marRight w:val="0"/>
      <w:marTop w:val="0"/>
      <w:marBottom w:val="0"/>
      <w:divBdr>
        <w:top w:val="none" w:sz="0" w:space="0" w:color="auto"/>
        <w:left w:val="none" w:sz="0" w:space="0" w:color="auto"/>
        <w:bottom w:val="none" w:sz="0" w:space="0" w:color="auto"/>
        <w:right w:val="none" w:sz="0" w:space="0" w:color="auto"/>
      </w:divBdr>
    </w:div>
    <w:div w:id="953707939">
      <w:bodyDiv w:val="1"/>
      <w:marLeft w:val="0"/>
      <w:marRight w:val="0"/>
      <w:marTop w:val="0"/>
      <w:marBottom w:val="0"/>
      <w:divBdr>
        <w:top w:val="none" w:sz="0" w:space="0" w:color="auto"/>
        <w:left w:val="none" w:sz="0" w:space="0" w:color="auto"/>
        <w:bottom w:val="none" w:sz="0" w:space="0" w:color="auto"/>
        <w:right w:val="none" w:sz="0" w:space="0" w:color="auto"/>
      </w:divBdr>
    </w:div>
    <w:div w:id="954366327">
      <w:bodyDiv w:val="1"/>
      <w:marLeft w:val="0"/>
      <w:marRight w:val="0"/>
      <w:marTop w:val="0"/>
      <w:marBottom w:val="0"/>
      <w:divBdr>
        <w:top w:val="none" w:sz="0" w:space="0" w:color="auto"/>
        <w:left w:val="none" w:sz="0" w:space="0" w:color="auto"/>
        <w:bottom w:val="none" w:sz="0" w:space="0" w:color="auto"/>
        <w:right w:val="none" w:sz="0" w:space="0" w:color="auto"/>
      </w:divBdr>
    </w:div>
    <w:div w:id="954823381">
      <w:bodyDiv w:val="1"/>
      <w:marLeft w:val="0"/>
      <w:marRight w:val="0"/>
      <w:marTop w:val="0"/>
      <w:marBottom w:val="0"/>
      <w:divBdr>
        <w:top w:val="none" w:sz="0" w:space="0" w:color="auto"/>
        <w:left w:val="none" w:sz="0" w:space="0" w:color="auto"/>
        <w:bottom w:val="none" w:sz="0" w:space="0" w:color="auto"/>
        <w:right w:val="none" w:sz="0" w:space="0" w:color="auto"/>
      </w:divBdr>
    </w:div>
    <w:div w:id="955408699">
      <w:bodyDiv w:val="1"/>
      <w:marLeft w:val="0"/>
      <w:marRight w:val="0"/>
      <w:marTop w:val="0"/>
      <w:marBottom w:val="0"/>
      <w:divBdr>
        <w:top w:val="none" w:sz="0" w:space="0" w:color="auto"/>
        <w:left w:val="none" w:sz="0" w:space="0" w:color="auto"/>
        <w:bottom w:val="none" w:sz="0" w:space="0" w:color="auto"/>
        <w:right w:val="none" w:sz="0" w:space="0" w:color="auto"/>
      </w:divBdr>
    </w:div>
    <w:div w:id="955790342">
      <w:bodyDiv w:val="1"/>
      <w:marLeft w:val="0"/>
      <w:marRight w:val="0"/>
      <w:marTop w:val="0"/>
      <w:marBottom w:val="0"/>
      <w:divBdr>
        <w:top w:val="none" w:sz="0" w:space="0" w:color="auto"/>
        <w:left w:val="none" w:sz="0" w:space="0" w:color="auto"/>
        <w:bottom w:val="none" w:sz="0" w:space="0" w:color="auto"/>
        <w:right w:val="none" w:sz="0" w:space="0" w:color="auto"/>
      </w:divBdr>
    </w:div>
    <w:div w:id="956137120">
      <w:bodyDiv w:val="1"/>
      <w:marLeft w:val="0"/>
      <w:marRight w:val="0"/>
      <w:marTop w:val="0"/>
      <w:marBottom w:val="0"/>
      <w:divBdr>
        <w:top w:val="none" w:sz="0" w:space="0" w:color="auto"/>
        <w:left w:val="none" w:sz="0" w:space="0" w:color="auto"/>
        <w:bottom w:val="none" w:sz="0" w:space="0" w:color="auto"/>
        <w:right w:val="none" w:sz="0" w:space="0" w:color="auto"/>
      </w:divBdr>
    </w:div>
    <w:div w:id="956909348">
      <w:bodyDiv w:val="1"/>
      <w:marLeft w:val="0"/>
      <w:marRight w:val="0"/>
      <w:marTop w:val="0"/>
      <w:marBottom w:val="0"/>
      <w:divBdr>
        <w:top w:val="none" w:sz="0" w:space="0" w:color="auto"/>
        <w:left w:val="none" w:sz="0" w:space="0" w:color="auto"/>
        <w:bottom w:val="none" w:sz="0" w:space="0" w:color="auto"/>
        <w:right w:val="none" w:sz="0" w:space="0" w:color="auto"/>
      </w:divBdr>
    </w:div>
    <w:div w:id="957100660">
      <w:bodyDiv w:val="1"/>
      <w:marLeft w:val="0"/>
      <w:marRight w:val="0"/>
      <w:marTop w:val="0"/>
      <w:marBottom w:val="0"/>
      <w:divBdr>
        <w:top w:val="none" w:sz="0" w:space="0" w:color="auto"/>
        <w:left w:val="none" w:sz="0" w:space="0" w:color="auto"/>
        <w:bottom w:val="none" w:sz="0" w:space="0" w:color="auto"/>
        <w:right w:val="none" w:sz="0" w:space="0" w:color="auto"/>
      </w:divBdr>
    </w:div>
    <w:div w:id="957220846">
      <w:bodyDiv w:val="1"/>
      <w:marLeft w:val="0"/>
      <w:marRight w:val="0"/>
      <w:marTop w:val="0"/>
      <w:marBottom w:val="0"/>
      <w:divBdr>
        <w:top w:val="none" w:sz="0" w:space="0" w:color="auto"/>
        <w:left w:val="none" w:sz="0" w:space="0" w:color="auto"/>
        <w:bottom w:val="none" w:sz="0" w:space="0" w:color="auto"/>
        <w:right w:val="none" w:sz="0" w:space="0" w:color="auto"/>
      </w:divBdr>
    </w:div>
    <w:div w:id="958535386">
      <w:bodyDiv w:val="1"/>
      <w:marLeft w:val="0"/>
      <w:marRight w:val="0"/>
      <w:marTop w:val="0"/>
      <w:marBottom w:val="0"/>
      <w:divBdr>
        <w:top w:val="none" w:sz="0" w:space="0" w:color="auto"/>
        <w:left w:val="none" w:sz="0" w:space="0" w:color="auto"/>
        <w:bottom w:val="none" w:sz="0" w:space="0" w:color="auto"/>
        <w:right w:val="none" w:sz="0" w:space="0" w:color="auto"/>
      </w:divBdr>
    </w:div>
    <w:div w:id="958872202">
      <w:bodyDiv w:val="1"/>
      <w:marLeft w:val="0"/>
      <w:marRight w:val="0"/>
      <w:marTop w:val="0"/>
      <w:marBottom w:val="0"/>
      <w:divBdr>
        <w:top w:val="none" w:sz="0" w:space="0" w:color="auto"/>
        <w:left w:val="none" w:sz="0" w:space="0" w:color="auto"/>
        <w:bottom w:val="none" w:sz="0" w:space="0" w:color="auto"/>
        <w:right w:val="none" w:sz="0" w:space="0" w:color="auto"/>
      </w:divBdr>
    </w:div>
    <w:div w:id="958878722">
      <w:bodyDiv w:val="1"/>
      <w:marLeft w:val="0"/>
      <w:marRight w:val="0"/>
      <w:marTop w:val="0"/>
      <w:marBottom w:val="0"/>
      <w:divBdr>
        <w:top w:val="none" w:sz="0" w:space="0" w:color="auto"/>
        <w:left w:val="none" w:sz="0" w:space="0" w:color="auto"/>
        <w:bottom w:val="none" w:sz="0" w:space="0" w:color="auto"/>
        <w:right w:val="none" w:sz="0" w:space="0" w:color="auto"/>
      </w:divBdr>
    </w:div>
    <w:div w:id="959342557">
      <w:bodyDiv w:val="1"/>
      <w:marLeft w:val="0"/>
      <w:marRight w:val="0"/>
      <w:marTop w:val="0"/>
      <w:marBottom w:val="0"/>
      <w:divBdr>
        <w:top w:val="none" w:sz="0" w:space="0" w:color="auto"/>
        <w:left w:val="none" w:sz="0" w:space="0" w:color="auto"/>
        <w:bottom w:val="none" w:sz="0" w:space="0" w:color="auto"/>
        <w:right w:val="none" w:sz="0" w:space="0" w:color="auto"/>
      </w:divBdr>
    </w:div>
    <w:div w:id="959455902">
      <w:bodyDiv w:val="1"/>
      <w:marLeft w:val="0"/>
      <w:marRight w:val="0"/>
      <w:marTop w:val="0"/>
      <w:marBottom w:val="0"/>
      <w:divBdr>
        <w:top w:val="none" w:sz="0" w:space="0" w:color="auto"/>
        <w:left w:val="none" w:sz="0" w:space="0" w:color="auto"/>
        <w:bottom w:val="none" w:sz="0" w:space="0" w:color="auto"/>
        <w:right w:val="none" w:sz="0" w:space="0" w:color="auto"/>
      </w:divBdr>
    </w:div>
    <w:div w:id="959993881">
      <w:bodyDiv w:val="1"/>
      <w:marLeft w:val="0"/>
      <w:marRight w:val="0"/>
      <w:marTop w:val="0"/>
      <w:marBottom w:val="0"/>
      <w:divBdr>
        <w:top w:val="none" w:sz="0" w:space="0" w:color="auto"/>
        <w:left w:val="none" w:sz="0" w:space="0" w:color="auto"/>
        <w:bottom w:val="none" w:sz="0" w:space="0" w:color="auto"/>
        <w:right w:val="none" w:sz="0" w:space="0" w:color="auto"/>
      </w:divBdr>
    </w:div>
    <w:div w:id="960917524">
      <w:bodyDiv w:val="1"/>
      <w:marLeft w:val="0"/>
      <w:marRight w:val="0"/>
      <w:marTop w:val="0"/>
      <w:marBottom w:val="0"/>
      <w:divBdr>
        <w:top w:val="none" w:sz="0" w:space="0" w:color="auto"/>
        <w:left w:val="none" w:sz="0" w:space="0" w:color="auto"/>
        <w:bottom w:val="none" w:sz="0" w:space="0" w:color="auto"/>
        <w:right w:val="none" w:sz="0" w:space="0" w:color="auto"/>
      </w:divBdr>
    </w:div>
    <w:div w:id="961300305">
      <w:bodyDiv w:val="1"/>
      <w:marLeft w:val="0"/>
      <w:marRight w:val="0"/>
      <w:marTop w:val="0"/>
      <w:marBottom w:val="0"/>
      <w:divBdr>
        <w:top w:val="none" w:sz="0" w:space="0" w:color="auto"/>
        <w:left w:val="none" w:sz="0" w:space="0" w:color="auto"/>
        <w:bottom w:val="none" w:sz="0" w:space="0" w:color="auto"/>
        <w:right w:val="none" w:sz="0" w:space="0" w:color="auto"/>
      </w:divBdr>
    </w:div>
    <w:div w:id="961762206">
      <w:bodyDiv w:val="1"/>
      <w:marLeft w:val="0"/>
      <w:marRight w:val="0"/>
      <w:marTop w:val="0"/>
      <w:marBottom w:val="0"/>
      <w:divBdr>
        <w:top w:val="none" w:sz="0" w:space="0" w:color="auto"/>
        <w:left w:val="none" w:sz="0" w:space="0" w:color="auto"/>
        <w:bottom w:val="none" w:sz="0" w:space="0" w:color="auto"/>
        <w:right w:val="none" w:sz="0" w:space="0" w:color="auto"/>
      </w:divBdr>
    </w:div>
    <w:div w:id="962469107">
      <w:bodyDiv w:val="1"/>
      <w:marLeft w:val="0"/>
      <w:marRight w:val="0"/>
      <w:marTop w:val="0"/>
      <w:marBottom w:val="0"/>
      <w:divBdr>
        <w:top w:val="none" w:sz="0" w:space="0" w:color="auto"/>
        <w:left w:val="none" w:sz="0" w:space="0" w:color="auto"/>
        <w:bottom w:val="none" w:sz="0" w:space="0" w:color="auto"/>
        <w:right w:val="none" w:sz="0" w:space="0" w:color="auto"/>
      </w:divBdr>
    </w:div>
    <w:div w:id="963268325">
      <w:bodyDiv w:val="1"/>
      <w:marLeft w:val="0"/>
      <w:marRight w:val="0"/>
      <w:marTop w:val="0"/>
      <w:marBottom w:val="0"/>
      <w:divBdr>
        <w:top w:val="none" w:sz="0" w:space="0" w:color="auto"/>
        <w:left w:val="none" w:sz="0" w:space="0" w:color="auto"/>
        <w:bottom w:val="none" w:sz="0" w:space="0" w:color="auto"/>
        <w:right w:val="none" w:sz="0" w:space="0" w:color="auto"/>
      </w:divBdr>
    </w:div>
    <w:div w:id="963460428">
      <w:bodyDiv w:val="1"/>
      <w:marLeft w:val="0"/>
      <w:marRight w:val="0"/>
      <w:marTop w:val="0"/>
      <w:marBottom w:val="0"/>
      <w:divBdr>
        <w:top w:val="none" w:sz="0" w:space="0" w:color="auto"/>
        <w:left w:val="none" w:sz="0" w:space="0" w:color="auto"/>
        <w:bottom w:val="none" w:sz="0" w:space="0" w:color="auto"/>
        <w:right w:val="none" w:sz="0" w:space="0" w:color="auto"/>
      </w:divBdr>
    </w:div>
    <w:div w:id="963730731">
      <w:bodyDiv w:val="1"/>
      <w:marLeft w:val="0"/>
      <w:marRight w:val="0"/>
      <w:marTop w:val="0"/>
      <w:marBottom w:val="0"/>
      <w:divBdr>
        <w:top w:val="none" w:sz="0" w:space="0" w:color="auto"/>
        <w:left w:val="none" w:sz="0" w:space="0" w:color="auto"/>
        <w:bottom w:val="none" w:sz="0" w:space="0" w:color="auto"/>
        <w:right w:val="none" w:sz="0" w:space="0" w:color="auto"/>
      </w:divBdr>
    </w:div>
    <w:div w:id="963854726">
      <w:bodyDiv w:val="1"/>
      <w:marLeft w:val="0"/>
      <w:marRight w:val="0"/>
      <w:marTop w:val="0"/>
      <w:marBottom w:val="0"/>
      <w:divBdr>
        <w:top w:val="none" w:sz="0" w:space="0" w:color="auto"/>
        <w:left w:val="none" w:sz="0" w:space="0" w:color="auto"/>
        <w:bottom w:val="none" w:sz="0" w:space="0" w:color="auto"/>
        <w:right w:val="none" w:sz="0" w:space="0" w:color="auto"/>
      </w:divBdr>
    </w:div>
    <w:div w:id="964585736">
      <w:bodyDiv w:val="1"/>
      <w:marLeft w:val="0"/>
      <w:marRight w:val="0"/>
      <w:marTop w:val="0"/>
      <w:marBottom w:val="0"/>
      <w:divBdr>
        <w:top w:val="none" w:sz="0" w:space="0" w:color="auto"/>
        <w:left w:val="none" w:sz="0" w:space="0" w:color="auto"/>
        <w:bottom w:val="none" w:sz="0" w:space="0" w:color="auto"/>
        <w:right w:val="none" w:sz="0" w:space="0" w:color="auto"/>
      </w:divBdr>
    </w:div>
    <w:div w:id="965163203">
      <w:bodyDiv w:val="1"/>
      <w:marLeft w:val="0"/>
      <w:marRight w:val="0"/>
      <w:marTop w:val="0"/>
      <w:marBottom w:val="0"/>
      <w:divBdr>
        <w:top w:val="none" w:sz="0" w:space="0" w:color="auto"/>
        <w:left w:val="none" w:sz="0" w:space="0" w:color="auto"/>
        <w:bottom w:val="none" w:sz="0" w:space="0" w:color="auto"/>
        <w:right w:val="none" w:sz="0" w:space="0" w:color="auto"/>
      </w:divBdr>
    </w:div>
    <w:div w:id="965234878">
      <w:bodyDiv w:val="1"/>
      <w:marLeft w:val="0"/>
      <w:marRight w:val="0"/>
      <w:marTop w:val="0"/>
      <w:marBottom w:val="0"/>
      <w:divBdr>
        <w:top w:val="none" w:sz="0" w:space="0" w:color="auto"/>
        <w:left w:val="none" w:sz="0" w:space="0" w:color="auto"/>
        <w:bottom w:val="none" w:sz="0" w:space="0" w:color="auto"/>
        <w:right w:val="none" w:sz="0" w:space="0" w:color="auto"/>
      </w:divBdr>
    </w:div>
    <w:div w:id="965236686">
      <w:bodyDiv w:val="1"/>
      <w:marLeft w:val="0"/>
      <w:marRight w:val="0"/>
      <w:marTop w:val="0"/>
      <w:marBottom w:val="0"/>
      <w:divBdr>
        <w:top w:val="none" w:sz="0" w:space="0" w:color="auto"/>
        <w:left w:val="none" w:sz="0" w:space="0" w:color="auto"/>
        <w:bottom w:val="none" w:sz="0" w:space="0" w:color="auto"/>
        <w:right w:val="none" w:sz="0" w:space="0" w:color="auto"/>
      </w:divBdr>
    </w:div>
    <w:div w:id="966545153">
      <w:bodyDiv w:val="1"/>
      <w:marLeft w:val="0"/>
      <w:marRight w:val="0"/>
      <w:marTop w:val="0"/>
      <w:marBottom w:val="0"/>
      <w:divBdr>
        <w:top w:val="none" w:sz="0" w:space="0" w:color="auto"/>
        <w:left w:val="none" w:sz="0" w:space="0" w:color="auto"/>
        <w:bottom w:val="none" w:sz="0" w:space="0" w:color="auto"/>
        <w:right w:val="none" w:sz="0" w:space="0" w:color="auto"/>
      </w:divBdr>
    </w:div>
    <w:div w:id="967399924">
      <w:bodyDiv w:val="1"/>
      <w:marLeft w:val="0"/>
      <w:marRight w:val="0"/>
      <w:marTop w:val="0"/>
      <w:marBottom w:val="0"/>
      <w:divBdr>
        <w:top w:val="none" w:sz="0" w:space="0" w:color="auto"/>
        <w:left w:val="none" w:sz="0" w:space="0" w:color="auto"/>
        <w:bottom w:val="none" w:sz="0" w:space="0" w:color="auto"/>
        <w:right w:val="none" w:sz="0" w:space="0" w:color="auto"/>
      </w:divBdr>
    </w:div>
    <w:div w:id="968046961">
      <w:bodyDiv w:val="1"/>
      <w:marLeft w:val="0"/>
      <w:marRight w:val="0"/>
      <w:marTop w:val="0"/>
      <w:marBottom w:val="0"/>
      <w:divBdr>
        <w:top w:val="none" w:sz="0" w:space="0" w:color="auto"/>
        <w:left w:val="none" w:sz="0" w:space="0" w:color="auto"/>
        <w:bottom w:val="none" w:sz="0" w:space="0" w:color="auto"/>
        <w:right w:val="none" w:sz="0" w:space="0" w:color="auto"/>
      </w:divBdr>
    </w:div>
    <w:div w:id="968433207">
      <w:bodyDiv w:val="1"/>
      <w:marLeft w:val="0"/>
      <w:marRight w:val="0"/>
      <w:marTop w:val="0"/>
      <w:marBottom w:val="0"/>
      <w:divBdr>
        <w:top w:val="none" w:sz="0" w:space="0" w:color="auto"/>
        <w:left w:val="none" w:sz="0" w:space="0" w:color="auto"/>
        <w:bottom w:val="none" w:sz="0" w:space="0" w:color="auto"/>
        <w:right w:val="none" w:sz="0" w:space="0" w:color="auto"/>
      </w:divBdr>
    </w:div>
    <w:div w:id="968632970">
      <w:bodyDiv w:val="1"/>
      <w:marLeft w:val="0"/>
      <w:marRight w:val="0"/>
      <w:marTop w:val="0"/>
      <w:marBottom w:val="0"/>
      <w:divBdr>
        <w:top w:val="none" w:sz="0" w:space="0" w:color="auto"/>
        <w:left w:val="none" w:sz="0" w:space="0" w:color="auto"/>
        <w:bottom w:val="none" w:sz="0" w:space="0" w:color="auto"/>
        <w:right w:val="none" w:sz="0" w:space="0" w:color="auto"/>
      </w:divBdr>
    </w:div>
    <w:div w:id="969240811">
      <w:bodyDiv w:val="1"/>
      <w:marLeft w:val="0"/>
      <w:marRight w:val="0"/>
      <w:marTop w:val="0"/>
      <w:marBottom w:val="0"/>
      <w:divBdr>
        <w:top w:val="none" w:sz="0" w:space="0" w:color="auto"/>
        <w:left w:val="none" w:sz="0" w:space="0" w:color="auto"/>
        <w:bottom w:val="none" w:sz="0" w:space="0" w:color="auto"/>
        <w:right w:val="none" w:sz="0" w:space="0" w:color="auto"/>
      </w:divBdr>
    </w:div>
    <w:div w:id="969938832">
      <w:bodyDiv w:val="1"/>
      <w:marLeft w:val="0"/>
      <w:marRight w:val="0"/>
      <w:marTop w:val="0"/>
      <w:marBottom w:val="0"/>
      <w:divBdr>
        <w:top w:val="none" w:sz="0" w:space="0" w:color="auto"/>
        <w:left w:val="none" w:sz="0" w:space="0" w:color="auto"/>
        <w:bottom w:val="none" w:sz="0" w:space="0" w:color="auto"/>
        <w:right w:val="none" w:sz="0" w:space="0" w:color="auto"/>
      </w:divBdr>
    </w:div>
    <w:div w:id="969942329">
      <w:bodyDiv w:val="1"/>
      <w:marLeft w:val="0"/>
      <w:marRight w:val="0"/>
      <w:marTop w:val="0"/>
      <w:marBottom w:val="0"/>
      <w:divBdr>
        <w:top w:val="none" w:sz="0" w:space="0" w:color="auto"/>
        <w:left w:val="none" w:sz="0" w:space="0" w:color="auto"/>
        <w:bottom w:val="none" w:sz="0" w:space="0" w:color="auto"/>
        <w:right w:val="none" w:sz="0" w:space="0" w:color="auto"/>
      </w:divBdr>
    </w:div>
    <w:div w:id="970138712">
      <w:bodyDiv w:val="1"/>
      <w:marLeft w:val="0"/>
      <w:marRight w:val="0"/>
      <w:marTop w:val="0"/>
      <w:marBottom w:val="0"/>
      <w:divBdr>
        <w:top w:val="none" w:sz="0" w:space="0" w:color="auto"/>
        <w:left w:val="none" w:sz="0" w:space="0" w:color="auto"/>
        <w:bottom w:val="none" w:sz="0" w:space="0" w:color="auto"/>
        <w:right w:val="none" w:sz="0" w:space="0" w:color="auto"/>
      </w:divBdr>
    </w:div>
    <w:div w:id="970671631">
      <w:bodyDiv w:val="1"/>
      <w:marLeft w:val="0"/>
      <w:marRight w:val="0"/>
      <w:marTop w:val="0"/>
      <w:marBottom w:val="0"/>
      <w:divBdr>
        <w:top w:val="none" w:sz="0" w:space="0" w:color="auto"/>
        <w:left w:val="none" w:sz="0" w:space="0" w:color="auto"/>
        <w:bottom w:val="none" w:sz="0" w:space="0" w:color="auto"/>
        <w:right w:val="none" w:sz="0" w:space="0" w:color="auto"/>
      </w:divBdr>
    </w:div>
    <w:div w:id="970944922">
      <w:bodyDiv w:val="1"/>
      <w:marLeft w:val="0"/>
      <w:marRight w:val="0"/>
      <w:marTop w:val="0"/>
      <w:marBottom w:val="0"/>
      <w:divBdr>
        <w:top w:val="none" w:sz="0" w:space="0" w:color="auto"/>
        <w:left w:val="none" w:sz="0" w:space="0" w:color="auto"/>
        <w:bottom w:val="none" w:sz="0" w:space="0" w:color="auto"/>
        <w:right w:val="none" w:sz="0" w:space="0" w:color="auto"/>
      </w:divBdr>
    </w:div>
    <w:div w:id="971012238">
      <w:bodyDiv w:val="1"/>
      <w:marLeft w:val="0"/>
      <w:marRight w:val="0"/>
      <w:marTop w:val="0"/>
      <w:marBottom w:val="0"/>
      <w:divBdr>
        <w:top w:val="none" w:sz="0" w:space="0" w:color="auto"/>
        <w:left w:val="none" w:sz="0" w:space="0" w:color="auto"/>
        <w:bottom w:val="none" w:sz="0" w:space="0" w:color="auto"/>
        <w:right w:val="none" w:sz="0" w:space="0" w:color="auto"/>
      </w:divBdr>
    </w:div>
    <w:div w:id="971978451">
      <w:bodyDiv w:val="1"/>
      <w:marLeft w:val="0"/>
      <w:marRight w:val="0"/>
      <w:marTop w:val="0"/>
      <w:marBottom w:val="0"/>
      <w:divBdr>
        <w:top w:val="none" w:sz="0" w:space="0" w:color="auto"/>
        <w:left w:val="none" w:sz="0" w:space="0" w:color="auto"/>
        <w:bottom w:val="none" w:sz="0" w:space="0" w:color="auto"/>
        <w:right w:val="none" w:sz="0" w:space="0" w:color="auto"/>
      </w:divBdr>
    </w:div>
    <w:div w:id="972061294">
      <w:bodyDiv w:val="1"/>
      <w:marLeft w:val="0"/>
      <w:marRight w:val="0"/>
      <w:marTop w:val="0"/>
      <w:marBottom w:val="0"/>
      <w:divBdr>
        <w:top w:val="none" w:sz="0" w:space="0" w:color="auto"/>
        <w:left w:val="none" w:sz="0" w:space="0" w:color="auto"/>
        <w:bottom w:val="none" w:sz="0" w:space="0" w:color="auto"/>
        <w:right w:val="none" w:sz="0" w:space="0" w:color="auto"/>
      </w:divBdr>
    </w:div>
    <w:div w:id="972366073">
      <w:bodyDiv w:val="1"/>
      <w:marLeft w:val="0"/>
      <w:marRight w:val="0"/>
      <w:marTop w:val="0"/>
      <w:marBottom w:val="0"/>
      <w:divBdr>
        <w:top w:val="none" w:sz="0" w:space="0" w:color="auto"/>
        <w:left w:val="none" w:sz="0" w:space="0" w:color="auto"/>
        <w:bottom w:val="none" w:sz="0" w:space="0" w:color="auto"/>
        <w:right w:val="none" w:sz="0" w:space="0" w:color="auto"/>
      </w:divBdr>
    </w:div>
    <w:div w:id="972519268">
      <w:bodyDiv w:val="1"/>
      <w:marLeft w:val="0"/>
      <w:marRight w:val="0"/>
      <w:marTop w:val="0"/>
      <w:marBottom w:val="0"/>
      <w:divBdr>
        <w:top w:val="none" w:sz="0" w:space="0" w:color="auto"/>
        <w:left w:val="none" w:sz="0" w:space="0" w:color="auto"/>
        <w:bottom w:val="none" w:sz="0" w:space="0" w:color="auto"/>
        <w:right w:val="none" w:sz="0" w:space="0" w:color="auto"/>
      </w:divBdr>
    </w:div>
    <w:div w:id="973022981">
      <w:bodyDiv w:val="1"/>
      <w:marLeft w:val="0"/>
      <w:marRight w:val="0"/>
      <w:marTop w:val="0"/>
      <w:marBottom w:val="0"/>
      <w:divBdr>
        <w:top w:val="none" w:sz="0" w:space="0" w:color="auto"/>
        <w:left w:val="none" w:sz="0" w:space="0" w:color="auto"/>
        <w:bottom w:val="none" w:sz="0" w:space="0" w:color="auto"/>
        <w:right w:val="none" w:sz="0" w:space="0" w:color="auto"/>
      </w:divBdr>
    </w:div>
    <w:div w:id="973218301">
      <w:bodyDiv w:val="1"/>
      <w:marLeft w:val="0"/>
      <w:marRight w:val="0"/>
      <w:marTop w:val="0"/>
      <w:marBottom w:val="0"/>
      <w:divBdr>
        <w:top w:val="none" w:sz="0" w:space="0" w:color="auto"/>
        <w:left w:val="none" w:sz="0" w:space="0" w:color="auto"/>
        <w:bottom w:val="none" w:sz="0" w:space="0" w:color="auto"/>
        <w:right w:val="none" w:sz="0" w:space="0" w:color="auto"/>
      </w:divBdr>
    </w:div>
    <w:div w:id="973218388">
      <w:bodyDiv w:val="1"/>
      <w:marLeft w:val="0"/>
      <w:marRight w:val="0"/>
      <w:marTop w:val="0"/>
      <w:marBottom w:val="0"/>
      <w:divBdr>
        <w:top w:val="none" w:sz="0" w:space="0" w:color="auto"/>
        <w:left w:val="none" w:sz="0" w:space="0" w:color="auto"/>
        <w:bottom w:val="none" w:sz="0" w:space="0" w:color="auto"/>
        <w:right w:val="none" w:sz="0" w:space="0" w:color="auto"/>
      </w:divBdr>
    </w:div>
    <w:div w:id="973410429">
      <w:bodyDiv w:val="1"/>
      <w:marLeft w:val="0"/>
      <w:marRight w:val="0"/>
      <w:marTop w:val="0"/>
      <w:marBottom w:val="0"/>
      <w:divBdr>
        <w:top w:val="none" w:sz="0" w:space="0" w:color="auto"/>
        <w:left w:val="none" w:sz="0" w:space="0" w:color="auto"/>
        <w:bottom w:val="none" w:sz="0" w:space="0" w:color="auto"/>
        <w:right w:val="none" w:sz="0" w:space="0" w:color="auto"/>
      </w:divBdr>
    </w:div>
    <w:div w:id="974259072">
      <w:bodyDiv w:val="1"/>
      <w:marLeft w:val="0"/>
      <w:marRight w:val="0"/>
      <w:marTop w:val="0"/>
      <w:marBottom w:val="0"/>
      <w:divBdr>
        <w:top w:val="none" w:sz="0" w:space="0" w:color="auto"/>
        <w:left w:val="none" w:sz="0" w:space="0" w:color="auto"/>
        <w:bottom w:val="none" w:sz="0" w:space="0" w:color="auto"/>
        <w:right w:val="none" w:sz="0" w:space="0" w:color="auto"/>
      </w:divBdr>
    </w:div>
    <w:div w:id="974333136">
      <w:bodyDiv w:val="1"/>
      <w:marLeft w:val="0"/>
      <w:marRight w:val="0"/>
      <w:marTop w:val="0"/>
      <w:marBottom w:val="0"/>
      <w:divBdr>
        <w:top w:val="none" w:sz="0" w:space="0" w:color="auto"/>
        <w:left w:val="none" w:sz="0" w:space="0" w:color="auto"/>
        <w:bottom w:val="none" w:sz="0" w:space="0" w:color="auto"/>
        <w:right w:val="none" w:sz="0" w:space="0" w:color="auto"/>
      </w:divBdr>
    </w:div>
    <w:div w:id="975183707">
      <w:bodyDiv w:val="1"/>
      <w:marLeft w:val="0"/>
      <w:marRight w:val="0"/>
      <w:marTop w:val="0"/>
      <w:marBottom w:val="0"/>
      <w:divBdr>
        <w:top w:val="none" w:sz="0" w:space="0" w:color="auto"/>
        <w:left w:val="none" w:sz="0" w:space="0" w:color="auto"/>
        <w:bottom w:val="none" w:sz="0" w:space="0" w:color="auto"/>
        <w:right w:val="none" w:sz="0" w:space="0" w:color="auto"/>
      </w:divBdr>
    </w:div>
    <w:div w:id="975372994">
      <w:bodyDiv w:val="1"/>
      <w:marLeft w:val="0"/>
      <w:marRight w:val="0"/>
      <w:marTop w:val="0"/>
      <w:marBottom w:val="0"/>
      <w:divBdr>
        <w:top w:val="none" w:sz="0" w:space="0" w:color="auto"/>
        <w:left w:val="none" w:sz="0" w:space="0" w:color="auto"/>
        <w:bottom w:val="none" w:sz="0" w:space="0" w:color="auto"/>
        <w:right w:val="none" w:sz="0" w:space="0" w:color="auto"/>
      </w:divBdr>
    </w:div>
    <w:div w:id="977031781">
      <w:bodyDiv w:val="1"/>
      <w:marLeft w:val="0"/>
      <w:marRight w:val="0"/>
      <w:marTop w:val="0"/>
      <w:marBottom w:val="0"/>
      <w:divBdr>
        <w:top w:val="none" w:sz="0" w:space="0" w:color="auto"/>
        <w:left w:val="none" w:sz="0" w:space="0" w:color="auto"/>
        <w:bottom w:val="none" w:sz="0" w:space="0" w:color="auto"/>
        <w:right w:val="none" w:sz="0" w:space="0" w:color="auto"/>
      </w:divBdr>
    </w:div>
    <w:div w:id="977032033">
      <w:bodyDiv w:val="1"/>
      <w:marLeft w:val="0"/>
      <w:marRight w:val="0"/>
      <w:marTop w:val="0"/>
      <w:marBottom w:val="0"/>
      <w:divBdr>
        <w:top w:val="none" w:sz="0" w:space="0" w:color="auto"/>
        <w:left w:val="none" w:sz="0" w:space="0" w:color="auto"/>
        <w:bottom w:val="none" w:sz="0" w:space="0" w:color="auto"/>
        <w:right w:val="none" w:sz="0" w:space="0" w:color="auto"/>
      </w:divBdr>
    </w:div>
    <w:div w:id="977034815">
      <w:bodyDiv w:val="1"/>
      <w:marLeft w:val="0"/>
      <w:marRight w:val="0"/>
      <w:marTop w:val="0"/>
      <w:marBottom w:val="0"/>
      <w:divBdr>
        <w:top w:val="none" w:sz="0" w:space="0" w:color="auto"/>
        <w:left w:val="none" w:sz="0" w:space="0" w:color="auto"/>
        <w:bottom w:val="none" w:sz="0" w:space="0" w:color="auto"/>
        <w:right w:val="none" w:sz="0" w:space="0" w:color="auto"/>
      </w:divBdr>
    </w:div>
    <w:div w:id="977146552">
      <w:bodyDiv w:val="1"/>
      <w:marLeft w:val="0"/>
      <w:marRight w:val="0"/>
      <w:marTop w:val="0"/>
      <w:marBottom w:val="0"/>
      <w:divBdr>
        <w:top w:val="none" w:sz="0" w:space="0" w:color="auto"/>
        <w:left w:val="none" w:sz="0" w:space="0" w:color="auto"/>
        <w:bottom w:val="none" w:sz="0" w:space="0" w:color="auto"/>
        <w:right w:val="none" w:sz="0" w:space="0" w:color="auto"/>
      </w:divBdr>
    </w:div>
    <w:div w:id="977495806">
      <w:bodyDiv w:val="1"/>
      <w:marLeft w:val="0"/>
      <w:marRight w:val="0"/>
      <w:marTop w:val="0"/>
      <w:marBottom w:val="0"/>
      <w:divBdr>
        <w:top w:val="none" w:sz="0" w:space="0" w:color="auto"/>
        <w:left w:val="none" w:sz="0" w:space="0" w:color="auto"/>
        <w:bottom w:val="none" w:sz="0" w:space="0" w:color="auto"/>
        <w:right w:val="none" w:sz="0" w:space="0" w:color="auto"/>
      </w:divBdr>
    </w:div>
    <w:div w:id="977799948">
      <w:bodyDiv w:val="1"/>
      <w:marLeft w:val="0"/>
      <w:marRight w:val="0"/>
      <w:marTop w:val="0"/>
      <w:marBottom w:val="0"/>
      <w:divBdr>
        <w:top w:val="none" w:sz="0" w:space="0" w:color="auto"/>
        <w:left w:val="none" w:sz="0" w:space="0" w:color="auto"/>
        <w:bottom w:val="none" w:sz="0" w:space="0" w:color="auto"/>
        <w:right w:val="none" w:sz="0" w:space="0" w:color="auto"/>
      </w:divBdr>
    </w:div>
    <w:div w:id="977996717">
      <w:bodyDiv w:val="1"/>
      <w:marLeft w:val="0"/>
      <w:marRight w:val="0"/>
      <w:marTop w:val="0"/>
      <w:marBottom w:val="0"/>
      <w:divBdr>
        <w:top w:val="none" w:sz="0" w:space="0" w:color="auto"/>
        <w:left w:val="none" w:sz="0" w:space="0" w:color="auto"/>
        <w:bottom w:val="none" w:sz="0" w:space="0" w:color="auto"/>
        <w:right w:val="none" w:sz="0" w:space="0" w:color="auto"/>
      </w:divBdr>
    </w:div>
    <w:div w:id="978146291">
      <w:bodyDiv w:val="1"/>
      <w:marLeft w:val="0"/>
      <w:marRight w:val="0"/>
      <w:marTop w:val="0"/>
      <w:marBottom w:val="0"/>
      <w:divBdr>
        <w:top w:val="none" w:sz="0" w:space="0" w:color="auto"/>
        <w:left w:val="none" w:sz="0" w:space="0" w:color="auto"/>
        <w:bottom w:val="none" w:sz="0" w:space="0" w:color="auto"/>
        <w:right w:val="none" w:sz="0" w:space="0" w:color="auto"/>
      </w:divBdr>
    </w:div>
    <w:div w:id="978415218">
      <w:bodyDiv w:val="1"/>
      <w:marLeft w:val="0"/>
      <w:marRight w:val="0"/>
      <w:marTop w:val="0"/>
      <w:marBottom w:val="0"/>
      <w:divBdr>
        <w:top w:val="none" w:sz="0" w:space="0" w:color="auto"/>
        <w:left w:val="none" w:sz="0" w:space="0" w:color="auto"/>
        <w:bottom w:val="none" w:sz="0" w:space="0" w:color="auto"/>
        <w:right w:val="none" w:sz="0" w:space="0" w:color="auto"/>
      </w:divBdr>
    </w:div>
    <w:div w:id="978802979">
      <w:bodyDiv w:val="1"/>
      <w:marLeft w:val="0"/>
      <w:marRight w:val="0"/>
      <w:marTop w:val="0"/>
      <w:marBottom w:val="0"/>
      <w:divBdr>
        <w:top w:val="none" w:sz="0" w:space="0" w:color="auto"/>
        <w:left w:val="none" w:sz="0" w:space="0" w:color="auto"/>
        <w:bottom w:val="none" w:sz="0" w:space="0" w:color="auto"/>
        <w:right w:val="none" w:sz="0" w:space="0" w:color="auto"/>
      </w:divBdr>
    </w:div>
    <w:div w:id="979117883">
      <w:bodyDiv w:val="1"/>
      <w:marLeft w:val="0"/>
      <w:marRight w:val="0"/>
      <w:marTop w:val="0"/>
      <w:marBottom w:val="0"/>
      <w:divBdr>
        <w:top w:val="none" w:sz="0" w:space="0" w:color="auto"/>
        <w:left w:val="none" w:sz="0" w:space="0" w:color="auto"/>
        <w:bottom w:val="none" w:sz="0" w:space="0" w:color="auto"/>
        <w:right w:val="none" w:sz="0" w:space="0" w:color="auto"/>
      </w:divBdr>
    </w:div>
    <w:div w:id="979572980">
      <w:bodyDiv w:val="1"/>
      <w:marLeft w:val="0"/>
      <w:marRight w:val="0"/>
      <w:marTop w:val="0"/>
      <w:marBottom w:val="0"/>
      <w:divBdr>
        <w:top w:val="none" w:sz="0" w:space="0" w:color="auto"/>
        <w:left w:val="none" w:sz="0" w:space="0" w:color="auto"/>
        <w:bottom w:val="none" w:sz="0" w:space="0" w:color="auto"/>
        <w:right w:val="none" w:sz="0" w:space="0" w:color="auto"/>
      </w:divBdr>
    </w:div>
    <w:div w:id="979770568">
      <w:bodyDiv w:val="1"/>
      <w:marLeft w:val="0"/>
      <w:marRight w:val="0"/>
      <w:marTop w:val="0"/>
      <w:marBottom w:val="0"/>
      <w:divBdr>
        <w:top w:val="none" w:sz="0" w:space="0" w:color="auto"/>
        <w:left w:val="none" w:sz="0" w:space="0" w:color="auto"/>
        <w:bottom w:val="none" w:sz="0" w:space="0" w:color="auto"/>
        <w:right w:val="none" w:sz="0" w:space="0" w:color="auto"/>
      </w:divBdr>
    </w:div>
    <w:div w:id="980378785">
      <w:bodyDiv w:val="1"/>
      <w:marLeft w:val="0"/>
      <w:marRight w:val="0"/>
      <w:marTop w:val="0"/>
      <w:marBottom w:val="0"/>
      <w:divBdr>
        <w:top w:val="none" w:sz="0" w:space="0" w:color="auto"/>
        <w:left w:val="none" w:sz="0" w:space="0" w:color="auto"/>
        <w:bottom w:val="none" w:sz="0" w:space="0" w:color="auto"/>
        <w:right w:val="none" w:sz="0" w:space="0" w:color="auto"/>
      </w:divBdr>
    </w:div>
    <w:div w:id="980383069">
      <w:bodyDiv w:val="1"/>
      <w:marLeft w:val="0"/>
      <w:marRight w:val="0"/>
      <w:marTop w:val="0"/>
      <w:marBottom w:val="0"/>
      <w:divBdr>
        <w:top w:val="none" w:sz="0" w:space="0" w:color="auto"/>
        <w:left w:val="none" w:sz="0" w:space="0" w:color="auto"/>
        <w:bottom w:val="none" w:sz="0" w:space="0" w:color="auto"/>
        <w:right w:val="none" w:sz="0" w:space="0" w:color="auto"/>
      </w:divBdr>
    </w:div>
    <w:div w:id="982344185">
      <w:bodyDiv w:val="1"/>
      <w:marLeft w:val="0"/>
      <w:marRight w:val="0"/>
      <w:marTop w:val="0"/>
      <w:marBottom w:val="0"/>
      <w:divBdr>
        <w:top w:val="none" w:sz="0" w:space="0" w:color="auto"/>
        <w:left w:val="none" w:sz="0" w:space="0" w:color="auto"/>
        <w:bottom w:val="none" w:sz="0" w:space="0" w:color="auto"/>
        <w:right w:val="none" w:sz="0" w:space="0" w:color="auto"/>
      </w:divBdr>
    </w:div>
    <w:div w:id="982394556">
      <w:bodyDiv w:val="1"/>
      <w:marLeft w:val="0"/>
      <w:marRight w:val="0"/>
      <w:marTop w:val="0"/>
      <w:marBottom w:val="0"/>
      <w:divBdr>
        <w:top w:val="none" w:sz="0" w:space="0" w:color="auto"/>
        <w:left w:val="none" w:sz="0" w:space="0" w:color="auto"/>
        <w:bottom w:val="none" w:sz="0" w:space="0" w:color="auto"/>
        <w:right w:val="none" w:sz="0" w:space="0" w:color="auto"/>
      </w:divBdr>
    </w:div>
    <w:div w:id="982582363">
      <w:bodyDiv w:val="1"/>
      <w:marLeft w:val="0"/>
      <w:marRight w:val="0"/>
      <w:marTop w:val="0"/>
      <w:marBottom w:val="0"/>
      <w:divBdr>
        <w:top w:val="none" w:sz="0" w:space="0" w:color="auto"/>
        <w:left w:val="none" w:sz="0" w:space="0" w:color="auto"/>
        <w:bottom w:val="none" w:sz="0" w:space="0" w:color="auto"/>
        <w:right w:val="none" w:sz="0" w:space="0" w:color="auto"/>
      </w:divBdr>
    </w:div>
    <w:div w:id="982583739">
      <w:bodyDiv w:val="1"/>
      <w:marLeft w:val="0"/>
      <w:marRight w:val="0"/>
      <w:marTop w:val="0"/>
      <w:marBottom w:val="0"/>
      <w:divBdr>
        <w:top w:val="none" w:sz="0" w:space="0" w:color="auto"/>
        <w:left w:val="none" w:sz="0" w:space="0" w:color="auto"/>
        <w:bottom w:val="none" w:sz="0" w:space="0" w:color="auto"/>
        <w:right w:val="none" w:sz="0" w:space="0" w:color="auto"/>
      </w:divBdr>
    </w:div>
    <w:div w:id="983198952">
      <w:bodyDiv w:val="1"/>
      <w:marLeft w:val="0"/>
      <w:marRight w:val="0"/>
      <w:marTop w:val="0"/>
      <w:marBottom w:val="0"/>
      <w:divBdr>
        <w:top w:val="none" w:sz="0" w:space="0" w:color="auto"/>
        <w:left w:val="none" w:sz="0" w:space="0" w:color="auto"/>
        <w:bottom w:val="none" w:sz="0" w:space="0" w:color="auto"/>
        <w:right w:val="none" w:sz="0" w:space="0" w:color="auto"/>
      </w:divBdr>
    </w:div>
    <w:div w:id="984429307">
      <w:bodyDiv w:val="1"/>
      <w:marLeft w:val="0"/>
      <w:marRight w:val="0"/>
      <w:marTop w:val="0"/>
      <w:marBottom w:val="0"/>
      <w:divBdr>
        <w:top w:val="none" w:sz="0" w:space="0" w:color="auto"/>
        <w:left w:val="none" w:sz="0" w:space="0" w:color="auto"/>
        <w:bottom w:val="none" w:sz="0" w:space="0" w:color="auto"/>
        <w:right w:val="none" w:sz="0" w:space="0" w:color="auto"/>
      </w:divBdr>
    </w:div>
    <w:div w:id="984775635">
      <w:bodyDiv w:val="1"/>
      <w:marLeft w:val="0"/>
      <w:marRight w:val="0"/>
      <w:marTop w:val="0"/>
      <w:marBottom w:val="0"/>
      <w:divBdr>
        <w:top w:val="none" w:sz="0" w:space="0" w:color="auto"/>
        <w:left w:val="none" w:sz="0" w:space="0" w:color="auto"/>
        <w:bottom w:val="none" w:sz="0" w:space="0" w:color="auto"/>
        <w:right w:val="none" w:sz="0" w:space="0" w:color="auto"/>
      </w:divBdr>
    </w:div>
    <w:div w:id="985356224">
      <w:bodyDiv w:val="1"/>
      <w:marLeft w:val="0"/>
      <w:marRight w:val="0"/>
      <w:marTop w:val="0"/>
      <w:marBottom w:val="0"/>
      <w:divBdr>
        <w:top w:val="none" w:sz="0" w:space="0" w:color="auto"/>
        <w:left w:val="none" w:sz="0" w:space="0" w:color="auto"/>
        <w:bottom w:val="none" w:sz="0" w:space="0" w:color="auto"/>
        <w:right w:val="none" w:sz="0" w:space="0" w:color="auto"/>
      </w:divBdr>
    </w:div>
    <w:div w:id="985815822">
      <w:bodyDiv w:val="1"/>
      <w:marLeft w:val="0"/>
      <w:marRight w:val="0"/>
      <w:marTop w:val="0"/>
      <w:marBottom w:val="0"/>
      <w:divBdr>
        <w:top w:val="none" w:sz="0" w:space="0" w:color="auto"/>
        <w:left w:val="none" w:sz="0" w:space="0" w:color="auto"/>
        <w:bottom w:val="none" w:sz="0" w:space="0" w:color="auto"/>
        <w:right w:val="none" w:sz="0" w:space="0" w:color="auto"/>
      </w:divBdr>
    </w:div>
    <w:div w:id="986127718">
      <w:bodyDiv w:val="1"/>
      <w:marLeft w:val="0"/>
      <w:marRight w:val="0"/>
      <w:marTop w:val="0"/>
      <w:marBottom w:val="0"/>
      <w:divBdr>
        <w:top w:val="none" w:sz="0" w:space="0" w:color="auto"/>
        <w:left w:val="none" w:sz="0" w:space="0" w:color="auto"/>
        <w:bottom w:val="none" w:sz="0" w:space="0" w:color="auto"/>
        <w:right w:val="none" w:sz="0" w:space="0" w:color="auto"/>
      </w:divBdr>
    </w:div>
    <w:div w:id="987133252">
      <w:bodyDiv w:val="1"/>
      <w:marLeft w:val="0"/>
      <w:marRight w:val="0"/>
      <w:marTop w:val="0"/>
      <w:marBottom w:val="0"/>
      <w:divBdr>
        <w:top w:val="none" w:sz="0" w:space="0" w:color="auto"/>
        <w:left w:val="none" w:sz="0" w:space="0" w:color="auto"/>
        <w:bottom w:val="none" w:sz="0" w:space="0" w:color="auto"/>
        <w:right w:val="none" w:sz="0" w:space="0" w:color="auto"/>
      </w:divBdr>
    </w:div>
    <w:div w:id="988362891">
      <w:bodyDiv w:val="1"/>
      <w:marLeft w:val="0"/>
      <w:marRight w:val="0"/>
      <w:marTop w:val="0"/>
      <w:marBottom w:val="0"/>
      <w:divBdr>
        <w:top w:val="none" w:sz="0" w:space="0" w:color="auto"/>
        <w:left w:val="none" w:sz="0" w:space="0" w:color="auto"/>
        <w:bottom w:val="none" w:sz="0" w:space="0" w:color="auto"/>
        <w:right w:val="none" w:sz="0" w:space="0" w:color="auto"/>
      </w:divBdr>
    </w:div>
    <w:div w:id="988755283">
      <w:bodyDiv w:val="1"/>
      <w:marLeft w:val="0"/>
      <w:marRight w:val="0"/>
      <w:marTop w:val="0"/>
      <w:marBottom w:val="0"/>
      <w:divBdr>
        <w:top w:val="none" w:sz="0" w:space="0" w:color="auto"/>
        <w:left w:val="none" w:sz="0" w:space="0" w:color="auto"/>
        <w:bottom w:val="none" w:sz="0" w:space="0" w:color="auto"/>
        <w:right w:val="none" w:sz="0" w:space="0" w:color="auto"/>
      </w:divBdr>
    </w:div>
    <w:div w:id="988821457">
      <w:bodyDiv w:val="1"/>
      <w:marLeft w:val="0"/>
      <w:marRight w:val="0"/>
      <w:marTop w:val="0"/>
      <w:marBottom w:val="0"/>
      <w:divBdr>
        <w:top w:val="none" w:sz="0" w:space="0" w:color="auto"/>
        <w:left w:val="none" w:sz="0" w:space="0" w:color="auto"/>
        <w:bottom w:val="none" w:sz="0" w:space="0" w:color="auto"/>
        <w:right w:val="none" w:sz="0" w:space="0" w:color="auto"/>
      </w:divBdr>
    </w:div>
    <w:div w:id="989216675">
      <w:bodyDiv w:val="1"/>
      <w:marLeft w:val="0"/>
      <w:marRight w:val="0"/>
      <w:marTop w:val="0"/>
      <w:marBottom w:val="0"/>
      <w:divBdr>
        <w:top w:val="none" w:sz="0" w:space="0" w:color="auto"/>
        <w:left w:val="none" w:sz="0" w:space="0" w:color="auto"/>
        <w:bottom w:val="none" w:sz="0" w:space="0" w:color="auto"/>
        <w:right w:val="none" w:sz="0" w:space="0" w:color="auto"/>
      </w:divBdr>
    </w:div>
    <w:div w:id="989554750">
      <w:bodyDiv w:val="1"/>
      <w:marLeft w:val="0"/>
      <w:marRight w:val="0"/>
      <w:marTop w:val="0"/>
      <w:marBottom w:val="0"/>
      <w:divBdr>
        <w:top w:val="none" w:sz="0" w:space="0" w:color="auto"/>
        <w:left w:val="none" w:sz="0" w:space="0" w:color="auto"/>
        <w:bottom w:val="none" w:sz="0" w:space="0" w:color="auto"/>
        <w:right w:val="none" w:sz="0" w:space="0" w:color="auto"/>
      </w:divBdr>
    </w:div>
    <w:div w:id="989745886">
      <w:bodyDiv w:val="1"/>
      <w:marLeft w:val="0"/>
      <w:marRight w:val="0"/>
      <w:marTop w:val="0"/>
      <w:marBottom w:val="0"/>
      <w:divBdr>
        <w:top w:val="none" w:sz="0" w:space="0" w:color="auto"/>
        <w:left w:val="none" w:sz="0" w:space="0" w:color="auto"/>
        <w:bottom w:val="none" w:sz="0" w:space="0" w:color="auto"/>
        <w:right w:val="none" w:sz="0" w:space="0" w:color="auto"/>
      </w:divBdr>
    </w:div>
    <w:div w:id="990132681">
      <w:bodyDiv w:val="1"/>
      <w:marLeft w:val="0"/>
      <w:marRight w:val="0"/>
      <w:marTop w:val="0"/>
      <w:marBottom w:val="0"/>
      <w:divBdr>
        <w:top w:val="none" w:sz="0" w:space="0" w:color="auto"/>
        <w:left w:val="none" w:sz="0" w:space="0" w:color="auto"/>
        <w:bottom w:val="none" w:sz="0" w:space="0" w:color="auto"/>
        <w:right w:val="none" w:sz="0" w:space="0" w:color="auto"/>
      </w:divBdr>
    </w:div>
    <w:div w:id="990332945">
      <w:bodyDiv w:val="1"/>
      <w:marLeft w:val="0"/>
      <w:marRight w:val="0"/>
      <w:marTop w:val="0"/>
      <w:marBottom w:val="0"/>
      <w:divBdr>
        <w:top w:val="none" w:sz="0" w:space="0" w:color="auto"/>
        <w:left w:val="none" w:sz="0" w:space="0" w:color="auto"/>
        <w:bottom w:val="none" w:sz="0" w:space="0" w:color="auto"/>
        <w:right w:val="none" w:sz="0" w:space="0" w:color="auto"/>
      </w:divBdr>
    </w:div>
    <w:div w:id="990712253">
      <w:bodyDiv w:val="1"/>
      <w:marLeft w:val="0"/>
      <w:marRight w:val="0"/>
      <w:marTop w:val="0"/>
      <w:marBottom w:val="0"/>
      <w:divBdr>
        <w:top w:val="none" w:sz="0" w:space="0" w:color="auto"/>
        <w:left w:val="none" w:sz="0" w:space="0" w:color="auto"/>
        <w:bottom w:val="none" w:sz="0" w:space="0" w:color="auto"/>
        <w:right w:val="none" w:sz="0" w:space="0" w:color="auto"/>
      </w:divBdr>
    </w:div>
    <w:div w:id="990864706">
      <w:bodyDiv w:val="1"/>
      <w:marLeft w:val="0"/>
      <w:marRight w:val="0"/>
      <w:marTop w:val="0"/>
      <w:marBottom w:val="0"/>
      <w:divBdr>
        <w:top w:val="none" w:sz="0" w:space="0" w:color="auto"/>
        <w:left w:val="none" w:sz="0" w:space="0" w:color="auto"/>
        <w:bottom w:val="none" w:sz="0" w:space="0" w:color="auto"/>
        <w:right w:val="none" w:sz="0" w:space="0" w:color="auto"/>
      </w:divBdr>
    </w:div>
    <w:div w:id="991106666">
      <w:bodyDiv w:val="1"/>
      <w:marLeft w:val="0"/>
      <w:marRight w:val="0"/>
      <w:marTop w:val="0"/>
      <w:marBottom w:val="0"/>
      <w:divBdr>
        <w:top w:val="none" w:sz="0" w:space="0" w:color="auto"/>
        <w:left w:val="none" w:sz="0" w:space="0" w:color="auto"/>
        <w:bottom w:val="none" w:sz="0" w:space="0" w:color="auto"/>
        <w:right w:val="none" w:sz="0" w:space="0" w:color="auto"/>
      </w:divBdr>
    </w:div>
    <w:div w:id="991181052">
      <w:bodyDiv w:val="1"/>
      <w:marLeft w:val="0"/>
      <w:marRight w:val="0"/>
      <w:marTop w:val="0"/>
      <w:marBottom w:val="0"/>
      <w:divBdr>
        <w:top w:val="none" w:sz="0" w:space="0" w:color="auto"/>
        <w:left w:val="none" w:sz="0" w:space="0" w:color="auto"/>
        <w:bottom w:val="none" w:sz="0" w:space="0" w:color="auto"/>
        <w:right w:val="none" w:sz="0" w:space="0" w:color="auto"/>
      </w:divBdr>
    </w:div>
    <w:div w:id="991367287">
      <w:bodyDiv w:val="1"/>
      <w:marLeft w:val="0"/>
      <w:marRight w:val="0"/>
      <w:marTop w:val="0"/>
      <w:marBottom w:val="0"/>
      <w:divBdr>
        <w:top w:val="none" w:sz="0" w:space="0" w:color="auto"/>
        <w:left w:val="none" w:sz="0" w:space="0" w:color="auto"/>
        <w:bottom w:val="none" w:sz="0" w:space="0" w:color="auto"/>
        <w:right w:val="none" w:sz="0" w:space="0" w:color="auto"/>
      </w:divBdr>
    </w:div>
    <w:div w:id="991375459">
      <w:bodyDiv w:val="1"/>
      <w:marLeft w:val="0"/>
      <w:marRight w:val="0"/>
      <w:marTop w:val="0"/>
      <w:marBottom w:val="0"/>
      <w:divBdr>
        <w:top w:val="none" w:sz="0" w:space="0" w:color="auto"/>
        <w:left w:val="none" w:sz="0" w:space="0" w:color="auto"/>
        <w:bottom w:val="none" w:sz="0" w:space="0" w:color="auto"/>
        <w:right w:val="none" w:sz="0" w:space="0" w:color="auto"/>
      </w:divBdr>
    </w:div>
    <w:div w:id="992293143">
      <w:bodyDiv w:val="1"/>
      <w:marLeft w:val="0"/>
      <w:marRight w:val="0"/>
      <w:marTop w:val="0"/>
      <w:marBottom w:val="0"/>
      <w:divBdr>
        <w:top w:val="none" w:sz="0" w:space="0" w:color="auto"/>
        <w:left w:val="none" w:sz="0" w:space="0" w:color="auto"/>
        <w:bottom w:val="none" w:sz="0" w:space="0" w:color="auto"/>
        <w:right w:val="none" w:sz="0" w:space="0" w:color="auto"/>
      </w:divBdr>
    </w:div>
    <w:div w:id="992804953">
      <w:bodyDiv w:val="1"/>
      <w:marLeft w:val="0"/>
      <w:marRight w:val="0"/>
      <w:marTop w:val="0"/>
      <w:marBottom w:val="0"/>
      <w:divBdr>
        <w:top w:val="none" w:sz="0" w:space="0" w:color="auto"/>
        <w:left w:val="none" w:sz="0" w:space="0" w:color="auto"/>
        <w:bottom w:val="none" w:sz="0" w:space="0" w:color="auto"/>
        <w:right w:val="none" w:sz="0" w:space="0" w:color="auto"/>
      </w:divBdr>
    </w:div>
    <w:div w:id="992833595">
      <w:bodyDiv w:val="1"/>
      <w:marLeft w:val="0"/>
      <w:marRight w:val="0"/>
      <w:marTop w:val="0"/>
      <w:marBottom w:val="0"/>
      <w:divBdr>
        <w:top w:val="none" w:sz="0" w:space="0" w:color="auto"/>
        <w:left w:val="none" w:sz="0" w:space="0" w:color="auto"/>
        <w:bottom w:val="none" w:sz="0" w:space="0" w:color="auto"/>
        <w:right w:val="none" w:sz="0" w:space="0" w:color="auto"/>
      </w:divBdr>
    </w:div>
    <w:div w:id="993293264">
      <w:bodyDiv w:val="1"/>
      <w:marLeft w:val="0"/>
      <w:marRight w:val="0"/>
      <w:marTop w:val="0"/>
      <w:marBottom w:val="0"/>
      <w:divBdr>
        <w:top w:val="none" w:sz="0" w:space="0" w:color="auto"/>
        <w:left w:val="none" w:sz="0" w:space="0" w:color="auto"/>
        <w:bottom w:val="none" w:sz="0" w:space="0" w:color="auto"/>
        <w:right w:val="none" w:sz="0" w:space="0" w:color="auto"/>
      </w:divBdr>
    </w:div>
    <w:div w:id="993684362">
      <w:bodyDiv w:val="1"/>
      <w:marLeft w:val="0"/>
      <w:marRight w:val="0"/>
      <w:marTop w:val="0"/>
      <w:marBottom w:val="0"/>
      <w:divBdr>
        <w:top w:val="none" w:sz="0" w:space="0" w:color="auto"/>
        <w:left w:val="none" w:sz="0" w:space="0" w:color="auto"/>
        <w:bottom w:val="none" w:sz="0" w:space="0" w:color="auto"/>
        <w:right w:val="none" w:sz="0" w:space="0" w:color="auto"/>
      </w:divBdr>
    </w:div>
    <w:div w:id="994145643">
      <w:bodyDiv w:val="1"/>
      <w:marLeft w:val="0"/>
      <w:marRight w:val="0"/>
      <w:marTop w:val="0"/>
      <w:marBottom w:val="0"/>
      <w:divBdr>
        <w:top w:val="none" w:sz="0" w:space="0" w:color="auto"/>
        <w:left w:val="none" w:sz="0" w:space="0" w:color="auto"/>
        <w:bottom w:val="none" w:sz="0" w:space="0" w:color="auto"/>
        <w:right w:val="none" w:sz="0" w:space="0" w:color="auto"/>
      </w:divBdr>
    </w:div>
    <w:div w:id="994459340">
      <w:bodyDiv w:val="1"/>
      <w:marLeft w:val="0"/>
      <w:marRight w:val="0"/>
      <w:marTop w:val="0"/>
      <w:marBottom w:val="0"/>
      <w:divBdr>
        <w:top w:val="none" w:sz="0" w:space="0" w:color="auto"/>
        <w:left w:val="none" w:sz="0" w:space="0" w:color="auto"/>
        <w:bottom w:val="none" w:sz="0" w:space="0" w:color="auto"/>
        <w:right w:val="none" w:sz="0" w:space="0" w:color="auto"/>
      </w:divBdr>
    </w:div>
    <w:div w:id="994647880">
      <w:bodyDiv w:val="1"/>
      <w:marLeft w:val="0"/>
      <w:marRight w:val="0"/>
      <w:marTop w:val="0"/>
      <w:marBottom w:val="0"/>
      <w:divBdr>
        <w:top w:val="none" w:sz="0" w:space="0" w:color="auto"/>
        <w:left w:val="none" w:sz="0" w:space="0" w:color="auto"/>
        <w:bottom w:val="none" w:sz="0" w:space="0" w:color="auto"/>
        <w:right w:val="none" w:sz="0" w:space="0" w:color="auto"/>
      </w:divBdr>
    </w:div>
    <w:div w:id="994801730">
      <w:bodyDiv w:val="1"/>
      <w:marLeft w:val="0"/>
      <w:marRight w:val="0"/>
      <w:marTop w:val="0"/>
      <w:marBottom w:val="0"/>
      <w:divBdr>
        <w:top w:val="none" w:sz="0" w:space="0" w:color="auto"/>
        <w:left w:val="none" w:sz="0" w:space="0" w:color="auto"/>
        <w:bottom w:val="none" w:sz="0" w:space="0" w:color="auto"/>
        <w:right w:val="none" w:sz="0" w:space="0" w:color="auto"/>
      </w:divBdr>
    </w:div>
    <w:div w:id="995038691">
      <w:bodyDiv w:val="1"/>
      <w:marLeft w:val="0"/>
      <w:marRight w:val="0"/>
      <w:marTop w:val="0"/>
      <w:marBottom w:val="0"/>
      <w:divBdr>
        <w:top w:val="none" w:sz="0" w:space="0" w:color="auto"/>
        <w:left w:val="none" w:sz="0" w:space="0" w:color="auto"/>
        <w:bottom w:val="none" w:sz="0" w:space="0" w:color="auto"/>
        <w:right w:val="none" w:sz="0" w:space="0" w:color="auto"/>
      </w:divBdr>
    </w:div>
    <w:div w:id="995232602">
      <w:bodyDiv w:val="1"/>
      <w:marLeft w:val="0"/>
      <w:marRight w:val="0"/>
      <w:marTop w:val="0"/>
      <w:marBottom w:val="0"/>
      <w:divBdr>
        <w:top w:val="none" w:sz="0" w:space="0" w:color="auto"/>
        <w:left w:val="none" w:sz="0" w:space="0" w:color="auto"/>
        <w:bottom w:val="none" w:sz="0" w:space="0" w:color="auto"/>
        <w:right w:val="none" w:sz="0" w:space="0" w:color="auto"/>
      </w:divBdr>
    </w:div>
    <w:div w:id="996347433">
      <w:bodyDiv w:val="1"/>
      <w:marLeft w:val="0"/>
      <w:marRight w:val="0"/>
      <w:marTop w:val="0"/>
      <w:marBottom w:val="0"/>
      <w:divBdr>
        <w:top w:val="none" w:sz="0" w:space="0" w:color="auto"/>
        <w:left w:val="none" w:sz="0" w:space="0" w:color="auto"/>
        <w:bottom w:val="none" w:sz="0" w:space="0" w:color="auto"/>
        <w:right w:val="none" w:sz="0" w:space="0" w:color="auto"/>
      </w:divBdr>
    </w:div>
    <w:div w:id="997226740">
      <w:bodyDiv w:val="1"/>
      <w:marLeft w:val="0"/>
      <w:marRight w:val="0"/>
      <w:marTop w:val="0"/>
      <w:marBottom w:val="0"/>
      <w:divBdr>
        <w:top w:val="none" w:sz="0" w:space="0" w:color="auto"/>
        <w:left w:val="none" w:sz="0" w:space="0" w:color="auto"/>
        <w:bottom w:val="none" w:sz="0" w:space="0" w:color="auto"/>
        <w:right w:val="none" w:sz="0" w:space="0" w:color="auto"/>
      </w:divBdr>
    </w:div>
    <w:div w:id="997341295">
      <w:bodyDiv w:val="1"/>
      <w:marLeft w:val="0"/>
      <w:marRight w:val="0"/>
      <w:marTop w:val="0"/>
      <w:marBottom w:val="0"/>
      <w:divBdr>
        <w:top w:val="none" w:sz="0" w:space="0" w:color="auto"/>
        <w:left w:val="none" w:sz="0" w:space="0" w:color="auto"/>
        <w:bottom w:val="none" w:sz="0" w:space="0" w:color="auto"/>
        <w:right w:val="none" w:sz="0" w:space="0" w:color="auto"/>
      </w:divBdr>
    </w:div>
    <w:div w:id="998145889">
      <w:bodyDiv w:val="1"/>
      <w:marLeft w:val="0"/>
      <w:marRight w:val="0"/>
      <w:marTop w:val="0"/>
      <w:marBottom w:val="0"/>
      <w:divBdr>
        <w:top w:val="none" w:sz="0" w:space="0" w:color="auto"/>
        <w:left w:val="none" w:sz="0" w:space="0" w:color="auto"/>
        <w:bottom w:val="none" w:sz="0" w:space="0" w:color="auto"/>
        <w:right w:val="none" w:sz="0" w:space="0" w:color="auto"/>
      </w:divBdr>
    </w:div>
    <w:div w:id="998582620">
      <w:bodyDiv w:val="1"/>
      <w:marLeft w:val="0"/>
      <w:marRight w:val="0"/>
      <w:marTop w:val="0"/>
      <w:marBottom w:val="0"/>
      <w:divBdr>
        <w:top w:val="none" w:sz="0" w:space="0" w:color="auto"/>
        <w:left w:val="none" w:sz="0" w:space="0" w:color="auto"/>
        <w:bottom w:val="none" w:sz="0" w:space="0" w:color="auto"/>
        <w:right w:val="none" w:sz="0" w:space="0" w:color="auto"/>
      </w:divBdr>
    </w:div>
    <w:div w:id="998659216">
      <w:bodyDiv w:val="1"/>
      <w:marLeft w:val="0"/>
      <w:marRight w:val="0"/>
      <w:marTop w:val="0"/>
      <w:marBottom w:val="0"/>
      <w:divBdr>
        <w:top w:val="none" w:sz="0" w:space="0" w:color="auto"/>
        <w:left w:val="none" w:sz="0" w:space="0" w:color="auto"/>
        <w:bottom w:val="none" w:sz="0" w:space="0" w:color="auto"/>
        <w:right w:val="none" w:sz="0" w:space="0" w:color="auto"/>
      </w:divBdr>
    </w:div>
    <w:div w:id="1000083236">
      <w:bodyDiv w:val="1"/>
      <w:marLeft w:val="0"/>
      <w:marRight w:val="0"/>
      <w:marTop w:val="0"/>
      <w:marBottom w:val="0"/>
      <w:divBdr>
        <w:top w:val="none" w:sz="0" w:space="0" w:color="auto"/>
        <w:left w:val="none" w:sz="0" w:space="0" w:color="auto"/>
        <w:bottom w:val="none" w:sz="0" w:space="0" w:color="auto"/>
        <w:right w:val="none" w:sz="0" w:space="0" w:color="auto"/>
      </w:divBdr>
    </w:div>
    <w:div w:id="1000278128">
      <w:bodyDiv w:val="1"/>
      <w:marLeft w:val="0"/>
      <w:marRight w:val="0"/>
      <w:marTop w:val="0"/>
      <w:marBottom w:val="0"/>
      <w:divBdr>
        <w:top w:val="none" w:sz="0" w:space="0" w:color="auto"/>
        <w:left w:val="none" w:sz="0" w:space="0" w:color="auto"/>
        <w:bottom w:val="none" w:sz="0" w:space="0" w:color="auto"/>
        <w:right w:val="none" w:sz="0" w:space="0" w:color="auto"/>
      </w:divBdr>
    </w:div>
    <w:div w:id="1000306004">
      <w:bodyDiv w:val="1"/>
      <w:marLeft w:val="0"/>
      <w:marRight w:val="0"/>
      <w:marTop w:val="0"/>
      <w:marBottom w:val="0"/>
      <w:divBdr>
        <w:top w:val="none" w:sz="0" w:space="0" w:color="auto"/>
        <w:left w:val="none" w:sz="0" w:space="0" w:color="auto"/>
        <w:bottom w:val="none" w:sz="0" w:space="0" w:color="auto"/>
        <w:right w:val="none" w:sz="0" w:space="0" w:color="auto"/>
      </w:divBdr>
    </w:div>
    <w:div w:id="1000505270">
      <w:bodyDiv w:val="1"/>
      <w:marLeft w:val="0"/>
      <w:marRight w:val="0"/>
      <w:marTop w:val="0"/>
      <w:marBottom w:val="0"/>
      <w:divBdr>
        <w:top w:val="none" w:sz="0" w:space="0" w:color="auto"/>
        <w:left w:val="none" w:sz="0" w:space="0" w:color="auto"/>
        <w:bottom w:val="none" w:sz="0" w:space="0" w:color="auto"/>
        <w:right w:val="none" w:sz="0" w:space="0" w:color="auto"/>
      </w:divBdr>
    </w:div>
    <w:div w:id="1000617711">
      <w:bodyDiv w:val="1"/>
      <w:marLeft w:val="0"/>
      <w:marRight w:val="0"/>
      <w:marTop w:val="0"/>
      <w:marBottom w:val="0"/>
      <w:divBdr>
        <w:top w:val="none" w:sz="0" w:space="0" w:color="auto"/>
        <w:left w:val="none" w:sz="0" w:space="0" w:color="auto"/>
        <w:bottom w:val="none" w:sz="0" w:space="0" w:color="auto"/>
        <w:right w:val="none" w:sz="0" w:space="0" w:color="auto"/>
      </w:divBdr>
    </w:div>
    <w:div w:id="1001392857">
      <w:bodyDiv w:val="1"/>
      <w:marLeft w:val="0"/>
      <w:marRight w:val="0"/>
      <w:marTop w:val="0"/>
      <w:marBottom w:val="0"/>
      <w:divBdr>
        <w:top w:val="none" w:sz="0" w:space="0" w:color="auto"/>
        <w:left w:val="none" w:sz="0" w:space="0" w:color="auto"/>
        <w:bottom w:val="none" w:sz="0" w:space="0" w:color="auto"/>
        <w:right w:val="none" w:sz="0" w:space="0" w:color="auto"/>
      </w:divBdr>
    </w:div>
    <w:div w:id="1002657865">
      <w:bodyDiv w:val="1"/>
      <w:marLeft w:val="0"/>
      <w:marRight w:val="0"/>
      <w:marTop w:val="0"/>
      <w:marBottom w:val="0"/>
      <w:divBdr>
        <w:top w:val="none" w:sz="0" w:space="0" w:color="auto"/>
        <w:left w:val="none" w:sz="0" w:space="0" w:color="auto"/>
        <w:bottom w:val="none" w:sz="0" w:space="0" w:color="auto"/>
        <w:right w:val="none" w:sz="0" w:space="0" w:color="auto"/>
      </w:divBdr>
    </w:div>
    <w:div w:id="1003121856">
      <w:bodyDiv w:val="1"/>
      <w:marLeft w:val="0"/>
      <w:marRight w:val="0"/>
      <w:marTop w:val="0"/>
      <w:marBottom w:val="0"/>
      <w:divBdr>
        <w:top w:val="none" w:sz="0" w:space="0" w:color="auto"/>
        <w:left w:val="none" w:sz="0" w:space="0" w:color="auto"/>
        <w:bottom w:val="none" w:sz="0" w:space="0" w:color="auto"/>
        <w:right w:val="none" w:sz="0" w:space="0" w:color="auto"/>
      </w:divBdr>
    </w:div>
    <w:div w:id="1003240970">
      <w:bodyDiv w:val="1"/>
      <w:marLeft w:val="0"/>
      <w:marRight w:val="0"/>
      <w:marTop w:val="0"/>
      <w:marBottom w:val="0"/>
      <w:divBdr>
        <w:top w:val="none" w:sz="0" w:space="0" w:color="auto"/>
        <w:left w:val="none" w:sz="0" w:space="0" w:color="auto"/>
        <w:bottom w:val="none" w:sz="0" w:space="0" w:color="auto"/>
        <w:right w:val="none" w:sz="0" w:space="0" w:color="auto"/>
      </w:divBdr>
    </w:div>
    <w:div w:id="1003313300">
      <w:bodyDiv w:val="1"/>
      <w:marLeft w:val="0"/>
      <w:marRight w:val="0"/>
      <w:marTop w:val="0"/>
      <w:marBottom w:val="0"/>
      <w:divBdr>
        <w:top w:val="none" w:sz="0" w:space="0" w:color="auto"/>
        <w:left w:val="none" w:sz="0" w:space="0" w:color="auto"/>
        <w:bottom w:val="none" w:sz="0" w:space="0" w:color="auto"/>
        <w:right w:val="none" w:sz="0" w:space="0" w:color="auto"/>
      </w:divBdr>
    </w:div>
    <w:div w:id="1003895827">
      <w:bodyDiv w:val="1"/>
      <w:marLeft w:val="0"/>
      <w:marRight w:val="0"/>
      <w:marTop w:val="0"/>
      <w:marBottom w:val="0"/>
      <w:divBdr>
        <w:top w:val="none" w:sz="0" w:space="0" w:color="auto"/>
        <w:left w:val="none" w:sz="0" w:space="0" w:color="auto"/>
        <w:bottom w:val="none" w:sz="0" w:space="0" w:color="auto"/>
        <w:right w:val="none" w:sz="0" w:space="0" w:color="auto"/>
      </w:divBdr>
    </w:div>
    <w:div w:id="1003974198">
      <w:bodyDiv w:val="1"/>
      <w:marLeft w:val="0"/>
      <w:marRight w:val="0"/>
      <w:marTop w:val="0"/>
      <w:marBottom w:val="0"/>
      <w:divBdr>
        <w:top w:val="none" w:sz="0" w:space="0" w:color="auto"/>
        <w:left w:val="none" w:sz="0" w:space="0" w:color="auto"/>
        <w:bottom w:val="none" w:sz="0" w:space="0" w:color="auto"/>
        <w:right w:val="none" w:sz="0" w:space="0" w:color="auto"/>
      </w:divBdr>
    </w:div>
    <w:div w:id="1004043894">
      <w:bodyDiv w:val="1"/>
      <w:marLeft w:val="0"/>
      <w:marRight w:val="0"/>
      <w:marTop w:val="0"/>
      <w:marBottom w:val="0"/>
      <w:divBdr>
        <w:top w:val="none" w:sz="0" w:space="0" w:color="auto"/>
        <w:left w:val="none" w:sz="0" w:space="0" w:color="auto"/>
        <w:bottom w:val="none" w:sz="0" w:space="0" w:color="auto"/>
        <w:right w:val="none" w:sz="0" w:space="0" w:color="auto"/>
      </w:divBdr>
    </w:div>
    <w:div w:id="1004211202">
      <w:bodyDiv w:val="1"/>
      <w:marLeft w:val="0"/>
      <w:marRight w:val="0"/>
      <w:marTop w:val="0"/>
      <w:marBottom w:val="0"/>
      <w:divBdr>
        <w:top w:val="none" w:sz="0" w:space="0" w:color="auto"/>
        <w:left w:val="none" w:sz="0" w:space="0" w:color="auto"/>
        <w:bottom w:val="none" w:sz="0" w:space="0" w:color="auto"/>
        <w:right w:val="none" w:sz="0" w:space="0" w:color="auto"/>
      </w:divBdr>
    </w:div>
    <w:div w:id="1004362895">
      <w:bodyDiv w:val="1"/>
      <w:marLeft w:val="0"/>
      <w:marRight w:val="0"/>
      <w:marTop w:val="0"/>
      <w:marBottom w:val="0"/>
      <w:divBdr>
        <w:top w:val="none" w:sz="0" w:space="0" w:color="auto"/>
        <w:left w:val="none" w:sz="0" w:space="0" w:color="auto"/>
        <w:bottom w:val="none" w:sz="0" w:space="0" w:color="auto"/>
        <w:right w:val="none" w:sz="0" w:space="0" w:color="auto"/>
      </w:divBdr>
    </w:div>
    <w:div w:id="1004556215">
      <w:bodyDiv w:val="1"/>
      <w:marLeft w:val="0"/>
      <w:marRight w:val="0"/>
      <w:marTop w:val="0"/>
      <w:marBottom w:val="0"/>
      <w:divBdr>
        <w:top w:val="none" w:sz="0" w:space="0" w:color="auto"/>
        <w:left w:val="none" w:sz="0" w:space="0" w:color="auto"/>
        <w:bottom w:val="none" w:sz="0" w:space="0" w:color="auto"/>
        <w:right w:val="none" w:sz="0" w:space="0" w:color="auto"/>
      </w:divBdr>
    </w:div>
    <w:div w:id="1005135494">
      <w:bodyDiv w:val="1"/>
      <w:marLeft w:val="0"/>
      <w:marRight w:val="0"/>
      <w:marTop w:val="0"/>
      <w:marBottom w:val="0"/>
      <w:divBdr>
        <w:top w:val="none" w:sz="0" w:space="0" w:color="auto"/>
        <w:left w:val="none" w:sz="0" w:space="0" w:color="auto"/>
        <w:bottom w:val="none" w:sz="0" w:space="0" w:color="auto"/>
        <w:right w:val="none" w:sz="0" w:space="0" w:color="auto"/>
      </w:divBdr>
    </w:div>
    <w:div w:id="1005668481">
      <w:bodyDiv w:val="1"/>
      <w:marLeft w:val="0"/>
      <w:marRight w:val="0"/>
      <w:marTop w:val="0"/>
      <w:marBottom w:val="0"/>
      <w:divBdr>
        <w:top w:val="none" w:sz="0" w:space="0" w:color="auto"/>
        <w:left w:val="none" w:sz="0" w:space="0" w:color="auto"/>
        <w:bottom w:val="none" w:sz="0" w:space="0" w:color="auto"/>
        <w:right w:val="none" w:sz="0" w:space="0" w:color="auto"/>
      </w:divBdr>
    </w:div>
    <w:div w:id="1006591403">
      <w:bodyDiv w:val="1"/>
      <w:marLeft w:val="0"/>
      <w:marRight w:val="0"/>
      <w:marTop w:val="0"/>
      <w:marBottom w:val="0"/>
      <w:divBdr>
        <w:top w:val="none" w:sz="0" w:space="0" w:color="auto"/>
        <w:left w:val="none" w:sz="0" w:space="0" w:color="auto"/>
        <w:bottom w:val="none" w:sz="0" w:space="0" w:color="auto"/>
        <w:right w:val="none" w:sz="0" w:space="0" w:color="auto"/>
      </w:divBdr>
    </w:div>
    <w:div w:id="1007174253">
      <w:bodyDiv w:val="1"/>
      <w:marLeft w:val="0"/>
      <w:marRight w:val="0"/>
      <w:marTop w:val="0"/>
      <w:marBottom w:val="0"/>
      <w:divBdr>
        <w:top w:val="none" w:sz="0" w:space="0" w:color="auto"/>
        <w:left w:val="none" w:sz="0" w:space="0" w:color="auto"/>
        <w:bottom w:val="none" w:sz="0" w:space="0" w:color="auto"/>
        <w:right w:val="none" w:sz="0" w:space="0" w:color="auto"/>
      </w:divBdr>
    </w:div>
    <w:div w:id="1007559172">
      <w:bodyDiv w:val="1"/>
      <w:marLeft w:val="0"/>
      <w:marRight w:val="0"/>
      <w:marTop w:val="0"/>
      <w:marBottom w:val="0"/>
      <w:divBdr>
        <w:top w:val="none" w:sz="0" w:space="0" w:color="auto"/>
        <w:left w:val="none" w:sz="0" w:space="0" w:color="auto"/>
        <w:bottom w:val="none" w:sz="0" w:space="0" w:color="auto"/>
        <w:right w:val="none" w:sz="0" w:space="0" w:color="auto"/>
      </w:divBdr>
    </w:div>
    <w:div w:id="1007975307">
      <w:bodyDiv w:val="1"/>
      <w:marLeft w:val="0"/>
      <w:marRight w:val="0"/>
      <w:marTop w:val="0"/>
      <w:marBottom w:val="0"/>
      <w:divBdr>
        <w:top w:val="none" w:sz="0" w:space="0" w:color="auto"/>
        <w:left w:val="none" w:sz="0" w:space="0" w:color="auto"/>
        <w:bottom w:val="none" w:sz="0" w:space="0" w:color="auto"/>
        <w:right w:val="none" w:sz="0" w:space="0" w:color="auto"/>
      </w:divBdr>
    </w:div>
    <w:div w:id="1008142443">
      <w:bodyDiv w:val="1"/>
      <w:marLeft w:val="0"/>
      <w:marRight w:val="0"/>
      <w:marTop w:val="0"/>
      <w:marBottom w:val="0"/>
      <w:divBdr>
        <w:top w:val="none" w:sz="0" w:space="0" w:color="auto"/>
        <w:left w:val="none" w:sz="0" w:space="0" w:color="auto"/>
        <w:bottom w:val="none" w:sz="0" w:space="0" w:color="auto"/>
        <w:right w:val="none" w:sz="0" w:space="0" w:color="auto"/>
      </w:divBdr>
    </w:div>
    <w:div w:id="1008292707">
      <w:bodyDiv w:val="1"/>
      <w:marLeft w:val="0"/>
      <w:marRight w:val="0"/>
      <w:marTop w:val="0"/>
      <w:marBottom w:val="0"/>
      <w:divBdr>
        <w:top w:val="none" w:sz="0" w:space="0" w:color="auto"/>
        <w:left w:val="none" w:sz="0" w:space="0" w:color="auto"/>
        <w:bottom w:val="none" w:sz="0" w:space="0" w:color="auto"/>
        <w:right w:val="none" w:sz="0" w:space="0" w:color="auto"/>
      </w:divBdr>
    </w:div>
    <w:div w:id="1008410332">
      <w:bodyDiv w:val="1"/>
      <w:marLeft w:val="0"/>
      <w:marRight w:val="0"/>
      <w:marTop w:val="0"/>
      <w:marBottom w:val="0"/>
      <w:divBdr>
        <w:top w:val="none" w:sz="0" w:space="0" w:color="auto"/>
        <w:left w:val="none" w:sz="0" w:space="0" w:color="auto"/>
        <w:bottom w:val="none" w:sz="0" w:space="0" w:color="auto"/>
        <w:right w:val="none" w:sz="0" w:space="0" w:color="auto"/>
      </w:divBdr>
    </w:div>
    <w:div w:id="1010451336">
      <w:bodyDiv w:val="1"/>
      <w:marLeft w:val="0"/>
      <w:marRight w:val="0"/>
      <w:marTop w:val="0"/>
      <w:marBottom w:val="0"/>
      <w:divBdr>
        <w:top w:val="none" w:sz="0" w:space="0" w:color="auto"/>
        <w:left w:val="none" w:sz="0" w:space="0" w:color="auto"/>
        <w:bottom w:val="none" w:sz="0" w:space="0" w:color="auto"/>
        <w:right w:val="none" w:sz="0" w:space="0" w:color="auto"/>
      </w:divBdr>
    </w:div>
    <w:div w:id="1011103947">
      <w:bodyDiv w:val="1"/>
      <w:marLeft w:val="0"/>
      <w:marRight w:val="0"/>
      <w:marTop w:val="0"/>
      <w:marBottom w:val="0"/>
      <w:divBdr>
        <w:top w:val="none" w:sz="0" w:space="0" w:color="auto"/>
        <w:left w:val="none" w:sz="0" w:space="0" w:color="auto"/>
        <w:bottom w:val="none" w:sz="0" w:space="0" w:color="auto"/>
        <w:right w:val="none" w:sz="0" w:space="0" w:color="auto"/>
      </w:divBdr>
    </w:div>
    <w:div w:id="1011104925">
      <w:bodyDiv w:val="1"/>
      <w:marLeft w:val="0"/>
      <w:marRight w:val="0"/>
      <w:marTop w:val="0"/>
      <w:marBottom w:val="0"/>
      <w:divBdr>
        <w:top w:val="none" w:sz="0" w:space="0" w:color="auto"/>
        <w:left w:val="none" w:sz="0" w:space="0" w:color="auto"/>
        <w:bottom w:val="none" w:sz="0" w:space="0" w:color="auto"/>
        <w:right w:val="none" w:sz="0" w:space="0" w:color="auto"/>
      </w:divBdr>
    </w:div>
    <w:div w:id="1011418636">
      <w:bodyDiv w:val="1"/>
      <w:marLeft w:val="0"/>
      <w:marRight w:val="0"/>
      <w:marTop w:val="0"/>
      <w:marBottom w:val="0"/>
      <w:divBdr>
        <w:top w:val="none" w:sz="0" w:space="0" w:color="auto"/>
        <w:left w:val="none" w:sz="0" w:space="0" w:color="auto"/>
        <w:bottom w:val="none" w:sz="0" w:space="0" w:color="auto"/>
        <w:right w:val="none" w:sz="0" w:space="0" w:color="auto"/>
      </w:divBdr>
    </w:div>
    <w:div w:id="1012074267">
      <w:bodyDiv w:val="1"/>
      <w:marLeft w:val="0"/>
      <w:marRight w:val="0"/>
      <w:marTop w:val="0"/>
      <w:marBottom w:val="0"/>
      <w:divBdr>
        <w:top w:val="none" w:sz="0" w:space="0" w:color="auto"/>
        <w:left w:val="none" w:sz="0" w:space="0" w:color="auto"/>
        <w:bottom w:val="none" w:sz="0" w:space="0" w:color="auto"/>
        <w:right w:val="none" w:sz="0" w:space="0" w:color="auto"/>
      </w:divBdr>
    </w:div>
    <w:div w:id="1012686461">
      <w:bodyDiv w:val="1"/>
      <w:marLeft w:val="0"/>
      <w:marRight w:val="0"/>
      <w:marTop w:val="0"/>
      <w:marBottom w:val="0"/>
      <w:divBdr>
        <w:top w:val="none" w:sz="0" w:space="0" w:color="auto"/>
        <w:left w:val="none" w:sz="0" w:space="0" w:color="auto"/>
        <w:bottom w:val="none" w:sz="0" w:space="0" w:color="auto"/>
        <w:right w:val="none" w:sz="0" w:space="0" w:color="auto"/>
      </w:divBdr>
    </w:div>
    <w:div w:id="1012875290">
      <w:bodyDiv w:val="1"/>
      <w:marLeft w:val="0"/>
      <w:marRight w:val="0"/>
      <w:marTop w:val="0"/>
      <w:marBottom w:val="0"/>
      <w:divBdr>
        <w:top w:val="none" w:sz="0" w:space="0" w:color="auto"/>
        <w:left w:val="none" w:sz="0" w:space="0" w:color="auto"/>
        <w:bottom w:val="none" w:sz="0" w:space="0" w:color="auto"/>
        <w:right w:val="none" w:sz="0" w:space="0" w:color="auto"/>
      </w:divBdr>
    </w:div>
    <w:div w:id="1012878763">
      <w:bodyDiv w:val="1"/>
      <w:marLeft w:val="0"/>
      <w:marRight w:val="0"/>
      <w:marTop w:val="0"/>
      <w:marBottom w:val="0"/>
      <w:divBdr>
        <w:top w:val="none" w:sz="0" w:space="0" w:color="auto"/>
        <w:left w:val="none" w:sz="0" w:space="0" w:color="auto"/>
        <w:bottom w:val="none" w:sz="0" w:space="0" w:color="auto"/>
        <w:right w:val="none" w:sz="0" w:space="0" w:color="auto"/>
      </w:divBdr>
    </w:div>
    <w:div w:id="1012950504">
      <w:bodyDiv w:val="1"/>
      <w:marLeft w:val="0"/>
      <w:marRight w:val="0"/>
      <w:marTop w:val="0"/>
      <w:marBottom w:val="0"/>
      <w:divBdr>
        <w:top w:val="none" w:sz="0" w:space="0" w:color="auto"/>
        <w:left w:val="none" w:sz="0" w:space="0" w:color="auto"/>
        <w:bottom w:val="none" w:sz="0" w:space="0" w:color="auto"/>
        <w:right w:val="none" w:sz="0" w:space="0" w:color="auto"/>
      </w:divBdr>
    </w:div>
    <w:div w:id="1013216842">
      <w:bodyDiv w:val="1"/>
      <w:marLeft w:val="0"/>
      <w:marRight w:val="0"/>
      <w:marTop w:val="0"/>
      <w:marBottom w:val="0"/>
      <w:divBdr>
        <w:top w:val="none" w:sz="0" w:space="0" w:color="auto"/>
        <w:left w:val="none" w:sz="0" w:space="0" w:color="auto"/>
        <w:bottom w:val="none" w:sz="0" w:space="0" w:color="auto"/>
        <w:right w:val="none" w:sz="0" w:space="0" w:color="auto"/>
      </w:divBdr>
    </w:div>
    <w:div w:id="1013218443">
      <w:bodyDiv w:val="1"/>
      <w:marLeft w:val="0"/>
      <w:marRight w:val="0"/>
      <w:marTop w:val="0"/>
      <w:marBottom w:val="0"/>
      <w:divBdr>
        <w:top w:val="none" w:sz="0" w:space="0" w:color="auto"/>
        <w:left w:val="none" w:sz="0" w:space="0" w:color="auto"/>
        <w:bottom w:val="none" w:sz="0" w:space="0" w:color="auto"/>
        <w:right w:val="none" w:sz="0" w:space="0" w:color="auto"/>
      </w:divBdr>
    </w:div>
    <w:div w:id="1013730907">
      <w:bodyDiv w:val="1"/>
      <w:marLeft w:val="0"/>
      <w:marRight w:val="0"/>
      <w:marTop w:val="0"/>
      <w:marBottom w:val="0"/>
      <w:divBdr>
        <w:top w:val="none" w:sz="0" w:space="0" w:color="auto"/>
        <w:left w:val="none" w:sz="0" w:space="0" w:color="auto"/>
        <w:bottom w:val="none" w:sz="0" w:space="0" w:color="auto"/>
        <w:right w:val="none" w:sz="0" w:space="0" w:color="auto"/>
      </w:divBdr>
    </w:div>
    <w:div w:id="1014503524">
      <w:bodyDiv w:val="1"/>
      <w:marLeft w:val="0"/>
      <w:marRight w:val="0"/>
      <w:marTop w:val="0"/>
      <w:marBottom w:val="0"/>
      <w:divBdr>
        <w:top w:val="none" w:sz="0" w:space="0" w:color="auto"/>
        <w:left w:val="none" w:sz="0" w:space="0" w:color="auto"/>
        <w:bottom w:val="none" w:sz="0" w:space="0" w:color="auto"/>
        <w:right w:val="none" w:sz="0" w:space="0" w:color="auto"/>
      </w:divBdr>
    </w:div>
    <w:div w:id="1015033774">
      <w:bodyDiv w:val="1"/>
      <w:marLeft w:val="0"/>
      <w:marRight w:val="0"/>
      <w:marTop w:val="0"/>
      <w:marBottom w:val="0"/>
      <w:divBdr>
        <w:top w:val="none" w:sz="0" w:space="0" w:color="auto"/>
        <w:left w:val="none" w:sz="0" w:space="0" w:color="auto"/>
        <w:bottom w:val="none" w:sz="0" w:space="0" w:color="auto"/>
        <w:right w:val="none" w:sz="0" w:space="0" w:color="auto"/>
      </w:divBdr>
    </w:div>
    <w:div w:id="1015185274">
      <w:bodyDiv w:val="1"/>
      <w:marLeft w:val="0"/>
      <w:marRight w:val="0"/>
      <w:marTop w:val="0"/>
      <w:marBottom w:val="0"/>
      <w:divBdr>
        <w:top w:val="none" w:sz="0" w:space="0" w:color="auto"/>
        <w:left w:val="none" w:sz="0" w:space="0" w:color="auto"/>
        <w:bottom w:val="none" w:sz="0" w:space="0" w:color="auto"/>
        <w:right w:val="none" w:sz="0" w:space="0" w:color="auto"/>
      </w:divBdr>
    </w:div>
    <w:div w:id="1015888167">
      <w:bodyDiv w:val="1"/>
      <w:marLeft w:val="0"/>
      <w:marRight w:val="0"/>
      <w:marTop w:val="0"/>
      <w:marBottom w:val="0"/>
      <w:divBdr>
        <w:top w:val="none" w:sz="0" w:space="0" w:color="auto"/>
        <w:left w:val="none" w:sz="0" w:space="0" w:color="auto"/>
        <w:bottom w:val="none" w:sz="0" w:space="0" w:color="auto"/>
        <w:right w:val="none" w:sz="0" w:space="0" w:color="auto"/>
      </w:divBdr>
    </w:div>
    <w:div w:id="1016225789">
      <w:bodyDiv w:val="1"/>
      <w:marLeft w:val="0"/>
      <w:marRight w:val="0"/>
      <w:marTop w:val="0"/>
      <w:marBottom w:val="0"/>
      <w:divBdr>
        <w:top w:val="none" w:sz="0" w:space="0" w:color="auto"/>
        <w:left w:val="none" w:sz="0" w:space="0" w:color="auto"/>
        <w:bottom w:val="none" w:sz="0" w:space="0" w:color="auto"/>
        <w:right w:val="none" w:sz="0" w:space="0" w:color="auto"/>
      </w:divBdr>
    </w:div>
    <w:div w:id="1016348382">
      <w:bodyDiv w:val="1"/>
      <w:marLeft w:val="0"/>
      <w:marRight w:val="0"/>
      <w:marTop w:val="0"/>
      <w:marBottom w:val="0"/>
      <w:divBdr>
        <w:top w:val="none" w:sz="0" w:space="0" w:color="auto"/>
        <w:left w:val="none" w:sz="0" w:space="0" w:color="auto"/>
        <w:bottom w:val="none" w:sz="0" w:space="0" w:color="auto"/>
        <w:right w:val="none" w:sz="0" w:space="0" w:color="auto"/>
      </w:divBdr>
    </w:div>
    <w:div w:id="1017123665">
      <w:bodyDiv w:val="1"/>
      <w:marLeft w:val="0"/>
      <w:marRight w:val="0"/>
      <w:marTop w:val="0"/>
      <w:marBottom w:val="0"/>
      <w:divBdr>
        <w:top w:val="none" w:sz="0" w:space="0" w:color="auto"/>
        <w:left w:val="none" w:sz="0" w:space="0" w:color="auto"/>
        <w:bottom w:val="none" w:sz="0" w:space="0" w:color="auto"/>
        <w:right w:val="none" w:sz="0" w:space="0" w:color="auto"/>
      </w:divBdr>
    </w:div>
    <w:div w:id="1017149055">
      <w:bodyDiv w:val="1"/>
      <w:marLeft w:val="0"/>
      <w:marRight w:val="0"/>
      <w:marTop w:val="0"/>
      <w:marBottom w:val="0"/>
      <w:divBdr>
        <w:top w:val="none" w:sz="0" w:space="0" w:color="auto"/>
        <w:left w:val="none" w:sz="0" w:space="0" w:color="auto"/>
        <w:bottom w:val="none" w:sz="0" w:space="0" w:color="auto"/>
        <w:right w:val="none" w:sz="0" w:space="0" w:color="auto"/>
      </w:divBdr>
    </w:div>
    <w:div w:id="1017462038">
      <w:bodyDiv w:val="1"/>
      <w:marLeft w:val="0"/>
      <w:marRight w:val="0"/>
      <w:marTop w:val="0"/>
      <w:marBottom w:val="0"/>
      <w:divBdr>
        <w:top w:val="none" w:sz="0" w:space="0" w:color="auto"/>
        <w:left w:val="none" w:sz="0" w:space="0" w:color="auto"/>
        <w:bottom w:val="none" w:sz="0" w:space="0" w:color="auto"/>
        <w:right w:val="none" w:sz="0" w:space="0" w:color="auto"/>
      </w:divBdr>
    </w:div>
    <w:div w:id="1017541304">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7925993">
      <w:bodyDiv w:val="1"/>
      <w:marLeft w:val="0"/>
      <w:marRight w:val="0"/>
      <w:marTop w:val="0"/>
      <w:marBottom w:val="0"/>
      <w:divBdr>
        <w:top w:val="none" w:sz="0" w:space="0" w:color="auto"/>
        <w:left w:val="none" w:sz="0" w:space="0" w:color="auto"/>
        <w:bottom w:val="none" w:sz="0" w:space="0" w:color="auto"/>
        <w:right w:val="none" w:sz="0" w:space="0" w:color="auto"/>
      </w:divBdr>
    </w:div>
    <w:div w:id="1019157058">
      <w:bodyDiv w:val="1"/>
      <w:marLeft w:val="0"/>
      <w:marRight w:val="0"/>
      <w:marTop w:val="0"/>
      <w:marBottom w:val="0"/>
      <w:divBdr>
        <w:top w:val="none" w:sz="0" w:space="0" w:color="auto"/>
        <w:left w:val="none" w:sz="0" w:space="0" w:color="auto"/>
        <w:bottom w:val="none" w:sz="0" w:space="0" w:color="auto"/>
        <w:right w:val="none" w:sz="0" w:space="0" w:color="auto"/>
      </w:divBdr>
    </w:div>
    <w:div w:id="1019740435">
      <w:bodyDiv w:val="1"/>
      <w:marLeft w:val="0"/>
      <w:marRight w:val="0"/>
      <w:marTop w:val="0"/>
      <w:marBottom w:val="0"/>
      <w:divBdr>
        <w:top w:val="none" w:sz="0" w:space="0" w:color="auto"/>
        <w:left w:val="none" w:sz="0" w:space="0" w:color="auto"/>
        <w:bottom w:val="none" w:sz="0" w:space="0" w:color="auto"/>
        <w:right w:val="none" w:sz="0" w:space="0" w:color="auto"/>
      </w:divBdr>
    </w:div>
    <w:div w:id="1019896961">
      <w:bodyDiv w:val="1"/>
      <w:marLeft w:val="0"/>
      <w:marRight w:val="0"/>
      <w:marTop w:val="0"/>
      <w:marBottom w:val="0"/>
      <w:divBdr>
        <w:top w:val="none" w:sz="0" w:space="0" w:color="auto"/>
        <w:left w:val="none" w:sz="0" w:space="0" w:color="auto"/>
        <w:bottom w:val="none" w:sz="0" w:space="0" w:color="auto"/>
        <w:right w:val="none" w:sz="0" w:space="0" w:color="auto"/>
      </w:divBdr>
    </w:div>
    <w:div w:id="1020620454">
      <w:bodyDiv w:val="1"/>
      <w:marLeft w:val="0"/>
      <w:marRight w:val="0"/>
      <w:marTop w:val="0"/>
      <w:marBottom w:val="0"/>
      <w:divBdr>
        <w:top w:val="none" w:sz="0" w:space="0" w:color="auto"/>
        <w:left w:val="none" w:sz="0" w:space="0" w:color="auto"/>
        <w:bottom w:val="none" w:sz="0" w:space="0" w:color="auto"/>
        <w:right w:val="none" w:sz="0" w:space="0" w:color="auto"/>
      </w:divBdr>
    </w:div>
    <w:div w:id="1020664207">
      <w:bodyDiv w:val="1"/>
      <w:marLeft w:val="0"/>
      <w:marRight w:val="0"/>
      <w:marTop w:val="0"/>
      <w:marBottom w:val="0"/>
      <w:divBdr>
        <w:top w:val="none" w:sz="0" w:space="0" w:color="auto"/>
        <w:left w:val="none" w:sz="0" w:space="0" w:color="auto"/>
        <w:bottom w:val="none" w:sz="0" w:space="0" w:color="auto"/>
        <w:right w:val="none" w:sz="0" w:space="0" w:color="auto"/>
      </w:divBdr>
    </w:div>
    <w:div w:id="1021131787">
      <w:bodyDiv w:val="1"/>
      <w:marLeft w:val="0"/>
      <w:marRight w:val="0"/>
      <w:marTop w:val="0"/>
      <w:marBottom w:val="0"/>
      <w:divBdr>
        <w:top w:val="none" w:sz="0" w:space="0" w:color="auto"/>
        <w:left w:val="none" w:sz="0" w:space="0" w:color="auto"/>
        <w:bottom w:val="none" w:sz="0" w:space="0" w:color="auto"/>
        <w:right w:val="none" w:sz="0" w:space="0" w:color="auto"/>
      </w:divBdr>
    </w:div>
    <w:div w:id="1022053255">
      <w:bodyDiv w:val="1"/>
      <w:marLeft w:val="0"/>
      <w:marRight w:val="0"/>
      <w:marTop w:val="0"/>
      <w:marBottom w:val="0"/>
      <w:divBdr>
        <w:top w:val="none" w:sz="0" w:space="0" w:color="auto"/>
        <w:left w:val="none" w:sz="0" w:space="0" w:color="auto"/>
        <w:bottom w:val="none" w:sz="0" w:space="0" w:color="auto"/>
        <w:right w:val="none" w:sz="0" w:space="0" w:color="auto"/>
      </w:divBdr>
    </w:div>
    <w:div w:id="1022979754">
      <w:bodyDiv w:val="1"/>
      <w:marLeft w:val="0"/>
      <w:marRight w:val="0"/>
      <w:marTop w:val="0"/>
      <w:marBottom w:val="0"/>
      <w:divBdr>
        <w:top w:val="none" w:sz="0" w:space="0" w:color="auto"/>
        <w:left w:val="none" w:sz="0" w:space="0" w:color="auto"/>
        <w:bottom w:val="none" w:sz="0" w:space="0" w:color="auto"/>
        <w:right w:val="none" w:sz="0" w:space="0" w:color="auto"/>
      </w:divBdr>
    </w:div>
    <w:div w:id="1023281635">
      <w:bodyDiv w:val="1"/>
      <w:marLeft w:val="0"/>
      <w:marRight w:val="0"/>
      <w:marTop w:val="0"/>
      <w:marBottom w:val="0"/>
      <w:divBdr>
        <w:top w:val="none" w:sz="0" w:space="0" w:color="auto"/>
        <w:left w:val="none" w:sz="0" w:space="0" w:color="auto"/>
        <w:bottom w:val="none" w:sz="0" w:space="0" w:color="auto"/>
        <w:right w:val="none" w:sz="0" w:space="0" w:color="auto"/>
      </w:divBdr>
    </w:div>
    <w:div w:id="1025211618">
      <w:bodyDiv w:val="1"/>
      <w:marLeft w:val="0"/>
      <w:marRight w:val="0"/>
      <w:marTop w:val="0"/>
      <w:marBottom w:val="0"/>
      <w:divBdr>
        <w:top w:val="none" w:sz="0" w:space="0" w:color="auto"/>
        <w:left w:val="none" w:sz="0" w:space="0" w:color="auto"/>
        <w:bottom w:val="none" w:sz="0" w:space="0" w:color="auto"/>
        <w:right w:val="none" w:sz="0" w:space="0" w:color="auto"/>
      </w:divBdr>
    </w:div>
    <w:div w:id="1025866957">
      <w:bodyDiv w:val="1"/>
      <w:marLeft w:val="0"/>
      <w:marRight w:val="0"/>
      <w:marTop w:val="0"/>
      <w:marBottom w:val="0"/>
      <w:divBdr>
        <w:top w:val="none" w:sz="0" w:space="0" w:color="auto"/>
        <w:left w:val="none" w:sz="0" w:space="0" w:color="auto"/>
        <w:bottom w:val="none" w:sz="0" w:space="0" w:color="auto"/>
        <w:right w:val="none" w:sz="0" w:space="0" w:color="auto"/>
      </w:divBdr>
    </w:div>
    <w:div w:id="1026097634">
      <w:bodyDiv w:val="1"/>
      <w:marLeft w:val="0"/>
      <w:marRight w:val="0"/>
      <w:marTop w:val="0"/>
      <w:marBottom w:val="0"/>
      <w:divBdr>
        <w:top w:val="none" w:sz="0" w:space="0" w:color="auto"/>
        <w:left w:val="none" w:sz="0" w:space="0" w:color="auto"/>
        <w:bottom w:val="none" w:sz="0" w:space="0" w:color="auto"/>
        <w:right w:val="none" w:sz="0" w:space="0" w:color="auto"/>
      </w:divBdr>
    </w:div>
    <w:div w:id="1026447130">
      <w:bodyDiv w:val="1"/>
      <w:marLeft w:val="0"/>
      <w:marRight w:val="0"/>
      <w:marTop w:val="0"/>
      <w:marBottom w:val="0"/>
      <w:divBdr>
        <w:top w:val="none" w:sz="0" w:space="0" w:color="auto"/>
        <w:left w:val="none" w:sz="0" w:space="0" w:color="auto"/>
        <w:bottom w:val="none" w:sz="0" w:space="0" w:color="auto"/>
        <w:right w:val="none" w:sz="0" w:space="0" w:color="auto"/>
      </w:divBdr>
    </w:div>
    <w:div w:id="1026634840">
      <w:bodyDiv w:val="1"/>
      <w:marLeft w:val="0"/>
      <w:marRight w:val="0"/>
      <w:marTop w:val="0"/>
      <w:marBottom w:val="0"/>
      <w:divBdr>
        <w:top w:val="none" w:sz="0" w:space="0" w:color="auto"/>
        <w:left w:val="none" w:sz="0" w:space="0" w:color="auto"/>
        <w:bottom w:val="none" w:sz="0" w:space="0" w:color="auto"/>
        <w:right w:val="none" w:sz="0" w:space="0" w:color="auto"/>
      </w:divBdr>
    </w:div>
    <w:div w:id="1026715999">
      <w:bodyDiv w:val="1"/>
      <w:marLeft w:val="0"/>
      <w:marRight w:val="0"/>
      <w:marTop w:val="0"/>
      <w:marBottom w:val="0"/>
      <w:divBdr>
        <w:top w:val="none" w:sz="0" w:space="0" w:color="auto"/>
        <w:left w:val="none" w:sz="0" w:space="0" w:color="auto"/>
        <w:bottom w:val="none" w:sz="0" w:space="0" w:color="auto"/>
        <w:right w:val="none" w:sz="0" w:space="0" w:color="auto"/>
      </w:divBdr>
    </w:div>
    <w:div w:id="1027175259">
      <w:bodyDiv w:val="1"/>
      <w:marLeft w:val="0"/>
      <w:marRight w:val="0"/>
      <w:marTop w:val="0"/>
      <w:marBottom w:val="0"/>
      <w:divBdr>
        <w:top w:val="none" w:sz="0" w:space="0" w:color="auto"/>
        <w:left w:val="none" w:sz="0" w:space="0" w:color="auto"/>
        <w:bottom w:val="none" w:sz="0" w:space="0" w:color="auto"/>
        <w:right w:val="none" w:sz="0" w:space="0" w:color="auto"/>
      </w:divBdr>
    </w:div>
    <w:div w:id="1027635290">
      <w:bodyDiv w:val="1"/>
      <w:marLeft w:val="0"/>
      <w:marRight w:val="0"/>
      <w:marTop w:val="0"/>
      <w:marBottom w:val="0"/>
      <w:divBdr>
        <w:top w:val="none" w:sz="0" w:space="0" w:color="auto"/>
        <w:left w:val="none" w:sz="0" w:space="0" w:color="auto"/>
        <w:bottom w:val="none" w:sz="0" w:space="0" w:color="auto"/>
        <w:right w:val="none" w:sz="0" w:space="0" w:color="auto"/>
      </w:divBdr>
    </w:div>
    <w:div w:id="1027757710">
      <w:bodyDiv w:val="1"/>
      <w:marLeft w:val="0"/>
      <w:marRight w:val="0"/>
      <w:marTop w:val="0"/>
      <w:marBottom w:val="0"/>
      <w:divBdr>
        <w:top w:val="none" w:sz="0" w:space="0" w:color="auto"/>
        <w:left w:val="none" w:sz="0" w:space="0" w:color="auto"/>
        <w:bottom w:val="none" w:sz="0" w:space="0" w:color="auto"/>
        <w:right w:val="none" w:sz="0" w:space="0" w:color="auto"/>
      </w:divBdr>
    </w:div>
    <w:div w:id="1027760068">
      <w:bodyDiv w:val="1"/>
      <w:marLeft w:val="0"/>
      <w:marRight w:val="0"/>
      <w:marTop w:val="0"/>
      <w:marBottom w:val="0"/>
      <w:divBdr>
        <w:top w:val="none" w:sz="0" w:space="0" w:color="auto"/>
        <w:left w:val="none" w:sz="0" w:space="0" w:color="auto"/>
        <w:bottom w:val="none" w:sz="0" w:space="0" w:color="auto"/>
        <w:right w:val="none" w:sz="0" w:space="0" w:color="auto"/>
      </w:divBdr>
    </w:div>
    <w:div w:id="1028071329">
      <w:bodyDiv w:val="1"/>
      <w:marLeft w:val="0"/>
      <w:marRight w:val="0"/>
      <w:marTop w:val="0"/>
      <w:marBottom w:val="0"/>
      <w:divBdr>
        <w:top w:val="none" w:sz="0" w:space="0" w:color="auto"/>
        <w:left w:val="none" w:sz="0" w:space="0" w:color="auto"/>
        <w:bottom w:val="none" w:sz="0" w:space="0" w:color="auto"/>
        <w:right w:val="none" w:sz="0" w:space="0" w:color="auto"/>
      </w:divBdr>
    </w:div>
    <w:div w:id="1028488435">
      <w:bodyDiv w:val="1"/>
      <w:marLeft w:val="0"/>
      <w:marRight w:val="0"/>
      <w:marTop w:val="0"/>
      <w:marBottom w:val="0"/>
      <w:divBdr>
        <w:top w:val="none" w:sz="0" w:space="0" w:color="auto"/>
        <w:left w:val="none" w:sz="0" w:space="0" w:color="auto"/>
        <w:bottom w:val="none" w:sz="0" w:space="0" w:color="auto"/>
        <w:right w:val="none" w:sz="0" w:space="0" w:color="auto"/>
      </w:divBdr>
    </w:div>
    <w:div w:id="1028529850">
      <w:bodyDiv w:val="1"/>
      <w:marLeft w:val="0"/>
      <w:marRight w:val="0"/>
      <w:marTop w:val="0"/>
      <w:marBottom w:val="0"/>
      <w:divBdr>
        <w:top w:val="none" w:sz="0" w:space="0" w:color="auto"/>
        <w:left w:val="none" w:sz="0" w:space="0" w:color="auto"/>
        <w:bottom w:val="none" w:sz="0" w:space="0" w:color="auto"/>
        <w:right w:val="none" w:sz="0" w:space="0" w:color="auto"/>
      </w:divBdr>
    </w:div>
    <w:div w:id="1029260138">
      <w:bodyDiv w:val="1"/>
      <w:marLeft w:val="0"/>
      <w:marRight w:val="0"/>
      <w:marTop w:val="0"/>
      <w:marBottom w:val="0"/>
      <w:divBdr>
        <w:top w:val="none" w:sz="0" w:space="0" w:color="auto"/>
        <w:left w:val="none" w:sz="0" w:space="0" w:color="auto"/>
        <w:bottom w:val="none" w:sz="0" w:space="0" w:color="auto"/>
        <w:right w:val="none" w:sz="0" w:space="0" w:color="auto"/>
      </w:divBdr>
    </w:div>
    <w:div w:id="1029379562">
      <w:bodyDiv w:val="1"/>
      <w:marLeft w:val="0"/>
      <w:marRight w:val="0"/>
      <w:marTop w:val="0"/>
      <w:marBottom w:val="0"/>
      <w:divBdr>
        <w:top w:val="none" w:sz="0" w:space="0" w:color="auto"/>
        <w:left w:val="none" w:sz="0" w:space="0" w:color="auto"/>
        <w:bottom w:val="none" w:sz="0" w:space="0" w:color="auto"/>
        <w:right w:val="none" w:sz="0" w:space="0" w:color="auto"/>
      </w:divBdr>
    </w:div>
    <w:div w:id="1029450092">
      <w:bodyDiv w:val="1"/>
      <w:marLeft w:val="0"/>
      <w:marRight w:val="0"/>
      <w:marTop w:val="0"/>
      <w:marBottom w:val="0"/>
      <w:divBdr>
        <w:top w:val="none" w:sz="0" w:space="0" w:color="auto"/>
        <w:left w:val="none" w:sz="0" w:space="0" w:color="auto"/>
        <w:bottom w:val="none" w:sz="0" w:space="0" w:color="auto"/>
        <w:right w:val="none" w:sz="0" w:space="0" w:color="auto"/>
      </w:divBdr>
    </w:div>
    <w:div w:id="1030253901">
      <w:bodyDiv w:val="1"/>
      <w:marLeft w:val="0"/>
      <w:marRight w:val="0"/>
      <w:marTop w:val="0"/>
      <w:marBottom w:val="0"/>
      <w:divBdr>
        <w:top w:val="none" w:sz="0" w:space="0" w:color="auto"/>
        <w:left w:val="none" w:sz="0" w:space="0" w:color="auto"/>
        <w:bottom w:val="none" w:sz="0" w:space="0" w:color="auto"/>
        <w:right w:val="none" w:sz="0" w:space="0" w:color="auto"/>
      </w:divBdr>
    </w:div>
    <w:div w:id="1030303729">
      <w:bodyDiv w:val="1"/>
      <w:marLeft w:val="0"/>
      <w:marRight w:val="0"/>
      <w:marTop w:val="0"/>
      <w:marBottom w:val="0"/>
      <w:divBdr>
        <w:top w:val="none" w:sz="0" w:space="0" w:color="auto"/>
        <w:left w:val="none" w:sz="0" w:space="0" w:color="auto"/>
        <w:bottom w:val="none" w:sz="0" w:space="0" w:color="auto"/>
        <w:right w:val="none" w:sz="0" w:space="0" w:color="auto"/>
      </w:divBdr>
    </w:div>
    <w:div w:id="1031346680">
      <w:bodyDiv w:val="1"/>
      <w:marLeft w:val="0"/>
      <w:marRight w:val="0"/>
      <w:marTop w:val="0"/>
      <w:marBottom w:val="0"/>
      <w:divBdr>
        <w:top w:val="none" w:sz="0" w:space="0" w:color="auto"/>
        <w:left w:val="none" w:sz="0" w:space="0" w:color="auto"/>
        <w:bottom w:val="none" w:sz="0" w:space="0" w:color="auto"/>
        <w:right w:val="none" w:sz="0" w:space="0" w:color="auto"/>
      </w:divBdr>
    </w:div>
    <w:div w:id="1031347916">
      <w:bodyDiv w:val="1"/>
      <w:marLeft w:val="0"/>
      <w:marRight w:val="0"/>
      <w:marTop w:val="0"/>
      <w:marBottom w:val="0"/>
      <w:divBdr>
        <w:top w:val="none" w:sz="0" w:space="0" w:color="auto"/>
        <w:left w:val="none" w:sz="0" w:space="0" w:color="auto"/>
        <w:bottom w:val="none" w:sz="0" w:space="0" w:color="auto"/>
        <w:right w:val="none" w:sz="0" w:space="0" w:color="auto"/>
      </w:divBdr>
    </w:div>
    <w:div w:id="1031493912">
      <w:bodyDiv w:val="1"/>
      <w:marLeft w:val="0"/>
      <w:marRight w:val="0"/>
      <w:marTop w:val="0"/>
      <w:marBottom w:val="0"/>
      <w:divBdr>
        <w:top w:val="none" w:sz="0" w:space="0" w:color="auto"/>
        <w:left w:val="none" w:sz="0" w:space="0" w:color="auto"/>
        <w:bottom w:val="none" w:sz="0" w:space="0" w:color="auto"/>
        <w:right w:val="none" w:sz="0" w:space="0" w:color="auto"/>
      </w:divBdr>
    </w:div>
    <w:div w:id="1031539960">
      <w:bodyDiv w:val="1"/>
      <w:marLeft w:val="0"/>
      <w:marRight w:val="0"/>
      <w:marTop w:val="0"/>
      <w:marBottom w:val="0"/>
      <w:divBdr>
        <w:top w:val="none" w:sz="0" w:space="0" w:color="auto"/>
        <w:left w:val="none" w:sz="0" w:space="0" w:color="auto"/>
        <w:bottom w:val="none" w:sz="0" w:space="0" w:color="auto"/>
        <w:right w:val="none" w:sz="0" w:space="0" w:color="auto"/>
      </w:divBdr>
    </w:div>
    <w:div w:id="1031609683">
      <w:bodyDiv w:val="1"/>
      <w:marLeft w:val="0"/>
      <w:marRight w:val="0"/>
      <w:marTop w:val="0"/>
      <w:marBottom w:val="0"/>
      <w:divBdr>
        <w:top w:val="none" w:sz="0" w:space="0" w:color="auto"/>
        <w:left w:val="none" w:sz="0" w:space="0" w:color="auto"/>
        <w:bottom w:val="none" w:sz="0" w:space="0" w:color="auto"/>
        <w:right w:val="none" w:sz="0" w:space="0" w:color="auto"/>
      </w:divBdr>
    </w:div>
    <w:div w:id="1032151458">
      <w:bodyDiv w:val="1"/>
      <w:marLeft w:val="0"/>
      <w:marRight w:val="0"/>
      <w:marTop w:val="0"/>
      <w:marBottom w:val="0"/>
      <w:divBdr>
        <w:top w:val="none" w:sz="0" w:space="0" w:color="auto"/>
        <w:left w:val="none" w:sz="0" w:space="0" w:color="auto"/>
        <w:bottom w:val="none" w:sz="0" w:space="0" w:color="auto"/>
        <w:right w:val="none" w:sz="0" w:space="0" w:color="auto"/>
      </w:divBdr>
    </w:div>
    <w:div w:id="1032221181">
      <w:bodyDiv w:val="1"/>
      <w:marLeft w:val="0"/>
      <w:marRight w:val="0"/>
      <w:marTop w:val="0"/>
      <w:marBottom w:val="0"/>
      <w:divBdr>
        <w:top w:val="none" w:sz="0" w:space="0" w:color="auto"/>
        <w:left w:val="none" w:sz="0" w:space="0" w:color="auto"/>
        <w:bottom w:val="none" w:sz="0" w:space="0" w:color="auto"/>
        <w:right w:val="none" w:sz="0" w:space="0" w:color="auto"/>
      </w:divBdr>
    </w:div>
    <w:div w:id="1032805065">
      <w:bodyDiv w:val="1"/>
      <w:marLeft w:val="0"/>
      <w:marRight w:val="0"/>
      <w:marTop w:val="0"/>
      <w:marBottom w:val="0"/>
      <w:divBdr>
        <w:top w:val="none" w:sz="0" w:space="0" w:color="auto"/>
        <w:left w:val="none" w:sz="0" w:space="0" w:color="auto"/>
        <w:bottom w:val="none" w:sz="0" w:space="0" w:color="auto"/>
        <w:right w:val="none" w:sz="0" w:space="0" w:color="auto"/>
      </w:divBdr>
    </w:div>
    <w:div w:id="1032926265">
      <w:bodyDiv w:val="1"/>
      <w:marLeft w:val="0"/>
      <w:marRight w:val="0"/>
      <w:marTop w:val="0"/>
      <w:marBottom w:val="0"/>
      <w:divBdr>
        <w:top w:val="none" w:sz="0" w:space="0" w:color="auto"/>
        <w:left w:val="none" w:sz="0" w:space="0" w:color="auto"/>
        <w:bottom w:val="none" w:sz="0" w:space="0" w:color="auto"/>
        <w:right w:val="none" w:sz="0" w:space="0" w:color="auto"/>
      </w:divBdr>
    </w:div>
    <w:div w:id="1034426449">
      <w:bodyDiv w:val="1"/>
      <w:marLeft w:val="0"/>
      <w:marRight w:val="0"/>
      <w:marTop w:val="0"/>
      <w:marBottom w:val="0"/>
      <w:divBdr>
        <w:top w:val="none" w:sz="0" w:space="0" w:color="auto"/>
        <w:left w:val="none" w:sz="0" w:space="0" w:color="auto"/>
        <w:bottom w:val="none" w:sz="0" w:space="0" w:color="auto"/>
        <w:right w:val="none" w:sz="0" w:space="0" w:color="auto"/>
      </w:divBdr>
    </w:div>
    <w:div w:id="1035883247">
      <w:bodyDiv w:val="1"/>
      <w:marLeft w:val="0"/>
      <w:marRight w:val="0"/>
      <w:marTop w:val="0"/>
      <w:marBottom w:val="0"/>
      <w:divBdr>
        <w:top w:val="none" w:sz="0" w:space="0" w:color="auto"/>
        <w:left w:val="none" w:sz="0" w:space="0" w:color="auto"/>
        <w:bottom w:val="none" w:sz="0" w:space="0" w:color="auto"/>
        <w:right w:val="none" w:sz="0" w:space="0" w:color="auto"/>
      </w:divBdr>
    </w:div>
    <w:div w:id="1035891581">
      <w:bodyDiv w:val="1"/>
      <w:marLeft w:val="0"/>
      <w:marRight w:val="0"/>
      <w:marTop w:val="0"/>
      <w:marBottom w:val="0"/>
      <w:divBdr>
        <w:top w:val="none" w:sz="0" w:space="0" w:color="auto"/>
        <w:left w:val="none" w:sz="0" w:space="0" w:color="auto"/>
        <w:bottom w:val="none" w:sz="0" w:space="0" w:color="auto"/>
        <w:right w:val="none" w:sz="0" w:space="0" w:color="auto"/>
      </w:divBdr>
    </w:div>
    <w:div w:id="1035931552">
      <w:bodyDiv w:val="1"/>
      <w:marLeft w:val="0"/>
      <w:marRight w:val="0"/>
      <w:marTop w:val="0"/>
      <w:marBottom w:val="0"/>
      <w:divBdr>
        <w:top w:val="none" w:sz="0" w:space="0" w:color="auto"/>
        <w:left w:val="none" w:sz="0" w:space="0" w:color="auto"/>
        <w:bottom w:val="none" w:sz="0" w:space="0" w:color="auto"/>
        <w:right w:val="none" w:sz="0" w:space="0" w:color="auto"/>
      </w:divBdr>
    </w:div>
    <w:div w:id="1036583369">
      <w:bodyDiv w:val="1"/>
      <w:marLeft w:val="0"/>
      <w:marRight w:val="0"/>
      <w:marTop w:val="0"/>
      <w:marBottom w:val="0"/>
      <w:divBdr>
        <w:top w:val="none" w:sz="0" w:space="0" w:color="auto"/>
        <w:left w:val="none" w:sz="0" w:space="0" w:color="auto"/>
        <w:bottom w:val="none" w:sz="0" w:space="0" w:color="auto"/>
        <w:right w:val="none" w:sz="0" w:space="0" w:color="auto"/>
      </w:divBdr>
    </w:div>
    <w:div w:id="1037698081">
      <w:bodyDiv w:val="1"/>
      <w:marLeft w:val="0"/>
      <w:marRight w:val="0"/>
      <w:marTop w:val="0"/>
      <w:marBottom w:val="0"/>
      <w:divBdr>
        <w:top w:val="none" w:sz="0" w:space="0" w:color="auto"/>
        <w:left w:val="none" w:sz="0" w:space="0" w:color="auto"/>
        <w:bottom w:val="none" w:sz="0" w:space="0" w:color="auto"/>
        <w:right w:val="none" w:sz="0" w:space="0" w:color="auto"/>
      </w:divBdr>
    </w:div>
    <w:div w:id="1037925061">
      <w:bodyDiv w:val="1"/>
      <w:marLeft w:val="0"/>
      <w:marRight w:val="0"/>
      <w:marTop w:val="0"/>
      <w:marBottom w:val="0"/>
      <w:divBdr>
        <w:top w:val="none" w:sz="0" w:space="0" w:color="auto"/>
        <w:left w:val="none" w:sz="0" w:space="0" w:color="auto"/>
        <w:bottom w:val="none" w:sz="0" w:space="0" w:color="auto"/>
        <w:right w:val="none" w:sz="0" w:space="0" w:color="auto"/>
      </w:divBdr>
    </w:div>
    <w:div w:id="1038316718">
      <w:bodyDiv w:val="1"/>
      <w:marLeft w:val="0"/>
      <w:marRight w:val="0"/>
      <w:marTop w:val="0"/>
      <w:marBottom w:val="0"/>
      <w:divBdr>
        <w:top w:val="none" w:sz="0" w:space="0" w:color="auto"/>
        <w:left w:val="none" w:sz="0" w:space="0" w:color="auto"/>
        <w:bottom w:val="none" w:sz="0" w:space="0" w:color="auto"/>
        <w:right w:val="none" w:sz="0" w:space="0" w:color="auto"/>
      </w:divBdr>
    </w:div>
    <w:div w:id="1038747401">
      <w:bodyDiv w:val="1"/>
      <w:marLeft w:val="0"/>
      <w:marRight w:val="0"/>
      <w:marTop w:val="0"/>
      <w:marBottom w:val="0"/>
      <w:divBdr>
        <w:top w:val="none" w:sz="0" w:space="0" w:color="auto"/>
        <w:left w:val="none" w:sz="0" w:space="0" w:color="auto"/>
        <w:bottom w:val="none" w:sz="0" w:space="0" w:color="auto"/>
        <w:right w:val="none" w:sz="0" w:space="0" w:color="auto"/>
      </w:divBdr>
    </w:div>
    <w:div w:id="1038777940">
      <w:bodyDiv w:val="1"/>
      <w:marLeft w:val="0"/>
      <w:marRight w:val="0"/>
      <w:marTop w:val="0"/>
      <w:marBottom w:val="0"/>
      <w:divBdr>
        <w:top w:val="none" w:sz="0" w:space="0" w:color="auto"/>
        <w:left w:val="none" w:sz="0" w:space="0" w:color="auto"/>
        <w:bottom w:val="none" w:sz="0" w:space="0" w:color="auto"/>
        <w:right w:val="none" w:sz="0" w:space="0" w:color="auto"/>
      </w:divBdr>
    </w:div>
    <w:div w:id="1039282867">
      <w:bodyDiv w:val="1"/>
      <w:marLeft w:val="0"/>
      <w:marRight w:val="0"/>
      <w:marTop w:val="0"/>
      <w:marBottom w:val="0"/>
      <w:divBdr>
        <w:top w:val="none" w:sz="0" w:space="0" w:color="auto"/>
        <w:left w:val="none" w:sz="0" w:space="0" w:color="auto"/>
        <w:bottom w:val="none" w:sz="0" w:space="0" w:color="auto"/>
        <w:right w:val="none" w:sz="0" w:space="0" w:color="auto"/>
      </w:divBdr>
    </w:div>
    <w:div w:id="1039470223">
      <w:bodyDiv w:val="1"/>
      <w:marLeft w:val="0"/>
      <w:marRight w:val="0"/>
      <w:marTop w:val="0"/>
      <w:marBottom w:val="0"/>
      <w:divBdr>
        <w:top w:val="none" w:sz="0" w:space="0" w:color="auto"/>
        <w:left w:val="none" w:sz="0" w:space="0" w:color="auto"/>
        <w:bottom w:val="none" w:sz="0" w:space="0" w:color="auto"/>
        <w:right w:val="none" w:sz="0" w:space="0" w:color="auto"/>
      </w:divBdr>
    </w:div>
    <w:div w:id="1039664520">
      <w:bodyDiv w:val="1"/>
      <w:marLeft w:val="0"/>
      <w:marRight w:val="0"/>
      <w:marTop w:val="0"/>
      <w:marBottom w:val="0"/>
      <w:divBdr>
        <w:top w:val="none" w:sz="0" w:space="0" w:color="auto"/>
        <w:left w:val="none" w:sz="0" w:space="0" w:color="auto"/>
        <w:bottom w:val="none" w:sz="0" w:space="0" w:color="auto"/>
        <w:right w:val="none" w:sz="0" w:space="0" w:color="auto"/>
      </w:divBdr>
    </w:div>
    <w:div w:id="1040009977">
      <w:bodyDiv w:val="1"/>
      <w:marLeft w:val="0"/>
      <w:marRight w:val="0"/>
      <w:marTop w:val="0"/>
      <w:marBottom w:val="0"/>
      <w:divBdr>
        <w:top w:val="none" w:sz="0" w:space="0" w:color="auto"/>
        <w:left w:val="none" w:sz="0" w:space="0" w:color="auto"/>
        <w:bottom w:val="none" w:sz="0" w:space="0" w:color="auto"/>
        <w:right w:val="none" w:sz="0" w:space="0" w:color="auto"/>
      </w:divBdr>
    </w:div>
    <w:div w:id="1040469788">
      <w:bodyDiv w:val="1"/>
      <w:marLeft w:val="0"/>
      <w:marRight w:val="0"/>
      <w:marTop w:val="0"/>
      <w:marBottom w:val="0"/>
      <w:divBdr>
        <w:top w:val="none" w:sz="0" w:space="0" w:color="auto"/>
        <w:left w:val="none" w:sz="0" w:space="0" w:color="auto"/>
        <w:bottom w:val="none" w:sz="0" w:space="0" w:color="auto"/>
        <w:right w:val="none" w:sz="0" w:space="0" w:color="auto"/>
      </w:divBdr>
    </w:div>
    <w:div w:id="1041707143">
      <w:bodyDiv w:val="1"/>
      <w:marLeft w:val="0"/>
      <w:marRight w:val="0"/>
      <w:marTop w:val="0"/>
      <w:marBottom w:val="0"/>
      <w:divBdr>
        <w:top w:val="none" w:sz="0" w:space="0" w:color="auto"/>
        <w:left w:val="none" w:sz="0" w:space="0" w:color="auto"/>
        <w:bottom w:val="none" w:sz="0" w:space="0" w:color="auto"/>
        <w:right w:val="none" w:sz="0" w:space="0" w:color="auto"/>
      </w:divBdr>
    </w:div>
    <w:div w:id="1042292526">
      <w:bodyDiv w:val="1"/>
      <w:marLeft w:val="0"/>
      <w:marRight w:val="0"/>
      <w:marTop w:val="0"/>
      <w:marBottom w:val="0"/>
      <w:divBdr>
        <w:top w:val="none" w:sz="0" w:space="0" w:color="auto"/>
        <w:left w:val="none" w:sz="0" w:space="0" w:color="auto"/>
        <w:bottom w:val="none" w:sz="0" w:space="0" w:color="auto"/>
        <w:right w:val="none" w:sz="0" w:space="0" w:color="auto"/>
      </w:divBdr>
    </w:div>
    <w:div w:id="1042560902">
      <w:bodyDiv w:val="1"/>
      <w:marLeft w:val="0"/>
      <w:marRight w:val="0"/>
      <w:marTop w:val="0"/>
      <w:marBottom w:val="0"/>
      <w:divBdr>
        <w:top w:val="none" w:sz="0" w:space="0" w:color="auto"/>
        <w:left w:val="none" w:sz="0" w:space="0" w:color="auto"/>
        <w:bottom w:val="none" w:sz="0" w:space="0" w:color="auto"/>
        <w:right w:val="none" w:sz="0" w:space="0" w:color="auto"/>
      </w:divBdr>
    </w:div>
    <w:div w:id="1042823125">
      <w:bodyDiv w:val="1"/>
      <w:marLeft w:val="0"/>
      <w:marRight w:val="0"/>
      <w:marTop w:val="0"/>
      <w:marBottom w:val="0"/>
      <w:divBdr>
        <w:top w:val="none" w:sz="0" w:space="0" w:color="auto"/>
        <w:left w:val="none" w:sz="0" w:space="0" w:color="auto"/>
        <w:bottom w:val="none" w:sz="0" w:space="0" w:color="auto"/>
        <w:right w:val="none" w:sz="0" w:space="0" w:color="auto"/>
      </w:divBdr>
    </w:div>
    <w:div w:id="1042901937">
      <w:bodyDiv w:val="1"/>
      <w:marLeft w:val="0"/>
      <w:marRight w:val="0"/>
      <w:marTop w:val="0"/>
      <w:marBottom w:val="0"/>
      <w:divBdr>
        <w:top w:val="none" w:sz="0" w:space="0" w:color="auto"/>
        <w:left w:val="none" w:sz="0" w:space="0" w:color="auto"/>
        <w:bottom w:val="none" w:sz="0" w:space="0" w:color="auto"/>
        <w:right w:val="none" w:sz="0" w:space="0" w:color="auto"/>
      </w:divBdr>
    </w:div>
    <w:div w:id="1043289496">
      <w:bodyDiv w:val="1"/>
      <w:marLeft w:val="0"/>
      <w:marRight w:val="0"/>
      <w:marTop w:val="0"/>
      <w:marBottom w:val="0"/>
      <w:divBdr>
        <w:top w:val="none" w:sz="0" w:space="0" w:color="auto"/>
        <w:left w:val="none" w:sz="0" w:space="0" w:color="auto"/>
        <w:bottom w:val="none" w:sz="0" w:space="0" w:color="auto"/>
        <w:right w:val="none" w:sz="0" w:space="0" w:color="auto"/>
      </w:divBdr>
    </w:div>
    <w:div w:id="1043676006">
      <w:bodyDiv w:val="1"/>
      <w:marLeft w:val="0"/>
      <w:marRight w:val="0"/>
      <w:marTop w:val="0"/>
      <w:marBottom w:val="0"/>
      <w:divBdr>
        <w:top w:val="none" w:sz="0" w:space="0" w:color="auto"/>
        <w:left w:val="none" w:sz="0" w:space="0" w:color="auto"/>
        <w:bottom w:val="none" w:sz="0" w:space="0" w:color="auto"/>
        <w:right w:val="none" w:sz="0" w:space="0" w:color="auto"/>
      </w:divBdr>
    </w:div>
    <w:div w:id="1045300872">
      <w:bodyDiv w:val="1"/>
      <w:marLeft w:val="0"/>
      <w:marRight w:val="0"/>
      <w:marTop w:val="0"/>
      <w:marBottom w:val="0"/>
      <w:divBdr>
        <w:top w:val="none" w:sz="0" w:space="0" w:color="auto"/>
        <w:left w:val="none" w:sz="0" w:space="0" w:color="auto"/>
        <w:bottom w:val="none" w:sz="0" w:space="0" w:color="auto"/>
        <w:right w:val="none" w:sz="0" w:space="0" w:color="auto"/>
      </w:divBdr>
    </w:div>
    <w:div w:id="1045521730">
      <w:bodyDiv w:val="1"/>
      <w:marLeft w:val="0"/>
      <w:marRight w:val="0"/>
      <w:marTop w:val="0"/>
      <w:marBottom w:val="0"/>
      <w:divBdr>
        <w:top w:val="none" w:sz="0" w:space="0" w:color="auto"/>
        <w:left w:val="none" w:sz="0" w:space="0" w:color="auto"/>
        <w:bottom w:val="none" w:sz="0" w:space="0" w:color="auto"/>
        <w:right w:val="none" w:sz="0" w:space="0" w:color="auto"/>
      </w:divBdr>
    </w:div>
    <w:div w:id="1045984707">
      <w:bodyDiv w:val="1"/>
      <w:marLeft w:val="0"/>
      <w:marRight w:val="0"/>
      <w:marTop w:val="0"/>
      <w:marBottom w:val="0"/>
      <w:divBdr>
        <w:top w:val="none" w:sz="0" w:space="0" w:color="auto"/>
        <w:left w:val="none" w:sz="0" w:space="0" w:color="auto"/>
        <w:bottom w:val="none" w:sz="0" w:space="0" w:color="auto"/>
        <w:right w:val="none" w:sz="0" w:space="0" w:color="auto"/>
      </w:divBdr>
    </w:div>
    <w:div w:id="1046291889">
      <w:bodyDiv w:val="1"/>
      <w:marLeft w:val="0"/>
      <w:marRight w:val="0"/>
      <w:marTop w:val="0"/>
      <w:marBottom w:val="0"/>
      <w:divBdr>
        <w:top w:val="none" w:sz="0" w:space="0" w:color="auto"/>
        <w:left w:val="none" w:sz="0" w:space="0" w:color="auto"/>
        <w:bottom w:val="none" w:sz="0" w:space="0" w:color="auto"/>
        <w:right w:val="none" w:sz="0" w:space="0" w:color="auto"/>
      </w:divBdr>
    </w:div>
    <w:div w:id="1047026344">
      <w:bodyDiv w:val="1"/>
      <w:marLeft w:val="0"/>
      <w:marRight w:val="0"/>
      <w:marTop w:val="0"/>
      <w:marBottom w:val="0"/>
      <w:divBdr>
        <w:top w:val="none" w:sz="0" w:space="0" w:color="auto"/>
        <w:left w:val="none" w:sz="0" w:space="0" w:color="auto"/>
        <w:bottom w:val="none" w:sz="0" w:space="0" w:color="auto"/>
        <w:right w:val="none" w:sz="0" w:space="0" w:color="auto"/>
      </w:divBdr>
    </w:div>
    <w:div w:id="1047147165">
      <w:bodyDiv w:val="1"/>
      <w:marLeft w:val="0"/>
      <w:marRight w:val="0"/>
      <w:marTop w:val="0"/>
      <w:marBottom w:val="0"/>
      <w:divBdr>
        <w:top w:val="none" w:sz="0" w:space="0" w:color="auto"/>
        <w:left w:val="none" w:sz="0" w:space="0" w:color="auto"/>
        <w:bottom w:val="none" w:sz="0" w:space="0" w:color="auto"/>
        <w:right w:val="none" w:sz="0" w:space="0" w:color="auto"/>
      </w:divBdr>
    </w:div>
    <w:div w:id="1047412860">
      <w:bodyDiv w:val="1"/>
      <w:marLeft w:val="0"/>
      <w:marRight w:val="0"/>
      <w:marTop w:val="0"/>
      <w:marBottom w:val="0"/>
      <w:divBdr>
        <w:top w:val="none" w:sz="0" w:space="0" w:color="auto"/>
        <w:left w:val="none" w:sz="0" w:space="0" w:color="auto"/>
        <w:bottom w:val="none" w:sz="0" w:space="0" w:color="auto"/>
        <w:right w:val="none" w:sz="0" w:space="0" w:color="auto"/>
      </w:divBdr>
    </w:div>
    <w:div w:id="1048531957">
      <w:bodyDiv w:val="1"/>
      <w:marLeft w:val="0"/>
      <w:marRight w:val="0"/>
      <w:marTop w:val="0"/>
      <w:marBottom w:val="0"/>
      <w:divBdr>
        <w:top w:val="none" w:sz="0" w:space="0" w:color="auto"/>
        <w:left w:val="none" w:sz="0" w:space="0" w:color="auto"/>
        <w:bottom w:val="none" w:sz="0" w:space="0" w:color="auto"/>
        <w:right w:val="none" w:sz="0" w:space="0" w:color="auto"/>
      </w:divBdr>
    </w:div>
    <w:div w:id="1048647047">
      <w:bodyDiv w:val="1"/>
      <w:marLeft w:val="0"/>
      <w:marRight w:val="0"/>
      <w:marTop w:val="0"/>
      <w:marBottom w:val="0"/>
      <w:divBdr>
        <w:top w:val="none" w:sz="0" w:space="0" w:color="auto"/>
        <w:left w:val="none" w:sz="0" w:space="0" w:color="auto"/>
        <w:bottom w:val="none" w:sz="0" w:space="0" w:color="auto"/>
        <w:right w:val="none" w:sz="0" w:space="0" w:color="auto"/>
      </w:divBdr>
    </w:div>
    <w:div w:id="1048845764">
      <w:bodyDiv w:val="1"/>
      <w:marLeft w:val="0"/>
      <w:marRight w:val="0"/>
      <w:marTop w:val="0"/>
      <w:marBottom w:val="0"/>
      <w:divBdr>
        <w:top w:val="none" w:sz="0" w:space="0" w:color="auto"/>
        <w:left w:val="none" w:sz="0" w:space="0" w:color="auto"/>
        <w:bottom w:val="none" w:sz="0" w:space="0" w:color="auto"/>
        <w:right w:val="none" w:sz="0" w:space="0" w:color="auto"/>
      </w:divBdr>
    </w:div>
    <w:div w:id="1049259880">
      <w:bodyDiv w:val="1"/>
      <w:marLeft w:val="0"/>
      <w:marRight w:val="0"/>
      <w:marTop w:val="0"/>
      <w:marBottom w:val="0"/>
      <w:divBdr>
        <w:top w:val="none" w:sz="0" w:space="0" w:color="auto"/>
        <w:left w:val="none" w:sz="0" w:space="0" w:color="auto"/>
        <w:bottom w:val="none" w:sz="0" w:space="0" w:color="auto"/>
        <w:right w:val="none" w:sz="0" w:space="0" w:color="auto"/>
      </w:divBdr>
    </w:div>
    <w:div w:id="1049263589">
      <w:bodyDiv w:val="1"/>
      <w:marLeft w:val="0"/>
      <w:marRight w:val="0"/>
      <w:marTop w:val="0"/>
      <w:marBottom w:val="0"/>
      <w:divBdr>
        <w:top w:val="none" w:sz="0" w:space="0" w:color="auto"/>
        <w:left w:val="none" w:sz="0" w:space="0" w:color="auto"/>
        <w:bottom w:val="none" w:sz="0" w:space="0" w:color="auto"/>
        <w:right w:val="none" w:sz="0" w:space="0" w:color="auto"/>
      </w:divBdr>
    </w:div>
    <w:div w:id="1050034527">
      <w:bodyDiv w:val="1"/>
      <w:marLeft w:val="0"/>
      <w:marRight w:val="0"/>
      <w:marTop w:val="0"/>
      <w:marBottom w:val="0"/>
      <w:divBdr>
        <w:top w:val="none" w:sz="0" w:space="0" w:color="auto"/>
        <w:left w:val="none" w:sz="0" w:space="0" w:color="auto"/>
        <w:bottom w:val="none" w:sz="0" w:space="0" w:color="auto"/>
        <w:right w:val="none" w:sz="0" w:space="0" w:color="auto"/>
      </w:divBdr>
    </w:div>
    <w:div w:id="1051150019">
      <w:bodyDiv w:val="1"/>
      <w:marLeft w:val="0"/>
      <w:marRight w:val="0"/>
      <w:marTop w:val="0"/>
      <w:marBottom w:val="0"/>
      <w:divBdr>
        <w:top w:val="none" w:sz="0" w:space="0" w:color="auto"/>
        <w:left w:val="none" w:sz="0" w:space="0" w:color="auto"/>
        <w:bottom w:val="none" w:sz="0" w:space="0" w:color="auto"/>
        <w:right w:val="none" w:sz="0" w:space="0" w:color="auto"/>
      </w:divBdr>
    </w:div>
    <w:div w:id="1051225689">
      <w:bodyDiv w:val="1"/>
      <w:marLeft w:val="0"/>
      <w:marRight w:val="0"/>
      <w:marTop w:val="0"/>
      <w:marBottom w:val="0"/>
      <w:divBdr>
        <w:top w:val="none" w:sz="0" w:space="0" w:color="auto"/>
        <w:left w:val="none" w:sz="0" w:space="0" w:color="auto"/>
        <w:bottom w:val="none" w:sz="0" w:space="0" w:color="auto"/>
        <w:right w:val="none" w:sz="0" w:space="0" w:color="auto"/>
      </w:divBdr>
    </w:div>
    <w:div w:id="1051609220">
      <w:bodyDiv w:val="1"/>
      <w:marLeft w:val="0"/>
      <w:marRight w:val="0"/>
      <w:marTop w:val="0"/>
      <w:marBottom w:val="0"/>
      <w:divBdr>
        <w:top w:val="none" w:sz="0" w:space="0" w:color="auto"/>
        <w:left w:val="none" w:sz="0" w:space="0" w:color="auto"/>
        <w:bottom w:val="none" w:sz="0" w:space="0" w:color="auto"/>
        <w:right w:val="none" w:sz="0" w:space="0" w:color="auto"/>
      </w:divBdr>
    </w:div>
    <w:div w:id="1051926998">
      <w:bodyDiv w:val="1"/>
      <w:marLeft w:val="0"/>
      <w:marRight w:val="0"/>
      <w:marTop w:val="0"/>
      <w:marBottom w:val="0"/>
      <w:divBdr>
        <w:top w:val="none" w:sz="0" w:space="0" w:color="auto"/>
        <w:left w:val="none" w:sz="0" w:space="0" w:color="auto"/>
        <w:bottom w:val="none" w:sz="0" w:space="0" w:color="auto"/>
        <w:right w:val="none" w:sz="0" w:space="0" w:color="auto"/>
      </w:divBdr>
    </w:div>
    <w:div w:id="1052003999">
      <w:bodyDiv w:val="1"/>
      <w:marLeft w:val="0"/>
      <w:marRight w:val="0"/>
      <w:marTop w:val="0"/>
      <w:marBottom w:val="0"/>
      <w:divBdr>
        <w:top w:val="none" w:sz="0" w:space="0" w:color="auto"/>
        <w:left w:val="none" w:sz="0" w:space="0" w:color="auto"/>
        <w:bottom w:val="none" w:sz="0" w:space="0" w:color="auto"/>
        <w:right w:val="none" w:sz="0" w:space="0" w:color="auto"/>
      </w:divBdr>
    </w:div>
    <w:div w:id="1052070971">
      <w:bodyDiv w:val="1"/>
      <w:marLeft w:val="0"/>
      <w:marRight w:val="0"/>
      <w:marTop w:val="0"/>
      <w:marBottom w:val="0"/>
      <w:divBdr>
        <w:top w:val="none" w:sz="0" w:space="0" w:color="auto"/>
        <w:left w:val="none" w:sz="0" w:space="0" w:color="auto"/>
        <w:bottom w:val="none" w:sz="0" w:space="0" w:color="auto"/>
        <w:right w:val="none" w:sz="0" w:space="0" w:color="auto"/>
      </w:divBdr>
    </w:div>
    <w:div w:id="1053189842">
      <w:bodyDiv w:val="1"/>
      <w:marLeft w:val="0"/>
      <w:marRight w:val="0"/>
      <w:marTop w:val="0"/>
      <w:marBottom w:val="0"/>
      <w:divBdr>
        <w:top w:val="none" w:sz="0" w:space="0" w:color="auto"/>
        <w:left w:val="none" w:sz="0" w:space="0" w:color="auto"/>
        <w:bottom w:val="none" w:sz="0" w:space="0" w:color="auto"/>
        <w:right w:val="none" w:sz="0" w:space="0" w:color="auto"/>
      </w:divBdr>
    </w:div>
    <w:div w:id="1053695464">
      <w:bodyDiv w:val="1"/>
      <w:marLeft w:val="0"/>
      <w:marRight w:val="0"/>
      <w:marTop w:val="0"/>
      <w:marBottom w:val="0"/>
      <w:divBdr>
        <w:top w:val="none" w:sz="0" w:space="0" w:color="auto"/>
        <w:left w:val="none" w:sz="0" w:space="0" w:color="auto"/>
        <w:bottom w:val="none" w:sz="0" w:space="0" w:color="auto"/>
        <w:right w:val="none" w:sz="0" w:space="0" w:color="auto"/>
      </w:divBdr>
    </w:div>
    <w:div w:id="1053886013">
      <w:bodyDiv w:val="1"/>
      <w:marLeft w:val="0"/>
      <w:marRight w:val="0"/>
      <w:marTop w:val="0"/>
      <w:marBottom w:val="0"/>
      <w:divBdr>
        <w:top w:val="none" w:sz="0" w:space="0" w:color="auto"/>
        <w:left w:val="none" w:sz="0" w:space="0" w:color="auto"/>
        <w:bottom w:val="none" w:sz="0" w:space="0" w:color="auto"/>
        <w:right w:val="none" w:sz="0" w:space="0" w:color="auto"/>
      </w:divBdr>
    </w:div>
    <w:div w:id="1054500144">
      <w:bodyDiv w:val="1"/>
      <w:marLeft w:val="0"/>
      <w:marRight w:val="0"/>
      <w:marTop w:val="0"/>
      <w:marBottom w:val="0"/>
      <w:divBdr>
        <w:top w:val="none" w:sz="0" w:space="0" w:color="auto"/>
        <w:left w:val="none" w:sz="0" w:space="0" w:color="auto"/>
        <w:bottom w:val="none" w:sz="0" w:space="0" w:color="auto"/>
        <w:right w:val="none" w:sz="0" w:space="0" w:color="auto"/>
      </w:divBdr>
    </w:div>
    <w:div w:id="1054737125">
      <w:bodyDiv w:val="1"/>
      <w:marLeft w:val="0"/>
      <w:marRight w:val="0"/>
      <w:marTop w:val="0"/>
      <w:marBottom w:val="0"/>
      <w:divBdr>
        <w:top w:val="none" w:sz="0" w:space="0" w:color="auto"/>
        <w:left w:val="none" w:sz="0" w:space="0" w:color="auto"/>
        <w:bottom w:val="none" w:sz="0" w:space="0" w:color="auto"/>
        <w:right w:val="none" w:sz="0" w:space="0" w:color="auto"/>
      </w:divBdr>
    </w:div>
    <w:div w:id="1054964699">
      <w:bodyDiv w:val="1"/>
      <w:marLeft w:val="0"/>
      <w:marRight w:val="0"/>
      <w:marTop w:val="0"/>
      <w:marBottom w:val="0"/>
      <w:divBdr>
        <w:top w:val="none" w:sz="0" w:space="0" w:color="auto"/>
        <w:left w:val="none" w:sz="0" w:space="0" w:color="auto"/>
        <w:bottom w:val="none" w:sz="0" w:space="0" w:color="auto"/>
        <w:right w:val="none" w:sz="0" w:space="0" w:color="auto"/>
      </w:divBdr>
    </w:div>
    <w:div w:id="1055271923">
      <w:bodyDiv w:val="1"/>
      <w:marLeft w:val="0"/>
      <w:marRight w:val="0"/>
      <w:marTop w:val="0"/>
      <w:marBottom w:val="0"/>
      <w:divBdr>
        <w:top w:val="none" w:sz="0" w:space="0" w:color="auto"/>
        <w:left w:val="none" w:sz="0" w:space="0" w:color="auto"/>
        <w:bottom w:val="none" w:sz="0" w:space="0" w:color="auto"/>
        <w:right w:val="none" w:sz="0" w:space="0" w:color="auto"/>
      </w:divBdr>
    </w:div>
    <w:div w:id="1055465600">
      <w:bodyDiv w:val="1"/>
      <w:marLeft w:val="0"/>
      <w:marRight w:val="0"/>
      <w:marTop w:val="0"/>
      <w:marBottom w:val="0"/>
      <w:divBdr>
        <w:top w:val="none" w:sz="0" w:space="0" w:color="auto"/>
        <w:left w:val="none" w:sz="0" w:space="0" w:color="auto"/>
        <w:bottom w:val="none" w:sz="0" w:space="0" w:color="auto"/>
        <w:right w:val="none" w:sz="0" w:space="0" w:color="auto"/>
      </w:divBdr>
    </w:div>
    <w:div w:id="1056128671">
      <w:bodyDiv w:val="1"/>
      <w:marLeft w:val="0"/>
      <w:marRight w:val="0"/>
      <w:marTop w:val="0"/>
      <w:marBottom w:val="0"/>
      <w:divBdr>
        <w:top w:val="none" w:sz="0" w:space="0" w:color="auto"/>
        <w:left w:val="none" w:sz="0" w:space="0" w:color="auto"/>
        <w:bottom w:val="none" w:sz="0" w:space="0" w:color="auto"/>
        <w:right w:val="none" w:sz="0" w:space="0" w:color="auto"/>
      </w:divBdr>
    </w:div>
    <w:div w:id="1056244245">
      <w:bodyDiv w:val="1"/>
      <w:marLeft w:val="0"/>
      <w:marRight w:val="0"/>
      <w:marTop w:val="0"/>
      <w:marBottom w:val="0"/>
      <w:divBdr>
        <w:top w:val="none" w:sz="0" w:space="0" w:color="auto"/>
        <w:left w:val="none" w:sz="0" w:space="0" w:color="auto"/>
        <w:bottom w:val="none" w:sz="0" w:space="0" w:color="auto"/>
        <w:right w:val="none" w:sz="0" w:space="0" w:color="auto"/>
      </w:divBdr>
    </w:div>
    <w:div w:id="1057053603">
      <w:bodyDiv w:val="1"/>
      <w:marLeft w:val="0"/>
      <w:marRight w:val="0"/>
      <w:marTop w:val="0"/>
      <w:marBottom w:val="0"/>
      <w:divBdr>
        <w:top w:val="none" w:sz="0" w:space="0" w:color="auto"/>
        <w:left w:val="none" w:sz="0" w:space="0" w:color="auto"/>
        <w:bottom w:val="none" w:sz="0" w:space="0" w:color="auto"/>
        <w:right w:val="none" w:sz="0" w:space="0" w:color="auto"/>
      </w:divBdr>
    </w:div>
    <w:div w:id="1057510628">
      <w:bodyDiv w:val="1"/>
      <w:marLeft w:val="0"/>
      <w:marRight w:val="0"/>
      <w:marTop w:val="0"/>
      <w:marBottom w:val="0"/>
      <w:divBdr>
        <w:top w:val="none" w:sz="0" w:space="0" w:color="auto"/>
        <w:left w:val="none" w:sz="0" w:space="0" w:color="auto"/>
        <w:bottom w:val="none" w:sz="0" w:space="0" w:color="auto"/>
        <w:right w:val="none" w:sz="0" w:space="0" w:color="auto"/>
      </w:divBdr>
    </w:div>
    <w:div w:id="1060133275">
      <w:bodyDiv w:val="1"/>
      <w:marLeft w:val="0"/>
      <w:marRight w:val="0"/>
      <w:marTop w:val="0"/>
      <w:marBottom w:val="0"/>
      <w:divBdr>
        <w:top w:val="none" w:sz="0" w:space="0" w:color="auto"/>
        <w:left w:val="none" w:sz="0" w:space="0" w:color="auto"/>
        <w:bottom w:val="none" w:sz="0" w:space="0" w:color="auto"/>
        <w:right w:val="none" w:sz="0" w:space="0" w:color="auto"/>
      </w:divBdr>
    </w:div>
    <w:div w:id="1060521955">
      <w:bodyDiv w:val="1"/>
      <w:marLeft w:val="0"/>
      <w:marRight w:val="0"/>
      <w:marTop w:val="0"/>
      <w:marBottom w:val="0"/>
      <w:divBdr>
        <w:top w:val="none" w:sz="0" w:space="0" w:color="auto"/>
        <w:left w:val="none" w:sz="0" w:space="0" w:color="auto"/>
        <w:bottom w:val="none" w:sz="0" w:space="0" w:color="auto"/>
        <w:right w:val="none" w:sz="0" w:space="0" w:color="auto"/>
      </w:divBdr>
    </w:div>
    <w:div w:id="1061246881">
      <w:bodyDiv w:val="1"/>
      <w:marLeft w:val="0"/>
      <w:marRight w:val="0"/>
      <w:marTop w:val="0"/>
      <w:marBottom w:val="0"/>
      <w:divBdr>
        <w:top w:val="none" w:sz="0" w:space="0" w:color="auto"/>
        <w:left w:val="none" w:sz="0" w:space="0" w:color="auto"/>
        <w:bottom w:val="none" w:sz="0" w:space="0" w:color="auto"/>
        <w:right w:val="none" w:sz="0" w:space="0" w:color="auto"/>
      </w:divBdr>
    </w:div>
    <w:div w:id="1061710490">
      <w:bodyDiv w:val="1"/>
      <w:marLeft w:val="0"/>
      <w:marRight w:val="0"/>
      <w:marTop w:val="0"/>
      <w:marBottom w:val="0"/>
      <w:divBdr>
        <w:top w:val="none" w:sz="0" w:space="0" w:color="auto"/>
        <w:left w:val="none" w:sz="0" w:space="0" w:color="auto"/>
        <w:bottom w:val="none" w:sz="0" w:space="0" w:color="auto"/>
        <w:right w:val="none" w:sz="0" w:space="0" w:color="auto"/>
      </w:divBdr>
    </w:div>
    <w:div w:id="1061903806">
      <w:bodyDiv w:val="1"/>
      <w:marLeft w:val="0"/>
      <w:marRight w:val="0"/>
      <w:marTop w:val="0"/>
      <w:marBottom w:val="0"/>
      <w:divBdr>
        <w:top w:val="none" w:sz="0" w:space="0" w:color="auto"/>
        <w:left w:val="none" w:sz="0" w:space="0" w:color="auto"/>
        <w:bottom w:val="none" w:sz="0" w:space="0" w:color="auto"/>
        <w:right w:val="none" w:sz="0" w:space="0" w:color="auto"/>
      </w:divBdr>
    </w:div>
    <w:div w:id="1061949422">
      <w:bodyDiv w:val="1"/>
      <w:marLeft w:val="0"/>
      <w:marRight w:val="0"/>
      <w:marTop w:val="0"/>
      <w:marBottom w:val="0"/>
      <w:divBdr>
        <w:top w:val="none" w:sz="0" w:space="0" w:color="auto"/>
        <w:left w:val="none" w:sz="0" w:space="0" w:color="auto"/>
        <w:bottom w:val="none" w:sz="0" w:space="0" w:color="auto"/>
        <w:right w:val="none" w:sz="0" w:space="0" w:color="auto"/>
      </w:divBdr>
    </w:div>
    <w:div w:id="1062025523">
      <w:bodyDiv w:val="1"/>
      <w:marLeft w:val="0"/>
      <w:marRight w:val="0"/>
      <w:marTop w:val="0"/>
      <w:marBottom w:val="0"/>
      <w:divBdr>
        <w:top w:val="none" w:sz="0" w:space="0" w:color="auto"/>
        <w:left w:val="none" w:sz="0" w:space="0" w:color="auto"/>
        <w:bottom w:val="none" w:sz="0" w:space="0" w:color="auto"/>
        <w:right w:val="none" w:sz="0" w:space="0" w:color="auto"/>
      </w:divBdr>
    </w:div>
    <w:div w:id="1063019248">
      <w:bodyDiv w:val="1"/>
      <w:marLeft w:val="0"/>
      <w:marRight w:val="0"/>
      <w:marTop w:val="0"/>
      <w:marBottom w:val="0"/>
      <w:divBdr>
        <w:top w:val="none" w:sz="0" w:space="0" w:color="auto"/>
        <w:left w:val="none" w:sz="0" w:space="0" w:color="auto"/>
        <w:bottom w:val="none" w:sz="0" w:space="0" w:color="auto"/>
        <w:right w:val="none" w:sz="0" w:space="0" w:color="auto"/>
      </w:divBdr>
    </w:div>
    <w:div w:id="1063064806">
      <w:bodyDiv w:val="1"/>
      <w:marLeft w:val="0"/>
      <w:marRight w:val="0"/>
      <w:marTop w:val="0"/>
      <w:marBottom w:val="0"/>
      <w:divBdr>
        <w:top w:val="none" w:sz="0" w:space="0" w:color="auto"/>
        <w:left w:val="none" w:sz="0" w:space="0" w:color="auto"/>
        <w:bottom w:val="none" w:sz="0" w:space="0" w:color="auto"/>
        <w:right w:val="none" w:sz="0" w:space="0" w:color="auto"/>
      </w:divBdr>
    </w:div>
    <w:div w:id="1063337565">
      <w:bodyDiv w:val="1"/>
      <w:marLeft w:val="0"/>
      <w:marRight w:val="0"/>
      <w:marTop w:val="0"/>
      <w:marBottom w:val="0"/>
      <w:divBdr>
        <w:top w:val="none" w:sz="0" w:space="0" w:color="auto"/>
        <w:left w:val="none" w:sz="0" w:space="0" w:color="auto"/>
        <w:bottom w:val="none" w:sz="0" w:space="0" w:color="auto"/>
        <w:right w:val="none" w:sz="0" w:space="0" w:color="auto"/>
      </w:divBdr>
    </w:div>
    <w:div w:id="1063866091">
      <w:bodyDiv w:val="1"/>
      <w:marLeft w:val="0"/>
      <w:marRight w:val="0"/>
      <w:marTop w:val="0"/>
      <w:marBottom w:val="0"/>
      <w:divBdr>
        <w:top w:val="none" w:sz="0" w:space="0" w:color="auto"/>
        <w:left w:val="none" w:sz="0" w:space="0" w:color="auto"/>
        <w:bottom w:val="none" w:sz="0" w:space="0" w:color="auto"/>
        <w:right w:val="none" w:sz="0" w:space="0" w:color="auto"/>
      </w:divBdr>
    </w:div>
    <w:div w:id="1064640367">
      <w:bodyDiv w:val="1"/>
      <w:marLeft w:val="0"/>
      <w:marRight w:val="0"/>
      <w:marTop w:val="0"/>
      <w:marBottom w:val="0"/>
      <w:divBdr>
        <w:top w:val="none" w:sz="0" w:space="0" w:color="auto"/>
        <w:left w:val="none" w:sz="0" w:space="0" w:color="auto"/>
        <w:bottom w:val="none" w:sz="0" w:space="0" w:color="auto"/>
        <w:right w:val="none" w:sz="0" w:space="0" w:color="auto"/>
      </w:divBdr>
    </w:div>
    <w:div w:id="1064718815">
      <w:bodyDiv w:val="1"/>
      <w:marLeft w:val="0"/>
      <w:marRight w:val="0"/>
      <w:marTop w:val="0"/>
      <w:marBottom w:val="0"/>
      <w:divBdr>
        <w:top w:val="none" w:sz="0" w:space="0" w:color="auto"/>
        <w:left w:val="none" w:sz="0" w:space="0" w:color="auto"/>
        <w:bottom w:val="none" w:sz="0" w:space="0" w:color="auto"/>
        <w:right w:val="none" w:sz="0" w:space="0" w:color="auto"/>
      </w:divBdr>
    </w:div>
    <w:div w:id="1065759073">
      <w:bodyDiv w:val="1"/>
      <w:marLeft w:val="0"/>
      <w:marRight w:val="0"/>
      <w:marTop w:val="0"/>
      <w:marBottom w:val="0"/>
      <w:divBdr>
        <w:top w:val="none" w:sz="0" w:space="0" w:color="auto"/>
        <w:left w:val="none" w:sz="0" w:space="0" w:color="auto"/>
        <w:bottom w:val="none" w:sz="0" w:space="0" w:color="auto"/>
        <w:right w:val="none" w:sz="0" w:space="0" w:color="auto"/>
      </w:divBdr>
    </w:div>
    <w:div w:id="1066148908">
      <w:bodyDiv w:val="1"/>
      <w:marLeft w:val="0"/>
      <w:marRight w:val="0"/>
      <w:marTop w:val="0"/>
      <w:marBottom w:val="0"/>
      <w:divBdr>
        <w:top w:val="none" w:sz="0" w:space="0" w:color="auto"/>
        <w:left w:val="none" w:sz="0" w:space="0" w:color="auto"/>
        <w:bottom w:val="none" w:sz="0" w:space="0" w:color="auto"/>
        <w:right w:val="none" w:sz="0" w:space="0" w:color="auto"/>
      </w:divBdr>
    </w:div>
    <w:div w:id="1066682599">
      <w:bodyDiv w:val="1"/>
      <w:marLeft w:val="0"/>
      <w:marRight w:val="0"/>
      <w:marTop w:val="0"/>
      <w:marBottom w:val="0"/>
      <w:divBdr>
        <w:top w:val="none" w:sz="0" w:space="0" w:color="auto"/>
        <w:left w:val="none" w:sz="0" w:space="0" w:color="auto"/>
        <w:bottom w:val="none" w:sz="0" w:space="0" w:color="auto"/>
        <w:right w:val="none" w:sz="0" w:space="0" w:color="auto"/>
      </w:divBdr>
    </w:div>
    <w:div w:id="1066759496">
      <w:bodyDiv w:val="1"/>
      <w:marLeft w:val="0"/>
      <w:marRight w:val="0"/>
      <w:marTop w:val="0"/>
      <w:marBottom w:val="0"/>
      <w:divBdr>
        <w:top w:val="none" w:sz="0" w:space="0" w:color="auto"/>
        <w:left w:val="none" w:sz="0" w:space="0" w:color="auto"/>
        <w:bottom w:val="none" w:sz="0" w:space="0" w:color="auto"/>
        <w:right w:val="none" w:sz="0" w:space="0" w:color="auto"/>
      </w:divBdr>
    </w:div>
    <w:div w:id="1067066862">
      <w:bodyDiv w:val="1"/>
      <w:marLeft w:val="0"/>
      <w:marRight w:val="0"/>
      <w:marTop w:val="0"/>
      <w:marBottom w:val="0"/>
      <w:divBdr>
        <w:top w:val="none" w:sz="0" w:space="0" w:color="auto"/>
        <w:left w:val="none" w:sz="0" w:space="0" w:color="auto"/>
        <w:bottom w:val="none" w:sz="0" w:space="0" w:color="auto"/>
        <w:right w:val="none" w:sz="0" w:space="0" w:color="auto"/>
      </w:divBdr>
    </w:div>
    <w:div w:id="1067262369">
      <w:bodyDiv w:val="1"/>
      <w:marLeft w:val="0"/>
      <w:marRight w:val="0"/>
      <w:marTop w:val="0"/>
      <w:marBottom w:val="0"/>
      <w:divBdr>
        <w:top w:val="none" w:sz="0" w:space="0" w:color="auto"/>
        <w:left w:val="none" w:sz="0" w:space="0" w:color="auto"/>
        <w:bottom w:val="none" w:sz="0" w:space="0" w:color="auto"/>
        <w:right w:val="none" w:sz="0" w:space="0" w:color="auto"/>
      </w:divBdr>
    </w:div>
    <w:div w:id="1067608883">
      <w:bodyDiv w:val="1"/>
      <w:marLeft w:val="0"/>
      <w:marRight w:val="0"/>
      <w:marTop w:val="0"/>
      <w:marBottom w:val="0"/>
      <w:divBdr>
        <w:top w:val="none" w:sz="0" w:space="0" w:color="auto"/>
        <w:left w:val="none" w:sz="0" w:space="0" w:color="auto"/>
        <w:bottom w:val="none" w:sz="0" w:space="0" w:color="auto"/>
        <w:right w:val="none" w:sz="0" w:space="0" w:color="auto"/>
      </w:divBdr>
    </w:div>
    <w:div w:id="1067653032">
      <w:bodyDiv w:val="1"/>
      <w:marLeft w:val="0"/>
      <w:marRight w:val="0"/>
      <w:marTop w:val="0"/>
      <w:marBottom w:val="0"/>
      <w:divBdr>
        <w:top w:val="none" w:sz="0" w:space="0" w:color="auto"/>
        <w:left w:val="none" w:sz="0" w:space="0" w:color="auto"/>
        <w:bottom w:val="none" w:sz="0" w:space="0" w:color="auto"/>
        <w:right w:val="none" w:sz="0" w:space="0" w:color="auto"/>
      </w:divBdr>
    </w:div>
    <w:div w:id="1068528476">
      <w:bodyDiv w:val="1"/>
      <w:marLeft w:val="0"/>
      <w:marRight w:val="0"/>
      <w:marTop w:val="0"/>
      <w:marBottom w:val="0"/>
      <w:divBdr>
        <w:top w:val="none" w:sz="0" w:space="0" w:color="auto"/>
        <w:left w:val="none" w:sz="0" w:space="0" w:color="auto"/>
        <w:bottom w:val="none" w:sz="0" w:space="0" w:color="auto"/>
        <w:right w:val="none" w:sz="0" w:space="0" w:color="auto"/>
      </w:divBdr>
    </w:div>
    <w:div w:id="1068571411">
      <w:bodyDiv w:val="1"/>
      <w:marLeft w:val="0"/>
      <w:marRight w:val="0"/>
      <w:marTop w:val="0"/>
      <w:marBottom w:val="0"/>
      <w:divBdr>
        <w:top w:val="none" w:sz="0" w:space="0" w:color="auto"/>
        <w:left w:val="none" w:sz="0" w:space="0" w:color="auto"/>
        <w:bottom w:val="none" w:sz="0" w:space="0" w:color="auto"/>
        <w:right w:val="none" w:sz="0" w:space="0" w:color="auto"/>
      </w:divBdr>
    </w:div>
    <w:div w:id="1068650308">
      <w:bodyDiv w:val="1"/>
      <w:marLeft w:val="0"/>
      <w:marRight w:val="0"/>
      <w:marTop w:val="0"/>
      <w:marBottom w:val="0"/>
      <w:divBdr>
        <w:top w:val="none" w:sz="0" w:space="0" w:color="auto"/>
        <w:left w:val="none" w:sz="0" w:space="0" w:color="auto"/>
        <w:bottom w:val="none" w:sz="0" w:space="0" w:color="auto"/>
        <w:right w:val="none" w:sz="0" w:space="0" w:color="auto"/>
      </w:divBdr>
    </w:div>
    <w:div w:id="1068922670">
      <w:bodyDiv w:val="1"/>
      <w:marLeft w:val="0"/>
      <w:marRight w:val="0"/>
      <w:marTop w:val="0"/>
      <w:marBottom w:val="0"/>
      <w:divBdr>
        <w:top w:val="none" w:sz="0" w:space="0" w:color="auto"/>
        <w:left w:val="none" w:sz="0" w:space="0" w:color="auto"/>
        <w:bottom w:val="none" w:sz="0" w:space="0" w:color="auto"/>
        <w:right w:val="none" w:sz="0" w:space="0" w:color="auto"/>
      </w:divBdr>
    </w:div>
    <w:div w:id="1070032722">
      <w:bodyDiv w:val="1"/>
      <w:marLeft w:val="0"/>
      <w:marRight w:val="0"/>
      <w:marTop w:val="0"/>
      <w:marBottom w:val="0"/>
      <w:divBdr>
        <w:top w:val="none" w:sz="0" w:space="0" w:color="auto"/>
        <w:left w:val="none" w:sz="0" w:space="0" w:color="auto"/>
        <w:bottom w:val="none" w:sz="0" w:space="0" w:color="auto"/>
        <w:right w:val="none" w:sz="0" w:space="0" w:color="auto"/>
      </w:divBdr>
    </w:div>
    <w:div w:id="1070229249">
      <w:bodyDiv w:val="1"/>
      <w:marLeft w:val="0"/>
      <w:marRight w:val="0"/>
      <w:marTop w:val="0"/>
      <w:marBottom w:val="0"/>
      <w:divBdr>
        <w:top w:val="none" w:sz="0" w:space="0" w:color="auto"/>
        <w:left w:val="none" w:sz="0" w:space="0" w:color="auto"/>
        <w:bottom w:val="none" w:sz="0" w:space="0" w:color="auto"/>
        <w:right w:val="none" w:sz="0" w:space="0" w:color="auto"/>
      </w:divBdr>
    </w:div>
    <w:div w:id="1071467139">
      <w:bodyDiv w:val="1"/>
      <w:marLeft w:val="0"/>
      <w:marRight w:val="0"/>
      <w:marTop w:val="0"/>
      <w:marBottom w:val="0"/>
      <w:divBdr>
        <w:top w:val="none" w:sz="0" w:space="0" w:color="auto"/>
        <w:left w:val="none" w:sz="0" w:space="0" w:color="auto"/>
        <w:bottom w:val="none" w:sz="0" w:space="0" w:color="auto"/>
        <w:right w:val="none" w:sz="0" w:space="0" w:color="auto"/>
      </w:divBdr>
    </w:div>
    <w:div w:id="1072045941">
      <w:bodyDiv w:val="1"/>
      <w:marLeft w:val="0"/>
      <w:marRight w:val="0"/>
      <w:marTop w:val="0"/>
      <w:marBottom w:val="0"/>
      <w:divBdr>
        <w:top w:val="none" w:sz="0" w:space="0" w:color="auto"/>
        <w:left w:val="none" w:sz="0" w:space="0" w:color="auto"/>
        <w:bottom w:val="none" w:sz="0" w:space="0" w:color="auto"/>
        <w:right w:val="none" w:sz="0" w:space="0" w:color="auto"/>
      </w:divBdr>
    </w:div>
    <w:div w:id="1072049499">
      <w:bodyDiv w:val="1"/>
      <w:marLeft w:val="0"/>
      <w:marRight w:val="0"/>
      <w:marTop w:val="0"/>
      <w:marBottom w:val="0"/>
      <w:divBdr>
        <w:top w:val="none" w:sz="0" w:space="0" w:color="auto"/>
        <w:left w:val="none" w:sz="0" w:space="0" w:color="auto"/>
        <w:bottom w:val="none" w:sz="0" w:space="0" w:color="auto"/>
        <w:right w:val="none" w:sz="0" w:space="0" w:color="auto"/>
      </w:divBdr>
    </w:div>
    <w:div w:id="1072312679">
      <w:bodyDiv w:val="1"/>
      <w:marLeft w:val="0"/>
      <w:marRight w:val="0"/>
      <w:marTop w:val="0"/>
      <w:marBottom w:val="0"/>
      <w:divBdr>
        <w:top w:val="none" w:sz="0" w:space="0" w:color="auto"/>
        <w:left w:val="none" w:sz="0" w:space="0" w:color="auto"/>
        <w:bottom w:val="none" w:sz="0" w:space="0" w:color="auto"/>
        <w:right w:val="none" w:sz="0" w:space="0" w:color="auto"/>
      </w:divBdr>
    </w:div>
    <w:div w:id="1072778837">
      <w:bodyDiv w:val="1"/>
      <w:marLeft w:val="0"/>
      <w:marRight w:val="0"/>
      <w:marTop w:val="0"/>
      <w:marBottom w:val="0"/>
      <w:divBdr>
        <w:top w:val="none" w:sz="0" w:space="0" w:color="auto"/>
        <w:left w:val="none" w:sz="0" w:space="0" w:color="auto"/>
        <w:bottom w:val="none" w:sz="0" w:space="0" w:color="auto"/>
        <w:right w:val="none" w:sz="0" w:space="0" w:color="auto"/>
      </w:divBdr>
    </w:div>
    <w:div w:id="1072970507">
      <w:bodyDiv w:val="1"/>
      <w:marLeft w:val="0"/>
      <w:marRight w:val="0"/>
      <w:marTop w:val="0"/>
      <w:marBottom w:val="0"/>
      <w:divBdr>
        <w:top w:val="none" w:sz="0" w:space="0" w:color="auto"/>
        <w:left w:val="none" w:sz="0" w:space="0" w:color="auto"/>
        <w:bottom w:val="none" w:sz="0" w:space="0" w:color="auto"/>
        <w:right w:val="none" w:sz="0" w:space="0" w:color="auto"/>
      </w:divBdr>
    </w:div>
    <w:div w:id="1073039624">
      <w:bodyDiv w:val="1"/>
      <w:marLeft w:val="0"/>
      <w:marRight w:val="0"/>
      <w:marTop w:val="0"/>
      <w:marBottom w:val="0"/>
      <w:divBdr>
        <w:top w:val="none" w:sz="0" w:space="0" w:color="auto"/>
        <w:left w:val="none" w:sz="0" w:space="0" w:color="auto"/>
        <w:bottom w:val="none" w:sz="0" w:space="0" w:color="auto"/>
        <w:right w:val="none" w:sz="0" w:space="0" w:color="auto"/>
      </w:divBdr>
    </w:div>
    <w:div w:id="1073969462">
      <w:bodyDiv w:val="1"/>
      <w:marLeft w:val="0"/>
      <w:marRight w:val="0"/>
      <w:marTop w:val="0"/>
      <w:marBottom w:val="0"/>
      <w:divBdr>
        <w:top w:val="none" w:sz="0" w:space="0" w:color="auto"/>
        <w:left w:val="none" w:sz="0" w:space="0" w:color="auto"/>
        <w:bottom w:val="none" w:sz="0" w:space="0" w:color="auto"/>
        <w:right w:val="none" w:sz="0" w:space="0" w:color="auto"/>
      </w:divBdr>
    </w:div>
    <w:div w:id="1074008929">
      <w:bodyDiv w:val="1"/>
      <w:marLeft w:val="0"/>
      <w:marRight w:val="0"/>
      <w:marTop w:val="0"/>
      <w:marBottom w:val="0"/>
      <w:divBdr>
        <w:top w:val="none" w:sz="0" w:space="0" w:color="auto"/>
        <w:left w:val="none" w:sz="0" w:space="0" w:color="auto"/>
        <w:bottom w:val="none" w:sz="0" w:space="0" w:color="auto"/>
        <w:right w:val="none" w:sz="0" w:space="0" w:color="auto"/>
      </w:divBdr>
    </w:div>
    <w:div w:id="1074425386">
      <w:bodyDiv w:val="1"/>
      <w:marLeft w:val="0"/>
      <w:marRight w:val="0"/>
      <w:marTop w:val="0"/>
      <w:marBottom w:val="0"/>
      <w:divBdr>
        <w:top w:val="none" w:sz="0" w:space="0" w:color="auto"/>
        <w:left w:val="none" w:sz="0" w:space="0" w:color="auto"/>
        <w:bottom w:val="none" w:sz="0" w:space="0" w:color="auto"/>
        <w:right w:val="none" w:sz="0" w:space="0" w:color="auto"/>
      </w:divBdr>
    </w:div>
    <w:div w:id="1075005756">
      <w:bodyDiv w:val="1"/>
      <w:marLeft w:val="0"/>
      <w:marRight w:val="0"/>
      <w:marTop w:val="0"/>
      <w:marBottom w:val="0"/>
      <w:divBdr>
        <w:top w:val="none" w:sz="0" w:space="0" w:color="auto"/>
        <w:left w:val="none" w:sz="0" w:space="0" w:color="auto"/>
        <w:bottom w:val="none" w:sz="0" w:space="0" w:color="auto"/>
        <w:right w:val="none" w:sz="0" w:space="0" w:color="auto"/>
      </w:divBdr>
    </w:div>
    <w:div w:id="1075399263">
      <w:bodyDiv w:val="1"/>
      <w:marLeft w:val="0"/>
      <w:marRight w:val="0"/>
      <w:marTop w:val="0"/>
      <w:marBottom w:val="0"/>
      <w:divBdr>
        <w:top w:val="none" w:sz="0" w:space="0" w:color="auto"/>
        <w:left w:val="none" w:sz="0" w:space="0" w:color="auto"/>
        <w:bottom w:val="none" w:sz="0" w:space="0" w:color="auto"/>
        <w:right w:val="none" w:sz="0" w:space="0" w:color="auto"/>
      </w:divBdr>
    </w:div>
    <w:div w:id="1076128062">
      <w:bodyDiv w:val="1"/>
      <w:marLeft w:val="0"/>
      <w:marRight w:val="0"/>
      <w:marTop w:val="0"/>
      <w:marBottom w:val="0"/>
      <w:divBdr>
        <w:top w:val="none" w:sz="0" w:space="0" w:color="auto"/>
        <w:left w:val="none" w:sz="0" w:space="0" w:color="auto"/>
        <w:bottom w:val="none" w:sz="0" w:space="0" w:color="auto"/>
        <w:right w:val="none" w:sz="0" w:space="0" w:color="auto"/>
      </w:divBdr>
    </w:div>
    <w:div w:id="1076632930">
      <w:bodyDiv w:val="1"/>
      <w:marLeft w:val="0"/>
      <w:marRight w:val="0"/>
      <w:marTop w:val="0"/>
      <w:marBottom w:val="0"/>
      <w:divBdr>
        <w:top w:val="none" w:sz="0" w:space="0" w:color="auto"/>
        <w:left w:val="none" w:sz="0" w:space="0" w:color="auto"/>
        <w:bottom w:val="none" w:sz="0" w:space="0" w:color="auto"/>
        <w:right w:val="none" w:sz="0" w:space="0" w:color="auto"/>
      </w:divBdr>
    </w:div>
    <w:div w:id="1076633991">
      <w:bodyDiv w:val="1"/>
      <w:marLeft w:val="0"/>
      <w:marRight w:val="0"/>
      <w:marTop w:val="0"/>
      <w:marBottom w:val="0"/>
      <w:divBdr>
        <w:top w:val="none" w:sz="0" w:space="0" w:color="auto"/>
        <w:left w:val="none" w:sz="0" w:space="0" w:color="auto"/>
        <w:bottom w:val="none" w:sz="0" w:space="0" w:color="auto"/>
        <w:right w:val="none" w:sz="0" w:space="0" w:color="auto"/>
      </w:divBdr>
    </w:div>
    <w:div w:id="1076898381">
      <w:bodyDiv w:val="1"/>
      <w:marLeft w:val="0"/>
      <w:marRight w:val="0"/>
      <w:marTop w:val="0"/>
      <w:marBottom w:val="0"/>
      <w:divBdr>
        <w:top w:val="none" w:sz="0" w:space="0" w:color="auto"/>
        <w:left w:val="none" w:sz="0" w:space="0" w:color="auto"/>
        <w:bottom w:val="none" w:sz="0" w:space="0" w:color="auto"/>
        <w:right w:val="none" w:sz="0" w:space="0" w:color="auto"/>
      </w:divBdr>
    </w:div>
    <w:div w:id="1077247359">
      <w:bodyDiv w:val="1"/>
      <w:marLeft w:val="0"/>
      <w:marRight w:val="0"/>
      <w:marTop w:val="0"/>
      <w:marBottom w:val="0"/>
      <w:divBdr>
        <w:top w:val="none" w:sz="0" w:space="0" w:color="auto"/>
        <w:left w:val="none" w:sz="0" w:space="0" w:color="auto"/>
        <w:bottom w:val="none" w:sz="0" w:space="0" w:color="auto"/>
        <w:right w:val="none" w:sz="0" w:space="0" w:color="auto"/>
      </w:divBdr>
    </w:div>
    <w:div w:id="1077284735">
      <w:bodyDiv w:val="1"/>
      <w:marLeft w:val="0"/>
      <w:marRight w:val="0"/>
      <w:marTop w:val="0"/>
      <w:marBottom w:val="0"/>
      <w:divBdr>
        <w:top w:val="none" w:sz="0" w:space="0" w:color="auto"/>
        <w:left w:val="none" w:sz="0" w:space="0" w:color="auto"/>
        <w:bottom w:val="none" w:sz="0" w:space="0" w:color="auto"/>
        <w:right w:val="none" w:sz="0" w:space="0" w:color="auto"/>
      </w:divBdr>
    </w:div>
    <w:div w:id="1077285334">
      <w:bodyDiv w:val="1"/>
      <w:marLeft w:val="0"/>
      <w:marRight w:val="0"/>
      <w:marTop w:val="0"/>
      <w:marBottom w:val="0"/>
      <w:divBdr>
        <w:top w:val="none" w:sz="0" w:space="0" w:color="auto"/>
        <w:left w:val="none" w:sz="0" w:space="0" w:color="auto"/>
        <w:bottom w:val="none" w:sz="0" w:space="0" w:color="auto"/>
        <w:right w:val="none" w:sz="0" w:space="0" w:color="auto"/>
      </w:divBdr>
    </w:div>
    <w:div w:id="1077360883">
      <w:bodyDiv w:val="1"/>
      <w:marLeft w:val="0"/>
      <w:marRight w:val="0"/>
      <w:marTop w:val="0"/>
      <w:marBottom w:val="0"/>
      <w:divBdr>
        <w:top w:val="none" w:sz="0" w:space="0" w:color="auto"/>
        <w:left w:val="none" w:sz="0" w:space="0" w:color="auto"/>
        <w:bottom w:val="none" w:sz="0" w:space="0" w:color="auto"/>
        <w:right w:val="none" w:sz="0" w:space="0" w:color="auto"/>
      </w:divBdr>
    </w:div>
    <w:div w:id="1078332011">
      <w:bodyDiv w:val="1"/>
      <w:marLeft w:val="0"/>
      <w:marRight w:val="0"/>
      <w:marTop w:val="0"/>
      <w:marBottom w:val="0"/>
      <w:divBdr>
        <w:top w:val="none" w:sz="0" w:space="0" w:color="auto"/>
        <w:left w:val="none" w:sz="0" w:space="0" w:color="auto"/>
        <w:bottom w:val="none" w:sz="0" w:space="0" w:color="auto"/>
        <w:right w:val="none" w:sz="0" w:space="0" w:color="auto"/>
      </w:divBdr>
    </w:div>
    <w:div w:id="1078750227">
      <w:bodyDiv w:val="1"/>
      <w:marLeft w:val="0"/>
      <w:marRight w:val="0"/>
      <w:marTop w:val="0"/>
      <w:marBottom w:val="0"/>
      <w:divBdr>
        <w:top w:val="none" w:sz="0" w:space="0" w:color="auto"/>
        <w:left w:val="none" w:sz="0" w:space="0" w:color="auto"/>
        <w:bottom w:val="none" w:sz="0" w:space="0" w:color="auto"/>
        <w:right w:val="none" w:sz="0" w:space="0" w:color="auto"/>
      </w:divBdr>
    </w:div>
    <w:div w:id="1079014702">
      <w:bodyDiv w:val="1"/>
      <w:marLeft w:val="0"/>
      <w:marRight w:val="0"/>
      <w:marTop w:val="0"/>
      <w:marBottom w:val="0"/>
      <w:divBdr>
        <w:top w:val="none" w:sz="0" w:space="0" w:color="auto"/>
        <w:left w:val="none" w:sz="0" w:space="0" w:color="auto"/>
        <w:bottom w:val="none" w:sz="0" w:space="0" w:color="auto"/>
        <w:right w:val="none" w:sz="0" w:space="0" w:color="auto"/>
      </w:divBdr>
    </w:div>
    <w:div w:id="1080370874">
      <w:bodyDiv w:val="1"/>
      <w:marLeft w:val="0"/>
      <w:marRight w:val="0"/>
      <w:marTop w:val="0"/>
      <w:marBottom w:val="0"/>
      <w:divBdr>
        <w:top w:val="none" w:sz="0" w:space="0" w:color="auto"/>
        <w:left w:val="none" w:sz="0" w:space="0" w:color="auto"/>
        <w:bottom w:val="none" w:sz="0" w:space="0" w:color="auto"/>
        <w:right w:val="none" w:sz="0" w:space="0" w:color="auto"/>
      </w:divBdr>
    </w:div>
    <w:div w:id="1080786182">
      <w:bodyDiv w:val="1"/>
      <w:marLeft w:val="0"/>
      <w:marRight w:val="0"/>
      <w:marTop w:val="0"/>
      <w:marBottom w:val="0"/>
      <w:divBdr>
        <w:top w:val="none" w:sz="0" w:space="0" w:color="auto"/>
        <w:left w:val="none" w:sz="0" w:space="0" w:color="auto"/>
        <w:bottom w:val="none" w:sz="0" w:space="0" w:color="auto"/>
        <w:right w:val="none" w:sz="0" w:space="0" w:color="auto"/>
      </w:divBdr>
    </w:div>
    <w:div w:id="1081374003">
      <w:bodyDiv w:val="1"/>
      <w:marLeft w:val="0"/>
      <w:marRight w:val="0"/>
      <w:marTop w:val="0"/>
      <w:marBottom w:val="0"/>
      <w:divBdr>
        <w:top w:val="none" w:sz="0" w:space="0" w:color="auto"/>
        <w:left w:val="none" w:sz="0" w:space="0" w:color="auto"/>
        <w:bottom w:val="none" w:sz="0" w:space="0" w:color="auto"/>
        <w:right w:val="none" w:sz="0" w:space="0" w:color="auto"/>
      </w:divBdr>
    </w:div>
    <w:div w:id="1081677894">
      <w:bodyDiv w:val="1"/>
      <w:marLeft w:val="0"/>
      <w:marRight w:val="0"/>
      <w:marTop w:val="0"/>
      <w:marBottom w:val="0"/>
      <w:divBdr>
        <w:top w:val="none" w:sz="0" w:space="0" w:color="auto"/>
        <w:left w:val="none" w:sz="0" w:space="0" w:color="auto"/>
        <w:bottom w:val="none" w:sz="0" w:space="0" w:color="auto"/>
        <w:right w:val="none" w:sz="0" w:space="0" w:color="auto"/>
      </w:divBdr>
    </w:div>
    <w:div w:id="1082138205">
      <w:bodyDiv w:val="1"/>
      <w:marLeft w:val="0"/>
      <w:marRight w:val="0"/>
      <w:marTop w:val="0"/>
      <w:marBottom w:val="0"/>
      <w:divBdr>
        <w:top w:val="none" w:sz="0" w:space="0" w:color="auto"/>
        <w:left w:val="none" w:sz="0" w:space="0" w:color="auto"/>
        <w:bottom w:val="none" w:sz="0" w:space="0" w:color="auto"/>
        <w:right w:val="none" w:sz="0" w:space="0" w:color="auto"/>
      </w:divBdr>
    </w:div>
    <w:div w:id="1082340291">
      <w:bodyDiv w:val="1"/>
      <w:marLeft w:val="0"/>
      <w:marRight w:val="0"/>
      <w:marTop w:val="0"/>
      <w:marBottom w:val="0"/>
      <w:divBdr>
        <w:top w:val="none" w:sz="0" w:space="0" w:color="auto"/>
        <w:left w:val="none" w:sz="0" w:space="0" w:color="auto"/>
        <w:bottom w:val="none" w:sz="0" w:space="0" w:color="auto"/>
        <w:right w:val="none" w:sz="0" w:space="0" w:color="auto"/>
      </w:divBdr>
    </w:div>
    <w:div w:id="1083795640">
      <w:bodyDiv w:val="1"/>
      <w:marLeft w:val="0"/>
      <w:marRight w:val="0"/>
      <w:marTop w:val="0"/>
      <w:marBottom w:val="0"/>
      <w:divBdr>
        <w:top w:val="none" w:sz="0" w:space="0" w:color="auto"/>
        <w:left w:val="none" w:sz="0" w:space="0" w:color="auto"/>
        <w:bottom w:val="none" w:sz="0" w:space="0" w:color="auto"/>
        <w:right w:val="none" w:sz="0" w:space="0" w:color="auto"/>
      </w:divBdr>
    </w:div>
    <w:div w:id="1083796299">
      <w:bodyDiv w:val="1"/>
      <w:marLeft w:val="0"/>
      <w:marRight w:val="0"/>
      <w:marTop w:val="0"/>
      <w:marBottom w:val="0"/>
      <w:divBdr>
        <w:top w:val="none" w:sz="0" w:space="0" w:color="auto"/>
        <w:left w:val="none" w:sz="0" w:space="0" w:color="auto"/>
        <w:bottom w:val="none" w:sz="0" w:space="0" w:color="auto"/>
        <w:right w:val="none" w:sz="0" w:space="0" w:color="auto"/>
      </w:divBdr>
    </w:div>
    <w:div w:id="1085608936">
      <w:bodyDiv w:val="1"/>
      <w:marLeft w:val="0"/>
      <w:marRight w:val="0"/>
      <w:marTop w:val="0"/>
      <w:marBottom w:val="0"/>
      <w:divBdr>
        <w:top w:val="none" w:sz="0" w:space="0" w:color="auto"/>
        <w:left w:val="none" w:sz="0" w:space="0" w:color="auto"/>
        <w:bottom w:val="none" w:sz="0" w:space="0" w:color="auto"/>
        <w:right w:val="none" w:sz="0" w:space="0" w:color="auto"/>
      </w:divBdr>
    </w:div>
    <w:div w:id="1085683699">
      <w:bodyDiv w:val="1"/>
      <w:marLeft w:val="0"/>
      <w:marRight w:val="0"/>
      <w:marTop w:val="0"/>
      <w:marBottom w:val="0"/>
      <w:divBdr>
        <w:top w:val="none" w:sz="0" w:space="0" w:color="auto"/>
        <w:left w:val="none" w:sz="0" w:space="0" w:color="auto"/>
        <w:bottom w:val="none" w:sz="0" w:space="0" w:color="auto"/>
        <w:right w:val="none" w:sz="0" w:space="0" w:color="auto"/>
      </w:divBdr>
    </w:div>
    <w:div w:id="1085766893">
      <w:bodyDiv w:val="1"/>
      <w:marLeft w:val="0"/>
      <w:marRight w:val="0"/>
      <w:marTop w:val="0"/>
      <w:marBottom w:val="0"/>
      <w:divBdr>
        <w:top w:val="none" w:sz="0" w:space="0" w:color="auto"/>
        <w:left w:val="none" w:sz="0" w:space="0" w:color="auto"/>
        <w:bottom w:val="none" w:sz="0" w:space="0" w:color="auto"/>
        <w:right w:val="none" w:sz="0" w:space="0" w:color="auto"/>
      </w:divBdr>
    </w:div>
    <w:div w:id="1085883281">
      <w:bodyDiv w:val="1"/>
      <w:marLeft w:val="0"/>
      <w:marRight w:val="0"/>
      <w:marTop w:val="0"/>
      <w:marBottom w:val="0"/>
      <w:divBdr>
        <w:top w:val="none" w:sz="0" w:space="0" w:color="auto"/>
        <w:left w:val="none" w:sz="0" w:space="0" w:color="auto"/>
        <w:bottom w:val="none" w:sz="0" w:space="0" w:color="auto"/>
        <w:right w:val="none" w:sz="0" w:space="0" w:color="auto"/>
      </w:divBdr>
    </w:div>
    <w:div w:id="1086075366">
      <w:bodyDiv w:val="1"/>
      <w:marLeft w:val="0"/>
      <w:marRight w:val="0"/>
      <w:marTop w:val="0"/>
      <w:marBottom w:val="0"/>
      <w:divBdr>
        <w:top w:val="none" w:sz="0" w:space="0" w:color="auto"/>
        <w:left w:val="none" w:sz="0" w:space="0" w:color="auto"/>
        <w:bottom w:val="none" w:sz="0" w:space="0" w:color="auto"/>
        <w:right w:val="none" w:sz="0" w:space="0" w:color="auto"/>
      </w:divBdr>
    </w:div>
    <w:div w:id="1086268865">
      <w:bodyDiv w:val="1"/>
      <w:marLeft w:val="0"/>
      <w:marRight w:val="0"/>
      <w:marTop w:val="0"/>
      <w:marBottom w:val="0"/>
      <w:divBdr>
        <w:top w:val="none" w:sz="0" w:space="0" w:color="auto"/>
        <w:left w:val="none" w:sz="0" w:space="0" w:color="auto"/>
        <w:bottom w:val="none" w:sz="0" w:space="0" w:color="auto"/>
        <w:right w:val="none" w:sz="0" w:space="0" w:color="auto"/>
      </w:divBdr>
    </w:div>
    <w:div w:id="1086806054">
      <w:bodyDiv w:val="1"/>
      <w:marLeft w:val="0"/>
      <w:marRight w:val="0"/>
      <w:marTop w:val="0"/>
      <w:marBottom w:val="0"/>
      <w:divBdr>
        <w:top w:val="none" w:sz="0" w:space="0" w:color="auto"/>
        <w:left w:val="none" w:sz="0" w:space="0" w:color="auto"/>
        <w:bottom w:val="none" w:sz="0" w:space="0" w:color="auto"/>
        <w:right w:val="none" w:sz="0" w:space="0" w:color="auto"/>
      </w:divBdr>
    </w:div>
    <w:div w:id="1087070891">
      <w:bodyDiv w:val="1"/>
      <w:marLeft w:val="0"/>
      <w:marRight w:val="0"/>
      <w:marTop w:val="0"/>
      <w:marBottom w:val="0"/>
      <w:divBdr>
        <w:top w:val="none" w:sz="0" w:space="0" w:color="auto"/>
        <w:left w:val="none" w:sz="0" w:space="0" w:color="auto"/>
        <w:bottom w:val="none" w:sz="0" w:space="0" w:color="auto"/>
        <w:right w:val="none" w:sz="0" w:space="0" w:color="auto"/>
      </w:divBdr>
    </w:div>
    <w:div w:id="1087192805">
      <w:bodyDiv w:val="1"/>
      <w:marLeft w:val="0"/>
      <w:marRight w:val="0"/>
      <w:marTop w:val="0"/>
      <w:marBottom w:val="0"/>
      <w:divBdr>
        <w:top w:val="none" w:sz="0" w:space="0" w:color="auto"/>
        <w:left w:val="none" w:sz="0" w:space="0" w:color="auto"/>
        <w:bottom w:val="none" w:sz="0" w:space="0" w:color="auto"/>
        <w:right w:val="none" w:sz="0" w:space="0" w:color="auto"/>
      </w:divBdr>
    </w:div>
    <w:div w:id="1087313896">
      <w:bodyDiv w:val="1"/>
      <w:marLeft w:val="0"/>
      <w:marRight w:val="0"/>
      <w:marTop w:val="0"/>
      <w:marBottom w:val="0"/>
      <w:divBdr>
        <w:top w:val="none" w:sz="0" w:space="0" w:color="auto"/>
        <w:left w:val="none" w:sz="0" w:space="0" w:color="auto"/>
        <w:bottom w:val="none" w:sz="0" w:space="0" w:color="auto"/>
        <w:right w:val="none" w:sz="0" w:space="0" w:color="auto"/>
      </w:divBdr>
    </w:div>
    <w:div w:id="1087655094">
      <w:bodyDiv w:val="1"/>
      <w:marLeft w:val="0"/>
      <w:marRight w:val="0"/>
      <w:marTop w:val="0"/>
      <w:marBottom w:val="0"/>
      <w:divBdr>
        <w:top w:val="none" w:sz="0" w:space="0" w:color="auto"/>
        <w:left w:val="none" w:sz="0" w:space="0" w:color="auto"/>
        <w:bottom w:val="none" w:sz="0" w:space="0" w:color="auto"/>
        <w:right w:val="none" w:sz="0" w:space="0" w:color="auto"/>
      </w:divBdr>
    </w:div>
    <w:div w:id="1087655339">
      <w:bodyDiv w:val="1"/>
      <w:marLeft w:val="0"/>
      <w:marRight w:val="0"/>
      <w:marTop w:val="0"/>
      <w:marBottom w:val="0"/>
      <w:divBdr>
        <w:top w:val="none" w:sz="0" w:space="0" w:color="auto"/>
        <w:left w:val="none" w:sz="0" w:space="0" w:color="auto"/>
        <w:bottom w:val="none" w:sz="0" w:space="0" w:color="auto"/>
        <w:right w:val="none" w:sz="0" w:space="0" w:color="auto"/>
      </w:divBdr>
    </w:div>
    <w:div w:id="1087727161">
      <w:bodyDiv w:val="1"/>
      <w:marLeft w:val="0"/>
      <w:marRight w:val="0"/>
      <w:marTop w:val="0"/>
      <w:marBottom w:val="0"/>
      <w:divBdr>
        <w:top w:val="none" w:sz="0" w:space="0" w:color="auto"/>
        <w:left w:val="none" w:sz="0" w:space="0" w:color="auto"/>
        <w:bottom w:val="none" w:sz="0" w:space="0" w:color="auto"/>
        <w:right w:val="none" w:sz="0" w:space="0" w:color="auto"/>
      </w:divBdr>
    </w:div>
    <w:div w:id="1088117286">
      <w:bodyDiv w:val="1"/>
      <w:marLeft w:val="0"/>
      <w:marRight w:val="0"/>
      <w:marTop w:val="0"/>
      <w:marBottom w:val="0"/>
      <w:divBdr>
        <w:top w:val="none" w:sz="0" w:space="0" w:color="auto"/>
        <w:left w:val="none" w:sz="0" w:space="0" w:color="auto"/>
        <w:bottom w:val="none" w:sz="0" w:space="0" w:color="auto"/>
        <w:right w:val="none" w:sz="0" w:space="0" w:color="auto"/>
      </w:divBdr>
    </w:div>
    <w:div w:id="1088817460">
      <w:bodyDiv w:val="1"/>
      <w:marLeft w:val="0"/>
      <w:marRight w:val="0"/>
      <w:marTop w:val="0"/>
      <w:marBottom w:val="0"/>
      <w:divBdr>
        <w:top w:val="none" w:sz="0" w:space="0" w:color="auto"/>
        <w:left w:val="none" w:sz="0" w:space="0" w:color="auto"/>
        <w:bottom w:val="none" w:sz="0" w:space="0" w:color="auto"/>
        <w:right w:val="none" w:sz="0" w:space="0" w:color="auto"/>
      </w:divBdr>
    </w:div>
    <w:div w:id="1088962846">
      <w:bodyDiv w:val="1"/>
      <w:marLeft w:val="0"/>
      <w:marRight w:val="0"/>
      <w:marTop w:val="0"/>
      <w:marBottom w:val="0"/>
      <w:divBdr>
        <w:top w:val="none" w:sz="0" w:space="0" w:color="auto"/>
        <w:left w:val="none" w:sz="0" w:space="0" w:color="auto"/>
        <w:bottom w:val="none" w:sz="0" w:space="0" w:color="auto"/>
        <w:right w:val="none" w:sz="0" w:space="0" w:color="auto"/>
      </w:divBdr>
    </w:div>
    <w:div w:id="1089039733">
      <w:bodyDiv w:val="1"/>
      <w:marLeft w:val="0"/>
      <w:marRight w:val="0"/>
      <w:marTop w:val="0"/>
      <w:marBottom w:val="0"/>
      <w:divBdr>
        <w:top w:val="none" w:sz="0" w:space="0" w:color="auto"/>
        <w:left w:val="none" w:sz="0" w:space="0" w:color="auto"/>
        <w:bottom w:val="none" w:sz="0" w:space="0" w:color="auto"/>
        <w:right w:val="none" w:sz="0" w:space="0" w:color="auto"/>
      </w:divBdr>
    </w:div>
    <w:div w:id="1090152660">
      <w:bodyDiv w:val="1"/>
      <w:marLeft w:val="0"/>
      <w:marRight w:val="0"/>
      <w:marTop w:val="0"/>
      <w:marBottom w:val="0"/>
      <w:divBdr>
        <w:top w:val="none" w:sz="0" w:space="0" w:color="auto"/>
        <w:left w:val="none" w:sz="0" w:space="0" w:color="auto"/>
        <w:bottom w:val="none" w:sz="0" w:space="0" w:color="auto"/>
        <w:right w:val="none" w:sz="0" w:space="0" w:color="auto"/>
      </w:divBdr>
    </w:div>
    <w:div w:id="1090782895">
      <w:bodyDiv w:val="1"/>
      <w:marLeft w:val="0"/>
      <w:marRight w:val="0"/>
      <w:marTop w:val="0"/>
      <w:marBottom w:val="0"/>
      <w:divBdr>
        <w:top w:val="none" w:sz="0" w:space="0" w:color="auto"/>
        <w:left w:val="none" w:sz="0" w:space="0" w:color="auto"/>
        <w:bottom w:val="none" w:sz="0" w:space="0" w:color="auto"/>
        <w:right w:val="none" w:sz="0" w:space="0" w:color="auto"/>
      </w:divBdr>
    </w:div>
    <w:div w:id="1092044187">
      <w:bodyDiv w:val="1"/>
      <w:marLeft w:val="0"/>
      <w:marRight w:val="0"/>
      <w:marTop w:val="0"/>
      <w:marBottom w:val="0"/>
      <w:divBdr>
        <w:top w:val="none" w:sz="0" w:space="0" w:color="auto"/>
        <w:left w:val="none" w:sz="0" w:space="0" w:color="auto"/>
        <w:bottom w:val="none" w:sz="0" w:space="0" w:color="auto"/>
        <w:right w:val="none" w:sz="0" w:space="0" w:color="auto"/>
      </w:divBdr>
    </w:div>
    <w:div w:id="1092049853">
      <w:bodyDiv w:val="1"/>
      <w:marLeft w:val="0"/>
      <w:marRight w:val="0"/>
      <w:marTop w:val="0"/>
      <w:marBottom w:val="0"/>
      <w:divBdr>
        <w:top w:val="none" w:sz="0" w:space="0" w:color="auto"/>
        <w:left w:val="none" w:sz="0" w:space="0" w:color="auto"/>
        <w:bottom w:val="none" w:sz="0" w:space="0" w:color="auto"/>
        <w:right w:val="none" w:sz="0" w:space="0" w:color="auto"/>
      </w:divBdr>
    </w:div>
    <w:div w:id="1092244864">
      <w:bodyDiv w:val="1"/>
      <w:marLeft w:val="0"/>
      <w:marRight w:val="0"/>
      <w:marTop w:val="0"/>
      <w:marBottom w:val="0"/>
      <w:divBdr>
        <w:top w:val="none" w:sz="0" w:space="0" w:color="auto"/>
        <w:left w:val="none" w:sz="0" w:space="0" w:color="auto"/>
        <w:bottom w:val="none" w:sz="0" w:space="0" w:color="auto"/>
        <w:right w:val="none" w:sz="0" w:space="0" w:color="auto"/>
      </w:divBdr>
    </w:div>
    <w:div w:id="1092431549">
      <w:bodyDiv w:val="1"/>
      <w:marLeft w:val="0"/>
      <w:marRight w:val="0"/>
      <w:marTop w:val="0"/>
      <w:marBottom w:val="0"/>
      <w:divBdr>
        <w:top w:val="none" w:sz="0" w:space="0" w:color="auto"/>
        <w:left w:val="none" w:sz="0" w:space="0" w:color="auto"/>
        <w:bottom w:val="none" w:sz="0" w:space="0" w:color="auto"/>
        <w:right w:val="none" w:sz="0" w:space="0" w:color="auto"/>
      </w:divBdr>
    </w:div>
    <w:div w:id="1092511487">
      <w:bodyDiv w:val="1"/>
      <w:marLeft w:val="0"/>
      <w:marRight w:val="0"/>
      <w:marTop w:val="0"/>
      <w:marBottom w:val="0"/>
      <w:divBdr>
        <w:top w:val="none" w:sz="0" w:space="0" w:color="auto"/>
        <w:left w:val="none" w:sz="0" w:space="0" w:color="auto"/>
        <w:bottom w:val="none" w:sz="0" w:space="0" w:color="auto"/>
        <w:right w:val="none" w:sz="0" w:space="0" w:color="auto"/>
      </w:divBdr>
    </w:div>
    <w:div w:id="1092580291">
      <w:bodyDiv w:val="1"/>
      <w:marLeft w:val="0"/>
      <w:marRight w:val="0"/>
      <w:marTop w:val="0"/>
      <w:marBottom w:val="0"/>
      <w:divBdr>
        <w:top w:val="none" w:sz="0" w:space="0" w:color="auto"/>
        <w:left w:val="none" w:sz="0" w:space="0" w:color="auto"/>
        <w:bottom w:val="none" w:sz="0" w:space="0" w:color="auto"/>
        <w:right w:val="none" w:sz="0" w:space="0" w:color="auto"/>
      </w:divBdr>
    </w:div>
    <w:div w:id="1093092480">
      <w:bodyDiv w:val="1"/>
      <w:marLeft w:val="0"/>
      <w:marRight w:val="0"/>
      <w:marTop w:val="0"/>
      <w:marBottom w:val="0"/>
      <w:divBdr>
        <w:top w:val="none" w:sz="0" w:space="0" w:color="auto"/>
        <w:left w:val="none" w:sz="0" w:space="0" w:color="auto"/>
        <w:bottom w:val="none" w:sz="0" w:space="0" w:color="auto"/>
        <w:right w:val="none" w:sz="0" w:space="0" w:color="auto"/>
      </w:divBdr>
    </w:div>
    <w:div w:id="1093209490">
      <w:bodyDiv w:val="1"/>
      <w:marLeft w:val="0"/>
      <w:marRight w:val="0"/>
      <w:marTop w:val="0"/>
      <w:marBottom w:val="0"/>
      <w:divBdr>
        <w:top w:val="none" w:sz="0" w:space="0" w:color="auto"/>
        <w:left w:val="none" w:sz="0" w:space="0" w:color="auto"/>
        <w:bottom w:val="none" w:sz="0" w:space="0" w:color="auto"/>
        <w:right w:val="none" w:sz="0" w:space="0" w:color="auto"/>
      </w:divBdr>
    </w:div>
    <w:div w:id="1093547566">
      <w:bodyDiv w:val="1"/>
      <w:marLeft w:val="0"/>
      <w:marRight w:val="0"/>
      <w:marTop w:val="0"/>
      <w:marBottom w:val="0"/>
      <w:divBdr>
        <w:top w:val="none" w:sz="0" w:space="0" w:color="auto"/>
        <w:left w:val="none" w:sz="0" w:space="0" w:color="auto"/>
        <w:bottom w:val="none" w:sz="0" w:space="0" w:color="auto"/>
        <w:right w:val="none" w:sz="0" w:space="0" w:color="auto"/>
      </w:divBdr>
    </w:div>
    <w:div w:id="1094088409">
      <w:bodyDiv w:val="1"/>
      <w:marLeft w:val="0"/>
      <w:marRight w:val="0"/>
      <w:marTop w:val="0"/>
      <w:marBottom w:val="0"/>
      <w:divBdr>
        <w:top w:val="none" w:sz="0" w:space="0" w:color="auto"/>
        <w:left w:val="none" w:sz="0" w:space="0" w:color="auto"/>
        <w:bottom w:val="none" w:sz="0" w:space="0" w:color="auto"/>
        <w:right w:val="none" w:sz="0" w:space="0" w:color="auto"/>
      </w:divBdr>
    </w:div>
    <w:div w:id="1094202517">
      <w:bodyDiv w:val="1"/>
      <w:marLeft w:val="0"/>
      <w:marRight w:val="0"/>
      <w:marTop w:val="0"/>
      <w:marBottom w:val="0"/>
      <w:divBdr>
        <w:top w:val="none" w:sz="0" w:space="0" w:color="auto"/>
        <w:left w:val="none" w:sz="0" w:space="0" w:color="auto"/>
        <w:bottom w:val="none" w:sz="0" w:space="0" w:color="auto"/>
        <w:right w:val="none" w:sz="0" w:space="0" w:color="auto"/>
      </w:divBdr>
    </w:div>
    <w:div w:id="1094471708">
      <w:bodyDiv w:val="1"/>
      <w:marLeft w:val="0"/>
      <w:marRight w:val="0"/>
      <w:marTop w:val="0"/>
      <w:marBottom w:val="0"/>
      <w:divBdr>
        <w:top w:val="none" w:sz="0" w:space="0" w:color="auto"/>
        <w:left w:val="none" w:sz="0" w:space="0" w:color="auto"/>
        <w:bottom w:val="none" w:sz="0" w:space="0" w:color="auto"/>
        <w:right w:val="none" w:sz="0" w:space="0" w:color="auto"/>
      </w:divBdr>
    </w:div>
    <w:div w:id="1095131661">
      <w:bodyDiv w:val="1"/>
      <w:marLeft w:val="0"/>
      <w:marRight w:val="0"/>
      <w:marTop w:val="0"/>
      <w:marBottom w:val="0"/>
      <w:divBdr>
        <w:top w:val="none" w:sz="0" w:space="0" w:color="auto"/>
        <w:left w:val="none" w:sz="0" w:space="0" w:color="auto"/>
        <w:bottom w:val="none" w:sz="0" w:space="0" w:color="auto"/>
        <w:right w:val="none" w:sz="0" w:space="0" w:color="auto"/>
      </w:divBdr>
    </w:div>
    <w:div w:id="1095514686">
      <w:bodyDiv w:val="1"/>
      <w:marLeft w:val="0"/>
      <w:marRight w:val="0"/>
      <w:marTop w:val="0"/>
      <w:marBottom w:val="0"/>
      <w:divBdr>
        <w:top w:val="none" w:sz="0" w:space="0" w:color="auto"/>
        <w:left w:val="none" w:sz="0" w:space="0" w:color="auto"/>
        <w:bottom w:val="none" w:sz="0" w:space="0" w:color="auto"/>
        <w:right w:val="none" w:sz="0" w:space="0" w:color="auto"/>
      </w:divBdr>
    </w:div>
    <w:div w:id="1095706994">
      <w:bodyDiv w:val="1"/>
      <w:marLeft w:val="0"/>
      <w:marRight w:val="0"/>
      <w:marTop w:val="0"/>
      <w:marBottom w:val="0"/>
      <w:divBdr>
        <w:top w:val="none" w:sz="0" w:space="0" w:color="auto"/>
        <w:left w:val="none" w:sz="0" w:space="0" w:color="auto"/>
        <w:bottom w:val="none" w:sz="0" w:space="0" w:color="auto"/>
        <w:right w:val="none" w:sz="0" w:space="0" w:color="auto"/>
      </w:divBdr>
    </w:div>
    <w:div w:id="1096485138">
      <w:bodyDiv w:val="1"/>
      <w:marLeft w:val="0"/>
      <w:marRight w:val="0"/>
      <w:marTop w:val="0"/>
      <w:marBottom w:val="0"/>
      <w:divBdr>
        <w:top w:val="none" w:sz="0" w:space="0" w:color="auto"/>
        <w:left w:val="none" w:sz="0" w:space="0" w:color="auto"/>
        <w:bottom w:val="none" w:sz="0" w:space="0" w:color="auto"/>
        <w:right w:val="none" w:sz="0" w:space="0" w:color="auto"/>
      </w:divBdr>
    </w:div>
    <w:div w:id="1096486405">
      <w:bodyDiv w:val="1"/>
      <w:marLeft w:val="0"/>
      <w:marRight w:val="0"/>
      <w:marTop w:val="0"/>
      <w:marBottom w:val="0"/>
      <w:divBdr>
        <w:top w:val="none" w:sz="0" w:space="0" w:color="auto"/>
        <w:left w:val="none" w:sz="0" w:space="0" w:color="auto"/>
        <w:bottom w:val="none" w:sz="0" w:space="0" w:color="auto"/>
        <w:right w:val="none" w:sz="0" w:space="0" w:color="auto"/>
      </w:divBdr>
    </w:div>
    <w:div w:id="1096679829">
      <w:bodyDiv w:val="1"/>
      <w:marLeft w:val="0"/>
      <w:marRight w:val="0"/>
      <w:marTop w:val="0"/>
      <w:marBottom w:val="0"/>
      <w:divBdr>
        <w:top w:val="none" w:sz="0" w:space="0" w:color="auto"/>
        <w:left w:val="none" w:sz="0" w:space="0" w:color="auto"/>
        <w:bottom w:val="none" w:sz="0" w:space="0" w:color="auto"/>
        <w:right w:val="none" w:sz="0" w:space="0" w:color="auto"/>
      </w:divBdr>
    </w:div>
    <w:div w:id="1096830608">
      <w:bodyDiv w:val="1"/>
      <w:marLeft w:val="0"/>
      <w:marRight w:val="0"/>
      <w:marTop w:val="0"/>
      <w:marBottom w:val="0"/>
      <w:divBdr>
        <w:top w:val="none" w:sz="0" w:space="0" w:color="auto"/>
        <w:left w:val="none" w:sz="0" w:space="0" w:color="auto"/>
        <w:bottom w:val="none" w:sz="0" w:space="0" w:color="auto"/>
        <w:right w:val="none" w:sz="0" w:space="0" w:color="auto"/>
      </w:divBdr>
    </w:div>
    <w:div w:id="1097015927">
      <w:bodyDiv w:val="1"/>
      <w:marLeft w:val="0"/>
      <w:marRight w:val="0"/>
      <w:marTop w:val="0"/>
      <w:marBottom w:val="0"/>
      <w:divBdr>
        <w:top w:val="none" w:sz="0" w:space="0" w:color="auto"/>
        <w:left w:val="none" w:sz="0" w:space="0" w:color="auto"/>
        <w:bottom w:val="none" w:sz="0" w:space="0" w:color="auto"/>
        <w:right w:val="none" w:sz="0" w:space="0" w:color="auto"/>
      </w:divBdr>
    </w:div>
    <w:div w:id="1097140975">
      <w:bodyDiv w:val="1"/>
      <w:marLeft w:val="0"/>
      <w:marRight w:val="0"/>
      <w:marTop w:val="0"/>
      <w:marBottom w:val="0"/>
      <w:divBdr>
        <w:top w:val="none" w:sz="0" w:space="0" w:color="auto"/>
        <w:left w:val="none" w:sz="0" w:space="0" w:color="auto"/>
        <w:bottom w:val="none" w:sz="0" w:space="0" w:color="auto"/>
        <w:right w:val="none" w:sz="0" w:space="0" w:color="auto"/>
      </w:divBdr>
    </w:div>
    <w:div w:id="1097285933">
      <w:bodyDiv w:val="1"/>
      <w:marLeft w:val="0"/>
      <w:marRight w:val="0"/>
      <w:marTop w:val="0"/>
      <w:marBottom w:val="0"/>
      <w:divBdr>
        <w:top w:val="none" w:sz="0" w:space="0" w:color="auto"/>
        <w:left w:val="none" w:sz="0" w:space="0" w:color="auto"/>
        <w:bottom w:val="none" w:sz="0" w:space="0" w:color="auto"/>
        <w:right w:val="none" w:sz="0" w:space="0" w:color="auto"/>
      </w:divBdr>
    </w:div>
    <w:div w:id="1097556932">
      <w:bodyDiv w:val="1"/>
      <w:marLeft w:val="0"/>
      <w:marRight w:val="0"/>
      <w:marTop w:val="0"/>
      <w:marBottom w:val="0"/>
      <w:divBdr>
        <w:top w:val="none" w:sz="0" w:space="0" w:color="auto"/>
        <w:left w:val="none" w:sz="0" w:space="0" w:color="auto"/>
        <w:bottom w:val="none" w:sz="0" w:space="0" w:color="auto"/>
        <w:right w:val="none" w:sz="0" w:space="0" w:color="auto"/>
      </w:divBdr>
    </w:div>
    <w:div w:id="1097629612">
      <w:bodyDiv w:val="1"/>
      <w:marLeft w:val="0"/>
      <w:marRight w:val="0"/>
      <w:marTop w:val="0"/>
      <w:marBottom w:val="0"/>
      <w:divBdr>
        <w:top w:val="none" w:sz="0" w:space="0" w:color="auto"/>
        <w:left w:val="none" w:sz="0" w:space="0" w:color="auto"/>
        <w:bottom w:val="none" w:sz="0" w:space="0" w:color="auto"/>
        <w:right w:val="none" w:sz="0" w:space="0" w:color="auto"/>
      </w:divBdr>
    </w:div>
    <w:div w:id="1097865031">
      <w:bodyDiv w:val="1"/>
      <w:marLeft w:val="0"/>
      <w:marRight w:val="0"/>
      <w:marTop w:val="0"/>
      <w:marBottom w:val="0"/>
      <w:divBdr>
        <w:top w:val="none" w:sz="0" w:space="0" w:color="auto"/>
        <w:left w:val="none" w:sz="0" w:space="0" w:color="auto"/>
        <w:bottom w:val="none" w:sz="0" w:space="0" w:color="auto"/>
        <w:right w:val="none" w:sz="0" w:space="0" w:color="auto"/>
      </w:divBdr>
    </w:div>
    <w:div w:id="1098407928">
      <w:bodyDiv w:val="1"/>
      <w:marLeft w:val="0"/>
      <w:marRight w:val="0"/>
      <w:marTop w:val="0"/>
      <w:marBottom w:val="0"/>
      <w:divBdr>
        <w:top w:val="none" w:sz="0" w:space="0" w:color="auto"/>
        <w:left w:val="none" w:sz="0" w:space="0" w:color="auto"/>
        <w:bottom w:val="none" w:sz="0" w:space="0" w:color="auto"/>
        <w:right w:val="none" w:sz="0" w:space="0" w:color="auto"/>
      </w:divBdr>
    </w:div>
    <w:div w:id="1098602919">
      <w:bodyDiv w:val="1"/>
      <w:marLeft w:val="0"/>
      <w:marRight w:val="0"/>
      <w:marTop w:val="0"/>
      <w:marBottom w:val="0"/>
      <w:divBdr>
        <w:top w:val="none" w:sz="0" w:space="0" w:color="auto"/>
        <w:left w:val="none" w:sz="0" w:space="0" w:color="auto"/>
        <w:bottom w:val="none" w:sz="0" w:space="0" w:color="auto"/>
        <w:right w:val="none" w:sz="0" w:space="0" w:color="auto"/>
      </w:divBdr>
    </w:div>
    <w:div w:id="1098909995">
      <w:bodyDiv w:val="1"/>
      <w:marLeft w:val="0"/>
      <w:marRight w:val="0"/>
      <w:marTop w:val="0"/>
      <w:marBottom w:val="0"/>
      <w:divBdr>
        <w:top w:val="none" w:sz="0" w:space="0" w:color="auto"/>
        <w:left w:val="none" w:sz="0" w:space="0" w:color="auto"/>
        <w:bottom w:val="none" w:sz="0" w:space="0" w:color="auto"/>
        <w:right w:val="none" w:sz="0" w:space="0" w:color="auto"/>
      </w:divBdr>
    </w:div>
    <w:div w:id="1099105286">
      <w:bodyDiv w:val="1"/>
      <w:marLeft w:val="0"/>
      <w:marRight w:val="0"/>
      <w:marTop w:val="0"/>
      <w:marBottom w:val="0"/>
      <w:divBdr>
        <w:top w:val="none" w:sz="0" w:space="0" w:color="auto"/>
        <w:left w:val="none" w:sz="0" w:space="0" w:color="auto"/>
        <w:bottom w:val="none" w:sz="0" w:space="0" w:color="auto"/>
        <w:right w:val="none" w:sz="0" w:space="0" w:color="auto"/>
      </w:divBdr>
    </w:div>
    <w:div w:id="1099108074">
      <w:bodyDiv w:val="1"/>
      <w:marLeft w:val="0"/>
      <w:marRight w:val="0"/>
      <w:marTop w:val="0"/>
      <w:marBottom w:val="0"/>
      <w:divBdr>
        <w:top w:val="none" w:sz="0" w:space="0" w:color="auto"/>
        <w:left w:val="none" w:sz="0" w:space="0" w:color="auto"/>
        <w:bottom w:val="none" w:sz="0" w:space="0" w:color="auto"/>
        <w:right w:val="none" w:sz="0" w:space="0" w:color="auto"/>
      </w:divBdr>
    </w:div>
    <w:div w:id="1099519868">
      <w:bodyDiv w:val="1"/>
      <w:marLeft w:val="0"/>
      <w:marRight w:val="0"/>
      <w:marTop w:val="0"/>
      <w:marBottom w:val="0"/>
      <w:divBdr>
        <w:top w:val="none" w:sz="0" w:space="0" w:color="auto"/>
        <w:left w:val="none" w:sz="0" w:space="0" w:color="auto"/>
        <w:bottom w:val="none" w:sz="0" w:space="0" w:color="auto"/>
        <w:right w:val="none" w:sz="0" w:space="0" w:color="auto"/>
      </w:divBdr>
    </w:div>
    <w:div w:id="1099526483">
      <w:bodyDiv w:val="1"/>
      <w:marLeft w:val="0"/>
      <w:marRight w:val="0"/>
      <w:marTop w:val="0"/>
      <w:marBottom w:val="0"/>
      <w:divBdr>
        <w:top w:val="none" w:sz="0" w:space="0" w:color="auto"/>
        <w:left w:val="none" w:sz="0" w:space="0" w:color="auto"/>
        <w:bottom w:val="none" w:sz="0" w:space="0" w:color="auto"/>
        <w:right w:val="none" w:sz="0" w:space="0" w:color="auto"/>
      </w:divBdr>
    </w:div>
    <w:div w:id="1099637190">
      <w:bodyDiv w:val="1"/>
      <w:marLeft w:val="0"/>
      <w:marRight w:val="0"/>
      <w:marTop w:val="0"/>
      <w:marBottom w:val="0"/>
      <w:divBdr>
        <w:top w:val="none" w:sz="0" w:space="0" w:color="auto"/>
        <w:left w:val="none" w:sz="0" w:space="0" w:color="auto"/>
        <w:bottom w:val="none" w:sz="0" w:space="0" w:color="auto"/>
        <w:right w:val="none" w:sz="0" w:space="0" w:color="auto"/>
      </w:divBdr>
    </w:div>
    <w:div w:id="1099839780">
      <w:bodyDiv w:val="1"/>
      <w:marLeft w:val="0"/>
      <w:marRight w:val="0"/>
      <w:marTop w:val="0"/>
      <w:marBottom w:val="0"/>
      <w:divBdr>
        <w:top w:val="none" w:sz="0" w:space="0" w:color="auto"/>
        <w:left w:val="none" w:sz="0" w:space="0" w:color="auto"/>
        <w:bottom w:val="none" w:sz="0" w:space="0" w:color="auto"/>
        <w:right w:val="none" w:sz="0" w:space="0" w:color="auto"/>
      </w:divBdr>
    </w:div>
    <w:div w:id="1100221170">
      <w:bodyDiv w:val="1"/>
      <w:marLeft w:val="0"/>
      <w:marRight w:val="0"/>
      <w:marTop w:val="0"/>
      <w:marBottom w:val="0"/>
      <w:divBdr>
        <w:top w:val="none" w:sz="0" w:space="0" w:color="auto"/>
        <w:left w:val="none" w:sz="0" w:space="0" w:color="auto"/>
        <w:bottom w:val="none" w:sz="0" w:space="0" w:color="auto"/>
        <w:right w:val="none" w:sz="0" w:space="0" w:color="auto"/>
      </w:divBdr>
    </w:div>
    <w:div w:id="1100951493">
      <w:bodyDiv w:val="1"/>
      <w:marLeft w:val="0"/>
      <w:marRight w:val="0"/>
      <w:marTop w:val="0"/>
      <w:marBottom w:val="0"/>
      <w:divBdr>
        <w:top w:val="none" w:sz="0" w:space="0" w:color="auto"/>
        <w:left w:val="none" w:sz="0" w:space="0" w:color="auto"/>
        <w:bottom w:val="none" w:sz="0" w:space="0" w:color="auto"/>
        <w:right w:val="none" w:sz="0" w:space="0" w:color="auto"/>
      </w:divBdr>
    </w:div>
    <w:div w:id="1102458702">
      <w:bodyDiv w:val="1"/>
      <w:marLeft w:val="0"/>
      <w:marRight w:val="0"/>
      <w:marTop w:val="0"/>
      <w:marBottom w:val="0"/>
      <w:divBdr>
        <w:top w:val="none" w:sz="0" w:space="0" w:color="auto"/>
        <w:left w:val="none" w:sz="0" w:space="0" w:color="auto"/>
        <w:bottom w:val="none" w:sz="0" w:space="0" w:color="auto"/>
        <w:right w:val="none" w:sz="0" w:space="0" w:color="auto"/>
      </w:divBdr>
    </w:div>
    <w:div w:id="1102646204">
      <w:bodyDiv w:val="1"/>
      <w:marLeft w:val="0"/>
      <w:marRight w:val="0"/>
      <w:marTop w:val="0"/>
      <w:marBottom w:val="0"/>
      <w:divBdr>
        <w:top w:val="none" w:sz="0" w:space="0" w:color="auto"/>
        <w:left w:val="none" w:sz="0" w:space="0" w:color="auto"/>
        <w:bottom w:val="none" w:sz="0" w:space="0" w:color="auto"/>
        <w:right w:val="none" w:sz="0" w:space="0" w:color="auto"/>
      </w:divBdr>
    </w:div>
    <w:div w:id="1102652953">
      <w:bodyDiv w:val="1"/>
      <w:marLeft w:val="0"/>
      <w:marRight w:val="0"/>
      <w:marTop w:val="0"/>
      <w:marBottom w:val="0"/>
      <w:divBdr>
        <w:top w:val="none" w:sz="0" w:space="0" w:color="auto"/>
        <w:left w:val="none" w:sz="0" w:space="0" w:color="auto"/>
        <w:bottom w:val="none" w:sz="0" w:space="0" w:color="auto"/>
        <w:right w:val="none" w:sz="0" w:space="0" w:color="auto"/>
      </w:divBdr>
    </w:div>
    <w:div w:id="1103039469">
      <w:bodyDiv w:val="1"/>
      <w:marLeft w:val="0"/>
      <w:marRight w:val="0"/>
      <w:marTop w:val="0"/>
      <w:marBottom w:val="0"/>
      <w:divBdr>
        <w:top w:val="none" w:sz="0" w:space="0" w:color="auto"/>
        <w:left w:val="none" w:sz="0" w:space="0" w:color="auto"/>
        <w:bottom w:val="none" w:sz="0" w:space="0" w:color="auto"/>
        <w:right w:val="none" w:sz="0" w:space="0" w:color="auto"/>
      </w:divBdr>
    </w:div>
    <w:div w:id="1103107694">
      <w:bodyDiv w:val="1"/>
      <w:marLeft w:val="0"/>
      <w:marRight w:val="0"/>
      <w:marTop w:val="0"/>
      <w:marBottom w:val="0"/>
      <w:divBdr>
        <w:top w:val="none" w:sz="0" w:space="0" w:color="auto"/>
        <w:left w:val="none" w:sz="0" w:space="0" w:color="auto"/>
        <w:bottom w:val="none" w:sz="0" w:space="0" w:color="auto"/>
        <w:right w:val="none" w:sz="0" w:space="0" w:color="auto"/>
      </w:divBdr>
    </w:div>
    <w:div w:id="1103305102">
      <w:bodyDiv w:val="1"/>
      <w:marLeft w:val="0"/>
      <w:marRight w:val="0"/>
      <w:marTop w:val="0"/>
      <w:marBottom w:val="0"/>
      <w:divBdr>
        <w:top w:val="none" w:sz="0" w:space="0" w:color="auto"/>
        <w:left w:val="none" w:sz="0" w:space="0" w:color="auto"/>
        <w:bottom w:val="none" w:sz="0" w:space="0" w:color="auto"/>
        <w:right w:val="none" w:sz="0" w:space="0" w:color="auto"/>
      </w:divBdr>
    </w:div>
    <w:div w:id="1103842528">
      <w:bodyDiv w:val="1"/>
      <w:marLeft w:val="0"/>
      <w:marRight w:val="0"/>
      <w:marTop w:val="0"/>
      <w:marBottom w:val="0"/>
      <w:divBdr>
        <w:top w:val="none" w:sz="0" w:space="0" w:color="auto"/>
        <w:left w:val="none" w:sz="0" w:space="0" w:color="auto"/>
        <w:bottom w:val="none" w:sz="0" w:space="0" w:color="auto"/>
        <w:right w:val="none" w:sz="0" w:space="0" w:color="auto"/>
      </w:divBdr>
    </w:div>
    <w:div w:id="1104230715">
      <w:bodyDiv w:val="1"/>
      <w:marLeft w:val="0"/>
      <w:marRight w:val="0"/>
      <w:marTop w:val="0"/>
      <w:marBottom w:val="0"/>
      <w:divBdr>
        <w:top w:val="none" w:sz="0" w:space="0" w:color="auto"/>
        <w:left w:val="none" w:sz="0" w:space="0" w:color="auto"/>
        <w:bottom w:val="none" w:sz="0" w:space="0" w:color="auto"/>
        <w:right w:val="none" w:sz="0" w:space="0" w:color="auto"/>
      </w:divBdr>
    </w:div>
    <w:div w:id="1104233428">
      <w:bodyDiv w:val="1"/>
      <w:marLeft w:val="0"/>
      <w:marRight w:val="0"/>
      <w:marTop w:val="0"/>
      <w:marBottom w:val="0"/>
      <w:divBdr>
        <w:top w:val="none" w:sz="0" w:space="0" w:color="auto"/>
        <w:left w:val="none" w:sz="0" w:space="0" w:color="auto"/>
        <w:bottom w:val="none" w:sz="0" w:space="0" w:color="auto"/>
        <w:right w:val="none" w:sz="0" w:space="0" w:color="auto"/>
      </w:divBdr>
    </w:div>
    <w:div w:id="1105154250">
      <w:bodyDiv w:val="1"/>
      <w:marLeft w:val="0"/>
      <w:marRight w:val="0"/>
      <w:marTop w:val="0"/>
      <w:marBottom w:val="0"/>
      <w:divBdr>
        <w:top w:val="none" w:sz="0" w:space="0" w:color="auto"/>
        <w:left w:val="none" w:sz="0" w:space="0" w:color="auto"/>
        <w:bottom w:val="none" w:sz="0" w:space="0" w:color="auto"/>
        <w:right w:val="none" w:sz="0" w:space="0" w:color="auto"/>
      </w:divBdr>
    </w:div>
    <w:div w:id="1105614306">
      <w:bodyDiv w:val="1"/>
      <w:marLeft w:val="0"/>
      <w:marRight w:val="0"/>
      <w:marTop w:val="0"/>
      <w:marBottom w:val="0"/>
      <w:divBdr>
        <w:top w:val="none" w:sz="0" w:space="0" w:color="auto"/>
        <w:left w:val="none" w:sz="0" w:space="0" w:color="auto"/>
        <w:bottom w:val="none" w:sz="0" w:space="0" w:color="auto"/>
        <w:right w:val="none" w:sz="0" w:space="0" w:color="auto"/>
      </w:divBdr>
    </w:div>
    <w:div w:id="1106073197">
      <w:bodyDiv w:val="1"/>
      <w:marLeft w:val="0"/>
      <w:marRight w:val="0"/>
      <w:marTop w:val="0"/>
      <w:marBottom w:val="0"/>
      <w:divBdr>
        <w:top w:val="none" w:sz="0" w:space="0" w:color="auto"/>
        <w:left w:val="none" w:sz="0" w:space="0" w:color="auto"/>
        <w:bottom w:val="none" w:sz="0" w:space="0" w:color="auto"/>
        <w:right w:val="none" w:sz="0" w:space="0" w:color="auto"/>
      </w:divBdr>
    </w:div>
    <w:div w:id="1106191627">
      <w:bodyDiv w:val="1"/>
      <w:marLeft w:val="0"/>
      <w:marRight w:val="0"/>
      <w:marTop w:val="0"/>
      <w:marBottom w:val="0"/>
      <w:divBdr>
        <w:top w:val="none" w:sz="0" w:space="0" w:color="auto"/>
        <w:left w:val="none" w:sz="0" w:space="0" w:color="auto"/>
        <w:bottom w:val="none" w:sz="0" w:space="0" w:color="auto"/>
        <w:right w:val="none" w:sz="0" w:space="0" w:color="auto"/>
      </w:divBdr>
    </w:div>
    <w:div w:id="1106971409">
      <w:bodyDiv w:val="1"/>
      <w:marLeft w:val="0"/>
      <w:marRight w:val="0"/>
      <w:marTop w:val="0"/>
      <w:marBottom w:val="0"/>
      <w:divBdr>
        <w:top w:val="none" w:sz="0" w:space="0" w:color="auto"/>
        <w:left w:val="none" w:sz="0" w:space="0" w:color="auto"/>
        <w:bottom w:val="none" w:sz="0" w:space="0" w:color="auto"/>
        <w:right w:val="none" w:sz="0" w:space="0" w:color="auto"/>
      </w:divBdr>
    </w:div>
    <w:div w:id="1107197475">
      <w:bodyDiv w:val="1"/>
      <w:marLeft w:val="0"/>
      <w:marRight w:val="0"/>
      <w:marTop w:val="0"/>
      <w:marBottom w:val="0"/>
      <w:divBdr>
        <w:top w:val="none" w:sz="0" w:space="0" w:color="auto"/>
        <w:left w:val="none" w:sz="0" w:space="0" w:color="auto"/>
        <w:bottom w:val="none" w:sz="0" w:space="0" w:color="auto"/>
        <w:right w:val="none" w:sz="0" w:space="0" w:color="auto"/>
      </w:divBdr>
    </w:div>
    <w:div w:id="1107655904">
      <w:bodyDiv w:val="1"/>
      <w:marLeft w:val="0"/>
      <w:marRight w:val="0"/>
      <w:marTop w:val="0"/>
      <w:marBottom w:val="0"/>
      <w:divBdr>
        <w:top w:val="none" w:sz="0" w:space="0" w:color="auto"/>
        <w:left w:val="none" w:sz="0" w:space="0" w:color="auto"/>
        <w:bottom w:val="none" w:sz="0" w:space="0" w:color="auto"/>
        <w:right w:val="none" w:sz="0" w:space="0" w:color="auto"/>
      </w:divBdr>
    </w:div>
    <w:div w:id="1107849819">
      <w:bodyDiv w:val="1"/>
      <w:marLeft w:val="0"/>
      <w:marRight w:val="0"/>
      <w:marTop w:val="0"/>
      <w:marBottom w:val="0"/>
      <w:divBdr>
        <w:top w:val="none" w:sz="0" w:space="0" w:color="auto"/>
        <w:left w:val="none" w:sz="0" w:space="0" w:color="auto"/>
        <w:bottom w:val="none" w:sz="0" w:space="0" w:color="auto"/>
        <w:right w:val="none" w:sz="0" w:space="0" w:color="auto"/>
      </w:divBdr>
    </w:div>
    <w:div w:id="1108237534">
      <w:bodyDiv w:val="1"/>
      <w:marLeft w:val="0"/>
      <w:marRight w:val="0"/>
      <w:marTop w:val="0"/>
      <w:marBottom w:val="0"/>
      <w:divBdr>
        <w:top w:val="none" w:sz="0" w:space="0" w:color="auto"/>
        <w:left w:val="none" w:sz="0" w:space="0" w:color="auto"/>
        <w:bottom w:val="none" w:sz="0" w:space="0" w:color="auto"/>
        <w:right w:val="none" w:sz="0" w:space="0" w:color="auto"/>
      </w:divBdr>
    </w:div>
    <w:div w:id="1108311885">
      <w:bodyDiv w:val="1"/>
      <w:marLeft w:val="0"/>
      <w:marRight w:val="0"/>
      <w:marTop w:val="0"/>
      <w:marBottom w:val="0"/>
      <w:divBdr>
        <w:top w:val="none" w:sz="0" w:space="0" w:color="auto"/>
        <w:left w:val="none" w:sz="0" w:space="0" w:color="auto"/>
        <w:bottom w:val="none" w:sz="0" w:space="0" w:color="auto"/>
        <w:right w:val="none" w:sz="0" w:space="0" w:color="auto"/>
      </w:divBdr>
    </w:div>
    <w:div w:id="1108357813">
      <w:bodyDiv w:val="1"/>
      <w:marLeft w:val="0"/>
      <w:marRight w:val="0"/>
      <w:marTop w:val="0"/>
      <w:marBottom w:val="0"/>
      <w:divBdr>
        <w:top w:val="none" w:sz="0" w:space="0" w:color="auto"/>
        <w:left w:val="none" w:sz="0" w:space="0" w:color="auto"/>
        <w:bottom w:val="none" w:sz="0" w:space="0" w:color="auto"/>
        <w:right w:val="none" w:sz="0" w:space="0" w:color="auto"/>
      </w:divBdr>
    </w:div>
    <w:div w:id="1108888825">
      <w:bodyDiv w:val="1"/>
      <w:marLeft w:val="0"/>
      <w:marRight w:val="0"/>
      <w:marTop w:val="0"/>
      <w:marBottom w:val="0"/>
      <w:divBdr>
        <w:top w:val="none" w:sz="0" w:space="0" w:color="auto"/>
        <w:left w:val="none" w:sz="0" w:space="0" w:color="auto"/>
        <w:bottom w:val="none" w:sz="0" w:space="0" w:color="auto"/>
        <w:right w:val="none" w:sz="0" w:space="0" w:color="auto"/>
      </w:divBdr>
    </w:div>
    <w:div w:id="1108935257">
      <w:bodyDiv w:val="1"/>
      <w:marLeft w:val="0"/>
      <w:marRight w:val="0"/>
      <w:marTop w:val="0"/>
      <w:marBottom w:val="0"/>
      <w:divBdr>
        <w:top w:val="none" w:sz="0" w:space="0" w:color="auto"/>
        <w:left w:val="none" w:sz="0" w:space="0" w:color="auto"/>
        <w:bottom w:val="none" w:sz="0" w:space="0" w:color="auto"/>
        <w:right w:val="none" w:sz="0" w:space="0" w:color="auto"/>
      </w:divBdr>
    </w:div>
    <w:div w:id="1109005229">
      <w:bodyDiv w:val="1"/>
      <w:marLeft w:val="0"/>
      <w:marRight w:val="0"/>
      <w:marTop w:val="0"/>
      <w:marBottom w:val="0"/>
      <w:divBdr>
        <w:top w:val="none" w:sz="0" w:space="0" w:color="auto"/>
        <w:left w:val="none" w:sz="0" w:space="0" w:color="auto"/>
        <w:bottom w:val="none" w:sz="0" w:space="0" w:color="auto"/>
        <w:right w:val="none" w:sz="0" w:space="0" w:color="auto"/>
      </w:divBdr>
    </w:div>
    <w:div w:id="1109005972">
      <w:bodyDiv w:val="1"/>
      <w:marLeft w:val="0"/>
      <w:marRight w:val="0"/>
      <w:marTop w:val="0"/>
      <w:marBottom w:val="0"/>
      <w:divBdr>
        <w:top w:val="none" w:sz="0" w:space="0" w:color="auto"/>
        <w:left w:val="none" w:sz="0" w:space="0" w:color="auto"/>
        <w:bottom w:val="none" w:sz="0" w:space="0" w:color="auto"/>
        <w:right w:val="none" w:sz="0" w:space="0" w:color="auto"/>
      </w:divBdr>
    </w:div>
    <w:div w:id="1109468399">
      <w:bodyDiv w:val="1"/>
      <w:marLeft w:val="0"/>
      <w:marRight w:val="0"/>
      <w:marTop w:val="0"/>
      <w:marBottom w:val="0"/>
      <w:divBdr>
        <w:top w:val="none" w:sz="0" w:space="0" w:color="auto"/>
        <w:left w:val="none" w:sz="0" w:space="0" w:color="auto"/>
        <w:bottom w:val="none" w:sz="0" w:space="0" w:color="auto"/>
        <w:right w:val="none" w:sz="0" w:space="0" w:color="auto"/>
      </w:divBdr>
    </w:div>
    <w:div w:id="1110199382">
      <w:bodyDiv w:val="1"/>
      <w:marLeft w:val="0"/>
      <w:marRight w:val="0"/>
      <w:marTop w:val="0"/>
      <w:marBottom w:val="0"/>
      <w:divBdr>
        <w:top w:val="none" w:sz="0" w:space="0" w:color="auto"/>
        <w:left w:val="none" w:sz="0" w:space="0" w:color="auto"/>
        <w:bottom w:val="none" w:sz="0" w:space="0" w:color="auto"/>
        <w:right w:val="none" w:sz="0" w:space="0" w:color="auto"/>
      </w:divBdr>
    </w:div>
    <w:div w:id="1110708723">
      <w:bodyDiv w:val="1"/>
      <w:marLeft w:val="0"/>
      <w:marRight w:val="0"/>
      <w:marTop w:val="0"/>
      <w:marBottom w:val="0"/>
      <w:divBdr>
        <w:top w:val="none" w:sz="0" w:space="0" w:color="auto"/>
        <w:left w:val="none" w:sz="0" w:space="0" w:color="auto"/>
        <w:bottom w:val="none" w:sz="0" w:space="0" w:color="auto"/>
        <w:right w:val="none" w:sz="0" w:space="0" w:color="auto"/>
      </w:divBdr>
    </w:div>
    <w:div w:id="1111706268">
      <w:bodyDiv w:val="1"/>
      <w:marLeft w:val="0"/>
      <w:marRight w:val="0"/>
      <w:marTop w:val="0"/>
      <w:marBottom w:val="0"/>
      <w:divBdr>
        <w:top w:val="none" w:sz="0" w:space="0" w:color="auto"/>
        <w:left w:val="none" w:sz="0" w:space="0" w:color="auto"/>
        <w:bottom w:val="none" w:sz="0" w:space="0" w:color="auto"/>
        <w:right w:val="none" w:sz="0" w:space="0" w:color="auto"/>
      </w:divBdr>
    </w:div>
    <w:div w:id="1112630147">
      <w:bodyDiv w:val="1"/>
      <w:marLeft w:val="0"/>
      <w:marRight w:val="0"/>
      <w:marTop w:val="0"/>
      <w:marBottom w:val="0"/>
      <w:divBdr>
        <w:top w:val="none" w:sz="0" w:space="0" w:color="auto"/>
        <w:left w:val="none" w:sz="0" w:space="0" w:color="auto"/>
        <w:bottom w:val="none" w:sz="0" w:space="0" w:color="auto"/>
        <w:right w:val="none" w:sz="0" w:space="0" w:color="auto"/>
      </w:divBdr>
    </w:div>
    <w:div w:id="1113326491">
      <w:bodyDiv w:val="1"/>
      <w:marLeft w:val="0"/>
      <w:marRight w:val="0"/>
      <w:marTop w:val="0"/>
      <w:marBottom w:val="0"/>
      <w:divBdr>
        <w:top w:val="none" w:sz="0" w:space="0" w:color="auto"/>
        <w:left w:val="none" w:sz="0" w:space="0" w:color="auto"/>
        <w:bottom w:val="none" w:sz="0" w:space="0" w:color="auto"/>
        <w:right w:val="none" w:sz="0" w:space="0" w:color="auto"/>
      </w:divBdr>
    </w:div>
    <w:div w:id="1114864806">
      <w:bodyDiv w:val="1"/>
      <w:marLeft w:val="0"/>
      <w:marRight w:val="0"/>
      <w:marTop w:val="0"/>
      <w:marBottom w:val="0"/>
      <w:divBdr>
        <w:top w:val="none" w:sz="0" w:space="0" w:color="auto"/>
        <w:left w:val="none" w:sz="0" w:space="0" w:color="auto"/>
        <w:bottom w:val="none" w:sz="0" w:space="0" w:color="auto"/>
        <w:right w:val="none" w:sz="0" w:space="0" w:color="auto"/>
      </w:divBdr>
    </w:div>
    <w:div w:id="1115170323">
      <w:bodyDiv w:val="1"/>
      <w:marLeft w:val="0"/>
      <w:marRight w:val="0"/>
      <w:marTop w:val="0"/>
      <w:marBottom w:val="0"/>
      <w:divBdr>
        <w:top w:val="none" w:sz="0" w:space="0" w:color="auto"/>
        <w:left w:val="none" w:sz="0" w:space="0" w:color="auto"/>
        <w:bottom w:val="none" w:sz="0" w:space="0" w:color="auto"/>
        <w:right w:val="none" w:sz="0" w:space="0" w:color="auto"/>
      </w:divBdr>
    </w:div>
    <w:div w:id="1115558415">
      <w:bodyDiv w:val="1"/>
      <w:marLeft w:val="0"/>
      <w:marRight w:val="0"/>
      <w:marTop w:val="0"/>
      <w:marBottom w:val="0"/>
      <w:divBdr>
        <w:top w:val="none" w:sz="0" w:space="0" w:color="auto"/>
        <w:left w:val="none" w:sz="0" w:space="0" w:color="auto"/>
        <w:bottom w:val="none" w:sz="0" w:space="0" w:color="auto"/>
        <w:right w:val="none" w:sz="0" w:space="0" w:color="auto"/>
      </w:divBdr>
    </w:div>
    <w:div w:id="1115713367">
      <w:bodyDiv w:val="1"/>
      <w:marLeft w:val="0"/>
      <w:marRight w:val="0"/>
      <w:marTop w:val="0"/>
      <w:marBottom w:val="0"/>
      <w:divBdr>
        <w:top w:val="none" w:sz="0" w:space="0" w:color="auto"/>
        <w:left w:val="none" w:sz="0" w:space="0" w:color="auto"/>
        <w:bottom w:val="none" w:sz="0" w:space="0" w:color="auto"/>
        <w:right w:val="none" w:sz="0" w:space="0" w:color="auto"/>
      </w:divBdr>
    </w:div>
    <w:div w:id="1115832187">
      <w:bodyDiv w:val="1"/>
      <w:marLeft w:val="0"/>
      <w:marRight w:val="0"/>
      <w:marTop w:val="0"/>
      <w:marBottom w:val="0"/>
      <w:divBdr>
        <w:top w:val="none" w:sz="0" w:space="0" w:color="auto"/>
        <w:left w:val="none" w:sz="0" w:space="0" w:color="auto"/>
        <w:bottom w:val="none" w:sz="0" w:space="0" w:color="auto"/>
        <w:right w:val="none" w:sz="0" w:space="0" w:color="auto"/>
      </w:divBdr>
    </w:div>
    <w:div w:id="1115951543">
      <w:bodyDiv w:val="1"/>
      <w:marLeft w:val="0"/>
      <w:marRight w:val="0"/>
      <w:marTop w:val="0"/>
      <w:marBottom w:val="0"/>
      <w:divBdr>
        <w:top w:val="none" w:sz="0" w:space="0" w:color="auto"/>
        <w:left w:val="none" w:sz="0" w:space="0" w:color="auto"/>
        <w:bottom w:val="none" w:sz="0" w:space="0" w:color="auto"/>
        <w:right w:val="none" w:sz="0" w:space="0" w:color="auto"/>
      </w:divBdr>
    </w:div>
    <w:div w:id="1116949578">
      <w:bodyDiv w:val="1"/>
      <w:marLeft w:val="0"/>
      <w:marRight w:val="0"/>
      <w:marTop w:val="0"/>
      <w:marBottom w:val="0"/>
      <w:divBdr>
        <w:top w:val="none" w:sz="0" w:space="0" w:color="auto"/>
        <w:left w:val="none" w:sz="0" w:space="0" w:color="auto"/>
        <w:bottom w:val="none" w:sz="0" w:space="0" w:color="auto"/>
        <w:right w:val="none" w:sz="0" w:space="0" w:color="auto"/>
      </w:divBdr>
    </w:div>
    <w:div w:id="1117607367">
      <w:bodyDiv w:val="1"/>
      <w:marLeft w:val="0"/>
      <w:marRight w:val="0"/>
      <w:marTop w:val="0"/>
      <w:marBottom w:val="0"/>
      <w:divBdr>
        <w:top w:val="none" w:sz="0" w:space="0" w:color="auto"/>
        <w:left w:val="none" w:sz="0" w:space="0" w:color="auto"/>
        <w:bottom w:val="none" w:sz="0" w:space="0" w:color="auto"/>
        <w:right w:val="none" w:sz="0" w:space="0" w:color="auto"/>
      </w:divBdr>
    </w:div>
    <w:div w:id="1117869688">
      <w:bodyDiv w:val="1"/>
      <w:marLeft w:val="0"/>
      <w:marRight w:val="0"/>
      <w:marTop w:val="0"/>
      <w:marBottom w:val="0"/>
      <w:divBdr>
        <w:top w:val="none" w:sz="0" w:space="0" w:color="auto"/>
        <w:left w:val="none" w:sz="0" w:space="0" w:color="auto"/>
        <w:bottom w:val="none" w:sz="0" w:space="0" w:color="auto"/>
        <w:right w:val="none" w:sz="0" w:space="0" w:color="auto"/>
      </w:divBdr>
    </w:div>
    <w:div w:id="1117915463">
      <w:bodyDiv w:val="1"/>
      <w:marLeft w:val="0"/>
      <w:marRight w:val="0"/>
      <w:marTop w:val="0"/>
      <w:marBottom w:val="0"/>
      <w:divBdr>
        <w:top w:val="none" w:sz="0" w:space="0" w:color="auto"/>
        <w:left w:val="none" w:sz="0" w:space="0" w:color="auto"/>
        <w:bottom w:val="none" w:sz="0" w:space="0" w:color="auto"/>
        <w:right w:val="none" w:sz="0" w:space="0" w:color="auto"/>
      </w:divBdr>
    </w:div>
    <w:div w:id="1118336634">
      <w:bodyDiv w:val="1"/>
      <w:marLeft w:val="0"/>
      <w:marRight w:val="0"/>
      <w:marTop w:val="0"/>
      <w:marBottom w:val="0"/>
      <w:divBdr>
        <w:top w:val="none" w:sz="0" w:space="0" w:color="auto"/>
        <w:left w:val="none" w:sz="0" w:space="0" w:color="auto"/>
        <w:bottom w:val="none" w:sz="0" w:space="0" w:color="auto"/>
        <w:right w:val="none" w:sz="0" w:space="0" w:color="auto"/>
      </w:divBdr>
    </w:div>
    <w:div w:id="1118722632">
      <w:bodyDiv w:val="1"/>
      <w:marLeft w:val="0"/>
      <w:marRight w:val="0"/>
      <w:marTop w:val="0"/>
      <w:marBottom w:val="0"/>
      <w:divBdr>
        <w:top w:val="none" w:sz="0" w:space="0" w:color="auto"/>
        <w:left w:val="none" w:sz="0" w:space="0" w:color="auto"/>
        <w:bottom w:val="none" w:sz="0" w:space="0" w:color="auto"/>
        <w:right w:val="none" w:sz="0" w:space="0" w:color="auto"/>
      </w:divBdr>
    </w:div>
    <w:div w:id="1119186553">
      <w:bodyDiv w:val="1"/>
      <w:marLeft w:val="0"/>
      <w:marRight w:val="0"/>
      <w:marTop w:val="0"/>
      <w:marBottom w:val="0"/>
      <w:divBdr>
        <w:top w:val="none" w:sz="0" w:space="0" w:color="auto"/>
        <w:left w:val="none" w:sz="0" w:space="0" w:color="auto"/>
        <w:bottom w:val="none" w:sz="0" w:space="0" w:color="auto"/>
        <w:right w:val="none" w:sz="0" w:space="0" w:color="auto"/>
      </w:divBdr>
    </w:div>
    <w:div w:id="1119490756">
      <w:bodyDiv w:val="1"/>
      <w:marLeft w:val="0"/>
      <w:marRight w:val="0"/>
      <w:marTop w:val="0"/>
      <w:marBottom w:val="0"/>
      <w:divBdr>
        <w:top w:val="none" w:sz="0" w:space="0" w:color="auto"/>
        <w:left w:val="none" w:sz="0" w:space="0" w:color="auto"/>
        <w:bottom w:val="none" w:sz="0" w:space="0" w:color="auto"/>
        <w:right w:val="none" w:sz="0" w:space="0" w:color="auto"/>
      </w:divBdr>
    </w:div>
    <w:div w:id="1119565930">
      <w:bodyDiv w:val="1"/>
      <w:marLeft w:val="0"/>
      <w:marRight w:val="0"/>
      <w:marTop w:val="0"/>
      <w:marBottom w:val="0"/>
      <w:divBdr>
        <w:top w:val="none" w:sz="0" w:space="0" w:color="auto"/>
        <w:left w:val="none" w:sz="0" w:space="0" w:color="auto"/>
        <w:bottom w:val="none" w:sz="0" w:space="0" w:color="auto"/>
        <w:right w:val="none" w:sz="0" w:space="0" w:color="auto"/>
      </w:divBdr>
    </w:div>
    <w:div w:id="1119757019">
      <w:bodyDiv w:val="1"/>
      <w:marLeft w:val="0"/>
      <w:marRight w:val="0"/>
      <w:marTop w:val="0"/>
      <w:marBottom w:val="0"/>
      <w:divBdr>
        <w:top w:val="none" w:sz="0" w:space="0" w:color="auto"/>
        <w:left w:val="none" w:sz="0" w:space="0" w:color="auto"/>
        <w:bottom w:val="none" w:sz="0" w:space="0" w:color="auto"/>
        <w:right w:val="none" w:sz="0" w:space="0" w:color="auto"/>
      </w:divBdr>
    </w:div>
    <w:div w:id="1119881596">
      <w:bodyDiv w:val="1"/>
      <w:marLeft w:val="0"/>
      <w:marRight w:val="0"/>
      <w:marTop w:val="0"/>
      <w:marBottom w:val="0"/>
      <w:divBdr>
        <w:top w:val="none" w:sz="0" w:space="0" w:color="auto"/>
        <w:left w:val="none" w:sz="0" w:space="0" w:color="auto"/>
        <w:bottom w:val="none" w:sz="0" w:space="0" w:color="auto"/>
        <w:right w:val="none" w:sz="0" w:space="0" w:color="auto"/>
      </w:divBdr>
    </w:div>
    <w:div w:id="1120034677">
      <w:bodyDiv w:val="1"/>
      <w:marLeft w:val="0"/>
      <w:marRight w:val="0"/>
      <w:marTop w:val="0"/>
      <w:marBottom w:val="0"/>
      <w:divBdr>
        <w:top w:val="none" w:sz="0" w:space="0" w:color="auto"/>
        <w:left w:val="none" w:sz="0" w:space="0" w:color="auto"/>
        <w:bottom w:val="none" w:sz="0" w:space="0" w:color="auto"/>
        <w:right w:val="none" w:sz="0" w:space="0" w:color="auto"/>
      </w:divBdr>
    </w:div>
    <w:div w:id="1120035219">
      <w:bodyDiv w:val="1"/>
      <w:marLeft w:val="0"/>
      <w:marRight w:val="0"/>
      <w:marTop w:val="0"/>
      <w:marBottom w:val="0"/>
      <w:divBdr>
        <w:top w:val="none" w:sz="0" w:space="0" w:color="auto"/>
        <w:left w:val="none" w:sz="0" w:space="0" w:color="auto"/>
        <w:bottom w:val="none" w:sz="0" w:space="0" w:color="auto"/>
        <w:right w:val="none" w:sz="0" w:space="0" w:color="auto"/>
      </w:divBdr>
    </w:div>
    <w:div w:id="1121262406">
      <w:bodyDiv w:val="1"/>
      <w:marLeft w:val="0"/>
      <w:marRight w:val="0"/>
      <w:marTop w:val="0"/>
      <w:marBottom w:val="0"/>
      <w:divBdr>
        <w:top w:val="none" w:sz="0" w:space="0" w:color="auto"/>
        <w:left w:val="none" w:sz="0" w:space="0" w:color="auto"/>
        <w:bottom w:val="none" w:sz="0" w:space="0" w:color="auto"/>
        <w:right w:val="none" w:sz="0" w:space="0" w:color="auto"/>
      </w:divBdr>
    </w:div>
    <w:div w:id="1121649319">
      <w:bodyDiv w:val="1"/>
      <w:marLeft w:val="0"/>
      <w:marRight w:val="0"/>
      <w:marTop w:val="0"/>
      <w:marBottom w:val="0"/>
      <w:divBdr>
        <w:top w:val="none" w:sz="0" w:space="0" w:color="auto"/>
        <w:left w:val="none" w:sz="0" w:space="0" w:color="auto"/>
        <w:bottom w:val="none" w:sz="0" w:space="0" w:color="auto"/>
        <w:right w:val="none" w:sz="0" w:space="0" w:color="auto"/>
      </w:divBdr>
    </w:div>
    <w:div w:id="1122269197">
      <w:bodyDiv w:val="1"/>
      <w:marLeft w:val="0"/>
      <w:marRight w:val="0"/>
      <w:marTop w:val="0"/>
      <w:marBottom w:val="0"/>
      <w:divBdr>
        <w:top w:val="none" w:sz="0" w:space="0" w:color="auto"/>
        <w:left w:val="none" w:sz="0" w:space="0" w:color="auto"/>
        <w:bottom w:val="none" w:sz="0" w:space="0" w:color="auto"/>
        <w:right w:val="none" w:sz="0" w:space="0" w:color="auto"/>
      </w:divBdr>
    </w:div>
    <w:div w:id="1122575938">
      <w:bodyDiv w:val="1"/>
      <w:marLeft w:val="0"/>
      <w:marRight w:val="0"/>
      <w:marTop w:val="0"/>
      <w:marBottom w:val="0"/>
      <w:divBdr>
        <w:top w:val="none" w:sz="0" w:space="0" w:color="auto"/>
        <w:left w:val="none" w:sz="0" w:space="0" w:color="auto"/>
        <w:bottom w:val="none" w:sz="0" w:space="0" w:color="auto"/>
        <w:right w:val="none" w:sz="0" w:space="0" w:color="auto"/>
      </w:divBdr>
    </w:div>
    <w:div w:id="1122845382">
      <w:bodyDiv w:val="1"/>
      <w:marLeft w:val="0"/>
      <w:marRight w:val="0"/>
      <w:marTop w:val="0"/>
      <w:marBottom w:val="0"/>
      <w:divBdr>
        <w:top w:val="none" w:sz="0" w:space="0" w:color="auto"/>
        <w:left w:val="none" w:sz="0" w:space="0" w:color="auto"/>
        <w:bottom w:val="none" w:sz="0" w:space="0" w:color="auto"/>
        <w:right w:val="none" w:sz="0" w:space="0" w:color="auto"/>
      </w:divBdr>
    </w:div>
    <w:div w:id="1124542868">
      <w:bodyDiv w:val="1"/>
      <w:marLeft w:val="0"/>
      <w:marRight w:val="0"/>
      <w:marTop w:val="0"/>
      <w:marBottom w:val="0"/>
      <w:divBdr>
        <w:top w:val="none" w:sz="0" w:space="0" w:color="auto"/>
        <w:left w:val="none" w:sz="0" w:space="0" w:color="auto"/>
        <w:bottom w:val="none" w:sz="0" w:space="0" w:color="auto"/>
        <w:right w:val="none" w:sz="0" w:space="0" w:color="auto"/>
      </w:divBdr>
    </w:div>
    <w:div w:id="1124736259">
      <w:bodyDiv w:val="1"/>
      <w:marLeft w:val="0"/>
      <w:marRight w:val="0"/>
      <w:marTop w:val="0"/>
      <w:marBottom w:val="0"/>
      <w:divBdr>
        <w:top w:val="none" w:sz="0" w:space="0" w:color="auto"/>
        <w:left w:val="none" w:sz="0" w:space="0" w:color="auto"/>
        <w:bottom w:val="none" w:sz="0" w:space="0" w:color="auto"/>
        <w:right w:val="none" w:sz="0" w:space="0" w:color="auto"/>
      </w:divBdr>
    </w:div>
    <w:div w:id="1125002572">
      <w:bodyDiv w:val="1"/>
      <w:marLeft w:val="0"/>
      <w:marRight w:val="0"/>
      <w:marTop w:val="0"/>
      <w:marBottom w:val="0"/>
      <w:divBdr>
        <w:top w:val="none" w:sz="0" w:space="0" w:color="auto"/>
        <w:left w:val="none" w:sz="0" w:space="0" w:color="auto"/>
        <w:bottom w:val="none" w:sz="0" w:space="0" w:color="auto"/>
        <w:right w:val="none" w:sz="0" w:space="0" w:color="auto"/>
      </w:divBdr>
    </w:div>
    <w:div w:id="1125200932">
      <w:bodyDiv w:val="1"/>
      <w:marLeft w:val="0"/>
      <w:marRight w:val="0"/>
      <w:marTop w:val="0"/>
      <w:marBottom w:val="0"/>
      <w:divBdr>
        <w:top w:val="none" w:sz="0" w:space="0" w:color="auto"/>
        <w:left w:val="none" w:sz="0" w:space="0" w:color="auto"/>
        <w:bottom w:val="none" w:sz="0" w:space="0" w:color="auto"/>
        <w:right w:val="none" w:sz="0" w:space="0" w:color="auto"/>
      </w:divBdr>
    </w:div>
    <w:div w:id="1126197467">
      <w:bodyDiv w:val="1"/>
      <w:marLeft w:val="0"/>
      <w:marRight w:val="0"/>
      <w:marTop w:val="0"/>
      <w:marBottom w:val="0"/>
      <w:divBdr>
        <w:top w:val="none" w:sz="0" w:space="0" w:color="auto"/>
        <w:left w:val="none" w:sz="0" w:space="0" w:color="auto"/>
        <w:bottom w:val="none" w:sz="0" w:space="0" w:color="auto"/>
        <w:right w:val="none" w:sz="0" w:space="0" w:color="auto"/>
      </w:divBdr>
    </w:div>
    <w:div w:id="1126238251">
      <w:bodyDiv w:val="1"/>
      <w:marLeft w:val="0"/>
      <w:marRight w:val="0"/>
      <w:marTop w:val="0"/>
      <w:marBottom w:val="0"/>
      <w:divBdr>
        <w:top w:val="none" w:sz="0" w:space="0" w:color="auto"/>
        <w:left w:val="none" w:sz="0" w:space="0" w:color="auto"/>
        <w:bottom w:val="none" w:sz="0" w:space="0" w:color="auto"/>
        <w:right w:val="none" w:sz="0" w:space="0" w:color="auto"/>
      </w:divBdr>
    </w:div>
    <w:div w:id="1126243626">
      <w:bodyDiv w:val="1"/>
      <w:marLeft w:val="0"/>
      <w:marRight w:val="0"/>
      <w:marTop w:val="0"/>
      <w:marBottom w:val="0"/>
      <w:divBdr>
        <w:top w:val="none" w:sz="0" w:space="0" w:color="auto"/>
        <w:left w:val="none" w:sz="0" w:space="0" w:color="auto"/>
        <w:bottom w:val="none" w:sz="0" w:space="0" w:color="auto"/>
        <w:right w:val="none" w:sz="0" w:space="0" w:color="auto"/>
      </w:divBdr>
    </w:div>
    <w:div w:id="1126392973">
      <w:bodyDiv w:val="1"/>
      <w:marLeft w:val="0"/>
      <w:marRight w:val="0"/>
      <w:marTop w:val="0"/>
      <w:marBottom w:val="0"/>
      <w:divBdr>
        <w:top w:val="none" w:sz="0" w:space="0" w:color="auto"/>
        <w:left w:val="none" w:sz="0" w:space="0" w:color="auto"/>
        <w:bottom w:val="none" w:sz="0" w:space="0" w:color="auto"/>
        <w:right w:val="none" w:sz="0" w:space="0" w:color="auto"/>
      </w:divBdr>
    </w:div>
    <w:div w:id="1126435086">
      <w:bodyDiv w:val="1"/>
      <w:marLeft w:val="0"/>
      <w:marRight w:val="0"/>
      <w:marTop w:val="0"/>
      <w:marBottom w:val="0"/>
      <w:divBdr>
        <w:top w:val="none" w:sz="0" w:space="0" w:color="auto"/>
        <w:left w:val="none" w:sz="0" w:space="0" w:color="auto"/>
        <w:bottom w:val="none" w:sz="0" w:space="0" w:color="auto"/>
        <w:right w:val="none" w:sz="0" w:space="0" w:color="auto"/>
      </w:divBdr>
    </w:div>
    <w:div w:id="1127436282">
      <w:bodyDiv w:val="1"/>
      <w:marLeft w:val="0"/>
      <w:marRight w:val="0"/>
      <w:marTop w:val="0"/>
      <w:marBottom w:val="0"/>
      <w:divBdr>
        <w:top w:val="none" w:sz="0" w:space="0" w:color="auto"/>
        <w:left w:val="none" w:sz="0" w:space="0" w:color="auto"/>
        <w:bottom w:val="none" w:sz="0" w:space="0" w:color="auto"/>
        <w:right w:val="none" w:sz="0" w:space="0" w:color="auto"/>
      </w:divBdr>
    </w:div>
    <w:div w:id="1128086047">
      <w:bodyDiv w:val="1"/>
      <w:marLeft w:val="0"/>
      <w:marRight w:val="0"/>
      <w:marTop w:val="0"/>
      <w:marBottom w:val="0"/>
      <w:divBdr>
        <w:top w:val="none" w:sz="0" w:space="0" w:color="auto"/>
        <w:left w:val="none" w:sz="0" w:space="0" w:color="auto"/>
        <w:bottom w:val="none" w:sz="0" w:space="0" w:color="auto"/>
        <w:right w:val="none" w:sz="0" w:space="0" w:color="auto"/>
      </w:divBdr>
    </w:div>
    <w:div w:id="1128553718">
      <w:bodyDiv w:val="1"/>
      <w:marLeft w:val="0"/>
      <w:marRight w:val="0"/>
      <w:marTop w:val="0"/>
      <w:marBottom w:val="0"/>
      <w:divBdr>
        <w:top w:val="none" w:sz="0" w:space="0" w:color="auto"/>
        <w:left w:val="none" w:sz="0" w:space="0" w:color="auto"/>
        <w:bottom w:val="none" w:sz="0" w:space="0" w:color="auto"/>
        <w:right w:val="none" w:sz="0" w:space="0" w:color="auto"/>
      </w:divBdr>
    </w:div>
    <w:div w:id="1129468064">
      <w:bodyDiv w:val="1"/>
      <w:marLeft w:val="0"/>
      <w:marRight w:val="0"/>
      <w:marTop w:val="0"/>
      <w:marBottom w:val="0"/>
      <w:divBdr>
        <w:top w:val="none" w:sz="0" w:space="0" w:color="auto"/>
        <w:left w:val="none" w:sz="0" w:space="0" w:color="auto"/>
        <w:bottom w:val="none" w:sz="0" w:space="0" w:color="auto"/>
        <w:right w:val="none" w:sz="0" w:space="0" w:color="auto"/>
      </w:divBdr>
    </w:div>
    <w:div w:id="1129739032">
      <w:bodyDiv w:val="1"/>
      <w:marLeft w:val="0"/>
      <w:marRight w:val="0"/>
      <w:marTop w:val="0"/>
      <w:marBottom w:val="0"/>
      <w:divBdr>
        <w:top w:val="none" w:sz="0" w:space="0" w:color="auto"/>
        <w:left w:val="none" w:sz="0" w:space="0" w:color="auto"/>
        <w:bottom w:val="none" w:sz="0" w:space="0" w:color="auto"/>
        <w:right w:val="none" w:sz="0" w:space="0" w:color="auto"/>
      </w:divBdr>
    </w:div>
    <w:div w:id="1129857958">
      <w:bodyDiv w:val="1"/>
      <w:marLeft w:val="0"/>
      <w:marRight w:val="0"/>
      <w:marTop w:val="0"/>
      <w:marBottom w:val="0"/>
      <w:divBdr>
        <w:top w:val="none" w:sz="0" w:space="0" w:color="auto"/>
        <w:left w:val="none" w:sz="0" w:space="0" w:color="auto"/>
        <w:bottom w:val="none" w:sz="0" w:space="0" w:color="auto"/>
        <w:right w:val="none" w:sz="0" w:space="0" w:color="auto"/>
      </w:divBdr>
    </w:div>
    <w:div w:id="1130780982">
      <w:bodyDiv w:val="1"/>
      <w:marLeft w:val="0"/>
      <w:marRight w:val="0"/>
      <w:marTop w:val="0"/>
      <w:marBottom w:val="0"/>
      <w:divBdr>
        <w:top w:val="none" w:sz="0" w:space="0" w:color="auto"/>
        <w:left w:val="none" w:sz="0" w:space="0" w:color="auto"/>
        <w:bottom w:val="none" w:sz="0" w:space="0" w:color="auto"/>
        <w:right w:val="none" w:sz="0" w:space="0" w:color="auto"/>
      </w:divBdr>
    </w:div>
    <w:div w:id="1131554778">
      <w:bodyDiv w:val="1"/>
      <w:marLeft w:val="0"/>
      <w:marRight w:val="0"/>
      <w:marTop w:val="0"/>
      <w:marBottom w:val="0"/>
      <w:divBdr>
        <w:top w:val="none" w:sz="0" w:space="0" w:color="auto"/>
        <w:left w:val="none" w:sz="0" w:space="0" w:color="auto"/>
        <w:bottom w:val="none" w:sz="0" w:space="0" w:color="auto"/>
        <w:right w:val="none" w:sz="0" w:space="0" w:color="auto"/>
      </w:divBdr>
    </w:div>
    <w:div w:id="1132360173">
      <w:bodyDiv w:val="1"/>
      <w:marLeft w:val="0"/>
      <w:marRight w:val="0"/>
      <w:marTop w:val="0"/>
      <w:marBottom w:val="0"/>
      <w:divBdr>
        <w:top w:val="none" w:sz="0" w:space="0" w:color="auto"/>
        <w:left w:val="none" w:sz="0" w:space="0" w:color="auto"/>
        <w:bottom w:val="none" w:sz="0" w:space="0" w:color="auto"/>
        <w:right w:val="none" w:sz="0" w:space="0" w:color="auto"/>
      </w:divBdr>
    </w:div>
    <w:div w:id="1133060274">
      <w:bodyDiv w:val="1"/>
      <w:marLeft w:val="0"/>
      <w:marRight w:val="0"/>
      <w:marTop w:val="0"/>
      <w:marBottom w:val="0"/>
      <w:divBdr>
        <w:top w:val="none" w:sz="0" w:space="0" w:color="auto"/>
        <w:left w:val="none" w:sz="0" w:space="0" w:color="auto"/>
        <w:bottom w:val="none" w:sz="0" w:space="0" w:color="auto"/>
        <w:right w:val="none" w:sz="0" w:space="0" w:color="auto"/>
      </w:divBdr>
    </w:div>
    <w:div w:id="1133209429">
      <w:bodyDiv w:val="1"/>
      <w:marLeft w:val="0"/>
      <w:marRight w:val="0"/>
      <w:marTop w:val="0"/>
      <w:marBottom w:val="0"/>
      <w:divBdr>
        <w:top w:val="none" w:sz="0" w:space="0" w:color="auto"/>
        <w:left w:val="none" w:sz="0" w:space="0" w:color="auto"/>
        <w:bottom w:val="none" w:sz="0" w:space="0" w:color="auto"/>
        <w:right w:val="none" w:sz="0" w:space="0" w:color="auto"/>
      </w:divBdr>
    </w:div>
    <w:div w:id="1133212654">
      <w:bodyDiv w:val="1"/>
      <w:marLeft w:val="0"/>
      <w:marRight w:val="0"/>
      <w:marTop w:val="0"/>
      <w:marBottom w:val="0"/>
      <w:divBdr>
        <w:top w:val="none" w:sz="0" w:space="0" w:color="auto"/>
        <w:left w:val="none" w:sz="0" w:space="0" w:color="auto"/>
        <w:bottom w:val="none" w:sz="0" w:space="0" w:color="auto"/>
        <w:right w:val="none" w:sz="0" w:space="0" w:color="auto"/>
      </w:divBdr>
    </w:div>
    <w:div w:id="1133912853">
      <w:bodyDiv w:val="1"/>
      <w:marLeft w:val="0"/>
      <w:marRight w:val="0"/>
      <w:marTop w:val="0"/>
      <w:marBottom w:val="0"/>
      <w:divBdr>
        <w:top w:val="none" w:sz="0" w:space="0" w:color="auto"/>
        <w:left w:val="none" w:sz="0" w:space="0" w:color="auto"/>
        <w:bottom w:val="none" w:sz="0" w:space="0" w:color="auto"/>
        <w:right w:val="none" w:sz="0" w:space="0" w:color="auto"/>
      </w:divBdr>
    </w:div>
    <w:div w:id="1134178907">
      <w:bodyDiv w:val="1"/>
      <w:marLeft w:val="0"/>
      <w:marRight w:val="0"/>
      <w:marTop w:val="0"/>
      <w:marBottom w:val="0"/>
      <w:divBdr>
        <w:top w:val="none" w:sz="0" w:space="0" w:color="auto"/>
        <w:left w:val="none" w:sz="0" w:space="0" w:color="auto"/>
        <w:bottom w:val="none" w:sz="0" w:space="0" w:color="auto"/>
        <w:right w:val="none" w:sz="0" w:space="0" w:color="auto"/>
      </w:divBdr>
    </w:div>
    <w:div w:id="1134366782">
      <w:bodyDiv w:val="1"/>
      <w:marLeft w:val="0"/>
      <w:marRight w:val="0"/>
      <w:marTop w:val="0"/>
      <w:marBottom w:val="0"/>
      <w:divBdr>
        <w:top w:val="none" w:sz="0" w:space="0" w:color="auto"/>
        <w:left w:val="none" w:sz="0" w:space="0" w:color="auto"/>
        <w:bottom w:val="none" w:sz="0" w:space="0" w:color="auto"/>
        <w:right w:val="none" w:sz="0" w:space="0" w:color="auto"/>
      </w:divBdr>
    </w:div>
    <w:div w:id="1134519619">
      <w:bodyDiv w:val="1"/>
      <w:marLeft w:val="0"/>
      <w:marRight w:val="0"/>
      <w:marTop w:val="0"/>
      <w:marBottom w:val="0"/>
      <w:divBdr>
        <w:top w:val="none" w:sz="0" w:space="0" w:color="auto"/>
        <w:left w:val="none" w:sz="0" w:space="0" w:color="auto"/>
        <w:bottom w:val="none" w:sz="0" w:space="0" w:color="auto"/>
        <w:right w:val="none" w:sz="0" w:space="0" w:color="auto"/>
      </w:divBdr>
    </w:div>
    <w:div w:id="1134520090">
      <w:bodyDiv w:val="1"/>
      <w:marLeft w:val="0"/>
      <w:marRight w:val="0"/>
      <w:marTop w:val="0"/>
      <w:marBottom w:val="0"/>
      <w:divBdr>
        <w:top w:val="none" w:sz="0" w:space="0" w:color="auto"/>
        <w:left w:val="none" w:sz="0" w:space="0" w:color="auto"/>
        <w:bottom w:val="none" w:sz="0" w:space="0" w:color="auto"/>
        <w:right w:val="none" w:sz="0" w:space="0" w:color="auto"/>
      </w:divBdr>
    </w:div>
    <w:div w:id="1134521950">
      <w:bodyDiv w:val="1"/>
      <w:marLeft w:val="0"/>
      <w:marRight w:val="0"/>
      <w:marTop w:val="0"/>
      <w:marBottom w:val="0"/>
      <w:divBdr>
        <w:top w:val="none" w:sz="0" w:space="0" w:color="auto"/>
        <w:left w:val="none" w:sz="0" w:space="0" w:color="auto"/>
        <w:bottom w:val="none" w:sz="0" w:space="0" w:color="auto"/>
        <w:right w:val="none" w:sz="0" w:space="0" w:color="auto"/>
      </w:divBdr>
    </w:div>
    <w:div w:id="1134837130">
      <w:bodyDiv w:val="1"/>
      <w:marLeft w:val="0"/>
      <w:marRight w:val="0"/>
      <w:marTop w:val="0"/>
      <w:marBottom w:val="0"/>
      <w:divBdr>
        <w:top w:val="none" w:sz="0" w:space="0" w:color="auto"/>
        <w:left w:val="none" w:sz="0" w:space="0" w:color="auto"/>
        <w:bottom w:val="none" w:sz="0" w:space="0" w:color="auto"/>
        <w:right w:val="none" w:sz="0" w:space="0" w:color="auto"/>
      </w:divBdr>
    </w:div>
    <w:div w:id="1134953365">
      <w:bodyDiv w:val="1"/>
      <w:marLeft w:val="0"/>
      <w:marRight w:val="0"/>
      <w:marTop w:val="0"/>
      <w:marBottom w:val="0"/>
      <w:divBdr>
        <w:top w:val="none" w:sz="0" w:space="0" w:color="auto"/>
        <w:left w:val="none" w:sz="0" w:space="0" w:color="auto"/>
        <w:bottom w:val="none" w:sz="0" w:space="0" w:color="auto"/>
        <w:right w:val="none" w:sz="0" w:space="0" w:color="auto"/>
      </w:divBdr>
    </w:div>
    <w:div w:id="1136021398">
      <w:bodyDiv w:val="1"/>
      <w:marLeft w:val="0"/>
      <w:marRight w:val="0"/>
      <w:marTop w:val="0"/>
      <w:marBottom w:val="0"/>
      <w:divBdr>
        <w:top w:val="none" w:sz="0" w:space="0" w:color="auto"/>
        <w:left w:val="none" w:sz="0" w:space="0" w:color="auto"/>
        <w:bottom w:val="none" w:sz="0" w:space="0" w:color="auto"/>
        <w:right w:val="none" w:sz="0" w:space="0" w:color="auto"/>
      </w:divBdr>
    </w:div>
    <w:div w:id="1137647553">
      <w:bodyDiv w:val="1"/>
      <w:marLeft w:val="0"/>
      <w:marRight w:val="0"/>
      <w:marTop w:val="0"/>
      <w:marBottom w:val="0"/>
      <w:divBdr>
        <w:top w:val="none" w:sz="0" w:space="0" w:color="auto"/>
        <w:left w:val="none" w:sz="0" w:space="0" w:color="auto"/>
        <w:bottom w:val="none" w:sz="0" w:space="0" w:color="auto"/>
        <w:right w:val="none" w:sz="0" w:space="0" w:color="auto"/>
      </w:divBdr>
    </w:div>
    <w:div w:id="1138186852">
      <w:bodyDiv w:val="1"/>
      <w:marLeft w:val="0"/>
      <w:marRight w:val="0"/>
      <w:marTop w:val="0"/>
      <w:marBottom w:val="0"/>
      <w:divBdr>
        <w:top w:val="none" w:sz="0" w:space="0" w:color="auto"/>
        <w:left w:val="none" w:sz="0" w:space="0" w:color="auto"/>
        <w:bottom w:val="none" w:sz="0" w:space="0" w:color="auto"/>
        <w:right w:val="none" w:sz="0" w:space="0" w:color="auto"/>
      </w:divBdr>
    </w:div>
    <w:div w:id="1139346984">
      <w:bodyDiv w:val="1"/>
      <w:marLeft w:val="0"/>
      <w:marRight w:val="0"/>
      <w:marTop w:val="0"/>
      <w:marBottom w:val="0"/>
      <w:divBdr>
        <w:top w:val="none" w:sz="0" w:space="0" w:color="auto"/>
        <w:left w:val="none" w:sz="0" w:space="0" w:color="auto"/>
        <w:bottom w:val="none" w:sz="0" w:space="0" w:color="auto"/>
        <w:right w:val="none" w:sz="0" w:space="0" w:color="auto"/>
      </w:divBdr>
    </w:div>
    <w:div w:id="1140147350">
      <w:bodyDiv w:val="1"/>
      <w:marLeft w:val="0"/>
      <w:marRight w:val="0"/>
      <w:marTop w:val="0"/>
      <w:marBottom w:val="0"/>
      <w:divBdr>
        <w:top w:val="none" w:sz="0" w:space="0" w:color="auto"/>
        <w:left w:val="none" w:sz="0" w:space="0" w:color="auto"/>
        <w:bottom w:val="none" w:sz="0" w:space="0" w:color="auto"/>
        <w:right w:val="none" w:sz="0" w:space="0" w:color="auto"/>
      </w:divBdr>
    </w:div>
    <w:div w:id="1140420823">
      <w:bodyDiv w:val="1"/>
      <w:marLeft w:val="0"/>
      <w:marRight w:val="0"/>
      <w:marTop w:val="0"/>
      <w:marBottom w:val="0"/>
      <w:divBdr>
        <w:top w:val="none" w:sz="0" w:space="0" w:color="auto"/>
        <w:left w:val="none" w:sz="0" w:space="0" w:color="auto"/>
        <w:bottom w:val="none" w:sz="0" w:space="0" w:color="auto"/>
        <w:right w:val="none" w:sz="0" w:space="0" w:color="auto"/>
      </w:divBdr>
    </w:div>
    <w:div w:id="1140996148">
      <w:bodyDiv w:val="1"/>
      <w:marLeft w:val="0"/>
      <w:marRight w:val="0"/>
      <w:marTop w:val="0"/>
      <w:marBottom w:val="0"/>
      <w:divBdr>
        <w:top w:val="none" w:sz="0" w:space="0" w:color="auto"/>
        <w:left w:val="none" w:sz="0" w:space="0" w:color="auto"/>
        <w:bottom w:val="none" w:sz="0" w:space="0" w:color="auto"/>
        <w:right w:val="none" w:sz="0" w:space="0" w:color="auto"/>
      </w:divBdr>
    </w:div>
    <w:div w:id="1141114837">
      <w:bodyDiv w:val="1"/>
      <w:marLeft w:val="0"/>
      <w:marRight w:val="0"/>
      <w:marTop w:val="0"/>
      <w:marBottom w:val="0"/>
      <w:divBdr>
        <w:top w:val="none" w:sz="0" w:space="0" w:color="auto"/>
        <w:left w:val="none" w:sz="0" w:space="0" w:color="auto"/>
        <w:bottom w:val="none" w:sz="0" w:space="0" w:color="auto"/>
        <w:right w:val="none" w:sz="0" w:space="0" w:color="auto"/>
      </w:divBdr>
    </w:div>
    <w:div w:id="1141193624">
      <w:bodyDiv w:val="1"/>
      <w:marLeft w:val="0"/>
      <w:marRight w:val="0"/>
      <w:marTop w:val="0"/>
      <w:marBottom w:val="0"/>
      <w:divBdr>
        <w:top w:val="none" w:sz="0" w:space="0" w:color="auto"/>
        <w:left w:val="none" w:sz="0" w:space="0" w:color="auto"/>
        <w:bottom w:val="none" w:sz="0" w:space="0" w:color="auto"/>
        <w:right w:val="none" w:sz="0" w:space="0" w:color="auto"/>
      </w:divBdr>
    </w:div>
    <w:div w:id="1141774388">
      <w:bodyDiv w:val="1"/>
      <w:marLeft w:val="0"/>
      <w:marRight w:val="0"/>
      <w:marTop w:val="0"/>
      <w:marBottom w:val="0"/>
      <w:divBdr>
        <w:top w:val="none" w:sz="0" w:space="0" w:color="auto"/>
        <w:left w:val="none" w:sz="0" w:space="0" w:color="auto"/>
        <w:bottom w:val="none" w:sz="0" w:space="0" w:color="auto"/>
        <w:right w:val="none" w:sz="0" w:space="0" w:color="auto"/>
      </w:divBdr>
    </w:div>
    <w:div w:id="1141851579">
      <w:bodyDiv w:val="1"/>
      <w:marLeft w:val="0"/>
      <w:marRight w:val="0"/>
      <w:marTop w:val="0"/>
      <w:marBottom w:val="0"/>
      <w:divBdr>
        <w:top w:val="none" w:sz="0" w:space="0" w:color="auto"/>
        <w:left w:val="none" w:sz="0" w:space="0" w:color="auto"/>
        <w:bottom w:val="none" w:sz="0" w:space="0" w:color="auto"/>
        <w:right w:val="none" w:sz="0" w:space="0" w:color="auto"/>
      </w:divBdr>
    </w:div>
    <w:div w:id="1142117449">
      <w:bodyDiv w:val="1"/>
      <w:marLeft w:val="0"/>
      <w:marRight w:val="0"/>
      <w:marTop w:val="0"/>
      <w:marBottom w:val="0"/>
      <w:divBdr>
        <w:top w:val="none" w:sz="0" w:space="0" w:color="auto"/>
        <w:left w:val="none" w:sz="0" w:space="0" w:color="auto"/>
        <w:bottom w:val="none" w:sz="0" w:space="0" w:color="auto"/>
        <w:right w:val="none" w:sz="0" w:space="0" w:color="auto"/>
      </w:divBdr>
    </w:div>
    <w:div w:id="1142386083">
      <w:bodyDiv w:val="1"/>
      <w:marLeft w:val="0"/>
      <w:marRight w:val="0"/>
      <w:marTop w:val="0"/>
      <w:marBottom w:val="0"/>
      <w:divBdr>
        <w:top w:val="none" w:sz="0" w:space="0" w:color="auto"/>
        <w:left w:val="none" w:sz="0" w:space="0" w:color="auto"/>
        <w:bottom w:val="none" w:sz="0" w:space="0" w:color="auto"/>
        <w:right w:val="none" w:sz="0" w:space="0" w:color="auto"/>
      </w:divBdr>
    </w:div>
    <w:div w:id="1142960128">
      <w:bodyDiv w:val="1"/>
      <w:marLeft w:val="0"/>
      <w:marRight w:val="0"/>
      <w:marTop w:val="0"/>
      <w:marBottom w:val="0"/>
      <w:divBdr>
        <w:top w:val="none" w:sz="0" w:space="0" w:color="auto"/>
        <w:left w:val="none" w:sz="0" w:space="0" w:color="auto"/>
        <w:bottom w:val="none" w:sz="0" w:space="0" w:color="auto"/>
        <w:right w:val="none" w:sz="0" w:space="0" w:color="auto"/>
      </w:divBdr>
    </w:div>
    <w:div w:id="1143892327">
      <w:bodyDiv w:val="1"/>
      <w:marLeft w:val="0"/>
      <w:marRight w:val="0"/>
      <w:marTop w:val="0"/>
      <w:marBottom w:val="0"/>
      <w:divBdr>
        <w:top w:val="none" w:sz="0" w:space="0" w:color="auto"/>
        <w:left w:val="none" w:sz="0" w:space="0" w:color="auto"/>
        <w:bottom w:val="none" w:sz="0" w:space="0" w:color="auto"/>
        <w:right w:val="none" w:sz="0" w:space="0" w:color="auto"/>
      </w:divBdr>
    </w:div>
    <w:div w:id="1144272456">
      <w:bodyDiv w:val="1"/>
      <w:marLeft w:val="0"/>
      <w:marRight w:val="0"/>
      <w:marTop w:val="0"/>
      <w:marBottom w:val="0"/>
      <w:divBdr>
        <w:top w:val="none" w:sz="0" w:space="0" w:color="auto"/>
        <w:left w:val="none" w:sz="0" w:space="0" w:color="auto"/>
        <w:bottom w:val="none" w:sz="0" w:space="0" w:color="auto"/>
        <w:right w:val="none" w:sz="0" w:space="0" w:color="auto"/>
      </w:divBdr>
    </w:div>
    <w:div w:id="1144547838">
      <w:bodyDiv w:val="1"/>
      <w:marLeft w:val="0"/>
      <w:marRight w:val="0"/>
      <w:marTop w:val="0"/>
      <w:marBottom w:val="0"/>
      <w:divBdr>
        <w:top w:val="none" w:sz="0" w:space="0" w:color="auto"/>
        <w:left w:val="none" w:sz="0" w:space="0" w:color="auto"/>
        <w:bottom w:val="none" w:sz="0" w:space="0" w:color="auto"/>
        <w:right w:val="none" w:sz="0" w:space="0" w:color="auto"/>
      </w:divBdr>
    </w:div>
    <w:div w:id="1145705104">
      <w:bodyDiv w:val="1"/>
      <w:marLeft w:val="0"/>
      <w:marRight w:val="0"/>
      <w:marTop w:val="0"/>
      <w:marBottom w:val="0"/>
      <w:divBdr>
        <w:top w:val="none" w:sz="0" w:space="0" w:color="auto"/>
        <w:left w:val="none" w:sz="0" w:space="0" w:color="auto"/>
        <w:bottom w:val="none" w:sz="0" w:space="0" w:color="auto"/>
        <w:right w:val="none" w:sz="0" w:space="0" w:color="auto"/>
      </w:divBdr>
    </w:div>
    <w:div w:id="1145732923">
      <w:bodyDiv w:val="1"/>
      <w:marLeft w:val="0"/>
      <w:marRight w:val="0"/>
      <w:marTop w:val="0"/>
      <w:marBottom w:val="0"/>
      <w:divBdr>
        <w:top w:val="none" w:sz="0" w:space="0" w:color="auto"/>
        <w:left w:val="none" w:sz="0" w:space="0" w:color="auto"/>
        <w:bottom w:val="none" w:sz="0" w:space="0" w:color="auto"/>
        <w:right w:val="none" w:sz="0" w:space="0" w:color="auto"/>
      </w:divBdr>
    </w:div>
    <w:div w:id="1146050535">
      <w:bodyDiv w:val="1"/>
      <w:marLeft w:val="0"/>
      <w:marRight w:val="0"/>
      <w:marTop w:val="0"/>
      <w:marBottom w:val="0"/>
      <w:divBdr>
        <w:top w:val="none" w:sz="0" w:space="0" w:color="auto"/>
        <w:left w:val="none" w:sz="0" w:space="0" w:color="auto"/>
        <w:bottom w:val="none" w:sz="0" w:space="0" w:color="auto"/>
        <w:right w:val="none" w:sz="0" w:space="0" w:color="auto"/>
      </w:divBdr>
    </w:div>
    <w:div w:id="1146243429">
      <w:bodyDiv w:val="1"/>
      <w:marLeft w:val="0"/>
      <w:marRight w:val="0"/>
      <w:marTop w:val="0"/>
      <w:marBottom w:val="0"/>
      <w:divBdr>
        <w:top w:val="none" w:sz="0" w:space="0" w:color="auto"/>
        <w:left w:val="none" w:sz="0" w:space="0" w:color="auto"/>
        <w:bottom w:val="none" w:sz="0" w:space="0" w:color="auto"/>
        <w:right w:val="none" w:sz="0" w:space="0" w:color="auto"/>
      </w:divBdr>
    </w:div>
    <w:div w:id="1146506539">
      <w:bodyDiv w:val="1"/>
      <w:marLeft w:val="0"/>
      <w:marRight w:val="0"/>
      <w:marTop w:val="0"/>
      <w:marBottom w:val="0"/>
      <w:divBdr>
        <w:top w:val="none" w:sz="0" w:space="0" w:color="auto"/>
        <w:left w:val="none" w:sz="0" w:space="0" w:color="auto"/>
        <w:bottom w:val="none" w:sz="0" w:space="0" w:color="auto"/>
        <w:right w:val="none" w:sz="0" w:space="0" w:color="auto"/>
      </w:divBdr>
    </w:div>
    <w:div w:id="1146899088">
      <w:bodyDiv w:val="1"/>
      <w:marLeft w:val="0"/>
      <w:marRight w:val="0"/>
      <w:marTop w:val="0"/>
      <w:marBottom w:val="0"/>
      <w:divBdr>
        <w:top w:val="none" w:sz="0" w:space="0" w:color="auto"/>
        <w:left w:val="none" w:sz="0" w:space="0" w:color="auto"/>
        <w:bottom w:val="none" w:sz="0" w:space="0" w:color="auto"/>
        <w:right w:val="none" w:sz="0" w:space="0" w:color="auto"/>
      </w:divBdr>
    </w:div>
    <w:div w:id="1147087737">
      <w:bodyDiv w:val="1"/>
      <w:marLeft w:val="0"/>
      <w:marRight w:val="0"/>
      <w:marTop w:val="0"/>
      <w:marBottom w:val="0"/>
      <w:divBdr>
        <w:top w:val="none" w:sz="0" w:space="0" w:color="auto"/>
        <w:left w:val="none" w:sz="0" w:space="0" w:color="auto"/>
        <w:bottom w:val="none" w:sz="0" w:space="0" w:color="auto"/>
        <w:right w:val="none" w:sz="0" w:space="0" w:color="auto"/>
      </w:divBdr>
    </w:div>
    <w:div w:id="1147553689">
      <w:bodyDiv w:val="1"/>
      <w:marLeft w:val="0"/>
      <w:marRight w:val="0"/>
      <w:marTop w:val="0"/>
      <w:marBottom w:val="0"/>
      <w:divBdr>
        <w:top w:val="none" w:sz="0" w:space="0" w:color="auto"/>
        <w:left w:val="none" w:sz="0" w:space="0" w:color="auto"/>
        <w:bottom w:val="none" w:sz="0" w:space="0" w:color="auto"/>
        <w:right w:val="none" w:sz="0" w:space="0" w:color="auto"/>
      </w:divBdr>
    </w:div>
    <w:div w:id="1147745714">
      <w:bodyDiv w:val="1"/>
      <w:marLeft w:val="0"/>
      <w:marRight w:val="0"/>
      <w:marTop w:val="0"/>
      <w:marBottom w:val="0"/>
      <w:divBdr>
        <w:top w:val="none" w:sz="0" w:space="0" w:color="auto"/>
        <w:left w:val="none" w:sz="0" w:space="0" w:color="auto"/>
        <w:bottom w:val="none" w:sz="0" w:space="0" w:color="auto"/>
        <w:right w:val="none" w:sz="0" w:space="0" w:color="auto"/>
      </w:divBdr>
    </w:div>
    <w:div w:id="1148790741">
      <w:bodyDiv w:val="1"/>
      <w:marLeft w:val="0"/>
      <w:marRight w:val="0"/>
      <w:marTop w:val="0"/>
      <w:marBottom w:val="0"/>
      <w:divBdr>
        <w:top w:val="none" w:sz="0" w:space="0" w:color="auto"/>
        <w:left w:val="none" w:sz="0" w:space="0" w:color="auto"/>
        <w:bottom w:val="none" w:sz="0" w:space="0" w:color="auto"/>
        <w:right w:val="none" w:sz="0" w:space="0" w:color="auto"/>
      </w:divBdr>
    </w:div>
    <w:div w:id="1148866439">
      <w:bodyDiv w:val="1"/>
      <w:marLeft w:val="0"/>
      <w:marRight w:val="0"/>
      <w:marTop w:val="0"/>
      <w:marBottom w:val="0"/>
      <w:divBdr>
        <w:top w:val="none" w:sz="0" w:space="0" w:color="auto"/>
        <w:left w:val="none" w:sz="0" w:space="0" w:color="auto"/>
        <w:bottom w:val="none" w:sz="0" w:space="0" w:color="auto"/>
        <w:right w:val="none" w:sz="0" w:space="0" w:color="auto"/>
      </w:divBdr>
    </w:div>
    <w:div w:id="1148938449">
      <w:bodyDiv w:val="1"/>
      <w:marLeft w:val="0"/>
      <w:marRight w:val="0"/>
      <w:marTop w:val="0"/>
      <w:marBottom w:val="0"/>
      <w:divBdr>
        <w:top w:val="none" w:sz="0" w:space="0" w:color="auto"/>
        <w:left w:val="none" w:sz="0" w:space="0" w:color="auto"/>
        <w:bottom w:val="none" w:sz="0" w:space="0" w:color="auto"/>
        <w:right w:val="none" w:sz="0" w:space="0" w:color="auto"/>
      </w:divBdr>
    </w:div>
    <w:div w:id="1148980384">
      <w:bodyDiv w:val="1"/>
      <w:marLeft w:val="0"/>
      <w:marRight w:val="0"/>
      <w:marTop w:val="0"/>
      <w:marBottom w:val="0"/>
      <w:divBdr>
        <w:top w:val="none" w:sz="0" w:space="0" w:color="auto"/>
        <w:left w:val="none" w:sz="0" w:space="0" w:color="auto"/>
        <w:bottom w:val="none" w:sz="0" w:space="0" w:color="auto"/>
        <w:right w:val="none" w:sz="0" w:space="0" w:color="auto"/>
      </w:divBdr>
    </w:div>
    <w:div w:id="1149244630">
      <w:bodyDiv w:val="1"/>
      <w:marLeft w:val="0"/>
      <w:marRight w:val="0"/>
      <w:marTop w:val="0"/>
      <w:marBottom w:val="0"/>
      <w:divBdr>
        <w:top w:val="none" w:sz="0" w:space="0" w:color="auto"/>
        <w:left w:val="none" w:sz="0" w:space="0" w:color="auto"/>
        <w:bottom w:val="none" w:sz="0" w:space="0" w:color="auto"/>
        <w:right w:val="none" w:sz="0" w:space="0" w:color="auto"/>
      </w:divBdr>
    </w:div>
    <w:div w:id="1149904415">
      <w:bodyDiv w:val="1"/>
      <w:marLeft w:val="0"/>
      <w:marRight w:val="0"/>
      <w:marTop w:val="0"/>
      <w:marBottom w:val="0"/>
      <w:divBdr>
        <w:top w:val="none" w:sz="0" w:space="0" w:color="auto"/>
        <w:left w:val="none" w:sz="0" w:space="0" w:color="auto"/>
        <w:bottom w:val="none" w:sz="0" w:space="0" w:color="auto"/>
        <w:right w:val="none" w:sz="0" w:space="0" w:color="auto"/>
      </w:divBdr>
    </w:div>
    <w:div w:id="1150318871">
      <w:bodyDiv w:val="1"/>
      <w:marLeft w:val="0"/>
      <w:marRight w:val="0"/>
      <w:marTop w:val="0"/>
      <w:marBottom w:val="0"/>
      <w:divBdr>
        <w:top w:val="none" w:sz="0" w:space="0" w:color="auto"/>
        <w:left w:val="none" w:sz="0" w:space="0" w:color="auto"/>
        <w:bottom w:val="none" w:sz="0" w:space="0" w:color="auto"/>
        <w:right w:val="none" w:sz="0" w:space="0" w:color="auto"/>
      </w:divBdr>
    </w:div>
    <w:div w:id="1151407354">
      <w:bodyDiv w:val="1"/>
      <w:marLeft w:val="0"/>
      <w:marRight w:val="0"/>
      <w:marTop w:val="0"/>
      <w:marBottom w:val="0"/>
      <w:divBdr>
        <w:top w:val="none" w:sz="0" w:space="0" w:color="auto"/>
        <w:left w:val="none" w:sz="0" w:space="0" w:color="auto"/>
        <w:bottom w:val="none" w:sz="0" w:space="0" w:color="auto"/>
        <w:right w:val="none" w:sz="0" w:space="0" w:color="auto"/>
      </w:divBdr>
    </w:div>
    <w:div w:id="1151487309">
      <w:bodyDiv w:val="1"/>
      <w:marLeft w:val="0"/>
      <w:marRight w:val="0"/>
      <w:marTop w:val="0"/>
      <w:marBottom w:val="0"/>
      <w:divBdr>
        <w:top w:val="none" w:sz="0" w:space="0" w:color="auto"/>
        <w:left w:val="none" w:sz="0" w:space="0" w:color="auto"/>
        <w:bottom w:val="none" w:sz="0" w:space="0" w:color="auto"/>
        <w:right w:val="none" w:sz="0" w:space="0" w:color="auto"/>
      </w:divBdr>
    </w:div>
    <w:div w:id="1151678358">
      <w:bodyDiv w:val="1"/>
      <w:marLeft w:val="0"/>
      <w:marRight w:val="0"/>
      <w:marTop w:val="0"/>
      <w:marBottom w:val="0"/>
      <w:divBdr>
        <w:top w:val="none" w:sz="0" w:space="0" w:color="auto"/>
        <w:left w:val="none" w:sz="0" w:space="0" w:color="auto"/>
        <w:bottom w:val="none" w:sz="0" w:space="0" w:color="auto"/>
        <w:right w:val="none" w:sz="0" w:space="0" w:color="auto"/>
      </w:divBdr>
    </w:div>
    <w:div w:id="1151823499">
      <w:bodyDiv w:val="1"/>
      <w:marLeft w:val="0"/>
      <w:marRight w:val="0"/>
      <w:marTop w:val="0"/>
      <w:marBottom w:val="0"/>
      <w:divBdr>
        <w:top w:val="none" w:sz="0" w:space="0" w:color="auto"/>
        <w:left w:val="none" w:sz="0" w:space="0" w:color="auto"/>
        <w:bottom w:val="none" w:sz="0" w:space="0" w:color="auto"/>
        <w:right w:val="none" w:sz="0" w:space="0" w:color="auto"/>
      </w:divBdr>
    </w:div>
    <w:div w:id="1152402673">
      <w:bodyDiv w:val="1"/>
      <w:marLeft w:val="0"/>
      <w:marRight w:val="0"/>
      <w:marTop w:val="0"/>
      <w:marBottom w:val="0"/>
      <w:divBdr>
        <w:top w:val="none" w:sz="0" w:space="0" w:color="auto"/>
        <w:left w:val="none" w:sz="0" w:space="0" w:color="auto"/>
        <w:bottom w:val="none" w:sz="0" w:space="0" w:color="auto"/>
        <w:right w:val="none" w:sz="0" w:space="0" w:color="auto"/>
      </w:divBdr>
    </w:div>
    <w:div w:id="1152675116">
      <w:bodyDiv w:val="1"/>
      <w:marLeft w:val="0"/>
      <w:marRight w:val="0"/>
      <w:marTop w:val="0"/>
      <w:marBottom w:val="0"/>
      <w:divBdr>
        <w:top w:val="none" w:sz="0" w:space="0" w:color="auto"/>
        <w:left w:val="none" w:sz="0" w:space="0" w:color="auto"/>
        <w:bottom w:val="none" w:sz="0" w:space="0" w:color="auto"/>
        <w:right w:val="none" w:sz="0" w:space="0" w:color="auto"/>
      </w:divBdr>
    </w:div>
    <w:div w:id="1153645840">
      <w:bodyDiv w:val="1"/>
      <w:marLeft w:val="0"/>
      <w:marRight w:val="0"/>
      <w:marTop w:val="0"/>
      <w:marBottom w:val="0"/>
      <w:divBdr>
        <w:top w:val="none" w:sz="0" w:space="0" w:color="auto"/>
        <w:left w:val="none" w:sz="0" w:space="0" w:color="auto"/>
        <w:bottom w:val="none" w:sz="0" w:space="0" w:color="auto"/>
        <w:right w:val="none" w:sz="0" w:space="0" w:color="auto"/>
      </w:divBdr>
    </w:div>
    <w:div w:id="1154107609">
      <w:bodyDiv w:val="1"/>
      <w:marLeft w:val="0"/>
      <w:marRight w:val="0"/>
      <w:marTop w:val="0"/>
      <w:marBottom w:val="0"/>
      <w:divBdr>
        <w:top w:val="none" w:sz="0" w:space="0" w:color="auto"/>
        <w:left w:val="none" w:sz="0" w:space="0" w:color="auto"/>
        <w:bottom w:val="none" w:sz="0" w:space="0" w:color="auto"/>
        <w:right w:val="none" w:sz="0" w:space="0" w:color="auto"/>
      </w:divBdr>
    </w:div>
    <w:div w:id="1154375145">
      <w:bodyDiv w:val="1"/>
      <w:marLeft w:val="0"/>
      <w:marRight w:val="0"/>
      <w:marTop w:val="0"/>
      <w:marBottom w:val="0"/>
      <w:divBdr>
        <w:top w:val="none" w:sz="0" w:space="0" w:color="auto"/>
        <w:left w:val="none" w:sz="0" w:space="0" w:color="auto"/>
        <w:bottom w:val="none" w:sz="0" w:space="0" w:color="auto"/>
        <w:right w:val="none" w:sz="0" w:space="0" w:color="auto"/>
      </w:divBdr>
    </w:div>
    <w:div w:id="1154494767">
      <w:bodyDiv w:val="1"/>
      <w:marLeft w:val="0"/>
      <w:marRight w:val="0"/>
      <w:marTop w:val="0"/>
      <w:marBottom w:val="0"/>
      <w:divBdr>
        <w:top w:val="none" w:sz="0" w:space="0" w:color="auto"/>
        <w:left w:val="none" w:sz="0" w:space="0" w:color="auto"/>
        <w:bottom w:val="none" w:sz="0" w:space="0" w:color="auto"/>
        <w:right w:val="none" w:sz="0" w:space="0" w:color="auto"/>
      </w:divBdr>
    </w:div>
    <w:div w:id="1154948153">
      <w:bodyDiv w:val="1"/>
      <w:marLeft w:val="0"/>
      <w:marRight w:val="0"/>
      <w:marTop w:val="0"/>
      <w:marBottom w:val="0"/>
      <w:divBdr>
        <w:top w:val="none" w:sz="0" w:space="0" w:color="auto"/>
        <w:left w:val="none" w:sz="0" w:space="0" w:color="auto"/>
        <w:bottom w:val="none" w:sz="0" w:space="0" w:color="auto"/>
        <w:right w:val="none" w:sz="0" w:space="0" w:color="auto"/>
      </w:divBdr>
    </w:div>
    <w:div w:id="1155410542">
      <w:bodyDiv w:val="1"/>
      <w:marLeft w:val="0"/>
      <w:marRight w:val="0"/>
      <w:marTop w:val="0"/>
      <w:marBottom w:val="0"/>
      <w:divBdr>
        <w:top w:val="none" w:sz="0" w:space="0" w:color="auto"/>
        <w:left w:val="none" w:sz="0" w:space="0" w:color="auto"/>
        <w:bottom w:val="none" w:sz="0" w:space="0" w:color="auto"/>
        <w:right w:val="none" w:sz="0" w:space="0" w:color="auto"/>
      </w:divBdr>
    </w:div>
    <w:div w:id="1155686233">
      <w:bodyDiv w:val="1"/>
      <w:marLeft w:val="0"/>
      <w:marRight w:val="0"/>
      <w:marTop w:val="0"/>
      <w:marBottom w:val="0"/>
      <w:divBdr>
        <w:top w:val="none" w:sz="0" w:space="0" w:color="auto"/>
        <w:left w:val="none" w:sz="0" w:space="0" w:color="auto"/>
        <w:bottom w:val="none" w:sz="0" w:space="0" w:color="auto"/>
        <w:right w:val="none" w:sz="0" w:space="0" w:color="auto"/>
      </w:divBdr>
    </w:div>
    <w:div w:id="1155802170">
      <w:bodyDiv w:val="1"/>
      <w:marLeft w:val="0"/>
      <w:marRight w:val="0"/>
      <w:marTop w:val="0"/>
      <w:marBottom w:val="0"/>
      <w:divBdr>
        <w:top w:val="none" w:sz="0" w:space="0" w:color="auto"/>
        <w:left w:val="none" w:sz="0" w:space="0" w:color="auto"/>
        <w:bottom w:val="none" w:sz="0" w:space="0" w:color="auto"/>
        <w:right w:val="none" w:sz="0" w:space="0" w:color="auto"/>
      </w:divBdr>
    </w:div>
    <w:div w:id="1155951792">
      <w:bodyDiv w:val="1"/>
      <w:marLeft w:val="0"/>
      <w:marRight w:val="0"/>
      <w:marTop w:val="0"/>
      <w:marBottom w:val="0"/>
      <w:divBdr>
        <w:top w:val="none" w:sz="0" w:space="0" w:color="auto"/>
        <w:left w:val="none" w:sz="0" w:space="0" w:color="auto"/>
        <w:bottom w:val="none" w:sz="0" w:space="0" w:color="auto"/>
        <w:right w:val="none" w:sz="0" w:space="0" w:color="auto"/>
      </w:divBdr>
    </w:div>
    <w:div w:id="1156145559">
      <w:bodyDiv w:val="1"/>
      <w:marLeft w:val="0"/>
      <w:marRight w:val="0"/>
      <w:marTop w:val="0"/>
      <w:marBottom w:val="0"/>
      <w:divBdr>
        <w:top w:val="none" w:sz="0" w:space="0" w:color="auto"/>
        <w:left w:val="none" w:sz="0" w:space="0" w:color="auto"/>
        <w:bottom w:val="none" w:sz="0" w:space="0" w:color="auto"/>
        <w:right w:val="none" w:sz="0" w:space="0" w:color="auto"/>
      </w:divBdr>
    </w:div>
    <w:div w:id="1156334059">
      <w:bodyDiv w:val="1"/>
      <w:marLeft w:val="0"/>
      <w:marRight w:val="0"/>
      <w:marTop w:val="0"/>
      <w:marBottom w:val="0"/>
      <w:divBdr>
        <w:top w:val="none" w:sz="0" w:space="0" w:color="auto"/>
        <w:left w:val="none" w:sz="0" w:space="0" w:color="auto"/>
        <w:bottom w:val="none" w:sz="0" w:space="0" w:color="auto"/>
        <w:right w:val="none" w:sz="0" w:space="0" w:color="auto"/>
      </w:divBdr>
    </w:div>
    <w:div w:id="1156607872">
      <w:bodyDiv w:val="1"/>
      <w:marLeft w:val="0"/>
      <w:marRight w:val="0"/>
      <w:marTop w:val="0"/>
      <w:marBottom w:val="0"/>
      <w:divBdr>
        <w:top w:val="none" w:sz="0" w:space="0" w:color="auto"/>
        <w:left w:val="none" w:sz="0" w:space="0" w:color="auto"/>
        <w:bottom w:val="none" w:sz="0" w:space="0" w:color="auto"/>
        <w:right w:val="none" w:sz="0" w:space="0" w:color="auto"/>
      </w:divBdr>
    </w:div>
    <w:div w:id="1156798912">
      <w:bodyDiv w:val="1"/>
      <w:marLeft w:val="0"/>
      <w:marRight w:val="0"/>
      <w:marTop w:val="0"/>
      <w:marBottom w:val="0"/>
      <w:divBdr>
        <w:top w:val="none" w:sz="0" w:space="0" w:color="auto"/>
        <w:left w:val="none" w:sz="0" w:space="0" w:color="auto"/>
        <w:bottom w:val="none" w:sz="0" w:space="0" w:color="auto"/>
        <w:right w:val="none" w:sz="0" w:space="0" w:color="auto"/>
      </w:divBdr>
    </w:div>
    <w:div w:id="1156922721">
      <w:bodyDiv w:val="1"/>
      <w:marLeft w:val="0"/>
      <w:marRight w:val="0"/>
      <w:marTop w:val="0"/>
      <w:marBottom w:val="0"/>
      <w:divBdr>
        <w:top w:val="none" w:sz="0" w:space="0" w:color="auto"/>
        <w:left w:val="none" w:sz="0" w:space="0" w:color="auto"/>
        <w:bottom w:val="none" w:sz="0" w:space="0" w:color="auto"/>
        <w:right w:val="none" w:sz="0" w:space="0" w:color="auto"/>
      </w:divBdr>
    </w:div>
    <w:div w:id="1157109726">
      <w:bodyDiv w:val="1"/>
      <w:marLeft w:val="0"/>
      <w:marRight w:val="0"/>
      <w:marTop w:val="0"/>
      <w:marBottom w:val="0"/>
      <w:divBdr>
        <w:top w:val="none" w:sz="0" w:space="0" w:color="auto"/>
        <w:left w:val="none" w:sz="0" w:space="0" w:color="auto"/>
        <w:bottom w:val="none" w:sz="0" w:space="0" w:color="auto"/>
        <w:right w:val="none" w:sz="0" w:space="0" w:color="auto"/>
      </w:divBdr>
    </w:div>
    <w:div w:id="1158569062">
      <w:bodyDiv w:val="1"/>
      <w:marLeft w:val="0"/>
      <w:marRight w:val="0"/>
      <w:marTop w:val="0"/>
      <w:marBottom w:val="0"/>
      <w:divBdr>
        <w:top w:val="none" w:sz="0" w:space="0" w:color="auto"/>
        <w:left w:val="none" w:sz="0" w:space="0" w:color="auto"/>
        <w:bottom w:val="none" w:sz="0" w:space="0" w:color="auto"/>
        <w:right w:val="none" w:sz="0" w:space="0" w:color="auto"/>
      </w:divBdr>
    </w:div>
    <w:div w:id="1159152283">
      <w:bodyDiv w:val="1"/>
      <w:marLeft w:val="0"/>
      <w:marRight w:val="0"/>
      <w:marTop w:val="0"/>
      <w:marBottom w:val="0"/>
      <w:divBdr>
        <w:top w:val="none" w:sz="0" w:space="0" w:color="auto"/>
        <w:left w:val="none" w:sz="0" w:space="0" w:color="auto"/>
        <w:bottom w:val="none" w:sz="0" w:space="0" w:color="auto"/>
        <w:right w:val="none" w:sz="0" w:space="0" w:color="auto"/>
      </w:divBdr>
    </w:div>
    <w:div w:id="1159348718">
      <w:bodyDiv w:val="1"/>
      <w:marLeft w:val="0"/>
      <w:marRight w:val="0"/>
      <w:marTop w:val="0"/>
      <w:marBottom w:val="0"/>
      <w:divBdr>
        <w:top w:val="none" w:sz="0" w:space="0" w:color="auto"/>
        <w:left w:val="none" w:sz="0" w:space="0" w:color="auto"/>
        <w:bottom w:val="none" w:sz="0" w:space="0" w:color="auto"/>
        <w:right w:val="none" w:sz="0" w:space="0" w:color="auto"/>
      </w:divBdr>
    </w:div>
    <w:div w:id="1159930017">
      <w:bodyDiv w:val="1"/>
      <w:marLeft w:val="0"/>
      <w:marRight w:val="0"/>
      <w:marTop w:val="0"/>
      <w:marBottom w:val="0"/>
      <w:divBdr>
        <w:top w:val="none" w:sz="0" w:space="0" w:color="auto"/>
        <w:left w:val="none" w:sz="0" w:space="0" w:color="auto"/>
        <w:bottom w:val="none" w:sz="0" w:space="0" w:color="auto"/>
        <w:right w:val="none" w:sz="0" w:space="0" w:color="auto"/>
      </w:divBdr>
    </w:div>
    <w:div w:id="1160000059">
      <w:bodyDiv w:val="1"/>
      <w:marLeft w:val="0"/>
      <w:marRight w:val="0"/>
      <w:marTop w:val="0"/>
      <w:marBottom w:val="0"/>
      <w:divBdr>
        <w:top w:val="none" w:sz="0" w:space="0" w:color="auto"/>
        <w:left w:val="none" w:sz="0" w:space="0" w:color="auto"/>
        <w:bottom w:val="none" w:sz="0" w:space="0" w:color="auto"/>
        <w:right w:val="none" w:sz="0" w:space="0" w:color="auto"/>
      </w:divBdr>
    </w:div>
    <w:div w:id="1160468008">
      <w:bodyDiv w:val="1"/>
      <w:marLeft w:val="0"/>
      <w:marRight w:val="0"/>
      <w:marTop w:val="0"/>
      <w:marBottom w:val="0"/>
      <w:divBdr>
        <w:top w:val="none" w:sz="0" w:space="0" w:color="auto"/>
        <w:left w:val="none" w:sz="0" w:space="0" w:color="auto"/>
        <w:bottom w:val="none" w:sz="0" w:space="0" w:color="auto"/>
        <w:right w:val="none" w:sz="0" w:space="0" w:color="auto"/>
      </w:divBdr>
    </w:div>
    <w:div w:id="1161189611">
      <w:bodyDiv w:val="1"/>
      <w:marLeft w:val="0"/>
      <w:marRight w:val="0"/>
      <w:marTop w:val="0"/>
      <w:marBottom w:val="0"/>
      <w:divBdr>
        <w:top w:val="none" w:sz="0" w:space="0" w:color="auto"/>
        <w:left w:val="none" w:sz="0" w:space="0" w:color="auto"/>
        <w:bottom w:val="none" w:sz="0" w:space="0" w:color="auto"/>
        <w:right w:val="none" w:sz="0" w:space="0" w:color="auto"/>
      </w:divBdr>
    </w:div>
    <w:div w:id="1161506377">
      <w:bodyDiv w:val="1"/>
      <w:marLeft w:val="0"/>
      <w:marRight w:val="0"/>
      <w:marTop w:val="0"/>
      <w:marBottom w:val="0"/>
      <w:divBdr>
        <w:top w:val="none" w:sz="0" w:space="0" w:color="auto"/>
        <w:left w:val="none" w:sz="0" w:space="0" w:color="auto"/>
        <w:bottom w:val="none" w:sz="0" w:space="0" w:color="auto"/>
        <w:right w:val="none" w:sz="0" w:space="0" w:color="auto"/>
      </w:divBdr>
    </w:div>
    <w:div w:id="1161652890">
      <w:bodyDiv w:val="1"/>
      <w:marLeft w:val="0"/>
      <w:marRight w:val="0"/>
      <w:marTop w:val="0"/>
      <w:marBottom w:val="0"/>
      <w:divBdr>
        <w:top w:val="none" w:sz="0" w:space="0" w:color="auto"/>
        <w:left w:val="none" w:sz="0" w:space="0" w:color="auto"/>
        <w:bottom w:val="none" w:sz="0" w:space="0" w:color="auto"/>
        <w:right w:val="none" w:sz="0" w:space="0" w:color="auto"/>
      </w:divBdr>
    </w:div>
    <w:div w:id="1161971207">
      <w:bodyDiv w:val="1"/>
      <w:marLeft w:val="0"/>
      <w:marRight w:val="0"/>
      <w:marTop w:val="0"/>
      <w:marBottom w:val="0"/>
      <w:divBdr>
        <w:top w:val="none" w:sz="0" w:space="0" w:color="auto"/>
        <w:left w:val="none" w:sz="0" w:space="0" w:color="auto"/>
        <w:bottom w:val="none" w:sz="0" w:space="0" w:color="auto"/>
        <w:right w:val="none" w:sz="0" w:space="0" w:color="auto"/>
      </w:divBdr>
    </w:div>
    <w:div w:id="1162357323">
      <w:bodyDiv w:val="1"/>
      <w:marLeft w:val="0"/>
      <w:marRight w:val="0"/>
      <w:marTop w:val="0"/>
      <w:marBottom w:val="0"/>
      <w:divBdr>
        <w:top w:val="none" w:sz="0" w:space="0" w:color="auto"/>
        <w:left w:val="none" w:sz="0" w:space="0" w:color="auto"/>
        <w:bottom w:val="none" w:sz="0" w:space="0" w:color="auto"/>
        <w:right w:val="none" w:sz="0" w:space="0" w:color="auto"/>
      </w:divBdr>
    </w:div>
    <w:div w:id="1162699394">
      <w:bodyDiv w:val="1"/>
      <w:marLeft w:val="0"/>
      <w:marRight w:val="0"/>
      <w:marTop w:val="0"/>
      <w:marBottom w:val="0"/>
      <w:divBdr>
        <w:top w:val="none" w:sz="0" w:space="0" w:color="auto"/>
        <w:left w:val="none" w:sz="0" w:space="0" w:color="auto"/>
        <w:bottom w:val="none" w:sz="0" w:space="0" w:color="auto"/>
        <w:right w:val="none" w:sz="0" w:space="0" w:color="auto"/>
      </w:divBdr>
    </w:div>
    <w:div w:id="1162813219">
      <w:bodyDiv w:val="1"/>
      <w:marLeft w:val="0"/>
      <w:marRight w:val="0"/>
      <w:marTop w:val="0"/>
      <w:marBottom w:val="0"/>
      <w:divBdr>
        <w:top w:val="none" w:sz="0" w:space="0" w:color="auto"/>
        <w:left w:val="none" w:sz="0" w:space="0" w:color="auto"/>
        <w:bottom w:val="none" w:sz="0" w:space="0" w:color="auto"/>
        <w:right w:val="none" w:sz="0" w:space="0" w:color="auto"/>
      </w:divBdr>
    </w:div>
    <w:div w:id="1163472426">
      <w:bodyDiv w:val="1"/>
      <w:marLeft w:val="0"/>
      <w:marRight w:val="0"/>
      <w:marTop w:val="0"/>
      <w:marBottom w:val="0"/>
      <w:divBdr>
        <w:top w:val="none" w:sz="0" w:space="0" w:color="auto"/>
        <w:left w:val="none" w:sz="0" w:space="0" w:color="auto"/>
        <w:bottom w:val="none" w:sz="0" w:space="0" w:color="auto"/>
        <w:right w:val="none" w:sz="0" w:space="0" w:color="auto"/>
      </w:divBdr>
    </w:div>
    <w:div w:id="1163473910">
      <w:bodyDiv w:val="1"/>
      <w:marLeft w:val="0"/>
      <w:marRight w:val="0"/>
      <w:marTop w:val="0"/>
      <w:marBottom w:val="0"/>
      <w:divBdr>
        <w:top w:val="none" w:sz="0" w:space="0" w:color="auto"/>
        <w:left w:val="none" w:sz="0" w:space="0" w:color="auto"/>
        <w:bottom w:val="none" w:sz="0" w:space="0" w:color="auto"/>
        <w:right w:val="none" w:sz="0" w:space="0" w:color="auto"/>
      </w:divBdr>
    </w:div>
    <w:div w:id="1163739310">
      <w:bodyDiv w:val="1"/>
      <w:marLeft w:val="0"/>
      <w:marRight w:val="0"/>
      <w:marTop w:val="0"/>
      <w:marBottom w:val="0"/>
      <w:divBdr>
        <w:top w:val="none" w:sz="0" w:space="0" w:color="auto"/>
        <w:left w:val="none" w:sz="0" w:space="0" w:color="auto"/>
        <w:bottom w:val="none" w:sz="0" w:space="0" w:color="auto"/>
        <w:right w:val="none" w:sz="0" w:space="0" w:color="auto"/>
      </w:divBdr>
    </w:div>
    <w:div w:id="1163929764">
      <w:bodyDiv w:val="1"/>
      <w:marLeft w:val="0"/>
      <w:marRight w:val="0"/>
      <w:marTop w:val="0"/>
      <w:marBottom w:val="0"/>
      <w:divBdr>
        <w:top w:val="none" w:sz="0" w:space="0" w:color="auto"/>
        <w:left w:val="none" w:sz="0" w:space="0" w:color="auto"/>
        <w:bottom w:val="none" w:sz="0" w:space="0" w:color="auto"/>
        <w:right w:val="none" w:sz="0" w:space="0" w:color="auto"/>
      </w:divBdr>
    </w:div>
    <w:div w:id="1164012062">
      <w:bodyDiv w:val="1"/>
      <w:marLeft w:val="0"/>
      <w:marRight w:val="0"/>
      <w:marTop w:val="0"/>
      <w:marBottom w:val="0"/>
      <w:divBdr>
        <w:top w:val="none" w:sz="0" w:space="0" w:color="auto"/>
        <w:left w:val="none" w:sz="0" w:space="0" w:color="auto"/>
        <w:bottom w:val="none" w:sz="0" w:space="0" w:color="auto"/>
        <w:right w:val="none" w:sz="0" w:space="0" w:color="auto"/>
      </w:divBdr>
    </w:div>
    <w:div w:id="1164124332">
      <w:bodyDiv w:val="1"/>
      <w:marLeft w:val="0"/>
      <w:marRight w:val="0"/>
      <w:marTop w:val="0"/>
      <w:marBottom w:val="0"/>
      <w:divBdr>
        <w:top w:val="none" w:sz="0" w:space="0" w:color="auto"/>
        <w:left w:val="none" w:sz="0" w:space="0" w:color="auto"/>
        <w:bottom w:val="none" w:sz="0" w:space="0" w:color="auto"/>
        <w:right w:val="none" w:sz="0" w:space="0" w:color="auto"/>
      </w:divBdr>
    </w:div>
    <w:div w:id="1164397670">
      <w:bodyDiv w:val="1"/>
      <w:marLeft w:val="0"/>
      <w:marRight w:val="0"/>
      <w:marTop w:val="0"/>
      <w:marBottom w:val="0"/>
      <w:divBdr>
        <w:top w:val="none" w:sz="0" w:space="0" w:color="auto"/>
        <w:left w:val="none" w:sz="0" w:space="0" w:color="auto"/>
        <w:bottom w:val="none" w:sz="0" w:space="0" w:color="auto"/>
        <w:right w:val="none" w:sz="0" w:space="0" w:color="auto"/>
      </w:divBdr>
    </w:div>
    <w:div w:id="1164971977">
      <w:bodyDiv w:val="1"/>
      <w:marLeft w:val="0"/>
      <w:marRight w:val="0"/>
      <w:marTop w:val="0"/>
      <w:marBottom w:val="0"/>
      <w:divBdr>
        <w:top w:val="none" w:sz="0" w:space="0" w:color="auto"/>
        <w:left w:val="none" w:sz="0" w:space="0" w:color="auto"/>
        <w:bottom w:val="none" w:sz="0" w:space="0" w:color="auto"/>
        <w:right w:val="none" w:sz="0" w:space="0" w:color="auto"/>
      </w:divBdr>
    </w:div>
    <w:div w:id="1165508245">
      <w:bodyDiv w:val="1"/>
      <w:marLeft w:val="0"/>
      <w:marRight w:val="0"/>
      <w:marTop w:val="0"/>
      <w:marBottom w:val="0"/>
      <w:divBdr>
        <w:top w:val="none" w:sz="0" w:space="0" w:color="auto"/>
        <w:left w:val="none" w:sz="0" w:space="0" w:color="auto"/>
        <w:bottom w:val="none" w:sz="0" w:space="0" w:color="auto"/>
        <w:right w:val="none" w:sz="0" w:space="0" w:color="auto"/>
      </w:divBdr>
    </w:div>
    <w:div w:id="1165782672">
      <w:bodyDiv w:val="1"/>
      <w:marLeft w:val="0"/>
      <w:marRight w:val="0"/>
      <w:marTop w:val="0"/>
      <w:marBottom w:val="0"/>
      <w:divBdr>
        <w:top w:val="none" w:sz="0" w:space="0" w:color="auto"/>
        <w:left w:val="none" w:sz="0" w:space="0" w:color="auto"/>
        <w:bottom w:val="none" w:sz="0" w:space="0" w:color="auto"/>
        <w:right w:val="none" w:sz="0" w:space="0" w:color="auto"/>
      </w:divBdr>
    </w:div>
    <w:div w:id="1166440380">
      <w:bodyDiv w:val="1"/>
      <w:marLeft w:val="0"/>
      <w:marRight w:val="0"/>
      <w:marTop w:val="0"/>
      <w:marBottom w:val="0"/>
      <w:divBdr>
        <w:top w:val="none" w:sz="0" w:space="0" w:color="auto"/>
        <w:left w:val="none" w:sz="0" w:space="0" w:color="auto"/>
        <w:bottom w:val="none" w:sz="0" w:space="0" w:color="auto"/>
        <w:right w:val="none" w:sz="0" w:space="0" w:color="auto"/>
      </w:divBdr>
    </w:div>
    <w:div w:id="1166625365">
      <w:bodyDiv w:val="1"/>
      <w:marLeft w:val="0"/>
      <w:marRight w:val="0"/>
      <w:marTop w:val="0"/>
      <w:marBottom w:val="0"/>
      <w:divBdr>
        <w:top w:val="none" w:sz="0" w:space="0" w:color="auto"/>
        <w:left w:val="none" w:sz="0" w:space="0" w:color="auto"/>
        <w:bottom w:val="none" w:sz="0" w:space="0" w:color="auto"/>
        <w:right w:val="none" w:sz="0" w:space="0" w:color="auto"/>
      </w:divBdr>
    </w:div>
    <w:div w:id="1166701654">
      <w:bodyDiv w:val="1"/>
      <w:marLeft w:val="0"/>
      <w:marRight w:val="0"/>
      <w:marTop w:val="0"/>
      <w:marBottom w:val="0"/>
      <w:divBdr>
        <w:top w:val="none" w:sz="0" w:space="0" w:color="auto"/>
        <w:left w:val="none" w:sz="0" w:space="0" w:color="auto"/>
        <w:bottom w:val="none" w:sz="0" w:space="0" w:color="auto"/>
        <w:right w:val="none" w:sz="0" w:space="0" w:color="auto"/>
      </w:divBdr>
    </w:div>
    <w:div w:id="1167020666">
      <w:bodyDiv w:val="1"/>
      <w:marLeft w:val="0"/>
      <w:marRight w:val="0"/>
      <w:marTop w:val="0"/>
      <w:marBottom w:val="0"/>
      <w:divBdr>
        <w:top w:val="none" w:sz="0" w:space="0" w:color="auto"/>
        <w:left w:val="none" w:sz="0" w:space="0" w:color="auto"/>
        <w:bottom w:val="none" w:sz="0" w:space="0" w:color="auto"/>
        <w:right w:val="none" w:sz="0" w:space="0" w:color="auto"/>
      </w:divBdr>
    </w:div>
    <w:div w:id="1167095925">
      <w:bodyDiv w:val="1"/>
      <w:marLeft w:val="0"/>
      <w:marRight w:val="0"/>
      <w:marTop w:val="0"/>
      <w:marBottom w:val="0"/>
      <w:divBdr>
        <w:top w:val="none" w:sz="0" w:space="0" w:color="auto"/>
        <w:left w:val="none" w:sz="0" w:space="0" w:color="auto"/>
        <w:bottom w:val="none" w:sz="0" w:space="0" w:color="auto"/>
        <w:right w:val="none" w:sz="0" w:space="0" w:color="auto"/>
      </w:divBdr>
    </w:div>
    <w:div w:id="1167554934">
      <w:bodyDiv w:val="1"/>
      <w:marLeft w:val="0"/>
      <w:marRight w:val="0"/>
      <w:marTop w:val="0"/>
      <w:marBottom w:val="0"/>
      <w:divBdr>
        <w:top w:val="none" w:sz="0" w:space="0" w:color="auto"/>
        <w:left w:val="none" w:sz="0" w:space="0" w:color="auto"/>
        <w:bottom w:val="none" w:sz="0" w:space="0" w:color="auto"/>
        <w:right w:val="none" w:sz="0" w:space="0" w:color="auto"/>
      </w:divBdr>
    </w:div>
    <w:div w:id="1168597828">
      <w:bodyDiv w:val="1"/>
      <w:marLeft w:val="0"/>
      <w:marRight w:val="0"/>
      <w:marTop w:val="0"/>
      <w:marBottom w:val="0"/>
      <w:divBdr>
        <w:top w:val="none" w:sz="0" w:space="0" w:color="auto"/>
        <w:left w:val="none" w:sz="0" w:space="0" w:color="auto"/>
        <w:bottom w:val="none" w:sz="0" w:space="0" w:color="auto"/>
        <w:right w:val="none" w:sz="0" w:space="0" w:color="auto"/>
      </w:divBdr>
    </w:div>
    <w:div w:id="1168669282">
      <w:bodyDiv w:val="1"/>
      <w:marLeft w:val="0"/>
      <w:marRight w:val="0"/>
      <w:marTop w:val="0"/>
      <w:marBottom w:val="0"/>
      <w:divBdr>
        <w:top w:val="none" w:sz="0" w:space="0" w:color="auto"/>
        <w:left w:val="none" w:sz="0" w:space="0" w:color="auto"/>
        <w:bottom w:val="none" w:sz="0" w:space="0" w:color="auto"/>
        <w:right w:val="none" w:sz="0" w:space="0" w:color="auto"/>
      </w:divBdr>
    </w:div>
    <w:div w:id="1168711000">
      <w:bodyDiv w:val="1"/>
      <w:marLeft w:val="0"/>
      <w:marRight w:val="0"/>
      <w:marTop w:val="0"/>
      <w:marBottom w:val="0"/>
      <w:divBdr>
        <w:top w:val="none" w:sz="0" w:space="0" w:color="auto"/>
        <w:left w:val="none" w:sz="0" w:space="0" w:color="auto"/>
        <w:bottom w:val="none" w:sz="0" w:space="0" w:color="auto"/>
        <w:right w:val="none" w:sz="0" w:space="0" w:color="auto"/>
      </w:divBdr>
    </w:div>
    <w:div w:id="1168902664">
      <w:bodyDiv w:val="1"/>
      <w:marLeft w:val="0"/>
      <w:marRight w:val="0"/>
      <w:marTop w:val="0"/>
      <w:marBottom w:val="0"/>
      <w:divBdr>
        <w:top w:val="none" w:sz="0" w:space="0" w:color="auto"/>
        <w:left w:val="none" w:sz="0" w:space="0" w:color="auto"/>
        <w:bottom w:val="none" w:sz="0" w:space="0" w:color="auto"/>
        <w:right w:val="none" w:sz="0" w:space="0" w:color="auto"/>
      </w:divBdr>
    </w:div>
    <w:div w:id="1169246301">
      <w:bodyDiv w:val="1"/>
      <w:marLeft w:val="0"/>
      <w:marRight w:val="0"/>
      <w:marTop w:val="0"/>
      <w:marBottom w:val="0"/>
      <w:divBdr>
        <w:top w:val="none" w:sz="0" w:space="0" w:color="auto"/>
        <w:left w:val="none" w:sz="0" w:space="0" w:color="auto"/>
        <w:bottom w:val="none" w:sz="0" w:space="0" w:color="auto"/>
        <w:right w:val="none" w:sz="0" w:space="0" w:color="auto"/>
      </w:divBdr>
    </w:div>
    <w:div w:id="1169712340">
      <w:bodyDiv w:val="1"/>
      <w:marLeft w:val="0"/>
      <w:marRight w:val="0"/>
      <w:marTop w:val="0"/>
      <w:marBottom w:val="0"/>
      <w:divBdr>
        <w:top w:val="none" w:sz="0" w:space="0" w:color="auto"/>
        <w:left w:val="none" w:sz="0" w:space="0" w:color="auto"/>
        <w:bottom w:val="none" w:sz="0" w:space="0" w:color="auto"/>
        <w:right w:val="none" w:sz="0" w:space="0" w:color="auto"/>
      </w:divBdr>
    </w:div>
    <w:div w:id="1169755180">
      <w:bodyDiv w:val="1"/>
      <w:marLeft w:val="0"/>
      <w:marRight w:val="0"/>
      <w:marTop w:val="0"/>
      <w:marBottom w:val="0"/>
      <w:divBdr>
        <w:top w:val="none" w:sz="0" w:space="0" w:color="auto"/>
        <w:left w:val="none" w:sz="0" w:space="0" w:color="auto"/>
        <w:bottom w:val="none" w:sz="0" w:space="0" w:color="auto"/>
        <w:right w:val="none" w:sz="0" w:space="0" w:color="auto"/>
      </w:divBdr>
    </w:div>
    <w:div w:id="1170094881">
      <w:bodyDiv w:val="1"/>
      <w:marLeft w:val="0"/>
      <w:marRight w:val="0"/>
      <w:marTop w:val="0"/>
      <w:marBottom w:val="0"/>
      <w:divBdr>
        <w:top w:val="none" w:sz="0" w:space="0" w:color="auto"/>
        <w:left w:val="none" w:sz="0" w:space="0" w:color="auto"/>
        <w:bottom w:val="none" w:sz="0" w:space="0" w:color="auto"/>
        <w:right w:val="none" w:sz="0" w:space="0" w:color="auto"/>
      </w:divBdr>
    </w:div>
    <w:div w:id="1170407892">
      <w:bodyDiv w:val="1"/>
      <w:marLeft w:val="0"/>
      <w:marRight w:val="0"/>
      <w:marTop w:val="0"/>
      <w:marBottom w:val="0"/>
      <w:divBdr>
        <w:top w:val="none" w:sz="0" w:space="0" w:color="auto"/>
        <w:left w:val="none" w:sz="0" w:space="0" w:color="auto"/>
        <w:bottom w:val="none" w:sz="0" w:space="0" w:color="auto"/>
        <w:right w:val="none" w:sz="0" w:space="0" w:color="auto"/>
      </w:divBdr>
    </w:div>
    <w:div w:id="1170832788">
      <w:bodyDiv w:val="1"/>
      <w:marLeft w:val="0"/>
      <w:marRight w:val="0"/>
      <w:marTop w:val="0"/>
      <w:marBottom w:val="0"/>
      <w:divBdr>
        <w:top w:val="none" w:sz="0" w:space="0" w:color="auto"/>
        <w:left w:val="none" w:sz="0" w:space="0" w:color="auto"/>
        <w:bottom w:val="none" w:sz="0" w:space="0" w:color="auto"/>
        <w:right w:val="none" w:sz="0" w:space="0" w:color="auto"/>
      </w:divBdr>
    </w:div>
    <w:div w:id="1170952915">
      <w:bodyDiv w:val="1"/>
      <w:marLeft w:val="0"/>
      <w:marRight w:val="0"/>
      <w:marTop w:val="0"/>
      <w:marBottom w:val="0"/>
      <w:divBdr>
        <w:top w:val="none" w:sz="0" w:space="0" w:color="auto"/>
        <w:left w:val="none" w:sz="0" w:space="0" w:color="auto"/>
        <w:bottom w:val="none" w:sz="0" w:space="0" w:color="auto"/>
        <w:right w:val="none" w:sz="0" w:space="0" w:color="auto"/>
      </w:divBdr>
    </w:div>
    <w:div w:id="1171215996">
      <w:bodyDiv w:val="1"/>
      <w:marLeft w:val="0"/>
      <w:marRight w:val="0"/>
      <w:marTop w:val="0"/>
      <w:marBottom w:val="0"/>
      <w:divBdr>
        <w:top w:val="none" w:sz="0" w:space="0" w:color="auto"/>
        <w:left w:val="none" w:sz="0" w:space="0" w:color="auto"/>
        <w:bottom w:val="none" w:sz="0" w:space="0" w:color="auto"/>
        <w:right w:val="none" w:sz="0" w:space="0" w:color="auto"/>
      </w:divBdr>
    </w:div>
    <w:div w:id="1171531186">
      <w:bodyDiv w:val="1"/>
      <w:marLeft w:val="0"/>
      <w:marRight w:val="0"/>
      <w:marTop w:val="0"/>
      <w:marBottom w:val="0"/>
      <w:divBdr>
        <w:top w:val="none" w:sz="0" w:space="0" w:color="auto"/>
        <w:left w:val="none" w:sz="0" w:space="0" w:color="auto"/>
        <w:bottom w:val="none" w:sz="0" w:space="0" w:color="auto"/>
        <w:right w:val="none" w:sz="0" w:space="0" w:color="auto"/>
      </w:divBdr>
    </w:div>
    <w:div w:id="1171531955">
      <w:bodyDiv w:val="1"/>
      <w:marLeft w:val="0"/>
      <w:marRight w:val="0"/>
      <w:marTop w:val="0"/>
      <w:marBottom w:val="0"/>
      <w:divBdr>
        <w:top w:val="none" w:sz="0" w:space="0" w:color="auto"/>
        <w:left w:val="none" w:sz="0" w:space="0" w:color="auto"/>
        <w:bottom w:val="none" w:sz="0" w:space="0" w:color="auto"/>
        <w:right w:val="none" w:sz="0" w:space="0" w:color="auto"/>
      </w:divBdr>
    </w:div>
    <w:div w:id="1171792580">
      <w:bodyDiv w:val="1"/>
      <w:marLeft w:val="0"/>
      <w:marRight w:val="0"/>
      <w:marTop w:val="0"/>
      <w:marBottom w:val="0"/>
      <w:divBdr>
        <w:top w:val="none" w:sz="0" w:space="0" w:color="auto"/>
        <w:left w:val="none" w:sz="0" w:space="0" w:color="auto"/>
        <w:bottom w:val="none" w:sz="0" w:space="0" w:color="auto"/>
        <w:right w:val="none" w:sz="0" w:space="0" w:color="auto"/>
      </w:divBdr>
    </w:div>
    <w:div w:id="1172255278">
      <w:bodyDiv w:val="1"/>
      <w:marLeft w:val="0"/>
      <w:marRight w:val="0"/>
      <w:marTop w:val="0"/>
      <w:marBottom w:val="0"/>
      <w:divBdr>
        <w:top w:val="none" w:sz="0" w:space="0" w:color="auto"/>
        <w:left w:val="none" w:sz="0" w:space="0" w:color="auto"/>
        <w:bottom w:val="none" w:sz="0" w:space="0" w:color="auto"/>
        <w:right w:val="none" w:sz="0" w:space="0" w:color="auto"/>
      </w:divBdr>
    </w:div>
    <w:div w:id="1172602868">
      <w:bodyDiv w:val="1"/>
      <w:marLeft w:val="0"/>
      <w:marRight w:val="0"/>
      <w:marTop w:val="0"/>
      <w:marBottom w:val="0"/>
      <w:divBdr>
        <w:top w:val="none" w:sz="0" w:space="0" w:color="auto"/>
        <w:left w:val="none" w:sz="0" w:space="0" w:color="auto"/>
        <w:bottom w:val="none" w:sz="0" w:space="0" w:color="auto"/>
        <w:right w:val="none" w:sz="0" w:space="0" w:color="auto"/>
      </w:divBdr>
    </w:div>
    <w:div w:id="1172986529">
      <w:bodyDiv w:val="1"/>
      <w:marLeft w:val="0"/>
      <w:marRight w:val="0"/>
      <w:marTop w:val="0"/>
      <w:marBottom w:val="0"/>
      <w:divBdr>
        <w:top w:val="none" w:sz="0" w:space="0" w:color="auto"/>
        <w:left w:val="none" w:sz="0" w:space="0" w:color="auto"/>
        <w:bottom w:val="none" w:sz="0" w:space="0" w:color="auto"/>
        <w:right w:val="none" w:sz="0" w:space="0" w:color="auto"/>
      </w:divBdr>
    </w:div>
    <w:div w:id="1173757934">
      <w:bodyDiv w:val="1"/>
      <w:marLeft w:val="0"/>
      <w:marRight w:val="0"/>
      <w:marTop w:val="0"/>
      <w:marBottom w:val="0"/>
      <w:divBdr>
        <w:top w:val="none" w:sz="0" w:space="0" w:color="auto"/>
        <w:left w:val="none" w:sz="0" w:space="0" w:color="auto"/>
        <w:bottom w:val="none" w:sz="0" w:space="0" w:color="auto"/>
        <w:right w:val="none" w:sz="0" w:space="0" w:color="auto"/>
      </w:divBdr>
    </w:div>
    <w:div w:id="1174027286">
      <w:bodyDiv w:val="1"/>
      <w:marLeft w:val="0"/>
      <w:marRight w:val="0"/>
      <w:marTop w:val="0"/>
      <w:marBottom w:val="0"/>
      <w:divBdr>
        <w:top w:val="none" w:sz="0" w:space="0" w:color="auto"/>
        <w:left w:val="none" w:sz="0" w:space="0" w:color="auto"/>
        <w:bottom w:val="none" w:sz="0" w:space="0" w:color="auto"/>
        <w:right w:val="none" w:sz="0" w:space="0" w:color="auto"/>
      </w:divBdr>
    </w:div>
    <w:div w:id="1174144628">
      <w:bodyDiv w:val="1"/>
      <w:marLeft w:val="0"/>
      <w:marRight w:val="0"/>
      <w:marTop w:val="0"/>
      <w:marBottom w:val="0"/>
      <w:divBdr>
        <w:top w:val="none" w:sz="0" w:space="0" w:color="auto"/>
        <w:left w:val="none" w:sz="0" w:space="0" w:color="auto"/>
        <w:bottom w:val="none" w:sz="0" w:space="0" w:color="auto"/>
        <w:right w:val="none" w:sz="0" w:space="0" w:color="auto"/>
      </w:divBdr>
    </w:div>
    <w:div w:id="1174691029">
      <w:bodyDiv w:val="1"/>
      <w:marLeft w:val="0"/>
      <w:marRight w:val="0"/>
      <w:marTop w:val="0"/>
      <w:marBottom w:val="0"/>
      <w:divBdr>
        <w:top w:val="none" w:sz="0" w:space="0" w:color="auto"/>
        <w:left w:val="none" w:sz="0" w:space="0" w:color="auto"/>
        <w:bottom w:val="none" w:sz="0" w:space="0" w:color="auto"/>
        <w:right w:val="none" w:sz="0" w:space="0" w:color="auto"/>
      </w:divBdr>
    </w:div>
    <w:div w:id="1175027347">
      <w:bodyDiv w:val="1"/>
      <w:marLeft w:val="0"/>
      <w:marRight w:val="0"/>
      <w:marTop w:val="0"/>
      <w:marBottom w:val="0"/>
      <w:divBdr>
        <w:top w:val="none" w:sz="0" w:space="0" w:color="auto"/>
        <w:left w:val="none" w:sz="0" w:space="0" w:color="auto"/>
        <w:bottom w:val="none" w:sz="0" w:space="0" w:color="auto"/>
        <w:right w:val="none" w:sz="0" w:space="0" w:color="auto"/>
      </w:divBdr>
    </w:div>
    <w:div w:id="1175068625">
      <w:bodyDiv w:val="1"/>
      <w:marLeft w:val="0"/>
      <w:marRight w:val="0"/>
      <w:marTop w:val="0"/>
      <w:marBottom w:val="0"/>
      <w:divBdr>
        <w:top w:val="none" w:sz="0" w:space="0" w:color="auto"/>
        <w:left w:val="none" w:sz="0" w:space="0" w:color="auto"/>
        <w:bottom w:val="none" w:sz="0" w:space="0" w:color="auto"/>
        <w:right w:val="none" w:sz="0" w:space="0" w:color="auto"/>
      </w:divBdr>
    </w:div>
    <w:div w:id="1175417539">
      <w:bodyDiv w:val="1"/>
      <w:marLeft w:val="0"/>
      <w:marRight w:val="0"/>
      <w:marTop w:val="0"/>
      <w:marBottom w:val="0"/>
      <w:divBdr>
        <w:top w:val="none" w:sz="0" w:space="0" w:color="auto"/>
        <w:left w:val="none" w:sz="0" w:space="0" w:color="auto"/>
        <w:bottom w:val="none" w:sz="0" w:space="0" w:color="auto"/>
        <w:right w:val="none" w:sz="0" w:space="0" w:color="auto"/>
      </w:divBdr>
    </w:div>
    <w:div w:id="1176187359">
      <w:bodyDiv w:val="1"/>
      <w:marLeft w:val="0"/>
      <w:marRight w:val="0"/>
      <w:marTop w:val="0"/>
      <w:marBottom w:val="0"/>
      <w:divBdr>
        <w:top w:val="none" w:sz="0" w:space="0" w:color="auto"/>
        <w:left w:val="none" w:sz="0" w:space="0" w:color="auto"/>
        <w:bottom w:val="none" w:sz="0" w:space="0" w:color="auto"/>
        <w:right w:val="none" w:sz="0" w:space="0" w:color="auto"/>
      </w:divBdr>
    </w:div>
    <w:div w:id="1176773621">
      <w:bodyDiv w:val="1"/>
      <w:marLeft w:val="0"/>
      <w:marRight w:val="0"/>
      <w:marTop w:val="0"/>
      <w:marBottom w:val="0"/>
      <w:divBdr>
        <w:top w:val="none" w:sz="0" w:space="0" w:color="auto"/>
        <w:left w:val="none" w:sz="0" w:space="0" w:color="auto"/>
        <w:bottom w:val="none" w:sz="0" w:space="0" w:color="auto"/>
        <w:right w:val="none" w:sz="0" w:space="0" w:color="auto"/>
      </w:divBdr>
    </w:div>
    <w:div w:id="1176963501">
      <w:bodyDiv w:val="1"/>
      <w:marLeft w:val="0"/>
      <w:marRight w:val="0"/>
      <w:marTop w:val="0"/>
      <w:marBottom w:val="0"/>
      <w:divBdr>
        <w:top w:val="none" w:sz="0" w:space="0" w:color="auto"/>
        <w:left w:val="none" w:sz="0" w:space="0" w:color="auto"/>
        <w:bottom w:val="none" w:sz="0" w:space="0" w:color="auto"/>
        <w:right w:val="none" w:sz="0" w:space="0" w:color="auto"/>
      </w:divBdr>
    </w:div>
    <w:div w:id="1177113042">
      <w:bodyDiv w:val="1"/>
      <w:marLeft w:val="0"/>
      <w:marRight w:val="0"/>
      <w:marTop w:val="0"/>
      <w:marBottom w:val="0"/>
      <w:divBdr>
        <w:top w:val="none" w:sz="0" w:space="0" w:color="auto"/>
        <w:left w:val="none" w:sz="0" w:space="0" w:color="auto"/>
        <w:bottom w:val="none" w:sz="0" w:space="0" w:color="auto"/>
        <w:right w:val="none" w:sz="0" w:space="0" w:color="auto"/>
      </w:divBdr>
    </w:div>
    <w:div w:id="1177698107">
      <w:bodyDiv w:val="1"/>
      <w:marLeft w:val="0"/>
      <w:marRight w:val="0"/>
      <w:marTop w:val="0"/>
      <w:marBottom w:val="0"/>
      <w:divBdr>
        <w:top w:val="none" w:sz="0" w:space="0" w:color="auto"/>
        <w:left w:val="none" w:sz="0" w:space="0" w:color="auto"/>
        <w:bottom w:val="none" w:sz="0" w:space="0" w:color="auto"/>
        <w:right w:val="none" w:sz="0" w:space="0" w:color="auto"/>
      </w:divBdr>
    </w:div>
    <w:div w:id="1178693580">
      <w:bodyDiv w:val="1"/>
      <w:marLeft w:val="0"/>
      <w:marRight w:val="0"/>
      <w:marTop w:val="0"/>
      <w:marBottom w:val="0"/>
      <w:divBdr>
        <w:top w:val="none" w:sz="0" w:space="0" w:color="auto"/>
        <w:left w:val="none" w:sz="0" w:space="0" w:color="auto"/>
        <w:bottom w:val="none" w:sz="0" w:space="0" w:color="auto"/>
        <w:right w:val="none" w:sz="0" w:space="0" w:color="auto"/>
      </w:divBdr>
    </w:div>
    <w:div w:id="1179809039">
      <w:bodyDiv w:val="1"/>
      <w:marLeft w:val="0"/>
      <w:marRight w:val="0"/>
      <w:marTop w:val="0"/>
      <w:marBottom w:val="0"/>
      <w:divBdr>
        <w:top w:val="none" w:sz="0" w:space="0" w:color="auto"/>
        <w:left w:val="none" w:sz="0" w:space="0" w:color="auto"/>
        <w:bottom w:val="none" w:sz="0" w:space="0" w:color="auto"/>
        <w:right w:val="none" w:sz="0" w:space="0" w:color="auto"/>
      </w:divBdr>
    </w:div>
    <w:div w:id="1179811096">
      <w:bodyDiv w:val="1"/>
      <w:marLeft w:val="0"/>
      <w:marRight w:val="0"/>
      <w:marTop w:val="0"/>
      <w:marBottom w:val="0"/>
      <w:divBdr>
        <w:top w:val="none" w:sz="0" w:space="0" w:color="auto"/>
        <w:left w:val="none" w:sz="0" w:space="0" w:color="auto"/>
        <w:bottom w:val="none" w:sz="0" w:space="0" w:color="auto"/>
        <w:right w:val="none" w:sz="0" w:space="0" w:color="auto"/>
      </w:divBdr>
    </w:div>
    <w:div w:id="1179932563">
      <w:bodyDiv w:val="1"/>
      <w:marLeft w:val="0"/>
      <w:marRight w:val="0"/>
      <w:marTop w:val="0"/>
      <w:marBottom w:val="0"/>
      <w:divBdr>
        <w:top w:val="none" w:sz="0" w:space="0" w:color="auto"/>
        <w:left w:val="none" w:sz="0" w:space="0" w:color="auto"/>
        <w:bottom w:val="none" w:sz="0" w:space="0" w:color="auto"/>
        <w:right w:val="none" w:sz="0" w:space="0" w:color="auto"/>
      </w:divBdr>
    </w:div>
    <w:div w:id="1180049248">
      <w:bodyDiv w:val="1"/>
      <w:marLeft w:val="0"/>
      <w:marRight w:val="0"/>
      <w:marTop w:val="0"/>
      <w:marBottom w:val="0"/>
      <w:divBdr>
        <w:top w:val="none" w:sz="0" w:space="0" w:color="auto"/>
        <w:left w:val="none" w:sz="0" w:space="0" w:color="auto"/>
        <w:bottom w:val="none" w:sz="0" w:space="0" w:color="auto"/>
        <w:right w:val="none" w:sz="0" w:space="0" w:color="auto"/>
      </w:divBdr>
    </w:div>
    <w:div w:id="1180121262">
      <w:bodyDiv w:val="1"/>
      <w:marLeft w:val="0"/>
      <w:marRight w:val="0"/>
      <w:marTop w:val="0"/>
      <w:marBottom w:val="0"/>
      <w:divBdr>
        <w:top w:val="none" w:sz="0" w:space="0" w:color="auto"/>
        <w:left w:val="none" w:sz="0" w:space="0" w:color="auto"/>
        <w:bottom w:val="none" w:sz="0" w:space="0" w:color="auto"/>
        <w:right w:val="none" w:sz="0" w:space="0" w:color="auto"/>
      </w:divBdr>
    </w:div>
    <w:div w:id="1180847939">
      <w:bodyDiv w:val="1"/>
      <w:marLeft w:val="0"/>
      <w:marRight w:val="0"/>
      <w:marTop w:val="0"/>
      <w:marBottom w:val="0"/>
      <w:divBdr>
        <w:top w:val="none" w:sz="0" w:space="0" w:color="auto"/>
        <w:left w:val="none" w:sz="0" w:space="0" w:color="auto"/>
        <w:bottom w:val="none" w:sz="0" w:space="0" w:color="auto"/>
        <w:right w:val="none" w:sz="0" w:space="0" w:color="auto"/>
      </w:divBdr>
    </w:div>
    <w:div w:id="1181314618">
      <w:bodyDiv w:val="1"/>
      <w:marLeft w:val="0"/>
      <w:marRight w:val="0"/>
      <w:marTop w:val="0"/>
      <w:marBottom w:val="0"/>
      <w:divBdr>
        <w:top w:val="none" w:sz="0" w:space="0" w:color="auto"/>
        <w:left w:val="none" w:sz="0" w:space="0" w:color="auto"/>
        <w:bottom w:val="none" w:sz="0" w:space="0" w:color="auto"/>
        <w:right w:val="none" w:sz="0" w:space="0" w:color="auto"/>
      </w:divBdr>
    </w:div>
    <w:div w:id="1181551669">
      <w:bodyDiv w:val="1"/>
      <w:marLeft w:val="0"/>
      <w:marRight w:val="0"/>
      <w:marTop w:val="0"/>
      <w:marBottom w:val="0"/>
      <w:divBdr>
        <w:top w:val="none" w:sz="0" w:space="0" w:color="auto"/>
        <w:left w:val="none" w:sz="0" w:space="0" w:color="auto"/>
        <w:bottom w:val="none" w:sz="0" w:space="0" w:color="auto"/>
        <w:right w:val="none" w:sz="0" w:space="0" w:color="auto"/>
      </w:divBdr>
    </w:div>
    <w:div w:id="1182430261">
      <w:bodyDiv w:val="1"/>
      <w:marLeft w:val="0"/>
      <w:marRight w:val="0"/>
      <w:marTop w:val="0"/>
      <w:marBottom w:val="0"/>
      <w:divBdr>
        <w:top w:val="none" w:sz="0" w:space="0" w:color="auto"/>
        <w:left w:val="none" w:sz="0" w:space="0" w:color="auto"/>
        <w:bottom w:val="none" w:sz="0" w:space="0" w:color="auto"/>
        <w:right w:val="none" w:sz="0" w:space="0" w:color="auto"/>
      </w:divBdr>
    </w:div>
    <w:div w:id="1182546282">
      <w:bodyDiv w:val="1"/>
      <w:marLeft w:val="0"/>
      <w:marRight w:val="0"/>
      <w:marTop w:val="0"/>
      <w:marBottom w:val="0"/>
      <w:divBdr>
        <w:top w:val="none" w:sz="0" w:space="0" w:color="auto"/>
        <w:left w:val="none" w:sz="0" w:space="0" w:color="auto"/>
        <w:bottom w:val="none" w:sz="0" w:space="0" w:color="auto"/>
        <w:right w:val="none" w:sz="0" w:space="0" w:color="auto"/>
      </w:divBdr>
    </w:div>
    <w:div w:id="1183397538">
      <w:bodyDiv w:val="1"/>
      <w:marLeft w:val="0"/>
      <w:marRight w:val="0"/>
      <w:marTop w:val="0"/>
      <w:marBottom w:val="0"/>
      <w:divBdr>
        <w:top w:val="none" w:sz="0" w:space="0" w:color="auto"/>
        <w:left w:val="none" w:sz="0" w:space="0" w:color="auto"/>
        <w:bottom w:val="none" w:sz="0" w:space="0" w:color="auto"/>
        <w:right w:val="none" w:sz="0" w:space="0" w:color="auto"/>
      </w:divBdr>
    </w:div>
    <w:div w:id="1183664884">
      <w:bodyDiv w:val="1"/>
      <w:marLeft w:val="0"/>
      <w:marRight w:val="0"/>
      <w:marTop w:val="0"/>
      <w:marBottom w:val="0"/>
      <w:divBdr>
        <w:top w:val="none" w:sz="0" w:space="0" w:color="auto"/>
        <w:left w:val="none" w:sz="0" w:space="0" w:color="auto"/>
        <w:bottom w:val="none" w:sz="0" w:space="0" w:color="auto"/>
        <w:right w:val="none" w:sz="0" w:space="0" w:color="auto"/>
      </w:divBdr>
    </w:div>
    <w:div w:id="1184202727">
      <w:bodyDiv w:val="1"/>
      <w:marLeft w:val="0"/>
      <w:marRight w:val="0"/>
      <w:marTop w:val="0"/>
      <w:marBottom w:val="0"/>
      <w:divBdr>
        <w:top w:val="none" w:sz="0" w:space="0" w:color="auto"/>
        <w:left w:val="none" w:sz="0" w:space="0" w:color="auto"/>
        <w:bottom w:val="none" w:sz="0" w:space="0" w:color="auto"/>
        <w:right w:val="none" w:sz="0" w:space="0" w:color="auto"/>
      </w:divBdr>
    </w:div>
    <w:div w:id="1184788304">
      <w:bodyDiv w:val="1"/>
      <w:marLeft w:val="0"/>
      <w:marRight w:val="0"/>
      <w:marTop w:val="0"/>
      <w:marBottom w:val="0"/>
      <w:divBdr>
        <w:top w:val="none" w:sz="0" w:space="0" w:color="auto"/>
        <w:left w:val="none" w:sz="0" w:space="0" w:color="auto"/>
        <w:bottom w:val="none" w:sz="0" w:space="0" w:color="auto"/>
        <w:right w:val="none" w:sz="0" w:space="0" w:color="auto"/>
      </w:divBdr>
    </w:div>
    <w:div w:id="1185175254">
      <w:bodyDiv w:val="1"/>
      <w:marLeft w:val="0"/>
      <w:marRight w:val="0"/>
      <w:marTop w:val="0"/>
      <w:marBottom w:val="0"/>
      <w:divBdr>
        <w:top w:val="none" w:sz="0" w:space="0" w:color="auto"/>
        <w:left w:val="none" w:sz="0" w:space="0" w:color="auto"/>
        <w:bottom w:val="none" w:sz="0" w:space="0" w:color="auto"/>
        <w:right w:val="none" w:sz="0" w:space="0" w:color="auto"/>
      </w:divBdr>
    </w:div>
    <w:div w:id="1185437372">
      <w:bodyDiv w:val="1"/>
      <w:marLeft w:val="0"/>
      <w:marRight w:val="0"/>
      <w:marTop w:val="0"/>
      <w:marBottom w:val="0"/>
      <w:divBdr>
        <w:top w:val="none" w:sz="0" w:space="0" w:color="auto"/>
        <w:left w:val="none" w:sz="0" w:space="0" w:color="auto"/>
        <w:bottom w:val="none" w:sz="0" w:space="0" w:color="auto"/>
        <w:right w:val="none" w:sz="0" w:space="0" w:color="auto"/>
      </w:divBdr>
    </w:div>
    <w:div w:id="1185483878">
      <w:bodyDiv w:val="1"/>
      <w:marLeft w:val="0"/>
      <w:marRight w:val="0"/>
      <w:marTop w:val="0"/>
      <w:marBottom w:val="0"/>
      <w:divBdr>
        <w:top w:val="none" w:sz="0" w:space="0" w:color="auto"/>
        <w:left w:val="none" w:sz="0" w:space="0" w:color="auto"/>
        <w:bottom w:val="none" w:sz="0" w:space="0" w:color="auto"/>
        <w:right w:val="none" w:sz="0" w:space="0" w:color="auto"/>
      </w:divBdr>
    </w:div>
    <w:div w:id="1185898393">
      <w:bodyDiv w:val="1"/>
      <w:marLeft w:val="0"/>
      <w:marRight w:val="0"/>
      <w:marTop w:val="0"/>
      <w:marBottom w:val="0"/>
      <w:divBdr>
        <w:top w:val="none" w:sz="0" w:space="0" w:color="auto"/>
        <w:left w:val="none" w:sz="0" w:space="0" w:color="auto"/>
        <w:bottom w:val="none" w:sz="0" w:space="0" w:color="auto"/>
        <w:right w:val="none" w:sz="0" w:space="0" w:color="auto"/>
      </w:divBdr>
    </w:div>
    <w:div w:id="1186288818">
      <w:bodyDiv w:val="1"/>
      <w:marLeft w:val="0"/>
      <w:marRight w:val="0"/>
      <w:marTop w:val="0"/>
      <w:marBottom w:val="0"/>
      <w:divBdr>
        <w:top w:val="none" w:sz="0" w:space="0" w:color="auto"/>
        <w:left w:val="none" w:sz="0" w:space="0" w:color="auto"/>
        <w:bottom w:val="none" w:sz="0" w:space="0" w:color="auto"/>
        <w:right w:val="none" w:sz="0" w:space="0" w:color="auto"/>
      </w:divBdr>
    </w:div>
    <w:div w:id="1186941447">
      <w:bodyDiv w:val="1"/>
      <w:marLeft w:val="0"/>
      <w:marRight w:val="0"/>
      <w:marTop w:val="0"/>
      <w:marBottom w:val="0"/>
      <w:divBdr>
        <w:top w:val="none" w:sz="0" w:space="0" w:color="auto"/>
        <w:left w:val="none" w:sz="0" w:space="0" w:color="auto"/>
        <w:bottom w:val="none" w:sz="0" w:space="0" w:color="auto"/>
        <w:right w:val="none" w:sz="0" w:space="0" w:color="auto"/>
      </w:divBdr>
    </w:div>
    <w:div w:id="1187138280">
      <w:bodyDiv w:val="1"/>
      <w:marLeft w:val="0"/>
      <w:marRight w:val="0"/>
      <w:marTop w:val="0"/>
      <w:marBottom w:val="0"/>
      <w:divBdr>
        <w:top w:val="none" w:sz="0" w:space="0" w:color="auto"/>
        <w:left w:val="none" w:sz="0" w:space="0" w:color="auto"/>
        <w:bottom w:val="none" w:sz="0" w:space="0" w:color="auto"/>
        <w:right w:val="none" w:sz="0" w:space="0" w:color="auto"/>
      </w:divBdr>
    </w:div>
    <w:div w:id="1187211451">
      <w:bodyDiv w:val="1"/>
      <w:marLeft w:val="0"/>
      <w:marRight w:val="0"/>
      <w:marTop w:val="0"/>
      <w:marBottom w:val="0"/>
      <w:divBdr>
        <w:top w:val="none" w:sz="0" w:space="0" w:color="auto"/>
        <w:left w:val="none" w:sz="0" w:space="0" w:color="auto"/>
        <w:bottom w:val="none" w:sz="0" w:space="0" w:color="auto"/>
        <w:right w:val="none" w:sz="0" w:space="0" w:color="auto"/>
      </w:divBdr>
    </w:div>
    <w:div w:id="1187327143">
      <w:bodyDiv w:val="1"/>
      <w:marLeft w:val="0"/>
      <w:marRight w:val="0"/>
      <w:marTop w:val="0"/>
      <w:marBottom w:val="0"/>
      <w:divBdr>
        <w:top w:val="none" w:sz="0" w:space="0" w:color="auto"/>
        <w:left w:val="none" w:sz="0" w:space="0" w:color="auto"/>
        <w:bottom w:val="none" w:sz="0" w:space="0" w:color="auto"/>
        <w:right w:val="none" w:sz="0" w:space="0" w:color="auto"/>
      </w:divBdr>
    </w:div>
    <w:div w:id="1187789589">
      <w:bodyDiv w:val="1"/>
      <w:marLeft w:val="0"/>
      <w:marRight w:val="0"/>
      <w:marTop w:val="0"/>
      <w:marBottom w:val="0"/>
      <w:divBdr>
        <w:top w:val="none" w:sz="0" w:space="0" w:color="auto"/>
        <w:left w:val="none" w:sz="0" w:space="0" w:color="auto"/>
        <w:bottom w:val="none" w:sz="0" w:space="0" w:color="auto"/>
        <w:right w:val="none" w:sz="0" w:space="0" w:color="auto"/>
      </w:divBdr>
    </w:div>
    <w:div w:id="1188055907">
      <w:bodyDiv w:val="1"/>
      <w:marLeft w:val="0"/>
      <w:marRight w:val="0"/>
      <w:marTop w:val="0"/>
      <w:marBottom w:val="0"/>
      <w:divBdr>
        <w:top w:val="none" w:sz="0" w:space="0" w:color="auto"/>
        <w:left w:val="none" w:sz="0" w:space="0" w:color="auto"/>
        <w:bottom w:val="none" w:sz="0" w:space="0" w:color="auto"/>
        <w:right w:val="none" w:sz="0" w:space="0" w:color="auto"/>
      </w:divBdr>
    </w:div>
    <w:div w:id="1189218599">
      <w:bodyDiv w:val="1"/>
      <w:marLeft w:val="0"/>
      <w:marRight w:val="0"/>
      <w:marTop w:val="0"/>
      <w:marBottom w:val="0"/>
      <w:divBdr>
        <w:top w:val="none" w:sz="0" w:space="0" w:color="auto"/>
        <w:left w:val="none" w:sz="0" w:space="0" w:color="auto"/>
        <w:bottom w:val="none" w:sz="0" w:space="0" w:color="auto"/>
        <w:right w:val="none" w:sz="0" w:space="0" w:color="auto"/>
      </w:divBdr>
    </w:div>
    <w:div w:id="1189755414">
      <w:bodyDiv w:val="1"/>
      <w:marLeft w:val="0"/>
      <w:marRight w:val="0"/>
      <w:marTop w:val="0"/>
      <w:marBottom w:val="0"/>
      <w:divBdr>
        <w:top w:val="none" w:sz="0" w:space="0" w:color="auto"/>
        <w:left w:val="none" w:sz="0" w:space="0" w:color="auto"/>
        <w:bottom w:val="none" w:sz="0" w:space="0" w:color="auto"/>
        <w:right w:val="none" w:sz="0" w:space="0" w:color="auto"/>
      </w:divBdr>
    </w:div>
    <w:div w:id="1190532516">
      <w:bodyDiv w:val="1"/>
      <w:marLeft w:val="0"/>
      <w:marRight w:val="0"/>
      <w:marTop w:val="0"/>
      <w:marBottom w:val="0"/>
      <w:divBdr>
        <w:top w:val="none" w:sz="0" w:space="0" w:color="auto"/>
        <w:left w:val="none" w:sz="0" w:space="0" w:color="auto"/>
        <w:bottom w:val="none" w:sz="0" w:space="0" w:color="auto"/>
        <w:right w:val="none" w:sz="0" w:space="0" w:color="auto"/>
      </w:divBdr>
    </w:div>
    <w:div w:id="1190559732">
      <w:bodyDiv w:val="1"/>
      <w:marLeft w:val="0"/>
      <w:marRight w:val="0"/>
      <w:marTop w:val="0"/>
      <w:marBottom w:val="0"/>
      <w:divBdr>
        <w:top w:val="none" w:sz="0" w:space="0" w:color="auto"/>
        <w:left w:val="none" w:sz="0" w:space="0" w:color="auto"/>
        <w:bottom w:val="none" w:sz="0" w:space="0" w:color="auto"/>
        <w:right w:val="none" w:sz="0" w:space="0" w:color="auto"/>
      </w:divBdr>
    </w:div>
    <w:div w:id="1190685710">
      <w:bodyDiv w:val="1"/>
      <w:marLeft w:val="0"/>
      <w:marRight w:val="0"/>
      <w:marTop w:val="0"/>
      <w:marBottom w:val="0"/>
      <w:divBdr>
        <w:top w:val="none" w:sz="0" w:space="0" w:color="auto"/>
        <w:left w:val="none" w:sz="0" w:space="0" w:color="auto"/>
        <w:bottom w:val="none" w:sz="0" w:space="0" w:color="auto"/>
        <w:right w:val="none" w:sz="0" w:space="0" w:color="auto"/>
      </w:divBdr>
    </w:div>
    <w:div w:id="1190948012">
      <w:bodyDiv w:val="1"/>
      <w:marLeft w:val="0"/>
      <w:marRight w:val="0"/>
      <w:marTop w:val="0"/>
      <w:marBottom w:val="0"/>
      <w:divBdr>
        <w:top w:val="none" w:sz="0" w:space="0" w:color="auto"/>
        <w:left w:val="none" w:sz="0" w:space="0" w:color="auto"/>
        <w:bottom w:val="none" w:sz="0" w:space="0" w:color="auto"/>
        <w:right w:val="none" w:sz="0" w:space="0" w:color="auto"/>
      </w:divBdr>
    </w:div>
    <w:div w:id="1191527928">
      <w:bodyDiv w:val="1"/>
      <w:marLeft w:val="0"/>
      <w:marRight w:val="0"/>
      <w:marTop w:val="0"/>
      <w:marBottom w:val="0"/>
      <w:divBdr>
        <w:top w:val="none" w:sz="0" w:space="0" w:color="auto"/>
        <w:left w:val="none" w:sz="0" w:space="0" w:color="auto"/>
        <w:bottom w:val="none" w:sz="0" w:space="0" w:color="auto"/>
        <w:right w:val="none" w:sz="0" w:space="0" w:color="auto"/>
      </w:divBdr>
    </w:div>
    <w:div w:id="1192958785">
      <w:bodyDiv w:val="1"/>
      <w:marLeft w:val="0"/>
      <w:marRight w:val="0"/>
      <w:marTop w:val="0"/>
      <w:marBottom w:val="0"/>
      <w:divBdr>
        <w:top w:val="none" w:sz="0" w:space="0" w:color="auto"/>
        <w:left w:val="none" w:sz="0" w:space="0" w:color="auto"/>
        <w:bottom w:val="none" w:sz="0" w:space="0" w:color="auto"/>
        <w:right w:val="none" w:sz="0" w:space="0" w:color="auto"/>
      </w:divBdr>
    </w:div>
    <w:div w:id="1192960962">
      <w:bodyDiv w:val="1"/>
      <w:marLeft w:val="0"/>
      <w:marRight w:val="0"/>
      <w:marTop w:val="0"/>
      <w:marBottom w:val="0"/>
      <w:divBdr>
        <w:top w:val="none" w:sz="0" w:space="0" w:color="auto"/>
        <w:left w:val="none" w:sz="0" w:space="0" w:color="auto"/>
        <w:bottom w:val="none" w:sz="0" w:space="0" w:color="auto"/>
        <w:right w:val="none" w:sz="0" w:space="0" w:color="auto"/>
      </w:divBdr>
    </w:div>
    <w:div w:id="1193419908">
      <w:bodyDiv w:val="1"/>
      <w:marLeft w:val="0"/>
      <w:marRight w:val="0"/>
      <w:marTop w:val="0"/>
      <w:marBottom w:val="0"/>
      <w:divBdr>
        <w:top w:val="none" w:sz="0" w:space="0" w:color="auto"/>
        <w:left w:val="none" w:sz="0" w:space="0" w:color="auto"/>
        <w:bottom w:val="none" w:sz="0" w:space="0" w:color="auto"/>
        <w:right w:val="none" w:sz="0" w:space="0" w:color="auto"/>
      </w:divBdr>
    </w:div>
    <w:div w:id="1194267581">
      <w:bodyDiv w:val="1"/>
      <w:marLeft w:val="0"/>
      <w:marRight w:val="0"/>
      <w:marTop w:val="0"/>
      <w:marBottom w:val="0"/>
      <w:divBdr>
        <w:top w:val="none" w:sz="0" w:space="0" w:color="auto"/>
        <w:left w:val="none" w:sz="0" w:space="0" w:color="auto"/>
        <w:bottom w:val="none" w:sz="0" w:space="0" w:color="auto"/>
        <w:right w:val="none" w:sz="0" w:space="0" w:color="auto"/>
      </w:divBdr>
    </w:div>
    <w:div w:id="1195340967">
      <w:bodyDiv w:val="1"/>
      <w:marLeft w:val="0"/>
      <w:marRight w:val="0"/>
      <w:marTop w:val="0"/>
      <w:marBottom w:val="0"/>
      <w:divBdr>
        <w:top w:val="none" w:sz="0" w:space="0" w:color="auto"/>
        <w:left w:val="none" w:sz="0" w:space="0" w:color="auto"/>
        <w:bottom w:val="none" w:sz="0" w:space="0" w:color="auto"/>
        <w:right w:val="none" w:sz="0" w:space="0" w:color="auto"/>
      </w:divBdr>
    </w:div>
    <w:div w:id="1195851900">
      <w:bodyDiv w:val="1"/>
      <w:marLeft w:val="0"/>
      <w:marRight w:val="0"/>
      <w:marTop w:val="0"/>
      <w:marBottom w:val="0"/>
      <w:divBdr>
        <w:top w:val="none" w:sz="0" w:space="0" w:color="auto"/>
        <w:left w:val="none" w:sz="0" w:space="0" w:color="auto"/>
        <w:bottom w:val="none" w:sz="0" w:space="0" w:color="auto"/>
        <w:right w:val="none" w:sz="0" w:space="0" w:color="auto"/>
      </w:divBdr>
    </w:div>
    <w:div w:id="1195998599">
      <w:bodyDiv w:val="1"/>
      <w:marLeft w:val="0"/>
      <w:marRight w:val="0"/>
      <w:marTop w:val="0"/>
      <w:marBottom w:val="0"/>
      <w:divBdr>
        <w:top w:val="none" w:sz="0" w:space="0" w:color="auto"/>
        <w:left w:val="none" w:sz="0" w:space="0" w:color="auto"/>
        <w:bottom w:val="none" w:sz="0" w:space="0" w:color="auto"/>
        <w:right w:val="none" w:sz="0" w:space="0" w:color="auto"/>
      </w:divBdr>
    </w:div>
    <w:div w:id="1196384222">
      <w:bodyDiv w:val="1"/>
      <w:marLeft w:val="0"/>
      <w:marRight w:val="0"/>
      <w:marTop w:val="0"/>
      <w:marBottom w:val="0"/>
      <w:divBdr>
        <w:top w:val="none" w:sz="0" w:space="0" w:color="auto"/>
        <w:left w:val="none" w:sz="0" w:space="0" w:color="auto"/>
        <w:bottom w:val="none" w:sz="0" w:space="0" w:color="auto"/>
        <w:right w:val="none" w:sz="0" w:space="0" w:color="auto"/>
      </w:divBdr>
    </w:div>
    <w:div w:id="1196390458">
      <w:bodyDiv w:val="1"/>
      <w:marLeft w:val="0"/>
      <w:marRight w:val="0"/>
      <w:marTop w:val="0"/>
      <w:marBottom w:val="0"/>
      <w:divBdr>
        <w:top w:val="none" w:sz="0" w:space="0" w:color="auto"/>
        <w:left w:val="none" w:sz="0" w:space="0" w:color="auto"/>
        <w:bottom w:val="none" w:sz="0" w:space="0" w:color="auto"/>
        <w:right w:val="none" w:sz="0" w:space="0" w:color="auto"/>
      </w:divBdr>
    </w:div>
    <w:div w:id="1196651192">
      <w:bodyDiv w:val="1"/>
      <w:marLeft w:val="0"/>
      <w:marRight w:val="0"/>
      <w:marTop w:val="0"/>
      <w:marBottom w:val="0"/>
      <w:divBdr>
        <w:top w:val="none" w:sz="0" w:space="0" w:color="auto"/>
        <w:left w:val="none" w:sz="0" w:space="0" w:color="auto"/>
        <w:bottom w:val="none" w:sz="0" w:space="0" w:color="auto"/>
        <w:right w:val="none" w:sz="0" w:space="0" w:color="auto"/>
      </w:divBdr>
    </w:div>
    <w:div w:id="1197042373">
      <w:bodyDiv w:val="1"/>
      <w:marLeft w:val="0"/>
      <w:marRight w:val="0"/>
      <w:marTop w:val="0"/>
      <w:marBottom w:val="0"/>
      <w:divBdr>
        <w:top w:val="none" w:sz="0" w:space="0" w:color="auto"/>
        <w:left w:val="none" w:sz="0" w:space="0" w:color="auto"/>
        <w:bottom w:val="none" w:sz="0" w:space="0" w:color="auto"/>
        <w:right w:val="none" w:sz="0" w:space="0" w:color="auto"/>
      </w:divBdr>
    </w:div>
    <w:div w:id="1197280117">
      <w:bodyDiv w:val="1"/>
      <w:marLeft w:val="0"/>
      <w:marRight w:val="0"/>
      <w:marTop w:val="0"/>
      <w:marBottom w:val="0"/>
      <w:divBdr>
        <w:top w:val="none" w:sz="0" w:space="0" w:color="auto"/>
        <w:left w:val="none" w:sz="0" w:space="0" w:color="auto"/>
        <w:bottom w:val="none" w:sz="0" w:space="0" w:color="auto"/>
        <w:right w:val="none" w:sz="0" w:space="0" w:color="auto"/>
      </w:divBdr>
    </w:div>
    <w:div w:id="1197349124">
      <w:bodyDiv w:val="1"/>
      <w:marLeft w:val="0"/>
      <w:marRight w:val="0"/>
      <w:marTop w:val="0"/>
      <w:marBottom w:val="0"/>
      <w:divBdr>
        <w:top w:val="none" w:sz="0" w:space="0" w:color="auto"/>
        <w:left w:val="none" w:sz="0" w:space="0" w:color="auto"/>
        <w:bottom w:val="none" w:sz="0" w:space="0" w:color="auto"/>
        <w:right w:val="none" w:sz="0" w:space="0" w:color="auto"/>
      </w:divBdr>
    </w:div>
    <w:div w:id="1198278737">
      <w:bodyDiv w:val="1"/>
      <w:marLeft w:val="0"/>
      <w:marRight w:val="0"/>
      <w:marTop w:val="0"/>
      <w:marBottom w:val="0"/>
      <w:divBdr>
        <w:top w:val="none" w:sz="0" w:space="0" w:color="auto"/>
        <w:left w:val="none" w:sz="0" w:space="0" w:color="auto"/>
        <w:bottom w:val="none" w:sz="0" w:space="0" w:color="auto"/>
        <w:right w:val="none" w:sz="0" w:space="0" w:color="auto"/>
      </w:divBdr>
    </w:div>
    <w:div w:id="1198422607">
      <w:bodyDiv w:val="1"/>
      <w:marLeft w:val="0"/>
      <w:marRight w:val="0"/>
      <w:marTop w:val="0"/>
      <w:marBottom w:val="0"/>
      <w:divBdr>
        <w:top w:val="none" w:sz="0" w:space="0" w:color="auto"/>
        <w:left w:val="none" w:sz="0" w:space="0" w:color="auto"/>
        <w:bottom w:val="none" w:sz="0" w:space="0" w:color="auto"/>
        <w:right w:val="none" w:sz="0" w:space="0" w:color="auto"/>
      </w:divBdr>
    </w:div>
    <w:div w:id="1198735392">
      <w:bodyDiv w:val="1"/>
      <w:marLeft w:val="0"/>
      <w:marRight w:val="0"/>
      <w:marTop w:val="0"/>
      <w:marBottom w:val="0"/>
      <w:divBdr>
        <w:top w:val="none" w:sz="0" w:space="0" w:color="auto"/>
        <w:left w:val="none" w:sz="0" w:space="0" w:color="auto"/>
        <w:bottom w:val="none" w:sz="0" w:space="0" w:color="auto"/>
        <w:right w:val="none" w:sz="0" w:space="0" w:color="auto"/>
      </w:divBdr>
    </w:div>
    <w:div w:id="1199591039">
      <w:bodyDiv w:val="1"/>
      <w:marLeft w:val="0"/>
      <w:marRight w:val="0"/>
      <w:marTop w:val="0"/>
      <w:marBottom w:val="0"/>
      <w:divBdr>
        <w:top w:val="none" w:sz="0" w:space="0" w:color="auto"/>
        <w:left w:val="none" w:sz="0" w:space="0" w:color="auto"/>
        <w:bottom w:val="none" w:sz="0" w:space="0" w:color="auto"/>
        <w:right w:val="none" w:sz="0" w:space="0" w:color="auto"/>
      </w:divBdr>
    </w:div>
    <w:div w:id="1199775706">
      <w:bodyDiv w:val="1"/>
      <w:marLeft w:val="0"/>
      <w:marRight w:val="0"/>
      <w:marTop w:val="0"/>
      <w:marBottom w:val="0"/>
      <w:divBdr>
        <w:top w:val="none" w:sz="0" w:space="0" w:color="auto"/>
        <w:left w:val="none" w:sz="0" w:space="0" w:color="auto"/>
        <w:bottom w:val="none" w:sz="0" w:space="0" w:color="auto"/>
        <w:right w:val="none" w:sz="0" w:space="0" w:color="auto"/>
      </w:divBdr>
    </w:div>
    <w:div w:id="1201359722">
      <w:bodyDiv w:val="1"/>
      <w:marLeft w:val="0"/>
      <w:marRight w:val="0"/>
      <w:marTop w:val="0"/>
      <w:marBottom w:val="0"/>
      <w:divBdr>
        <w:top w:val="none" w:sz="0" w:space="0" w:color="auto"/>
        <w:left w:val="none" w:sz="0" w:space="0" w:color="auto"/>
        <w:bottom w:val="none" w:sz="0" w:space="0" w:color="auto"/>
        <w:right w:val="none" w:sz="0" w:space="0" w:color="auto"/>
      </w:divBdr>
    </w:div>
    <w:div w:id="1201438633">
      <w:bodyDiv w:val="1"/>
      <w:marLeft w:val="0"/>
      <w:marRight w:val="0"/>
      <w:marTop w:val="0"/>
      <w:marBottom w:val="0"/>
      <w:divBdr>
        <w:top w:val="none" w:sz="0" w:space="0" w:color="auto"/>
        <w:left w:val="none" w:sz="0" w:space="0" w:color="auto"/>
        <w:bottom w:val="none" w:sz="0" w:space="0" w:color="auto"/>
        <w:right w:val="none" w:sz="0" w:space="0" w:color="auto"/>
      </w:divBdr>
    </w:div>
    <w:div w:id="1202010104">
      <w:bodyDiv w:val="1"/>
      <w:marLeft w:val="0"/>
      <w:marRight w:val="0"/>
      <w:marTop w:val="0"/>
      <w:marBottom w:val="0"/>
      <w:divBdr>
        <w:top w:val="none" w:sz="0" w:space="0" w:color="auto"/>
        <w:left w:val="none" w:sz="0" w:space="0" w:color="auto"/>
        <w:bottom w:val="none" w:sz="0" w:space="0" w:color="auto"/>
        <w:right w:val="none" w:sz="0" w:space="0" w:color="auto"/>
      </w:divBdr>
    </w:div>
    <w:div w:id="1202938035">
      <w:bodyDiv w:val="1"/>
      <w:marLeft w:val="0"/>
      <w:marRight w:val="0"/>
      <w:marTop w:val="0"/>
      <w:marBottom w:val="0"/>
      <w:divBdr>
        <w:top w:val="none" w:sz="0" w:space="0" w:color="auto"/>
        <w:left w:val="none" w:sz="0" w:space="0" w:color="auto"/>
        <w:bottom w:val="none" w:sz="0" w:space="0" w:color="auto"/>
        <w:right w:val="none" w:sz="0" w:space="0" w:color="auto"/>
      </w:divBdr>
    </w:div>
    <w:div w:id="1203134726">
      <w:bodyDiv w:val="1"/>
      <w:marLeft w:val="0"/>
      <w:marRight w:val="0"/>
      <w:marTop w:val="0"/>
      <w:marBottom w:val="0"/>
      <w:divBdr>
        <w:top w:val="none" w:sz="0" w:space="0" w:color="auto"/>
        <w:left w:val="none" w:sz="0" w:space="0" w:color="auto"/>
        <w:bottom w:val="none" w:sz="0" w:space="0" w:color="auto"/>
        <w:right w:val="none" w:sz="0" w:space="0" w:color="auto"/>
      </w:divBdr>
    </w:div>
    <w:div w:id="1203523095">
      <w:bodyDiv w:val="1"/>
      <w:marLeft w:val="0"/>
      <w:marRight w:val="0"/>
      <w:marTop w:val="0"/>
      <w:marBottom w:val="0"/>
      <w:divBdr>
        <w:top w:val="none" w:sz="0" w:space="0" w:color="auto"/>
        <w:left w:val="none" w:sz="0" w:space="0" w:color="auto"/>
        <w:bottom w:val="none" w:sz="0" w:space="0" w:color="auto"/>
        <w:right w:val="none" w:sz="0" w:space="0" w:color="auto"/>
      </w:divBdr>
    </w:div>
    <w:div w:id="1203707668">
      <w:bodyDiv w:val="1"/>
      <w:marLeft w:val="0"/>
      <w:marRight w:val="0"/>
      <w:marTop w:val="0"/>
      <w:marBottom w:val="0"/>
      <w:divBdr>
        <w:top w:val="none" w:sz="0" w:space="0" w:color="auto"/>
        <w:left w:val="none" w:sz="0" w:space="0" w:color="auto"/>
        <w:bottom w:val="none" w:sz="0" w:space="0" w:color="auto"/>
        <w:right w:val="none" w:sz="0" w:space="0" w:color="auto"/>
      </w:divBdr>
    </w:div>
    <w:div w:id="1204371194">
      <w:bodyDiv w:val="1"/>
      <w:marLeft w:val="0"/>
      <w:marRight w:val="0"/>
      <w:marTop w:val="0"/>
      <w:marBottom w:val="0"/>
      <w:divBdr>
        <w:top w:val="none" w:sz="0" w:space="0" w:color="auto"/>
        <w:left w:val="none" w:sz="0" w:space="0" w:color="auto"/>
        <w:bottom w:val="none" w:sz="0" w:space="0" w:color="auto"/>
        <w:right w:val="none" w:sz="0" w:space="0" w:color="auto"/>
      </w:divBdr>
    </w:div>
    <w:div w:id="1204705926">
      <w:bodyDiv w:val="1"/>
      <w:marLeft w:val="0"/>
      <w:marRight w:val="0"/>
      <w:marTop w:val="0"/>
      <w:marBottom w:val="0"/>
      <w:divBdr>
        <w:top w:val="none" w:sz="0" w:space="0" w:color="auto"/>
        <w:left w:val="none" w:sz="0" w:space="0" w:color="auto"/>
        <w:bottom w:val="none" w:sz="0" w:space="0" w:color="auto"/>
        <w:right w:val="none" w:sz="0" w:space="0" w:color="auto"/>
      </w:divBdr>
    </w:div>
    <w:div w:id="1205170597">
      <w:bodyDiv w:val="1"/>
      <w:marLeft w:val="0"/>
      <w:marRight w:val="0"/>
      <w:marTop w:val="0"/>
      <w:marBottom w:val="0"/>
      <w:divBdr>
        <w:top w:val="none" w:sz="0" w:space="0" w:color="auto"/>
        <w:left w:val="none" w:sz="0" w:space="0" w:color="auto"/>
        <w:bottom w:val="none" w:sz="0" w:space="0" w:color="auto"/>
        <w:right w:val="none" w:sz="0" w:space="0" w:color="auto"/>
      </w:divBdr>
    </w:div>
    <w:div w:id="1205361208">
      <w:bodyDiv w:val="1"/>
      <w:marLeft w:val="0"/>
      <w:marRight w:val="0"/>
      <w:marTop w:val="0"/>
      <w:marBottom w:val="0"/>
      <w:divBdr>
        <w:top w:val="none" w:sz="0" w:space="0" w:color="auto"/>
        <w:left w:val="none" w:sz="0" w:space="0" w:color="auto"/>
        <w:bottom w:val="none" w:sz="0" w:space="0" w:color="auto"/>
        <w:right w:val="none" w:sz="0" w:space="0" w:color="auto"/>
      </w:divBdr>
    </w:div>
    <w:div w:id="1205408922">
      <w:bodyDiv w:val="1"/>
      <w:marLeft w:val="0"/>
      <w:marRight w:val="0"/>
      <w:marTop w:val="0"/>
      <w:marBottom w:val="0"/>
      <w:divBdr>
        <w:top w:val="none" w:sz="0" w:space="0" w:color="auto"/>
        <w:left w:val="none" w:sz="0" w:space="0" w:color="auto"/>
        <w:bottom w:val="none" w:sz="0" w:space="0" w:color="auto"/>
        <w:right w:val="none" w:sz="0" w:space="0" w:color="auto"/>
      </w:divBdr>
    </w:div>
    <w:div w:id="1205603986">
      <w:bodyDiv w:val="1"/>
      <w:marLeft w:val="0"/>
      <w:marRight w:val="0"/>
      <w:marTop w:val="0"/>
      <w:marBottom w:val="0"/>
      <w:divBdr>
        <w:top w:val="none" w:sz="0" w:space="0" w:color="auto"/>
        <w:left w:val="none" w:sz="0" w:space="0" w:color="auto"/>
        <w:bottom w:val="none" w:sz="0" w:space="0" w:color="auto"/>
        <w:right w:val="none" w:sz="0" w:space="0" w:color="auto"/>
      </w:divBdr>
    </w:div>
    <w:div w:id="1205828581">
      <w:bodyDiv w:val="1"/>
      <w:marLeft w:val="0"/>
      <w:marRight w:val="0"/>
      <w:marTop w:val="0"/>
      <w:marBottom w:val="0"/>
      <w:divBdr>
        <w:top w:val="none" w:sz="0" w:space="0" w:color="auto"/>
        <w:left w:val="none" w:sz="0" w:space="0" w:color="auto"/>
        <w:bottom w:val="none" w:sz="0" w:space="0" w:color="auto"/>
        <w:right w:val="none" w:sz="0" w:space="0" w:color="auto"/>
      </w:divBdr>
    </w:div>
    <w:div w:id="1205946993">
      <w:bodyDiv w:val="1"/>
      <w:marLeft w:val="0"/>
      <w:marRight w:val="0"/>
      <w:marTop w:val="0"/>
      <w:marBottom w:val="0"/>
      <w:divBdr>
        <w:top w:val="none" w:sz="0" w:space="0" w:color="auto"/>
        <w:left w:val="none" w:sz="0" w:space="0" w:color="auto"/>
        <w:bottom w:val="none" w:sz="0" w:space="0" w:color="auto"/>
        <w:right w:val="none" w:sz="0" w:space="0" w:color="auto"/>
      </w:divBdr>
    </w:div>
    <w:div w:id="1206260518">
      <w:bodyDiv w:val="1"/>
      <w:marLeft w:val="0"/>
      <w:marRight w:val="0"/>
      <w:marTop w:val="0"/>
      <w:marBottom w:val="0"/>
      <w:divBdr>
        <w:top w:val="none" w:sz="0" w:space="0" w:color="auto"/>
        <w:left w:val="none" w:sz="0" w:space="0" w:color="auto"/>
        <w:bottom w:val="none" w:sz="0" w:space="0" w:color="auto"/>
        <w:right w:val="none" w:sz="0" w:space="0" w:color="auto"/>
      </w:divBdr>
    </w:div>
    <w:div w:id="1206332361">
      <w:bodyDiv w:val="1"/>
      <w:marLeft w:val="0"/>
      <w:marRight w:val="0"/>
      <w:marTop w:val="0"/>
      <w:marBottom w:val="0"/>
      <w:divBdr>
        <w:top w:val="none" w:sz="0" w:space="0" w:color="auto"/>
        <w:left w:val="none" w:sz="0" w:space="0" w:color="auto"/>
        <w:bottom w:val="none" w:sz="0" w:space="0" w:color="auto"/>
        <w:right w:val="none" w:sz="0" w:space="0" w:color="auto"/>
      </w:divBdr>
    </w:div>
    <w:div w:id="1206480981">
      <w:bodyDiv w:val="1"/>
      <w:marLeft w:val="0"/>
      <w:marRight w:val="0"/>
      <w:marTop w:val="0"/>
      <w:marBottom w:val="0"/>
      <w:divBdr>
        <w:top w:val="none" w:sz="0" w:space="0" w:color="auto"/>
        <w:left w:val="none" w:sz="0" w:space="0" w:color="auto"/>
        <w:bottom w:val="none" w:sz="0" w:space="0" w:color="auto"/>
        <w:right w:val="none" w:sz="0" w:space="0" w:color="auto"/>
      </w:divBdr>
    </w:div>
    <w:div w:id="1206600167">
      <w:bodyDiv w:val="1"/>
      <w:marLeft w:val="0"/>
      <w:marRight w:val="0"/>
      <w:marTop w:val="0"/>
      <w:marBottom w:val="0"/>
      <w:divBdr>
        <w:top w:val="none" w:sz="0" w:space="0" w:color="auto"/>
        <w:left w:val="none" w:sz="0" w:space="0" w:color="auto"/>
        <w:bottom w:val="none" w:sz="0" w:space="0" w:color="auto"/>
        <w:right w:val="none" w:sz="0" w:space="0" w:color="auto"/>
      </w:divBdr>
    </w:div>
    <w:div w:id="1206603482">
      <w:bodyDiv w:val="1"/>
      <w:marLeft w:val="0"/>
      <w:marRight w:val="0"/>
      <w:marTop w:val="0"/>
      <w:marBottom w:val="0"/>
      <w:divBdr>
        <w:top w:val="none" w:sz="0" w:space="0" w:color="auto"/>
        <w:left w:val="none" w:sz="0" w:space="0" w:color="auto"/>
        <w:bottom w:val="none" w:sz="0" w:space="0" w:color="auto"/>
        <w:right w:val="none" w:sz="0" w:space="0" w:color="auto"/>
      </w:divBdr>
    </w:div>
    <w:div w:id="1206866980">
      <w:bodyDiv w:val="1"/>
      <w:marLeft w:val="0"/>
      <w:marRight w:val="0"/>
      <w:marTop w:val="0"/>
      <w:marBottom w:val="0"/>
      <w:divBdr>
        <w:top w:val="none" w:sz="0" w:space="0" w:color="auto"/>
        <w:left w:val="none" w:sz="0" w:space="0" w:color="auto"/>
        <w:bottom w:val="none" w:sz="0" w:space="0" w:color="auto"/>
        <w:right w:val="none" w:sz="0" w:space="0" w:color="auto"/>
      </w:divBdr>
    </w:div>
    <w:div w:id="1206943226">
      <w:bodyDiv w:val="1"/>
      <w:marLeft w:val="0"/>
      <w:marRight w:val="0"/>
      <w:marTop w:val="0"/>
      <w:marBottom w:val="0"/>
      <w:divBdr>
        <w:top w:val="none" w:sz="0" w:space="0" w:color="auto"/>
        <w:left w:val="none" w:sz="0" w:space="0" w:color="auto"/>
        <w:bottom w:val="none" w:sz="0" w:space="0" w:color="auto"/>
        <w:right w:val="none" w:sz="0" w:space="0" w:color="auto"/>
      </w:divBdr>
    </w:div>
    <w:div w:id="1207329516">
      <w:bodyDiv w:val="1"/>
      <w:marLeft w:val="0"/>
      <w:marRight w:val="0"/>
      <w:marTop w:val="0"/>
      <w:marBottom w:val="0"/>
      <w:divBdr>
        <w:top w:val="none" w:sz="0" w:space="0" w:color="auto"/>
        <w:left w:val="none" w:sz="0" w:space="0" w:color="auto"/>
        <w:bottom w:val="none" w:sz="0" w:space="0" w:color="auto"/>
        <w:right w:val="none" w:sz="0" w:space="0" w:color="auto"/>
      </w:divBdr>
    </w:div>
    <w:div w:id="1207571980">
      <w:bodyDiv w:val="1"/>
      <w:marLeft w:val="0"/>
      <w:marRight w:val="0"/>
      <w:marTop w:val="0"/>
      <w:marBottom w:val="0"/>
      <w:divBdr>
        <w:top w:val="none" w:sz="0" w:space="0" w:color="auto"/>
        <w:left w:val="none" w:sz="0" w:space="0" w:color="auto"/>
        <w:bottom w:val="none" w:sz="0" w:space="0" w:color="auto"/>
        <w:right w:val="none" w:sz="0" w:space="0" w:color="auto"/>
      </w:divBdr>
    </w:div>
    <w:div w:id="1208642945">
      <w:bodyDiv w:val="1"/>
      <w:marLeft w:val="0"/>
      <w:marRight w:val="0"/>
      <w:marTop w:val="0"/>
      <w:marBottom w:val="0"/>
      <w:divBdr>
        <w:top w:val="none" w:sz="0" w:space="0" w:color="auto"/>
        <w:left w:val="none" w:sz="0" w:space="0" w:color="auto"/>
        <w:bottom w:val="none" w:sz="0" w:space="0" w:color="auto"/>
        <w:right w:val="none" w:sz="0" w:space="0" w:color="auto"/>
      </w:divBdr>
    </w:div>
    <w:div w:id="1209298206">
      <w:bodyDiv w:val="1"/>
      <w:marLeft w:val="0"/>
      <w:marRight w:val="0"/>
      <w:marTop w:val="0"/>
      <w:marBottom w:val="0"/>
      <w:divBdr>
        <w:top w:val="none" w:sz="0" w:space="0" w:color="auto"/>
        <w:left w:val="none" w:sz="0" w:space="0" w:color="auto"/>
        <w:bottom w:val="none" w:sz="0" w:space="0" w:color="auto"/>
        <w:right w:val="none" w:sz="0" w:space="0" w:color="auto"/>
      </w:divBdr>
    </w:div>
    <w:div w:id="1209298228">
      <w:bodyDiv w:val="1"/>
      <w:marLeft w:val="0"/>
      <w:marRight w:val="0"/>
      <w:marTop w:val="0"/>
      <w:marBottom w:val="0"/>
      <w:divBdr>
        <w:top w:val="none" w:sz="0" w:space="0" w:color="auto"/>
        <w:left w:val="none" w:sz="0" w:space="0" w:color="auto"/>
        <w:bottom w:val="none" w:sz="0" w:space="0" w:color="auto"/>
        <w:right w:val="none" w:sz="0" w:space="0" w:color="auto"/>
      </w:divBdr>
    </w:div>
    <w:div w:id="1209534985">
      <w:bodyDiv w:val="1"/>
      <w:marLeft w:val="0"/>
      <w:marRight w:val="0"/>
      <w:marTop w:val="0"/>
      <w:marBottom w:val="0"/>
      <w:divBdr>
        <w:top w:val="none" w:sz="0" w:space="0" w:color="auto"/>
        <w:left w:val="none" w:sz="0" w:space="0" w:color="auto"/>
        <w:bottom w:val="none" w:sz="0" w:space="0" w:color="auto"/>
        <w:right w:val="none" w:sz="0" w:space="0" w:color="auto"/>
      </w:divBdr>
    </w:div>
    <w:div w:id="1209607383">
      <w:bodyDiv w:val="1"/>
      <w:marLeft w:val="0"/>
      <w:marRight w:val="0"/>
      <w:marTop w:val="0"/>
      <w:marBottom w:val="0"/>
      <w:divBdr>
        <w:top w:val="none" w:sz="0" w:space="0" w:color="auto"/>
        <w:left w:val="none" w:sz="0" w:space="0" w:color="auto"/>
        <w:bottom w:val="none" w:sz="0" w:space="0" w:color="auto"/>
        <w:right w:val="none" w:sz="0" w:space="0" w:color="auto"/>
      </w:divBdr>
    </w:div>
    <w:div w:id="1210338142">
      <w:bodyDiv w:val="1"/>
      <w:marLeft w:val="0"/>
      <w:marRight w:val="0"/>
      <w:marTop w:val="0"/>
      <w:marBottom w:val="0"/>
      <w:divBdr>
        <w:top w:val="none" w:sz="0" w:space="0" w:color="auto"/>
        <w:left w:val="none" w:sz="0" w:space="0" w:color="auto"/>
        <w:bottom w:val="none" w:sz="0" w:space="0" w:color="auto"/>
        <w:right w:val="none" w:sz="0" w:space="0" w:color="auto"/>
      </w:divBdr>
    </w:div>
    <w:div w:id="1210611631">
      <w:bodyDiv w:val="1"/>
      <w:marLeft w:val="0"/>
      <w:marRight w:val="0"/>
      <w:marTop w:val="0"/>
      <w:marBottom w:val="0"/>
      <w:divBdr>
        <w:top w:val="none" w:sz="0" w:space="0" w:color="auto"/>
        <w:left w:val="none" w:sz="0" w:space="0" w:color="auto"/>
        <w:bottom w:val="none" w:sz="0" w:space="0" w:color="auto"/>
        <w:right w:val="none" w:sz="0" w:space="0" w:color="auto"/>
      </w:divBdr>
    </w:div>
    <w:div w:id="1210920427">
      <w:bodyDiv w:val="1"/>
      <w:marLeft w:val="0"/>
      <w:marRight w:val="0"/>
      <w:marTop w:val="0"/>
      <w:marBottom w:val="0"/>
      <w:divBdr>
        <w:top w:val="none" w:sz="0" w:space="0" w:color="auto"/>
        <w:left w:val="none" w:sz="0" w:space="0" w:color="auto"/>
        <w:bottom w:val="none" w:sz="0" w:space="0" w:color="auto"/>
        <w:right w:val="none" w:sz="0" w:space="0" w:color="auto"/>
      </w:divBdr>
    </w:div>
    <w:div w:id="1211651290">
      <w:bodyDiv w:val="1"/>
      <w:marLeft w:val="0"/>
      <w:marRight w:val="0"/>
      <w:marTop w:val="0"/>
      <w:marBottom w:val="0"/>
      <w:divBdr>
        <w:top w:val="none" w:sz="0" w:space="0" w:color="auto"/>
        <w:left w:val="none" w:sz="0" w:space="0" w:color="auto"/>
        <w:bottom w:val="none" w:sz="0" w:space="0" w:color="auto"/>
        <w:right w:val="none" w:sz="0" w:space="0" w:color="auto"/>
      </w:divBdr>
    </w:div>
    <w:div w:id="1211841468">
      <w:bodyDiv w:val="1"/>
      <w:marLeft w:val="0"/>
      <w:marRight w:val="0"/>
      <w:marTop w:val="0"/>
      <w:marBottom w:val="0"/>
      <w:divBdr>
        <w:top w:val="none" w:sz="0" w:space="0" w:color="auto"/>
        <w:left w:val="none" w:sz="0" w:space="0" w:color="auto"/>
        <w:bottom w:val="none" w:sz="0" w:space="0" w:color="auto"/>
        <w:right w:val="none" w:sz="0" w:space="0" w:color="auto"/>
      </w:divBdr>
    </w:div>
    <w:div w:id="1211844216">
      <w:bodyDiv w:val="1"/>
      <w:marLeft w:val="0"/>
      <w:marRight w:val="0"/>
      <w:marTop w:val="0"/>
      <w:marBottom w:val="0"/>
      <w:divBdr>
        <w:top w:val="none" w:sz="0" w:space="0" w:color="auto"/>
        <w:left w:val="none" w:sz="0" w:space="0" w:color="auto"/>
        <w:bottom w:val="none" w:sz="0" w:space="0" w:color="auto"/>
        <w:right w:val="none" w:sz="0" w:space="0" w:color="auto"/>
      </w:divBdr>
    </w:div>
    <w:div w:id="1212108232">
      <w:bodyDiv w:val="1"/>
      <w:marLeft w:val="0"/>
      <w:marRight w:val="0"/>
      <w:marTop w:val="0"/>
      <w:marBottom w:val="0"/>
      <w:divBdr>
        <w:top w:val="none" w:sz="0" w:space="0" w:color="auto"/>
        <w:left w:val="none" w:sz="0" w:space="0" w:color="auto"/>
        <w:bottom w:val="none" w:sz="0" w:space="0" w:color="auto"/>
        <w:right w:val="none" w:sz="0" w:space="0" w:color="auto"/>
      </w:divBdr>
    </w:div>
    <w:div w:id="1212500759">
      <w:bodyDiv w:val="1"/>
      <w:marLeft w:val="0"/>
      <w:marRight w:val="0"/>
      <w:marTop w:val="0"/>
      <w:marBottom w:val="0"/>
      <w:divBdr>
        <w:top w:val="none" w:sz="0" w:space="0" w:color="auto"/>
        <w:left w:val="none" w:sz="0" w:space="0" w:color="auto"/>
        <w:bottom w:val="none" w:sz="0" w:space="0" w:color="auto"/>
        <w:right w:val="none" w:sz="0" w:space="0" w:color="auto"/>
      </w:divBdr>
    </w:div>
    <w:div w:id="1212501620">
      <w:bodyDiv w:val="1"/>
      <w:marLeft w:val="0"/>
      <w:marRight w:val="0"/>
      <w:marTop w:val="0"/>
      <w:marBottom w:val="0"/>
      <w:divBdr>
        <w:top w:val="none" w:sz="0" w:space="0" w:color="auto"/>
        <w:left w:val="none" w:sz="0" w:space="0" w:color="auto"/>
        <w:bottom w:val="none" w:sz="0" w:space="0" w:color="auto"/>
        <w:right w:val="none" w:sz="0" w:space="0" w:color="auto"/>
      </w:divBdr>
    </w:div>
    <w:div w:id="1212572213">
      <w:bodyDiv w:val="1"/>
      <w:marLeft w:val="0"/>
      <w:marRight w:val="0"/>
      <w:marTop w:val="0"/>
      <w:marBottom w:val="0"/>
      <w:divBdr>
        <w:top w:val="none" w:sz="0" w:space="0" w:color="auto"/>
        <w:left w:val="none" w:sz="0" w:space="0" w:color="auto"/>
        <w:bottom w:val="none" w:sz="0" w:space="0" w:color="auto"/>
        <w:right w:val="none" w:sz="0" w:space="0" w:color="auto"/>
      </w:divBdr>
    </w:div>
    <w:div w:id="1213035634">
      <w:bodyDiv w:val="1"/>
      <w:marLeft w:val="0"/>
      <w:marRight w:val="0"/>
      <w:marTop w:val="0"/>
      <w:marBottom w:val="0"/>
      <w:divBdr>
        <w:top w:val="none" w:sz="0" w:space="0" w:color="auto"/>
        <w:left w:val="none" w:sz="0" w:space="0" w:color="auto"/>
        <w:bottom w:val="none" w:sz="0" w:space="0" w:color="auto"/>
        <w:right w:val="none" w:sz="0" w:space="0" w:color="auto"/>
      </w:divBdr>
    </w:div>
    <w:div w:id="1213232286">
      <w:bodyDiv w:val="1"/>
      <w:marLeft w:val="0"/>
      <w:marRight w:val="0"/>
      <w:marTop w:val="0"/>
      <w:marBottom w:val="0"/>
      <w:divBdr>
        <w:top w:val="none" w:sz="0" w:space="0" w:color="auto"/>
        <w:left w:val="none" w:sz="0" w:space="0" w:color="auto"/>
        <w:bottom w:val="none" w:sz="0" w:space="0" w:color="auto"/>
        <w:right w:val="none" w:sz="0" w:space="0" w:color="auto"/>
      </w:divBdr>
    </w:div>
    <w:div w:id="1213348270">
      <w:bodyDiv w:val="1"/>
      <w:marLeft w:val="0"/>
      <w:marRight w:val="0"/>
      <w:marTop w:val="0"/>
      <w:marBottom w:val="0"/>
      <w:divBdr>
        <w:top w:val="none" w:sz="0" w:space="0" w:color="auto"/>
        <w:left w:val="none" w:sz="0" w:space="0" w:color="auto"/>
        <w:bottom w:val="none" w:sz="0" w:space="0" w:color="auto"/>
        <w:right w:val="none" w:sz="0" w:space="0" w:color="auto"/>
      </w:divBdr>
    </w:div>
    <w:div w:id="1213880310">
      <w:bodyDiv w:val="1"/>
      <w:marLeft w:val="0"/>
      <w:marRight w:val="0"/>
      <w:marTop w:val="0"/>
      <w:marBottom w:val="0"/>
      <w:divBdr>
        <w:top w:val="none" w:sz="0" w:space="0" w:color="auto"/>
        <w:left w:val="none" w:sz="0" w:space="0" w:color="auto"/>
        <w:bottom w:val="none" w:sz="0" w:space="0" w:color="auto"/>
        <w:right w:val="none" w:sz="0" w:space="0" w:color="auto"/>
      </w:divBdr>
    </w:div>
    <w:div w:id="1214149015">
      <w:bodyDiv w:val="1"/>
      <w:marLeft w:val="0"/>
      <w:marRight w:val="0"/>
      <w:marTop w:val="0"/>
      <w:marBottom w:val="0"/>
      <w:divBdr>
        <w:top w:val="none" w:sz="0" w:space="0" w:color="auto"/>
        <w:left w:val="none" w:sz="0" w:space="0" w:color="auto"/>
        <w:bottom w:val="none" w:sz="0" w:space="0" w:color="auto"/>
        <w:right w:val="none" w:sz="0" w:space="0" w:color="auto"/>
      </w:divBdr>
    </w:div>
    <w:div w:id="1214732648">
      <w:bodyDiv w:val="1"/>
      <w:marLeft w:val="0"/>
      <w:marRight w:val="0"/>
      <w:marTop w:val="0"/>
      <w:marBottom w:val="0"/>
      <w:divBdr>
        <w:top w:val="none" w:sz="0" w:space="0" w:color="auto"/>
        <w:left w:val="none" w:sz="0" w:space="0" w:color="auto"/>
        <w:bottom w:val="none" w:sz="0" w:space="0" w:color="auto"/>
        <w:right w:val="none" w:sz="0" w:space="0" w:color="auto"/>
      </w:divBdr>
    </w:div>
    <w:div w:id="1215115904">
      <w:bodyDiv w:val="1"/>
      <w:marLeft w:val="0"/>
      <w:marRight w:val="0"/>
      <w:marTop w:val="0"/>
      <w:marBottom w:val="0"/>
      <w:divBdr>
        <w:top w:val="none" w:sz="0" w:space="0" w:color="auto"/>
        <w:left w:val="none" w:sz="0" w:space="0" w:color="auto"/>
        <w:bottom w:val="none" w:sz="0" w:space="0" w:color="auto"/>
        <w:right w:val="none" w:sz="0" w:space="0" w:color="auto"/>
      </w:divBdr>
    </w:div>
    <w:div w:id="1215390519">
      <w:bodyDiv w:val="1"/>
      <w:marLeft w:val="0"/>
      <w:marRight w:val="0"/>
      <w:marTop w:val="0"/>
      <w:marBottom w:val="0"/>
      <w:divBdr>
        <w:top w:val="none" w:sz="0" w:space="0" w:color="auto"/>
        <w:left w:val="none" w:sz="0" w:space="0" w:color="auto"/>
        <w:bottom w:val="none" w:sz="0" w:space="0" w:color="auto"/>
        <w:right w:val="none" w:sz="0" w:space="0" w:color="auto"/>
      </w:divBdr>
    </w:div>
    <w:div w:id="1215585062">
      <w:bodyDiv w:val="1"/>
      <w:marLeft w:val="0"/>
      <w:marRight w:val="0"/>
      <w:marTop w:val="0"/>
      <w:marBottom w:val="0"/>
      <w:divBdr>
        <w:top w:val="none" w:sz="0" w:space="0" w:color="auto"/>
        <w:left w:val="none" w:sz="0" w:space="0" w:color="auto"/>
        <w:bottom w:val="none" w:sz="0" w:space="0" w:color="auto"/>
        <w:right w:val="none" w:sz="0" w:space="0" w:color="auto"/>
      </w:divBdr>
    </w:div>
    <w:div w:id="1215658041">
      <w:bodyDiv w:val="1"/>
      <w:marLeft w:val="0"/>
      <w:marRight w:val="0"/>
      <w:marTop w:val="0"/>
      <w:marBottom w:val="0"/>
      <w:divBdr>
        <w:top w:val="none" w:sz="0" w:space="0" w:color="auto"/>
        <w:left w:val="none" w:sz="0" w:space="0" w:color="auto"/>
        <w:bottom w:val="none" w:sz="0" w:space="0" w:color="auto"/>
        <w:right w:val="none" w:sz="0" w:space="0" w:color="auto"/>
      </w:divBdr>
    </w:div>
    <w:div w:id="1215659338">
      <w:bodyDiv w:val="1"/>
      <w:marLeft w:val="0"/>
      <w:marRight w:val="0"/>
      <w:marTop w:val="0"/>
      <w:marBottom w:val="0"/>
      <w:divBdr>
        <w:top w:val="none" w:sz="0" w:space="0" w:color="auto"/>
        <w:left w:val="none" w:sz="0" w:space="0" w:color="auto"/>
        <w:bottom w:val="none" w:sz="0" w:space="0" w:color="auto"/>
        <w:right w:val="none" w:sz="0" w:space="0" w:color="auto"/>
      </w:divBdr>
    </w:div>
    <w:div w:id="1216164050">
      <w:bodyDiv w:val="1"/>
      <w:marLeft w:val="0"/>
      <w:marRight w:val="0"/>
      <w:marTop w:val="0"/>
      <w:marBottom w:val="0"/>
      <w:divBdr>
        <w:top w:val="none" w:sz="0" w:space="0" w:color="auto"/>
        <w:left w:val="none" w:sz="0" w:space="0" w:color="auto"/>
        <w:bottom w:val="none" w:sz="0" w:space="0" w:color="auto"/>
        <w:right w:val="none" w:sz="0" w:space="0" w:color="auto"/>
      </w:divBdr>
    </w:div>
    <w:div w:id="1216359231">
      <w:bodyDiv w:val="1"/>
      <w:marLeft w:val="0"/>
      <w:marRight w:val="0"/>
      <w:marTop w:val="0"/>
      <w:marBottom w:val="0"/>
      <w:divBdr>
        <w:top w:val="none" w:sz="0" w:space="0" w:color="auto"/>
        <w:left w:val="none" w:sz="0" w:space="0" w:color="auto"/>
        <w:bottom w:val="none" w:sz="0" w:space="0" w:color="auto"/>
        <w:right w:val="none" w:sz="0" w:space="0" w:color="auto"/>
      </w:divBdr>
    </w:div>
    <w:div w:id="1216547813">
      <w:bodyDiv w:val="1"/>
      <w:marLeft w:val="0"/>
      <w:marRight w:val="0"/>
      <w:marTop w:val="0"/>
      <w:marBottom w:val="0"/>
      <w:divBdr>
        <w:top w:val="none" w:sz="0" w:space="0" w:color="auto"/>
        <w:left w:val="none" w:sz="0" w:space="0" w:color="auto"/>
        <w:bottom w:val="none" w:sz="0" w:space="0" w:color="auto"/>
        <w:right w:val="none" w:sz="0" w:space="0" w:color="auto"/>
      </w:divBdr>
    </w:div>
    <w:div w:id="1216818549">
      <w:bodyDiv w:val="1"/>
      <w:marLeft w:val="0"/>
      <w:marRight w:val="0"/>
      <w:marTop w:val="0"/>
      <w:marBottom w:val="0"/>
      <w:divBdr>
        <w:top w:val="none" w:sz="0" w:space="0" w:color="auto"/>
        <w:left w:val="none" w:sz="0" w:space="0" w:color="auto"/>
        <w:bottom w:val="none" w:sz="0" w:space="0" w:color="auto"/>
        <w:right w:val="none" w:sz="0" w:space="0" w:color="auto"/>
      </w:divBdr>
    </w:div>
    <w:div w:id="1216965861">
      <w:bodyDiv w:val="1"/>
      <w:marLeft w:val="0"/>
      <w:marRight w:val="0"/>
      <w:marTop w:val="0"/>
      <w:marBottom w:val="0"/>
      <w:divBdr>
        <w:top w:val="none" w:sz="0" w:space="0" w:color="auto"/>
        <w:left w:val="none" w:sz="0" w:space="0" w:color="auto"/>
        <w:bottom w:val="none" w:sz="0" w:space="0" w:color="auto"/>
        <w:right w:val="none" w:sz="0" w:space="0" w:color="auto"/>
      </w:divBdr>
    </w:div>
    <w:div w:id="1217008271">
      <w:bodyDiv w:val="1"/>
      <w:marLeft w:val="0"/>
      <w:marRight w:val="0"/>
      <w:marTop w:val="0"/>
      <w:marBottom w:val="0"/>
      <w:divBdr>
        <w:top w:val="none" w:sz="0" w:space="0" w:color="auto"/>
        <w:left w:val="none" w:sz="0" w:space="0" w:color="auto"/>
        <w:bottom w:val="none" w:sz="0" w:space="0" w:color="auto"/>
        <w:right w:val="none" w:sz="0" w:space="0" w:color="auto"/>
      </w:divBdr>
    </w:div>
    <w:div w:id="1217206412">
      <w:bodyDiv w:val="1"/>
      <w:marLeft w:val="0"/>
      <w:marRight w:val="0"/>
      <w:marTop w:val="0"/>
      <w:marBottom w:val="0"/>
      <w:divBdr>
        <w:top w:val="none" w:sz="0" w:space="0" w:color="auto"/>
        <w:left w:val="none" w:sz="0" w:space="0" w:color="auto"/>
        <w:bottom w:val="none" w:sz="0" w:space="0" w:color="auto"/>
        <w:right w:val="none" w:sz="0" w:space="0" w:color="auto"/>
      </w:divBdr>
    </w:div>
    <w:div w:id="1217283490">
      <w:bodyDiv w:val="1"/>
      <w:marLeft w:val="0"/>
      <w:marRight w:val="0"/>
      <w:marTop w:val="0"/>
      <w:marBottom w:val="0"/>
      <w:divBdr>
        <w:top w:val="none" w:sz="0" w:space="0" w:color="auto"/>
        <w:left w:val="none" w:sz="0" w:space="0" w:color="auto"/>
        <w:bottom w:val="none" w:sz="0" w:space="0" w:color="auto"/>
        <w:right w:val="none" w:sz="0" w:space="0" w:color="auto"/>
      </w:divBdr>
    </w:div>
    <w:div w:id="1217357597">
      <w:bodyDiv w:val="1"/>
      <w:marLeft w:val="0"/>
      <w:marRight w:val="0"/>
      <w:marTop w:val="0"/>
      <w:marBottom w:val="0"/>
      <w:divBdr>
        <w:top w:val="none" w:sz="0" w:space="0" w:color="auto"/>
        <w:left w:val="none" w:sz="0" w:space="0" w:color="auto"/>
        <w:bottom w:val="none" w:sz="0" w:space="0" w:color="auto"/>
        <w:right w:val="none" w:sz="0" w:space="0" w:color="auto"/>
      </w:divBdr>
    </w:div>
    <w:div w:id="1217398071">
      <w:bodyDiv w:val="1"/>
      <w:marLeft w:val="0"/>
      <w:marRight w:val="0"/>
      <w:marTop w:val="0"/>
      <w:marBottom w:val="0"/>
      <w:divBdr>
        <w:top w:val="none" w:sz="0" w:space="0" w:color="auto"/>
        <w:left w:val="none" w:sz="0" w:space="0" w:color="auto"/>
        <w:bottom w:val="none" w:sz="0" w:space="0" w:color="auto"/>
        <w:right w:val="none" w:sz="0" w:space="0" w:color="auto"/>
      </w:divBdr>
    </w:div>
    <w:div w:id="1218131036">
      <w:bodyDiv w:val="1"/>
      <w:marLeft w:val="0"/>
      <w:marRight w:val="0"/>
      <w:marTop w:val="0"/>
      <w:marBottom w:val="0"/>
      <w:divBdr>
        <w:top w:val="none" w:sz="0" w:space="0" w:color="auto"/>
        <w:left w:val="none" w:sz="0" w:space="0" w:color="auto"/>
        <w:bottom w:val="none" w:sz="0" w:space="0" w:color="auto"/>
        <w:right w:val="none" w:sz="0" w:space="0" w:color="auto"/>
      </w:divBdr>
    </w:div>
    <w:div w:id="1219779568">
      <w:bodyDiv w:val="1"/>
      <w:marLeft w:val="0"/>
      <w:marRight w:val="0"/>
      <w:marTop w:val="0"/>
      <w:marBottom w:val="0"/>
      <w:divBdr>
        <w:top w:val="none" w:sz="0" w:space="0" w:color="auto"/>
        <w:left w:val="none" w:sz="0" w:space="0" w:color="auto"/>
        <w:bottom w:val="none" w:sz="0" w:space="0" w:color="auto"/>
        <w:right w:val="none" w:sz="0" w:space="0" w:color="auto"/>
      </w:divBdr>
    </w:div>
    <w:div w:id="1219978807">
      <w:bodyDiv w:val="1"/>
      <w:marLeft w:val="0"/>
      <w:marRight w:val="0"/>
      <w:marTop w:val="0"/>
      <w:marBottom w:val="0"/>
      <w:divBdr>
        <w:top w:val="none" w:sz="0" w:space="0" w:color="auto"/>
        <w:left w:val="none" w:sz="0" w:space="0" w:color="auto"/>
        <w:bottom w:val="none" w:sz="0" w:space="0" w:color="auto"/>
        <w:right w:val="none" w:sz="0" w:space="0" w:color="auto"/>
      </w:divBdr>
    </w:div>
    <w:div w:id="1220167597">
      <w:bodyDiv w:val="1"/>
      <w:marLeft w:val="0"/>
      <w:marRight w:val="0"/>
      <w:marTop w:val="0"/>
      <w:marBottom w:val="0"/>
      <w:divBdr>
        <w:top w:val="none" w:sz="0" w:space="0" w:color="auto"/>
        <w:left w:val="none" w:sz="0" w:space="0" w:color="auto"/>
        <w:bottom w:val="none" w:sz="0" w:space="0" w:color="auto"/>
        <w:right w:val="none" w:sz="0" w:space="0" w:color="auto"/>
      </w:divBdr>
    </w:div>
    <w:div w:id="1220168494">
      <w:bodyDiv w:val="1"/>
      <w:marLeft w:val="0"/>
      <w:marRight w:val="0"/>
      <w:marTop w:val="0"/>
      <w:marBottom w:val="0"/>
      <w:divBdr>
        <w:top w:val="none" w:sz="0" w:space="0" w:color="auto"/>
        <w:left w:val="none" w:sz="0" w:space="0" w:color="auto"/>
        <w:bottom w:val="none" w:sz="0" w:space="0" w:color="auto"/>
        <w:right w:val="none" w:sz="0" w:space="0" w:color="auto"/>
      </w:divBdr>
    </w:div>
    <w:div w:id="1220168526">
      <w:bodyDiv w:val="1"/>
      <w:marLeft w:val="0"/>
      <w:marRight w:val="0"/>
      <w:marTop w:val="0"/>
      <w:marBottom w:val="0"/>
      <w:divBdr>
        <w:top w:val="none" w:sz="0" w:space="0" w:color="auto"/>
        <w:left w:val="none" w:sz="0" w:space="0" w:color="auto"/>
        <w:bottom w:val="none" w:sz="0" w:space="0" w:color="auto"/>
        <w:right w:val="none" w:sz="0" w:space="0" w:color="auto"/>
      </w:divBdr>
    </w:div>
    <w:div w:id="1220215693">
      <w:bodyDiv w:val="1"/>
      <w:marLeft w:val="0"/>
      <w:marRight w:val="0"/>
      <w:marTop w:val="0"/>
      <w:marBottom w:val="0"/>
      <w:divBdr>
        <w:top w:val="none" w:sz="0" w:space="0" w:color="auto"/>
        <w:left w:val="none" w:sz="0" w:space="0" w:color="auto"/>
        <w:bottom w:val="none" w:sz="0" w:space="0" w:color="auto"/>
        <w:right w:val="none" w:sz="0" w:space="0" w:color="auto"/>
      </w:divBdr>
    </w:div>
    <w:div w:id="1220824467">
      <w:bodyDiv w:val="1"/>
      <w:marLeft w:val="0"/>
      <w:marRight w:val="0"/>
      <w:marTop w:val="0"/>
      <w:marBottom w:val="0"/>
      <w:divBdr>
        <w:top w:val="none" w:sz="0" w:space="0" w:color="auto"/>
        <w:left w:val="none" w:sz="0" w:space="0" w:color="auto"/>
        <w:bottom w:val="none" w:sz="0" w:space="0" w:color="auto"/>
        <w:right w:val="none" w:sz="0" w:space="0" w:color="auto"/>
      </w:divBdr>
    </w:div>
    <w:div w:id="1221013012">
      <w:bodyDiv w:val="1"/>
      <w:marLeft w:val="0"/>
      <w:marRight w:val="0"/>
      <w:marTop w:val="0"/>
      <w:marBottom w:val="0"/>
      <w:divBdr>
        <w:top w:val="none" w:sz="0" w:space="0" w:color="auto"/>
        <w:left w:val="none" w:sz="0" w:space="0" w:color="auto"/>
        <w:bottom w:val="none" w:sz="0" w:space="0" w:color="auto"/>
        <w:right w:val="none" w:sz="0" w:space="0" w:color="auto"/>
      </w:divBdr>
    </w:div>
    <w:div w:id="1221478541">
      <w:bodyDiv w:val="1"/>
      <w:marLeft w:val="0"/>
      <w:marRight w:val="0"/>
      <w:marTop w:val="0"/>
      <w:marBottom w:val="0"/>
      <w:divBdr>
        <w:top w:val="none" w:sz="0" w:space="0" w:color="auto"/>
        <w:left w:val="none" w:sz="0" w:space="0" w:color="auto"/>
        <w:bottom w:val="none" w:sz="0" w:space="0" w:color="auto"/>
        <w:right w:val="none" w:sz="0" w:space="0" w:color="auto"/>
      </w:divBdr>
    </w:div>
    <w:div w:id="1221673933">
      <w:bodyDiv w:val="1"/>
      <w:marLeft w:val="0"/>
      <w:marRight w:val="0"/>
      <w:marTop w:val="0"/>
      <w:marBottom w:val="0"/>
      <w:divBdr>
        <w:top w:val="none" w:sz="0" w:space="0" w:color="auto"/>
        <w:left w:val="none" w:sz="0" w:space="0" w:color="auto"/>
        <w:bottom w:val="none" w:sz="0" w:space="0" w:color="auto"/>
        <w:right w:val="none" w:sz="0" w:space="0" w:color="auto"/>
      </w:divBdr>
    </w:div>
    <w:div w:id="1221674096">
      <w:bodyDiv w:val="1"/>
      <w:marLeft w:val="0"/>
      <w:marRight w:val="0"/>
      <w:marTop w:val="0"/>
      <w:marBottom w:val="0"/>
      <w:divBdr>
        <w:top w:val="none" w:sz="0" w:space="0" w:color="auto"/>
        <w:left w:val="none" w:sz="0" w:space="0" w:color="auto"/>
        <w:bottom w:val="none" w:sz="0" w:space="0" w:color="auto"/>
        <w:right w:val="none" w:sz="0" w:space="0" w:color="auto"/>
      </w:divBdr>
    </w:div>
    <w:div w:id="1221866471">
      <w:bodyDiv w:val="1"/>
      <w:marLeft w:val="0"/>
      <w:marRight w:val="0"/>
      <w:marTop w:val="0"/>
      <w:marBottom w:val="0"/>
      <w:divBdr>
        <w:top w:val="none" w:sz="0" w:space="0" w:color="auto"/>
        <w:left w:val="none" w:sz="0" w:space="0" w:color="auto"/>
        <w:bottom w:val="none" w:sz="0" w:space="0" w:color="auto"/>
        <w:right w:val="none" w:sz="0" w:space="0" w:color="auto"/>
      </w:divBdr>
    </w:div>
    <w:div w:id="1222863214">
      <w:bodyDiv w:val="1"/>
      <w:marLeft w:val="0"/>
      <w:marRight w:val="0"/>
      <w:marTop w:val="0"/>
      <w:marBottom w:val="0"/>
      <w:divBdr>
        <w:top w:val="none" w:sz="0" w:space="0" w:color="auto"/>
        <w:left w:val="none" w:sz="0" w:space="0" w:color="auto"/>
        <w:bottom w:val="none" w:sz="0" w:space="0" w:color="auto"/>
        <w:right w:val="none" w:sz="0" w:space="0" w:color="auto"/>
      </w:divBdr>
    </w:div>
    <w:div w:id="1223250722">
      <w:bodyDiv w:val="1"/>
      <w:marLeft w:val="0"/>
      <w:marRight w:val="0"/>
      <w:marTop w:val="0"/>
      <w:marBottom w:val="0"/>
      <w:divBdr>
        <w:top w:val="none" w:sz="0" w:space="0" w:color="auto"/>
        <w:left w:val="none" w:sz="0" w:space="0" w:color="auto"/>
        <w:bottom w:val="none" w:sz="0" w:space="0" w:color="auto"/>
        <w:right w:val="none" w:sz="0" w:space="0" w:color="auto"/>
      </w:divBdr>
    </w:div>
    <w:div w:id="1223826717">
      <w:bodyDiv w:val="1"/>
      <w:marLeft w:val="0"/>
      <w:marRight w:val="0"/>
      <w:marTop w:val="0"/>
      <w:marBottom w:val="0"/>
      <w:divBdr>
        <w:top w:val="none" w:sz="0" w:space="0" w:color="auto"/>
        <w:left w:val="none" w:sz="0" w:space="0" w:color="auto"/>
        <w:bottom w:val="none" w:sz="0" w:space="0" w:color="auto"/>
        <w:right w:val="none" w:sz="0" w:space="0" w:color="auto"/>
      </w:divBdr>
    </w:div>
    <w:div w:id="1224098569">
      <w:bodyDiv w:val="1"/>
      <w:marLeft w:val="0"/>
      <w:marRight w:val="0"/>
      <w:marTop w:val="0"/>
      <w:marBottom w:val="0"/>
      <w:divBdr>
        <w:top w:val="none" w:sz="0" w:space="0" w:color="auto"/>
        <w:left w:val="none" w:sz="0" w:space="0" w:color="auto"/>
        <w:bottom w:val="none" w:sz="0" w:space="0" w:color="auto"/>
        <w:right w:val="none" w:sz="0" w:space="0" w:color="auto"/>
      </w:divBdr>
    </w:div>
    <w:div w:id="1224293002">
      <w:bodyDiv w:val="1"/>
      <w:marLeft w:val="0"/>
      <w:marRight w:val="0"/>
      <w:marTop w:val="0"/>
      <w:marBottom w:val="0"/>
      <w:divBdr>
        <w:top w:val="none" w:sz="0" w:space="0" w:color="auto"/>
        <w:left w:val="none" w:sz="0" w:space="0" w:color="auto"/>
        <w:bottom w:val="none" w:sz="0" w:space="0" w:color="auto"/>
        <w:right w:val="none" w:sz="0" w:space="0" w:color="auto"/>
      </w:divBdr>
    </w:div>
    <w:div w:id="1224676031">
      <w:bodyDiv w:val="1"/>
      <w:marLeft w:val="0"/>
      <w:marRight w:val="0"/>
      <w:marTop w:val="0"/>
      <w:marBottom w:val="0"/>
      <w:divBdr>
        <w:top w:val="none" w:sz="0" w:space="0" w:color="auto"/>
        <w:left w:val="none" w:sz="0" w:space="0" w:color="auto"/>
        <w:bottom w:val="none" w:sz="0" w:space="0" w:color="auto"/>
        <w:right w:val="none" w:sz="0" w:space="0" w:color="auto"/>
      </w:divBdr>
    </w:div>
    <w:div w:id="1224680892">
      <w:bodyDiv w:val="1"/>
      <w:marLeft w:val="0"/>
      <w:marRight w:val="0"/>
      <w:marTop w:val="0"/>
      <w:marBottom w:val="0"/>
      <w:divBdr>
        <w:top w:val="none" w:sz="0" w:space="0" w:color="auto"/>
        <w:left w:val="none" w:sz="0" w:space="0" w:color="auto"/>
        <w:bottom w:val="none" w:sz="0" w:space="0" w:color="auto"/>
        <w:right w:val="none" w:sz="0" w:space="0" w:color="auto"/>
      </w:divBdr>
    </w:div>
    <w:div w:id="1225752103">
      <w:bodyDiv w:val="1"/>
      <w:marLeft w:val="0"/>
      <w:marRight w:val="0"/>
      <w:marTop w:val="0"/>
      <w:marBottom w:val="0"/>
      <w:divBdr>
        <w:top w:val="none" w:sz="0" w:space="0" w:color="auto"/>
        <w:left w:val="none" w:sz="0" w:space="0" w:color="auto"/>
        <w:bottom w:val="none" w:sz="0" w:space="0" w:color="auto"/>
        <w:right w:val="none" w:sz="0" w:space="0" w:color="auto"/>
      </w:divBdr>
    </w:div>
    <w:div w:id="1226070405">
      <w:bodyDiv w:val="1"/>
      <w:marLeft w:val="0"/>
      <w:marRight w:val="0"/>
      <w:marTop w:val="0"/>
      <w:marBottom w:val="0"/>
      <w:divBdr>
        <w:top w:val="none" w:sz="0" w:space="0" w:color="auto"/>
        <w:left w:val="none" w:sz="0" w:space="0" w:color="auto"/>
        <w:bottom w:val="none" w:sz="0" w:space="0" w:color="auto"/>
        <w:right w:val="none" w:sz="0" w:space="0" w:color="auto"/>
      </w:divBdr>
    </w:div>
    <w:div w:id="1226448279">
      <w:bodyDiv w:val="1"/>
      <w:marLeft w:val="0"/>
      <w:marRight w:val="0"/>
      <w:marTop w:val="0"/>
      <w:marBottom w:val="0"/>
      <w:divBdr>
        <w:top w:val="none" w:sz="0" w:space="0" w:color="auto"/>
        <w:left w:val="none" w:sz="0" w:space="0" w:color="auto"/>
        <w:bottom w:val="none" w:sz="0" w:space="0" w:color="auto"/>
        <w:right w:val="none" w:sz="0" w:space="0" w:color="auto"/>
      </w:divBdr>
    </w:div>
    <w:div w:id="1227110622">
      <w:bodyDiv w:val="1"/>
      <w:marLeft w:val="0"/>
      <w:marRight w:val="0"/>
      <w:marTop w:val="0"/>
      <w:marBottom w:val="0"/>
      <w:divBdr>
        <w:top w:val="none" w:sz="0" w:space="0" w:color="auto"/>
        <w:left w:val="none" w:sz="0" w:space="0" w:color="auto"/>
        <w:bottom w:val="none" w:sz="0" w:space="0" w:color="auto"/>
        <w:right w:val="none" w:sz="0" w:space="0" w:color="auto"/>
      </w:divBdr>
    </w:div>
    <w:div w:id="1227186747">
      <w:bodyDiv w:val="1"/>
      <w:marLeft w:val="0"/>
      <w:marRight w:val="0"/>
      <w:marTop w:val="0"/>
      <w:marBottom w:val="0"/>
      <w:divBdr>
        <w:top w:val="none" w:sz="0" w:space="0" w:color="auto"/>
        <w:left w:val="none" w:sz="0" w:space="0" w:color="auto"/>
        <w:bottom w:val="none" w:sz="0" w:space="0" w:color="auto"/>
        <w:right w:val="none" w:sz="0" w:space="0" w:color="auto"/>
      </w:divBdr>
    </w:div>
    <w:div w:id="1227298150">
      <w:bodyDiv w:val="1"/>
      <w:marLeft w:val="0"/>
      <w:marRight w:val="0"/>
      <w:marTop w:val="0"/>
      <w:marBottom w:val="0"/>
      <w:divBdr>
        <w:top w:val="none" w:sz="0" w:space="0" w:color="auto"/>
        <w:left w:val="none" w:sz="0" w:space="0" w:color="auto"/>
        <w:bottom w:val="none" w:sz="0" w:space="0" w:color="auto"/>
        <w:right w:val="none" w:sz="0" w:space="0" w:color="auto"/>
      </w:divBdr>
    </w:div>
    <w:div w:id="1227761281">
      <w:bodyDiv w:val="1"/>
      <w:marLeft w:val="0"/>
      <w:marRight w:val="0"/>
      <w:marTop w:val="0"/>
      <w:marBottom w:val="0"/>
      <w:divBdr>
        <w:top w:val="none" w:sz="0" w:space="0" w:color="auto"/>
        <w:left w:val="none" w:sz="0" w:space="0" w:color="auto"/>
        <w:bottom w:val="none" w:sz="0" w:space="0" w:color="auto"/>
        <w:right w:val="none" w:sz="0" w:space="0" w:color="auto"/>
      </w:divBdr>
    </w:div>
    <w:div w:id="1227883187">
      <w:bodyDiv w:val="1"/>
      <w:marLeft w:val="0"/>
      <w:marRight w:val="0"/>
      <w:marTop w:val="0"/>
      <w:marBottom w:val="0"/>
      <w:divBdr>
        <w:top w:val="none" w:sz="0" w:space="0" w:color="auto"/>
        <w:left w:val="none" w:sz="0" w:space="0" w:color="auto"/>
        <w:bottom w:val="none" w:sz="0" w:space="0" w:color="auto"/>
        <w:right w:val="none" w:sz="0" w:space="0" w:color="auto"/>
      </w:divBdr>
    </w:div>
    <w:div w:id="1228489058">
      <w:bodyDiv w:val="1"/>
      <w:marLeft w:val="0"/>
      <w:marRight w:val="0"/>
      <w:marTop w:val="0"/>
      <w:marBottom w:val="0"/>
      <w:divBdr>
        <w:top w:val="none" w:sz="0" w:space="0" w:color="auto"/>
        <w:left w:val="none" w:sz="0" w:space="0" w:color="auto"/>
        <w:bottom w:val="none" w:sz="0" w:space="0" w:color="auto"/>
        <w:right w:val="none" w:sz="0" w:space="0" w:color="auto"/>
      </w:divBdr>
    </w:div>
    <w:div w:id="1228801804">
      <w:bodyDiv w:val="1"/>
      <w:marLeft w:val="0"/>
      <w:marRight w:val="0"/>
      <w:marTop w:val="0"/>
      <w:marBottom w:val="0"/>
      <w:divBdr>
        <w:top w:val="none" w:sz="0" w:space="0" w:color="auto"/>
        <w:left w:val="none" w:sz="0" w:space="0" w:color="auto"/>
        <w:bottom w:val="none" w:sz="0" w:space="0" w:color="auto"/>
        <w:right w:val="none" w:sz="0" w:space="0" w:color="auto"/>
      </w:divBdr>
    </w:div>
    <w:div w:id="1229148665">
      <w:bodyDiv w:val="1"/>
      <w:marLeft w:val="0"/>
      <w:marRight w:val="0"/>
      <w:marTop w:val="0"/>
      <w:marBottom w:val="0"/>
      <w:divBdr>
        <w:top w:val="none" w:sz="0" w:space="0" w:color="auto"/>
        <w:left w:val="none" w:sz="0" w:space="0" w:color="auto"/>
        <w:bottom w:val="none" w:sz="0" w:space="0" w:color="auto"/>
        <w:right w:val="none" w:sz="0" w:space="0" w:color="auto"/>
      </w:divBdr>
    </w:div>
    <w:div w:id="1229264540">
      <w:bodyDiv w:val="1"/>
      <w:marLeft w:val="0"/>
      <w:marRight w:val="0"/>
      <w:marTop w:val="0"/>
      <w:marBottom w:val="0"/>
      <w:divBdr>
        <w:top w:val="none" w:sz="0" w:space="0" w:color="auto"/>
        <w:left w:val="none" w:sz="0" w:space="0" w:color="auto"/>
        <w:bottom w:val="none" w:sz="0" w:space="0" w:color="auto"/>
        <w:right w:val="none" w:sz="0" w:space="0" w:color="auto"/>
      </w:divBdr>
    </w:div>
    <w:div w:id="1229416996">
      <w:bodyDiv w:val="1"/>
      <w:marLeft w:val="0"/>
      <w:marRight w:val="0"/>
      <w:marTop w:val="0"/>
      <w:marBottom w:val="0"/>
      <w:divBdr>
        <w:top w:val="none" w:sz="0" w:space="0" w:color="auto"/>
        <w:left w:val="none" w:sz="0" w:space="0" w:color="auto"/>
        <w:bottom w:val="none" w:sz="0" w:space="0" w:color="auto"/>
        <w:right w:val="none" w:sz="0" w:space="0" w:color="auto"/>
      </w:divBdr>
    </w:div>
    <w:div w:id="1229922824">
      <w:bodyDiv w:val="1"/>
      <w:marLeft w:val="0"/>
      <w:marRight w:val="0"/>
      <w:marTop w:val="0"/>
      <w:marBottom w:val="0"/>
      <w:divBdr>
        <w:top w:val="none" w:sz="0" w:space="0" w:color="auto"/>
        <w:left w:val="none" w:sz="0" w:space="0" w:color="auto"/>
        <w:bottom w:val="none" w:sz="0" w:space="0" w:color="auto"/>
        <w:right w:val="none" w:sz="0" w:space="0" w:color="auto"/>
      </w:divBdr>
    </w:div>
    <w:div w:id="1230262661">
      <w:bodyDiv w:val="1"/>
      <w:marLeft w:val="0"/>
      <w:marRight w:val="0"/>
      <w:marTop w:val="0"/>
      <w:marBottom w:val="0"/>
      <w:divBdr>
        <w:top w:val="none" w:sz="0" w:space="0" w:color="auto"/>
        <w:left w:val="none" w:sz="0" w:space="0" w:color="auto"/>
        <w:bottom w:val="none" w:sz="0" w:space="0" w:color="auto"/>
        <w:right w:val="none" w:sz="0" w:space="0" w:color="auto"/>
      </w:divBdr>
    </w:div>
    <w:div w:id="1230381401">
      <w:bodyDiv w:val="1"/>
      <w:marLeft w:val="0"/>
      <w:marRight w:val="0"/>
      <w:marTop w:val="0"/>
      <w:marBottom w:val="0"/>
      <w:divBdr>
        <w:top w:val="none" w:sz="0" w:space="0" w:color="auto"/>
        <w:left w:val="none" w:sz="0" w:space="0" w:color="auto"/>
        <w:bottom w:val="none" w:sz="0" w:space="0" w:color="auto"/>
        <w:right w:val="none" w:sz="0" w:space="0" w:color="auto"/>
      </w:divBdr>
    </w:div>
    <w:div w:id="1230384533">
      <w:bodyDiv w:val="1"/>
      <w:marLeft w:val="0"/>
      <w:marRight w:val="0"/>
      <w:marTop w:val="0"/>
      <w:marBottom w:val="0"/>
      <w:divBdr>
        <w:top w:val="none" w:sz="0" w:space="0" w:color="auto"/>
        <w:left w:val="none" w:sz="0" w:space="0" w:color="auto"/>
        <w:bottom w:val="none" w:sz="0" w:space="0" w:color="auto"/>
        <w:right w:val="none" w:sz="0" w:space="0" w:color="auto"/>
      </w:divBdr>
    </w:div>
    <w:div w:id="1230580385">
      <w:bodyDiv w:val="1"/>
      <w:marLeft w:val="0"/>
      <w:marRight w:val="0"/>
      <w:marTop w:val="0"/>
      <w:marBottom w:val="0"/>
      <w:divBdr>
        <w:top w:val="none" w:sz="0" w:space="0" w:color="auto"/>
        <w:left w:val="none" w:sz="0" w:space="0" w:color="auto"/>
        <w:bottom w:val="none" w:sz="0" w:space="0" w:color="auto"/>
        <w:right w:val="none" w:sz="0" w:space="0" w:color="auto"/>
      </w:divBdr>
    </w:div>
    <w:div w:id="1230920373">
      <w:bodyDiv w:val="1"/>
      <w:marLeft w:val="0"/>
      <w:marRight w:val="0"/>
      <w:marTop w:val="0"/>
      <w:marBottom w:val="0"/>
      <w:divBdr>
        <w:top w:val="none" w:sz="0" w:space="0" w:color="auto"/>
        <w:left w:val="none" w:sz="0" w:space="0" w:color="auto"/>
        <w:bottom w:val="none" w:sz="0" w:space="0" w:color="auto"/>
        <w:right w:val="none" w:sz="0" w:space="0" w:color="auto"/>
      </w:divBdr>
    </w:div>
    <w:div w:id="1231229409">
      <w:bodyDiv w:val="1"/>
      <w:marLeft w:val="0"/>
      <w:marRight w:val="0"/>
      <w:marTop w:val="0"/>
      <w:marBottom w:val="0"/>
      <w:divBdr>
        <w:top w:val="none" w:sz="0" w:space="0" w:color="auto"/>
        <w:left w:val="none" w:sz="0" w:space="0" w:color="auto"/>
        <w:bottom w:val="none" w:sz="0" w:space="0" w:color="auto"/>
        <w:right w:val="none" w:sz="0" w:space="0" w:color="auto"/>
      </w:divBdr>
    </w:div>
    <w:div w:id="1231892970">
      <w:bodyDiv w:val="1"/>
      <w:marLeft w:val="0"/>
      <w:marRight w:val="0"/>
      <w:marTop w:val="0"/>
      <w:marBottom w:val="0"/>
      <w:divBdr>
        <w:top w:val="none" w:sz="0" w:space="0" w:color="auto"/>
        <w:left w:val="none" w:sz="0" w:space="0" w:color="auto"/>
        <w:bottom w:val="none" w:sz="0" w:space="0" w:color="auto"/>
        <w:right w:val="none" w:sz="0" w:space="0" w:color="auto"/>
      </w:divBdr>
    </w:div>
    <w:div w:id="1232037127">
      <w:bodyDiv w:val="1"/>
      <w:marLeft w:val="0"/>
      <w:marRight w:val="0"/>
      <w:marTop w:val="0"/>
      <w:marBottom w:val="0"/>
      <w:divBdr>
        <w:top w:val="none" w:sz="0" w:space="0" w:color="auto"/>
        <w:left w:val="none" w:sz="0" w:space="0" w:color="auto"/>
        <w:bottom w:val="none" w:sz="0" w:space="0" w:color="auto"/>
        <w:right w:val="none" w:sz="0" w:space="0" w:color="auto"/>
      </w:divBdr>
    </w:div>
    <w:div w:id="1232352754">
      <w:bodyDiv w:val="1"/>
      <w:marLeft w:val="0"/>
      <w:marRight w:val="0"/>
      <w:marTop w:val="0"/>
      <w:marBottom w:val="0"/>
      <w:divBdr>
        <w:top w:val="none" w:sz="0" w:space="0" w:color="auto"/>
        <w:left w:val="none" w:sz="0" w:space="0" w:color="auto"/>
        <w:bottom w:val="none" w:sz="0" w:space="0" w:color="auto"/>
        <w:right w:val="none" w:sz="0" w:space="0" w:color="auto"/>
      </w:divBdr>
    </w:div>
    <w:div w:id="1232353814">
      <w:bodyDiv w:val="1"/>
      <w:marLeft w:val="0"/>
      <w:marRight w:val="0"/>
      <w:marTop w:val="0"/>
      <w:marBottom w:val="0"/>
      <w:divBdr>
        <w:top w:val="none" w:sz="0" w:space="0" w:color="auto"/>
        <w:left w:val="none" w:sz="0" w:space="0" w:color="auto"/>
        <w:bottom w:val="none" w:sz="0" w:space="0" w:color="auto"/>
        <w:right w:val="none" w:sz="0" w:space="0" w:color="auto"/>
      </w:divBdr>
    </w:div>
    <w:div w:id="1232502281">
      <w:bodyDiv w:val="1"/>
      <w:marLeft w:val="0"/>
      <w:marRight w:val="0"/>
      <w:marTop w:val="0"/>
      <w:marBottom w:val="0"/>
      <w:divBdr>
        <w:top w:val="none" w:sz="0" w:space="0" w:color="auto"/>
        <w:left w:val="none" w:sz="0" w:space="0" w:color="auto"/>
        <w:bottom w:val="none" w:sz="0" w:space="0" w:color="auto"/>
        <w:right w:val="none" w:sz="0" w:space="0" w:color="auto"/>
      </w:divBdr>
    </w:div>
    <w:div w:id="1232539425">
      <w:bodyDiv w:val="1"/>
      <w:marLeft w:val="0"/>
      <w:marRight w:val="0"/>
      <w:marTop w:val="0"/>
      <w:marBottom w:val="0"/>
      <w:divBdr>
        <w:top w:val="none" w:sz="0" w:space="0" w:color="auto"/>
        <w:left w:val="none" w:sz="0" w:space="0" w:color="auto"/>
        <w:bottom w:val="none" w:sz="0" w:space="0" w:color="auto"/>
        <w:right w:val="none" w:sz="0" w:space="0" w:color="auto"/>
      </w:divBdr>
    </w:div>
    <w:div w:id="1233194912">
      <w:bodyDiv w:val="1"/>
      <w:marLeft w:val="0"/>
      <w:marRight w:val="0"/>
      <w:marTop w:val="0"/>
      <w:marBottom w:val="0"/>
      <w:divBdr>
        <w:top w:val="none" w:sz="0" w:space="0" w:color="auto"/>
        <w:left w:val="none" w:sz="0" w:space="0" w:color="auto"/>
        <w:bottom w:val="none" w:sz="0" w:space="0" w:color="auto"/>
        <w:right w:val="none" w:sz="0" w:space="0" w:color="auto"/>
      </w:divBdr>
    </w:div>
    <w:div w:id="1233271138">
      <w:bodyDiv w:val="1"/>
      <w:marLeft w:val="0"/>
      <w:marRight w:val="0"/>
      <w:marTop w:val="0"/>
      <w:marBottom w:val="0"/>
      <w:divBdr>
        <w:top w:val="none" w:sz="0" w:space="0" w:color="auto"/>
        <w:left w:val="none" w:sz="0" w:space="0" w:color="auto"/>
        <w:bottom w:val="none" w:sz="0" w:space="0" w:color="auto"/>
        <w:right w:val="none" w:sz="0" w:space="0" w:color="auto"/>
      </w:divBdr>
    </w:div>
    <w:div w:id="1233387525">
      <w:bodyDiv w:val="1"/>
      <w:marLeft w:val="0"/>
      <w:marRight w:val="0"/>
      <w:marTop w:val="0"/>
      <w:marBottom w:val="0"/>
      <w:divBdr>
        <w:top w:val="none" w:sz="0" w:space="0" w:color="auto"/>
        <w:left w:val="none" w:sz="0" w:space="0" w:color="auto"/>
        <w:bottom w:val="none" w:sz="0" w:space="0" w:color="auto"/>
        <w:right w:val="none" w:sz="0" w:space="0" w:color="auto"/>
      </w:divBdr>
    </w:div>
    <w:div w:id="1233615330">
      <w:bodyDiv w:val="1"/>
      <w:marLeft w:val="0"/>
      <w:marRight w:val="0"/>
      <w:marTop w:val="0"/>
      <w:marBottom w:val="0"/>
      <w:divBdr>
        <w:top w:val="none" w:sz="0" w:space="0" w:color="auto"/>
        <w:left w:val="none" w:sz="0" w:space="0" w:color="auto"/>
        <w:bottom w:val="none" w:sz="0" w:space="0" w:color="auto"/>
        <w:right w:val="none" w:sz="0" w:space="0" w:color="auto"/>
      </w:divBdr>
    </w:div>
    <w:div w:id="1233737847">
      <w:bodyDiv w:val="1"/>
      <w:marLeft w:val="0"/>
      <w:marRight w:val="0"/>
      <w:marTop w:val="0"/>
      <w:marBottom w:val="0"/>
      <w:divBdr>
        <w:top w:val="none" w:sz="0" w:space="0" w:color="auto"/>
        <w:left w:val="none" w:sz="0" w:space="0" w:color="auto"/>
        <w:bottom w:val="none" w:sz="0" w:space="0" w:color="auto"/>
        <w:right w:val="none" w:sz="0" w:space="0" w:color="auto"/>
      </w:divBdr>
    </w:div>
    <w:div w:id="1234045100">
      <w:bodyDiv w:val="1"/>
      <w:marLeft w:val="0"/>
      <w:marRight w:val="0"/>
      <w:marTop w:val="0"/>
      <w:marBottom w:val="0"/>
      <w:divBdr>
        <w:top w:val="none" w:sz="0" w:space="0" w:color="auto"/>
        <w:left w:val="none" w:sz="0" w:space="0" w:color="auto"/>
        <w:bottom w:val="none" w:sz="0" w:space="0" w:color="auto"/>
        <w:right w:val="none" w:sz="0" w:space="0" w:color="auto"/>
      </w:divBdr>
    </w:div>
    <w:div w:id="1234269286">
      <w:bodyDiv w:val="1"/>
      <w:marLeft w:val="0"/>
      <w:marRight w:val="0"/>
      <w:marTop w:val="0"/>
      <w:marBottom w:val="0"/>
      <w:divBdr>
        <w:top w:val="none" w:sz="0" w:space="0" w:color="auto"/>
        <w:left w:val="none" w:sz="0" w:space="0" w:color="auto"/>
        <w:bottom w:val="none" w:sz="0" w:space="0" w:color="auto"/>
        <w:right w:val="none" w:sz="0" w:space="0" w:color="auto"/>
      </w:divBdr>
    </w:div>
    <w:div w:id="1235748395">
      <w:bodyDiv w:val="1"/>
      <w:marLeft w:val="0"/>
      <w:marRight w:val="0"/>
      <w:marTop w:val="0"/>
      <w:marBottom w:val="0"/>
      <w:divBdr>
        <w:top w:val="none" w:sz="0" w:space="0" w:color="auto"/>
        <w:left w:val="none" w:sz="0" w:space="0" w:color="auto"/>
        <w:bottom w:val="none" w:sz="0" w:space="0" w:color="auto"/>
        <w:right w:val="none" w:sz="0" w:space="0" w:color="auto"/>
      </w:divBdr>
    </w:div>
    <w:div w:id="1236358156">
      <w:bodyDiv w:val="1"/>
      <w:marLeft w:val="0"/>
      <w:marRight w:val="0"/>
      <w:marTop w:val="0"/>
      <w:marBottom w:val="0"/>
      <w:divBdr>
        <w:top w:val="none" w:sz="0" w:space="0" w:color="auto"/>
        <w:left w:val="none" w:sz="0" w:space="0" w:color="auto"/>
        <w:bottom w:val="none" w:sz="0" w:space="0" w:color="auto"/>
        <w:right w:val="none" w:sz="0" w:space="0" w:color="auto"/>
      </w:divBdr>
    </w:div>
    <w:div w:id="1236666292">
      <w:bodyDiv w:val="1"/>
      <w:marLeft w:val="0"/>
      <w:marRight w:val="0"/>
      <w:marTop w:val="0"/>
      <w:marBottom w:val="0"/>
      <w:divBdr>
        <w:top w:val="none" w:sz="0" w:space="0" w:color="auto"/>
        <w:left w:val="none" w:sz="0" w:space="0" w:color="auto"/>
        <w:bottom w:val="none" w:sz="0" w:space="0" w:color="auto"/>
        <w:right w:val="none" w:sz="0" w:space="0" w:color="auto"/>
      </w:divBdr>
    </w:div>
    <w:div w:id="1236934430">
      <w:bodyDiv w:val="1"/>
      <w:marLeft w:val="0"/>
      <w:marRight w:val="0"/>
      <w:marTop w:val="0"/>
      <w:marBottom w:val="0"/>
      <w:divBdr>
        <w:top w:val="none" w:sz="0" w:space="0" w:color="auto"/>
        <w:left w:val="none" w:sz="0" w:space="0" w:color="auto"/>
        <w:bottom w:val="none" w:sz="0" w:space="0" w:color="auto"/>
        <w:right w:val="none" w:sz="0" w:space="0" w:color="auto"/>
      </w:divBdr>
    </w:div>
    <w:div w:id="1236939195">
      <w:bodyDiv w:val="1"/>
      <w:marLeft w:val="0"/>
      <w:marRight w:val="0"/>
      <w:marTop w:val="0"/>
      <w:marBottom w:val="0"/>
      <w:divBdr>
        <w:top w:val="none" w:sz="0" w:space="0" w:color="auto"/>
        <w:left w:val="none" w:sz="0" w:space="0" w:color="auto"/>
        <w:bottom w:val="none" w:sz="0" w:space="0" w:color="auto"/>
        <w:right w:val="none" w:sz="0" w:space="0" w:color="auto"/>
      </w:divBdr>
    </w:div>
    <w:div w:id="1237278650">
      <w:bodyDiv w:val="1"/>
      <w:marLeft w:val="0"/>
      <w:marRight w:val="0"/>
      <w:marTop w:val="0"/>
      <w:marBottom w:val="0"/>
      <w:divBdr>
        <w:top w:val="none" w:sz="0" w:space="0" w:color="auto"/>
        <w:left w:val="none" w:sz="0" w:space="0" w:color="auto"/>
        <w:bottom w:val="none" w:sz="0" w:space="0" w:color="auto"/>
        <w:right w:val="none" w:sz="0" w:space="0" w:color="auto"/>
      </w:divBdr>
    </w:div>
    <w:div w:id="1237591221">
      <w:bodyDiv w:val="1"/>
      <w:marLeft w:val="0"/>
      <w:marRight w:val="0"/>
      <w:marTop w:val="0"/>
      <w:marBottom w:val="0"/>
      <w:divBdr>
        <w:top w:val="none" w:sz="0" w:space="0" w:color="auto"/>
        <w:left w:val="none" w:sz="0" w:space="0" w:color="auto"/>
        <w:bottom w:val="none" w:sz="0" w:space="0" w:color="auto"/>
        <w:right w:val="none" w:sz="0" w:space="0" w:color="auto"/>
      </w:divBdr>
    </w:div>
    <w:div w:id="1237596632">
      <w:bodyDiv w:val="1"/>
      <w:marLeft w:val="0"/>
      <w:marRight w:val="0"/>
      <w:marTop w:val="0"/>
      <w:marBottom w:val="0"/>
      <w:divBdr>
        <w:top w:val="none" w:sz="0" w:space="0" w:color="auto"/>
        <w:left w:val="none" w:sz="0" w:space="0" w:color="auto"/>
        <w:bottom w:val="none" w:sz="0" w:space="0" w:color="auto"/>
        <w:right w:val="none" w:sz="0" w:space="0" w:color="auto"/>
      </w:divBdr>
    </w:div>
    <w:div w:id="1237982923">
      <w:bodyDiv w:val="1"/>
      <w:marLeft w:val="0"/>
      <w:marRight w:val="0"/>
      <w:marTop w:val="0"/>
      <w:marBottom w:val="0"/>
      <w:divBdr>
        <w:top w:val="none" w:sz="0" w:space="0" w:color="auto"/>
        <w:left w:val="none" w:sz="0" w:space="0" w:color="auto"/>
        <w:bottom w:val="none" w:sz="0" w:space="0" w:color="auto"/>
        <w:right w:val="none" w:sz="0" w:space="0" w:color="auto"/>
      </w:divBdr>
    </w:div>
    <w:div w:id="1238243534">
      <w:bodyDiv w:val="1"/>
      <w:marLeft w:val="0"/>
      <w:marRight w:val="0"/>
      <w:marTop w:val="0"/>
      <w:marBottom w:val="0"/>
      <w:divBdr>
        <w:top w:val="none" w:sz="0" w:space="0" w:color="auto"/>
        <w:left w:val="none" w:sz="0" w:space="0" w:color="auto"/>
        <w:bottom w:val="none" w:sz="0" w:space="0" w:color="auto"/>
        <w:right w:val="none" w:sz="0" w:space="0" w:color="auto"/>
      </w:divBdr>
    </w:div>
    <w:div w:id="1238393789">
      <w:bodyDiv w:val="1"/>
      <w:marLeft w:val="0"/>
      <w:marRight w:val="0"/>
      <w:marTop w:val="0"/>
      <w:marBottom w:val="0"/>
      <w:divBdr>
        <w:top w:val="none" w:sz="0" w:space="0" w:color="auto"/>
        <w:left w:val="none" w:sz="0" w:space="0" w:color="auto"/>
        <w:bottom w:val="none" w:sz="0" w:space="0" w:color="auto"/>
        <w:right w:val="none" w:sz="0" w:space="0" w:color="auto"/>
      </w:divBdr>
    </w:div>
    <w:div w:id="1238906413">
      <w:bodyDiv w:val="1"/>
      <w:marLeft w:val="0"/>
      <w:marRight w:val="0"/>
      <w:marTop w:val="0"/>
      <w:marBottom w:val="0"/>
      <w:divBdr>
        <w:top w:val="none" w:sz="0" w:space="0" w:color="auto"/>
        <w:left w:val="none" w:sz="0" w:space="0" w:color="auto"/>
        <w:bottom w:val="none" w:sz="0" w:space="0" w:color="auto"/>
        <w:right w:val="none" w:sz="0" w:space="0" w:color="auto"/>
      </w:divBdr>
    </w:div>
    <w:div w:id="1239051700">
      <w:bodyDiv w:val="1"/>
      <w:marLeft w:val="0"/>
      <w:marRight w:val="0"/>
      <w:marTop w:val="0"/>
      <w:marBottom w:val="0"/>
      <w:divBdr>
        <w:top w:val="none" w:sz="0" w:space="0" w:color="auto"/>
        <w:left w:val="none" w:sz="0" w:space="0" w:color="auto"/>
        <w:bottom w:val="none" w:sz="0" w:space="0" w:color="auto"/>
        <w:right w:val="none" w:sz="0" w:space="0" w:color="auto"/>
      </w:divBdr>
    </w:div>
    <w:div w:id="1239247178">
      <w:bodyDiv w:val="1"/>
      <w:marLeft w:val="0"/>
      <w:marRight w:val="0"/>
      <w:marTop w:val="0"/>
      <w:marBottom w:val="0"/>
      <w:divBdr>
        <w:top w:val="none" w:sz="0" w:space="0" w:color="auto"/>
        <w:left w:val="none" w:sz="0" w:space="0" w:color="auto"/>
        <w:bottom w:val="none" w:sz="0" w:space="0" w:color="auto"/>
        <w:right w:val="none" w:sz="0" w:space="0" w:color="auto"/>
      </w:divBdr>
    </w:div>
    <w:div w:id="1239632615">
      <w:bodyDiv w:val="1"/>
      <w:marLeft w:val="0"/>
      <w:marRight w:val="0"/>
      <w:marTop w:val="0"/>
      <w:marBottom w:val="0"/>
      <w:divBdr>
        <w:top w:val="none" w:sz="0" w:space="0" w:color="auto"/>
        <w:left w:val="none" w:sz="0" w:space="0" w:color="auto"/>
        <w:bottom w:val="none" w:sz="0" w:space="0" w:color="auto"/>
        <w:right w:val="none" w:sz="0" w:space="0" w:color="auto"/>
      </w:divBdr>
    </w:div>
    <w:div w:id="1240557493">
      <w:bodyDiv w:val="1"/>
      <w:marLeft w:val="0"/>
      <w:marRight w:val="0"/>
      <w:marTop w:val="0"/>
      <w:marBottom w:val="0"/>
      <w:divBdr>
        <w:top w:val="none" w:sz="0" w:space="0" w:color="auto"/>
        <w:left w:val="none" w:sz="0" w:space="0" w:color="auto"/>
        <w:bottom w:val="none" w:sz="0" w:space="0" w:color="auto"/>
        <w:right w:val="none" w:sz="0" w:space="0" w:color="auto"/>
      </w:divBdr>
    </w:div>
    <w:div w:id="1240796483">
      <w:bodyDiv w:val="1"/>
      <w:marLeft w:val="0"/>
      <w:marRight w:val="0"/>
      <w:marTop w:val="0"/>
      <w:marBottom w:val="0"/>
      <w:divBdr>
        <w:top w:val="none" w:sz="0" w:space="0" w:color="auto"/>
        <w:left w:val="none" w:sz="0" w:space="0" w:color="auto"/>
        <w:bottom w:val="none" w:sz="0" w:space="0" w:color="auto"/>
        <w:right w:val="none" w:sz="0" w:space="0" w:color="auto"/>
      </w:divBdr>
    </w:div>
    <w:div w:id="1240867634">
      <w:bodyDiv w:val="1"/>
      <w:marLeft w:val="0"/>
      <w:marRight w:val="0"/>
      <w:marTop w:val="0"/>
      <w:marBottom w:val="0"/>
      <w:divBdr>
        <w:top w:val="none" w:sz="0" w:space="0" w:color="auto"/>
        <w:left w:val="none" w:sz="0" w:space="0" w:color="auto"/>
        <w:bottom w:val="none" w:sz="0" w:space="0" w:color="auto"/>
        <w:right w:val="none" w:sz="0" w:space="0" w:color="auto"/>
      </w:divBdr>
    </w:div>
    <w:div w:id="1240869553">
      <w:bodyDiv w:val="1"/>
      <w:marLeft w:val="0"/>
      <w:marRight w:val="0"/>
      <w:marTop w:val="0"/>
      <w:marBottom w:val="0"/>
      <w:divBdr>
        <w:top w:val="none" w:sz="0" w:space="0" w:color="auto"/>
        <w:left w:val="none" w:sz="0" w:space="0" w:color="auto"/>
        <w:bottom w:val="none" w:sz="0" w:space="0" w:color="auto"/>
        <w:right w:val="none" w:sz="0" w:space="0" w:color="auto"/>
      </w:divBdr>
    </w:div>
    <w:div w:id="1241326022">
      <w:bodyDiv w:val="1"/>
      <w:marLeft w:val="0"/>
      <w:marRight w:val="0"/>
      <w:marTop w:val="0"/>
      <w:marBottom w:val="0"/>
      <w:divBdr>
        <w:top w:val="none" w:sz="0" w:space="0" w:color="auto"/>
        <w:left w:val="none" w:sz="0" w:space="0" w:color="auto"/>
        <w:bottom w:val="none" w:sz="0" w:space="0" w:color="auto"/>
        <w:right w:val="none" w:sz="0" w:space="0" w:color="auto"/>
      </w:divBdr>
    </w:div>
    <w:div w:id="1241603211">
      <w:bodyDiv w:val="1"/>
      <w:marLeft w:val="0"/>
      <w:marRight w:val="0"/>
      <w:marTop w:val="0"/>
      <w:marBottom w:val="0"/>
      <w:divBdr>
        <w:top w:val="none" w:sz="0" w:space="0" w:color="auto"/>
        <w:left w:val="none" w:sz="0" w:space="0" w:color="auto"/>
        <w:bottom w:val="none" w:sz="0" w:space="0" w:color="auto"/>
        <w:right w:val="none" w:sz="0" w:space="0" w:color="auto"/>
      </w:divBdr>
    </w:div>
    <w:div w:id="1241986438">
      <w:bodyDiv w:val="1"/>
      <w:marLeft w:val="0"/>
      <w:marRight w:val="0"/>
      <w:marTop w:val="0"/>
      <w:marBottom w:val="0"/>
      <w:divBdr>
        <w:top w:val="none" w:sz="0" w:space="0" w:color="auto"/>
        <w:left w:val="none" w:sz="0" w:space="0" w:color="auto"/>
        <w:bottom w:val="none" w:sz="0" w:space="0" w:color="auto"/>
        <w:right w:val="none" w:sz="0" w:space="0" w:color="auto"/>
      </w:divBdr>
    </w:div>
    <w:div w:id="1242522413">
      <w:bodyDiv w:val="1"/>
      <w:marLeft w:val="0"/>
      <w:marRight w:val="0"/>
      <w:marTop w:val="0"/>
      <w:marBottom w:val="0"/>
      <w:divBdr>
        <w:top w:val="none" w:sz="0" w:space="0" w:color="auto"/>
        <w:left w:val="none" w:sz="0" w:space="0" w:color="auto"/>
        <w:bottom w:val="none" w:sz="0" w:space="0" w:color="auto"/>
        <w:right w:val="none" w:sz="0" w:space="0" w:color="auto"/>
      </w:divBdr>
    </w:div>
    <w:div w:id="1242570442">
      <w:bodyDiv w:val="1"/>
      <w:marLeft w:val="0"/>
      <w:marRight w:val="0"/>
      <w:marTop w:val="0"/>
      <w:marBottom w:val="0"/>
      <w:divBdr>
        <w:top w:val="none" w:sz="0" w:space="0" w:color="auto"/>
        <w:left w:val="none" w:sz="0" w:space="0" w:color="auto"/>
        <w:bottom w:val="none" w:sz="0" w:space="0" w:color="auto"/>
        <w:right w:val="none" w:sz="0" w:space="0" w:color="auto"/>
      </w:divBdr>
    </w:div>
    <w:div w:id="1243492762">
      <w:bodyDiv w:val="1"/>
      <w:marLeft w:val="0"/>
      <w:marRight w:val="0"/>
      <w:marTop w:val="0"/>
      <w:marBottom w:val="0"/>
      <w:divBdr>
        <w:top w:val="none" w:sz="0" w:space="0" w:color="auto"/>
        <w:left w:val="none" w:sz="0" w:space="0" w:color="auto"/>
        <w:bottom w:val="none" w:sz="0" w:space="0" w:color="auto"/>
        <w:right w:val="none" w:sz="0" w:space="0" w:color="auto"/>
      </w:divBdr>
    </w:div>
    <w:div w:id="1243641995">
      <w:bodyDiv w:val="1"/>
      <w:marLeft w:val="0"/>
      <w:marRight w:val="0"/>
      <w:marTop w:val="0"/>
      <w:marBottom w:val="0"/>
      <w:divBdr>
        <w:top w:val="none" w:sz="0" w:space="0" w:color="auto"/>
        <w:left w:val="none" w:sz="0" w:space="0" w:color="auto"/>
        <w:bottom w:val="none" w:sz="0" w:space="0" w:color="auto"/>
        <w:right w:val="none" w:sz="0" w:space="0" w:color="auto"/>
      </w:divBdr>
    </w:div>
    <w:div w:id="1243874853">
      <w:bodyDiv w:val="1"/>
      <w:marLeft w:val="0"/>
      <w:marRight w:val="0"/>
      <w:marTop w:val="0"/>
      <w:marBottom w:val="0"/>
      <w:divBdr>
        <w:top w:val="none" w:sz="0" w:space="0" w:color="auto"/>
        <w:left w:val="none" w:sz="0" w:space="0" w:color="auto"/>
        <w:bottom w:val="none" w:sz="0" w:space="0" w:color="auto"/>
        <w:right w:val="none" w:sz="0" w:space="0" w:color="auto"/>
      </w:divBdr>
    </w:div>
    <w:div w:id="1244603689">
      <w:bodyDiv w:val="1"/>
      <w:marLeft w:val="0"/>
      <w:marRight w:val="0"/>
      <w:marTop w:val="0"/>
      <w:marBottom w:val="0"/>
      <w:divBdr>
        <w:top w:val="none" w:sz="0" w:space="0" w:color="auto"/>
        <w:left w:val="none" w:sz="0" w:space="0" w:color="auto"/>
        <w:bottom w:val="none" w:sz="0" w:space="0" w:color="auto"/>
        <w:right w:val="none" w:sz="0" w:space="0" w:color="auto"/>
      </w:divBdr>
    </w:div>
    <w:div w:id="1244606495">
      <w:bodyDiv w:val="1"/>
      <w:marLeft w:val="0"/>
      <w:marRight w:val="0"/>
      <w:marTop w:val="0"/>
      <w:marBottom w:val="0"/>
      <w:divBdr>
        <w:top w:val="none" w:sz="0" w:space="0" w:color="auto"/>
        <w:left w:val="none" w:sz="0" w:space="0" w:color="auto"/>
        <w:bottom w:val="none" w:sz="0" w:space="0" w:color="auto"/>
        <w:right w:val="none" w:sz="0" w:space="0" w:color="auto"/>
      </w:divBdr>
    </w:div>
    <w:div w:id="1244795497">
      <w:bodyDiv w:val="1"/>
      <w:marLeft w:val="0"/>
      <w:marRight w:val="0"/>
      <w:marTop w:val="0"/>
      <w:marBottom w:val="0"/>
      <w:divBdr>
        <w:top w:val="none" w:sz="0" w:space="0" w:color="auto"/>
        <w:left w:val="none" w:sz="0" w:space="0" w:color="auto"/>
        <w:bottom w:val="none" w:sz="0" w:space="0" w:color="auto"/>
        <w:right w:val="none" w:sz="0" w:space="0" w:color="auto"/>
      </w:divBdr>
    </w:div>
    <w:div w:id="1245843465">
      <w:bodyDiv w:val="1"/>
      <w:marLeft w:val="0"/>
      <w:marRight w:val="0"/>
      <w:marTop w:val="0"/>
      <w:marBottom w:val="0"/>
      <w:divBdr>
        <w:top w:val="none" w:sz="0" w:space="0" w:color="auto"/>
        <w:left w:val="none" w:sz="0" w:space="0" w:color="auto"/>
        <w:bottom w:val="none" w:sz="0" w:space="0" w:color="auto"/>
        <w:right w:val="none" w:sz="0" w:space="0" w:color="auto"/>
      </w:divBdr>
    </w:div>
    <w:div w:id="1245912698">
      <w:bodyDiv w:val="1"/>
      <w:marLeft w:val="0"/>
      <w:marRight w:val="0"/>
      <w:marTop w:val="0"/>
      <w:marBottom w:val="0"/>
      <w:divBdr>
        <w:top w:val="none" w:sz="0" w:space="0" w:color="auto"/>
        <w:left w:val="none" w:sz="0" w:space="0" w:color="auto"/>
        <w:bottom w:val="none" w:sz="0" w:space="0" w:color="auto"/>
        <w:right w:val="none" w:sz="0" w:space="0" w:color="auto"/>
      </w:divBdr>
    </w:div>
    <w:div w:id="1245914552">
      <w:bodyDiv w:val="1"/>
      <w:marLeft w:val="0"/>
      <w:marRight w:val="0"/>
      <w:marTop w:val="0"/>
      <w:marBottom w:val="0"/>
      <w:divBdr>
        <w:top w:val="none" w:sz="0" w:space="0" w:color="auto"/>
        <w:left w:val="none" w:sz="0" w:space="0" w:color="auto"/>
        <w:bottom w:val="none" w:sz="0" w:space="0" w:color="auto"/>
        <w:right w:val="none" w:sz="0" w:space="0" w:color="auto"/>
      </w:divBdr>
    </w:div>
    <w:div w:id="1246189055">
      <w:bodyDiv w:val="1"/>
      <w:marLeft w:val="0"/>
      <w:marRight w:val="0"/>
      <w:marTop w:val="0"/>
      <w:marBottom w:val="0"/>
      <w:divBdr>
        <w:top w:val="none" w:sz="0" w:space="0" w:color="auto"/>
        <w:left w:val="none" w:sz="0" w:space="0" w:color="auto"/>
        <w:bottom w:val="none" w:sz="0" w:space="0" w:color="auto"/>
        <w:right w:val="none" w:sz="0" w:space="0" w:color="auto"/>
      </w:divBdr>
    </w:div>
    <w:div w:id="1246450850">
      <w:bodyDiv w:val="1"/>
      <w:marLeft w:val="0"/>
      <w:marRight w:val="0"/>
      <w:marTop w:val="0"/>
      <w:marBottom w:val="0"/>
      <w:divBdr>
        <w:top w:val="none" w:sz="0" w:space="0" w:color="auto"/>
        <w:left w:val="none" w:sz="0" w:space="0" w:color="auto"/>
        <w:bottom w:val="none" w:sz="0" w:space="0" w:color="auto"/>
        <w:right w:val="none" w:sz="0" w:space="0" w:color="auto"/>
      </w:divBdr>
    </w:div>
    <w:div w:id="1246451686">
      <w:bodyDiv w:val="1"/>
      <w:marLeft w:val="0"/>
      <w:marRight w:val="0"/>
      <w:marTop w:val="0"/>
      <w:marBottom w:val="0"/>
      <w:divBdr>
        <w:top w:val="none" w:sz="0" w:space="0" w:color="auto"/>
        <w:left w:val="none" w:sz="0" w:space="0" w:color="auto"/>
        <w:bottom w:val="none" w:sz="0" w:space="0" w:color="auto"/>
        <w:right w:val="none" w:sz="0" w:space="0" w:color="auto"/>
      </w:divBdr>
    </w:div>
    <w:div w:id="1246458656">
      <w:bodyDiv w:val="1"/>
      <w:marLeft w:val="0"/>
      <w:marRight w:val="0"/>
      <w:marTop w:val="0"/>
      <w:marBottom w:val="0"/>
      <w:divBdr>
        <w:top w:val="none" w:sz="0" w:space="0" w:color="auto"/>
        <w:left w:val="none" w:sz="0" w:space="0" w:color="auto"/>
        <w:bottom w:val="none" w:sz="0" w:space="0" w:color="auto"/>
        <w:right w:val="none" w:sz="0" w:space="0" w:color="auto"/>
      </w:divBdr>
    </w:div>
    <w:div w:id="1246769319">
      <w:bodyDiv w:val="1"/>
      <w:marLeft w:val="0"/>
      <w:marRight w:val="0"/>
      <w:marTop w:val="0"/>
      <w:marBottom w:val="0"/>
      <w:divBdr>
        <w:top w:val="none" w:sz="0" w:space="0" w:color="auto"/>
        <w:left w:val="none" w:sz="0" w:space="0" w:color="auto"/>
        <w:bottom w:val="none" w:sz="0" w:space="0" w:color="auto"/>
        <w:right w:val="none" w:sz="0" w:space="0" w:color="auto"/>
      </w:divBdr>
    </w:div>
    <w:div w:id="1247301264">
      <w:bodyDiv w:val="1"/>
      <w:marLeft w:val="0"/>
      <w:marRight w:val="0"/>
      <w:marTop w:val="0"/>
      <w:marBottom w:val="0"/>
      <w:divBdr>
        <w:top w:val="none" w:sz="0" w:space="0" w:color="auto"/>
        <w:left w:val="none" w:sz="0" w:space="0" w:color="auto"/>
        <w:bottom w:val="none" w:sz="0" w:space="0" w:color="auto"/>
        <w:right w:val="none" w:sz="0" w:space="0" w:color="auto"/>
      </w:divBdr>
    </w:div>
    <w:div w:id="1248079370">
      <w:bodyDiv w:val="1"/>
      <w:marLeft w:val="0"/>
      <w:marRight w:val="0"/>
      <w:marTop w:val="0"/>
      <w:marBottom w:val="0"/>
      <w:divBdr>
        <w:top w:val="none" w:sz="0" w:space="0" w:color="auto"/>
        <w:left w:val="none" w:sz="0" w:space="0" w:color="auto"/>
        <w:bottom w:val="none" w:sz="0" w:space="0" w:color="auto"/>
        <w:right w:val="none" w:sz="0" w:space="0" w:color="auto"/>
      </w:divBdr>
    </w:div>
    <w:div w:id="1248461752">
      <w:bodyDiv w:val="1"/>
      <w:marLeft w:val="0"/>
      <w:marRight w:val="0"/>
      <w:marTop w:val="0"/>
      <w:marBottom w:val="0"/>
      <w:divBdr>
        <w:top w:val="none" w:sz="0" w:space="0" w:color="auto"/>
        <w:left w:val="none" w:sz="0" w:space="0" w:color="auto"/>
        <w:bottom w:val="none" w:sz="0" w:space="0" w:color="auto"/>
        <w:right w:val="none" w:sz="0" w:space="0" w:color="auto"/>
      </w:divBdr>
    </w:div>
    <w:div w:id="1248733936">
      <w:bodyDiv w:val="1"/>
      <w:marLeft w:val="0"/>
      <w:marRight w:val="0"/>
      <w:marTop w:val="0"/>
      <w:marBottom w:val="0"/>
      <w:divBdr>
        <w:top w:val="none" w:sz="0" w:space="0" w:color="auto"/>
        <w:left w:val="none" w:sz="0" w:space="0" w:color="auto"/>
        <w:bottom w:val="none" w:sz="0" w:space="0" w:color="auto"/>
        <w:right w:val="none" w:sz="0" w:space="0" w:color="auto"/>
      </w:divBdr>
    </w:div>
    <w:div w:id="1248802944">
      <w:bodyDiv w:val="1"/>
      <w:marLeft w:val="0"/>
      <w:marRight w:val="0"/>
      <w:marTop w:val="0"/>
      <w:marBottom w:val="0"/>
      <w:divBdr>
        <w:top w:val="none" w:sz="0" w:space="0" w:color="auto"/>
        <w:left w:val="none" w:sz="0" w:space="0" w:color="auto"/>
        <w:bottom w:val="none" w:sz="0" w:space="0" w:color="auto"/>
        <w:right w:val="none" w:sz="0" w:space="0" w:color="auto"/>
      </w:divBdr>
    </w:div>
    <w:div w:id="1248809856">
      <w:bodyDiv w:val="1"/>
      <w:marLeft w:val="0"/>
      <w:marRight w:val="0"/>
      <w:marTop w:val="0"/>
      <w:marBottom w:val="0"/>
      <w:divBdr>
        <w:top w:val="none" w:sz="0" w:space="0" w:color="auto"/>
        <w:left w:val="none" w:sz="0" w:space="0" w:color="auto"/>
        <w:bottom w:val="none" w:sz="0" w:space="0" w:color="auto"/>
        <w:right w:val="none" w:sz="0" w:space="0" w:color="auto"/>
      </w:divBdr>
    </w:div>
    <w:div w:id="1249000116">
      <w:bodyDiv w:val="1"/>
      <w:marLeft w:val="0"/>
      <w:marRight w:val="0"/>
      <w:marTop w:val="0"/>
      <w:marBottom w:val="0"/>
      <w:divBdr>
        <w:top w:val="none" w:sz="0" w:space="0" w:color="auto"/>
        <w:left w:val="none" w:sz="0" w:space="0" w:color="auto"/>
        <w:bottom w:val="none" w:sz="0" w:space="0" w:color="auto"/>
        <w:right w:val="none" w:sz="0" w:space="0" w:color="auto"/>
      </w:divBdr>
    </w:div>
    <w:div w:id="1250042744">
      <w:bodyDiv w:val="1"/>
      <w:marLeft w:val="0"/>
      <w:marRight w:val="0"/>
      <w:marTop w:val="0"/>
      <w:marBottom w:val="0"/>
      <w:divBdr>
        <w:top w:val="none" w:sz="0" w:space="0" w:color="auto"/>
        <w:left w:val="none" w:sz="0" w:space="0" w:color="auto"/>
        <w:bottom w:val="none" w:sz="0" w:space="0" w:color="auto"/>
        <w:right w:val="none" w:sz="0" w:space="0" w:color="auto"/>
      </w:divBdr>
    </w:div>
    <w:div w:id="1250387273">
      <w:bodyDiv w:val="1"/>
      <w:marLeft w:val="0"/>
      <w:marRight w:val="0"/>
      <w:marTop w:val="0"/>
      <w:marBottom w:val="0"/>
      <w:divBdr>
        <w:top w:val="none" w:sz="0" w:space="0" w:color="auto"/>
        <w:left w:val="none" w:sz="0" w:space="0" w:color="auto"/>
        <w:bottom w:val="none" w:sz="0" w:space="0" w:color="auto"/>
        <w:right w:val="none" w:sz="0" w:space="0" w:color="auto"/>
      </w:divBdr>
    </w:div>
    <w:div w:id="1250961684">
      <w:bodyDiv w:val="1"/>
      <w:marLeft w:val="0"/>
      <w:marRight w:val="0"/>
      <w:marTop w:val="0"/>
      <w:marBottom w:val="0"/>
      <w:divBdr>
        <w:top w:val="none" w:sz="0" w:space="0" w:color="auto"/>
        <w:left w:val="none" w:sz="0" w:space="0" w:color="auto"/>
        <w:bottom w:val="none" w:sz="0" w:space="0" w:color="auto"/>
        <w:right w:val="none" w:sz="0" w:space="0" w:color="auto"/>
      </w:divBdr>
    </w:div>
    <w:div w:id="1251238723">
      <w:bodyDiv w:val="1"/>
      <w:marLeft w:val="0"/>
      <w:marRight w:val="0"/>
      <w:marTop w:val="0"/>
      <w:marBottom w:val="0"/>
      <w:divBdr>
        <w:top w:val="none" w:sz="0" w:space="0" w:color="auto"/>
        <w:left w:val="none" w:sz="0" w:space="0" w:color="auto"/>
        <w:bottom w:val="none" w:sz="0" w:space="0" w:color="auto"/>
        <w:right w:val="none" w:sz="0" w:space="0" w:color="auto"/>
      </w:divBdr>
    </w:div>
    <w:div w:id="1251619869">
      <w:bodyDiv w:val="1"/>
      <w:marLeft w:val="0"/>
      <w:marRight w:val="0"/>
      <w:marTop w:val="0"/>
      <w:marBottom w:val="0"/>
      <w:divBdr>
        <w:top w:val="none" w:sz="0" w:space="0" w:color="auto"/>
        <w:left w:val="none" w:sz="0" w:space="0" w:color="auto"/>
        <w:bottom w:val="none" w:sz="0" w:space="0" w:color="auto"/>
        <w:right w:val="none" w:sz="0" w:space="0" w:color="auto"/>
      </w:divBdr>
    </w:div>
    <w:div w:id="1251893677">
      <w:bodyDiv w:val="1"/>
      <w:marLeft w:val="0"/>
      <w:marRight w:val="0"/>
      <w:marTop w:val="0"/>
      <w:marBottom w:val="0"/>
      <w:divBdr>
        <w:top w:val="none" w:sz="0" w:space="0" w:color="auto"/>
        <w:left w:val="none" w:sz="0" w:space="0" w:color="auto"/>
        <w:bottom w:val="none" w:sz="0" w:space="0" w:color="auto"/>
        <w:right w:val="none" w:sz="0" w:space="0" w:color="auto"/>
      </w:divBdr>
    </w:div>
    <w:div w:id="1252088221">
      <w:bodyDiv w:val="1"/>
      <w:marLeft w:val="0"/>
      <w:marRight w:val="0"/>
      <w:marTop w:val="0"/>
      <w:marBottom w:val="0"/>
      <w:divBdr>
        <w:top w:val="none" w:sz="0" w:space="0" w:color="auto"/>
        <w:left w:val="none" w:sz="0" w:space="0" w:color="auto"/>
        <w:bottom w:val="none" w:sz="0" w:space="0" w:color="auto"/>
        <w:right w:val="none" w:sz="0" w:space="0" w:color="auto"/>
      </w:divBdr>
    </w:div>
    <w:div w:id="1252615950">
      <w:bodyDiv w:val="1"/>
      <w:marLeft w:val="0"/>
      <w:marRight w:val="0"/>
      <w:marTop w:val="0"/>
      <w:marBottom w:val="0"/>
      <w:divBdr>
        <w:top w:val="none" w:sz="0" w:space="0" w:color="auto"/>
        <w:left w:val="none" w:sz="0" w:space="0" w:color="auto"/>
        <w:bottom w:val="none" w:sz="0" w:space="0" w:color="auto"/>
        <w:right w:val="none" w:sz="0" w:space="0" w:color="auto"/>
      </w:divBdr>
    </w:div>
    <w:div w:id="1253658090">
      <w:bodyDiv w:val="1"/>
      <w:marLeft w:val="0"/>
      <w:marRight w:val="0"/>
      <w:marTop w:val="0"/>
      <w:marBottom w:val="0"/>
      <w:divBdr>
        <w:top w:val="none" w:sz="0" w:space="0" w:color="auto"/>
        <w:left w:val="none" w:sz="0" w:space="0" w:color="auto"/>
        <w:bottom w:val="none" w:sz="0" w:space="0" w:color="auto"/>
        <w:right w:val="none" w:sz="0" w:space="0" w:color="auto"/>
      </w:divBdr>
    </w:div>
    <w:div w:id="1254052165">
      <w:bodyDiv w:val="1"/>
      <w:marLeft w:val="0"/>
      <w:marRight w:val="0"/>
      <w:marTop w:val="0"/>
      <w:marBottom w:val="0"/>
      <w:divBdr>
        <w:top w:val="none" w:sz="0" w:space="0" w:color="auto"/>
        <w:left w:val="none" w:sz="0" w:space="0" w:color="auto"/>
        <w:bottom w:val="none" w:sz="0" w:space="0" w:color="auto"/>
        <w:right w:val="none" w:sz="0" w:space="0" w:color="auto"/>
      </w:divBdr>
    </w:div>
    <w:div w:id="1254129279">
      <w:bodyDiv w:val="1"/>
      <w:marLeft w:val="0"/>
      <w:marRight w:val="0"/>
      <w:marTop w:val="0"/>
      <w:marBottom w:val="0"/>
      <w:divBdr>
        <w:top w:val="none" w:sz="0" w:space="0" w:color="auto"/>
        <w:left w:val="none" w:sz="0" w:space="0" w:color="auto"/>
        <w:bottom w:val="none" w:sz="0" w:space="0" w:color="auto"/>
        <w:right w:val="none" w:sz="0" w:space="0" w:color="auto"/>
      </w:divBdr>
    </w:div>
    <w:div w:id="1254390300">
      <w:bodyDiv w:val="1"/>
      <w:marLeft w:val="0"/>
      <w:marRight w:val="0"/>
      <w:marTop w:val="0"/>
      <w:marBottom w:val="0"/>
      <w:divBdr>
        <w:top w:val="none" w:sz="0" w:space="0" w:color="auto"/>
        <w:left w:val="none" w:sz="0" w:space="0" w:color="auto"/>
        <w:bottom w:val="none" w:sz="0" w:space="0" w:color="auto"/>
        <w:right w:val="none" w:sz="0" w:space="0" w:color="auto"/>
      </w:divBdr>
    </w:div>
    <w:div w:id="1255213905">
      <w:bodyDiv w:val="1"/>
      <w:marLeft w:val="0"/>
      <w:marRight w:val="0"/>
      <w:marTop w:val="0"/>
      <w:marBottom w:val="0"/>
      <w:divBdr>
        <w:top w:val="none" w:sz="0" w:space="0" w:color="auto"/>
        <w:left w:val="none" w:sz="0" w:space="0" w:color="auto"/>
        <w:bottom w:val="none" w:sz="0" w:space="0" w:color="auto"/>
        <w:right w:val="none" w:sz="0" w:space="0" w:color="auto"/>
      </w:divBdr>
    </w:div>
    <w:div w:id="1255433179">
      <w:bodyDiv w:val="1"/>
      <w:marLeft w:val="0"/>
      <w:marRight w:val="0"/>
      <w:marTop w:val="0"/>
      <w:marBottom w:val="0"/>
      <w:divBdr>
        <w:top w:val="none" w:sz="0" w:space="0" w:color="auto"/>
        <w:left w:val="none" w:sz="0" w:space="0" w:color="auto"/>
        <w:bottom w:val="none" w:sz="0" w:space="0" w:color="auto"/>
        <w:right w:val="none" w:sz="0" w:space="0" w:color="auto"/>
      </w:divBdr>
    </w:div>
    <w:div w:id="1256476932">
      <w:bodyDiv w:val="1"/>
      <w:marLeft w:val="0"/>
      <w:marRight w:val="0"/>
      <w:marTop w:val="0"/>
      <w:marBottom w:val="0"/>
      <w:divBdr>
        <w:top w:val="none" w:sz="0" w:space="0" w:color="auto"/>
        <w:left w:val="none" w:sz="0" w:space="0" w:color="auto"/>
        <w:bottom w:val="none" w:sz="0" w:space="0" w:color="auto"/>
        <w:right w:val="none" w:sz="0" w:space="0" w:color="auto"/>
      </w:divBdr>
    </w:div>
    <w:div w:id="1256943266">
      <w:bodyDiv w:val="1"/>
      <w:marLeft w:val="0"/>
      <w:marRight w:val="0"/>
      <w:marTop w:val="0"/>
      <w:marBottom w:val="0"/>
      <w:divBdr>
        <w:top w:val="none" w:sz="0" w:space="0" w:color="auto"/>
        <w:left w:val="none" w:sz="0" w:space="0" w:color="auto"/>
        <w:bottom w:val="none" w:sz="0" w:space="0" w:color="auto"/>
        <w:right w:val="none" w:sz="0" w:space="0" w:color="auto"/>
      </w:divBdr>
    </w:div>
    <w:div w:id="1256984616">
      <w:bodyDiv w:val="1"/>
      <w:marLeft w:val="0"/>
      <w:marRight w:val="0"/>
      <w:marTop w:val="0"/>
      <w:marBottom w:val="0"/>
      <w:divBdr>
        <w:top w:val="none" w:sz="0" w:space="0" w:color="auto"/>
        <w:left w:val="none" w:sz="0" w:space="0" w:color="auto"/>
        <w:bottom w:val="none" w:sz="0" w:space="0" w:color="auto"/>
        <w:right w:val="none" w:sz="0" w:space="0" w:color="auto"/>
      </w:divBdr>
    </w:div>
    <w:div w:id="1257010683">
      <w:bodyDiv w:val="1"/>
      <w:marLeft w:val="0"/>
      <w:marRight w:val="0"/>
      <w:marTop w:val="0"/>
      <w:marBottom w:val="0"/>
      <w:divBdr>
        <w:top w:val="none" w:sz="0" w:space="0" w:color="auto"/>
        <w:left w:val="none" w:sz="0" w:space="0" w:color="auto"/>
        <w:bottom w:val="none" w:sz="0" w:space="0" w:color="auto"/>
        <w:right w:val="none" w:sz="0" w:space="0" w:color="auto"/>
      </w:divBdr>
    </w:div>
    <w:div w:id="1257593318">
      <w:bodyDiv w:val="1"/>
      <w:marLeft w:val="0"/>
      <w:marRight w:val="0"/>
      <w:marTop w:val="0"/>
      <w:marBottom w:val="0"/>
      <w:divBdr>
        <w:top w:val="none" w:sz="0" w:space="0" w:color="auto"/>
        <w:left w:val="none" w:sz="0" w:space="0" w:color="auto"/>
        <w:bottom w:val="none" w:sz="0" w:space="0" w:color="auto"/>
        <w:right w:val="none" w:sz="0" w:space="0" w:color="auto"/>
      </w:divBdr>
    </w:div>
    <w:div w:id="1257665492">
      <w:bodyDiv w:val="1"/>
      <w:marLeft w:val="0"/>
      <w:marRight w:val="0"/>
      <w:marTop w:val="0"/>
      <w:marBottom w:val="0"/>
      <w:divBdr>
        <w:top w:val="none" w:sz="0" w:space="0" w:color="auto"/>
        <w:left w:val="none" w:sz="0" w:space="0" w:color="auto"/>
        <w:bottom w:val="none" w:sz="0" w:space="0" w:color="auto"/>
        <w:right w:val="none" w:sz="0" w:space="0" w:color="auto"/>
      </w:divBdr>
    </w:div>
    <w:div w:id="1257708726">
      <w:bodyDiv w:val="1"/>
      <w:marLeft w:val="0"/>
      <w:marRight w:val="0"/>
      <w:marTop w:val="0"/>
      <w:marBottom w:val="0"/>
      <w:divBdr>
        <w:top w:val="none" w:sz="0" w:space="0" w:color="auto"/>
        <w:left w:val="none" w:sz="0" w:space="0" w:color="auto"/>
        <w:bottom w:val="none" w:sz="0" w:space="0" w:color="auto"/>
        <w:right w:val="none" w:sz="0" w:space="0" w:color="auto"/>
      </w:divBdr>
    </w:div>
    <w:div w:id="1257859179">
      <w:bodyDiv w:val="1"/>
      <w:marLeft w:val="0"/>
      <w:marRight w:val="0"/>
      <w:marTop w:val="0"/>
      <w:marBottom w:val="0"/>
      <w:divBdr>
        <w:top w:val="none" w:sz="0" w:space="0" w:color="auto"/>
        <w:left w:val="none" w:sz="0" w:space="0" w:color="auto"/>
        <w:bottom w:val="none" w:sz="0" w:space="0" w:color="auto"/>
        <w:right w:val="none" w:sz="0" w:space="0" w:color="auto"/>
      </w:divBdr>
    </w:div>
    <w:div w:id="1258443941">
      <w:bodyDiv w:val="1"/>
      <w:marLeft w:val="0"/>
      <w:marRight w:val="0"/>
      <w:marTop w:val="0"/>
      <w:marBottom w:val="0"/>
      <w:divBdr>
        <w:top w:val="none" w:sz="0" w:space="0" w:color="auto"/>
        <w:left w:val="none" w:sz="0" w:space="0" w:color="auto"/>
        <w:bottom w:val="none" w:sz="0" w:space="0" w:color="auto"/>
        <w:right w:val="none" w:sz="0" w:space="0" w:color="auto"/>
      </w:divBdr>
    </w:div>
    <w:div w:id="1258444970">
      <w:bodyDiv w:val="1"/>
      <w:marLeft w:val="0"/>
      <w:marRight w:val="0"/>
      <w:marTop w:val="0"/>
      <w:marBottom w:val="0"/>
      <w:divBdr>
        <w:top w:val="none" w:sz="0" w:space="0" w:color="auto"/>
        <w:left w:val="none" w:sz="0" w:space="0" w:color="auto"/>
        <w:bottom w:val="none" w:sz="0" w:space="0" w:color="auto"/>
        <w:right w:val="none" w:sz="0" w:space="0" w:color="auto"/>
      </w:divBdr>
    </w:div>
    <w:div w:id="1258519167">
      <w:bodyDiv w:val="1"/>
      <w:marLeft w:val="0"/>
      <w:marRight w:val="0"/>
      <w:marTop w:val="0"/>
      <w:marBottom w:val="0"/>
      <w:divBdr>
        <w:top w:val="none" w:sz="0" w:space="0" w:color="auto"/>
        <w:left w:val="none" w:sz="0" w:space="0" w:color="auto"/>
        <w:bottom w:val="none" w:sz="0" w:space="0" w:color="auto"/>
        <w:right w:val="none" w:sz="0" w:space="0" w:color="auto"/>
      </w:divBdr>
    </w:div>
    <w:div w:id="1258639701">
      <w:bodyDiv w:val="1"/>
      <w:marLeft w:val="0"/>
      <w:marRight w:val="0"/>
      <w:marTop w:val="0"/>
      <w:marBottom w:val="0"/>
      <w:divBdr>
        <w:top w:val="none" w:sz="0" w:space="0" w:color="auto"/>
        <w:left w:val="none" w:sz="0" w:space="0" w:color="auto"/>
        <w:bottom w:val="none" w:sz="0" w:space="0" w:color="auto"/>
        <w:right w:val="none" w:sz="0" w:space="0" w:color="auto"/>
      </w:divBdr>
    </w:div>
    <w:div w:id="1258755246">
      <w:bodyDiv w:val="1"/>
      <w:marLeft w:val="0"/>
      <w:marRight w:val="0"/>
      <w:marTop w:val="0"/>
      <w:marBottom w:val="0"/>
      <w:divBdr>
        <w:top w:val="none" w:sz="0" w:space="0" w:color="auto"/>
        <w:left w:val="none" w:sz="0" w:space="0" w:color="auto"/>
        <w:bottom w:val="none" w:sz="0" w:space="0" w:color="auto"/>
        <w:right w:val="none" w:sz="0" w:space="0" w:color="auto"/>
      </w:divBdr>
    </w:div>
    <w:div w:id="1258902643">
      <w:bodyDiv w:val="1"/>
      <w:marLeft w:val="0"/>
      <w:marRight w:val="0"/>
      <w:marTop w:val="0"/>
      <w:marBottom w:val="0"/>
      <w:divBdr>
        <w:top w:val="none" w:sz="0" w:space="0" w:color="auto"/>
        <w:left w:val="none" w:sz="0" w:space="0" w:color="auto"/>
        <w:bottom w:val="none" w:sz="0" w:space="0" w:color="auto"/>
        <w:right w:val="none" w:sz="0" w:space="0" w:color="auto"/>
      </w:divBdr>
    </w:div>
    <w:div w:id="1259101111">
      <w:bodyDiv w:val="1"/>
      <w:marLeft w:val="0"/>
      <w:marRight w:val="0"/>
      <w:marTop w:val="0"/>
      <w:marBottom w:val="0"/>
      <w:divBdr>
        <w:top w:val="none" w:sz="0" w:space="0" w:color="auto"/>
        <w:left w:val="none" w:sz="0" w:space="0" w:color="auto"/>
        <w:bottom w:val="none" w:sz="0" w:space="0" w:color="auto"/>
        <w:right w:val="none" w:sz="0" w:space="0" w:color="auto"/>
      </w:divBdr>
    </w:div>
    <w:div w:id="1259171898">
      <w:bodyDiv w:val="1"/>
      <w:marLeft w:val="0"/>
      <w:marRight w:val="0"/>
      <w:marTop w:val="0"/>
      <w:marBottom w:val="0"/>
      <w:divBdr>
        <w:top w:val="none" w:sz="0" w:space="0" w:color="auto"/>
        <w:left w:val="none" w:sz="0" w:space="0" w:color="auto"/>
        <w:bottom w:val="none" w:sz="0" w:space="0" w:color="auto"/>
        <w:right w:val="none" w:sz="0" w:space="0" w:color="auto"/>
      </w:divBdr>
    </w:div>
    <w:div w:id="1259174201">
      <w:bodyDiv w:val="1"/>
      <w:marLeft w:val="0"/>
      <w:marRight w:val="0"/>
      <w:marTop w:val="0"/>
      <w:marBottom w:val="0"/>
      <w:divBdr>
        <w:top w:val="none" w:sz="0" w:space="0" w:color="auto"/>
        <w:left w:val="none" w:sz="0" w:space="0" w:color="auto"/>
        <w:bottom w:val="none" w:sz="0" w:space="0" w:color="auto"/>
        <w:right w:val="none" w:sz="0" w:space="0" w:color="auto"/>
      </w:divBdr>
    </w:div>
    <w:div w:id="1259217107">
      <w:bodyDiv w:val="1"/>
      <w:marLeft w:val="0"/>
      <w:marRight w:val="0"/>
      <w:marTop w:val="0"/>
      <w:marBottom w:val="0"/>
      <w:divBdr>
        <w:top w:val="none" w:sz="0" w:space="0" w:color="auto"/>
        <w:left w:val="none" w:sz="0" w:space="0" w:color="auto"/>
        <w:bottom w:val="none" w:sz="0" w:space="0" w:color="auto"/>
        <w:right w:val="none" w:sz="0" w:space="0" w:color="auto"/>
      </w:divBdr>
    </w:div>
    <w:div w:id="1259363695">
      <w:bodyDiv w:val="1"/>
      <w:marLeft w:val="0"/>
      <w:marRight w:val="0"/>
      <w:marTop w:val="0"/>
      <w:marBottom w:val="0"/>
      <w:divBdr>
        <w:top w:val="none" w:sz="0" w:space="0" w:color="auto"/>
        <w:left w:val="none" w:sz="0" w:space="0" w:color="auto"/>
        <w:bottom w:val="none" w:sz="0" w:space="0" w:color="auto"/>
        <w:right w:val="none" w:sz="0" w:space="0" w:color="auto"/>
      </w:divBdr>
    </w:div>
    <w:div w:id="1260406717">
      <w:bodyDiv w:val="1"/>
      <w:marLeft w:val="0"/>
      <w:marRight w:val="0"/>
      <w:marTop w:val="0"/>
      <w:marBottom w:val="0"/>
      <w:divBdr>
        <w:top w:val="none" w:sz="0" w:space="0" w:color="auto"/>
        <w:left w:val="none" w:sz="0" w:space="0" w:color="auto"/>
        <w:bottom w:val="none" w:sz="0" w:space="0" w:color="auto"/>
        <w:right w:val="none" w:sz="0" w:space="0" w:color="auto"/>
      </w:divBdr>
    </w:div>
    <w:div w:id="1261064850">
      <w:bodyDiv w:val="1"/>
      <w:marLeft w:val="0"/>
      <w:marRight w:val="0"/>
      <w:marTop w:val="0"/>
      <w:marBottom w:val="0"/>
      <w:divBdr>
        <w:top w:val="none" w:sz="0" w:space="0" w:color="auto"/>
        <w:left w:val="none" w:sz="0" w:space="0" w:color="auto"/>
        <w:bottom w:val="none" w:sz="0" w:space="0" w:color="auto"/>
        <w:right w:val="none" w:sz="0" w:space="0" w:color="auto"/>
      </w:divBdr>
    </w:div>
    <w:div w:id="1261600733">
      <w:bodyDiv w:val="1"/>
      <w:marLeft w:val="0"/>
      <w:marRight w:val="0"/>
      <w:marTop w:val="0"/>
      <w:marBottom w:val="0"/>
      <w:divBdr>
        <w:top w:val="none" w:sz="0" w:space="0" w:color="auto"/>
        <w:left w:val="none" w:sz="0" w:space="0" w:color="auto"/>
        <w:bottom w:val="none" w:sz="0" w:space="0" w:color="auto"/>
        <w:right w:val="none" w:sz="0" w:space="0" w:color="auto"/>
      </w:divBdr>
    </w:div>
    <w:div w:id="1262765793">
      <w:bodyDiv w:val="1"/>
      <w:marLeft w:val="0"/>
      <w:marRight w:val="0"/>
      <w:marTop w:val="0"/>
      <w:marBottom w:val="0"/>
      <w:divBdr>
        <w:top w:val="none" w:sz="0" w:space="0" w:color="auto"/>
        <w:left w:val="none" w:sz="0" w:space="0" w:color="auto"/>
        <w:bottom w:val="none" w:sz="0" w:space="0" w:color="auto"/>
        <w:right w:val="none" w:sz="0" w:space="0" w:color="auto"/>
      </w:divBdr>
    </w:div>
    <w:div w:id="1264454952">
      <w:bodyDiv w:val="1"/>
      <w:marLeft w:val="0"/>
      <w:marRight w:val="0"/>
      <w:marTop w:val="0"/>
      <w:marBottom w:val="0"/>
      <w:divBdr>
        <w:top w:val="none" w:sz="0" w:space="0" w:color="auto"/>
        <w:left w:val="none" w:sz="0" w:space="0" w:color="auto"/>
        <w:bottom w:val="none" w:sz="0" w:space="0" w:color="auto"/>
        <w:right w:val="none" w:sz="0" w:space="0" w:color="auto"/>
      </w:divBdr>
    </w:div>
    <w:div w:id="1265000386">
      <w:bodyDiv w:val="1"/>
      <w:marLeft w:val="0"/>
      <w:marRight w:val="0"/>
      <w:marTop w:val="0"/>
      <w:marBottom w:val="0"/>
      <w:divBdr>
        <w:top w:val="none" w:sz="0" w:space="0" w:color="auto"/>
        <w:left w:val="none" w:sz="0" w:space="0" w:color="auto"/>
        <w:bottom w:val="none" w:sz="0" w:space="0" w:color="auto"/>
        <w:right w:val="none" w:sz="0" w:space="0" w:color="auto"/>
      </w:divBdr>
    </w:div>
    <w:div w:id="1265839539">
      <w:bodyDiv w:val="1"/>
      <w:marLeft w:val="0"/>
      <w:marRight w:val="0"/>
      <w:marTop w:val="0"/>
      <w:marBottom w:val="0"/>
      <w:divBdr>
        <w:top w:val="none" w:sz="0" w:space="0" w:color="auto"/>
        <w:left w:val="none" w:sz="0" w:space="0" w:color="auto"/>
        <w:bottom w:val="none" w:sz="0" w:space="0" w:color="auto"/>
        <w:right w:val="none" w:sz="0" w:space="0" w:color="auto"/>
      </w:divBdr>
    </w:div>
    <w:div w:id="1266232783">
      <w:bodyDiv w:val="1"/>
      <w:marLeft w:val="0"/>
      <w:marRight w:val="0"/>
      <w:marTop w:val="0"/>
      <w:marBottom w:val="0"/>
      <w:divBdr>
        <w:top w:val="none" w:sz="0" w:space="0" w:color="auto"/>
        <w:left w:val="none" w:sz="0" w:space="0" w:color="auto"/>
        <w:bottom w:val="none" w:sz="0" w:space="0" w:color="auto"/>
        <w:right w:val="none" w:sz="0" w:space="0" w:color="auto"/>
      </w:divBdr>
    </w:div>
    <w:div w:id="1266572657">
      <w:bodyDiv w:val="1"/>
      <w:marLeft w:val="0"/>
      <w:marRight w:val="0"/>
      <w:marTop w:val="0"/>
      <w:marBottom w:val="0"/>
      <w:divBdr>
        <w:top w:val="none" w:sz="0" w:space="0" w:color="auto"/>
        <w:left w:val="none" w:sz="0" w:space="0" w:color="auto"/>
        <w:bottom w:val="none" w:sz="0" w:space="0" w:color="auto"/>
        <w:right w:val="none" w:sz="0" w:space="0" w:color="auto"/>
      </w:divBdr>
    </w:div>
    <w:div w:id="1266646318">
      <w:bodyDiv w:val="1"/>
      <w:marLeft w:val="0"/>
      <w:marRight w:val="0"/>
      <w:marTop w:val="0"/>
      <w:marBottom w:val="0"/>
      <w:divBdr>
        <w:top w:val="none" w:sz="0" w:space="0" w:color="auto"/>
        <w:left w:val="none" w:sz="0" w:space="0" w:color="auto"/>
        <w:bottom w:val="none" w:sz="0" w:space="0" w:color="auto"/>
        <w:right w:val="none" w:sz="0" w:space="0" w:color="auto"/>
      </w:divBdr>
    </w:div>
    <w:div w:id="1268003687">
      <w:bodyDiv w:val="1"/>
      <w:marLeft w:val="0"/>
      <w:marRight w:val="0"/>
      <w:marTop w:val="0"/>
      <w:marBottom w:val="0"/>
      <w:divBdr>
        <w:top w:val="none" w:sz="0" w:space="0" w:color="auto"/>
        <w:left w:val="none" w:sz="0" w:space="0" w:color="auto"/>
        <w:bottom w:val="none" w:sz="0" w:space="0" w:color="auto"/>
        <w:right w:val="none" w:sz="0" w:space="0" w:color="auto"/>
      </w:divBdr>
    </w:div>
    <w:div w:id="1268806500">
      <w:bodyDiv w:val="1"/>
      <w:marLeft w:val="0"/>
      <w:marRight w:val="0"/>
      <w:marTop w:val="0"/>
      <w:marBottom w:val="0"/>
      <w:divBdr>
        <w:top w:val="none" w:sz="0" w:space="0" w:color="auto"/>
        <w:left w:val="none" w:sz="0" w:space="0" w:color="auto"/>
        <w:bottom w:val="none" w:sz="0" w:space="0" w:color="auto"/>
        <w:right w:val="none" w:sz="0" w:space="0" w:color="auto"/>
      </w:divBdr>
    </w:div>
    <w:div w:id="1269239364">
      <w:bodyDiv w:val="1"/>
      <w:marLeft w:val="0"/>
      <w:marRight w:val="0"/>
      <w:marTop w:val="0"/>
      <w:marBottom w:val="0"/>
      <w:divBdr>
        <w:top w:val="none" w:sz="0" w:space="0" w:color="auto"/>
        <w:left w:val="none" w:sz="0" w:space="0" w:color="auto"/>
        <w:bottom w:val="none" w:sz="0" w:space="0" w:color="auto"/>
        <w:right w:val="none" w:sz="0" w:space="0" w:color="auto"/>
      </w:divBdr>
    </w:div>
    <w:div w:id="1269316965">
      <w:bodyDiv w:val="1"/>
      <w:marLeft w:val="0"/>
      <w:marRight w:val="0"/>
      <w:marTop w:val="0"/>
      <w:marBottom w:val="0"/>
      <w:divBdr>
        <w:top w:val="none" w:sz="0" w:space="0" w:color="auto"/>
        <w:left w:val="none" w:sz="0" w:space="0" w:color="auto"/>
        <w:bottom w:val="none" w:sz="0" w:space="0" w:color="auto"/>
        <w:right w:val="none" w:sz="0" w:space="0" w:color="auto"/>
      </w:divBdr>
    </w:div>
    <w:div w:id="1269503669">
      <w:bodyDiv w:val="1"/>
      <w:marLeft w:val="0"/>
      <w:marRight w:val="0"/>
      <w:marTop w:val="0"/>
      <w:marBottom w:val="0"/>
      <w:divBdr>
        <w:top w:val="none" w:sz="0" w:space="0" w:color="auto"/>
        <w:left w:val="none" w:sz="0" w:space="0" w:color="auto"/>
        <w:bottom w:val="none" w:sz="0" w:space="0" w:color="auto"/>
        <w:right w:val="none" w:sz="0" w:space="0" w:color="auto"/>
      </w:divBdr>
    </w:div>
    <w:div w:id="1269655354">
      <w:bodyDiv w:val="1"/>
      <w:marLeft w:val="0"/>
      <w:marRight w:val="0"/>
      <w:marTop w:val="0"/>
      <w:marBottom w:val="0"/>
      <w:divBdr>
        <w:top w:val="none" w:sz="0" w:space="0" w:color="auto"/>
        <w:left w:val="none" w:sz="0" w:space="0" w:color="auto"/>
        <w:bottom w:val="none" w:sz="0" w:space="0" w:color="auto"/>
        <w:right w:val="none" w:sz="0" w:space="0" w:color="auto"/>
      </w:divBdr>
    </w:div>
    <w:div w:id="1269773655">
      <w:bodyDiv w:val="1"/>
      <w:marLeft w:val="0"/>
      <w:marRight w:val="0"/>
      <w:marTop w:val="0"/>
      <w:marBottom w:val="0"/>
      <w:divBdr>
        <w:top w:val="none" w:sz="0" w:space="0" w:color="auto"/>
        <w:left w:val="none" w:sz="0" w:space="0" w:color="auto"/>
        <w:bottom w:val="none" w:sz="0" w:space="0" w:color="auto"/>
        <w:right w:val="none" w:sz="0" w:space="0" w:color="auto"/>
      </w:divBdr>
    </w:div>
    <w:div w:id="1269965530">
      <w:bodyDiv w:val="1"/>
      <w:marLeft w:val="0"/>
      <w:marRight w:val="0"/>
      <w:marTop w:val="0"/>
      <w:marBottom w:val="0"/>
      <w:divBdr>
        <w:top w:val="none" w:sz="0" w:space="0" w:color="auto"/>
        <w:left w:val="none" w:sz="0" w:space="0" w:color="auto"/>
        <w:bottom w:val="none" w:sz="0" w:space="0" w:color="auto"/>
        <w:right w:val="none" w:sz="0" w:space="0" w:color="auto"/>
      </w:divBdr>
    </w:div>
    <w:div w:id="1270503597">
      <w:bodyDiv w:val="1"/>
      <w:marLeft w:val="0"/>
      <w:marRight w:val="0"/>
      <w:marTop w:val="0"/>
      <w:marBottom w:val="0"/>
      <w:divBdr>
        <w:top w:val="none" w:sz="0" w:space="0" w:color="auto"/>
        <w:left w:val="none" w:sz="0" w:space="0" w:color="auto"/>
        <w:bottom w:val="none" w:sz="0" w:space="0" w:color="auto"/>
        <w:right w:val="none" w:sz="0" w:space="0" w:color="auto"/>
      </w:divBdr>
    </w:div>
    <w:div w:id="1270963437">
      <w:bodyDiv w:val="1"/>
      <w:marLeft w:val="0"/>
      <w:marRight w:val="0"/>
      <w:marTop w:val="0"/>
      <w:marBottom w:val="0"/>
      <w:divBdr>
        <w:top w:val="none" w:sz="0" w:space="0" w:color="auto"/>
        <w:left w:val="none" w:sz="0" w:space="0" w:color="auto"/>
        <w:bottom w:val="none" w:sz="0" w:space="0" w:color="auto"/>
        <w:right w:val="none" w:sz="0" w:space="0" w:color="auto"/>
      </w:divBdr>
    </w:div>
    <w:div w:id="1271669559">
      <w:bodyDiv w:val="1"/>
      <w:marLeft w:val="0"/>
      <w:marRight w:val="0"/>
      <w:marTop w:val="0"/>
      <w:marBottom w:val="0"/>
      <w:divBdr>
        <w:top w:val="none" w:sz="0" w:space="0" w:color="auto"/>
        <w:left w:val="none" w:sz="0" w:space="0" w:color="auto"/>
        <w:bottom w:val="none" w:sz="0" w:space="0" w:color="auto"/>
        <w:right w:val="none" w:sz="0" w:space="0" w:color="auto"/>
      </w:divBdr>
    </w:div>
    <w:div w:id="1271821327">
      <w:bodyDiv w:val="1"/>
      <w:marLeft w:val="0"/>
      <w:marRight w:val="0"/>
      <w:marTop w:val="0"/>
      <w:marBottom w:val="0"/>
      <w:divBdr>
        <w:top w:val="none" w:sz="0" w:space="0" w:color="auto"/>
        <w:left w:val="none" w:sz="0" w:space="0" w:color="auto"/>
        <w:bottom w:val="none" w:sz="0" w:space="0" w:color="auto"/>
        <w:right w:val="none" w:sz="0" w:space="0" w:color="auto"/>
      </w:divBdr>
    </w:div>
    <w:div w:id="1272013234">
      <w:bodyDiv w:val="1"/>
      <w:marLeft w:val="0"/>
      <w:marRight w:val="0"/>
      <w:marTop w:val="0"/>
      <w:marBottom w:val="0"/>
      <w:divBdr>
        <w:top w:val="none" w:sz="0" w:space="0" w:color="auto"/>
        <w:left w:val="none" w:sz="0" w:space="0" w:color="auto"/>
        <w:bottom w:val="none" w:sz="0" w:space="0" w:color="auto"/>
        <w:right w:val="none" w:sz="0" w:space="0" w:color="auto"/>
      </w:divBdr>
    </w:div>
    <w:div w:id="1273126670">
      <w:bodyDiv w:val="1"/>
      <w:marLeft w:val="0"/>
      <w:marRight w:val="0"/>
      <w:marTop w:val="0"/>
      <w:marBottom w:val="0"/>
      <w:divBdr>
        <w:top w:val="none" w:sz="0" w:space="0" w:color="auto"/>
        <w:left w:val="none" w:sz="0" w:space="0" w:color="auto"/>
        <w:bottom w:val="none" w:sz="0" w:space="0" w:color="auto"/>
        <w:right w:val="none" w:sz="0" w:space="0" w:color="auto"/>
      </w:divBdr>
    </w:div>
    <w:div w:id="1274249024">
      <w:bodyDiv w:val="1"/>
      <w:marLeft w:val="0"/>
      <w:marRight w:val="0"/>
      <w:marTop w:val="0"/>
      <w:marBottom w:val="0"/>
      <w:divBdr>
        <w:top w:val="none" w:sz="0" w:space="0" w:color="auto"/>
        <w:left w:val="none" w:sz="0" w:space="0" w:color="auto"/>
        <w:bottom w:val="none" w:sz="0" w:space="0" w:color="auto"/>
        <w:right w:val="none" w:sz="0" w:space="0" w:color="auto"/>
      </w:divBdr>
    </w:div>
    <w:div w:id="1274434751">
      <w:bodyDiv w:val="1"/>
      <w:marLeft w:val="0"/>
      <w:marRight w:val="0"/>
      <w:marTop w:val="0"/>
      <w:marBottom w:val="0"/>
      <w:divBdr>
        <w:top w:val="none" w:sz="0" w:space="0" w:color="auto"/>
        <w:left w:val="none" w:sz="0" w:space="0" w:color="auto"/>
        <w:bottom w:val="none" w:sz="0" w:space="0" w:color="auto"/>
        <w:right w:val="none" w:sz="0" w:space="0" w:color="auto"/>
      </w:divBdr>
    </w:div>
    <w:div w:id="1274897075">
      <w:bodyDiv w:val="1"/>
      <w:marLeft w:val="0"/>
      <w:marRight w:val="0"/>
      <w:marTop w:val="0"/>
      <w:marBottom w:val="0"/>
      <w:divBdr>
        <w:top w:val="none" w:sz="0" w:space="0" w:color="auto"/>
        <w:left w:val="none" w:sz="0" w:space="0" w:color="auto"/>
        <w:bottom w:val="none" w:sz="0" w:space="0" w:color="auto"/>
        <w:right w:val="none" w:sz="0" w:space="0" w:color="auto"/>
      </w:divBdr>
    </w:div>
    <w:div w:id="1275165040">
      <w:bodyDiv w:val="1"/>
      <w:marLeft w:val="0"/>
      <w:marRight w:val="0"/>
      <w:marTop w:val="0"/>
      <w:marBottom w:val="0"/>
      <w:divBdr>
        <w:top w:val="none" w:sz="0" w:space="0" w:color="auto"/>
        <w:left w:val="none" w:sz="0" w:space="0" w:color="auto"/>
        <w:bottom w:val="none" w:sz="0" w:space="0" w:color="auto"/>
        <w:right w:val="none" w:sz="0" w:space="0" w:color="auto"/>
      </w:divBdr>
    </w:div>
    <w:div w:id="1275674211">
      <w:bodyDiv w:val="1"/>
      <w:marLeft w:val="0"/>
      <w:marRight w:val="0"/>
      <w:marTop w:val="0"/>
      <w:marBottom w:val="0"/>
      <w:divBdr>
        <w:top w:val="none" w:sz="0" w:space="0" w:color="auto"/>
        <w:left w:val="none" w:sz="0" w:space="0" w:color="auto"/>
        <w:bottom w:val="none" w:sz="0" w:space="0" w:color="auto"/>
        <w:right w:val="none" w:sz="0" w:space="0" w:color="auto"/>
      </w:divBdr>
    </w:div>
    <w:div w:id="1276135013">
      <w:bodyDiv w:val="1"/>
      <w:marLeft w:val="0"/>
      <w:marRight w:val="0"/>
      <w:marTop w:val="0"/>
      <w:marBottom w:val="0"/>
      <w:divBdr>
        <w:top w:val="none" w:sz="0" w:space="0" w:color="auto"/>
        <w:left w:val="none" w:sz="0" w:space="0" w:color="auto"/>
        <w:bottom w:val="none" w:sz="0" w:space="0" w:color="auto"/>
        <w:right w:val="none" w:sz="0" w:space="0" w:color="auto"/>
      </w:divBdr>
    </w:div>
    <w:div w:id="1276444881">
      <w:bodyDiv w:val="1"/>
      <w:marLeft w:val="0"/>
      <w:marRight w:val="0"/>
      <w:marTop w:val="0"/>
      <w:marBottom w:val="0"/>
      <w:divBdr>
        <w:top w:val="none" w:sz="0" w:space="0" w:color="auto"/>
        <w:left w:val="none" w:sz="0" w:space="0" w:color="auto"/>
        <w:bottom w:val="none" w:sz="0" w:space="0" w:color="auto"/>
        <w:right w:val="none" w:sz="0" w:space="0" w:color="auto"/>
      </w:divBdr>
    </w:div>
    <w:div w:id="1276447129">
      <w:bodyDiv w:val="1"/>
      <w:marLeft w:val="0"/>
      <w:marRight w:val="0"/>
      <w:marTop w:val="0"/>
      <w:marBottom w:val="0"/>
      <w:divBdr>
        <w:top w:val="none" w:sz="0" w:space="0" w:color="auto"/>
        <w:left w:val="none" w:sz="0" w:space="0" w:color="auto"/>
        <w:bottom w:val="none" w:sz="0" w:space="0" w:color="auto"/>
        <w:right w:val="none" w:sz="0" w:space="0" w:color="auto"/>
      </w:divBdr>
    </w:div>
    <w:div w:id="1276517066">
      <w:bodyDiv w:val="1"/>
      <w:marLeft w:val="0"/>
      <w:marRight w:val="0"/>
      <w:marTop w:val="0"/>
      <w:marBottom w:val="0"/>
      <w:divBdr>
        <w:top w:val="none" w:sz="0" w:space="0" w:color="auto"/>
        <w:left w:val="none" w:sz="0" w:space="0" w:color="auto"/>
        <w:bottom w:val="none" w:sz="0" w:space="0" w:color="auto"/>
        <w:right w:val="none" w:sz="0" w:space="0" w:color="auto"/>
      </w:divBdr>
    </w:div>
    <w:div w:id="1276711088">
      <w:bodyDiv w:val="1"/>
      <w:marLeft w:val="0"/>
      <w:marRight w:val="0"/>
      <w:marTop w:val="0"/>
      <w:marBottom w:val="0"/>
      <w:divBdr>
        <w:top w:val="none" w:sz="0" w:space="0" w:color="auto"/>
        <w:left w:val="none" w:sz="0" w:space="0" w:color="auto"/>
        <w:bottom w:val="none" w:sz="0" w:space="0" w:color="auto"/>
        <w:right w:val="none" w:sz="0" w:space="0" w:color="auto"/>
      </w:divBdr>
    </w:div>
    <w:div w:id="1276910966">
      <w:bodyDiv w:val="1"/>
      <w:marLeft w:val="0"/>
      <w:marRight w:val="0"/>
      <w:marTop w:val="0"/>
      <w:marBottom w:val="0"/>
      <w:divBdr>
        <w:top w:val="none" w:sz="0" w:space="0" w:color="auto"/>
        <w:left w:val="none" w:sz="0" w:space="0" w:color="auto"/>
        <w:bottom w:val="none" w:sz="0" w:space="0" w:color="auto"/>
        <w:right w:val="none" w:sz="0" w:space="0" w:color="auto"/>
      </w:divBdr>
    </w:div>
    <w:div w:id="1276912504">
      <w:bodyDiv w:val="1"/>
      <w:marLeft w:val="0"/>
      <w:marRight w:val="0"/>
      <w:marTop w:val="0"/>
      <w:marBottom w:val="0"/>
      <w:divBdr>
        <w:top w:val="none" w:sz="0" w:space="0" w:color="auto"/>
        <w:left w:val="none" w:sz="0" w:space="0" w:color="auto"/>
        <w:bottom w:val="none" w:sz="0" w:space="0" w:color="auto"/>
        <w:right w:val="none" w:sz="0" w:space="0" w:color="auto"/>
      </w:divBdr>
    </w:div>
    <w:div w:id="1277785673">
      <w:bodyDiv w:val="1"/>
      <w:marLeft w:val="0"/>
      <w:marRight w:val="0"/>
      <w:marTop w:val="0"/>
      <w:marBottom w:val="0"/>
      <w:divBdr>
        <w:top w:val="none" w:sz="0" w:space="0" w:color="auto"/>
        <w:left w:val="none" w:sz="0" w:space="0" w:color="auto"/>
        <w:bottom w:val="none" w:sz="0" w:space="0" w:color="auto"/>
        <w:right w:val="none" w:sz="0" w:space="0" w:color="auto"/>
      </w:divBdr>
    </w:div>
    <w:div w:id="1277827536">
      <w:bodyDiv w:val="1"/>
      <w:marLeft w:val="0"/>
      <w:marRight w:val="0"/>
      <w:marTop w:val="0"/>
      <w:marBottom w:val="0"/>
      <w:divBdr>
        <w:top w:val="none" w:sz="0" w:space="0" w:color="auto"/>
        <w:left w:val="none" w:sz="0" w:space="0" w:color="auto"/>
        <w:bottom w:val="none" w:sz="0" w:space="0" w:color="auto"/>
        <w:right w:val="none" w:sz="0" w:space="0" w:color="auto"/>
      </w:divBdr>
    </w:div>
    <w:div w:id="1278025680">
      <w:bodyDiv w:val="1"/>
      <w:marLeft w:val="0"/>
      <w:marRight w:val="0"/>
      <w:marTop w:val="0"/>
      <w:marBottom w:val="0"/>
      <w:divBdr>
        <w:top w:val="none" w:sz="0" w:space="0" w:color="auto"/>
        <w:left w:val="none" w:sz="0" w:space="0" w:color="auto"/>
        <w:bottom w:val="none" w:sz="0" w:space="0" w:color="auto"/>
        <w:right w:val="none" w:sz="0" w:space="0" w:color="auto"/>
      </w:divBdr>
    </w:div>
    <w:div w:id="1278219387">
      <w:bodyDiv w:val="1"/>
      <w:marLeft w:val="0"/>
      <w:marRight w:val="0"/>
      <w:marTop w:val="0"/>
      <w:marBottom w:val="0"/>
      <w:divBdr>
        <w:top w:val="none" w:sz="0" w:space="0" w:color="auto"/>
        <w:left w:val="none" w:sz="0" w:space="0" w:color="auto"/>
        <w:bottom w:val="none" w:sz="0" w:space="0" w:color="auto"/>
        <w:right w:val="none" w:sz="0" w:space="0" w:color="auto"/>
      </w:divBdr>
    </w:div>
    <w:div w:id="1278296969">
      <w:bodyDiv w:val="1"/>
      <w:marLeft w:val="0"/>
      <w:marRight w:val="0"/>
      <w:marTop w:val="0"/>
      <w:marBottom w:val="0"/>
      <w:divBdr>
        <w:top w:val="none" w:sz="0" w:space="0" w:color="auto"/>
        <w:left w:val="none" w:sz="0" w:space="0" w:color="auto"/>
        <w:bottom w:val="none" w:sz="0" w:space="0" w:color="auto"/>
        <w:right w:val="none" w:sz="0" w:space="0" w:color="auto"/>
      </w:divBdr>
    </w:div>
    <w:div w:id="1279024169">
      <w:bodyDiv w:val="1"/>
      <w:marLeft w:val="0"/>
      <w:marRight w:val="0"/>
      <w:marTop w:val="0"/>
      <w:marBottom w:val="0"/>
      <w:divBdr>
        <w:top w:val="none" w:sz="0" w:space="0" w:color="auto"/>
        <w:left w:val="none" w:sz="0" w:space="0" w:color="auto"/>
        <w:bottom w:val="none" w:sz="0" w:space="0" w:color="auto"/>
        <w:right w:val="none" w:sz="0" w:space="0" w:color="auto"/>
      </w:divBdr>
    </w:div>
    <w:div w:id="1279416193">
      <w:bodyDiv w:val="1"/>
      <w:marLeft w:val="0"/>
      <w:marRight w:val="0"/>
      <w:marTop w:val="0"/>
      <w:marBottom w:val="0"/>
      <w:divBdr>
        <w:top w:val="none" w:sz="0" w:space="0" w:color="auto"/>
        <w:left w:val="none" w:sz="0" w:space="0" w:color="auto"/>
        <w:bottom w:val="none" w:sz="0" w:space="0" w:color="auto"/>
        <w:right w:val="none" w:sz="0" w:space="0" w:color="auto"/>
      </w:divBdr>
    </w:div>
    <w:div w:id="1279918113">
      <w:bodyDiv w:val="1"/>
      <w:marLeft w:val="0"/>
      <w:marRight w:val="0"/>
      <w:marTop w:val="0"/>
      <w:marBottom w:val="0"/>
      <w:divBdr>
        <w:top w:val="none" w:sz="0" w:space="0" w:color="auto"/>
        <w:left w:val="none" w:sz="0" w:space="0" w:color="auto"/>
        <w:bottom w:val="none" w:sz="0" w:space="0" w:color="auto"/>
        <w:right w:val="none" w:sz="0" w:space="0" w:color="auto"/>
      </w:divBdr>
    </w:div>
    <w:div w:id="1280647251">
      <w:bodyDiv w:val="1"/>
      <w:marLeft w:val="0"/>
      <w:marRight w:val="0"/>
      <w:marTop w:val="0"/>
      <w:marBottom w:val="0"/>
      <w:divBdr>
        <w:top w:val="none" w:sz="0" w:space="0" w:color="auto"/>
        <w:left w:val="none" w:sz="0" w:space="0" w:color="auto"/>
        <w:bottom w:val="none" w:sz="0" w:space="0" w:color="auto"/>
        <w:right w:val="none" w:sz="0" w:space="0" w:color="auto"/>
      </w:divBdr>
    </w:div>
    <w:div w:id="1281451928">
      <w:bodyDiv w:val="1"/>
      <w:marLeft w:val="0"/>
      <w:marRight w:val="0"/>
      <w:marTop w:val="0"/>
      <w:marBottom w:val="0"/>
      <w:divBdr>
        <w:top w:val="none" w:sz="0" w:space="0" w:color="auto"/>
        <w:left w:val="none" w:sz="0" w:space="0" w:color="auto"/>
        <w:bottom w:val="none" w:sz="0" w:space="0" w:color="auto"/>
        <w:right w:val="none" w:sz="0" w:space="0" w:color="auto"/>
      </w:divBdr>
    </w:div>
    <w:div w:id="1281763091">
      <w:bodyDiv w:val="1"/>
      <w:marLeft w:val="0"/>
      <w:marRight w:val="0"/>
      <w:marTop w:val="0"/>
      <w:marBottom w:val="0"/>
      <w:divBdr>
        <w:top w:val="none" w:sz="0" w:space="0" w:color="auto"/>
        <w:left w:val="none" w:sz="0" w:space="0" w:color="auto"/>
        <w:bottom w:val="none" w:sz="0" w:space="0" w:color="auto"/>
        <w:right w:val="none" w:sz="0" w:space="0" w:color="auto"/>
      </w:divBdr>
    </w:div>
    <w:div w:id="1281837952">
      <w:bodyDiv w:val="1"/>
      <w:marLeft w:val="0"/>
      <w:marRight w:val="0"/>
      <w:marTop w:val="0"/>
      <w:marBottom w:val="0"/>
      <w:divBdr>
        <w:top w:val="none" w:sz="0" w:space="0" w:color="auto"/>
        <w:left w:val="none" w:sz="0" w:space="0" w:color="auto"/>
        <w:bottom w:val="none" w:sz="0" w:space="0" w:color="auto"/>
        <w:right w:val="none" w:sz="0" w:space="0" w:color="auto"/>
      </w:divBdr>
    </w:div>
    <w:div w:id="1282567430">
      <w:bodyDiv w:val="1"/>
      <w:marLeft w:val="0"/>
      <w:marRight w:val="0"/>
      <w:marTop w:val="0"/>
      <w:marBottom w:val="0"/>
      <w:divBdr>
        <w:top w:val="none" w:sz="0" w:space="0" w:color="auto"/>
        <w:left w:val="none" w:sz="0" w:space="0" w:color="auto"/>
        <w:bottom w:val="none" w:sz="0" w:space="0" w:color="auto"/>
        <w:right w:val="none" w:sz="0" w:space="0" w:color="auto"/>
      </w:divBdr>
    </w:div>
    <w:div w:id="1282608207">
      <w:bodyDiv w:val="1"/>
      <w:marLeft w:val="0"/>
      <w:marRight w:val="0"/>
      <w:marTop w:val="0"/>
      <w:marBottom w:val="0"/>
      <w:divBdr>
        <w:top w:val="none" w:sz="0" w:space="0" w:color="auto"/>
        <w:left w:val="none" w:sz="0" w:space="0" w:color="auto"/>
        <w:bottom w:val="none" w:sz="0" w:space="0" w:color="auto"/>
        <w:right w:val="none" w:sz="0" w:space="0" w:color="auto"/>
      </w:divBdr>
    </w:div>
    <w:div w:id="1282882991">
      <w:bodyDiv w:val="1"/>
      <w:marLeft w:val="0"/>
      <w:marRight w:val="0"/>
      <w:marTop w:val="0"/>
      <w:marBottom w:val="0"/>
      <w:divBdr>
        <w:top w:val="none" w:sz="0" w:space="0" w:color="auto"/>
        <w:left w:val="none" w:sz="0" w:space="0" w:color="auto"/>
        <w:bottom w:val="none" w:sz="0" w:space="0" w:color="auto"/>
        <w:right w:val="none" w:sz="0" w:space="0" w:color="auto"/>
      </w:divBdr>
    </w:div>
    <w:div w:id="1282956734">
      <w:bodyDiv w:val="1"/>
      <w:marLeft w:val="0"/>
      <w:marRight w:val="0"/>
      <w:marTop w:val="0"/>
      <w:marBottom w:val="0"/>
      <w:divBdr>
        <w:top w:val="none" w:sz="0" w:space="0" w:color="auto"/>
        <w:left w:val="none" w:sz="0" w:space="0" w:color="auto"/>
        <w:bottom w:val="none" w:sz="0" w:space="0" w:color="auto"/>
        <w:right w:val="none" w:sz="0" w:space="0" w:color="auto"/>
      </w:divBdr>
    </w:div>
    <w:div w:id="1283149862">
      <w:bodyDiv w:val="1"/>
      <w:marLeft w:val="0"/>
      <w:marRight w:val="0"/>
      <w:marTop w:val="0"/>
      <w:marBottom w:val="0"/>
      <w:divBdr>
        <w:top w:val="none" w:sz="0" w:space="0" w:color="auto"/>
        <w:left w:val="none" w:sz="0" w:space="0" w:color="auto"/>
        <w:bottom w:val="none" w:sz="0" w:space="0" w:color="auto"/>
        <w:right w:val="none" w:sz="0" w:space="0" w:color="auto"/>
      </w:divBdr>
    </w:div>
    <w:div w:id="1284188688">
      <w:bodyDiv w:val="1"/>
      <w:marLeft w:val="0"/>
      <w:marRight w:val="0"/>
      <w:marTop w:val="0"/>
      <w:marBottom w:val="0"/>
      <w:divBdr>
        <w:top w:val="none" w:sz="0" w:space="0" w:color="auto"/>
        <w:left w:val="none" w:sz="0" w:space="0" w:color="auto"/>
        <w:bottom w:val="none" w:sz="0" w:space="0" w:color="auto"/>
        <w:right w:val="none" w:sz="0" w:space="0" w:color="auto"/>
      </w:divBdr>
    </w:div>
    <w:div w:id="1284313358">
      <w:bodyDiv w:val="1"/>
      <w:marLeft w:val="0"/>
      <w:marRight w:val="0"/>
      <w:marTop w:val="0"/>
      <w:marBottom w:val="0"/>
      <w:divBdr>
        <w:top w:val="none" w:sz="0" w:space="0" w:color="auto"/>
        <w:left w:val="none" w:sz="0" w:space="0" w:color="auto"/>
        <w:bottom w:val="none" w:sz="0" w:space="0" w:color="auto"/>
        <w:right w:val="none" w:sz="0" w:space="0" w:color="auto"/>
      </w:divBdr>
    </w:div>
    <w:div w:id="1284920255">
      <w:bodyDiv w:val="1"/>
      <w:marLeft w:val="0"/>
      <w:marRight w:val="0"/>
      <w:marTop w:val="0"/>
      <w:marBottom w:val="0"/>
      <w:divBdr>
        <w:top w:val="none" w:sz="0" w:space="0" w:color="auto"/>
        <w:left w:val="none" w:sz="0" w:space="0" w:color="auto"/>
        <w:bottom w:val="none" w:sz="0" w:space="0" w:color="auto"/>
        <w:right w:val="none" w:sz="0" w:space="0" w:color="auto"/>
      </w:divBdr>
    </w:div>
    <w:div w:id="1285229829">
      <w:bodyDiv w:val="1"/>
      <w:marLeft w:val="0"/>
      <w:marRight w:val="0"/>
      <w:marTop w:val="0"/>
      <w:marBottom w:val="0"/>
      <w:divBdr>
        <w:top w:val="none" w:sz="0" w:space="0" w:color="auto"/>
        <w:left w:val="none" w:sz="0" w:space="0" w:color="auto"/>
        <w:bottom w:val="none" w:sz="0" w:space="0" w:color="auto"/>
        <w:right w:val="none" w:sz="0" w:space="0" w:color="auto"/>
      </w:divBdr>
    </w:div>
    <w:div w:id="1285694641">
      <w:bodyDiv w:val="1"/>
      <w:marLeft w:val="0"/>
      <w:marRight w:val="0"/>
      <w:marTop w:val="0"/>
      <w:marBottom w:val="0"/>
      <w:divBdr>
        <w:top w:val="none" w:sz="0" w:space="0" w:color="auto"/>
        <w:left w:val="none" w:sz="0" w:space="0" w:color="auto"/>
        <w:bottom w:val="none" w:sz="0" w:space="0" w:color="auto"/>
        <w:right w:val="none" w:sz="0" w:space="0" w:color="auto"/>
      </w:divBdr>
    </w:div>
    <w:div w:id="1286236534">
      <w:bodyDiv w:val="1"/>
      <w:marLeft w:val="0"/>
      <w:marRight w:val="0"/>
      <w:marTop w:val="0"/>
      <w:marBottom w:val="0"/>
      <w:divBdr>
        <w:top w:val="none" w:sz="0" w:space="0" w:color="auto"/>
        <w:left w:val="none" w:sz="0" w:space="0" w:color="auto"/>
        <w:bottom w:val="none" w:sz="0" w:space="0" w:color="auto"/>
        <w:right w:val="none" w:sz="0" w:space="0" w:color="auto"/>
      </w:divBdr>
    </w:div>
    <w:div w:id="1286499830">
      <w:bodyDiv w:val="1"/>
      <w:marLeft w:val="0"/>
      <w:marRight w:val="0"/>
      <w:marTop w:val="0"/>
      <w:marBottom w:val="0"/>
      <w:divBdr>
        <w:top w:val="none" w:sz="0" w:space="0" w:color="auto"/>
        <w:left w:val="none" w:sz="0" w:space="0" w:color="auto"/>
        <w:bottom w:val="none" w:sz="0" w:space="0" w:color="auto"/>
        <w:right w:val="none" w:sz="0" w:space="0" w:color="auto"/>
      </w:divBdr>
    </w:div>
    <w:div w:id="1286502349">
      <w:bodyDiv w:val="1"/>
      <w:marLeft w:val="0"/>
      <w:marRight w:val="0"/>
      <w:marTop w:val="0"/>
      <w:marBottom w:val="0"/>
      <w:divBdr>
        <w:top w:val="none" w:sz="0" w:space="0" w:color="auto"/>
        <w:left w:val="none" w:sz="0" w:space="0" w:color="auto"/>
        <w:bottom w:val="none" w:sz="0" w:space="0" w:color="auto"/>
        <w:right w:val="none" w:sz="0" w:space="0" w:color="auto"/>
      </w:divBdr>
    </w:div>
    <w:div w:id="1286546025">
      <w:bodyDiv w:val="1"/>
      <w:marLeft w:val="0"/>
      <w:marRight w:val="0"/>
      <w:marTop w:val="0"/>
      <w:marBottom w:val="0"/>
      <w:divBdr>
        <w:top w:val="none" w:sz="0" w:space="0" w:color="auto"/>
        <w:left w:val="none" w:sz="0" w:space="0" w:color="auto"/>
        <w:bottom w:val="none" w:sz="0" w:space="0" w:color="auto"/>
        <w:right w:val="none" w:sz="0" w:space="0" w:color="auto"/>
      </w:divBdr>
    </w:div>
    <w:div w:id="1288466538">
      <w:bodyDiv w:val="1"/>
      <w:marLeft w:val="0"/>
      <w:marRight w:val="0"/>
      <w:marTop w:val="0"/>
      <w:marBottom w:val="0"/>
      <w:divBdr>
        <w:top w:val="none" w:sz="0" w:space="0" w:color="auto"/>
        <w:left w:val="none" w:sz="0" w:space="0" w:color="auto"/>
        <w:bottom w:val="none" w:sz="0" w:space="0" w:color="auto"/>
        <w:right w:val="none" w:sz="0" w:space="0" w:color="auto"/>
      </w:divBdr>
    </w:div>
    <w:div w:id="1288899671">
      <w:bodyDiv w:val="1"/>
      <w:marLeft w:val="0"/>
      <w:marRight w:val="0"/>
      <w:marTop w:val="0"/>
      <w:marBottom w:val="0"/>
      <w:divBdr>
        <w:top w:val="none" w:sz="0" w:space="0" w:color="auto"/>
        <w:left w:val="none" w:sz="0" w:space="0" w:color="auto"/>
        <w:bottom w:val="none" w:sz="0" w:space="0" w:color="auto"/>
        <w:right w:val="none" w:sz="0" w:space="0" w:color="auto"/>
      </w:divBdr>
    </w:div>
    <w:div w:id="1289241707">
      <w:bodyDiv w:val="1"/>
      <w:marLeft w:val="0"/>
      <w:marRight w:val="0"/>
      <w:marTop w:val="0"/>
      <w:marBottom w:val="0"/>
      <w:divBdr>
        <w:top w:val="none" w:sz="0" w:space="0" w:color="auto"/>
        <w:left w:val="none" w:sz="0" w:space="0" w:color="auto"/>
        <w:bottom w:val="none" w:sz="0" w:space="0" w:color="auto"/>
        <w:right w:val="none" w:sz="0" w:space="0" w:color="auto"/>
      </w:divBdr>
    </w:div>
    <w:div w:id="1289703341">
      <w:bodyDiv w:val="1"/>
      <w:marLeft w:val="0"/>
      <w:marRight w:val="0"/>
      <w:marTop w:val="0"/>
      <w:marBottom w:val="0"/>
      <w:divBdr>
        <w:top w:val="none" w:sz="0" w:space="0" w:color="auto"/>
        <w:left w:val="none" w:sz="0" w:space="0" w:color="auto"/>
        <w:bottom w:val="none" w:sz="0" w:space="0" w:color="auto"/>
        <w:right w:val="none" w:sz="0" w:space="0" w:color="auto"/>
      </w:divBdr>
    </w:div>
    <w:div w:id="1290014737">
      <w:bodyDiv w:val="1"/>
      <w:marLeft w:val="0"/>
      <w:marRight w:val="0"/>
      <w:marTop w:val="0"/>
      <w:marBottom w:val="0"/>
      <w:divBdr>
        <w:top w:val="none" w:sz="0" w:space="0" w:color="auto"/>
        <w:left w:val="none" w:sz="0" w:space="0" w:color="auto"/>
        <w:bottom w:val="none" w:sz="0" w:space="0" w:color="auto"/>
        <w:right w:val="none" w:sz="0" w:space="0" w:color="auto"/>
      </w:divBdr>
    </w:div>
    <w:div w:id="1290360644">
      <w:bodyDiv w:val="1"/>
      <w:marLeft w:val="0"/>
      <w:marRight w:val="0"/>
      <w:marTop w:val="0"/>
      <w:marBottom w:val="0"/>
      <w:divBdr>
        <w:top w:val="none" w:sz="0" w:space="0" w:color="auto"/>
        <w:left w:val="none" w:sz="0" w:space="0" w:color="auto"/>
        <w:bottom w:val="none" w:sz="0" w:space="0" w:color="auto"/>
        <w:right w:val="none" w:sz="0" w:space="0" w:color="auto"/>
      </w:divBdr>
    </w:div>
    <w:div w:id="1290553180">
      <w:bodyDiv w:val="1"/>
      <w:marLeft w:val="0"/>
      <w:marRight w:val="0"/>
      <w:marTop w:val="0"/>
      <w:marBottom w:val="0"/>
      <w:divBdr>
        <w:top w:val="none" w:sz="0" w:space="0" w:color="auto"/>
        <w:left w:val="none" w:sz="0" w:space="0" w:color="auto"/>
        <w:bottom w:val="none" w:sz="0" w:space="0" w:color="auto"/>
        <w:right w:val="none" w:sz="0" w:space="0" w:color="auto"/>
      </w:divBdr>
    </w:div>
    <w:div w:id="1291084803">
      <w:bodyDiv w:val="1"/>
      <w:marLeft w:val="0"/>
      <w:marRight w:val="0"/>
      <w:marTop w:val="0"/>
      <w:marBottom w:val="0"/>
      <w:divBdr>
        <w:top w:val="none" w:sz="0" w:space="0" w:color="auto"/>
        <w:left w:val="none" w:sz="0" w:space="0" w:color="auto"/>
        <w:bottom w:val="none" w:sz="0" w:space="0" w:color="auto"/>
        <w:right w:val="none" w:sz="0" w:space="0" w:color="auto"/>
      </w:divBdr>
    </w:div>
    <w:div w:id="1292202691">
      <w:bodyDiv w:val="1"/>
      <w:marLeft w:val="0"/>
      <w:marRight w:val="0"/>
      <w:marTop w:val="0"/>
      <w:marBottom w:val="0"/>
      <w:divBdr>
        <w:top w:val="none" w:sz="0" w:space="0" w:color="auto"/>
        <w:left w:val="none" w:sz="0" w:space="0" w:color="auto"/>
        <w:bottom w:val="none" w:sz="0" w:space="0" w:color="auto"/>
        <w:right w:val="none" w:sz="0" w:space="0" w:color="auto"/>
      </w:divBdr>
    </w:div>
    <w:div w:id="1292244262">
      <w:bodyDiv w:val="1"/>
      <w:marLeft w:val="0"/>
      <w:marRight w:val="0"/>
      <w:marTop w:val="0"/>
      <w:marBottom w:val="0"/>
      <w:divBdr>
        <w:top w:val="none" w:sz="0" w:space="0" w:color="auto"/>
        <w:left w:val="none" w:sz="0" w:space="0" w:color="auto"/>
        <w:bottom w:val="none" w:sz="0" w:space="0" w:color="auto"/>
        <w:right w:val="none" w:sz="0" w:space="0" w:color="auto"/>
      </w:divBdr>
    </w:div>
    <w:div w:id="1292394300">
      <w:bodyDiv w:val="1"/>
      <w:marLeft w:val="0"/>
      <w:marRight w:val="0"/>
      <w:marTop w:val="0"/>
      <w:marBottom w:val="0"/>
      <w:divBdr>
        <w:top w:val="none" w:sz="0" w:space="0" w:color="auto"/>
        <w:left w:val="none" w:sz="0" w:space="0" w:color="auto"/>
        <w:bottom w:val="none" w:sz="0" w:space="0" w:color="auto"/>
        <w:right w:val="none" w:sz="0" w:space="0" w:color="auto"/>
      </w:divBdr>
    </w:div>
    <w:div w:id="1292900477">
      <w:bodyDiv w:val="1"/>
      <w:marLeft w:val="0"/>
      <w:marRight w:val="0"/>
      <w:marTop w:val="0"/>
      <w:marBottom w:val="0"/>
      <w:divBdr>
        <w:top w:val="none" w:sz="0" w:space="0" w:color="auto"/>
        <w:left w:val="none" w:sz="0" w:space="0" w:color="auto"/>
        <w:bottom w:val="none" w:sz="0" w:space="0" w:color="auto"/>
        <w:right w:val="none" w:sz="0" w:space="0" w:color="auto"/>
      </w:divBdr>
    </w:div>
    <w:div w:id="1293176977">
      <w:bodyDiv w:val="1"/>
      <w:marLeft w:val="0"/>
      <w:marRight w:val="0"/>
      <w:marTop w:val="0"/>
      <w:marBottom w:val="0"/>
      <w:divBdr>
        <w:top w:val="none" w:sz="0" w:space="0" w:color="auto"/>
        <w:left w:val="none" w:sz="0" w:space="0" w:color="auto"/>
        <w:bottom w:val="none" w:sz="0" w:space="0" w:color="auto"/>
        <w:right w:val="none" w:sz="0" w:space="0" w:color="auto"/>
      </w:divBdr>
    </w:div>
    <w:div w:id="1293287490">
      <w:bodyDiv w:val="1"/>
      <w:marLeft w:val="0"/>
      <w:marRight w:val="0"/>
      <w:marTop w:val="0"/>
      <w:marBottom w:val="0"/>
      <w:divBdr>
        <w:top w:val="none" w:sz="0" w:space="0" w:color="auto"/>
        <w:left w:val="none" w:sz="0" w:space="0" w:color="auto"/>
        <w:bottom w:val="none" w:sz="0" w:space="0" w:color="auto"/>
        <w:right w:val="none" w:sz="0" w:space="0" w:color="auto"/>
      </w:divBdr>
    </w:div>
    <w:div w:id="1293554347">
      <w:bodyDiv w:val="1"/>
      <w:marLeft w:val="0"/>
      <w:marRight w:val="0"/>
      <w:marTop w:val="0"/>
      <w:marBottom w:val="0"/>
      <w:divBdr>
        <w:top w:val="none" w:sz="0" w:space="0" w:color="auto"/>
        <w:left w:val="none" w:sz="0" w:space="0" w:color="auto"/>
        <w:bottom w:val="none" w:sz="0" w:space="0" w:color="auto"/>
        <w:right w:val="none" w:sz="0" w:space="0" w:color="auto"/>
      </w:divBdr>
    </w:div>
    <w:div w:id="1293825310">
      <w:bodyDiv w:val="1"/>
      <w:marLeft w:val="0"/>
      <w:marRight w:val="0"/>
      <w:marTop w:val="0"/>
      <w:marBottom w:val="0"/>
      <w:divBdr>
        <w:top w:val="none" w:sz="0" w:space="0" w:color="auto"/>
        <w:left w:val="none" w:sz="0" w:space="0" w:color="auto"/>
        <w:bottom w:val="none" w:sz="0" w:space="0" w:color="auto"/>
        <w:right w:val="none" w:sz="0" w:space="0" w:color="auto"/>
      </w:divBdr>
    </w:div>
    <w:div w:id="1293901441">
      <w:bodyDiv w:val="1"/>
      <w:marLeft w:val="0"/>
      <w:marRight w:val="0"/>
      <w:marTop w:val="0"/>
      <w:marBottom w:val="0"/>
      <w:divBdr>
        <w:top w:val="none" w:sz="0" w:space="0" w:color="auto"/>
        <w:left w:val="none" w:sz="0" w:space="0" w:color="auto"/>
        <w:bottom w:val="none" w:sz="0" w:space="0" w:color="auto"/>
        <w:right w:val="none" w:sz="0" w:space="0" w:color="auto"/>
      </w:divBdr>
    </w:div>
    <w:div w:id="1294096750">
      <w:bodyDiv w:val="1"/>
      <w:marLeft w:val="0"/>
      <w:marRight w:val="0"/>
      <w:marTop w:val="0"/>
      <w:marBottom w:val="0"/>
      <w:divBdr>
        <w:top w:val="none" w:sz="0" w:space="0" w:color="auto"/>
        <w:left w:val="none" w:sz="0" w:space="0" w:color="auto"/>
        <w:bottom w:val="none" w:sz="0" w:space="0" w:color="auto"/>
        <w:right w:val="none" w:sz="0" w:space="0" w:color="auto"/>
      </w:divBdr>
    </w:div>
    <w:div w:id="1295328346">
      <w:bodyDiv w:val="1"/>
      <w:marLeft w:val="0"/>
      <w:marRight w:val="0"/>
      <w:marTop w:val="0"/>
      <w:marBottom w:val="0"/>
      <w:divBdr>
        <w:top w:val="none" w:sz="0" w:space="0" w:color="auto"/>
        <w:left w:val="none" w:sz="0" w:space="0" w:color="auto"/>
        <w:bottom w:val="none" w:sz="0" w:space="0" w:color="auto"/>
        <w:right w:val="none" w:sz="0" w:space="0" w:color="auto"/>
      </w:divBdr>
    </w:div>
    <w:div w:id="1295796075">
      <w:bodyDiv w:val="1"/>
      <w:marLeft w:val="0"/>
      <w:marRight w:val="0"/>
      <w:marTop w:val="0"/>
      <w:marBottom w:val="0"/>
      <w:divBdr>
        <w:top w:val="none" w:sz="0" w:space="0" w:color="auto"/>
        <w:left w:val="none" w:sz="0" w:space="0" w:color="auto"/>
        <w:bottom w:val="none" w:sz="0" w:space="0" w:color="auto"/>
        <w:right w:val="none" w:sz="0" w:space="0" w:color="auto"/>
      </w:divBdr>
    </w:div>
    <w:div w:id="1295984326">
      <w:bodyDiv w:val="1"/>
      <w:marLeft w:val="0"/>
      <w:marRight w:val="0"/>
      <w:marTop w:val="0"/>
      <w:marBottom w:val="0"/>
      <w:divBdr>
        <w:top w:val="none" w:sz="0" w:space="0" w:color="auto"/>
        <w:left w:val="none" w:sz="0" w:space="0" w:color="auto"/>
        <w:bottom w:val="none" w:sz="0" w:space="0" w:color="auto"/>
        <w:right w:val="none" w:sz="0" w:space="0" w:color="auto"/>
      </w:divBdr>
    </w:div>
    <w:div w:id="1298071787">
      <w:bodyDiv w:val="1"/>
      <w:marLeft w:val="0"/>
      <w:marRight w:val="0"/>
      <w:marTop w:val="0"/>
      <w:marBottom w:val="0"/>
      <w:divBdr>
        <w:top w:val="none" w:sz="0" w:space="0" w:color="auto"/>
        <w:left w:val="none" w:sz="0" w:space="0" w:color="auto"/>
        <w:bottom w:val="none" w:sz="0" w:space="0" w:color="auto"/>
        <w:right w:val="none" w:sz="0" w:space="0" w:color="auto"/>
      </w:divBdr>
    </w:div>
    <w:div w:id="1298410984">
      <w:bodyDiv w:val="1"/>
      <w:marLeft w:val="0"/>
      <w:marRight w:val="0"/>
      <w:marTop w:val="0"/>
      <w:marBottom w:val="0"/>
      <w:divBdr>
        <w:top w:val="none" w:sz="0" w:space="0" w:color="auto"/>
        <w:left w:val="none" w:sz="0" w:space="0" w:color="auto"/>
        <w:bottom w:val="none" w:sz="0" w:space="0" w:color="auto"/>
        <w:right w:val="none" w:sz="0" w:space="0" w:color="auto"/>
      </w:divBdr>
    </w:div>
    <w:div w:id="1299149578">
      <w:bodyDiv w:val="1"/>
      <w:marLeft w:val="0"/>
      <w:marRight w:val="0"/>
      <w:marTop w:val="0"/>
      <w:marBottom w:val="0"/>
      <w:divBdr>
        <w:top w:val="none" w:sz="0" w:space="0" w:color="auto"/>
        <w:left w:val="none" w:sz="0" w:space="0" w:color="auto"/>
        <w:bottom w:val="none" w:sz="0" w:space="0" w:color="auto"/>
        <w:right w:val="none" w:sz="0" w:space="0" w:color="auto"/>
      </w:divBdr>
    </w:div>
    <w:div w:id="1299259809">
      <w:bodyDiv w:val="1"/>
      <w:marLeft w:val="0"/>
      <w:marRight w:val="0"/>
      <w:marTop w:val="0"/>
      <w:marBottom w:val="0"/>
      <w:divBdr>
        <w:top w:val="none" w:sz="0" w:space="0" w:color="auto"/>
        <w:left w:val="none" w:sz="0" w:space="0" w:color="auto"/>
        <w:bottom w:val="none" w:sz="0" w:space="0" w:color="auto"/>
        <w:right w:val="none" w:sz="0" w:space="0" w:color="auto"/>
      </w:divBdr>
    </w:div>
    <w:div w:id="1299608267">
      <w:bodyDiv w:val="1"/>
      <w:marLeft w:val="0"/>
      <w:marRight w:val="0"/>
      <w:marTop w:val="0"/>
      <w:marBottom w:val="0"/>
      <w:divBdr>
        <w:top w:val="none" w:sz="0" w:space="0" w:color="auto"/>
        <w:left w:val="none" w:sz="0" w:space="0" w:color="auto"/>
        <w:bottom w:val="none" w:sz="0" w:space="0" w:color="auto"/>
        <w:right w:val="none" w:sz="0" w:space="0" w:color="auto"/>
      </w:divBdr>
    </w:div>
    <w:div w:id="1299914649">
      <w:bodyDiv w:val="1"/>
      <w:marLeft w:val="0"/>
      <w:marRight w:val="0"/>
      <w:marTop w:val="0"/>
      <w:marBottom w:val="0"/>
      <w:divBdr>
        <w:top w:val="none" w:sz="0" w:space="0" w:color="auto"/>
        <w:left w:val="none" w:sz="0" w:space="0" w:color="auto"/>
        <w:bottom w:val="none" w:sz="0" w:space="0" w:color="auto"/>
        <w:right w:val="none" w:sz="0" w:space="0" w:color="auto"/>
      </w:divBdr>
    </w:div>
    <w:div w:id="1299916705">
      <w:bodyDiv w:val="1"/>
      <w:marLeft w:val="0"/>
      <w:marRight w:val="0"/>
      <w:marTop w:val="0"/>
      <w:marBottom w:val="0"/>
      <w:divBdr>
        <w:top w:val="none" w:sz="0" w:space="0" w:color="auto"/>
        <w:left w:val="none" w:sz="0" w:space="0" w:color="auto"/>
        <w:bottom w:val="none" w:sz="0" w:space="0" w:color="auto"/>
        <w:right w:val="none" w:sz="0" w:space="0" w:color="auto"/>
      </w:divBdr>
    </w:div>
    <w:div w:id="1300108571">
      <w:bodyDiv w:val="1"/>
      <w:marLeft w:val="0"/>
      <w:marRight w:val="0"/>
      <w:marTop w:val="0"/>
      <w:marBottom w:val="0"/>
      <w:divBdr>
        <w:top w:val="none" w:sz="0" w:space="0" w:color="auto"/>
        <w:left w:val="none" w:sz="0" w:space="0" w:color="auto"/>
        <w:bottom w:val="none" w:sz="0" w:space="0" w:color="auto"/>
        <w:right w:val="none" w:sz="0" w:space="0" w:color="auto"/>
      </w:divBdr>
    </w:div>
    <w:div w:id="1300648159">
      <w:bodyDiv w:val="1"/>
      <w:marLeft w:val="0"/>
      <w:marRight w:val="0"/>
      <w:marTop w:val="0"/>
      <w:marBottom w:val="0"/>
      <w:divBdr>
        <w:top w:val="none" w:sz="0" w:space="0" w:color="auto"/>
        <w:left w:val="none" w:sz="0" w:space="0" w:color="auto"/>
        <w:bottom w:val="none" w:sz="0" w:space="0" w:color="auto"/>
        <w:right w:val="none" w:sz="0" w:space="0" w:color="auto"/>
      </w:divBdr>
    </w:div>
    <w:div w:id="1300725068">
      <w:bodyDiv w:val="1"/>
      <w:marLeft w:val="0"/>
      <w:marRight w:val="0"/>
      <w:marTop w:val="0"/>
      <w:marBottom w:val="0"/>
      <w:divBdr>
        <w:top w:val="none" w:sz="0" w:space="0" w:color="auto"/>
        <w:left w:val="none" w:sz="0" w:space="0" w:color="auto"/>
        <w:bottom w:val="none" w:sz="0" w:space="0" w:color="auto"/>
        <w:right w:val="none" w:sz="0" w:space="0" w:color="auto"/>
      </w:divBdr>
    </w:div>
    <w:div w:id="1300918889">
      <w:bodyDiv w:val="1"/>
      <w:marLeft w:val="0"/>
      <w:marRight w:val="0"/>
      <w:marTop w:val="0"/>
      <w:marBottom w:val="0"/>
      <w:divBdr>
        <w:top w:val="none" w:sz="0" w:space="0" w:color="auto"/>
        <w:left w:val="none" w:sz="0" w:space="0" w:color="auto"/>
        <w:bottom w:val="none" w:sz="0" w:space="0" w:color="auto"/>
        <w:right w:val="none" w:sz="0" w:space="0" w:color="auto"/>
      </w:divBdr>
    </w:div>
    <w:div w:id="1301113845">
      <w:bodyDiv w:val="1"/>
      <w:marLeft w:val="0"/>
      <w:marRight w:val="0"/>
      <w:marTop w:val="0"/>
      <w:marBottom w:val="0"/>
      <w:divBdr>
        <w:top w:val="none" w:sz="0" w:space="0" w:color="auto"/>
        <w:left w:val="none" w:sz="0" w:space="0" w:color="auto"/>
        <w:bottom w:val="none" w:sz="0" w:space="0" w:color="auto"/>
        <w:right w:val="none" w:sz="0" w:space="0" w:color="auto"/>
      </w:divBdr>
    </w:div>
    <w:div w:id="1301232610">
      <w:bodyDiv w:val="1"/>
      <w:marLeft w:val="0"/>
      <w:marRight w:val="0"/>
      <w:marTop w:val="0"/>
      <w:marBottom w:val="0"/>
      <w:divBdr>
        <w:top w:val="none" w:sz="0" w:space="0" w:color="auto"/>
        <w:left w:val="none" w:sz="0" w:space="0" w:color="auto"/>
        <w:bottom w:val="none" w:sz="0" w:space="0" w:color="auto"/>
        <w:right w:val="none" w:sz="0" w:space="0" w:color="auto"/>
      </w:divBdr>
    </w:div>
    <w:div w:id="1301375634">
      <w:bodyDiv w:val="1"/>
      <w:marLeft w:val="0"/>
      <w:marRight w:val="0"/>
      <w:marTop w:val="0"/>
      <w:marBottom w:val="0"/>
      <w:divBdr>
        <w:top w:val="none" w:sz="0" w:space="0" w:color="auto"/>
        <w:left w:val="none" w:sz="0" w:space="0" w:color="auto"/>
        <w:bottom w:val="none" w:sz="0" w:space="0" w:color="auto"/>
        <w:right w:val="none" w:sz="0" w:space="0" w:color="auto"/>
      </w:divBdr>
    </w:div>
    <w:div w:id="1301418786">
      <w:bodyDiv w:val="1"/>
      <w:marLeft w:val="0"/>
      <w:marRight w:val="0"/>
      <w:marTop w:val="0"/>
      <w:marBottom w:val="0"/>
      <w:divBdr>
        <w:top w:val="none" w:sz="0" w:space="0" w:color="auto"/>
        <w:left w:val="none" w:sz="0" w:space="0" w:color="auto"/>
        <w:bottom w:val="none" w:sz="0" w:space="0" w:color="auto"/>
        <w:right w:val="none" w:sz="0" w:space="0" w:color="auto"/>
      </w:divBdr>
    </w:div>
    <w:div w:id="1301495578">
      <w:bodyDiv w:val="1"/>
      <w:marLeft w:val="0"/>
      <w:marRight w:val="0"/>
      <w:marTop w:val="0"/>
      <w:marBottom w:val="0"/>
      <w:divBdr>
        <w:top w:val="none" w:sz="0" w:space="0" w:color="auto"/>
        <w:left w:val="none" w:sz="0" w:space="0" w:color="auto"/>
        <w:bottom w:val="none" w:sz="0" w:space="0" w:color="auto"/>
        <w:right w:val="none" w:sz="0" w:space="0" w:color="auto"/>
      </w:divBdr>
    </w:div>
    <w:div w:id="1301809265">
      <w:bodyDiv w:val="1"/>
      <w:marLeft w:val="0"/>
      <w:marRight w:val="0"/>
      <w:marTop w:val="0"/>
      <w:marBottom w:val="0"/>
      <w:divBdr>
        <w:top w:val="none" w:sz="0" w:space="0" w:color="auto"/>
        <w:left w:val="none" w:sz="0" w:space="0" w:color="auto"/>
        <w:bottom w:val="none" w:sz="0" w:space="0" w:color="auto"/>
        <w:right w:val="none" w:sz="0" w:space="0" w:color="auto"/>
      </w:divBdr>
    </w:div>
    <w:div w:id="1302421761">
      <w:bodyDiv w:val="1"/>
      <w:marLeft w:val="0"/>
      <w:marRight w:val="0"/>
      <w:marTop w:val="0"/>
      <w:marBottom w:val="0"/>
      <w:divBdr>
        <w:top w:val="none" w:sz="0" w:space="0" w:color="auto"/>
        <w:left w:val="none" w:sz="0" w:space="0" w:color="auto"/>
        <w:bottom w:val="none" w:sz="0" w:space="0" w:color="auto"/>
        <w:right w:val="none" w:sz="0" w:space="0" w:color="auto"/>
      </w:divBdr>
    </w:div>
    <w:div w:id="1302809272">
      <w:bodyDiv w:val="1"/>
      <w:marLeft w:val="0"/>
      <w:marRight w:val="0"/>
      <w:marTop w:val="0"/>
      <w:marBottom w:val="0"/>
      <w:divBdr>
        <w:top w:val="none" w:sz="0" w:space="0" w:color="auto"/>
        <w:left w:val="none" w:sz="0" w:space="0" w:color="auto"/>
        <w:bottom w:val="none" w:sz="0" w:space="0" w:color="auto"/>
        <w:right w:val="none" w:sz="0" w:space="0" w:color="auto"/>
      </w:divBdr>
    </w:div>
    <w:div w:id="1302880723">
      <w:bodyDiv w:val="1"/>
      <w:marLeft w:val="0"/>
      <w:marRight w:val="0"/>
      <w:marTop w:val="0"/>
      <w:marBottom w:val="0"/>
      <w:divBdr>
        <w:top w:val="none" w:sz="0" w:space="0" w:color="auto"/>
        <w:left w:val="none" w:sz="0" w:space="0" w:color="auto"/>
        <w:bottom w:val="none" w:sz="0" w:space="0" w:color="auto"/>
        <w:right w:val="none" w:sz="0" w:space="0" w:color="auto"/>
      </w:divBdr>
    </w:div>
    <w:div w:id="1303077954">
      <w:bodyDiv w:val="1"/>
      <w:marLeft w:val="0"/>
      <w:marRight w:val="0"/>
      <w:marTop w:val="0"/>
      <w:marBottom w:val="0"/>
      <w:divBdr>
        <w:top w:val="none" w:sz="0" w:space="0" w:color="auto"/>
        <w:left w:val="none" w:sz="0" w:space="0" w:color="auto"/>
        <w:bottom w:val="none" w:sz="0" w:space="0" w:color="auto"/>
        <w:right w:val="none" w:sz="0" w:space="0" w:color="auto"/>
      </w:divBdr>
    </w:div>
    <w:div w:id="1303458320">
      <w:bodyDiv w:val="1"/>
      <w:marLeft w:val="0"/>
      <w:marRight w:val="0"/>
      <w:marTop w:val="0"/>
      <w:marBottom w:val="0"/>
      <w:divBdr>
        <w:top w:val="none" w:sz="0" w:space="0" w:color="auto"/>
        <w:left w:val="none" w:sz="0" w:space="0" w:color="auto"/>
        <w:bottom w:val="none" w:sz="0" w:space="0" w:color="auto"/>
        <w:right w:val="none" w:sz="0" w:space="0" w:color="auto"/>
      </w:divBdr>
    </w:div>
    <w:div w:id="1303778817">
      <w:bodyDiv w:val="1"/>
      <w:marLeft w:val="0"/>
      <w:marRight w:val="0"/>
      <w:marTop w:val="0"/>
      <w:marBottom w:val="0"/>
      <w:divBdr>
        <w:top w:val="none" w:sz="0" w:space="0" w:color="auto"/>
        <w:left w:val="none" w:sz="0" w:space="0" w:color="auto"/>
        <w:bottom w:val="none" w:sz="0" w:space="0" w:color="auto"/>
        <w:right w:val="none" w:sz="0" w:space="0" w:color="auto"/>
      </w:divBdr>
    </w:div>
    <w:div w:id="1303924423">
      <w:bodyDiv w:val="1"/>
      <w:marLeft w:val="0"/>
      <w:marRight w:val="0"/>
      <w:marTop w:val="0"/>
      <w:marBottom w:val="0"/>
      <w:divBdr>
        <w:top w:val="none" w:sz="0" w:space="0" w:color="auto"/>
        <w:left w:val="none" w:sz="0" w:space="0" w:color="auto"/>
        <w:bottom w:val="none" w:sz="0" w:space="0" w:color="auto"/>
        <w:right w:val="none" w:sz="0" w:space="0" w:color="auto"/>
      </w:divBdr>
    </w:div>
    <w:div w:id="1304191533">
      <w:bodyDiv w:val="1"/>
      <w:marLeft w:val="0"/>
      <w:marRight w:val="0"/>
      <w:marTop w:val="0"/>
      <w:marBottom w:val="0"/>
      <w:divBdr>
        <w:top w:val="none" w:sz="0" w:space="0" w:color="auto"/>
        <w:left w:val="none" w:sz="0" w:space="0" w:color="auto"/>
        <w:bottom w:val="none" w:sz="0" w:space="0" w:color="auto"/>
        <w:right w:val="none" w:sz="0" w:space="0" w:color="auto"/>
      </w:divBdr>
    </w:div>
    <w:div w:id="1304626791">
      <w:bodyDiv w:val="1"/>
      <w:marLeft w:val="0"/>
      <w:marRight w:val="0"/>
      <w:marTop w:val="0"/>
      <w:marBottom w:val="0"/>
      <w:divBdr>
        <w:top w:val="none" w:sz="0" w:space="0" w:color="auto"/>
        <w:left w:val="none" w:sz="0" w:space="0" w:color="auto"/>
        <w:bottom w:val="none" w:sz="0" w:space="0" w:color="auto"/>
        <w:right w:val="none" w:sz="0" w:space="0" w:color="auto"/>
      </w:divBdr>
    </w:div>
    <w:div w:id="1306543167">
      <w:bodyDiv w:val="1"/>
      <w:marLeft w:val="0"/>
      <w:marRight w:val="0"/>
      <w:marTop w:val="0"/>
      <w:marBottom w:val="0"/>
      <w:divBdr>
        <w:top w:val="none" w:sz="0" w:space="0" w:color="auto"/>
        <w:left w:val="none" w:sz="0" w:space="0" w:color="auto"/>
        <w:bottom w:val="none" w:sz="0" w:space="0" w:color="auto"/>
        <w:right w:val="none" w:sz="0" w:space="0" w:color="auto"/>
      </w:divBdr>
    </w:div>
    <w:div w:id="1306818704">
      <w:bodyDiv w:val="1"/>
      <w:marLeft w:val="0"/>
      <w:marRight w:val="0"/>
      <w:marTop w:val="0"/>
      <w:marBottom w:val="0"/>
      <w:divBdr>
        <w:top w:val="none" w:sz="0" w:space="0" w:color="auto"/>
        <w:left w:val="none" w:sz="0" w:space="0" w:color="auto"/>
        <w:bottom w:val="none" w:sz="0" w:space="0" w:color="auto"/>
        <w:right w:val="none" w:sz="0" w:space="0" w:color="auto"/>
      </w:divBdr>
    </w:div>
    <w:div w:id="1307006651">
      <w:bodyDiv w:val="1"/>
      <w:marLeft w:val="0"/>
      <w:marRight w:val="0"/>
      <w:marTop w:val="0"/>
      <w:marBottom w:val="0"/>
      <w:divBdr>
        <w:top w:val="none" w:sz="0" w:space="0" w:color="auto"/>
        <w:left w:val="none" w:sz="0" w:space="0" w:color="auto"/>
        <w:bottom w:val="none" w:sz="0" w:space="0" w:color="auto"/>
        <w:right w:val="none" w:sz="0" w:space="0" w:color="auto"/>
      </w:divBdr>
    </w:div>
    <w:div w:id="1307010110">
      <w:bodyDiv w:val="1"/>
      <w:marLeft w:val="0"/>
      <w:marRight w:val="0"/>
      <w:marTop w:val="0"/>
      <w:marBottom w:val="0"/>
      <w:divBdr>
        <w:top w:val="none" w:sz="0" w:space="0" w:color="auto"/>
        <w:left w:val="none" w:sz="0" w:space="0" w:color="auto"/>
        <w:bottom w:val="none" w:sz="0" w:space="0" w:color="auto"/>
        <w:right w:val="none" w:sz="0" w:space="0" w:color="auto"/>
      </w:divBdr>
    </w:div>
    <w:div w:id="1307079136">
      <w:bodyDiv w:val="1"/>
      <w:marLeft w:val="0"/>
      <w:marRight w:val="0"/>
      <w:marTop w:val="0"/>
      <w:marBottom w:val="0"/>
      <w:divBdr>
        <w:top w:val="none" w:sz="0" w:space="0" w:color="auto"/>
        <w:left w:val="none" w:sz="0" w:space="0" w:color="auto"/>
        <w:bottom w:val="none" w:sz="0" w:space="0" w:color="auto"/>
        <w:right w:val="none" w:sz="0" w:space="0" w:color="auto"/>
      </w:divBdr>
    </w:div>
    <w:div w:id="1307125255">
      <w:bodyDiv w:val="1"/>
      <w:marLeft w:val="0"/>
      <w:marRight w:val="0"/>
      <w:marTop w:val="0"/>
      <w:marBottom w:val="0"/>
      <w:divBdr>
        <w:top w:val="none" w:sz="0" w:space="0" w:color="auto"/>
        <w:left w:val="none" w:sz="0" w:space="0" w:color="auto"/>
        <w:bottom w:val="none" w:sz="0" w:space="0" w:color="auto"/>
        <w:right w:val="none" w:sz="0" w:space="0" w:color="auto"/>
      </w:divBdr>
    </w:div>
    <w:div w:id="1307205830">
      <w:bodyDiv w:val="1"/>
      <w:marLeft w:val="0"/>
      <w:marRight w:val="0"/>
      <w:marTop w:val="0"/>
      <w:marBottom w:val="0"/>
      <w:divBdr>
        <w:top w:val="none" w:sz="0" w:space="0" w:color="auto"/>
        <w:left w:val="none" w:sz="0" w:space="0" w:color="auto"/>
        <w:bottom w:val="none" w:sz="0" w:space="0" w:color="auto"/>
        <w:right w:val="none" w:sz="0" w:space="0" w:color="auto"/>
      </w:divBdr>
    </w:div>
    <w:div w:id="1307316560">
      <w:bodyDiv w:val="1"/>
      <w:marLeft w:val="0"/>
      <w:marRight w:val="0"/>
      <w:marTop w:val="0"/>
      <w:marBottom w:val="0"/>
      <w:divBdr>
        <w:top w:val="none" w:sz="0" w:space="0" w:color="auto"/>
        <w:left w:val="none" w:sz="0" w:space="0" w:color="auto"/>
        <w:bottom w:val="none" w:sz="0" w:space="0" w:color="auto"/>
        <w:right w:val="none" w:sz="0" w:space="0" w:color="auto"/>
      </w:divBdr>
    </w:div>
    <w:div w:id="1307585860">
      <w:bodyDiv w:val="1"/>
      <w:marLeft w:val="0"/>
      <w:marRight w:val="0"/>
      <w:marTop w:val="0"/>
      <w:marBottom w:val="0"/>
      <w:divBdr>
        <w:top w:val="none" w:sz="0" w:space="0" w:color="auto"/>
        <w:left w:val="none" w:sz="0" w:space="0" w:color="auto"/>
        <w:bottom w:val="none" w:sz="0" w:space="0" w:color="auto"/>
        <w:right w:val="none" w:sz="0" w:space="0" w:color="auto"/>
      </w:divBdr>
    </w:div>
    <w:div w:id="1308053214">
      <w:bodyDiv w:val="1"/>
      <w:marLeft w:val="0"/>
      <w:marRight w:val="0"/>
      <w:marTop w:val="0"/>
      <w:marBottom w:val="0"/>
      <w:divBdr>
        <w:top w:val="none" w:sz="0" w:space="0" w:color="auto"/>
        <w:left w:val="none" w:sz="0" w:space="0" w:color="auto"/>
        <w:bottom w:val="none" w:sz="0" w:space="0" w:color="auto"/>
        <w:right w:val="none" w:sz="0" w:space="0" w:color="auto"/>
      </w:divBdr>
    </w:div>
    <w:div w:id="1308390499">
      <w:bodyDiv w:val="1"/>
      <w:marLeft w:val="0"/>
      <w:marRight w:val="0"/>
      <w:marTop w:val="0"/>
      <w:marBottom w:val="0"/>
      <w:divBdr>
        <w:top w:val="none" w:sz="0" w:space="0" w:color="auto"/>
        <w:left w:val="none" w:sz="0" w:space="0" w:color="auto"/>
        <w:bottom w:val="none" w:sz="0" w:space="0" w:color="auto"/>
        <w:right w:val="none" w:sz="0" w:space="0" w:color="auto"/>
      </w:divBdr>
    </w:div>
    <w:div w:id="1309088784">
      <w:bodyDiv w:val="1"/>
      <w:marLeft w:val="0"/>
      <w:marRight w:val="0"/>
      <w:marTop w:val="0"/>
      <w:marBottom w:val="0"/>
      <w:divBdr>
        <w:top w:val="none" w:sz="0" w:space="0" w:color="auto"/>
        <w:left w:val="none" w:sz="0" w:space="0" w:color="auto"/>
        <w:bottom w:val="none" w:sz="0" w:space="0" w:color="auto"/>
        <w:right w:val="none" w:sz="0" w:space="0" w:color="auto"/>
      </w:divBdr>
    </w:div>
    <w:div w:id="1309244457">
      <w:bodyDiv w:val="1"/>
      <w:marLeft w:val="0"/>
      <w:marRight w:val="0"/>
      <w:marTop w:val="0"/>
      <w:marBottom w:val="0"/>
      <w:divBdr>
        <w:top w:val="none" w:sz="0" w:space="0" w:color="auto"/>
        <w:left w:val="none" w:sz="0" w:space="0" w:color="auto"/>
        <w:bottom w:val="none" w:sz="0" w:space="0" w:color="auto"/>
        <w:right w:val="none" w:sz="0" w:space="0" w:color="auto"/>
      </w:divBdr>
    </w:div>
    <w:div w:id="1309745391">
      <w:bodyDiv w:val="1"/>
      <w:marLeft w:val="0"/>
      <w:marRight w:val="0"/>
      <w:marTop w:val="0"/>
      <w:marBottom w:val="0"/>
      <w:divBdr>
        <w:top w:val="none" w:sz="0" w:space="0" w:color="auto"/>
        <w:left w:val="none" w:sz="0" w:space="0" w:color="auto"/>
        <w:bottom w:val="none" w:sz="0" w:space="0" w:color="auto"/>
        <w:right w:val="none" w:sz="0" w:space="0" w:color="auto"/>
      </w:divBdr>
    </w:div>
    <w:div w:id="1310208708">
      <w:bodyDiv w:val="1"/>
      <w:marLeft w:val="0"/>
      <w:marRight w:val="0"/>
      <w:marTop w:val="0"/>
      <w:marBottom w:val="0"/>
      <w:divBdr>
        <w:top w:val="none" w:sz="0" w:space="0" w:color="auto"/>
        <w:left w:val="none" w:sz="0" w:space="0" w:color="auto"/>
        <w:bottom w:val="none" w:sz="0" w:space="0" w:color="auto"/>
        <w:right w:val="none" w:sz="0" w:space="0" w:color="auto"/>
      </w:divBdr>
    </w:div>
    <w:div w:id="1310403397">
      <w:bodyDiv w:val="1"/>
      <w:marLeft w:val="0"/>
      <w:marRight w:val="0"/>
      <w:marTop w:val="0"/>
      <w:marBottom w:val="0"/>
      <w:divBdr>
        <w:top w:val="none" w:sz="0" w:space="0" w:color="auto"/>
        <w:left w:val="none" w:sz="0" w:space="0" w:color="auto"/>
        <w:bottom w:val="none" w:sz="0" w:space="0" w:color="auto"/>
        <w:right w:val="none" w:sz="0" w:space="0" w:color="auto"/>
      </w:divBdr>
    </w:div>
    <w:div w:id="1310817562">
      <w:bodyDiv w:val="1"/>
      <w:marLeft w:val="0"/>
      <w:marRight w:val="0"/>
      <w:marTop w:val="0"/>
      <w:marBottom w:val="0"/>
      <w:divBdr>
        <w:top w:val="none" w:sz="0" w:space="0" w:color="auto"/>
        <w:left w:val="none" w:sz="0" w:space="0" w:color="auto"/>
        <w:bottom w:val="none" w:sz="0" w:space="0" w:color="auto"/>
        <w:right w:val="none" w:sz="0" w:space="0" w:color="auto"/>
      </w:divBdr>
    </w:div>
    <w:div w:id="1311059224">
      <w:bodyDiv w:val="1"/>
      <w:marLeft w:val="0"/>
      <w:marRight w:val="0"/>
      <w:marTop w:val="0"/>
      <w:marBottom w:val="0"/>
      <w:divBdr>
        <w:top w:val="none" w:sz="0" w:space="0" w:color="auto"/>
        <w:left w:val="none" w:sz="0" w:space="0" w:color="auto"/>
        <w:bottom w:val="none" w:sz="0" w:space="0" w:color="auto"/>
        <w:right w:val="none" w:sz="0" w:space="0" w:color="auto"/>
      </w:divBdr>
    </w:div>
    <w:div w:id="1311134198">
      <w:bodyDiv w:val="1"/>
      <w:marLeft w:val="0"/>
      <w:marRight w:val="0"/>
      <w:marTop w:val="0"/>
      <w:marBottom w:val="0"/>
      <w:divBdr>
        <w:top w:val="none" w:sz="0" w:space="0" w:color="auto"/>
        <w:left w:val="none" w:sz="0" w:space="0" w:color="auto"/>
        <w:bottom w:val="none" w:sz="0" w:space="0" w:color="auto"/>
        <w:right w:val="none" w:sz="0" w:space="0" w:color="auto"/>
      </w:divBdr>
    </w:div>
    <w:div w:id="1311180348">
      <w:bodyDiv w:val="1"/>
      <w:marLeft w:val="0"/>
      <w:marRight w:val="0"/>
      <w:marTop w:val="0"/>
      <w:marBottom w:val="0"/>
      <w:divBdr>
        <w:top w:val="none" w:sz="0" w:space="0" w:color="auto"/>
        <w:left w:val="none" w:sz="0" w:space="0" w:color="auto"/>
        <w:bottom w:val="none" w:sz="0" w:space="0" w:color="auto"/>
        <w:right w:val="none" w:sz="0" w:space="0" w:color="auto"/>
      </w:divBdr>
    </w:div>
    <w:div w:id="1311859470">
      <w:bodyDiv w:val="1"/>
      <w:marLeft w:val="0"/>
      <w:marRight w:val="0"/>
      <w:marTop w:val="0"/>
      <w:marBottom w:val="0"/>
      <w:divBdr>
        <w:top w:val="none" w:sz="0" w:space="0" w:color="auto"/>
        <w:left w:val="none" w:sz="0" w:space="0" w:color="auto"/>
        <w:bottom w:val="none" w:sz="0" w:space="0" w:color="auto"/>
        <w:right w:val="none" w:sz="0" w:space="0" w:color="auto"/>
      </w:divBdr>
    </w:div>
    <w:div w:id="1312637801">
      <w:bodyDiv w:val="1"/>
      <w:marLeft w:val="0"/>
      <w:marRight w:val="0"/>
      <w:marTop w:val="0"/>
      <w:marBottom w:val="0"/>
      <w:divBdr>
        <w:top w:val="none" w:sz="0" w:space="0" w:color="auto"/>
        <w:left w:val="none" w:sz="0" w:space="0" w:color="auto"/>
        <w:bottom w:val="none" w:sz="0" w:space="0" w:color="auto"/>
        <w:right w:val="none" w:sz="0" w:space="0" w:color="auto"/>
      </w:divBdr>
    </w:div>
    <w:div w:id="1312978560">
      <w:bodyDiv w:val="1"/>
      <w:marLeft w:val="0"/>
      <w:marRight w:val="0"/>
      <w:marTop w:val="0"/>
      <w:marBottom w:val="0"/>
      <w:divBdr>
        <w:top w:val="none" w:sz="0" w:space="0" w:color="auto"/>
        <w:left w:val="none" w:sz="0" w:space="0" w:color="auto"/>
        <w:bottom w:val="none" w:sz="0" w:space="0" w:color="auto"/>
        <w:right w:val="none" w:sz="0" w:space="0" w:color="auto"/>
      </w:divBdr>
    </w:div>
    <w:div w:id="1313674935">
      <w:bodyDiv w:val="1"/>
      <w:marLeft w:val="0"/>
      <w:marRight w:val="0"/>
      <w:marTop w:val="0"/>
      <w:marBottom w:val="0"/>
      <w:divBdr>
        <w:top w:val="none" w:sz="0" w:space="0" w:color="auto"/>
        <w:left w:val="none" w:sz="0" w:space="0" w:color="auto"/>
        <w:bottom w:val="none" w:sz="0" w:space="0" w:color="auto"/>
        <w:right w:val="none" w:sz="0" w:space="0" w:color="auto"/>
      </w:divBdr>
    </w:div>
    <w:div w:id="1314261809">
      <w:bodyDiv w:val="1"/>
      <w:marLeft w:val="0"/>
      <w:marRight w:val="0"/>
      <w:marTop w:val="0"/>
      <w:marBottom w:val="0"/>
      <w:divBdr>
        <w:top w:val="none" w:sz="0" w:space="0" w:color="auto"/>
        <w:left w:val="none" w:sz="0" w:space="0" w:color="auto"/>
        <w:bottom w:val="none" w:sz="0" w:space="0" w:color="auto"/>
        <w:right w:val="none" w:sz="0" w:space="0" w:color="auto"/>
      </w:divBdr>
    </w:div>
    <w:div w:id="1314481722">
      <w:bodyDiv w:val="1"/>
      <w:marLeft w:val="0"/>
      <w:marRight w:val="0"/>
      <w:marTop w:val="0"/>
      <w:marBottom w:val="0"/>
      <w:divBdr>
        <w:top w:val="none" w:sz="0" w:space="0" w:color="auto"/>
        <w:left w:val="none" w:sz="0" w:space="0" w:color="auto"/>
        <w:bottom w:val="none" w:sz="0" w:space="0" w:color="auto"/>
        <w:right w:val="none" w:sz="0" w:space="0" w:color="auto"/>
      </w:divBdr>
    </w:div>
    <w:div w:id="1314674088">
      <w:bodyDiv w:val="1"/>
      <w:marLeft w:val="0"/>
      <w:marRight w:val="0"/>
      <w:marTop w:val="0"/>
      <w:marBottom w:val="0"/>
      <w:divBdr>
        <w:top w:val="none" w:sz="0" w:space="0" w:color="auto"/>
        <w:left w:val="none" w:sz="0" w:space="0" w:color="auto"/>
        <w:bottom w:val="none" w:sz="0" w:space="0" w:color="auto"/>
        <w:right w:val="none" w:sz="0" w:space="0" w:color="auto"/>
      </w:divBdr>
    </w:div>
    <w:div w:id="1314682472">
      <w:bodyDiv w:val="1"/>
      <w:marLeft w:val="0"/>
      <w:marRight w:val="0"/>
      <w:marTop w:val="0"/>
      <w:marBottom w:val="0"/>
      <w:divBdr>
        <w:top w:val="none" w:sz="0" w:space="0" w:color="auto"/>
        <w:left w:val="none" w:sz="0" w:space="0" w:color="auto"/>
        <w:bottom w:val="none" w:sz="0" w:space="0" w:color="auto"/>
        <w:right w:val="none" w:sz="0" w:space="0" w:color="auto"/>
      </w:divBdr>
    </w:div>
    <w:div w:id="1314915450">
      <w:bodyDiv w:val="1"/>
      <w:marLeft w:val="0"/>
      <w:marRight w:val="0"/>
      <w:marTop w:val="0"/>
      <w:marBottom w:val="0"/>
      <w:divBdr>
        <w:top w:val="none" w:sz="0" w:space="0" w:color="auto"/>
        <w:left w:val="none" w:sz="0" w:space="0" w:color="auto"/>
        <w:bottom w:val="none" w:sz="0" w:space="0" w:color="auto"/>
        <w:right w:val="none" w:sz="0" w:space="0" w:color="auto"/>
      </w:divBdr>
    </w:div>
    <w:div w:id="1316566285">
      <w:bodyDiv w:val="1"/>
      <w:marLeft w:val="0"/>
      <w:marRight w:val="0"/>
      <w:marTop w:val="0"/>
      <w:marBottom w:val="0"/>
      <w:divBdr>
        <w:top w:val="none" w:sz="0" w:space="0" w:color="auto"/>
        <w:left w:val="none" w:sz="0" w:space="0" w:color="auto"/>
        <w:bottom w:val="none" w:sz="0" w:space="0" w:color="auto"/>
        <w:right w:val="none" w:sz="0" w:space="0" w:color="auto"/>
      </w:divBdr>
    </w:div>
    <w:div w:id="1317028195">
      <w:bodyDiv w:val="1"/>
      <w:marLeft w:val="0"/>
      <w:marRight w:val="0"/>
      <w:marTop w:val="0"/>
      <w:marBottom w:val="0"/>
      <w:divBdr>
        <w:top w:val="none" w:sz="0" w:space="0" w:color="auto"/>
        <w:left w:val="none" w:sz="0" w:space="0" w:color="auto"/>
        <w:bottom w:val="none" w:sz="0" w:space="0" w:color="auto"/>
        <w:right w:val="none" w:sz="0" w:space="0" w:color="auto"/>
      </w:divBdr>
    </w:div>
    <w:div w:id="1317566312">
      <w:bodyDiv w:val="1"/>
      <w:marLeft w:val="0"/>
      <w:marRight w:val="0"/>
      <w:marTop w:val="0"/>
      <w:marBottom w:val="0"/>
      <w:divBdr>
        <w:top w:val="none" w:sz="0" w:space="0" w:color="auto"/>
        <w:left w:val="none" w:sz="0" w:space="0" w:color="auto"/>
        <w:bottom w:val="none" w:sz="0" w:space="0" w:color="auto"/>
        <w:right w:val="none" w:sz="0" w:space="0" w:color="auto"/>
      </w:divBdr>
    </w:div>
    <w:div w:id="1317614445">
      <w:bodyDiv w:val="1"/>
      <w:marLeft w:val="0"/>
      <w:marRight w:val="0"/>
      <w:marTop w:val="0"/>
      <w:marBottom w:val="0"/>
      <w:divBdr>
        <w:top w:val="none" w:sz="0" w:space="0" w:color="auto"/>
        <w:left w:val="none" w:sz="0" w:space="0" w:color="auto"/>
        <w:bottom w:val="none" w:sz="0" w:space="0" w:color="auto"/>
        <w:right w:val="none" w:sz="0" w:space="0" w:color="auto"/>
      </w:divBdr>
    </w:div>
    <w:div w:id="1317686396">
      <w:bodyDiv w:val="1"/>
      <w:marLeft w:val="0"/>
      <w:marRight w:val="0"/>
      <w:marTop w:val="0"/>
      <w:marBottom w:val="0"/>
      <w:divBdr>
        <w:top w:val="none" w:sz="0" w:space="0" w:color="auto"/>
        <w:left w:val="none" w:sz="0" w:space="0" w:color="auto"/>
        <w:bottom w:val="none" w:sz="0" w:space="0" w:color="auto"/>
        <w:right w:val="none" w:sz="0" w:space="0" w:color="auto"/>
      </w:divBdr>
    </w:div>
    <w:div w:id="1317952569">
      <w:bodyDiv w:val="1"/>
      <w:marLeft w:val="0"/>
      <w:marRight w:val="0"/>
      <w:marTop w:val="0"/>
      <w:marBottom w:val="0"/>
      <w:divBdr>
        <w:top w:val="none" w:sz="0" w:space="0" w:color="auto"/>
        <w:left w:val="none" w:sz="0" w:space="0" w:color="auto"/>
        <w:bottom w:val="none" w:sz="0" w:space="0" w:color="auto"/>
        <w:right w:val="none" w:sz="0" w:space="0" w:color="auto"/>
      </w:divBdr>
    </w:div>
    <w:div w:id="1318152147">
      <w:bodyDiv w:val="1"/>
      <w:marLeft w:val="0"/>
      <w:marRight w:val="0"/>
      <w:marTop w:val="0"/>
      <w:marBottom w:val="0"/>
      <w:divBdr>
        <w:top w:val="none" w:sz="0" w:space="0" w:color="auto"/>
        <w:left w:val="none" w:sz="0" w:space="0" w:color="auto"/>
        <w:bottom w:val="none" w:sz="0" w:space="0" w:color="auto"/>
        <w:right w:val="none" w:sz="0" w:space="0" w:color="auto"/>
      </w:divBdr>
    </w:div>
    <w:div w:id="1318223501">
      <w:bodyDiv w:val="1"/>
      <w:marLeft w:val="0"/>
      <w:marRight w:val="0"/>
      <w:marTop w:val="0"/>
      <w:marBottom w:val="0"/>
      <w:divBdr>
        <w:top w:val="none" w:sz="0" w:space="0" w:color="auto"/>
        <w:left w:val="none" w:sz="0" w:space="0" w:color="auto"/>
        <w:bottom w:val="none" w:sz="0" w:space="0" w:color="auto"/>
        <w:right w:val="none" w:sz="0" w:space="0" w:color="auto"/>
      </w:divBdr>
    </w:div>
    <w:div w:id="1318730575">
      <w:bodyDiv w:val="1"/>
      <w:marLeft w:val="0"/>
      <w:marRight w:val="0"/>
      <w:marTop w:val="0"/>
      <w:marBottom w:val="0"/>
      <w:divBdr>
        <w:top w:val="none" w:sz="0" w:space="0" w:color="auto"/>
        <w:left w:val="none" w:sz="0" w:space="0" w:color="auto"/>
        <w:bottom w:val="none" w:sz="0" w:space="0" w:color="auto"/>
        <w:right w:val="none" w:sz="0" w:space="0" w:color="auto"/>
      </w:divBdr>
    </w:div>
    <w:div w:id="1319266176">
      <w:bodyDiv w:val="1"/>
      <w:marLeft w:val="0"/>
      <w:marRight w:val="0"/>
      <w:marTop w:val="0"/>
      <w:marBottom w:val="0"/>
      <w:divBdr>
        <w:top w:val="none" w:sz="0" w:space="0" w:color="auto"/>
        <w:left w:val="none" w:sz="0" w:space="0" w:color="auto"/>
        <w:bottom w:val="none" w:sz="0" w:space="0" w:color="auto"/>
        <w:right w:val="none" w:sz="0" w:space="0" w:color="auto"/>
      </w:divBdr>
    </w:div>
    <w:div w:id="1320694882">
      <w:bodyDiv w:val="1"/>
      <w:marLeft w:val="0"/>
      <w:marRight w:val="0"/>
      <w:marTop w:val="0"/>
      <w:marBottom w:val="0"/>
      <w:divBdr>
        <w:top w:val="none" w:sz="0" w:space="0" w:color="auto"/>
        <w:left w:val="none" w:sz="0" w:space="0" w:color="auto"/>
        <w:bottom w:val="none" w:sz="0" w:space="0" w:color="auto"/>
        <w:right w:val="none" w:sz="0" w:space="0" w:color="auto"/>
      </w:divBdr>
    </w:div>
    <w:div w:id="1320890819">
      <w:bodyDiv w:val="1"/>
      <w:marLeft w:val="0"/>
      <w:marRight w:val="0"/>
      <w:marTop w:val="0"/>
      <w:marBottom w:val="0"/>
      <w:divBdr>
        <w:top w:val="none" w:sz="0" w:space="0" w:color="auto"/>
        <w:left w:val="none" w:sz="0" w:space="0" w:color="auto"/>
        <w:bottom w:val="none" w:sz="0" w:space="0" w:color="auto"/>
        <w:right w:val="none" w:sz="0" w:space="0" w:color="auto"/>
      </w:divBdr>
    </w:div>
    <w:div w:id="1321076238">
      <w:bodyDiv w:val="1"/>
      <w:marLeft w:val="0"/>
      <w:marRight w:val="0"/>
      <w:marTop w:val="0"/>
      <w:marBottom w:val="0"/>
      <w:divBdr>
        <w:top w:val="none" w:sz="0" w:space="0" w:color="auto"/>
        <w:left w:val="none" w:sz="0" w:space="0" w:color="auto"/>
        <w:bottom w:val="none" w:sz="0" w:space="0" w:color="auto"/>
        <w:right w:val="none" w:sz="0" w:space="0" w:color="auto"/>
      </w:divBdr>
    </w:div>
    <w:div w:id="1321156980">
      <w:bodyDiv w:val="1"/>
      <w:marLeft w:val="0"/>
      <w:marRight w:val="0"/>
      <w:marTop w:val="0"/>
      <w:marBottom w:val="0"/>
      <w:divBdr>
        <w:top w:val="none" w:sz="0" w:space="0" w:color="auto"/>
        <w:left w:val="none" w:sz="0" w:space="0" w:color="auto"/>
        <w:bottom w:val="none" w:sz="0" w:space="0" w:color="auto"/>
        <w:right w:val="none" w:sz="0" w:space="0" w:color="auto"/>
      </w:divBdr>
    </w:div>
    <w:div w:id="1321158883">
      <w:bodyDiv w:val="1"/>
      <w:marLeft w:val="0"/>
      <w:marRight w:val="0"/>
      <w:marTop w:val="0"/>
      <w:marBottom w:val="0"/>
      <w:divBdr>
        <w:top w:val="none" w:sz="0" w:space="0" w:color="auto"/>
        <w:left w:val="none" w:sz="0" w:space="0" w:color="auto"/>
        <w:bottom w:val="none" w:sz="0" w:space="0" w:color="auto"/>
        <w:right w:val="none" w:sz="0" w:space="0" w:color="auto"/>
      </w:divBdr>
    </w:div>
    <w:div w:id="1321500075">
      <w:bodyDiv w:val="1"/>
      <w:marLeft w:val="0"/>
      <w:marRight w:val="0"/>
      <w:marTop w:val="0"/>
      <w:marBottom w:val="0"/>
      <w:divBdr>
        <w:top w:val="none" w:sz="0" w:space="0" w:color="auto"/>
        <w:left w:val="none" w:sz="0" w:space="0" w:color="auto"/>
        <w:bottom w:val="none" w:sz="0" w:space="0" w:color="auto"/>
        <w:right w:val="none" w:sz="0" w:space="0" w:color="auto"/>
      </w:divBdr>
    </w:div>
    <w:div w:id="1321619409">
      <w:bodyDiv w:val="1"/>
      <w:marLeft w:val="0"/>
      <w:marRight w:val="0"/>
      <w:marTop w:val="0"/>
      <w:marBottom w:val="0"/>
      <w:divBdr>
        <w:top w:val="none" w:sz="0" w:space="0" w:color="auto"/>
        <w:left w:val="none" w:sz="0" w:space="0" w:color="auto"/>
        <w:bottom w:val="none" w:sz="0" w:space="0" w:color="auto"/>
        <w:right w:val="none" w:sz="0" w:space="0" w:color="auto"/>
      </w:divBdr>
    </w:div>
    <w:div w:id="1321692494">
      <w:bodyDiv w:val="1"/>
      <w:marLeft w:val="0"/>
      <w:marRight w:val="0"/>
      <w:marTop w:val="0"/>
      <w:marBottom w:val="0"/>
      <w:divBdr>
        <w:top w:val="none" w:sz="0" w:space="0" w:color="auto"/>
        <w:left w:val="none" w:sz="0" w:space="0" w:color="auto"/>
        <w:bottom w:val="none" w:sz="0" w:space="0" w:color="auto"/>
        <w:right w:val="none" w:sz="0" w:space="0" w:color="auto"/>
      </w:divBdr>
    </w:div>
    <w:div w:id="1321957827">
      <w:bodyDiv w:val="1"/>
      <w:marLeft w:val="0"/>
      <w:marRight w:val="0"/>
      <w:marTop w:val="0"/>
      <w:marBottom w:val="0"/>
      <w:divBdr>
        <w:top w:val="none" w:sz="0" w:space="0" w:color="auto"/>
        <w:left w:val="none" w:sz="0" w:space="0" w:color="auto"/>
        <w:bottom w:val="none" w:sz="0" w:space="0" w:color="auto"/>
        <w:right w:val="none" w:sz="0" w:space="0" w:color="auto"/>
      </w:divBdr>
    </w:div>
    <w:div w:id="1322005351">
      <w:bodyDiv w:val="1"/>
      <w:marLeft w:val="0"/>
      <w:marRight w:val="0"/>
      <w:marTop w:val="0"/>
      <w:marBottom w:val="0"/>
      <w:divBdr>
        <w:top w:val="none" w:sz="0" w:space="0" w:color="auto"/>
        <w:left w:val="none" w:sz="0" w:space="0" w:color="auto"/>
        <w:bottom w:val="none" w:sz="0" w:space="0" w:color="auto"/>
        <w:right w:val="none" w:sz="0" w:space="0" w:color="auto"/>
      </w:divBdr>
    </w:div>
    <w:div w:id="1323697003">
      <w:bodyDiv w:val="1"/>
      <w:marLeft w:val="0"/>
      <w:marRight w:val="0"/>
      <w:marTop w:val="0"/>
      <w:marBottom w:val="0"/>
      <w:divBdr>
        <w:top w:val="none" w:sz="0" w:space="0" w:color="auto"/>
        <w:left w:val="none" w:sz="0" w:space="0" w:color="auto"/>
        <w:bottom w:val="none" w:sz="0" w:space="0" w:color="auto"/>
        <w:right w:val="none" w:sz="0" w:space="0" w:color="auto"/>
      </w:divBdr>
    </w:div>
    <w:div w:id="1323704051">
      <w:bodyDiv w:val="1"/>
      <w:marLeft w:val="0"/>
      <w:marRight w:val="0"/>
      <w:marTop w:val="0"/>
      <w:marBottom w:val="0"/>
      <w:divBdr>
        <w:top w:val="none" w:sz="0" w:space="0" w:color="auto"/>
        <w:left w:val="none" w:sz="0" w:space="0" w:color="auto"/>
        <w:bottom w:val="none" w:sz="0" w:space="0" w:color="auto"/>
        <w:right w:val="none" w:sz="0" w:space="0" w:color="auto"/>
      </w:divBdr>
    </w:div>
    <w:div w:id="1323893532">
      <w:bodyDiv w:val="1"/>
      <w:marLeft w:val="0"/>
      <w:marRight w:val="0"/>
      <w:marTop w:val="0"/>
      <w:marBottom w:val="0"/>
      <w:divBdr>
        <w:top w:val="none" w:sz="0" w:space="0" w:color="auto"/>
        <w:left w:val="none" w:sz="0" w:space="0" w:color="auto"/>
        <w:bottom w:val="none" w:sz="0" w:space="0" w:color="auto"/>
        <w:right w:val="none" w:sz="0" w:space="0" w:color="auto"/>
      </w:divBdr>
    </w:div>
    <w:div w:id="1323969392">
      <w:bodyDiv w:val="1"/>
      <w:marLeft w:val="0"/>
      <w:marRight w:val="0"/>
      <w:marTop w:val="0"/>
      <w:marBottom w:val="0"/>
      <w:divBdr>
        <w:top w:val="none" w:sz="0" w:space="0" w:color="auto"/>
        <w:left w:val="none" w:sz="0" w:space="0" w:color="auto"/>
        <w:bottom w:val="none" w:sz="0" w:space="0" w:color="auto"/>
        <w:right w:val="none" w:sz="0" w:space="0" w:color="auto"/>
      </w:divBdr>
    </w:div>
    <w:div w:id="1324352581">
      <w:bodyDiv w:val="1"/>
      <w:marLeft w:val="0"/>
      <w:marRight w:val="0"/>
      <w:marTop w:val="0"/>
      <w:marBottom w:val="0"/>
      <w:divBdr>
        <w:top w:val="none" w:sz="0" w:space="0" w:color="auto"/>
        <w:left w:val="none" w:sz="0" w:space="0" w:color="auto"/>
        <w:bottom w:val="none" w:sz="0" w:space="0" w:color="auto"/>
        <w:right w:val="none" w:sz="0" w:space="0" w:color="auto"/>
      </w:divBdr>
    </w:div>
    <w:div w:id="1324356472">
      <w:bodyDiv w:val="1"/>
      <w:marLeft w:val="0"/>
      <w:marRight w:val="0"/>
      <w:marTop w:val="0"/>
      <w:marBottom w:val="0"/>
      <w:divBdr>
        <w:top w:val="none" w:sz="0" w:space="0" w:color="auto"/>
        <w:left w:val="none" w:sz="0" w:space="0" w:color="auto"/>
        <w:bottom w:val="none" w:sz="0" w:space="0" w:color="auto"/>
        <w:right w:val="none" w:sz="0" w:space="0" w:color="auto"/>
      </w:divBdr>
    </w:div>
    <w:div w:id="1324548827">
      <w:bodyDiv w:val="1"/>
      <w:marLeft w:val="0"/>
      <w:marRight w:val="0"/>
      <w:marTop w:val="0"/>
      <w:marBottom w:val="0"/>
      <w:divBdr>
        <w:top w:val="none" w:sz="0" w:space="0" w:color="auto"/>
        <w:left w:val="none" w:sz="0" w:space="0" w:color="auto"/>
        <w:bottom w:val="none" w:sz="0" w:space="0" w:color="auto"/>
        <w:right w:val="none" w:sz="0" w:space="0" w:color="auto"/>
      </w:divBdr>
    </w:div>
    <w:div w:id="1324629449">
      <w:bodyDiv w:val="1"/>
      <w:marLeft w:val="0"/>
      <w:marRight w:val="0"/>
      <w:marTop w:val="0"/>
      <w:marBottom w:val="0"/>
      <w:divBdr>
        <w:top w:val="none" w:sz="0" w:space="0" w:color="auto"/>
        <w:left w:val="none" w:sz="0" w:space="0" w:color="auto"/>
        <w:bottom w:val="none" w:sz="0" w:space="0" w:color="auto"/>
        <w:right w:val="none" w:sz="0" w:space="0" w:color="auto"/>
      </w:divBdr>
    </w:div>
    <w:div w:id="1325233849">
      <w:bodyDiv w:val="1"/>
      <w:marLeft w:val="0"/>
      <w:marRight w:val="0"/>
      <w:marTop w:val="0"/>
      <w:marBottom w:val="0"/>
      <w:divBdr>
        <w:top w:val="none" w:sz="0" w:space="0" w:color="auto"/>
        <w:left w:val="none" w:sz="0" w:space="0" w:color="auto"/>
        <w:bottom w:val="none" w:sz="0" w:space="0" w:color="auto"/>
        <w:right w:val="none" w:sz="0" w:space="0" w:color="auto"/>
      </w:divBdr>
    </w:div>
    <w:div w:id="1325358098">
      <w:bodyDiv w:val="1"/>
      <w:marLeft w:val="0"/>
      <w:marRight w:val="0"/>
      <w:marTop w:val="0"/>
      <w:marBottom w:val="0"/>
      <w:divBdr>
        <w:top w:val="none" w:sz="0" w:space="0" w:color="auto"/>
        <w:left w:val="none" w:sz="0" w:space="0" w:color="auto"/>
        <w:bottom w:val="none" w:sz="0" w:space="0" w:color="auto"/>
        <w:right w:val="none" w:sz="0" w:space="0" w:color="auto"/>
      </w:divBdr>
    </w:div>
    <w:div w:id="1325359449">
      <w:bodyDiv w:val="1"/>
      <w:marLeft w:val="0"/>
      <w:marRight w:val="0"/>
      <w:marTop w:val="0"/>
      <w:marBottom w:val="0"/>
      <w:divBdr>
        <w:top w:val="none" w:sz="0" w:space="0" w:color="auto"/>
        <w:left w:val="none" w:sz="0" w:space="0" w:color="auto"/>
        <w:bottom w:val="none" w:sz="0" w:space="0" w:color="auto"/>
        <w:right w:val="none" w:sz="0" w:space="0" w:color="auto"/>
      </w:divBdr>
    </w:div>
    <w:div w:id="1325432168">
      <w:bodyDiv w:val="1"/>
      <w:marLeft w:val="0"/>
      <w:marRight w:val="0"/>
      <w:marTop w:val="0"/>
      <w:marBottom w:val="0"/>
      <w:divBdr>
        <w:top w:val="none" w:sz="0" w:space="0" w:color="auto"/>
        <w:left w:val="none" w:sz="0" w:space="0" w:color="auto"/>
        <w:bottom w:val="none" w:sz="0" w:space="0" w:color="auto"/>
        <w:right w:val="none" w:sz="0" w:space="0" w:color="auto"/>
      </w:divBdr>
    </w:div>
    <w:div w:id="1325620083">
      <w:bodyDiv w:val="1"/>
      <w:marLeft w:val="0"/>
      <w:marRight w:val="0"/>
      <w:marTop w:val="0"/>
      <w:marBottom w:val="0"/>
      <w:divBdr>
        <w:top w:val="none" w:sz="0" w:space="0" w:color="auto"/>
        <w:left w:val="none" w:sz="0" w:space="0" w:color="auto"/>
        <w:bottom w:val="none" w:sz="0" w:space="0" w:color="auto"/>
        <w:right w:val="none" w:sz="0" w:space="0" w:color="auto"/>
      </w:divBdr>
    </w:div>
    <w:div w:id="1325859016">
      <w:bodyDiv w:val="1"/>
      <w:marLeft w:val="0"/>
      <w:marRight w:val="0"/>
      <w:marTop w:val="0"/>
      <w:marBottom w:val="0"/>
      <w:divBdr>
        <w:top w:val="none" w:sz="0" w:space="0" w:color="auto"/>
        <w:left w:val="none" w:sz="0" w:space="0" w:color="auto"/>
        <w:bottom w:val="none" w:sz="0" w:space="0" w:color="auto"/>
        <w:right w:val="none" w:sz="0" w:space="0" w:color="auto"/>
      </w:divBdr>
    </w:div>
    <w:div w:id="1326280702">
      <w:bodyDiv w:val="1"/>
      <w:marLeft w:val="0"/>
      <w:marRight w:val="0"/>
      <w:marTop w:val="0"/>
      <w:marBottom w:val="0"/>
      <w:divBdr>
        <w:top w:val="none" w:sz="0" w:space="0" w:color="auto"/>
        <w:left w:val="none" w:sz="0" w:space="0" w:color="auto"/>
        <w:bottom w:val="none" w:sz="0" w:space="0" w:color="auto"/>
        <w:right w:val="none" w:sz="0" w:space="0" w:color="auto"/>
      </w:divBdr>
    </w:div>
    <w:div w:id="1327125809">
      <w:bodyDiv w:val="1"/>
      <w:marLeft w:val="0"/>
      <w:marRight w:val="0"/>
      <w:marTop w:val="0"/>
      <w:marBottom w:val="0"/>
      <w:divBdr>
        <w:top w:val="none" w:sz="0" w:space="0" w:color="auto"/>
        <w:left w:val="none" w:sz="0" w:space="0" w:color="auto"/>
        <w:bottom w:val="none" w:sz="0" w:space="0" w:color="auto"/>
        <w:right w:val="none" w:sz="0" w:space="0" w:color="auto"/>
      </w:divBdr>
    </w:div>
    <w:div w:id="1327632088">
      <w:bodyDiv w:val="1"/>
      <w:marLeft w:val="0"/>
      <w:marRight w:val="0"/>
      <w:marTop w:val="0"/>
      <w:marBottom w:val="0"/>
      <w:divBdr>
        <w:top w:val="none" w:sz="0" w:space="0" w:color="auto"/>
        <w:left w:val="none" w:sz="0" w:space="0" w:color="auto"/>
        <w:bottom w:val="none" w:sz="0" w:space="0" w:color="auto"/>
        <w:right w:val="none" w:sz="0" w:space="0" w:color="auto"/>
      </w:divBdr>
    </w:div>
    <w:div w:id="1327977891">
      <w:bodyDiv w:val="1"/>
      <w:marLeft w:val="0"/>
      <w:marRight w:val="0"/>
      <w:marTop w:val="0"/>
      <w:marBottom w:val="0"/>
      <w:divBdr>
        <w:top w:val="none" w:sz="0" w:space="0" w:color="auto"/>
        <w:left w:val="none" w:sz="0" w:space="0" w:color="auto"/>
        <w:bottom w:val="none" w:sz="0" w:space="0" w:color="auto"/>
        <w:right w:val="none" w:sz="0" w:space="0" w:color="auto"/>
      </w:divBdr>
    </w:div>
    <w:div w:id="1328021832">
      <w:bodyDiv w:val="1"/>
      <w:marLeft w:val="0"/>
      <w:marRight w:val="0"/>
      <w:marTop w:val="0"/>
      <w:marBottom w:val="0"/>
      <w:divBdr>
        <w:top w:val="none" w:sz="0" w:space="0" w:color="auto"/>
        <w:left w:val="none" w:sz="0" w:space="0" w:color="auto"/>
        <w:bottom w:val="none" w:sz="0" w:space="0" w:color="auto"/>
        <w:right w:val="none" w:sz="0" w:space="0" w:color="auto"/>
      </w:divBdr>
    </w:div>
    <w:div w:id="1329216158">
      <w:bodyDiv w:val="1"/>
      <w:marLeft w:val="0"/>
      <w:marRight w:val="0"/>
      <w:marTop w:val="0"/>
      <w:marBottom w:val="0"/>
      <w:divBdr>
        <w:top w:val="none" w:sz="0" w:space="0" w:color="auto"/>
        <w:left w:val="none" w:sz="0" w:space="0" w:color="auto"/>
        <w:bottom w:val="none" w:sz="0" w:space="0" w:color="auto"/>
        <w:right w:val="none" w:sz="0" w:space="0" w:color="auto"/>
      </w:divBdr>
    </w:div>
    <w:div w:id="1329484047">
      <w:bodyDiv w:val="1"/>
      <w:marLeft w:val="0"/>
      <w:marRight w:val="0"/>
      <w:marTop w:val="0"/>
      <w:marBottom w:val="0"/>
      <w:divBdr>
        <w:top w:val="none" w:sz="0" w:space="0" w:color="auto"/>
        <w:left w:val="none" w:sz="0" w:space="0" w:color="auto"/>
        <w:bottom w:val="none" w:sz="0" w:space="0" w:color="auto"/>
        <w:right w:val="none" w:sz="0" w:space="0" w:color="auto"/>
      </w:divBdr>
    </w:div>
    <w:div w:id="1330016477">
      <w:bodyDiv w:val="1"/>
      <w:marLeft w:val="0"/>
      <w:marRight w:val="0"/>
      <w:marTop w:val="0"/>
      <w:marBottom w:val="0"/>
      <w:divBdr>
        <w:top w:val="none" w:sz="0" w:space="0" w:color="auto"/>
        <w:left w:val="none" w:sz="0" w:space="0" w:color="auto"/>
        <w:bottom w:val="none" w:sz="0" w:space="0" w:color="auto"/>
        <w:right w:val="none" w:sz="0" w:space="0" w:color="auto"/>
      </w:divBdr>
    </w:div>
    <w:div w:id="1330062365">
      <w:bodyDiv w:val="1"/>
      <w:marLeft w:val="0"/>
      <w:marRight w:val="0"/>
      <w:marTop w:val="0"/>
      <w:marBottom w:val="0"/>
      <w:divBdr>
        <w:top w:val="none" w:sz="0" w:space="0" w:color="auto"/>
        <w:left w:val="none" w:sz="0" w:space="0" w:color="auto"/>
        <w:bottom w:val="none" w:sz="0" w:space="0" w:color="auto"/>
        <w:right w:val="none" w:sz="0" w:space="0" w:color="auto"/>
      </w:divBdr>
    </w:div>
    <w:div w:id="1330409188">
      <w:bodyDiv w:val="1"/>
      <w:marLeft w:val="0"/>
      <w:marRight w:val="0"/>
      <w:marTop w:val="0"/>
      <w:marBottom w:val="0"/>
      <w:divBdr>
        <w:top w:val="none" w:sz="0" w:space="0" w:color="auto"/>
        <w:left w:val="none" w:sz="0" w:space="0" w:color="auto"/>
        <w:bottom w:val="none" w:sz="0" w:space="0" w:color="auto"/>
        <w:right w:val="none" w:sz="0" w:space="0" w:color="auto"/>
      </w:divBdr>
    </w:div>
    <w:div w:id="1330712016">
      <w:bodyDiv w:val="1"/>
      <w:marLeft w:val="0"/>
      <w:marRight w:val="0"/>
      <w:marTop w:val="0"/>
      <w:marBottom w:val="0"/>
      <w:divBdr>
        <w:top w:val="none" w:sz="0" w:space="0" w:color="auto"/>
        <w:left w:val="none" w:sz="0" w:space="0" w:color="auto"/>
        <w:bottom w:val="none" w:sz="0" w:space="0" w:color="auto"/>
        <w:right w:val="none" w:sz="0" w:space="0" w:color="auto"/>
      </w:divBdr>
    </w:div>
    <w:div w:id="1330905204">
      <w:bodyDiv w:val="1"/>
      <w:marLeft w:val="0"/>
      <w:marRight w:val="0"/>
      <w:marTop w:val="0"/>
      <w:marBottom w:val="0"/>
      <w:divBdr>
        <w:top w:val="none" w:sz="0" w:space="0" w:color="auto"/>
        <w:left w:val="none" w:sz="0" w:space="0" w:color="auto"/>
        <w:bottom w:val="none" w:sz="0" w:space="0" w:color="auto"/>
        <w:right w:val="none" w:sz="0" w:space="0" w:color="auto"/>
      </w:divBdr>
    </w:div>
    <w:div w:id="1331106346">
      <w:bodyDiv w:val="1"/>
      <w:marLeft w:val="0"/>
      <w:marRight w:val="0"/>
      <w:marTop w:val="0"/>
      <w:marBottom w:val="0"/>
      <w:divBdr>
        <w:top w:val="none" w:sz="0" w:space="0" w:color="auto"/>
        <w:left w:val="none" w:sz="0" w:space="0" w:color="auto"/>
        <w:bottom w:val="none" w:sz="0" w:space="0" w:color="auto"/>
        <w:right w:val="none" w:sz="0" w:space="0" w:color="auto"/>
      </w:divBdr>
    </w:div>
    <w:div w:id="1331443891">
      <w:bodyDiv w:val="1"/>
      <w:marLeft w:val="0"/>
      <w:marRight w:val="0"/>
      <w:marTop w:val="0"/>
      <w:marBottom w:val="0"/>
      <w:divBdr>
        <w:top w:val="none" w:sz="0" w:space="0" w:color="auto"/>
        <w:left w:val="none" w:sz="0" w:space="0" w:color="auto"/>
        <w:bottom w:val="none" w:sz="0" w:space="0" w:color="auto"/>
        <w:right w:val="none" w:sz="0" w:space="0" w:color="auto"/>
      </w:divBdr>
    </w:div>
    <w:div w:id="1331640610">
      <w:bodyDiv w:val="1"/>
      <w:marLeft w:val="0"/>
      <w:marRight w:val="0"/>
      <w:marTop w:val="0"/>
      <w:marBottom w:val="0"/>
      <w:divBdr>
        <w:top w:val="none" w:sz="0" w:space="0" w:color="auto"/>
        <w:left w:val="none" w:sz="0" w:space="0" w:color="auto"/>
        <w:bottom w:val="none" w:sz="0" w:space="0" w:color="auto"/>
        <w:right w:val="none" w:sz="0" w:space="0" w:color="auto"/>
      </w:divBdr>
    </w:div>
    <w:div w:id="1332218472">
      <w:bodyDiv w:val="1"/>
      <w:marLeft w:val="0"/>
      <w:marRight w:val="0"/>
      <w:marTop w:val="0"/>
      <w:marBottom w:val="0"/>
      <w:divBdr>
        <w:top w:val="none" w:sz="0" w:space="0" w:color="auto"/>
        <w:left w:val="none" w:sz="0" w:space="0" w:color="auto"/>
        <w:bottom w:val="none" w:sz="0" w:space="0" w:color="auto"/>
        <w:right w:val="none" w:sz="0" w:space="0" w:color="auto"/>
      </w:divBdr>
    </w:div>
    <w:div w:id="1332492835">
      <w:bodyDiv w:val="1"/>
      <w:marLeft w:val="0"/>
      <w:marRight w:val="0"/>
      <w:marTop w:val="0"/>
      <w:marBottom w:val="0"/>
      <w:divBdr>
        <w:top w:val="none" w:sz="0" w:space="0" w:color="auto"/>
        <w:left w:val="none" w:sz="0" w:space="0" w:color="auto"/>
        <w:bottom w:val="none" w:sz="0" w:space="0" w:color="auto"/>
        <w:right w:val="none" w:sz="0" w:space="0" w:color="auto"/>
      </w:divBdr>
    </w:div>
    <w:div w:id="1332562276">
      <w:bodyDiv w:val="1"/>
      <w:marLeft w:val="0"/>
      <w:marRight w:val="0"/>
      <w:marTop w:val="0"/>
      <w:marBottom w:val="0"/>
      <w:divBdr>
        <w:top w:val="none" w:sz="0" w:space="0" w:color="auto"/>
        <w:left w:val="none" w:sz="0" w:space="0" w:color="auto"/>
        <w:bottom w:val="none" w:sz="0" w:space="0" w:color="auto"/>
        <w:right w:val="none" w:sz="0" w:space="0" w:color="auto"/>
      </w:divBdr>
    </w:div>
    <w:div w:id="1332832275">
      <w:bodyDiv w:val="1"/>
      <w:marLeft w:val="0"/>
      <w:marRight w:val="0"/>
      <w:marTop w:val="0"/>
      <w:marBottom w:val="0"/>
      <w:divBdr>
        <w:top w:val="none" w:sz="0" w:space="0" w:color="auto"/>
        <w:left w:val="none" w:sz="0" w:space="0" w:color="auto"/>
        <w:bottom w:val="none" w:sz="0" w:space="0" w:color="auto"/>
        <w:right w:val="none" w:sz="0" w:space="0" w:color="auto"/>
      </w:divBdr>
    </w:div>
    <w:div w:id="1332875320">
      <w:bodyDiv w:val="1"/>
      <w:marLeft w:val="0"/>
      <w:marRight w:val="0"/>
      <w:marTop w:val="0"/>
      <w:marBottom w:val="0"/>
      <w:divBdr>
        <w:top w:val="none" w:sz="0" w:space="0" w:color="auto"/>
        <w:left w:val="none" w:sz="0" w:space="0" w:color="auto"/>
        <w:bottom w:val="none" w:sz="0" w:space="0" w:color="auto"/>
        <w:right w:val="none" w:sz="0" w:space="0" w:color="auto"/>
      </w:divBdr>
    </w:div>
    <w:div w:id="1332949459">
      <w:bodyDiv w:val="1"/>
      <w:marLeft w:val="0"/>
      <w:marRight w:val="0"/>
      <w:marTop w:val="0"/>
      <w:marBottom w:val="0"/>
      <w:divBdr>
        <w:top w:val="none" w:sz="0" w:space="0" w:color="auto"/>
        <w:left w:val="none" w:sz="0" w:space="0" w:color="auto"/>
        <w:bottom w:val="none" w:sz="0" w:space="0" w:color="auto"/>
        <w:right w:val="none" w:sz="0" w:space="0" w:color="auto"/>
      </w:divBdr>
    </w:div>
    <w:div w:id="1333219416">
      <w:bodyDiv w:val="1"/>
      <w:marLeft w:val="0"/>
      <w:marRight w:val="0"/>
      <w:marTop w:val="0"/>
      <w:marBottom w:val="0"/>
      <w:divBdr>
        <w:top w:val="none" w:sz="0" w:space="0" w:color="auto"/>
        <w:left w:val="none" w:sz="0" w:space="0" w:color="auto"/>
        <w:bottom w:val="none" w:sz="0" w:space="0" w:color="auto"/>
        <w:right w:val="none" w:sz="0" w:space="0" w:color="auto"/>
      </w:divBdr>
    </w:div>
    <w:div w:id="1333289542">
      <w:bodyDiv w:val="1"/>
      <w:marLeft w:val="0"/>
      <w:marRight w:val="0"/>
      <w:marTop w:val="0"/>
      <w:marBottom w:val="0"/>
      <w:divBdr>
        <w:top w:val="none" w:sz="0" w:space="0" w:color="auto"/>
        <w:left w:val="none" w:sz="0" w:space="0" w:color="auto"/>
        <w:bottom w:val="none" w:sz="0" w:space="0" w:color="auto"/>
        <w:right w:val="none" w:sz="0" w:space="0" w:color="auto"/>
      </w:divBdr>
    </w:div>
    <w:div w:id="1333292009">
      <w:bodyDiv w:val="1"/>
      <w:marLeft w:val="0"/>
      <w:marRight w:val="0"/>
      <w:marTop w:val="0"/>
      <w:marBottom w:val="0"/>
      <w:divBdr>
        <w:top w:val="none" w:sz="0" w:space="0" w:color="auto"/>
        <w:left w:val="none" w:sz="0" w:space="0" w:color="auto"/>
        <w:bottom w:val="none" w:sz="0" w:space="0" w:color="auto"/>
        <w:right w:val="none" w:sz="0" w:space="0" w:color="auto"/>
      </w:divBdr>
    </w:div>
    <w:div w:id="1333484939">
      <w:bodyDiv w:val="1"/>
      <w:marLeft w:val="0"/>
      <w:marRight w:val="0"/>
      <w:marTop w:val="0"/>
      <w:marBottom w:val="0"/>
      <w:divBdr>
        <w:top w:val="none" w:sz="0" w:space="0" w:color="auto"/>
        <w:left w:val="none" w:sz="0" w:space="0" w:color="auto"/>
        <w:bottom w:val="none" w:sz="0" w:space="0" w:color="auto"/>
        <w:right w:val="none" w:sz="0" w:space="0" w:color="auto"/>
      </w:divBdr>
    </w:div>
    <w:div w:id="1333533762">
      <w:bodyDiv w:val="1"/>
      <w:marLeft w:val="0"/>
      <w:marRight w:val="0"/>
      <w:marTop w:val="0"/>
      <w:marBottom w:val="0"/>
      <w:divBdr>
        <w:top w:val="none" w:sz="0" w:space="0" w:color="auto"/>
        <w:left w:val="none" w:sz="0" w:space="0" w:color="auto"/>
        <w:bottom w:val="none" w:sz="0" w:space="0" w:color="auto"/>
        <w:right w:val="none" w:sz="0" w:space="0" w:color="auto"/>
      </w:divBdr>
    </w:div>
    <w:div w:id="1333725591">
      <w:bodyDiv w:val="1"/>
      <w:marLeft w:val="0"/>
      <w:marRight w:val="0"/>
      <w:marTop w:val="0"/>
      <w:marBottom w:val="0"/>
      <w:divBdr>
        <w:top w:val="none" w:sz="0" w:space="0" w:color="auto"/>
        <w:left w:val="none" w:sz="0" w:space="0" w:color="auto"/>
        <w:bottom w:val="none" w:sz="0" w:space="0" w:color="auto"/>
        <w:right w:val="none" w:sz="0" w:space="0" w:color="auto"/>
      </w:divBdr>
    </w:div>
    <w:div w:id="1334064980">
      <w:bodyDiv w:val="1"/>
      <w:marLeft w:val="0"/>
      <w:marRight w:val="0"/>
      <w:marTop w:val="0"/>
      <w:marBottom w:val="0"/>
      <w:divBdr>
        <w:top w:val="none" w:sz="0" w:space="0" w:color="auto"/>
        <w:left w:val="none" w:sz="0" w:space="0" w:color="auto"/>
        <w:bottom w:val="none" w:sz="0" w:space="0" w:color="auto"/>
        <w:right w:val="none" w:sz="0" w:space="0" w:color="auto"/>
      </w:divBdr>
    </w:div>
    <w:div w:id="1334606624">
      <w:bodyDiv w:val="1"/>
      <w:marLeft w:val="0"/>
      <w:marRight w:val="0"/>
      <w:marTop w:val="0"/>
      <w:marBottom w:val="0"/>
      <w:divBdr>
        <w:top w:val="none" w:sz="0" w:space="0" w:color="auto"/>
        <w:left w:val="none" w:sz="0" w:space="0" w:color="auto"/>
        <w:bottom w:val="none" w:sz="0" w:space="0" w:color="auto"/>
        <w:right w:val="none" w:sz="0" w:space="0" w:color="auto"/>
      </w:divBdr>
    </w:div>
    <w:div w:id="1334842494">
      <w:bodyDiv w:val="1"/>
      <w:marLeft w:val="0"/>
      <w:marRight w:val="0"/>
      <w:marTop w:val="0"/>
      <w:marBottom w:val="0"/>
      <w:divBdr>
        <w:top w:val="none" w:sz="0" w:space="0" w:color="auto"/>
        <w:left w:val="none" w:sz="0" w:space="0" w:color="auto"/>
        <w:bottom w:val="none" w:sz="0" w:space="0" w:color="auto"/>
        <w:right w:val="none" w:sz="0" w:space="0" w:color="auto"/>
      </w:divBdr>
    </w:div>
    <w:div w:id="1335062309">
      <w:bodyDiv w:val="1"/>
      <w:marLeft w:val="0"/>
      <w:marRight w:val="0"/>
      <w:marTop w:val="0"/>
      <w:marBottom w:val="0"/>
      <w:divBdr>
        <w:top w:val="none" w:sz="0" w:space="0" w:color="auto"/>
        <w:left w:val="none" w:sz="0" w:space="0" w:color="auto"/>
        <w:bottom w:val="none" w:sz="0" w:space="0" w:color="auto"/>
        <w:right w:val="none" w:sz="0" w:space="0" w:color="auto"/>
      </w:divBdr>
    </w:div>
    <w:div w:id="1335306113">
      <w:bodyDiv w:val="1"/>
      <w:marLeft w:val="0"/>
      <w:marRight w:val="0"/>
      <w:marTop w:val="0"/>
      <w:marBottom w:val="0"/>
      <w:divBdr>
        <w:top w:val="none" w:sz="0" w:space="0" w:color="auto"/>
        <w:left w:val="none" w:sz="0" w:space="0" w:color="auto"/>
        <w:bottom w:val="none" w:sz="0" w:space="0" w:color="auto"/>
        <w:right w:val="none" w:sz="0" w:space="0" w:color="auto"/>
      </w:divBdr>
    </w:div>
    <w:div w:id="1335571594">
      <w:bodyDiv w:val="1"/>
      <w:marLeft w:val="0"/>
      <w:marRight w:val="0"/>
      <w:marTop w:val="0"/>
      <w:marBottom w:val="0"/>
      <w:divBdr>
        <w:top w:val="none" w:sz="0" w:space="0" w:color="auto"/>
        <w:left w:val="none" w:sz="0" w:space="0" w:color="auto"/>
        <w:bottom w:val="none" w:sz="0" w:space="0" w:color="auto"/>
        <w:right w:val="none" w:sz="0" w:space="0" w:color="auto"/>
      </w:divBdr>
    </w:div>
    <w:div w:id="1335917778">
      <w:bodyDiv w:val="1"/>
      <w:marLeft w:val="0"/>
      <w:marRight w:val="0"/>
      <w:marTop w:val="0"/>
      <w:marBottom w:val="0"/>
      <w:divBdr>
        <w:top w:val="none" w:sz="0" w:space="0" w:color="auto"/>
        <w:left w:val="none" w:sz="0" w:space="0" w:color="auto"/>
        <w:bottom w:val="none" w:sz="0" w:space="0" w:color="auto"/>
        <w:right w:val="none" w:sz="0" w:space="0" w:color="auto"/>
      </w:divBdr>
    </w:div>
    <w:div w:id="1336229102">
      <w:bodyDiv w:val="1"/>
      <w:marLeft w:val="0"/>
      <w:marRight w:val="0"/>
      <w:marTop w:val="0"/>
      <w:marBottom w:val="0"/>
      <w:divBdr>
        <w:top w:val="none" w:sz="0" w:space="0" w:color="auto"/>
        <w:left w:val="none" w:sz="0" w:space="0" w:color="auto"/>
        <w:bottom w:val="none" w:sz="0" w:space="0" w:color="auto"/>
        <w:right w:val="none" w:sz="0" w:space="0" w:color="auto"/>
      </w:divBdr>
    </w:div>
    <w:div w:id="1336372415">
      <w:bodyDiv w:val="1"/>
      <w:marLeft w:val="0"/>
      <w:marRight w:val="0"/>
      <w:marTop w:val="0"/>
      <w:marBottom w:val="0"/>
      <w:divBdr>
        <w:top w:val="none" w:sz="0" w:space="0" w:color="auto"/>
        <w:left w:val="none" w:sz="0" w:space="0" w:color="auto"/>
        <w:bottom w:val="none" w:sz="0" w:space="0" w:color="auto"/>
        <w:right w:val="none" w:sz="0" w:space="0" w:color="auto"/>
      </w:divBdr>
    </w:div>
    <w:div w:id="1336374650">
      <w:bodyDiv w:val="1"/>
      <w:marLeft w:val="0"/>
      <w:marRight w:val="0"/>
      <w:marTop w:val="0"/>
      <w:marBottom w:val="0"/>
      <w:divBdr>
        <w:top w:val="none" w:sz="0" w:space="0" w:color="auto"/>
        <w:left w:val="none" w:sz="0" w:space="0" w:color="auto"/>
        <w:bottom w:val="none" w:sz="0" w:space="0" w:color="auto"/>
        <w:right w:val="none" w:sz="0" w:space="0" w:color="auto"/>
      </w:divBdr>
    </w:div>
    <w:div w:id="1336955799">
      <w:bodyDiv w:val="1"/>
      <w:marLeft w:val="0"/>
      <w:marRight w:val="0"/>
      <w:marTop w:val="0"/>
      <w:marBottom w:val="0"/>
      <w:divBdr>
        <w:top w:val="none" w:sz="0" w:space="0" w:color="auto"/>
        <w:left w:val="none" w:sz="0" w:space="0" w:color="auto"/>
        <w:bottom w:val="none" w:sz="0" w:space="0" w:color="auto"/>
        <w:right w:val="none" w:sz="0" w:space="0" w:color="auto"/>
      </w:divBdr>
    </w:div>
    <w:div w:id="1337003147">
      <w:bodyDiv w:val="1"/>
      <w:marLeft w:val="0"/>
      <w:marRight w:val="0"/>
      <w:marTop w:val="0"/>
      <w:marBottom w:val="0"/>
      <w:divBdr>
        <w:top w:val="none" w:sz="0" w:space="0" w:color="auto"/>
        <w:left w:val="none" w:sz="0" w:space="0" w:color="auto"/>
        <w:bottom w:val="none" w:sz="0" w:space="0" w:color="auto"/>
        <w:right w:val="none" w:sz="0" w:space="0" w:color="auto"/>
      </w:divBdr>
    </w:div>
    <w:div w:id="1337539850">
      <w:bodyDiv w:val="1"/>
      <w:marLeft w:val="0"/>
      <w:marRight w:val="0"/>
      <w:marTop w:val="0"/>
      <w:marBottom w:val="0"/>
      <w:divBdr>
        <w:top w:val="none" w:sz="0" w:space="0" w:color="auto"/>
        <w:left w:val="none" w:sz="0" w:space="0" w:color="auto"/>
        <w:bottom w:val="none" w:sz="0" w:space="0" w:color="auto"/>
        <w:right w:val="none" w:sz="0" w:space="0" w:color="auto"/>
      </w:divBdr>
    </w:div>
    <w:div w:id="1337921531">
      <w:bodyDiv w:val="1"/>
      <w:marLeft w:val="0"/>
      <w:marRight w:val="0"/>
      <w:marTop w:val="0"/>
      <w:marBottom w:val="0"/>
      <w:divBdr>
        <w:top w:val="none" w:sz="0" w:space="0" w:color="auto"/>
        <w:left w:val="none" w:sz="0" w:space="0" w:color="auto"/>
        <w:bottom w:val="none" w:sz="0" w:space="0" w:color="auto"/>
        <w:right w:val="none" w:sz="0" w:space="0" w:color="auto"/>
      </w:divBdr>
    </w:div>
    <w:div w:id="1338073302">
      <w:bodyDiv w:val="1"/>
      <w:marLeft w:val="0"/>
      <w:marRight w:val="0"/>
      <w:marTop w:val="0"/>
      <w:marBottom w:val="0"/>
      <w:divBdr>
        <w:top w:val="none" w:sz="0" w:space="0" w:color="auto"/>
        <w:left w:val="none" w:sz="0" w:space="0" w:color="auto"/>
        <w:bottom w:val="none" w:sz="0" w:space="0" w:color="auto"/>
        <w:right w:val="none" w:sz="0" w:space="0" w:color="auto"/>
      </w:divBdr>
    </w:div>
    <w:div w:id="1338076492">
      <w:bodyDiv w:val="1"/>
      <w:marLeft w:val="0"/>
      <w:marRight w:val="0"/>
      <w:marTop w:val="0"/>
      <w:marBottom w:val="0"/>
      <w:divBdr>
        <w:top w:val="none" w:sz="0" w:space="0" w:color="auto"/>
        <w:left w:val="none" w:sz="0" w:space="0" w:color="auto"/>
        <w:bottom w:val="none" w:sz="0" w:space="0" w:color="auto"/>
        <w:right w:val="none" w:sz="0" w:space="0" w:color="auto"/>
      </w:divBdr>
    </w:div>
    <w:div w:id="1338341817">
      <w:bodyDiv w:val="1"/>
      <w:marLeft w:val="0"/>
      <w:marRight w:val="0"/>
      <w:marTop w:val="0"/>
      <w:marBottom w:val="0"/>
      <w:divBdr>
        <w:top w:val="none" w:sz="0" w:space="0" w:color="auto"/>
        <w:left w:val="none" w:sz="0" w:space="0" w:color="auto"/>
        <w:bottom w:val="none" w:sz="0" w:space="0" w:color="auto"/>
        <w:right w:val="none" w:sz="0" w:space="0" w:color="auto"/>
      </w:divBdr>
    </w:div>
    <w:div w:id="1338651287">
      <w:bodyDiv w:val="1"/>
      <w:marLeft w:val="0"/>
      <w:marRight w:val="0"/>
      <w:marTop w:val="0"/>
      <w:marBottom w:val="0"/>
      <w:divBdr>
        <w:top w:val="none" w:sz="0" w:space="0" w:color="auto"/>
        <w:left w:val="none" w:sz="0" w:space="0" w:color="auto"/>
        <w:bottom w:val="none" w:sz="0" w:space="0" w:color="auto"/>
        <w:right w:val="none" w:sz="0" w:space="0" w:color="auto"/>
      </w:divBdr>
    </w:div>
    <w:div w:id="1339310866">
      <w:bodyDiv w:val="1"/>
      <w:marLeft w:val="0"/>
      <w:marRight w:val="0"/>
      <w:marTop w:val="0"/>
      <w:marBottom w:val="0"/>
      <w:divBdr>
        <w:top w:val="none" w:sz="0" w:space="0" w:color="auto"/>
        <w:left w:val="none" w:sz="0" w:space="0" w:color="auto"/>
        <w:bottom w:val="none" w:sz="0" w:space="0" w:color="auto"/>
        <w:right w:val="none" w:sz="0" w:space="0" w:color="auto"/>
      </w:divBdr>
    </w:div>
    <w:div w:id="1339503360">
      <w:bodyDiv w:val="1"/>
      <w:marLeft w:val="0"/>
      <w:marRight w:val="0"/>
      <w:marTop w:val="0"/>
      <w:marBottom w:val="0"/>
      <w:divBdr>
        <w:top w:val="none" w:sz="0" w:space="0" w:color="auto"/>
        <w:left w:val="none" w:sz="0" w:space="0" w:color="auto"/>
        <w:bottom w:val="none" w:sz="0" w:space="0" w:color="auto"/>
        <w:right w:val="none" w:sz="0" w:space="0" w:color="auto"/>
      </w:divBdr>
    </w:div>
    <w:div w:id="1340277120">
      <w:bodyDiv w:val="1"/>
      <w:marLeft w:val="0"/>
      <w:marRight w:val="0"/>
      <w:marTop w:val="0"/>
      <w:marBottom w:val="0"/>
      <w:divBdr>
        <w:top w:val="none" w:sz="0" w:space="0" w:color="auto"/>
        <w:left w:val="none" w:sz="0" w:space="0" w:color="auto"/>
        <w:bottom w:val="none" w:sz="0" w:space="0" w:color="auto"/>
        <w:right w:val="none" w:sz="0" w:space="0" w:color="auto"/>
      </w:divBdr>
    </w:div>
    <w:div w:id="1340624967">
      <w:bodyDiv w:val="1"/>
      <w:marLeft w:val="0"/>
      <w:marRight w:val="0"/>
      <w:marTop w:val="0"/>
      <w:marBottom w:val="0"/>
      <w:divBdr>
        <w:top w:val="none" w:sz="0" w:space="0" w:color="auto"/>
        <w:left w:val="none" w:sz="0" w:space="0" w:color="auto"/>
        <w:bottom w:val="none" w:sz="0" w:space="0" w:color="auto"/>
        <w:right w:val="none" w:sz="0" w:space="0" w:color="auto"/>
      </w:divBdr>
    </w:div>
    <w:div w:id="1340700049">
      <w:bodyDiv w:val="1"/>
      <w:marLeft w:val="0"/>
      <w:marRight w:val="0"/>
      <w:marTop w:val="0"/>
      <w:marBottom w:val="0"/>
      <w:divBdr>
        <w:top w:val="none" w:sz="0" w:space="0" w:color="auto"/>
        <w:left w:val="none" w:sz="0" w:space="0" w:color="auto"/>
        <w:bottom w:val="none" w:sz="0" w:space="0" w:color="auto"/>
        <w:right w:val="none" w:sz="0" w:space="0" w:color="auto"/>
      </w:divBdr>
    </w:div>
    <w:div w:id="1340737165">
      <w:bodyDiv w:val="1"/>
      <w:marLeft w:val="0"/>
      <w:marRight w:val="0"/>
      <w:marTop w:val="0"/>
      <w:marBottom w:val="0"/>
      <w:divBdr>
        <w:top w:val="none" w:sz="0" w:space="0" w:color="auto"/>
        <w:left w:val="none" w:sz="0" w:space="0" w:color="auto"/>
        <w:bottom w:val="none" w:sz="0" w:space="0" w:color="auto"/>
        <w:right w:val="none" w:sz="0" w:space="0" w:color="auto"/>
      </w:divBdr>
    </w:div>
    <w:div w:id="1340812029">
      <w:bodyDiv w:val="1"/>
      <w:marLeft w:val="0"/>
      <w:marRight w:val="0"/>
      <w:marTop w:val="0"/>
      <w:marBottom w:val="0"/>
      <w:divBdr>
        <w:top w:val="none" w:sz="0" w:space="0" w:color="auto"/>
        <w:left w:val="none" w:sz="0" w:space="0" w:color="auto"/>
        <w:bottom w:val="none" w:sz="0" w:space="0" w:color="auto"/>
        <w:right w:val="none" w:sz="0" w:space="0" w:color="auto"/>
      </w:divBdr>
    </w:div>
    <w:div w:id="1340886590">
      <w:bodyDiv w:val="1"/>
      <w:marLeft w:val="0"/>
      <w:marRight w:val="0"/>
      <w:marTop w:val="0"/>
      <w:marBottom w:val="0"/>
      <w:divBdr>
        <w:top w:val="none" w:sz="0" w:space="0" w:color="auto"/>
        <w:left w:val="none" w:sz="0" w:space="0" w:color="auto"/>
        <w:bottom w:val="none" w:sz="0" w:space="0" w:color="auto"/>
        <w:right w:val="none" w:sz="0" w:space="0" w:color="auto"/>
      </w:divBdr>
    </w:div>
    <w:div w:id="1341278826">
      <w:bodyDiv w:val="1"/>
      <w:marLeft w:val="0"/>
      <w:marRight w:val="0"/>
      <w:marTop w:val="0"/>
      <w:marBottom w:val="0"/>
      <w:divBdr>
        <w:top w:val="none" w:sz="0" w:space="0" w:color="auto"/>
        <w:left w:val="none" w:sz="0" w:space="0" w:color="auto"/>
        <w:bottom w:val="none" w:sz="0" w:space="0" w:color="auto"/>
        <w:right w:val="none" w:sz="0" w:space="0" w:color="auto"/>
      </w:divBdr>
    </w:div>
    <w:div w:id="1341347694">
      <w:bodyDiv w:val="1"/>
      <w:marLeft w:val="0"/>
      <w:marRight w:val="0"/>
      <w:marTop w:val="0"/>
      <w:marBottom w:val="0"/>
      <w:divBdr>
        <w:top w:val="none" w:sz="0" w:space="0" w:color="auto"/>
        <w:left w:val="none" w:sz="0" w:space="0" w:color="auto"/>
        <w:bottom w:val="none" w:sz="0" w:space="0" w:color="auto"/>
        <w:right w:val="none" w:sz="0" w:space="0" w:color="auto"/>
      </w:divBdr>
    </w:div>
    <w:div w:id="1341354256">
      <w:bodyDiv w:val="1"/>
      <w:marLeft w:val="0"/>
      <w:marRight w:val="0"/>
      <w:marTop w:val="0"/>
      <w:marBottom w:val="0"/>
      <w:divBdr>
        <w:top w:val="none" w:sz="0" w:space="0" w:color="auto"/>
        <w:left w:val="none" w:sz="0" w:space="0" w:color="auto"/>
        <w:bottom w:val="none" w:sz="0" w:space="0" w:color="auto"/>
        <w:right w:val="none" w:sz="0" w:space="0" w:color="auto"/>
      </w:divBdr>
    </w:div>
    <w:div w:id="1341855311">
      <w:bodyDiv w:val="1"/>
      <w:marLeft w:val="0"/>
      <w:marRight w:val="0"/>
      <w:marTop w:val="0"/>
      <w:marBottom w:val="0"/>
      <w:divBdr>
        <w:top w:val="none" w:sz="0" w:space="0" w:color="auto"/>
        <w:left w:val="none" w:sz="0" w:space="0" w:color="auto"/>
        <w:bottom w:val="none" w:sz="0" w:space="0" w:color="auto"/>
        <w:right w:val="none" w:sz="0" w:space="0" w:color="auto"/>
      </w:divBdr>
    </w:div>
    <w:div w:id="1341857590">
      <w:bodyDiv w:val="1"/>
      <w:marLeft w:val="0"/>
      <w:marRight w:val="0"/>
      <w:marTop w:val="0"/>
      <w:marBottom w:val="0"/>
      <w:divBdr>
        <w:top w:val="none" w:sz="0" w:space="0" w:color="auto"/>
        <w:left w:val="none" w:sz="0" w:space="0" w:color="auto"/>
        <w:bottom w:val="none" w:sz="0" w:space="0" w:color="auto"/>
        <w:right w:val="none" w:sz="0" w:space="0" w:color="auto"/>
      </w:divBdr>
    </w:div>
    <w:div w:id="1342466169">
      <w:bodyDiv w:val="1"/>
      <w:marLeft w:val="0"/>
      <w:marRight w:val="0"/>
      <w:marTop w:val="0"/>
      <w:marBottom w:val="0"/>
      <w:divBdr>
        <w:top w:val="none" w:sz="0" w:space="0" w:color="auto"/>
        <w:left w:val="none" w:sz="0" w:space="0" w:color="auto"/>
        <w:bottom w:val="none" w:sz="0" w:space="0" w:color="auto"/>
        <w:right w:val="none" w:sz="0" w:space="0" w:color="auto"/>
      </w:divBdr>
    </w:div>
    <w:div w:id="1342656805">
      <w:bodyDiv w:val="1"/>
      <w:marLeft w:val="0"/>
      <w:marRight w:val="0"/>
      <w:marTop w:val="0"/>
      <w:marBottom w:val="0"/>
      <w:divBdr>
        <w:top w:val="none" w:sz="0" w:space="0" w:color="auto"/>
        <w:left w:val="none" w:sz="0" w:space="0" w:color="auto"/>
        <w:bottom w:val="none" w:sz="0" w:space="0" w:color="auto"/>
        <w:right w:val="none" w:sz="0" w:space="0" w:color="auto"/>
      </w:divBdr>
    </w:div>
    <w:div w:id="1344431003">
      <w:bodyDiv w:val="1"/>
      <w:marLeft w:val="0"/>
      <w:marRight w:val="0"/>
      <w:marTop w:val="0"/>
      <w:marBottom w:val="0"/>
      <w:divBdr>
        <w:top w:val="none" w:sz="0" w:space="0" w:color="auto"/>
        <w:left w:val="none" w:sz="0" w:space="0" w:color="auto"/>
        <w:bottom w:val="none" w:sz="0" w:space="0" w:color="auto"/>
        <w:right w:val="none" w:sz="0" w:space="0" w:color="auto"/>
      </w:divBdr>
    </w:div>
    <w:div w:id="1344552045">
      <w:bodyDiv w:val="1"/>
      <w:marLeft w:val="0"/>
      <w:marRight w:val="0"/>
      <w:marTop w:val="0"/>
      <w:marBottom w:val="0"/>
      <w:divBdr>
        <w:top w:val="none" w:sz="0" w:space="0" w:color="auto"/>
        <w:left w:val="none" w:sz="0" w:space="0" w:color="auto"/>
        <w:bottom w:val="none" w:sz="0" w:space="0" w:color="auto"/>
        <w:right w:val="none" w:sz="0" w:space="0" w:color="auto"/>
      </w:divBdr>
    </w:div>
    <w:div w:id="1344935874">
      <w:bodyDiv w:val="1"/>
      <w:marLeft w:val="0"/>
      <w:marRight w:val="0"/>
      <w:marTop w:val="0"/>
      <w:marBottom w:val="0"/>
      <w:divBdr>
        <w:top w:val="none" w:sz="0" w:space="0" w:color="auto"/>
        <w:left w:val="none" w:sz="0" w:space="0" w:color="auto"/>
        <w:bottom w:val="none" w:sz="0" w:space="0" w:color="auto"/>
        <w:right w:val="none" w:sz="0" w:space="0" w:color="auto"/>
      </w:divBdr>
    </w:div>
    <w:div w:id="1345472547">
      <w:bodyDiv w:val="1"/>
      <w:marLeft w:val="0"/>
      <w:marRight w:val="0"/>
      <w:marTop w:val="0"/>
      <w:marBottom w:val="0"/>
      <w:divBdr>
        <w:top w:val="none" w:sz="0" w:space="0" w:color="auto"/>
        <w:left w:val="none" w:sz="0" w:space="0" w:color="auto"/>
        <w:bottom w:val="none" w:sz="0" w:space="0" w:color="auto"/>
        <w:right w:val="none" w:sz="0" w:space="0" w:color="auto"/>
      </w:divBdr>
    </w:div>
    <w:div w:id="1346206191">
      <w:bodyDiv w:val="1"/>
      <w:marLeft w:val="0"/>
      <w:marRight w:val="0"/>
      <w:marTop w:val="0"/>
      <w:marBottom w:val="0"/>
      <w:divBdr>
        <w:top w:val="none" w:sz="0" w:space="0" w:color="auto"/>
        <w:left w:val="none" w:sz="0" w:space="0" w:color="auto"/>
        <w:bottom w:val="none" w:sz="0" w:space="0" w:color="auto"/>
        <w:right w:val="none" w:sz="0" w:space="0" w:color="auto"/>
      </w:divBdr>
    </w:div>
    <w:div w:id="1346520140">
      <w:bodyDiv w:val="1"/>
      <w:marLeft w:val="0"/>
      <w:marRight w:val="0"/>
      <w:marTop w:val="0"/>
      <w:marBottom w:val="0"/>
      <w:divBdr>
        <w:top w:val="none" w:sz="0" w:space="0" w:color="auto"/>
        <w:left w:val="none" w:sz="0" w:space="0" w:color="auto"/>
        <w:bottom w:val="none" w:sz="0" w:space="0" w:color="auto"/>
        <w:right w:val="none" w:sz="0" w:space="0" w:color="auto"/>
      </w:divBdr>
    </w:div>
    <w:div w:id="1346908277">
      <w:bodyDiv w:val="1"/>
      <w:marLeft w:val="0"/>
      <w:marRight w:val="0"/>
      <w:marTop w:val="0"/>
      <w:marBottom w:val="0"/>
      <w:divBdr>
        <w:top w:val="none" w:sz="0" w:space="0" w:color="auto"/>
        <w:left w:val="none" w:sz="0" w:space="0" w:color="auto"/>
        <w:bottom w:val="none" w:sz="0" w:space="0" w:color="auto"/>
        <w:right w:val="none" w:sz="0" w:space="0" w:color="auto"/>
      </w:divBdr>
    </w:div>
    <w:div w:id="1347443383">
      <w:bodyDiv w:val="1"/>
      <w:marLeft w:val="0"/>
      <w:marRight w:val="0"/>
      <w:marTop w:val="0"/>
      <w:marBottom w:val="0"/>
      <w:divBdr>
        <w:top w:val="none" w:sz="0" w:space="0" w:color="auto"/>
        <w:left w:val="none" w:sz="0" w:space="0" w:color="auto"/>
        <w:bottom w:val="none" w:sz="0" w:space="0" w:color="auto"/>
        <w:right w:val="none" w:sz="0" w:space="0" w:color="auto"/>
      </w:divBdr>
    </w:div>
    <w:div w:id="1347753685">
      <w:bodyDiv w:val="1"/>
      <w:marLeft w:val="0"/>
      <w:marRight w:val="0"/>
      <w:marTop w:val="0"/>
      <w:marBottom w:val="0"/>
      <w:divBdr>
        <w:top w:val="none" w:sz="0" w:space="0" w:color="auto"/>
        <w:left w:val="none" w:sz="0" w:space="0" w:color="auto"/>
        <w:bottom w:val="none" w:sz="0" w:space="0" w:color="auto"/>
        <w:right w:val="none" w:sz="0" w:space="0" w:color="auto"/>
      </w:divBdr>
    </w:div>
    <w:div w:id="1347826834">
      <w:bodyDiv w:val="1"/>
      <w:marLeft w:val="0"/>
      <w:marRight w:val="0"/>
      <w:marTop w:val="0"/>
      <w:marBottom w:val="0"/>
      <w:divBdr>
        <w:top w:val="none" w:sz="0" w:space="0" w:color="auto"/>
        <w:left w:val="none" w:sz="0" w:space="0" w:color="auto"/>
        <w:bottom w:val="none" w:sz="0" w:space="0" w:color="auto"/>
        <w:right w:val="none" w:sz="0" w:space="0" w:color="auto"/>
      </w:divBdr>
    </w:div>
    <w:div w:id="1348094120">
      <w:bodyDiv w:val="1"/>
      <w:marLeft w:val="0"/>
      <w:marRight w:val="0"/>
      <w:marTop w:val="0"/>
      <w:marBottom w:val="0"/>
      <w:divBdr>
        <w:top w:val="none" w:sz="0" w:space="0" w:color="auto"/>
        <w:left w:val="none" w:sz="0" w:space="0" w:color="auto"/>
        <w:bottom w:val="none" w:sz="0" w:space="0" w:color="auto"/>
        <w:right w:val="none" w:sz="0" w:space="0" w:color="auto"/>
      </w:divBdr>
    </w:div>
    <w:div w:id="1348094251">
      <w:bodyDiv w:val="1"/>
      <w:marLeft w:val="0"/>
      <w:marRight w:val="0"/>
      <w:marTop w:val="0"/>
      <w:marBottom w:val="0"/>
      <w:divBdr>
        <w:top w:val="none" w:sz="0" w:space="0" w:color="auto"/>
        <w:left w:val="none" w:sz="0" w:space="0" w:color="auto"/>
        <w:bottom w:val="none" w:sz="0" w:space="0" w:color="auto"/>
        <w:right w:val="none" w:sz="0" w:space="0" w:color="auto"/>
      </w:divBdr>
    </w:div>
    <w:div w:id="1348368809">
      <w:bodyDiv w:val="1"/>
      <w:marLeft w:val="0"/>
      <w:marRight w:val="0"/>
      <w:marTop w:val="0"/>
      <w:marBottom w:val="0"/>
      <w:divBdr>
        <w:top w:val="none" w:sz="0" w:space="0" w:color="auto"/>
        <w:left w:val="none" w:sz="0" w:space="0" w:color="auto"/>
        <w:bottom w:val="none" w:sz="0" w:space="0" w:color="auto"/>
        <w:right w:val="none" w:sz="0" w:space="0" w:color="auto"/>
      </w:divBdr>
    </w:div>
    <w:div w:id="1348867191">
      <w:bodyDiv w:val="1"/>
      <w:marLeft w:val="0"/>
      <w:marRight w:val="0"/>
      <w:marTop w:val="0"/>
      <w:marBottom w:val="0"/>
      <w:divBdr>
        <w:top w:val="none" w:sz="0" w:space="0" w:color="auto"/>
        <w:left w:val="none" w:sz="0" w:space="0" w:color="auto"/>
        <w:bottom w:val="none" w:sz="0" w:space="0" w:color="auto"/>
        <w:right w:val="none" w:sz="0" w:space="0" w:color="auto"/>
      </w:divBdr>
    </w:div>
    <w:div w:id="1349331574">
      <w:bodyDiv w:val="1"/>
      <w:marLeft w:val="0"/>
      <w:marRight w:val="0"/>
      <w:marTop w:val="0"/>
      <w:marBottom w:val="0"/>
      <w:divBdr>
        <w:top w:val="none" w:sz="0" w:space="0" w:color="auto"/>
        <w:left w:val="none" w:sz="0" w:space="0" w:color="auto"/>
        <w:bottom w:val="none" w:sz="0" w:space="0" w:color="auto"/>
        <w:right w:val="none" w:sz="0" w:space="0" w:color="auto"/>
      </w:divBdr>
    </w:div>
    <w:div w:id="1349335813">
      <w:bodyDiv w:val="1"/>
      <w:marLeft w:val="0"/>
      <w:marRight w:val="0"/>
      <w:marTop w:val="0"/>
      <w:marBottom w:val="0"/>
      <w:divBdr>
        <w:top w:val="none" w:sz="0" w:space="0" w:color="auto"/>
        <w:left w:val="none" w:sz="0" w:space="0" w:color="auto"/>
        <w:bottom w:val="none" w:sz="0" w:space="0" w:color="auto"/>
        <w:right w:val="none" w:sz="0" w:space="0" w:color="auto"/>
      </w:divBdr>
    </w:div>
    <w:div w:id="1349595791">
      <w:bodyDiv w:val="1"/>
      <w:marLeft w:val="0"/>
      <w:marRight w:val="0"/>
      <w:marTop w:val="0"/>
      <w:marBottom w:val="0"/>
      <w:divBdr>
        <w:top w:val="none" w:sz="0" w:space="0" w:color="auto"/>
        <w:left w:val="none" w:sz="0" w:space="0" w:color="auto"/>
        <w:bottom w:val="none" w:sz="0" w:space="0" w:color="auto"/>
        <w:right w:val="none" w:sz="0" w:space="0" w:color="auto"/>
      </w:divBdr>
    </w:div>
    <w:div w:id="1349604850">
      <w:bodyDiv w:val="1"/>
      <w:marLeft w:val="0"/>
      <w:marRight w:val="0"/>
      <w:marTop w:val="0"/>
      <w:marBottom w:val="0"/>
      <w:divBdr>
        <w:top w:val="none" w:sz="0" w:space="0" w:color="auto"/>
        <w:left w:val="none" w:sz="0" w:space="0" w:color="auto"/>
        <w:bottom w:val="none" w:sz="0" w:space="0" w:color="auto"/>
        <w:right w:val="none" w:sz="0" w:space="0" w:color="auto"/>
      </w:divBdr>
    </w:div>
    <w:div w:id="1349604887">
      <w:bodyDiv w:val="1"/>
      <w:marLeft w:val="0"/>
      <w:marRight w:val="0"/>
      <w:marTop w:val="0"/>
      <w:marBottom w:val="0"/>
      <w:divBdr>
        <w:top w:val="none" w:sz="0" w:space="0" w:color="auto"/>
        <w:left w:val="none" w:sz="0" w:space="0" w:color="auto"/>
        <w:bottom w:val="none" w:sz="0" w:space="0" w:color="auto"/>
        <w:right w:val="none" w:sz="0" w:space="0" w:color="auto"/>
      </w:divBdr>
    </w:div>
    <w:div w:id="1350136937">
      <w:bodyDiv w:val="1"/>
      <w:marLeft w:val="0"/>
      <w:marRight w:val="0"/>
      <w:marTop w:val="0"/>
      <w:marBottom w:val="0"/>
      <w:divBdr>
        <w:top w:val="none" w:sz="0" w:space="0" w:color="auto"/>
        <w:left w:val="none" w:sz="0" w:space="0" w:color="auto"/>
        <w:bottom w:val="none" w:sz="0" w:space="0" w:color="auto"/>
        <w:right w:val="none" w:sz="0" w:space="0" w:color="auto"/>
      </w:divBdr>
    </w:div>
    <w:div w:id="1350986291">
      <w:bodyDiv w:val="1"/>
      <w:marLeft w:val="0"/>
      <w:marRight w:val="0"/>
      <w:marTop w:val="0"/>
      <w:marBottom w:val="0"/>
      <w:divBdr>
        <w:top w:val="none" w:sz="0" w:space="0" w:color="auto"/>
        <w:left w:val="none" w:sz="0" w:space="0" w:color="auto"/>
        <w:bottom w:val="none" w:sz="0" w:space="0" w:color="auto"/>
        <w:right w:val="none" w:sz="0" w:space="0" w:color="auto"/>
      </w:divBdr>
    </w:div>
    <w:div w:id="1351300061">
      <w:bodyDiv w:val="1"/>
      <w:marLeft w:val="0"/>
      <w:marRight w:val="0"/>
      <w:marTop w:val="0"/>
      <w:marBottom w:val="0"/>
      <w:divBdr>
        <w:top w:val="none" w:sz="0" w:space="0" w:color="auto"/>
        <w:left w:val="none" w:sz="0" w:space="0" w:color="auto"/>
        <w:bottom w:val="none" w:sz="0" w:space="0" w:color="auto"/>
        <w:right w:val="none" w:sz="0" w:space="0" w:color="auto"/>
      </w:divBdr>
    </w:div>
    <w:div w:id="1352075374">
      <w:bodyDiv w:val="1"/>
      <w:marLeft w:val="0"/>
      <w:marRight w:val="0"/>
      <w:marTop w:val="0"/>
      <w:marBottom w:val="0"/>
      <w:divBdr>
        <w:top w:val="none" w:sz="0" w:space="0" w:color="auto"/>
        <w:left w:val="none" w:sz="0" w:space="0" w:color="auto"/>
        <w:bottom w:val="none" w:sz="0" w:space="0" w:color="auto"/>
        <w:right w:val="none" w:sz="0" w:space="0" w:color="auto"/>
      </w:divBdr>
    </w:div>
    <w:div w:id="1353608743">
      <w:bodyDiv w:val="1"/>
      <w:marLeft w:val="0"/>
      <w:marRight w:val="0"/>
      <w:marTop w:val="0"/>
      <w:marBottom w:val="0"/>
      <w:divBdr>
        <w:top w:val="none" w:sz="0" w:space="0" w:color="auto"/>
        <w:left w:val="none" w:sz="0" w:space="0" w:color="auto"/>
        <w:bottom w:val="none" w:sz="0" w:space="0" w:color="auto"/>
        <w:right w:val="none" w:sz="0" w:space="0" w:color="auto"/>
      </w:divBdr>
    </w:div>
    <w:div w:id="1353802258">
      <w:bodyDiv w:val="1"/>
      <w:marLeft w:val="0"/>
      <w:marRight w:val="0"/>
      <w:marTop w:val="0"/>
      <w:marBottom w:val="0"/>
      <w:divBdr>
        <w:top w:val="none" w:sz="0" w:space="0" w:color="auto"/>
        <w:left w:val="none" w:sz="0" w:space="0" w:color="auto"/>
        <w:bottom w:val="none" w:sz="0" w:space="0" w:color="auto"/>
        <w:right w:val="none" w:sz="0" w:space="0" w:color="auto"/>
      </w:divBdr>
    </w:div>
    <w:div w:id="1353990246">
      <w:bodyDiv w:val="1"/>
      <w:marLeft w:val="0"/>
      <w:marRight w:val="0"/>
      <w:marTop w:val="0"/>
      <w:marBottom w:val="0"/>
      <w:divBdr>
        <w:top w:val="none" w:sz="0" w:space="0" w:color="auto"/>
        <w:left w:val="none" w:sz="0" w:space="0" w:color="auto"/>
        <w:bottom w:val="none" w:sz="0" w:space="0" w:color="auto"/>
        <w:right w:val="none" w:sz="0" w:space="0" w:color="auto"/>
      </w:divBdr>
    </w:div>
    <w:div w:id="1354263667">
      <w:bodyDiv w:val="1"/>
      <w:marLeft w:val="0"/>
      <w:marRight w:val="0"/>
      <w:marTop w:val="0"/>
      <w:marBottom w:val="0"/>
      <w:divBdr>
        <w:top w:val="none" w:sz="0" w:space="0" w:color="auto"/>
        <w:left w:val="none" w:sz="0" w:space="0" w:color="auto"/>
        <w:bottom w:val="none" w:sz="0" w:space="0" w:color="auto"/>
        <w:right w:val="none" w:sz="0" w:space="0" w:color="auto"/>
      </w:divBdr>
    </w:div>
    <w:div w:id="1354528906">
      <w:bodyDiv w:val="1"/>
      <w:marLeft w:val="0"/>
      <w:marRight w:val="0"/>
      <w:marTop w:val="0"/>
      <w:marBottom w:val="0"/>
      <w:divBdr>
        <w:top w:val="none" w:sz="0" w:space="0" w:color="auto"/>
        <w:left w:val="none" w:sz="0" w:space="0" w:color="auto"/>
        <w:bottom w:val="none" w:sz="0" w:space="0" w:color="auto"/>
        <w:right w:val="none" w:sz="0" w:space="0" w:color="auto"/>
      </w:divBdr>
    </w:div>
    <w:div w:id="1355224640">
      <w:bodyDiv w:val="1"/>
      <w:marLeft w:val="0"/>
      <w:marRight w:val="0"/>
      <w:marTop w:val="0"/>
      <w:marBottom w:val="0"/>
      <w:divBdr>
        <w:top w:val="none" w:sz="0" w:space="0" w:color="auto"/>
        <w:left w:val="none" w:sz="0" w:space="0" w:color="auto"/>
        <w:bottom w:val="none" w:sz="0" w:space="0" w:color="auto"/>
        <w:right w:val="none" w:sz="0" w:space="0" w:color="auto"/>
      </w:divBdr>
    </w:div>
    <w:div w:id="1355304988">
      <w:bodyDiv w:val="1"/>
      <w:marLeft w:val="0"/>
      <w:marRight w:val="0"/>
      <w:marTop w:val="0"/>
      <w:marBottom w:val="0"/>
      <w:divBdr>
        <w:top w:val="none" w:sz="0" w:space="0" w:color="auto"/>
        <w:left w:val="none" w:sz="0" w:space="0" w:color="auto"/>
        <w:bottom w:val="none" w:sz="0" w:space="0" w:color="auto"/>
        <w:right w:val="none" w:sz="0" w:space="0" w:color="auto"/>
      </w:divBdr>
    </w:div>
    <w:div w:id="1355961111">
      <w:bodyDiv w:val="1"/>
      <w:marLeft w:val="0"/>
      <w:marRight w:val="0"/>
      <w:marTop w:val="0"/>
      <w:marBottom w:val="0"/>
      <w:divBdr>
        <w:top w:val="none" w:sz="0" w:space="0" w:color="auto"/>
        <w:left w:val="none" w:sz="0" w:space="0" w:color="auto"/>
        <w:bottom w:val="none" w:sz="0" w:space="0" w:color="auto"/>
        <w:right w:val="none" w:sz="0" w:space="0" w:color="auto"/>
      </w:divBdr>
    </w:div>
    <w:div w:id="1356341957">
      <w:bodyDiv w:val="1"/>
      <w:marLeft w:val="0"/>
      <w:marRight w:val="0"/>
      <w:marTop w:val="0"/>
      <w:marBottom w:val="0"/>
      <w:divBdr>
        <w:top w:val="none" w:sz="0" w:space="0" w:color="auto"/>
        <w:left w:val="none" w:sz="0" w:space="0" w:color="auto"/>
        <w:bottom w:val="none" w:sz="0" w:space="0" w:color="auto"/>
        <w:right w:val="none" w:sz="0" w:space="0" w:color="auto"/>
      </w:divBdr>
    </w:div>
    <w:div w:id="1356346686">
      <w:bodyDiv w:val="1"/>
      <w:marLeft w:val="0"/>
      <w:marRight w:val="0"/>
      <w:marTop w:val="0"/>
      <w:marBottom w:val="0"/>
      <w:divBdr>
        <w:top w:val="none" w:sz="0" w:space="0" w:color="auto"/>
        <w:left w:val="none" w:sz="0" w:space="0" w:color="auto"/>
        <w:bottom w:val="none" w:sz="0" w:space="0" w:color="auto"/>
        <w:right w:val="none" w:sz="0" w:space="0" w:color="auto"/>
      </w:divBdr>
    </w:div>
    <w:div w:id="1356419898">
      <w:bodyDiv w:val="1"/>
      <w:marLeft w:val="0"/>
      <w:marRight w:val="0"/>
      <w:marTop w:val="0"/>
      <w:marBottom w:val="0"/>
      <w:divBdr>
        <w:top w:val="none" w:sz="0" w:space="0" w:color="auto"/>
        <w:left w:val="none" w:sz="0" w:space="0" w:color="auto"/>
        <w:bottom w:val="none" w:sz="0" w:space="0" w:color="auto"/>
        <w:right w:val="none" w:sz="0" w:space="0" w:color="auto"/>
      </w:divBdr>
    </w:div>
    <w:div w:id="1356466926">
      <w:bodyDiv w:val="1"/>
      <w:marLeft w:val="0"/>
      <w:marRight w:val="0"/>
      <w:marTop w:val="0"/>
      <w:marBottom w:val="0"/>
      <w:divBdr>
        <w:top w:val="none" w:sz="0" w:space="0" w:color="auto"/>
        <w:left w:val="none" w:sz="0" w:space="0" w:color="auto"/>
        <w:bottom w:val="none" w:sz="0" w:space="0" w:color="auto"/>
        <w:right w:val="none" w:sz="0" w:space="0" w:color="auto"/>
      </w:divBdr>
    </w:div>
    <w:div w:id="1356955498">
      <w:bodyDiv w:val="1"/>
      <w:marLeft w:val="0"/>
      <w:marRight w:val="0"/>
      <w:marTop w:val="0"/>
      <w:marBottom w:val="0"/>
      <w:divBdr>
        <w:top w:val="none" w:sz="0" w:space="0" w:color="auto"/>
        <w:left w:val="none" w:sz="0" w:space="0" w:color="auto"/>
        <w:bottom w:val="none" w:sz="0" w:space="0" w:color="auto"/>
        <w:right w:val="none" w:sz="0" w:space="0" w:color="auto"/>
      </w:divBdr>
    </w:div>
    <w:div w:id="1358460977">
      <w:bodyDiv w:val="1"/>
      <w:marLeft w:val="0"/>
      <w:marRight w:val="0"/>
      <w:marTop w:val="0"/>
      <w:marBottom w:val="0"/>
      <w:divBdr>
        <w:top w:val="none" w:sz="0" w:space="0" w:color="auto"/>
        <w:left w:val="none" w:sz="0" w:space="0" w:color="auto"/>
        <w:bottom w:val="none" w:sz="0" w:space="0" w:color="auto"/>
        <w:right w:val="none" w:sz="0" w:space="0" w:color="auto"/>
      </w:divBdr>
    </w:div>
    <w:div w:id="1358657287">
      <w:bodyDiv w:val="1"/>
      <w:marLeft w:val="0"/>
      <w:marRight w:val="0"/>
      <w:marTop w:val="0"/>
      <w:marBottom w:val="0"/>
      <w:divBdr>
        <w:top w:val="none" w:sz="0" w:space="0" w:color="auto"/>
        <w:left w:val="none" w:sz="0" w:space="0" w:color="auto"/>
        <w:bottom w:val="none" w:sz="0" w:space="0" w:color="auto"/>
        <w:right w:val="none" w:sz="0" w:space="0" w:color="auto"/>
      </w:divBdr>
    </w:div>
    <w:div w:id="1358694532">
      <w:bodyDiv w:val="1"/>
      <w:marLeft w:val="0"/>
      <w:marRight w:val="0"/>
      <w:marTop w:val="0"/>
      <w:marBottom w:val="0"/>
      <w:divBdr>
        <w:top w:val="none" w:sz="0" w:space="0" w:color="auto"/>
        <w:left w:val="none" w:sz="0" w:space="0" w:color="auto"/>
        <w:bottom w:val="none" w:sz="0" w:space="0" w:color="auto"/>
        <w:right w:val="none" w:sz="0" w:space="0" w:color="auto"/>
      </w:divBdr>
    </w:div>
    <w:div w:id="1358890029">
      <w:bodyDiv w:val="1"/>
      <w:marLeft w:val="0"/>
      <w:marRight w:val="0"/>
      <w:marTop w:val="0"/>
      <w:marBottom w:val="0"/>
      <w:divBdr>
        <w:top w:val="none" w:sz="0" w:space="0" w:color="auto"/>
        <w:left w:val="none" w:sz="0" w:space="0" w:color="auto"/>
        <w:bottom w:val="none" w:sz="0" w:space="0" w:color="auto"/>
        <w:right w:val="none" w:sz="0" w:space="0" w:color="auto"/>
      </w:divBdr>
    </w:div>
    <w:div w:id="1359045392">
      <w:bodyDiv w:val="1"/>
      <w:marLeft w:val="0"/>
      <w:marRight w:val="0"/>
      <w:marTop w:val="0"/>
      <w:marBottom w:val="0"/>
      <w:divBdr>
        <w:top w:val="none" w:sz="0" w:space="0" w:color="auto"/>
        <w:left w:val="none" w:sz="0" w:space="0" w:color="auto"/>
        <w:bottom w:val="none" w:sz="0" w:space="0" w:color="auto"/>
        <w:right w:val="none" w:sz="0" w:space="0" w:color="auto"/>
      </w:divBdr>
    </w:div>
    <w:div w:id="1359046834">
      <w:bodyDiv w:val="1"/>
      <w:marLeft w:val="0"/>
      <w:marRight w:val="0"/>
      <w:marTop w:val="0"/>
      <w:marBottom w:val="0"/>
      <w:divBdr>
        <w:top w:val="none" w:sz="0" w:space="0" w:color="auto"/>
        <w:left w:val="none" w:sz="0" w:space="0" w:color="auto"/>
        <w:bottom w:val="none" w:sz="0" w:space="0" w:color="auto"/>
        <w:right w:val="none" w:sz="0" w:space="0" w:color="auto"/>
      </w:divBdr>
    </w:div>
    <w:div w:id="1359506133">
      <w:bodyDiv w:val="1"/>
      <w:marLeft w:val="0"/>
      <w:marRight w:val="0"/>
      <w:marTop w:val="0"/>
      <w:marBottom w:val="0"/>
      <w:divBdr>
        <w:top w:val="none" w:sz="0" w:space="0" w:color="auto"/>
        <w:left w:val="none" w:sz="0" w:space="0" w:color="auto"/>
        <w:bottom w:val="none" w:sz="0" w:space="0" w:color="auto"/>
        <w:right w:val="none" w:sz="0" w:space="0" w:color="auto"/>
      </w:divBdr>
    </w:div>
    <w:div w:id="1359623999">
      <w:bodyDiv w:val="1"/>
      <w:marLeft w:val="0"/>
      <w:marRight w:val="0"/>
      <w:marTop w:val="0"/>
      <w:marBottom w:val="0"/>
      <w:divBdr>
        <w:top w:val="none" w:sz="0" w:space="0" w:color="auto"/>
        <w:left w:val="none" w:sz="0" w:space="0" w:color="auto"/>
        <w:bottom w:val="none" w:sz="0" w:space="0" w:color="auto"/>
        <w:right w:val="none" w:sz="0" w:space="0" w:color="auto"/>
      </w:divBdr>
    </w:div>
    <w:div w:id="1360355213">
      <w:bodyDiv w:val="1"/>
      <w:marLeft w:val="0"/>
      <w:marRight w:val="0"/>
      <w:marTop w:val="0"/>
      <w:marBottom w:val="0"/>
      <w:divBdr>
        <w:top w:val="none" w:sz="0" w:space="0" w:color="auto"/>
        <w:left w:val="none" w:sz="0" w:space="0" w:color="auto"/>
        <w:bottom w:val="none" w:sz="0" w:space="0" w:color="auto"/>
        <w:right w:val="none" w:sz="0" w:space="0" w:color="auto"/>
      </w:divBdr>
    </w:div>
    <w:div w:id="1360743906">
      <w:bodyDiv w:val="1"/>
      <w:marLeft w:val="0"/>
      <w:marRight w:val="0"/>
      <w:marTop w:val="0"/>
      <w:marBottom w:val="0"/>
      <w:divBdr>
        <w:top w:val="none" w:sz="0" w:space="0" w:color="auto"/>
        <w:left w:val="none" w:sz="0" w:space="0" w:color="auto"/>
        <w:bottom w:val="none" w:sz="0" w:space="0" w:color="auto"/>
        <w:right w:val="none" w:sz="0" w:space="0" w:color="auto"/>
      </w:divBdr>
    </w:div>
    <w:div w:id="1360811691">
      <w:bodyDiv w:val="1"/>
      <w:marLeft w:val="0"/>
      <w:marRight w:val="0"/>
      <w:marTop w:val="0"/>
      <w:marBottom w:val="0"/>
      <w:divBdr>
        <w:top w:val="none" w:sz="0" w:space="0" w:color="auto"/>
        <w:left w:val="none" w:sz="0" w:space="0" w:color="auto"/>
        <w:bottom w:val="none" w:sz="0" w:space="0" w:color="auto"/>
        <w:right w:val="none" w:sz="0" w:space="0" w:color="auto"/>
      </w:divBdr>
    </w:div>
    <w:div w:id="1361273489">
      <w:bodyDiv w:val="1"/>
      <w:marLeft w:val="0"/>
      <w:marRight w:val="0"/>
      <w:marTop w:val="0"/>
      <w:marBottom w:val="0"/>
      <w:divBdr>
        <w:top w:val="none" w:sz="0" w:space="0" w:color="auto"/>
        <w:left w:val="none" w:sz="0" w:space="0" w:color="auto"/>
        <w:bottom w:val="none" w:sz="0" w:space="0" w:color="auto"/>
        <w:right w:val="none" w:sz="0" w:space="0" w:color="auto"/>
      </w:divBdr>
    </w:div>
    <w:div w:id="1361585931">
      <w:bodyDiv w:val="1"/>
      <w:marLeft w:val="0"/>
      <w:marRight w:val="0"/>
      <w:marTop w:val="0"/>
      <w:marBottom w:val="0"/>
      <w:divBdr>
        <w:top w:val="none" w:sz="0" w:space="0" w:color="auto"/>
        <w:left w:val="none" w:sz="0" w:space="0" w:color="auto"/>
        <w:bottom w:val="none" w:sz="0" w:space="0" w:color="auto"/>
        <w:right w:val="none" w:sz="0" w:space="0" w:color="auto"/>
      </w:divBdr>
    </w:div>
    <w:div w:id="1361858788">
      <w:bodyDiv w:val="1"/>
      <w:marLeft w:val="0"/>
      <w:marRight w:val="0"/>
      <w:marTop w:val="0"/>
      <w:marBottom w:val="0"/>
      <w:divBdr>
        <w:top w:val="none" w:sz="0" w:space="0" w:color="auto"/>
        <w:left w:val="none" w:sz="0" w:space="0" w:color="auto"/>
        <w:bottom w:val="none" w:sz="0" w:space="0" w:color="auto"/>
        <w:right w:val="none" w:sz="0" w:space="0" w:color="auto"/>
      </w:divBdr>
    </w:div>
    <w:div w:id="1362439725">
      <w:bodyDiv w:val="1"/>
      <w:marLeft w:val="0"/>
      <w:marRight w:val="0"/>
      <w:marTop w:val="0"/>
      <w:marBottom w:val="0"/>
      <w:divBdr>
        <w:top w:val="none" w:sz="0" w:space="0" w:color="auto"/>
        <w:left w:val="none" w:sz="0" w:space="0" w:color="auto"/>
        <w:bottom w:val="none" w:sz="0" w:space="0" w:color="auto"/>
        <w:right w:val="none" w:sz="0" w:space="0" w:color="auto"/>
      </w:divBdr>
    </w:div>
    <w:div w:id="1362583609">
      <w:bodyDiv w:val="1"/>
      <w:marLeft w:val="0"/>
      <w:marRight w:val="0"/>
      <w:marTop w:val="0"/>
      <w:marBottom w:val="0"/>
      <w:divBdr>
        <w:top w:val="none" w:sz="0" w:space="0" w:color="auto"/>
        <w:left w:val="none" w:sz="0" w:space="0" w:color="auto"/>
        <w:bottom w:val="none" w:sz="0" w:space="0" w:color="auto"/>
        <w:right w:val="none" w:sz="0" w:space="0" w:color="auto"/>
      </w:divBdr>
    </w:div>
    <w:div w:id="1362827673">
      <w:bodyDiv w:val="1"/>
      <w:marLeft w:val="0"/>
      <w:marRight w:val="0"/>
      <w:marTop w:val="0"/>
      <w:marBottom w:val="0"/>
      <w:divBdr>
        <w:top w:val="none" w:sz="0" w:space="0" w:color="auto"/>
        <w:left w:val="none" w:sz="0" w:space="0" w:color="auto"/>
        <w:bottom w:val="none" w:sz="0" w:space="0" w:color="auto"/>
        <w:right w:val="none" w:sz="0" w:space="0" w:color="auto"/>
      </w:divBdr>
    </w:div>
    <w:div w:id="1363747815">
      <w:bodyDiv w:val="1"/>
      <w:marLeft w:val="0"/>
      <w:marRight w:val="0"/>
      <w:marTop w:val="0"/>
      <w:marBottom w:val="0"/>
      <w:divBdr>
        <w:top w:val="none" w:sz="0" w:space="0" w:color="auto"/>
        <w:left w:val="none" w:sz="0" w:space="0" w:color="auto"/>
        <w:bottom w:val="none" w:sz="0" w:space="0" w:color="auto"/>
        <w:right w:val="none" w:sz="0" w:space="0" w:color="auto"/>
      </w:divBdr>
    </w:div>
    <w:div w:id="1364945092">
      <w:bodyDiv w:val="1"/>
      <w:marLeft w:val="0"/>
      <w:marRight w:val="0"/>
      <w:marTop w:val="0"/>
      <w:marBottom w:val="0"/>
      <w:divBdr>
        <w:top w:val="none" w:sz="0" w:space="0" w:color="auto"/>
        <w:left w:val="none" w:sz="0" w:space="0" w:color="auto"/>
        <w:bottom w:val="none" w:sz="0" w:space="0" w:color="auto"/>
        <w:right w:val="none" w:sz="0" w:space="0" w:color="auto"/>
      </w:divBdr>
    </w:div>
    <w:div w:id="1365982793">
      <w:bodyDiv w:val="1"/>
      <w:marLeft w:val="0"/>
      <w:marRight w:val="0"/>
      <w:marTop w:val="0"/>
      <w:marBottom w:val="0"/>
      <w:divBdr>
        <w:top w:val="none" w:sz="0" w:space="0" w:color="auto"/>
        <w:left w:val="none" w:sz="0" w:space="0" w:color="auto"/>
        <w:bottom w:val="none" w:sz="0" w:space="0" w:color="auto"/>
        <w:right w:val="none" w:sz="0" w:space="0" w:color="auto"/>
      </w:divBdr>
    </w:div>
    <w:div w:id="1365986420">
      <w:bodyDiv w:val="1"/>
      <w:marLeft w:val="0"/>
      <w:marRight w:val="0"/>
      <w:marTop w:val="0"/>
      <w:marBottom w:val="0"/>
      <w:divBdr>
        <w:top w:val="none" w:sz="0" w:space="0" w:color="auto"/>
        <w:left w:val="none" w:sz="0" w:space="0" w:color="auto"/>
        <w:bottom w:val="none" w:sz="0" w:space="0" w:color="auto"/>
        <w:right w:val="none" w:sz="0" w:space="0" w:color="auto"/>
      </w:divBdr>
    </w:div>
    <w:div w:id="1366828628">
      <w:bodyDiv w:val="1"/>
      <w:marLeft w:val="0"/>
      <w:marRight w:val="0"/>
      <w:marTop w:val="0"/>
      <w:marBottom w:val="0"/>
      <w:divBdr>
        <w:top w:val="none" w:sz="0" w:space="0" w:color="auto"/>
        <w:left w:val="none" w:sz="0" w:space="0" w:color="auto"/>
        <w:bottom w:val="none" w:sz="0" w:space="0" w:color="auto"/>
        <w:right w:val="none" w:sz="0" w:space="0" w:color="auto"/>
      </w:divBdr>
    </w:div>
    <w:div w:id="1367178518">
      <w:bodyDiv w:val="1"/>
      <w:marLeft w:val="0"/>
      <w:marRight w:val="0"/>
      <w:marTop w:val="0"/>
      <w:marBottom w:val="0"/>
      <w:divBdr>
        <w:top w:val="none" w:sz="0" w:space="0" w:color="auto"/>
        <w:left w:val="none" w:sz="0" w:space="0" w:color="auto"/>
        <w:bottom w:val="none" w:sz="0" w:space="0" w:color="auto"/>
        <w:right w:val="none" w:sz="0" w:space="0" w:color="auto"/>
      </w:divBdr>
    </w:div>
    <w:div w:id="1367365684">
      <w:bodyDiv w:val="1"/>
      <w:marLeft w:val="0"/>
      <w:marRight w:val="0"/>
      <w:marTop w:val="0"/>
      <w:marBottom w:val="0"/>
      <w:divBdr>
        <w:top w:val="none" w:sz="0" w:space="0" w:color="auto"/>
        <w:left w:val="none" w:sz="0" w:space="0" w:color="auto"/>
        <w:bottom w:val="none" w:sz="0" w:space="0" w:color="auto"/>
        <w:right w:val="none" w:sz="0" w:space="0" w:color="auto"/>
      </w:divBdr>
    </w:div>
    <w:div w:id="1367489185">
      <w:bodyDiv w:val="1"/>
      <w:marLeft w:val="0"/>
      <w:marRight w:val="0"/>
      <w:marTop w:val="0"/>
      <w:marBottom w:val="0"/>
      <w:divBdr>
        <w:top w:val="none" w:sz="0" w:space="0" w:color="auto"/>
        <w:left w:val="none" w:sz="0" w:space="0" w:color="auto"/>
        <w:bottom w:val="none" w:sz="0" w:space="0" w:color="auto"/>
        <w:right w:val="none" w:sz="0" w:space="0" w:color="auto"/>
      </w:divBdr>
    </w:div>
    <w:div w:id="1367557829">
      <w:bodyDiv w:val="1"/>
      <w:marLeft w:val="0"/>
      <w:marRight w:val="0"/>
      <w:marTop w:val="0"/>
      <w:marBottom w:val="0"/>
      <w:divBdr>
        <w:top w:val="none" w:sz="0" w:space="0" w:color="auto"/>
        <w:left w:val="none" w:sz="0" w:space="0" w:color="auto"/>
        <w:bottom w:val="none" w:sz="0" w:space="0" w:color="auto"/>
        <w:right w:val="none" w:sz="0" w:space="0" w:color="auto"/>
      </w:divBdr>
    </w:div>
    <w:div w:id="1367560186">
      <w:bodyDiv w:val="1"/>
      <w:marLeft w:val="0"/>
      <w:marRight w:val="0"/>
      <w:marTop w:val="0"/>
      <w:marBottom w:val="0"/>
      <w:divBdr>
        <w:top w:val="none" w:sz="0" w:space="0" w:color="auto"/>
        <w:left w:val="none" w:sz="0" w:space="0" w:color="auto"/>
        <w:bottom w:val="none" w:sz="0" w:space="0" w:color="auto"/>
        <w:right w:val="none" w:sz="0" w:space="0" w:color="auto"/>
      </w:divBdr>
    </w:div>
    <w:div w:id="1367634819">
      <w:bodyDiv w:val="1"/>
      <w:marLeft w:val="0"/>
      <w:marRight w:val="0"/>
      <w:marTop w:val="0"/>
      <w:marBottom w:val="0"/>
      <w:divBdr>
        <w:top w:val="none" w:sz="0" w:space="0" w:color="auto"/>
        <w:left w:val="none" w:sz="0" w:space="0" w:color="auto"/>
        <w:bottom w:val="none" w:sz="0" w:space="0" w:color="auto"/>
        <w:right w:val="none" w:sz="0" w:space="0" w:color="auto"/>
      </w:divBdr>
    </w:div>
    <w:div w:id="1368212604">
      <w:bodyDiv w:val="1"/>
      <w:marLeft w:val="0"/>
      <w:marRight w:val="0"/>
      <w:marTop w:val="0"/>
      <w:marBottom w:val="0"/>
      <w:divBdr>
        <w:top w:val="none" w:sz="0" w:space="0" w:color="auto"/>
        <w:left w:val="none" w:sz="0" w:space="0" w:color="auto"/>
        <w:bottom w:val="none" w:sz="0" w:space="0" w:color="auto"/>
        <w:right w:val="none" w:sz="0" w:space="0" w:color="auto"/>
      </w:divBdr>
    </w:div>
    <w:div w:id="1368482235">
      <w:bodyDiv w:val="1"/>
      <w:marLeft w:val="0"/>
      <w:marRight w:val="0"/>
      <w:marTop w:val="0"/>
      <w:marBottom w:val="0"/>
      <w:divBdr>
        <w:top w:val="none" w:sz="0" w:space="0" w:color="auto"/>
        <w:left w:val="none" w:sz="0" w:space="0" w:color="auto"/>
        <w:bottom w:val="none" w:sz="0" w:space="0" w:color="auto"/>
        <w:right w:val="none" w:sz="0" w:space="0" w:color="auto"/>
      </w:divBdr>
    </w:div>
    <w:div w:id="1369454203">
      <w:bodyDiv w:val="1"/>
      <w:marLeft w:val="0"/>
      <w:marRight w:val="0"/>
      <w:marTop w:val="0"/>
      <w:marBottom w:val="0"/>
      <w:divBdr>
        <w:top w:val="none" w:sz="0" w:space="0" w:color="auto"/>
        <w:left w:val="none" w:sz="0" w:space="0" w:color="auto"/>
        <w:bottom w:val="none" w:sz="0" w:space="0" w:color="auto"/>
        <w:right w:val="none" w:sz="0" w:space="0" w:color="auto"/>
      </w:divBdr>
    </w:div>
    <w:div w:id="1370298717">
      <w:bodyDiv w:val="1"/>
      <w:marLeft w:val="0"/>
      <w:marRight w:val="0"/>
      <w:marTop w:val="0"/>
      <w:marBottom w:val="0"/>
      <w:divBdr>
        <w:top w:val="none" w:sz="0" w:space="0" w:color="auto"/>
        <w:left w:val="none" w:sz="0" w:space="0" w:color="auto"/>
        <w:bottom w:val="none" w:sz="0" w:space="0" w:color="auto"/>
        <w:right w:val="none" w:sz="0" w:space="0" w:color="auto"/>
      </w:divBdr>
    </w:div>
    <w:div w:id="1371297385">
      <w:bodyDiv w:val="1"/>
      <w:marLeft w:val="0"/>
      <w:marRight w:val="0"/>
      <w:marTop w:val="0"/>
      <w:marBottom w:val="0"/>
      <w:divBdr>
        <w:top w:val="none" w:sz="0" w:space="0" w:color="auto"/>
        <w:left w:val="none" w:sz="0" w:space="0" w:color="auto"/>
        <w:bottom w:val="none" w:sz="0" w:space="0" w:color="auto"/>
        <w:right w:val="none" w:sz="0" w:space="0" w:color="auto"/>
      </w:divBdr>
    </w:div>
    <w:div w:id="1372879232">
      <w:bodyDiv w:val="1"/>
      <w:marLeft w:val="0"/>
      <w:marRight w:val="0"/>
      <w:marTop w:val="0"/>
      <w:marBottom w:val="0"/>
      <w:divBdr>
        <w:top w:val="none" w:sz="0" w:space="0" w:color="auto"/>
        <w:left w:val="none" w:sz="0" w:space="0" w:color="auto"/>
        <w:bottom w:val="none" w:sz="0" w:space="0" w:color="auto"/>
        <w:right w:val="none" w:sz="0" w:space="0" w:color="auto"/>
      </w:divBdr>
    </w:div>
    <w:div w:id="1373188867">
      <w:bodyDiv w:val="1"/>
      <w:marLeft w:val="0"/>
      <w:marRight w:val="0"/>
      <w:marTop w:val="0"/>
      <w:marBottom w:val="0"/>
      <w:divBdr>
        <w:top w:val="none" w:sz="0" w:space="0" w:color="auto"/>
        <w:left w:val="none" w:sz="0" w:space="0" w:color="auto"/>
        <w:bottom w:val="none" w:sz="0" w:space="0" w:color="auto"/>
        <w:right w:val="none" w:sz="0" w:space="0" w:color="auto"/>
      </w:divBdr>
    </w:div>
    <w:div w:id="1373994501">
      <w:bodyDiv w:val="1"/>
      <w:marLeft w:val="0"/>
      <w:marRight w:val="0"/>
      <w:marTop w:val="0"/>
      <w:marBottom w:val="0"/>
      <w:divBdr>
        <w:top w:val="none" w:sz="0" w:space="0" w:color="auto"/>
        <w:left w:val="none" w:sz="0" w:space="0" w:color="auto"/>
        <w:bottom w:val="none" w:sz="0" w:space="0" w:color="auto"/>
        <w:right w:val="none" w:sz="0" w:space="0" w:color="auto"/>
      </w:divBdr>
    </w:div>
    <w:div w:id="1374575835">
      <w:bodyDiv w:val="1"/>
      <w:marLeft w:val="0"/>
      <w:marRight w:val="0"/>
      <w:marTop w:val="0"/>
      <w:marBottom w:val="0"/>
      <w:divBdr>
        <w:top w:val="none" w:sz="0" w:space="0" w:color="auto"/>
        <w:left w:val="none" w:sz="0" w:space="0" w:color="auto"/>
        <w:bottom w:val="none" w:sz="0" w:space="0" w:color="auto"/>
        <w:right w:val="none" w:sz="0" w:space="0" w:color="auto"/>
      </w:divBdr>
    </w:div>
    <w:div w:id="1375082779">
      <w:bodyDiv w:val="1"/>
      <w:marLeft w:val="0"/>
      <w:marRight w:val="0"/>
      <w:marTop w:val="0"/>
      <w:marBottom w:val="0"/>
      <w:divBdr>
        <w:top w:val="none" w:sz="0" w:space="0" w:color="auto"/>
        <w:left w:val="none" w:sz="0" w:space="0" w:color="auto"/>
        <w:bottom w:val="none" w:sz="0" w:space="0" w:color="auto"/>
        <w:right w:val="none" w:sz="0" w:space="0" w:color="auto"/>
      </w:divBdr>
    </w:div>
    <w:div w:id="1375232155">
      <w:bodyDiv w:val="1"/>
      <w:marLeft w:val="0"/>
      <w:marRight w:val="0"/>
      <w:marTop w:val="0"/>
      <w:marBottom w:val="0"/>
      <w:divBdr>
        <w:top w:val="none" w:sz="0" w:space="0" w:color="auto"/>
        <w:left w:val="none" w:sz="0" w:space="0" w:color="auto"/>
        <w:bottom w:val="none" w:sz="0" w:space="0" w:color="auto"/>
        <w:right w:val="none" w:sz="0" w:space="0" w:color="auto"/>
      </w:divBdr>
    </w:div>
    <w:div w:id="1375538210">
      <w:bodyDiv w:val="1"/>
      <w:marLeft w:val="0"/>
      <w:marRight w:val="0"/>
      <w:marTop w:val="0"/>
      <w:marBottom w:val="0"/>
      <w:divBdr>
        <w:top w:val="none" w:sz="0" w:space="0" w:color="auto"/>
        <w:left w:val="none" w:sz="0" w:space="0" w:color="auto"/>
        <w:bottom w:val="none" w:sz="0" w:space="0" w:color="auto"/>
        <w:right w:val="none" w:sz="0" w:space="0" w:color="auto"/>
      </w:divBdr>
    </w:div>
    <w:div w:id="1375737343">
      <w:bodyDiv w:val="1"/>
      <w:marLeft w:val="0"/>
      <w:marRight w:val="0"/>
      <w:marTop w:val="0"/>
      <w:marBottom w:val="0"/>
      <w:divBdr>
        <w:top w:val="none" w:sz="0" w:space="0" w:color="auto"/>
        <w:left w:val="none" w:sz="0" w:space="0" w:color="auto"/>
        <w:bottom w:val="none" w:sz="0" w:space="0" w:color="auto"/>
        <w:right w:val="none" w:sz="0" w:space="0" w:color="auto"/>
      </w:divBdr>
    </w:div>
    <w:div w:id="1375808831">
      <w:bodyDiv w:val="1"/>
      <w:marLeft w:val="0"/>
      <w:marRight w:val="0"/>
      <w:marTop w:val="0"/>
      <w:marBottom w:val="0"/>
      <w:divBdr>
        <w:top w:val="none" w:sz="0" w:space="0" w:color="auto"/>
        <w:left w:val="none" w:sz="0" w:space="0" w:color="auto"/>
        <w:bottom w:val="none" w:sz="0" w:space="0" w:color="auto"/>
        <w:right w:val="none" w:sz="0" w:space="0" w:color="auto"/>
      </w:divBdr>
    </w:div>
    <w:div w:id="1375930414">
      <w:bodyDiv w:val="1"/>
      <w:marLeft w:val="0"/>
      <w:marRight w:val="0"/>
      <w:marTop w:val="0"/>
      <w:marBottom w:val="0"/>
      <w:divBdr>
        <w:top w:val="none" w:sz="0" w:space="0" w:color="auto"/>
        <w:left w:val="none" w:sz="0" w:space="0" w:color="auto"/>
        <w:bottom w:val="none" w:sz="0" w:space="0" w:color="auto"/>
        <w:right w:val="none" w:sz="0" w:space="0" w:color="auto"/>
      </w:divBdr>
    </w:div>
    <w:div w:id="1376350825">
      <w:bodyDiv w:val="1"/>
      <w:marLeft w:val="0"/>
      <w:marRight w:val="0"/>
      <w:marTop w:val="0"/>
      <w:marBottom w:val="0"/>
      <w:divBdr>
        <w:top w:val="none" w:sz="0" w:space="0" w:color="auto"/>
        <w:left w:val="none" w:sz="0" w:space="0" w:color="auto"/>
        <w:bottom w:val="none" w:sz="0" w:space="0" w:color="auto"/>
        <w:right w:val="none" w:sz="0" w:space="0" w:color="auto"/>
      </w:divBdr>
    </w:div>
    <w:div w:id="1376539597">
      <w:bodyDiv w:val="1"/>
      <w:marLeft w:val="0"/>
      <w:marRight w:val="0"/>
      <w:marTop w:val="0"/>
      <w:marBottom w:val="0"/>
      <w:divBdr>
        <w:top w:val="none" w:sz="0" w:space="0" w:color="auto"/>
        <w:left w:val="none" w:sz="0" w:space="0" w:color="auto"/>
        <w:bottom w:val="none" w:sz="0" w:space="0" w:color="auto"/>
        <w:right w:val="none" w:sz="0" w:space="0" w:color="auto"/>
      </w:divBdr>
    </w:div>
    <w:div w:id="1378428647">
      <w:bodyDiv w:val="1"/>
      <w:marLeft w:val="0"/>
      <w:marRight w:val="0"/>
      <w:marTop w:val="0"/>
      <w:marBottom w:val="0"/>
      <w:divBdr>
        <w:top w:val="none" w:sz="0" w:space="0" w:color="auto"/>
        <w:left w:val="none" w:sz="0" w:space="0" w:color="auto"/>
        <w:bottom w:val="none" w:sz="0" w:space="0" w:color="auto"/>
        <w:right w:val="none" w:sz="0" w:space="0" w:color="auto"/>
      </w:divBdr>
    </w:div>
    <w:div w:id="1378818388">
      <w:bodyDiv w:val="1"/>
      <w:marLeft w:val="0"/>
      <w:marRight w:val="0"/>
      <w:marTop w:val="0"/>
      <w:marBottom w:val="0"/>
      <w:divBdr>
        <w:top w:val="none" w:sz="0" w:space="0" w:color="auto"/>
        <w:left w:val="none" w:sz="0" w:space="0" w:color="auto"/>
        <w:bottom w:val="none" w:sz="0" w:space="0" w:color="auto"/>
        <w:right w:val="none" w:sz="0" w:space="0" w:color="auto"/>
      </w:divBdr>
    </w:div>
    <w:div w:id="1378819502">
      <w:bodyDiv w:val="1"/>
      <w:marLeft w:val="0"/>
      <w:marRight w:val="0"/>
      <w:marTop w:val="0"/>
      <w:marBottom w:val="0"/>
      <w:divBdr>
        <w:top w:val="none" w:sz="0" w:space="0" w:color="auto"/>
        <w:left w:val="none" w:sz="0" w:space="0" w:color="auto"/>
        <w:bottom w:val="none" w:sz="0" w:space="0" w:color="auto"/>
        <w:right w:val="none" w:sz="0" w:space="0" w:color="auto"/>
      </w:divBdr>
    </w:div>
    <w:div w:id="1378970304">
      <w:bodyDiv w:val="1"/>
      <w:marLeft w:val="0"/>
      <w:marRight w:val="0"/>
      <w:marTop w:val="0"/>
      <w:marBottom w:val="0"/>
      <w:divBdr>
        <w:top w:val="none" w:sz="0" w:space="0" w:color="auto"/>
        <w:left w:val="none" w:sz="0" w:space="0" w:color="auto"/>
        <w:bottom w:val="none" w:sz="0" w:space="0" w:color="auto"/>
        <w:right w:val="none" w:sz="0" w:space="0" w:color="auto"/>
      </w:divBdr>
    </w:div>
    <w:div w:id="1379091213">
      <w:bodyDiv w:val="1"/>
      <w:marLeft w:val="0"/>
      <w:marRight w:val="0"/>
      <w:marTop w:val="0"/>
      <w:marBottom w:val="0"/>
      <w:divBdr>
        <w:top w:val="none" w:sz="0" w:space="0" w:color="auto"/>
        <w:left w:val="none" w:sz="0" w:space="0" w:color="auto"/>
        <w:bottom w:val="none" w:sz="0" w:space="0" w:color="auto"/>
        <w:right w:val="none" w:sz="0" w:space="0" w:color="auto"/>
      </w:divBdr>
    </w:div>
    <w:div w:id="1379668158">
      <w:bodyDiv w:val="1"/>
      <w:marLeft w:val="0"/>
      <w:marRight w:val="0"/>
      <w:marTop w:val="0"/>
      <w:marBottom w:val="0"/>
      <w:divBdr>
        <w:top w:val="none" w:sz="0" w:space="0" w:color="auto"/>
        <w:left w:val="none" w:sz="0" w:space="0" w:color="auto"/>
        <w:bottom w:val="none" w:sz="0" w:space="0" w:color="auto"/>
        <w:right w:val="none" w:sz="0" w:space="0" w:color="auto"/>
      </w:divBdr>
    </w:div>
    <w:div w:id="1379865069">
      <w:bodyDiv w:val="1"/>
      <w:marLeft w:val="0"/>
      <w:marRight w:val="0"/>
      <w:marTop w:val="0"/>
      <w:marBottom w:val="0"/>
      <w:divBdr>
        <w:top w:val="none" w:sz="0" w:space="0" w:color="auto"/>
        <w:left w:val="none" w:sz="0" w:space="0" w:color="auto"/>
        <w:bottom w:val="none" w:sz="0" w:space="0" w:color="auto"/>
        <w:right w:val="none" w:sz="0" w:space="0" w:color="auto"/>
      </w:divBdr>
    </w:div>
    <w:div w:id="1379891223">
      <w:bodyDiv w:val="1"/>
      <w:marLeft w:val="0"/>
      <w:marRight w:val="0"/>
      <w:marTop w:val="0"/>
      <w:marBottom w:val="0"/>
      <w:divBdr>
        <w:top w:val="none" w:sz="0" w:space="0" w:color="auto"/>
        <w:left w:val="none" w:sz="0" w:space="0" w:color="auto"/>
        <w:bottom w:val="none" w:sz="0" w:space="0" w:color="auto"/>
        <w:right w:val="none" w:sz="0" w:space="0" w:color="auto"/>
      </w:divBdr>
    </w:div>
    <w:div w:id="1379934230">
      <w:bodyDiv w:val="1"/>
      <w:marLeft w:val="0"/>
      <w:marRight w:val="0"/>
      <w:marTop w:val="0"/>
      <w:marBottom w:val="0"/>
      <w:divBdr>
        <w:top w:val="none" w:sz="0" w:space="0" w:color="auto"/>
        <w:left w:val="none" w:sz="0" w:space="0" w:color="auto"/>
        <w:bottom w:val="none" w:sz="0" w:space="0" w:color="auto"/>
        <w:right w:val="none" w:sz="0" w:space="0" w:color="auto"/>
      </w:divBdr>
    </w:div>
    <w:div w:id="1380203382">
      <w:bodyDiv w:val="1"/>
      <w:marLeft w:val="0"/>
      <w:marRight w:val="0"/>
      <w:marTop w:val="0"/>
      <w:marBottom w:val="0"/>
      <w:divBdr>
        <w:top w:val="none" w:sz="0" w:space="0" w:color="auto"/>
        <w:left w:val="none" w:sz="0" w:space="0" w:color="auto"/>
        <w:bottom w:val="none" w:sz="0" w:space="0" w:color="auto"/>
        <w:right w:val="none" w:sz="0" w:space="0" w:color="auto"/>
      </w:divBdr>
    </w:div>
    <w:div w:id="1380277200">
      <w:bodyDiv w:val="1"/>
      <w:marLeft w:val="0"/>
      <w:marRight w:val="0"/>
      <w:marTop w:val="0"/>
      <w:marBottom w:val="0"/>
      <w:divBdr>
        <w:top w:val="none" w:sz="0" w:space="0" w:color="auto"/>
        <w:left w:val="none" w:sz="0" w:space="0" w:color="auto"/>
        <w:bottom w:val="none" w:sz="0" w:space="0" w:color="auto"/>
        <w:right w:val="none" w:sz="0" w:space="0" w:color="auto"/>
      </w:divBdr>
    </w:div>
    <w:div w:id="1380861760">
      <w:bodyDiv w:val="1"/>
      <w:marLeft w:val="0"/>
      <w:marRight w:val="0"/>
      <w:marTop w:val="0"/>
      <w:marBottom w:val="0"/>
      <w:divBdr>
        <w:top w:val="none" w:sz="0" w:space="0" w:color="auto"/>
        <w:left w:val="none" w:sz="0" w:space="0" w:color="auto"/>
        <w:bottom w:val="none" w:sz="0" w:space="0" w:color="auto"/>
        <w:right w:val="none" w:sz="0" w:space="0" w:color="auto"/>
      </w:divBdr>
    </w:div>
    <w:div w:id="1381396447">
      <w:bodyDiv w:val="1"/>
      <w:marLeft w:val="0"/>
      <w:marRight w:val="0"/>
      <w:marTop w:val="0"/>
      <w:marBottom w:val="0"/>
      <w:divBdr>
        <w:top w:val="none" w:sz="0" w:space="0" w:color="auto"/>
        <w:left w:val="none" w:sz="0" w:space="0" w:color="auto"/>
        <w:bottom w:val="none" w:sz="0" w:space="0" w:color="auto"/>
        <w:right w:val="none" w:sz="0" w:space="0" w:color="auto"/>
      </w:divBdr>
    </w:div>
    <w:div w:id="1381977184">
      <w:bodyDiv w:val="1"/>
      <w:marLeft w:val="0"/>
      <w:marRight w:val="0"/>
      <w:marTop w:val="0"/>
      <w:marBottom w:val="0"/>
      <w:divBdr>
        <w:top w:val="none" w:sz="0" w:space="0" w:color="auto"/>
        <w:left w:val="none" w:sz="0" w:space="0" w:color="auto"/>
        <w:bottom w:val="none" w:sz="0" w:space="0" w:color="auto"/>
        <w:right w:val="none" w:sz="0" w:space="0" w:color="auto"/>
      </w:divBdr>
    </w:div>
    <w:div w:id="1382483460">
      <w:bodyDiv w:val="1"/>
      <w:marLeft w:val="0"/>
      <w:marRight w:val="0"/>
      <w:marTop w:val="0"/>
      <w:marBottom w:val="0"/>
      <w:divBdr>
        <w:top w:val="none" w:sz="0" w:space="0" w:color="auto"/>
        <w:left w:val="none" w:sz="0" w:space="0" w:color="auto"/>
        <w:bottom w:val="none" w:sz="0" w:space="0" w:color="auto"/>
        <w:right w:val="none" w:sz="0" w:space="0" w:color="auto"/>
      </w:divBdr>
    </w:div>
    <w:div w:id="1382514442">
      <w:bodyDiv w:val="1"/>
      <w:marLeft w:val="0"/>
      <w:marRight w:val="0"/>
      <w:marTop w:val="0"/>
      <w:marBottom w:val="0"/>
      <w:divBdr>
        <w:top w:val="none" w:sz="0" w:space="0" w:color="auto"/>
        <w:left w:val="none" w:sz="0" w:space="0" w:color="auto"/>
        <w:bottom w:val="none" w:sz="0" w:space="0" w:color="auto"/>
        <w:right w:val="none" w:sz="0" w:space="0" w:color="auto"/>
      </w:divBdr>
    </w:div>
    <w:div w:id="1382823569">
      <w:bodyDiv w:val="1"/>
      <w:marLeft w:val="0"/>
      <w:marRight w:val="0"/>
      <w:marTop w:val="0"/>
      <w:marBottom w:val="0"/>
      <w:divBdr>
        <w:top w:val="none" w:sz="0" w:space="0" w:color="auto"/>
        <w:left w:val="none" w:sz="0" w:space="0" w:color="auto"/>
        <w:bottom w:val="none" w:sz="0" w:space="0" w:color="auto"/>
        <w:right w:val="none" w:sz="0" w:space="0" w:color="auto"/>
      </w:divBdr>
    </w:div>
    <w:div w:id="1383556750">
      <w:bodyDiv w:val="1"/>
      <w:marLeft w:val="0"/>
      <w:marRight w:val="0"/>
      <w:marTop w:val="0"/>
      <w:marBottom w:val="0"/>
      <w:divBdr>
        <w:top w:val="none" w:sz="0" w:space="0" w:color="auto"/>
        <w:left w:val="none" w:sz="0" w:space="0" w:color="auto"/>
        <w:bottom w:val="none" w:sz="0" w:space="0" w:color="auto"/>
        <w:right w:val="none" w:sz="0" w:space="0" w:color="auto"/>
      </w:divBdr>
    </w:div>
    <w:div w:id="1383675001">
      <w:bodyDiv w:val="1"/>
      <w:marLeft w:val="0"/>
      <w:marRight w:val="0"/>
      <w:marTop w:val="0"/>
      <w:marBottom w:val="0"/>
      <w:divBdr>
        <w:top w:val="none" w:sz="0" w:space="0" w:color="auto"/>
        <w:left w:val="none" w:sz="0" w:space="0" w:color="auto"/>
        <w:bottom w:val="none" w:sz="0" w:space="0" w:color="auto"/>
        <w:right w:val="none" w:sz="0" w:space="0" w:color="auto"/>
      </w:divBdr>
    </w:div>
    <w:div w:id="1383822518">
      <w:bodyDiv w:val="1"/>
      <w:marLeft w:val="0"/>
      <w:marRight w:val="0"/>
      <w:marTop w:val="0"/>
      <w:marBottom w:val="0"/>
      <w:divBdr>
        <w:top w:val="none" w:sz="0" w:space="0" w:color="auto"/>
        <w:left w:val="none" w:sz="0" w:space="0" w:color="auto"/>
        <w:bottom w:val="none" w:sz="0" w:space="0" w:color="auto"/>
        <w:right w:val="none" w:sz="0" w:space="0" w:color="auto"/>
      </w:divBdr>
    </w:div>
    <w:div w:id="1384450748">
      <w:bodyDiv w:val="1"/>
      <w:marLeft w:val="0"/>
      <w:marRight w:val="0"/>
      <w:marTop w:val="0"/>
      <w:marBottom w:val="0"/>
      <w:divBdr>
        <w:top w:val="none" w:sz="0" w:space="0" w:color="auto"/>
        <w:left w:val="none" w:sz="0" w:space="0" w:color="auto"/>
        <w:bottom w:val="none" w:sz="0" w:space="0" w:color="auto"/>
        <w:right w:val="none" w:sz="0" w:space="0" w:color="auto"/>
      </w:divBdr>
    </w:div>
    <w:div w:id="1384865090">
      <w:bodyDiv w:val="1"/>
      <w:marLeft w:val="0"/>
      <w:marRight w:val="0"/>
      <w:marTop w:val="0"/>
      <w:marBottom w:val="0"/>
      <w:divBdr>
        <w:top w:val="none" w:sz="0" w:space="0" w:color="auto"/>
        <w:left w:val="none" w:sz="0" w:space="0" w:color="auto"/>
        <w:bottom w:val="none" w:sz="0" w:space="0" w:color="auto"/>
        <w:right w:val="none" w:sz="0" w:space="0" w:color="auto"/>
      </w:divBdr>
    </w:div>
    <w:div w:id="1384869030">
      <w:bodyDiv w:val="1"/>
      <w:marLeft w:val="0"/>
      <w:marRight w:val="0"/>
      <w:marTop w:val="0"/>
      <w:marBottom w:val="0"/>
      <w:divBdr>
        <w:top w:val="none" w:sz="0" w:space="0" w:color="auto"/>
        <w:left w:val="none" w:sz="0" w:space="0" w:color="auto"/>
        <w:bottom w:val="none" w:sz="0" w:space="0" w:color="auto"/>
        <w:right w:val="none" w:sz="0" w:space="0" w:color="auto"/>
      </w:divBdr>
    </w:div>
    <w:div w:id="1384938499">
      <w:bodyDiv w:val="1"/>
      <w:marLeft w:val="0"/>
      <w:marRight w:val="0"/>
      <w:marTop w:val="0"/>
      <w:marBottom w:val="0"/>
      <w:divBdr>
        <w:top w:val="none" w:sz="0" w:space="0" w:color="auto"/>
        <w:left w:val="none" w:sz="0" w:space="0" w:color="auto"/>
        <w:bottom w:val="none" w:sz="0" w:space="0" w:color="auto"/>
        <w:right w:val="none" w:sz="0" w:space="0" w:color="auto"/>
      </w:divBdr>
    </w:div>
    <w:div w:id="1386107198">
      <w:bodyDiv w:val="1"/>
      <w:marLeft w:val="0"/>
      <w:marRight w:val="0"/>
      <w:marTop w:val="0"/>
      <w:marBottom w:val="0"/>
      <w:divBdr>
        <w:top w:val="none" w:sz="0" w:space="0" w:color="auto"/>
        <w:left w:val="none" w:sz="0" w:space="0" w:color="auto"/>
        <w:bottom w:val="none" w:sz="0" w:space="0" w:color="auto"/>
        <w:right w:val="none" w:sz="0" w:space="0" w:color="auto"/>
      </w:divBdr>
    </w:div>
    <w:div w:id="1386290982">
      <w:bodyDiv w:val="1"/>
      <w:marLeft w:val="0"/>
      <w:marRight w:val="0"/>
      <w:marTop w:val="0"/>
      <w:marBottom w:val="0"/>
      <w:divBdr>
        <w:top w:val="none" w:sz="0" w:space="0" w:color="auto"/>
        <w:left w:val="none" w:sz="0" w:space="0" w:color="auto"/>
        <w:bottom w:val="none" w:sz="0" w:space="0" w:color="auto"/>
        <w:right w:val="none" w:sz="0" w:space="0" w:color="auto"/>
      </w:divBdr>
    </w:div>
    <w:div w:id="1386415021">
      <w:bodyDiv w:val="1"/>
      <w:marLeft w:val="0"/>
      <w:marRight w:val="0"/>
      <w:marTop w:val="0"/>
      <w:marBottom w:val="0"/>
      <w:divBdr>
        <w:top w:val="none" w:sz="0" w:space="0" w:color="auto"/>
        <w:left w:val="none" w:sz="0" w:space="0" w:color="auto"/>
        <w:bottom w:val="none" w:sz="0" w:space="0" w:color="auto"/>
        <w:right w:val="none" w:sz="0" w:space="0" w:color="auto"/>
      </w:divBdr>
    </w:div>
    <w:div w:id="1386485535">
      <w:bodyDiv w:val="1"/>
      <w:marLeft w:val="0"/>
      <w:marRight w:val="0"/>
      <w:marTop w:val="0"/>
      <w:marBottom w:val="0"/>
      <w:divBdr>
        <w:top w:val="none" w:sz="0" w:space="0" w:color="auto"/>
        <w:left w:val="none" w:sz="0" w:space="0" w:color="auto"/>
        <w:bottom w:val="none" w:sz="0" w:space="0" w:color="auto"/>
        <w:right w:val="none" w:sz="0" w:space="0" w:color="auto"/>
      </w:divBdr>
    </w:div>
    <w:div w:id="1386636165">
      <w:bodyDiv w:val="1"/>
      <w:marLeft w:val="0"/>
      <w:marRight w:val="0"/>
      <w:marTop w:val="0"/>
      <w:marBottom w:val="0"/>
      <w:divBdr>
        <w:top w:val="none" w:sz="0" w:space="0" w:color="auto"/>
        <w:left w:val="none" w:sz="0" w:space="0" w:color="auto"/>
        <w:bottom w:val="none" w:sz="0" w:space="0" w:color="auto"/>
        <w:right w:val="none" w:sz="0" w:space="0" w:color="auto"/>
      </w:divBdr>
    </w:div>
    <w:div w:id="1386874747">
      <w:bodyDiv w:val="1"/>
      <w:marLeft w:val="0"/>
      <w:marRight w:val="0"/>
      <w:marTop w:val="0"/>
      <w:marBottom w:val="0"/>
      <w:divBdr>
        <w:top w:val="none" w:sz="0" w:space="0" w:color="auto"/>
        <w:left w:val="none" w:sz="0" w:space="0" w:color="auto"/>
        <w:bottom w:val="none" w:sz="0" w:space="0" w:color="auto"/>
        <w:right w:val="none" w:sz="0" w:space="0" w:color="auto"/>
      </w:divBdr>
    </w:div>
    <w:div w:id="1387023074">
      <w:bodyDiv w:val="1"/>
      <w:marLeft w:val="0"/>
      <w:marRight w:val="0"/>
      <w:marTop w:val="0"/>
      <w:marBottom w:val="0"/>
      <w:divBdr>
        <w:top w:val="none" w:sz="0" w:space="0" w:color="auto"/>
        <w:left w:val="none" w:sz="0" w:space="0" w:color="auto"/>
        <w:bottom w:val="none" w:sz="0" w:space="0" w:color="auto"/>
        <w:right w:val="none" w:sz="0" w:space="0" w:color="auto"/>
      </w:divBdr>
    </w:div>
    <w:div w:id="1387141335">
      <w:bodyDiv w:val="1"/>
      <w:marLeft w:val="0"/>
      <w:marRight w:val="0"/>
      <w:marTop w:val="0"/>
      <w:marBottom w:val="0"/>
      <w:divBdr>
        <w:top w:val="none" w:sz="0" w:space="0" w:color="auto"/>
        <w:left w:val="none" w:sz="0" w:space="0" w:color="auto"/>
        <w:bottom w:val="none" w:sz="0" w:space="0" w:color="auto"/>
        <w:right w:val="none" w:sz="0" w:space="0" w:color="auto"/>
      </w:divBdr>
    </w:div>
    <w:div w:id="1387220810">
      <w:bodyDiv w:val="1"/>
      <w:marLeft w:val="0"/>
      <w:marRight w:val="0"/>
      <w:marTop w:val="0"/>
      <w:marBottom w:val="0"/>
      <w:divBdr>
        <w:top w:val="none" w:sz="0" w:space="0" w:color="auto"/>
        <w:left w:val="none" w:sz="0" w:space="0" w:color="auto"/>
        <w:bottom w:val="none" w:sz="0" w:space="0" w:color="auto"/>
        <w:right w:val="none" w:sz="0" w:space="0" w:color="auto"/>
      </w:divBdr>
    </w:div>
    <w:div w:id="1387725356">
      <w:bodyDiv w:val="1"/>
      <w:marLeft w:val="0"/>
      <w:marRight w:val="0"/>
      <w:marTop w:val="0"/>
      <w:marBottom w:val="0"/>
      <w:divBdr>
        <w:top w:val="none" w:sz="0" w:space="0" w:color="auto"/>
        <w:left w:val="none" w:sz="0" w:space="0" w:color="auto"/>
        <w:bottom w:val="none" w:sz="0" w:space="0" w:color="auto"/>
        <w:right w:val="none" w:sz="0" w:space="0" w:color="auto"/>
      </w:divBdr>
    </w:div>
    <w:div w:id="1387995459">
      <w:bodyDiv w:val="1"/>
      <w:marLeft w:val="0"/>
      <w:marRight w:val="0"/>
      <w:marTop w:val="0"/>
      <w:marBottom w:val="0"/>
      <w:divBdr>
        <w:top w:val="none" w:sz="0" w:space="0" w:color="auto"/>
        <w:left w:val="none" w:sz="0" w:space="0" w:color="auto"/>
        <w:bottom w:val="none" w:sz="0" w:space="0" w:color="auto"/>
        <w:right w:val="none" w:sz="0" w:space="0" w:color="auto"/>
      </w:divBdr>
    </w:div>
    <w:div w:id="1389108994">
      <w:bodyDiv w:val="1"/>
      <w:marLeft w:val="0"/>
      <w:marRight w:val="0"/>
      <w:marTop w:val="0"/>
      <w:marBottom w:val="0"/>
      <w:divBdr>
        <w:top w:val="none" w:sz="0" w:space="0" w:color="auto"/>
        <w:left w:val="none" w:sz="0" w:space="0" w:color="auto"/>
        <w:bottom w:val="none" w:sz="0" w:space="0" w:color="auto"/>
        <w:right w:val="none" w:sz="0" w:space="0" w:color="auto"/>
      </w:divBdr>
    </w:div>
    <w:div w:id="1389303636">
      <w:bodyDiv w:val="1"/>
      <w:marLeft w:val="0"/>
      <w:marRight w:val="0"/>
      <w:marTop w:val="0"/>
      <w:marBottom w:val="0"/>
      <w:divBdr>
        <w:top w:val="none" w:sz="0" w:space="0" w:color="auto"/>
        <w:left w:val="none" w:sz="0" w:space="0" w:color="auto"/>
        <w:bottom w:val="none" w:sz="0" w:space="0" w:color="auto"/>
        <w:right w:val="none" w:sz="0" w:space="0" w:color="auto"/>
      </w:divBdr>
    </w:div>
    <w:div w:id="1389380562">
      <w:bodyDiv w:val="1"/>
      <w:marLeft w:val="0"/>
      <w:marRight w:val="0"/>
      <w:marTop w:val="0"/>
      <w:marBottom w:val="0"/>
      <w:divBdr>
        <w:top w:val="none" w:sz="0" w:space="0" w:color="auto"/>
        <w:left w:val="none" w:sz="0" w:space="0" w:color="auto"/>
        <w:bottom w:val="none" w:sz="0" w:space="0" w:color="auto"/>
        <w:right w:val="none" w:sz="0" w:space="0" w:color="auto"/>
      </w:divBdr>
    </w:div>
    <w:div w:id="1389450575">
      <w:bodyDiv w:val="1"/>
      <w:marLeft w:val="0"/>
      <w:marRight w:val="0"/>
      <w:marTop w:val="0"/>
      <w:marBottom w:val="0"/>
      <w:divBdr>
        <w:top w:val="none" w:sz="0" w:space="0" w:color="auto"/>
        <w:left w:val="none" w:sz="0" w:space="0" w:color="auto"/>
        <w:bottom w:val="none" w:sz="0" w:space="0" w:color="auto"/>
        <w:right w:val="none" w:sz="0" w:space="0" w:color="auto"/>
      </w:divBdr>
    </w:div>
    <w:div w:id="1389647429">
      <w:bodyDiv w:val="1"/>
      <w:marLeft w:val="0"/>
      <w:marRight w:val="0"/>
      <w:marTop w:val="0"/>
      <w:marBottom w:val="0"/>
      <w:divBdr>
        <w:top w:val="none" w:sz="0" w:space="0" w:color="auto"/>
        <w:left w:val="none" w:sz="0" w:space="0" w:color="auto"/>
        <w:bottom w:val="none" w:sz="0" w:space="0" w:color="auto"/>
        <w:right w:val="none" w:sz="0" w:space="0" w:color="auto"/>
      </w:divBdr>
    </w:div>
    <w:div w:id="1389838448">
      <w:bodyDiv w:val="1"/>
      <w:marLeft w:val="0"/>
      <w:marRight w:val="0"/>
      <w:marTop w:val="0"/>
      <w:marBottom w:val="0"/>
      <w:divBdr>
        <w:top w:val="none" w:sz="0" w:space="0" w:color="auto"/>
        <w:left w:val="none" w:sz="0" w:space="0" w:color="auto"/>
        <w:bottom w:val="none" w:sz="0" w:space="0" w:color="auto"/>
        <w:right w:val="none" w:sz="0" w:space="0" w:color="auto"/>
      </w:divBdr>
    </w:div>
    <w:div w:id="1389842835">
      <w:bodyDiv w:val="1"/>
      <w:marLeft w:val="0"/>
      <w:marRight w:val="0"/>
      <w:marTop w:val="0"/>
      <w:marBottom w:val="0"/>
      <w:divBdr>
        <w:top w:val="none" w:sz="0" w:space="0" w:color="auto"/>
        <w:left w:val="none" w:sz="0" w:space="0" w:color="auto"/>
        <w:bottom w:val="none" w:sz="0" w:space="0" w:color="auto"/>
        <w:right w:val="none" w:sz="0" w:space="0" w:color="auto"/>
      </w:divBdr>
    </w:div>
    <w:div w:id="1390109234">
      <w:bodyDiv w:val="1"/>
      <w:marLeft w:val="0"/>
      <w:marRight w:val="0"/>
      <w:marTop w:val="0"/>
      <w:marBottom w:val="0"/>
      <w:divBdr>
        <w:top w:val="none" w:sz="0" w:space="0" w:color="auto"/>
        <w:left w:val="none" w:sz="0" w:space="0" w:color="auto"/>
        <w:bottom w:val="none" w:sz="0" w:space="0" w:color="auto"/>
        <w:right w:val="none" w:sz="0" w:space="0" w:color="auto"/>
      </w:divBdr>
    </w:div>
    <w:div w:id="1390618186">
      <w:bodyDiv w:val="1"/>
      <w:marLeft w:val="0"/>
      <w:marRight w:val="0"/>
      <w:marTop w:val="0"/>
      <w:marBottom w:val="0"/>
      <w:divBdr>
        <w:top w:val="none" w:sz="0" w:space="0" w:color="auto"/>
        <w:left w:val="none" w:sz="0" w:space="0" w:color="auto"/>
        <w:bottom w:val="none" w:sz="0" w:space="0" w:color="auto"/>
        <w:right w:val="none" w:sz="0" w:space="0" w:color="auto"/>
      </w:divBdr>
    </w:div>
    <w:div w:id="1391422621">
      <w:bodyDiv w:val="1"/>
      <w:marLeft w:val="0"/>
      <w:marRight w:val="0"/>
      <w:marTop w:val="0"/>
      <w:marBottom w:val="0"/>
      <w:divBdr>
        <w:top w:val="none" w:sz="0" w:space="0" w:color="auto"/>
        <w:left w:val="none" w:sz="0" w:space="0" w:color="auto"/>
        <w:bottom w:val="none" w:sz="0" w:space="0" w:color="auto"/>
        <w:right w:val="none" w:sz="0" w:space="0" w:color="auto"/>
      </w:divBdr>
    </w:div>
    <w:div w:id="1392188553">
      <w:bodyDiv w:val="1"/>
      <w:marLeft w:val="0"/>
      <w:marRight w:val="0"/>
      <w:marTop w:val="0"/>
      <w:marBottom w:val="0"/>
      <w:divBdr>
        <w:top w:val="none" w:sz="0" w:space="0" w:color="auto"/>
        <w:left w:val="none" w:sz="0" w:space="0" w:color="auto"/>
        <w:bottom w:val="none" w:sz="0" w:space="0" w:color="auto"/>
        <w:right w:val="none" w:sz="0" w:space="0" w:color="auto"/>
      </w:divBdr>
    </w:div>
    <w:div w:id="1392194181">
      <w:bodyDiv w:val="1"/>
      <w:marLeft w:val="0"/>
      <w:marRight w:val="0"/>
      <w:marTop w:val="0"/>
      <w:marBottom w:val="0"/>
      <w:divBdr>
        <w:top w:val="none" w:sz="0" w:space="0" w:color="auto"/>
        <w:left w:val="none" w:sz="0" w:space="0" w:color="auto"/>
        <w:bottom w:val="none" w:sz="0" w:space="0" w:color="auto"/>
        <w:right w:val="none" w:sz="0" w:space="0" w:color="auto"/>
      </w:divBdr>
    </w:div>
    <w:div w:id="1393238857">
      <w:bodyDiv w:val="1"/>
      <w:marLeft w:val="0"/>
      <w:marRight w:val="0"/>
      <w:marTop w:val="0"/>
      <w:marBottom w:val="0"/>
      <w:divBdr>
        <w:top w:val="none" w:sz="0" w:space="0" w:color="auto"/>
        <w:left w:val="none" w:sz="0" w:space="0" w:color="auto"/>
        <w:bottom w:val="none" w:sz="0" w:space="0" w:color="auto"/>
        <w:right w:val="none" w:sz="0" w:space="0" w:color="auto"/>
      </w:divBdr>
    </w:div>
    <w:div w:id="1394697690">
      <w:bodyDiv w:val="1"/>
      <w:marLeft w:val="0"/>
      <w:marRight w:val="0"/>
      <w:marTop w:val="0"/>
      <w:marBottom w:val="0"/>
      <w:divBdr>
        <w:top w:val="none" w:sz="0" w:space="0" w:color="auto"/>
        <w:left w:val="none" w:sz="0" w:space="0" w:color="auto"/>
        <w:bottom w:val="none" w:sz="0" w:space="0" w:color="auto"/>
        <w:right w:val="none" w:sz="0" w:space="0" w:color="auto"/>
      </w:divBdr>
    </w:div>
    <w:div w:id="1395353040">
      <w:bodyDiv w:val="1"/>
      <w:marLeft w:val="0"/>
      <w:marRight w:val="0"/>
      <w:marTop w:val="0"/>
      <w:marBottom w:val="0"/>
      <w:divBdr>
        <w:top w:val="none" w:sz="0" w:space="0" w:color="auto"/>
        <w:left w:val="none" w:sz="0" w:space="0" w:color="auto"/>
        <w:bottom w:val="none" w:sz="0" w:space="0" w:color="auto"/>
        <w:right w:val="none" w:sz="0" w:space="0" w:color="auto"/>
      </w:divBdr>
    </w:div>
    <w:div w:id="1395815529">
      <w:bodyDiv w:val="1"/>
      <w:marLeft w:val="0"/>
      <w:marRight w:val="0"/>
      <w:marTop w:val="0"/>
      <w:marBottom w:val="0"/>
      <w:divBdr>
        <w:top w:val="none" w:sz="0" w:space="0" w:color="auto"/>
        <w:left w:val="none" w:sz="0" w:space="0" w:color="auto"/>
        <w:bottom w:val="none" w:sz="0" w:space="0" w:color="auto"/>
        <w:right w:val="none" w:sz="0" w:space="0" w:color="auto"/>
      </w:divBdr>
    </w:div>
    <w:div w:id="1396203083">
      <w:bodyDiv w:val="1"/>
      <w:marLeft w:val="0"/>
      <w:marRight w:val="0"/>
      <w:marTop w:val="0"/>
      <w:marBottom w:val="0"/>
      <w:divBdr>
        <w:top w:val="none" w:sz="0" w:space="0" w:color="auto"/>
        <w:left w:val="none" w:sz="0" w:space="0" w:color="auto"/>
        <w:bottom w:val="none" w:sz="0" w:space="0" w:color="auto"/>
        <w:right w:val="none" w:sz="0" w:space="0" w:color="auto"/>
      </w:divBdr>
    </w:div>
    <w:div w:id="1396705692">
      <w:bodyDiv w:val="1"/>
      <w:marLeft w:val="0"/>
      <w:marRight w:val="0"/>
      <w:marTop w:val="0"/>
      <w:marBottom w:val="0"/>
      <w:divBdr>
        <w:top w:val="none" w:sz="0" w:space="0" w:color="auto"/>
        <w:left w:val="none" w:sz="0" w:space="0" w:color="auto"/>
        <w:bottom w:val="none" w:sz="0" w:space="0" w:color="auto"/>
        <w:right w:val="none" w:sz="0" w:space="0" w:color="auto"/>
      </w:divBdr>
    </w:div>
    <w:div w:id="1397046229">
      <w:bodyDiv w:val="1"/>
      <w:marLeft w:val="0"/>
      <w:marRight w:val="0"/>
      <w:marTop w:val="0"/>
      <w:marBottom w:val="0"/>
      <w:divBdr>
        <w:top w:val="none" w:sz="0" w:space="0" w:color="auto"/>
        <w:left w:val="none" w:sz="0" w:space="0" w:color="auto"/>
        <w:bottom w:val="none" w:sz="0" w:space="0" w:color="auto"/>
        <w:right w:val="none" w:sz="0" w:space="0" w:color="auto"/>
      </w:divBdr>
    </w:div>
    <w:div w:id="1397362000">
      <w:bodyDiv w:val="1"/>
      <w:marLeft w:val="0"/>
      <w:marRight w:val="0"/>
      <w:marTop w:val="0"/>
      <w:marBottom w:val="0"/>
      <w:divBdr>
        <w:top w:val="none" w:sz="0" w:space="0" w:color="auto"/>
        <w:left w:val="none" w:sz="0" w:space="0" w:color="auto"/>
        <w:bottom w:val="none" w:sz="0" w:space="0" w:color="auto"/>
        <w:right w:val="none" w:sz="0" w:space="0" w:color="auto"/>
      </w:divBdr>
    </w:div>
    <w:div w:id="1398168279">
      <w:bodyDiv w:val="1"/>
      <w:marLeft w:val="0"/>
      <w:marRight w:val="0"/>
      <w:marTop w:val="0"/>
      <w:marBottom w:val="0"/>
      <w:divBdr>
        <w:top w:val="none" w:sz="0" w:space="0" w:color="auto"/>
        <w:left w:val="none" w:sz="0" w:space="0" w:color="auto"/>
        <w:bottom w:val="none" w:sz="0" w:space="0" w:color="auto"/>
        <w:right w:val="none" w:sz="0" w:space="0" w:color="auto"/>
      </w:divBdr>
    </w:div>
    <w:div w:id="1398624877">
      <w:bodyDiv w:val="1"/>
      <w:marLeft w:val="0"/>
      <w:marRight w:val="0"/>
      <w:marTop w:val="0"/>
      <w:marBottom w:val="0"/>
      <w:divBdr>
        <w:top w:val="none" w:sz="0" w:space="0" w:color="auto"/>
        <w:left w:val="none" w:sz="0" w:space="0" w:color="auto"/>
        <w:bottom w:val="none" w:sz="0" w:space="0" w:color="auto"/>
        <w:right w:val="none" w:sz="0" w:space="0" w:color="auto"/>
      </w:divBdr>
    </w:div>
    <w:div w:id="1399329182">
      <w:bodyDiv w:val="1"/>
      <w:marLeft w:val="0"/>
      <w:marRight w:val="0"/>
      <w:marTop w:val="0"/>
      <w:marBottom w:val="0"/>
      <w:divBdr>
        <w:top w:val="none" w:sz="0" w:space="0" w:color="auto"/>
        <w:left w:val="none" w:sz="0" w:space="0" w:color="auto"/>
        <w:bottom w:val="none" w:sz="0" w:space="0" w:color="auto"/>
        <w:right w:val="none" w:sz="0" w:space="0" w:color="auto"/>
      </w:divBdr>
    </w:div>
    <w:div w:id="1400324004">
      <w:bodyDiv w:val="1"/>
      <w:marLeft w:val="0"/>
      <w:marRight w:val="0"/>
      <w:marTop w:val="0"/>
      <w:marBottom w:val="0"/>
      <w:divBdr>
        <w:top w:val="none" w:sz="0" w:space="0" w:color="auto"/>
        <w:left w:val="none" w:sz="0" w:space="0" w:color="auto"/>
        <w:bottom w:val="none" w:sz="0" w:space="0" w:color="auto"/>
        <w:right w:val="none" w:sz="0" w:space="0" w:color="auto"/>
      </w:divBdr>
    </w:div>
    <w:div w:id="1400329110">
      <w:bodyDiv w:val="1"/>
      <w:marLeft w:val="0"/>
      <w:marRight w:val="0"/>
      <w:marTop w:val="0"/>
      <w:marBottom w:val="0"/>
      <w:divBdr>
        <w:top w:val="none" w:sz="0" w:space="0" w:color="auto"/>
        <w:left w:val="none" w:sz="0" w:space="0" w:color="auto"/>
        <w:bottom w:val="none" w:sz="0" w:space="0" w:color="auto"/>
        <w:right w:val="none" w:sz="0" w:space="0" w:color="auto"/>
      </w:divBdr>
    </w:div>
    <w:div w:id="1400594668">
      <w:bodyDiv w:val="1"/>
      <w:marLeft w:val="0"/>
      <w:marRight w:val="0"/>
      <w:marTop w:val="0"/>
      <w:marBottom w:val="0"/>
      <w:divBdr>
        <w:top w:val="none" w:sz="0" w:space="0" w:color="auto"/>
        <w:left w:val="none" w:sz="0" w:space="0" w:color="auto"/>
        <w:bottom w:val="none" w:sz="0" w:space="0" w:color="auto"/>
        <w:right w:val="none" w:sz="0" w:space="0" w:color="auto"/>
      </w:divBdr>
    </w:div>
    <w:div w:id="1401096565">
      <w:bodyDiv w:val="1"/>
      <w:marLeft w:val="0"/>
      <w:marRight w:val="0"/>
      <w:marTop w:val="0"/>
      <w:marBottom w:val="0"/>
      <w:divBdr>
        <w:top w:val="none" w:sz="0" w:space="0" w:color="auto"/>
        <w:left w:val="none" w:sz="0" w:space="0" w:color="auto"/>
        <w:bottom w:val="none" w:sz="0" w:space="0" w:color="auto"/>
        <w:right w:val="none" w:sz="0" w:space="0" w:color="auto"/>
      </w:divBdr>
    </w:div>
    <w:div w:id="1401559839">
      <w:bodyDiv w:val="1"/>
      <w:marLeft w:val="0"/>
      <w:marRight w:val="0"/>
      <w:marTop w:val="0"/>
      <w:marBottom w:val="0"/>
      <w:divBdr>
        <w:top w:val="none" w:sz="0" w:space="0" w:color="auto"/>
        <w:left w:val="none" w:sz="0" w:space="0" w:color="auto"/>
        <w:bottom w:val="none" w:sz="0" w:space="0" w:color="auto"/>
        <w:right w:val="none" w:sz="0" w:space="0" w:color="auto"/>
      </w:divBdr>
    </w:div>
    <w:div w:id="1402753275">
      <w:bodyDiv w:val="1"/>
      <w:marLeft w:val="0"/>
      <w:marRight w:val="0"/>
      <w:marTop w:val="0"/>
      <w:marBottom w:val="0"/>
      <w:divBdr>
        <w:top w:val="none" w:sz="0" w:space="0" w:color="auto"/>
        <w:left w:val="none" w:sz="0" w:space="0" w:color="auto"/>
        <w:bottom w:val="none" w:sz="0" w:space="0" w:color="auto"/>
        <w:right w:val="none" w:sz="0" w:space="0" w:color="auto"/>
      </w:divBdr>
    </w:div>
    <w:div w:id="1402799697">
      <w:bodyDiv w:val="1"/>
      <w:marLeft w:val="0"/>
      <w:marRight w:val="0"/>
      <w:marTop w:val="0"/>
      <w:marBottom w:val="0"/>
      <w:divBdr>
        <w:top w:val="none" w:sz="0" w:space="0" w:color="auto"/>
        <w:left w:val="none" w:sz="0" w:space="0" w:color="auto"/>
        <w:bottom w:val="none" w:sz="0" w:space="0" w:color="auto"/>
        <w:right w:val="none" w:sz="0" w:space="0" w:color="auto"/>
      </w:divBdr>
    </w:div>
    <w:div w:id="1402942430">
      <w:bodyDiv w:val="1"/>
      <w:marLeft w:val="0"/>
      <w:marRight w:val="0"/>
      <w:marTop w:val="0"/>
      <w:marBottom w:val="0"/>
      <w:divBdr>
        <w:top w:val="none" w:sz="0" w:space="0" w:color="auto"/>
        <w:left w:val="none" w:sz="0" w:space="0" w:color="auto"/>
        <w:bottom w:val="none" w:sz="0" w:space="0" w:color="auto"/>
        <w:right w:val="none" w:sz="0" w:space="0" w:color="auto"/>
      </w:divBdr>
    </w:div>
    <w:div w:id="1403336251">
      <w:bodyDiv w:val="1"/>
      <w:marLeft w:val="0"/>
      <w:marRight w:val="0"/>
      <w:marTop w:val="0"/>
      <w:marBottom w:val="0"/>
      <w:divBdr>
        <w:top w:val="none" w:sz="0" w:space="0" w:color="auto"/>
        <w:left w:val="none" w:sz="0" w:space="0" w:color="auto"/>
        <w:bottom w:val="none" w:sz="0" w:space="0" w:color="auto"/>
        <w:right w:val="none" w:sz="0" w:space="0" w:color="auto"/>
      </w:divBdr>
    </w:div>
    <w:div w:id="1403681355">
      <w:bodyDiv w:val="1"/>
      <w:marLeft w:val="0"/>
      <w:marRight w:val="0"/>
      <w:marTop w:val="0"/>
      <w:marBottom w:val="0"/>
      <w:divBdr>
        <w:top w:val="none" w:sz="0" w:space="0" w:color="auto"/>
        <w:left w:val="none" w:sz="0" w:space="0" w:color="auto"/>
        <w:bottom w:val="none" w:sz="0" w:space="0" w:color="auto"/>
        <w:right w:val="none" w:sz="0" w:space="0" w:color="auto"/>
      </w:divBdr>
    </w:div>
    <w:div w:id="1403724165">
      <w:bodyDiv w:val="1"/>
      <w:marLeft w:val="0"/>
      <w:marRight w:val="0"/>
      <w:marTop w:val="0"/>
      <w:marBottom w:val="0"/>
      <w:divBdr>
        <w:top w:val="none" w:sz="0" w:space="0" w:color="auto"/>
        <w:left w:val="none" w:sz="0" w:space="0" w:color="auto"/>
        <w:bottom w:val="none" w:sz="0" w:space="0" w:color="auto"/>
        <w:right w:val="none" w:sz="0" w:space="0" w:color="auto"/>
      </w:divBdr>
    </w:div>
    <w:div w:id="1404109866">
      <w:bodyDiv w:val="1"/>
      <w:marLeft w:val="0"/>
      <w:marRight w:val="0"/>
      <w:marTop w:val="0"/>
      <w:marBottom w:val="0"/>
      <w:divBdr>
        <w:top w:val="none" w:sz="0" w:space="0" w:color="auto"/>
        <w:left w:val="none" w:sz="0" w:space="0" w:color="auto"/>
        <w:bottom w:val="none" w:sz="0" w:space="0" w:color="auto"/>
        <w:right w:val="none" w:sz="0" w:space="0" w:color="auto"/>
      </w:divBdr>
    </w:div>
    <w:div w:id="1404252805">
      <w:bodyDiv w:val="1"/>
      <w:marLeft w:val="0"/>
      <w:marRight w:val="0"/>
      <w:marTop w:val="0"/>
      <w:marBottom w:val="0"/>
      <w:divBdr>
        <w:top w:val="none" w:sz="0" w:space="0" w:color="auto"/>
        <w:left w:val="none" w:sz="0" w:space="0" w:color="auto"/>
        <w:bottom w:val="none" w:sz="0" w:space="0" w:color="auto"/>
        <w:right w:val="none" w:sz="0" w:space="0" w:color="auto"/>
      </w:divBdr>
    </w:div>
    <w:div w:id="1404839849">
      <w:bodyDiv w:val="1"/>
      <w:marLeft w:val="0"/>
      <w:marRight w:val="0"/>
      <w:marTop w:val="0"/>
      <w:marBottom w:val="0"/>
      <w:divBdr>
        <w:top w:val="none" w:sz="0" w:space="0" w:color="auto"/>
        <w:left w:val="none" w:sz="0" w:space="0" w:color="auto"/>
        <w:bottom w:val="none" w:sz="0" w:space="0" w:color="auto"/>
        <w:right w:val="none" w:sz="0" w:space="0" w:color="auto"/>
      </w:divBdr>
    </w:div>
    <w:div w:id="1404985685">
      <w:bodyDiv w:val="1"/>
      <w:marLeft w:val="0"/>
      <w:marRight w:val="0"/>
      <w:marTop w:val="0"/>
      <w:marBottom w:val="0"/>
      <w:divBdr>
        <w:top w:val="none" w:sz="0" w:space="0" w:color="auto"/>
        <w:left w:val="none" w:sz="0" w:space="0" w:color="auto"/>
        <w:bottom w:val="none" w:sz="0" w:space="0" w:color="auto"/>
        <w:right w:val="none" w:sz="0" w:space="0" w:color="auto"/>
      </w:divBdr>
    </w:div>
    <w:div w:id="1405058992">
      <w:bodyDiv w:val="1"/>
      <w:marLeft w:val="0"/>
      <w:marRight w:val="0"/>
      <w:marTop w:val="0"/>
      <w:marBottom w:val="0"/>
      <w:divBdr>
        <w:top w:val="none" w:sz="0" w:space="0" w:color="auto"/>
        <w:left w:val="none" w:sz="0" w:space="0" w:color="auto"/>
        <w:bottom w:val="none" w:sz="0" w:space="0" w:color="auto"/>
        <w:right w:val="none" w:sz="0" w:space="0" w:color="auto"/>
      </w:divBdr>
    </w:div>
    <w:div w:id="1405225819">
      <w:bodyDiv w:val="1"/>
      <w:marLeft w:val="0"/>
      <w:marRight w:val="0"/>
      <w:marTop w:val="0"/>
      <w:marBottom w:val="0"/>
      <w:divBdr>
        <w:top w:val="none" w:sz="0" w:space="0" w:color="auto"/>
        <w:left w:val="none" w:sz="0" w:space="0" w:color="auto"/>
        <w:bottom w:val="none" w:sz="0" w:space="0" w:color="auto"/>
        <w:right w:val="none" w:sz="0" w:space="0" w:color="auto"/>
      </w:divBdr>
    </w:div>
    <w:div w:id="1405227460">
      <w:bodyDiv w:val="1"/>
      <w:marLeft w:val="0"/>
      <w:marRight w:val="0"/>
      <w:marTop w:val="0"/>
      <w:marBottom w:val="0"/>
      <w:divBdr>
        <w:top w:val="none" w:sz="0" w:space="0" w:color="auto"/>
        <w:left w:val="none" w:sz="0" w:space="0" w:color="auto"/>
        <w:bottom w:val="none" w:sz="0" w:space="0" w:color="auto"/>
        <w:right w:val="none" w:sz="0" w:space="0" w:color="auto"/>
      </w:divBdr>
    </w:div>
    <w:div w:id="1405252231">
      <w:bodyDiv w:val="1"/>
      <w:marLeft w:val="0"/>
      <w:marRight w:val="0"/>
      <w:marTop w:val="0"/>
      <w:marBottom w:val="0"/>
      <w:divBdr>
        <w:top w:val="none" w:sz="0" w:space="0" w:color="auto"/>
        <w:left w:val="none" w:sz="0" w:space="0" w:color="auto"/>
        <w:bottom w:val="none" w:sz="0" w:space="0" w:color="auto"/>
        <w:right w:val="none" w:sz="0" w:space="0" w:color="auto"/>
      </w:divBdr>
    </w:div>
    <w:div w:id="1406415776">
      <w:bodyDiv w:val="1"/>
      <w:marLeft w:val="0"/>
      <w:marRight w:val="0"/>
      <w:marTop w:val="0"/>
      <w:marBottom w:val="0"/>
      <w:divBdr>
        <w:top w:val="none" w:sz="0" w:space="0" w:color="auto"/>
        <w:left w:val="none" w:sz="0" w:space="0" w:color="auto"/>
        <w:bottom w:val="none" w:sz="0" w:space="0" w:color="auto"/>
        <w:right w:val="none" w:sz="0" w:space="0" w:color="auto"/>
      </w:divBdr>
    </w:div>
    <w:div w:id="1407024121">
      <w:bodyDiv w:val="1"/>
      <w:marLeft w:val="0"/>
      <w:marRight w:val="0"/>
      <w:marTop w:val="0"/>
      <w:marBottom w:val="0"/>
      <w:divBdr>
        <w:top w:val="none" w:sz="0" w:space="0" w:color="auto"/>
        <w:left w:val="none" w:sz="0" w:space="0" w:color="auto"/>
        <w:bottom w:val="none" w:sz="0" w:space="0" w:color="auto"/>
        <w:right w:val="none" w:sz="0" w:space="0" w:color="auto"/>
      </w:divBdr>
    </w:div>
    <w:div w:id="1407535038">
      <w:bodyDiv w:val="1"/>
      <w:marLeft w:val="0"/>
      <w:marRight w:val="0"/>
      <w:marTop w:val="0"/>
      <w:marBottom w:val="0"/>
      <w:divBdr>
        <w:top w:val="none" w:sz="0" w:space="0" w:color="auto"/>
        <w:left w:val="none" w:sz="0" w:space="0" w:color="auto"/>
        <w:bottom w:val="none" w:sz="0" w:space="0" w:color="auto"/>
        <w:right w:val="none" w:sz="0" w:space="0" w:color="auto"/>
      </w:divBdr>
    </w:div>
    <w:div w:id="1407604080">
      <w:bodyDiv w:val="1"/>
      <w:marLeft w:val="0"/>
      <w:marRight w:val="0"/>
      <w:marTop w:val="0"/>
      <w:marBottom w:val="0"/>
      <w:divBdr>
        <w:top w:val="none" w:sz="0" w:space="0" w:color="auto"/>
        <w:left w:val="none" w:sz="0" w:space="0" w:color="auto"/>
        <w:bottom w:val="none" w:sz="0" w:space="0" w:color="auto"/>
        <w:right w:val="none" w:sz="0" w:space="0" w:color="auto"/>
      </w:divBdr>
    </w:div>
    <w:div w:id="1407805555">
      <w:bodyDiv w:val="1"/>
      <w:marLeft w:val="0"/>
      <w:marRight w:val="0"/>
      <w:marTop w:val="0"/>
      <w:marBottom w:val="0"/>
      <w:divBdr>
        <w:top w:val="none" w:sz="0" w:space="0" w:color="auto"/>
        <w:left w:val="none" w:sz="0" w:space="0" w:color="auto"/>
        <w:bottom w:val="none" w:sz="0" w:space="0" w:color="auto"/>
        <w:right w:val="none" w:sz="0" w:space="0" w:color="auto"/>
      </w:divBdr>
    </w:div>
    <w:div w:id="1407919896">
      <w:bodyDiv w:val="1"/>
      <w:marLeft w:val="0"/>
      <w:marRight w:val="0"/>
      <w:marTop w:val="0"/>
      <w:marBottom w:val="0"/>
      <w:divBdr>
        <w:top w:val="none" w:sz="0" w:space="0" w:color="auto"/>
        <w:left w:val="none" w:sz="0" w:space="0" w:color="auto"/>
        <w:bottom w:val="none" w:sz="0" w:space="0" w:color="auto"/>
        <w:right w:val="none" w:sz="0" w:space="0" w:color="auto"/>
      </w:divBdr>
    </w:div>
    <w:div w:id="1408112784">
      <w:bodyDiv w:val="1"/>
      <w:marLeft w:val="0"/>
      <w:marRight w:val="0"/>
      <w:marTop w:val="0"/>
      <w:marBottom w:val="0"/>
      <w:divBdr>
        <w:top w:val="none" w:sz="0" w:space="0" w:color="auto"/>
        <w:left w:val="none" w:sz="0" w:space="0" w:color="auto"/>
        <w:bottom w:val="none" w:sz="0" w:space="0" w:color="auto"/>
        <w:right w:val="none" w:sz="0" w:space="0" w:color="auto"/>
      </w:divBdr>
    </w:div>
    <w:div w:id="1408650027">
      <w:bodyDiv w:val="1"/>
      <w:marLeft w:val="0"/>
      <w:marRight w:val="0"/>
      <w:marTop w:val="0"/>
      <w:marBottom w:val="0"/>
      <w:divBdr>
        <w:top w:val="none" w:sz="0" w:space="0" w:color="auto"/>
        <w:left w:val="none" w:sz="0" w:space="0" w:color="auto"/>
        <w:bottom w:val="none" w:sz="0" w:space="0" w:color="auto"/>
        <w:right w:val="none" w:sz="0" w:space="0" w:color="auto"/>
      </w:divBdr>
    </w:div>
    <w:div w:id="1409958463">
      <w:bodyDiv w:val="1"/>
      <w:marLeft w:val="0"/>
      <w:marRight w:val="0"/>
      <w:marTop w:val="0"/>
      <w:marBottom w:val="0"/>
      <w:divBdr>
        <w:top w:val="none" w:sz="0" w:space="0" w:color="auto"/>
        <w:left w:val="none" w:sz="0" w:space="0" w:color="auto"/>
        <w:bottom w:val="none" w:sz="0" w:space="0" w:color="auto"/>
        <w:right w:val="none" w:sz="0" w:space="0" w:color="auto"/>
      </w:divBdr>
    </w:div>
    <w:div w:id="1410495741">
      <w:bodyDiv w:val="1"/>
      <w:marLeft w:val="0"/>
      <w:marRight w:val="0"/>
      <w:marTop w:val="0"/>
      <w:marBottom w:val="0"/>
      <w:divBdr>
        <w:top w:val="none" w:sz="0" w:space="0" w:color="auto"/>
        <w:left w:val="none" w:sz="0" w:space="0" w:color="auto"/>
        <w:bottom w:val="none" w:sz="0" w:space="0" w:color="auto"/>
        <w:right w:val="none" w:sz="0" w:space="0" w:color="auto"/>
      </w:divBdr>
    </w:div>
    <w:div w:id="1411344979">
      <w:bodyDiv w:val="1"/>
      <w:marLeft w:val="0"/>
      <w:marRight w:val="0"/>
      <w:marTop w:val="0"/>
      <w:marBottom w:val="0"/>
      <w:divBdr>
        <w:top w:val="none" w:sz="0" w:space="0" w:color="auto"/>
        <w:left w:val="none" w:sz="0" w:space="0" w:color="auto"/>
        <w:bottom w:val="none" w:sz="0" w:space="0" w:color="auto"/>
        <w:right w:val="none" w:sz="0" w:space="0" w:color="auto"/>
      </w:divBdr>
    </w:div>
    <w:div w:id="1411390301">
      <w:bodyDiv w:val="1"/>
      <w:marLeft w:val="0"/>
      <w:marRight w:val="0"/>
      <w:marTop w:val="0"/>
      <w:marBottom w:val="0"/>
      <w:divBdr>
        <w:top w:val="none" w:sz="0" w:space="0" w:color="auto"/>
        <w:left w:val="none" w:sz="0" w:space="0" w:color="auto"/>
        <w:bottom w:val="none" w:sz="0" w:space="0" w:color="auto"/>
        <w:right w:val="none" w:sz="0" w:space="0" w:color="auto"/>
      </w:divBdr>
    </w:div>
    <w:div w:id="1411462202">
      <w:bodyDiv w:val="1"/>
      <w:marLeft w:val="0"/>
      <w:marRight w:val="0"/>
      <w:marTop w:val="0"/>
      <w:marBottom w:val="0"/>
      <w:divBdr>
        <w:top w:val="none" w:sz="0" w:space="0" w:color="auto"/>
        <w:left w:val="none" w:sz="0" w:space="0" w:color="auto"/>
        <w:bottom w:val="none" w:sz="0" w:space="0" w:color="auto"/>
        <w:right w:val="none" w:sz="0" w:space="0" w:color="auto"/>
      </w:divBdr>
    </w:div>
    <w:div w:id="1411780580">
      <w:bodyDiv w:val="1"/>
      <w:marLeft w:val="0"/>
      <w:marRight w:val="0"/>
      <w:marTop w:val="0"/>
      <w:marBottom w:val="0"/>
      <w:divBdr>
        <w:top w:val="none" w:sz="0" w:space="0" w:color="auto"/>
        <w:left w:val="none" w:sz="0" w:space="0" w:color="auto"/>
        <w:bottom w:val="none" w:sz="0" w:space="0" w:color="auto"/>
        <w:right w:val="none" w:sz="0" w:space="0" w:color="auto"/>
      </w:divBdr>
    </w:div>
    <w:div w:id="1413044986">
      <w:bodyDiv w:val="1"/>
      <w:marLeft w:val="0"/>
      <w:marRight w:val="0"/>
      <w:marTop w:val="0"/>
      <w:marBottom w:val="0"/>
      <w:divBdr>
        <w:top w:val="none" w:sz="0" w:space="0" w:color="auto"/>
        <w:left w:val="none" w:sz="0" w:space="0" w:color="auto"/>
        <w:bottom w:val="none" w:sz="0" w:space="0" w:color="auto"/>
        <w:right w:val="none" w:sz="0" w:space="0" w:color="auto"/>
      </w:divBdr>
    </w:div>
    <w:div w:id="1413433479">
      <w:bodyDiv w:val="1"/>
      <w:marLeft w:val="0"/>
      <w:marRight w:val="0"/>
      <w:marTop w:val="0"/>
      <w:marBottom w:val="0"/>
      <w:divBdr>
        <w:top w:val="none" w:sz="0" w:space="0" w:color="auto"/>
        <w:left w:val="none" w:sz="0" w:space="0" w:color="auto"/>
        <w:bottom w:val="none" w:sz="0" w:space="0" w:color="auto"/>
        <w:right w:val="none" w:sz="0" w:space="0" w:color="auto"/>
      </w:divBdr>
    </w:div>
    <w:div w:id="1413505900">
      <w:bodyDiv w:val="1"/>
      <w:marLeft w:val="0"/>
      <w:marRight w:val="0"/>
      <w:marTop w:val="0"/>
      <w:marBottom w:val="0"/>
      <w:divBdr>
        <w:top w:val="none" w:sz="0" w:space="0" w:color="auto"/>
        <w:left w:val="none" w:sz="0" w:space="0" w:color="auto"/>
        <w:bottom w:val="none" w:sz="0" w:space="0" w:color="auto"/>
        <w:right w:val="none" w:sz="0" w:space="0" w:color="auto"/>
      </w:divBdr>
    </w:div>
    <w:div w:id="1413813387">
      <w:bodyDiv w:val="1"/>
      <w:marLeft w:val="0"/>
      <w:marRight w:val="0"/>
      <w:marTop w:val="0"/>
      <w:marBottom w:val="0"/>
      <w:divBdr>
        <w:top w:val="none" w:sz="0" w:space="0" w:color="auto"/>
        <w:left w:val="none" w:sz="0" w:space="0" w:color="auto"/>
        <w:bottom w:val="none" w:sz="0" w:space="0" w:color="auto"/>
        <w:right w:val="none" w:sz="0" w:space="0" w:color="auto"/>
      </w:divBdr>
    </w:div>
    <w:div w:id="1414349628">
      <w:bodyDiv w:val="1"/>
      <w:marLeft w:val="0"/>
      <w:marRight w:val="0"/>
      <w:marTop w:val="0"/>
      <w:marBottom w:val="0"/>
      <w:divBdr>
        <w:top w:val="none" w:sz="0" w:space="0" w:color="auto"/>
        <w:left w:val="none" w:sz="0" w:space="0" w:color="auto"/>
        <w:bottom w:val="none" w:sz="0" w:space="0" w:color="auto"/>
        <w:right w:val="none" w:sz="0" w:space="0" w:color="auto"/>
      </w:divBdr>
    </w:div>
    <w:div w:id="1414887336">
      <w:bodyDiv w:val="1"/>
      <w:marLeft w:val="0"/>
      <w:marRight w:val="0"/>
      <w:marTop w:val="0"/>
      <w:marBottom w:val="0"/>
      <w:divBdr>
        <w:top w:val="none" w:sz="0" w:space="0" w:color="auto"/>
        <w:left w:val="none" w:sz="0" w:space="0" w:color="auto"/>
        <w:bottom w:val="none" w:sz="0" w:space="0" w:color="auto"/>
        <w:right w:val="none" w:sz="0" w:space="0" w:color="auto"/>
      </w:divBdr>
    </w:div>
    <w:div w:id="1415056230">
      <w:bodyDiv w:val="1"/>
      <w:marLeft w:val="0"/>
      <w:marRight w:val="0"/>
      <w:marTop w:val="0"/>
      <w:marBottom w:val="0"/>
      <w:divBdr>
        <w:top w:val="none" w:sz="0" w:space="0" w:color="auto"/>
        <w:left w:val="none" w:sz="0" w:space="0" w:color="auto"/>
        <w:bottom w:val="none" w:sz="0" w:space="0" w:color="auto"/>
        <w:right w:val="none" w:sz="0" w:space="0" w:color="auto"/>
      </w:divBdr>
    </w:div>
    <w:div w:id="1415204753">
      <w:bodyDiv w:val="1"/>
      <w:marLeft w:val="0"/>
      <w:marRight w:val="0"/>
      <w:marTop w:val="0"/>
      <w:marBottom w:val="0"/>
      <w:divBdr>
        <w:top w:val="none" w:sz="0" w:space="0" w:color="auto"/>
        <w:left w:val="none" w:sz="0" w:space="0" w:color="auto"/>
        <w:bottom w:val="none" w:sz="0" w:space="0" w:color="auto"/>
        <w:right w:val="none" w:sz="0" w:space="0" w:color="auto"/>
      </w:divBdr>
    </w:div>
    <w:div w:id="1415278734">
      <w:bodyDiv w:val="1"/>
      <w:marLeft w:val="0"/>
      <w:marRight w:val="0"/>
      <w:marTop w:val="0"/>
      <w:marBottom w:val="0"/>
      <w:divBdr>
        <w:top w:val="none" w:sz="0" w:space="0" w:color="auto"/>
        <w:left w:val="none" w:sz="0" w:space="0" w:color="auto"/>
        <w:bottom w:val="none" w:sz="0" w:space="0" w:color="auto"/>
        <w:right w:val="none" w:sz="0" w:space="0" w:color="auto"/>
      </w:divBdr>
    </w:div>
    <w:div w:id="1415590756">
      <w:bodyDiv w:val="1"/>
      <w:marLeft w:val="0"/>
      <w:marRight w:val="0"/>
      <w:marTop w:val="0"/>
      <w:marBottom w:val="0"/>
      <w:divBdr>
        <w:top w:val="none" w:sz="0" w:space="0" w:color="auto"/>
        <w:left w:val="none" w:sz="0" w:space="0" w:color="auto"/>
        <w:bottom w:val="none" w:sz="0" w:space="0" w:color="auto"/>
        <w:right w:val="none" w:sz="0" w:space="0" w:color="auto"/>
      </w:divBdr>
    </w:div>
    <w:div w:id="1415974842">
      <w:bodyDiv w:val="1"/>
      <w:marLeft w:val="0"/>
      <w:marRight w:val="0"/>
      <w:marTop w:val="0"/>
      <w:marBottom w:val="0"/>
      <w:divBdr>
        <w:top w:val="none" w:sz="0" w:space="0" w:color="auto"/>
        <w:left w:val="none" w:sz="0" w:space="0" w:color="auto"/>
        <w:bottom w:val="none" w:sz="0" w:space="0" w:color="auto"/>
        <w:right w:val="none" w:sz="0" w:space="0" w:color="auto"/>
      </w:divBdr>
    </w:div>
    <w:div w:id="1415977459">
      <w:bodyDiv w:val="1"/>
      <w:marLeft w:val="0"/>
      <w:marRight w:val="0"/>
      <w:marTop w:val="0"/>
      <w:marBottom w:val="0"/>
      <w:divBdr>
        <w:top w:val="none" w:sz="0" w:space="0" w:color="auto"/>
        <w:left w:val="none" w:sz="0" w:space="0" w:color="auto"/>
        <w:bottom w:val="none" w:sz="0" w:space="0" w:color="auto"/>
        <w:right w:val="none" w:sz="0" w:space="0" w:color="auto"/>
      </w:divBdr>
    </w:div>
    <w:div w:id="1416126419">
      <w:bodyDiv w:val="1"/>
      <w:marLeft w:val="0"/>
      <w:marRight w:val="0"/>
      <w:marTop w:val="0"/>
      <w:marBottom w:val="0"/>
      <w:divBdr>
        <w:top w:val="none" w:sz="0" w:space="0" w:color="auto"/>
        <w:left w:val="none" w:sz="0" w:space="0" w:color="auto"/>
        <w:bottom w:val="none" w:sz="0" w:space="0" w:color="auto"/>
        <w:right w:val="none" w:sz="0" w:space="0" w:color="auto"/>
      </w:divBdr>
    </w:div>
    <w:div w:id="1416241332">
      <w:bodyDiv w:val="1"/>
      <w:marLeft w:val="0"/>
      <w:marRight w:val="0"/>
      <w:marTop w:val="0"/>
      <w:marBottom w:val="0"/>
      <w:divBdr>
        <w:top w:val="none" w:sz="0" w:space="0" w:color="auto"/>
        <w:left w:val="none" w:sz="0" w:space="0" w:color="auto"/>
        <w:bottom w:val="none" w:sz="0" w:space="0" w:color="auto"/>
        <w:right w:val="none" w:sz="0" w:space="0" w:color="auto"/>
      </w:divBdr>
    </w:div>
    <w:div w:id="1416585292">
      <w:bodyDiv w:val="1"/>
      <w:marLeft w:val="0"/>
      <w:marRight w:val="0"/>
      <w:marTop w:val="0"/>
      <w:marBottom w:val="0"/>
      <w:divBdr>
        <w:top w:val="none" w:sz="0" w:space="0" w:color="auto"/>
        <w:left w:val="none" w:sz="0" w:space="0" w:color="auto"/>
        <w:bottom w:val="none" w:sz="0" w:space="0" w:color="auto"/>
        <w:right w:val="none" w:sz="0" w:space="0" w:color="auto"/>
      </w:divBdr>
    </w:div>
    <w:div w:id="1416588033">
      <w:bodyDiv w:val="1"/>
      <w:marLeft w:val="0"/>
      <w:marRight w:val="0"/>
      <w:marTop w:val="0"/>
      <w:marBottom w:val="0"/>
      <w:divBdr>
        <w:top w:val="none" w:sz="0" w:space="0" w:color="auto"/>
        <w:left w:val="none" w:sz="0" w:space="0" w:color="auto"/>
        <w:bottom w:val="none" w:sz="0" w:space="0" w:color="auto"/>
        <w:right w:val="none" w:sz="0" w:space="0" w:color="auto"/>
      </w:divBdr>
    </w:div>
    <w:div w:id="1417171249">
      <w:bodyDiv w:val="1"/>
      <w:marLeft w:val="0"/>
      <w:marRight w:val="0"/>
      <w:marTop w:val="0"/>
      <w:marBottom w:val="0"/>
      <w:divBdr>
        <w:top w:val="none" w:sz="0" w:space="0" w:color="auto"/>
        <w:left w:val="none" w:sz="0" w:space="0" w:color="auto"/>
        <w:bottom w:val="none" w:sz="0" w:space="0" w:color="auto"/>
        <w:right w:val="none" w:sz="0" w:space="0" w:color="auto"/>
      </w:divBdr>
    </w:div>
    <w:div w:id="1417826417">
      <w:bodyDiv w:val="1"/>
      <w:marLeft w:val="0"/>
      <w:marRight w:val="0"/>
      <w:marTop w:val="0"/>
      <w:marBottom w:val="0"/>
      <w:divBdr>
        <w:top w:val="none" w:sz="0" w:space="0" w:color="auto"/>
        <w:left w:val="none" w:sz="0" w:space="0" w:color="auto"/>
        <w:bottom w:val="none" w:sz="0" w:space="0" w:color="auto"/>
        <w:right w:val="none" w:sz="0" w:space="0" w:color="auto"/>
      </w:divBdr>
    </w:div>
    <w:div w:id="1418017856">
      <w:bodyDiv w:val="1"/>
      <w:marLeft w:val="0"/>
      <w:marRight w:val="0"/>
      <w:marTop w:val="0"/>
      <w:marBottom w:val="0"/>
      <w:divBdr>
        <w:top w:val="none" w:sz="0" w:space="0" w:color="auto"/>
        <w:left w:val="none" w:sz="0" w:space="0" w:color="auto"/>
        <w:bottom w:val="none" w:sz="0" w:space="0" w:color="auto"/>
        <w:right w:val="none" w:sz="0" w:space="0" w:color="auto"/>
      </w:divBdr>
    </w:div>
    <w:div w:id="1418288568">
      <w:bodyDiv w:val="1"/>
      <w:marLeft w:val="0"/>
      <w:marRight w:val="0"/>
      <w:marTop w:val="0"/>
      <w:marBottom w:val="0"/>
      <w:divBdr>
        <w:top w:val="none" w:sz="0" w:space="0" w:color="auto"/>
        <w:left w:val="none" w:sz="0" w:space="0" w:color="auto"/>
        <w:bottom w:val="none" w:sz="0" w:space="0" w:color="auto"/>
        <w:right w:val="none" w:sz="0" w:space="0" w:color="auto"/>
      </w:divBdr>
    </w:div>
    <w:div w:id="1418356692">
      <w:bodyDiv w:val="1"/>
      <w:marLeft w:val="0"/>
      <w:marRight w:val="0"/>
      <w:marTop w:val="0"/>
      <w:marBottom w:val="0"/>
      <w:divBdr>
        <w:top w:val="none" w:sz="0" w:space="0" w:color="auto"/>
        <w:left w:val="none" w:sz="0" w:space="0" w:color="auto"/>
        <w:bottom w:val="none" w:sz="0" w:space="0" w:color="auto"/>
        <w:right w:val="none" w:sz="0" w:space="0" w:color="auto"/>
      </w:divBdr>
    </w:div>
    <w:div w:id="1419474995">
      <w:bodyDiv w:val="1"/>
      <w:marLeft w:val="0"/>
      <w:marRight w:val="0"/>
      <w:marTop w:val="0"/>
      <w:marBottom w:val="0"/>
      <w:divBdr>
        <w:top w:val="none" w:sz="0" w:space="0" w:color="auto"/>
        <w:left w:val="none" w:sz="0" w:space="0" w:color="auto"/>
        <w:bottom w:val="none" w:sz="0" w:space="0" w:color="auto"/>
        <w:right w:val="none" w:sz="0" w:space="0" w:color="auto"/>
      </w:divBdr>
    </w:div>
    <w:div w:id="1419642480">
      <w:bodyDiv w:val="1"/>
      <w:marLeft w:val="0"/>
      <w:marRight w:val="0"/>
      <w:marTop w:val="0"/>
      <w:marBottom w:val="0"/>
      <w:divBdr>
        <w:top w:val="none" w:sz="0" w:space="0" w:color="auto"/>
        <w:left w:val="none" w:sz="0" w:space="0" w:color="auto"/>
        <w:bottom w:val="none" w:sz="0" w:space="0" w:color="auto"/>
        <w:right w:val="none" w:sz="0" w:space="0" w:color="auto"/>
      </w:divBdr>
    </w:div>
    <w:div w:id="1420101567">
      <w:bodyDiv w:val="1"/>
      <w:marLeft w:val="0"/>
      <w:marRight w:val="0"/>
      <w:marTop w:val="0"/>
      <w:marBottom w:val="0"/>
      <w:divBdr>
        <w:top w:val="none" w:sz="0" w:space="0" w:color="auto"/>
        <w:left w:val="none" w:sz="0" w:space="0" w:color="auto"/>
        <w:bottom w:val="none" w:sz="0" w:space="0" w:color="auto"/>
        <w:right w:val="none" w:sz="0" w:space="0" w:color="auto"/>
      </w:divBdr>
    </w:div>
    <w:div w:id="1421558526">
      <w:bodyDiv w:val="1"/>
      <w:marLeft w:val="0"/>
      <w:marRight w:val="0"/>
      <w:marTop w:val="0"/>
      <w:marBottom w:val="0"/>
      <w:divBdr>
        <w:top w:val="none" w:sz="0" w:space="0" w:color="auto"/>
        <w:left w:val="none" w:sz="0" w:space="0" w:color="auto"/>
        <w:bottom w:val="none" w:sz="0" w:space="0" w:color="auto"/>
        <w:right w:val="none" w:sz="0" w:space="0" w:color="auto"/>
      </w:divBdr>
    </w:div>
    <w:div w:id="1421565996">
      <w:bodyDiv w:val="1"/>
      <w:marLeft w:val="0"/>
      <w:marRight w:val="0"/>
      <w:marTop w:val="0"/>
      <w:marBottom w:val="0"/>
      <w:divBdr>
        <w:top w:val="none" w:sz="0" w:space="0" w:color="auto"/>
        <w:left w:val="none" w:sz="0" w:space="0" w:color="auto"/>
        <w:bottom w:val="none" w:sz="0" w:space="0" w:color="auto"/>
        <w:right w:val="none" w:sz="0" w:space="0" w:color="auto"/>
      </w:divBdr>
    </w:div>
    <w:div w:id="1422096712">
      <w:bodyDiv w:val="1"/>
      <w:marLeft w:val="0"/>
      <w:marRight w:val="0"/>
      <w:marTop w:val="0"/>
      <w:marBottom w:val="0"/>
      <w:divBdr>
        <w:top w:val="none" w:sz="0" w:space="0" w:color="auto"/>
        <w:left w:val="none" w:sz="0" w:space="0" w:color="auto"/>
        <w:bottom w:val="none" w:sz="0" w:space="0" w:color="auto"/>
        <w:right w:val="none" w:sz="0" w:space="0" w:color="auto"/>
      </w:divBdr>
    </w:div>
    <w:div w:id="1422338744">
      <w:bodyDiv w:val="1"/>
      <w:marLeft w:val="0"/>
      <w:marRight w:val="0"/>
      <w:marTop w:val="0"/>
      <w:marBottom w:val="0"/>
      <w:divBdr>
        <w:top w:val="none" w:sz="0" w:space="0" w:color="auto"/>
        <w:left w:val="none" w:sz="0" w:space="0" w:color="auto"/>
        <w:bottom w:val="none" w:sz="0" w:space="0" w:color="auto"/>
        <w:right w:val="none" w:sz="0" w:space="0" w:color="auto"/>
      </w:divBdr>
    </w:div>
    <w:div w:id="1422526860">
      <w:bodyDiv w:val="1"/>
      <w:marLeft w:val="0"/>
      <w:marRight w:val="0"/>
      <w:marTop w:val="0"/>
      <w:marBottom w:val="0"/>
      <w:divBdr>
        <w:top w:val="none" w:sz="0" w:space="0" w:color="auto"/>
        <w:left w:val="none" w:sz="0" w:space="0" w:color="auto"/>
        <w:bottom w:val="none" w:sz="0" w:space="0" w:color="auto"/>
        <w:right w:val="none" w:sz="0" w:space="0" w:color="auto"/>
      </w:divBdr>
    </w:div>
    <w:div w:id="1422529861">
      <w:bodyDiv w:val="1"/>
      <w:marLeft w:val="0"/>
      <w:marRight w:val="0"/>
      <w:marTop w:val="0"/>
      <w:marBottom w:val="0"/>
      <w:divBdr>
        <w:top w:val="none" w:sz="0" w:space="0" w:color="auto"/>
        <w:left w:val="none" w:sz="0" w:space="0" w:color="auto"/>
        <w:bottom w:val="none" w:sz="0" w:space="0" w:color="auto"/>
        <w:right w:val="none" w:sz="0" w:space="0" w:color="auto"/>
      </w:divBdr>
    </w:div>
    <w:div w:id="1422599876">
      <w:bodyDiv w:val="1"/>
      <w:marLeft w:val="0"/>
      <w:marRight w:val="0"/>
      <w:marTop w:val="0"/>
      <w:marBottom w:val="0"/>
      <w:divBdr>
        <w:top w:val="none" w:sz="0" w:space="0" w:color="auto"/>
        <w:left w:val="none" w:sz="0" w:space="0" w:color="auto"/>
        <w:bottom w:val="none" w:sz="0" w:space="0" w:color="auto"/>
        <w:right w:val="none" w:sz="0" w:space="0" w:color="auto"/>
      </w:divBdr>
    </w:div>
    <w:div w:id="1422679174">
      <w:bodyDiv w:val="1"/>
      <w:marLeft w:val="0"/>
      <w:marRight w:val="0"/>
      <w:marTop w:val="0"/>
      <w:marBottom w:val="0"/>
      <w:divBdr>
        <w:top w:val="none" w:sz="0" w:space="0" w:color="auto"/>
        <w:left w:val="none" w:sz="0" w:space="0" w:color="auto"/>
        <w:bottom w:val="none" w:sz="0" w:space="0" w:color="auto"/>
        <w:right w:val="none" w:sz="0" w:space="0" w:color="auto"/>
      </w:divBdr>
    </w:div>
    <w:div w:id="1422919263">
      <w:bodyDiv w:val="1"/>
      <w:marLeft w:val="0"/>
      <w:marRight w:val="0"/>
      <w:marTop w:val="0"/>
      <w:marBottom w:val="0"/>
      <w:divBdr>
        <w:top w:val="none" w:sz="0" w:space="0" w:color="auto"/>
        <w:left w:val="none" w:sz="0" w:space="0" w:color="auto"/>
        <w:bottom w:val="none" w:sz="0" w:space="0" w:color="auto"/>
        <w:right w:val="none" w:sz="0" w:space="0" w:color="auto"/>
      </w:divBdr>
    </w:div>
    <w:div w:id="1423408033">
      <w:bodyDiv w:val="1"/>
      <w:marLeft w:val="0"/>
      <w:marRight w:val="0"/>
      <w:marTop w:val="0"/>
      <w:marBottom w:val="0"/>
      <w:divBdr>
        <w:top w:val="none" w:sz="0" w:space="0" w:color="auto"/>
        <w:left w:val="none" w:sz="0" w:space="0" w:color="auto"/>
        <w:bottom w:val="none" w:sz="0" w:space="0" w:color="auto"/>
        <w:right w:val="none" w:sz="0" w:space="0" w:color="auto"/>
      </w:divBdr>
    </w:div>
    <w:div w:id="1423985667">
      <w:bodyDiv w:val="1"/>
      <w:marLeft w:val="0"/>
      <w:marRight w:val="0"/>
      <w:marTop w:val="0"/>
      <w:marBottom w:val="0"/>
      <w:divBdr>
        <w:top w:val="none" w:sz="0" w:space="0" w:color="auto"/>
        <w:left w:val="none" w:sz="0" w:space="0" w:color="auto"/>
        <w:bottom w:val="none" w:sz="0" w:space="0" w:color="auto"/>
        <w:right w:val="none" w:sz="0" w:space="0" w:color="auto"/>
      </w:divBdr>
    </w:div>
    <w:div w:id="1424452762">
      <w:bodyDiv w:val="1"/>
      <w:marLeft w:val="0"/>
      <w:marRight w:val="0"/>
      <w:marTop w:val="0"/>
      <w:marBottom w:val="0"/>
      <w:divBdr>
        <w:top w:val="none" w:sz="0" w:space="0" w:color="auto"/>
        <w:left w:val="none" w:sz="0" w:space="0" w:color="auto"/>
        <w:bottom w:val="none" w:sz="0" w:space="0" w:color="auto"/>
        <w:right w:val="none" w:sz="0" w:space="0" w:color="auto"/>
      </w:divBdr>
    </w:div>
    <w:div w:id="1424764785">
      <w:bodyDiv w:val="1"/>
      <w:marLeft w:val="0"/>
      <w:marRight w:val="0"/>
      <w:marTop w:val="0"/>
      <w:marBottom w:val="0"/>
      <w:divBdr>
        <w:top w:val="none" w:sz="0" w:space="0" w:color="auto"/>
        <w:left w:val="none" w:sz="0" w:space="0" w:color="auto"/>
        <w:bottom w:val="none" w:sz="0" w:space="0" w:color="auto"/>
        <w:right w:val="none" w:sz="0" w:space="0" w:color="auto"/>
      </w:divBdr>
    </w:div>
    <w:div w:id="1425106901">
      <w:bodyDiv w:val="1"/>
      <w:marLeft w:val="0"/>
      <w:marRight w:val="0"/>
      <w:marTop w:val="0"/>
      <w:marBottom w:val="0"/>
      <w:divBdr>
        <w:top w:val="none" w:sz="0" w:space="0" w:color="auto"/>
        <w:left w:val="none" w:sz="0" w:space="0" w:color="auto"/>
        <w:bottom w:val="none" w:sz="0" w:space="0" w:color="auto"/>
        <w:right w:val="none" w:sz="0" w:space="0" w:color="auto"/>
      </w:divBdr>
    </w:div>
    <w:div w:id="1425220398">
      <w:bodyDiv w:val="1"/>
      <w:marLeft w:val="0"/>
      <w:marRight w:val="0"/>
      <w:marTop w:val="0"/>
      <w:marBottom w:val="0"/>
      <w:divBdr>
        <w:top w:val="none" w:sz="0" w:space="0" w:color="auto"/>
        <w:left w:val="none" w:sz="0" w:space="0" w:color="auto"/>
        <w:bottom w:val="none" w:sz="0" w:space="0" w:color="auto"/>
        <w:right w:val="none" w:sz="0" w:space="0" w:color="auto"/>
      </w:divBdr>
    </w:div>
    <w:div w:id="1426271681">
      <w:bodyDiv w:val="1"/>
      <w:marLeft w:val="0"/>
      <w:marRight w:val="0"/>
      <w:marTop w:val="0"/>
      <w:marBottom w:val="0"/>
      <w:divBdr>
        <w:top w:val="none" w:sz="0" w:space="0" w:color="auto"/>
        <w:left w:val="none" w:sz="0" w:space="0" w:color="auto"/>
        <w:bottom w:val="none" w:sz="0" w:space="0" w:color="auto"/>
        <w:right w:val="none" w:sz="0" w:space="0" w:color="auto"/>
      </w:divBdr>
    </w:div>
    <w:div w:id="1426610629">
      <w:bodyDiv w:val="1"/>
      <w:marLeft w:val="0"/>
      <w:marRight w:val="0"/>
      <w:marTop w:val="0"/>
      <w:marBottom w:val="0"/>
      <w:divBdr>
        <w:top w:val="none" w:sz="0" w:space="0" w:color="auto"/>
        <w:left w:val="none" w:sz="0" w:space="0" w:color="auto"/>
        <w:bottom w:val="none" w:sz="0" w:space="0" w:color="auto"/>
        <w:right w:val="none" w:sz="0" w:space="0" w:color="auto"/>
      </w:divBdr>
    </w:div>
    <w:div w:id="1426611091">
      <w:bodyDiv w:val="1"/>
      <w:marLeft w:val="0"/>
      <w:marRight w:val="0"/>
      <w:marTop w:val="0"/>
      <w:marBottom w:val="0"/>
      <w:divBdr>
        <w:top w:val="none" w:sz="0" w:space="0" w:color="auto"/>
        <w:left w:val="none" w:sz="0" w:space="0" w:color="auto"/>
        <w:bottom w:val="none" w:sz="0" w:space="0" w:color="auto"/>
        <w:right w:val="none" w:sz="0" w:space="0" w:color="auto"/>
      </w:divBdr>
    </w:div>
    <w:div w:id="1427995761">
      <w:bodyDiv w:val="1"/>
      <w:marLeft w:val="0"/>
      <w:marRight w:val="0"/>
      <w:marTop w:val="0"/>
      <w:marBottom w:val="0"/>
      <w:divBdr>
        <w:top w:val="none" w:sz="0" w:space="0" w:color="auto"/>
        <w:left w:val="none" w:sz="0" w:space="0" w:color="auto"/>
        <w:bottom w:val="none" w:sz="0" w:space="0" w:color="auto"/>
        <w:right w:val="none" w:sz="0" w:space="0" w:color="auto"/>
      </w:divBdr>
    </w:div>
    <w:div w:id="1428192823">
      <w:bodyDiv w:val="1"/>
      <w:marLeft w:val="0"/>
      <w:marRight w:val="0"/>
      <w:marTop w:val="0"/>
      <w:marBottom w:val="0"/>
      <w:divBdr>
        <w:top w:val="none" w:sz="0" w:space="0" w:color="auto"/>
        <w:left w:val="none" w:sz="0" w:space="0" w:color="auto"/>
        <w:bottom w:val="none" w:sz="0" w:space="0" w:color="auto"/>
        <w:right w:val="none" w:sz="0" w:space="0" w:color="auto"/>
      </w:divBdr>
    </w:div>
    <w:div w:id="1428579896">
      <w:bodyDiv w:val="1"/>
      <w:marLeft w:val="0"/>
      <w:marRight w:val="0"/>
      <w:marTop w:val="0"/>
      <w:marBottom w:val="0"/>
      <w:divBdr>
        <w:top w:val="none" w:sz="0" w:space="0" w:color="auto"/>
        <w:left w:val="none" w:sz="0" w:space="0" w:color="auto"/>
        <w:bottom w:val="none" w:sz="0" w:space="0" w:color="auto"/>
        <w:right w:val="none" w:sz="0" w:space="0" w:color="auto"/>
      </w:divBdr>
    </w:div>
    <w:div w:id="1428648735">
      <w:bodyDiv w:val="1"/>
      <w:marLeft w:val="0"/>
      <w:marRight w:val="0"/>
      <w:marTop w:val="0"/>
      <w:marBottom w:val="0"/>
      <w:divBdr>
        <w:top w:val="none" w:sz="0" w:space="0" w:color="auto"/>
        <w:left w:val="none" w:sz="0" w:space="0" w:color="auto"/>
        <w:bottom w:val="none" w:sz="0" w:space="0" w:color="auto"/>
        <w:right w:val="none" w:sz="0" w:space="0" w:color="auto"/>
      </w:divBdr>
    </w:div>
    <w:div w:id="1429543869">
      <w:bodyDiv w:val="1"/>
      <w:marLeft w:val="0"/>
      <w:marRight w:val="0"/>
      <w:marTop w:val="0"/>
      <w:marBottom w:val="0"/>
      <w:divBdr>
        <w:top w:val="none" w:sz="0" w:space="0" w:color="auto"/>
        <w:left w:val="none" w:sz="0" w:space="0" w:color="auto"/>
        <w:bottom w:val="none" w:sz="0" w:space="0" w:color="auto"/>
        <w:right w:val="none" w:sz="0" w:space="0" w:color="auto"/>
      </w:divBdr>
    </w:div>
    <w:div w:id="1430158478">
      <w:bodyDiv w:val="1"/>
      <w:marLeft w:val="0"/>
      <w:marRight w:val="0"/>
      <w:marTop w:val="0"/>
      <w:marBottom w:val="0"/>
      <w:divBdr>
        <w:top w:val="none" w:sz="0" w:space="0" w:color="auto"/>
        <w:left w:val="none" w:sz="0" w:space="0" w:color="auto"/>
        <w:bottom w:val="none" w:sz="0" w:space="0" w:color="auto"/>
        <w:right w:val="none" w:sz="0" w:space="0" w:color="auto"/>
      </w:divBdr>
    </w:div>
    <w:div w:id="1430273419">
      <w:bodyDiv w:val="1"/>
      <w:marLeft w:val="0"/>
      <w:marRight w:val="0"/>
      <w:marTop w:val="0"/>
      <w:marBottom w:val="0"/>
      <w:divBdr>
        <w:top w:val="none" w:sz="0" w:space="0" w:color="auto"/>
        <w:left w:val="none" w:sz="0" w:space="0" w:color="auto"/>
        <w:bottom w:val="none" w:sz="0" w:space="0" w:color="auto"/>
        <w:right w:val="none" w:sz="0" w:space="0" w:color="auto"/>
      </w:divBdr>
    </w:div>
    <w:div w:id="1430538915">
      <w:bodyDiv w:val="1"/>
      <w:marLeft w:val="0"/>
      <w:marRight w:val="0"/>
      <w:marTop w:val="0"/>
      <w:marBottom w:val="0"/>
      <w:divBdr>
        <w:top w:val="none" w:sz="0" w:space="0" w:color="auto"/>
        <w:left w:val="none" w:sz="0" w:space="0" w:color="auto"/>
        <w:bottom w:val="none" w:sz="0" w:space="0" w:color="auto"/>
        <w:right w:val="none" w:sz="0" w:space="0" w:color="auto"/>
      </w:divBdr>
    </w:div>
    <w:div w:id="1430615434">
      <w:bodyDiv w:val="1"/>
      <w:marLeft w:val="0"/>
      <w:marRight w:val="0"/>
      <w:marTop w:val="0"/>
      <w:marBottom w:val="0"/>
      <w:divBdr>
        <w:top w:val="none" w:sz="0" w:space="0" w:color="auto"/>
        <w:left w:val="none" w:sz="0" w:space="0" w:color="auto"/>
        <w:bottom w:val="none" w:sz="0" w:space="0" w:color="auto"/>
        <w:right w:val="none" w:sz="0" w:space="0" w:color="auto"/>
      </w:divBdr>
    </w:div>
    <w:div w:id="1430664933">
      <w:bodyDiv w:val="1"/>
      <w:marLeft w:val="0"/>
      <w:marRight w:val="0"/>
      <w:marTop w:val="0"/>
      <w:marBottom w:val="0"/>
      <w:divBdr>
        <w:top w:val="none" w:sz="0" w:space="0" w:color="auto"/>
        <w:left w:val="none" w:sz="0" w:space="0" w:color="auto"/>
        <w:bottom w:val="none" w:sz="0" w:space="0" w:color="auto"/>
        <w:right w:val="none" w:sz="0" w:space="0" w:color="auto"/>
      </w:divBdr>
    </w:div>
    <w:div w:id="1431001053">
      <w:bodyDiv w:val="1"/>
      <w:marLeft w:val="0"/>
      <w:marRight w:val="0"/>
      <w:marTop w:val="0"/>
      <w:marBottom w:val="0"/>
      <w:divBdr>
        <w:top w:val="none" w:sz="0" w:space="0" w:color="auto"/>
        <w:left w:val="none" w:sz="0" w:space="0" w:color="auto"/>
        <w:bottom w:val="none" w:sz="0" w:space="0" w:color="auto"/>
        <w:right w:val="none" w:sz="0" w:space="0" w:color="auto"/>
      </w:divBdr>
    </w:div>
    <w:div w:id="1431776998">
      <w:bodyDiv w:val="1"/>
      <w:marLeft w:val="0"/>
      <w:marRight w:val="0"/>
      <w:marTop w:val="0"/>
      <w:marBottom w:val="0"/>
      <w:divBdr>
        <w:top w:val="none" w:sz="0" w:space="0" w:color="auto"/>
        <w:left w:val="none" w:sz="0" w:space="0" w:color="auto"/>
        <w:bottom w:val="none" w:sz="0" w:space="0" w:color="auto"/>
        <w:right w:val="none" w:sz="0" w:space="0" w:color="auto"/>
      </w:divBdr>
    </w:div>
    <w:div w:id="1432580533">
      <w:bodyDiv w:val="1"/>
      <w:marLeft w:val="0"/>
      <w:marRight w:val="0"/>
      <w:marTop w:val="0"/>
      <w:marBottom w:val="0"/>
      <w:divBdr>
        <w:top w:val="none" w:sz="0" w:space="0" w:color="auto"/>
        <w:left w:val="none" w:sz="0" w:space="0" w:color="auto"/>
        <w:bottom w:val="none" w:sz="0" w:space="0" w:color="auto"/>
        <w:right w:val="none" w:sz="0" w:space="0" w:color="auto"/>
      </w:divBdr>
    </w:div>
    <w:div w:id="1432581701">
      <w:bodyDiv w:val="1"/>
      <w:marLeft w:val="0"/>
      <w:marRight w:val="0"/>
      <w:marTop w:val="0"/>
      <w:marBottom w:val="0"/>
      <w:divBdr>
        <w:top w:val="none" w:sz="0" w:space="0" w:color="auto"/>
        <w:left w:val="none" w:sz="0" w:space="0" w:color="auto"/>
        <w:bottom w:val="none" w:sz="0" w:space="0" w:color="auto"/>
        <w:right w:val="none" w:sz="0" w:space="0" w:color="auto"/>
      </w:divBdr>
    </w:div>
    <w:div w:id="1432704763">
      <w:bodyDiv w:val="1"/>
      <w:marLeft w:val="0"/>
      <w:marRight w:val="0"/>
      <w:marTop w:val="0"/>
      <w:marBottom w:val="0"/>
      <w:divBdr>
        <w:top w:val="none" w:sz="0" w:space="0" w:color="auto"/>
        <w:left w:val="none" w:sz="0" w:space="0" w:color="auto"/>
        <w:bottom w:val="none" w:sz="0" w:space="0" w:color="auto"/>
        <w:right w:val="none" w:sz="0" w:space="0" w:color="auto"/>
      </w:divBdr>
    </w:div>
    <w:div w:id="1433167616">
      <w:bodyDiv w:val="1"/>
      <w:marLeft w:val="0"/>
      <w:marRight w:val="0"/>
      <w:marTop w:val="0"/>
      <w:marBottom w:val="0"/>
      <w:divBdr>
        <w:top w:val="none" w:sz="0" w:space="0" w:color="auto"/>
        <w:left w:val="none" w:sz="0" w:space="0" w:color="auto"/>
        <w:bottom w:val="none" w:sz="0" w:space="0" w:color="auto"/>
        <w:right w:val="none" w:sz="0" w:space="0" w:color="auto"/>
      </w:divBdr>
    </w:div>
    <w:div w:id="1433818496">
      <w:bodyDiv w:val="1"/>
      <w:marLeft w:val="0"/>
      <w:marRight w:val="0"/>
      <w:marTop w:val="0"/>
      <w:marBottom w:val="0"/>
      <w:divBdr>
        <w:top w:val="none" w:sz="0" w:space="0" w:color="auto"/>
        <w:left w:val="none" w:sz="0" w:space="0" w:color="auto"/>
        <w:bottom w:val="none" w:sz="0" w:space="0" w:color="auto"/>
        <w:right w:val="none" w:sz="0" w:space="0" w:color="auto"/>
      </w:divBdr>
    </w:div>
    <w:div w:id="1433892488">
      <w:bodyDiv w:val="1"/>
      <w:marLeft w:val="0"/>
      <w:marRight w:val="0"/>
      <w:marTop w:val="0"/>
      <w:marBottom w:val="0"/>
      <w:divBdr>
        <w:top w:val="none" w:sz="0" w:space="0" w:color="auto"/>
        <w:left w:val="none" w:sz="0" w:space="0" w:color="auto"/>
        <w:bottom w:val="none" w:sz="0" w:space="0" w:color="auto"/>
        <w:right w:val="none" w:sz="0" w:space="0" w:color="auto"/>
      </w:divBdr>
    </w:div>
    <w:div w:id="1434012723">
      <w:bodyDiv w:val="1"/>
      <w:marLeft w:val="0"/>
      <w:marRight w:val="0"/>
      <w:marTop w:val="0"/>
      <w:marBottom w:val="0"/>
      <w:divBdr>
        <w:top w:val="none" w:sz="0" w:space="0" w:color="auto"/>
        <w:left w:val="none" w:sz="0" w:space="0" w:color="auto"/>
        <w:bottom w:val="none" w:sz="0" w:space="0" w:color="auto"/>
        <w:right w:val="none" w:sz="0" w:space="0" w:color="auto"/>
      </w:divBdr>
    </w:div>
    <w:div w:id="1434932499">
      <w:bodyDiv w:val="1"/>
      <w:marLeft w:val="0"/>
      <w:marRight w:val="0"/>
      <w:marTop w:val="0"/>
      <w:marBottom w:val="0"/>
      <w:divBdr>
        <w:top w:val="none" w:sz="0" w:space="0" w:color="auto"/>
        <w:left w:val="none" w:sz="0" w:space="0" w:color="auto"/>
        <w:bottom w:val="none" w:sz="0" w:space="0" w:color="auto"/>
        <w:right w:val="none" w:sz="0" w:space="0" w:color="auto"/>
      </w:divBdr>
    </w:div>
    <w:div w:id="1435134186">
      <w:bodyDiv w:val="1"/>
      <w:marLeft w:val="0"/>
      <w:marRight w:val="0"/>
      <w:marTop w:val="0"/>
      <w:marBottom w:val="0"/>
      <w:divBdr>
        <w:top w:val="none" w:sz="0" w:space="0" w:color="auto"/>
        <w:left w:val="none" w:sz="0" w:space="0" w:color="auto"/>
        <w:bottom w:val="none" w:sz="0" w:space="0" w:color="auto"/>
        <w:right w:val="none" w:sz="0" w:space="0" w:color="auto"/>
      </w:divBdr>
    </w:div>
    <w:div w:id="1435321055">
      <w:bodyDiv w:val="1"/>
      <w:marLeft w:val="0"/>
      <w:marRight w:val="0"/>
      <w:marTop w:val="0"/>
      <w:marBottom w:val="0"/>
      <w:divBdr>
        <w:top w:val="none" w:sz="0" w:space="0" w:color="auto"/>
        <w:left w:val="none" w:sz="0" w:space="0" w:color="auto"/>
        <w:bottom w:val="none" w:sz="0" w:space="0" w:color="auto"/>
        <w:right w:val="none" w:sz="0" w:space="0" w:color="auto"/>
      </w:divBdr>
    </w:div>
    <w:div w:id="1435443493">
      <w:bodyDiv w:val="1"/>
      <w:marLeft w:val="0"/>
      <w:marRight w:val="0"/>
      <w:marTop w:val="0"/>
      <w:marBottom w:val="0"/>
      <w:divBdr>
        <w:top w:val="none" w:sz="0" w:space="0" w:color="auto"/>
        <w:left w:val="none" w:sz="0" w:space="0" w:color="auto"/>
        <w:bottom w:val="none" w:sz="0" w:space="0" w:color="auto"/>
        <w:right w:val="none" w:sz="0" w:space="0" w:color="auto"/>
      </w:divBdr>
    </w:div>
    <w:div w:id="1435713977">
      <w:bodyDiv w:val="1"/>
      <w:marLeft w:val="0"/>
      <w:marRight w:val="0"/>
      <w:marTop w:val="0"/>
      <w:marBottom w:val="0"/>
      <w:divBdr>
        <w:top w:val="none" w:sz="0" w:space="0" w:color="auto"/>
        <w:left w:val="none" w:sz="0" w:space="0" w:color="auto"/>
        <w:bottom w:val="none" w:sz="0" w:space="0" w:color="auto"/>
        <w:right w:val="none" w:sz="0" w:space="0" w:color="auto"/>
      </w:divBdr>
    </w:div>
    <w:div w:id="1436055774">
      <w:bodyDiv w:val="1"/>
      <w:marLeft w:val="0"/>
      <w:marRight w:val="0"/>
      <w:marTop w:val="0"/>
      <w:marBottom w:val="0"/>
      <w:divBdr>
        <w:top w:val="none" w:sz="0" w:space="0" w:color="auto"/>
        <w:left w:val="none" w:sz="0" w:space="0" w:color="auto"/>
        <w:bottom w:val="none" w:sz="0" w:space="0" w:color="auto"/>
        <w:right w:val="none" w:sz="0" w:space="0" w:color="auto"/>
      </w:divBdr>
    </w:div>
    <w:div w:id="1436056479">
      <w:bodyDiv w:val="1"/>
      <w:marLeft w:val="0"/>
      <w:marRight w:val="0"/>
      <w:marTop w:val="0"/>
      <w:marBottom w:val="0"/>
      <w:divBdr>
        <w:top w:val="none" w:sz="0" w:space="0" w:color="auto"/>
        <w:left w:val="none" w:sz="0" w:space="0" w:color="auto"/>
        <w:bottom w:val="none" w:sz="0" w:space="0" w:color="auto"/>
        <w:right w:val="none" w:sz="0" w:space="0" w:color="auto"/>
      </w:divBdr>
    </w:div>
    <w:div w:id="1436360220">
      <w:bodyDiv w:val="1"/>
      <w:marLeft w:val="0"/>
      <w:marRight w:val="0"/>
      <w:marTop w:val="0"/>
      <w:marBottom w:val="0"/>
      <w:divBdr>
        <w:top w:val="none" w:sz="0" w:space="0" w:color="auto"/>
        <w:left w:val="none" w:sz="0" w:space="0" w:color="auto"/>
        <w:bottom w:val="none" w:sz="0" w:space="0" w:color="auto"/>
        <w:right w:val="none" w:sz="0" w:space="0" w:color="auto"/>
      </w:divBdr>
    </w:div>
    <w:div w:id="1436444523">
      <w:bodyDiv w:val="1"/>
      <w:marLeft w:val="0"/>
      <w:marRight w:val="0"/>
      <w:marTop w:val="0"/>
      <w:marBottom w:val="0"/>
      <w:divBdr>
        <w:top w:val="none" w:sz="0" w:space="0" w:color="auto"/>
        <w:left w:val="none" w:sz="0" w:space="0" w:color="auto"/>
        <w:bottom w:val="none" w:sz="0" w:space="0" w:color="auto"/>
        <w:right w:val="none" w:sz="0" w:space="0" w:color="auto"/>
      </w:divBdr>
    </w:div>
    <w:div w:id="1436562432">
      <w:bodyDiv w:val="1"/>
      <w:marLeft w:val="0"/>
      <w:marRight w:val="0"/>
      <w:marTop w:val="0"/>
      <w:marBottom w:val="0"/>
      <w:divBdr>
        <w:top w:val="none" w:sz="0" w:space="0" w:color="auto"/>
        <w:left w:val="none" w:sz="0" w:space="0" w:color="auto"/>
        <w:bottom w:val="none" w:sz="0" w:space="0" w:color="auto"/>
        <w:right w:val="none" w:sz="0" w:space="0" w:color="auto"/>
      </w:divBdr>
    </w:div>
    <w:div w:id="1437288047">
      <w:bodyDiv w:val="1"/>
      <w:marLeft w:val="0"/>
      <w:marRight w:val="0"/>
      <w:marTop w:val="0"/>
      <w:marBottom w:val="0"/>
      <w:divBdr>
        <w:top w:val="none" w:sz="0" w:space="0" w:color="auto"/>
        <w:left w:val="none" w:sz="0" w:space="0" w:color="auto"/>
        <w:bottom w:val="none" w:sz="0" w:space="0" w:color="auto"/>
        <w:right w:val="none" w:sz="0" w:space="0" w:color="auto"/>
      </w:divBdr>
    </w:div>
    <w:div w:id="1437482759">
      <w:bodyDiv w:val="1"/>
      <w:marLeft w:val="0"/>
      <w:marRight w:val="0"/>
      <w:marTop w:val="0"/>
      <w:marBottom w:val="0"/>
      <w:divBdr>
        <w:top w:val="none" w:sz="0" w:space="0" w:color="auto"/>
        <w:left w:val="none" w:sz="0" w:space="0" w:color="auto"/>
        <w:bottom w:val="none" w:sz="0" w:space="0" w:color="auto"/>
        <w:right w:val="none" w:sz="0" w:space="0" w:color="auto"/>
      </w:divBdr>
    </w:div>
    <w:div w:id="1437485963">
      <w:bodyDiv w:val="1"/>
      <w:marLeft w:val="0"/>
      <w:marRight w:val="0"/>
      <w:marTop w:val="0"/>
      <w:marBottom w:val="0"/>
      <w:divBdr>
        <w:top w:val="none" w:sz="0" w:space="0" w:color="auto"/>
        <w:left w:val="none" w:sz="0" w:space="0" w:color="auto"/>
        <w:bottom w:val="none" w:sz="0" w:space="0" w:color="auto"/>
        <w:right w:val="none" w:sz="0" w:space="0" w:color="auto"/>
      </w:divBdr>
    </w:div>
    <w:div w:id="1438140336">
      <w:bodyDiv w:val="1"/>
      <w:marLeft w:val="0"/>
      <w:marRight w:val="0"/>
      <w:marTop w:val="0"/>
      <w:marBottom w:val="0"/>
      <w:divBdr>
        <w:top w:val="none" w:sz="0" w:space="0" w:color="auto"/>
        <w:left w:val="none" w:sz="0" w:space="0" w:color="auto"/>
        <w:bottom w:val="none" w:sz="0" w:space="0" w:color="auto"/>
        <w:right w:val="none" w:sz="0" w:space="0" w:color="auto"/>
      </w:divBdr>
    </w:div>
    <w:div w:id="1438789807">
      <w:bodyDiv w:val="1"/>
      <w:marLeft w:val="0"/>
      <w:marRight w:val="0"/>
      <w:marTop w:val="0"/>
      <w:marBottom w:val="0"/>
      <w:divBdr>
        <w:top w:val="none" w:sz="0" w:space="0" w:color="auto"/>
        <w:left w:val="none" w:sz="0" w:space="0" w:color="auto"/>
        <w:bottom w:val="none" w:sz="0" w:space="0" w:color="auto"/>
        <w:right w:val="none" w:sz="0" w:space="0" w:color="auto"/>
      </w:divBdr>
    </w:div>
    <w:div w:id="1438980976">
      <w:bodyDiv w:val="1"/>
      <w:marLeft w:val="0"/>
      <w:marRight w:val="0"/>
      <w:marTop w:val="0"/>
      <w:marBottom w:val="0"/>
      <w:divBdr>
        <w:top w:val="none" w:sz="0" w:space="0" w:color="auto"/>
        <w:left w:val="none" w:sz="0" w:space="0" w:color="auto"/>
        <w:bottom w:val="none" w:sz="0" w:space="0" w:color="auto"/>
        <w:right w:val="none" w:sz="0" w:space="0" w:color="auto"/>
      </w:divBdr>
    </w:div>
    <w:div w:id="1438987884">
      <w:bodyDiv w:val="1"/>
      <w:marLeft w:val="0"/>
      <w:marRight w:val="0"/>
      <w:marTop w:val="0"/>
      <w:marBottom w:val="0"/>
      <w:divBdr>
        <w:top w:val="none" w:sz="0" w:space="0" w:color="auto"/>
        <w:left w:val="none" w:sz="0" w:space="0" w:color="auto"/>
        <w:bottom w:val="none" w:sz="0" w:space="0" w:color="auto"/>
        <w:right w:val="none" w:sz="0" w:space="0" w:color="auto"/>
      </w:divBdr>
    </w:div>
    <w:div w:id="1439907391">
      <w:bodyDiv w:val="1"/>
      <w:marLeft w:val="0"/>
      <w:marRight w:val="0"/>
      <w:marTop w:val="0"/>
      <w:marBottom w:val="0"/>
      <w:divBdr>
        <w:top w:val="none" w:sz="0" w:space="0" w:color="auto"/>
        <w:left w:val="none" w:sz="0" w:space="0" w:color="auto"/>
        <w:bottom w:val="none" w:sz="0" w:space="0" w:color="auto"/>
        <w:right w:val="none" w:sz="0" w:space="0" w:color="auto"/>
      </w:divBdr>
    </w:div>
    <w:div w:id="1440566521">
      <w:bodyDiv w:val="1"/>
      <w:marLeft w:val="0"/>
      <w:marRight w:val="0"/>
      <w:marTop w:val="0"/>
      <w:marBottom w:val="0"/>
      <w:divBdr>
        <w:top w:val="none" w:sz="0" w:space="0" w:color="auto"/>
        <w:left w:val="none" w:sz="0" w:space="0" w:color="auto"/>
        <w:bottom w:val="none" w:sz="0" w:space="0" w:color="auto"/>
        <w:right w:val="none" w:sz="0" w:space="0" w:color="auto"/>
      </w:divBdr>
    </w:div>
    <w:div w:id="1440643340">
      <w:bodyDiv w:val="1"/>
      <w:marLeft w:val="0"/>
      <w:marRight w:val="0"/>
      <w:marTop w:val="0"/>
      <w:marBottom w:val="0"/>
      <w:divBdr>
        <w:top w:val="none" w:sz="0" w:space="0" w:color="auto"/>
        <w:left w:val="none" w:sz="0" w:space="0" w:color="auto"/>
        <w:bottom w:val="none" w:sz="0" w:space="0" w:color="auto"/>
        <w:right w:val="none" w:sz="0" w:space="0" w:color="auto"/>
      </w:divBdr>
    </w:div>
    <w:div w:id="1441992823">
      <w:bodyDiv w:val="1"/>
      <w:marLeft w:val="0"/>
      <w:marRight w:val="0"/>
      <w:marTop w:val="0"/>
      <w:marBottom w:val="0"/>
      <w:divBdr>
        <w:top w:val="none" w:sz="0" w:space="0" w:color="auto"/>
        <w:left w:val="none" w:sz="0" w:space="0" w:color="auto"/>
        <w:bottom w:val="none" w:sz="0" w:space="0" w:color="auto"/>
        <w:right w:val="none" w:sz="0" w:space="0" w:color="auto"/>
      </w:divBdr>
    </w:div>
    <w:div w:id="1442607782">
      <w:bodyDiv w:val="1"/>
      <w:marLeft w:val="0"/>
      <w:marRight w:val="0"/>
      <w:marTop w:val="0"/>
      <w:marBottom w:val="0"/>
      <w:divBdr>
        <w:top w:val="none" w:sz="0" w:space="0" w:color="auto"/>
        <w:left w:val="none" w:sz="0" w:space="0" w:color="auto"/>
        <w:bottom w:val="none" w:sz="0" w:space="0" w:color="auto"/>
        <w:right w:val="none" w:sz="0" w:space="0" w:color="auto"/>
      </w:divBdr>
    </w:div>
    <w:div w:id="1442798042">
      <w:bodyDiv w:val="1"/>
      <w:marLeft w:val="0"/>
      <w:marRight w:val="0"/>
      <w:marTop w:val="0"/>
      <w:marBottom w:val="0"/>
      <w:divBdr>
        <w:top w:val="none" w:sz="0" w:space="0" w:color="auto"/>
        <w:left w:val="none" w:sz="0" w:space="0" w:color="auto"/>
        <w:bottom w:val="none" w:sz="0" w:space="0" w:color="auto"/>
        <w:right w:val="none" w:sz="0" w:space="0" w:color="auto"/>
      </w:divBdr>
    </w:div>
    <w:div w:id="1442842127">
      <w:bodyDiv w:val="1"/>
      <w:marLeft w:val="0"/>
      <w:marRight w:val="0"/>
      <w:marTop w:val="0"/>
      <w:marBottom w:val="0"/>
      <w:divBdr>
        <w:top w:val="none" w:sz="0" w:space="0" w:color="auto"/>
        <w:left w:val="none" w:sz="0" w:space="0" w:color="auto"/>
        <w:bottom w:val="none" w:sz="0" w:space="0" w:color="auto"/>
        <w:right w:val="none" w:sz="0" w:space="0" w:color="auto"/>
      </w:divBdr>
    </w:div>
    <w:div w:id="1442914258">
      <w:bodyDiv w:val="1"/>
      <w:marLeft w:val="0"/>
      <w:marRight w:val="0"/>
      <w:marTop w:val="0"/>
      <w:marBottom w:val="0"/>
      <w:divBdr>
        <w:top w:val="none" w:sz="0" w:space="0" w:color="auto"/>
        <w:left w:val="none" w:sz="0" w:space="0" w:color="auto"/>
        <w:bottom w:val="none" w:sz="0" w:space="0" w:color="auto"/>
        <w:right w:val="none" w:sz="0" w:space="0" w:color="auto"/>
      </w:divBdr>
    </w:div>
    <w:div w:id="1443181380">
      <w:bodyDiv w:val="1"/>
      <w:marLeft w:val="0"/>
      <w:marRight w:val="0"/>
      <w:marTop w:val="0"/>
      <w:marBottom w:val="0"/>
      <w:divBdr>
        <w:top w:val="none" w:sz="0" w:space="0" w:color="auto"/>
        <w:left w:val="none" w:sz="0" w:space="0" w:color="auto"/>
        <w:bottom w:val="none" w:sz="0" w:space="0" w:color="auto"/>
        <w:right w:val="none" w:sz="0" w:space="0" w:color="auto"/>
      </w:divBdr>
    </w:div>
    <w:div w:id="1443262212">
      <w:bodyDiv w:val="1"/>
      <w:marLeft w:val="0"/>
      <w:marRight w:val="0"/>
      <w:marTop w:val="0"/>
      <w:marBottom w:val="0"/>
      <w:divBdr>
        <w:top w:val="none" w:sz="0" w:space="0" w:color="auto"/>
        <w:left w:val="none" w:sz="0" w:space="0" w:color="auto"/>
        <w:bottom w:val="none" w:sz="0" w:space="0" w:color="auto"/>
        <w:right w:val="none" w:sz="0" w:space="0" w:color="auto"/>
      </w:divBdr>
    </w:div>
    <w:div w:id="1443576625">
      <w:bodyDiv w:val="1"/>
      <w:marLeft w:val="0"/>
      <w:marRight w:val="0"/>
      <w:marTop w:val="0"/>
      <w:marBottom w:val="0"/>
      <w:divBdr>
        <w:top w:val="none" w:sz="0" w:space="0" w:color="auto"/>
        <w:left w:val="none" w:sz="0" w:space="0" w:color="auto"/>
        <w:bottom w:val="none" w:sz="0" w:space="0" w:color="auto"/>
        <w:right w:val="none" w:sz="0" w:space="0" w:color="auto"/>
      </w:divBdr>
    </w:div>
    <w:div w:id="1444037045">
      <w:bodyDiv w:val="1"/>
      <w:marLeft w:val="0"/>
      <w:marRight w:val="0"/>
      <w:marTop w:val="0"/>
      <w:marBottom w:val="0"/>
      <w:divBdr>
        <w:top w:val="none" w:sz="0" w:space="0" w:color="auto"/>
        <w:left w:val="none" w:sz="0" w:space="0" w:color="auto"/>
        <w:bottom w:val="none" w:sz="0" w:space="0" w:color="auto"/>
        <w:right w:val="none" w:sz="0" w:space="0" w:color="auto"/>
      </w:divBdr>
    </w:div>
    <w:div w:id="1444223229">
      <w:bodyDiv w:val="1"/>
      <w:marLeft w:val="0"/>
      <w:marRight w:val="0"/>
      <w:marTop w:val="0"/>
      <w:marBottom w:val="0"/>
      <w:divBdr>
        <w:top w:val="none" w:sz="0" w:space="0" w:color="auto"/>
        <w:left w:val="none" w:sz="0" w:space="0" w:color="auto"/>
        <w:bottom w:val="none" w:sz="0" w:space="0" w:color="auto"/>
        <w:right w:val="none" w:sz="0" w:space="0" w:color="auto"/>
      </w:divBdr>
    </w:div>
    <w:div w:id="1444497565">
      <w:bodyDiv w:val="1"/>
      <w:marLeft w:val="0"/>
      <w:marRight w:val="0"/>
      <w:marTop w:val="0"/>
      <w:marBottom w:val="0"/>
      <w:divBdr>
        <w:top w:val="none" w:sz="0" w:space="0" w:color="auto"/>
        <w:left w:val="none" w:sz="0" w:space="0" w:color="auto"/>
        <w:bottom w:val="none" w:sz="0" w:space="0" w:color="auto"/>
        <w:right w:val="none" w:sz="0" w:space="0" w:color="auto"/>
      </w:divBdr>
    </w:div>
    <w:div w:id="1444612641">
      <w:bodyDiv w:val="1"/>
      <w:marLeft w:val="0"/>
      <w:marRight w:val="0"/>
      <w:marTop w:val="0"/>
      <w:marBottom w:val="0"/>
      <w:divBdr>
        <w:top w:val="none" w:sz="0" w:space="0" w:color="auto"/>
        <w:left w:val="none" w:sz="0" w:space="0" w:color="auto"/>
        <w:bottom w:val="none" w:sz="0" w:space="0" w:color="auto"/>
        <w:right w:val="none" w:sz="0" w:space="0" w:color="auto"/>
      </w:divBdr>
    </w:div>
    <w:div w:id="1444806810">
      <w:bodyDiv w:val="1"/>
      <w:marLeft w:val="0"/>
      <w:marRight w:val="0"/>
      <w:marTop w:val="0"/>
      <w:marBottom w:val="0"/>
      <w:divBdr>
        <w:top w:val="none" w:sz="0" w:space="0" w:color="auto"/>
        <w:left w:val="none" w:sz="0" w:space="0" w:color="auto"/>
        <w:bottom w:val="none" w:sz="0" w:space="0" w:color="auto"/>
        <w:right w:val="none" w:sz="0" w:space="0" w:color="auto"/>
      </w:divBdr>
    </w:div>
    <w:div w:id="1444879391">
      <w:bodyDiv w:val="1"/>
      <w:marLeft w:val="0"/>
      <w:marRight w:val="0"/>
      <w:marTop w:val="0"/>
      <w:marBottom w:val="0"/>
      <w:divBdr>
        <w:top w:val="none" w:sz="0" w:space="0" w:color="auto"/>
        <w:left w:val="none" w:sz="0" w:space="0" w:color="auto"/>
        <w:bottom w:val="none" w:sz="0" w:space="0" w:color="auto"/>
        <w:right w:val="none" w:sz="0" w:space="0" w:color="auto"/>
      </w:divBdr>
    </w:div>
    <w:div w:id="1445348493">
      <w:bodyDiv w:val="1"/>
      <w:marLeft w:val="0"/>
      <w:marRight w:val="0"/>
      <w:marTop w:val="0"/>
      <w:marBottom w:val="0"/>
      <w:divBdr>
        <w:top w:val="none" w:sz="0" w:space="0" w:color="auto"/>
        <w:left w:val="none" w:sz="0" w:space="0" w:color="auto"/>
        <w:bottom w:val="none" w:sz="0" w:space="0" w:color="auto"/>
        <w:right w:val="none" w:sz="0" w:space="0" w:color="auto"/>
      </w:divBdr>
    </w:div>
    <w:div w:id="1445417463">
      <w:bodyDiv w:val="1"/>
      <w:marLeft w:val="0"/>
      <w:marRight w:val="0"/>
      <w:marTop w:val="0"/>
      <w:marBottom w:val="0"/>
      <w:divBdr>
        <w:top w:val="none" w:sz="0" w:space="0" w:color="auto"/>
        <w:left w:val="none" w:sz="0" w:space="0" w:color="auto"/>
        <w:bottom w:val="none" w:sz="0" w:space="0" w:color="auto"/>
        <w:right w:val="none" w:sz="0" w:space="0" w:color="auto"/>
      </w:divBdr>
    </w:div>
    <w:div w:id="1446147813">
      <w:bodyDiv w:val="1"/>
      <w:marLeft w:val="0"/>
      <w:marRight w:val="0"/>
      <w:marTop w:val="0"/>
      <w:marBottom w:val="0"/>
      <w:divBdr>
        <w:top w:val="none" w:sz="0" w:space="0" w:color="auto"/>
        <w:left w:val="none" w:sz="0" w:space="0" w:color="auto"/>
        <w:bottom w:val="none" w:sz="0" w:space="0" w:color="auto"/>
        <w:right w:val="none" w:sz="0" w:space="0" w:color="auto"/>
      </w:divBdr>
    </w:div>
    <w:div w:id="1446533708">
      <w:bodyDiv w:val="1"/>
      <w:marLeft w:val="0"/>
      <w:marRight w:val="0"/>
      <w:marTop w:val="0"/>
      <w:marBottom w:val="0"/>
      <w:divBdr>
        <w:top w:val="none" w:sz="0" w:space="0" w:color="auto"/>
        <w:left w:val="none" w:sz="0" w:space="0" w:color="auto"/>
        <w:bottom w:val="none" w:sz="0" w:space="0" w:color="auto"/>
        <w:right w:val="none" w:sz="0" w:space="0" w:color="auto"/>
      </w:divBdr>
    </w:div>
    <w:div w:id="1446654360">
      <w:bodyDiv w:val="1"/>
      <w:marLeft w:val="0"/>
      <w:marRight w:val="0"/>
      <w:marTop w:val="0"/>
      <w:marBottom w:val="0"/>
      <w:divBdr>
        <w:top w:val="none" w:sz="0" w:space="0" w:color="auto"/>
        <w:left w:val="none" w:sz="0" w:space="0" w:color="auto"/>
        <w:bottom w:val="none" w:sz="0" w:space="0" w:color="auto"/>
        <w:right w:val="none" w:sz="0" w:space="0" w:color="auto"/>
      </w:divBdr>
    </w:div>
    <w:div w:id="1447046256">
      <w:bodyDiv w:val="1"/>
      <w:marLeft w:val="0"/>
      <w:marRight w:val="0"/>
      <w:marTop w:val="0"/>
      <w:marBottom w:val="0"/>
      <w:divBdr>
        <w:top w:val="none" w:sz="0" w:space="0" w:color="auto"/>
        <w:left w:val="none" w:sz="0" w:space="0" w:color="auto"/>
        <w:bottom w:val="none" w:sz="0" w:space="0" w:color="auto"/>
        <w:right w:val="none" w:sz="0" w:space="0" w:color="auto"/>
      </w:divBdr>
    </w:div>
    <w:div w:id="1448231833">
      <w:bodyDiv w:val="1"/>
      <w:marLeft w:val="0"/>
      <w:marRight w:val="0"/>
      <w:marTop w:val="0"/>
      <w:marBottom w:val="0"/>
      <w:divBdr>
        <w:top w:val="none" w:sz="0" w:space="0" w:color="auto"/>
        <w:left w:val="none" w:sz="0" w:space="0" w:color="auto"/>
        <w:bottom w:val="none" w:sz="0" w:space="0" w:color="auto"/>
        <w:right w:val="none" w:sz="0" w:space="0" w:color="auto"/>
      </w:divBdr>
    </w:div>
    <w:div w:id="1448307308">
      <w:bodyDiv w:val="1"/>
      <w:marLeft w:val="0"/>
      <w:marRight w:val="0"/>
      <w:marTop w:val="0"/>
      <w:marBottom w:val="0"/>
      <w:divBdr>
        <w:top w:val="none" w:sz="0" w:space="0" w:color="auto"/>
        <w:left w:val="none" w:sz="0" w:space="0" w:color="auto"/>
        <w:bottom w:val="none" w:sz="0" w:space="0" w:color="auto"/>
        <w:right w:val="none" w:sz="0" w:space="0" w:color="auto"/>
      </w:divBdr>
    </w:div>
    <w:div w:id="1448351300">
      <w:bodyDiv w:val="1"/>
      <w:marLeft w:val="0"/>
      <w:marRight w:val="0"/>
      <w:marTop w:val="0"/>
      <w:marBottom w:val="0"/>
      <w:divBdr>
        <w:top w:val="none" w:sz="0" w:space="0" w:color="auto"/>
        <w:left w:val="none" w:sz="0" w:space="0" w:color="auto"/>
        <w:bottom w:val="none" w:sz="0" w:space="0" w:color="auto"/>
        <w:right w:val="none" w:sz="0" w:space="0" w:color="auto"/>
      </w:divBdr>
    </w:div>
    <w:div w:id="1448357630">
      <w:bodyDiv w:val="1"/>
      <w:marLeft w:val="0"/>
      <w:marRight w:val="0"/>
      <w:marTop w:val="0"/>
      <w:marBottom w:val="0"/>
      <w:divBdr>
        <w:top w:val="none" w:sz="0" w:space="0" w:color="auto"/>
        <w:left w:val="none" w:sz="0" w:space="0" w:color="auto"/>
        <w:bottom w:val="none" w:sz="0" w:space="0" w:color="auto"/>
        <w:right w:val="none" w:sz="0" w:space="0" w:color="auto"/>
      </w:divBdr>
    </w:div>
    <w:div w:id="1448696814">
      <w:bodyDiv w:val="1"/>
      <w:marLeft w:val="0"/>
      <w:marRight w:val="0"/>
      <w:marTop w:val="0"/>
      <w:marBottom w:val="0"/>
      <w:divBdr>
        <w:top w:val="none" w:sz="0" w:space="0" w:color="auto"/>
        <w:left w:val="none" w:sz="0" w:space="0" w:color="auto"/>
        <w:bottom w:val="none" w:sz="0" w:space="0" w:color="auto"/>
        <w:right w:val="none" w:sz="0" w:space="0" w:color="auto"/>
      </w:divBdr>
    </w:div>
    <w:div w:id="1449203363">
      <w:bodyDiv w:val="1"/>
      <w:marLeft w:val="0"/>
      <w:marRight w:val="0"/>
      <w:marTop w:val="0"/>
      <w:marBottom w:val="0"/>
      <w:divBdr>
        <w:top w:val="none" w:sz="0" w:space="0" w:color="auto"/>
        <w:left w:val="none" w:sz="0" w:space="0" w:color="auto"/>
        <w:bottom w:val="none" w:sz="0" w:space="0" w:color="auto"/>
        <w:right w:val="none" w:sz="0" w:space="0" w:color="auto"/>
      </w:divBdr>
    </w:div>
    <w:div w:id="1449470879">
      <w:bodyDiv w:val="1"/>
      <w:marLeft w:val="0"/>
      <w:marRight w:val="0"/>
      <w:marTop w:val="0"/>
      <w:marBottom w:val="0"/>
      <w:divBdr>
        <w:top w:val="none" w:sz="0" w:space="0" w:color="auto"/>
        <w:left w:val="none" w:sz="0" w:space="0" w:color="auto"/>
        <w:bottom w:val="none" w:sz="0" w:space="0" w:color="auto"/>
        <w:right w:val="none" w:sz="0" w:space="0" w:color="auto"/>
      </w:divBdr>
    </w:div>
    <w:div w:id="1449667586">
      <w:bodyDiv w:val="1"/>
      <w:marLeft w:val="0"/>
      <w:marRight w:val="0"/>
      <w:marTop w:val="0"/>
      <w:marBottom w:val="0"/>
      <w:divBdr>
        <w:top w:val="none" w:sz="0" w:space="0" w:color="auto"/>
        <w:left w:val="none" w:sz="0" w:space="0" w:color="auto"/>
        <w:bottom w:val="none" w:sz="0" w:space="0" w:color="auto"/>
        <w:right w:val="none" w:sz="0" w:space="0" w:color="auto"/>
      </w:divBdr>
    </w:div>
    <w:div w:id="1449667685">
      <w:bodyDiv w:val="1"/>
      <w:marLeft w:val="0"/>
      <w:marRight w:val="0"/>
      <w:marTop w:val="0"/>
      <w:marBottom w:val="0"/>
      <w:divBdr>
        <w:top w:val="none" w:sz="0" w:space="0" w:color="auto"/>
        <w:left w:val="none" w:sz="0" w:space="0" w:color="auto"/>
        <w:bottom w:val="none" w:sz="0" w:space="0" w:color="auto"/>
        <w:right w:val="none" w:sz="0" w:space="0" w:color="auto"/>
      </w:divBdr>
    </w:div>
    <w:div w:id="1449741809">
      <w:bodyDiv w:val="1"/>
      <w:marLeft w:val="0"/>
      <w:marRight w:val="0"/>
      <w:marTop w:val="0"/>
      <w:marBottom w:val="0"/>
      <w:divBdr>
        <w:top w:val="none" w:sz="0" w:space="0" w:color="auto"/>
        <w:left w:val="none" w:sz="0" w:space="0" w:color="auto"/>
        <w:bottom w:val="none" w:sz="0" w:space="0" w:color="auto"/>
        <w:right w:val="none" w:sz="0" w:space="0" w:color="auto"/>
      </w:divBdr>
    </w:div>
    <w:div w:id="1450053236">
      <w:bodyDiv w:val="1"/>
      <w:marLeft w:val="0"/>
      <w:marRight w:val="0"/>
      <w:marTop w:val="0"/>
      <w:marBottom w:val="0"/>
      <w:divBdr>
        <w:top w:val="none" w:sz="0" w:space="0" w:color="auto"/>
        <w:left w:val="none" w:sz="0" w:space="0" w:color="auto"/>
        <w:bottom w:val="none" w:sz="0" w:space="0" w:color="auto"/>
        <w:right w:val="none" w:sz="0" w:space="0" w:color="auto"/>
      </w:divBdr>
    </w:div>
    <w:div w:id="1450927174">
      <w:bodyDiv w:val="1"/>
      <w:marLeft w:val="0"/>
      <w:marRight w:val="0"/>
      <w:marTop w:val="0"/>
      <w:marBottom w:val="0"/>
      <w:divBdr>
        <w:top w:val="none" w:sz="0" w:space="0" w:color="auto"/>
        <w:left w:val="none" w:sz="0" w:space="0" w:color="auto"/>
        <w:bottom w:val="none" w:sz="0" w:space="0" w:color="auto"/>
        <w:right w:val="none" w:sz="0" w:space="0" w:color="auto"/>
      </w:divBdr>
    </w:div>
    <w:div w:id="1451171752">
      <w:bodyDiv w:val="1"/>
      <w:marLeft w:val="0"/>
      <w:marRight w:val="0"/>
      <w:marTop w:val="0"/>
      <w:marBottom w:val="0"/>
      <w:divBdr>
        <w:top w:val="none" w:sz="0" w:space="0" w:color="auto"/>
        <w:left w:val="none" w:sz="0" w:space="0" w:color="auto"/>
        <w:bottom w:val="none" w:sz="0" w:space="0" w:color="auto"/>
        <w:right w:val="none" w:sz="0" w:space="0" w:color="auto"/>
      </w:divBdr>
    </w:div>
    <w:div w:id="1451513278">
      <w:bodyDiv w:val="1"/>
      <w:marLeft w:val="0"/>
      <w:marRight w:val="0"/>
      <w:marTop w:val="0"/>
      <w:marBottom w:val="0"/>
      <w:divBdr>
        <w:top w:val="none" w:sz="0" w:space="0" w:color="auto"/>
        <w:left w:val="none" w:sz="0" w:space="0" w:color="auto"/>
        <w:bottom w:val="none" w:sz="0" w:space="0" w:color="auto"/>
        <w:right w:val="none" w:sz="0" w:space="0" w:color="auto"/>
      </w:divBdr>
    </w:div>
    <w:div w:id="1452285383">
      <w:bodyDiv w:val="1"/>
      <w:marLeft w:val="0"/>
      <w:marRight w:val="0"/>
      <w:marTop w:val="0"/>
      <w:marBottom w:val="0"/>
      <w:divBdr>
        <w:top w:val="none" w:sz="0" w:space="0" w:color="auto"/>
        <w:left w:val="none" w:sz="0" w:space="0" w:color="auto"/>
        <w:bottom w:val="none" w:sz="0" w:space="0" w:color="auto"/>
        <w:right w:val="none" w:sz="0" w:space="0" w:color="auto"/>
      </w:divBdr>
    </w:div>
    <w:div w:id="1452357532">
      <w:bodyDiv w:val="1"/>
      <w:marLeft w:val="0"/>
      <w:marRight w:val="0"/>
      <w:marTop w:val="0"/>
      <w:marBottom w:val="0"/>
      <w:divBdr>
        <w:top w:val="none" w:sz="0" w:space="0" w:color="auto"/>
        <w:left w:val="none" w:sz="0" w:space="0" w:color="auto"/>
        <w:bottom w:val="none" w:sz="0" w:space="0" w:color="auto"/>
        <w:right w:val="none" w:sz="0" w:space="0" w:color="auto"/>
      </w:divBdr>
    </w:div>
    <w:div w:id="1452629819">
      <w:bodyDiv w:val="1"/>
      <w:marLeft w:val="0"/>
      <w:marRight w:val="0"/>
      <w:marTop w:val="0"/>
      <w:marBottom w:val="0"/>
      <w:divBdr>
        <w:top w:val="none" w:sz="0" w:space="0" w:color="auto"/>
        <w:left w:val="none" w:sz="0" w:space="0" w:color="auto"/>
        <w:bottom w:val="none" w:sz="0" w:space="0" w:color="auto"/>
        <w:right w:val="none" w:sz="0" w:space="0" w:color="auto"/>
      </w:divBdr>
    </w:div>
    <w:div w:id="1452671332">
      <w:bodyDiv w:val="1"/>
      <w:marLeft w:val="0"/>
      <w:marRight w:val="0"/>
      <w:marTop w:val="0"/>
      <w:marBottom w:val="0"/>
      <w:divBdr>
        <w:top w:val="none" w:sz="0" w:space="0" w:color="auto"/>
        <w:left w:val="none" w:sz="0" w:space="0" w:color="auto"/>
        <w:bottom w:val="none" w:sz="0" w:space="0" w:color="auto"/>
        <w:right w:val="none" w:sz="0" w:space="0" w:color="auto"/>
      </w:divBdr>
    </w:div>
    <w:div w:id="1452673340">
      <w:bodyDiv w:val="1"/>
      <w:marLeft w:val="0"/>
      <w:marRight w:val="0"/>
      <w:marTop w:val="0"/>
      <w:marBottom w:val="0"/>
      <w:divBdr>
        <w:top w:val="none" w:sz="0" w:space="0" w:color="auto"/>
        <w:left w:val="none" w:sz="0" w:space="0" w:color="auto"/>
        <w:bottom w:val="none" w:sz="0" w:space="0" w:color="auto"/>
        <w:right w:val="none" w:sz="0" w:space="0" w:color="auto"/>
      </w:divBdr>
    </w:div>
    <w:div w:id="1453093899">
      <w:bodyDiv w:val="1"/>
      <w:marLeft w:val="0"/>
      <w:marRight w:val="0"/>
      <w:marTop w:val="0"/>
      <w:marBottom w:val="0"/>
      <w:divBdr>
        <w:top w:val="none" w:sz="0" w:space="0" w:color="auto"/>
        <w:left w:val="none" w:sz="0" w:space="0" w:color="auto"/>
        <w:bottom w:val="none" w:sz="0" w:space="0" w:color="auto"/>
        <w:right w:val="none" w:sz="0" w:space="0" w:color="auto"/>
      </w:divBdr>
    </w:div>
    <w:div w:id="1453328020">
      <w:bodyDiv w:val="1"/>
      <w:marLeft w:val="0"/>
      <w:marRight w:val="0"/>
      <w:marTop w:val="0"/>
      <w:marBottom w:val="0"/>
      <w:divBdr>
        <w:top w:val="none" w:sz="0" w:space="0" w:color="auto"/>
        <w:left w:val="none" w:sz="0" w:space="0" w:color="auto"/>
        <w:bottom w:val="none" w:sz="0" w:space="0" w:color="auto"/>
        <w:right w:val="none" w:sz="0" w:space="0" w:color="auto"/>
      </w:divBdr>
    </w:div>
    <w:div w:id="1453790932">
      <w:bodyDiv w:val="1"/>
      <w:marLeft w:val="0"/>
      <w:marRight w:val="0"/>
      <w:marTop w:val="0"/>
      <w:marBottom w:val="0"/>
      <w:divBdr>
        <w:top w:val="none" w:sz="0" w:space="0" w:color="auto"/>
        <w:left w:val="none" w:sz="0" w:space="0" w:color="auto"/>
        <w:bottom w:val="none" w:sz="0" w:space="0" w:color="auto"/>
        <w:right w:val="none" w:sz="0" w:space="0" w:color="auto"/>
      </w:divBdr>
    </w:div>
    <w:div w:id="1454202944">
      <w:bodyDiv w:val="1"/>
      <w:marLeft w:val="0"/>
      <w:marRight w:val="0"/>
      <w:marTop w:val="0"/>
      <w:marBottom w:val="0"/>
      <w:divBdr>
        <w:top w:val="none" w:sz="0" w:space="0" w:color="auto"/>
        <w:left w:val="none" w:sz="0" w:space="0" w:color="auto"/>
        <w:bottom w:val="none" w:sz="0" w:space="0" w:color="auto"/>
        <w:right w:val="none" w:sz="0" w:space="0" w:color="auto"/>
      </w:divBdr>
    </w:div>
    <w:div w:id="1454251870">
      <w:bodyDiv w:val="1"/>
      <w:marLeft w:val="0"/>
      <w:marRight w:val="0"/>
      <w:marTop w:val="0"/>
      <w:marBottom w:val="0"/>
      <w:divBdr>
        <w:top w:val="none" w:sz="0" w:space="0" w:color="auto"/>
        <w:left w:val="none" w:sz="0" w:space="0" w:color="auto"/>
        <w:bottom w:val="none" w:sz="0" w:space="0" w:color="auto"/>
        <w:right w:val="none" w:sz="0" w:space="0" w:color="auto"/>
      </w:divBdr>
    </w:div>
    <w:div w:id="1454324715">
      <w:bodyDiv w:val="1"/>
      <w:marLeft w:val="0"/>
      <w:marRight w:val="0"/>
      <w:marTop w:val="0"/>
      <w:marBottom w:val="0"/>
      <w:divBdr>
        <w:top w:val="none" w:sz="0" w:space="0" w:color="auto"/>
        <w:left w:val="none" w:sz="0" w:space="0" w:color="auto"/>
        <w:bottom w:val="none" w:sz="0" w:space="0" w:color="auto"/>
        <w:right w:val="none" w:sz="0" w:space="0" w:color="auto"/>
      </w:divBdr>
    </w:div>
    <w:div w:id="1454665786">
      <w:bodyDiv w:val="1"/>
      <w:marLeft w:val="0"/>
      <w:marRight w:val="0"/>
      <w:marTop w:val="0"/>
      <w:marBottom w:val="0"/>
      <w:divBdr>
        <w:top w:val="none" w:sz="0" w:space="0" w:color="auto"/>
        <w:left w:val="none" w:sz="0" w:space="0" w:color="auto"/>
        <w:bottom w:val="none" w:sz="0" w:space="0" w:color="auto"/>
        <w:right w:val="none" w:sz="0" w:space="0" w:color="auto"/>
      </w:divBdr>
    </w:div>
    <w:div w:id="1455245681">
      <w:bodyDiv w:val="1"/>
      <w:marLeft w:val="0"/>
      <w:marRight w:val="0"/>
      <w:marTop w:val="0"/>
      <w:marBottom w:val="0"/>
      <w:divBdr>
        <w:top w:val="none" w:sz="0" w:space="0" w:color="auto"/>
        <w:left w:val="none" w:sz="0" w:space="0" w:color="auto"/>
        <w:bottom w:val="none" w:sz="0" w:space="0" w:color="auto"/>
        <w:right w:val="none" w:sz="0" w:space="0" w:color="auto"/>
      </w:divBdr>
    </w:div>
    <w:div w:id="1455708631">
      <w:bodyDiv w:val="1"/>
      <w:marLeft w:val="0"/>
      <w:marRight w:val="0"/>
      <w:marTop w:val="0"/>
      <w:marBottom w:val="0"/>
      <w:divBdr>
        <w:top w:val="none" w:sz="0" w:space="0" w:color="auto"/>
        <w:left w:val="none" w:sz="0" w:space="0" w:color="auto"/>
        <w:bottom w:val="none" w:sz="0" w:space="0" w:color="auto"/>
        <w:right w:val="none" w:sz="0" w:space="0" w:color="auto"/>
      </w:divBdr>
    </w:div>
    <w:div w:id="1455904006">
      <w:bodyDiv w:val="1"/>
      <w:marLeft w:val="0"/>
      <w:marRight w:val="0"/>
      <w:marTop w:val="0"/>
      <w:marBottom w:val="0"/>
      <w:divBdr>
        <w:top w:val="none" w:sz="0" w:space="0" w:color="auto"/>
        <w:left w:val="none" w:sz="0" w:space="0" w:color="auto"/>
        <w:bottom w:val="none" w:sz="0" w:space="0" w:color="auto"/>
        <w:right w:val="none" w:sz="0" w:space="0" w:color="auto"/>
      </w:divBdr>
    </w:div>
    <w:div w:id="1456479916">
      <w:bodyDiv w:val="1"/>
      <w:marLeft w:val="0"/>
      <w:marRight w:val="0"/>
      <w:marTop w:val="0"/>
      <w:marBottom w:val="0"/>
      <w:divBdr>
        <w:top w:val="none" w:sz="0" w:space="0" w:color="auto"/>
        <w:left w:val="none" w:sz="0" w:space="0" w:color="auto"/>
        <w:bottom w:val="none" w:sz="0" w:space="0" w:color="auto"/>
        <w:right w:val="none" w:sz="0" w:space="0" w:color="auto"/>
      </w:divBdr>
    </w:div>
    <w:div w:id="1456947409">
      <w:bodyDiv w:val="1"/>
      <w:marLeft w:val="0"/>
      <w:marRight w:val="0"/>
      <w:marTop w:val="0"/>
      <w:marBottom w:val="0"/>
      <w:divBdr>
        <w:top w:val="none" w:sz="0" w:space="0" w:color="auto"/>
        <w:left w:val="none" w:sz="0" w:space="0" w:color="auto"/>
        <w:bottom w:val="none" w:sz="0" w:space="0" w:color="auto"/>
        <w:right w:val="none" w:sz="0" w:space="0" w:color="auto"/>
      </w:divBdr>
    </w:div>
    <w:div w:id="1457791983">
      <w:bodyDiv w:val="1"/>
      <w:marLeft w:val="0"/>
      <w:marRight w:val="0"/>
      <w:marTop w:val="0"/>
      <w:marBottom w:val="0"/>
      <w:divBdr>
        <w:top w:val="none" w:sz="0" w:space="0" w:color="auto"/>
        <w:left w:val="none" w:sz="0" w:space="0" w:color="auto"/>
        <w:bottom w:val="none" w:sz="0" w:space="0" w:color="auto"/>
        <w:right w:val="none" w:sz="0" w:space="0" w:color="auto"/>
      </w:divBdr>
    </w:div>
    <w:div w:id="1458598570">
      <w:bodyDiv w:val="1"/>
      <w:marLeft w:val="0"/>
      <w:marRight w:val="0"/>
      <w:marTop w:val="0"/>
      <w:marBottom w:val="0"/>
      <w:divBdr>
        <w:top w:val="none" w:sz="0" w:space="0" w:color="auto"/>
        <w:left w:val="none" w:sz="0" w:space="0" w:color="auto"/>
        <w:bottom w:val="none" w:sz="0" w:space="0" w:color="auto"/>
        <w:right w:val="none" w:sz="0" w:space="0" w:color="auto"/>
      </w:divBdr>
    </w:div>
    <w:div w:id="1458798450">
      <w:bodyDiv w:val="1"/>
      <w:marLeft w:val="0"/>
      <w:marRight w:val="0"/>
      <w:marTop w:val="0"/>
      <w:marBottom w:val="0"/>
      <w:divBdr>
        <w:top w:val="none" w:sz="0" w:space="0" w:color="auto"/>
        <w:left w:val="none" w:sz="0" w:space="0" w:color="auto"/>
        <w:bottom w:val="none" w:sz="0" w:space="0" w:color="auto"/>
        <w:right w:val="none" w:sz="0" w:space="0" w:color="auto"/>
      </w:divBdr>
    </w:div>
    <w:div w:id="1460030493">
      <w:bodyDiv w:val="1"/>
      <w:marLeft w:val="0"/>
      <w:marRight w:val="0"/>
      <w:marTop w:val="0"/>
      <w:marBottom w:val="0"/>
      <w:divBdr>
        <w:top w:val="none" w:sz="0" w:space="0" w:color="auto"/>
        <w:left w:val="none" w:sz="0" w:space="0" w:color="auto"/>
        <w:bottom w:val="none" w:sz="0" w:space="0" w:color="auto"/>
        <w:right w:val="none" w:sz="0" w:space="0" w:color="auto"/>
      </w:divBdr>
    </w:div>
    <w:div w:id="1460224407">
      <w:bodyDiv w:val="1"/>
      <w:marLeft w:val="0"/>
      <w:marRight w:val="0"/>
      <w:marTop w:val="0"/>
      <w:marBottom w:val="0"/>
      <w:divBdr>
        <w:top w:val="none" w:sz="0" w:space="0" w:color="auto"/>
        <w:left w:val="none" w:sz="0" w:space="0" w:color="auto"/>
        <w:bottom w:val="none" w:sz="0" w:space="0" w:color="auto"/>
        <w:right w:val="none" w:sz="0" w:space="0" w:color="auto"/>
      </w:divBdr>
    </w:div>
    <w:div w:id="1460225458">
      <w:bodyDiv w:val="1"/>
      <w:marLeft w:val="0"/>
      <w:marRight w:val="0"/>
      <w:marTop w:val="0"/>
      <w:marBottom w:val="0"/>
      <w:divBdr>
        <w:top w:val="none" w:sz="0" w:space="0" w:color="auto"/>
        <w:left w:val="none" w:sz="0" w:space="0" w:color="auto"/>
        <w:bottom w:val="none" w:sz="0" w:space="0" w:color="auto"/>
        <w:right w:val="none" w:sz="0" w:space="0" w:color="auto"/>
      </w:divBdr>
    </w:div>
    <w:div w:id="1460491462">
      <w:bodyDiv w:val="1"/>
      <w:marLeft w:val="0"/>
      <w:marRight w:val="0"/>
      <w:marTop w:val="0"/>
      <w:marBottom w:val="0"/>
      <w:divBdr>
        <w:top w:val="none" w:sz="0" w:space="0" w:color="auto"/>
        <w:left w:val="none" w:sz="0" w:space="0" w:color="auto"/>
        <w:bottom w:val="none" w:sz="0" w:space="0" w:color="auto"/>
        <w:right w:val="none" w:sz="0" w:space="0" w:color="auto"/>
      </w:divBdr>
    </w:div>
    <w:div w:id="1460611953">
      <w:bodyDiv w:val="1"/>
      <w:marLeft w:val="0"/>
      <w:marRight w:val="0"/>
      <w:marTop w:val="0"/>
      <w:marBottom w:val="0"/>
      <w:divBdr>
        <w:top w:val="none" w:sz="0" w:space="0" w:color="auto"/>
        <w:left w:val="none" w:sz="0" w:space="0" w:color="auto"/>
        <w:bottom w:val="none" w:sz="0" w:space="0" w:color="auto"/>
        <w:right w:val="none" w:sz="0" w:space="0" w:color="auto"/>
      </w:divBdr>
    </w:div>
    <w:div w:id="1460876691">
      <w:bodyDiv w:val="1"/>
      <w:marLeft w:val="0"/>
      <w:marRight w:val="0"/>
      <w:marTop w:val="0"/>
      <w:marBottom w:val="0"/>
      <w:divBdr>
        <w:top w:val="none" w:sz="0" w:space="0" w:color="auto"/>
        <w:left w:val="none" w:sz="0" w:space="0" w:color="auto"/>
        <w:bottom w:val="none" w:sz="0" w:space="0" w:color="auto"/>
        <w:right w:val="none" w:sz="0" w:space="0" w:color="auto"/>
      </w:divBdr>
    </w:div>
    <w:div w:id="1461722876">
      <w:bodyDiv w:val="1"/>
      <w:marLeft w:val="0"/>
      <w:marRight w:val="0"/>
      <w:marTop w:val="0"/>
      <w:marBottom w:val="0"/>
      <w:divBdr>
        <w:top w:val="none" w:sz="0" w:space="0" w:color="auto"/>
        <w:left w:val="none" w:sz="0" w:space="0" w:color="auto"/>
        <w:bottom w:val="none" w:sz="0" w:space="0" w:color="auto"/>
        <w:right w:val="none" w:sz="0" w:space="0" w:color="auto"/>
      </w:divBdr>
    </w:div>
    <w:div w:id="1461847455">
      <w:bodyDiv w:val="1"/>
      <w:marLeft w:val="0"/>
      <w:marRight w:val="0"/>
      <w:marTop w:val="0"/>
      <w:marBottom w:val="0"/>
      <w:divBdr>
        <w:top w:val="none" w:sz="0" w:space="0" w:color="auto"/>
        <w:left w:val="none" w:sz="0" w:space="0" w:color="auto"/>
        <w:bottom w:val="none" w:sz="0" w:space="0" w:color="auto"/>
        <w:right w:val="none" w:sz="0" w:space="0" w:color="auto"/>
      </w:divBdr>
    </w:div>
    <w:div w:id="1461920789">
      <w:bodyDiv w:val="1"/>
      <w:marLeft w:val="0"/>
      <w:marRight w:val="0"/>
      <w:marTop w:val="0"/>
      <w:marBottom w:val="0"/>
      <w:divBdr>
        <w:top w:val="none" w:sz="0" w:space="0" w:color="auto"/>
        <w:left w:val="none" w:sz="0" w:space="0" w:color="auto"/>
        <w:bottom w:val="none" w:sz="0" w:space="0" w:color="auto"/>
        <w:right w:val="none" w:sz="0" w:space="0" w:color="auto"/>
      </w:divBdr>
    </w:div>
    <w:div w:id="1462650571">
      <w:bodyDiv w:val="1"/>
      <w:marLeft w:val="0"/>
      <w:marRight w:val="0"/>
      <w:marTop w:val="0"/>
      <w:marBottom w:val="0"/>
      <w:divBdr>
        <w:top w:val="none" w:sz="0" w:space="0" w:color="auto"/>
        <w:left w:val="none" w:sz="0" w:space="0" w:color="auto"/>
        <w:bottom w:val="none" w:sz="0" w:space="0" w:color="auto"/>
        <w:right w:val="none" w:sz="0" w:space="0" w:color="auto"/>
      </w:divBdr>
    </w:div>
    <w:div w:id="1463884715">
      <w:bodyDiv w:val="1"/>
      <w:marLeft w:val="0"/>
      <w:marRight w:val="0"/>
      <w:marTop w:val="0"/>
      <w:marBottom w:val="0"/>
      <w:divBdr>
        <w:top w:val="none" w:sz="0" w:space="0" w:color="auto"/>
        <w:left w:val="none" w:sz="0" w:space="0" w:color="auto"/>
        <w:bottom w:val="none" w:sz="0" w:space="0" w:color="auto"/>
        <w:right w:val="none" w:sz="0" w:space="0" w:color="auto"/>
      </w:divBdr>
    </w:div>
    <w:div w:id="1464155692">
      <w:bodyDiv w:val="1"/>
      <w:marLeft w:val="0"/>
      <w:marRight w:val="0"/>
      <w:marTop w:val="0"/>
      <w:marBottom w:val="0"/>
      <w:divBdr>
        <w:top w:val="none" w:sz="0" w:space="0" w:color="auto"/>
        <w:left w:val="none" w:sz="0" w:space="0" w:color="auto"/>
        <w:bottom w:val="none" w:sz="0" w:space="0" w:color="auto"/>
        <w:right w:val="none" w:sz="0" w:space="0" w:color="auto"/>
      </w:divBdr>
    </w:div>
    <w:div w:id="1464541113">
      <w:bodyDiv w:val="1"/>
      <w:marLeft w:val="0"/>
      <w:marRight w:val="0"/>
      <w:marTop w:val="0"/>
      <w:marBottom w:val="0"/>
      <w:divBdr>
        <w:top w:val="none" w:sz="0" w:space="0" w:color="auto"/>
        <w:left w:val="none" w:sz="0" w:space="0" w:color="auto"/>
        <w:bottom w:val="none" w:sz="0" w:space="0" w:color="auto"/>
        <w:right w:val="none" w:sz="0" w:space="0" w:color="auto"/>
      </w:divBdr>
    </w:div>
    <w:div w:id="1464734956">
      <w:bodyDiv w:val="1"/>
      <w:marLeft w:val="0"/>
      <w:marRight w:val="0"/>
      <w:marTop w:val="0"/>
      <w:marBottom w:val="0"/>
      <w:divBdr>
        <w:top w:val="none" w:sz="0" w:space="0" w:color="auto"/>
        <w:left w:val="none" w:sz="0" w:space="0" w:color="auto"/>
        <w:bottom w:val="none" w:sz="0" w:space="0" w:color="auto"/>
        <w:right w:val="none" w:sz="0" w:space="0" w:color="auto"/>
      </w:divBdr>
    </w:div>
    <w:div w:id="1465196170">
      <w:bodyDiv w:val="1"/>
      <w:marLeft w:val="0"/>
      <w:marRight w:val="0"/>
      <w:marTop w:val="0"/>
      <w:marBottom w:val="0"/>
      <w:divBdr>
        <w:top w:val="none" w:sz="0" w:space="0" w:color="auto"/>
        <w:left w:val="none" w:sz="0" w:space="0" w:color="auto"/>
        <w:bottom w:val="none" w:sz="0" w:space="0" w:color="auto"/>
        <w:right w:val="none" w:sz="0" w:space="0" w:color="auto"/>
      </w:divBdr>
    </w:div>
    <w:div w:id="1465276169">
      <w:bodyDiv w:val="1"/>
      <w:marLeft w:val="0"/>
      <w:marRight w:val="0"/>
      <w:marTop w:val="0"/>
      <w:marBottom w:val="0"/>
      <w:divBdr>
        <w:top w:val="none" w:sz="0" w:space="0" w:color="auto"/>
        <w:left w:val="none" w:sz="0" w:space="0" w:color="auto"/>
        <w:bottom w:val="none" w:sz="0" w:space="0" w:color="auto"/>
        <w:right w:val="none" w:sz="0" w:space="0" w:color="auto"/>
      </w:divBdr>
    </w:div>
    <w:div w:id="1465542630">
      <w:bodyDiv w:val="1"/>
      <w:marLeft w:val="0"/>
      <w:marRight w:val="0"/>
      <w:marTop w:val="0"/>
      <w:marBottom w:val="0"/>
      <w:divBdr>
        <w:top w:val="none" w:sz="0" w:space="0" w:color="auto"/>
        <w:left w:val="none" w:sz="0" w:space="0" w:color="auto"/>
        <w:bottom w:val="none" w:sz="0" w:space="0" w:color="auto"/>
        <w:right w:val="none" w:sz="0" w:space="0" w:color="auto"/>
      </w:divBdr>
    </w:div>
    <w:div w:id="1465733233">
      <w:bodyDiv w:val="1"/>
      <w:marLeft w:val="0"/>
      <w:marRight w:val="0"/>
      <w:marTop w:val="0"/>
      <w:marBottom w:val="0"/>
      <w:divBdr>
        <w:top w:val="none" w:sz="0" w:space="0" w:color="auto"/>
        <w:left w:val="none" w:sz="0" w:space="0" w:color="auto"/>
        <w:bottom w:val="none" w:sz="0" w:space="0" w:color="auto"/>
        <w:right w:val="none" w:sz="0" w:space="0" w:color="auto"/>
      </w:divBdr>
    </w:div>
    <w:div w:id="1465804470">
      <w:bodyDiv w:val="1"/>
      <w:marLeft w:val="0"/>
      <w:marRight w:val="0"/>
      <w:marTop w:val="0"/>
      <w:marBottom w:val="0"/>
      <w:divBdr>
        <w:top w:val="none" w:sz="0" w:space="0" w:color="auto"/>
        <w:left w:val="none" w:sz="0" w:space="0" w:color="auto"/>
        <w:bottom w:val="none" w:sz="0" w:space="0" w:color="auto"/>
        <w:right w:val="none" w:sz="0" w:space="0" w:color="auto"/>
      </w:divBdr>
    </w:div>
    <w:div w:id="1465928216">
      <w:bodyDiv w:val="1"/>
      <w:marLeft w:val="0"/>
      <w:marRight w:val="0"/>
      <w:marTop w:val="0"/>
      <w:marBottom w:val="0"/>
      <w:divBdr>
        <w:top w:val="none" w:sz="0" w:space="0" w:color="auto"/>
        <w:left w:val="none" w:sz="0" w:space="0" w:color="auto"/>
        <w:bottom w:val="none" w:sz="0" w:space="0" w:color="auto"/>
        <w:right w:val="none" w:sz="0" w:space="0" w:color="auto"/>
      </w:divBdr>
    </w:div>
    <w:div w:id="1466697258">
      <w:bodyDiv w:val="1"/>
      <w:marLeft w:val="0"/>
      <w:marRight w:val="0"/>
      <w:marTop w:val="0"/>
      <w:marBottom w:val="0"/>
      <w:divBdr>
        <w:top w:val="none" w:sz="0" w:space="0" w:color="auto"/>
        <w:left w:val="none" w:sz="0" w:space="0" w:color="auto"/>
        <w:bottom w:val="none" w:sz="0" w:space="0" w:color="auto"/>
        <w:right w:val="none" w:sz="0" w:space="0" w:color="auto"/>
      </w:divBdr>
    </w:div>
    <w:div w:id="1468208619">
      <w:bodyDiv w:val="1"/>
      <w:marLeft w:val="0"/>
      <w:marRight w:val="0"/>
      <w:marTop w:val="0"/>
      <w:marBottom w:val="0"/>
      <w:divBdr>
        <w:top w:val="none" w:sz="0" w:space="0" w:color="auto"/>
        <w:left w:val="none" w:sz="0" w:space="0" w:color="auto"/>
        <w:bottom w:val="none" w:sz="0" w:space="0" w:color="auto"/>
        <w:right w:val="none" w:sz="0" w:space="0" w:color="auto"/>
      </w:divBdr>
    </w:div>
    <w:div w:id="1468355491">
      <w:bodyDiv w:val="1"/>
      <w:marLeft w:val="0"/>
      <w:marRight w:val="0"/>
      <w:marTop w:val="0"/>
      <w:marBottom w:val="0"/>
      <w:divBdr>
        <w:top w:val="none" w:sz="0" w:space="0" w:color="auto"/>
        <w:left w:val="none" w:sz="0" w:space="0" w:color="auto"/>
        <w:bottom w:val="none" w:sz="0" w:space="0" w:color="auto"/>
        <w:right w:val="none" w:sz="0" w:space="0" w:color="auto"/>
      </w:divBdr>
    </w:div>
    <w:div w:id="1468548013">
      <w:bodyDiv w:val="1"/>
      <w:marLeft w:val="0"/>
      <w:marRight w:val="0"/>
      <w:marTop w:val="0"/>
      <w:marBottom w:val="0"/>
      <w:divBdr>
        <w:top w:val="none" w:sz="0" w:space="0" w:color="auto"/>
        <w:left w:val="none" w:sz="0" w:space="0" w:color="auto"/>
        <w:bottom w:val="none" w:sz="0" w:space="0" w:color="auto"/>
        <w:right w:val="none" w:sz="0" w:space="0" w:color="auto"/>
      </w:divBdr>
    </w:div>
    <w:div w:id="1469008324">
      <w:bodyDiv w:val="1"/>
      <w:marLeft w:val="0"/>
      <w:marRight w:val="0"/>
      <w:marTop w:val="0"/>
      <w:marBottom w:val="0"/>
      <w:divBdr>
        <w:top w:val="none" w:sz="0" w:space="0" w:color="auto"/>
        <w:left w:val="none" w:sz="0" w:space="0" w:color="auto"/>
        <w:bottom w:val="none" w:sz="0" w:space="0" w:color="auto"/>
        <w:right w:val="none" w:sz="0" w:space="0" w:color="auto"/>
      </w:divBdr>
    </w:div>
    <w:div w:id="1470246075">
      <w:bodyDiv w:val="1"/>
      <w:marLeft w:val="0"/>
      <w:marRight w:val="0"/>
      <w:marTop w:val="0"/>
      <w:marBottom w:val="0"/>
      <w:divBdr>
        <w:top w:val="none" w:sz="0" w:space="0" w:color="auto"/>
        <w:left w:val="none" w:sz="0" w:space="0" w:color="auto"/>
        <w:bottom w:val="none" w:sz="0" w:space="0" w:color="auto"/>
        <w:right w:val="none" w:sz="0" w:space="0" w:color="auto"/>
      </w:divBdr>
    </w:div>
    <w:div w:id="1470636716">
      <w:bodyDiv w:val="1"/>
      <w:marLeft w:val="0"/>
      <w:marRight w:val="0"/>
      <w:marTop w:val="0"/>
      <w:marBottom w:val="0"/>
      <w:divBdr>
        <w:top w:val="none" w:sz="0" w:space="0" w:color="auto"/>
        <w:left w:val="none" w:sz="0" w:space="0" w:color="auto"/>
        <w:bottom w:val="none" w:sz="0" w:space="0" w:color="auto"/>
        <w:right w:val="none" w:sz="0" w:space="0" w:color="auto"/>
      </w:divBdr>
    </w:div>
    <w:div w:id="1470711773">
      <w:bodyDiv w:val="1"/>
      <w:marLeft w:val="0"/>
      <w:marRight w:val="0"/>
      <w:marTop w:val="0"/>
      <w:marBottom w:val="0"/>
      <w:divBdr>
        <w:top w:val="none" w:sz="0" w:space="0" w:color="auto"/>
        <w:left w:val="none" w:sz="0" w:space="0" w:color="auto"/>
        <w:bottom w:val="none" w:sz="0" w:space="0" w:color="auto"/>
        <w:right w:val="none" w:sz="0" w:space="0" w:color="auto"/>
      </w:divBdr>
    </w:div>
    <w:div w:id="1470778212">
      <w:bodyDiv w:val="1"/>
      <w:marLeft w:val="0"/>
      <w:marRight w:val="0"/>
      <w:marTop w:val="0"/>
      <w:marBottom w:val="0"/>
      <w:divBdr>
        <w:top w:val="none" w:sz="0" w:space="0" w:color="auto"/>
        <w:left w:val="none" w:sz="0" w:space="0" w:color="auto"/>
        <w:bottom w:val="none" w:sz="0" w:space="0" w:color="auto"/>
        <w:right w:val="none" w:sz="0" w:space="0" w:color="auto"/>
      </w:divBdr>
    </w:div>
    <w:div w:id="1470896800">
      <w:bodyDiv w:val="1"/>
      <w:marLeft w:val="0"/>
      <w:marRight w:val="0"/>
      <w:marTop w:val="0"/>
      <w:marBottom w:val="0"/>
      <w:divBdr>
        <w:top w:val="none" w:sz="0" w:space="0" w:color="auto"/>
        <w:left w:val="none" w:sz="0" w:space="0" w:color="auto"/>
        <w:bottom w:val="none" w:sz="0" w:space="0" w:color="auto"/>
        <w:right w:val="none" w:sz="0" w:space="0" w:color="auto"/>
      </w:divBdr>
    </w:div>
    <w:div w:id="1471560562">
      <w:bodyDiv w:val="1"/>
      <w:marLeft w:val="0"/>
      <w:marRight w:val="0"/>
      <w:marTop w:val="0"/>
      <w:marBottom w:val="0"/>
      <w:divBdr>
        <w:top w:val="none" w:sz="0" w:space="0" w:color="auto"/>
        <w:left w:val="none" w:sz="0" w:space="0" w:color="auto"/>
        <w:bottom w:val="none" w:sz="0" w:space="0" w:color="auto"/>
        <w:right w:val="none" w:sz="0" w:space="0" w:color="auto"/>
      </w:divBdr>
    </w:div>
    <w:div w:id="1471749771">
      <w:bodyDiv w:val="1"/>
      <w:marLeft w:val="0"/>
      <w:marRight w:val="0"/>
      <w:marTop w:val="0"/>
      <w:marBottom w:val="0"/>
      <w:divBdr>
        <w:top w:val="none" w:sz="0" w:space="0" w:color="auto"/>
        <w:left w:val="none" w:sz="0" w:space="0" w:color="auto"/>
        <w:bottom w:val="none" w:sz="0" w:space="0" w:color="auto"/>
        <w:right w:val="none" w:sz="0" w:space="0" w:color="auto"/>
      </w:divBdr>
    </w:div>
    <w:div w:id="1471752009">
      <w:bodyDiv w:val="1"/>
      <w:marLeft w:val="0"/>
      <w:marRight w:val="0"/>
      <w:marTop w:val="0"/>
      <w:marBottom w:val="0"/>
      <w:divBdr>
        <w:top w:val="none" w:sz="0" w:space="0" w:color="auto"/>
        <w:left w:val="none" w:sz="0" w:space="0" w:color="auto"/>
        <w:bottom w:val="none" w:sz="0" w:space="0" w:color="auto"/>
        <w:right w:val="none" w:sz="0" w:space="0" w:color="auto"/>
      </w:divBdr>
    </w:div>
    <w:div w:id="1471827643">
      <w:bodyDiv w:val="1"/>
      <w:marLeft w:val="0"/>
      <w:marRight w:val="0"/>
      <w:marTop w:val="0"/>
      <w:marBottom w:val="0"/>
      <w:divBdr>
        <w:top w:val="none" w:sz="0" w:space="0" w:color="auto"/>
        <w:left w:val="none" w:sz="0" w:space="0" w:color="auto"/>
        <w:bottom w:val="none" w:sz="0" w:space="0" w:color="auto"/>
        <w:right w:val="none" w:sz="0" w:space="0" w:color="auto"/>
      </w:divBdr>
    </w:div>
    <w:div w:id="1472015030">
      <w:bodyDiv w:val="1"/>
      <w:marLeft w:val="0"/>
      <w:marRight w:val="0"/>
      <w:marTop w:val="0"/>
      <w:marBottom w:val="0"/>
      <w:divBdr>
        <w:top w:val="none" w:sz="0" w:space="0" w:color="auto"/>
        <w:left w:val="none" w:sz="0" w:space="0" w:color="auto"/>
        <w:bottom w:val="none" w:sz="0" w:space="0" w:color="auto"/>
        <w:right w:val="none" w:sz="0" w:space="0" w:color="auto"/>
      </w:divBdr>
    </w:div>
    <w:div w:id="1472479519">
      <w:bodyDiv w:val="1"/>
      <w:marLeft w:val="0"/>
      <w:marRight w:val="0"/>
      <w:marTop w:val="0"/>
      <w:marBottom w:val="0"/>
      <w:divBdr>
        <w:top w:val="none" w:sz="0" w:space="0" w:color="auto"/>
        <w:left w:val="none" w:sz="0" w:space="0" w:color="auto"/>
        <w:bottom w:val="none" w:sz="0" w:space="0" w:color="auto"/>
        <w:right w:val="none" w:sz="0" w:space="0" w:color="auto"/>
      </w:divBdr>
    </w:div>
    <w:div w:id="1472668545">
      <w:bodyDiv w:val="1"/>
      <w:marLeft w:val="0"/>
      <w:marRight w:val="0"/>
      <w:marTop w:val="0"/>
      <w:marBottom w:val="0"/>
      <w:divBdr>
        <w:top w:val="none" w:sz="0" w:space="0" w:color="auto"/>
        <w:left w:val="none" w:sz="0" w:space="0" w:color="auto"/>
        <w:bottom w:val="none" w:sz="0" w:space="0" w:color="auto"/>
        <w:right w:val="none" w:sz="0" w:space="0" w:color="auto"/>
      </w:divBdr>
    </w:div>
    <w:div w:id="1473013357">
      <w:bodyDiv w:val="1"/>
      <w:marLeft w:val="0"/>
      <w:marRight w:val="0"/>
      <w:marTop w:val="0"/>
      <w:marBottom w:val="0"/>
      <w:divBdr>
        <w:top w:val="none" w:sz="0" w:space="0" w:color="auto"/>
        <w:left w:val="none" w:sz="0" w:space="0" w:color="auto"/>
        <w:bottom w:val="none" w:sz="0" w:space="0" w:color="auto"/>
        <w:right w:val="none" w:sz="0" w:space="0" w:color="auto"/>
      </w:divBdr>
    </w:div>
    <w:div w:id="1473056334">
      <w:bodyDiv w:val="1"/>
      <w:marLeft w:val="0"/>
      <w:marRight w:val="0"/>
      <w:marTop w:val="0"/>
      <w:marBottom w:val="0"/>
      <w:divBdr>
        <w:top w:val="none" w:sz="0" w:space="0" w:color="auto"/>
        <w:left w:val="none" w:sz="0" w:space="0" w:color="auto"/>
        <w:bottom w:val="none" w:sz="0" w:space="0" w:color="auto"/>
        <w:right w:val="none" w:sz="0" w:space="0" w:color="auto"/>
      </w:divBdr>
    </w:div>
    <w:div w:id="1473517832">
      <w:bodyDiv w:val="1"/>
      <w:marLeft w:val="0"/>
      <w:marRight w:val="0"/>
      <w:marTop w:val="0"/>
      <w:marBottom w:val="0"/>
      <w:divBdr>
        <w:top w:val="none" w:sz="0" w:space="0" w:color="auto"/>
        <w:left w:val="none" w:sz="0" w:space="0" w:color="auto"/>
        <w:bottom w:val="none" w:sz="0" w:space="0" w:color="auto"/>
        <w:right w:val="none" w:sz="0" w:space="0" w:color="auto"/>
      </w:divBdr>
    </w:div>
    <w:div w:id="1474249227">
      <w:bodyDiv w:val="1"/>
      <w:marLeft w:val="0"/>
      <w:marRight w:val="0"/>
      <w:marTop w:val="0"/>
      <w:marBottom w:val="0"/>
      <w:divBdr>
        <w:top w:val="none" w:sz="0" w:space="0" w:color="auto"/>
        <w:left w:val="none" w:sz="0" w:space="0" w:color="auto"/>
        <w:bottom w:val="none" w:sz="0" w:space="0" w:color="auto"/>
        <w:right w:val="none" w:sz="0" w:space="0" w:color="auto"/>
      </w:divBdr>
    </w:div>
    <w:div w:id="1474374729">
      <w:bodyDiv w:val="1"/>
      <w:marLeft w:val="0"/>
      <w:marRight w:val="0"/>
      <w:marTop w:val="0"/>
      <w:marBottom w:val="0"/>
      <w:divBdr>
        <w:top w:val="none" w:sz="0" w:space="0" w:color="auto"/>
        <w:left w:val="none" w:sz="0" w:space="0" w:color="auto"/>
        <w:bottom w:val="none" w:sz="0" w:space="0" w:color="auto"/>
        <w:right w:val="none" w:sz="0" w:space="0" w:color="auto"/>
      </w:divBdr>
    </w:div>
    <w:div w:id="1474516745">
      <w:bodyDiv w:val="1"/>
      <w:marLeft w:val="0"/>
      <w:marRight w:val="0"/>
      <w:marTop w:val="0"/>
      <w:marBottom w:val="0"/>
      <w:divBdr>
        <w:top w:val="none" w:sz="0" w:space="0" w:color="auto"/>
        <w:left w:val="none" w:sz="0" w:space="0" w:color="auto"/>
        <w:bottom w:val="none" w:sz="0" w:space="0" w:color="auto"/>
        <w:right w:val="none" w:sz="0" w:space="0" w:color="auto"/>
      </w:divBdr>
    </w:div>
    <w:div w:id="1474904343">
      <w:bodyDiv w:val="1"/>
      <w:marLeft w:val="0"/>
      <w:marRight w:val="0"/>
      <w:marTop w:val="0"/>
      <w:marBottom w:val="0"/>
      <w:divBdr>
        <w:top w:val="none" w:sz="0" w:space="0" w:color="auto"/>
        <w:left w:val="none" w:sz="0" w:space="0" w:color="auto"/>
        <w:bottom w:val="none" w:sz="0" w:space="0" w:color="auto"/>
        <w:right w:val="none" w:sz="0" w:space="0" w:color="auto"/>
      </w:divBdr>
    </w:div>
    <w:div w:id="1474905419">
      <w:bodyDiv w:val="1"/>
      <w:marLeft w:val="0"/>
      <w:marRight w:val="0"/>
      <w:marTop w:val="0"/>
      <w:marBottom w:val="0"/>
      <w:divBdr>
        <w:top w:val="none" w:sz="0" w:space="0" w:color="auto"/>
        <w:left w:val="none" w:sz="0" w:space="0" w:color="auto"/>
        <w:bottom w:val="none" w:sz="0" w:space="0" w:color="auto"/>
        <w:right w:val="none" w:sz="0" w:space="0" w:color="auto"/>
      </w:divBdr>
    </w:div>
    <w:div w:id="1475831943">
      <w:bodyDiv w:val="1"/>
      <w:marLeft w:val="0"/>
      <w:marRight w:val="0"/>
      <w:marTop w:val="0"/>
      <w:marBottom w:val="0"/>
      <w:divBdr>
        <w:top w:val="none" w:sz="0" w:space="0" w:color="auto"/>
        <w:left w:val="none" w:sz="0" w:space="0" w:color="auto"/>
        <w:bottom w:val="none" w:sz="0" w:space="0" w:color="auto"/>
        <w:right w:val="none" w:sz="0" w:space="0" w:color="auto"/>
      </w:divBdr>
    </w:div>
    <w:div w:id="1476099960">
      <w:bodyDiv w:val="1"/>
      <w:marLeft w:val="0"/>
      <w:marRight w:val="0"/>
      <w:marTop w:val="0"/>
      <w:marBottom w:val="0"/>
      <w:divBdr>
        <w:top w:val="none" w:sz="0" w:space="0" w:color="auto"/>
        <w:left w:val="none" w:sz="0" w:space="0" w:color="auto"/>
        <w:bottom w:val="none" w:sz="0" w:space="0" w:color="auto"/>
        <w:right w:val="none" w:sz="0" w:space="0" w:color="auto"/>
      </w:divBdr>
    </w:div>
    <w:div w:id="1476677107">
      <w:bodyDiv w:val="1"/>
      <w:marLeft w:val="0"/>
      <w:marRight w:val="0"/>
      <w:marTop w:val="0"/>
      <w:marBottom w:val="0"/>
      <w:divBdr>
        <w:top w:val="none" w:sz="0" w:space="0" w:color="auto"/>
        <w:left w:val="none" w:sz="0" w:space="0" w:color="auto"/>
        <w:bottom w:val="none" w:sz="0" w:space="0" w:color="auto"/>
        <w:right w:val="none" w:sz="0" w:space="0" w:color="auto"/>
      </w:divBdr>
    </w:div>
    <w:div w:id="1476871139">
      <w:bodyDiv w:val="1"/>
      <w:marLeft w:val="0"/>
      <w:marRight w:val="0"/>
      <w:marTop w:val="0"/>
      <w:marBottom w:val="0"/>
      <w:divBdr>
        <w:top w:val="none" w:sz="0" w:space="0" w:color="auto"/>
        <w:left w:val="none" w:sz="0" w:space="0" w:color="auto"/>
        <w:bottom w:val="none" w:sz="0" w:space="0" w:color="auto"/>
        <w:right w:val="none" w:sz="0" w:space="0" w:color="auto"/>
      </w:divBdr>
    </w:div>
    <w:div w:id="1477261580">
      <w:bodyDiv w:val="1"/>
      <w:marLeft w:val="0"/>
      <w:marRight w:val="0"/>
      <w:marTop w:val="0"/>
      <w:marBottom w:val="0"/>
      <w:divBdr>
        <w:top w:val="none" w:sz="0" w:space="0" w:color="auto"/>
        <w:left w:val="none" w:sz="0" w:space="0" w:color="auto"/>
        <w:bottom w:val="none" w:sz="0" w:space="0" w:color="auto"/>
        <w:right w:val="none" w:sz="0" w:space="0" w:color="auto"/>
      </w:divBdr>
    </w:div>
    <w:div w:id="1477642337">
      <w:bodyDiv w:val="1"/>
      <w:marLeft w:val="0"/>
      <w:marRight w:val="0"/>
      <w:marTop w:val="0"/>
      <w:marBottom w:val="0"/>
      <w:divBdr>
        <w:top w:val="none" w:sz="0" w:space="0" w:color="auto"/>
        <w:left w:val="none" w:sz="0" w:space="0" w:color="auto"/>
        <w:bottom w:val="none" w:sz="0" w:space="0" w:color="auto"/>
        <w:right w:val="none" w:sz="0" w:space="0" w:color="auto"/>
      </w:divBdr>
    </w:div>
    <w:div w:id="1477798307">
      <w:bodyDiv w:val="1"/>
      <w:marLeft w:val="0"/>
      <w:marRight w:val="0"/>
      <w:marTop w:val="0"/>
      <w:marBottom w:val="0"/>
      <w:divBdr>
        <w:top w:val="none" w:sz="0" w:space="0" w:color="auto"/>
        <w:left w:val="none" w:sz="0" w:space="0" w:color="auto"/>
        <w:bottom w:val="none" w:sz="0" w:space="0" w:color="auto"/>
        <w:right w:val="none" w:sz="0" w:space="0" w:color="auto"/>
      </w:divBdr>
    </w:div>
    <w:div w:id="1478375908">
      <w:bodyDiv w:val="1"/>
      <w:marLeft w:val="0"/>
      <w:marRight w:val="0"/>
      <w:marTop w:val="0"/>
      <w:marBottom w:val="0"/>
      <w:divBdr>
        <w:top w:val="none" w:sz="0" w:space="0" w:color="auto"/>
        <w:left w:val="none" w:sz="0" w:space="0" w:color="auto"/>
        <w:bottom w:val="none" w:sz="0" w:space="0" w:color="auto"/>
        <w:right w:val="none" w:sz="0" w:space="0" w:color="auto"/>
      </w:divBdr>
    </w:div>
    <w:div w:id="1478494900">
      <w:bodyDiv w:val="1"/>
      <w:marLeft w:val="0"/>
      <w:marRight w:val="0"/>
      <w:marTop w:val="0"/>
      <w:marBottom w:val="0"/>
      <w:divBdr>
        <w:top w:val="none" w:sz="0" w:space="0" w:color="auto"/>
        <w:left w:val="none" w:sz="0" w:space="0" w:color="auto"/>
        <w:bottom w:val="none" w:sz="0" w:space="0" w:color="auto"/>
        <w:right w:val="none" w:sz="0" w:space="0" w:color="auto"/>
      </w:divBdr>
    </w:div>
    <w:div w:id="1478768537">
      <w:bodyDiv w:val="1"/>
      <w:marLeft w:val="0"/>
      <w:marRight w:val="0"/>
      <w:marTop w:val="0"/>
      <w:marBottom w:val="0"/>
      <w:divBdr>
        <w:top w:val="none" w:sz="0" w:space="0" w:color="auto"/>
        <w:left w:val="none" w:sz="0" w:space="0" w:color="auto"/>
        <w:bottom w:val="none" w:sz="0" w:space="0" w:color="auto"/>
        <w:right w:val="none" w:sz="0" w:space="0" w:color="auto"/>
      </w:divBdr>
    </w:div>
    <w:div w:id="1479147985">
      <w:bodyDiv w:val="1"/>
      <w:marLeft w:val="0"/>
      <w:marRight w:val="0"/>
      <w:marTop w:val="0"/>
      <w:marBottom w:val="0"/>
      <w:divBdr>
        <w:top w:val="none" w:sz="0" w:space="0" w:color="auto"/>
        <w:left w:val="none" w:sz="0" w:space="0" w:color="auto"/>
        <w:bottom w:val="none" w:sz="0" w:space="0" w:color="auto"/>
        <w:right w:val="none" w:sz="0" w:space="0" w:color="auto"/>
      </w:divBdr>
    </w:div>
    <w:div w:id="1479415502">
      <w:bodyDiv w:val="1"/>
      <w:marLeft w:val="0"/>
      <w:marRight w:val="0"/>
      <w:marTop w:val="0"/>
      <w:marBottom w:val="0"/>
      <w:divBdr>
        <w:top w:val="none" w:sz="0" w:space="0" w:color="auto"/>
        <w:left w:val="none" w:sz="0" w:space="0" w:color="auto"/>
        <w:bottom w:val="none" w:sz="0" w:space="0" w:color="auto"/>
        <w:right w:val="none" w:sz="0" w:space="0" w:color="auto"/>
      </w:divBdr>
    </w:div>
    <w:div w:id="1479541753">
      <w:bodyDiv w:val="1"/>
      <w:marLeft w:val="0"/>
      <w:marRight w:val="0"/>
      <w:marTop w:val="0"/>
      <w:marBottom w:val="0"/>
      <w:divBdr>
        <w:top w:val="none" w:sz="0" w:space="0" w:color="auto"/>
        <w:left w:val="none" w:sz="0" w:space="0" w:color="auto"/>
        <w:bottom w:val="none" w:sz="0" w:space="0" w:color="auto"/>
        <w:right w:val="none" w:sz="0" w:space="0" w:color="auto"/>
      </w:divBdr>
    </w:div>
    <w:div w:id="1479959005">
      <w:bodyDiv w:val="1"/>
      <w:marLeft w:val="0"/>
      <w:marRight w:val="0"/>
      <w:marTop w:val="0"/>
      <w:marBottom w:val="0"/>
      <w:divBdr>
        <w:top w:val="none" w:sz="0" w:space="0" w:color="auto"/>
        <w:left w:val="none" w:sz="0" w:space="0" w:color="auto"/>
        <w:bottom w:val="none" w:sz="0" w:space="0" w:color="auto"/>
        <w:right w:val="none" w:sz="0" w:space="0" w:color="auto"/>
      </w:divBdr>
    </w:div>
    <w:div w:id="1480069960">
      <w:bodyDiv w:val="1"/>
      <w:marLeft w:val="0"/>
      <w:marRight w:val="0"/>
      <w:marTop w:val="0"/>
      <w:marBottom w:val="0"/>
      <w:divBdr>
        <w:top w:val="none" w:sz="0" w:space="0" w:color="auto"/>
        <w:left w:val="none" w:sz="0" w:space="0" w:color="auto"/>
        <w:bottom w:val="none" w:sz="0" w:space="0" w:color="auto"/>
        <w:right w:val="none" w:sz="0" w:space="0" w:color="auto"/>
      </w:divBdr>
    </w:div>
    <w:div w:id="1480071360">
      <w:bodyDiv w:val="1"/>
      <w:marLeft w:val="0"/>
      <w:marRight w:val="0"/>
      <w:marTop w:val="0"/>
      <w:marBottom w:val="0"/>
      <w:divBdr>
        <w:top w:val="none" w:sz="0" w:space="0" w:color="auto"/>
        <w:left w:val="none" w:sz="0" w:space="0" w:color="auto"/>
        <w:bottom w:val="none" w:sz="0" w:space="0" w:color="auto"/>
        <w:right w:val="none" w:sz="0" w:space="0" w:color="auto"/>
      </w:divBdr>
    </w:div>
    <w:div w:id="1481342646">
      <w:bodyDiv w:val="1"/>
      <w:marLeft w:val="0"/>
      <w:marRight w:val="0"/>
      <w:marTop w:val="0"/>
      <w:marBottom w:val="0"/>
      <w:divBdr>
        <w:top w:val="none" w:sz="0" w:space="0" w:color="auto"/>
        <w:left w:val="none" w:sz="0" w:space="0" w:color="auto"/>
        <w:bottom w:val="none" w:sz="0" w:space="0" w:color="auto"/>
        <w:right w:val="none" w:sz="0" w:space="0" w:color="auto"/>
      </w:divBdr>
    </w:div>
    <w:div w:id="1481846316">
      <w:bodyDiv w:val="1"/>
      <w:marLeft w:val="0"/>
      <w:marRight w:val="0"/>
      <w:marTop w:val="0"/>
      <w:marBottom w:val="0"/>
      <w:divBdr>
        <w:top w:val="none" w:sz="0" w:space="0" w:color="auto"/>
        <w:left w:val="none" w:sz="0" w:space="0" w:color="auto"/>
        <w:bottom w:val="none" w:sz="0" w:space="0" w:color="auto"/>
        <w:right w:val="none" w:sz="0" w:space="0" w:color="auto"/>
      </w:divBdr>
    </w:div>
    <w:div w:id="1481966611">
      <w:bodyDiv w:val="1"/>
      <w:marLeft w:val="0"/>
      <w:marRight w:val="0"/>
      <w:marTop w:val="0"/>
      <w:marBottom w:val="0"/>
      <w:divBdr>
        <w:top w:val="none" w:sz="0" w:space="0" w:color="auto"/>
        <w:left w:val="none" w:sz="0" w:space="0" w:color="auto"/>
        <w:bottom w:val="none" w:sz="0" w:space="0" w:color="auto"/>
        <w:right w:val="none" w:sz="0" w:space="0" w:color="auto"/>
      </w:divBdr>
    </w:div>
    <w:div w:id="1482229645">
      <w:bodyDiv w:val="1"/>
      <w:marLeft w:val="0"/>
      <w:marRight w:val="0"/>
      <w:marTop w:val="0"/>
      <w:marBottom w:val="0"/>
      <w:divBdr>
        <w:top w:val="none" w:sz="0" w:space="0" w:color="auto"/>
        <w:left w:val="none" w:sz="0" w:space="0" w:color="auto"/>
        <w:bottom w:val="none" w:sz="0" w:space="0" w:color="auto"/>
        <w:right w:val="none" w:sz="0" w:space="0" w:color="auto"/>
      </w:divBdr>
    </w:div>
    <w:div w:id="1482430680">
      <w:bodyDiv w:val="1"/>
      <w:marLeft w:val="0"/>
      <w:marRight w:val="0"/>
      <w:marTop w:val="0"/>
      <w:marBottom w:val="0"/>
      <w:divBdr>
        <w:top w:val="none" w:sz="0" w:space="0" w:color="auto"/>
        <w:left w:val="none" w:sz="0" w:space="0" w:color="auto"/>
        <w:bottom w:val="none" w:sz="0" w:space="0" w:color="auto"/>
        <w:right w:val="none" w:sz="0" w:space="0" w:color="auto"/>
      </w:divBdr>
    </w:div>
    <w:div w:id="1482502599">
      <w:bodyDiv w:val="1"/>
      <w:marLeft w:val="0"/>
      <w:marRight w:val="0"/>
      <w:marTop w:val="0"/>
      <w:marBottom w:val="0"/>
      <w:divBdr>
        <w:top w:val="none" w:sz="0" w:space="0" w:color="auto"/>
        <w:left w:val="none" w:sz="0" w:space="0" w:color="auto"/>
        <w:bottom w:val="none" w:sz="0" w:space="0" w:color="auto"/>
        <w:right w:val="none" w:sz="0" w:space="0" w:color="auto"/>
      </w:divBdr>
    </w:div>
    <w:div w:id="1483545152">
      <w:bodyDiv w:val="1"/>
      <w:marLeft w:val="0"/>
      <w:marRight w:val="0"/>
      <w:marTop w:val="0"/>
      <w:marBottom w:val="0"/>
      <w:divBdr>
        <w:top w:val="none" w:sz="0" w:space="0" w:color="auto"/>
        <w:left w:val="none" w:sz="0" w:space="0" w:color="auto"/>
        <w:bottom w:val="none" w:sz="0" w:space="0" w:color="auto"/>
        <w:right w:val="none" w:sz="0" w:space="0" w:color="auto"/>
      </w:divBdr>
    </w:div>
    <w:div w:id="1483737363">
      <w:bodyDiv w:val="1"/>
      <w:marLeft w:val="0"/>
      <w:marRight w:val="0"/>
      <w:marTop w:val="0"/>
      <w:marBottom w:val="0"/>
      <w:divBdr>
        <w:top w:val="none" w:sz="0" w:space="0" w:color="auto"/>
        <w:left w:val="none" w:sz="0" w:space="0" w:color="auto"/>
        <w:bottom w:val="none" w:sz="0" w:space="0" w:color="auto"/>
        <w:right w:val="none" w:sz="0" w:space="0" w:color="auto"/>
      </w:divBdr>
    </w:div>
    <w:div w:id="1483816699">
      <w:bodyDiv w:val="1"/>
      <w:marLeft w:val="0"/>
      <w:marRight w:val="0"/>
      <w:marTop w:val="0"/>
      <w:marBottom w:val="0"/>
      <w:divBdr>
        <w:top w:val="none" w:sz="0" w:space="0" w:color="auto"/>
        <w:left w:val="none" w:sz="0" w:space="0" w:color="auto"/>
        <w:bottom w:val="none" w:sz="0" w:space="0" w:color="auto"/>
        <w:right w:val="none" w:sz="0" w:space="0" w:color="auto"/>
      </w:divBdr>
    </w:div>
    <w:div w:id="1484202587">
      <w:bodyDiv w:val="1"/>
      <w:marLeft w:val="0"/>
      <w:marRight w:val="0"/>
      <w:marTop w:val="0"/>
      <w:marBottom w:val="0"/>
      <w:divBdr>
        <w:top w:val="none" w:sz="0" w:space="0" w:color="auto"/>
        <w:left w:val="none" w:sz="0" w:space="0" w:color="auto"/>
        <w:bottom w:val="none" w:sz="0" w:space="0" w:color="auto"/>
        <w:right w:val="none" w:sz="0" w:space="0" w:color="auto"/>
      </w:divBdr>
    </w:div>
    <w:div w:id="1484472902">
      <w:bodyDiv w:val="1"/>
      <w:marLeft w:val="0"/>
      <w:marRight w:val="0"/>
      <w:marTop w:val="0"/>
      <w:marBottom w:val="0"/>
      <w:divBdr>
        <w:top w:val="none" w:sz="0" w:space="0" w:color="auto"/>
        <w:left w:val="none" w:sz="0" w:space="0" w:color="auto"/>
        <w:bottom w:val="none" w:sz="0" w:space="0" w:color="auto"/>
        <w:right w:val="none" w:sz="0" w:space="0" w:color="auto"/>
      </w:divBdr>
    </w:div>
    <w:div w:id="1484734861">
      <w:bodyDiv w:val="1"/>
      <w:marLeft w:val="0"/>
      <w:marRight w:val="0"/>
      <w:marTop w:val="0"/>
      <w:marBottom w:val="0"/>
      <w:divBdr>
        <w:top w:val="none" w:sz="0" w:space="0" w:color="auto"/>
        <w:left w:val="none" w:sz="0" w:space="0" w:color="auto"/>
        <w:bottom w:val="none" w:sz="0" w:space="0" w:color="auto"/>
        <w:right w:val="none" w:sz="0" w:space="0" w:color="auto"/>
      </w:divBdr>
    </w:div>
    <w:div w:id="1485312073">
      <w:bodyDiv w:val="1"/>
      <w:marLeft w:val="0"/>
      <w:marRight w:val="0"/>
      <w:marTop w:val="0"/>
      <w:marBottom w:val="0"/>
      <w:divBdr>
        <w:top w:val="none" w:sz="0" w:space="0" w:color="auto"/>
        <w:left w:val="none" w:sz="0" w:space="0" w:color="auto"/>
        <w:bottom w:val="none" w:sz="0" w:space="0" w:color="auto"/>
        <w:right w:val="none" w:sz="0" w:space="0" w:color="auto"/>
      </w:divBdr>
    </w:div>
    <w:div w:id="1486388537">
      <w:bodyDiv w:val="1"/>
      <w:marLeft w:val="0"/>
      <w:marRight w:val="0"/>
      <w:marTop w:val="0"/>
      <w:marBottom w:val="0"/>
      <w:divBdr>
        <w:top w:val="none" w:sz="0" w:space="0" w:color="auto"/>
        <w:left w:val="none" w:sz="0" w:space="0" w:color="auto"/>
        <w:bottom w:val="none" w:sz="0" w:space="0" w:color="auto"/>
        <w:right w:val="none" w:sz="0" w:space="0" w:color="auto"/>
      </w:divBdr>
    </w:div>
    <w:div w:id="1487092487">
      <w:bodyDiv w:val="1"/>
      <w:marLeft w:val="0"/>
      <w:marRight w:val="0"/>
      <w:marTop w:val="0"/>
      <w:marBottom w:val="0"/>
      <w:divBdr>
        <w:top w:val="none" w:sz="0" w:space="0" w:color="auto"/>
        <w:left w:val="none" w:sz="0" w:space="0" w:color="auto"/>
        <w:bottom w:val="none" w:sz="0" w:space="0" w:color="auto"/>
        <w:right w:val="none" w:sz="0" w:space="0" w:color="auto"/>
      </w:divBdr>
    </w:div>
    <w:div w:id="1487278511">
      <w:bodyDiv w:val="1"/>
      <w:marLeft w:val="0"/>
      <w:marRight w:val="0"/>
      <w:marTop w:val="0"/>
      <w:marBottom w:val="0"/>
      <w:divBdr>
        <w:top w:val="none" w:sz="0" w:space="0" w:color="auto"/>
        <w:left w:val="none" w:sz="0" w:space="0" w:color="auto"/>
        <w:bottom w:val="none" w:sz="0" w:space="0" w:color="auto"/>
        <w:right w:val="none" w:sz="0" w:space="0" w:color="auto"/>
      </w:divBdr>
    </w:div>
    <w:div w:id="1487278625">
      <w:bodyDiv w:val="1"/>
      <w:marLeft w:val="0"/>
      <w:marRight w:val="0"/>
      <w:marTop w:val="0"/>
      <w:marBottom w:val="0"/>
      <w:divBdr>
        <w:top w:val="none" w:sz="0" w:space="0" w:color="auto"/>
        <w:left w:val="none" w:sz="0" w:space="0" w:color="auto"/>
        <w:bottom w:val="none" w:sz="0" w:space="0" w:color="auto"/>
        <w:right w:val="none" w:sz="0" w:space="0" w:color="auto"/>
      </w:divBdr>
    </w:div>
    <w:div w:id="1487280176">
      <w:bodyDiv w:val="1"/>
      <w:marLeft w:val="0"/>
      <w:marRight w:val="0"/>
      <w:marTop w:val="0"/>
      <w:marBottom w:val="0"/>
      <w:divBdr>
        <w:top w:val="none" w:sz="0" w:space="0" w:color="auto"/>
        <w:left w:val="none" w:sz="0" w:space="0" w:color="auto"/>
        <w:bottom w:val="none" w:sz="0" w:space="0" w:color="auto"/>
        <w:right w:val="none" w:sz="0" w:space="0" w:color="auto"/>
      </w:divBdr>
    </w:div>
    <w:div w:id="1487824159">
      <w:bodyDiv w:val="1"/>
      <w:marLeft w:val="0"/>
      <w:marRight w:val="0"/>
      <w:marTop w:val="0"/>
      <w:marBottom w:val="0"/>
      <w:divBdr>
        <w:top w:val="none" w:sz="0" w:space="0" w:color="auto"/>
        <w:left w:val="none" w:sz="0" w:space="0" w:color="auto"/>
        <w:bottom w:val="none" w:sz="0" w:space="0" w:color="auto"/>
        <w:right w:val="none" w:sz="0" w:space="0" w:color="auto"/>
      </w:divBdr>
    </w:div>
    <w:div w:id="1487865024">
      <w:bodyDiv w:val="1"/>
      <w:marLeft w:val="0"/>
      <w:marRight w:val="0"/>
      <w:marTop w:val="0"/>
      <w:marBottom w:val="0"/>
      <w:divBdr>
        <w:top w:val="none" w:sz="0" w:space="0" w:color="auto"/>
        <w:left w:val="none" w:sz="0" w:space="0" w:color="auto"/>
        <w:bottom w:val="none" w:sz="0" w:space="0" w:color="auto"/>
        <w:right w:val="none" w:sz="0" w:space="0" w:color="auto"/>
      </w:divBdr>
    </w:div>
    <w:div w:id="1488011005">
      <w:bodyDiv w:val="1"/>
      <w:marLeft w:val="0"/>
      <w:marRight w:val="0"/>
      <w:marTop w:val="0"/>
      <w:marBottom w:val="0"/>
      <w:divBdr>
        <w:top w:val="none" w:sz="0" w:space="0" w:color="auto"/>
        <w:left w:val="none" w:sz="0" w:space="0" w:color="auto"/>
        <w:bottom w:val="none" w:sz="0" w:space="0" w:color="auto"/>
        <w:right w:val="none" w:sz="0" w:space="0" w:color="auto"/>
      </w:divBdr>
    </w:div>
    <w:div w:id="1488934202">
      <w:bodyDiv w:val="1"/>
      <w:marLeft w:val="0"/>
      <w:marRight w:val="0"/>
      <w:marTop w:val="0"/>
      <w:marBottom w:val="0"/>
      <w:divBdr>
        <w:top w:val="none" w:sz="0" w:space="0" w:color="auto"/>
        <w:left w:val="none" w:sz="0" w:space="0" w:color="auto"/>
        <w:bottom w:val="none" w:sz="0" w:space="0" w:color="auto"/>
        <w:right w:val="none" w:sz="0" w:space="0" w:color="auto"/>
      </w:divBdr>
    </w:div>
    <w:div w:id="1489596150">
      <w:bodyDiv w:val="1"/>
      <w:marLeft w:val="0"/>
      <w:marRight w:val="0"/>
      <w:marTop w:val="0"/>
      <w:marBottom w:val="0"/>
      <w:divBdr>
        <w:top w:val="none" w:sz="0" w:space="0" w:color="auto"/>
        <w:left w:val="none" w:sz="0" w:space="0" w:color="auto"/>
        <w:bottom w:val="none" w:sz="0" w:space="0" w:color="auto"/>
        <w:right w:val="none" w:sz="0" w:space="0" w:color="auto"/>
      </w:divBdr>
    </w:div>
    <w:div w:id="1491362585">
      <w:bodyDiv w:val="1"/>
      <w:marLeft w:val="0"/>
      <w:marRight w:val="0"/>
      <w:marTop w:val="0"/>
      <w:marBottom w:val="0"/>
      <w:divBdr>
        <w:top w:val="none" w:sz="0" w:space="0" w:color="auto"/>
        <w:left w:val="none" w:sz="0" w:space="0" w:color="auto"/>
        <w:bottom w:val="none" w:sz="0" w:space="0" w:color="auto"/>
        <w:right w:val="none" w:sz="0" w:space="0" w:color="auto"/>
      </w:divBdr>
    </w:div>
    <w:div w:id="1491603248">
      <w:bodyDiv w:val="1"/>
      <w:marLeft w:val="0"/>
      <w:marRight w:val="0"/>
      <w:marTop w:val="0"/>
      <w:marBottom w:val="0"/>
      <w:divBdr>
        <w:top w:val="none" w:sz="0" w:space="0" w:color="auto"/>
        <w:left w:val="none" w:sz="0" w:space="0" w:color="auto"/>
        <w:bottom w:val="none" w:sz="0" w:space="0" w:color="auto"/>
        <w:right w:val="none" w:sz="0" w:space="0" w:color="auto"/>
      </w:divBdr>
    </w:div>
    <w:div w:id="1491940119">
      <w:bodyDiv w:val="1"/>
      <w:marLeft w:val="0"/>
      <w:marRight w:val="0"/>
      <w:marTop w:val="0"/>
      <w:marBottom w:val="0"/>
      <w:divBdr>
        <w:top w:val="none" w:sz="0" w:space="0" w:color="auto"/>
        <w:left w:val="none" w:sz="0" w:space="0" w:color="auto"/>
        <w:bottom w:val="none" w:sz="0" w:space="0" w:color="auto"/>
        <w:right w:val="none" w:sz="0" w:space="0" w:color="auto"/>
      </w:divBdr>
    </w:div>
    <w:div w:id="1492142887">
      <w:bodyDiv w:val="1"/>
      <w:marLeft w:val="0"/>
      <w:marRight w:val="0"/>
      <w:marTop w:val="0"/>
      <w:marBottom w:val="0"/>
      <w:divBdr>
        <w:top w:val="none" w:sz="0" w:space="0" w:color="auto"/>
        <w:left w:val="none" w:sz="0" w:space="0" w:color="auto"/>
        <w:bottom w:val="none" w:sz="0" w:space="0" w:color="auto"/>
        <w:right w:val="none" w:sz="0" w:space="0" w:color="auto"/>
      </w:divBdr>
    </w:div>
    <w:div w:id="1492285571">
      <w:bodyDiv w:val="1"/>
      <w:marLeft w:val="0"/>
      <w:marRight w:val="0"/>
      <w:marTop w:val="0"/>
      <w:marBottom w:val="0"/>
      <w:divBdr>
        <w:top w:val="none" w:sz="0" w:space="0" w:color="auto"/>
        <w:left w:val="none" w:sz="0" w:space="0" w:color="auto"/>
        <w:bottom w:val="none" w:sz="0" w:space="0" w:color="auto"/>
        <w:right w:val="none" w:sz="0" w:space="0" w:color="auto"/>
      </w:divBdr>
    </w:div>
    <w:div w:id="1492526831">
      <w:bodyDiv w:val="1"/>
      <w:marLeft w:val="0"/>
      <w:marRight w:val="0"/>
      <w:marTop w:val="0"/>
      <w:marBottom w:val="0"/>
      <w:divBdr>
        <w:top w:val="none" w:sz="0" w:space="0" w:color="auto"/>
        <w:left w:val="none" w:sz="0" w:space="0" w:color="auto"/>
        <w:bottom w:val="none" w:sz="0" w:space="0" w:color="auto"/>
        <w:right w:val="none" w:sz="0" w:space="0" w:color="auto"/>
      </w:divBdr>
    </w:div>
    <w:div w:id="1492674833">
      <w:bodyDiv w:val="1"/>
      <w:marLeft w:val="0"/>
      <w:marRight w:val="0"/>
      <w:marTop w:val="0"/>
      <w:marBottom w:val="0"/>
      <w:divBdr>
        <w:top w:val="none" w:sz="0" w:space="0" w:color="auto"/>
        <w:left w:val="none" w:sz="0" w:space="0" w:color="auto"/>
        <w:bottom w:val="none" w:sz="0" w:space="0" w:color="auto"/>
        <w:right w:val="none" w:sz="0" w:space="0" w:color="auto"/>
      </w:divBdr>
    </w:div>
    <w:div w:id="1492864023">
      <w:bodyDiv w:val="1"/>
      <w:marLeft w:val="0"/>
      <w:marRight w:val="0"/>
      <w:marTop w:val="0"/>
      <w:marBottom w:val="0"/>
      <w:divBdr>
        <w:top w:val="none" w:sz="0" w:space="0" w:color="auto"/>
        <w:left w:val="none" w:sz="0" w:space="0" w:color="auto"/>
        <w:bottom w:val="none" w:sz="0" w:space="0" w:color="auto"/>
        <w:right w:val="none" w:sz="0" w:space="0" w:color="auto"/>
      </w:divBdr>
    </w:div>
    <w:div w:id="1493377799">
      <w:bodyDiv w:val="1"/>
      <w:marLeft w:val="0"/>
      <w:marRight w:val="0"/>
      <w:marTop w:val="0"/>
      <w:marBottom w:val="0"/>
      <w:divBdr>
        <w:top w:val="none" w:sz="0" w:space="0" w:color="auto"/>
        <w:left w:val="none" w:sz="0" w:space="0" w:color="auto"/>
        <w:bottom w:val="none" w:sz="0" w:space="0" w:color="auto"/>
        <w:right w:val="none" w:sz="0" w:space="0" w:color="auto"/>
      </w:divBdr>
    </w:div>
    <w:div w:id="1494831325">
      <w:bodyDiv w:val="1"/>
      <w:marLeft w:val="0"/>
      <w:marRight w:val="0"/>
      <w:marTop w:val="0"/>
      <w:marBottom w:val="0"/>
      <w:divBdr>
        <w:top w:val="none" w:sz="0" w:space="0" w:color="auto"/>
        <w:left w:val="none" w:sz="0" w:space="0" w:color="auto"/>
        <w:bottom w:val="none" w:sz="0" w:space="0" w:color="auto"/>
        <w:right w:val="none" w:sz="0" w:space="0" w:color="auto"/>
      </w:divBdr>
    </w:div>
    <w:div w:id="1495410426">
      <w:bodyDiv w:val="1"/>
      <w:marLeft w:val="0"/>
      <w:marRight w:val="0"/>
      <w:marTop w:val="0"/>
      <w:marBottom w:val="0"/>
      <w:divBdr>
        <w:top w:val="none" w:sz="0" w:space="0" w:color="auto"/>
        <w:left w:val="none" w:sz="0" w:space="0" w:color="auto"/>
        <w:bottom w:val="none" w:sz="0" w:space="0" w:color="auto"/>
        <w:right w:val="none" w:sz="0" w:space="0" w:color="auto"/>
      </w:divBdr>
    </w:div>
    <w:div w:id="1495684251">
      <w:bodyDiv w:val="1"/>
      <w:marLeft w:val="0"/>
      <w:marRight w:val="0"/>
      <w:marTop w:val="0"/>
      <w:marBottom w:val="0"/>
      <w:divBdr>
        <w:top w:val="none" w:sz="0" w:space="0" w:color="auto"/>
        <w:left w:val="none" w:sz="0" w:space="0" w:color="auto"/>
        <w:bottom w:val="none" w:sz="0" w:space="0" w:color="auto"/>
        <w:right w:val="none" w:sz="0" w:space="0" w:color="auto"/>
      </w:divBdr>
    </w:div>
    <w:div w:id="1495947540">
      <w:bodyDiv w:val="1"/>
      <w:marLeft w:val="0"/>
      <w:marRight w:val="0"/>
      <w:marTop w:val="0"/>
      <w:marBottom w:val="0"/>
      <w:divBdr>
        <w:top w:val="none" w:sz="0" w:space="0" w:color="auto"/>
        <w:left w:val="none" w:sz="0" w:space="0" w:color="auto"/>
        <w:bottom w:val="none" w:sz="0" w:space="0" w:color="auto"/>
        <w:right w:val="none" w:sz="0" w:space="0" w:color="auto"/>
      </w:divBdr>
    </w:div>
    <w:div w:id="1496188481">
      <w:bodyDiv w:val="1"/>
      <w:marLeft w:val="0"/>
      <w:marRight w:val="0"/>
      <w:marTop w:val="0"/>
      <w:marBottom w:val="0"/>
      <w:divBdr>
        <w:top w:val="none" w:sz="0" w:space="0" w:color="auto"/>
        <w:left w:val="none" w:sz="0" w:space="0" w:color="auto"/>
        <w:bottom w:val="none" w:sz="0" w:space="0" w:color="auto"/>
        <w:right w:val="none" w:sz="0" w:space="0" w:color="auto"/>
      </w:divBdr>
    </w:div>
    <w:div w:id="1497109651">
      <w:bodyDiv w:val="1"/>
      <w:marLeft w:val="0"/>
      <w:marRight w:val="0"/>
      <w:marTop w:val="0"/>
      <w:marBottom w:val="0"/>
      <w:divBdr>
        <w:top w:val="none" w:sz="0" w:space="0" w:color="auto"/>
        <w:left w:val="none" w:sz="0" w:space="0" w:color="auto"/>
        <w:bottom w:val="none" w:sz="0" w:space="0" w:color="auto"/>
        <w:right w:val="none" w:sz="0" w:space="0" w:color="auto"/>
      </w:divBdr>
    </w:div>
    <w:div w:id="1497458705">
      <w:bodyDiv w:val="1"/>
      <w:marLeft w:val="0"/>
      <w:marRight w:val="0"/>
      <w:marTop w:val="0"/>
      <w:marBottom w:val="0"/>
      <w:divBdr>
        <w:top w:val="none" w:sz="0" w:space="0" w:color="auto"/>
        <w:left w:val="none" w:sz="0" w:space="0" w:color="auto"/>
        <w:bottom w:val="none" w:sz="0" w:space="0" w:color="auto"/>
        <w:right w:val="none" w:sz="0" w:space="0" w:color="auto"/>
      </w:divBdr>
    </w:div>
    <w:div w:id="1497958257">
      <w:bodyDiv w:val="1"/>
      <w:marLeft w:val="0"/>
      <w:marRight w:val="0"/>
      <w:marTop w:val="0"/>
      <w:marBottom w:val="0"/>
      <w:divBdr>
        <w:top w:val="none" w:sz="0" w:space="0" w:color="auto"/>
        <w:left w:val="none" w:sz="0" w:space="0" w:color="auto"/>
        <w:bottom w:val="none" w:sz="0" w:space="0" w:color="auto"/>
        <w:right w:val="none" w:sz="0" w:space="0" w:color="auto"/>
      </w:divBdr>
    </w:div>
    <w:div w:id="1498350996">
      <w:bodyDiv w:val="1"/>
      <w:marLeft w:val="0"/>
      <w:marRight w:val="0"/>
      <w:marTop w:val="0"/>
      <w:marBottom w:val="0"/>
      <w:divBdr>
        <w:top w:val="none" w:sz="0" w:space="0" w:color="auto"/>
        <w:left w:val="none" w:sz="0" w:space="0" w:color="auto"/>
        <w:bottom w:val="none" w:sz="0" w:space="0" w:color="auto"/>
        <w:right w:val="none" w:sz="0" w:space="0" w:color="auto"/>
      </w:divBdr>
    </w:div>
    <w:div w:id="1499152700">
      <w:bodyDiv w:val="1"/>
      <w:marLeft w:val="0"/>
      <w:marRight w:val="0"/>
      <w:marTop w:val="0"/>
      <w:marBottom w:val="0"/>
      <w:divBdr>
        <w:top w:val="none" w:sz="0" w:space="0" w:color="auto"/>
        <w:left w:val="none" w:sz="0" w:space="0" w:color="auto"/>
        <w:bottom w:val="none" w:sz="0" w:space="0" w:color="auto"/>
        <w:right w:val="none" w:sz="0" w:space="0" w:color="auto"/>
      </w:divBdr>
    </w:div>
    <w:div w:id="1499692546">
      <w:bodyDiv w:val="1"/>
      <w:marLeft w:val="0"/>
      <w:marRight w:val="0"/>
      <w:marTop w:val="0"/>
      <w:marBottom w:val="0"/>
      <w:divBdr>
        <w:top w:val="none" w:sz="0" w:space="0" w:color="auto"/>
        <w:left w:val="none" w:sz="0" w:space="0" w:color="auto"/>
        <w:bottom w:val="none" w:sz="0" w:space="0" w:color="auto"/>
        <w:right w:val="none" w:sz="0" w:space="0" w:color="auto"/>
      </w:divBdr>
    </w:div>
    <w:div w:id="1499886289">
      <w:bodyDiv w:val="1"/>
      <w:marLeft w:val="0"/>
      <w:marRight w:val="0"/>
      <w:marTop w:val="0"/>
      <w:marBottom w:val="0"/>
      <w:divBdr>
        <w:top w:val="none" w:sz="0" w:space="0" w:color="auto"/>
        <w:left w:val="none" w:sz="0" w:space="0" w:color="auto"/>
        <w:bottom w:val="none" w:sz="0" w:space="0" w:color="auto"/>
        <w:right w:val="none" w:sz="0" w:space="0" w:color="auto"/>
      </w:divBdr>
    </w:div>
    <w:div w:id="1500192854">
      <w:bodyDiv w:val="1"/>
      <w:marLeft w:val="0"/>
      <w:marRight w:val="0"/>
      <w:marTop w:val="0"/>
      <w:marBottom w:val="0"/>
      <w:divBdr>
        <w:top w:val="none" w:sz="0" w:space="0" w:color="auto"/>
        <w:left w:val="none" w:sz="0" w:space="0" w:color="auto"/>
        <w:bottom w:val="none" w:sz="0" w:space="0" w:color="auto"/>
        <w:right w:val="none" w:sz="0" w:space="0" w:color="auto"/>
      </w:divBdr>
    </w:div>
    <w:div w:id="1500343457">
      <w:bodyDiv w:val="1"/>
      <w:marLeft w:val="0"/>
      <w:marRight w:val="0"/>
      <w:marTop w:val="0"/>
      <w:marBottom w:val="0"/>
      <w:divBdr>
        <w:top w:val="none" w:sz="0" w:space="0" w:color="auto"/>
        <w:left w:val="none" w:sz="0" w:space="0" w:color="auto"/>
        <w:bottom w:val="none" w:sz="0" w:space="0" w:color="auto"/>
        <w:right w:val="none" w:sz="0" w:space="0" w:color="auto"/>
      </w:divBdr>
    </w:div>
    <w:div w:id="1500533740">
      <w:bodyDiv w:val="1"/>
      <w:marLeft w:val="0"/>
      <w:marRight w:val="0"/>
      <w:marTop w:val="0"/>
      <w:marBottom w:val="0"/>
      <w:divBdr>
        <w:top w:val="none" w:sz="0" w:space="0" w:color="auto"/>
        <w:left w:val="none" w:sz="0" w:space="0" w:color="auto"/>
        <w:bottom w:val="none" w:sz="0" w:space="0" w:color="auto"/>
        <w:right w:val="none" w:sz="0" w:space="0" w:color="auto"/>
      </w:divBdr>
    </w:div>
    <w:div w:id="1500928840">
      <w:bodyDiv w:val="1"/>
      <w:marLeft w:val="0"/>
      <w:marRight w:val="0"/>
      <w:marTop w:val="0"/>
      <w:marBottom w:val="0"/>
      <w:divBdr>
        <w:top w:val="none" w:sz="0" w:space="0" w:color="auto"/>
        <w:left w:val="none" w:sz="0" w:space="0" w:color="auto"/>
        <w:bottom w:val="none" w:sz="0" w:space="0" w:color="auto"/>
        <w:right w:val="none" w:sz="0" w:space="0" w:color="auto"/>
      </w:divBdr>
    </w:div>
    <w:div w:id="1501119240">
      <w:bodyDiv w:val="1"/>
      <w:marLeft w:val="0"/>
      <w:marRight w:val="0"/>
      <w:marTop w:val="0"/>
      <w:marBottom w:val="0"/>
      <w:divBdr>
        <w:top w:val="none" w:sz="0" w:space="0" w:color="auto"/>
        <w:left w:val="none" w:sz="0" w:space="0" w:color="auto"/>
        <w:bottom w:val="none" w:sz="0" w:space="0" w:color="auto"/>
        <w:right w:val="none" w:sz="0" w:space="0" w:color="auto"/>
      </w:divBdr>
    </w:div>
    <w:div w:id="1501653634">
      <w:bodyDiv w:val="1"/>
      <w:marLeft w:val="0"/>
      <w:marRight w:val="0"/>
      <w:marTop w:val="0"/>
      <w:marBottom w:val="0"/>
      <w:divBdr>
        <w:top w:val="none" w:sz="0" w:space="0" w:color="auto"/>
        <w:left w:val="none" w:sz="0" w:space="0" w:color="auto"/>
        <w:bottom w:val="none" w:sz="0" w:space="0" w:color="auto"/>
        <w:right w:val="none" w:sz="0" w:space="0" w:color="auto"/>
      </w:divBdr>
    </w:div>
    <w:div w:id="1501773900">
      <w:bodyDiv w:val="1"/>
      <w:marLeft w:val="0"/>
      <w:marRight w:val="0"/>
      <w:marTop w:val="0"/>
      <w:marBottom w:val="0"/>
      <w:divBdr>
        <w:top w:val="none" w:sz="0" w:space="0" w:color="auto"/>
        <w:left w:val="none" w:sz="0" w:space="0" w:color="auto"/>
        <w:bottom w:val="none" w:sz="0" w:space="0" w:color="auto"/>
        <w:right w:val="none" w:sz="0" w:space="0" w:color="auto"/>
      </w:divBdr>
    </w:div>
    <w:div w:id="1501775643">
      <w:bodyDiv w:val="1"/>
      <w:marLeft w:val="0"/>
      <w:marRight w:val="0"/>
      <w:marTop w:val="0"/>
      <w:marBottom w:val="0"/>
      <w:divBdr>
        <w:top w:val="none" w:sz="0" w:space="0" w:color="auto"/>
        <w:left w:val="none" w:sz="0" w:space="0" w:color="auto"/>
        <w:bottom w:val="none" w:sz="0" w:space="0" w:color="auto"/>
        <w:right w:val="none" w:sz="0" w:space="0" w:color="auto"/>
      </w:divBdr>
    </w:div>
    <w:div w:id="1502038758">
      <w:bodyDiv w:val="1"/>
      <w:marLeft w:val="0"/>
      <w:marRight w:val="0"/>
      <w:marTop w:val="0"/>
      <w:marBottom w:val="0"/>
      <w:divBdr>
        <w:top w:val="none" w:sz="0" w:space="0" w:color="auto"/>
        <w:left w:val="none" w:sz="0" w:space="0" w:color="auto"/>
        <w:bottom w:val="none" w:sz="0" w:space="0" w:color="auto"/>
        <w:right w:val="none" w:sz="0" w:space="0" w:color="auto"/>
      </w:divBdr>
    </w:div>
    <w:div w:id="1502507007">
      <w:bodyDiv w:val="1"/>
      <w:marLeft w:val="0"/>
      <w:marRight w:val="0"/>
      <w:marTop w:val="0"/>
      <w:marBottom w:val="0"/>
      <w:divBdr>
        <w:top w:val="none" w:sz="0" w:space="0" w:color="auto"/>
        <w:left w:val="none" w:sz="0" w:space="0" w:color="auto"/>
        <w:bottom w:val="none" w:sz="0" w:space="0" w:color="auto"/>
        <w:right w:val="none" w:sz="0" w:space="0" w:color="auto"/>
      </w:divBdr>
    </w:div>
    <w:div w:id="1502508489">
      <w:bodyDiv w:val="1"/>
      <w:marLeft w:val="0"/>
      <w:marRight w:val="0"/>
      <w:marTop w:val="0"/>
      <w:marBottom w:val="0"/>
      <w:divBdr>
        <w:top w:val="none" w:sz="0" w:space="0" w:color="auto"/>
        <w:left w:val="none" w:sz="0" w:space="0" w:color="auto"/>
        <w:bottom w:val="none" w:sz="0" w:space="0" w:color="auto"/>
        <w:right w:val="none" w:sz="0" w:space="0" w:color="auto"/>
      </w:divBdr>
    </w:div>
    <w:div w:id="1502742329">
      <w:bodyDiv w:val="1"/>
      <w:marLeft w:val="0"/>
      <w:marRight w:val="0"/>
      <w:marTop w:val="0"/>
      <w:marBottom w:val="0"/>
      <w:divBdr>
        <w:top w:val="none" w:sz="0" w:space="0" w:color="auto"/>
        <w:left w:val="none" w:sz="0" w:space="0" w:color="auto"/>
        <w:bottom w:val="none" w:sz="0" w:space="0" w:color="auto"/>
        <w:right w:val="none" w:sz="0" w:space="0" w:color="auto"/>
      </w:divBdr>
    </w:div>
    <w:div w:id="1503004475">
      <w:bodyDiv w:val="1"/>
      <w:marLeft w:val="0"/>
      <w:marRight w:val="0"/>
      <w:marTop w:val="0"/>
      <w:marBottom w:val="0"/>
      <w:divBdr>
        <w:top w:val="none" w:sz="0" w:space="0" w:color="auto"/>
        <w:left w:val="none" w:sz="0" w:space="0" w:color="auto"/>
        <w:bottom w:val="none" w:sz="0" w:space="0" w:color="auto"/>
        <w:right w:val="none" w:sz="0" w:space="0" w:color="auto"/>
      </w:divBdr>
    </w:div>
    <w:div w:id="1503204608">
      <w:bodyDiv w:val="1"/>
      <w:marLeft w:val="0"/>
      <w:marRight w:val="0"/>
      <w:marTop w:val="0"/>
      <w:marBottom w:val="0"/>
      <w:divBdr>
        <w:top w:val="none" w:sz="0" w:space="0" w:color="auto"/>
        <w:left w:val="none" w:sz="0" w:space="0" w:color="auto"/>
        <w:bottom w:val="none" w:sz="0" w:space="0" w:color="auto"/>
        <w:right w:val="none" w:sz="0" w:space="0" w:color="auto"/>
      </w:divBdr>
    </w:div>
    <w:div w:id="1503543526">
      <w:bodyDiv w:val="1"/>
      <w:marLeft w:val="0"/>
      <w:marRight w:val="0"/>
      <w:marTop w:val="0"/>
      <w:marBottom w:val="0"/>
      <w:divBdr>
        <w:top w:val="none" w:sz="0" w:space="0" w:color="auto"/>
        <w:left w:val="none" w:sz="0" w:space="0" w:color="auto"/>
        <w:bottom w:val="none" w:sz="0" w:space="0" w:color="auto"/>
        <w:right w:val="none" w:sz="0" w:space="0" w:color="auto"/>
      </w:divBdr>
    </w:div>
    <w:div w:id="1504053657">
      <w:bodyDiv w:val="1"/>
      <w:marLeft w:val="0"/>
      <w:marRight w:val="0"/>
      <w:marTop w:val="0"/>
      <w:marBottom w:val="0"/>
      <w:divBdr>
        <w:top w:val="none" w:sz="0" w:space="0" w:color="auto"/>
        <w:left w:val="none" w:sz="0" w:space="0" w:color="auto"/>
        <w:bottom w:val="none" w:sz="0" w:space="0" w:color="auto"/>
        <w:right w:val="none" w:sz="0" w:space="0" w:color="auto"/>
      </w:divBdr>
    </w:div>
    <w:div w:id="1504736696">
      <w:bodyDiv w:val="1"/>
      <w:marLeft w:val="0"/>
      <w:marRight w:val="0"/>
      <w:marTop w:val="0"/>
      <w:marBottom w:val="0"/>
      <w:divBdr>
        <w:top w:val="none" w:sz="0" w:space="0" w:color="auto"/>
        <w:left w:val="none" w:sz="0" w:space="0" w:color="auto"/>
        <w:bottom w:val="none" w:sz="0" w:space="0" w:color="auto"/>
        <w:right w:val="none" w:sz="0" w:space="0" w:color="auto"/>
      </w:divBdr>
    </w:div>
    <w:div w:id="1505047294">
      <w:bodyDiv w:val="1"/>
      <w:marLeft w:val="0"/>
      <w:marRight w:val="0"/>
      <w:marTop w:val="0"/>
      <w:marBottom w:val="0"/>
      <w:divBdr>
        <w:top w:val="none" w:sz="0" w:space="0" w:color="auto"/>
        <w:left w:val="none" w:sz="0" w:space="0" w:color="auto"/>
        <w:bottom w:val="none" w:sz="0" w:space="0" w:color="auto"/>
        <w:right w:val="none" w:sz="0" w:space="0" w:color="auto"/>
      </w:divBdr>
    </w:div>
    <w:div w:id="1505584400">
      <w:bodyDiv w:val="1"/>
      <w:marLeft w:val="0"/>
      <w:marRight w:val="0"/>
      <w:marTop w:val="0"/>
      <w:marBottom w:val="0"/>
      <w:divBdr>
        <w:top w:val="none" w:sz="0" w:space="0" w:color="auto"/>
        <w:left w:val="none" w:sz="0" w:space="0" w:color="auto"/>
        <w:bottom w:val="none" w:sz="0" w:space="0" w:color="auto"/>
        <w:right w:val="none" w:sz="0" w:space="0" w:color="auto"/>
      </w:divBdr>
    </w:div>
    <w:div w:id="1505853041">
      <w:bodyDiv w:val="1"/>
      <w:marLeft w:val="0"/>
      <w:marRight w:val="0"/>
      <w:marTop w:val="0"/>
      <w:marBottom w:val="0"/>
      <w:divBdr>
        <w:top w:val="none" w:sz="0" w:space="0" w:color="auto"/>
        <w:left w:val="none" w:sz="0" w:space="0" w:color="auto"/>
        <w:bottom w:val="none" w:sz="0" w:space="0" w:color="auto"/>
        <w:right w:val="none" w:sz="0" w:space="0" w:color="auto"/>
      </w:divBdr>
    </w:div>
    <w:div w:id="1506936940">
      <w:bodyDiv w:val="1"/>
      <w:marLeft w:val="0"/>
      <w:marRight w:val="0"/>
      <w:marTop w:val="0"/>
      <w:marBottom w:val="0"/>
      <w:divBdr>
        <w:top w:val="none" w:sz="0" w:space="0" w:color="auto"/>
        <w:left w:val="none" w:sz="0" w:space="0" w:color="auto"/>
        <w:bottom w:val="none" w:sz="0" w:space="0" w:color="auto"/>
        <w:right w:val="none" w:sz="0" w:space="0" w:color="auto"/>
      </w:divBdr>
    </w:div>
    <w:div w:id="1507668160">
      <w:bodyDiv w:val="1"/>
      <w:marLeft w:val="0"/>
      <w:marRight w:val="0"/>
      <w:marTop w:val="0"/>
      <w:marBottom w:val="0"/>
      <w:divBdr>
        <w:top w:val="none" w:sz="0" w:space="0" w:color="auto"/>
        <w:left w:val="none" w:sz="0" w:space="0" w:color="auto"/>
        <w:bottom w:val="none" w:sz="0" w:space="0" w:color="auto"/>
        <w:right w:val="none" w:sz="0" w:space="0" w:color="auto"/>
      </w:divBdr>
    </w:div>
    <w:div w:id="1507819330">
      <w:bodyDiv w:val="1"/>
      <w:marLeft w:val="0"/>
      <w:marRight w:val="0"/>
      <w:marTop w:val="0"/>
      <w:marBottom w:val="0"/>
      <w:divBdr>
        <w:top w:val="none" w:sz="0" w:space="0" w:color="auto"/>
        <w:left w:val="none" w:sz="0" w:space="0" w:color="auto"/>
        <w:bottom w:val="none" w:sz="0" w:space="0" w:color="auto"/>
        <w:right w:val="none" w:sz="0" w:space="0" w:color="auto"/>
      </w:divBdr>
    </w:div>
    <w:div w:id="1507939745">
      <w:bodyDiv w:val="1"/>
      <w:marLeft w:val="0"/>
      <w:marRight w:val="0"/>
      <w:marTop w:val="0"/>
      <w:marBottom w:val="0"/>
      <w:divBdr>
        <w:top w:val="none" w:sz="0" w:space="0" w:color="auto"/>
        <w:left w:val="none" w:sz="0" w:space="0" w:color="auto"/>
        <w:bottom w:val="none" w:sz="0" w:space="0" w:color="auto"/>
        <w:right w:val="none" w:sz="0" w:space="0" w:color="auto"/>
      </w:divBdr>
    </w:div>
    <w:div w:id="1507940962">
      <w:bodyDiv w:val="1"/>
      <w:marLeft w:val="0"/>
      <w:marRight w:val="0"/>
      <w:marTop w:val="0"/>
      <w:marBottom w:val="0"/>
      <w:divBdr>
        <w:top w:val="none" w:sz="0" w:space="0" w:color="auto"/>
        <w:left w:val="none" w:sz="0" w:space="0" w:color="auto"/>
        <w:bottom w:val="none" w:sz="0" w:space="0" w:color="auto"/>
        <w:right w:val="none" w:sz="0" w:space="0" w:color="auto"/>
      </w:divBdr>
    </w:div>
    <w:div w:id="1507941512">
      <w:bodyDiv w:val="1"/>
      <w:marLeft w:val="0"/>
      <w:marRight w:val="0"/>
      <w:marTop w:val="0"/>
      <w:marBottom w:val="0"/>
      <w:divBdr>
        <w:top w:val="none" w:sz="0" w:space="0" w:color="auto"/>
        <w:left w:val="none" w:sz="0" w:space="0" w:color="auto"/>
        <w:bottom w:val="none" w:sz="0" w:space="0" w:color="auto"/>
        <w:right w:val="none" w:sz="0" w:space="0" w:color="auto"/>
      </w:divBdr>
    </w:div>
    <w:div w:id="1507942345">
      <w:bodyDiv w:val="1"/>
      <w:marLeft w:val="0"/>
      <w:marRight w:val="0"/>
      <w:marTop w:val="0"/>
      <w:marBottom w:val="0"/>
      <w:divBdr>
        <w:top w:val="none" w:sz="0" w:space="0" w:color="auto"/>
        <w:left w:val="none" w:sz="0" w:space="0" w:color="auto"/>
        <w:bottom w:val="none" w:sz="0" w:space="0" w:color="auto"/>
        <w:right w:val="none" w:sz="0" w:space="0" w:color="auto"/>
      </w:divBdr>
    </w:div>
    <w:div w:id="1508860315">
      <w:bodyDiv w:val="1"/>
      <w:marLeft w:val="0"/>
      <w:marRight w:val="0"/>
      <w:marTop w:val="0"/>
      <w:marBottom w:val="0"/>
      <w:divBdr>
        <w:top w:val="none" w:sz="0" w:space="0" w:color="auto"/>
        <w:left w:val="none" w:sz="0" w:space="0" w:color="auto"/>
        <w:bottom w:val="none" w:sz="0" w:space="0" w:color="auto"/>
        <w:right w:val="none" w:sz="0" w:space="0" w:color="auto"/>
      </w:divBdr>
    </w:div>
    <w:div w:id="1508902493">
      <w:bodyDiv w:val="1"/>
      <w:marLeft w:val="0"/>
      <w:marRight w:val="0"/>
      <w:marTop w:val="0"/>
      <w:marBottom w:val="0"/>
      <w:divBdr>
        <w:top w:val="none" w:sz="0" w:space="0" w:color="auto"/>
        <w:left w:val="none" w:sz="0" w:space="0" w:color="auto"/>
        <w:bottom w:val="none" w:sz="0" w:space="0" w:color="auto"/>
        <w:right w:val="none" w:sz="0" w:space="0" w:color="auto"/>
      </w:divBdr>
    </w:div>
    <w:div w:id="1509564782">
      <w:bodyDiv w:val="1"/>
      <w:marLeft w:val="0"/>
      <w:marRight w:val="0"/>
      <w:marTop w:val="0"/>
      <w:marBottom w:val="0"/>
      <w:divBdr>
        <w:top w:val="none" w:sz="0" w:space="0" w:color="auto"/>
        <w:left w:val="none" w:sz="0" w:space="0" w:color="auto"/>
        <w:bottom w:val="none" w:sz="0" w:space="0" w:color="auto"/>
        <w:right w:val="none" w:sz="0" w:space="0" w:color="auto"/>
      </w:divBdr>
    </w:div>
    <w:div w:id="1509632389">
      <w:bodyDiv w:val="1"/>
      <w:marLeft w:val="0"/>
      <w:marRight w:val="0"/>
      <w:marTop w:val="0"/>
      <w:marBottom w:val="0"/>
      <w:divBdr>
        <w:top w:val="none" w:sz="0" w:space="0" w:color="auto"/>
        <w:left w:val="none" w:sz="0" w:space="0" w:color="auto"/>
        <w:bottom w:val="none" w:sz="0" w:space="0" w:color="auto"/>
        <w:right w:val="none" w:sz="0" w:space="0" w:color="auto"/>
      </w:divBdr>
    </w:div>
    <w:div w:id="1509636384">
      <w:bodyDiv w:val="1"/>
      <w:marLeft w:val="0"/>
      <w:marRight w:val="0"/>
      <w:marTop w:val="0"/>
      <w:marBottom w:val="0"/>
      <w:divBdr>
        <w:top w:val="none" w:sz="0" w:space="0" w:color="auto"/>
        <w:left w:val="none" w:sz="0" w:space="0" w:color="auto"/>
        <w:bottom w:val="none" w:sz="0" w:space="0" w:color="auto"/>
        <w:right w:val="none" w:sz="0" w:space="0" w:color="auto"/>
      </w:divBdr>
    </w:div>
    <w:div w:id="1510367208">
      <w:bodyDiv w:val="1"/>
      <w:marLeft w:val="0"/>
      <w:marRight w:val="0"/>
      <w:marTop w:val="0"/>
      <w:marBottom w:val="0"/>
      <w:divBdr>
        <w:top w:val="none" w:sz="0" w:space="0" w:color="auto"/>
        <w:left w:val="none" w:sz="0" w:space="0" w:color="auto"/>
        <w:bottom w:val="none" w:sz="0" w:space="0" w:color="auto"/>
        <w:right w:val="none" w:sz="0" w:space="0" w:color="auto"/>
      </w:divBdr>
    </w:div>
    <w:div w:id="1510827760">
      <w:bodyDiv w:val="1"/>
      <w:marLeft w:val="0"/>
      <w:marRight w:val="0"/>
      <w:marTop w:val="0"/>
      <w:marBottom w:val="0"/>
      <w:divBdr>
        <w:top w:val="none" w:sz="0" w:space="0" w:color="auto"/>
        <w:left w:val="none" w:sz="0" w:space="0" w:color="auto"/>
        <w:bottom w:val="none" w:sz="0" w:space="0" w:color="auto"/>
        <w:right w:val="none" w:sz="0" w:space="0" w:color="auto"/>
      </w:divBdr>
    </w:div>
    <w:div w:id="1511329268">
      <w:bodyDiv w:val="1"/>
      <w:marLeft w:val="0"/>
      <w:marRight w:val="0"/>
      <w:marTop w:val="0"/>
      <w:marBottom w:val="0"/>
      <w:divBdr>
        <w:top w:val="none" w:sz="0" w:space="0" w:color="auto"/>
        <w:left w:val="none" w:sz="0" w:space="0" w:color="auto"/>
        <w:bottom w:val="none" w:sz="0" w:space="0" w:color="auto"/>
        <w:right w:val="none" w:sz="0" w:space="0" w:color="auto"/>
      </w:divBdr>
    </w:div>
    <w:div w:id="1512068784">
      <w:bodyDiv w:val="1"/>
      <w:marLeft w:val="0"/>
      <w:marRight w:val="0"/>
      <w:marTop w:val="0"/>
      <w:marBottom w:val="0"/>
      <w:divBdr>
        <w:top w:val="none" w:sz="0" w:space="0" w:color="auto"/>
        <w:left w:val="none" w:sz="0" w:space="0" w:color="auto"/>
        <w:bottom w:val="none" w:sz="0" w:space="0" w:color="auto"/>
        <w:right w:val="none" w:sz="0" w:space="0" w:color="auto"/>
      </w:divBdr>
    </w:div>
    <w:div w:id="1514343772">
      <w:bodyDiv w:val="1"/>
      <w:marLeft w:val="0"/>
      <w:marRight w:val="0"/>
      <w:marTop w:val="0"/>
      <w:marBottom w:val="0"/>
      <w:divBdr>
        <w:top w:val="none" w:sz="0" w:space="0" w:color="auto"/>
        <w:left w:val="none" w:sz="0" w:space="0" w:color="auto"/>
        <w:bottom w:val="none" w:sz="0" w:space="0" w:color="auto"/>
        <w:right w:val="none" w:sz="0" w:space="0" w:color="auto"/>
      </w:divBdr>
    </w:div>
    <w:div w:id="1514687195">
      <w:bodyDiv w:val="1"/>
      <w:marLeft w:val="0"/>
      <w:marRight w:val="0"/>
      <w:marTop w:val="0"/>
      <w:marBottom w:val="0"/>
      <w:divBdr>
        <w:top w:val="none" w:sz="0" w:space="0" w:color="auto"/>
        <w:left w:val="none" w:sz="0" w:space="0" w:color="auto"/>
        <w:bottom w:val="none" w:sz="0" w:space="0" w:color="auto"/>
        <w:right w:val="none" w:sz="0" w:space="0" w:color="auto"/>
      </w:divBdr>
    </w:div>
    <w:div w:id="1514875472">
      <w:bodyDiv w:val="1"/>
      <w:marLeft w:val="0"/>
      <w:marRight w:val="0"/>
      <w:marTop w:val="0"/>
      <w:marBottom w:val="0"/>
      <w:divBdr>
        <w:top w:val="none" w:sz="0" w:space="0" w:color="auto"/>
        <w:left w:val="none" w:sz="0" w:space="0" w:color="auto"/>
        <w:bottom w:val="none" w:sz="0" w:space="0" w:color="auto"/>
        <w:right w:val="none" w:sz="0" w:space="0" w:color="auto"/>
      </w:divBdr>
    </w:div>
    <w:div w:id="1515800630">
      <w:bodyDiv w:val="1"/>
      <w:marLeft w:val="0"/>
      <w:marRight w:val="0"/>
      <w:marTop w:val="0"/>
      <w:marBottom w:val="0"/>
      <w:divBdr>
        <w:top w:val="none" w:sz="0" w:space="0" w:color="auto"/>
        <w:left w:val="none" w:sz="0" w:space="0" w:color="auto"/>
        <w:bottom w:val="none" w:sz="0" w:space="0" w:color="auto"/>
        <w:right w:val="none" w:sz="0" w:space="0" w:color="auto"/>
      </w:divBdr>
    </w:div>
    <w:div w:id="1516070507">
      <w:bodyDiv w:val="1"/>
      <w:marLeft w:val="0"/>
      <w:marRight w:val="0"/>
      <w:marTop w:val="0"/>
      <w:marBottom w:val="0"/>
      <w:divBdr>
        <w:top w:val="none" w:sz="0" w:space="0" w:color="auto"/>
        <w:left w:val="none" w:sz="0" w:space="0" w:color="auto"/>
        <w:bottom w:val="none" w:sz="0" w:space="0" w:color="auto"/>
        <w:right w:val="none" w:sz="0" w:space="0" w:color="auto"/>
      </w:divBdr>
    </w:div>
    <w:div w:id="1516070875">
      <w:bodyDiv w:val="1"/>
      <w:marLeft w:val="0"/>
      <w:marRight w:val="0"/>
      <w:marTop w:val="0"/>
      <w:marBottom w:val="0"/>
      <w:divBdr>
        <w:top w:val="none" w:sz="0" w:space="0" w:color="auto"/>
        <w:left w:val="none" w:sz="0" w:space="0" w:color="auto"/>
        <w:bottom w:val="none" w:sz="0" w:space="0" w:color="auto"/>
        <w:right w:val="none" w:sz="0" w:space="0" w:color="auto"/>
      </w:divBdr>
    </w:div>
    <w:div w:id="1516651583">
      <w:bodyDiv w:val="1"/>
      <w:marLeft w:val="0"/>
      <w:marRight w:val="0"/>
      <w:marTop w:val="0"/>
      <w:marBottom w:val="0"/>
      <w:divBdr>
        <w:top w:val="none" w:sz="0" w:space="0" w:color="auto"/>
        <w:left w:val="none" w:sz="0" w:space="0" w:color="auto"/>
        <w:bottom w:val="none" w:sz="0" w:space="0" w:color="auto"/>
        <w:right w:val="none" w:sz="0" w:space="0" w:color="auto"/>
      </w:divBdr>
    </w:div>
    <w:div w:id="1516920333">
      <w:bodyDiv w:val="1"/>
      <w:marLeft w:val="0"/>
      <w:marRight w:val="0"/>
      <w:marTop w:val="0"/>
      <w:marBottom w:val="0"/>
      <w:divBdr>
        <w:top w:val="none" w:sz="0" w:space="0" w:color="auto"/>
        <w:left w:val="none" w:sz="0" w:space="0" w:color="auto"/>
        <w:bottom w:val="none" w:sz="0" w:space="0" w:color="auto"/>
        <w:right w:val="none" w:sz="0" w:space="0" w:color="auto"/>
      </w:divBdr>
    </w:div>
    <w:div w:id="1517228920">
      <w:bodyDiv w:val="1"/>
      <w:marLeft w:val="0"/>
      <w:marRight w:val="0"/>
      <w:marTop w:val="0"/>
      <w:marBottom w:val="0"/>
      <w:divBdr>
        <w:top w:val="none" w:sz="0" w:space="0" w:color="auto"/>
        <w:left w:val="none" w:sz="0" w:space="0" w:color="auto"/>
        <w:bottom w:val="none" w:sz="0" w:space="0" w:color="auto"/>
        <w:right w:val="none" w:sz="0" w:space="0" w:color="auto"/>
      </w:divBdr>
    </w:div>
    <w:div w:id="1517378111">
      <w:bodyDiv w:val="1"/>
      <w:marLeft w:val="0"/>
      <w:marRight w:val="0"/>
      <w:marTop w:val="0"/>
      <w:marBottom w:val="0"/>
      <w:divBdr>
        <w:top w:val="none" w:sz="0" w:space="0" w:color="auto"/>
        <w:left w:val="none" w:sz="0" w:space="0" w:color="auto"/>
        <w:bottom w:val="none" w:sz="0" w:space="0" w:color="auto"/>
        <w:right w:val="none" w:sz="0" w:space="0" w:color="auto"/>
      </w:divBdr>
    </w:div>
    <w:div w:id="1517696903">
      <w:bodyDiv w:val="1"/>
      <w:marLeft w:val="0"/>
      <w:marRight w:val="0"/>
      <w:marTop w:val="0"/>
      <w:marBottom w:val="0"/>
      <w:divBdr>
        <w:top w:val="none" w:sz="0" w:space="0" w:color="auto"/>
        <w:left w:val="none" w:sz="0" w:space="0" w:color="auto"/>
        <w:bottom w:val="none" w:sz="0" w:space="0" w:color="auto"/>
        <w:right w:val="none" w:sz="0" w:space="0" w:color="auto"/>
      </w:divBdr>
    </w:div>
    <w:div w:id="1517958619">
      <w:bodyDiv w:val="1"/>
      <w:marLeft w:val="0"/>
      <w:marRight w:val="0"/>
      <w:marTop w:val="0"/>
      <w:marBottom w:val="0"/>
      <w:divBdr>
        <w:top w:val="none" w:sz="0" w:space="0" w:color="auto"/>
        <w:left w:val="none" w:sz="0" w:space="0" w:color="auto"/>
        <w:bottom w:val="none" w:sz="0" w:space="0" w:color="auto"/>
        <w:right w:val="none" w:sz="0" w:space="0" w:color="auto"/>
      </w:divBdr>
    </w:div>
    <w:div w:id="1518077135">
      <w:bodyDiv w:val="1"/>
      <w:marLeft w:val="0"/>
      <w:marRight w:val="0"/>
      <w:marTop w:val="0"/>
      <w:marBottom w:val="0"/>
      <w:divBdr>
        <w:top w:val="none" w:sz="0" w:space="0" w:color="auto"/>
        <w:left w:val="none" w:sz="0" w:space="0" w:color="auto"/>
        <w:bottom w:val="none" w:sz="0" w:space="0" w:color="auto"/>
        <w:right w:val="none" w:sz="0" w:space="0" w:color="auto"/>
      </w:divBdr>
    </w:div>
    <w:div w:id="1518154370">
      <w:bodyDiv w:val="1"/>
      <w:marLeft w:val="0"/>
      <w:marRight w:val="0"/>
      <w:marTop w:val="0"/>
      <w:marBottom w:val="0"/>
      <w:divBdr>
        <w:top w:val="none" w:sz="0" w:space="0" w:color="auto"/>
        <w:left w:val="none" w:sz="0" w:space="0" w:color="auto"/>
        <w:bottom w:val="none" w:sz="0" w:space="0" w:color="auto"/>
        <w:right w:val="none" w:sz="0" w:space="0" w:color="auto"/>
      </w:divBdr>
    </w:div>
    <w:div w:id="1518471452">
      <w:bodyDiv w:val="1"/>
      <w:marLeft w:val="0"/>
      <w:marRight w:val="0"/>
      <w:marTop w:val="0"/>
      <w:marBottom w:val="0"/>
      <w:divBdr>
        <w:top w:val="none" w:sz="0" w:space="0" w:color="auto"/>
        <w:left w:val="none" w:sz="0" w:space="0" w:color="auto"/>
        <w:bottom w:val="none" w:sz="0" w:space="0" w:color="auto"/>
        <w:right w:val="none" w:sz="0" w:space="0" w:color="auto"/>
      </w:divBdr>
    </w:div>
    <w:div w:id="1518543086">
      <w:bodyDiv w:val="1"/>
      <w:marLeft w:val="0"/>
      <w:marRight w:val="0"/>
      <w:marTop w:val="0"/>
      <w:marBottom w:val="0"/>
      <w:divBdr>
        <w:top w:val="none" w:sz="0" w:space="0" w:color="auto"/>
        <w:left w:val="none" w:sz="0" w:space="0" w:color="auto"/>
        <w:bottom w:val="none" w:sz="0" w:space="0" w:color="auto"/>
        <w:right w:val="none" w:sz="0" w:space="0" w:color="auto"/>
      </w:divBdr>
    </w:div>
    <w:div w:id="1518613391">
      <w:bodyDiv w:val="1"/>
      <w:marLeft w:val="0"/>
      <w:marRight w:val="0"/>
      <w:marTop w:val="0"/>
      <w:marBottom w:val="0"/>
      <w:divBdr>
        <w:top w:val="none" w:sz="0" w:space="0" w:color="auto"/>
        <w:left w:val="none" w:sz="0" w:space="0" w:color="auto"/>
        <w:bottom w:val="none" w:sz="0" w:space="0" w:color="auto"/>
        <w:right w:val="none" w:sz="0" w:space="0" w:color="auto"/>
      </w:divBdr>
    </w:div>
    <w:div w:id="1519198875">
      <w:bodyDiv w:val="1"/>
      <w:marLeft w:val="0"/>
      <w:marRight w:val="0"/>
      <w:marTop w:val="0"/>
      <w:marBottom w:val="0"/>
      <w:divBdr>
        <w:top w:val="none" w:sz="0" w:space="0" w:color="auto"/>
        <w:left w:val="none" w:sz="0" w:space="0" w:color="auto"/>
        <w:bottom w:val="none" w:sz="0" w:space="0" w:color="auto"/>
        <w:right w:val="none" w:sz="0" w:space="0" w:color="auto"/>
      </w:divBdr>
    </w:div>
    <w:div w:id="1519348265">
      <w:bodyDiv w:val="1"/>
      <w:marLeft w:val="0"/>
      <w:marRight w:val="0"/>
      <w:marTop w:val="0"/>
      <w:marBottom w:val="0"/>
      <w:divBdr>
        <w:top w:val="none" w:sz="0" w:space="0" w:color="auto"/>
        <w:left w:val="none" w:sz="0" w:space="0" w:color="auto"/>
        <w:bottom w:val="none" w:sz="0" w:space="0" w:color="auto"/>
        <w:right w:val="none" w:sz="0" w:space="0" w:color="auto"/>
      </w:divBdr>
    </w:div>
    <w:div w:id="1519541754">
      <w:bodyDiv w:val="1"/>
      <w:marLeft w:val="0"/>
      <w:marRight w:val="0"/>
      <w:marTop w:val="0"/>
      <w:marBottom w:val="0"/>
      <w:divBdr>
        <w:top w:val="none" w:sz="0" w:space="0" w:color="auto"/>
        <w:left w:val="none" w:sz="0" w:space="0" w:color="auto"/>
        <w:bottom w:val="none" w:sz="0" w:space="0" w:color="auto"/>
        <w:right w:val="none" w:sz="0" w:space="0" w:color="auto"/>
      </w:divBdr>
    </w:div>
    <w:div w:id="1519736363">
      <w:bodyDiv w:val="1"/>
      <w:marLeft w:val="0"/>
      <w:marRight w:val="0"/>
      <w:marTop w:val="0"/>
      <w:marBottom w:val="0"/>
      <w:divBdr>
        <w:top w:val="none" w:sz="0" w:space="0" w:color="auto"/>
        <w:left w:val="none" w:sz="0" w:space="0" w:color="auto"/>
        <w:bottom w:val="none" w:sz="0" w:space="0" w:color="auto"/>
        <w:right w:val="none" w:sz="0" w:space="0" w:color="auto"/>
      </w:divBdr>
    </w:div>
    <w:div w:id="1520465622">
      <w:bodyDiv w:val="1"/>
      <w:marLeft w:val="0"/>
      <w:marRight w:val="0"/>
      <w:marTop w:val="0"/>
      <w:marBottom w:val="0"/>
      <w:divBdr>
        <w:top w:val="none" w:sz="0" w:space="0" w:color="auto"/>
        <w:left w:val="none" w:sz="0" w:space="0" w:color="auto"/>
        <w:bottom w:val="none" w:sz="0" w:space="0" w:color="auto"/>
        <w:right w:val="none" w:sz="0" w:space="0" w:color="auto"/>
      </w:divBdr>
    </w:div>
    <w:div w:id="1520925162">
      <w:bodyDiv w:val="1"/>
      <w:marLeft w:val="0"/>
      <w:marRight w:val="0"/>
      <w:marTop w:val="0"/>
      <w:marBottom w:val="0"/>
      <w:divBdr>
        <w:top w:val="none" w:sz="0" w:space="0" w:color="auto"/>
        <w:left w:val="none" w:sz="0" w:space="0" w:color="auto"/>
        <w:bottom w:val="none" w:sz="0" w:space="0" w:color="auto"/>
        <w:right w:val="none" w:sz="0" w:space="0" w:color="auto"/>
      </w:divBdr>
    </w:div>
    <w:div w:id="1521121203">
      <w:bodyDiv w:val="1"/>
      <w:marLeft w:val="0"/>
      <w:marRight w:val="0"/>
      <w:marTop w:val="0"/>
      <w:marBottom w:val="0"/>
      <w:divBdr>
        <w:top w:val="none" w:sz="0" w:space="0" w:color="auto"/>
        <w:left w:val="none" w:sz="0" w:space="0" w:color="auto"/>
        <w:bottom w:val="none" w:sz="0" w:space="0" w:color="auto"/>
        <w:right w:val="none" w:sz="0" w:space="0" w:color="auto"/>
      </w:divBdr>
    </w:div>
    <w:div w:id="1521158705">
      <w:bodyDiv w:val="1"/>
      <w:marLeft w:val="0"/>
      <w:marRight w:val="0"/>
      <w:marTop w:val="0"/>
      <w:marBottom w:val="0"/>
      <w:divBdr>
        <w:top w:val="none" w:sz="0" w:space="0" w:color="auto"/>
        <w:left w:val="none" w:sz="0" w:space="0" w:color="auto"/>
        <w:bottom w:val="none" w:sz="0" w:space="0" w:color="auto"/>
        <w:right w:val="none" w:sz="0" w:space="0" w:color="auto"/>
      </w:divBdr>
    </w:div>
    <w:div w:id="1521312089">
      <w:bodyDiv w:val="1"/>
      <w:marLeft w:val="0"/>
      <w:marRight w:val="0"/>
      <w:marTop w:val="0"/>
      <w:marBottom w:val="0"/>
      <w:divBdr>
        <w:top w:val="none" w:sz="0" w:space="0" w:color="auto"/>
        <w:left w:val="none" w:sz="0" w:space="0" w:color="auto"/>
        <w:bottom w:val="none" w:sz="0" w:space="0" w:color="auto"/>
        <w:right w:val="none" w:sz="0" w:space="0" w:color="auto"/>
      </w:divBdr>
    </w:div>
    <w:div w:id="1521384979">
      <w:bodyDiv w:val="1"/>
      <w:marLeft w:val="0"/>
      <w:marRight w:val="0"/>
      <w:marTop w:val="0"/>
      <w:marBottom w:val="0"/>
      <w:divBdr>
        <w:top w:val="none" w:sz="0" w:space="0" w:color="auto"/>
        <w:left w:val="none" w:sz="0" w:space="0" w:color="auto"/>
        <w:bottom w:val="none" w:sz="0" w:space="0" w:color="auto"/>
        <w:right w:val="none" w:sz="0" w:space="0" w:color="auto"/>
      </w:divBdr>
    </w:div>
    <w:div w:id="1521772407">
      <w:bodyDiv w:val="1"/>
      <w:marLeft w:val="0"/>
      <w:marRight w:val="0"/>
      <w:marTop w:val="0"/>
      <w:marBottom w:val="0"/>
      <w:divBdr>
        <w:top w:val="none" w:sz="0" w:space="0" w:color="auto"/>
        <w:left w:val="none" w:sz="0" w:space="0" w:color="auto"/>
        <w:bottom w:val="none" w:sz="0" w:space="0" w:color="auto"/>
        <w:right w:val="none" w:sz="0" w:space="0" w:color="auto"/>
      </w:divBdr>
    </w:div>
    <w:div w:id="1522015910">
      <w:bodyDiv w:val="1"/>
      <w:marLeft w:val="0"/>
      <w:marRight w:val="0"/>
      <w:marTop w:val="0"/>
      <w:marBottom w:val="0"/>
      <w:divBdr>
        <w:top w:val="none" w:sz="0" w:space="0" w:color="auto"/>
        <w:left w:val="none" w:sz="0" w:space="0" w:color="auto"/>
        <w:bottom w:val="none" w:sz="0" w:space="0" w:color="auto"/>
        <w:right w:val="none" w:sz="0" w:space="0" w:color="auto"/>
      </w:divBdr>
    </w:div>
    <w:div w:id="1522670420">
      <w:bodyDiv w:val="1"/>
      <w:marLeft w:val="0"/>
      <w:marRight w:val="0"/>
      <w:marTop w:val="0"/>
      <w:marBottom w:val="0"/>
      <w:divBdr>
        <w:top w:val="none" w:sz="0" w:space="0" w:color="auto"/>
        <w:left w:val="none" w:sz="0" w:space="0" w:color="auto"/>
        <w:bottom w:val="none" w:sz="0" w:space="0" w:color="auto"/>
        <w:right w:val="none" w:sz="0" w:space="0" w:color="auto"/>
      </w:divBdr>
    </w:div>
    <w:div w:id="1523086628">
      <w:bodyDiv w:val="1"/>
      <w:marLeft w:val="0"/>
      <w:marRight w:val="0"/>
      <w:marTop w:val="0"/>
      <w:marBottom w:val="0"/>
      <w:divBdr>
        <w:top w:val="none" w:sz="0" w:space="0" w:color="auto"/>
        <w:left w:val="none" w:sz="0" w:space="0" w:color="auto"/>
        <w:bottom w:val="none" w:sz="0" w:space="0" w:color="auto"/>
        <w:right w:val="none" w:sz="0" w:space="0" w:color="auto"/>
      </w:divBdr>
    </w:div>
    <w:div w:id="1523130653">
      <w:bodyDiv w:val="1"/>
      <w:marLeft w:val="0"/>
      <w:marRight w:val="0"/>
      <w:marTop w:val="0"/>
      <w:marBottom w:val="0"/>
      <w:divBdr>
        <w:top w:val="none" w:sz="0" w:space="0" w:color="auto"/>
        <w:left w:val="none" w:sz="0" w:space="0" w:color="auto"/>
        <w:bottom w:val="none" w:sz="0" w:space="0" w:color="auto"/>
        <w:right w:val="none" w:sz="0" w:space="0" w:color="auto"/>
      </w:divBdr>
    </w:div>
    <w:div w:id="1523207563">
      <w:bodyDiv w:val="1"/>
      <w:marLeft w:val="0"/>
      <w:marRight w:val="0"/>
      <w:marTop w:val="0"/>
      <w:marBottom w:val="0"/>
      <w:divBdr>
        <w:top w:val="none" w:sz="0" w:space="0" w:color="auto"/>
        <w:left w:val="none" w:sz="0" w:space="0" w:color="auto"/>
        <w:bottom w:val="none" w:sz="0" w:space="0" w:color="auto"/>
        <w:right w:val="none" w:sz="0" w:space="0" w:color="auto"/>
      </w:divBdr>
    </w:div>
    <w:div w:id="1523544208">
      <w:bodyDiv w:val="1"/>
      <w:marLeft w:val="0"/>
      <w:marRight w:val="0"/>
      <w:marTop w:val="0"/>
      <w:marBottom w:val="0"/>
      <w:divBdr>
        <w:top w:val="none" w:sz="0" w:space="0" w:color="auto"/>
        <w:left w:val="none" w:sz="0" w:space="0" w:color="auto"/>
        <w:bottom w:val="none" w:sz="0" w:space="0" w:color="auto"/>
        <w:right w:val="none" w:sz="0" w:space="0" w:color="auto"/>
      </w:divBdr>
    </w:div>
    <w:div w:id="1524898205">
      <w:bodyDiv w:val="1"/>
      <w:marLeft w:val="0"/>
      <w:marRight w:val="0"/>
      <w:marTop w:val="0"/>
      <w:marBottom w:val="0"/>
      <w:divBdr>
        <w:top w:val="none" w:sz="0" w:space="0" w:color="auto"/>
        <w:left w:val="none" w:sz="0" w:space="0" w:color="auto"/>
        <w:bottom w:val="none" w:sz="0" w:space="0" w:color="auto"/>
        <w:right w:val="none" w:sz="0" w:space="0" w:color="auto"/>
      </w:divBdr>
    </w:div>
    <w:div w:id="1525286372">
      <w:bodyDiv w:val="1"/>
      <w:marLeft w:val="0"/>
      <w:marRight w:val="0"/>
      <w:marTop w:val="0"/>
      <w:marBottom w:val="0"/>
      <w:divBdr>
        <w:top w:val="none" w:sz="0" w:space="0" w:color="auto"/>
        <w:left w:val="none" w:sz="0" w:space="0" w:color="auto"/>
        <w:bottom w:val="none" w:sz="0" w:space="0" w:color="auto"/>
        <w:right w:val="none" w:sz="0" w:space="0" w:color="auto"/>
      </w:divBdr>
    </w:div>
    <w:div w:id="1525705434">
      <w:bodyDiv w:val="1"/>
      <w:marLeft w:val="0"/>
      <w:marRight w:val="0"/>
      <w:marTop w:val="0"/>
      <w:marBottom w:val="0"/>
      <w:divBdr>
        <w:top w:val="none" w:sz="0" w:space="0" w:color="auto"/>
        <w:left w:val="none" w:sz="0" w:space="0" w:color="auto"/>
        <w:bottom w:val="none" w:sz="0" w:space="0" w:color="auto"/>
        <w:right w:val="none" w:sz="0" w:space="0" w:color="auto"/>
      </w:divBdr>
    </w:div>
    <w:div w:id="1525747899">
      <w:bodyDiv w:val="1"/>
      <w:marLeft w:val="0"/>
      <w:marRight w:val="0"/>
      <w:marTop w:val="0"/>
      <w:marBottom w:val="0"/>
      <w:divBdr>
        <w:top w:val="none" w:sz="0" w:space="0" w:color="auto"/>
        <w:left w:val="none" w:sz="0" w:space="0" w:color="auto"/>
        <w:bottom w:val="none" w:sz="0" w:space="0" w:color="auto"/>
        <w:right w:val="none" w:sz="0" w:space="0" w:color="auto"/>
      </w:divBdr>
    </w:div>
    <w:div w:id="1525901311">
      <w:bodyDiv w:val="1"/>
      <w:marLeft w:val="0"/>
      <w:marRight w:val="0"/>
      <w:marTop w:val="0"/>
      <w:marBottom w:val="0"/>
      <w:divBdr>
        <w:top w:val="none" w:sz="0" w:space="0" w:color="auto"/>
        <w:left w:val="none" w:sz="0" w:space="0" w:color="auto"/>
        <w:bottom w:val="none" w:sz="0" w:space="0" w:color="auto"/>
        <w:right w:val="none" w:sz="0" w:space="0" w:color="auto"/>
      </w:divBdr>
    </w:div>
    <w:div w:id="1526357931">
      <w:bodyDiv w:val="1"/>
      <w:marLeft w:val="0"/>
      <w:marRight w:val="0"/>
      <w:marTop w:val="0"/>
      <w:marBottom w:val="0"/>
      <w:divBdr>
        <w:top w:val="none" w:sz="0" w:space="0" w:color="auto"/>
        <w:left w:val="none" w:sz="0" w:space="0" w:color="auto"/>
        <w:bottom w:val="none" w:sz="0" w:space="0" w:color="auto"/>
        <w:right w:val="none" w:sz="0" w:space="0" w:color="auto"/>
      </w:divBdr>
    </w:div>
    <w:div w:id="1526479185">
      <w:bodyDiv w:val="1"/>
      <w:marLeft w:val="0"/>
      <w:marRight w:val="0"/>
      <w:marTop w:val="0"/>
      <w:marBottom w:val="0"/>
      <w:divBdr>
        <w:top w:val="none" w:sz="0" w:space="0" w:color="auto"/>
        <w:left w:val="none" w:sz="0" w:space="0" w:color="auto"/>
        <w:bottom w:val="none" w:sz="0" w:space="0" w:color="auto"/>
        <w:right w:val="none" w:sz="0" w:space="0" w:color="auto"/>
      </w:divBdr>
    </w:div>
    <w:div w:id="1526869946">
      <w:bodyDiv w:val="1"/>
      <w:marLeft w:val="0"/>
      <w:marRight w:val="0"/>
      <w:marTop w:val="0"/>
      <w:marBottom w:val="0"/>
      <w:divBdr>
        <w:top w:val="none" w:sz="0" w:space="0" w:color="auto"/>
        <w:left w:val="none" w:sz="0" w:space="0" w:color="auto"/>
        <w:bottom w:val="none" w:sz="0" w:space="0" w:color="auto"/>
        <w:right w:val="none" w:sz="0" w:space="0" w:color="auto"/>
      </w:divBdr>
    </w:div>
    <w:div w:id="1526871966">
      <w:bodyDiv w:val="1"/>
      <w:marLeft w:val="0"/>
      <w:marRight w:val="0"/>
      <w:marTop w:val="0"/>
      <w:marBottom w:val="0"/>
      <w:divBdr>
        <w:top w:val="none" w:sz="0" w:space="0" w:color="auto"/>
        <w:left w:val="none" w:sz="0" w:space="0" w:color="auto"/>
        <w:bottom w:val="none" w:sz="0" w:space="0" w:color="auto"/>
        <w:right w:val="none" w:sz="0" w:space="0" w:color="auto"/>
      </w:divBdr>
    </w:div>
    <w:div w:id="1527214221">
      <w:bodyDiv w:val="1"/>
      <w:marLeft w:val="0"/>
      <w:marRight w:val="0"/>
      <w:marTop w:val="0"/>
      <w:marBottom w:val="0"/>
      <w:divBdr>
        <w:top w:val="none" w:sz="0" w:space="0" w:color="auto"/>
        <w:left w:val="none" w:sz="0" w:space="0" w:color="auto"/>
        <w:bottom w:val="none" w:sz="0" w:space="0" w:color="auto"/>
        <w:right w:val="none" w:sz="0" w:space="0" w:color="auto"/>
      </w:divBdr>
    </w:div>
    <w:div w:id="1527595230">
      <w:bodyDiv w:val="1"/>
      <w:marLeft w:val="0"/>
      <w:marRight w:val="0"/>
      <w:marTop w:val="0"/>
      <w:marBottom w:val="0"/>
      <w:divBdr>
        <w:top w:val="none" w:sz="0" w:space="0" w:color="auto"/>
        <w:left w:val="none" w:sz="0" w:space="0" w:color="auto"/>
        <w:bottom w:val="none" w:sz="0" w:space="0" w:color="auto"/>
        <w:right w:val="none" w:sz="0" w:space="0" w:color="auto"/>
      </w:divBdr>
    </w:div>
    <w:div w:id="1527979976">
      <w:bodyDiv w:val="1"/>
      <w:marLeft w:val="0"/>
      <w:marRight w:val="0"/>
      <w:marTop w:val="0"/>
      <w:marBottom w:val="0"/>
      <w:divBdr>
        <w:top w:val="none" w:sz="0" w:space="0" w:color="auto"/>
        <w:left w:val="none" w:sz="0" w:space="0" w:color="auto"/>
        <w:bottom w:val="none" w:sz="0" w:space="0" w:color="auto"/>
        <w:right w:val="none" w:sz="0" w:space="0" w:color="auto"/>
      </w:divBdr>
    </w:div>
    <w:div w:id="1529029392">
      <w:bodyDiv w:val="1"/>
      <w:marLeft w:val="0"/>
      <w:marRight w:val="0"/>
      <w:marTop w:val="0"/>
      <w:marBottom w:val="0"/>
      <w:divBdr>
        <w:top w:val="none" w:sz="0" w:space="0" w:color="auto"/>
        <w:left w:val="none" w:sz="0" w:space="0" w:color="auto"/>
        <w:bottom w:val="none" w:sz="0" w:space="0" w:color="auto"/>
        <w:right w:val="none" w:sz="0" w:space="0" w:color="auto"/>
      </w:divBdr>
    </w:div>
    <w:div w:id="1529178412">
      <w:bodyDiv w:val="1"/>
      <w:marLeft w:val="0"/>
      <w:marRight w:val="0"/>
      <w:marTop w:val="0"/>
      <w:marBottom w:val="0"/>
      <w:divBdr>
        <w:top w:val="none" w:sz="0" w:space="0" w:color="auto"/>
        <w:left w:val="none" w:sz="0" w:space="0" w:color="auto"/>
        <w:bottom w:val="none" w:sz="0" w:space="0" w:color="auto"/>
        <w:right w:val="none" w:sz="0" w:space="0" w:color="auto"/>
      </w:divBdr>
    </w:div>
    <w:div w:id="1529492366">
      <w:bodyDiv w:val="1"/>
      <w:marLeft w:val="0"/>
      <w:marRight w:val="0"/>
      <w:marTop w:val="0"/>
      <w:marBottom w:val="0"/>
      <w:divBdr>
        <w:top w:val="none" w:sz="0" w:space="0" w:color="auto"/>
        <w:left w:val="none" w:sz="0" w:space="0" w:color="auto"/>
        <w:bottom w:val="none" w:sz="0" w:space="0" w:color="auto"/>
        <w:right w:val="none" w:sz="0" w:space="0" w:color="auto"/>
      </w:divBdr>
    </w:div>
    <w:div w:id="1530411356">
      <w:bodyDiv w:val="1"/>
      <w:marLeft w:val="0"/>
      <w:marRight w:val="0"/>
      <w:marTop w:val="0"/>
      <w:marBottom w:val="0"/>
      <w:divBdr>
        <w:top w:val="none" w:sz="0" w:space="0" w:color="auto"/>
        <w:left w:val="none" w:sz="0" w:space="0" w:color="auto"/>
        <w:bottom w:val="none" w:sz="0" w:space="0" w:color="auto"/>
        <w:right w:val="none" w:sz="0" w:space="0" w:color="auto"/>
      </w:divBdr>
    </w:div>
    <w:div w:id="1530533604">
      <w:bodyDiv w:val="1"/>
      <w:marLeft w:val="0"/>
      <w:marRight w:val="0"/>
      <w:marTop w:val="0"/>
      <w:marBottom w:val="0"/>
      <w:divBdr>
        <w:top w:val="none" w:sz="0" w:space="0" w:color="auto"/>
        <w:left w:val="none" w:sz="0" w:space="0" w:color="auto"/>
        <w:bottom w:val="none" w:sz="0" w:space="0" w:color="auto"/>
        <w:right w:val="none" w:sz="0" w:space="0" w:color="auto"/>
      </w:divBdr>
    </w:div>
    <w:div w:id="1530878943">
      <w:bodyDiv w:val="1"/>
      <w:marLeft w:val="0"/>
      <w:marRight w:val="0"/>
      <w:marTop w:val="0"/>
      <w:marBottom w:val="0"/>
      <w:divBdr>
        <w:top w:val="none" w:sz="0" w:space="0" w:color="auto"/>
        <w:left w:val="none" w:sz="0" w:space="0" w:color="auto"/>
        <w:bottom w:val="none" w:sz="0" w:space="0" w:color="auto"/>
        <w:right w:val="none" w:sz="0" w:space="0" w:color="auto"/>
      </w:divBdr>
    </w:div>
    <w:div w:id="1531072143">
      <w:bodyDiv w:val="1"/>
      <w:marLeft w:val="0"/>
      <w:marRight w:val="0"/>
      <w:marTop w:val="0"/>
      <w:marBottom w:val="0"/>
      <w:divBdr>
        <w:top w:val="none" w:sz="0" w:space="0" w:color="auto"/>
        <w:left w:val="none" w:sz="0" w:space="0" w:color="auto"/>
        <w:bottom w:val="none" w:sz="0" w:space="0" w:color="auto"/>
        <w:right w:val="none" w:sz="0" w:space="0" w:color="auto"/>
      </w:divBdr>
    </w:div>
    <w:div w:id="1531449322">
      <w:bodyDiv w:val="1"/>
      <w:marLeft w:val="0"/>
      <w:marRight w:val="0"/>
      <w:marTop w:val="0"/>
      <w:marBottom w:val="0"/>
      <w:divBdr>
        <w:top w:val="none" w:sz="0" w:space="0" w:color="auto"/>
        <w:left w:val="none" w:sz="0" w:space="0" w:color="auto"/>
        <w:bottom w:val="none" w:sz="0" w:space="0" w:color="auto"/>
        <w:right w:val="none" w:sz="0" w:space="0" w:color="auto"/>
      </w:divBdr>
    </w:div>
    <w:div w:id="1531456056">
      <w:bodyDiv w:val="1"/>
      <w:marLeft w:val="0"/>
      <w:marRight w:val="0"/>
      <w:marTop w:val="0"/>
      <w:marBottom w:val="0"/>
      <w:divBdr>
        <w:top w:val="none" w:sz="0" w:space="0" w:color="auto"/>
        <w:left w:val="none" w:sz="0" w:space="0" w:color="auto"/>
        <w:bottom w:val="none" w:sz="0" w:space="0" w:color="auto"/>
        <w:right w:val="none" w:sz="0" w:space="0" w:color="auto"/>
      </w:divBdr>
    </w:div>
    <w:div w:id="1531798597">
      <w:bodyDiv w:val="1"/>
      <w:marLeft w:val="0"/>
      <w:marRight w:val="0"/>
      <w:marTop w:val="0"/>
      <w:marBottom w:val="0"/>
      <w:divBdr>
        <w:top w:val="none" w:sz="0" w:space="0" w:color="auto"/>
        <w:left w:val="none" w:sz="0" w:space="0" w:color="auto"/>
        <w:bottom w:val="none" w:sz="0" w:space="0" w:color="auto"/>
        <w:right w:val="none" w:sz="0" w:space="0" w:color="auto"/>
      </w:divBdr>
    </w:div>
    <w:div w:id="1531841022">
      <w:bodyDiv w:val="1"/>
      <w:marLeft w:val="0"/>
      <w:marRight w:val="0"/>
      <w:marTop w:val="0"/>
      <w:marBottom w:val="0"/>
      <w:divBdr>
        <w:top w:val="none" w:sz="0" w:space="0" w:color="auto"/>
        <w:left w:val="none" w:sz="0" w:space="0" w:color="auto"/>
        <w:bottom w:val="none" w:sz="0" w:space="0" w:color="auto"/>
        <w:right w:val="none" w:sz="0" w:space="0" w:color="auto"/>
      </w:divBdr>
    </w:div>
    <w:div w:id="1532112288">
      <w:bodyDiv w:val="1"/>
      <w:marLeft w:val="0"/>
      <w:marRight w:val="0"/>
      <w:marTop w:val="0"/>
      <w:marBottom w:val="0"/>
      <w:divBdr>
        <w:top w:val="none" w:sz="0" w:space="0" w:color="auto"/>
        <w:left w:val="none" w:sz="0" w:space="0" w:color="auto"/>
        <w:bottom w:val="none" w:sz="0" w:space="0" w:color="auto"/>
        <w:right w:val="none" w:sz="0" w:space="0" w:color="auto"/>
      </w:divBdr>
    </w:div>
    <w:div w:id="1532494277">
      <w:bodyDiv w:val="1"/>
      <w:marLeft w:val="0"/>
      <w:marRight w:val="0"/>
      <w:marTop w:val="0"/>
      <w:marBottom w:val="0"/>
      <w:divBdr>
        <w:top w:val="none" w:sz="0" w:space="0" w:color="auto"/>
        <w:left w:val="none" w:sz="0" w:space="0" w:color="auto"/>
        <w:bottom w:val="none" w:sz="0" w:space="0" w:color="auto"/>
        <w:right w:val="none" w:sz="0" w:space="0" w:color="auto"/>
      </w:divBdr>
    </w:div>
    <w:div w:id="1532496391">
      <w:bodyDiv w:val="1"/>
      <w:marLeft w:val="0"/>
      <w:marRight w:val="0"/>
      <w:marTop w:val="0"/>
      <w:marBottom w:val="0"/>
      <w:divBdr>
        <w:top w:val="none" w:sz="0" w:space="0" w:color="auto"/>
        <w:left w:val="none" w:sz="0" w:space="0" w:color="auto"/>
        <w:bottom w:val="none" w:sz="0" w:space="0" w:color="auto"/>
        <w:right w:val="none" w:sz="0" w:space="0" w:color="auto"/>
      </w:divBdr>
    </w:div>
    <w:div w:id="1533683977">
      <w:bodyDiv w:val="1"/>
      <w:marLeft w:val="0"/>
      <w:marRight w:val="0"/>
      <w:marTop w:val="0"/>
      <w:marBottom w:val="0"/>
      <w:divBdr>
        <w:top w:val="none" w:sz="0" w:space="0" w:color="auto"/>
        <w:left w:val="none" w:sz="0" w:space="0" w:color="auto"/>
        <w:bottom w:val="none" w:sz="0" w:space="0" w:color="auto"/>
        <w:right w:val="none" w:sz="0" w:space="0" w:color="auto"/>
      </w:divBdr>
    </w:div>
    <w:div w:id="1533767201">
      <w:bodyDiv w:val="1"/>
      <w:marLeft w:val="0"/>
      <w:marRight w:val="0"/>
      <w:marTop w:val="0"/>
      <w:marBottom w:val="0"/>
      <w:divBdr>
        <w:top w:val="none" w:sz="0" w:space="0" w:color="auto"/>
        <w:left w:val="none" w:sz="0" w:space="0" w:color="auto"/>
        <w:bottom w:val="none" w:sz="0" w:space="0" w:color="auto"/>
        <w:right w:val="none" w:sz="0" w:space="0" w:color="auto"/>
      </w:divBdr>
    </w:div>
    <w:div w:id="1534461646">
      <w:bodyDiv w:val="1"/>
      <w:marLeft w:val="0"/>
      <w:marRight w:val="0"/>
      <w:marTop w:val="0"/>
      <w:marBottom w:val="0"/>
      <w:divBdr>
        <w:top w:val="none" w:sz="0" w:space="0" w:color="auto"/>
        <w:left w:val="none" w:sz="0" w:space="0" w:color="auto"/>
        <w:bottom w:val="none" w:sz="0" w:space="0" w:color="auto"/>
        <w:right w:val="none" w:sz="0" w:space="0" w:color="auto"/>
      </w:divBdr>
    </w:div>
    <w:div w:id="1534539498">
      <w:bodyDiv w:val="1"/>
      <w:marLeft w:val="0"/>
      <w:marRight w:val="0"/>
      <w:marTop w:val="0"/>
      <w:marBottom w:val="0"/>
      <w:divBdr>
        <w:top w:val="none" w:sz="0" w:space="0" w:color="auto"/>
        <w:left w:val="none" w:sz="0" w:space="0" w:color="auto"/>
        <w:bottom w:val="none" w:sz="0" w:space="0" w:color="auto"/>
        <w:right w:val="none" w:sz="0" w:space="0" w:color="auto"/>
      </w:divBdr>
    </w:div>
    <w:div w:id="1534656769">
      <w:bodyDiv w:val="1"/>
      <w:marLeft w:val="0"/>
      <w:marRight w:val="0"/>
      <w:marTop w:val="0"/>
      <w:marBottom w:val="0"/>
      <w:divBdr>
        <w:top w:val="none" w:sz="0" w:space="0" w:color="auto"/>
        <w:left w:val="none" w:sz="0" w:space="0" w:color="auto"/>
        <w:bottom w:val="none" w:sz="0" w:space="0" w:color="auto"/>
        <w:right w:val="none" w:sz="0" w:space="0" w:color="auto"/>
      </w:divBdr>
    </w:div>
    <w:div w:id="1534688856">
      <w:bodyDiv w:val="1"/>
      <w:marLeft w:val="0"/>
      <w:marRight w:val="0"/>
      <w:marTop w:val="0"/>
      <w:marBottom w:val="0"/>
      <w:divBdr>
        <w:top w:val="none" w:sz="0" w:space="0" w:color="auto"/>
        <w:left w:val="none" w:sz="0" w:space="0" w:color="auto"/>
        <w:bottom w:val="none" w:sz="0" w:space="0" w:color="auto"/>
        <w:right w:val="none" w:sz="0" w:space="0" w:color="auto"/>
      </w:divBdr>
    </w:div>
    <w:div w:id="1535655307">
      <w:bodyDiv w:val="1"/>
      <w:marLeft w:val="0"/>
      <w:marRight w:val="0"/>
      <w:marTop w:val="0"/>
      <w:marBottom w:val="0"/>
      <w:divBdr>
        <w:top w:val="none" w:sz="0" w:space="0" w:color="auto"/>
        <w:left w:val="none" w:sz="0" w:space="0" w:color="auto"/>
        <w:bottom w:val="none" w:sz="0" w:space="0" w:color="auto"/>
        <w:right w:val="none" w:sz="0" w:space="0" w:color="auto"/>
      </w:divBdr>
    </w:div>
    <w:div w:id="1535731023">
      <w:bodyDiv w:val="1"/>
      <w:marLeft w:val="0"/>
      <w:marRight w:val="0"/>
      <w:marTop w:val="0"/>
      <w:marBottom w:val="0"/>
      <w:divBdr>
        <w:top w:val="none" w:sz="0" w:space="0" w:color="auto"/>
        <w:left w:val="none" w:sz="0" w:space="0" w:color="auto"/>
        <w:bottom w:val="none" w:sz="0" w:space="0" w:color="auto"/>
        <w:right w:val="none" w:sz="0" w:space="0" w:color="auto"/>
      </w:divBdr>
    </w:div>
    <w:div w:id="1536969170">
      <w:bodyDiv w:val="1"/>
      <w:marLeft w:val="0"/>
      <w:marRight w:val="0"/>
      <w:marTop w:val="0"/>
      <w:marBottom w:val="0"/>
      <w:divBdr>
        <w:top w:val="none" w:sz="0" w:space="0" w:color="auto"/>
        <w:left w:val="none" w:sz="0" w:space="0" w:color="auto"/>
        <w:bottom w:val="none" w:sz="0" w:space="0" w:color="auto"/>
        <w:right w:val="none" w:sz="0" w:space="0" w:color="auto"/>
      </w:divBdr>
    </w:div>
    <w:div w:id="1537159215">
      <w:bodyDiv w:val="1"/>
      <w:marLeft w:val="0"/>
      <w:marRight w:val="0"/>
      <w:marTop w:val="0"/>
      <w:marBottom w:val="0"/>
      <w:divBdr>
        <w:top w:val="none" w:sz="0" w:space="0" w:color="auto"/>
        <w:left w:val="none" w:sz="0" w:space="0" w:color="auto"/>
        <w:bottom w:val="none" w:sz="0" w:space="0" w:color="auto"/>
        <w:right w:val="none" w:sz="0" w:space="0" w:color="auto"/>
      </w:divBdr>
    </w:div>
    <w:div w:id="1537620355">
      <w:bodyDiv w:val="1"/>
      <w:marLeft w:val="0"/>
      <w:marRight w:val="0"/>
      <w:marTop w:val="0"/>
      <w:marBottom w:val="0"/>
      <w:divBdr>
        <w:top w:val="none" w:sz="0" w:space="0" w:color="auto"/>
        <w:left w:val="none" w:sz="0" w:space="0" w:color="auto"/>
        <w:bottom w:val="none" w:sz="0" w:space="0" w:color="auto"/>
        <w:right w:val="none" w:sz="0" w:space="0" w:color="auto"/>
      </w:divBdr>
    </w:div>
    <w:div w:id="1538085078">
      <w:bodyDiv w:val="1"/>
      <w:marLeft w:val="0"/>
      <w:marRight w:val="0"/>
      <w:marTop w:val="0"/>
      <w:marBottom w:val="0"/>
      <w:divBdr>
        <w:top w:val="none" w:sz="0" w:space="0" w:color="auto"/>
        <w:left w:val="none" w:sz="0" w:space="0" w:color="auto"/>
        <w:bottom w:val="none" w:sz="0" w:space="0" w:color="auto"/>
        <w:right w:val="none" w:sz="0" w:space="0" w:color="auto"/>
      </w:divBdr>
    </w:div>
    <w:div w:id="1538198227">
      <w:bodyDiv w:val="1"/>
      <w:marLeft w:val="0"/>
      <w:marRight w:val="0"/>
      <w:marTop w:val="0"/>
      <w:marBottom w:val="0"/>
      <w:divBdr>
        <w:top w:val="none" w:sz="0" w:space="0" w:color="auto"/>
        <w:left w:val="none" w:sz="0" w:space="0" w:color="auto"/>
        <w:bottom w:val="none" w:sz="0" w:space="0" w:color="auto"/>
        <w:right w:val="none" w:sz="0" w:space="0" w:color="auto"/>
      </w:divBdr>
    </w:div>
    <w:div w:id="1539198567">
      <w:bodyDiv w:val="1"/>
      <w:marLeft w:val="0"/>
      <w:marRight w:val="0"/>
      <w:marTop w:val="0"/>
      <w:marBottom w:val="0"/>
      <w:divBdr>
        <w:top w:val="none" w:sz="0" w:space="0" w:color="auto"/>
        <w:left w:val="none" w:sz="0" w:space="0" w:color="auto"/>
        <w:bottom w:val="none" w:sz="0" w:space="0" w:color="auto"/>
        <w:right w:val="none" w:sz="0" w:space="0" w:color="auto"/>
      </w:divBdr>
    </w:div>
    <w:div w:id="1539269920">
      <w:bodyDiv w:val="1"/>
      <w:marLeft w:val="0"/>
      <w:marRight w:val="0"/>
      <w:marTop w:val="0"/>
      <w:marBottom w:val="0"/>
      <w:divBdr>
        <w:top w:val="none" w:sz="0" w:space="0" w:color="auto"/>
        <w:left w:val="none" w:sz="0" w:space="0" w:color="auto"/>
        <w:bottom w:val="none" w:sz="0" w:space="0" w:color="auto"/>
        <w:right w:val="none" w:sz="0" w:space="0" w:color="auto"/>
      </w:divBdr>
    </w:div>
    <w:div w:id="1539273426">
      <w:bodyDiv w:val="1"/>
      <w:marLeft w:val="0"/>
      <w:marRight w:val="0"/>
      <w:marTop w:val="0"/>
      <w:marBottom w:val="0"/>
      <w:divBdr>
        <w:top w:val="none" w:sz="0" w:space="0" w:color="auto"/>
        <w:left w:val="none" w:sz="0" w:space="0" w:color="auto"/>
        <w:bottom w:val="none" w:sz="0" w:space="0" w:color="auto"/>
        <w:right w:val="none" w:sz="0" w:space="0" w:color="auto"/>
      </w:divBdr>
    </w:div>
    <w:div w:id="1539315090">
      <w:bodyDiv w:val="1"/>
      <w:marLeft w:val="0"/>
      <w:marRight w:val="0"/>
      <w:marTop w:val="0"/>
      <w:marBottom w:val="0"/>
      <w:divBdr>
        <w:top w:val="none" w:sz="0" w:space="0" w:color="auto"/>
        <w:left w:val="none" w:sz="0" w:space="0" w:color="auto"/>
        <w:bottom w:val="none" w:sz="0" w:space="0" w:color="auto"/>
        <w:right w:val="none" w:sz="0" w:space="0" w:color="auto"/>
      </w:divBdr>
    </w:div>
    <w:div w:id="1539390416">
      <w:bodyDiv w:val="1"/>
      <w:marLeft w:val="0"/>
      <w:marRight w:val="0"/>
      <w:marTop w:val="0"/>
      <w:marBottom w:val="0"/>
      <w:divBdr>
        <w:top w:val="none" w:sz="0" w:space="0" w:color="auto"/>
        <w:left w:val="none" w:sz="0" w:space="0" w:color="auto"/>
        <w:bottom w:val="none" w:sz="0" w:space="0" w:color="auto"/>
        <w:right w:val="none" w:sz="0" w:space="0" w:color="auto"/>
      </w:divBdr>
    </w:div>
    <w:div w:id="1539396748">
      <w:bodyDiv w:val="1"/>
      <w:marLeft w:val="0"/>
      <w:marRight w:val="0"/>
      <w:marTop w:val="0"/>
      <w:marBottom w:val="0"/>
      <w:divBdr>
        <w:top w:val="none" w:sz="0" w:space="0" w:color="auto"/>
        <w:left w:val="none" w:sz="0" w:space="0" w:color="auto"/>
        <w:bottom w:val="none" w:sz="0" w:space="0" w:color="auto"/>
        <w:right w:val="none" w:sz="0" w:space="0" w:color="auto"/>
      </w:divBdr>
    </w:div>
    <w:div w:id="1540048013">
      <w:bodyDiv w:val="1"/>
      <w:marLeft w:val="0"/>
      <w:marRight w:val="0"/>
      <w:marTop w:val="0"/>
      <w:marBottom w:val="0"/>
      <w:divBdr>
        <w:top w:val="none" w:sz="0" w:space="0" w:color="auto"/>
        <w:left w:val="none" w:sz="0" w:space="0" w:color="auto"/>
        <w:bottom w:val="none" w:sz="0" w:space="0" w:color="auto"/>
        <w:right w:val="none" w:sz="0" w:space="0" w:color="auto"/>
      </w:divBdr>
    </w:div>
    <w:div w:id="1540623183">
      <w:bodyDiv w:val="1"/>
      <w:marLeft w:val="0"/>
      <w:marRight w:val="0"/>
      <w:marTop w:val="0"/>
      <w:marBottom w:val="0"/>
      <w:divBdr>
        <w:top w:val="none" w:sz="0" w:space="0" w:color="auto"/>
        <w:left w:val="none" w:sz="0" w:space="0" w:color="auto"/>
        <w:bottom w:val="none" w:sz="0" w:space="0" w:color="auto"/>
        <w:right w:val="none" w:sz="0" w:space="0" w:color="auto"/>
      </w:divBdr>
    </w:div>
    <w:div w:id="1540705081">
      <w:bodyDiv w:val="1"/>
      <w:marLeft w:val="0"/>
      <w:marRight w:val="0"/>
      <w:marTop w:val="0"/>
      <w:marBottom w:val="0"/>
      <w:divBdr>
        <w:top w:val="none" w:sz="0" w:space="0" w:color="auto"/>
        <w:left w:val="none" w:sz="0" w:space="0" w:color="auto"/>
        <w:bottom w:val="none" w:sz="0" w:space="0" w:color="auto"/>
        <w:right w:val="none" w:sz="0" w:space="0" w:color="auto"/>
      </w:divBdr>
    </w:div>
    <w:div w:id="1541360473">
      <w:bodyDiv w:val="1"/>
      <w:marLeft w:val="0"/>
      <w:marRight w:val="0"/>
      <w:marTop w:val="0"/>
      <w:marBottom w:val="0"/>
      <w:divBdr>
        <w:top w:val="none" w:sz="0" w:space="0" w:color="auto"/>
        <w:left w:val="none" w:sz="0" w:space="0" w:color="auto"/>
        <w:bottom w:val="none" w:sz="0" w:space="0" w:color="auto"/>
        <w:right w:val="none" w:sz="0" w:space="0" w:color="auto"/>
      </w:divBdr>
    </w:div>
    <w:div w:id="1541941997">
      <w:bodyDiv w:val="1"/>
      <w:marLeft w:val="0"/>
      <w:marRight w:val="0"/>
      <w:marTop w:val="0"/>
      <w:marBottom w:val="0"/>
      <w:divBdr>
        <w:top w:val="none" w:sz="0" w:space="0" w:color="auto"/>
        <w:left w:val="none" w:sz="0" w:space="0" w:color="auto"/>
        <w:bottom w:val="none" w:sz="0" w:space="0" w:color="auto"/>
        <w:right w:val="none" w:sz="0" w:space="0" w:color="auto"/>
      </w:divBdr>
    </w:div>
    <w:div w:id="1542014936">
      <w:bodyDiv w:val="1"/>
      <w:marLeft w:val="0"/>
      <w:marRight w:val="0"/>
      <w:marTop w:val="0"/>
      <w:marBottom w:val="0"/>
      <w:divBdr>
        <w:top w:val="none" w:sz="0" w:space="0" w:color="auto"/>
        <w:left w:val="none" w:sz="0" w:space="0" w:color="auto"/>
        <w:bottom w:val="none" w:sz="0" w:space="0" w:color="auto"/>
        <w:right w:val="none" w:sz="0" w:space="0" w:color="auto"/>
      </w:divBdr>
    </w:div>
    <w:div w:id="1542354805">
      <w:bodyDiv w:val="1"/>
      <w:marLeft w:val="0"/>
      <w:marRight w:val="0"/>
      <w:marTop w:val="0"/>
      <w:marBottom w:val="0"/>
      <w:divBdr>
        <w:top w:val="none" w:sz="0" w:space="0" w:color="auto"/>
        <w:left w:val="none" w:sz="0" w:space="0" w:color="auto"/>
        <w:bottom w:val="none" w:sz="0" w:space="0" w:color="auto"/>
        <w:right w:val="none" w:sz="0" w:space="0" w:color="auto"/>
      </w:divBdr>
    </w:div>
    <w:div w:id="1542398211">
      <w:bodyDiv w:val="1"/>
      <w:marLeft w:val="0"/>
      <w:marRight w:val="0"/>
      <w:marTop w:val="0"/>
      <w:marBottom w:val="0"/>
      <w:divBdr>
        <w:top w:val="none" w:sz="0" w:space="0" w:color="auto"/>
        <w:left w:val="none" w:sz="0" w:space="0" w:color="auto"/>
        <w:bottom w:val="none" w:sz="0" w:space="0" w:color="auto"/>
        <w:right w:val="none" w:sz="0" w:space="0" w:color="auto"/>
      </w:divBdr>
    </w:div>
    <w:div w:id="1542479871">
      <w:bodyDiv w:val="1"/>
      <w:marLeft w:val="0"/>
      <w:marRight w:val="0"/>
      <w:marTop w:val="0"/>
      <w:marBottom w:val="0"/>
      <w:divBdr>
        <w:top w:val="none" w:sz="0" w:space="0" w:color="auto"/>
        <w:left w:val="none" w:sz="0" w:space="0" w:color="auto"/>
        <w:bottom w:val="none" w:sz="0" w:space="0" w:color="auto"/>
        <w:right w:val="none" w:sz="0" w:space="0" w:color="auto"/>
      </w:divBdr>
    </w:div>
    <w:div w:id="1542784290">
      <w:bodyDiv w:val="1"/>
      <w:marLeft w:val="0"/>
      <w:marRight w:val="0"/>
      <w:marTop w:val="0"/>
      <w:marBottom w:val="0"/>
      <w:divBdr>
        <w:top w:val="none" w:sz="0" w:space="0" w:color="auto"/>
        <w:left w:val="none" w:sz="0" w:space="0" w:color="auto"/>
        <w:bottom w:val="none" w:sz="0" w:space="0" w:color="auto"/>
        <w:right w:val="none" w:sz="0" w:space="0" w:color="auto"/>
      </w:divBdr>
    </w:div>
    <w:div w:id="1543011050">
      <w:bodyDiv w:val="1"/>
      <w:marLeft w:val="0"/>
      <w:marRight w:val="0"/>
      <w:marTop w:val="0"/>
      <w:marBottom w:val="0"/>
      <w:divBdr>
        <w:top w:val="none" w:sz="0" w:space="0" w:color="auto"/>
        <w:left w:val="none" w:sz="0" w:space="0" w:color="auto"/>
        <w:bottom w:val="none" w:sz="0" w:space="0" w:color="auto"/>
        <w:right w:val="none" w:sz="0" w:space="0" w:color="auto"/>
      </w:divBdr>
    </w:div>
    <w:div w:id="1543011540">
      <w:bodyDiv w:val="1"/>
      <w:marLeft w:val="0"/>
      <w:marRight w:val="0"/>
      <w:marTop w:val="0"/>
      <w:marBottom w:val="0"/>
      <w:divBdr>
        <w:top w:val="none" w:sz="0" w:space="0" w:color="auto"/>
        <w:left w:val="none" w:sz="0" w:space="0" w:color="auto"/>
        <w:bottom w:val="none" w:sz="0" w:space="0" w:color="auto"/>
        <w:right w:val="none" w:sz="0" w:space="0" w:color="auto"/>
      </w:divBdr>
    </w:div>
    <w:div w:id="1543127382">
      <w:bodyDiv w:val="1"/>
      <w:marLeft w:val="0"/>
      <w:marRight w:val="0"/>
      <w:marTop w:val="0"/>
      <w:marBottom w:val="0"/>
      <w:divBdr>
        <w:top w:val="none" w:sz="0" w:space="0" w:color="auto"/>
        <w:left w:val="none" w:sz="0" w:space="0" w:color="auto"/>
        <w:bottom w:val="none" w:sz="0" w:space="0" w:color="auto"/>
        <w:right w:val="none" w:sz="0" w:space="0" w:color="auto"/>
      </w:divBdr>
    </w:div>
    <w:div w:id="1543130938">
      <w:bodyDiv w:val="1"/>
      <w:marLeft w:val="0"/>
      <w:marRight w:val="0"/>
      <w:marTop w:val="0"/>
      <w:marBottom w:val="0"/>
      <w:divBdr>
        <w:top w:val="none" w:sz="0" w:space="0" w:color="auto"/>
        <w:left w:val="none" w:sz="0" w:space="0" w:color="auto"/>
        <w:bottom w:val="none" w:sz="0" w:space="0" w:color="auto"/>
        <w:right w:val="none" w:sz="0" w:space="0" w:color="auto"/>
      </w:divBdr>
    </w:div>
    <w:div w:id="1543904389">
      <w:bodyDiv w:val="1"/>
      <w:marLeft w:val="0"/>
      <w:marRight w:val="0"/>
      <w:marTop w:val="0"/>
      <w:marBottom w:val="0"/>
      <w:divBdr>
        <w:top w:val="none" w:sz="0" w:space="0" w:color="auto"/>
        <w:left w:val="none" w:sz="0" w:space="0" w:color="auto"/>
        <w:bottom w:val="none" w:sz="0" w:space="0" w:color="auto"/>
        <w:right w:val="none" w:sz="0" w:space="0" w:color="auto"/>
      </w:divBdr>
    </w:div>
    <w:div w:id="1543979722">
      <w:bodyDiv w:val="1"/>
      <w:marLeft w:val="0"/>
      <w:marRight w:val="0"/>
      <w:marTop w:val="0"/>
      <w:marBottom w:val="0"/>
      <w:divBdr>
        <w:top w:val="none" w:sz="0" w:space="0" w:color="auto"/>
        <w:left w:val="none" w:sz="0" w:space="0" w:color="auto"/>
        <w:bottom w:val="none" w:sz="0" w:space="0" w:color="auto"/>
        <w:right w:val="none" w:sz="0" w:space="0" w:color="auto"/>
      </w:divBdr>
    </w:div>
    <w:div w:id="1544558458">
      <w:bodyDiv w:val="1"/>
      <w:marLeft w:val="0"/>
      <w:marRight w:val="0"/>
      <w:marTop w:val="0"/>
      <w:marBottom w:val="0"/>
      <w:divBdr>
        <w:top w:val="none" w:sz="0" w:space="0" w:color="auto"/>
        <w:left w:val="none" w:sz="0" w:space="0" w:color="auto"/>
        <w:bottom w:val="none" w:sz="0" w:space="0" w:color="auto"/>
        <w:right w:val="none" w:sz="0" w:space="0" w:color="auto"/>
      </w:divBdr>
    </w:div>
    <w:div w:id="1544711463">
      <w:bodyDiv w:val="1"/>
      <w:marLeft w:val="0"/>
      <w:marRight w:val="0"/>
      <w:marTop w:val="0"/>
      <w:marBottom w:val="0"/>
      <w:divBdr>
        <w:top w:val="none" w:sz="0" w:space="0" w:color="auto"/>
        <w:left w:val="none" w:sz="0" w:space="0" w:color="auto"/>
        <w:bottom w:val="none" w:sz="0" w:space="0" w:color="auto"/>
        <w:right w:val="none" w:sz="0" w:space="0" w:color="auto"/>
      </w:divBdr>
    </w:div>
    <w:div w:id="1544750656">
      <w:bodyDiv w:val="1"/>
      <w:marLeft w:val="0"/>
      <w:marRight w:val="0"/>
      <w:marTop w:val="0"/>
      <w:marBottom w:val="0"/>
      <w:divBdr>
        <w:top w:val="none" w:sz="0" w:space="0" w:color="auto"/>
        <w:left w:val="none" w:sz="0" w:space="0" w:color="auto"/>
        <w:bottom w:val="none" w:sz="0" w:space="0" w:color="auto"/>
        <w:right w:val="none" w:sz="0" w:space="0" w:color="auto"/>
      </w:divBdr>
    </w:div>
    <w:div w:id="1545101646">
      <w:bodyDiv w:val="1"/>
      <w:marLeft w:val="0"/>
      <w:marRight w:val="0"/>
      <w:marTop w:val="0"/>
      <w:marBottom w:val="0"/>
      <w:divBdr>
        <w:top w:val="none" w:sz="0" w:space="0" w:color="auto"/>
        <w:left w:val="none" w:sz="0" w:space="0" w:color="auto"/>
        <w:bottom w:val="none" w:sz="0" w:space="0" w:color="auto"/>
        <w:right w:val="none" w:sz="0" w:space="0" w:color="auto"/>
      </w:divBdr>
    </w:div>
    <w:div w:id="1545172590">
      <w:bodyDiv w:val="1"/>
      <w:marLeft w:val="0"/>
      <w:marRight w:val="0"/>
      <w:marTop w:val="0"/>
      <w:marBottom w:val="0"/>
      <w:divBdr>
        <w:top w:val="none" w:sz="0" w:space="0" w:color="auto"/>
        <w:left w:val="none" w:sz="0" w:space="0" w:color="auto"/>
        <w:bottom w:val="none" w:sz="0" w:space="0" w:color="auto"/>
        <w:right w:val="none" w:sz="0" w:space="0" w:color="auto"/>
      </w:divBdr>
    </w:div>
    <w:div w:id="1545363110">
      <w:bodyDiv w:val="1"/>
      <w:marLeft w:val="0"/>
      <w:marRight w:val="0"/>
      <w:marTop w:val="0"/>
      <w:marBottom w:val="0"/>
      <w:divBdr>
        <w:top w:val="none" w:sz="0" w:space="0" w:color="auto"/>
        <w:left w:val="none" w:sz="0" w:space="0" w:color="auto"/>
        <w:bottom w:val="none" w:sz="0" w:space="0" w:color="auto"/>
        <w:right w:val="none" w:sz="0" w:space="0" w:color="auto"/>
      </w:divBdr>
    </w:div>
    <w:div w:id="1545561249">
      <w:bodyDiv w:val="1"/>
      <w:marLeft w:val="0"/>
      <w:marRight w:val="0"/>
      <w:marTop w:val="0"/>
      <w:marBottom w:val="0"/>
      <w:divBdr>
        <w:top w:val="none" w:sz="0" w:space="0" w:color="auto"/>
        <w:left w:val="none" w:sz="0" w:space="0" w:color="auto"/>
        <w:bottom w:val="none" w:sz="0" w:space="0" w:color="auto"/>
        <w:right w:val="none" w:sz="0" w:space="0" w:color="auto"/>
      </w:divBdr>
    </w:div>
    <w:div w:id="1545865792">
      <w:bodyDiv w:val="1"/>
      <w:marLeft w:val="0"/>
      <w:marRight w:val="0"/>
      <w:marTop w:val="0"/>
      <w:marBottom w:val="0"/>
      <w:divBdr>
        <w:top w:val="none" w:sz="0" w:space="0" w:color="auto"/>
        <w:left w:val="none" w:sz="0" w:space="0" w:color="auto"/>
        <w:bottom w:val="none" w:sz="0" w:space="0" w:color="auto"/>
        <w:right w:val="none" w:sz="0" w:space="0" w:color="auto"/>
      </w:divBdr>
    </w:div>
    <w:div w:id="1546066254">
      <w:bodyDiv w:val="1"/>
      <w:marLeft w:val="0"/>
      <w:marRight w:val="0"/>
      <w:marTop w:val="0"/>
      <w:marBottom w:val="0"/>
      <w:divBdr>
        <w:top w:val="none" w:sz="0" w:space="0" w:color="auto"/>
        <w:left w:val="none" w:sz="0" w:space="0" w:color="auto"/>
        <w:bottom w:val="none" w:sz="0" w:space="0" w:color="auto"/>
        <w:right w:val="none" w:sz="0" w:space="0" w:color="auto"/>
      </w:divBdr>
    </w:div>
    <w:div w:id="1546526704">
      <w:bodyDiv w:val="1"/>
      <w:marLeft w:val="0"/>
      <w:marRight w:val="0"/>
      <w:marTop w:val="0"/>
      <w:marBottom w:val="0"/>
      <w:divBdr>
        <w:top w:val="none" w:sz="0" w:space="0" w:color="auto"/>
        <w:left w:val="none" w:sz="0" w:space="0" w:color="auto"/>
        <w:bottom w:val="none" w:sz="0" w:space="0" w:color="auto"/>
        <w:right w:val="none" w:sz="0" w:space="0" w:color="auto"/>
      </w:divBdr>
    </w:div>
    <w:div w:id="1546597801">
      <w:bodyDiv w:val="1"/>
      <w:marLeft w:val="0"/>
      <w:marRight w:val="0"/>
      <w:marTop w:val="0"/>
      <w:marBottom w:val="0"/>
      <w:divBdr>
        <w:top w:val="none" w:sz="0" w:space="0" w:color="auto"/>
        <w:left w:val="none" w:sz="0" w:space="0" w:color="auto"/>
        <w:bottom w:val="none" w:sz="0" w:space="0" w:color="auto"/>
        <w:right w:val="none" w:sz="0" w:space="0" w:color="auto"/>
      </w:divBdr>
    </w:div>
    <w:div w:id="1547140123">
      <w:bodyDiv w:val="1"/>
      <w:marLeft w:val="0"/>
      <w:marRight w:val="0"/>
      <w:marTop w:val="0"/>
      <w:marBottom w:val="0"/>
      <w:divBdr>
        <w:top w:val="none" w:sz="0" w:space="0" w:color="auto"/>
        <w:left w:val="none" w:sz="0" w:space="0" w:color="auto"/>
        <w:bottom w:val="none" w:sz="0" w:space="0" w:color="auto"/>
        <w:right w:val="none" w:sz="0" w:space="0" w:color="auto"/>
      </w:divBdr>
    </w:div>
    <w:div w:id="1547251265">
      <w:bodyDiv w:val="1"/>
      <w:marLeft w:val="0"/>
      <w:marRight w:val="0"/>
      <w:marTop w:val="0"/>
      <w:marBottom w:val="0"/>
      <w:divBdr>
        <w:top w:val="none" w:sz="0" w:space="0" w:color="auto"/>
        <w:left w:val="none" w:sz="0" w:space="0" w:color="auto"/>
        <w:bottom w:val="none" w:sz="0" w:space="0" w:color="auto"/>
        <w:right w:val="none" w:sz="0" w:space="0" w:color="auto"/>
      </w:divBdr>
    </w:div>
    <w:div w:id="1547333278">
      <w:bodyDiv w:val="1"/>
      <w:marLeft w:val="0"/>
      <w:marRight w:val="0"/>
      <w:marTop w:val="0"/>
      <w:marBottom w:val="0"/>
      <w:divBdr>
        <w:top w:val="none" w:sz="0" w:space="0" w:color="auto"/>
        <w:left w:val="none" w:sz="0" w:space="0" w:color="auto"/>
        <w:bottom w:val="none" w:sz="0" w:space="0" w:color="auto"/>
        <w:right w:val="none" w:sz="0" w:space="0" w:color="auto"/>
      </w:divBdr>
    </w:div>
    <w:div w:id="1549221184">
      <w:bodyDiv w:val="1"/>
      <w:marLeft w:val="0"/>
      <w:marRight w:val="0"/>
      <w:marTop w:val="0"/>
      <w:marBottom w:val="0"/>
      <w:divBdr>
        <w:top w:val="none" w:sz="0" w:space="0" w:color="auto"/>
        <w:left w:val="none" w:sz="0" w:space="0" w:color="auto"/>
        <w:bottom w:val="none" w:sz="0" w:space="0" w:color="auto"/>
        <w:right w:val="none" w:sz="0" w:space="0" w:color="auto"/>
      </w:divBdr>
    </w:div>
    <w:div w:id="1549608339">
      <w:bodyDiv w:val="1"/>
      <w:marLeft w:val="0"/>
      <w:marRight w:val="0"/>
      <w:marTop w:val="0"/>
      <w:marBottom w:val="0"/>
      <w:divBdr>
        <w:top w:val="none" w:sz="0" w:space="0" w:color="auto"/>
        <w:left w:val="none" w:sz="0" w:space="0" w:color="auto"/>
        <w:bottom w:val="none" w:sz="0" w:space="0" w:color="auto"/>
        <w:right w:val="none" w:sz="0" w:space="0" w:color="auto"/>
      </w:divBdr>
    </w:div>
    <w:div w:id="1550216853">
      <w:bodyDiv w:val="1"/>
      <w:marLeft w:val="0"/>
      <w:marRight w:val="0"/>
      <w:marTop w:val="0"/>
      <w:marBottom w:val="0"/>
      <w:divBdr>
        <w:top w:val="none" w:sz="0" w:space="0" w:color="auto"/>
        <w:left w:val="none" w:sz="0" w:space="0" w:color="auto"/>
        <w:bottom w:val="none" w:sz="0" w:space="0" w:color="auto"/>
        <w:right w:val="none" w:sz="0" w:space="0" w:color="auto"/>
      </w:divBdr>
    </w:div>
    <w:div w:id="1550336363">
      <w:bodyDiv w:val="1"/>
      <w:marLeft w:val="0"/>
      <w:marRight w:val="0"/>
      <w:marTop w:val="0"/>
      <w:marBottom w:val="0"/>
      <w:divBdr>
        <w:top w:val="none" w:sz="0" w:space="0" w:color="auto"/>
        <w:left w:val="none" w:sz="0" w:space="0" w:color="auto"/>
        <w:bottom w:val="none" w:sz="0" w:space="0" w:color="auto"/>
        <w:right w:val="none" w:sz="0" w:space="0" w:color="auto"/>
      </w:divBdr>
    </w:div>
    <w:div w:id="1550415990">
      <w:bodyDiv w:val="1"/>
      <w:marLeft w:val="0"/>
      <w:marRight w:val="0"/>
      <w:marTop w:val="0"/>
      <w:marBottom w:val="0"/>
      <w:divBdr>
        <w:top w:val="none" w:sz="0" w:space="0" w:color="auto"/>
        <w:left w:val="none" w:sz="0" w:space="0" w:color="auto"/>
        <w:bottom w:val="none" w:sz="0" w:space="0" w:color="auto"/>
        <w:right w:val="none" w:sz="0" w:space="0" w:color="auto"/>
      </w:divBdr>
    </w:div>
    <w:div w:id="1552231754">
      <w:bodyDiv w:val="1"/>
      <w:marLeft w:val="0"/>
      <w:marRight w:val="0"/>
      <w:marTop w:val="0"/>
      <w:marBottom w:val="0"/>
      <w:divBdr>
        <w:top w:val="none" w:sz="0" w:space="0" w:color="auto"/>
        <w:left w:val="none" w:sz="0" w:space="0" w:color="auto"/>
        <w:bottom w:val="none" w:sz="0" w:space="0" w:color="auto"/>
        <w:right w:val="none" w:sz="0" w:space="0" w:color="auto"/>
      </w:divBdr>
    </w:div>
    <w:div w:id="1553426130">
      <w:bodyDiv w:val="1"/>
      <w:marLeft w:val="0"/>
      <w:marRight w:val="0"/>
      <w:marTop w:val="0"/>
      <w:marBottom w:val="0"/>
      <w:divBdr>
        <w:top w:val="none" w:sz="0" w:space="0" w:color="auto"/>
        <w:left w:val="none" w:sz="0" w:space="0" w:color="auto"/>
        <w:bottom w:val="none" w:sz="0" w:space="0" w:color="auto"/>
        <w:right w:val="none" w:sz="0" w:space="0" w:color="auto"/>
      </w:divBdr>
    </w:div>
    <w:div w:id="1553537362">
      <w:bodyDiv w:val="1"/>
      <w:marLeft w:val="0"/>
      <w:marRight w:val="0"/>
      <w:marTop w:val="0"/>
      <w:marBottom w:val="0"/>
      <w:divBdr>
        <w:top w:val="none" w:sz="0" w:space="0" w:color="auto"/>
        <w:left w:val="none" w:sz="0" w:space="0" w:color="auto"/>
        <w:bottom w:val="none" w:sz="0" w:space="0" w:color="auto"/>
        <w:right w:val="none" w:sz="0" w:space="0" w:color="auto"/>
      </w:divBdr>
    </w:div>
    <w:div w:id="1553686139">
      <w:bodyDiv w:val="1"/>
      <w:marLeft w:val="0"/>
      <w:marRight w:val="0"/>
      <w:marTop w:val="0"/>
      <w:marBottom w:val="0"/>
      <w:divBdr>
        <w:top w:val="none" w:sz="0" w:space="0" w:color="auto"/>
        <w:left w:val="none" w:sz="0" w:space="0" w:color="auto"/>
        <w:bottom w:val="none" w:sz="0" w:space="0" w:color="auto"/>
        <w:right w:val="none" w:sz="0" w:space="0" w:color="auto"/>
      </w:divBdr>
    </w:div>
    <w:div w:id="1553885072">
      <w:bodyDiv w:val="1"/>
      <w:marLeft w:val="0"/>
      <w:marRight w:val="0"/>
      <w:marTop w:val="0"/>
      <w:marBottom w:val="0"/>
      <w:divBdr>
        <w:top w:val="none" w:sz="0" w:space="0" w:color="auto"/>
        <w:left w:val="none" w:sz="0" w:space="0" w:color="auto"/>
        <w:bottom w:val="none" w:sz="0" w:space="0" w:color="auto"/>
        <w:right w:val="none" w:sz="0" w:space="0" w:color="auto"/>
      </w:divBdr>
    </w:div>
    <w:div w:id="1554265927">
      <w:bodyDiv w:val="1"/>
      <w:marLeft w:val="0"/>
      <w:marRight w:val="0"/>
      <w:marTop w:val="0"/>
      <w:marBottom w:val="0"/>
      <w:divBdr>
        <w:top w:val="none" w:sz="0" w:space="0" w:color="auto"/>
        <w:left w:val="none" w:sz="0" w:space="0" w:color="auto"/>
        <w:bottom w:val="none" w:sz="0" w:space="0" w:color="auto"/>
        <w:right w:val="none" w:sz="0" w:space="0" w:color="auto"/>
      </w:divBdr>
    </w:div>
    <w:div w:id="1554776581">
      <w:bodyDiv w:val="1"/>
      <w:marLeft w:val="0"/>
      <w:marRight w:val="0"/>
      <w:marTop w:val="0"/>
      <w:marBottom w:val="0"/>
      <w:divBdr>
        <w:top w:val="none" w:sz="0" w:space="0" w:color="auto"/>
        <w:left w:val="none" w:sz="0" w:space="0" w:color="auto"/>
        <w:bottom w:val="none" w:sz="0" w:space="0" w:color="auto"/>
        <w:right w:val="none" w:sz="0" w:space="0" w:color="auto"/>
      </w:divBdr>
    </w:div>
    <w:div w:id="1554805691">
      <w:bodyDiv w:val="1"/>
      <w:marLeft w:val="0"/>
      <w:marRight w:val="0"/>
      <w:marTop w:val="0"/>
      <w:marBottom w:val="0"/>
      <w:divBdr>
        <w:top w:val="none" w:sz="0" w:space="0" w:color="auto"/>
        <w:left w:val="none" w:sz="0" w:space="0" w:color="auto"/>
        <w:bottom w:val="none" w:sz="0" w:space="0" w:color="auto"/>
        <w:right w:val="none" w:sz="0" w:space="0" w:color="auto"/>
      </w:divBdr>
    </w:div>
    <w:div w:id="1554930441">
      <w:bodyDiv w:val="1"/>
      <w:marLeft w:val="0"/>
      <w:marRight w:val="0"/>
      <w:marTop w:val="0"/>
      <w:marBottom w:val="0"/>
      <w:divBdr>
        <w:top w:val="none" w:sz="0" w:space="0" w:color="auto"/>
        <w:left w:val="none" w:sz="0" w:space="0" w:color="auto"/>
        <w:bottom w:val="none" w:sz="0" w:space="0" w:color="auto"/>
        <w:right w:val="none" w:sz="0" w:space="0" w:color="auto"/>
      </w:divBdr>
    </w:div>
    <w:div w:id="1555660446">
      <w:bodyDiv w:val="1"/>
      <w:marLeft w:val="0"/>
      <w:marRight w:val="0"/>
      <w:marTop w:val="0"/>
      <w:marBottom w:val="0"/>
      <w:divBdr>
        <w:top w:val="none" w:sz="0" w:space="0" w:color="auto"/>
        <w:left w:val="none" w:sz="0" w:space="0" w:color="auto"/>
        <w:bottom w:val="none" w:sz="0" w:space="0" w:color="auto"/>
        <w:right w:val="none" w:sz="0" w:space="0" w:color="auto"/>
      </w:divBdr>
    </w:div>
    <w:div w:id="1555775940">
      <w:bodyDiv w:val="1"/>
      <w:marLeft w:val="0"/>
      <w:marRight w:val="0"/>
      <w:marTop w:val="0"/>
      <w:marBottom w:val="0"/>
      <w:divBdr>
        <w:top w:val="none" w:sz="0" w:space="0" w:color="auto"/>
        <w:left w:val="none" w:sz="0" w:space="0" w:color="auto"/>
        <w:bottom w:val="none" w:sz="0" w:space="0" w:color="auto"/>
        <w:right w:val="none" w:sz="0" w:space="0" w:color="auto"/>
      </w:divBdr>
    </w:div>
    <w:div w:id="1556313827">
      <w:bodyDiv w:val="1"/>
      <w:marLeft w:val="0"/>
      <w:marRight w:val="0"/>
      <w:marTop w:val="0"/>
      <w:marBottom w:val="0"/>
      <w:divBdr>
        <w:top w:val="none" w:sz="0" w:space="0" w:color="auto"/>
        <w:left w:val="none" w:sz="0" w:space="0" w:color="auto"/>
        <w:bottom w:val="none" w:sz="0" w:space="0" w:color="auto"/>
        <w:right w:val="none" w:sz="0" w:space="0" w:color="auto"/>
      </w:divBdr>
    </w:div>
    <w:div w:id="1556550101">
      <w:bodyDiv w:val="1"/>
      <w:marLeft w:val="0"/>
      <w:marRight w:val="0"/>
      <w:marTop w:val="0"/>
      <w:marBottom w:val="0"/>
      <w:divBdr>
        <w:top w:val="none" w:sz="0" w:space="0" w:color="auto"/>
        <w:left w:val="none" w:sz="0" w:space="0" w:color="auto"/>
        <w:bottom w:val="none" w:sz="0" w:space="0" w:color="auto"/>
        <w:right w:val="none" w:sz="0" w:space="0" w:color="auto"/>
      </w:divBdr>
    </w:div>
    <w:div w:id="1556895562">
      <w:bodyDiv w:val="1"/>
      <w:marLeft w:val="0"/>
      <w:marRight w:val="0"/>
      <w:marTop w:val="0"/>
      <w:marBottom w:val="0"/>
      <w:divBdr>
        <w:top w:val="none" w:sz="0" w:space="0" w:color="auto"/>
        <w:left w:val="none" w:sz="0" w:space="0" w:color="auto"/>
        <w:bottom w:val="none" w:sz="0" w:space="0" w:color="auto"/>
        <w:right w:val="none" w:sz="0" w:space="0" w:color="auto"/>
      </w:divBdr>
    </w:div>
    <w:div w:id="1557156171">
      <w:bodyDiv w:val="1"/>
      <w:marLeft w:val="0"/>
      <w:marRight w:val="0"/>
      <w:marTop w:val="0"/>
      <w:marBottom w:val="0"/>
      <w:divBdr>
        <w:top w:val="none" w:sz="0" w:space="0" w:color="auto"/>
        <w:left w:val="none" w:sz="0" w:space="0" w:color="auto"/>
        <w:bottom w:val="none" w:sz="0" w:space="0" w:color="auto"/>
        <w:right w:val="none" w:sz="0" w:space="0" w:color="auto"/>
      </w:divBdr>
    </w:div>
    <w:div w:id="1557275846">
      <w:bodyDiv w:val="1"/>
      <w:marLeft w:val="0"/>
      <w:marRight w:val="0"/>
      <w:marTop w:val="0"/>
      <w:marBottom w:val="0"/>
      <w:divBdr>
        <w:top w:val="none" w:sz="0" w:space="0" w:color="auto"/>
        <w:left w:val="none" w:sz="0" w:space="0" w:color="auto"/>
        <w:bottom w:val="none" w:sz="0" w:space="0" w:color="auto"/>
        <w:right w:val="none" w:sz="0" w:space="0" w:color="auto"/>
      </w:divBdr>
    </w:div>
    <w:div w:id="1557550288">
      <w:bodyDiv w:val="1"/>
      <w:marLeft w:val="0"/>
      <w:marRight w:val="0"/>
      <w:marTop w:val="0"/>
      <w:marBottom w:val="0"/>
      <w:divBdr>
        <w:top w:val="none" w:sz="0" w:space="0" w:color="auto"/>
        <w:left w:val="none" w:sz="0" w:space="0" w:color="auto"/>
        <w:bottom w:val="none" w:sz="0" w:space="0" w:color="auto"/>
        <w:right w:val="none" w:sz="0" w:space="0" w:color="auto"/>
      </w:divBdr>
    </w:div>
    <w:div w:id="1557818081">
      <w:bodyDiv w:val="1"/>
      <w:marLeft w:val="0"/>
      <w:marRight w:val="0"/>
      <w:marTop w:val="0"/>
      <w:marBottom w:val="0"/>
      <w:divBdr>
        <w:top w:val="none" w:sz="0" w:space="0" w:color="auto"/>
        <w:left w:val="none" w:sz="0" w:space="0" w:color="auto"/>
        <w:bottom w:val="none" w:sz="0" w:space="0" w:color="auto"/>
        <w:right w:val="none" w:sz="0" w:space="0" w:color="auto"/>
      </w:divBdr>
    </w:div>
    <w:div w:id="1557860694">
      <w:bodyDiv w:val="1"/>
      <w:marLeft w:val="0"/>
      <w:marRight w:val="0"/>
      <w:marTop w:val="0"/>
      <w:marBottom w:val="0"/>
      <w:divBdr>
        <w:top w:val="none" w:sz="0" w:space="0" w:color="auto"/>
        <w:left w:val="none" w:sz="0" w:space="0" w:color="auto"/>
        <w:bottom w:val="none" w:sz="0" w:space="0" w:color="auto"/>
        <w:right w:val="none" w:sz="0" w:space="0" w:color="auto"/>
      </w:divBdr>
    </w:div>
    <w:div w:id="1558011101">
      <w:bodyDiv w:val="1"/>
      <w:marLeft w:val="0"/>
      <w:marRight w:val="0"/>
      <w:marTop w:val="0"/>
      <w:marBottom w:val="0"/>
      <w:divBdr>
        <w:top w:val="none" w:sz="0" w:space="0" w:color="auto"/>
        <w:left w:val="none" w:sz="0" w:space="0" w:color="auto"/>
        <w:bottom w:val="none" w:sz="0" w:space="0" w:color="auto"/>
        <w:right w:val="none" w:sz="0" w:space="0" w:color="auto"/>
      </w:divBdr>
    </w:div>
    <w:div w:id="1558205123">
      <w:bodyDiv w:val="1"/>
      <w:marLeft w:val="0"/>
      <w:marRight w:val="0"/>
      <w:marTop w:val="0"/>
      <w:marBottom w:val="0"/>
      <w:divBdr>
        <w:top w:val="none" w:sz="0" w:space="0" w:color="auto"/>
        <w:left w:val="none" w:sz="0" w:space="0" w:color="auto"/>
        <w:bottom w:val="none" w:sz="0" w:space="0" w:color="auto"/>
        <w:right w:val="none" w:sz="0" w:space="0" w:color="auto"/>
      </w:divBdr>
    </w:div>
    <w:div w:id="1559172152">
      <w:bodyDiv w:val="1"/>
      <w:marLeft w:val="0"/>
      <w:marRight w:val="0"/>
      <w:marTop w:val="0"/>
      <w:marBottom w:val="0"/>
      <w:divBdr>
        <w:top w:val="none" w:sz="0" w:space="0" w:color="auto"/>
        <w:left w:val="none" w:sz="0" w:space="0" w:color="auto"/>
        <w:bottom w:val="none" w:sz="0" w:space="0" w:color="auto"/>
        <w:right w:val="none" w:sz="0" w:space="0" w:color="auto"/>
      </w:divBdr>
    </w:div>
    <w:div w:id="1559315116">
      <w:bodyDiv w:val="1"/>
      <w:marLeft w:val="0"/>
      <w:marRight w:val="0"/>
      <w:marTop w:val="0"/>
      <w:marBottom w:val="0"/>
      <w:divBdr>
        <w:top w:val="none" w:sz="0" w:space="0" w:color="auto"/>
        <w:left w:val="none" w:sz="0" w:space="0" w:color="auto"/>
        <w:bottom w:val="none" w:sz="0" w:space="0" w:color="auto"/>
        <w:right w:val="none" w:sz="0" w:space="0" w:color="auto"/>
      </w:divBdr>
    </w:div>
    <w:div w:id="1559632573">
      <w:bodyDiv w:val="1"/>
      <w:marLeft w:val="0"/>
      <w:marRight w:val="0"/>
      <w:marTop w:val="0"/>
      <w:marBottom w:val="0"/>
      <w:divBdr>
        <w:top w:val="none" w:sz="0" w:space="0" w:color="auto"/>
        <w:left w:val="none" w:sz="0" w:space="0" w:color="auto"/>
        <w:bottom w:val="none" w:sz="0" w:space="0" w:color="auto"/>
        <w:right w:val="none" w:sz="0" w:space="0" w:color="auto"/>
      </w:divBdr>
    </w:div>
    <w:div w:id="1559977682">
      <w:bodyDiv w:val="1"/>
      <w:marLeft w:val="0"/>
      <w:marRight w:val="0"/>
      <w:marTop w:val="0"/>
      <w:marBottom w:val="0"/>
      <w:divBdr>
        <w:top w:val="none" w:sz="0" w:space="0" w:color="auto"/>
        <w:left w:val="none" w:sz="0" w:space="0" w:color="auto"/>
        <w:bottom w:val="none" w:sz="0" w:space="0" w:color="auto"/>
        <w:right w:val="none" w:sz="0" w:space="0" w:color="auto"/>
      </w:divBdr>
    </w:div>
    <w:div w:id="1560091884">
      <w:bodyDiv w:val="1"/>
      <w:marLeft w:val="0"/>
      <w:marRight w:val="0"/>
      <w:marTop w:val="0"/>
      <w:marBottom w:val="0"/>
      <w:divBdr>
        <w:top w:val="none" w:sz="0" w:space="0" w:color="auto"/>
        <w:left w:val="none" w:sz="0" w:space="0" w:color="auto"/>
        <w:bottom w:val="none" w:sz="0" w:space="0" w:color="auto"/>
        <w:right w:val="none" w:sz="0" w:space="0" w:color="auto"/>
      </w:divBdr>
    </w:div>
    <w:div w:id="1560289932">
      <w:bodyDiv w:val="1"/>
      <w:marLeft w:val="0"/>
      <w:marRight w:val="0"/>
      <w:marTop w:val="0"/>
      <w:marBottom w:val="0"/>
      <w:divBdr>
        <w:top w:val="none" w:sz="0" w:space="0" w:color="auto"/>
        <w:left w:val="none" w:sz="0" w:space="0" w:color="auto"/>
        <w:bottom w:val="none" w:sz="0" w:space="0" w:color="auto"/>
        <w:right w:val="none" w:sz="0" w:space="0" w:color="auto"/>
      </w:divBdr>
    </w:div>
    <w:div w:id="1561595663">
      <w:bodyDiv w:val="1"/>
      <w:marLeft w:val="0"/>
      <w:marRight w:val="0"/>
      <w:marTop w:val="0"/>
      <w:marBottom w:val="0"/>
      <w:divBdr>
        <w:top w:val="none" w:sz="0" w:space="0" w:color="auto"/>
        <w:left w:val="none" w:sz="0" w:space="0" w:color="auto"/>
        <w:bottom w:val="none" w:sz="0" w:space="0" w:color="auto"/>
        <w:right w:val="none" w:sz="0" w:space="0" w:color="auto"/>
      </w:divBdr>
    </w:div>
    <w:div w:id="1562403807">
      <w:bodyDiv w:val="1"/>
      <w:marLeft w:val="0"/>
      <w:marRight w:val="0"/>
      <w:marTop w:val="0"/>
      <w:marBottom w:val="0"/>
      <w:divBdr>
        <w:top w:val="none" w:sz="0" w:space="0" w:color="auto"/>
        <w:left w:val="none" w:sz="0" w:space="0" w:color="auto"/>
        <w:bottom w:val="none" w:sz="0" w:space="0" w:color="auto"/>
        <w:right w:val="none" w:sz="0" w:space="0" w:color="auto"/>
      </w:divBdr>
    </w:div>
    <w:div w:id="1562444421">
      <w:bodyDiv w:val="1"/>
      <w:marLeft w:val="0"/>
      <w:marRight w:val="0"/>
      <w:marTop w:val="0"/>
      <w:marBottom w:val="0"/>
      <w:divBdr>
        <w:top w:val="none" w:sz="0" w:space="0" w:color="auto"/>
        <w:left w:val="none" w:sz="0" w:space="0" w:color="auto"/>
        <w:bottom w:val="none" w:sz="0" w:space="0" w:color="auto"/>
        <w:right w:val="none" w:sz="0" w:space="0" w:color="auto"/>
      </w:divBdr>
    </w:div>
    <w:div w:id="1562980794">
      <w:bodyDiv w:val="1"/>
      <w:marLeft w:val="0"/>
      <w:marRight w:val="0"/>
      <w:marTop w:val="0"/>
      <w:marBottom w:val="0"/>
      <w:divBdr>
        <w:top w:val="none" w:sz="0" w:space="0" w:color="auto"/>
        <w:left w:val="none" w:sz="0" w:space="0" w:color="auto"/>
        <w:bottom w:val="none" w:sz="0" w:space="0" w:color="auto"/>
        <w:right w:val="none" w:sz="0" w:space="0" w:color="auto"/>
      </w:divBdr>
    </w:div>
    <w:div w:id="1562985104">
      <w:bodyDiv w:val="1"/>
      <w:marLeft w:val="0"/>
      <w:marRight w:val="0"/>
      <w:marTop w:val="0"/>
      <w:marBottom w:val="0"/>
      <w:divBdr>
        <w:top w:val="none" w:sz="0" w:space="0" w:color="auto"/>
        <w:left w:val="none" w:sz="0" w:space="0" w:color="auto"/>
        <w:bottom w:val="none" w:sz="0" w:space="0" w:color="auto"/>
        <w:right w:val="none" w:sz="0" w:space="0" w:color="auto"/>
      </w:divBdr>
    </w:div>
    <w:div w:id="1563322172">
      <w:bodyDiv w:val="1"/>
      <w:marLeft w:val="0"/>
      <w:marRight w:val="0"/>
      <w:marTop w:val="0"/>
      <w:marBottom w:val="0"/>
      <w:divBdr>
        <w:top w:val="none" w:sz="0" w:space="0" w:color="auto"/>
        <w:left w:val="none" w:sz="0" w:space="0" w:color="auto"/>
        <w:bottom w:val="none" w:sz="0" w:space="0" w:color="auto"/>
        <w:right w:val="none" w:sz="0" w:space="0" w:color="auto"/>
      </w:divBdr>
    </w:div>
    <w:div w:id="1563326477">
      <w:bodyDiv w:val="1"/>
      <w:marLeft w:val="0"/>
      <w:marRight w:val="0"/>
      <w:marTop w:val="0"/>
      <w:marBottom w:val="0"/>
      <w:divBdr>
        <w:top w:val="none" w:sz="0" w:space="0" w:color="auto"/>
        <w:left w:val="none" w:sz="0" w:space="0" w:color="auto"/>
        <w:bottom w:val="none" w:sz="0" w:space="0" w:color="auto"/>
        <w:right w:val="none" w:sz="0" w:space="0" w:color="auto"/>
      </w:divBdr>
    </w:div>
    <w:div w:id="1563564847">
      <w:bodyDiv w:val="1"/>
      <w:marLeft w:val="0"/>
      <w:marRight w:val="0"/>
      <w:marTop w:val="0"/>
      <w:marBottom w:val="0"/>
      <w:divBdr>
        <w:top w:val="none" w:sz="0" w:space="0" w:color="auto"/>
        <w:left w:val="none" w:sz="0" w:space="0" w:color="auto"/>
        <w:bottom w:val="none" w:sz="0" w:space="0" w:color="auto"/>
        <w:right w:val="none" w:sz="0" w:space="0" w:color="auto"/>
      </w:divBdr>
    </w:div>
    <w:div w:id="1563638926">
      <w:bodyDiv w:val="1"/>
      <w:marLeft w:val="0"/>
      <w:marRight w:val="0"/>
      <w:marTop w:val="0"/>
      <w:marBottom w:val="0"/>
      <w:divBdr>
        <w:top w:val="none" w:sz="0" w:space="0" w:color="auto"/>
        <w:left w:val="none" w:sz="0" w:space="0" w:color="auto"/>
        <w:bottom w:val="none" w:sz="0" w:space="0" w:color="auto"/>
        <w:right w:val="none" w:sz="0" w:space="0" w:color="auto"/>
      </w:divBdr>
    </w:div>
    <w:div w:id="1564874796">
      <w:bodyDiv w:val="1"/>
      <w:marLeft w:val="0"/>
      <w:marRight w:val="0"/>
      <w:marTop w:val="0"/>
      <w:marBottom w:val="0"/>
      <w:divBdr>
        <w:top w:val="none" w:sz="0" w:space="0" w:color="auto"/>
        <w:left w:val="none" w:sz="0" w:space="0" w:color="auto"/>
        <w:bottom w:val="none" w:sz="0" w:space="0" w:color="auto"/>
        <w:right w:val="none" w:sz="0" w:space="0" w:color="auto"/>
      </w:divBdr>
    </w:div>
    <w:div w:id="1565212181">
      <w:bodyDiv w:val="1"/>
      <w:marLeft w:val="0"/>
      <w:marRight w:val="0"/>
      <w:marTop w:val="0"/>
      <w:marBottom w:val="0"/>
      <w:divBdr>
        <w:top w:val="none" w:sz="0" w:space="0" w:color="auto"/>
        <w:left w:val="none" w:sz="0" w:space="0" w:color="auto"/>
        <w:bottom w:val="none" w:sz="0" w:space="0" w:color="auto"/>
        <w:right w:val="none" w:sz="0" w:space="0" w:color="auto"/>
      </w:divBdr>
    </w:div>
    <w:div w:id="1565793396">
      <w:bodyDiv w:val="1"/>
      <w:marLeft w:val="0"/>
      <w:marRight w:val="0"/>
      <w:marTop w:val="0"/>
      <w:marBottom w:val="0"/>
      <w:divBdr>
        <w:top w:val="none" w:sz="0" w:space="0" w:color="auto"/>
        <w:left w:val="none" w:sz="0" w:space="0" w:color="auto"/>
        <w:bottom w:val="none" w:sz="0" w:space="0" w:color="auto"/>
        <w:right w:val="none" w:sz="0" w:space="0" w:color="auto"/>
      </w:divBdr>
    </w:div>
    <w:div w:id="1565991020">
      <w:bodyDiv w:val="1"/>
      <w:marLeft w:val="0"/>
      <w:marRight w:val="0"/>
      <w:marTop w:val="0"/>
      <w:marBottom w:val="0"/>
      <w:divBdr>
        <w:top w:val="none" w:sz="0" w:space="0" w:color="auto"/>
        <w:left w:val="none" w:sz="0" w:space="0" w:color="auto"/>
        <w:bottom w:val="none" w:sz="0" w:space="0" w:color="auto"/>
        <w:right w:val="none" w:sz="0" w:space="0" w:color="auto"/>
      </w:divBdr>
    </w:div>
    <w:div w:id="1566255771">
      <w:bodyDiv w:val="1"/>
      <w:marLeft w:val="0"/>
      <w:marRight w:val="0"/>
      <w:marTop w:val="0"/>
      <w:marBottom w:val="0"/>
      <w:divBdr>
        <w:top w:val="none" w:sz="0" w:space="0" w:color="auto"/>
        <w:left w:val="none" w:sz="0" w:space="0" w:color="auto"/>
        <w:bottom w:val="none" w:sz="0" w:space="0" w:color="auto"/>
        <w:right w:val="none" w:sz="0" w:space="0" w:color="auto"/>
      </w:divBdr>
    </w:div>
    <w:div w:id="1566407210">
      <w:bodyDiv w:val="1"/>
      <w:marLeft w:val="0"/>
      <w:marRight w:val="0"/>
      <w:marTop w:val="0"/>
      <w:marBottom w:val="0"/>
      <w:divBdr>
        <w:top w:val="none" w:sz="0" w:space="0" w:color="auto"/>
        <w:left w:val="none" w:sz="0" w:space="0" w:color="auto"/>
        <w:bottom w:val="none" w:sz="0" w:space="0" w:color="auto"/>
        <w:right w:val="none" w:sz="0" w:space="0" w:color="auto"/>
      </w:divBdr>
    </w:div>
    <w:div w:id="1567648737">
      <w:bodyDiv w:val="1"/>
      <w:marLeft w:val="0"/>
      <w:marRight w:val="0"/>
      <w:marTop w:val="0"/>
      <w:marBottom w:val="0"/>
      <w:divBdr>
        <w:top w:val="none" w:sz="0" w:space="0" w:color="auto"/>
        <w:left w:val="none" w:sz="0" w:space="0" w:color="auto"/>
        <w:bottom w:val="none" w:sz="0" w:space="0" w:color="auto"/>
        <w:right w:val="none" w:sz="0" w:space="0" w:color="auto"/>
      </w:divBdr>
    </w:div>
    <w:div w:id="1568226959">
      <w:bodyDiv w:val="1"/>
      <w:marLeft w:val="0"/>
      <w:marRight w:val="0"/>
      <w:marTop w:val="0"/>
      <w:marBottom w:val="0"/>
      <w:divBdr>
        <w:top w:val="none" w:sz="0" w:space="0" w:color="auto"/>
        <w:left w:val="none" w:sz="0" w:space="0" w:color="auto"/>
        <w:bottom w:val="none" w:sz="0" w:space="0" w:color="auto"/>
        <w:right w:val="none" w:sz="0" w:space="0" w:color="auto"/>
      </w:divBdr>
    </w:div>
    <w:div w:id="1568490779">
      <w:bodyDiv w:val="1"/>
      <w:marLeft w:val="0"/>
      <w:marRight w:val="0"/>
      <w:marTop w:val="0"/>
      <w:marBottom w:val="0"/>
      <w:divBdr>
        <w:top w:val="none" w:sz="0" w:space="0" w:color="auto"/>
        <w:left w:val="none" w:sz="0" w:space="0" w:color="auto"/>
        <w:bottom w:val="none" w:sz="0" w:space="0" w:color="auto"/>
        <w:right w:val="none" w:sz="0" w:space="0" w:color="auto"/>
      </w:divBdr>
    </w:div>
    <w:div w:id="1569151834">
      <w:bodyDiv w:val="1"/>
      <w:marLeft w:val="0"/>
      <w:marRight w:val="0"/>
      <w:marTop w:val="0"/>
      <w:marBottom w:val="0"/>
      <w:divBdr>
        <w:top w:val="none" w:sz="0" w:space="0" w:color="auto"/>
        <w:left w:val="none" w:sz="0" w:space="0" w:color="auto"/>
        <w:bottom w:val="none" w:sz="0" w:space="0" w:color="auto"/>
        <w:right w:val="none" w:sz="0" w:space="0" w:color="auto"/>
      </w:divBdr>
    </w:div>
    <w:div w:id="1569924649">
      <w:bodyDiv w:val="1"/>
      <w:marLeft w:val="0"/>
      <w:marRight w:val="0"/>
      <w:marTop w:val="0"/>
      <w:marBottom w:val="0"/>
      <w:divBdr>
        <w:top w:val="none" w:sz="0" w:space="0" w:color="auto"/>
        <w:left w:val="none" w:sz="0" w:space="0" w:color="auto"/>
        <w:bottom w:val="none" w:sz="0" w:space="0" w:color="auto"/>
        <w:right w:val="none" w:sz="0" w:space="0" w:color="auto"/>
      </w:divBdr>
    </w:div>
    <w:div w:id="1569995793">
      <w:bodyDiv w:val="1"/>
      <w:marLeft w:val="0"/>
      <w:marRight w:val="0"/>
      <w:marTop w:val="0"/>
      <w:marBottom w:val="0"/>
      <w:divBdr>
        <w:top w:val="none" w:sz="0" w:space="0" w:color="auto"/>
        <w:left w:val="none" w:sz="0" w:space="0" w:color="auto"/>
        <w:bottom w:val="none" w:sz="0" w:space="0" w:color="auto"/>
        <w:right w:val="none" w:sz="0" w:space="0" w:color="auto"/>
      </w:divBdr>
    </w:div>
    <w:div w:id="1570191297">
      <w:bodyDiv w:val="1"/>
      <w:marLeft w:val="0"/>
      <w:marRight w:val="0"/>
      <w:marTop w:val="0"/>
      <w:marBottom w:val="0"/>
      <w:divBdr>
        <w:top w:val="none" w:sz="0" w:space="0" w:color="auto"/>
        <w:left w:val="none" w:sz="0" w:space="0" w:color="auto"/>
        <w:bottom w:val="none" w:sz="0" w:space="0" w:color="auto"/>
        <w:right w:val="none" w:sz="0" w:space="0" w:color="auto"/>
      </w:divBdr>
    </w:div>
    <w:div w:id="1570191558">
      <w:bodyDiv w:val="1"/>
      <w:marLeft w:val="0"/>
      <w:marRight w:val="0"/>
      <w:marTop w:val="0"/>
      <w:marBottom w:val="0"/>
      <w:divBdr>
        <w:top w:val="none" w:sz="0" w:space="0" w:color="auto"/>
        <w:left w:val="none" w:sz="0" w:space="0" w:color="auto"/>
        <w:bottom w:val="none" w:sz="0" w:space="0" w:color="auto"/>
        <w:right w:val="none" w:sz="0" w:space="0" w:color="auto"/>
      </w:divBdr>
    </w:div>
    <w:div w:id="1570340476">
      <w:bodyDiv w:val="1"/>
      <w:marLeft w:val="0"/>
      <w:marRight w:val="0"/>
      <w:marTop w:val="0"/>
      <w:marBottom w:val="0"/>
      <w:divBdr>
        <w:top w:val="none" w:sz="0" w:space="0" w:color="auto"/>
        <w:left w:val="none" w:sz="0" w:space="0" w:color="auto"/>
        <w:bottom w:val="none" w:sz="0" w:space="0" w:color="auto"/>
        <w:right w:val="none" w:sz="0" w:space="0" w:color="auto"/>
      </w:divBdr>
    </w:div>
    <w:div w:id="1571697328">
      <w:bodyDiv w:val="1"/>
      <w:marLeft w:val="0"/>
      <w:marRight w:val="0"/>
      <w:marTop w:val="0"/>
      <w:marBottom w:val="0"/>
      <w:divBdr>
        <w:top w:val="none" w:sz="0" w:space="0" w:color="auto"/>
        <w:left w:val="none" w:sz="0" w:space="0" w:color="auto"/>
        <w:bottom w:val="none" w:sz="0" w:space="0" w:color="auto"/>
        <w:right w:val="none" w:sz="0" w:space="0" w:color="auto"/>
      </w:divBdr>
    </w:div>
    <w:div w:id="1572160158">
      <w:bodyDiv w:val="1"/>
      <w:marLeft w:val="0"/>
      <w:marRight w:val="0"/>
      <w:marTop w:val="0"/>
      <w:marBottom w:val="0"/>
      <w:divBdr>
        <w:top w:val="none" w:sz="0" w:space="0" w:color="auto"/>
        <w:left w:val="none" w:sz="0" w:space="0" w:color="auto"/>
        <w:bottom w:val="none" w:sz="0" w:space="0" w:color="auto"/>
        <w:right w:val="none" w:sz="0" w:space="0" w:color="auto"/>
      </w:divBdr>
    </w:div>
    <w:div w:id="1572229860">
      <w:bodyDiv w:val="1"/>
      <w:marLeft w:val="0"/>
      <w:marRight w:val="0"/>
      <w:marTop w:val="0"/>
      <w:marBottom w:val="0"/>
      <w:divBdr>
        <w:top w:val="none" w:sz="0" w:space="0" w:color="auto"/>
        <w:left w:val="none" w:sz="0" w:space="0" w:color="auto"/>
        <w:bottom w:val="none" w:sz="0" w:space="0" w:color="auto"/>
        <w:right w:val="none" w:sz="0" w:space="0" w:color="auto"/>
      </w:divBdr>
    </w:div>
    <w:div w:id="1572547287">
      <w:bodyDiv w:val="1"/>
      <w:marLeft w:val="0"/>
      <w:marRight w:val="0"/>
      <w:marTop w:val="0"/>
      <w:marBottom w:val="0"/>
      <w:divBdr>
        <w:top w:val="none" w:sz="0" w:space="0" w:color="auto"/>
        <w:left w:val="none" w:sz="0" w:space="0" w:color="auto"/>
        <w:bottom w:val="none" w:sz="0" w:space="0" w:color="auto"/>
        <w:right w:val="none" w:sz="0" w:space="0" w:color="auto"/>
      </w:divBdr>
    </w:div>
    <w:div w:id="1573348115">
      <w:bodyDiv w:val="1"/>
      <w:marLeft w:val="0"/>
      <w:marRight w:val="0"/>
      <w:marTop w:val="0"/>
      <w:marBottom w:val="0"/>
      <w:divBdr>
        <w:top w:val="none" w:sz="0" w:space="0" w:color="auto"/>
        <w:left w:val="none" w:sz="0" w:space="0" w:color="auto"/>
        <w:bottom w:val="none" w:sz="0" w:space="0" w:color="auto"/>
        <w:right w:val="none" w:sz="0" w:space="0" w:color="auto"/>
      </w:divBdr>
    </w:div>
    <w:div w:id="1573736483">
      <w:bodyDiv w:val="1"/>
      <w:marLeft w:val="0"/>
      <w:marRight w:val="0"/>
      <w:marTop w:val="0"/>
      <w:marBottom w:val="0"/>
      <w:divBdr>
        <w:top w:val="none" w:sz="0" w:space="0" w:color="auto"/>
        <w:left w:val="none" w:sz="0" w:space="0" w:color="auto"/>
        <w:bottom w:val="none" w:sz="0" w:space="0" w:color="auto"/>
        <w:right w:val="none" w:sz="0" w:space="0" w:color="auto"/>
      </w:divBdr>
    </w:div>
    <w:div w:id="1573856822">
      <w:bodyDiv w:val="1"/>
      <w:marLeft w:val="0"/>
      <w:marRight w:val="0"/>
      <w:marTop w:val="0"/>
      <w:marBottom w:val="0"/>
      <w:divBdr>
        <w:top w:val="none" w:sz="0" w:space="0" w:color="auto"/>
        <w:left w:val="none" w:sz="0" w:space="0" w:color="auto"/>
        <w:bottom w:val="none" w:sz="0" w:space="0" w:color="auto"/>
        <w:right w:val="none" w:sz="0" w:space="0" w:color="auto"/>
      </w:divBdr>
    </w:div>
    <w:div w:id="1574048405">
      <w:bodyDiv w:val="1"/>
      <w:marLeft w:val="0"/>
      <w:marRight w:val="0"/>
      <w:marTop w:val="0"/>
      <w:marBottom w:val="0"/>
      <w:divBdr>
        <w:top w:val="none" w:sz="0" w:space="0" w:color="auto"/>
        <w:left w:val="none" w:sz="0" w:space="0" w:color="auto"/>
        <w:bottom w:val="none" w:sz="0" w:space="0" w:color="auto"/>
        <w:right w:val="none" w:sz="0" w:space="0" w:color="auto"/>
      </w:divBdr>
    </w:div>
    <w:div w:id="1574312345">
      <w:bodyDiv w:val="1"/>
      <w:marLeft w:val="0"/>
      <w:marRight w:val="0"/>
      <w:marTop w:val="0"/>
      <w:marBottom w:val="0"/>
      <w:divBdr>
        <w:top w:val="none" w:sz="0" w:space="0" w:color="auto"/>
        <w:left w:val="none" w:sz="0" w:space="0" w:color="auto"/>
        <w:bottom w:val="none" w:sz="0" w:space="0" w:color="auto"/>
        <w:right w:val="none" w:sz="0" w:space="0" w:color="auto"/>
      </w:divBdr>
    </w:div>
    <w:div w:id="1574386299">
      <w:bodyDiv w:val="1"/>
      <w:marLeft w:val="0"/>
      <w:marRight w:val="0"/>
      <w:marTop w:val="0"/>
      <w:marBottom w:val="0"/>
      <w:divBdr>
        <w:top w:val="none" w:sz="0" w:space="0" w:color="auto"/>
        <w:left w:val="none" w:sz="0" w:space="0" w:color="auto"/>
        <w:bottom w:val="none" w:sz="0" w:space="0" w:color="auto"/>
        <w:right w:val="none" w:sz="0" w:space="0" w:color="auto"/>
      </w:divBdr>
    </w:div>
    <w:div w:id="1575161783">
      <w:bodyDiv w:val="1"/>
      <w:marLeft w:val="0"/>
      <w:marRight w:val="0"/>
      <w:marTop w:val="0"/>
      <w:marBottom w:val="0"/>
      <w:divBdr>
        <w:top w:val="none" w:sz="0" w:space="0" w:color="auto"/>
        <w:left w:val="none" w:sz="0" w:space="0" w:color="auto"/>
        <w:bottom w:val="none" w:sz="0" w:space="0" w:color="auto"/>
        <w:right w:val="none" w:sz="0" w:space="0" w:color="auto"/>
      </w:divBdr>
    </w:div>
    <w:div w:id="1575623480">
      <w:bodyDiv w:val="1"/>
      <w:marLeft w:val="0"/>
      <w:marRight w:val="0"/>
      <w:marTop w:val="0"/>
      <w:marBottom w:val="0"/>
      <w:divBdr>
        <w:top w:val="none" w:sz="0" w:space="0" w:color="auto"/>
        <w:left w:val="none" w:sz="0" w:space="0" w:color="auto"/>
        <w:bottom w:val="none" w:sz="0" w:space="0" w:color="auto"/>
        <w:right w:val="none" w:sz="0" w:space="0" w:color="auto"/>
      </w:divBdr>
    </w:div>
    <w:div w:id="1575748299">
      <w:bodyDiv w:val="1"/>
      <w:marLeft w:val="0"/>
      <w:marRight w:val="0"/>
      <w:marTop w:val="0"/>
      <w:marBottom w:val="0"/>
      <w:divBdr>
        <w:top w:val="none" w:sz="0" w:space="0" w:color="auto"/>
        <w:left w:val="none" w:sz="0" w:space="0" w:color="auto"/>
        <w:bottom w:val="none" w:sz="0" w:space="0" w:color="auto"/>
        <w:right w:val="none" w:sz="0" w:space="0" w:color="auto"/>
      </w:divBdr>
    </w:div>
    <w:div w:id="1576430112">
      <w:bodyDiv w:val="1"/>
      <w:marLeft w:val="0"/>
      <w:marRight w:val="0"/>
      <w:marTop w:val="0"/>
      <w:marBottom w:val="0"/>
      <w:divBdr>
        <w:top w:val="none" w:sz="0" w:space="0" w:color="auto"/>
        <w:left w:val="none" w:sz="0" w:space="0" w:color="auto"/>
        <w:bottom w:val="none" w:sz="0" w:space="0" w:color="auto"/>
        <w:right w:val="none" w:sz="0" w:space="0" w:color="auto"/>
      </w:divBdr>
    </w:div>
    <w:div w:id="1576433253">
      <w:bodyDiv w:val="1"/>
      <w:marLeft w:val="0"/>
      <w:marRight w:val="0"/>
      <w:marTop w:val="0"/>
      <w:marBottom w:val="0"/>
      <w:divBdr>
        <w:top w:val="none" w:sz="0" w:space="0" w:color="auto"/>
        <w:left w:val="none" w:sz="0" w:space="0" w:color="auto"/>
        <w:bottom w:val="none" w:sz="0" w:space="0" w:color="auto"/>
        <w:right w:val="none" w:sz="0" w:space="0" w:color="auto"/>
      </w:divBdr>
    </w:div>
    <w:div w:id="1576620245">
      <w:bodyDiv w:val="1"/>
      <w:marLeft w:val="0"/>
      <w:marRight w:val="0"/>
      <w:marTop w:val="0"/>
      <w:marBottom w:val="0"/>
      <w:divBdr>
        <w:top w:val="none" w:sz="0" w:space="0" w:color="auto"/>
        <w:left w:val="none" w:sz="0" w:space="0" w:color="auto"/>
        <w:bottom w:val="none" w:sz="0" w:space="0" w:color="auto"/>
        <w:right w:val="none" w:sz="0" w:space="0" w:color="auto"/>
      </w:divBdr>
    </w:div>
    <w:div w:id="1576671468">
      <w:bodyDiv w:val="1"/>
      <w:marLeft w:val="0"/>
      <w:marRight w:val="0"/>
      <w:marTop w:val="0"/>
      <w:marBottom w:val="0"/>
      <w:divBdr>
        <w:top w:val="none" w:sz="0" w:space="0" w:color="auto"/>
        <w:left w:val="none" w:sz="0" w:space="0" w:color="auto"/>
        <w:bottom w:val="none" w:sz="0" w:space="0" w:color="auto"/>
        <w:right w:val="none" w:sz="0" w:space="0" w:color="auto"/>
      </w:divBdr>
    </w:div>
    <w:div w:id="1576747940">
      <w:bodyDiv w:val="1"/>
      <w:marLeft w:val="0"/>
      <w:marRight w:val="0"/>
      <w:marTop w:val="0"/>
      <w:marBottom w:val="0"/>
      <w:divBdr>
        <w:top w:val="none" w:sz="0" w:space="0" w:color="auto"/>
        <w:left w:val="none" w:sz="0" w:space="0" w:color="auto"/>
        <w:bottom w:val="none" w:sz="0" w:space="0" w:color="auto"/>
        <w:right w:val="none" w:sz="0" w:space="0" w:color="auto"/>
      </w:divBdr>
    </w:div>
    <w:div w:id="1576932668">
      <w:bodyDiv w:val="1"/>
      <w:marLeft w:val="0"/>
      <w:marRight w:val="0"/>
      <w:marTop w:val="0"/>
      <w:marBottom w:val="0"/>
      <w:divBdr>
        <w:top w:val="none" w:sz="0" w:space="0" w:color="auto"/>
        <w:left w:val="none" w:sz="0" w:space="0" w:color="auto"/>
        <w:bottom w:val="none" w:sz="0" w:space="0" w:color="auto"/>
        <w:right w:val="none" w:sz="0" w:space="0" w:color="auto"/>
      </w:divBdr>
    </w:div>
    <w:div w:id="1577202128">
      <w:bodyDiv w:val="1"/>
      <w:marLeft w:val="0"/>
      <w:marRight w:val="0"/>
      <w:marTop w:val="0"/>
      <w:marBottom w:val="0"/>
      <w:divBdr>
        <w:top w:val="none" w:sz="0" w:space="0" w:color="auto"/>
        <w:left w:val="none" w:sz="0" w:space="0" w:color="auto"/>
        <w:bottom w:val="none" w:sz="0" w:space="0" w:color="auto"/>
        <w:right w:val="none" w:sz="0" w:space="0" w:color="auto"/>
      </w:divBdr>
    </w:div>
    <w:div w:id="1577322798">
      <w:bodyDiv w:val="1"/>
      <w:marLeft w:val="0"/>
      <w:marRight w:val="0"/>
      <w:marTop w:val="0"/>
      <w:marBottom w:val="0"/>
      <w:divBdr>
        <w:top w:val="none" w:sz="0" w:space="0" w:color="auto"/>
        <w:left w:val="none" w:sz="0" w:space="0" w:color="auto"/>
        <w:bottom w:val="none" w:sz="0" w:space="0" w:color="auto"/>
        <w:right w:val="none" w:sz="0" w:space="0" w:color="auto"/>
      </w:divBdr>
    </w:div>
    <w:div w:id="1577594075">
      <w:bodyDiv w:val="1"/>
      <w:marLeft w:val="0"/>
      <w:marRight w:val="0"/>
      <w:marTop w:val="0"/>
      <w:marBottom w:val="0"/>
      <w:divBdr>
        <w:top w:val="none" w:sz="0" w:space="0" w:color="auto"/>
        <w:left w:val="none" w:sz="0" w:space="0" w:color="auto"/>
        <w:bottom w:val="none" w:sz="0" w:space="0" w:color="auto"/>
        <w:right w:val="none" w:sz="0" w:space="0" w:color="auto"/>
      </w:divBdr>
    </w:div>
    <w:div w:id="1578902380">
      <w:bodyDiv w:val="1"/>
      <w:marLeft w:val="0"/>
      <w:marRight w:val="0"/>
      <w:marTop w:val="0"/>
      <w:marBottom w:val="0"/>
      <w:divBdr>
        <w:top w:val="none" w:sz="0" w:space="0" w:color="auto"/>
        <w:left w:val="none" w:sz="0" w:space="0" w:color="auto"/>
        <w:bottom w:val="none" w:sz="0" w:space="0" w:color="auto"/>
        <w:right w:val="none" w:sz="0" w:space="0" w:color="auto"/>
      </w:divBdr>
    </w:div>
    <w:div w:id="1579628412">
      <w:bodyDiv w:val="1"/>
      <w:marLeft w:val="0"/>
      <w:marRight w:val="0"/>
      <w:marTop w:val="0"/>
      <w:marBottom w:val="0"/>
      <w:divBdr>
        <w:top w:val="none" w:sz="0" w:space="0" w:color="auto"/>
        <w:left w:val="none" w:sz="0" w:space="0" w:color="auto"/>
        <w:bottom w:val="none" w:sz="0" w:space="0" w:color="auto"/>
        <w:right w:val="none" w:sz="0" w:space="0" w:color="auto"/>
      </w:divBdr>
    </w:div>
    <w:div w:id="1580092136">
      <w:bodyDiv w:val="1"/>
      <w:marLeft w:val="0"/>
      <w:marRight w:val="0"/>
      <w:marTop w:val="0"/>
      <w:marBottom w:val="0"/>
      <w:divBdr>
        <w:top w:val="none" w:sz="0" w:space="0" w:color="auto"/>
        <w:left w:val="none" w:sz="0" w:space="0" w:color="auto"/>
        <w:bottom w:val="none" w:sz="0" w:space="0" w:color="auto"/>
        <w:right w:val="none" w:sz="0" w:space="0" w:color="auto"/>
      </w:divBdr>
    </w:div>
    <w:div w:id="1580216033">
      <w:bodyDiv w:val="1"/>
      <w:marLeft w:val="0"/>
      <w:marRight w:val="0"/>
      <w:marTop w:val="0"/>
      <w:marBottom w:val="0"/>
      <w:divBdr>
        <w:top w:val="none" w:sz="0" w:space="0" w:color="auto"/>
        <w:left w:val="none" w:sz="0" w:space="0" w:color="auto"/>
        <w:bottom w:val="none" w:sz="0" w:space="0" w:color="auto"/>
        <w:right w:val="none" w:sz="0" w:space="0" w:color="auto"/>
      </w:divBdr>
    </w:div>
    <w:div w:id="1580869470">
      <w:bodyDiv w:val="1"/>
      <w:marLeft w:val="0"/>
      <w:marRight w:val="0"/>
      <w:marTop w:val="0"/>
      <w:marBottom w:val="0"/>
      <w:divBdr>
        <w:top w:val="none" w:sz="0" w:space="0" w:color="auto"/>
        <w:left w:val="none" w:sz="0" w:space="0" w:color="auto"/>
        <w:bottom w:val="none" w:sz="0" w:space="0" w:color="auto"/>
        <w:right w:val="none" w:sz="0" w:space="0" w:color="auto"/>
      </w:divBdr>
    </w:div>
    <w:div w:id="1581401670">
      <w:bodyDiv w:val="1"/>
      <w:marLeft w:val="0"/>
      <w:marRight w:val="0"/>
      <w:marTop w:val="0"/>
      <w:marBottom w:val="0"/>
      <w:divBdr>
        <w:top w:val="none" w:sz="0" w:space="0" w:color="auto"/>
        <w:left w:val="none" w:sz="0" w:space="0" w:color="auto"/>
        <w:bottom w:val="none" w:sz="0" w:space="0" w:color="auto"/>
        <w:right w:val="none" w:sz="0" w:space="0" w:color="auto"/>
      </w:divBdr>
    </w:div>
    <w:div w:id="1581479850">
      <w:bodyDiv w:val="1"/>
      <w:marLeft w:val="0"/>
      <w:marRight w:val="0"/>
      <w:marTop w:val="0"/>
      <w:marBottom w:val="0"/>
      <w:divBdr>
        <w:top w:val="none" w:sz="0" w:space="0" w:color="auto"/>
        <w:left w:val="none" w:sz="0" w:space="0" w:color="auto"/>
        <w:bottom w:val="none" w:sz="0" w:space="0" w:color="auto"/>
        <w:right w:val="none" w:sz="0" w:space="0" w:color="auto"/>
      </w:divBdr>
    </w:div>
    <w:div w:id="1581673691">
      <w:bodyDiv w:val="1"/>
      <w:marLeft w:val="0"/>
      <w:marRight w:val="0"/>
      <w:marTop w:val="0"/>
      <w:marBottom w:val="0"/>
      <w:divBdr>
        <w:top w:val="none" w:sz="0" w:space="0" w:color="auto"/>
        <w:left w:val="none" w:sz="0" w:space="0" w:color="auto"/>
        <w:bottom w:val="none" w:sz="0" w:space="0" w:color="auto"/>
        <w:right w:val="none" w:sz="0" w:space="0" w:color="auto"/>
      </w:divBdr>
    </w:div>
    <w:div w:id="1581911387">
      <w:bodyDiv w:val="1"/>
      <w:marLeft w:val="0"/>
      <w:marRight w:val="0"/>
      <w:marTop w:val="0"/>
      <w:marBottom w:val="0"/>
      <w:divBdr>
        <w:top w:val="none" w:sz="0" w:space="0" w:color="auto"/>
        <w:left w:val="none" w:sz="0" w:space="0" w:color="auto"/>
        <w:bottom w:val="none" w:sz="0" w:space="0" w:color="auto"/>
        <w:right w:val="none" w:sz="0" w:space="0" w:color="auto"/>
      </w:divBdr>
    </w:div>
    <w:div w:id="1582518032">
      <w:bodyDiv w:val="1"/>
      <w:marLeft w:val="0"/>
      <w:marRight w:val="0"/>
      <w:marTop w:val="0"/>
      <w:marBottom w:val="0"/>
      <w:divBdr>
        <w:top w:val="none" w:sz="0" w:space="0" w:color="auto"/>
        <w:left w:val="none" w:sz="0" w:space="0" w:color="auto"/>
        <w:bottom w:val="none" w:sz="0" w:space="0" w:color="auto"/>
        <w:right w:val="none" w:sz="0" w:space="0" w:color="auto"/>
      </w:divBdr>
    </w:div>
    <w:div w:id="1582642592">
      <w:bodyDiv w:val="1"/>
      <w:marLeft w:val="0"/>
      <w:marRight w:val="0"/>
      <w:marTop w:val="0"/>
      <w:marBottom w:val="0"/>
      <w:divBdr>
        <w:top w:val="none" w:sz="0" w:space="0" w:color="auto"/>
        <w:left w:val="none" w:sz="0" w:space="0" w:color="auto"/>
        <w:bottom w:val="none" w:sz="0" w:space="0" w:color="auto"/>
        <w:right w:val="none" w:sz="0" w:space="0" w:color="auto"/>
      </w:divBdr>
    </w:div>
    <w:div w:id="1582761149">
      <w:bodyDiv w:val="1"/>
      <w:marLeft w:val="0"/>
      <w:marRight w:val="0"/>
      <w:marTop w:val="0"/>
      <w:marBottom w:val="0"/>
      <w:divBdr>
        <w:top w:val="none" w:sz="0" w:space="0" w:color="auto"/>
        <w:left w:val="none" w:sz="0" w:space="0" w:color="auto"/>
        <w:bottom w:val="none" w:sz="0" w:space="0" w:color="auto"/>
        <w:right w:val="none" w:sz="0" w:space="0" w:color="auto"/>
      </w:divBdr>
    </w:div>
    <w:div w:id="1582983401">
      <w:bodyDiv w:val="1"/>
      <w:marLeft w:val="0"/>
      <w:marRight w:val="0"/>
      <w:marTop w:val="0"/>
      <w:marBottom w:val="0"/>
      <w:divBdr>
        <w:top w:val="none" w:sz="0" w:space="0" w:color="auto"/>
        <w:left w:val="none" w:sz="0" w:space="0" w:color="auto"/>
        <w:bottom w:val="none" w:sz="0" w:space="0" w:color="auto"/>
        <w:right w:val="none" w:sz="0" w:space="0" w:color="auto"/>
      </w:divBdr>
    </w:div>
    <w:div w:id="1582988320">
      <w:bodyDiv w:val="1"/>
      <w:marLeft w:val="0"/>
      <w:marRight w:val="0"/>
      <w:marTop w:val="0"/>
      <w:marBottom w:val="0"/>
      <w:divBdr>
        <w:top w:val="none" w:sz="0" w:space="0" w:color="auto"/>
        <w:left w:val="none" w:sz="0" w:space="0" w:color="auto"/>
        <w:bottom w:val="none" w:sz="0" w:space="0" w:color="auto"/>
        <w:right w:val="none" w:sz="0" w:space="0" w:color="auto"/>
      </w:divBdr>
    </w:div>
    <w:div w:id="1584298257">
      <w:bodyDiv w:val="1"/>
      <w:marLeft w:val="0"/>
      <w:marRight w:val="0"/>
      <w:marTop w:val="0"/>
      <w:marBottom w:val="0"/>
      <w:divBdr>
        <w:top w:val="none" w:sz="0" w:space="0" w:color="auto"/>
        <w:left w:val="none" w:sz="0" w:space="0" w:color="auto"/>
        <w:bottom w:val="none" w:sz="0" w:space="0" w:color="auto"/>
        <w:right w:val="none" w:sz="0" w:space="0" w:color="auto"/>
      </w:divBdr>
    </w:div>
    <w:div w:id="1584758483">
      <w:bodyDiv w:val="1"/>
      <w:marLeft w:val="0"/>
      <w:marRight w:val="0"/>
      <w:marTop w:val="0"/>
      <w:marBottom w:val="0"/>
      <w:divBdr>
        <w:top w:val="none" w:sz="0" w:space="0" w:color="auto"/>
        <w:left w:val="none" w:sz="0" w:space="0" w:color="auto"/>
        <w:bottom w:val="none" w:sz="0" w:space="0" w:color="auto"/>
        <w:right w:val="none" w:sz="0" w:space="0" w:color="auto"/>
      </w:divBdr>
    </w:div>
    <w:div w:id="1584947420">
      <w:bodyDiv w:val="1"/>
      <w:marLeft w:val="0"/>
      <w:marRight w:val="0"/>
      <w:marTop w:val="0"/>
      <w:marBottom w:val="0"/>
      <w:divBdr>
        <w:top w:val="none" w:sz="0" w:space="0" w:color="auto"/>
        <w:left w:val="none" w:sz="0" w:space="0" w:color="auto"/>
        <w:bottom w:val="none" w:sz="0" w:space="0" w:color="auto"/>
        <w:right w:val="none" w:sz="0" w:space="0" w:color="auto"/>
      </w:divBdr>
    </w:div>
    <w:div w:id="1584952508">
      <w:bodyDiv w:val="1"/>
      <w:marLeft w:val="0"/>
      <w:marRight w:val="0"/>
      <w:marTop w:val="0"/>
      <w:marBottom w:val="0"/>
      <w:divBdr>
        <w:top w:val="none" w:sz="0" w:space="0" w:color="auto"/>
        <w:left w:val="none" w:sz="0" w:space="0" w:color="auto"/>
        <w:bottom w:val="none" w:sz="0" w:space="0" w:color="auto"/>
        <w:right w:val="none" w:sz="0" w:space="0" w:color="auto"/>
      </w:divBdr>
    </w:div>
    <w:div w:id="1585067973">
      <w:bodyDiv w:val="1"/>
      <w:marLeft w:val="0"/>
      <w:marRight w:val="0"/>
      <w:marTop w:val="0"/>
      <w:marBottom w:val="0"/>
      <w:divBdr>
        <w:top w:val="none" w:sz="0" w:space="0" w:color="auto"/>
        <w:left w:val="none" w:sz="0" w:space="0" w:color="auto"/>
        <w:bottom w:val="none" w:sz="0" w:space="0" w:color="auto"/>
        <w:right w:val="none" w:sz="0" w:space="0" w:color="auto"/>
      </w:divBdr>
    </w:div>
    <w:div w:id="1585214681">
      <w:bodyDiv w:val="1"/>
      <w:marLeft w:val="0"/>
      <w:marRight w:val="0"/>
      <w:marTop w:val="0"/>
      <w:marBottom w:val="0"/>
      <w:divBdr>
        <w:top w:val="none" w:sz="0" w:space="0" w:color="auto"/>
        <w:left w:val="none" w:sz="0" w:space="0" w:color="auto"/>
        <w:bottom w:val="none" w:sz="0" w:space="0" w:color="auto"/>
        <w:right w:val="none" w:sz="0" w:space="0" w:color="auto"/>
      </w:divBdr>
    </w:div>
    <w:div w:id="1585455117">
      <w:bodyDiv w:val="1"/>
      <w:marLeft w:val="0"/>
      <w:marRight w:val="0"/>
      <w:marTop w:val="0"/>
      <w:marBottom w:val="0"/>
      <w:divBdr>
        <w:top w:val="none" w:sz="0" w:space="0" w:color="auto"/>
        <w:left w:val="none" w:sz="0" w:space="0" w:color="auto"/>
        <w:bottom w:val="none" w:sz="0" w:space="0" w:color="auto"/>
        <w:right w:val="none" w:sz="0" w:space="0" w:color="auto"/>
      </w:divBdr>
    </w:div>
    <w:div w:id="1587113416">
      <w:bodyDiv w:val="1"/>
      <w:marLeft w:val="0"/>
      <w:marRight w:val="0"/>
      <w:marTop w:val="0"/>
      <w:marBottom w:val="0"/>
      <w:divBdr>
        <w:top w:val="none" w:sz="0" w:space="0" w:color="auto"/>
        <w:left w:val="none" w:sz="0" w:space="0" w:color="auto"/>
        <w:bottom w:val="none" w:sz="0" w:space="0" w:color="auto"/>
        <w:right w:val="none" w:sz="0" w:space="0" w:color="auto"/>
      </w:divBdr>
    </w:div>
    <w:div w:id="1587227703">
      <w:bodyDiv w:val="1"/>
      <w:marLeft w:val="0"/>
      <w:marRight w:val="0"/>
      <w:marTop w:val="0"/>
      <w:marBottom w:val="0"/>
      <w:divBdr>
        <w:top w:val="none" w:sz="0" w:space="0" w:color="auto"/>
        <w:left w:val="none" w:sz="0" w:space="0" w:color="auto"/>
        <w:bottom w:val="none" w:sz="0" w:space="0" w:color="auto"/>
        <w:right w:val="none" w:sz="0" w:space="0" w:color="auto"/>
      </w:divBdr>
    </w:div>
    <w:div w:id="1587303421">
      <w:bodyDiv w:val="1"/>
      <w:marLeft w:val="0"/>
      <w:marRight w:val="0"/>
      <w:marTop w:val="0"/>
      <w:marBottom w:val="0"/>
      <w:divBdr>
        <w:top w:val="none" w:sz="0" w:space="0" w:color="auto"/>
        <w:left w:val="none" w:sz="0" w:space="0" w:color="auto"/>
        <w:bottom w:val="none" w:sz="0" w:space="0" w:color="auto"/>
        <w:right w:val="none" w:sz="0" w:space="0" w:color="auto"/>
      </w:divBdr>
    </w:div>
    <w:div w:id="1587760307">
      <w:bodyDiv w:val="1"/>
      <w:marLeft w:val="0"/>
      <w:marRight w:val="0"/>
      <w:marTop w:val="0"/>
      <w:marBottom w:val="0"/>
      <w:divBdr>
        <w:top w:val="none" w:sz="0" w:space="0" w:color="auto"/>
        <w:left w:val="none" w:sz="0" w:space="0" w:color="auto"/>
        <w:bottom w:val="none" w:sz="0" w:space="0" w:color="auto"/>
        <w:right w:val="none" w:sz="0" w:space="0" w:color="auto"/>
      </w:divBdr>
    </w:div>
    <w:div w:id="1587836508">
      <w:bodyDiv w:val="1"/>
      <w:marLeft w:val="0"/>
      <w:marRight w:val="0"/>
      <w:marTop w:val="0"/>
      <w:marBottom w:val="0"/>
      <w:divBdr>
        <w:top w:val="none" w:sz="0" w:space="0" w:color="auto"/>
        <w:left w:val="none" w:sz="0" w:space="0" w:color="auto"/>
        <w:bottom w:val="none" w:sz="0" w:space="0" w:color="auto"/>
        <w:right w:val="none" w:sz="0" w:space="0" w:color="auto"/>
      </w:divBdr>
    </w:div>
    <w:div w:id="1588077279">
      <w:bodyDiv w:val="1"/>
      <w:marLeft w:val="0"/>
      <w:marRight w:val="0"/>
      <w:marTop w:val="0"/>
      <w:marBottom w:val="0"/>
      <w:divBdr>
        <w:top w:val="none" w:sz="0" w:space="0" w:color="auto"/>
        <w:left w:val="none" w:sz="0" w:space="0" w:color="auto"/>
        <w:bottom w:val="none" w:sz="0" w:space="0" w:color="auto"/>
        <w:right w:val="none" w:sz="0" w:space="0" w:color="auto"/>
      </w:divBdr>
    </w:div>
    <w:div w:id="1588272913">
      <w:bodyDiv w:val="1"/>
      <w:marLeft w:val="0"/>
      <w:marRight w:val="0"/>
      <w:marTop w:val="0"/>
      <w:marBottom w:val="0"/>
      <w:divBdr>
        <w:top w:val="none" w:sz="0" w:space="0" w:color="auto"/>
        <w:left w:val="none" w:sz="0" w:space="0" w:color="auto"/>
        <w:bottom w:val="none" w:sz="0" w:space="0" w:color="auto"/>
        <w:right w:val="none" w:sz="0" w:space="0" w:color="auto"/>
      </w:divBdr>
    </w:div>
    <w:div w:id="1588416372">
      <w:bodyDiv w:val="1"/>
      <w:marLeft w:val="0"/>
      <w:marRight w:val="0"/>
      <w:marTop w:val="0"/>
      <w:marBottom w:val="0"/>
      <w:divBdr>
        <w:top w:val="none" w:sz="0" w:space="0" w:color="auto"/>
        <w:left w:val="none" w:sz="0" w:space="0" w:color="auto"/>
        <w:bottom w:val="none" w:sz="0" w:space="0" w:color="auto"/>
        <w:right w:val="none" w:sz="0" w:space="0" w:color="auto"/>
      </w:divBdr>
    </w:div>
    <w:div w:id="1588490460">
      <w:bodyDiv w:val="1"/>
      <w:marLeft w:val="0"/>
      <w:marRight w:val="0"/>
      <w:marTop w:val="0"/>
      <w:marBottom w:val="0"/>
      <w:divBdr>
        <w:top w:val="none" w:sz="0" w:space="0" w:color="auto"/>
        <w:left w:val="none" w:sz="0" w:space="0" w:color="auto"/>
        <w:bottom w:val="none" w:sz="0" w:space="0" w:color="auto"/>
        <w:right w:val="none" w:sz="0" w:space="0" w:color="auto"/>
      </w:divBdr>
    </w:div>
    <w:div w:id="1588542184">
      <w:bodyDiv w:val="1"/>
      <w:marLeft w:val="0"/>
      <w:marRight w:val="0"/>
      <w:marTop w:val="0"/>
      <w:marBottom w:val="0"/>
      <w:divBdr>
        <w:top w:val="none" w:sz="0" w:space="0" w:color="auto"/>
        <w:left w:val="none" w:sz="0" w:space="0" w:color="auto"/>
        <w:bottom w:val="none" w:sz="0" w:space="0" w:color="auto"/>
        <w:right w:val="none" w:sz="0" w:space="0" w:color="auto"/>
      </w:divBdr>
    </w:div>
    <w:div w:id="1589078892">
      <w:bodyDiv w:val="1"/>
      <w:marLeft w:val="0"/>
      <w:marRight w:val="0"/>
      <w:marTop w:val="0"/>
      <w:marBottom w:val="0"/>
      <w:divBdr>
        <w:top w:val="none" w:sz="0" w:space="0" w:color="auto"/>
        <w:left w:val="none" w:sz="0" w:space="0" w:color="auto"/>
        <w:bottom w:val="none" w:sz="0" w:space="0" w:color="auto"/>
        <w:right w:val="none" w:sz="0" w:space="0" w:color="auto"/>
      </w:divBdr>
    </w:div>
    <w:div w:id="1589079466">
      <w:bodyDiv w:val="1"/>
      <w:marLeft w:val="0"/>
      <w:marRight w:val="0"/>
      <w:marTop w:val="0"/>
      <w:marBottom w:val="0"/>
      <w:divBdr>
        <w:top w:val="none" w:sz="0" w:space="0" w:color="auto"/>
        <w:left w:val="none" w:sz="0" w:space="0" w:color="auto"/>
        <w:bottom w:val="none" w:sz="0" w:space="0" w:color="auto"/>
        <w:right w:val="none" w:sz="0" w:space="0" w:color="auto"/>
      </w:divBdr>
    </w:div>
    <w:div w:id="1589264793">
      <w:bodyDiv w:val="1"/>
      <w:marLeft w:val="0"/>
      <w:marRight w:val="0"/>
      <w:marTop w:val="0"/>
      <w:marBottom w:val="0"/>
      <w:divBdr>
        <w:top w:val="none" w:sz="0" w:space="0" w:color="auto"/>
        <w:left w:val="none" w:sz="0" w:space="0" w:color="auto"/>
        <w:bottom w:val="none" w:sz="0" w:space="0" w:color="auto"/>
        <w:right w:val="none" w:sz="0" w:space="0" w:color="auto"/>
      </w:divBdr>
    </w:div>
    <w:div w:id="1589996094">
      <w:bodyDiv w:val="1"/>
      <w:marLeft w:val="0"/>
      <w:marRight w:val="0"/>
      <w:marTop w:val="0"/>
      <w:marBottom w:val="0"/>
      <w:divBdr>
        <w:top w:val="none" w:sz="0" w:space="0" w:color="auto"/>
        <w:left w:val="none" w:sz="0" w:space="0" w:color="auto"/>
        <w:bottom w:val="none" w:sz="0" w:space="0" w:color="auto"/>
        <w:right w:val="none" w:sz="0" w:space="0" w:color="auto"/>
      </w:divBdr>
    </w:div>
    <w:div w:id="1590504713">
      <w:bodyDiv w:val="1"/>
      <w:marLeft w:val="0"/>
      <w:marRight w:val="0"/>
      <w:marTop w:val="0"/>
      <w:marBottom w:val="0"/>
      <w:divBdr>
        <w:top w:val="none" w:sz="0" w:space="0" w:color="auto"/>
        <w:left w:val="none" w:sz="0" w:space="0" w:color="auto"/>
        <w:bottom w:val="none" w:sz="0" w:space="0" w:color="auto"/>
        <w:right w:val="none" w:sz="0" w:space="0" w:color="auto"/>
      </w:divBdr>
    </w:div>
    <w:div w:id="1590650368">
      <w:bodyDiv w:val="1"/>
      <w:marLeft w:val="0"/>
      <w:marRight w:val="0"/>
      <w:marTop w:val="0"/>
      <w:marBottom w:val="0"/>
      <w:divBdr>
        <w:top w:val="none" w:sz="0" w:space="0" w:color="auto"/>
        <w:left w:val="none" w:sz="0" w:space="0" w:color="auto"/>
        <w:bottom w:val="none" w:sz="0" w:space="0" w:color="auto"/>
        <w:right w:val="none" w:sz="0" w:space="0" w:color="auto"/>
      </w:divBdr>
    </w:div>
    <w:div w:id="1590844850">
      <w:bodyDiv w:val="1"/>
      <w:marLeft w:val="0"/>
      <w:marRight w:val="0"/>
      <w:marTop w:val="0"/>
      <w:marBottom w:val="0"/>
      <w:divBdr>
        <w:top w:val="none" w:sz="0" w:space="0" w:color="auto"/>
        <w:left w:val="none" w:sz="0" w:space="0" w:color="auto"/>
        <w:bottom w:val="none" w:sz="0" w:space="0" w:color="auto"/>
        <w:right w:val="none" w:sz="0" w:space="0" w:color="auto"/>
      </w:divBdr>
    </w:div>
    <w:div w:id="1590961050">
      <w:bodyDiv w:val="1"/>
      <w:marLeft w:val="0"/>
      <w:marRight w:val="0"/>
      <w:marTop w:val="0"/>
      <w:marBottom w:val="0"/>
      <w:divBdr>
        <w:top w:val="none" w:sz="0" w:space="0" w:color="auto"/>
        <w:left w:val="none" w:sz="0" w:space="0" w:color="auto"/>
        <w:bottom w:val="none" w:sz="0" w:space="0" w:color="auto"/>
        <w:right w:val="none" w:sz="0" w:space="0" w:color="auto"/>
      </w:divBdr>
    </w:div>
    <w:div w:id="1591357192">
      <w:bodyDiv w:val="1"/>
      <w:marLeft w:val="0"/>
      <w:marRight w:val="0"/>
      <w:marTop w:val="0"/>
      <w:marBottom w:val="0"/>
      <w:divBdr>
        <w:top w:val="none" w:sz="0" w:space="0" w:color="auto"/>
        <w:left w:val="none" w:sz="0" w:space="0" w:color="auto"/>
        <w:bottom w:val="none" w:sz="0" w:space="0" w:color="auto"/>
        <w:right w:val="none" w:sz="0" w:space="0" w:color="auto"/>
      </w:divBdr>
    </w:div>
    <w:div w:id="1591696196">
      <w:bodyDiv w:val="1"/>
      <w:marLeft w:val="0"/>
      <w:marRight w:val="0"/>
      <w:marTop w:val="0"/>
      <w:marBottom w:val="0"/>
      <w:divBdr>
        <w:top w:val="none" w:sz="0" w:space="0" w:color="auto"/>
        <w:left w:val="none" w:sz="0" w:space="0" w:color="auto"/>
        <w:bottom w:val="none" w:sz="0" w:space="0" w:color="auto"/>
        <w:right w:val="none" w:sz="0" w:space="0" w:color="auto"/>
      </w:divBdr>
    </w:div>
    <w:div w:id="1592154302">
      <w:bodyDiv w:val="1"/>
      <w:marLeft w:val="0"/>
      <w:marRight w:val="0"/>
      <w:marTop w:val="0"/>
      <w:marBottom w:val="0"/>
      <w:divBdr>
        <w:top w:val="none" w:sz="0" w:space="0" w:color="auto"/>
        <w:left w:val="none" w:sz="0" w:space="0" w:color="auto"/>
        <w:bottom w:val="none" w:sz="0" w:space="0" w:color="auto"/>
        <w:right w:val="none" w:sz="0" w:space="0" w:color="auto"/>
      </w:divBdr>
    </w:div>
    <w:div w:id="1592663426">
      <w:bodyDiv w:val="1"/>
      <w:marLeft w:val="0"/>
      <w:marRight w:val="0"/>
      <w:marTop w:val="0"/>
      <w:marBottom w:val="0"/>
      <w:divBdr>
        <w:top w:val="none" w:sz="0" w:space="0" w:color="auto"/>
        <w:left w:val="none" w:sz="0" w:space="0" w:color="auto"/>
        <w:bottom w:val="none" w:sz="0" w:space="0" w:color="auto"/>
        <w:right w:val="none" w:sz="0" w:space="0" w:color="auto"/>
      </w:divBdr>
    </w:div>
    <w:div w:id="1593129636">
      <w:bodyDiv w:val="1"/>
      <w:marLeft w:val="0"/>
      <w:marRight w:val="0"/>
      <w:marTop w:val="0"/>
      <w:marBottom w:val="0"/>
      <w:divBdr>
        <w:top w:val="none" w:sz="0" w:space="0" w:color="auto"/>
        <w:left w:val="none" w:sz="0" w:space="0" w:color="auto"/>
        <w:bottom w:val="none" w:sz="0" w:space="0" w:color="auto"/>
        <w:right w:val="none" w:sz="0" w:space="0" w:color="auto"/>
      </w:divBdr>
    </w:div>
    <w:div w:id="1594170133">
      <w:bodyDiv w:val="1"/>
      <w:marLeft w:val="0"/>
      <w:marRight w:val="0"/>
      <w:marTop w:val="0"/>
      <w:marBottom w:val="0"/>
      <w:divBdr>
        <w:top w:val="none" w:sz="0" w:space="0" w:color="auto"/>
        <w:left w:val="none" w:sz="0" w:space="0" w:color="auto"/>
        <w:bottom w:val="none" w:sz="0" w:space="0" w:color="auto"/>
        <w:right w:val="none" w:sz="0" w:space="0" w:color="auto"/>
      </w:divBdr>
    </w:div>
    <w:div w:id="1594588311">
      <w:bodyDiv w:val="1"/>
      <w:marLeft w:val="0"/>
      <w:marRight w:val="0"/>
      <w:marTop w:val="0"/>
      <w:marBottom w:val="0"/>
      <w:divBdr>
        <w:top w:val="none" w:sz="0" w:space="0" w:color="auto"/>
        <w:left w:val="none" w:sz="0" w:space="0" w:color="auto"/>
        <w:bottom w:val="none" w:sz="0" w:space="0" w:color="auto"/>
        <w:right w:val="none" w:sz="0" w:space="0" w:color="auto"/>
      </w:divBdr>
    </w:div>
    <w:div w:id="1594628632">
      <w:bodyDiv w:val="1"/>
      <w:marLeft w:val="0"/>
      <w:marRight w:val="0"/>
      <w:marTop w:val="0"/>
      <w:marBottom w:val="0"/>
      <w:divBdr>
        <w:top w:val="none" w:sz="0" w:space="0" w:color="auto"/>
        <w:left w:val="none" w:sz="0" w:space="0" w:color="auto"/>
        <w:bottom w:val="none" w:sz="0" w:space="0" w:color="auto"/>
        <w:right w:val="none" w:sz="0" w:space="0" w:color="auto"/>
      </w:divBdr>
    </w:div>
    <w:div w:id="1594706518">
      <w:bodyDiv w:val="1"/>
      <w:marLeft w:val="0"/>
      <w:marRight w:val="0"/>
      <w:marTop w:val="0"/>
      <w:marBottom w:val="0"/>
      <w:divBdr>
        <w:top w:val="none" w:sz="0" w:space="0" w:color="auto"/>
        <w:left w:val="none" w:sz="0" w:space="0" w:color="auto"/>
        <w:bottom w:val="none" w:sz="0" w:space="0" w:color="auto"/>
        <w:right w:val="none" w:sz="0" w:space="0" w:color="auto"/>
      </w:divBdr>
    </w:div>
    <w:div w:id="1594781469">
      <w:bodyDiv w:val="1"/>
      <w:marLeft w:val="0"/>
      <w:marRight w:val="0"/>
      <w:marTop w:val="0"/>
      <w:marBottom w:val="0"/>
      <w:divBdr>
        <w:top w:val="none" w:sz="0" w:space="0" w:color="auto"/>
        <w:left w:val="none" w:sz="0" w:space="0" w:color="auto"/>
        <w:bottom w:val="none" w:sz="0" w:space="0" w:color="auto"/>
        <w:right w:val="none" w:sz="0" w:space="0" w:color="auto"/>
      </w:divBdr>
    </w:div>
    <w:div w:id="1596010237">
      <w:bodyDiv w:val="1"/>
      <w:marLeft w:val="0"/>
      <w:marRight w:val="0"/>
      <w:marTop w:val="0"/>
      <w:marBottom w:val="0"/>
      <w:divBdr>
        <w:top w:val="none" w:sz="0" w:space="0" w:color="auto"/>
        <w:left w:val="none" w:sz="0" w:space="0" w:color="auto"/>
        <w:bottom w:val="none" w:sz="0" w:space="0" w:color="auto"/>
        <w:right w:val="none" w:sz="0" w:space="0" w:color="auto"/>
      </w:divBdr>
    </w:div>
    <w:div w:id="1596478387">
      <w:bodyDiv w:val="1"/>
      <w:marLeft w:val="0"/>
      <w:marRight w:val="0"/>
      <w:marTop w:val="0"/>
      <w:marBottom w:val="0"/>
      <w:divBdr>
        <w:top w:val="none" w:sz="0" w:space="0" w:color="auto"/>
        <w:left w:val="none" w:sz="0" w:space="0" w:color="auto"/>
        <w:bottom w:val="none" w:sz="0" w:space="0" w:color="auto"/>
        <w:right w:val="none" w:sz="0" w:space="0" w:color="auto"/>
      </w:divBdr>
    </w:div>
    <w:div w:id="1596599276">
      <w:bodyDiv w:val="1"/>
      <w:marLeft w:val="0"/>
      <w:marRight w:val="0"/>
      <w:marTop w:val="0"/>
      <w:marBottom w:val="0"/>
      <w:divBdr>
        <w:top w:val="none" w:sz="0" w:space="0" w:color="auto"/>
        <w:left w:val="none" w:sz="0" w:space="0" w:color="auto"/>
        <w:bottom w:val="none" w:sz="0" w:space="0" w:color="auto"/>
        <w:right w:val="none" w:sz="0" w:space="0" w:color="auto"/>
      </w:divBdr>
    </w:div>
    <w:div w:id="1596748740">
      <w:bodyDiv w:val="1"/>
      <w:marLeft w:val="0"/>
      <w:marRight w:val="0"/>
      <w:marTop w:val="0"/>
      <w:marBottom w:val="0"/>
      <w:divBdr>
        <w:top w:val="none" w:sz="0" w:space="0" w:color="auto"/>
        <w:left w:val="none" w:sz="0" w:space="0" w:color="auto"/>
        <w:bottom w:val="none" w:sz="0" w:space="0" w:color="auto"/>
        <w:right w:val="none" w:sz="0" w:space="0" w:color="auto"/>
      </w:divBdr>
    </w:div>
    <w:div w:id="1596940628">
      <w:bodyDiv w:val="1"/>
      <w:marLeft w:val="0"/>
      <w:marRight w:val="0"/>
      <w:marTop w:val="0"/>
      <w:marBottom w:val="0"/>
      <w:divBdr>
        <w:top w:val="none" w:sz="0" w:space="0" w:color="auto"/>
        <w:left w:val="none" w:sz="0" w:space="0" w:color="auto"/>
        <w:bottom w:val="none" w:sz="0" w:space="0" w:color="auto"/>
        <w:right w:val="none" w:sz="0" w:space="0" w:color="auto"/>
      </w:divBdr>
    </w:div>
    <w:div w:id="1597397195">
      <w:bodyDiv w:val="1"/>
      <w:marLeft w:val="0"/>
      <w:marRight w:val="0"/>
      <w:marTop w:val="0"/>
      <w:marBottom w:val="0"/>
      <w:divBdr>
        <w:top w:val="none" w:sz="0" w:space="0" w:color="auto"/>
        <w:left w:val="none" w:sz="0" w:space="0" w:color="auto"/>
        <w:bottom w:val="none" w:sz="0" w:space="0" w:color="auto"/>
        <w:right w:val="none" w:sz="0" w:space="0" w:color="auto"/>
      </w:divBdr>
    </w:div>
    <w:div w:id="1597518385">
      <w:bodyDiv w:val="1"/>
      <w:marLeft w:val="0"/>
      <w:marRight w:val="0"/>
      <w:marTop w:val="0"/>
      <w:marBottom w:val="0"/>
      <w:divBdr>
        <w:top w:val="none" w:sz="0" w:space="0" w:color="auto"/>
        <w:left w:val="none" w:sz="0" w:space="0" w:color="auto"/>
        <w:bottom w:val="none" w:sz="0" w:space="0" w:color="auto"/>
        <w:right w:val="none" w:sz="0" w:space="0" w:color="auto"/>
      </w:divBdr>
    </w:div>
    <w:div w:id="1597716260">
      <w:bodyDiv w:val="1"/>
      <w:marLeft w:val="0"/>
      <w:marRight w:val="0"/>
      <w:marTop w:val="0"/>
      <w:marBottom w:val="0"/>
      <w:divBdr>
        <w:top w:val="none" w:sz="0" w:space="0" w:color="auto"/>
        <w:left w:val="none" w:sz="0" w:space="0" w:color="auto"/>
        <w:bottom w:val="none" w:sz="0" w:space="0" w:color="auto"/>
        <w:right w:val="none" w:sz="0" w:space="0" w:color="auto"/>
      </w:divBdr>
    </w:div>
    <w:div w:id="1597859030">
      <w:bodyDiv w:val="1"/>
      <w:marLeft w:val="0"/>
      <w:marRight w:val="0"/>
      <w:marTop w:val="0"/>
      <w:marBottom w:val="0"/>
      <w:divBdr>
        <w:top w:val="none" w:sz="0" w:space="0" w:color="auto"/>
        <w:left w:val="none" w:sz="0" w:space="0" w:color="auto"/>
        <w:bottom w:val="none" w:sz="0" w:space="0" w:color="auto"/>
        <w:right w:val="none" w:sz="0" w:space="0" w:color="auto"/>
      </w:divBdr>
    </w:div>
    <w:div w:id="1598782713">
      <w:bodyDiv w:val="1"/>
      <w:marLeft w:val="0"/>
      <w:marRight w:val="0"/>
      <w:marTop w:val="0"/>
      <w:marBottom w:val="0"/>
      <w:divBdr>
        <w:top w:val="none" w:sz="0" w:space="0" w:color="auto"/>
        <w:left w:val="none" w:sz="0" w:space="0" w:color="auto"/>
        <w:bottom w:val="none" w:sz="0" w:space="0" w:color="auto"/>
        <w:right w:val="none" w:sz="0" w:space="0" w:color="auto"/>
      </w:divBdr>
    </w:div>
    <w:div w:id="1599216673">
      <w:bodyDiv w:val="1"/>
      <w:marLeft w:val="0"/>
      <w:marRight w:val="0"/>
      <w:marTop w:val="0"/>
      <w:marBottom w:val="0"/>
      <w:divBdr>
        <w:top w:val="none" w:sz="0" w:space="0" w:color="auto"/>
        <w:left w:val="none" w:sz="0" w:space="0" w:color="auto"/>
        <w:bottom w:val="none" w:sz="0" w:space="0" w:color="auto"/>
        <w:right w:val="none" w:sz="0" w:space="0" w:color="auto"/>
      </w:divBdr>
    </w:div>
    <w:div w:id="1599406627">
      <w:bodyDiv w:val="1"/>
      <w:marLeft w:val="0"/>
      <w:marRight w:val="0"/>
      <w:marTop w:val="0"/>
      <w:marBottom w:val="0"/>
      <w:divBdr>
        <w:top w:val="none" w:sz="0" w:space="0" w:color="auto"/>
        <w:left w:val="none" w:sz="0" w:space="0" w:color="auto"/>
        <w:bottom w:val="none" w:sz="0" w:space="0" w:color="auto"/>
        <w:right w:val="none" w:sz="0" w:space="0" w:color="auto"/>
      </w:divBdr>
    </w:div>
    <w:div w:id="1600064964">
      <w:bodyDiv w:val="1"/>
      <w:marLeft w:val="0"/>
      <w:marRight w:val="0"/>
      <w:marTop w:val="0"/>
      <w:marBottom w:val="0"/>
      <w:divBdr>
        <w:top w:val="none" w:sz="0" w:space="0" w:color="auto"/>
        <w:left w:val="none" w:sz="0" w:space="0" w:color="auto"/>
        <w:bottom w:val="none" w:sz="0" w:space="0" w:color="auto"/>
        <w:right w:val="none" w:sz="0" w:space="0" w:color="auto"/>
      </w:divBdr>
    </w:div>
    <w:div w:id="1600409066">
      <w:bodyDiv w:val="1"/>
      <w:marLeft w:val="0"/>
      <w:marRight w:val="0"/>
      <w:marTop w:val="0"/>
      <w:marBottom w:val="0"/>
      <w:divBdr>
        <w:top w:val="none" w:sz="0" w:space="0" w:color="auto"/>
        <w:left w:val="none" w:sz="0" w:space="0" w:color="auto"/>
        <w:bottom w:val="none" w:sz="0" w:space="0" w:color="auto"/>
        <w:right w:val="none" w:sz="0" w:space="0" w:color="auto"/>
      </w:divBdr>
    </w:div>
    <w:div w:id="1600988889">
      <w:bodyDiv w:val="1"/>
      <w:marLeft w:val="0"/>
      <w:marRight w:val="0"/>
      <w:marTop w:val="0"/>
      <w:marBottom w:val="0"/>
      <w:divBdr>
        <w:top w:val="none" w:sz="0" w:space="0" w:color="auto"/>
        <w:left w:val="none" w:sz="0" w:space="0" w:color="auto"/>
        <w:bottom w:val="none" w:sz="0" w:space="0" w:color="auto"/>
        <w:right w:val="none" w:sz="0" w:space="0" w:color="auto"/>
      </w:divBdr>
    </w:div>
    <w:div w:id="1601373657">
      <w:bodyDiv w:val="1"/>
      <w:marLeft w:val="0"/>
      <w:marRight w:val="0"/>
      <w:marTop w:val="0"/>
      <w:marBottom w:val="0"/>
      <w:divBdr>
        <w:top w:val="none" w:sz="0" w:space="0" w:color="auto"/>
        <w:left w:val="none" w:sz="0" w:space="0" w:color="auto"/>
        <w:bottom w:val="none" w:sz="0" w:space="0" w:color="auto"/>
        <w:right w:val="none" w:sz="0" w:space="0" w:color="auto"/>
      </w:divBdr>
    </w:div>
    <w:div w:id="1601597777">
      <w:bodyDiv w:val="1"/>
      <w:marLeft w:val="0"/>
      <w:marRight w:val="0"/>
      <w:marTop w:val="0"/>
      <w:marBottom w:val="0"/>
      <w:divBdr>
        <w:top w:val="none" w:sz="0" w:space="0" w:color="auto"/>
        <w:left w:val="none" w:sz="0" w:space="0" w:color="auto"/>
        <w:bottom w:val="none" w:sz="0" w:space="0" w:color="auto"/>
        <w:right w:val="none" w:sz="0" w:space="0" w:color="auto"/>
      </w:divBdr>
    </w:div>
    <w:div w:id="1601913772">
      <w:bodyDiv w:val="1"/>
      <w:marLeft w:val="0"/>
      <w:marRight w:val="0"/>
      <w:marTop w:val="0"/>
      <w:marBottom w:val="0"/>
      <w:divBdr>
        <w:top w:val="none" w:sz="0" w:space="0" w:color="auto"/>
        <w:left w:val="none" w:sz="0" w:space="0" w:color="auto"/>
        <w:bottom w:val="none" w:sz="0" w:space="0" w:color="auto"/>
        <w:right w:val="none" w:sz="0" w:space="0" w:color="auto"/>
      </w:divBdr>
    </w:div>
    <w:div w:id="1602032875">
      <w:bodyDiv w:val="1"/>
      <w:marLeft w:val="0"/>
      <w:marRight w:val="0"/>
      <w:marTop w:val="0"/>
      <w:marBottom w:val="0"/>
      <w:divBdr>
        <w:top w:val="none" w:sz="0" w:space="0" w:color="auto"/>
        <w:left w:val="none" w:sz="0" w:space="0" w:color="auto"/>
        <w:bottom w:val="none" w:sz="0" w:space="0" w:color="auto"/>
        <w:right w:val="none" w:sz="0" w:space="0" w:color="auto"/>
      </w:divBdr>
    </w:div>
    <w:div w:id="1603806580">
      <w:bodyDiv w:val="1"/>
      <w:marLeft w:val="0"/>
      <w:marRight w:val="0"/>
      <w:marTop w:val="0"/>
      <w:marBottom w:val="0"/>
      <w:divBdr>
        <w:top w:val="none" w:sz="0" w:space="0" w:color="auto"/>
        <w:left w:val="none" w:sz="0" w:space="0" w:color="auto"/>
        <w:bottom w:val="none" w:sz="0" w:space="0" w:color="auto"/>
        <w:right w:val="none" w:sz="0" w:space="0" w:color="auto"/>
      </w:divBdr>
    </w:div>
    <w:div w:id="1603876450">
      <w:bodyDiv w:val="1"/>
      <w:marLeft w:val="0"/>
      <w:marRight w:val="0"/>
      <w:marTop w:val="0"/>
      <w:marBottom w:val="0"/>
      <w:divBdr>
        <w:top w:val="none" w:sz="0" w:space="0" w:color="auto"/>
        <w:left w:val="none" w:sz="0" w:space="0" w:color="auto"/>
        <w:bottom w:val="none" w:sz="0" w:space="0" w:color="auto"/>
        <w:right w:val="none" w:sz="0" w:space="0" w:color="auto"/>
      </w:divBdr>
    </w:div>
    <w:div w:id="1603997483">
      <w:bodyDiv w:val="1"/>
      <w:marLeft w:val="0"/>
      <w:marRight w:val="0"/>
      <w:marTop w:val="0"/>
      <w:marBottom w:val="0"/>
      <w:divBdr>
        <w:top w:val="none" w:sz="0" w:space="0" w:color="auto"/>
        <w:left w:val="none" w:sz="0" w:space="0" w:color="auto"/>
        <w:bottom w:val="none" w:sz="0" w:space="0" w:color="auto"/>
        <w:right w:val="none" w:sz="0" w:space="0" w:color="auto"/>
      </w:divBdr>
    </w:div>
    <w:div w:id="1604074352">
      <w:bodyDiv w:val="1"/>
      <w:marLeft w:val="0"/>
      <w:marRight w:val="0"/>
      <w:marTop w:val="0"/>
      <w:marBottom w:val="0"/>
      <w:divBdr>
        <w:top w:val="none" w:sz="0" w:space="0" w:color="auto"/>
        <w:left w:val="none" w:sz="0" w:space="0" w:color="auto"/>
        <w:bottom w:val="none" w:sz="0" w:space="0" w:color="auto"/>
        <w:right w:val="none" w:sz="0" w:space="0" w:color="auto"/>
      </w:divBdr>
    </w:div>
    <w:div w:id="1604344588">
      <w:bodyDiv w:val="1"/>
      <w:marLeft w:val="0"/>
      <w:marRight w:val="0"/>
      <w:marTop w:val="0"/>
      <w:marBottom w:val="0"/>
      <w:divBdr>
        <w:top w:val="none" w:sz="0" w:space="0" w:color="auto"/>
        <w:left w:val="none" w:sz="0" w:space="0" w:color="auto"/>
        <w:bottom w:val="none" w:sz="0" w:space="0" w:color="auto"/>
        <w:right w:val="none" w:sz="0" w:space="0" w:color="auto"/>
      </w:divBdr>
    </w:div>
    <w:div w:id="1605065464">
      <w:bodyDiv w:val="1"/>
      <w:marLeft w:val="0"/>
      <w:marRight w:val="0"/>
      <w:marTop w:val="0"/>
      <w:marBottom w:val="0"/>
      <w:divBdr>
        <w:top w:val="none" w:sz="0" w:space="0" w:color="auto"/>
        <w:left w:val="none" w:sz="0" w:space="0" w:color="auto"/>
        <w:bottom w:val="none" w:sz="0" w:space="0" w:color="auto"/>
        <w:right w:val="none" w:sz="0" w:space="0" w:color="auto"/>
      </w:divBdr>
    </w:div>
    <w:div w:id="1605574526">
      <w:bodyDiv w:val="1"/>
      <w:marLeft w:val="0"/>
      <w:marRight w:val="0"/>
      <w:marTop w:val="0"/>
      <w:marBottom w:val="0"/>
      <w:divBdr>
        <w:top w:val="none" w:sz="0" w:space="0" w:color="auto"/>
        <w:left w:val="none" w:sz="0" w:space="0" w:color="auto"/>
        <w:bottom w:val="none" w:sz="0" w:space="0" w:color="auto"/>
        <w:right w:val="none" w:sz="0" w:space="0" w:color="auto"/>
      </w:divBdr>
    </w:div>
    <w:div w:id="1605965261">
      <w:bodyDiv w:val="1"/>
      <w:marLeft w:val="0"/>
      <w:marRight w:val="0"/>
      <w:marTop w:val="0"/>
      <w:marBottom w:val="0"/>
      <w:divBdr>
        <w:top w:val="none" w:sz="0" w:space="0" w:color="auto"/>
        <w:left w:val="none" w:sz="0" w:space="0" w:color="auto"/>
        <w:bottom w:val="none" w:sz="0" w:space="0" w:color="auto"/>
        <w:right w:val="none" w:sz="0" w:space="0" w:color="auto"/>
      </w:divBdr>
    </w:div>
    <w:div w:id="1606187869">
      <w:bodyDiv w:val="1"/>
      <w:marLeft w:val="0"/>
      <w:marRight w:val="0"/>
      <w:marTop w:val="0"/>
      <w:marBottom w:val="0"/>
      <w:divBdr>
        <w:top w:val="none" w:sz="0" w:space="0" w:color="auto"/>
        <w:left w:val="none" w:sz="0" w:space="0" w:color="auto"/>
        <w:bottom w:val="none" w:sz="0" w:space="0" w:color="auto"/>
        <w:right w:val="none" w:sz="0" w:space="0" w:color="auto"/>
      </w:divBdr>
    </w:div>
    <w:div w:id="1607155899">
      <w:bodyDiv w:val="1"/>
      <w:marLeft w:val="0"/>
      <w:marRight w:val="0"/>
      <w:marTop w:val="0"/>
      <w:marBottom w:val="0"/>
      <w:divBdr>
        <w:top w:val="none" w:sz="0" w:space="0" w:color="auto"/>
        <w:left w:val="none" w:sz="0" w:space="0" w:color="auto"/>
        <w:bottom w:val="none" w:sz="0" w:space="0" w:color="auto"/>
        <w:right w:val="none" w:sz="0" w:space="0" w:color="auto"/>
      </w:divBdr>
    </w:div>
    <w:div w:id="1607467911">
      <w:bodyDiv w:val="1"/>
      <w:marLeft w:val="0"/>
      <w:marRight w:val="0"/>
      <w:marTop w:val="0"/>
      <w:marBottom w:val="0"/>
      <w:divBdr>
        <w:top w:val="none" w:sz="0" w:space="0" w:color="auto"/>
        <w:left w:val="none" w:sz="0" w:space="0" w:color="auto"/>
        <w:bottom w:val="none" w:sz="0" w:space="0" w:color="auto"/>
        <w:right w:val="none" w:sz="0" w:space="0" w:color="auto"/>
      </w:divBdr>
    </w:div>
    <w:div w:id="1607496038">
      <w:bodyDiv w:val="1"/>
      <w:marLeft w:val="0"/>
      <w:marRight w:val="0"/>
      <w:marTop w:val="0"/>
      <w:marBottom w:val="0"/>
      <w:divBdr>
        <w:top w:val="none" w:sz="0" w:space="0" w:color="auto"/>
        <w:left w:val="none" w:sz="0" w:space="0" w:color="auto"/>
        <w:bottom w:val="none" w:sz="0" w:space="0" w:color="auto"/>
        <w:right w:val="none" w:sz="0" w:space="0" w:color="auto"/>
      </w:divBdr>
    </w:div>
    <w:div w:id="1607543340">
      <w:bodyDiv w:val="1"/>
      <w:marLeft w:val="0"/>
      <w:marRight w:val="0"/>
      <w:marTop w:val="0"/>
      <w:marBottom w:val="0"/>
      <w:divBdr>
        <w:top w:val="none" w:sz="0" w:space="0" w:color="auto"/>
        <w:left w:val="none" w:sz="0" w:space="0" w:color="auto"/>
        <w:bottom w:val="none" w:sz="0" w:space="0" w:color="auto"/>
        <w:right w:val="none" w:sz="0" w:space="0" w:color="auto"/>
      </w:divBdr>
    </w:div>
    <w:div w:id="1608536635">
      <w:bodyDiv w:val="1"/>
      <w:marLeft w:val="0"/>
      <w:marRight w:val="0"/>
      <w:marTop w:val="0"/>
      <w:marBottom w:val="0"/>
      <w:divBdr>
        <w:top w:val="none" w:sz="0" w:space="0" w:color="auto"/>
        <w:left w:val="none" w:sz="0" w:space="0" w:color="auto"/>
        <w:bottom w:val="none" w:sz="0" w:space="0" w:color="auto"/>
        <w:right w:val="none" w:sz="0" w:space="0" w:color="auto"/>
      </w:divBdr>
    </w:div>
    <w:div w:id="1608729422">
      <w:bodyDiv w:val="1"/>
      <w:marLeft w:val="0"/>
      <w:marRight w:val="0"/>
      <w:marTop w:val="0"/>
      <w:marBottom w:val="0"/>
      <w:divBdr>
        <w:top w:val="none" w:sz="0" w:space="0" w:color="auto"/>
        <w:left w:val="none" w:sz="0" w:space="0" w:color="auto"/>
        <w:bottom w:val="none" w:sz="0" w:space="0" w:color="auto"/>
        <w:right w:val="none" w:sz="0" w:space="0" w:color="auto"/>
      </w:divBdr>
    </w:div>
    <w:div w:id="1609121960">
      <w:bodyDiv w:val="1"/>
      <w:marLeft w:val="0"/>
      <w:marRight w:val="0"/>
      <w:marTop w:val="0"/>
      <w:marBottom w:val="0"/>
      <w:divBdr>
        <w:top w:val="none" w:sz="0" w:space="0" w:color="auto"/>
        <w:left w:val="none" w:sz="0" w:space="0" w:color="auto"/>
        <w:bottom w:val="none" w:sz="0" w:space="0" w:color="auto"/>
        <w:right w:val="none" w:sz="0" w:space="0" w:color="auto"/>
      </w:divBdr>
    </w:div>
    <w:div w:id="1609434439">
      <w:bodyDiv w:val="1"/>
      <w:marLeft w:val="0"/>
      <w:marRight w:val="0"/>
      <w:marTop w:val="0"/>
      <w:marBottom w:val="0"/>
      <w:divBdr>
        <w:top w:val="none" w:sz="0" w:space="0" w:color="auto"/>
        <w:left w:val="none" w:sz="0" w:space="0" w:color="auto"/>
        <w:bottom w:val="none" w:sz="0" w:space="0" w:color="auto"/>
        <w:right w:val="none" w:sz="0" w:space="0" w:color="auto"/>
      </w:divBdr>
    </w:div>
    <w:div w:id="1609774430">
      <w:bodyDiv w:val="1"/>
      <w:marLeft w:val="0"/>
      <w:marRight w:val="0"/>
      <w:marTop w:val="0"/>
      <w:marBottom w:val="0"/>
      <w:divBdr>
        <w:top w:val="none" w:sz="0" w:space="0" w:color="auto"/>
        <w:left w:val="none" w:sz="0" w:space="0" w:color="auto"/>
        <w:bottom w:val="none" w:sz="0" w:space="0" w:color="auto"/>
        <w:right w:val="none" w:sz="0" w:space="0" w:color="auto"/>
      </w:divBdr>
    </w:div>
    <w:div w:id="1609894804">
      <w:bodyDiv w:val="1"/>
      <w:marLeft w:val="0"/>
      <w:marRight w:val="0"/>
      <w:marTop w:val="0"/>
      <w:marBottom w:val="0"/>
      <w:divBdr>
        <w:top w:val="none" w:sz="0" w:space="0" w:color="auto"/>
        <w:left w:val="none" w:sz="0" w:space="0" w:color="auto"/>
        <w:bottom w:val="none" w:sz="0" w:space="0" w:color="auto"/>
        <w:right w:val="none" w:sz="0" w:space="0" w:color="auto"/>
      </w:divBdr>
    </w:div>
    <w:div w:id="1610040113">
      <w:bodyDiv w:val="1"/>
      <w:marLeft w:val="0"/>
      <w:marRight w:val="0"/>
      <w:marTop w:val="0"/>
      <w:marBottom w:val="0"/>
      <w:divBdr>
        <w:top w:val="none" w:sz="0" w:space="0" w:color="auto"/>
        <w:left w:val="none" w:sz="0" w:space="0" w:color="auto"/>
        <w:bottom w:val="none" w:sz="0" w:space="0" w:color="auto"/>
        <w:right w:val="none" w:sz="0" w:space="0" w:color="auto"/>
      </w:divBdr>
    </w:div>
    <w:div w:id="1611356106">
      <w:bodyDiv w:val="1"/>
      <w:marLeft w:val="0"/>
      <w:marRight w:val="0"/>
      <w:marTop w:val="0"/>
      <w:marBottom w:val="0"/>
      <w:divBdr>
        <w:top w:val="none" w:sz="0" w:space="0" w:color="auto"/>
        <w:left w:val="none" w:sz="0" w:space="0" w:color="auto"/>
        <w:bottom w:val="none" w:sz="0" w:space="0" w:color="auto"/>
        <w:right w:val="none" w:sz="0" w:space="0" w:color="auto"/>
      </w:divBdr>
    </w:div>
    <w:div w:id="1611663706">
      <w:bodyDiv w:val="1"/>
      <w:marLeft w:val="0"/>
      <w:marRight w:val="0"/>
      <w:marTop w:val="0"/>
      <w:marBottom w:val="0"/>
      <w:divBdr>
        <w:top w:val="none" w:sz="0" w:space="0" w:color="auto"/>
        <w:left w:val="none" w:sz="0" w:space="0" w:color="auto"/>
        <w:bottom w:val="none" w:sz="0" w:space="0" w:color="auto"/>
        <w:right w:val="none" w:sz="0" w:space="0" w:color="auto"/>
      </w:divBdr>
    </w:div>
    <w:div w:id="1611667475">
      <w:bodyDiv w:val="1"/>
      <w:marLeft w:val="0"/>
      <w:marRight w:val="0"/>
      <w:marTop w:val="0"/>
      <w:marBottom w:val="0"/>
      <w:divBdr>
        <w:top w:val="none" w:sz="0" w:space="0" w:color="auto"/>
        <w:left w:val="none" w:sz="0" w:space="0" w:color="auto"/>
        <w:bottom w:val="none" w:sz="0" w:space="0" w:color="auto"/>
        <w:right w:val="none" w:sz="0" w:space="0" w:color="auto"/>
      </w:divBdr>
    </w:div>
    <w:div w:id="1612085116">
      <w:bodyDiv w:val="1"/>
      <w:marLeft w:val="0"/>
      <w:marRight w:val="0"/>
      <w:marTop w:val="0"/>
      <w:marBottom w:val="0"/>
      <w:divBdr>
        <w:top w:val="none" w:sz="0" w:space="0" w:color="auto"/>
        <w:left w:val="none" w:sz="0" w:space="0" w:color="auto"/>
        <w:bottom w:val="none" w:sz="0" w:space="0" w:color="auto"/>
        <w:right w:val="none" w:sz="0" w:space="0" w:color="auto"/>
      </w:divBdr>
    </w:div>
    <w:div w:id="1612518315">
      <w:bodyDiv w:val="1"/>
      <w:marLeft w:val="0"/>
      <w:marRight w:val="0"/>
      <w:marTop w:val="0"/>
      <w:marBottom w:val="0"/>
      <w:divBdr>
        <w:top w:val="none" w:sz="0" w:space="0" w:color="auto"/>
        <w:left w:val="none" w:sz="0" w:space="0" w:color="auto"/>
        <w:bottom w:val="none" w:sz="0" w:space="0" w:color="auto"/>
        <w:right w:val="none" w:sz="0" w:space="0" w:color="auto"/>
      </w:divBdr>
    </w:div>
    <w:div w:id="1613125030">
      <w:bodyDiv w:val="1"/>
      <w:marLeft w:val="0"/>
      <w:marRight w:val="0"/>
      <w:marTop w:val="0"/>
      <w:marBottom w:val="0"/>
      <w:divBdr>
        <w:top w:val="none" w:sz="0" w:space="0" w:color="auto"/>
        <w:left w:val="none" w:sz="0" w:space="0" w:color="auto"/>
        <w:bottom w:val="none" w:sz="0" w:space="0" w:color="auto"/>
        <w:right w:val="none" w:sz="0" w:space="0" w:color="auto"/>
      </w:divBdr>
    </w:div>
    <w:div w:id="1613395342">
      <w:bodyDiv w:val="1"/>
      <w:marLeft w:val="0"/>
      <w:marRight w:val="0"/>
      <w:marTop w:val="0"/>
      <w:marBottom w:val="0"/>
      <w:divBdr>
        <w:top w:val="none" w:sz="0" w:space="0" w:color="auto"/>
        <w:left w:val="none" w:sz="0" w:space="0" w:color="auto"/>
        <w:bottom w:val="none" w:sz="0" w:space="0" w:color="auto"/>
        <w:right w:val="none" w:sz="0" w:space="0" w:color="auto"/>
      </w:divBdr>
    </w:div>
    <w:div w:id="1613514578">
      <w:bodyDiv w:val="1"/>
      <w:marLeft w:val="0"/>
      <w:marRight w:val="0"/>
      <w:marTop w:val="0"/>
      <w:marBottom w:val="0"/>
      <w:divBdr>
        <w:top w:val="none" w:sz="0" w:space="0" w:color="auto"/>
        <w:left w:val="none" w:sz="0" w:space="0" w:color="auto"/>
        <w:bottom w:val="none" w:sz="0" w:space="0" w:color="auto"/>
        <w:right w:val="none" w:sz="0" w:space="0" w:color="auto"/>
      </w:divBdr>
    </w:div>
    <w:div w:id="1614363851">
      <w:bodyDiv w:val="1"/>
      <w:marLeft w:val="0"/>
      <w:marRight w:val="0"/>
      <w:marTop w:val="0"/>
      <w:marBottom w:val="0"/>
      <w:divBdr>
        <w:top w:val="none" w:sz="0" w:space="0" w:color="auto"/>
        <w:left w:val="none" w:sz="0" w:space="0" w:color="auto"/>
        <w:bottom w:val="none" w:sz="0" w:space="0" w:color="auto"/>
        <w:right w:val="none" w:sz="0" w:space="0" w:color="auto"/>
      </w:divBdr>
    </w:div>
    <w:div w:id="1615477865">
      <w:bodyDiv w:val="1"/>
      <w:marLeft w:val="0"/>
      <w:marRight w:val="0"/>
      <w:marTop w:val="0"/>
      <w:marBottom w:val="0"/>
      <w:divBdr>
        <w:top w:val="none" w:sz="0" w:space="0" w:color="auto"/>
        <w:left w:val="none" w:sz="0" w:space="0" w:color="auto"/>
        <w:bottom w:val="none" w:sz="0" w:space="0" w:color="auto"/>
        <w:right w:val="none" w:sz="0" w:space="0" w:color="auto"/>
      </w:divBdr>
    </w:div>
    <w:div w:id="1615676918">
      <w:bodyDiv w:val="1"/>
      <w:marLeft w:val="0"/>
      <w:marRight w:val="0"/>
      <w:marTop w:val="0"/>
      <w:marBottom w:val="0"/>
      <w:divBdr>
        <w:top w:val="none" w:sz="0" w:space="0" w:color="auto"/>
        <w:left w:val="none" w:sz="0" w:space="0" w:color="auto"/>
        <w:bottom w:val="none" w:sz="0" w:space="0" w:color="auto"/>
        <w:right w:val="none" w:sz="0" w:space="0" w:color="auto"/>
      </w:divBdr>
    </w:div>
    <w:div w:id="1615792188">
      <w:bodyDiv w:val="1"/>
      <w:marLeft w:val="0"/>
      <w:marRight w:val="0"/>
      <w:marTop w:val="0"/>
      <w:marBottom w:val="0"/>
      <w:divBdr>
        <w:top w:val="none" w:sz="0" w:space="0" w:color="auto"/>
        <w:left w:val="none" w:sz="0" w:space="0" w:color="auto"/>
        <w:bottom w:val="none" w:sz="0" w:space="0" w:color="auto"/>
        <w:right w:val="none" w:sz="0" w:space="0" w:color="auto"/>
      </w:divBdr>
    </w:div>
    <w:div w:id="1616015450">
      <w:bodyDiv w:val="1"/>
      <w:marLeft w:val="0"/>
      <w:marRight w:val="0"/>
      <w:marTop w:val="0"/>
      <w:marBottom w:val="0"/>
      <w:divBdr>
        <w:top w:val="none" w:sz="0" w:space="0" w:color="auto"/>
        <w:left w:val="none" w:sz="0" w:space="0" w:color="auto"/>
        <w:bottom w:val="none" w:sz="0" w:space="0" w:color="auto"/>
        <w:right w:val="none" w:sz="0" w:space="0" w:color="auto"/>
      </w:divBdr>
    </w:div>
    <w:div w:id="1616130296">
      <w:bodyDiv w:val="1"/>
      <w:marLeft w:val="0"/>
      <w:marRight w:val="0"/>
      <w:marTop w:val="0"/>
      <w:marBottom w:val="0"/>
      <w:divBdr>
        <w:top w:val="none" w:sz="0" w:space="0" w:color="auto"/>
        <w:left w:val="none" w:sz="0" w:space="0" w:color="auto"/>
        <w:bottom w:val="none" w:sz="0" w:space="0" w:color="auto"/>
        <w:right w:val="none" w:sz="0" w:space="0" w:color="auto"/>
      </w:divBdr>
    </w:div>
    <w:div w:id="1616712169">
      <w:bodyDiv w:val="1"/>
      <w:marLeft w:val="0"/>
      <w:marRight w:val="0"/>
      <w:marTop w:val="0"/>
      <w:marBottom w:val="0"/>
      <w:divBdr>
        <w:top w:val="none" w:sz="0" w:space="0" w:color="auto"/>
        <w:left w:val="none" w:sz="0" w:space="0" w:color="auto"/>
        <w:bottom w:val="none" w:sz="0" w:space="0" w:color="auto"/>
        <w:right w:val="none" w:sz="0" w:space="0" w:color="auto"/>
      </w:divBdr>
    </w:div>
    <w:div w:id="1616788670">
      <w:bodyDiv w:val="1"/>
      <w:marLeft w:val="0"/>
      <w:marRight w:val="0"/>
      <w:marTop w:val="0"/>
      <w:marBottom w:val="0"/>
      <w:divBdr>
        <w:top w:val="none" w:sz="0" w:space="0" w:color="auto"/>
        <w:left w:val="none" w:sz="0" w:space="0" w:color="auto"/>
        <w:bottom w:val="none" w:sz="0" w:space="0" w:color="auto"/>
        <w:right w:val="none" w:sz="0" w:space="0" w:color="auto"/>
      </w:divBdr>
    </w:div>
    <w:div w:id="1617371371">
      <w:bodyDiv w:val="1"/>
      <w:marLeft w:val="0"/>
      <w:marRight w:val="0"/>
      <w:marTop w:val="0"/>
      <w:marBottom w:val="0"/>
      <w:divBdr>
        <w:top w:val="none" w:sz="0" w:space="0" w:color="auto"/>
        <w:left w:val="none" w:sz="0" w:space="0" w:color="auto"/>
        <w:bottom w:val="none" w:sz="0" w:space="0" w:color="auto"/>
        <w:right w:val="none" w:sz="0" w:space="0" w:color="auto"/>
      </w:divBdr>
    </w:div>
    <w:div w:id="1617829361">
      <w:bodyDiv w:val="1"/>
      <w:marLeft w:val="0"/>
      <w:marRight w:val="0"/>
      <w:marTop w:val="0"/>
      <w:marBottom w:val="0"/>
      <w:divBdr>
        <w:top w:val="none" w:sz="0" w:space="0" w:color="auto"/>
        <w:left w:val="none" w:sz="0" w:space="0" w:color="auto"/>
        <w:bottom w:val="none" w:sz="0" w:space="0" w:color="auto"/>
        <w:right w:val="none" w:sz="0" w:space="0" w:color="auto"/>
      </w:divBdr>
    </w:div>
    <w:div w:id="1617981078">
      <w:bodyDiv w:val="1"/>
      <w:marLeft w:val="0"/>
      <w:marRight w:val="0"/>
      <w:marTop w:val="0"/>
      <w:marBottom w:val="0"/>
      <w:divBdr>
        <w:top w:val="none" w:sz="0" w:space="0" w:color="auto"/>
        <w:left w:val="none" w:sz="0" w:space="0" w:color="auto"/>
        <w:bottom w:val="none" w:sz="0" w:space="0" w:color="auto"/>
        <w:right w:val="none" w:sz="0" w:space="0" w:color="auto"/>
      </w:divBdr>
    </w:div>
    <w:div w:id="1618680226">
      <w:bodyDiv w:val="1"/>
      <w:marLeft w:val="0"/>
      <w:marRight w:val="0"/>
      <w:marTop w:val="0"/>
      <w:marBottom w:val="0"/>
      <w:divBdr>
        <w:top w:val="none" w:sz="0" w:space="0" w:color="auto"/>
        <w:left w:val="none" w:sz="0" w:space="0" w:color="auto"/>
        <w:bottom w:val="none" w:sz="0" w:space="0" w:color="auto"/>
        <w:right w:val="none" w:sz="0" w:space="0" w:color="auto"/>
      </w:divBdr>
    </w:div>
    <w:div w:id="1619071051">
      <w:bodyDiv w:val="1"/>
      <w:marLeft w:val="0"/>
      <w:marRight w:val="0"/>
      <w:marTop w:val="0"/>
      <w:marBottom w:val="0"/>
      <w:divBdr>
        <w:top w:val="none" w:sz="0" w:space="0" w:color="auto"/>
        <w:left w:val="none" w:sz="0" w:space="0" w:color="auto"/>
        <w:bottom w:val="none" w:sz="0" w:space="0" w:color="auto"/>
        <w:right w:val="none" w:sz="0" w:space="0" w:color="auto"/>
      </w:divBdr>
    </w:div>
    <w:div w:id="1619142135">
      <w:bodyDiv w:val="1"/>
      <w:marLeft w:val="0"/>
      <w:marRight w:val="0"/>
      <w:marTop w:val="0"/>
      <w:marBottom w:val="0"/>
      <w:divBdr>
        <w:top w:val="none" w:sz="0" w:space="0" w:color="auto"/>
        <w:left w:val="none" w:sz="0" w:space="0" w:color="auto"/>
        <w:bottom w:val="none" w:sz="0" w:space="0" w:color="auto"/>
        <w:right w:val="none" w:sz="0" w:space="0" w:color="auto"/>
      </w:divBdr>
    </w:div>
    <w:div w:id="1619869991">
      <w:bodyDiv w:val="1"/>
      <w:marLeft w:val="0"/>
      <w:marRight w:val="0"/>
      <w:marTop w:val="0"/>
      <w:marBottom w:val="0"/>
      <w:divBdr>
        <w:top w:val="none" w:sz="0" w:space="0" w:color="auto"/>
        <w:left w:val="none" w:sz="0" w:space="0" w:color="auto"/>
        <w:bottom w:val="none" w:sz="0" w:space="0" w:color="auto"/>
        <w:right w:val="none" w:sz="0" w:space="0" w:color="auto"/>
      </w:divBdr>
    </w:div>
    <w:div w:id="1619871299">
      <w:bodyDiv w:val="1"/>
      <w:marLeft w:val="0"/>
      <w:marRight w:val="0"/>
      <w:marTop w:val="0"/>
      <w:marBottom w:val="0"/>
      <w:divBdr>
        <w:top w:val="none" w:sz="0" w:space="0" w:color="auto"/>
        <w:left w:val="none" w:sz="0" w:space="0" w:color="auto"/>
        <w:bottom w:val="none" w:sz="0" w:space="0" w:color="auto"/>
        <w:right w:val="none" w:sz="0" w:space="0" w:color="auto"/>
      </w:divBdr>
    </w:div>
    <w:div w:id="1619876083">
      <w:bodyDiv w:val="1"/>
      <w:marLeft w:val="0"/>
      <w:marRight w:val="0"/>
      <w:marTop w:val="0"/>
      <w:marBottom w:val="0"/>
      <w:divBdr>
        <w:top w:val="none" w:sz="0" w:space="0" w:color="auto"/>
        <w:left w:val="none" w:sz="0" w:space="0" w:color="auto"/>
        <w:bottom w:val="none" w:sz="0" w:space="0" w:color="auto"/>
        <w:right w:val="none" w:sz="0" w:space="0" w:color="auto"/>
      </w:divBdr>
    </w:div>
    <w:div w:id="1620601767">
      <w:bodyDiv w:val="1"/>
      <w:marLeft w:val="0"/>
      <w:marRight w:val="0"/>
      <w:marTop w:val="0"/>
      <w:marBottom w:val="0"/>
      <w:divBdr>
        <w:top w:val="none" w:sz="0" w:space="0" w:color="auto"/>
        <w:left w:val="none" w:sz="0" w:space="0" w:color="auto"/>
        <w:bottom w:val="none" w:sz="0" w:space="0" w:color="auto"/>
        <w:right w:val="none" w:sz="0" w:space="0" w:color="auto"/>
      </w:divBdr>
    </w:div>
    <w:div w:id="1620841717">
      <w:bodyDiv w:val="1"/>
      <w:marLeft w:val="0"/>
      <w:marRight w:val="0"/>
      <w:marTop w:val="0"/>
      <w:marBottom w:val="0"/>
      <w:divBdr>
        <w:top w:val="none" w:sz="0" w:space="0" w:color="auto"/>
        <w:left w:val="none" w:sz="0" w:space="0" w:color="auto"/>
        <w:bottom w:val="none" w:sz="0" w:space="0" w:color="auto"/>
        <w:right w:val="none" w:sz="0" w:space="0" w:color="auto"/>
      </w:divBdr>
    </w:div>
    <w:div w:id="1621037276">
      <w:bodyDiv w:val="1"/>
      <w:marLeft w:val="0"/>
      <w:marRight w:val="0"/>
      <w:marTop w:val="0"/>
      <w:marBottom w:val="0"/>
      <w:divBdr>
        <w:top w:val="none" w:sz="0" w:space="0" w:color="auto"/>
        <w:left w:val="none" w:sz="0" w:space="0" w:color="auto"/>
        <w:bottom w:val="none" w:sz="0" w:space="0" w:color="auto"/>
        <w:right w:val="none" w:sz="0" w:space="0" w:color="auto"/>
      </w:divBdr>
    </w:div>
    <w:div w:id="1621185651">
      <w:bodyDiv w:val="1"/>
      <w:marLeft w:val="0"/>
      <w:marRight w:val="0"/>
      <w:marTop w:val="0"/>
      <w:marBottom w:val="0"/>
      <w:divBdr>
        <w:top w:val="none" w:sz="0" w:space="0" w:color="auto"/>
        <w:left w:val="none" w:sz="0" w:space="0" w:color="auto"/>
        <w:bottom w:val="none" w:sz="0" w:space="0" w:color="auto"/>
        <w:right w:val="none" w:sz="0" w:space="0" w:color="auto"/>
      </w:divBdr>
    </w:div>
    <w:div w:id="1621566752">
      <w:bodyDiv w:val="1"/>
      <w:marLeft w:val="0"/>
      <w:marRight w:val="0"/>
      <w:marTop w:val="0"/>
      <w:marBottom w:val="0"/>
      <w:divBdr>
        <w:top w:val="none" w:sz="0" w:space="0" w:color="auto"/>
        <w:left w:val="none" w:sz="0" w:space="0" w:color="auto"/>
        <w:bottom w:val="none" w:sz="0" w:space="0" w:color="auto"/>
        <w:right w:val="none" w:sz="0" w:space="0" w:color="auto"/>
      </w:divBdr>
    </w:div>
    <w:div w:id="1621885901">
      <w:bodyDiv w:val="1"/>
      <w:marLeft w:val="0"/>
      <w:marRight w:val="0"/>
      <w:marTop w:val="0"/>
      <w:marBottom w:val="0"/>
      <w:divBdr>
        <w:top w:val="none" w:sz="0" w:space="0" w:color="auto"/>
        <w:left w:val="none" w:sz="0" w:space="0" w:color="auto"/>
        <w:bottom w:val="none" w:sz="0" w:space="0" w:color="auto"/>
        <w:right w:val="none" w:sz="0" w:space="0" w:color="auto"/>
      </w:divBdr>
    </w:div>
    <w:div w:id="1622178924">
      <w:bodyDiv w:val="1"/>
      <w:marLeft w:val="0"/>
      <w:marRight w:val="0"/>
      <w:marTop w:val="0"/>
      <w:marBottom w:val="0"/>
      <w:divBdr>
        <w:top w:val="none" w:sz="0" w:space="0" w:color="auto"/>
        <w:left w:val="none" w:sz="0" w:space="0" w:color="auto"/>
        <w:bottom w:val="none" w:sz="0" w:space="0" w:color="auto"/>
        <w:right w:val="none" w:sz="0" w:space="0" w:color="auto"/>
      </w:divBdr>
    </w:div>
    <w:div w:id="1622229498">
      <w:bodyDiv w:val="1"/>
      <w:marLeft w:val="0"/>
      <w:marRight w:val="0"/>
      <w:marTop w:val="0"/>
      <w:marBottom w:val="0"/>
      <w:divBdr>
        <w:top w:val="none" w:sz="0" w:space="0" w:color="auto"/>
        <w:left w:val="none" w:sz="0" w:space="0" w:color="auto"/>
        <w:bottom w:val="none" w:sz="0" w:space="0" w:color="auto"/>
        <w:right w:val="none" w:sz="0" w:space="0" w:color="auto"/>
      </w:divBdr>
    </w:div>
    <w:div w:id="1623875544">
      <w:bodyDiv w:val="1"/>
      <w:marLeft w:val="0"/>
      <w:marRight w:val="0"/>
      <w:marTop w:val="0"/>
      <w:marBottom w:val="0"/>
      <w:divBdr>
        <w:top w:val="none" w:sz="0" w:space="0" w:color="auto"/>
        <w:left w:val="none" w:sz="0" w:space="0" w:color="auto"/>
        <w:bottom w:val="none" w:sz="0" w:space="0" w:color="auto"/>
        <w:right w:val="none" w:sz="0" w:space="0" w:color="auto"/>
      </w:divBdr>
    </w:div>
    <w:div w:id="1623876056">
      <w:bodyDiv w:val="1"/>
      <w:marLeft w:val="0"/>
      <w:marRight w:val="0"/>
      <w:marTop w:val="0"/>
      <w:marBottom w:val="0"/>
      <w:divBdr>
        <w:top w:val="none" w:sz="0" w:space="0" w:color="auto"/>
        <w:left w:val="none" w:sz="0" w:space="0" w:color="auto"/>
        <w:bottom w:val="none" w:sz="0" w:space="0" w:color="auto"/>
        <w:right w:val="none" w:sz="0" w:space="0" w:color="auto"/>
      </w:divBdr>
    </w:div>
    <w:div w:id="1624454924">
      <w:bodyDiv w:val="1"/>
      <w:marLeft w:val="0"/>
      <w:marRight w:val="0"/>
      <w:marTop w:val="0"/>
      <w:marBottom w:val="0"/>
      <w:divBdr>
        <w:top w:val="none" w:sz="0" w:space="0" w:color="auto"/>
        <w:left w:val="none" w:sz="0" w:space="0" w:color="auto"/>
        <w:bottom w:val="none" w:sz="0" w:space="0" w:color="auto"/>
        <w:right w:val="none" w:sz="0" w:space="0" w:color="auto"/>
      </w:divBdr>
    </w:div>
    <w:div w:id="1624657261">
      <w:bodyDiv w:val="1"/>
      <w:marLeft w:val="0"/>
      <w:marRight w:val="0"/>
      <w:marTop w:val="0"/>
      <w:marBottom w:val="0"/>
      <w:divBdr>
        <w:top w:val="none" w:sz="0" w:space="0" w:color="auto"/>
        <w:left w:val="none" w:sz="0" w:space="0" w:color="auto"/>
        <w:bottom w:val="none" w:sz="0" w:space="0" w:color="auto"/>
        <w:right w:val="none" w:sz="0" w:space="0" w:color="auto"/>
      </w:divBdr>
    </w:div>
    <w:div w:id="1625430545">
      <w:bodyDiv w:val="1"/>
      <w:marLeft w:val="0"/>
      <w:marRight w:val="0"/>
      <w:marTop w:val="0"/>
      <w:marBottom w:val="0"/>
      <w:divBdr>
        <w:top w:val="none" w:sz="0" w:space="0" w:color="auto"/>
        <w:left w:val="none" w:sz="0" w:space="0" w:color="auto"/>
        <w:bottom w:val="none" w:sz="0" w:space="0" w:color="auto"/>
        <w:right w:val="none" w:sz="0" w:space="0" w:color="auto"/>
      </w:divBdr>
    </w:div>
    <w:div w:id="1626036847">
      <w:bodyDiv w:val="1"/>
      <w:marLeft w:val="0"/>
      <w:marRight w:val="0"/>
      <w:marTop w:val="0"/>
      <w:marBottom w:val="0"/>
      <w:divBdr>
        <w:top w:val="none" w:sz="0" w:space="0" w:color="auto"/>
        <w:left w:val="none" w:sz="0" w:space="0" w:color="auto"/>
        <w:bottom w:val="none" w:sz="0" w:space="0" w:color="auto"/>
        <w:right w:val="none" w:sz="0" w:space="0" w:color="auto"/>
      </w:divBdr>
    </w:div>
    <w:div w:id="1626079836">
      <w:bodyDiv w:val="1"/>
      <w:marLeft w:val="0"/>
      <w:marRight w:val="0"/>
      <w:marTop w:val="0"/>
      <w:marBottom w:val="0"/>
      <w:divBdr>
        <w:top w:val="none" w:sz="0" w:space="0" w:color="auto"/>
        <w:left w:val="none" w:sz="0" w:space="0" w:color="auto"/>
        <w:bottom w:val="none" w:sz="0" w:space="0" w:color="auto"/>
        <w:right w:val="none" w:sz="0" w:space="0" w:color="auto"/>
      </w:divBdr>
    </w:div>
    <w:div w:id="1626306730">
      <w:bodyDiv w:val="1"/>
      <w:marLeft w:val="0"/>
      <w:marRight w:val="0"/>
      <w:marTop w:val="0"/>
      <w:marBottom w:val="0"/>
      <w:divBdr>
        <w:top w:val="none" w:sz="0" w:space="0" w:color="auto"/>
        <w:left w:val="none" w:sz="0" w:space="0" w:color="auto"/>
        <w:bottom w:val="none" w:sz="0" w:space="0" w:color="auto"/>
        <w:right w:val="none" w:sz="0" w:space="0" w:color="auto"/>
      </w:divBdr>
    </w:div>
    <w:div w:id="1626814600">
      <w:bodyDiv w:val="1"/>
      <w:marLeft w:val="0"/>
      <w:marRight w:val="0"/>
      <w:marTop w:val="0"/>
      <w:marBottom w:val="0"/>
      <w:divBdr>
        <w:top w:val="none" w:sz="0" w:space="0" w:color="auto"/>
        <w:left w:val="none" w:sz="0" w:space="0" w:color="auto"/>
        <w:bottom w:val="none" w:sz="0" w:space="0" w:color="auto"/>
        <w:right w:val="none" w:sz="0" w:space="0" w:color="auto"/>
      </w:divBdr>
    </w:div>
    <w:div w:id="1627349938">
      <w:bodyDiv w:val="1"/>
      <w:marLeft w:val="0"/>
      <w:marRight w:val="0"/>
      <w:marTop w:val="0"/>
      <w:marBottom w:val="0"/>
      <w:divBdr>
        <w:top w:val="none" w:sz="0" w:space="0" w:color="auto"/>
        <w:left w:val="none" w:sz="0" w:space="0" w:color="auto"/>
        <w:bottom w:val="none" w:sz="0" w:space="0" w:color="auto"/>
        <w:right w:val="none" w:sz="0" w:space="0" w:color="auto"/>
      </w:divBdr>
    </w:div>
    <w:div w:id="1627617739">
      <w:bodyDiv w:val="1"/>
      <w:marLeft w:val="0"/>
      <w:marRight w:val="0"/>
      <w:marTop w:val="0"/>
      <w:marBottom w:val="0"/>
      <w:divBdr>
        <w:top w:val="none" w:sz="0" w:space="0" w:color="auto"/>
        <w:left w:val="none" w:sz="0" w:space="0" w:color="auto"/>
        <w:bottom w:val="none" w:sz="0" w:space="0" w:color="auto"/>
        <w:right w:val="none" w:sz="0" w:space="0" w:color="auto"/>
      </w:divBdr>
    </w:div>
    <w:div w:id="1628195035">
      <w:bodyDiv w:val="1"/>
      <w:marLeft w:val="0"/>
      <w:marRight w:val="0"/>
      <w:marTop w:val="0"/>
      <w:marBottom w:val="0"/>
      <w:divBdr>
        <w:top w:val="none" w:sz="0" w:space="0" w:color="auto"/>
        <w:left w:val="none" w:sz="0" w:space="0" w:color="auto"/>
        <w:bottom w:val="none" w:sz="0" w:space="0" w:color="auto"/>
        <w:right w:val="none" w:sz="0" w:space="0" w:color="auto"/>
      </w:divBdr>
    </w:div>
    <w:div w:id="1628200967">
      <w:bodyDiv w:val="1"/>
      <w:marLeft w:val="0"/>
      <w:marRight w:val="0"/>
      <w:marTop w:val="0"/>
      <w:marBottom w:val="0"/>
      <w:divBdr>
        <w:top w:val="none" w:sz="0" w:space="0" w:color="auto"/>
        <w:left w:val="none" w:sz="0" w:space="0" w:color="auto"/>
        <w:bottom w:val="none" w:sz="0" w:space="0" w:color="auto"/>
        <w:right w:val="none" w:sz="0" w:space="0" w:color="auto"/>
      </w:divBdr>
    </w:div>
    <w:div w:id="1628242801">
      <w:bodyDiv w:val="1"/>
      <w:marLeft w:val="0"/>
      <w:marRight w:val="0"/>
      <w:marTop w:val="0"/>
      <w:marBottom w:val="0"/>
      <w:divBdr>
        <w:top w:val="none" w:sz="0" w:space="0" w:color="auto"/>
        <w:left w:val="none" w:sz="0" w:space="0" w:color="auto"/>
        <w:bottom w:val="none" w:sz="0" w:space="0" w:color="auto"/>
        <w:right w:val="none" w:sz="0" w:space="0" w:color="auto"/>
      </w:divBdr>
    </w:div>
    <w:div w:id="1628928067">
      <w:bodyDiv w:val="1"/>
      <w:marLeft w:val="0"/>
      <w:marRight w:val="0"/>
      <w:marTop w:val="0"/>
      <w:marBottom w:val="0"/>
      <w:divBdr>
        <w:top w:val="none" w:sz="0" w:space="0" w:color="auto"/>
        <w:left w:val="none" w:sz="0" w:space="0" w:color="auto"/>
        <w:bottom w:val="none" w:sz="0" w:space="0" w:color="auto"/>
        <w:right w:val="none" w:sz="0" w:space="0" w:color="auto"/>
      </w:divBdr>
    </w:div>
    <w:div w:id="1629433537">
      <w:bodyDiv w:val="1"/>
      <w:marLeft w:val="0"/>
      <w:marRight w:val="0"/>
      <w:marTop w:val="0"/>
      <w:marBottom w:val="0"/>
      <w:divBdr>
        <w:top w:val="none" w:sz="0" w:space="0" w:color="auto"/>
        <w:left w:val="none" w:sz="0" w:space="0" w:color="auto"/>
        <w:bottom w:val="none" w:sz="0" w:space="0" w:color="auto"/>
        <w:right w:val="none" w:sz="0" w:space="0" w:color="auto"/>
      </w:divBdr>
    </w:div>
    <w:div w:id="1629698698">
      <w:bodyDiv w:val="1"/>
      <w:marLeft w:val="0"/>
      <w:marRight w:val="0"/>
      <w:marTop w:val="0"/>
      <w:marBottom w:val="0"/>
      <w:divBdr>
        <w:top w:val="none" w:sz="0" w:space="0" w:color="auto"/>
        <w:left w:val="none" w:sz="0" w:space="0" w:color="auto"/>
        <w:bottom w:val="none" w:sz="0" w:space="0" w:color="auto"/>
        <w:right w:val="none" w:sz="0" w:space="0" w:color="auto"/>
      </w:divBdr>
    </w:div>
    <w:div w:id="1629705103">
      <w:bodyDiv w:val="1"/>
      <w:marLeft w:val="0"/>
      <w:marRight w:val="0"/>
      <w:marTop w:val="0"/>
      <w:marBottom w:val="0"/>
      <w:divBdr>
        <w:top w:val="none" w:sz="0" w:space="0" w:color="auto"/>
        <w:left w:val="none" w:sz="0" w:space="0" w:color="auto"/>
        <w:bottom w:val="none" w:sz="0" w:space="0" w:color="auto"/>
        <w:right w:val="none" w:sz="0" w:space="0" w:color="auto"/>
      </w:divBdr>
    </w:div>
    <w:div w:id="1629970470">
      <w:bodyDiv w:val="1"/>
      <w:marLeft w:val="0"/>
      <w:marRight w:val="0"/>
      <w:marTop w:val="0"/>
      <w:marBottom w:val="0"/>
      <w:divBdr>
        <w:top w:val="none" w:sz="0" w:space="0" w:color="auto"/>
        <w:left w:val="none" w:sz="0" w:space="0" w:color="auto"/>
        <w:bottom w:val="none" w:sz="0" w:space="0" w:color="auto"/>
        <w:right w:val="none" w:sz="0" w:space="0" w:color="auto"/>
      </w:divBdr>
    </w:div>
    <w:div w:id="1630090242">
      <w:bodyDiv w:val="1"/>
      <w:marLeft w:val="0"/>
      <w:marRight w:val="0"/>
      <w:marTop w:val="0"/>
      <w:marBottom w:val="0"/>
      <w:divBdr>
        <w:top w:val="none" w:sz="0" w:space="0" w:color="auto"/>
        <w:left w:val="none" w:sz="0" w:space="0" w:color="auto"/>
        <w:bottom w:val="none" w:sz="0" w:space="0" w:color="auto"/>
        <w:right w:val="none" w:sz="0" w:space="0" w:color="auto"/>
      </w:divBdr>
    </w:div>
    <w:div w:id="1631010704">
      <w:bodyDiv w:val="1"/>
      <w:marLeft w:val="0"/>
      <w:marRight w:val="0"/>
      <w:marTop w:val="0"/>
      <w:marBottom w:val="0"/>
      <w:divBdr>
        <w:top w:val="none" w:sz="0" w:space="0" w:color="auto"/>
        <w:left w:val="none" w:sz="0" w:space="0" w:color="auto"/>
        <w:bottom w:val="none" w:sz="0" w:space="0" w:color="auto"/>
        <w:right w:val="none" w:sz="0" w:space="0" w:color="auto"/>
      </w:divBdr>
    </w:div>
    <w:div w:id="1631353518">
      <w:bodyDiv w:val="1"/>
      <w:marLeft w:val="0"/>
      <w:marRight w:val="0"/>
      <w:marTop w:val="0"/>
      <w:marBottom w:val="0"/>
      <w:divBdr>
        <w:top w:val="none" w:sz="0" w:space="0" w:color="auto"/>
        <w:left w:val="none" w:sz="0" w:space="0" w:color="auto"/>
        <w:bottom w:val="none" w:sz="0" w:space="0" w:color="auto"/>
        <w:right w:val="none" w:sz="0" w:space="0" w:color="auto"/>
      </w:divBdr>
    </w:div>
    <w:div w:id="1631743143">
      <w:bodyDiv w:val="1"/>
      <w:marLeft w:val="0"/>
      <w:marRight w:val="0"/>
      <w:marTop w:val="0"/>
      <w:marBottom w:val="0"/>
      <w:divBdr>
        <w:top w:val="none" w:sz="0" w:space="0" w:color="auto"/>
        <w:left w:val="none" w:sz="0" w:space="0" w:color="auto"/>
        <w:bottom w:val="none" w:sz="0" w:space="0" w:color="auto"/>
        <w:right w:val="none" w:sz="0" w:space="0" w:color="auto"/>
      </w:divBdr>
    </w:div>
    <w:div w:id="1632782146">
      <w:bodyDiv w:val="1"/>
      <w:marLeft w:val="0"/>
      <w:marRight w:val="0"/>
      <w:marTop w:val="0"/>
      <w:marBottom w:val="0"/>
      <w:divBdr>
        <w:top w:val="none" w:sz="0" w:space="0" w:color="auto"/>
        <w:left w:val="none" w:sz="0" w:space="0" w:color="auto"/>
        <w:bottom w:val="none" w:sz="0" w:space="0" w:color="auto"/>
        <w:right w:val="none" w:sz="0" w:space="0" w:color="auto"/>
      </w:divBdr>
    </w:div>
    <w:div w:id="1632898330">
      <w:bodyDiv w:val="1"/>
      <w:marLeft w:val="0"/>
      <w:marRight w:val="0"/>
      <w:marTop w:val="0"/>
      <w:marBottom w:val="0"/>
      <w:divBdr>
        <w:top w:val="none" w:sz="0" w:space="0" w:color="auto"/>
        <w:left w:val="none" w:sz="0" w:space="0" w:color="auto"/>
        <w:bottom w:val="none" w:sz="0" w:space="0" w:color="auto"/>
        <w:right w:val="none" w:sz="0" w:space="0" w:color="auto"/>
      </w:divBdr>
    </w:div>
    <w:div w:id="1633098963">
      <w:bodyDiv w:val="1"/>
      <w:marLeft w:val="0"/>
      <w:marRight w:val="0"/>
      <w:marTop w:val="0"/>
      <w:marBottom w:val="0"/>
      <w:divBdr>
        <w:top w:val="none" w:sz="0" w:space="0" w:color="auto"/>
        <w:left w:val="none" w:sz="0" w:space="0" w:color="auto"/>
        <w:bottom w:val="none" w:sz="0" w:space="0" w:color="auto"/>
        <w:right w:val="none" w:sz="0" w:space="0" w:color="auto"/>
      </w:divBdr>
    </w:div>
    <w:div w:id="1633486770">
      <w:bodyDiv w:val="1"/>
      <w:marLeft w:val="0"/>
      <w:marRight w:val="0"/>
      <w:marTop w:val="0"/>
      <w:marBottom w:val="0"/>
      <w:divBdr>
        <w:top w:val="none" w:sz="0" w:space="0" w:color="auto"/>
        <w:left w:val="none" w:sz="0" w:space="0" w:color="auto"/>
        <w:bottom w:val="none" w:sz="0" w:space="0" w:color="auto"/>
        <w:right w:val="none" w:sz="0" w:space="0" w:color="auto"/>
      </w:divBdr>
    </w:div>
    <w:div w:id="1634170150">
      <w:bodyDiv w:val="1"/>
      <w:marLeft w:val="0"/>
      <w:marRight w:val="0"/>
      <w:marTop w:val="0"/>
      <w:marBottom w:val="0"/>
      <w:divBdr>
        <w:top w:val="none" w:sz="0" w:space="0" w:color="auto"/>
        <w:left w:val="none" w:sz="0" w:space="0" w:color="auto"/>
        <w:bottom w:val="none" w:sz="0" w:space="0" w:color="auto"/>
        <w:right w:val="none" w:sz="0" w:space="0" w:color="auto"/>
      </w:divBdr>
    </w:div>
    <w:div w:id="1634407978">
      <w:bodyDiv w:val="1"/>
      <w:marLeft w:val="0"/>
      <w:marRight w:val="0"/>
      <w:marTop w:val="0"/>
      <w:marBottom w:val="0"/>
      <w:divBdr>
        <w:top w:val="none" w:sz="0" w:space="0" w:color="auto"/>
        <w:left w:val="none" w:sz="0" w:space="0" w:color="auto"/>
        <w:bottom w:val="none" w:sz="0" w:space="0" w:color="auto"/>
        <w:right w:val="none" w:sz="0" w:space="0" w:color="auto"/>
      </w:divBdr>
    </w:div>
    <w:div w:id="1635058692">
      <w:bodyDiv w:val="1"/>
      <w:marLeft w:val="0"/>
      <w:marRight w:val="0"/>
      <w:marTop w:val="0"/>
      <w:marBottom w:val="0"/>
      <w:divBdr>
        <w:top w:val="none" w:sz="0" w:space="0" w:color="auto"/>
        <w:left w:val="none" w:sz="0" w:space="0" w:color="auto"/>
        <w:bottom w:val="none" w:sz="0" w:space="0" w:color="auto"/>
        <w:right w:val="none" w:sz="0" w:space="0" w:color="auto"/>
      </w:divBdr>
    </w:div>
    <w:div w:id="1635713648">
      <w:bodyDiv w:val="1"/>
      <w:marLeft w:val="0"/>
      <w:marRight w:val="0"/>
      <w:marTop w:val="0"/>
      <w:marBottom w:val="0"/>
      <w:divBdr>
        <w:top w:val="none" w:sz="0" w:space="0" w:color="auto"/>
        <w:left w:val="none" w:sz="0" w:space="0" w:color="auto"/>
        <w:bottom w:val="none" w:sz="0" w:space="0" w:color="auto"/>
        <w:right w:val="none" w:sz="0" w:space="0" w:color="auto"/>
      </w:divBdr>
    </w:div>
    <w:div w:id="1636368659">
      <w:bodyDiv w:val="1"/>
      <w:marLeft w:val="0"/>
      <w:marRight w:val="0"/>
      <w:marTop w:val="0"/>
      <w:marBottom w:val="0"/>
      <w:divBdr>
        <w:top w:val="none" w:sz="0" w:space="0" w:color="auto"/>
        <w:left w:val="none" w:sz="0" w:space="0" w:color="auto"/>
        <w:bottom w:val="none" w:sz="0" w:space="0" w:color="auto"/>
        <w:right w:val="none" w:sz="0" w:space="0" w:color="auto"/>
      </w:divBdr>
    </w:div>
    <w:div w:id="1636370218">
      <w:bodyDiv w:val="1"/>
      <w:marLeft w:val="0"/>
      <w:marRight w:val="0"/>
      <w:marTop w:val="0"/>
      <w:marBottom w:val="0"/>
      <w:divBdr>
        <w:top w:val="none" w:sz="0" w:space="0" w:color="auto"/>
        <w:left w:val="none" w:sz="0" w:space="0" w:color="auto"/>
        <w:bottom w:val="none" w:sz="0" w:space="0" w:color="auto"/>
        <w:right w:val="none" w:sz="0" w:space="0" w:color="auto"/>
      </w:divBdr>
    </w:div>
    <w:div w:id="1636831815">
      <w:bodyDiv w:val="1"/>
      <w:marLeft w:val="0"/>
      <w:marRight w:val="0"/>
      <w:marTop w:val="0"/>
      <w:marBottom w:val="0"/>
      <w:divBdr>
        <w:top w:val="none" w:sz="0" w:space="0" w:color="auto"/>
        <w:left w:val="none" w:sz="0" w:space="0" w:color="auto"/>
        <w:bottom w:val="none" w:sz="0" w:space="0" w:color="auto"/>
        <w:right w:val="none" w:sz="0" w:space="0" w:color="auto"/>
      </w:divBdr>
    </w:div>
    <w:div w:id="1637024736">
      <w:bodyDiv w:val="1"/>
      <w:marLeft w:val="0"/>
      <w:marRight w:val="0"/>
      <w:marTop w:val="0"/>
      <w:marBottom w:val="0"/>
      <w:divBdr>
        <w:top w:val="none" w:sz="0" w:space="0" w:color="auto"/>
        <w:left w:val="none" w:sz="0" w:space="0" w:color="auto"/>
        <w:bottom w:val="none" w:sz="0" w:space="0" w:color="auto"/>
        <w:right w:val="none" w:sz="0" w:space="0" w:color="auto"/>
      </w:divBdr>
    </w:div>
    <w:div w:id="1637449051">
      <w:bodyDiv w:val="1"/>
      <w:marLeft w:val="0"/>
      <w:marRight w:val="0"/>
      <w:marTop w:val="0"/>
      <w:marBottom w:val="0"/>
      <w:divBdr>
        <w:top w:val="none" w:sz="0" w:space="0" w:color="auto"/>
        <w:left w:val="none" w:sz="0" w:space="0" w:color="auto"/>
        <w:bottom w:val="none" w:sz="0" w:space="0" w:color="auto"/>
        <w:right w:val="none" w:sz="0" w:space="0" w:color="auto"/>
      </w:divBdr>
    </w:div>
    <w:div w:id="1638030103">
      <w:bodyDiv w:val="1"/>
      <w:marLeft w:val="0"/>
      <w:marRight w:val="0"/>
      <w:marTop w:val="0"/>
      <w:marBottom w:val="0"/>
      <w:divBdr>
        <w:top w:val="none" w:sz="0" w:space="0" w:color="auto"/>
        <w:left w:val="none" w:sz="0" w:space="0" w:color="auto"/>
        <w:bottom w:val="none" w:sz="0" w:space="0" w:color="auto"/>
        <w:right w:val="none" w:sz="0" w:space="0" w:color="auto"/>
      </w:divBdr>
    </w:div>
    <w:div w:id="1638602516">
      <w:bodyDiv w:val="1"/>
      <w:marLeft w:val="0"/>
      <w:marRight w:val="0"/>
      <w:marTop w:val="0"/>
      <w:marBottom w:val="0"/>
      <w:divBdr>
        <w:top w:val="none" w:sz="0" w:space="0" w:color="auto"/>
        <w:left w:val="none" w:sz="0" w:space="0" w:color="auto"/>
        <w:bottom w:val="none" w:sz="0" w:space="0" w:color="auto"/>
        <w:right w:val="none" w:sz="0" w:space="0" w:color="auto"/>
      </w:divBdr>
    </w:div>
    <w:div w:id="1638602900">
      <w:bodyDiv w:val="1"/>
      <w:marLeft w:val="0"/>
      <w:marRight w:val="0"/>
      <w:marTop w:val="0"/>
      <w:marBottom w:val="0"/>
      <w:divBdr>
        <w:top w:val="none" w:sz="0" w:space="0" w:color="auto"/>
        <w:left w:val="none" w:sz="0" w:space="0" w:color="auto"/>
        <w:bottom w:val="none" w:sz="0" w:space="0" w:color="auto"/>
        <w:right w:val="none" w:sz="0" w:space="0" w:color="auto"/>
      </w:divBdr>
    </w:div>
    <w:div w:id="1638685986">
      <w:bodyDiv w:val="1"/>
      <w:marLeft w:val="0"/>
      <w:marRight w:val="0"/>
      <w:marTop w:val="0"/>
      <w:marBottom w:val="0"/>
      <w:divBdr>
        <w:top w:val="none" w:sz="0" w:space="0" w:color="auto"/>
        <w:left w:val="none" w:sz="0" w:space="0" w:color="auto"/>
        <w:bottom w:val="none" w:sz="0" w:space="0" w:color="auto"/>
        <w:right w:val="none" w:sz="0" w:space="0" w:color="auto"/>
      </w:divBdr>
    </w:div>
    <w:div w:id="1638799773">
      <w:bodyDiv w:val="1"/>
      <w:marLeft w:val="0"/>
      <w:marRight w:val="0"/>
      <w:marTop w:val="0"/>
      <w:marBottom w:val="0"/>
      <w:divBdr>
        <w:top w:val="none" w:sz="0" w:space="0" w:color="auto"/>
        <w:left w:val="none" w:sz="0" w:space="0" w:color="auto"/>
        <w:bottom w:val="none" w:sz="0" w:space="0" w:color="auto"/>
        <w:right w:val="none" w:sz="0" w:space="0" w:color="auto"/>
      </w:divBdr>
    </w:div>
    <w:div w:id="1638946896">
      <w:bodyDiv w:val="1"/>
      <w:marLeft w:val="0"/>
      <w:marRight w:val="0"/>
      <w:marTop w:val="0"/>
      <w:marBottom w:val="0"/>
      <w:divBdr>
        <w:top w:val="none" w:sz="0" w:space="0" w:color="auto"/>
        <w:left w:val="none" w:sz="0" w:space="0" w:color="auto"/>
        <w:bottom w:val="none" w:sz="0" w:space="0" w:color="auto"/>
        <w:right w:val="none" w:sz="0" w:space="0" w:color="auto"/>
      </w:divBdr>
    </w:div>
    <w:div w:id="1638990732">
      <w:bodyDiv w:val="1"/>
      <w:marLeft w:val="0"/>
      <w:marRight w:val="0"/>
      <w:marTop w:val="0"/>
      <w:marBottom w:val="0"/>
      <w:divBdr>
        <w:top w:val="none" w:sz="0" w:space="0" w:color="auto"/>
        <w:left w:val="none" w:sz="0" w:space="0" w:color="auto"/>
        <w:bottom w:val="none" w:sz="0" w:space="0" w:color="auto"/>
        <w:right w:val="none" w:sz="0" w:space="0" w:color="auto"/>
      </w:divBdr>
    </w:div>
    <w:div w:id="1639606795">
      <w:bodyDiv w:val="1"/>
      <w:marLeft w:val="0"/>
      <w:marRight w:val="0"/>
      <w:marTop w:val="0"/>
      <w:marBottom w:val="0"/>
      <w:divBdr>
        <w:top w:val="none" w:sz="0" w:space="0" w:color="auto"/>
        <w:left w:val="none" w:sz="0" w:space="0" w:color="auto"/>
        <w:bottom w:val="none" w:sz="0" w:space="0" w:color="auto"/>
        <w:right w:val="none" w:sz="0" w:space="0" w:color="auto"/>
      </w:divBdr>
    </w:div>
    <w:div w:id="1640184538">
      <w:bodyDiv w:val="1"/>
      <w:marLeft w:val="0"/>
      <w:marRight w:val="0"/>
      <w:marTop w:val="0"/>
      <w:marBottom w:val="0"/>
      <w:divBdr>
        <w:top w:val="none" w:sz="0" w:space="0" w:color="auto"/>
        <w:left w:val="none" w:sz="0" w:space="0" w:color="auto"/>
        <w:bottom w:val="none" w:sz="0" w:space="0" w:color="auto"/>
        <w:right w:val="none" w:sz="0" w:space="0" w:color="auto"/>
      </w:divBdr>
    </w:div>
    <w:div w:id="1640573947">
      <w:bodyDiv w:val="1"/>
      <w:marLeft w:val="0"/>
      <w:marRight w:val="0"/>
      <w:marTop w:val="0"/>
      <w:marBottom w:val="0"/>
      <w:divBdr>
        <w:top w:val="none" w:sz="0" w:space="0" w:color="auto"/>
        <w:left w:val="none" w:sz="0" w:space="0" w:color="auto"/>
        <w:bottom w:val="none" w:sz="0" w:space="0" w:color="auto"/>
        <w:right w:val="none" w:sz="0" w:space="0" w:color="auto"/>
      </w:divBdr>
    </w:div>
    <w:div w:id="1641229525">
      <w:bodyDiv w:val="1"/>
      <w:marLeft w:val="0"/>
      <w:marRight w:val="0"/>
      <w:marTop w:val="0"/>
      <w:marBottom w:val="0"/>
      <w:divBdr>
        <w:top w:val="none" w:sz="0" w:space="0" w:color="auto"/>
        <w:left w:val="none" w:sz="0" w:space="0" w:color="auto"/>
        <w:bottom w:val="none" w:sz="0" w:space="0" w:color="auto"/>
        <w:right w:val="none" w:sz="0" w:space="0" w:color="auto"/>
      </w:divBdr>
    </w:div>
    <w:div w:id="1641232465">
      <w:bodyDiv w:val="1"/>
      <w:marLeft w:val="0"/>
      <w:marRight w:val="0"/>
      <w:marTop w:val="0"/>
      <w:marBottom w:val="0"/>
      <w:divBdr>
        <w:top w:val="none" w:sz="0" w:space="0" w:color="auto"/>
        <w:left w:val="none" w:sz="0" w:space="0" w:color="auto"/>
        <w:bottom w:val="none" w:sz="0" w:space="0" w:color="auto"/>
        <w:right w:val="none" w:sz="0" w:space="0" w:color="auto"/>
      </w:divBdr>
    </w:div>
    <w:div w:id="1642029250">
      <w:bodyDiv w:val="1"/>
      <w:marLeft w:val="0"/>
      <w:marRight w:val="0"/>
      <w:marTop w:val="0"/>
      <w:marBottom w:val="0"/>
      <w:divBdr>
        <w:top w:val="none" w:sz="0" w:space="0" w:color="auto"/>
        <w:left w:val="none" w:sz="0" w:space="0" w:color="auto"/>
        <w:bottom w:val="none" w:sz="0" w:space="0" w:color="auto"/>
        <w:right w:val="none" w:sz="0" w:space="0" w:color="auto"/>
      </w:divBdr>
    </w:div>
    <w:div w:id="1642030357">
      <w:bodyDiv w:val="1"/>
      <w:marLeft w:val="0"/>
      <w:marRight w:val="0"/>
      <w:marTop w:val="0"/>
      <w:marBottom w:val="0"/>
      <w:divBdr>
        <w:top w:val="none" w:sz="0" w:space="0" w:color="auto"/>
        <w:left w:val="none" w:sz="0" w:space="0" w:color="auto"/>
        <w:bottom w:val="none" w:sz="0" w:space="0" w:color="auto"/>
        <w:right w:val="none" w:sz="0" w:space="0" w:color="auto"/>
      </w:divBdr>
    </w:div>
    <w:div w:id="1642227652">
      <w:bodyDiv w:val="1"/>
      <w:marLeft w:val="0"/>
      <w:marRight w:val="0"/>
      <w:marTop w:val="0"/>
      <w:marBottom w:val="0"/>
      <w:divBdr>
        <w:top w:val="none" w:sz="0" w:space="0" w:color="auto"/>
        <w:left w:val="none" w:sz="0" w:space="0" w:color="auto"/>
        <w:bottom w:val="none" w:sz="0" w:space="0" w:color="auto"/>
        <w:right w:val="none" w:sz="0" w:space="0" w:color="auto"/>
      </w:divBdr>
    </w:div>
    <w:div w:id="1642419307">
      <w:bodyDiv w:val="1"/>
      <w:marLeft w:val="0"/>
      <w:marRight w:val="0"/>
      <w:marTop w:val="0"/>
      <w:marBottom w:val="0"/>
      <w:divBdr>
        <w:top w:val="none" w:sz="0" w:space="0" w:color="auto"/>
        <w:left w:val="none" w:sz="0" w:space="0" w:color="auto"/>
        <w:bottom w:val="none" w:sz="0" w:space="0" w:color="auto"/>
        <w:right w:val="none" w:sz="0" w:space="0" w:color="auto"/>
      </w:divBdr>
    </w:div>
    <w:div w:id="1642539645">
      <w:bodyDiv w:val="1"/>
      <w:marLeft w:val="0"/>
      <w:marRight w:val="0"/>
      <w:marTop w:val="0"/>
      <w:marBottom w:val="0"/>
      <w:divBdr>
        <w:top w:val="none" w:sz="0" w:space="0" w:color="auto"/>
        <w:left w:val="none" w:sz="0" w:space="0" w:color="auto"/>
        <w:bottom w:val="none" w:sz="0" w:space="0" w:color="auto"/>
        <w:right w:val="none" w:sz="0" w:space="0" w:color="auto"/>
      </w:divBdr>
    </w:div>
    <w:div w:id="1643266058">
      <w:bodyDiv w:val="1"/>
      <w:marLeft w:val="0"/>
      <w:marRight w:val="0"/>
      <w:marTop w:val="0"/>
      <w:marBottom w:val="0"/>
      <w:divBdr>
        <w:top w:val="none" w:sz="0" w:space="0" w:color="auto"/>
        <w:left w:val="none" w:sz="0" w:space="0" w:color="auto"/>
        <w:bottom w:val="none" w:sz="0" w:space="0" w:color="auto"/>
        <w:right w:val="none" w:sz="0" w:space="0" w:color="auto"/>
      </w:divBdr>
    </w:div>
    <w:div w:id="1643391613">
      <w:bodyDiv w:val="1"/>
      <w:marLeft w:val="0"/>
      <w:marRight w:val="0"/>
      <w:marTop w:val="0"/>
      <w:marBottom w:val="0"/>
      <w:divBdr>
        <w:top w:val="none" w:sz="0" w:space="0" w:color="auto"/>
        <w:left w:val="none" w:sz="0" w:space="0" w:color="auto"/>
        <w:bottom w:val="none" w:sz="0" w:space="0" w:color="auto"/>
        <w:right w:val="none" w:sz="0" w:space="0" w:color="auto"/>
      </w:divBdr>
    </w:div>
    <w:div w:id="1643777962">
      <w:bodyDiv w:val="1"/>
      <w:marLeft w:val="0"/>
      <w:marRight w:val="0"/>
      <w:marTop w:val="0"/>
      <w:marBottom w:val="0"/>
      <w:divBdr>
        <w:top w:val="none" w:sz="0" w:space="0" w:color="auto"/>
        <w:left w:val="none" w:sz="0" w:space="0" w:color="auto"/>
        <w:bottom w:val="none" w:sz="0" w:space="0" w:color="auto"/>
        <w:right w:val="none" w:sz="0" w:space="0" w:color="auto"/>
      </w:divBdr>
    </w:div>
    <w:div w:id="1644038781">
      <w:bodyDiv w:val="1"/>
      <w:marLeft w:val="0"/>
      <w:marRight w:val="0"/>
      <w:marTop w:val="0"/>
      <w:marBottom w:val="0"/>
      <w:divBdr>
        <w:top w:val="none" w:sz="0" w:space="0" w:color="auto"/>
        <w:left w:val="none" w:sz="0" w:space="0" w:color="auto"/>
        <w:bottom w:val="none" w:sz="0" w:space="0" w:color="auto"/>
        <w:right w:val="none" w:sz="0" w:space="0" w:color="auto"/>
      </w:divBdr>
    </w:div>
    <w:div w:id="1644040703">
      <w:bodyDiv w:val="1"/>
      <w:marLeft w:val="0"/>
      <w:marRight w:val="0"/>
      <w:marTop w:val="0"/>
      <w:marBottom w:val="0"/>
      <w:divBdr>
        <w:top w:val="none" w:sz="0" w:space="0" w:color="auto"/>
        <w:left w:val="none" w:sz="0" w:space="0" w:color="auto"/>
        <w:bottom w:val="none" w:sz="0" w:space="0" w:color="auto"/>
        <w:right w:val="none" w:sz="0" w:space="0" w:color="auto"/>
      </w:divBdr>
    </w:div>
    <w:div w:id="1644118210">
      <w:bodyDiv w:val="1"/>
      <w:marLeft w:val="0"/>
      <w:marRight w:val="0"/>
      <w:marTop w:val="0"/>
      <w:marBottom w:val="0"/>
      <w:divBdr>
        <w:top w:val="none" w:sz="0" w:space="0" w:color="auto"/>
        <w:left w:val="none" w:sz="0" w:space="0" w:color="auto"/>
        <w:bottom w:val="none" w:sz="0" w:space="0" w:color="auto"/>
        <w:right w:val="none" w:sz="0" w:space="0" w:color="auto"/>
      </w:divBdr>
    </w:div>
    <w:div w:id="1644238403">
      <w:bodyDiv w:val="1"/>
      <w:marLeft w:val="0"/>
      <w:marRight w:val="0"/>
      <w:marTop w:val="0"/>
      <w:marBottom w:val="0"/>
      <w:divBdr>
        <w:top w:val="none" w:sz="0" w:space="0" w:color="auto"/>
        <w:left w:val="none" w:sz="0" w:space="0" w:color="auto"/>
        <w:bottom w:val="none" w:sz="0" w:space="0" w:color="auto"/>
        <w:right w:val="none" w:sz="0" w:space="0" w:color="auto"/>
      </w:divBdr>
    </w:div>
    <w:div w:id="1644239934">
      <w:bodyDiv w:val="1"/>
      <w:marLeft w:val="0"/>
      <w:marRight w:val="0"/>
      <w:marTop w:val="0"/>
      <w:marBottom w:val="0"/>
      <w:divBdr>
        <w:top w:val="none" w:sz="0" w:space="0" w:color="auto"/>
        <w:left w:val="none" w:sz="0" w:space="0" w:color="auto"/>
        <w:bottom w:val="none" w:sz="0" w:space="0" w:color="auto"/>
        <w:right w:val="none" w:sz="0" w:space="0" w:color="auto"/>
      </w:divBdr>
    </w:div>
    <w:div w:id="1644774671">
      <w:bodyDiv w:val="1"/>
      <w:marLeft w:val="0"/>
      <w:marRight w:val="0"/>
      <w:marTop w:val="0"/>
      <w:marBottom w:val="0"/>
      <w:divBdr>
        <w:top w:val="none" w:sz="0" w:space="0" w:color="auto"/>
        <w:left w:val="none" w:sz="0" w:space="0" w:color="auto"/>
        <w:bottom w:val="none" w:sz="0" w:space="0" w:color="auto"/>
        <w:right w:val="none" w:sz="0" w:space="0" w:color="auto"/>
      </w:divBdr>
    </w:div>
    <w:div w:id="1644774737">
      <w:bodyDiv w:val="1"/>
      <w:marLeft w:val="0"/>
      <w:marRight w:val="0"/>
      <w:marTop w:val="0"/>
      <w:marBottom w:val="0"/>
      <w:divBdr>
        <w:top w:val="none" w:sz="0" w:space="0" w:color="auto"/>
        <w:left w:val="none" w:sz="0" w:space="0" w:color="auto"/>
        <w:bottom w:val="none" w:sz="0" w:space="0" w:color="auto"/>
        <w:right w:val="none" w:sz="0" w:space="0" w:color="auto"/>
      </w:divBdr>
    </w:div>
    <w:div w:id="1645937488">
      <w:bodyDiv w:val="1"/>
      <w:marLeft w:val="0"/>
      <w:marRight w:val="0"/>
      <w:marTop w:val="0"/>
      <w:marBottom w:val="0"/>
      <w:divBdr>
        <w:top w:val="none" w:sz="0" w:space="0" w:color="auto"/>
        <w:left w:val="none" w:sz="0" w:space="0" w:color="auto"/>
        <w:bottom w:val="none" w:sz="0" w:space="0" w:color="auto"/>
        <w:right w:val="none" w:sz="0" w:space="0" w:color="auto"/>
      </w:divBdr>
    </w:div>
    <w:div w:id="1647201784">
      <w:bodyDiv w:val="1"/>
      <w:marLeft w:val="0"/>
      <w:marRight w:val="0"/>
      <w:marTop w:val="0"/>
      <w:marBottom w:val="0"/>
      <w:divBdr>
        <w:top w:val="none" w:sz="0" w:space="0" w:color="auto"/>
        <w:left w:val="none" w:sz="0" w:space="0" w:color="auto"/>
        <w:bottom w:val="none" w:sz="0" w:space="0" w:color="auto"/>
        <w:right w:val="none" w:sz="0" w:space="0" w:color="auto"/>
      </w:divBdr>
    </w:div>
    <w:div w:id="1647932350">
      <w:bodyDiv w:val="1"/>
      <w:marLeft w:val="0"/>
      <w:marRight w:val="0"/>
      <w:marTop w:val="0"/>
      <w:marBottom w:val="0"/>
      <w:divBdr>
        <w:top w:val="none" w:sz="0" w:space="0" w:color="auto"/>
        <w:left w:val="none" w:sz="0" w:space="0" w:color="auto"/>
        <w:bottom w:val="none" w:sz="0" w:space="0" w:color="auto"/>
        <w:right w:val="none" w:sz="0" w:space="0" w:color="auto"/>
      </w:divBdr>
    </w:div>
    <w:div w:id="1648044724">
      <w:bodyDiv w:val="1"/>
      <w:marLeft w:val="0"/>
      <w:marRight w:val="0"/>
      <w:marTop w:val="0"/>
      <w:marBottom w:val="0"/>
      <w:divBdr>
        <w:top w:val="none" w:sz="0" w:space="0" w:color="auto"/>
        <w:left w:val="none" w:sz="0" w:space="0" w:color="auto"/>
        <w:bottom w:val="none" w:sz="0" w:space="0" w:color="auto"/>
        <w:right w:val="none" w:sz="0" w:space="0" w:color="auto"/>
      </w:divBdr>
    </w:div>
    <w:div w:id="1648123874">
      <w:bodyDiv w:val="1"/>
      <w:marLeft w:val="0"/>
      <w:marRight w:val="0"/>
      <w:marTop w:val="0"/>
      <w:marBottom w:val="0"/>
      <w:divBdr>
        <w:top w:val="none" w:sz="0" w:space="0" w:color="auto"/>
        <w:left w:val="none" w:sz="0" w:space="0" w:color="auto"/>
        <w:bottom w:val="none" w:sz="0" w:space="0" w:color="auto"/>
        <w:right w:val="none" w:sz="0" w:space="0" w:color="auto"/>
      </w:divBdr>
    </w:div>
    <w:div w:id="1648244545">
      <w:bodyDiv w:val="1"/>
      <w:marLeft w:val="0"/>
      <w:marRight w:val="0"/>
      <w:marTop w:val="0"/>
      <w:marBottom w:val="0"/>
      <w:divBdr>
        <w:top w:val="none" w:sz="0" w:space="0" w:color="auto"/>
        <w:left w:val="none" w:sz="0" w:space="0" w:color="auto"/>
        <w:bottom w:val="none" w:sz="0" w:space="0" w:color="auto"/>
        <w:right w:val="none" w:sz="0" w:space="0" w:color="auto"/>
      </w:divBdr>
    </w:div>
    <w:div w:id="1648708025">
      <w:bodyDiv w:val="1"/>
      <w:marLeft w:val="0"/>
      <w:marRight w:val="0"/>
      <w:marTop w:val="0"/>
      <w:marBottom w:val="0"/>
      <w:divBdr>
        <w:top w:val="none" w:sz="0" w:space="0" w:color="auto"/>
        <w:left w:val="none" w:sz="0" w:space="0" w:color="auto"/>
        <w:bottom w:val="none" w:sz="0" w:space="0" w:color="auto"/>
        <w:right w:val="none" w:sz="0" w:space="0" w:color="auto"/>
      </w:divBdr>
    </w:div>
    <w:div w:id="1648822809">
      <w:bodyDiv w:val="1"/>
      <w:marLeft w:val="0"/>
      <w:marRight w:val="0"/>
      <w:marTop w:val="0"/>
      <w:marBottom w:val="0"/>
      <w:divBdr>
        <w:top w:val="none" w:sz="0" w:space="0" w:color="auto"/>
        <w:left w:val="none" w:sz="0" w:space="0" w:color="auto"/>
        <w:bottom w:val="none" w:sz="0" w:space="0" w:color="auto"/>
        <w:right w:val="none" w:sz="0" w:space="0" w:color="auto"/>
      </w:divBdr>
    </w:div>
    <w:div w:id="1649480230">
      <w:bodyDiv w:val="1"/>
      <w:marLeft w:val="0"/>
      <w:marRight w:val="0"/>
      <w:marTop w:val="0"/>
      <w:marBottom w:val="0"/>
      <w:divBdr>
        <w:top w:val="none" w:sz="0" w:space="0" w:color="auto"/>
        <w:left w:val="none" w:sz="0" w:space="0" w:color="auto"/>
        <w:bottom w:val="none" w:sz="0" w:space="0" w:color="auto"/>
        <w:right w:val="none" w:sz="0" w:space="0" w:color="auto"/>
      </w:divBdr>
    </w:div>
    <w:div w:id="1649823724">
      <w:bodyDiv w:val="1"/>
      <w:marLeft w:val="0"/>
      <w:marRight w:val="0"/>
      <w:marTop w:val="0"/>
      <w:marBottom w:val="0"/>
      <w:divBdr>
        <w:top w:val="none" w:sz="0" w:space="0" w:color="auto"/>
        <w:left w:val="none" w:sz="0" w:space="0" w:color="auto"/>
        <w:bottom w:val="none" w:sz="0" w:space="0" w:color="auto"/>
        <w:right w:val="none" w:sz="0" w:space="0" w:color="auto"/>
      </w:divBdr>
    </w:div>
    <w:div w:id="1649894900">
      <w:bodyDiv w:val="1"/>
      <w:marLeft w:val="0"/>
      <w:marRight w:val="0"/>
      <w:marTop w:val="0"/>
      <w:marBottom w:val="0"/>
      <w:divBdr>
        <w:top w:val="none" w:sz="0" w:space="0" w:color="auto"/>
        <w:left w:val="none" w:sz="0" w:space="0" w:color="auto"/>
        <w:bottom w:val="none" w:sz="0" w:space="0" w:color="auto"/>
        <w:right w:val="none" w:sz="0" w:space="0" w:color="auto"/>
      </w:divBdr>
    </w:div>
    <w:div w:id="1650672642">
      <w:bodyDiv w:val="1"/>
      <w:marLeft w:val="0"/>
      <w:marRight w:val="0"/>
      <w:marTop w:val="0"/>
      <w:marBottom w:val="0"/>
      <w:divBdr>
        <w:top w:val="none" w:sz="0" w:space="0" w:color="auto"/>
        <w:left w:val="none" w:sz="0" w:space="0" w:color="auto"/>
        <w:bottom w:val="none" w:sz="0" w:space="0" w:color="auto"/>
        <w:right w:val="none" w:sz="0" w:space="0" w:color="auto"/>
      </w:divBdr>
    </w:div>
    <w:div w:id="1651249626">
      <w:bodyDiv w:val="1"/>
      <w:marLeft w:val="0"/>
      <w:marRight w:val="0"/>
      <w:marTop w:val="0"/>
      <w:marBottom w:val="0"/>
      <w:divBdr>
        <w:top w:val="none" w:sz="0" w:space="0" w:color="auto"/>
        <w:left w:val="none" w:sz="0" w:space="0" w:color="auto"/>
        <w:bottom w:val="none" w:sz="0" w:space="0" w:color="auto"/>
        <w:right w:val="none" w:sz="0" w:space="0" w:color="auto"/>
      </w:divBdr>
    </w:div>
    <w:div w:id="1651598461">
      <w:bodyDiv w:val="1"/>
      <w:marLeft w:val="0"/>
      <w:marRight w:val="0"/>
      <w:marTop w:val="0"/>
      <w:marBottom w:val="0"/>
      <w:divBdr>
        <w:top w:val="none" w:sz="0" w:space="0" w:color="auto"/>
        <w:left w:val="none" w:sz="0" w:space="0" w:color="auto"/>
        <w:bottom w:val="none" w:sz="0" w:space="0" w:color="auto"/>
        <w:right w:val="none" w:sz="0" w:space="0" w:color="auto"/>
      </w:divBdr>
    </w:div>
    <w:div w:id="1651792491">
      <w:bodyDiv w:val="1"/>
      <w:marLeft w:val="0"/>
      <w:marRight w:val="0"/>
      <w:marTop w:val="0"/>
      <w:marBottom w:val="0"/>
      <w:divBdr>
        <w:top w:val="none" w:sz="0" w:space="0" w:color="auto"/>
        <w:left w:val="none" w:sz="0" w:space="0" w:color="auto"/>
        <w:bottom w:val="none" w:sz="0" w:space="0" w:color="auto"/>
        <w:right w:val="none" w:sz="0" w:space="0" w:color="auto"/>
      </w:divBdr>
    </w:div>
    <w:div w:id="1651858649">
      <w:bodyDiv w:val="1"/>
      <w:marLeft w:val="0"/>
      <w:marRight w:val="0"/>
      <w:marTop w:val="0"/>
      <w:marBottom w:val="0"/>
      <w:divBdr>
        <w:top w:val="none" w:sz="0" w:space="0" w:color="auto"/>
        <w:left w:val="none" w:sz="0" w:space="0" w:color="auto"/>
        <w:bottom w:val="none" w:sz="0" w:space="0" w:color="auto"/>
        <w:right w:val="none" w:sz="0" w:space="0" w:color="auto"/>
      </w:divBdr>
    </w:div>
    <w:div w:id="1651984311">
      <w:bodyDiv w:val="1"/>
      <w:marLeft w:val="0"/>
      <w:marRight w:val="0"/>
      <w:marTop w:val="0"/>
      <w:marBottom w:val="0"/>
      <w:divBdr>
        <w:top w:val="none" w:sz="0" w:space="0" w:color="auto"/>
        <w:left w:val="none" w:sz="0" w:space="0" w:color="auto"/>
        <w:bottom w:val="none" w:sz="0" w:space="0" w:color="auto"/>
        <w:right w:val="none" w:sz="0" w:space="0" w:color="auto"/>
      </w:divBdr>
    </w:div>
    <w:div w:id="1652294515">
      <w:bodyDiv w:val="1"/>
      <w:marLeft w:val="0"/>
      <w:marRight w:val="0"/>
      <w:marTop w:val="0"/>
      <w:marBottom w:val="0"/>
      <w:divBdr>
        <w:top w:val="none" w:sz="0" w:space="0" w:color="auto"/>
        <w:left w:val="none" w:sz="0" w:space="0" w:color="auto"/>
        <w:bottom w:val="none" w:sz="0" w:space="0" w:color="auto"/>
        <w:right w:val="none" w:sz="0" w:space="0" w:color="auto"/>
      </w:divBdr>
    </w:div>
    <w:div w:id="1652369453">
      <w:bodyDiv w:val="1"/>
      <w:marLeft w:val="0"/>
      <w:marRight w:val="0"/>
      <w:marTop w:val="0"/>
      <w:marBottom w:val="0"/>
      <w:divBdr>
        <w:top w:val="none" w:sz="0" w:space="0" w:color="auto"/>
        <w:left w:val="none" w:sz="0" w:space="0" w:color="auto"/>
        <w:bottom w:val="none" w:sz="0" w:space="0" w:color="auto"/>
        <w:right w:val="none" w:sz="0" w:space="0" w:color="auto"/>
      </w:divBdr>
    </w:div>
    <w:div w:id="1652519514">
      <w:bodyDiv w:val="1"/>
      <w:marLeft w:val="0"/>
      <w:marRight w:val="0"/>
      <w:marTop w:val="0"/>
      <w:marBottom w:val="0"/>
      <w:divBdr>
        <w:top w:val="none" w:sz="0" w:space="0" w:color="auto"/>
        <w:left w:val="none" w:sz="0" w:space="0" w:color="auto"/>
        <w:bottom w:val="none" w:sz="0" w:space="0" w:color="auto"/>
        <w:right w:val="none" w:sz="0" w:space="0" w:color="auto"/>
      </w:divBdr>
    </w:div>
    <w:div w:id="1652712120">
      <w:bodyDiv w:val="1"/>
      <w:marLeft w:val="0"/>
      <w:marRight w:val="0"/>
      <w:marTop w:val="0"/>
      <w:marBottom w:val="0"/>
      <w:divBdr>
        <w:top w:val="none" w:sz="0" w:space="0" w:color="auto"/>
        <w:left w:val="none" w:sz="0" w:space="0" w:color="auto"/>
        <w:bottom w:val="none" w:sz="0" w:space="0" w:color="auto"/>
        <w:right w:val="none" w:sz="0" w:space="0" w:color="auto"/>
      </w:divBdr>
    </w:div>
    <w:div w:id="1654606555">
      <w:bodyDiv w:val="1"/>
      <w:marLeft w:val="0"/>
      <w:marRight w:val="0"/>
      <w:marTop w:val="0"/>
      <w:marBottom w:val="0"/>
      <w:divBdr>
        <w:top w:val="none" w:sz="0" w:space="0" w:color="auto"/>
        <w:left w:val="none" w:sz="0" w:space="0" w:color="auto"/>
        <w:bottom w:val="none" w:sz="0" w:space="0" w:color="auto"/>
        <w:right w:val="none" w:sz="0" w:space="0" w:color="auto"/>
      </w:divBdr>
    </w:div>
    <w:div w:id="1655063830">
      <w:bodyDiv w:val="1"/>
      <w:marLeft w:val="0"/>
      <w:marRight w:val="0"/>
      <w:marTop w:val="0"/>
      <w:marBottom w:val="0"/>
      <w:divBdr>
        <w:top w:val="none" w:sz="0" w:space="0" w:color="auto"/>
        <w:left w:val="none" w:sz="0" w:space="0" w:color="auto"/>
        <w:bottom w:val="none" w:sz="0" w:space="0" w:color="auto"/>
        <w:right w:val="none" w:sz="0" w:space="0" w:color="auto"/>
      </w:divBdr>
    </w:div>
    <w:div w:id="1655403529">
      <w:bodyDiv w:val="1"/>
      <w:marLeft w:val="0"/>
      <w:marRight w:val="0"/>
      <w:marTop w:val="0"/>
      <w:marBottom w:val="0"/>
      <w:divBdr>
        <w:top w:val="none" w:sz="0" w:space="0" w:color="auto"/>
        <w:left w:val="none" w:sz="0" w:space="0" w:color="auto"/>
        <w:bottom w:val="none" w:sz="0" w:space="0" w:color="auto"/>
        <w:right w:val="none" w:sz="0" w:space="0" w:color="auto"/>
      </w:divBdr>
    </w:div>
    <w:div w:id="1655908660">
      <w:bodyDiv w:val="1"/>
      <w:marLeft w:val="0"/>
      <w:marRight w:val="0"/>
      <w:marTop w:val="0"/>
      <w:marBottom w:val="0"/>
      <w:divBdr>
        <w:top w:val="none" w:sz="0" w:space="0" w:color="auto"/>
        <w:left w:val="none" w:sz="0" w:space="0" w:color="auto"/>
        <w:bottom w:val="none" w:sz="0" w:space="0" w:color="auto"/>
        <w:right w:val="none" w:sz="0" w:space="0" w:color="auto"/>
      </w:divBdr>
    </w:div>
    <w:div w:id="1656106199">
      <w:bodyDiv w:val="1"/>
      <w:marLeft w:val="0"/>
      <w:marRight w:val="0"/>
      <w:marTop w:val="0"/>
      <w:marBottom w:val="0"/>
      <w:divBdr>
        <w:top w:val="none" w:sz="0" w:space="0" w:color="auto"/>
        <w:left w:val="none" w:sz="0" w:space="0" w:color="auto"/>
        <w:bottom w:val="none" w:sz="0" w:space="0" w:color="auto"/>
        <w:right w:val="none" w:sz="0" w:space="0" w:color="auto"/>
      </w:divBdr>
    </w:div>
    <w:div w:id="1657147695">
      <w:bodyDiv w:val="1"/>
      <w:marLeft w:val="0"/>
      <w:marRight w:val="0"/>
      <w:marTop w:val="0"/>
      <w:marBottom w:val="0"/>
      <w:divBdr>
        <w:top w:val="none" w:sz="0" w:space="0" w:color="auto"/>
        <w:left w:val="none" w:sz="0" w:space="0" w:color="auto"/>
        <w:bottom w:val="none" w:sz="0" w:space="0" w:color="auto"/>
        <w:right w:val="none" w:sz="0" w:space="0" w:color="auto"/>
      </w:divBdr>
    </w:div>
    <w:div w:id="1657412391">
      <w:bodyDiv w:val="1"/>
      <w:marLeft w:val="0"/>
      <w:marRight w:val="0"/>
      <w:marTop w:val="0"/>
      <w:marBottom w:val="0"/>
      <w:divBdr>
        <w:top w:val="none" w:sz="0" w:space="0" w:color="auto"/>
        <w:left w:val="none" w:sz="0" w:space="0" w:color="auto"/>
        <w:bottom w:val="none" w:sz="0" w:space="0" w:color="auto"/>
        <w:right w:val="none" w:sz="0" w:space="0" w:color="auto"/>
      </w:divBdr>
    </w:div>
    <w:div w:id="1657876288">
      <w:bodyDiv w:val="1"/>
      <w:marLeft w:val="0"/>
      <w:marRight w:val="0"/>
      <w:marTop w:val="0"/>
      <w:marBottom w:val="0"/>
      <w:divBdr>
        <w:top w:val="none" w:sz="0" w:space="0" w:color="auto"/>
        <w:left w:val="none" w:sz="0" w:space="0" w:color="auto"/>
        <w:bottom w:val="none" w:sz="0" w:space="0" w:color="auto"/>
        <w:right w:val="none" w:sz="0" w:space="0" w:color="auto"/>
      </w:divBdr>
    </w:div>
    <w:div w:id="1658151994">
      <w:bodyDiv w:val="1"/>
      <w:marLeft w:val="0"/>
      <w:marRight w:val="0"/>
      <w:marTop w:val="0"/>
      <w:marBottom w:val="0"/>
      <w:divBdr>
        <w:top w:val="none" w:sz="0" w:space="0" w:color="auto"/>
        <w:left w:val="none" w:sz="0" w:space="0" w:color="auto"/>
        <w:bottom w:val="none" w:sz="0" w:space="0" w:color="auto"/>
        <w:right w:val="none" w:sz="0" w:space="0" w:color="auto"/>
      </w:divBdr>
    </w:div>
    <w:div w:id="1658338617">
      <w:bodyDiv w:val="1"/>
      <w:marLeft w:val="0"/>
      <w:marRight w:val="0"/>
      <w:marTop w:val="0"/>
      <w:marBottom w:val="0"/>
      <w:divBdr>
        <w:top w:val="none" w:sz="0" w:space="0" w:color="auto"/>
        <w:left w:val="none" w:sz="0" w:space="0" w:color="auto"/>
        <w:bottom w:val="none" w:sz="0" w:space="0" w:color="auto"/>
        <w:right w:val="none" w:sz="0" w:space="0" w:color="auto"/>
      </w:divBdr>
    </w:div>
    <w:div w:id="1658535521">
      <w:bodyDiv w:val="1"/>
      <w:marLeft w:val="0"/>
      <w:marRight w:val="0"/>
      <w:marTop w:val="0"/>
      <w:marBottom w:val="0"/>
      <w:divBdr>
        <w:top w:val="none" w:sz="0" w:space="0" w:color="auto"/>
        <w:left w:val="none" w:sz="0" w:space="0" w:color="auto"/>
        <w:bottom w:val="none" w:sz="0" w:space="0" w:color="auto"/>
        <w:right w:val="none" w:sz="0" w:space="0" w:color="auto"/>
      </w:divBdr>
    </w:div>
    <w:div w:id="1658536057">
      <w:bodyDiv w:val="1"/>
      <w:marLeft w:val="0"/>
      <w:marRight w:val="0"/>
      <w:marTop w:val="0"/>
      <w:marBottom w:val="0"/>
      <w:divBdr>
        <w:top w:val="none" w:sz="0" w:space="0" w:color="auto"/>
        <w:left w:val="none" w:sz="0" w:space="0" w:color="auto"/>
        <w:bottom w:val="none" w:sz="0" w:space="0" w:color="auto"/>
        <w:right w:val="none" w:sz="0" w:space="0" w:color="auto"/>
      </w:divBdr>
    </w:div>
    <w:div w:id="1658800751">
      <w:bodyDiv w:val="1"/>
      <w:marLeft w:val="0"/>
      <w:marRight w:val="0"/>
      <w:marTop w:val="0"/>
      <w:marBottom w:val="0"/>
      <w:divBdr>
        <w:top w:val="none" w:sz="0" w:space="0" w:color="auto"/>
        <w:left w:val="none" w:sz="0" w:space="0" w:color="auto"/>
        <w:bottom w:val="none" w:sz="0" w:space="0" w:color="auto"/>
        <w:right w:val="none" w:sz="0" w:space="0" w:color="auto"/>
      </w:divBdr>
    </w:div>
    <w:div w:id="1658806358">
      <w:bodyDiv w:val="1"/>
      <w:marLeft w:val="0"/>
      <w:marRight w:val="0"/>
      <w:marTop w:val="0"/>
      <w:marBottom w:val="0"/>
      <w:divBdr>
        <w:top w:val="none" w:sz="0" w:space="0" w:color="auto"/>
        <w:left w:val="none" w:sz="0" w:space="0" w:color="auto"/>
        <w:bottom w:val="none" w:sz="0" w:space="0" w:color="auto"/>
        <w:right w:val="none" w:sz="0" w:space="0" w:color="auto"/>
      </w:divBdr>
    </w:div>
    <w:div w:id="1660115222">
      <w:bodyDiv w:val="1"/>
      <w:marLeft w:val="0"/>
      <w:marRight w:val="0"/>
      <w:marTop w:val="0"/>
      <w:marBottom w:val="0"/>
      <w:divBdr>
        <w:top w:val="none" w:sz="0" w:space="0" w:color="auto"/>
        <w:left w:val="none" w:sz="0" w:space="0" w:color="auto"/>
        <w:bottom w:val="none" w:sz="0" w:space="0" w:color="auto"/>
        <w:right w:val="none" w:sz="0" w:space="0" w:color="auto"/>
      </w:divBdr>
    </w:div>
    <w:div w:id="1661469401">
      <w:bodyDiv w:val="1"/>
      <w:marLeft w:val="0"/>
      <w:marRight w:val="0"/>
      <w:marTop w:val="0"/>
      <w:marBottom w:val="0"/>
      <w:divBdr>
        <w:top w:val="none" w:sz="0" w:space="0" w:color="auto"/>
        <w:left w:val="none" w:sz="0" w:space="0" w:color="auto"/>
        <w:bottom w:val="none" w:sz="0" w:space="0" w:color="auto"/>
        <w:right w:val="none" w:sz="0" w:space="0" w:color="auto"/>
      </w:divBdr>
    </w:div>
    <w:div w:id="1661737046">
      <w:bodyDiv w:val="1"/>
      <w:marLeft w:val="0"/>
      <w:marRight w:val="0"/>
      <w:marTop w:val="0"/>
      <w:marBottom w:val="0"/>
      <w:divBdr>
        <w:top w:val="none" w:sz="0" w:space="0" w:color="auto"/>
        <w:left w:val="none" w:sz="0" w:space="0" w:color="auto"/>
        <w:bottom w:val="none" w:sz="0" w:space="0" w:color="auto"/>
        <w:right w:val="none" w:sz="0" w:space="0" w:color="auto"/>
      </w:divBdr>
    </w:div>
    <w:div w:id="1661931816">
      <w:bodyDiv w:val="1"/>
      <w:marLeft w:val="0"/>
      <w:marRight w:val="0"/>
      <w:marTop w:val="0"/>
      <w:marBottom w:val="0"/>
      <w:divBdr>
        <w:top w:val="none" w:sz="0" w:space="0" w:color="auto"/>
        <w:left w:val="none" w:sz="0" w:space="0" w:color="auto"/>
        <w:bottom w:val="none" w:sz="0" w:space="0" w:color="auto"/>
        <w:right w:val="none" w:sz="0" w:space="0" w:color="auto"/>
      </w:divBdr>
    </w:div>
    <w:div w:id="1662194209">
      <w:bodyDiv w:val="1"/>
      <w:marLeft w:val="0"/>
      <w:marRight w:val="0"/>
      <w:marTop w:val="0"/>
      <w:marBottom w:val="0"/>
      <w:divBdr>
        <w:top w:val="none" w:sz="0" w:space="0" w:color="auto"/>
        <w:left w:val="none" w:sz="0" w:space="0" w:color="auto"/>
        <w:bottom w:val="none" w:sz="0" w:space="0" w:color="auto"/>
        <w:right w:val="none" w:sz="0" w:space="0" w:color="auto"/>
      </w:divBdr>
    </w:div>
    <w:div w:id="1662196110">
      <w:bodyDiv w:val="1"/>
      <w:marLeft w:val="0"/>
      <w:marRight w:val="0"/>
      <w:marTop w:val="0"/>
      <w:marBottom w:val="0"/>
      <w:divBdr>
        <w:top w:val="none" w:sz="0" w:space="0" w:color="auto"/>
        <w:left w:val="none" w:sz="0" w:space="0" w:color="auto"/>
        <w:bottom w:val="none" w:sz="0" w:space="0" w:color="auto"/>
        <w:right w:val="none" w:sz="0" w:space="0" w:color="auto"/>
      </w:divBdr>
    </w:div>
    <w:div w:id="1663506780">
      <w:bodyDiv w:val="1"/>
      <w:marLeft w:val="0"/>
      <w:marRight w:val="0"/>
      <w:marTop w:val="0"/>
      <w:marBottom w:val="0"/>
      <w:divBdr>
        <w:top w:val="none" w:sz="0" w:space="0" w:color="auto"/>
        <w:left w:val="none" w:sz="0" w:space="0" w:color="auto"/>
        <w:bottom w:val="none" w:sz="0" w:space="0" w:color="auto"/>
        <w:right w:val="none" w:sz="0" w:space="0" w:color="auto"/>
      </w:divBdr>
    </w:div>
    <w:div w:id="1663893550">
      <w:bodyDiv w:val="1"/>
      <w:marLeft w:val="0"/>
      <w:marRight w:val="0"/>
      <w:marTop w:val="0"/>
      <w:marBottom w:val="0"/>
      <w:divBdr>
        <w:top w:val="none" w:sz="0" w:space="0" w:color="auto"/>
        <w:left w:val="none" w:sz="0" w:space="0" w:color="auto"/>
        <w:bottom w:val="none" w:sz="0" w:space="0" w:color="auto"/>
        <w:right w:val="none" w:sz="0" w:space="0" w:color="auto"/>
      </w:divBdr>
    </w:div>
    <w:div w:id="1664117975">
      <w:bodyDiv w:val="1"/>
      <w:marLeft w:val="0"/>
      <w:marRight w:val="0"/>
      <w:marTop w:val="0"/>
      <w:marBottom w:val="0"/>
      <w:divBdr>
        <w:top w:val="none" w:sz="0" w:space="0" w:color="auto"/>
        <w:left w:val="none" w:sz="0" w:space="0" w:color="auto"/>
        <w:bottom w:val="none" w:sz="0" w:space="0" w:color="auto"/>
        <w:right w:val="none" w:sz="0" w:space="0" w:color="auto"/>
      </w:divBdr>
    </w:div>
    <w:div w:id="1664122571">
      <w:bodyDiv w:val="1"/>
      <w:marLeft w:val="0"/>
      <w:marRight w:val="0"/>
      <w:marTop w:val="0"/>
      <w:marBottom w:val="0"/>
      <w:divBdr>
        <w:top w:val="none" w:sz="0" w:space="0" w:color="auto"/>
        <w:left w:val="none" w:sz="0" w:space="0" w:color="auto"/>
        <w:bottom w:val="none" w:sz="0" w:space="0" w:color="auto"/>
        <w:right w:val="none" w:sz="0" w:space="0" w:color="auto"/>
      </w:divBdr>
    </w:div>
    <w:div w:id="1664355705">
      <w:bodyDiv w:val="1"/>
      <w:marLeft w:val="0"/>
      <w:marRight w:val="0"/>
      <w:marTop w:val="0"/>
      <w:marBottom w:val="0"/>
      <w:divBdr>
        <w:top w:val="none" w:sz="0" w:space="0" w:color="auto"/>
        <w:left w:val="none" w:sz="0" w:space="0" w:color="auto"/>
        <w:bottom w:val="none" w:sz="0" w:space="0" w:color="auto"/>
        <w:right w:val="none" w:sz="0" w:space="0" w:color="auto"/>
      </w:divBdr>
    </w:div>
    <w:div w:id="1664505113">
      <w:bodyDiv w:val="1"/>
      <w:marLeft w:val="0"/>
      <w:marRight w:val="0"/>
      <w:marTop w:val="0"/>
      <w:marBottom w:val="0"/>
      <w:divBdr>
        <w:top w:val="none" w:sz="0" w:space="0" w:color="auto"/>
        <w:left w:val="none" w:sz="0" w:space="0" w:color="auto"/>
        <w:bottom w:val="none" w:sz="0" w:space="0" w:color="auto"/>
        <w:right w:val="none" w:sz="0" w:space="0" w:color="auto"/>
      </w:divBdr>
    </w:div>
    <w:div w:id="1664628724">
      <w:bodyDiv w:val="1"/>
      <w:marLeft w:val="0"/>
      <w:marRight w:val="0"/>
      <w:marTop w:val="0"/>
      <w:marBottom w:val="0"/>
      <w:divBdr>
        <w:top w:val="none" w:sz="0" w:space="0" w:color="auto"/>
        <w:left w:val="none" w:sz="0" w:space="0" w:color="auto"/>
        <w:bottom w:val="none" w:sz="0" w:space="0" w:color="auto"/>
        <w:right w:val="none" w:sz="0" w:space="0" w:color="auto"/>
      </w:divBdr>
    </w:div>
    <w:div w:id="1664890471">
      <w:bodyDiv w:val="1"/>
      <w:marLeft w:val="0"/>
      <w:marRight w:val="0"/>
      <w:marTop w:val="0"/>
      <w:marBottom w:val="0"/>
      <w:divBdr>
        <w:top w:val="none" w:sz="0" w:space="0" w:color="auto"/>
        <w:left w:val="none" w:sz="0" w:space="0" w:color="auto"/>
        <w:bottom w:val="none" w:sz="0" w:space="0" w:color="auto"/>
        <w:right w:val="none" w:sz="0" w:space="0" w:color="auto"/>
      </w:divBdr>
    </w:div>
    <w:div w:id="1665623364">
      <w:bodyDiv w:val="1"/>
      <w:marLeft w:val="0"/>
      <w:marRight w:val="0"/>
      <w:marTop w:val="0"/>
      <w:marBottom w:val="0"/>
      <w:divBdr>
        <w:top w:val="none" w:sz="0" w:space="0" w:color="auto"/>
        <w:left w:val="none" w:sz="0" w:space="0" w:color="auto"/>
        <w:bottom w:val="none" w:sz="0" w:space="0" w:color="auto"/>
        <w:right w:val="none" w:sz="0" w:space="0" w:color="auto"/>
      </w:divBdr>
    </w:div>
    <w:div w:id="1665694957">
      <w:bodyDiv w:val="1"/>
      <w:marLeft w:val="0"/>
      <w:marRight w:val="0"/>
      <w:marTop w:val="0"/>
      <w:marBottom w:val="0"/>
      <w:divBdr>
        <w:top w:val="none" w:sz="0" w:space="0" w:color="auto"/>
        <w:left w:val="none" w:sz="0" w:space="0" w:color="auto"/>
        <w:bottom w:val="none" w:sz="0" w:space="0" w:color="auto"/>
        <w:right w:val="none" w:sz="0" w:space="0" w:color="auto"/>
      </w:divBdr>
    </w:div>
    <w:div w:id="1666322263">
      <w:bodyDiv w:val="1"/>
      <w:marLeft w:val="0"/>
      <w:marRight w:val="0"/>
      <w:marTop w:val="0"/>
      <w:marBottom w:val="0"/>
      <w:divBdr>
        <w:top w:val="none" w:sz="0" w:space="0" w:color="auto"/>
        <w:left w:val="none" w:sz="0" w:space="0" w:color="auto"/>
        <w:bottom w:val="none" w:sz="0" w:space="0" w:color="auto"/>
        <w:right w:val="none" w:sz="0" w:space="0" w:color="auto"/>
      </w:divBdr>
    </w:div>
    <w:div w:id="1667247698">
      <w:bodyDiv w:val="1"/>
      <w:marLeft w:val="0"/>
      <w:marRight w:val="0"/>
      <w:marTop w:val="0"/>
      <w:marBottom w:val="0"/>
      <w:divBdr>
        <w:top w:val="none" w:sz="0" w:space="0" w:color="auto"/>
        <w:left w:val="none" w:sz="0" w:space="0" w:color="auto"/>
        <w:bottom w:val="none" w:sz="0" w:space="0" w:color="auto"/>
        <w:right w:val="none" w:sz="0" w:space="0" w:color="auto"/>
      </w:divBdr>
    </w:div>
    <w:div w:id="1667436308">
      <w:bodyDiv w:val="1"/>
      <w:marLeft w:val="0"/>
      <w:marRight w:val="0"/>
      <w:marTop w:val="0"/>
      <w:marBottom w:val="0"/>
      <w:divBdr>
        <w:top w:val="none" w:sz="0" w:space="0" w:color="auto"/>
        <w:left w:val="none" w:sz="0" w:space="0" w:color="auto"/>
        <w:bottom w:val="none" w:sz="0" w:space="0" w:color="auto"/>
        <w:right w:val="none" w:sz="0" w:space="0" w:color="auto"/>
      </w:divBdr>
    </w:div>
    <w:div w:id="1667826843">
      <w:bodyDiv w:val="1"/>
      <w:marLeft w:val="0"/>
      <w:marRight w:val="0"/>
      <w:marTop w:val="0"/>
      <w:marBottom w:val="0"/>
      <w:divBdr>
        <w:top w:val="none" w:sz="0" w:space="0" w:color="auto"/>
        <w:left w:val="none" w:sz="0" w:space="0" w:color="auto"/>
        <w:bottom w:val="none" w:sz="0" w:space="0" w:color="auto"/>
        <w:right w:val="none" w:sz="0" w:space="0" w:color="auto"/>
      </w:divBdr>
    </w:div>
    <w:div w:id="1667980851">
      <w:bodyDiv w:val="1"/>
      <w:marLeft w:val="0"/>
      <w:marRight w:val="0"/>
      <w:marTop w:val="0"/>
      <w:marBottom w:val="0"/>
      <w:divBdr>
        <w:top w:val="none" w:sz="0" w:space="0" w:color="auto"/>
        <w:left w:val="none" w:sz="0" w:space="0" w:color="auto"/>
        <w:bottom w:val="none" w:sz="0" w:space="0" w:color="auto"/>
        <w:right w:val="none" w:sz="0" w:space="0" w:color="auto"/>
      </w:divBdr>
    </w:div>
    <w:div w:id="1668510809">
      <w:bodyDiv w:val="1"/>
      <w:marLeft w:val="0"/>
      <w:marRight w:val="0"/>
      <w:marTop w:val="0"/>
      <w:marBottom w:val="0"/>
      <w:divBdr>
        <w:top w:val="none" w:sz="0" w:space="0" w:color="auto"/>
        <w:left w:val="none" w:sz="0" w:space="0" w:color="auto"/>
        <w:bottom w:val="none" w:sz="0" w:space="0" w:color="auto"/>
        <w:right w:val="none" w:sz="0" w:space="0" w:color="auto"/>
      </w:divBdr>
    </w:div>
    <w:div w:id="1668704013">
      <w:bodyDiv w:val="1"/>
      <w:marLeft w:val="0"/>
      <w:marRight w:val="0"/>
      <w:marTop w:val="0"/>
      <w:marBottom w:val="0"/>
      <w:divBdr>
        <w:top w:val="none" w:sz="0" w:space="0" w:color="auto"/>
        <w:left w:val="none" w:sz="0" w:space="0" w:color="auto"/>
        <w:bottom w:val="none" w:sz="0" w:space="0" w:color="auto"/>
        <w:right w:val="none" w:sz="0" w:space="0" w:color="auto"/>
      </w:divBdr>
    </w:div>
    <w:div w:id="1668826105">
      <w:bodyDiv w:val="1"/>
      <w:marLeft w:val="0"/>
      <w:marRight w:val="0"/>
      <w:marTop w:val="0"/>
      <w:marBottom w:val="0"/>
      <w:divBdr>
        <w:top w:val="none" w:sz="0" w:space="0" w:color="auto"/>
        <w:left w:val="none" w:sz="0" w:space="0" w:color="auto"/>
        <w:bottom w:val="none" w:sz="0" w:space="0" w:color="auto"/>
        <w:right w:val="none" w:sz="0" w:space="0" w:color="auto"/>
      </w:divBdr>
    </w:div>
    <w:div w:id="1669482653">
      <w:bodyDiv w:val="1"/>
      <w:marLeft w:val="0"/>
      <w:marRight w:val="0"/>
      <w:marTop w:val="0"/>
      <w:marBottom w:val="0"/>
      <w:divBdr>
        <w:top w:val="none" w:sz="0" w:space="0" w:color="auto"/>
        <w:left w:val="none" w:sz="0" w:space="0" w:color="auto"/>
        <w:bottom w:val="none" w:sz="0" w:space="0" w:color="auto"/>
        <w:right w:val="none" w:sz="0" w:space="0" w:color="auto"/>
      </w:divBdr>
    </w:div>
    <w:div w:id="1669863436">
      <w:bodyDiv w:val="1"/>
      <w:marLeft w:val="0"/>
      <w:marRight w:val="0"/>
      <w:marTop w:val="0"/>
      <w:marBottom w:val="0"/>
      <w:divBdr>
        <w:top w:val="none" w:sz="0" w:space="0" w:color="auto"/>
        <w:left w:val="none" w:sz="0" w:space="0" w:color="auto"/>
        <w:bottom w:val="none" w:sz="0" w:space="0" w:color="auto"/>
        <w:right w:val="none" w:sz="0" w:space="0" w:color="auto"/>
      </w:divBdr>
    </w:div>
    <w:div w:id="1670012668">
      <w:bodyDiv w:val="1"/>
      <w:marLeft w:val="0"/>
      <w:marRight w:val="0"/>
      <w:marTop w:val="0"/>
      <w:marBottom w:val="0"/>
      <w:divBdr>
        <w:top w:val="none" w:sz="0" w:space="0" w:color="auto"/>
        <w:left w:val="none" w:sz="0" w:space="0" w:color="auto"/>
        <w:bottom w:val="none" w:sz="0" w:space="0" w:color="auto"/>
        <w:right w:val="none" w:sz="0" w:space="0" w:color="auto"/>
      </w:divBdr>
    </w:div>
    <w:div w:id="1670137745">
      <w:bodyDiv w:val="1"/>
      <w:marLeft w:val="0"/>
      <w:marRight w:val="0"/>
      <w:marTop w:val="0"/>
      <w:marBottom w:val="0"/>
      <w:divBdr>
        <w:top w:val="none" w:sz="0" w:space="0" w:color="auto"/>
        <w:left w:val="none" w:sz="0" w:space="0" w:color="auto"/>
        <w:bottom w:val="none" w:sz="0" w:space="0" w:color="auto"/>
        <w:right w:val="none" w:sz="0" w:space="0" w:color="auto"/>
      </w:divBdr>
    </w:div>
    <w:div w:id="1670206667">
      <w:bodyDiv w:val="1"/>
      <w:marLeft w:val="0"/>
      <w:marRight w:val="0"/>
      <w:marTop w:val="0"/>
      <w:marBottom w:val="0"/>
      <w:divBdr>
        <w:top w:val="none" w:sz="0" w:space="0" w:color="auto"/>
        <w:left w:val="none" w:sz="0" w:space="0" w:color="auto"/>
        <w:bottom w:val="none" w:sz="0" w:space="0" w:color="auto"/>
        <w:right w:val="none" w:sz="0" w:space="0" w:color="auto"/>
      </w:divBdr>
    </w:div>
    <w:div w:id="1670597813">
      <w:bodyDiv w:val="1"/>
      <w:marLeft w:val="0"/>
      <w:marRight w:val="0"/>
      <w:marTop w:val="0"/>
      <w:marBottom w:val="0"/>
      <w:divBdr>
        <w:top w:val="none" w:sz="0" w:space="0" w:color="auto"/>
        <w:left w:val="none" w:sz="0" w:space="0" w:color="auto"/>
        <w:bottom w:val="none" w:sz="0" w:space="0" w:color="auto"/>
        <w:right w:val="none" w:sz="0" w:space="0" w:color="auto"/>
      </w:divBdr>
    </w:div>
    <w:div w:id="1670788866">
      <w:bodyDiv w:val="1"/>
      <w:marLeft w:val="0"/>
      <w:marRight w:val="0"/>
      <w:marTop w:val="0"/>
      <w:marBottom w:val="0"/>
      <w:divBdr>
        <w:top w:val="none" w:sz="0" w:space="0" w:color="auto"/>
        <w:left w:val="none" w:sz="0" w:space="0" w:color="auto"/>
        <w:bottom w:val="none" w:sz="0" w:space="0" w:color="auto"/>
        <w:right w:val="none" w:sz="0" w:space="0" w:color="auto"/>
      </w:divBdr>
    </w:div>
    <w:div w:id="1670910160">
      <w:bodyDiv w:val="1"/>
      <w:marLeft w:val="0"/>
      <w:marRight w:val="0"/>
      <w:marTop w:val="0"/>
      <w:marBottom w:val="0"/>
      <w:divBdr>
        <w:top w:val="none" w:sz="0" w:space="0" w:color="auto"/>
        <w:left w:val="none" w:sz="0" w:space="0" w:color="auto"/>
        <w:bottom w:val="none" w:sz="0" w:space="0" w:color="auto"/>
        <w:right w:val="none" w:sz="0" w:space="0" w:color="auto"/>
      </w:divBdr>
    </w:div>
    <w:div w:id="1671056966">
      <w:bodyDiv w:val="1"/>
      <w:marLeft w:val="0"/>
      <w:marRight w:val="0"/>
      <w:marTop w:val="0"/>
      <w:marBottom w:val="0"/>
      <w:divBdr>
        <w:top w:val="none" w:sz="0" w:space="0" w:color="auto"/>
        <w:left w:val="none" w:sz="0" w:space="0" w:color="auto"/>
        <w:bottom w:val="none" w:sz="0" w:space="0" w:color="auto"/>
        <w:right w:val="none" w:sz="0" w:space="0" w:color="auto"/>
      </w:divBdr>
    </w:div>
    <w:div w:id="1671444586">
      <w:bodyDiv w:val="1"/>
      <w:marLeft w:val="0"/>
      <w:marRight w:val="0"/>
      <w:marTop w:val="0"/>
      <w:marBottom w:val="0"/>
      <w:divBdr>
        <w:top w:val="none" w:sz="0" w:space="0" w:color="auto"/>
        <w:left w:val="none" w:sz="0" w:space="0" w:color="auto"/>
        <w:bottom w:val="none" w:sz="0" w:space="0" w:color="auto"/>
        <w:right w:val="none" w:sz="0" w:space="0" w:color="auto"/>
      </w:divBdr>
    </w:div>
    <w:div w:id="1671716141">
      <w:bodyDiv w:val="1"/>
      <w:marLeft w:val="0"/>
      <w:marRight w:val="0"/>
      <w:marTop w:val="0"/>
      <w:marBottom w:val="0"/>
      <w:divBdr>
        <w:top w:val="none" w:sz="0" w:space="0" w:color="auto"/>
        <w:left w:val="none" w:sz="0" w:space="0" w:color="auto"/>
        <w:bottom w:val="none" w:sz="0" w:space="0" w:color="auto"/>
        <w:right w:val="none" w:sz="0" w:space="0" w:color="auto"/>
      </w:divBdr>
    </w:div>
    <w:div w:id="1672101047">
      <w:bodyDiv w:val="1"/>
      <w:marLeft w:val="0"/>
      <w:marRight w:val="0"/>
      <w:marTop w:val="0"/>
      <w:marBottom w:val="0"/>
      <w:divBdr>
        <w:top w:val="none" w:sz="0" w:space="0" w:color="auto"/>
        <w:left w:val="none" w:sz="0" w:space="0" w:color="auto"/>
        <w:bottom w:val="none" w:sz="0" w:space="0" w:color="auto"/>
        <w:right w:val="none" w:sz="0" w:space="0" w:color="auto"/>
      </w:divBdr>
    </w:div>
    <w:div w:id="1672872564">
      <w:bodyDiv w:val="1"/>
      <w:marLeft w:val="0"/>
      <w:marRight w:val="0"/>
      <w:marTop w:val="0"/>
      <w:marBottom w:val="0"/>
      <w:divBdr>
        <w:top w:val="none" w:sz="0" w:space="0" w:color="auto"/>
        <w:left w:val="none" w:sz="0" w:space="0" w:color="auto"/>
        <w:bottom w:val="none" w:sz="0" w:space="0" w:color="auto"/>
        <w:right w:val="none" w:sz="0" w:space="0" w:color="auto"/>
      </w:divBdr>
    </w:div>
    <w:div w:id="1672877585">
      <w:bodyDiv w:val="1"/>
      <w:marLeft w:val="0"/>
      <w:marRight w:val="0"/>
      <w:marTop w:val="0"/>
      <w:marBottom w:val="0"/>
      <w:divBdr>
        <w:top w:val="none" w:sz="0" w:space="0" w:color="auto"/>
        <w:left w:val="none" w:sz="0" w:space="0" w:color="auto"/>
        <w:bottom w:val="none" w:sz="0" w:space="0" w:color="auto"/>
        <w:right w:val="none" w:sz="0" w:space="0" w:color="auto"/>
      </w:divBdr>
    </w:div>
    <w:div w:id="1673407400">
      <w:bodyDiv w:val="1"/>
      <w:marLeft w:val="0"/>
      <w:marRight w:val="0"/>
      <w:marTop w:val="0"/>
      <w:marBottom w:val="0"/>
      <w:divBdr>
        <w:top w:val="none" w:sz="0" w:space="0" w:color="auto"/>
        <w:left w:val="none" w:sz="0" w:space="0" w:color="auto"/>
        <w:bottom w:val="none" w:sz="0" w:space="0" w:color="auto"/>
        <w:right w:val="none" w:sz="0" w:space="0" w:color="auto"/>
      </w:divBdr>
    </w:div>
    <w:div w:id="1673558221">
      <w:bodyDiv w:val="1"/>
      <w:marLeft w:val="0"/>
      <w:marRight w:val="0"/>
      <w:marTop w:val="0"/>
      <w:marBottom w:val="0"/>
      <w:divBdr>
        <w:top w:val="none" w:sz="0" w:space="0" w:color="auto"/>
        <w:left w:val="none" w:sz="0" w:space="0" w:color="auto"/>
        <w:bottom w:val="none" w:sz="0" w:space="0" w:color="auto"/>
        <w:right w:val="none" w:sz="0" w:space="0" w:color="auto"/>
      </w:divBdr>
    </w:div>
    <w:div w:id="1673607634">
      <w:bodyDiv w:val="1"/>
      <w:marLeft w:val="0"/>
      <w:marRight w:val="0"/>
      <w:marTop w:val="0"/>
      <w:marBottom w:val="0"/>
      <w:divBdr>
        <w:top w:val="none" w:sz="0" w:space="0" w:color="auto"/>
        <w:left w:val="none" w:sz="0" w:space="0" w:color="auto"/>
        <w:bottom w:val="none" w:sz="0" w:space="0" w:color="auto"/>
        <w:right w:val="none" w:sz="0" w:space="0" w:color="auto"/>
      </w:divBdr>
    </w:div>
    <w:div w:id="1674799378">
      <w:bodyDiv w:val="1"/>
      <w:marLeft w:val="0"/>
      <w:marRight w:val="0"/>
      <w:marTop w:val="0"/>
      <w:marBottom w:val="0"/>
      <w:divBdr>
        <w:top w:val="none" w:sz="0" w:space="0" w:color="auto"/>
        <w:left w:val="none" w:sz="0" w:space="0" w:color="auto"/>
        <w:bottom w:val="none" w:sz="0" w:space="0" w:color="auto"/>
        <w:right w:val="none" w:sz="0" w:space="0" w:color="auto"/>
      </w:divBdr>
    </w:div>
    <w:div w:id="1675377518">
      <w:bodyDiv w:val="1"/>
      <w:marLeft w:val="0"/>
      <w:marRight w:val="0"/>
      <w:marTop w:val="0"/>
      <w:marBottom w:val="0"/>
      <w:divBdr>
        <w:top w:val="none" w:sz="0" w:space="0" w:color="auto"/>
        <w:left w:val="none" w:sz="0" w:space="0" w:color="auto"/>
        <w:bottom w:val="none" w:sz="0" w:space="0" w:color="auto"/>
        <w:right w:val="none" w:sz="0" w:space="0" w:color="auto"/>
      </w:divBdr>
    </w:div>
    <w:div w:id="1675495837">
      <w:bodyDiv w:val="1"/>
      <w:marLeft w:val="0"/>
      <w:marRight w:val="0"/>
      <w:marTop w:val="0"/>
      <w:marBottom w:val="0"/>
      <w:divBdr>
        <w:top w:val="none" w:sz="0" w:space="0" w:color="auto"/>
        <w:left w:val="none" w:sz="0" w:space="0" w:color="auto"/>
        <w:bottom w:val="none" w:sz="0" w:space="0" w:color="auto"/>
        <w:right w:val="none" w:sz="0" w:space="0" w:color="auto"/>
      </w:divBdr>
    </w:div>
    <w:div w:id="1675768238">
      <w:bodyDiv w:val="1"/>
      <w:marLeft w:val="0"/>
      <w:marRight w:val="0"/>
      <w:marTop w:val="0"/>
      <w:marBottom w:val="0"/>
      <w:divBdr>
        <w:top w:val="none" w:sz="0" w:space="0" w:color="auto"/>
        <w:left w:val="none" w:sz="0" w:space="0" w:color="auto"/>
        <w:bottom w:val="none" w:sz="0" w:space="0" w:color="auto"/>
        <w:right w:val="none" w:sz="0" w:space="0" w:color="auto"/>
      </w:divBdr>
    </w:div>
    <w:div w:id="1676153085">
      <w:bodyDiv w:val="1"/>
      <w:marLeft w:val="0"/>
      <w:marRight w:val="0"/>
      <w:marTop w:val="0"/>
      <w:marBottom w:val="0"/>
      <w:divBdr>
        <w:top w:val="none" w:sz="0" w:space="0" w:color="auto"/>
        <w:left w:val="none" w:sz="0" w:space="0" w:color="auto"/>
        <w:bottom w:val="none" w:sz="0" w:space="0" w:color="auto"/>
        <w:right w:val="none" w:sz="0" w:space="0" w:color="auto"/>
      </w:divBdr>
    </w:div>
    <w:div w:id="1676421897">
      <w:bodyDiv w:val="1"/>
      <w:marLeft w:val="0"/>
      <w:marRight w:val="0"/>
      <w:marTop w:val="0"/>
      <w:marBottom w:val="0"/>
      <w:divBdr>
        <w:top w:val="none" w:sz="0" w:space="0" w:color="auto"/>
        <w:left w:val="none" w:sz="0" w:space="0" w:color="auto"/>
        <w:bottom w:val="none" w:sz="0" w:space="0" w:color="auto"/>
        <w:right w:val="none" w:sz="0" w:space="0" w:color="auto"/>
      </w:divBdr>
    </w:div>
    <w:div w:id="1677033050">
      <w:bodyDiv w:val="1"/>
      <w:marLeft w:val="0"/>
      <w:marRight w:val="0"/>
      <w:marTop w:val="0"/>
      <w:marBottom w:val="0"/>
      <w:divBdr>
        <w:top w:val="none" w:sz="0" w:space="0" w:color="auto"/>
        <w:left w:val="none" w:sz="0" w:space="0" w:color="auto"/>
        <w:bottom w:val="none" w:sz="0" w:space="0" w:color="auto"/>
        <w:right w:val="none" w:sz="0" w:space="0" w:color="auto"/>
      </w:divBdr>
    </w:div>
    <w:div w:id="1677224169">
      <w:bodyDiv w:val="1"/>
      <w:marLeft w:val="0"/>
      <w:marRight w:val="0"/>
      <w:marTop w:val="0"/>
      <w:marBottom w:val="0"/>
      <w:divBdr>
        <w:top w:val="none" w:sz="0" w:space="0" w:color="auto"/>
        <w:left w:val="none" w:sz="0" w:space="0" w:color="auto"/>
        <w:bottom w:val="none" w:sz="0" w:space="0" w:color="auto"/>
        <w:right w:val="none" w:sz="0" w:space="0" w:color="auto"/>
      </w:divBdr>
    </w:div>
    <w:div w:id="1677463609">
      <w:bodyDiv w:val="1"/>
      <w:marLeft w:val="0"/>
      <w:marRight w:val="0"/>
      <w:marTop w:val="0"/>
      <w:marBottom w:val="0"/>
      <w:divBdr>
        <w:top w:val="none" w:sz="0" w:space="0" w:color="auto"/>
        <w:left w:val="none" w:sz="0" w:space="0" w:color="auto"/>
        <w:bottom w:val="none" w:sz="0" w:space="0" w:color="auto"/>
        <w:right w:val="none" w:sz="0" w:space="0" w:color="auto"/>
      </w:divBdr>
    </w:div>
    <w:div w:id="1677800540">
      <w:bodyDiv w:val="1"/>
      <w:marLeft w:val="0"/>
      <w:marRight w:val="0"/>
      <w:marTop w:val="0"/>
      <w:marBottom w:val="0"/>
      <w:divBdr>
        <w:top w:val="none" w:sz="0" w:space="0" w:color="auto"/>
        <w:left w:val="none" w:sz="0" w:space="0" w:color="auto"/>
        <w:bottom w:val="none" w:sz="0" w:space="0" w:color="auto"/>
        <w:right w:val="none" w:sz="0" w:space="0" w:color="auto"/>
      </w:divBdr>
    </w:div>
    <w:div w:id="1678770820">
      <w:bodyDiv w:val="1"/>
      <w:marLeft w:val="0"/>
      <w:marRight w:val="0"/>
      <w:marTop w:val="0"/>
      <w:marBottom w:val="0"/>
      <w:divBdr>
        <w:top w:val="none" w:sz="0" w:space="0" w:color="auto"/>
        <w:left w:val="none" w:sz="0" w:space="0" w:color="auto"/>
        <w:bottom w:val="none" w:sz="0" w:space="0" w:color="auto"/>
        <w:right w:val="none" w:sz="0" w:space="0" w:color="auto"/>
      </w:divBdr>
    </w:div>
    <w:div w:id="1680111274">
      <w:bodyDiv w:val="1"/>
      <w:marLeft w:val="0"/>
      <w:marRight w:val="0"/>
      <w:marTop w:val="0"/>
      <w:marBottom w:val="0"/>
      <w:divBdr>
        <w:top w:val="none" w:sz="0" w:space="0" w:color="auto"/>
        <w:left w:val="none" w:sz="0" w:space="0" w:color="auto"/>
        <w:bottom w:val="none" w:sz="0" w:space="0" w:color="auto"/>
        <w:right w:val="none" w:sz="0" w:space="0" w:color="auto"/>
      </w:divBdr>
    </w:div>
    <w:div w:id="1680697520">
      <w:bodyDiv w:val="1"/>
      <w:marLeft w:val="0"/>
      <w:marRight w:val="0"/>
      <w:marTop w:val="0"/>
      <w:marBottom w:val="0"/>
      <w:divBdr>
        <w:top w:val="none" w:sz="0" w:space="0" w:color="auto"/>
        <w:left w:val="none" w:sz="0" w:space="0" w:color="auto"/>
        <w:bottom w:val="none" w:sz="0" w:space="0" w:color="auto"/>
        <w:right w:val="none" w:sz="0" w:space="0" w:color="auto"/>
      </w:divBdr>
    </w:div>
    <w:div w:id="1681393586">
      <w:bodyDiv w:val="1"/>
      <w:marLeft w:val="0"/>
      <w:marRight w:val="0"/>
      <w:marTop w:val="0"/>
      <w:marBottom w:val="0"/>
      <w:divBdr>
        <w:top w:val="none" w:sz="0" w:space="0" w:color="auto"/>
        <w:left w:val="none" w:sz="0" w:space="0" w:color="auto"/>
        <w:bottom w:val="none" w:sz="0" w:space="0" w:color="auto"/>
        <w:right w:val="none" w:sz="0" w:space="0" w:color="auto"/>
      </w:divBdr>
    </w:div>
    <w:div w:id="1682047925">
      <w:bodyDiv w:val="1"/>
      <w:marLeft w:val="0"/>
      <w:marRight w:val="0"/>
      <w:marTop w:val="0"/>
      <w:marBottom w:val="0"/>
      <w:divBdr>
        <w:top w:val="none" w:sz="0" w:space="0" w:color="auto"/>
        <w:left w:val="none" w:sz="0" w:space="0" w:color="auto"/>
        <w:bottom w:val="none" w:sz="0" w:space="0" w:color="auto"/>
        <w:right w:val="none" w:sz="0" w:space="0" w:color="auto"/>
      </w:divBdr>
    </w:div>
    <w:div w:id="1682313956">
      <w:bodyDiv w:val="1"/>
      <w:marLeft w:val="0"/>
      <w:marRight w:val="0"/>
      <w:marTop w:val="0"/>
      <w:marBottom w:val="0"/>
      <w:divBdr>
        <w:top w:val="none" w:sz="0" w:space="0" w:color="auto"/>
        <w:left w:val="none" w:sz="0" w:space="0" w:color="auto"/>
        <w:bottom w:val="none" w:sz="0" w:space="0" w:color="auto"/>
        <w:right w:val="none" w:sz="0" w:space="0" w:color="auto"/>
      </w:divBdr>
    </w:div>
    <w:div w:id="1683169993">
      <w:bodyDiv w:val="1"/>
      <w:marLeft w:val="0"/>
      <w:marRight w:val="0"/>
      <w:marTop w:val="0"/>
      <w:marBottom w:val="0"/>
      <w:divBdr>
        <w:top w:val="none" w:sz="0" w:space="0" w:color="auto"/>
        <w:left w:val="none" w:sz="0" w:space="0" w:color="auto"/>
        <w:bottom w:val="none" w:sz="0" w:space="0" w:color="auto"/>
        <w:right w:val="none" w:sz="0" w:space="0" w:color="auto"/>
      </w:divBdr>
    </w:div>
    <w:div w:id="1683193328">
      <w:bodyDiv w:val="1"/>
      <w:marLeft w:val="0"/>
      <w:marRight w:val="0"/>
      <w:marTop w:val="0"/>
      <w:marBottom w:val="0"/>
      <w:divBdr>
        <w:top w:val="none" w:sz="0" w:space="0" w:color="auto"/>
        <w:left w:val="none" w:sz="0" w:space="0" w:color="auto"/>
        <w:bottom w:val="none" w:sz="0" w:space="0" w:color="auto"/>
        <w:right w:val="none" w:sz="0" w:space="0" w:color="auto"/>
      </w:divBdr>
    </w:div>
    <w:div w:id="1684432049">
      <w:bodyDiv w:val="1"/>
      <w:marLeft w:val="0"/>
      <w:marRight w:val="0"/>
      <w:marTop w:val="0"/>
      <w:marBottom w:val="0"/>
      <w:divBdr>
        <w:top w:val="none" w:sz="0" w:space="0" w:color="auto"/>
        <w:left w:val="none" w:sz="0" w:space="0" w:color="auto"/>
        <w:bottom w:val="none" w:sz="0" w:space="0" w:color="auto"/>
        <w:right w:val="none" w:sz="0" w:space="0" w:color="auto"/>
      </w:divBdr>
    </w:div>
    <w:div w:id="1684547709">
      <w:bodyDiv w:val="1"/>
      <w:marLeft w:val="0"/>
      <w:marRight w:val="0"/>
      <w:marTop w:val="0"/>
      <w:marBottom w:val="0"/>
      <w:divBdr>
        <w:top w:val="none" w:sz="0" w:space="0" w:color="auto"/>
        <w:left w:val="none" w:sz="0" w:space="0" w:color="auto"/>
        <w:bottom w:val="none" w:sz="0" w:space="0" w:color="auto"/>
        <w:right w:val="none" w:sz="0" w:space="0" w:color="auto"/>
      </w:divBdr>
    </w:div>
    <w:div w:id="1684745028">
      <w:bodyDiv w:val="1"/>
      <w:marLeft w:val="0"/>
      <w:marRight w:val="0"/>
      <w:marTop w:val="0"/>
      <w:marBottom w:val="0"/>
      <w:divBdr>
        <w:top w:val="none" w:sz="0" w:space="0" w:color="auto"/>
        <w:left w:val="none" w:sz="0" w:space="0" w:color="auto"/>
        <w:bottom w:val="none" w:sz="0" w:space="0" w:color="auto"/>
        <w:right w:val="none" w:sz="0" w:space="0" w:color="auto"/>
      </w:divBdr>
    </w:div>
    <w:div w:id="1684822974">
      <w:bodyDiv w:val="1"/>
      <w:marLeft w:val="0"/>
      <w:marRight w:val="0"/>
      <w:marTop w:val="0"/>
      <w:marBottom w:val="0"/>
      <w:divBdr>
        <w:top w:val="none" w:sz="0" w:space="0" w:color="auto"/>
        <w:left w:val="none" w:sz="0" w:space="0" w:color="auto"/>
        <w:bottom w:val="none" w:sz="0" w:space="0" w:color="auto"/>
        <w:right w:val="none" w:sz="0" w:space="0" w:color="auto"/>
      </w:divBdr>
    </w:div>
    <w:div w:id="1686128687">
      <w:bodyDiv w:val="1"/>
      <w:marLeft w:val="0"/>
      <w:marRight w:val="0"/>
      <w:marTop w:val="0"/>
      <w:marBottom w:val="0"/>
      <w:divBdr>
        <w:top w:val="none" w:sz="0" w:space="0" w:color="auto"/>
        <w:left w:val="none" w:sz="0" w:space="0" w:color="auto"/>
        <w:bottom w:val="none" w:sz="0" w:space="0" w:color="auto"/>
        <w:right w:val="none" w:sz="0" w:space="0" w:color="auto"/>
      </w:divBdr>
    </w:div>
    <w:div w:id="1686202944">
      <w:bodyDiv w:val="1"/>
      <w:marLeft w:val="0"/>
      <w:marRight w:val="0"/>
      <w:marTop w:val="0"/>
      <w:marBottom w:val="0"/>
      <w:divBdr>
        <w:top w:val="none" w:sz="0" w:space="0" w:color="auto"/>
        <w:left w:val="none" w:sz="0" w:space="0" w:color="auto"/>
        <w:bottom w:val="none" w:sz="0" w:space="0" w:color="auto"/>
        <w:right w:val="none" w:sz="0" w:space="0" w:color="auto"/>
      </w:divBdr>
    </w:div>
    <w:div w:id="1686399329">
      <w:bodyDiv w:val="1"/>
      <w:marLeft w:val="0"/>
      <w:marRight w:val="0"/>
      <w:marTop w:val="0"/>
      <w:marBottom w:val="0"/>
      <w:divBdr>
        <w:top w:val="none" w:sz="0" w:space="0" w:color="auto"/>
        <w:left w:val="none" w:sz="0" w:space="0" w:color="auto"/>
        <w:bottom w:val="none" w:sz="0" w:space="0" w:color="auto"/>
        <w:right w:val="none" w:sz="0" w:space="0" w:color="auto"/>
      </w:divBdr>
    </w:div>
    <w:div w:id="1686784964">
      <w:bodyDiv w:val="1"/>
      <w:marLeft w:val="0"/>
      <w:marRight w:val="0"/>
      <w:marTop w:val="0"/>
      <w:marBottom w:val="0"/>
      <w:divBdr>
        <w:top w:val="none" w:sz="0" w:space="0" w:color="auto"/>
        <w:left w:val="none" w:sz="0" w:space="0" w:color="auto"/>
        <w:bottom w:val="none" w:sz="0" w:space="0" w:color="auto"/>
        <w:right w:val="none" w:sz="0" w:space="0" w:color="auto"/>
      </w:divBdr>
    </w:div>
    <w:div w:id="1687168452">
      <w:bodyDiv w:val="1"/>
      <w:marLeft w:val="0"/>
      <w:marRight w:val="0"/>
      <w:marTop w:val="0"/>
      <w:marBottom w:val="0"/>
      <w:divBdr>
        <w:top w:val="none" w:sz="0" w:space="0" w:color="auto"/>
        <w:left w:val="none" w:sz="0" w:space="0" w:color="auto"/>
        <w:bottom w:val="none" w:sz="0" w:space="0" w:color="auto"/>
        <w:right w:val="none" w:sz="0" w:space="0" w:color="auto"/>
      </w:divBdr>
    </w:div>
    <w:div w:id="1687247166">
      <w:bodyDiv w:val="1"/>
      <w:marLeft w:val="0"/>
      <w:marRight w:val="0"/>
      <w:marTop w:val="0"/>
      <w:marBottom w:val="0"/>
      <w:divBdr>
        <w:top w:val="none" w:sz="0" w:space="0" w:color="auto"/>
        <w:left w:val="none" w:sz="0" w:space="0" w:color="auto"/>
        <w:bottom w:val="none" w:sz="0" w:space="0" w:color="auto"/>
        <w:right w:val="none" w:sz="0" w:space="0" w:color="auto"/>
      </w:divBdr>
    </w:div>
    <w:div w:id="1687444718">
      <w:bodyDiv w:val="1"/>
      <w:marLeft w:val="0"/>
      <w:marRight w:val="0"/>
      <w:marTop w:val="0"/>
      <w:marBottom w:val="0"/>
      <w:divBdr>
        <w:top w:val="none" w:sz="0" w:space="0" w:color="auto"/>
        <w:left w:val="none" w:sz="0" w:space="0" w:color="auto"/>
        <w:bottom w:val="none" w:sz="0" w:space="0" w:color="auto"/>
        <w:right w:val="none" w:sz="0" w:space="0" w:color="auto"/>
      </w:divBdr>
    </w:div>
    <w:div w:id="1687638024">
      <w:bodyDiv w:val="1"/>
      <w:marLeft w:val="0"/>
      <w:marRight w:val="0"/>
      <w:marTop w:val="0"/>
      <w:marBottom w:val="0"/>
      <w:divBdr>
        <w:top w:val="none" w:sz="0" w:space="0" w:color="auto"/>
        <w:left w:val="none" w:sz="0" w:space="0" w:color="auto"/>
        <w:bottom w:val="none" w:sz="0" w:space="0" w:color="auto"/>
        <w:right w:val="none" w:sz="0" w:space="0" w:color="auto"/>
      </w:divBdr>
    </w:div>
    <w:div w:id="1687756174">
      <w:bodyDiv w:val="1"/>
      <w:marLeft w:val="0"/>
      <w:marRight w:val="0"/>
      <w:marTop w:val="0"/>
      <w:marBottom w:val="0"/>
      <w:divBdr>
        <w:top w:val="none" w:sz="0" w:space="0" w:color="auto"/>
        <w:left w:val="none" w:sz="0" w:space="0" w:color="auto"/>
        <w:bottom w:val="none" w:sz="0" w:space="0" w:color="auto"/>
        <w:right w:val="none" w:sz="0" w:space="0" w:color="auto"/>
      </w:divBdr>
    </w:div>
    <w:div w:id="1688368144">
      <w:bodyDiv w:val="1"/>
      <w:marLeft w:val="0"/>
      <w:marRight w:val="0"/>
      <w:marTop w:val="0"/>
      <w:marBottom w:val="0"/>
      <w:divBdr>
        <w:top w:val="none" w:sz="0" w:space="0" w:color="auto"/>
        <w:left w:val="none" w:sz="0" w:space="0" w:color="auto"/>
        <w:bottom w:val="none" w:sz="0" w:space="0" w:color="auto"/>
        <w:right w:val="none" w:sz="0" w:space="0" w:color="auto"/>
      </w:divBdr>
    </w:div>
    <w:div w:id="1688562704">
      <w:bodyDiv w:val="1"/>
      <w:marLeft w:val="0"/>
      <w:marRight w:val="0"/>
      <w:marTop w:val="0"/>
      <w:marBottom w:val="0"/>
      <w:divBdr>
        <w:top w:val="none" w:sz="0" w:space="0" w:color="auto"/>
        <w:left w:val="none" w:sz="0" w:space="0" w:color="auto"/>
        <w:bottom w:val="none" w:sz="0" w:space="0" w:color="auto"/>
        <w:right w:val="none" w:sz="0" w:space="0" w:color="auto"/>
      </w:divBdr>
    </w:div>
    <w:div w:id="1688680562">
      <w:bodyDiv w:val="1"/>
      <w:marLeft w:val="0"/>
      <w:marRight w:val="0"/>
      <w:marTop w:val="0"/>
      <w:marBottom w:val="0"/>
      <w:divBdr>
        <w:top w:val="none" w:sz="0" w:space="0" w:color="auto"/>
        <w:left w:val="none" w:sz="0" w:space="0" w:color="auto"/>
        <w:bottom w:val="none" w:sz="0" w:space="0" w:color="auto"/>
        <w:right w:val="none" w:sz="0" w:space="0" w:color="auto"/>
      </w:divBdr>
    </w:div>
    <w:div w:id="1689212663">
      <w:bodyDiv w:val="1"/>
      <w:marLeft w:val="0"/>
      <w:marRight w:val="0"/>
      <w:marTop w:val="0"/>
      <w:marBottom w:val="0"/>
      <w:divBdr>
        <w:top w:val="none" w:sz="0" w:space="0" w:color="auto"/>
        <w:left w:val="none" w:sz="0" w:space="0" w:color="auto"/>
        <w:bottom w:val="none" w:sz="0" w:space="0" w:color="auto"/>
        <w:right w:val="none" w:sz="0" w:space="0" w:color="auto"/>
      </w:divBdr>
    </w:div>
    <w:div w:id="1689484136">
      <w:bodyDiv w:val="1"/>
      <w:marLeft w:val="0"/>
      <w:marRight w:val="0"/>
      <w:marTop w:val="0"/>
      <w:marBottom w:val="0"/>
      <w:divBdr>
        <w:top w:val="none" w:sz="0" w:space="0" w:color="auto"/>
        <w:left w:val="none" w:sz="0" w:space="0" w:color="auto"/>
        <w:bottom w:val="none" w:sz="0" w:space="0" w:color="auto"/>
        <w:right w:val="none" w:sz="0" w:space="0" w:color="auto"/>
      </w:divBdr>
    </w:div>
    <w:div w:id="1689940910">
      <w:bodyDiv w:val="1"/>
      <w:marLeft w:val="0"/>
      <w:marRight w:val="0"/>
      <w:marTop w:val="0"/>
      <w:marBottom w:val="0"/>
      <w:divBdr>
        <w:top w:val="none" w:sz="0" w:space="0" w:color="auto"/>
        <w:left w:val="none" w:sz="0" w:space="0" w:color="auto"/>
        <w:bottom w:val="none" w:sz="0" w:space="0" w:color="auto"/>
        <w:right w:val="none" w:sz="0" w:space="0" w:color="auto"/>
      </w:divBdr>
    </w:div>
    <w:div w:id="1689941864">
      <w:bodyDiv w:val="1"/>
      <w:marLeft w:val="0"/>
      <w:marRight w:val="0"/>
      <w:marTop w:val="0"/>
      <w:marBottom w:val="0"/>
      <w:divBdr>
        <w:top w:val="none" w:sz="0" w:space="0" w:color="auto"/>
        <w:left w:val="none" w:sz="0" w:space="0" w:color="auto"/>
        <w:bottom w:val="none" w:sz="0" w:space="0" w:color="auto"/>
        <w:right w:val="none" w:sz="0" w:space="0" w:color="auto"/>
      </w:divBdr>
    </w:div>
    <w:div w:id="1690571172">
      <w:bodyDiv w:val="1"/>
      <w:marLeft w:val="0"/>
      <w:marRight w:val="0"/>
      <w:marTop w:val="0"/>
      <w:marBottom w:val="0"/>
      <w:divBdr>
        <w:top w:val="none" w:sz="0" w:space="0" w:color="auto"/>
        <w:left w:val="none" w:sz="0" w:space="0" w:color="auto"/>
        <w:bottom w:val="none" w:sz="0" w:space="0" w:color="auto"/>
        <w:right w:val="none" w:sz="0" w:space="0" w:color="auto"/>
      </w:divBdr>
    </w:div>
    <w:div w:id="1690839153">
      <w:bodyDiv w:val="1"/>
      <w:marLeft w:val="0"/>
      <w:marRight w:val="0"/>
      <w:marTop w:val="0"/>
      <w:marBottom w:val="0"/>
      <w:divBdr>
        <w:top w:val="none" w:sz="0" w:space="0" w:color="auto"/>
        <w:left w:val="none" w:sz="0" w:space="0" w:color="auto"/>
        <w:bottom w:val="none" w:sz="0" w:space="0" w:color="auto"/>
        <w:right w:val="none" w:sz="0" w:space="0" w:color="auto"/>
      </w:divBdr>
    </w:div>
    <w:div w:id="1691418634">
      <w:bodyDiv w:val="1"/>
      <w:marLeft w:val="0"/>
      <w:marRight w:val="0"/>
      <w:marTop w:val="0"/>
      <w:marBottom w:val="0"/>
      <w:divBdr>
        <w:top w:val="none" w:sz="0" w:space="0" w:color="auto"/>
        <w:left w:val="none" w:sz="0" w:space="0" w:color="auto"/>
        <w:bottom w:val="none" w:sz="0" w:space="0" w:color="auto"/>
        <w:right w:val="none" w:sz="0" w:space="0" w:color="auto"/>
      </w:divBdr>
    </w:div>
    <w:div w:id="1691449025">
      <w:bodyDiv w:val="1"/>
      <w:marLeft w:val="0"/>
      <w:marRight w:val="0"/>
      <w:marTop w:val="0"/>
      <w:marBottom w:val="0"/>
      <w:divBdr>
        <w:top w:val="none" w:sz="0" w:space="0" w:color="auto"/>
        <w:left w:val="none" w:sz="0" w:space="0" w:color="auto"/>
        <w:bottom w:val="none" w:sz="0" w:space="0" w:color="auto"/>
        <w:right w:val="none" w:sz="0" w:space="0" w:color="auto"/>
      </w:divBdr>
    </w:div>
    <w:div w:id="1691761137">
      <w:bodyDiv w:val="1"/>
      <w:marLeft w:val="0"/>
      <w:marRight w:val="0"/>
      <w:marTop w:val="0"/>
      <w:marBottom w:val="0"/>
      <w:divBdr>
        <w:top w:val="none" w:sz="0" w:space="0" w:color="auto"/>
        <w:left w:val="none" w:sz="0" w:space="0" w:color="auto"/>
        <w:bottom w:val="none" w:sz="0" w:space="0" w:color="auto"/>
        <w:right w:val="none" w:sz="0" w:space="0" w:color="auto"/>
      </w:divBdr>
    </w:div>
    <w:div w:id="1691832447">
      <w:bodyDiv w:val="1"/>
      <w:marLeft w:val="0"/>
      <w:marRight w:val="0"/>
      <w:marTop w:val="0"/>
      <w:marBottom w:val="0"/>
      <w:divBdr>
        <w:top w:val="none" w:sz="0" w:space="0" w:color="auto"/>
        <w:left w:val="none" w:sz="0" w:space="0" w:color="auto"/>
        <w:bottom w:val="none" w:sz="0" w:space="0" w:color="auto"/>
        <w:right w:val="none" w:sz="0" w:space="0" w:color="auto"/>
      </w:divBdr>
    </w:div>
    <w:div w:id="1691955074">
      <w:bodyDiv w:val="1"/>
      <w:marLeft w:val="0"/>
      <w:marRight w:val="0"/>
      <w:marTop w:val="0"/>
      <w:marBottom w:val="0"/>
      <w:divBdr>
        <w:top w:val="none" w:sz="0" w:space="0" w:color="auto"/>
        <w:left w:val="none" w:sz="0" w:space="0" w:color="auto"/>
        <w:bottom w:val="none" w:sz="0" w:space="0" w:color="auto"/>
        <w:right w:val="none" w:sz="0" w:space="0" w:color="auto"/>
      </w:divBdr>
    </w:div>
    <w:div w:id="1692101858">
      <w:bodyDiv w:val="1"/>
      <w:marLeft w:val="0"/>
      <w:marRight w:val="0"/>
      <w:marTop w:val="0"/>
      <w:marBottom w:val="0"/>
      <w:divBdr>
        <w:top w:val="none" w:sz="0" w:space="0" w:color="auto"/>
        <w:left w:val="none" w:sz="0" w:space="0" w:color="auto"/>
        <w:bottom w:val="none" w:sz="0" w:space="0" w:color="auto"/>
        <w:right w:val="none" w:sz="0" w:space="0" w:color="auto"/>
      </w:divBdr>
    </w:div>
    <w:div w:id="1693064848">
      <w:bodyDiv w:val="1"/>
      <w:marLeft w:val="0"/>
      <w:marRight w:val="0"/>
      <w:marTop w:val="0"/>
      <w:marBottom w:val="0"/>
      <w:divBdr>
        <w:top w:val="none" w:sz="0" w:space="0" w:color="auto"/>
        <w:left w:val="none" w:sz="0" w:space="0" w:color="auto"/>
        <w:bottom w:val="none" w:sz="0" w:space="0" w:color="auto"/>
        <w:right w:val="none" w:sz="0" w:space="0" w:color="auto"/>
      </w:divBdr>
    </w:div>
    <w:div w:id="1693874062">
      <w:bodyDiv w:val="1"/>
      <w:marLeft w:val="0"/>
      <w:marRight w:val="0"/>
      <w:marTop w:val="0"/>
      <w:marBottom w:val="0"/>
      <w:divBdr>
        <w:top w:val="none" w:sz="0" w:space="0" w:color="auto"/>
        <w:left w:val="none" w:sz="0" w:space="0" w:color="auto"/>
        <w:bottom w:val="none" w:sz="0" w:space="0" w:color="auto"/>
        <w:right w:val="none" w:sz="0" w:space="0" w:color="auto"/>
      </w:divBdr>
    </w:div>
    <w:div w:id="1694182542">
      <w:bodyDiv w:val="1"/>
      <w:marLeft w:val="0"/>
      <w:marRight w:val="0"/>
      <w:marTop w:val="0"/>
      <w:marBottom w:val="0"/>
      <w:divBdr>
        <w:top w:val="none" w:sz="0" w:space="0" w:color="auto"/>
        <w:left w:val="none" w:sz="0" w:space="0" w:color="auto"/>
        <w:bottom w:val="none" w:sz="0" w:space="0" w:color="auto"/>
        <w:right w:val="none" w:sz="0" w:space="0" w:color="auto"/>
      </w:divBdr>
    </w:div>
    <w:div w:id="1694182753">
      <w:bodyDiv w:val="1"/>
      <w:marLeft w:val="0"/>
      <w:marRight w:val="0"/>
      <w:marTop w:val="0"/>
      <w:marBottom w:val="0"/>
      <w:divBdr>
        <w:top w:val="none" w:sz="0" w:space="0" w:color="auto"/>
        <w:left w:val="none" w:sz="0" w:space="0" w:color="auto"/>
        <w:bottom w:val="none" w:sz="0" w:space="0" w:color="auto"/>
        <w:right w:val="none" w:sz="0" w:space="0" w:color="auto"/>
      </w:divBdr>
    </w:div>
    <w:div w:id="1694919892">
      <w:bodyDiv w:val="1"/>
      <w:marLeft w:val="0"/>
      <w:marRight w:val="0"/>
      <w:marTop w:val="0"/>
      <w:marBottom w:val="0"/>
      <w:divBdr>
        <w:top w:val="none" w:sz="0" w:space="0" w:color="auto"/>
        <w:left w:val="none" w:sz="0" w:space="0" w:color="auto"/>
        <w:bottom w:val="none" w:sz="0" w:space="0" w:color="auto"/>
        <w:right w:val="none" w:sz="0" w:space="0" w:color="auto"/>
      </w:divBdr>
    </w:div>
    <w:div w:id="1695185507">
      <w:bodyDiv w:val="1"/>
      <w:marLeft w:val="0"/>
      <w:marRight w:val="0"/>
      <w:marTop w:val="0"/>
      <w:marBottom w:val="0"/>
      <w:divBdr>
        <w:top w:val="none" w:sz="0" w:space="0" w:color="auto"/>
        <w:left w:val="none" w:sz="0" w:space="0" w:color="auto"/>
        <w:bottom w:val="none" w:sz="0" w:space="0" w:color="auto"/>
        <w:right w:val="none" w:sz="0" w:space="0" w:color="auto"/>
      </w:divBdr>
    </w:div>
    <w:div w:id="1695308016">
      <w:bodyDiv w:val="1"/>
      <w:marLeft w:val="0"/>
      <w:marRight w:val="0"/>
      <w:marTop w:val="0"/>
      <w:marBottom w:val="0"/>
      <w:divBdr>
        <w:top w:val="none" w:sz="0" w:space="0" w:color="auto"/>
        <w:left w:val="none" w:sz="0" w:space="0" w:color="auto"/>
        <w:bottom w:val="none" w:sz="0" w:space="0" w:color="auto"/>
        <w:right w:val="none" w:sz="0" w:space="0" w:color="auto"/>
      </w:divBdr>
    </w:div>
    <w:div w:id="1695888010">
      <w:bodyDiv w:val="1"/>
      <w:marLeft w:val="0"/>
      <w:marRight w:val="0"/>
      <w:marTop w:val="0"/>
      <w:marBottom w:val="0"/>
      <w:divBdr>
        <w:top w:val="none" w:sz="0" w:space="0" w:color="auto"/>
        <w:left w:val="none" w:sz="0" w:space="0" w:color="auto"/>
        <w:bottom w:val="none" w:sz="0" w:space="0" w:color="auto"/>
        <w:right w:val="none" w:sz="0" w:space="0" w:color="auto"/>
      </w:divBdr>
    </w:div>
    <w:div w:id="1696349123">
      <w:bodyDiv w:val="1"/>
      <w:marLeft w:val="0"/>
      <w:marRight w:val="0"/>
      <w:marTop w:val="0"/>
      <w:marBottom w:val="0"/>
      <w:divBdr>
        <w:top w:val="none" w:sz="0" w:space="0" w:color="auto"/>
        <w:left w:val="none" w:sz="0" w:space="0" w:color="auto"/>
        <w:bottom w:val="none" w:sz="0" w:space="0" w:color="auto"/>
        <w:right w:val="none" w:sz="0" w:space="0" w:color="auto"/>
      </w:divBdr>
    </w:div>
    <w:div w:id="1698384830">
      <w:bodyDiv w:val="1"/>
      <w:marLeft w:val="0"/>
      <w:marRight w:val="0"/>
      <w:marTop w:val="0"/>
      <w:marBottom w:val="0"/>
      <w:divBdr>
        <w:top w:val="none" w:sz="0" w:space="0" w:color="auto"/>
        <w:left w:val="none" w:sz="0" w:space="0" w:color="auto"/>
        <w:bottom w:val="none" w:sz="0" w:space="0" w:color="auto"/>
        <w:right w:val="none" w:sz="0" w:space="0" w:color="auto"/>
      </w:divBdr>
    </w:div>
    <w:div w:id="1698460701">
      <w:bodyDiv w:val="1"/>
      <w:marLeft w:val="0"/>
      <w:marRight w:val="0"/>
      <w:marTop w:val="0"/>
      <w:marBottom w:val="0"/>
      <w:divBdr>
        <w:top w:val="none" w:sz="0" w:space="0" w:color="auto"/>
        <w:left w:val="none" w:sz="0" w:space="0" w:color="auto"/>
        <w:bottom w:val="none" w:sz="0" w:space="0" w:color="auto"/>
        <w:right w:val="none" w:sz="0" w:space="0" w:color="auto"/>
      </w:divBdr>
    </w:div>
    <w:div w:id="1698659649">
      <w:bodyDiv w:val="1"/>
      <w:marLeft w:val="0"/>
      <w:marRight w:val="0"/>
      <w:marTop w:val="0"/>
      <w:marBottom w:val="0"/>
      <w:divBdr>
        <w:top w:val="none" w:sz="0" w:space="0" w:color="auto"/>
        <w:left w:val="none" w:sz="0" w:space="0" w:color="auto"/>
        <w:bottom w:val="none" w:sz="0" w:space="0" w:color="auto"/>
        <w:right w:val="none" w:sz="0" w:space="0" w:color="auto"/>
      </w:divBdr>
    </w:div>
    <w:div w:id="1698844271">
      <w:bodyDiv w:val="1"/>
      <w:marLeft w:val="0"/>
      <w:marRight w:val="0"/>
      <w:marTop w:val="0"/>
      <w:marBottom w:val="0"/>
      <w:divBdr>
        <w:top w:val="none" w:sz="0" w:space="0" w:color="auto"/>
        <w:left w:val="none" w:sz="0" w:space="0" w:color="auto"/>
        <w:bottom w:val="none" w:sz="0" w:space="0" w:color="auto"/>
        <w:right w:val="none" w:sz="0" w:space="0" w:color="auto"/>
      </w:divBdr>
    </w:div>
    <w:div w:id="1699042736">
      <w:bodyDiv w:val="1"/>
      <w:marLeft w:val="0"/>
      <w:marRight w:val="0"/>
      <w:marTop w:val="0"/>
      <w:marBottom w:val="0"/>
      <w:divBdr>
        <w:top w:val="none" w:sz="0" w:space="0" w:color="auto"/>
        <w:left w:val="none" w:sz="0" w:space="0" w:color="auto"/>
        <w:bottom w:val="none" w:sz="0" w:space="0" w:color="auto"/>
        <w:right w:val="none" w:sz="0" w:space="0" w:color="auto"/>
      </w:divBdr>
    </w:div>
    <w:div w:id="1699089127">
      <w:bodyDiv w:val="1"/>
      <w:marLeft w:val="0"/>
      <w:marRight w:val="0"/>
      <w:marTop w:val="0"/>
      <w:marBottom w:val="0"/>
      <w:divBdr>
        <w:top w:val="none" w:sz="0" w:space="0" w:color="auto"/>
        <w:left w:val="none" w:sz="0" w:space="0" w:color="auto"/>
        <w:bottom w:val="none" w:sz="0" w:space="0" w:color="auto"/>
        <w:right w:val="none" w:sz="0" w:space="0" w:color="auto"/>
      </w:divBdr>
    </w:div>
    <w:div w:id="1699509062">
      <w:bodyDiv w:val="1"/>
      <w:marLeft w:val="0"/>
      <w:marRight w:val="0"/>
      <w:marTop w:val="0"/>
      <w:marBottom w:val="0"/>
      <w:divBdr>
        <w:top w:val="none" w:sz="0" w:space="0" w:color="auto"/>
        <w:left w:val="none" w:sz="0" w:space="0" w:color="auto"/>
        <w:bottom w:val="none" w:sz="0" w:space="0" w:color="auto"/>
        <w:right w:val="none" w:sz="0" w:space="0" w:color="auto"/>
      </w:divBdr>
    </w:div>
    <w:div w:id="1700739185">
      <w:bodyDiv w:val="1"/>
      <w:marLeft w:val="0"/>
      <w:marRight w:val="0"/>
      <w:marTop w:val="0"/>
      <w:marBottom w:val="0"/>
      <w:divBdr>
        <w:top w:val="none" w:sz="0" w:space="0" w:color="auto"/>
        <w:left w:val="none" w:sz="0" w:space="0" w:color="auto"/>
        <w:bottom w:val="none" w:sz="0" w:space="0" w:color="auto"/>
        <w:right w:val="none" w:sz="0" w:space="0" w:color="auto"/>
      </w:divBdr>
    </w:div>
    <w:div w:id="1701199460">
      <w:bodyDiv w:val="1"/>
      <w:marLeft w:val="0"/>
      <w:marRight w:val="0"/>
      <w:marTop w:val="0"/>
      <w:marBottom w:val="0"/>
      <w:divBdr>
        <w:top w:val="none" w:sz="0" w:space="0" w:color="auto"/>
        <w:left w:val="none" w:sz="0" w:space="0" w:color="auto"/>
        <w:bottom w:val="none" w:sz="0" w:space="0" w:color="auto"/>
        <w:right w:val="none" w:sz="0" w:space="0" w:color="auto"/>
      </w:divBdr>
    </w:div>
    <w:div w:id="1701319586">
      <w:bodyDiv w:val="1"/>
      <w:marLeft w:val="0"/>
      <w:marRight w:val="0"/>
      <w:marTop w:val="0"/>
      <w:marBottom w:val="0"/>
      <w:divBdr>
        <w:top w:val="none" w:sz="0" w:space="0" w:color="auto"/>
        <w:left w:val="none" w:sz="0" w:space="0" w:color="auto"/>
        <w:bottom w:val="none" w:sz="0" w:space="0" w:color="auto"/>
        <w:right w:val="none" w:sz="0" w:space="0" w:color="auto"/>
      </w:divBdr>
    </w:div>
    <w:div w:id="1701513941">
      <w:bodyDiv w:val="1"/>
      <w:marLeft w:val="0"/>
      <w:marRight w:val="0"/>
      <w:marTop w:val="0"/>
      <w:marBottom w:val="0"/>
      <w:divBdr>
        <w:top w:val="none" w:sz="0" w:space="0" w:color="auto"/>
        <w:left w:val="none" w:sz="0" w:space="0" w:color="auto"/>
        <w:bottom w:val="none" w:sz="0" w:space="0" w:color="auto"/>
        <w:right w:val="none" w:sz="0" w:space="0" w:color="auto"/>
      </w:divBdr>
    </w:div>
    <w:div w:id="1702583299">
      <w:bodyDiv w:val="1"/>
      <w:marLeft w:val="0"/>
      <w:marRight w:val="0"/>
      <w:marTop w:val="0"/>
      <w:marBottom w:val="0"/>
      <w:divBdr>
        <w:top w:val="none" w:sz="0" w:space="0" w:color="auto"/>
        <w:left w:val="none" w:sz="0" w:space="0" w:color="auto"/>
        <w:bottom w:val="none" w:sz="0" w:space="0" w:color="auto"/>
        <w:right w:val="none" w:sz="0" w:space="0" w:color="auto"/>
      </w:divBdr>
    </w:div>
    <w:div w:id="1702785659">
      <w:bodyDiv w:val="1"/>
      <w:marLeft w:val="0"/>
      <w:marRight w:val="0"/>
      <w:marTop w:val="0"/>
      <w:marBottom w:val="0"/>
      <w:divBdr>
        <w:top w:val="none" w:sz="0" w:space="0" w:color="auto"/>
        <w:left w:val="none" w:sz="0" w:space="0" w:color="auto"/>
        <w:bottom w:val="none" w:sz="0" w:space="0" w:color="auto"/>
        <w:right w:val="none" w:sz="0" w:space="0" w:color="auto"/>
      </w:divBdr>
    </w:div>
    <w:div w:id="1702785672">
      <w:bodyDiv w:val="1"/>
      <w:marLeft w:val="0"/>
      <w:marRight w:val="0"/>
      <w:marTop w:val="0"/>
      <w:marBottom w:val="0"/>
      <w:divBdr>
        <w:top w:val="none" w:sz="0" w:space="0" w:color="auto"/>
        <w:left w:val="none" w:sz="0" w:space="0" w:color="auto"/>
        <w:bottom w:val="none" w:sz="0" w:space="0" w:color="auto"/>
        <w:right w:val="none" w:sz="0" w:space="0" w:color="auto"/>
      </w:divBdr>
    </w:div>
    <w:div w:id="1703092956">
      <w:bodyDiv w:val="1"/>
      <w:marLeft w:val="0"/>
      <w:marRight w:val="0"/>
      <w:marTop w:val="0"/>
      <w:marBottom w:val="0"/>
      <w:divBdr>
        <w:top w:val="none" w:sz="0" w:space="0" w:color="auto"/>
        <w:left w:val="none" w:sz="0" w:space="0" w:color="auto"/>
        <w:bottom w:val="none" w:sz="0" w:space="0" w:color="auto"/>
        <w:right w:val="none" w:sz="0" w:space="0" w:color="auto"/>
      </w:divBdr>
    </w:div>
    <w:div w:id="1703166226">
      <w:bodyDiv w:val="1"/>
      <w:marLeft w:val="0"/>
      <w:marRight w:val="0"/>
      <w:marTop w:val="0"/>
      <w:marBottom w:val="0"/>
      <w:divBdr>
        <w:top w:val="none" w:sz="0" w:space="0" w:color="auto"/>
        <w:left w:val="none" w:sz="0" w:space="0" w:color="auto"/>
        <w:bottom w:val="none" w:sz="0" w:space="0" w:color="auto"/>
        <w:right w:val="none" w:sz="0" w:space="0" w:color="auto"/>
      </w:divBdr>
    </w:div>
    <w:div w:id="1703286069">
      <w:bodyDiv w:val="1"/>
      <w:marLeft w:val="0"/>
      <w:marRight w:val="0"/>
      <w:marTop w:val="0"/>
      <w:marBottom w:val="0"/>
      <w:divBdr>
        <w:top w:val="none" w:sz="0" w:space="0" w:color="auto"/>
        <w:left w:val="none" w:sz="0" w:space="0" w:color="auto"/>
        <w:bottom w:val="none" w:sz="0" w:space="0" w:color="auto"/>
        <w:right w:val="none" w:sz="0" w:space="0" w:color="auto"/>
      </w:divBdr>
    </w:div>
    <w:div w:id="1704017685">
      <w:bodyDiv w:val="1"/>
      <w:marLeft w:val="0"/>
      <w:marRight w:val="0"/>
      <w:marTop w:val="0"/>
      <w:marBottom w:val="0"/>
      <w:divBdr>
        <w:top w:val="none" w:sz="0" w:space="0" w:color="auto"/>
        <w:left w:val="none" w:sz="0" w:space="0" w:color="auto"/>
        <w:bottom w:val="none" w:sz="0" w:space="0" w:color="auto"/>
        <w:right w:val="none" w:sz="0" w:space="0" w:color="auto"/>
      </w:divBdr>
    </w:div>
    <w:div w:id="1704019780">
      <w:bodyDiv w:val="1"/>
      <w:marLeft w:val="0"/>
      <w:marRight w:val="0"/>
      <w:marTop w:val="0"/>
      <w:marBottom w:val="0"/>
      <w:divBdr>
        <w:top w:val="none" w:sz="0" w:space="0" w:color="auto"/>
        <w:left w:val="none" w:sz="0" w:space="0" w:color="auto"/>
        <w:bottom w:val="none" w:sz="0" w:space="0" w:color="auto"/>
        <w:right w:val="none" w:sz="0" w:space="0" w:color="auto"/>
      </w:divBdr>
    </w:div>
    <w:div w:id="1704329588">
      <w:bodyDiv w:val="1"/>
      <w:marLeft w:val="0"/>
      <w:marRight w:val="0"/>
      <w:marTop w:val="0"/>
      <w:marBottom w:val="0"/>
      <w:divBdr>
        <w:top w:val="none" w:sz="0" w:space="0" w:color="auto"/>
        <w:left w:val="none" w:sz="0" w:space="0" w:color="auto"/>
        <w:bottom w:val="none" w:sz="0" w:space="0" w:color="auto"/>
        <w:right w:val="none" w:sz="0" w:space="0" w:color="auto"/>
      </w:divBdr>
    </w:div>
    <w:div w:id="1704557176">
      <w:bodyDiv w:val="1"/>
      <w:marLeft w:val="0"/>
      <w:marRight w:val="0"/>
      <w:marTop w:val="0"/>
      <w:marBottom w:val="0"/>
      <w:divBdr>
        <w:top w:val="none" w:sz="0" w:space="0" w:color="auto"/>
        <w:left w:val="none" w:sz="0" w:space="0" w:color="auto"/>
        <w:bottom w:val="none" w:sz="0" w:space="0" w:color="auto"/>
        <w:right w:val="none" w:sz="0" w:space="0" w:color="auto"/>
      </w:divBdr>
    </w:div>
    <w:div w:id="1705054451">
      <w:bodyDiv w:val="1"/>
      <w:marLeft w:val="0"/>
      <w:marRight w:val="0"/>
      <w:marTop w:val="0"/>
      <w:marBottom w:val="0"/>
      <w:divBdr>
        <w:top w:val="none" w:sz="0" w:space="0" w:color="auto"/>
        <w:left w:val="none" w:sz="0" w:space="0" w:color="auto"/>
        <w:bottom w:val="none" w:sz="0" w:space="0" w:color="auto"/>
        <w:right w:val="none" w:sz="0" w:space="0" w:color="auto"/>
      </w:divBdr>
    </w:div>
    <w:div w:id="1705061114">
      <w:bodyDiv w:val="1"/>
      <w:marLeft w:val="0"/>
      <w:marRight w:val="0"/>
      <w:marTop w:val="0"/>
      <w:marBottom w:val="0"/>
      <w:divBdr>
        <w:top w:val="none" w:sz="0" w:space="0" w:color="auto"/>
        <w:left w:val="none" w:sz="0" w:space="0" w:color="auto"/>
        <w:bottom w:val="none" w:sz="0" w:space="0" w:color="auto"/>
        <w:right w:val="none" w:sz="0" w:space="0" w:color="auto"/>
      </w:divBdr>
    </w:div>
    <w:div w:id="1705061964">
      <w:bodyDiv w:val="1"/>
      <w:marLeft w:val="0"/>
      <w:marRight w:val="0"/>
      <w:marTop w:val="0"/>
      <w:marBottom w:val="0"/>
      <w:divBdr>
        <w:top w:val="none" w:sz="0" w:space="0" w:color="auto"/>
        <w:left w:val="none" w:sz="0" w:space="0" w:color="auto"/>
        <w:bottom w:val="none" w:sz="0" w:space="0" w:color="auto"/>
        <w:right w:val="none" w:sz="0" w:space="0" w:color="auto"/>
      </w:divBdr>
    </w:div>
    <w:div w:id="1705252684">
      <w:bodyDiv w:val="1"/>
      <w:marLeft w:val="0"/>
      <w:marRight w:val="0"/>
      <w:marTop w:val="0"/>
      <w:marBottom w:val="0"/>
      <w:divBdr>
        <w:top w:val="none" w:sz="0" w:space="0" w:color="auto"/>
        <w:left w:val="none" w:sz="0" w:space="0" w:color="auto"/>
        <w:bottom w:val="none" w:sz="0" w:space="0" w:color="auto"/>
        <w:right w:val="none" w:sz="0" w:space="0" w:color="auto"/>
      </w:divBdr>
    </w:div>
    <w:div w:id="1705710461">
      <w:bodyDiv w:val="1"/>
      <w:marLeft w:val="0"/>
      <w:marRight w:val="0"/>
      <w:marTop w:val="0"/>
      <w:marBottom w:val="0"/>
      <w:divBdr>
        <w:top w:val="none" w:sz="0" w:space="0" w:color="auto"/>
        <w:left w:val="none" w:sz="0" w:space="0" w:color="auto"/>
        <w:bottom w:val="none" w:sz="0" w:space="0" w:color="auto"/>
        <w:right w:val="none" w:sz="0" w:space="0" w:color="auto"/>
      </w:divBdr>
    </w:div>
    <w:div w:id="1705786883">
      <w:bodyDiv w:val="1"/>
      <w:marLeft w:val="0"/>
      <w:marRight w:val="0"/>
      <w:marTop w:val="0"/>
      <w:marBottom w:val="0"/>
      <w:divBdr>
        <w:top w:val="none" w:sz="0" w:space="0" w:color="auto"/>
        <w:left w:val="none" w:sz="0" w:space="0" w:color="auto"/>
        <w:bottom w:val="none" w:sz="0" w:space="0" w:color="auto"/>
        <w:right w:val="none" w:sz="0" w:space="0" w:color="auto"/>
      </w:divBdr>
    </w:div>
    <w:div w:id="1706250872">
      <w:bodyDiv w:val="1"/>
      <w:marLeft w:val="0"/>
      <w:marRight w:val="0"/>
      <w:marTop w:val="0"/>
      <w:marBottom w:val="0"/>
      <w:divBdr>
        <w:top w:val="none" w:sz="0" w:space="0" w:color="auto"/>
        <w:left w:val="none" w:sz="0" w:space="0" w:color="auto"/>
        <w:bottom w:val="none" w:sz="0" w:space="0" w:color="auto"/>
        <w:right w:val="none" w:sz="0" w:space="0" w:color="auto"/>
      </w:divBdr>
    </w:div>
    <w:div w:id="1706371806">
      <w:bodyDiv w:val="1"/>
      <w:marLeft w:val="0"/>
      <w:marRight w:val="0"/>
      <w:marTop w:val="0"/>
      <w:marBottom w:val="0"/>
      <w:divBdr>
        <w:top w:val="none" w:sz="0" w:space="0" w:color="auto"/>
        <w:left w:val="none" w:sz="0" w:space="0" w:color="auto"/>
        <w:bottom w:val="none" w:sz="0" w:space="0" w:color="auto"/>
        <w:right w:val="none" w:sz="0" w:space="0" w:color="auto"/>
      </w:divBdr>
    </w:div>
    <w:div w:id="1706514704">
      <w:bodyDiv w:val="1"/>
      <w:marLeft w:val="0"/>
      <w:marRight w:val="0"/>
      <w:marTop w:val="0"/>
      <w:marBottom w:val="0"/>
      <w:divBdr>
        <w:top w:val="none" w:sz="0" w:space="0" w:color="auto"/>
        <w:left w:val="none" w:sz="0" w:space="0" w:color="auto"/>
        <w:bottom w:val="none" w:sz="0" w:space="0" w:color="auto"/>
        <w:right w:val="none" w:sz="0" w:space="0" w:color="auto"/>
      </w:divBdr>
    </w:div>
    <w:div w:id="1706518184">
      <w:bodyDiv w:val="1"/>
      <w:marLeft w:val="0"/>
      <w:marRight w:val="0"/>
      <w:marTop w:val="0"/>
      <w:marBottom w:val="0"/>
      <w:divBdr>
        <w:top w:val="none" w:sz="0" w:space="0" w:color="auto"/>
        <w:left w:val="none" w:sz="0" w:space="0" w:color="auto"/>
        <w:bottom w:val="none" w:sz="0" w:space="0" w:color="auto"/>
        <w:right w:val="none" w:sz="0" w:space="0" w:color="auto"/>
      </w:divBdr>
    </w:div>
    <w:div w:id="1707368833">
      <w:bodyDiv w:val="1"/>
      <w:marLeft w:val="0"/>
      <w:marRight w:val="0"/>
      <w:marTop w:val="0"/>
      <w:marBottom w:val="0"/>
      <w:divBdr>
        <w:top w:val="none" w:sz="0" w:space="0" w:color="auto"/>
        <w:left w:val="none" w:sz="0" w:space="0" w:color="auto"/>
        <w:bottom w:val="none" w:sz="0" w:space="0" w:color="auto"/>
        <w:right w:val="none" w:sz="0" w:space="0" w:color="auto"/>
      </w:divBdr>
    </w:div>
    <w:div w:id="1707556411">
      <w:bodyDiv w:val="1"/>
      <w:marLeft w:val="0"/>
      <w:marRight w:val="0"/>
      <w:marTop w:val="0"/>
      <w:marBottom w:val="0"/>
      <w:divBdr>
        <w:top w:val="none" w:sz="0" w:space="0" w:color="auto"/>
        <w:left w:val="none" w:sz="0" w:space="0" w:color="auto"/>
        <w:bottom w:val="none" w:sz="0" w:space="0" w:color="auto"/>
        <w:right w:val="none" w:sz="0" w:space="0" w:color="auto"/>
      </w:divBdr>
    </w:div>
    <w:div w:id="1707869571">
      <w:bodyDiv w:val="1"/>
      <w:marLeft w:val="0"/>
      <w:marRight w:val="0"/>
      <w:marTop w:val="0"/>
      <w:marBottom w:val="0"/>
      <w:divBdr>
        <w:top w:val="none" w:sz="0" w:space="0" w:color="auto"/>
        <w:left w:val="none" w:sz="0" w:space="0" w:color="auto"/>
        <w:bottom w:val="none" w:sz="0" w:space="0" w:color="auto"/>
        <w:right w:val="none" w:sz="0" w:space="0" w:color="auto"/>
      </w:divBdr>
    </w:div>
    <w:div w:id="1707870025">
      <w:bodyDiv w:val="1"/>
      <w:marLeft w:val="0"/>
      <w:marRight w:val="0"/>
      <w:marTop w:val="0"/>
      <w:marBottom w:val="0"/>
      <w:divBdr>
        <w:top w:val="none" w:sz="0" w:space="0" w:color="auto"/>
        <w:left w:val="none" w:sz="0" w:space="0" w:color="auto"/>
        <w:bottom w:val="none" w:sz="0" w:space="0" w:color="auto"/>
        <w:right w:val="none" w:sz="0" w:space="0" w:color="auto"/>
      </w:divBdr>
    </w:div>
    <w:div w:id="1708024570">
      <w:bodyDiv w:val="1"/>
      <w:marLeft w:val="0"/>
      <w:marRight w:val="0"/>
      <w:marTop w:val="0"/>
      <w:marBottom w:val="0"/>
      <w:divBdr>
        <w:top w:val="none" w:sz="0" w:space="0" w:color="auto"/>
        <w:left w:val="none" w:sz="0" w:space="0" w:color="auto"/>
        <w:bottom w:val="none" w:sz="0" w:space="0" w:color="auto"/>
        <w:right w:val="none" w:sz="0" w:space="0" w:color="auto"/>
      </w:divBdr>
    </w:div>
    <w:div w:id="1708137031">
      <w:bodyDiv w:val="1"/>
      <w:marLeft w:val="0"/>
      <w:marRight w:val="0"/>
      <w:marTop w:val="0"/>
      <w:marBottom w:val="0"/>
      <w:divBdr>
        <w:top w:val="none" w:sz="0" w:space="0" w:color="auto"/>
        <w:left w:val="none" w:sz="0" w:space="0" w:color="auto"/>
        <w:bottom w:val="none" w:sz="0" w:space="0" w:color="auto"/>
        <w:right w:val="none" w:sz="0" w:space="0" w:color="auto"/>
      </w:divBdr>
    </w:div>
    <w:div w:id="1708213352">
      <w:bodyDiv w:val="1"/>
      <w:marLeft w:val="0"/>
      <w:marRight w:val="0"/>
      <w:marTop w:val="0"/>
      <w:marBottom w:val="0"/>
      <w:divBdr>
        <w:top w:val="none" w:sz="0" w:space="0" w:color="auto"/>
        <w:left w:val="none" w:sz="0" w:space="0" w:color="auto"/>
        <w:bottom w:val="none" w:sz="0" w:space="0" w:color="auto"/>
        <w:right w:val="none" w:sz="0" w:space="0" w:color="auto"/>
      </w:divBdr>
    </w:div>
    <w:div w:id="1708797286">
      <w:bodyDiv w:val="1"/>
      <w:marLeft w:val="0"/>
      <w:marRight w:val="0"/>
      <w:marTop w:val="0"/>
      <w:marBottom w:val="0"/>
      <w:divBdr>
        <w:top w:val="none" w:sz="0" w:space="0" w:color="auto"/>
        <w:left w:val="none" w:sz="0" w:space="0" w:color="auto"/>
        <w:bottom w:val="none" w:sz="0" w:space="0" w:color="auto"/>
        <w:right w:val="none" w:sz="0" w:space="0" w:color="auto"/>
      </w:divBdr>
    </w:div>
    <w:div w:id="1708868632">
      <w:bodyDiv w:val="1"/>
      <w:marLeft w:val="0"/>
      <w:marRight w:val="0"/>
      <w:marTop w:val="0"/>
      <w:marBottom w:val="0"/>
      <w:divBdr>
        <w:top w:val="none" w:sz="0" w:space="0" w:color="auto"/>
        <w:left w:val="none" w:sz="0" w:space="0" w:color="auto"/>
        <w:bottom w:val="none" w:sz="0" w:space="0" w:color="auto"/>
        <w:right w:val="none" w:sz="0" w:space="0" w:color="auto"/>
      </w:divBdr>
    </w:div>
    <w:div w:id="1709186704">
      <w:bodyDiv w:val="1"/>
      <w:marLeft w:val="0"/>
      <w:marRight w:val="0"/>
      <w:marTop w:val="0"/>
      <w:marBottom w:val="0"/>
      <w:divBdr>
        <w:top w:val="none" w:sz="0" w:space="0" w:color="auto"/>
        <w:left w:val="none" w:sz="0" w:space="0" w:color="auto"/>
        <w:bottom w:val="none" w:sz="0" w:space="0" w:color="auto"/>
        <w:right w:val="none" w:sz="0" w:space="0" w:color="auto"/>
      </w:divBdr>
    </w:div>
    <w:div w:id="1710106761">
      <w:bodyDiv w:val="1"/>
      <w:marLeft w:val="0"/>
      <w:marRight w:val="0"/>
      <w:marTop w:val="0"/>
      <w:marBottom w:val="0"/>
      <w:divBdr>
        <w:top w:val="none" w:sz="0" w:space="0" w:color="auto"/>
        <w:left w:val="none" w:sz="0" w:space="0" w:color="auto"/>
        <w:bottom w:val="none" w:sz="0" w:space="0" w:color="auto"/>
        <w:right w:val="none" w:sz="0" w:space="0" w:color="auto"/>
      </w:divBdr>
    </w:div>
    <w:div w:id="1710297902">
      <w:bodyDiv w:val="1"/>
      <w:marLeft w:val="0"/>
      <w:marRight w:val="0"/>
      <w:marTop w:val="0"/>
      <w:marBottom w:val="0"/>
      <w:divBdr>
        <w:top w:val="none" w:sz="0" w:space="0" w:color="auto"/>
        <w:left w:val="none" w:sz="0" w:space="0" w:color="auto"/>
        <w:bottom w:val="none" w:sz="0" w:space="0" w:color="auto"/>
        <w:right w:val="none" w:sz="0" w:space="0" w:color="auto"/>
      </w:divBdr>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
    <w:div w:id="1711227077">
      <w:bodyDiv w:val="1"/>
      <w:marLeft w:val="0"/>
      <w:marRight w:val="0"/>
      <w:marTop w:val="0"/>
      <w:marBottom w:val="0"/>
      <w:divBdr>
        <w:top w:val="none" w:sz="0" w:space="0" w:color="auto"/>
        <w:left w:val="none" w:sz="0" w:space="0" w:color="auto"/>
        <w:bottom w:val="none" w:sz="0" w:space="0" w:color="auto"/>
        <w:right w:val="none" w:sz="0" w:space="0" w:color="auto"/>
      </w:divBdr>
    </w:div>
    <w:div w:id="1711684351">
      <w:bodyDiv w:val="1"/>
      <w:marLeft w:val="0"/>
      <w:marRight w:val="0"/>
      <w:marTop w:val="0"/>
      <w:marBottom w:val="0"/>
      <w:divBdr>
        <w:top w:val="none" w:sz="0" w:space="0" w:color="auto"/>
        <w:left w:val="none" w:sz="0" w:space="0" w:color="auto"/>
        <w:bottom w:val="none" w:sz="0" w:space="0" w:color="auto"/>
        <w:right w:val="none" w:sz="0" w:space="0" w:color="auto"/>
      </w:divBdr>
    </w:div>
    <w:div w:id="1711764450">
      <w:bodyDiv w:val="1"/>
      <w:marLeft w:val="0"/>
      <w:marRight w:val="0"/>
      <w:marTop w:val="0"/>
      <w:marBottom w:val="0"/>
      <w:divBdr>
        <w:top w:val="none" w:sz="0" w:space="0" w:color="auto"/>
        <w:left w:val="none" w:sz="0" w:space="0" w:color="auto"/>
        <w:bottom w:val="none" w:sz="0" w:space="0" w:color="auto"/>
        <w:right w:val="none" w:sz="0" w:space="0" w:color="auto"/>
      </w:divBdr>
    </w:div>
    <w:div w:id="1712270473">
      <w:bodyDiv w:val="1"/>
      <w:marLeft w:val="0"/>
      <w:marRight w:val="0"/>
      <w:marTop w:val="0"/>
      <w:marBottom w:val="0"/>
      <w:divBdr>
        <w:top w:val="none" w:sz="0" w:space="0" w:color="auto"/>
        <w:left w:val="none" w:sz="0" w:space="0" w:color="auto"/>
        <w:bottom w:val="none" w:sz="0" w:space="0" w:color="auto"/>
        <w:right w:val="none" w:sz="0" w:space="0" w:color="auto"/>
      </w:divBdr>
    </w:div>
    <w:div w:id="1713723501">
      <w:bodyDiv w:val="1"/>
      <w:marLeft w:val="0"/>
      <w:marRight w:val="0"/>
      <w:marTop w:val="0"/>
      <w:marBottom w:val="0"/>
      <w:divBdr>
        <w:top w:val="none" w:sz="0" w:space="0" w:color="auto"/>
        <w:left w:val="none" w:sz="0" w:space="0" w:color="auto"/>
        <w:bottom w:val="none" w:sz="0" w:space="0" w:color="auto"/>
        <w:right w:val="none" w:sz="0" w:space="0" w:color="auto"/>
      </w:divBdr>
    </w:div>
    <w:div w:id="1713725929">
      <w:bodyDiv w:val="1"/>
      <w:marLeft w:val="0"/>
      <w:marRight w:val="0"/>
      <w:marTop w:val="0"/>
      <w:marBottom w:val="0"/>
      <w:divBdr>
        <w:top w:val="none" w:sz="0" w:space="0" w:color="auto"/>
        <w:left w:val="none" w:sz="0" w:space="0" w:color="auto"/>
        <w:bottom w:val="none" w:sz="0" w:space="0" w:color="auto"/>
        <w:right w:val="none" w:sz="0" w:space="0" w:color="auto"/>
      </w:divBdr>
    </w:div>
    <w:div w:id="1714118445">
      <w:bodyDiv w:val="1"/>
      <w:marLeft w:val="0"/>
      <w:marRight w:val="0"/>
      <w:marTop w:val="0"/>
      <w:marBottom w:val="0"/>
      <w:divBdr>
        <w:top w:val="none" w:sz="0" w:space="0" w:color="auto"/>
        <w:left w:val="none" w:sz="0" w:space="0" w:color="auto"/>
        <w:bottom w:val="none" w:sz="0" w:space="0" w:color="auto"/>
        <w:right w:val="none" w:sz="0" w:space="0" w:color="auto"/>
      </w:divBdr>
    </w:div>
    <w:div w:id="1714502429">
      <w:bodyDiv w:val="1"/>
      <w:marLeft w:val="0"/>
      <w:marRight w:val="0"/>
      <w:marTop w:val="0"/>
      <w:marBottom w:val="0"/>
      <w:divBdr>
        <w:top w:val="none" w:sz="0" w:space="0" w:color="auto"/>
        <w:left w:val="none" w:sz="0" w:space="0" w:color="auto"/>
        <w:bottom w:val="none" w:sz="0" w:space="0" w:color="auto"/>
        <w:right w:val="none" w:sz="0" w:space="0" w:color="auto"/>
      </w:divBdr>
    </w:div>
    <w:div w:id="1714841227">
      <w:bodyDiv w:val="1"/>
      <w:marLeft w:val="0"/>
      <w:marRight w:val="0"/>
      <w:marTop w:val="0"/>
      <w:marBottom w:val="0"/>
      <w:divBdr>
        <w:top w:val="none" w:sz="0" w:space="0" w:color="auto"/>
        <w:left w:val="none" w:sz="0" w:space="0" w:color="auto"/>
        <w:bottom w:val="none" w:sz="0" w:space="0" w:color="auto"/>
        <w:right w:val="none" w:sz="0" w:space="0" w:color="auto"/>
      </w:divBdr>
    </w:div>
    <w:div w:id="1715037093">
      <w:bodyDiv w:val="1"/>
      <w:marLeft w:val="0"/>
      <w:marRight w:val="0"/>
      <w:marTop w:val="0"/>
      <w:marBottom w:val="0"/>
      <w:divBdr>
        <w:top w:val="none" w:sz="0" w:space="0" w:color="auto"/>
        <w:left w:val="none" w:sz="0" w:space="0" w:color="auto"/>
        <w:bottom w:val="none" w:sz="0" w:space="0" w:color="auto"/>
        <w:right w:val="none" w:sz="0" w:space="0" w:color="auto"/>
      </w:divBdr>
    </w:div>
    <w:div w:id="1715079094">
      <w:bodyDiv w:val="1"/>
      <w:marLeft w:val="0"/>
      <w:marRight w:val="0"/>
      <w:marTop w:val="0"/>
      <w:marBottom w:val="0"/>
      <w:divBdr>
        <w:top w:val="none" w:sz="0" w:space="0" w:color="auto"/>
        <w:left w:val="none" w:sz="0" w:space="0" w:color="auto"/>
        <w:bottom w:val="none" w:sz="0" w:space="0" w:color="auto"/>
        <w:right w:val="none" w:sz="0" w:space="0" w:color="auto"/>
      </w:divBdr>
    </w:div>
    <w:div w:id="1715150916">
      <w:bodyDiv w:val="1"/>
      <w:marLeft w:val="0"/>
      <w:marRight w:val="0"/>
      <w:marTop w:val="0"/>
      <w:marBottom w:val="0"/>
      <w:divBdr>
        <w:top w:val="none" w:sz="0" w:space="0" w:color="auto"/>
        <w:left w:val="none" w:sz="0" w:space="0" w:color="auto"/>
        <w:bottom w:val="none" w:sz="0" w:space="0" w:color="auto"/>
        <w:right w:val="none" w:sz="0" w:space="0" w:color="auto"/>
      </w:divBdr>
    </w:div>
    <w:div w:id="1715157408">
      <w:bodyDiv w:val="1"/>
      <w:marLeft w:val="0"/>
      <w:marRight w:val="0"/>
      <w:marTop w:val="0"/>
      <w:marBottom w:val="0"/>
      <w:divBdr>
        <w:top w:val="none" w:sz="0" w:space="0" w:color="auto"/>
        <w:left w:val="none" w:sz="0" w:space="0" w:color="auto"/>
        <w:bottom w:val="none" w:sz="0" w:space="0" w:color="auto"/>
        <w:right w:val="none" w:sz="0" w:space="0" w:color="auto"/>
      </w:divBdr>
    </w:div>
    <w:div w:id="1715545626">
      <w:bodyDiv w:val="1"/>
      <w:marLeft w:val="0"/>
      <w:marRight w:val="0"/>
      <w:marTop w:val="0"/>
      <w:marBottom w:val="0"/>
      <w:divBdr>
        <w:top w:val="none" w:sz="0" w:space="0" w:color="auto"/>
        <w:left w:val="none" w:sz="0" w:space="0" w:color="auto"/>
        <w:bottom w:val="none" w:sz="0" w:space="0" w:color="auto"/>
        <w:right w:val="none" w:sz="0" w:space="0" w:color="auto"/>
      </w:divBdr>
    </w:div>
    <w:div w:id="1715694917">
      <w:bodyDiv w:val="1"/>
      <w:marLeft w:val="0"/>
      <w:marRight w:val="0"/>
      <w:marTop w:val="0"/>
      <w:marBottom w:val="0"/>
      <w:divBdr>
        <w:top w:val="none" w:sz="0" w:space="0" w:color="auto"/>
        <w:left w:val="none" w:sz="0" w:space="0" w:color="auto"/>
        <w:bottom w:val="none" w:sz="0" w:space="0" w:color="auto"/>
        <w:right w:val="none" w:sz="0" w:space="0" w:color="auto"/>
      </w:divBdr>
    </w:div>
    <w:div w:id="1716080584">
      <w:bodyDiv w:val="1"/>
      <w:marLeft w:val="0"/>
      <w:marRight w:val="0"/>
      <w:marTop w:val="0"/>
      <w:marBottom w:val="0"/>
      <w:divBdr>
        <w:top w:val="none" w:sz="0" w:space="0" w:color="auto"/>
        <w:left w:val="none" w:sz="0" w:space="0" w:color="auto"/>
        <w:bottom w:val="none" w:sz="0" w:space="0" w:color="auto"/>
        <w:right w:val="none" w:sz="0" w:space="0" w:color="auto"/>
      </w:divBdr>
    </w:div>
    <w:div w:id="1716151301">
      <w:bodyDiv w:val="1"/>
      <w:marLeft w:val="0"/>
      <w:marRight w:val="0"/>
      <w:marTop w:val="0"/>
      <w:marBottom w:val="0"/>
      <w:divBdr>
        <w:top w:val="none" w:sz="0" w:space="0" w:color="auto"/>
        <w:left w:val="none" w:sz="0" w:space="0" w:color="auto"/>
        <w:bottom w:val="none" w:sz="0" w:space="0" w:color="auto"/>
        <w:right w:val="none" w:sz="0" w:space="0" w:color="auto"/>
      </w:divBdr>
    </w:div>
    <w:div w:id="1717510542">
      <w:bodyDiv w:val="1"/>
      <w:marLeft w:val="0"/>
      <w:marRight w:val="0"/>
      <w:marTop w:val="0"/>
      <w:marBottom w:val="0"/>
      <w:divBdr>
        <w:top w:val="none" w:sz="0" w:space="0" w:color="auto"/>
        <w:left w:val="none" w:sz="0" w:space="0" w:color="auto"/>
        <w:bottom w:val="none" w:sz="0" w:space="0" w:color="auto"/>
        <w:right w:val="none" w:sz="0" w:space="0" w:color="auto"/>
      </w:divBdr>
    </w:div>
    <w:div w:id="1717972452">
      <w:bodyDiv w:val="1"/>
      <w:marLeft w:val="0"/>
      <w:marRight w:val="0"/>
      <w:marTop w:val="0"/>
      <w:marBottom w:val="0"/>
      <w:divBdr>
        <w:top w:val="none" w:sz="0" w:space="0" w:color="auto"/>
        <w:left w:val="none" w:sz="0" w:space="0" w:color="auto"/>
        <w:bottom w:val="none" w:sz="0" w:space="0" w:color="auto"/>
        <w:right w:val="none" w:sz="0" w:space="0" w:color="auto"/>
      </w:divBdr>
    </w:div>
    <w:div w:id="1718778366">
      <w:bodyDiv w:val="1"/>
      <w:marLeft w:val="0"/>
      <w:marRight w:val="0"/>
      <w:marTop w:val="0"/>
      <w:marBottom w:val="0"/>
      <w:divBdr>
        <w:top w:val="none" w:sz="0" w:space="0" w:color="auto"/>
        <w:left w:val="none" w:sz="0" w:space="0" w:color="auto"/>
        <w:bottom w:val="none" w:sz="0" w:space="0" w:color="auto"/>
        <w:right w:val="none" w:sz="0" w:space="0" w:color="auto"/>
      </w:divBdr>
    </w:div>
    <w:div w:id="1719548242">
      <w:bodyDiv w:val="1"/>
      <w:marLeft w:val="0"/>
      <w:marRight w:val="0"/>
      <w:marTop w:val="0"/>
      <w:marBottom w:val="0"/>
      <w:divBdr>
        <w:top w:val="none" w:sz="0" w:space="0" w:color="auto"/>
        <w:left w:val="none" w:sz="0" w:space="0" w:color="auto"/>
        <w:bottom w:val="none" w:sz="0" w:space="0" w:color="auto"/>
        <w:right w:val="none" w:sz="0" w:space="0" w:color="auto"/>
      </w:divBdr>
    </w:div>
    <w:div w:id="1719624490">
      <w:bodyDiv w:val="1"/>
      <w:marLeft w:val="0"/>
      <w:marRight w:val="0"/>
      <w:marTop w:val="0"/>
      <w:marBottom w:val="0"/>
      <w:divBdr>
        <w:top w:val="none" w:sz="0" w:space="0" w:color="auto"/>
        <w:left w:val="none" w:sz="0" w:space="0" w:color="auto"/>
        <w:bottom w:val="none" w:sz="0" w:space="0" w:color="auto"/>
        <w:right w:val="none" w:sz="0" w:space="0" w:color="auto"/>
      </w:divBdr>
    </w:div>
    <w:div w:id="1719931747">
      <w:bodyDiv w:val="1"/>
      <w:marLeft w:val="0"/>
      <w:marRight w:val="0"/>
      <w:marTop w:val="0"/>
      <w:marBottom w:val="0"/>
      <w:divBdr>
        <w:top w:val="none" w:sz="0" w:space="0" w:color="auto"/>
        <w:left w:val="none" w:sz="0" w:space="0" w:color="auto"/>
        <w:bottom w:val="none" w:sz="0" w:space="0" w:color="auto"/>
        <w:right w:val="none" w:sz="0" w:space="0" w:color="auto"/>
      </w:divBdr>
    </w:div>
    <w:div w:id="1720084925">
      <w:bodyDiv w:val="1"/>
      <w:marLeft w:val="0"/>
      <w:marRight w:val="0"/>
      <w:marTop w:val="0"/>
      <w:marBottom w:val="0"/>
      <w:divBdr>
        <w:top w:val="none" w:sz="0" w:space="0" w:color="auto"/>
        <w:left w:val="none" w:sz="0" w:space="0" w:color="auto"/>
        <w:bottom w:val="none" w:sz="0" w:space="0" w:color="auto"/>
        <w:right w:val="none" w:sz="0" w:space="0" w:color="auto"/>
      </w:divBdr>
    </w:div>
    <w:div w:id="1722752923">
      <w:bodyDiv w:val="1"/>
      <w:marLeft w:val="0"/>
      <w:marRight w:val="0"/>
      <w:marTop w:val="0"/>
      <w:marBottom w:val="0"/>
      <w:divBdr>
        <w:top w:val="none" w:sz="0" w:space="0" w:color="auto"/>
        <w:left w:val="none" w:sz="0" w:space="0" w:color="auto"/>
        <w:bottom w:val="none" w:sz="0" w:space="0" w:color="auto"/>
        <w:right w:val="none" w:sz="0" w:space="0" w:color="auto"/>
      </w:divBdr>
    </w:div>
    <w:div w:id="1724672235">
      <w:bodyDiv w:val="1"/>
      <w:marLeft w:val="0"/>
      <w:marRight w:val="0"/>
      <w:marTop w:val="0"/>
      <w:marBottom w:val="0"/>
      <w:divBdr>
        <w:top w:val="none" w:sz="0" w:space="0" w:color="auto"/>
        <w:left w:val="none" w:sz="0" w:space="0" w:color="auto"/>
        <w:bottom w:val="none" w:sz="0" w:space="0" w:color="auto"/>
        <w:right w:val="none" w:sz="0" w:space="0" w:color="auto"/>
      </w:divBdr>
    </w:div>
    <w:div w:id="1724711163">
      <w:bodyDiv w:val="1"/>
      <w:marLeft w:val="0"/>
      <w:marRight w:val="0"/>
      <w:marTop w:val="0"/>
      <w:marBottom w:val="0"/>
      <w:divBdr>
        <w:top w:val="none" w:sz="0" w:space="0" w:color="auto"/>
        <w:left w:val="none" w:sz="0" w:space="0" w:color="auto"/>
        <w:bottom w:val="none" w:sz="0" w:space="0" w:color="auto"/>
        <w:right w:val="none" w:sz="0" w:space="0" w:color="auto"/>
      </w:divBdr>
    </w:div>
    <w:div w:id="1725254655">
      <w:bodyDiv w:val="1"/>
      <w:marLeft w:val="0"/>
      <w:marRight w:val="0"/>
      <w:marTop w:val="0"/>
      <w:marBottom w:val="0"/>
      <w:divBdr>
        <w:top w:val="none" w:sz="0" w:space="0" w:color="auto"/>
        <w:left w:val="none" w:sz="0" w:space="0" w:color="auto"/>
        <w:bottom w:val="none" w:sz="0" w:space="0" w:color="auto"/>
        <w:right w:val="none" w:sz="0" w:space="0" w:color="auto"/>
      </w:divBdr>
    </w:div>
    <w:div w:id="1725563453">
      <w:bodyDiv w:val="1"/>
      <w:marLeft w:val="0"/>
      <w:marRight w:val="0"/>
      <w:marTop w:val="0"/>
      <w:marBottom w:val="0"/>
      <w:divBdr>
        <w:top w:val="none" w:sz="0" w:space="0" w:color="auto"/>
        <w:left w:val="none" w:sz="0" w:space="0" w:color="auto"/>
        <w:bottom w:val="none" w:sz="0" w:space="0" w:color="auto"/>
        <w:right w:val="none" w:sz="0" w:space="0" w:color="auto"/>
      </w:divBdr>
    </w:div>
    <w:div w:id="1725828545">
      <w:bodyDiv w:val="1"/>
      <w:marLeft w:val="0"/>
      <w:marRight w:val="0"/>
      <w:marTop w:val="0"/>
      <w:marBottom w:val="0"/>
      <w:divBdr>
        <w:top w:val="none" w:sz="0" w:space="0" w:color="auto"/>
        <w:left w:val="none" w:sz="0" w:space="0" w:color="auto"/>
        <w:bottom w:val="none" w:sz="0" w:space="0" w:color="auto"/>
        <w:right w:val="none" w:sz="0" w:space="0" w:color="auto"/>
      </w:divBdr>
    </w:div>
    <w:div w:id="1725982036">
      <w:bodyDiv w:val="1"/>
      <w:marLeft w:val="0"/>
      <w:marRight w:val="0"/>
      <w:marTop w:val="0"/>
      <w:marBottom w:val="0"/>
      <w:divBdr>
        <w:top w:val="none" w:sz="0" w:space="0" w:color="auto"/>
        <w:left w:val="none" w:sz="0" w:space="0" w:color="auto"/>
        <w:bottom w:val="none" w:sz="0" w:space="0" w:color="auto"/>
        <w:right w:val="none" w:sz="0" w:space="0" w:color="auto"/>
      </w:divBdr>
    </w:div>
    <w:div w:id="1726221840">
      <w:bodyDiv w:val="1"/>
      <w:marLeft w:val="0"/>
      <w:marRight w:val="0"/>
      <w:marTop w:val="0"/>
      <w:marBottom w:val="0"/>
      <w:divBdr>
        <w:top w:val="none" w:sz="0" w:space="0" w:color="auto"/>
        <w:left w:val="none" w:sz="0" w:space="0" w:color="auto"/>
        <w:bottom w:val="none" w:sz="0" w:space="0" w:color="auto"/>
        <w:right w:val="none" w:sz="0" w:space="0" w:color="auto"/>
      </w:divBdr>
    </w:div>
    <w:div w:id="1726684457">
      <w:bodyDiv w:val="1"/>
      <w:marLeft w:val="0"/>
      <w:marRight w:val="0"/>
      <w:marTop w:val="0"/>
      <w:marBottom w:val="0"/>
      <w:divBdr>
        <w:top w:val="none" w:sz="0" w:space="0" w:color="auto"/>
        <w:left w:val="none" w:sz="0" w:space="0" w:color="auto"/>
        <w:bottom w:val="none" w:sz="0" w:space="0" w:color="auto"/>
        <w:right w:val="none" w:sz="0" w:space="0" w:color="auto"/>
      </w:divBdr>
    </w:div>
    <w:div w:id="1727294241">
      <w:bodyDiv w:val="1"/>
      <w:marLeft w:val="0"/>
      <w:marRight w:val="0"/>
      <w:marTop w:val="0"/>
      <w:marBottom w:val="0"/>
      <w:divBdr>
        <w:top w:val="none" w:sz="0" w:space="0" w:color="auto"/>
        <w:left w:val="none" w:sz="0" w:space="0" w:color="auto"/>
        <w:bottom w:val="none" w:sz="0" w:space="0" w:color="auto"/>
        <w:right w:val="none" w:sz="0" w:space="0" w:color="auto"/>
      </w:divBdr>
    </w:div>
    <w:div w:id="1727413112">
      <w:bodyDiv w:val="1"/>
      <w:marLeft w:val="0"/>
      <w:marRight w:val="0"/>
      <w:marTop w:val="0"/>
      <w:marBottom w:val="0"/>
      <w:divBdr>
        <w:top w:val="none" w:sz="0" w:space="0" w:color="auto"/>
        <w:left w:val="none" w:sz="0" w:space="0" w:color="auto"/>
        <w:bottom w:val="none" w:sz="0" w:space="0" w:color="auto"/>
        <w:right w:val="none" w:sz="0" w:space="0" w:color="auto"/>
      </w:divBdr>
    </w:div>
    <w:div w:id="1727415756">
      <w:bodyDiv w:val="1"/>
      <w:marLeft w:val="0"/>
      <w:marRight w:val="0"/>
      <w:marTop w:val="0"/>
      <w:marBottom w:val="0"/>
      <w:divBdr>
        <w:top w:val="none" w:sz="0" w:space="0" w:color="auto"/>
        <w:left w:val="none" w:sz="0" w:space="0" w:color="auto"/>
        <w:bottom w:val="none" w:sz="0" w:space="0" w:color="auto"/>
        <w:right w:val="none" w:sz="0" w:space="0" w:color="auto"/>
      </w:divBdr>
    </w:div>
    <w:div w:id="1727797386">
      <w:bodyDiv w:val="1"/>
      <w:marLeft w:val="0"/>
      <w:marRight w:val="0"/>
      <w:marTop w:val="0"/>
      <w:marBottom w:val="0"/>
      <w:divBdr>
        <w:top w:val="none" w:sz="0" w:space="0" w:color="auto"/>
        <w:left w:val="none" w:sz="0" w:space="0" w:color="auto"/>
        <w:bottom w:val="none" w:sz="0" w:space="0" w:color="auto"/>
        <w:right w:val="none" w:sz="0" w:space="0" w:color="auto"/>
      </w:divBdr>
    </w:div>
    <w:div w:id="1727873172">
      <w:bodyDiv w:val="1"/>
      <w:marLeft w:val="0"/>
      <w:marRight w:val="0"/>
      <w:marTop w:val="0"/>
      <w:marBottom w:val="0"/>
      <w:divBdr>
        <w:top w:val="none" w:sz="0" w:space="0" w:color="auto"/>
        <w:left w:val="none" w:sz="0" w:space="0" w:color="auto"/>
        <w:bottom w:val="none" w:sz="0" w:space="0" w:color="auto"/>
        <w:right w:val="none" w:sz="0" w:space="0" w:color="auto"/>
      </w:divBdr>
    </w:div>
    <w:div w:id="1727874218">
      <w:bodyDiv w:val="1"/>
      <w:marLeft w:val="0"/>
      <w:marRight w:val="0"/>
      <w:marTop w:val="0"/>
      <w:marBottom w:val="0"/>
      <w:divBdr>
        <w:top w:val="none" w:sz="0" w:space="0" w:color="auto"/>
        <w:left w:val="none" w:sz="0" w:space="0" w:color="auto"/>
        <w:bottom w:val="none" w:sz="0" w:space="0" w:color="auto"/>
        <w:right w:val="none" w:sz="0" w:space="0" w:color="auto"/>
      </w:divBdr>
    </w:div>
    <w:div w:id="1728601875">
      <w:bodyDiv w:val="1"/>
      <w:marLeft w:val="0"/>
      <w:marRight w:val="0"/>
      <w:marTop w:val="0"/>
      <w:marBottom w:val="0"/>
      <w:divBdr>
        <w:top w:val="none" w:sz="0" w:space="0" w:color="auto"/>
        <w:left w:val="none" w:sz="0" w:space="0" w:color="auto"/>
        <w:bottom w:val="none" w:sz="0" w:space="0" w:color="auto"/>
        <w:right w:val="none" w:sz="0" w:space="0" w:color="auto"/>
      </w:divBdr>
    </w:div>
    <w:div w:id="1728798069">
      <w:bodyDiv w:val="1"/>
      <w:marLeft w:val="0"/>
      <w:marRight w:val="0"/>
      <w:marTop w:val="0"/>
      <w:marBottom w:val="0"/>
      <w:divBdr>
        <w:top w:val="none" w:sz="0" w:space="0" w:color="auto"/>
        <w:left w:val="none" w:sz="0" w:space="0" w:color="auto"/>
        <w:bottom w:val="none" w:sz="0" w:space="0" w:color="auto"/>
        <w:right w:val="none" w:sz="0" w:space="0" w:color="auto"/>
      </w:divBdr>
    </w:div>
    <w:div w:id="1728840928">
      <w:bodyDiv w:val="1"/>
      <w:marLeft w:val="0"/>
      <w:marRight w:val="0"/>
      <w:marTop w:val="0"/>
      <w:marBottom w:val="0"/>
      <w:divBdr>
        <w:top w:val="none" w:sz="0" w:space="0" w:color="auto"/>
        <w:left w:val="none" w:sz="0" w:space="0" w:color="auto"/>
        <w:bottom w:val="none" w:sz="0" w:space="0" w:color="auto"/>
        <w:right w:val="none" w:sz="0" w:space="0" w:color="auto"/>
      </w:divBdr>
    </w:div>
    <w:div w:id="1729377730">
      <w:bodyDiv w:val="1"/>
      <w:marLeft w:val="0"/>
      <w:marRight w:val="0"/>
      <w:marTop w:val="0"/>
      <w:marBottom w:val="0"/>
      <w:divBdr>
        <w:top w:val="none" w:sz="0" w:space="0" w:color="auto"/>
        <w:left w:val="none" w:sz="0" w:space="0" w:color="auto"/>
        <w:bottom w:val="none" w:sz="0" w:space="0" w:color="auto"/>
        <w:right w:val="none" w:sz="0" w:space="0" w:color="auto"/>
      </w:divBdr>
    </w:div>
    <w:div w:id="1729692554">
      <w:bodyDiv w:val="1"/>
      <w:marLeft w:val="0"/>
      <w:marRight w:val="0"/>
      <w:marTop w:val="0"/>
      <w:marBottom w:val="0"/>
      <w:divBdr>
        <w:top w:val="none" w:sz="0" w:space="0" w:color="auto"/>
        <w:left w:val="none" w:sz="0" w:space="0" w:color="auto"/>
        <w:bottom w:val="none" w:sz="0" w:space="0" w:color="auto"/>
        <w:right w:val="none" w:sz="0" w:space="0" w:color="auto"/>
      </w:divBdr>
    </w:div>
    <w:div w:id="1729919542">
      <w:bodyDiv w:val="1"/>
      <w:marLeft w:val="0"/>
      <w:marRight w:val="0"/>
      <w:marTop w:val="0"/>
      <w:marBottom w:val="0"/>
      <w:divBdr>
        <w:top w:val="none" w:sz="0" w:space="0" w:color="auto"/>
        <w:left w:val="none" w:sz="0" w:space="0" w:color="auto"/>
        <w:bottom w:val="none" w:sz="0" w:space="0" w:color="auto"/>
        <w:right w:val="none" w:sz="0" w:space="0" w:color="auto"/>
      </w:divBdr>
    </w:div>
    <w:div w:id="1730030955">
      <w:bodyDiv w:val="1"/>
      <w:marLeft w:val="0"/>
      <w:marRight w:val="0"/>
      <w:marTop w:val="0"/>
      <w:marBottom w:val="0"/>
      <w:divBdr>
        <w:top w:val="none" w:sz="0" w:space="0" w:color="auto"/>
        <w:left w:val="none" w:sz="0" w:space="0" w:color="auto"/>
        <w:bottom w:val="none" w:sz="0" w:space="0" w:color="auto"/>
        <w:right w:val="none" w:sz="0" w:space="0" w:color="auto"/>
      </w:divBdr>
    </w:div>
    <w:div w:id="1730107220">
      <w:bodyDiv w:val="1"/>
      <w:marLeft w:val="0"/>
      <w:marRight w:val="0"/>
      <w:marTop w:val="0"/>
      <w:marBottom w:val="0"/>
      <w:divBdr>
        <w:top w:val="none" w:sz="0" w:space="0" w:color="auto"/>
        <w:left w:val="none" w:sz="0" w:space="0" w:color="auto"/>
        <w:bottom w:val="none" w:sz="0" w:space="0" w:color="auto"/>
        <w:right w:val="none" w:sz="0" w:space="0" w:color="auto"/>
      </w:divBdr>
    </w:div>
    <w:div w:id="1731031453">
      <w:bodyDiv w:val="1"/>
      <w:marLeft w:val="0"/>
      <w:marRight w:val="0"/>
      <w:marTop w:val="0"/>
      <w:marBottom w:val="0"/>
      <w:divBdr>
        <w:top w:val="none" w:sz="0" w:space="0" w:color="auto"/>
        <w:left w:val="none" w:sz="0" w:space="0" w:color="auto"/>
        <w:bottom w:val="none" w:sz="0" w:space="0" w:color="auto"/>
        <w:right w:val="none" w:sz="0" w:space="0" w:color="auto"/>
      </w:divBdr>
    </w:div>
    <w:div w:id="1731272691">
      <w:bodyDiv w:val="1"/>
      <w:marLeft w:val="0"/>
      <w:marRight w:val="0"/>
      <w:marTop w:val="0"/>
      <w:marBottom w:val="0"/>
      <w:divBdr>
        <w:top w:val="none" w:sz="0" w:space="0" w:color="auto"/>
        <w:left w:val="none" w:sz="0" w:space="0" w:color="auto"/>
        <w:bottom w:val="none" w:sz="0" w:space="0" w:color="auto"/>
        <w:right w:val="none" w:sz="0" w:space="0" w:color="auto"/>
      </w:divBdr>
    </w:div>
    <w:div w:id="1732389700">
      <w:bodyDiv w:val="1"/>
      <w:marLeft w:val="0"/>
      <w:marRight w:val="0"/>
      <w:marTop w:val="0"/>
      <w:marBottom w:val="0"/>
      <w:divBdr>
        <w:top w:val="none" w:sz="0" w:space="0" w:color="auto"/>
        <w:left w:val="none" w:sz="0" w:space="0" w:color="auto"/>
        <w:bottom w:val="none" w:sz="0" w:space="0" w:color="auto"/>
        <w:right w:val="none" w:sz="0" w:space="0" w:color="auto"/>
      </w:divBdr>
    </w:div>
    <w:div w:id="1732576568">
      <w:bodyDiv w:val="1"/>
      <w:marLeft w:val="0"/>
      <w:marRight w:val="0"/>
      <w:marTop w:val="0"/>
      <w:marBottom w:val="0"/>
      <w:divBdr>
        <w:top w:val="none" w:sz="0" w:space="0" w:color="auto"/>
        <w:left w:val="none" w:sz="0" w:space="0" w:color="auto"/>
        <w:bottom w:val="none" w:sz="0" w:space="0" w:color="auto"/>
        <w:right w:val="none" w:sz="0" w:space="0" w:color="auto"/>
      </w:divBdr>
    </w:div>
    <w:div w:id="1733500534">
      <w:bodyDiv w:val="1"/>
      <w:marLeft w:val="0"/>
      <w:marRight w:val="0"/>
      <w:marTop w:val="0"/>
      <w:marBottom w:val="0"/>
      <w:divBdr>
        <w:top w:val="none" w:sz="0" w:space="0" w:color="auto"/>
        <w:left w:val="none" w:sz="0" w:space="0" w:color="auto"/>
        <w:bottom w:val="none" w:sz="0" w:space="0" w:color="auto"/>
        <w:right w:val="none" w:sz="0" w:space="0" w:color="auto"/>
      </w:divBdr>
    </w:div>
    <w:div w:id="1733581549">
      <w:bodyDiv w:val="1"/>
      <w:marLeft w:val="0"/>
      <w:marRight w:val="0"/>
      <w:marTop w:val="0"/>
      <w:marBottom w:val="0"/>
      <w:divBdr>
        <w:top w:val="none" w:sz="0" w:space="0" w:color="auto"/>
        <w:left w:val="none" w:sz="0" w:space="0" w:color="auto"/>
        <w:bottom w:val="none" w:sz="0" w:space="0" w:color="auto"/>
        <w:right w:val="none" w:sz="0" w:space="0" w:color="auto"/>
      </w:divBdr>
    </w:div>
    <w:div w:id="1733848905">
      <w:bodyDiv w:val="1"/>
      <w:marLeft w:val="0"/>
      <w:marRight w:val="0"/>
      <w:marTop w:val="0"/>
      <w:marBottom w:val="0"/>
      <w:divBdr>
        <w:top w:val="none" w:sz="0" w:space="0" w:color="auto"/>
        <w:left w:val="none" w:sz="0" w:space="0" w:color="auto"/>
        <w:bottom w:val="none" w:sz="0" w:space="0" w:color="auto"/>
        <w:right w:val="none" w:sz="0" w:space="0" w:color="auto"/>
      </w:divBdr>
    </w:div>
    <w:div w:id="1734308416">
      <w:bodyDiv w:val="1"/>
      <w:marLeft w:val="0"/>
      <w:marRight w:val="0"/>
      <w:marTop w:val="0"/>
      <w:marBottom w:val="0"/>
      <w:divBdr>
        <w:top w:val="none" w:sz="0" w:space="0" w:color="auto"/>
        <w:left w:val="none" w:sz="0" w:space="0" w:color="auto"/>
        <w:bottom w:val="none" w:sz="0" w:space="0" w:color="auto"/>
        <w:right w:val="none" w:sz="0" w:space="0" w:color="auto"/>
      </w:divBdr>
    </w:div>
    <w:div w:id="1734616385">
      <w:bodyDiv w:val="1"/>
      <w:marLeft w:val="0"/>
      <w:marRight w:val="0"/>
      <w:marTop w:val="0"/>
      <w:marBottom w:val="0"/>
      <w:divBdr>
        <w:top w:val="none" w:sz="0" w:space="0" w:color="auto"/>
        <w:left w:val="none" w:sz="0" w:space="0" w:color="auto"/>
        <w:bottom w:val="none" w:sz="0" w:space="0" w:color="auto"/>
        <w:right w:val="none" w:sz="0" w:space="0" w:color="auto"/>
      </w:divBdr>
    </w:div>
    <w:div w:id="1734693545">
      <w:bodyDiv w:val="1"/>
      <w:marLeft w:val="0"/>
      <w:marRight w:val="0"/>
      <w:marTop w:val="0"/>
      <w:marBottom w:val="0"/>
      <w:divBdr>
        <w:top w:val="none" w:sz="0" w:space="0" w:color="auto"/>
        <w:left w:val="none" w:sz="0" w:space="0" w:color="auto"/>
        <w:bottom w:val="none" w:sz="0" w:space="0" w:color="auto"/>
        <w:right w:val="none" w:sz="0" w:space="0" w:color="auto"/>
      </w:divBdr>
    </w:div>
    <w:div w:id="1734700026">
      <w:bodyDiv w:val="1"/>
      <w:marLeft w:val="0"/>
      <w:marRight w:val="0"/>
      <w:marTop w:val="0"/>
      <w:marBottom w:val="0"/>
      <w:divBdr>
        <w:top w:val="none" w:sz="0" w:space="0" w:color="auto"/>
        <w:left w:val="none" w:sz="0" w:space="0" w:color="auto"/>
        <w:bottom w:val="none" w:sz="0" w:space="0" w:color="auto"/>
        <w:right w:val="none" w:sz="0" w:space="0" w:color="auto"/>
      </w:divBdr>
    </w:div>
    <w:div w:id="1734766272">
      <w:bodyDiv w:val="1"/>
      <w:marLeft w:val="0"/>
      <w:marRight w:val="0"/>
      <w:marTop w:val="0"/>
      <w:marBottom w:val="0"/>
      <w:divBdr>
        <w:top w:val="none" w:sz="0" w:space="0" w:color="auto"/>
        <w:left w:val="none" w:sz="0" w:space="0" w:color="auto"/>
        <w:bottom w:val="none" w:sz="0" w:space="0" w:color="auto"/>
        <w:right w:val="none" w:sz="0" w:space="0" w:color="auto"/>
      </w:divBdr>
    </w:div>
    <w:div w:id="1734770057">
      <w:bodyDiv w:val="1"/>
      <w:marLeft w:val="0"/>
      <w:marRight w:val="0"/>
      <w:marTop w:val="0"/>
      <w:marBottom w:val="0"/>
      <w:divBdr>
        <w:top w:val="none" w:sz="0" w:space="0" w:color="auto"/>
        <w:left w:val="none" w:sz="0" w:space="0" w:color="auto"/>
        <w:bottom w:val="none" w:sz="0" w:space="0" w:color="auto"/>
        <w:right w:val="none" w:sz="0" w:space="0" w:color="auto"/>
      </w:divBdr>
    </w:div>
    <w:div w:id="1735009075">
      <w:bodyDiv w:val="1"/>
      <w:marLeft w:val="0"/>
      <w:marRight w:val="0"/>
      <w:marTop w:val="0"/>
      <w:marBottom w:val="0"/>
      <w:divBdr>
        <w:top w:val="none" w:sz="0" w:space="0" w:color="auto"/>
        <w:left w:val="none" w:sz="0" w:space="0" w:color="auto"/>
        <w:bottom w:val="none" w:sz="0" w:space="0" w:color="auto"/>
        <w:right w:val="none" w:sz="0" w:space="0" w:color="auto"/>
      </w:divBdr>
    </w:div>
    <w:div w:id="1735154560">
      <w:bodyDiv w:val="1"/>
      <w:marLeft w:val="0"/>
      <w:marRight w:val="0"/>
      <w:marTop w:val="0"/>
      <w:marBottom w:val="0"/>
      <w:divBdr>
        <w:top w:val="none" w:sz="0" w:space="0" w:color="auto"/>
        <w:left w:val="none" w:sz="0" w:space="0" w:color="auto"/>
        <w:bottom w:val="none" w:sz="0" w:space="0" w:color="auto"/>
        <w:right w:val="none" w:sz="0" w:space="0" w:color="auto"/>
      </w:divBdr>
    </w:div>
    <w:div w:id="1735810056">
      <w:bodyDiv w:val="1"/>
      <w:marLeft w:val="0"/>
      <w:marRight w:val="0"/>
      <w:marTop w:val="0"/>
      <w:marBottom w:val="0"/>
      <w:divBdr>
        <w:top w:val="none" w:sz="0" w:space="0" w:color="auto"/>
        <w:left w:val="none" w:sz="0" w:space="0" w:color="auto"/>
        <w:bottom w:val="none" w:sz="0" w:space="0" w:color="auto"/>
        <w:right w:val="none" w:sz="0" w:space="0" w:color="auto"/>
      </w:divBdr>
    </w:div>
    <w:div w:id="1736076934">
      <w:bodyDiv w:val="1"/>
      <w:marLeft w:val="0"/>
      <w:marRight w:val="0"/>
      <w:marTop w:val="0"/>
      <w:marBottom w:val="0"/>
      <w:divBdr>
        <w:top w:val="none" w:sz="0" w:space="0" w:color="auto"/>
        <w:left w:val="none" w:sz="0" w:space="0" w:color="auto"/>
        <w:bottom w:val="none" w:sz="0" w:space="0" w:color="auto"/>
        <w:right w:val="none" w:sz="0" w:space="0" w:color="auto"/>
      </w:divBdr>
    </w:div>
    <w:div w:id="1736776932">
      <w:bodyDiv w:val="1"/>
      <w:marLeft w:val="0"/>
      <w:marRight w:val="0"/>
      <w:marTop w:val="0"/>
      <w:marBottom w:val="0"/>
      <w:divBdr>
        <w:top w:val="none" w:sz="0" w:space="0" w:color="auto"/>
        <w:left w:val="none" w:sz="0" w:space="0" w:color="auto"/>
        <w:bottom w:val="none" w:sz="0" w:space="0" w:color="auto"/>
        <w:right w:val="none" w:sz="0" w:space="0" w:color="auto"/>
      </w:divBdr>
    </w:div>
    <w:div w:id="1736929193">
      <w:bodyDiv w:val="1"/>
      <w:marLeft w:val="0"/>
      <w:marRight w:val="0"/>
      <w:marTop w:val="0"/>
      <w:marBottom w:val="0"/>
      <w:divBdr>
        <w:top w:val="none" w:sz="0" w:space="0" w:color="auto"/>
        <w:left w:val="none" w:sz="0" w:space="0" w:color="auto"/>
        <w:bottom w:val="none" w:sz="0" w:space="0" w:color="auto"/>
        <w:right w:val="none" w:sz="0" w:space="0" w:color="auto"/>
      </w:divBdr>
    </w:div>
    <w:div w:id="1737389940">
      <w:bodyDiv w:val="1"/>
      <w:marLeft w:val="0"/>
      <w:marRight w:val="0"/>
      <w:marTop w:val="0"/>
      <w:marBottom w:val="0"/>
      <w:divBdr>
        <w:top w:val="none" w:sz="0" w:space="0" w:color="auto"/>
        <w:left w:val="none" w:sz="0" w:space="0" w:color="auto"/>
        <w:bottom w:val="none" w:sz="0" w:space="0" w:color="auto"/>
        <w:right w:val="none" w:sz="0" w:space="0" w:color="auto"/>
      </w:divBdr>
    </w:div>
    <w:div w:id="1737512397">
      <w:bodyDiv w:val="1"/>
      <w:marLeft w:val="0"/>
      <w:marRight w:val="0"/>
      <w:marTop w:val="0"/>
      <w:marBottom w:val="0"/>
      <w:divBdr>
        <w:top w:val="none" w:sz="0" w:space="0" w:color="auto"/>
        <w:left w:val="none" w:sz="0" w:space="0" w:color="auto"/>
        <w:bottom w:val="none" w:sz="0" w:space="0" w:color="auto"/>
        <w:right w:val="none" w:sz="0" w:space="0" w:color="auto"/>
      </w:divBdr>
    </w:div>
    <w:div w:id="1737893871">
      <w:bodyDiv w:val="1"/>
      <w:marLeft w:val="0"/>
      <w:marRight w:val="0"/>
      <w:marTop w:val="0"/>
      <w:marBottom w:val="0"/>
      <w:divBdr>
        <w:top w:val="none" w:sz="0" w:space="0" w:color="auto"/>
        <w:left w:val="none" w:sz="0" w:space="0" w:color="auto"/>
        <w:bottom w:val="none" w:sz="0" w:space="0" w:color="auto"/>
        <w:right w:val="none" w:sz="0" w:space="0" w:color="auto"/>
      </w:divBdr>
    </w:div>
    <w:div w:id="1738942192">
      <w:bodyDiv w:val="1"/>
      <w:marLeft w:val="0"/>
      <w:marRight w:val="0"/>
      <w:marTop w:val="0"/>
      <w:marBottom w:val="0"/>
      <w:divBdr>
        <w:top w:val="none" w:sz="0" w:space="0" w:color="auto"/>
        <w:left w:val="none" w:sz="0" w:space="0" w:color="auto"/>
        <w:bottom w:val="none" w:sz="0" w:space="0" w:color="auto"/>
        <w:right w:val="none" w:sz="0" w:space="0" w:color="auto"/>
      </w:divBdr>
    </w:div>
    <w:div w:id="1739134179">
      <w:bodyDiv w:val="1"/>
      <w:marLeft w:val="0"/>
      <w:marRight w:val="0"/>
      <w:marTop w:val="0"/>
      <w:marBottom w:val="0"/>
      <w:divBdr>
        <w:top w:val="none" w:sz="0" w:space="0" w:color="auto"/>
        <w:left w:val="none" w:sz="0" w:space="0" w:color="auto"/>
        <w:bottom w:val="none" w:sz="0" w:space="0" w:color="auto"/>
        <w:right w:val="none" w:sz="0" w:space="0" w:color="auto"/>
      </w:divBdr>
    </w:div>
    <w:div w:id="1739858425">
      <w:bodyDiv w:val="1"/>
      <w:marLeft w:val="0"/>
      <w:marRight w:val="0"/>
      <w:marTop w:val="0"/>
      <w:marBottom w:val="0"/>
      <w:divBdr>
        <w:top w:val="none" w:sz="0" w:space="0" w:color="auto"/>
        <w:left w:val="none" w:sz="0" w:space="0" w:color="auto"/>
        <w:bottom w:val="none" w:sz="0" w:space="0" w:color="auto"/>
        <w:right w:val="none" w:sz="0" w:space="0" w:color="auto"/>
      </w:divBdr>
    </w:div>
    <w:div w:id="1740589016">
      <w:bodyDiv w:val="1"/>
      <w:marLeft w:val="0"/>
      <w:marRight w:val="0"/>
      <w:marTop w:val="0"/>
      <w:marBottom w:val="0"/>
      <w:divBdr>
        <w:top w:val="none" w:sz="0" w:space="0" w:color="auto"/>
        <w:left w:val="none" w:sz="0" w:space="0" w:color="auto"/>
        <w:bottom w:val="none" w:sz="0" w:space="0" w:color="auto"/>
        <w:right w:val="none" w:sz="0" w:space="0" w:color="auto"/>
      </w:divBdr>
    </w:div>
    <w:div w:id="1740636187">
      <w:bodyDiv w:val="1"/>
      <w:marLeft w:val="0"/>
      <w:marRight w:val="0"/>
      <w:marTop w:val="0"/>
      <w:marBottom w:val="0"/>
      <w:divBdr>
        <w:top w:val="none" w:sz="0" w:space="0" w:color="auto"/>
        <w:left w:val="none" w:sz="0" w:space="0" w:color="auto"/>
        <w:bottom w:val="none" w:sz="0" w:space="0" w:color="auto"/>
        <w:right w:val="none" w:sz="0" w:space="0" w:color="auto"/>
      </w:divBdr>
    </w:div>
    <w:div w:id="1740709039">
      <w:bodyDiv w:val="1"/>
      <w:marLeft w:val="0"/>
      <w:marRight w:val="0"/>
      <w:marTop w:val="0"/>
      <w:marBottom w:val="0"/>
      <w:divBdr>
        <w:top w:val="none" w:sz="0" w:space="0" w:color="auto"/>
        <w:left w:val="none" w:sz="0" w:space="0" w:color="auto"/>
        <w:bottom w:val="none" w:sz="0" w:space="0" w:color="auto"/>
        <w:right w:val="none" w:sz="0" w:space="0" w:color="auto"/>
      </w:divBdr>
    </w:div>
    <w:div w:id="1740785219">
      <w:bodyDiv w:val="1"/>
      <w:marLeft w:val="0"/>
      <w:marRight w:val="0"/>
      <w:marTop w:val="0"/>
      <w:marBottom w:val="0"/>
      <w:divBdr>
        <w:top w:val="none" w:sz="0" w:space="0" w:color="auto"/>
        <w:left w:val="none" w:sz="0" w:space="0" w:color="auto"/>
        <w:bottom w:val="none" w:sz="0" w:space="0" w:color="auto"/>
        <w:right w:val="none" w:sz="0" w:space="0" w:color="auto"/>
      </w:divBdr>
    </w:div>
    <w:div w:id="1742019312">
      <w:bodyDiv w:val="1"/>
      <w:marLeft w:val="0"/>
      <w:marRight w:val="0"/>
      <w:marTop w:val="0"/>
      <w:marBottom w:val="0"/>
      <w:divBdr>
        <w:top w:val="none" w:sz="0" w:space="0" w:color="auto"/>
        <w:left w:val="none" w:sz="0" w:space="0" w:color="auto"/>
        <w:bottom w:val="none" w:sz="0" w:space="0" w:color="auto"/>
        <w:right w:val="none" w:sz="0" w:space="0" w:color="auto"/>
      </w:divBdr>
    </w:div>
    <w:div w:id="1742295124">
      <w:bodyDiv w:val="1"/>
      <w:marLeft w:val="0"/>
      <w:marRight w:val="0"/>
      <w:marTop w:val="0"/>
      <w:marBottom w:val="0"/>
      <w:divBdr>
        <w:top w:val="none" w:sz="0" w:space="0" w:color="auto"/>
        <w:left w:val="none" w:sz="0" w:space="0" w:color="auto"/>
        <w:bottom w:val="none" w:sz="0" w:space="0" w:color="auto"/>
        <w:right w:val="none" w:sz="0" w:space="0" w:color="auto"/>
      </w:divBdr>
    </w:div>
    <w:div w:id="1743016436">
      <w:bodyDiv w:val="1"/>
      <w:marLeft w:val="0"/>
      <w:marRight w:val="0"/>
      <w:marTop w:val="0"/>
      <w:marBottom w:val="0"/>
      <w:divBdr>
        <w:top w:val="none" w:sz="0" w:space="0" w:color="auto"/>
        <w:left w:val="none" w:sz="0" w:space="0" w:color="auto"/>
        <w:bottom w:val="none" w:sz="0" w:space="0" w:color="auto"/>
        <w:right w:val="none" w:sz="0" w:space="0" w:color="auto"/>
      </w:divBdr>
    </w:div>
    <w:div w:id="1743137577">
      <w:bodyDiv w:val="1"/>
      <w:marLeft w:val="0"/>
      <w:marRight w:val="0"/>
      <w:marTop w:val="0"/>
      <w:marBottom w:val="0"/>
      <w:divBdr>
        <w:top w:val="none" w:sz="0" w:space="0" w:color="auto"/>
        <w:left w:val="none" w:sz="0" w:space="0" w:color="auto"/>
        <w:bottom w:val="none" w:sz="0" w:space="0" w:color="auto"/>
        <w:right w:val="none" w:sz="0" w:space="0" w:color="auto"/>
      </w:divBdr>
    </w:div>
    <w:div w:id="1743328746">
      <w:bodyDiv w:val="1"/>
      <w:marLeft w:val="0"/>
      <w:marRight w:val="0"/>
      <w:marTop w:val="0"/>
      <w:marBottom w:val="0"/>
      <w:divBdr>
        <w:top w:val="none" w:sz="0" w:space="0" w:color="auto"/>
        <w:left w:val="none" w:sz="0" w:space="0" w:color="auto"/>
        <w:bottom w:val="none" w:sz="0" w:space="0" w:color="auto"/>
        <w:right w:val="none" w:sz="0" w:space="0" w:color="auto"/>
      </w:divBdr>
    </w:div>
    <w:div w:id="1743597173">
      <w:bodyDiv w:val="1"/>
      <w:marLeft w:val="0"/>
      <w:marRight w:val="0"/>
      <w:marTop w:val="0"/>
      <w:marBottom w:val="0"/>
      <w:divBdr>
        <w:top w:val="none" w:sz="0" w:space="0" w:color="auto"/>
        <w:left w:val="none" w:sz="0" w:space="0" w:color="auto"/>
        <w:bottom w:val="none" w:sz="0" w:space="0" w:color="auto"/>
        <w:right w:val="none" w:sz="0" w:space="0" w:color="auto"/>
      </w:divBdr>
    </w:div>
    <w:div w:id="1744253843">
      <w:bodyDiv w:val="1"/>
      <w:marLeft w:val="0"/>
      <w:marRight w:val="0"/>
      <w:marTop w:val="0"/>
      <w:marBottom w:val="0"/>
      <w:divBdr>
        <w:top w:val="none" w:sz="0" w:space="0" w:color="auto"/>
        <w:left w:val="none" w:sz="0" w:space="0" w:color="auto"/>
        <w:bottom w:val="none" w:sz="0" w:space="0" w:color="auto"/>
        <w:right w:val="none" w:sz="0" w:space="0" w:color="auto"/>
      </w:divBdr>
    </w:div>
    <w:div w:id="1744328456">
      <w:bodyDiv w:val="1"/>
      <w:marLeft w:val="0"/>
      <w:marRight w:val="0"/>
      <w:marTop w:val="0"/>
      <w:marBottom w:val="0"/>
      <w:divBdr>
        <w:top w:val="none" w:sz="0" w:space="0" w:color="auto"/>
        <w:left w:val="none" w:sz="0" w:space="0" w:color="auto"/>
        <w:bottom w:val="none" w:sz="0" w:space="0" w:color="auto"/>
        <w:right w:val="none" w:sz="0" w:space="0" w:color="auto"/>
      </w:divBdr>
    </w:div>
    <w:div w:id="1744449511">
      <w:bodyDiv w:val="1"/>
      <w:marLeft w:val="0"/>
      <w:marRight w:val="0"/>
      <w:marTop w:val="0"/>
      <w:marBottom w:val="0"/>
      <w:divBdr>
        <w:top w:val="none" w:sz="0" w:space="0" w:color="auto"/>
        <w:left w:val="none" w:sz="0" w:space="0" w:color="auto"/>
        <w:bottom w:val="none" w:sz="0" w:space="0" w:color="auto"/>
        <w:right w:val="none" w:sz="0" w:space="0" w:color="auto"/>
      </w:divBdr>
    </w:div>
    <w:div w:id="1744989094">
      <w:bodyDiv w:val="1"/>
      <w:marLeft w:val="0"/>
      <w:marRight w:val="0"/>
      <w:marTop w:val="0"/>
      <w:marBottom w:val="0"/>
      <w:divBdr>
        <w:top w:val="none" w:sz="0" w:space="0" w:color="auto"/>
        <w:left w:val="none" w:sz="0" w:space="0" w:color="auto"/>
        <w:bottom w:val="none" w:sz="0" w:space="0" w:color="auto"/>
        <w:right w:val="none" w:sz="0" w:space="0" w:color="auto"/>
      </w:divBdr>
    </w:div>
    <w:div w:id="1745030782">
      <w:bodyDiv w:val="1"/>
      <w:marLeft w:val="0"/>
      <w:marRight w:val="0"/>
      <w:marTop w:val="0"/>
      <w:marBottom w:val="0"/>
      <w:divBdr>
        <w:top w:val="none" w:sz="0" w:space="0" w:color="auto"/>
        <w:left w:val="none" w:sz="0" w:space="0" w:color="auto"/>
        <w:bottom w:val="none" w:sz="0" w:space="0" w:color="auto"/>
        <w:right w:val="none" w:sz="0" w:space="0" w:color="auto"/>
      </w:divBdr>
    </w:div>
    <w:div w:id="1745033967">
      <w:bodyDiv w:val="1"/>
      <w:marLeft w:val="0"/>
      <w:marRight w:val="0"/>
      <w:marTop w:val="0"/>
      <w:marBottom w:val="0"/>
      <w:divBdr>
        <w:top w:val="none" w:sz="0" w:space="0" w:color="auto"/>
        <w:left w:val="none" w:sz="0" w:space="0" w:color="auto"/>
        <w:bottom w:val="none" w:sz="0" w:space="0" w:color="auto"/>
        <w:right w:val="none" w:sz="0" w:space="0" w:color="auto"/>
      </w:divBdr>
    </w:div>
    <w:div w:id="1745108503">
      <w:bodyDiv w:val="1"/>
      <w:marLeft w:val="0"/>
      <w:marRight w:val="0"/>
      <w:marTop w:val="0"/>
      <w:marBottom w:val="0"/>
      <w:divBdr>
        <w:top w:val="none" w:sz="0" w:space="0" w:color="auto"/>
        <w:left w:val="none" w:sz="0" w:space="0" w:color="auto"/>
        <w:bottom w:val="none" w:sz="0" w:space="0" w:color="auto"/>
        <w:right w:val="none" w:sz="0" w:space="0" w:color="auto"/>
      </w:divBdr>
    </w:div>
    <w:div w:id="1746029530">
      <w:bodyDiv w:val="1"/>
      <w:marLeft w:val="0"/>
      <w:marRight w:val="0"/>
      <w:marTop w:val="0"/>
      <w:marBottom w:val="0"/>
      <w:divBdr>
        <w:top w:val="none" w:sz="0" w:space="0" w:color="auto"/>
        <w:left w:val="none" w:sz="0" w:space="0" w:color="auto"/>
        <w:bottom w:val="none" w:sz="0" w:space="0" w:color="auto"/>
        <w:right w:val="none" w:sz="0" w:space="0" w:color="auto"/>
      </w:divBdr>
    </w:div>
    <w:div w:id="1746029980">
      <w:bodyDiv w:val="1"/>
      <w:marLeft w:val="0"/>
      <w:marRight w:val="0"/>
      <w:marTop w:val="0"/>
      <w:marBottom w:val="0"/>
      <w:divBdr>
        <w:top w:val="none" w:sz="0" w:space="0" w:color="auto"/>
        <w:left w:val="none" w:sz="0" w:space="0" w:color="auto"/>
        <w:bottom w:val="none" w:sz="0" w:space="0" w:color="auto"/>
        <w:right w:val="none" w:sz="0" w:space="0" w:color="auto"/>
      </w:divBdr>
    </w:div>
    <w:div w:id="1746343745">
      <w:bodyDiv w:val="1"/>
      <w:marLeft w:val="0"/>
      <w:marRight w:val="0"/>
      <w:marTop w:val="0"/>
      <w:marBottom w:val="0"/>
      <w:divBdr>
        <w:top w:val="none" w:sz="0" w:space="0" w:color="auto"/>
        <w:left w:val="none" w:sz="0" w:space="0" w:color="auto"/>
        <w:bottom w:val="none" w:sz="0" w:space="0" w:color="auto"/>
        <w:right w:val="none" w:sz="0" w:space="0" w:color="auto"/>
      </w:divBdr>
    </w:div>
    <w:div w:id="1746756884">
      <w:bodyDiv w:val="1"/>
      <w:marLeft w:val="0"/>
      <w:marRight w:val="0"/>
      <w:marTop w:val="0"/>
      <w:marBottom w:val="0"/>
      <w:divBdr>
        <w:top w:val="none" w:sz="0" w:space="0" w:color="auto"/>
        <w:left w:val="none" w:sz="0" w:space="0" w:color="auto"/>
        <w:bottom w:val="none" w:sz="0" w:space="0" w:color="auto"/>
        <w:right w:val="none" w:sz="0" w:space="0" w:color="auto"/>
      </w:divBdr>
    </w:div>
    <w:div w:id="1746954746">
      <w:bodyDiv w:val="1"/>
      <w:marLeft w:val="0"/>
      <w:marRight w:val="0"/>
      <w:marTop w:val="0"/>
      <w:marBottom w:val="0"/>
      <w:divBdr>
        <w:top w:val="none" w:sz="0" w:space="0" w:color="auto"/>
        <w:left w:val="none" w:sz="0" w:space="0" w:color="auto"/>
        <w:bottom w:val="none" w:sz="0" w:space="0" w:color="auto"/>
        <w:right w:val="none" w:sz="0" w:space="0" w:color="auto"/>
      </w:divBdr>
    </w:div>
    <w:div w:id="1747528548">
      <w:bodyDiv w:val="1"/>
      <w:marLeft w:val="0"/>
      <w:marRight w:val="0"/>
      <w:marTop w:val="0"/>
      <w:marBottom w:val="0"/>
      <w:divBdr>
        <w:top w:val="none" w:sz="0" w:space="0" w:color="auto"/>
        <w:left w:val="none" w:sz="0" w:space="0" w:color="auto"/>
        <w:bottom w:val="none" w:sz="0" w:space="0" w:color="auto"/>
        <w:right w:val="none" w:sz="0" w:space="0" w:color="auto"/>
      </w:divBdr>
    </w:div>
    <w:div w:id="1749843362">
      <w:bodyDiv w:val="1"/>
      <w:marLeft w:val="0"/>
      <w:marRight w:val="0"/>
      <w:marTop w:val="0"/>
      <w:marBottom w:val="0"/>
      <w:divBdr>
        <w:top w:val="none" w:sz="0" w:space="0" w:color="auto"/>
        <w:left w:val="none" w:sz="0" w:space="0" w:color="auto"/>
        <w:bottom w:val="none" w:sz="0" w:space="0" w:color="auto"/>
        <w:right w:val="none" w:sz="0" w:space="0" w:color="auto"/>
      </w:divBdr>
    </w:div>
    <w:div w:id="1751582663">
      <w:bodyDiv w:val="1"/>
      <w:marLeft w:val="0"/>
      <w:marRight w:val="0"/>
      <w:marTop w:val="0"/>
      <w:marBottom w:val="0"/>
      <w:divBdr>
        <w:top w:val="none" w:sz="0" w:space="0" w:color="auto"/>
        <w:left w:val="none" w:sz="0" w:space="0" w:color="auto"/>
        <w:bottom w:val="none" w:sz="0" w:space="0" w:color="auto"/>
        <w:right w:val="none" w:sz="0" w:space="0" w:color="auto"/>
      </w:divBdr>
    </w:div>
    <w:div w:id="1751847950">
      <w:bodyDiv w:val="1"/>
      <w:marLeft w:val="0"/>
      <w:marRight w:val="0"/>
      <w:marTop w:val="0"/>
      <w:marBottom w:val="0"/>
      <w:divBdr>
        <w:top w:val="none" w:sz="0" w:space="0" w:color="auto"/>
        <w:left w:val="none" w:sz="0" w:space="0" w:color="auto"/>
        <w:bottom w:val="none" w:sz="0" w:space="0" w:color="auto"/>
        <w:right w:val="none" w:sz="0" w:space="0" w:color="auto"/>
      </w:divBdr>
    </w:div>
    <w:div w:id="1752002573">
      <w:bodyDiv w:val="1"/>
      <w:marLeft w:val="0"/>
      <w:marRight w:val="0"/>
      <w:marTop w:val="0"/>
      <w:marBottom w:val="0"/>
      <w:divBdr>
        <w:top w:val="none" w:sz="0" w:space="0" w:color="auto"/>
        <w:left w:val="none" w:sz="0" w:space="0" w:color="auto"/>
        <w:bottom w:val="none" w:sz="0" w:space="0" w:color="auto"/>
        <w:right w:val="none" w:sz="0" w:space="0" w:color="auto"/>
      </w:divBdr>
    </w:div>
    <w:div w:id="1752922936">
      <w:bodyDiv w:val="1"/>
      <w:marLeft w:val="0"/>
      <w:marRight w:val="0"/>
      <w:marTop w:val="0"/>
      <w:marBottom w:val="0"/>
      <w:divBdr>
        <w:top w:val="none" w:sz="0" w:space="0" w:color="auto"/>
        <w:left w:val="none" w:sz="0" w:space="0" w:color="auto"/>
        <w:bottom w:val="none" w:sz="0" w:space="0" w:color="auto"/>
        <w:right w:val="none" w:sz="0" w:space="0" w:color="auto"/>
      </w:divBdr>
    </w:div>
    <w:div w:id="1752967245">
      <w:bodyDiv w:val="1"/>
      <w:marLeft w:val="0"/>
      <w:marRight w:val="0"/>
      <w:marTop w:val="0"/>
      <w:marBottom w:val="0"/>
      <w:divBdr>
        <w:top w:val="none" w:sz="0" w:space="0" w:color="auto"/>
        <w:left w:val="none" w:sz="0" w:space="0" w:color="auto"/>
        <w:bottom w:val="none" w:sz="0" w:space="0" w:color="auto"/>
        <w:right w:val="none" w:sz="0" w:space="0" w:color="auto"/>
      </w:divBdr>
    </w:div>
    <w:div w:id="1753357694">
      <w:bodyDiv w:val="1"/>
      <w:marLeft w:val="0"/>
      <w:marRight w:val="0"/>
      <w:marTop w:val="0"/>
      <w:marBottom w:val="0"/>
      <w:divBdr>
        <w:top w:val="none" w:sz="0" w:space="0" w:color="auto"/>
        <w:left w:val="none" w:sz="0" w:space="0" w:color="auto"/>
        <w:bottom w:val="none" w:sz="0" w:space="0" w:color="auto"/>
        <w:right w:val="none" w:sz="0" w:space="0" w:color="auto"/>
      </w:divBdr>
    </w:div>
    <w:div w:id="1753434063">
      <w:bodyDiv w:val="1"/>
      <w:marLeft w:val="0"/>
      <w:marRight w:val="0"/>
      <w:marTop w:val="0"/>
      <w:marBottom w:val="0"/>
      <w:divBdr>
        <w:top w:val="none" w:sz="0" w:space="0" w:color="auto"/>
        <w:left w:val="none" w:sz="0" w:space="0" w:color="auto"/>
        <w:bottom w:val="none" w:sz="0" w:space="0" w:color="auto"/>
        <w:right w:val="none" w:sz="0" w:space="0" w:color="auto"/>
      </w:divBdr>
    </w:div>
    <w:div w:id="1753774628">
      <w:bodyDiv w:val="1"/>
      <w:marLeft w:val="0"/>
      <w:marRight w:val="0"/>
      <w:marTop w:val="0"/>
      <w:marBottom w:val="0"/>
      <w:divBdr>
        <w:top w:val="none" w:sz="0" w:space="0" w:color="auto"/>
        <w:left w:val="none" w:sz="0" w:space="0" w:color="auto"/>
        <w:bottom w:val="none" w:sz="0" w:space="0" w:color="auto"/>
        <w:right w:val="none" w:sz="0" w:space="0" w:color="auto"/>
      </w:divBdr>
    </w:div>
    <w:div w:id="1754430756">
      <w:bodyDiv w:val="1"/>
      <w:marLeft w:val="0"/>
      <w:marRight w:val="0"/>
      <w:marTop w:val="0"/>
      <w:marBottom w:val="0"/>
      <w:divBdr>
        <w:top w:val="none" w:sz="0" w:space="0" w:color="auto"/>
        <w:left w:val="none" w:sz="0" w:space="0" w:color="auto"/>
        <w:bottom w:val="none" w:sz="0" w:space="0" w:color="auto"/>
        <w:right w:val="none" w:sz="0" w:space="0" w:color="auto"/>
      </w:divBdr>
    </w:div>
    <w:div w:id="1754543026">
      <w:bodyDiv w:val="1"/>
      <w:marLeft w:val="0"/>
      <w:marRight w:val="0"/>
      <w:marTop w:val="0"/>
      <w:marBottom w:val="0"/>
      <w:divBdr>
        <w:top w:val="none" w:sz="0" w:space="0" w:color="auto"/>
        <w:left w:val="none" w:sz="0" w:space="0" w:color="auto"/>
        <w:bottom w:val="none" w:sz="0" w:space="0" w:color="auto"/>
        <w:right w:val="none" w:sz="0" w:space="0" w:color="auto"/>
      </w:divBdr>
    </w:div>
    <w:div w:id="1755322141">
      <w:bodyDiv w:val="1"/>
      <w:marLeft w:val="0"/>
      <w:marRight w:val="0"/>
      <w:marTop w:val="0"/>
      <w:marBottom w:val="0"/>
      <w:divBdr>
        <w:top w:val="none" w:sz="0" w:space="0" w:color="auto"/>
        <w:left w:val="none" w:sz="0" w:space="0" w:color="auto"/>
        <w:bottom w:val="none" w:sz="0" w:space="0" w:color="auto"/>
        <w:right w:val="none" w:sz="0" w:space="0" w:color="auto"/>
      </w:divBdr>
    </w:div>
    <w:div w:id="1755588479">
      <w:bodyDiv w:val="1"/>
      <w:marLeft w:val="0"/>
      <w:marRight w:val="0"/>
      <w:marTop w:val="0"/>
      <w:marBottom w:val="0"/>
      <w:divBdr>
        <w:top w:val="none" w:sz="0" w:space="0" w:color="auto"/>
        <w:left w:val="none" w:sz="0" w:space="0" w:color="auto"/>
        <w:bottom w:val="none" w:sz="0" w:space="0" w:color="auto"/>
        <w:right w:val="none" w:sz="0" w:space="0" w:color="auto"/>
      </w:divBdr>
    </w:div>
    <w:div w:id="1755593170">
      <w:bodyDiv w:val="1"/>
      <w:marLeft w:val="0"/>
      <w:marRight w:val="0"/>
      <w:marTop w:val="0"/>
      <w:marBottom w:val="0"/>
      <w:divBdr>
        <w:top w:val="none" w:sz="0" w:space="0" w:color="auto"/>
        <w:left w:val="none" w:sz="0" w:space="0" w:color="auto"/>
        <w:bottom w:val="none" w:sz="0" w:space="0" w:color="auto"/>
        <w:right w:val="none" w:sz="0" w:space="0" w:color="auto"/>
      </w:divBdr>
    </w:div>
    <w:div w:id="1755929826">
      <w:bodyDiv w:val="1"/>
      <w:marLeft w:val="0"/>
      <w:marRight w:val="0"/>
      <w:marTop w:val="0"/>
      <w:marBottom w:val="0"/>
      <w:divBdr>
        <w:top w:val="none" w:sz="0" w:space="0" w:color="auto"/>
        <w:left w:val="none" w:sz="0" w:space="0" w:color="auto"/>
        <w:bottom w:val="none" w:sz="0" w:space="0" w:color="auto"/>
        <w:right w:val="none" w:sz="0" w:space="0" w:color="auto"/>
      </w:divBdr>
    </w:div>
    <w:div w:id="1756051785">
      <w:bodyDiv w:val="1"/>
      <w:marLeft w:val="0"/>
      <w:marRight w:val="0"/>
      <w:marTop w:val="0"/>
      <w:marBottom w:val="0"/>
      <w:divBdr>
        <w:top w:val="none" w:sz="0" w:space="0" w:color="auto"/>
        <w:left w:val="none" w:sz="0" w:space="0" w:color="auto"/>
        <w:bottom w:val="none" w:sz="0" w:space="0" w:color="auto"/>
        <w:right w:val="none" w:sz="0" w:space="0" w:color="auto"/>
      </w:divBdr>
    </w:div>
    <w:div w:id="1756976714">
      <w:bodyDiv w:val="1"/>
      <w:marLeft w:val="0"/>
      <w:marRight w:val="0"/>
      <w:marTop w:val="0"/>
      <w:marBottom w:val="0"/>
      <w:divBdr>
        <w:top w:val="none" w:sz="0" w:space="0" w:color="auto"/>
        <w:left w:val="none" w:sz="0" w:space="0" w:color="auto"/>
        <w:bottom w:val="none" w:sz="0" w:space="0" w:color="auto"/>
        <w:right w:val="none" w:sz="0" w:space="0" w:color="auto"/>
      </w:divBdr>
    </w:div>
    <w:div w:id="1757243098">
      <w:bodyDiv w:val="1"/>
      <w:marLeft w:val="0"/>
      <w:marRight w:val="0"/>
      <w:marTop w:val="0"/>
      <w:marBottom w:val="0"/>
      <w:divBdr>
        <w:top w:val="none" w:sz="0" w:space="0" w:color="auto"/>
        <w:left w:val="none" w:sz="0" w:space="0" w:color="auto"/>
        <w:bottom w:val="none" w:sz="0" w:space="0" w:color="auto"/>
        <w:right w:val="none" w:sz="0" w:space="0" w:color="auto"/>
      </w:divBdr>
    </w:div>
    <w:div w:id="1757634055">
      <w:bodyDiv w:val="1"/>
      <w:marLeft w:val="0"/>
      <w:marRight w:val="0"/>
      <w:marTop w:val="0"/>
      <w:marBottom w:val="0"/>
      <w:divBdr>
        <w:top w:val="none" w:sz="0" w:space="0" w:color="auto"/>
        <w:left w:val="none" w:sz="0" w:space="0" w:color="auto"/>
        <w:bottom w:val="none" w:sz="0" w:space="0" w:color="auto"/>
        <w:right w:val="none" w:sz="0" w:space="0" w:color="auto"/>
      </w:divBdr>
    </w:div>
    <w:div w:id="1757903033">
      <w:bodyDiv w:val="1"/>
      <w:marLeft w:val="0"/>
      <w:marRight w:val="0"/>
      <w:marTop w:val="0"/>
      <w:marBottom w:val="0"/>
      <w:divBdr>
        <w:top w:val="none" w:sz="0" w:space="0" w:color="auto"/>
        <w:left w:val="none" w:sz="0" w:space="0" w:color="auto"/>
        <w:bottom w:val="none" w:sz="0" w:space="0" w:color="auto"/>
        <w:right w:val="none" w:sz="0" w:space="0" w:color="auto"/>
      </w:divBdr>
    </w:div>
    <w:div w:id="1758869034">
      <w:bodyDiv w:val="1"/>
      <w:marLeft w:val="0"/>
      <w:marRight w:val="0"/>
      <w:marTop w:val="0"/>
      <w:marBottom w:val="0"/>
      <w:divBdr>
        <w:top w:val="none" w:sz="0" w:space="0" w:color="auto"/>
        <w:left w:val="none" w:sz="0" w:space="0" w:color="auto"/>
        <w:bottom w:val="none" w:sz="0" w:space="0" w:color="auto"/>
        <w:right w:val="none" w:sz="0" w:space="0" w:color="auto"/>
      </w:divBdr>
    </w:div>
    <w:div w:id="1759211179">
      <w:bodyDiv w:val="1"/>
      <w:marLeft w:val="0"/>
      <w:marRight w:val="0"/>
      <w:marTop w:val="0"/>
      <w:marBottom w:val="0"/>
      <w:divBdr>
        <w:top w:val="none" w:sz="0" w:space="0" w:color="auto"/>
        <w:left w:val="none" w:sz="0" w:space="0" w:color="auto"/>
        <w:bottom w:val="none" w:sz="0" w:space="0" w:color="auto"/>
        <w:right w:val="none" w:sz="0" w:space="0" w:color="auto"/>
      </w:divBdr>
    </w:div>
    <w:div w:id="1759667402">
      <w:bodyDiv w:val="1"/>
      <w:marLeft w:val="0"/>
      <w:marRight w:val="0"/>
      <w:marTop w:val="0"/>
      <w:marBottom w:val="0"/>
      <w:divBdr>
        <w:top w:val="none" w:sz="0" w:space="0" w:color="auto"/>
        <w:left w:val="none" w:sz="0" w:space="0" w:color="auto"/>
        <w:bottom w:val="none" w:sz="0" w:space="0" w:color="auto"/>
        <w:right w:val="none" w:sz="0" w:space="0" w:color="auto"/>
      </w:divBdr>
    </w:div>
    <w:div w:id="1759714691">
      <w:bodyDiv w:val="1"/>
      <w:marLeft w:val="0"/>
      <w:marRight w:val="0"/>
      <w:marTop w:val="0"/>
      <w:marBottom w:val="0"/>
      <w:divBdr>
        <w:top w:val="none" w:sz="0" w:space="0" w:color="auto"/>
        <w:left w:val="none" w:sz="0" w:space="0" w:color="auto"/>
        <w:bottom w:val="none" w:sz="0" w:space="0" w:color="auto"/>
        <w:right w:val="none" w:sz="0" w:space="0" w:color="auto"/>
      </w:divBdr>
    </w:div>
    <w:div w:id="1760368490">
      <w:bodyDiv w:val="1"/>
      <w:marLeft w:val="0"/>
      <w:marRight w:val="0"/>
      <w:marTop w:val="0"/>
      <w:marBottom w:val="0"/>
      <w:divBdr>
        <w:top w:val="none" w:sz="0" w:space="0" w:color="auto"/>
        <w:left w:val="none" w:sz="0" w:space="0" w:color="auto"/>
        <w:bottom w:val="none" w:sz="0" w:space="0" w:color="auto"/>
        <w:right w:val="none" w:sz="0" w:space="0" w:color="auto"/>
      </w:divBdr>
    </w:div>
    <w:div w:id="1760441299">
      <w:bodyDiv w:val="1"/>
      <w:marLeft w:val="0"/>
      <w:marRight w:val="0"/>
      <w:marTop w:val="0"/>
      <w:marBottom w:val="0"/>
      <w:divBdr>
        <w:top w:val="none" w:sz="0" w:space="0" w:color="auto"/>
        <w:left w:val="none" w:sz="0" w:space="0" w:color="auto"/>
        <w:bottom w:val="none" w:sz="0" w:space="0" w:color="auto"/>
        <w:right w:val="none" w:sz="0" w:space="0" w:color="auto"/>
      </w:divBdr>
    </w:div>
    <w:div w:id="1760522615">
      <w:bodyDiv w:val="1"/>
      <w:marLeft w:val="0"/>
      <w:marRight w:val="0"/>
      <w:marTop w:val="0"/>
      <w:marBottom w:val="0"/>
      <w:divBdr>
        <w:top w:val="none" w:sz="0" w:space="0" w:color="auto"/>
        <w:left w:val="none" w:sz="0" w:space="0" w:color="auto"/>
        <w:bottom w:val="none" w:sz="0" w:space="0" w:color="auto"/>
        <w:right w:val="none" w:sz="0" w:space="0" w:color="auto"/>
      </w:divBdr>
    </w:div>
    <w:div w:id="1761288721">
      <w:bodyDiv w:val="1"/>
      <w:marLeft w:val="0"/>
      <w:marRight w:val="0"/>
      <w:marTop w:val="0"/>
      <w:marBottom w:val="0"/>
      <w:divBdr>
        <w:top w:val="none" w:sz="0" w:space="0" w:color="auto"/>
        <w:left w:val="none" w:sz="0" w:space="0" w:color="auto"/>
        <w:bottom w:val="none" w:sz="0" w:space="0" w:color="auto"/>
        <w:right w:val="none" w:sz="0" w:space="0" w:color="auto"/>
      </w:divBdr>
    </w:div>
    <w:div w:id="1761483814">
      <w:bodyDiv w:val="1"/>
      <w:marLeft w:val="0"/>
      <w:marRight w:val="0"/>
      <w:marTop w:val="0"/>
      <w:marBottom w:val="0"/>
      <w:divBdr>
        <w:top w:val="none" w:sz="0" w:space="0" w:color="auto"/>
        <w:left w:val="none" w:sz="0" w:space="0" w:color="auto"/>
        <w:bottom w:val="none" w:sz="0" w:space="0" w:color="auto"/>
        <w:right w:val="none" w:sz="0" w:space="0" w:color="auto"/>
      </w:divBdr>
    </w:div>
    <w:div w:id="1761490015">
      <w:bodyDiv w:val="1"/>
      <w:marLeft w:val="0"/>
      <w:marRight w:val="0"/>
      <w:marTop w:val="0"/>
      <w:marBottom w:val="0"/>
      <w:divBdr>
        <w:top w:val="none" w:sz="0" w:space="0" w:color="auto"/>
        <w:left w:val="none" w:sz="0" w:space="0" w:color="auto"/>
        <w:bottom w:val="none" w:sz="0" w:space="0" w:color="auto"/>
        <w:right w:val="none" w:sz="0" w:space="0" w:color="auto"/>
      </w:divBdr>
    </w:div>
    <w:div w:id="1761756211">
      <w:bodyDiv w:val="1"/>
      <w:marLeft w:val="0"/>
      <w:marRight w:val="0"/>
      <w:marTop w:val="0"/>
      <w:marBottom w:val="0"/>
      <w:divBdr>
        <w:top w:val="none" w:sz="0" w:space="0" w:color="auto"/>
        <w:left w:val="none" w:sz="0" w:space="0" w:color="auto"/>
        <w:bottom w:val="none" w:sz="0" w:space="0" w:color="auto"/>
        <w:right w:val="none" w:sz="0" w:space="0" w:color="auto"/>
      </w:divBdr>
    </w:div>
    <w:div w:id="1761826404">
      <w:bodyDiv w:val="1"/>
      <w:marLeft w:val="0"/>
      <w:marRight w:val="0"/>
      <w:marTop w:val="0"/>
      <w:marBottom w:val="0"/>
      <w:divBdr>
        <w:top w:val="none" w:sz="0" w:space="0" w:color="auto"/>
        <w:left w:val="none" w:sz="0" w:space="0" w:color="auto"/>
        <w:bottom w:val="none" w:sz="0" w:space="0" w:color="auto"/>
        <w:right w:val="none" w:sz="0" w:space="0" w:color="auto"/>
      </w:divBdr>
    </w:div>
    <w:div w:id="1762528698">
      <w:bodyDiv w:val="1"/>
      <w:marLeft w:val="0"/>
      <w:marRight w:val="0"/>
      <w:marTop w:val="0"/>
      <w:marBottom w:val="0"/>
      <w:divBdr>
        <w:top w:val="none" w:sz="0" w:space="0" w:color="auto"/>
        <w:left w:val="none" w:sz="0" w:space="0" w:color="auto"/>
        <w:bottom w:val="none" w:sz="0" w:space="0" w:color="auto"/>
        <w:right w:val="none" w:sz="0" w:space="0" w:color="auto"/>
      </w:divBdr>
    </w:div>
    <w:div w:id="1762679257">
      <w:bodyDiv w:val="1"/>
      <w:marLeft w:val="0"/>
      <w:marRight w:val="0"/>
      <w:marTop w:val="0"/>
      <w:marBottom w:val="0"/>
      <w:divBdr>
        <w:top w:val="none" w:sz="0" w:space="0" w:color="auto"/>
        <w:left w:val="none" w:sz="0" w:space="0" w:color="auto"/>
        <w:bottom w:val="none" w:sz="0" w:space="0" w:color="auto"/>
        <w:right w:val="none" w:sz="0" w:space="0" w:color="auto"/>
      </w:divBdr>
    </w:div>
    <w:div w:id="1762681047">
      <w:bodyDiv w:val="1"/>
      <w:marLeft w:val="0"/>
      <w:marRight w:val="0"/>
      <w:marTop w:val="0"/>
      <w:marBottom w:val="0"/>
      <w:divBdr>
        <w:top w:val="none" w:sz="0" w:space="0" w:color="auto"/>
        <w:left w:val="none" w:sz="0" w:space="0" w:color="auto"/>
        <w:bottom w:val="none" w:sz="0" w:space="0" w:color="auto"/>
        <w:right w:val="none" w:sz="0" w:space="0" w:color="auto"/>
      </w:divBdr>
    </w:div>
    <w:div w:id="1762988601">
      <w:bodyDiv w:val="1"/>
      <w:marLeft w:val="0"/>
      <w:marRight w:val="0"/>
      <w:marTop w:val="0"/>
      <w:marBottom w:val="0"/>
      <w:divBdr>
        <w:top w:val="none" w:sz="0" w:space="0" w:color="auto"/>
        <w:left w:val="none" w:sz="0" w:space="0" w:color="auto"/>
        <w:bottom w:val="none" w:sz="0" w:space="0" w:color="auto"/>
        <w:right w:val="none" w:sz="0" w:space="0" w:color="auto"/>
      </w:divBdr>
    </w:div>
    <w:div w:id="1763331576">
      <w:bodyDiv w:val="1"/>
      <w:marLeft w:val="0"/>
      <w:marRight w:val="0"/>
      <w:marTop w:val="0"/>
      <w:marBottom w:val="0"/>
      <w:divBdr>
        <w:top w:val="none" w:sz="0" w:space="0" w:color="auto"/>
        <w:left w:val="none" w:sz="0" w:space="0" w:color="auto"/>
        <w:bottom w:val="none" w:sz="0" w:space="0" w:color="auto"/>
        <w:right w:val="none" w:sz="0" w:space="0" w:color="auto"/>
      </w:divBdr>
    </w:div>
    <w:div w:id="1763337991">
      <w:bodyDiv w:val="1"/>
      <w:marLeft w:val="0"/>
      <w:marRight w:val="0"/>
      <w:marTop w:val="0"/>
      <w:marBottom w:val="0"/>
      <w:divBdr>
        <w:top w:val="none" w:sz="0" w:space="0" w:color="auto"/>
        <w:left w:val="none" w:sz="0" w:space="0" w:color="auto"/>
        <w:bottom w:val="none" w:sz="0" w:space="0" w:color="auto"/>
        <w:right w:val="none" w:sz="0" w:space="0" w:color="auto"/>
      </w:divBdr>
    </w:div>
    <w:div w:id="1763836511">
      <w:bodyDiv w:val="1"/>
      <w:marLeft w:val="0"/>
      <w:marRight w:val="0"/>
      <w:marTop w:val="0"/>
      <w:marBottom w:val="0"/>
      <w:divBdr>
        <w:top w:val="none" w:sz="0" w:space="0" w:color="auto"/>
        <w:left w:val="none" w:sz="0" w:space="0" w:color="auto"/>
        <w:bottom w:val="none" w:sz="0" w:space="0" w:color="auto"/>
        <w:right w:val="none" w:sz="0" w:space="0" w:color="auto"/>
      </w:divBdr>
    </w:div>
    <w:div w:id="1765493130">
      <w:bodyDiv w:val="1"/>
      <w:marLeft w:val="0"/>
      <w:marRight w:val="0"/>
      <w:marTop w:val="0"/>
      <w:marBottom w:val="0"/>
      <w:divBdr>
        <w:top w:val="none" w:sz="0" w:space="0" w:color="auto"/>
        <w:left w:val="none" w:sz="0" w:space="0" w:color="auto"/>
        <w:bottom w:val="none" w:sz="0" w:space="0" w:color="auto"/>
        <w:right w:val="none" w:sz="0" w:space="0" w:color="auto"/>
      </w:divBdr>
    </w:div>
    <w:div w:id="1767967945">
      <w:bodyDiv w:val="1"/>
      <w:marLeft w:val="0"/>
      <w:marRight w:val="0"/>
      <w:marTop w:val="0"/>
      <w:marBottom w:val="0"/>
      <w:divBdr>
        <w:top w:val="none" w:sz="0" w:space="0" w:color="auto"/>
        <w:left w:val="none" w:sz="0" w:space="0" w:color="auto"/>
        <w:bottom w:val="none" w:sz="0" w:space="0" w:color="auto"/>
        <w:right w:val="none" w:sz="0" w:space="0" w:color="auto"/>
      </w:divBdr>
    </w:div>
    <w:div w:id="1768303231">
      <w:bodyDiv w:val="1"/>
      <w:marLeft w:val="0"/>
      <w:marRight w:val="0"/>
      <w:marTop w:val="0"/>
      <w:marBottom w:val="0"/>
      <w:divBdr>
        <w:top w:val="none" w:sz="0" w:space="0" w:color="auto"/>
        <w:left w:val="none" w:sz="0" w:space="0" w:color="auto"/>
        <w:bottom w:val="none" w:sz="0" w:space="0" w:color="auto"/>
        <w:right w:val="none" w:sz="0" w:space="0" w:color="auto"/>
      </w:divBdr>
    </w:div>
    <w:div w:id="1768378579">
      <w:bodyDiv w:val="1"/>
      <w:marLeft w:val="0"/>
      <w:marRight w:val="0"/>
      <w:marTop w:val="0"/>
      <w:marBottom w:val="0"/>
      <w:divBdr>
        <w:top w:val="none" w:sz="0" w:space="0" w:color="auto"/>
        <w:left w:val="none" w:sz="0" w:space="0" w:color="auto"/>
        <w:bottom w:val="none" w:sz="0" w:space="0" w:color="auto"/>
        <w:right w:val="none" w:sz="0" w:space="0" w:color="auto"/>
      </w:divBdr>
    </w:div>
    <w:div w:id="1769423874">
      <w:bodyDiv w:val="1"/>
      <w:marLeft w:val="0"/>
      <w:marRight w:val="0"/>
      <w:marTop w:val="0"/>
      <w:marBottom w:val="0"/>
      <w:divBdr>
        <w:top w:val="none" w:sz="0" w:space="0" w:color="auto"/>
        <w:left w:val="none" w:sz="0" w:space="0" w:color="auto"/>
        <w:bottom w:val="none" w:sz="0" w:space="0" w:color="auto"/>
        <w:right w:val="none" w:sz="0" w:space="0" w:color="auto"/>
      </w:divBdr>
    </w:div>
    <w:div w:id="1769495782">
      <w:bodyDiv w:val="1"/>
      <w:marLeft w:val="0"/>
      <w:marRight w:val="0"/>
      <w:marTop w:val="0"/>
      <w:marBottom w:val="0"/>
      <w:divBdr>
        <w:top w:val="none" w:sz="0" w:space="0" w:color="auto"/>
        <w:left w:val="none" w:sz="0" w:space="0" w:color="auto"/>
        <w:bottom w:val="none" w:sz="0" w:space="0" w:color="auto"/>
        <w:right w:val="none" w:sz="0" w:space="0" w:color="auto"/>
      </w:divBdr>
    </w:div>
    <w:div w:id="1769614913">
      <w:bodyDiv w:val="1"/>
      <w:marLeft w:val="0"/>
      <w:marRight w:val="0"/>
      <w:marTop w:val="0"/>
      <w:marBottom w:val="0"/>
      <w:divBdr>
        <w:top w:val="none" w:sz="0" w:space="0" w:color="auto"/>
        <w:left w:val="none" w:sz="0" w:space="0" w:color="auto"/>
        <w:bottom w:val="none" w:sz="0" w:space="0" w:color="auto"/>
        <w:right w:val="none" w:sz="0" w:space="0" w:color="auto"/>
      </w:divBdr>
    </w:div>
    <w:div w:id="1769621099">
      <w:bodyDiv w:val="1"/>
      <w:marLeft w:val="0"/>
      <w:marRight w:val="0"/>
      <w:marTop w:val="0"/>
      <w:marBottom w:val="0"/>
      <w:divBdr>
        <w:top w:val="none" w:sz="0" w:space="0" w:color="auto"/>
        <w:left w:val="none" w:sz="0" w:space="0" w:color="auto"/>
        <w:bottom w:val="none" w:sz="0" w:space="0" w:color="auto"/>
        <w:right w:val="none" w:sz="0" w:space="0" w:color="auto"/>
      </w:divBdr>
    </w:div>
    <w:div w:id="1770345279">
      <w:bodyDiv w:val="1"/>
      <w:marLeft w:val="0"/>
      <w:marRight w:val="0"/>
      <w:marTop w:val="0"/>
      <w:marBottom w:val="0"/>
      <w:divBdr>
        <w:top w:val="none" w:sz="0" w:space="0" w:color="auto"/>
        <w:left w:val="none" w:sz="0" w:space="0" w:color="auto"/>
        <w:bottom w:val="none" w:sz="0" w:space="0" w:color="auto"/>
        <w:right w:val="none" w:sz="0" w:space="0" w:color="auto"/>
      </w:divBdr>
    </w:div>
    <w:div w:id="1770739696">
      <w:bodyDiv w:val="1"/>
      <w:marLeft w:val="0"/>
      <w:marRight w:val="0"/>
      <w:marTop w:val="0"/>
      <w:marBottom w:val="0"/>
      <w:divBdr>
        <w:top w:val="none" w:sz="0" w:space="0" w:color="auto"/>
        <w:left w:val="none" w:sz="0" w:space="0" w:color="auto"/>
        <w:bottom w:val="none" w:sz="0" w:space="0" w:color="auto"/>
        <w:right w:val="none" w:sz="0" w:space="0" w:color="auto"/>
      </w:divBdr>
    </w:div>
    <w:div w:id="1771315763">
      <w:bodyDiv w:val="1"/>
      <w:marLeft w:val="0"/>
      <w:marRight w:val="0"/>
      <w:marTop w:val="0"/>
      <w:marBottom w:val="0"/>
      <w:divBdr>
        <w:top w:val="none" w:sz="0" w:space="0" w:color="auto"/>
        <w:left w:val="none" w:sz="0" w:space="0" w:color="auto"/>
        <w:bottom w:val="none" w:sz="0" w:space="0" w:color="auto"/>
        <w:right w:val="none" w:sz="0" w:space="0" w:color="auto"/>
      </w:divBdr>
    </w:div>
    <w:div w:id="1771469413">
      <w:bodyDiv w:val="1"/>
      <w:marLeft w:val="0"/>
      <w:marRight w:val="0"/>
      <w:marTop w:val="0"/>
      <w:marBottom w:val="0"/>
      <w:divBdr>
        <w:top w:val="none" w:sz="0" w:space="0" w:color="auto"/>
        <w:left w:val="none" w:sz="0" w:space="0" w:color="auto"/>
        <w:bottom w:val="none" w:sz="0" w:space="0" w:color="auto"/>
        <w:right w:val="none" w:sz="0" w:space="0" w:color="auto"/>
      </w:divBdr>
    </w:div>
    <w:div w:id="1771654709">
      <w:bodyDiv w:val="1"/>
      <w:marLeft w:val="0"/>
      <w:marRight w:val="0"/>
      <w:marTop w:val="0"/>
      <w:marBottom w:val="0"/>
      <w:divBdr>
        <w:top w:val="none" w:sz="0" w:space="0" w:color="auto"/>
        <w:left w:val="none" w:sz="0" w:space="0" w:color="auto"/>
        <w:bottom w:val="none" w:sz="0" w:space="0" w:color="auto"/>
        <w:right w:val="none" w:sz="0" w:space="0" w:color="auto"/>
      </w:divBdr>
    </w:div>
    <w:div w:id="1771924900">
      <w:bodyDiv w:val="1"/>
      <w:marLeft w:val="0"/>
      <w:marRight w:val="0"/>
      <w:marTop w:val="0"/>
      <w:marBottom w:val="0"/>
      <w:divBdr>
        <w:top w:val="none" w:sz="0" w:space="0" w:color="auto"/>
        <w:left w:val="none" w:sz="0" w:space="0" w:color="auto"/>
        <w:bottom w:val="none" w:sz="0" w:space="0" w:color="auto"/>
        <w:right w:val="none" w:sz="0" w:space="0" w:color="auto"/>
      </w:divBdr>
    </w:div>
    <w:div w:id="1772123250">
      <w:bodyDiv w:val="1"/>
      <w:marLeft w:val="0"/>
      <w:marRight w:val="0"/>
      <w:marTop w:val="0"/>
      <w:marBottom w:val="0"/>
      <w:divBdr>
        <w:top w:val="none" w:sz="0" w:space="0" w:color="auto"/>
        <w:left w:val="none" w:sz="0" w:space="0" w:color="auto"/>
        <w:bottom w:val="none" w:sz="0" w:space="0" w:color="auto"/>
        <w:right w:val="none" w:sz="0" w:space="0" w:color="auto"/>
      </w:divBdr>
    </w:div>
    <w:div w:id="1772235356">
      <w:bodyDiv w:val="1"/>
      <w:marLeft w:val="0"/>
      <w:marRight w:val="0"/>
      <w:marTop w:val="0"/>
      <w:marBottom w:val="0"/>
      <w:divBdr>
        <w:top w:val="none" w:sz="0" w:space="0" w:color="auto"/>
        <w:left w:val="none" w:sz="0" w:space="0" w:color="auto"/>
        <w:bottom w:val="none" w:sz="0" w:space="0" w:color="auto"/>
        <w:right w:val="none" w:sz="0" w:space="0" w:color="auto"/>
      </w:divBdr>
    </w:div>
    <w:div w:id="1772311712">
      <w:bodyDiv w:val="1"/>
      <w:marLeft w:val="0"/>
      <w:marRight w:val="0"/>
      <w:marTop w:val="0"/>
      <w:marBottom w:val="0"/>
      <w:divBdr>
        <w:top w:val="none" w:sz="0" w:space="0" w:color="auto"/>
        <w:left w:val="none" w:sz="0" w:space="0" w:color="auto"/>
        <w:bottom w:val="none" w:sz="0" w:space="0" w:color="auto"/>
        <w:right w:val="none" w:sz="0" w:space="0" w:color="auto"/>
      </w:divBdr>
    </w:div>
    <w:div w:id="1772317823">
      <w:bodyDiv w:val="1"/>
      <w:marLeft w:val="0"/>
      <w:marRight w:val="0"/>
      <w:marTop w:val="0"/>
      <w:marBottom w:val="0"/>
      <w:divBdr>
        <w:top w:val="none" w:sz="0" w:space="0" w:color="auto"/>
        <w:left w:val="none" w:sz="0" w:space="0" w:color="auto"/>
        <w:bottom w:val="none" w:sz="0" w:space="0" w:color="auto"/>
        <w:right w:val="none" w:sz="0" w:space="0" w:color="auto"/>
      </w:divBdr>
    </w:div>
    <w:div w:id="1772432792">
      <w:bodyDiv w:val="1"/>
      <w:marLeft w:val="0"/>
      <w:marRight w:val="0"/>
      <w:marTop w:val="0"/>
      <w:marBottom w:val="0"/>
      <w:divBdr>
        <w:top w:val="none" w:sz="0" w:space="0" w:color="auto"/>
        <w:left w:val="none" w:sz="0" w:space="0" w:color="auto"/>
        <w:bottom w:val="none" w:sz="0" w:space="0" w:color="auto"/>
        <w:right w:val="none" w:sz="0" w:space="0" w:color="auto"/>
      </w:divBdr>
    </w:div>
    <w:div w:id="1772512090">
      <w:bodyDiv w:val="1"/>
      <w:marLeft w:val="0"/>
      <w:marRight w:val="0"/>
      <w:marTop w:val="0"/>
      <w:marBottom w:val="0"/>
      <w:divBdr>
        <w:top w:val="none" w:sz="0" w:space="0" w:color="auto"/>
        <w:left w:val="none" w:sz="0" w:space="0" w:color="auto"/>
        <w:bottom w:val="none" w:sz="0" w:space="0" w:color="auto"/>
        <w:right w:val="none" w:sz="0" w:space="0" w:color="auto"/>
      </w:divBdr>
    </w:div>
    <w:div w:id="1772704179">
      <w:bodyDiv w:val="1"/>
      <w:marLeft w:val="0"/>
      <w:marRight w:val="0"/>
      <w:marTop w:val="0"/>
      <w:marBottom w:val="0"/>
      <w:divBdr>
        <w:top w:val="none" w:sz="0" w:space="0" w:color="auto"/>
        <w:left w:val="none" w:sz="0" w:space="0" w:color="auto"/>
        <w:bottom w:val="none" w:sz="0" w:space="0" w:color="auto"/>
        <w:right w:val="none" w:sz="0" w:space="0" w:color="auto"/>
      </w:divBdr>
    </w:div>
    <w:div w:id="1772780032">
      <w:bodyDiv w:val="1"/>
      <w:marLeft w:val="0"/>
      <w:marRight w:val="0"/>
      <w:marTop w:val="0"/>
      <w:marBottom w:val="0"/>
      <w:divBdr>
        <w:top w:val="none" w:sz="0" w:space="0" w:color="auto"/>
        <w:left w:val="none" w:sz="0" w:space="0" w:color="auto"/>
        <w:bottom w:val="none" w:sz="0" w:space="0" w:color="auto"/>
        <w:right w:val="none" w:sz="0" w:space="0" w:color="auto"/>
      </w:divBdr>
    </w:div>
    <w:div w:id="1772890622">
      <w:bodyDiv w:val="1"/>
      <w:marLeft w:val="0"/>
      <w:marRight w:val="0"/>
      <w:marTop w:val="0"/>
      <w:marBottom w:val="0"/>
      <w:divBdr>
        <w:top w:val="none" w:sz="0" w:space="0" w:color="auto"/>
        <w:left w:val="none" w:sz="0" w:space="0" w:color="auto"/>
        <w:bottom w:val="none" w:sz="0" w:space="0" w:color="auto"/>
        <w:right w:val="none" w:sz="0" w:space="0" w:color="auto"/>
      </w:divBdr>
    </w:div>
    <w:div w:id="1773091078">
      <w:bodyDiv w:val="1"/>
      <w:marLeft w:val="0"/>
      <w:marRight w:val="0"/>
      <w:marTop w:val="0"/>
      <w:marBottom w:val="0"/>
      <w:divBdr>
        <w:top w:val="none" w:sz="0" w:space="0" w:color="auto"/>
        <w:left w:val="none" w:sz="0" w:space="0" w:color="auto"/>
        <w:bottom w:val="none" w:sz="0" w:space="0" w:color="auto"/>
        <w:right w:val="none" w:sz="0" w:space="0" w:color="auto"/>
      </w:divBdr>
    </w:div>
    <w:div w:id="1773285444">
      <w:bodyDiv w:val="1"/>
      <w:marLeft w:val="0"/>
      <w:marRight w:val="0"/>
      <w:marTop w:val="0"/>
      <w:marBottom w:val="0"/>
      <w:divBdr>
        <w:top w:val="none" w:sz="0" w:space="0" w:color="auto"/>
        <w:left w:val="none" w:sz="0" w:space="0" w:color="auto"/>
        <w:bottom w:val="none" w:sz="0" w:space="0" w:color="auto"/>
        <w:right w:val="none" w:sz="0" w:space="0" w:color="auto"/>
      </w:divBdr>
    </w:div>
    <w:div w:id="1774088556">
      <w:bodyDiv w:val="1"/>
      <w:marLeft w:val="0"/>
      <w:marRight w:val="0"/>
      <w:marTop w:val="0"/>
      <w:marBottom w:val="0"/>
      <w:divBdr>
        <w:top w:val="none" w:sz="0" w:space="0" w:color="auto"/>
        <w:left w:val="none" w:sz="0" w:space="0" w:color="auto"/>
        <w:bottom w:val="none" w:sz="0" w:space="0" w:color="auto"/>
        <w:right w:val="none" w:sz="0" w:space="0" w:color="auto"/>
      </w:divBdr>
    </w:div>
    <w:div w:id="1774125332">
      <w:bodyDiv w:val="1"/>
      <w:marLeft w:val="0"/>
      <w:marRight w:val="0"/>
      <w:marTop w:val="0"/>
      <w:marBottom w:val="0"/>
      <w:divBdr>
        <w:top w:val="none" w:sz="0" w:space="0" w:color="auto"/>
        <w:left w:val="none" w:sz="0" w:space="0" w:color="auto"/>
        <w:bottom w:val="none" w:sz="0" w:space="0" w:color="auto"/>
        <w:right w:val="none" w:sz="0" w:space="0" w:color="auto"/>
      </w:divBdr>
    </w:div>
    <w:div w:id="1774353183">
      <w:bodyDiv w:val="1"/>
      <w:marLeft w:val="0"/>
      <w:marRight w:val="0"/>
      <w:marTop w:val="0"/>
      <w:marBottom w:val="0"/>
      <w:divBdr>
        <w:top w:val="none" w:sz="0" w:space="0" w:color="auto"/>
        <w:left w:val="none" w:sz="0" w:space="0" w:color="auto"/>
        <w:bottom w:val="none" w:sz="0" w:space="0" w:color="auto"/>
        <w:right w:val="none" w:sz="0" w:space="0" w:color="auto"/>
      </w:divBdr>
    </w:div>
    <w:div w:id="1774471554">
      <w:bodyDiv w:val="1"/>
      <w:marLeft w:val="0"/>
      <w:marRight w:val="0"/>
      <w:marTop w:val="0"/>
      <w:marBottom w:val="0"/>
      <w:divBdr>
        <w:top w:val="none" w:sz="0" w:space="0" w:color="auto"/>
        <w:left w:val="none" w:sz="0" w:space="0" w:color="auto"/>
        <w:bottom w:val="none" w:sz="0" w:space="0" w:color="auto"/>
        <w:right w:val="none" w:sz="0" w:space="0" w:color="auto"/>
      </w:divBdr>
    </w:div>
    <w:div w:id="1774670541">
      <w:bodyDiv w:val="1"/>
      <w:marLeft w:val="0"/>
      <w:marRight w:val="0"/>
      <w:marTop w:val="0"/>
      <w:marBottom w:val="0"/>
      <w:divBdr>
        <w:top w:val="none" w:sz="0" w:space="0" w:color="auto"/>
        <w:left w:val="none" w:sz="0" w:space="0" w:color="auto"/>
        <w:bottom w:val="none" w:sz="0" w:space="0" w:color="auto"/>
        <w:right w:val="none" w:sz="0" w:space="0" w:color="auto"/>
      </w:divBdr>
    </w:div>
    <w:div w:id="1774671955">
      <w:bodyDiv w:val="1"/>
      <w:marLeft w:val="0"/>
      <w:marRight w:val="0"/>
      <w:marTop w:val="0"/>
      <w:marBottom w:val="0"/>
      <w:divBdr>
        <w:top w:val="none" w:sz="0" w:space="0" w:color="auto"/>
        <w:left w:val="none" w:sz="0" w:space="0" w:color="auto"/>
        <w:bottom w:val="none" w:sz="0" w:space="0" w:color="auto"/>
        <w:right w:val="none" w:sz="0" w:space="0" w:color="auto"/>
      </w:divBdr>
    </w:div>
    <w:div w:id="1774743099">
      <w:bodyDiv w:val="1"/>
      <w:marLeft w:val="0"/>
      <w:marRight w:val="0"/>
      <w:marTop w:val="0"/>
      <w:marBottom w:val="0"/>
      <w:divBdr>
        <w:top w:val="none" w:sz="0" w:space="0" w:color="auto"/>
        <w:left w:val="none" w:sz="0" w:space="0" w:color="auto"/>
        <w:bottom w:val="none" w:sz="0" w:space="0" w:color="auto"/>
        <w:right w:val="none" w:sz="0" w:space="0" w:color="auto"/>
      </w:divBdr>
    </w:div>
    <w:div w:id="1774978956">
      <w:bodyDiv w:val="1"/>
      <w:marLeft w:val="0"/>
      <w:marRight w:val="0"/>
      <w:marTop w:val="0"/>
      <w:marBottom w:val="0"/>
      <w:divBdr>
        <w:top w:val="none" w:sz="0" w:space="0" w:color="auto"/>
        <w:left w:val="none" w:sz="0" w:space="0" w:color="auto"/>
        <w:bottom w:val="none" w:sz="0" w:space="0" w:color="auto"/>
        <w:right w:val="none" w:sz="0" w:space="0" w:color="auto"/>
      </w:divBdr>
    </w:div>
    <w:div w:id="1776319246">
      <w:bodyDiv w:val="1"/>
      <w:marLeft w:val="0"/>
      <w:marRight w:val="0"/>
      <w:marTop w:val="0"/>
      <w:marBottom w:val="0"/>
      <w:divBdr>
        <w:top w:val="none" w:sz="0" w:space="0" w:color="auto"/>
        <w:left w:val="none" w:sz="0" w:space="0" w:color="auto"/>
        <w:bottom w:val="none" w:sz="0" w:space="0" w:color="auto"/>
        <w:right w:val="none" w:sz="0" w:space="0" w:color="auto"/>
      </w:divBdr>
    </w:div>
    <w:div w:id="1776713046">
      <w:bodyDiv w:val="1"/>
      <w:marLeft w:val="0"/>
      <w:marRight w:val="0"/>
      <w:marTop w:val="0"/>
      <w:marBottom w:val="0"/>
      <w:divBdr>
        <w:top w:val="none" w:sz="0" w:space="0" w:color="auto"/>
        <w:left w:val="none" w:sz="0" w:space="0" w:color="auto"/>
        <w:bottom w:val="none" w:sz="0" w:space="0" w:color="auto"/>
        <w:right w:val="none" w:sz="0" w:space="0" w:color="auto"/>
      </w:divBdr>
    </w:div>
    <w:div w:id="1777368304">
      <w:bodyDiv w:val="1"/>
      <w:marLeft w:val="0"/>
      <w:marRight w:val="0"/>
      <w:marTop w:val="0"/>
      <w:marBottom w:val="0"/>
      <w:divBdr>
        <w:top w:val="none" w:sz="0" w:space="0" w:color="auto"/>
        <w:left w:val="none" w:sz="0" w:space="0" w:color="auto"/>
        <w:bottom w:val="none" w:sz="0" w:space="0" w:color="auto"/>
        <w:right w:val="none" w:sz="0" w:space="0" w:color="auto"/>
      </w:divBdr>
    </w:div>
    <w:div w:id="1777678594">
      <w:bodyDiv w:val="1"/>
      <w:marLeft w:val="0"/>
      <w:marRight w:val="0"/>
      <w:marTop w:val="0"/>
      <w:marBottom w:val="0"/>
      <w:divBdr>
        <w:top w:val="none" w:sz="0" w:space="0" w:color="auto"/>
        <w:left w:val="none" w:sz="0" w:space="0" w:color="auto"/>
        <w:bottom w:val="none" w:sz="0" w:space="0" w:color="auto"/>
        <w:right w:val="none" w:sz="0" w:space="0" w:color="auto"/>
      </w:divBdr>
    </w:div>
    <w:div w:id="1779136385">
      <w:bodyDiv w:val="1"/>
      <w:marLeft w:val="0"/>
      <w:marRight w:val="0"/>
      <w:marTop w:val="0"/>
      <w:marBottom w:val="0"/>
      <w:divBdr>
        <w:top w:val="none" w:sz="0" w:space="0" w:color="auto"/>
        <w:left w:val="none" w:sz="0" w:space="0" w:color="auto"/>
        <w:bottom w:val="none" w:sz="0" w:space="0" w:color="auto"/>
        <w:right w:val="none" w:sz="0" w:space="0" w:color="auto"/>
      </w:divBdr>
    </w:div>
    <w:div w:id="1779177187">
      <w:bodyDiv w:val="1"/>
      <w:marLeft w:val="0"/>
      <w:marRight w:val="0"/>
      <w:marTop w:val="0"/>
      <w:marBottom w:val="0"/>
      <w:divBdr>
        <w:top w:val="none" w:sz="0" w:space="0" w:color="auto"/>
        <w:left w:val="none" w:sz="0" w:space="0" w:color="auto"/>
        <w:bottom w:val="none" w:sz="0" w:space="0" w:color="auto"/>
        <w:right w:val="none" w:sz="0" w:space="0" w:color="auto"/>
      </w:divBdr>
    </w:div>
    <w:div w:id="1779523664">
      <w:bodyDiv w:val="1"/>
      <w:marLeft w:val="0"/>
      <w:marRight w:val="0"/>
      <w:marTop w:val="0"/>
      <w:marBottom w:val="0"/>
      <w:divBdr>
        <w:top w:val="none" w:sz="0" w:space="0" w:color="auto"/>
        <w:left w:val="none" w:sz="0" w:space="0" w:color="auto"/>
        <w:bottom w:val="none" w:sz="0" w:space="0" w:color="auto"/>
        <w:right w:val="none" w:sz="0" w:space="0" w:color="auto"/>
      </w:divBdr>
    </w:div>
    <w:div w:id="1780491913">
      <w:bodyDiv w:val="1"/>
      <w:marLeft w:val="0"/>
      <w:marRight w:val="0"/>
      <w:marTop w:val="0"/>
      <w:marBottom w:val="0"/>
      <w:divBdr>
        <w:top w:val="none" w:sz="0" w:space="0" w:color="auto"/>
        <w:left w:val="none" w:sz="0" w:space="0" w:color="auto"/>
        <w:bottom w:val="none" w:sz="0" w:space="0" w:color="auto"/>
        <w:right w:val="none" w:sz="0" w:space="0" w:color="auto"/>
      </w:divBdr>
    </w:div>
    <w:div w:id="1780678920">
      <w:bodyDiv w:val="1"/>
      <w:marLeft w:val="0"/>
      <w:marRight w:val="0"/>
      <w:marTop w:val="0"/>
      <w:marBottom w:val="0"/>
      <w:divBdr>
        <w:top w:val="none" w:sz="0" w:space="0" w:color="auto"/>
        <w:left w:val="none" w:sz="0" w:space="0" w:color="auto"/>
        <w:bottom w:val="none" w:sz="0" w:space="0" w:color="auto"/>
        <w:right w:val="none" w:sz="0" w:space="0" w:color="auto"/>
      </w:divBdr>
    </w:div>
    <w:div w:id="1780710761">
      <w:bodyDiv w:val="1"/>
      <w:marLeft w:val="0"/>
      <w:marRight w:val="0"/>
      <w:marTop w:val="0"/>
      <w:marBottom w:val="0"/>
      <w:divBdr>
        <w:top w:val="none" w:sz="0" w:space="0" w:color="auto"/>
        <w:left w:val="none" w:sz="0" w:space="0" w:color="auto"/>
        <w:bottom w:val="none" w:sz="0" w:space="0" w:color="auto"/>
        <w:right w:val="none" w:sz="0" w:space="0" w:color="auto"/>
      </w:divBdr>
    </w:div>
    <w:div w:id="1781416505">
      <w:bodyDiv w:val="1"/>
      <w:marLeft w:val="0"/>
      <w:marRight w:val="0"/>
      <w:marTop w:val="0"/>
      <w:marBottom w:val="0"/>
      <w:divBdr>
        <w:top w:val="none" w:sz="0" w:space="0" w:color="auto"/>
        <w:left w:val="none" w:sz="0" w:space="0" w:color="auto"/>
        <w:bottom w:val="none" w:sz="0" w:space="0" w:color="auto"/>
        <w:right w:val="none" w:sz="0" w:space="0" w:color="auto"/>
      </w:divBdr>
    </w:div>
    <w:div w:id="1781879456">
      <w:bodyDiv w:val="1"/>
      <w:marLeft w:val="0"/>
      <w:marRight w:val="0"/>
      <w:marTop w:val="0"/>
      <w:marBottom w:val="0"/>
      <w:divBdr>
        <w:top w:val="none" w:sz="0" w:space="0" w:color="auto"/>
        <w:left w:val="none" w:sz="0" w:space="0" w:color="auto"/>
        <w:bottom w:val="none" w:sz="0" w:space="0" w:color="auto"/>
        <w:right w:val="none" w:sz="0" w:space="0" w:color="auto"/>
      </w:divBdr>
    </w:div>
    <w:div w:id="1783650176">
      <w:bodyDiv w:val="1"/>
      <w:marLeft w:val="0"/>
      <w:marRight w:val="0"/>
      <w:marTop w:val="0"/>
      <w:marBottom w:val="0"/>
      <w:divBdr>
        <w:top w:val="none" w:sz="0" w:space="0" w:color="auto"/>
        <w:left w:val="none" w:sz="0" w:space="0" w:color="auto"/>
        <w:bottom w:val="none" w:sz="0" w:space="0" w:color="auto"/>
        <w:right w:val="none" w:sz="0" w:space="0" w:color="auto"/>
      </w:divBdr>
    </w:div>
    <w:div w:id="1783962367">
      <w:bodyDiv w:val="1"/>
      <w:marLeft w:val="0"/>
      <w:marRight w:val="0"/>
      <w:marTop w:val="0"/>
      <w:marBottom w:val="0"/>
      <w:divBdr>
        <w:top w:val="none" w:sz="0" w:space="0" w:color="auto"/>
        <w:left w:val="none" w:sz="0" w:space="0" w:color="auto"/>
        <w:bottom w:val="none" w:sz="0" w:space="0" w:color="auto"/>
        <w:right w:val="none" w:sz="0" w:space="0" w:color="auto"/>
      </w:divBdr>
    </w:div>
    <w:div w:id="1784570942">
      <w:bodyDiv w:val="1"/>
      <w:marLeft w:val="0"/>
      <w:marRight w:val="0"/>
      <w:marTop w:val="0"/>
      <w:marBottom w:val="0"/>
      <w:divBdr>
        <w:top w:val="none" w:sz="0" w:space="0" w:color="auto"/>
        <w:left w:val="none" w:sz="0" w:space="0" w:color="auto"/>
        <w:bottom w:val="none" w:sz="0" w:space="0" w:color="auto"/>
        <w:right w:val="none" w:sz="0" w:space="0" w:color="auto"/>
      </w:divBdr>
    </w:div>
    <w:div w:id="1785270884">
      <w:bodyDiv w:val="1"/>
      <w:marLeft w:val="0"/>
      <w:marRight w:val="0"/>
      <w:marTop w:val="0"/>
      <w:marBottom w:val="0"/>
      <w:divBdr>
        <w:top w:val="none" w:sz="0" w:space="0" w:color="auto"/>
        <w:left w:val="none" w:sz="0" w:space="0" w:color="auto"/>
        <w:bottom w:val="none" w:sz="0" w:space="0" w:color="auto"/>
        <w:right w:val="none" w:sz="0" w:space="0" w:color="auto"/>
      </w:divBdr>
    </w:div>
    <w:div w:id="1785343894">
      <w:bodyDiv w:val="1"/>
      <w:marLeft w:val="0"/>
      <w:marRight w:val="0"/>
      <w:marTop w:val="0"/>
      <w:marBottom w:val="0"/>
      <w:divBdr>
        <w:top w:val="none" w:sz="0" w:space="0" w:color="auto"/>
        <w:left w:val="none" w:sz="0" w:space="0" w:color="auto"/>
        <w:bottom w:val="none" w:sz="0" w:space="0" w:color="auto"/>
        <w:right w:val="none" w:sz="0" w:space="0" w:color="auto"/>
      </w:divBdr>
    </w:div>
    <w:div w:id="1785422057">
      <w:bodyDiv w:val="1"/>
      <w:marLeft w:val="0"/>
      <w:marRight w:val="0"/>
      <w:marTop w:val="0"/>
      <w:marBottom w:val="0"/>
      <w:divBdr>
        <w:top w:val="none" w:sz="0" w:space="0" w:color="auto"/>
        <w:left w:val="none" w:sz="0" w:space="0" w:color="auto"/>
        <w:bottom w:val="none" w:sz="0" w:space="0" w:color="auto"/>
        <w:right w:val="none" w:sz="0" w:space="0" w:color="auto"/>
      </w:divBdr>
    </w:div>
    <w:div w:id="1785423254">
      <w:bodyDiv w:val="1"/>
      <w:marLeft w:val="0"/>
      <w:marRight w:val="0"/>
      <w:marTop w:val="0"/>
      <w:marBottom w:val="0"/>
      <w:divBdr>
        <w:top w:val="none" w:sz="0" w:space="0" w:color="auto"/>
        <w:left w:val="none" w:sz="0" w:space="0" w:color="auto"/>
        <w:bottom w:val="none" w:sz="0" w:space="0" w:color="auto"/>
        <w:right w:val="none" w:sz="0" w:space="0" w:color="auto"/>
      </w:divBdr>
    </w:div>
    <w:div w:id="1785687158">
      <w:bodyDiv w:val="1"/>
      <w:marLeft w:val="0"/>
      <w:marRight w:val="0"/>
      <w:marTop w:val="0"/>
      <w:marBottom w:val="0"/>
      <w:divBdr>
        <w:top w:val="none" w:sz="0" w:space="0" w:color="auto"/>
        <w:left w:val="none" w:sz="0" w:space="0" w:color="auto"/>
        <w:bottom w:val="none" w:sz="0" w:space="0" w:color="auto"/>
        <w:right w:val="none" w:sz="0" w:space="0" w:color="auto"/>
      </w:divBdr>
    </w:div>
    <w:div w:id="1785999536">
      <w:bodyDiv w:val="1"/>
      <w:marLeft w:val="0"/>
      <w:marRight w:val="0"/>
      <w:marTop w:val="0"/>
      <w:marBottom w:val="0"/>
      <w:divBdr>
        <w:top w:val="none" w:sz="0" w:space="0" w:color="auto"/>
        <w:left w:val="none" w:sz="0" w:space="0" w:color="auto"/>
        <w:bottom w:val="none" w:sz="0" w:space="0" w:color="auto"/>
        <w:right w:val="none" w:sz="0" w:space="0" w:color="auto"/>
      </w:divBdr>
    </w:div>
    <w:div w:id="1787112531">
      <w:bodyDiv w:val="1"/>
      <w:marLeft w:val="0"/>
      <w:marRight w:val="0"/>
      <w:marTop w:val="0"/>
      <w:marBottom w:val="0"/>
      <w:divBdr>
        <w:top w:val="none" w:sz="0" w:space="0" w:color="auto"/>
        <w:left w:val="none" w:sz="0" w:space="0" w:color="auto"/>
        <w:bottom w:val="none" w:sz="0" w:space="0" w:color="auto"/>
        <w:right w:val="none" w:sz="0" w:space="0" w:color="auto"/>
      </w:divBdr>
    </w:div>
    <w:div w:id="1787189002">
      <w:bodyDiv w:val="1"/>
      <w:marLeft w:val="0"/>
      <w:marRight w:val="0"/>
      <w:marTop w:val="0"/>
      <w:marBottom w:val="0"/>
      <w:divBdr>
        <w:top w:val="none" w:sz="0" w:space="0" w:color="auto"/>
        <w:left w:val="none" w:sz="0" w:space="0" w:color="auto"/>
        <w:bottom w:val="none" w:sz="0" w:space="0" w:color="auto"/>
        <w:right w:val="none" w:sz="0" w:space="0" w:color="auto"/>
      </w:divBdr>
    </w:div>
    <w:div w:id="1787505314">
      <w:bodyDiv w:val="1"/>
      <w:marLeft w:val="0"/>
      <w:marRight w:val="0"/>
      <w:marTop w:val="0"/>
      <w:marBottom w:val="0"/>
      <w:divBdr>
        <w:top w:val="none" w:sz="0" w:space="0" w:color="auto"/>
        <w:left w:val="none" w:sz="0" w:space="0" w:color="auto"/>
        <w:bottom w:val="none" w:sz="0" w:space="0" w:color="auto"/>
        <w:right w:val="none" w:sz="0" w:space="0" w:color="auto"/>
      </w:divBdr>
    </w:div>
    <w:div w:id="1787969974">
      <w:bodyDiv w:val="1"/>
      <w:marLeft w:val="0"/>
      <w:marRight w:val="0"/>
      <w:marTop w:val="0"/>
      <w:marBottom w:val="0"/>
      <w:divBdr>
        <w:top w:val="none" w:sz="0" w:space="0" w:color="auto"/>
        <w:left w:val="none" w:sz="0" w:space="0" w:color="auto"/>
        <w:bottom w:val="none" w:sz="0" w:space="0" w:color="auto"/>
        <w:right w:val="none" w:sz="0" w:space="0" w:color="auto"/>
      </w:divBdr>
    </w:div>
    <w:div w:id="1789087401">
      <w:bodyDiv w:val="1"/>
      <w:marLeft w:val="0"/>
      <w:marRight w:val="0"/>
      <w:marTop w:val="0"/>
      <w:marBottom w:val="0"/>
      <w:divBdr>
        <w:top w:val="none" w:sz="0" w:space="0" w:color="auto"/>
        <w:left w:val="none" w:sz="0" w:space="0" w:color="auto"/>
        <w:bottom w:val="none" w:sz="0" w:space="0" w:color="auto"/>
        <w:right w:val="none" w:sz="0" w:space="0" w:color="auto"/>
      </w:divBdr>
    </w:div>
    <w:div w:id="1789156503">
      <w:bodyDiv w:val="1"/>
      <w:marLeft w:val="0"/>
      <w:marRight w:val="0"/>
      <w:marTop w:val="0"/>
      <w:marBottom w:val="0"/>
      <w:divBdr>
        <w:top w:val="none" w:sz="0" w:space="0" w:color="auto"/>
        <w:left w:val="none" w:sz="0" w:space="0" w:color="auto"/>
        <w:bottom w:val="none" w:sz="0" w:space="0" w:color="auto"/>
        <w:right w:val="none" w:sz="0" w:space="0" w:color="auto"/>
      </w:divBdr>
    </w:div>
    <w:div w:id="1790851931">
      <w:bodyDiv w:val="1"/>
      <w:marLeft w:val="0"/>
      <w:marRight w:val="0"/>
      <w:marTop w:val="0"/>
      <w:marBottom w:val="0"/>
      <w:divBdr>
        <w:top w:val="none" w:sz="0" w:space="0" w:color="auto"/>
        <w:left w:val="none" w:sz="0" w:space="0" w:color="auto"/>
        <w:bottom w:val="none" w:sz="0" w:space="0" w:color="auto"/>
        <w:right w:val="none" w:sz="0" w:space="0" w:color="auto"/>
      </w:divBdr>
    </w:div>
    <w:div w:id="1791363735">
      <w:bodyDiv w:val="1"/>
      <w:marLeft w:val="0"/>
      <w:marRight w:val="0"/>
      <w:marTop w:val="0"/>
      <w:marBottom w:val="0"/>
      <w:divBdr>
        <w:top w:val="none" w:sz="0" w:space="0" w:color="auto"/>
        <w:left w:val="none" w:sz="0" w:space="0" w:color="auto"/>
        <w:bottom w:val="none" w:sz="0" w:space="0" w:color="auto"/>
        <w:right w:val="none" w:sz="0" w:space="0" w:color="auto"/>
      </w:divBdr>
    </w:div>
    <w:div w:id="1791431391">
      <w:bodyDiv w:val="1"/>
      <w:marLeft w:val="0"/>
      <w:marRight w:val="0"/>
      <w:marTop w:val="0"/>
      <w:marBottom w:val="0"/>
      <w:divBdr>
        <w:top w:val="none" w:sz="0" w:space="0" w:color="auto"/>
        <w:left w:val="none" w:sz="0" w:space="0" w:color="auto"/>
        <w:bottom w:val="none" w:sz="0" w:space="0" w:color="auto"/>
        <w:right w:val="none" w:sz="0" w:space="0" w:color="auto"/>
      </w:divBdr>
    </w:div>
    <w:div w:id="1791896903">
      <w:bodyDiv w:val="1"/>
      <w:marLeft w:val="0"/>
      <w:marRight w:val="0"/>
      <w:marTop w:val="0"/>
      <w:marBottom w:val="0"/>
      <w:divBdr>
        <w:top w:val="none" w:sz="0" w:space="0" w:color="auto"/>
        <w:left w:val="none" w:sz="0" w:space="0" w:color="auto"/>
        <w:bottom w:val="none" w:sz="0" w:space="0" w:color="auto"/>
        <w:right w:val="none" w:sz="0" w:space="0" w:color="auto"/>
      </w:divBdr>
    </w:div>
    <w:div w:id="1792241426">
      <w:bodyDiv w:val="1"/>
      <w:marLeft w:val="0"/>
      <w:marRight w:val="0"/>
      <w:marTop w:val="0"/>
      <w:marBottom w:val="0"/>
      <w:divBdr>
        <w:top w:val="none" w:sz="0" w:space="0" w:color="auto"/>
        <w:left w:val="none" w:sz="0" w:space="0" w:color="auto"/>
        <w:bottom w:val="none" w:sz="0" w:space="0" w:color="auto"/>
        <w:right w:val="none" w:sz="0" w:space="0" w:color="auto"/>
      </w:divBdr>
    </w:div>
    <w:div w:id="1792557258">
      <w:bodyDiv w:val="1"/>
      <w:marLeft w:val="0"/>
      <w:marRight w:val="0"/>
      <w:marTop w:val="0"/>
      <w:marBottom w:val="0"/>
      <w:divBdr>
        <w:top w:val="none" w:sz="0" w:space="0" w:color="auto"/>
        <w:left w:val="none" w:sz="0" w:space="0" w:color="auto"/>
        <w:bottom w:val="none" w:sz="0" w:space="0" w:color="auto"/>
        <w:right w:val="none" w:sz="0" w:space="0" w:color="auto"/>
      </w:divBdr>
    </w:div>
    <w:div w:id="1793985672">
      <w:bodyDiv w:val="1"/>
      <w:marLeft w:val="0"/>
      <w:marRight w:val="0"/>
      <w:marTop w:val="0"/>
      <w:marBottom w:val="0"/>
      <w:divBdr>
        <w:top w:val="none" w:sz="0" w:space="0" w:color="auto"/>
        <w:left w:val="none" w:sz="0" w:space="0" w:color="auto"/>
        <w:bottom w:val="none" w:sz="0" w:space="0" w:color="auto"/>
        <w:right w:val="none" w:sz="0" w:space="0" w:color="auto"/>
      </w:divBdr>
    </w:div>
    <w:div w:id="1794014820">
      <w:bodyDiv w:val="1"/>
      <w:marLeft w:val="0"/>
      <w:marRight w:val="0"/>
      <w:marTop w:val="0"/>
      <w:marBottom w:val="0"/>
      <w:divBdr>
        <w:top w:val="none" w:sz="0" w:space="0" w:color="auto"/>
        <w:left w:val="none" w:sz="0" w:space="0" w:color="auto"/>
        <w:bottom w:val="none" w:sz="0" w:space="0" w:color="auto"/>
        <w:right w:val="none" w:sz="0" w:space="0" w:color="auto"/>
      </w:divBdr>
    </w:div>
    <w:div w:id="1794053570">
      <w:bodyDiv w:val="1"/>
      <w:marLeft w:val="0"/>
      <w:marRight w:val="0"/>
      <w:marTop w:val="0"/>
      <w:marBottom w:val="0"/>
      <w:divBdr>
        <w:top w:val="none" w:sz="0" w:space="0" w:color="auto"/>
        <w:left w:val="none" w:sz="0" w:space="0" w:color="auto"/>
        <w:bottom w:val="none" w:sz="0" w:space="0" w:color="auto"/>
        <w:right w:val="none" w:sz="0" w:space="0" w:color="auto"/>
      </w:divBdr>
    </w:div>
    <w:div w:id="1794254684">
      <w:bodyDiv w:val="1"/>
      <w:marLeft w:val="0"/>
      <w:marRight w:val="0"/>
      <w:marTop w:val="0"/>
      <w:marBottom w:val="0"/>
      <w:divBdr>
        <w:top w:val="none" w:sz="0" w:space="0" w:color="auto"/>
        <w:left w:val="none" w:sz="0" w:space="0" w:color="auto"/>
        <w:bottom w:val="none" w:sz="0" w:space="0" w:color="auto"/>
        <w:right w:val="none" w:sz="0" w:space="0" w:color="auto"/>
      </w:divBdr>
    </w:div>
    <w:div w:id="1795710238">
      <w:bodyDiv w:val="1"/>
      <w:marLeft w:val="0"/>
      <w:marRight w:val="0"/>
      <w:marTop w:val="0"/>
      <w:marBottom w:val="0"/>
      <w:divBdr>
        <w:top w:val="none" w:sz="0" w:space="0" w:color="auto"/>
        <w:left w:val="none" w:sz="0" w:space="0" w:color="auto"/>
        <w:bottom w:val="none" w:sz="0" w:space="0" w:color="auto"/>
        <w:right w:val="none" w:sz="0" w:space="0" w:color="auto"/>
      </w:divBdr>
    </w:div>
    <w:div w:id="1795830808">
      <w:bodyDiv w:val="1"/>
      <w:marLeft w:val="0"/>
      <w:marRight w:val="0"/>
      <w:marTop w:val="0"/>
      <w:marBottom w:val="0"/>
      <w:divBdr>
        <w:top w:val="none" w:sz="0" w:space="0" w:color="auto"/>
        <w:left w:val="none" w:sz="0" w:space="0" w:color="auto"/>
        <w:bottom w:val="none" w:sz="0" w:space="0" w:color="auto"/>
        <w:right w:val="none" w:sz="0" w:space="0" w:color="auto"/>
      </w:divBdr>
    </w:div>
    <w:div w:id="1795976570">
      <w:bodyDiv w:val="1"/>
      <w:marLeft w:val="0"/>
      <w:marRight w:val="0"/>
      <w:marTop w:val="0"/>
      <w:marBottom w:val="0"/>
      <w:divBdr>
        <w:top w:val="none" w:sz="0" w:space="0" w:color="auto"/>
        <w:left w:val="none" w:sz="0" w:space="0" w:color="auto"/>
        <w:bottom w:val="none" w:sz="0" w:space="0" w:color="auto"/>
        <w:right w:val="none" w:sz="0" w:space="0" w:color="auto"/>
      </w:divBdr>
    </w:div>
    <w:div w:id="1796017716">
      <w:bodyDiv w:val="1"/>
      <w:marLeft w:val="0"/>
      <w:marRight w:val="0"/>
      <w:marTop w:val="0"/>
      <w:marBottom w:val="0"/>
      <w:divBdr>
        <w:top w:val="none" w:sz="0" w:space="0" w:color="auto"/>
        <w:left w:val="none" w:sz="0" w:space="0" w:color="auto"/>
        <w:bottom w:val="none" w:sz="0" w:space="0" w:color="auto"/>
        <w:right w:val="none" w:sz="0" w:space="0" w:color="auto"/>
      </w:divBdr>
    </w:div>
    <w:div w:id="1797066534">
      <w:bodyDiv w:val="1"/>
      <w:marLeft w:val="0"/>
      <w:marRight w:val="0"/>
      <w:marTop w:val="0"/>
      <w:marBottom w:val="0"/>
      <w:divBdr>
        <w:top w:val="none" w:sz="0" w:space="0" w:color="auto"/>
        <w:left w:val="none" w:sz="0" w:space="0" w:color="auto"/>
        <w:bottom w:val="none" w:sz="0" w:space="0" w:color="auto"/>
        <w:right w:val="none" w:sz="0" w:space="0" w:color="auto"/>
      </w:divBdr>
    </w:div>
    <w:div w:id="1797094420">
      <w:bodyDiv w:val="1"/>
      <w:marLeft w:val="0"/>
      <w:marRight w:val="0"/>
      <w:marTop w:val="0"/>
      <w:marBottom w:val="0"/>
      <w:divBdr>
        <w:top w:val="none" w:sz="0" w:space="0" w:color="auto"/>
        <w:left w:val="none" w:sz="0" w:space="0" w:color="auto"/>
        <w:bottom w:val="none" w:sz="0" w:space="0" w:color="auto"/>
        <w:right w:val="none" w:sz="0" w:space="0" w:color="auto"/>
      </w:divBdr>
    </w:div>
    <w:div w:id="1798836096">
      <w:bodyDiv w:val="1"/>
      <w:marLeft w:val="0"/>
      <w:marRight w:val="0"/>
      <w:marTop w:val="0"/>
      <w:marBottom w:val="0"/>
      <w:divBdr>
        <w:top w:val="none" w:sz="0" w:space="0" w:color="auto"/>
        <w:left w:val="none" w:sz="0" w:space="0" w:color="auto"/>
        <w:bottom w:val="none" w:sz="0" w:space="0" w:color="auto"/>
        <w:right w:val="none" w:sz="0" w:space="0" w:color="auto"/>
      </w:divBdr>
    </w:div>
    <w:div w:id="1799684646">
      <w:bodyDiv w:val="1"/>
      <w:marLeft w:val="0"/>
      <w:marRight w:val="0"/>
      <w:marTop w:val="0"/>
      <w:marBottom w:val="0"/>
      <w:divBdr>
        <w:top w:val="none" w:sz="0" w:space="0" w:color="auto"/>
        <w:left w:val="none" w:sz="0" w:space="0" w:color="auto"/>
        <w:bottom w:val="none" w:sz="0" w:space="0" w:color="auto"/>
        <w:right w:val="none" w:sz="0" w:space="0" w:color="auto"/>
      </w:divBdr>
    </w:div>
    <w:div w:id="1800685398">
      <w:bodyDiv w:val="1"/>
      <w:marLeft w:val="0"/>
      <w:marRight w:val="0"/>
      <w:marTop w:val="0"/>
      <w:marBottom w:val="0"/>
      <w:divBdr>
        <w:top w:val="none" w:sz="0" w:space="0" w:color="auto"/>
        <w:left w:val="none" w:sz="0" w:space="0" w:color="auto"/>
        <w:bottom w:val="none" w:sz="0" w:space="0" w:color="auto"/>
        <w:right w:val="none" w:sz="0" w:space="0" w:color="auto"/>
      </w:divBdr>
    </w:div>
    <w:div w:id="1800688089">
      <w:bodyDiv w:val="1"/>
      <w:marLeft w:val="0"/>
      <w:marRight w:val="0"/>
      <w:marTop w:val="0"/>
      <w:marBottom w:val="0"/>
      <w:divBdr>
        <w:top w:val="none" w:sz="0" w:space="0" w:color="auto"/>
        <w:left w:val="none" w:sz="0" w:space="0" w:color="auto"/>
        <w:bottom w:val="none" w:sz="0" w:space="0" w:color="auto"/>
        <w:right w:val="none" w:sz="0" w:space="0" w:color="auto"/>
      </w:divBdr>
    </w:div>
    <w:div w:id="1800950436">
      <w:bodyDiv w:val="1"/>
      <w:marLeft w:val="0"/>
      <w:marRight w:val="0"/>
      <w:marTop w:val="0"/>
      <w:marBottom w:val="0"/>
      <w:divBdr>
        <w:top w:val="none" w:sz="0" w:space="0" w:color="auto"/>
        <w:left w:val="none" w:sz="0" w:space="0" w:color="auto"/>
        <w:bottom w:val="none" w:sz="0" w:space="0" w:color="auto"/>
        <w:right w:val="none" w:sz="0" w:space="0" w:color="auto"/>
      </w:divBdr>
    </w:div>
    <w:div w:id="1800997340">
      <w:bodyDiv w:val="1"/>
      <w:marLeft w:val="0"/>
      <w:marRight w:val="0"/>
      <w:marTop w:val="0"/>
      <w:marBottom w:val="0"/>
      <w:divBdr>
        <w:top w:val="none" w:sz="0" w:space="0" w:color="auto"/>
        <w:left w:val="none" w:sz="0" w:space="0" w:color="auto"/>
        <w:bottom w:val="none" w:sz="0" w:space="0" w:color="auto"/>
        <w:right w:val="none" w:sz="0" w:space="0" w:color="auto"/>
      </w:divBdr>
    </w:div>
    <w:div w:id="1802185929">
      <w:bodyDiv w:val="1"/>
      <w:marLeft w:val="0"/>
      <w:marRight w:val="0"/>
      <w:marTop w:val="0"/>
      <w:marBottom w:val="0"/>
      <w:divBdr>
        <w:top w:val="none" w:sz="0" w:space="0" w:color="auto"/>
        <w:left w:val="none" w:sz="0" w:space="0" w:color="auto"/>
        <w:bottom w:val="none" w:sz="0" w:space="0" w:color="auto"/>
        <w:right w:val="none" w:sz="0" w:space="0" w:color="auto"/>
      </w:divBdr>
    </w:div>
    <w:div w:id="1802920840">
      <w:bodyDiv w:val="1"/>
      <w:marLeft w:val="0"/>
      <w:marRight w:val="0"/>
      <w:marTop w:val="0"/>
      <w:marBottom w:val="0"/>
      <w:divBdr>
        <w:top w:val="none" w:sz="0" w:space="0" w:color="auto"/>
        <w:left w:val="none" w:sz="0" w:space="0" w:color="auto"/>
        <w:bottom w:val="none" w:sz="0" w:space="0" w:color="auto"/>
        <w:right w:val="none" w:sz="0" w:space="0" w:color="auto"/>
      </w:divBdr>
    </w:div>
    <w:div w:id="1803182843">
      <w:bodyDiv w:val="1"/>
      <w:marLeft w:val="0"/>
      <w:marRight w:val="0"/>
      <w:marTop w:val="0"/>
      <w:marBottom w:val="0"/>
      <w:divBdr>
        <w:top w:val="none" w:sz="0" w:space="0" w:color="auto"/>
        <w:left w:val="none" w:sz="0" w:space="0" w:color="auto"/>
        <w:bottom w:val="none" w:sz="0" w:space="0" w:color="auto"/>
        <w:right w:val="none" w:sz="0" w:space="0" w:color="auto"/>
      </w:divBdr>
    </w:div>
    <w:div w:id="1803308008">
      <w:bodyDiv w:val="1"/>
      <w:marLeft w:val="0"/>
      <w:marRight w:val="0"/>
      <w:marTop w:val="0"/>
      <w:marBottom w:val="0"/>
      <w:divBdr>
        <w:top w:val="none" w:sz="0" w:space="0" w:color="auto"/>
        <w:left w:val="none" w:sz="0" w:space="0" w:color="auto"/>
        <w:bottom w:val="none" w:sz="0" w:space="0" w:color="auto"/>
        <w:right w:val="none" w:sz="0" w:space="0" w:color="auto"/>
      </w:divBdr>
    </w:div>
    <w:div w:id="1804733738">
      <w:bodyDiv w:val="1"/>
      <w:marLeft w:val="0"/>
      <w:marRight w:val="0"/>
      <w:marTop w:val="0"/>
      <w:marBottom w:val="0"/>
      <w:divBdr>
        <w:top w:val="none" w:sz="0" w:space="0" w:color="auto"/>
        <w:left w:val="none" w:sz="0" w:space="0" w:color="auto"/>
        <w:bottom w:val="none" w:sz="0" w:space="0" w:color="auto"/>
        <w:right w:val="none" w:sz="0" w:space="0" w:color="auto"/>
      </w:divBdr>
    </w:div>
    <w:div w:id="1804813580">
      <w:bodyDiv w:val="1"/>
      <w:marLeft w:val="0"/>
      <w:marRight w:val="0"/>
      <w:marTop w:val="0"/>
      <w:marBottom w:val="0"/>
      <w:divBdr>
        <w:top w:val="none" w:sz="0" w:space="0" w:color="auto"/>
        <w:left w:val="none" w:sz="0" w:space="0" w:color="auto"/>
        <w:bottom w:val="none" w:sz="0" w:space="0" w:color="auto"/>
        <w:right w:val="none" w:sz="0" w:space="0" w:color="auto"/>
      </w:divBdr>
    </w:div>
    <w:div w:id="1804814246">
      <w:bodyDiv w:val="1"/>
      <w:marLeft w:val="0"/>
      <w:marRight w:val="0"/>
      <w:marTop w:val="0"/>
      <w:marBottom w:val="0"/>
      <w:divBdr>
        <w:top w:val="none" w:sz="0" w:space="0" w:color="auto"/>
        <w:left w:val="none" w:sz="0" w:space="0" w:color="auto"/>
        <w:bottom w:val="none" w:sz="0" w:space="0" w:color="auto"/>
        <w:right w:val="none" w:sz="0" w:space="0" w:color="auto"/>
      </w:divBdr>
    </w:div>
    <w:div w:id="1805125364">
      <w:bodyDiv w:val="1"/>
      <w:marLeft w:val="0"/>
      <w:marRight w:val="0"/>
      <w:marTop w:val="0"/>
      <w:marBottom w:val="0"/>
      <w:divBdr>
        <w:top w:val="none" w:sz="0" w:space="0" w:color="auto"/>
        <w:left w:val="none" w:sz="0" w:space="0" w:color="auto"/>
        <w:bottom w:val="none" w:sz="0" w:space="0" w:color="auto"/>
        <w:right w:val="none" w:sz="0" w:space="0" w:color="auto"/>
      </w:divBdr>
    </w:div>
    <w:div w:id="1805153282">
      <w:bodyDiv w:val="1"/>
      <w:marLeft w:val="0"/>
      <w:marRight w:val="0"/>
      <w:marTop w:val="0"/>
      <w:marBottom w:val="0"/>
      <w:divBdr>
        <w:top w:val="none" w:sz="0" w:space="0" w:color="auto"/>
        <w:left w:val="none" w:sz="0" w:space="0" w:color="auto"/>
        <w:bottom w:val="none" w:sz="0" w:space="0" w:color="auto"/>
        <w:right w:val="none" w:sz="0" w:space="0" w:color="auto"/>
      </w:divBdr>
    </w:div>
    <w:div w:id="1805270145">
      <w:bodyDiv w:val="1"/>
      <w:marLeft w:val="0"/>
      <w:marRight w:val="0"/>
      <w:marTop w:val="0"/>
      <w:marBottom w:val="0"/>
      <w:divBdr>
        <w:top w:val="none" w:sz="0" w:space="0" w:color="auto"/>
        <w:left w:val="none" w:sz="0" w:space="0" w:color="auto"/>
        <w:bottom w:val="none" w:sz="0" w:space="0" w:color="auto"/>
        <w:right w:val="none" w:sz="0" w:space="0" w:color="auto"/>
      </w:divBdr>
    </w:div>
    <w:div w:id="1805587528">
      <w:bodyDiv w:val="1"/>
      <w:marLeft w:val="0"/>
      <w:marRight w:val="0"/>
      <w:marTop w:val="0"/>
      <w:marBottom w:val="0"/>
      <w:divBdr>
        <w:top w:val="none" w:sz="0" w:space="0" w:color="auto"/>
        <w:left w:val="none" w:sz="0" w:space="0" w:color="auto"/>
        <w:bottom w:val="none" w:sz="0" w:space="0" w:color="auto"/>
        <w:right w:val="none" w:sz="0" w:space="0" w:color="auto"/>
      </w:divBdr>
    </w:div>
    <w:div w:id="1805732015">
      <w:bodyDiv w:val="1"/>
      <w:marLeft w:val="0"/>
      <w:marRight w:val="0"/>
      <w:marTop w:val="0"/>
      <w:marBottom w:val="0"/>
      <w:divBdr>
        <w:top w:val="none" w:sz="0" w:space="0" w:color="auto"/>
        <w:left w:val="none" w:sz="0" w:space="0" w:color="auto"/>
        <w:bottom w:val="none" w:sz="0" w:space="0" w:color="auto"/>
        <w:right w:val="none" w:sz="0" w:space="0" w:color="auto"/>
      </w:divBdr>
    </w:div>
    <w:div w:id="1805804277">
      <w:bodyDiv w:val="1"/>
      <w:marLeft w:val="0"/>
      <w:marRight w:val="0"/>
      <w:marTop w:val="0"/>
      <w:marBottom w:val="0"/>
      <w:divBdr>
        <w:top w:val="none" w:sz="0" w:space="0" w:color="auto"/>
        <w:left w:val="none" w:sz="0" w:space="0" w:color="auto"/>
        <w:bottom w:val="none" w:sz="0" w:space="0" w:color="auto"/>
        <w:right w:val="none" w:sz="0" w:space="0" w:color="auto"/>
      </w:divBdr>
    </w:div>
    <w:div w:id="1806198310">
      <w:bodyDiv w:val="1"/>
      <w:marLeft w:val="0"/>
      <w:marRight w:val="0"/>
      <w:marTop w:val="0"/>
      <w:marBottom w:val="0"/>
      <w:divBdr>
        <w:top w:val="none" w:sz="0" w:space="0" w:color="auto"/>
        <w:left w:val="none" w:sz="0" w:space="0" w:color="auto"/>
        <w:bottom w:val="none" w:sz="0" w:space="0" w:color="auto"/>
        <w:right w:val="none" w:sz="0" w:space="0" w:color="auto"/>
      </w:divBdr>
    </w:div>
    <w:div w:id="1806967985">
      <w:bodyDiv w:val="1"/>
      <w:marLeft w:val="0"/>
      <w:marRight w:val="0"/>
      <w:marTop w:val="0"/>
      <w:marBottom w:val="0"/>
      <w:divBdr>
        <w:top w:val="none" w:sz="0" w:space="0" w:color="auto"/>
        <w:left w:val="none" w:sz="0" w:space="0" w:color="auto"/>
        <w:bottom w:val="none" w:sz="0" w:space="0" w:color="auto"/>
        <w:right w:val="none" w:sz="0" w:space="0" w:color="auto"/>
      </w:divBdr>
    </w:div>
    <w:div w:id="1807816192">
      <w:bodyDiv w:val="1"/>
      <w:marLeft w:val="0"/>
      <w:marRight w:val="0"/>
      <w:marTop w:val="0"/>
      <w:marBottom w:val="0"/>
      <w:divBdr>
        <w:top w:val="none" w:sz="0" w:space="0" w:color="auto"/>
        <w:left w:val="none" w:sz="0" w:space="0" w:color="auto"/>
        <w:bottom w:val="none" w:sz="0" w:space="0" w:color="auto"/>
        <w:right w:val="none" w:sz="0" w:space="0" w:color="auto"/>
      </w:divBdr>
    </w:div>
    <w:div w:id="1808160747">
      <w:bodyDiv w:val="1"/>
      <w:marLeft w:val="0"/>
      <w:marRight w:val="0"/>
      <w:marTop w:val="0"/>
      <w:marBottom w:val="0"/>
      <w:divBdr>
        <w:top w:val="none" w:sz="0" w:space="0" w:color="auto"/>
        <w:left w:val="none" w:sz="0" w:space="0" w:color="auto"/>
        <w:bottom w:val="none" w:sz="0" w:space="0" w:color="auto"/>
        <w:right w:val="none" w:sz="0" w:space="0" w:color="auto"/>
      </w:divBdr>
    </w:div>
    <w:div w:id="1808281811">
      <w:bodyDiv w:val="1"/>
      <w:marLeft w:val="0"/>
      <w:marRight w:val="0"/>
      <w:marTop w:val="0"/>
      <w:marBottom w:val="0"/>
      <w:divBdr>
        <w:top w:val="none" w:sz="0" w:space="0" w:color="auto"/>
        <w:left w:val="none" w:sz="0" w:space="0" w:color="auto"/>
        <w:bottom w:val="none" w:sz="0" w:space="0" w:color="auto"/>
        <w:right w:val="none" w:sz="0" w:space="0" w:color="auto"/>
      </w:divBdr>
    </w:div>
    <w:div w:id="1808282938">
      <w:bodyDiv w:val="1"/>
      <w:marLeft w:val="0"/>
      <w:marRight w:val="0"/>
      <w:marTop w:val="0"/>
      <w:marBottom w:val="0"/>
      <w:divBdr>
        <w:top w:val="none" w:sz="0" w:space="0" w:color="auto"/>
        <w:left w:val="none" w:sz="0" w:space="0" w:color="auto"/>
        <w:bottom w:val="none" w:sz="0" w:space="0" w:color="auto"/>
        <w:right w:val="none" w:sz="0" w:space="0" w:color="auto"/>
      </w:divBdr>
    </w:div>
    <w:div w:id="1808425484">
      <w:bodyDiv w:val="1"/>
      <w:marLeft w:val="0"/>
      <w:marRight w:val="0"/>
      <w:marTop w:val="0"/>
      <w:marBottom w:val="0"/>
      <w:divBdr>
        <w:top w:val="none" w:sz="0" w:space="0" w:color="auto"/>
        <w:left w:val="none" w:sz="0" w:space="0" w:color="auto"/>
        <w:bottom w:val="none" w:sz="0" w:space="0" w:color="auto"/>
        <w:right w:val="none" w:sz="0" w:space="0" w:color="auto"/>
      </w:divBdr>
    </w:div>
    <w:div w:id="1808550023">
      <w:bodyDiv w:val="1"/>
      <w:marLeft w:val="0"/>
      <w:marRight w:val="0"/>
      <w:marTop w:val="0"/>
      <w:marBottom w:val="0"/>
      <w:divBdr>
        <w:top w:val="none" w:sz="0" w:space="0" w:color="auto"/>
        <w:left w:val="none" w:sz="0" w:space="0" w:color="auto"/>
        <w:bottom w:val="none" w:sz="0" w:space="0" w:color="auto"/>
        <w:right w:val="none" w:sz="0" w:space="0" w:color="auto"/>
      </w:divBdr>
    </w:div>
    <w:div w:id="1808670338">
      <w:bodyDiv w:val="1"/>
      <w:marLeft w:val="0"/>
      <w:marRight w:val="0"/>
      <w:marTop w:val="0"/>
      <w:marBottom w:val="0"/>
      <w:divBdr>
        <w:top w:val="none" w:sz="0" w:space="0" w:color="auto"/>
        <w:left w:val="none" w:sz="0" w:space="0" w:color="auto"/>
        <w:bottom w:val="none" w:sz="0" w:space="0" w:color="auto"/>
        <w:right w:val="none" w:sz="0" w:space="0" w:color="auto"/>
      </w:divBdr>
    </w:div>
    <w:div w:id="1809324102">
      <w:bodyDiv w:val="1"/>
      <w:marLeft w:val="0"/>
      <w:marRight w:val="0"/>
      <w:marTop w:val="0"/>
      <w:marBottom w:val="0"/>
      <w:divBdr>
        <w:top w:val="none" w:sz="0" w:space="0" w:color="auto"/>
        <w:left w:val="none" w:sz="0" w:space="0" w:color="auto"/>
        <w:bottom w:val="none" w:sz="0" w:space="0" w:color="auto"/>
        <w:right w:val="none" w:sz="0" w:space="0" w:color="auto"/>
      </w:divBdr>
    </w:div>
    <w:div w:id="1809395124">
      <w:bodyDiv w:val="1"/>
      <w:marLeft w:val="0"/>
      <w:marRight w:val="0"/>
      <w:marTop w:val="0"/>
      <w:marBottom w:val="0"/>
      <w:divBdr>
        <w:top w:val="none" w:sz="0" w:space="0" w:color="auto"/>
        <w:left w:val="none" w:sz="0" w:space="0" w:color="auto"/>
        <w:bottom w:val="none" w:sz="0" w:space="0" w:color="auto"/>
        <w:right w:val="none" w:sz="0" w:space="0" w:color="auto"/>
      </w:divBdr>
    </w:div>
    <w:div w:id="1810127473">
      <w:bodyDiv w:val="1"/>
      <w:marLeft w:val="0"/>
      <w:marRight w:val="0"/>
      <w:marTop w:val="0"/>
      <w:marBottom w:val="0"/>
      <w:divBdr>
        <w:top w:val="none" w:sz="0" w:space="0" w:color="auto"/>
        <w:left w:val="none" w:sz="0" w:space="0" w:color="auto"/>
        <w:bottom w:val="none" w:sz="0" w:space="0" w:color="auto"/>
        <w:right w:val="none" w:sz="0" w:space="0" w:color="auto"/>
      </w:divBdr>
    </w:div>
    <w:div w:id="1810129968">
      <w:bodyDiv w:val="1"/>
      <w:marLeft w:val="0"/>
      <w:marRight w:val="0"/>
      <w:marTop w:val="0"/>
      <w:marBottom w:val="0"/>
      <w:divBdr>
        <w:top w:val="none" w:sz="0" w:space="0" w:color="auto"/>
        <w:left w:val="none" w:sz="0" w:space="0" w:color="auto"/>
        <w:bottom w:val="none" w:sz="0" w:space="0" w:color="auto"/>
        <w:right w:val="none" w:sz="0" w:space="0" w:color="auto"/>
      </w:divBdr>
    </w:div>
    <w:div w:id="1810316374">
      <w:bodyDiv w:val="1"/>
      <w:marLeft w:val="0"/>
      <w:marRight w:val="0"/>
      <w:marTop w:val="0"/>
      <w:marBottom w:val="0"/>
      <w:divBdr>
        <w:top w:val="none" w:sz="0" w:space="0" w:color="auto"/>
        <w:left w:val="none" w:sz="0" w:space="0" w:color="auto"/>
        <w:bottom w:val="none" w:sz="0" w:space="0" w:color="auto"/>
        <w:right w:val="none" w:sz="0" w:space="0" w:color="auto"/>
      </w:divBdr>
    </w:div>
    <w:div w:id="1810366891">
      <w:bodyDiv w:val="1"/>
      <w:marLeft w:val="0"/>
      <w:marRight w:val="0"/>
      <w:marTop w:val="0"/>
      <w:marBottom w:val="0"/>
      <w:divBdr>
        <w:top w:val="none" w:sz="0" w:space="0" w:color="auto"/>
        <w:left w:val="none" w:sz="0" w:space="0" w:color="auto"/>
        <w:bottom w:val="none" w:sz="0" w:space="0" w:color="auto"/>
        <w:right w:val="none" w:sz="0" w:space="0" w:color="auto"/>
      </w:divBdr>
    </w:div>
    <w:div w:id="1810436318">
      <w:bodyDiv w:val="1"/>
      <w:marLeft w:val="0"/>
      <w:marRight w:val="0"/>
      <w:marTop w:val="0"/>
      <w:marBottom w:val="0"/>
      <w:divBdr>
        <w:top w:val="none" w:sz="0" w:space="0" w:color="auto"/>
        <w:left w:val="none" w:sz="0" w:space="0" w:color="auto"/>
        <w:bottom w:val="none" w:sz="0" w:space="0" w:color="auto"/>
        <w:right w:val="none" w:sz="0" w:space="0" w:color="auto"/>
      </w:divBdr>
    </w:div>
    <w:div w:id="1810632065">
      <w:bodyDiv w:val="1"/>
      <w:marLeft w:val="0"/>
      <w:marRight w:val="0"/>
      <w:marTop w:val="0"/>
      <w:marBottom w:val="0"/>
      <w:divBdr>
        <w:top w:val="none" w:sz="0" w:space="0" w:color="auto"/>
        <w:left w:val="none" w:sz="0" w:space="0" w:color="auto"/>
        <w:bottom w:val="none" w:sz="0" w:space="0" w:color="auto"/>
        <w:right w:val="none" w:sz="0" w:space="0" w:color="auto"/>
      </w:divBdr>
    </w:div>
    <w:div w:id="1810856076">
      <w:bodyDiv w:val="1"/>
      <w:marLeft w:val="0"/>
      <w:marRight w:val="0"/>
      <w:marTop w:val="0"/>
      <w:marBottom w:val="0"/>
      <w:divBdr>
        <w:top w:val="none" w:sz="0" w:space="0" w:color="auto"/>
        <w:left w:val="none" w:sz="0" w:space="0" w:color="auto"/>
        <w:bottom w:val="none" w:sz="0" w:space="0" w:color="auto"/>
        <w:right w:val="none" w:sz="0" w:space="0" w:color="auto"/>
      </w:divBdr>
    </w:div>
    <w:div w:id="1811508062">
      <w:bodyDiv w:val="1"/>
      <w:marLeft w:val="0"/>
      <w:marRight w:val="0"/>
      <w:marTop w:val="0"/>
      <w:marBottom w:val="0"/>
      <w:divBdr>
        <w:top w:val="none" w:sz="0" w:space="0" w:color="auto"/>
        <w:left w:val="none" w:sz="0" w:space="0" w:color="auto"/>
        <w:bottom w:val="none" w:sz="0" w:space="0" w:color="auto"/>
        <w:right w:val="none" w:sz="0" w:space="0" w:color="auto"/>
      </w:divBdr>
    </w:div>
    <w:div w:id="1812013044">
      <w:bodyDiv w:val="1"/>
      <w:marLeft w:val="0"/>
      <w:marRight w:val="0"/>
      <w:marTop w:val="0"/>
      <w:marBottom w:val="0"/>
      <w:divBdr>
        <w:top w:val="none" w:sz="0" w:space="0" w:color="auto"/>
        <w:left w:val="none" w:sz="0" w:space="0" w:color="auto"/>
        <w:bottom w:val="none" w:sz="0" w:space="0" w:color="auto"/>
        <w:right w:val="none" w:sz="0" w:space="0" w:color="auto"/>
      </w:divBdr>
    </w:div>
    <w:div w:id="1812021579">
      <w:bodyDiv w:val="1"/>
      <w:marLeft w:val="0"/>
      <w:marRight w:val="0"/>
      <w:marTop w:val="0"/>
      <w:marBottom w:val="0"/>
      <w:divBdr>
        <w:top w:val="none" w:sz="0" w:space="0" w:color="auto"/>
        <w:left w:val="none" w:sz="0" w:space="0" w:color="auto"/>
        <w:bottom w:val="none" w:sz="0" w:space="0" w:color="auto"/>
        <w:right w:val="none" w:sz="0" w:space="0" w:color="auto"/>
      </w:divBdr>
    </w:div>
    <w:div w:id="1813788712">
      <w:bodyDiv w:val="1"/>
      <w:marLeft w:val="0"/>
      <w:marRight w:val="0"/>
      <w:marTop w:val="0"/>
      <w:marBottom w:val="0"/>
      <w:divBdr>
        <w:top w:val="none" w:sz="0" w:space="0" w:color="auto"/>
        <w:left w:val="none" w:sz="0" w:space="0" w:color="auto"/>
        <w:bottom w:val="none" w:sz="0" w:space="0" w:color="auto"/>
        <w:right w:val="none" w:sz="0" w:space="0" w:color="auto"/>
      </w:divBdr>
    </w:div>
    <w:div w:id="1813912232">
      <w:bodyDiv w:val="1"/>
      <w:marLeft w:val="0"/>
      <w:marRight w:val="0"/>
      <w:marTop w:val="0"/>
      <w:marBottom w:val="0"/>
      <w:divBdr>
        <w:top w:val="none" w:sz="0" w:space="0" w:color="auto"/>
        <w:left w:val="none" w:sz="0" w:space="0" w:color="auto"/>
        <w:bottom w:val="none" w:sz="0" w:space="0" w:color="auto"/>
        <w:right w:val="none" w:sz="0" w:space="0" w:color="auto"/>
      </w:divBdr>
    </w:div>
    <w:div w:id="1814331226">
      <w:bodyDiv w:val="1"/>
      <w:marLeft w:val="0"/>
      <w:marRight w:val="0"/>
      <w:marTop w:val="0"/>
      <w:marBottom w:val="0"/>
      <w:divBdr>
        <w:top w:val="none" w:sz="0" w:space="0" w:color="auto"/>
        <w:left w:val="none" w:sz="0" w:space="0" w:color="auto"/>
        <w:bottom w:val="none" w:sz="0" w:space="0" w:color="auto"/>
        <w:right w:val="none" w:sz="0" w:space="0" w:color="auto"/>
      </w:divBdr>
    </w:div>
    <w:div w:id="1814445535">
      <w:bodyDiv w:val="1"/>
      <w:marLeft w:val="0"/>
      <w:marRight w:val="0"/>
      <w:marTop w:val="0"/>
      <w:marBottom w:val="0"/>
      <w:divBdr>
        <w:top w:val="none" w:sz="0" w:space="0" w:color="auto"/>
        <w:left w:val="none" w:sz="0" w:space="0" w:color="auto"/>
        <w:bottom w:val="none" w:sz="0" w:space="0" w:color="auto"/>
        <w:right w:val="none" w:sz="0" w:space="0" w:color="auto"/>
      </w:divBdr>
    </w:div>
    <w:div w:id="1814520988">
      <w:bodyDiv w:val="1"/>
      <w:marLeft w:val="0"/>
      <w:marRight w:val="0"/>
      <w:marTop w:val="0"/>
      <w:marBottom w:val="0"/>
      <w:divBdr>
        <w:top w:val="none" w:sz="0" w:space="0" w:color="auto"/>
        <w:left w:val="none" w:sz="0" w:space="0" w:color="auto"/>
        <w:bottom w:val="none" w:sz="0" w:space="0" w:color="auto"/>
        <w:right w:val="none" w:sz="0" w:space="0" w:color="auto"/>
      </w:divBdr>
    </w:div>
    <w:div w:id="1814714891">
      <w:bodyDiv w:val="1"/>
      <w:marLeft w:val="0"/>
      <w:marRight w:val="0"/>
      <w:marTop w:val="0"/>
      <w:marBottom w:val="0"/>
      <w:divBdr>
        <w:top w:val="none" w:sz="0" w:space="0" w:color="auto"/>
        <w:left w:val="none" w:sz="0" w:space="0" w:color="auto"/>
        <w:bottom w:val="none" w:sz="0" w:space="0" w:color="auto"/>
        <w:right w:val="none" w:sz="0" w:space="0" w:color="auto"/>
      </w:divBdr>
    </w:div>
    <w:div w:id="1814716541">
      <w:bodyDiv w:val="1"/>
      <w:marLeft w:val="0"/>
      <w:marRight w:val="0"/>
      <w:marTop w:val="0"/>
      <w:marBottom w:val="0"/>
      <w:divBdr>
        <w:top w:val="none" w:sz="0" w:space="0" w:color="auto"/>
        <w:left w:val="none" w:sz="0" w:space="0" w:color="auto"/>
        <w:bottom w:val="none" w:sz="0" w:space="0" w:color="auto"/>
        <w:right w:val="none" w:sz="0" w:space="0" w:color="auto"/>
      </w:divBdr>
    </w:div>
    <w:div w:id="1814787045">
      <w:bodyDiv w:val="1"/>
      <w:marLeft w:val="0"/>
      <w:marRight w:val="0"/>
      <w:marTop w:val="0"/>
      <w:marBottom w:val="0"/>
      <w:divBdr>
        <w:top w:val="none" w:sz="0" w:space="0" w:color="auto"/>
        <w:left w:val="none" w:sz="0" w:space="0" w:color="auto"/>
        <w:bottom w:val="none" w:sz="0" w:space="0" w:color="auto"/>
        <w:right w:val="none" w:sz="0" w:space="0" w:color="auto"/>
      </w:divBdr>
    </w:div>
    <w:div w:id="1814984138">
      <w:bodyDiv w:val="1"/>
      <w:marLeft w:val="0"/>
      <w:marRight w:val="0"/>
      <w:marTop w:val="0"/>
      <w:marBottom w:val="0"/>
      <w:divBdr>
        <w:top w:val="none" w:sz="0" w:space="0" w:color="auto"/>
        <w:left w:val="none" w:sz="0" w:space="0" w:color="auto"/>
        <w:bottom w:val="none" w:sz="0" w:space="0" w:color="auto"/>
        <w:right w:val="none" w:sz="0" w:space="0" w:color="auto"/>
      </w:divBdr>
    </w:div>
    <w:div w:id="1815559321">
      <w:bodyDiv w:val="1"/>
      <w:marLeft w:val="0"/>
      <w:marRight w:val="0"/>
      <w:marTop w:val="0"/>
      <w:marBottom w:val="0"/>
      <w:divBdr>
        <w:top w:val="none" w:sz="0" w:space="0" w:color="auto"/>
        <w:left w:val="none" w:sz="0" w:space="0" w:color="auto"/>
        <w:bottom w:val="none" w:sz="0" w:space="0" w:color="auto"/>
        <w:right w:val="none" w:sz="0" w:space="0" w:color="auto"/>
      </w:divBdr>
    </w:div>
    <w:div w:id="1816289869">
      <w:bodyDiv w:val="1"/>
      <w:marLeft w:val="0"/>
      <w:marRight w:val="0"/>
      <w:marTop w:val="0"/>
      <w:marBottom w:val="0"/>
      <w:divBdr>
        <w:top w:val="none" w:sz="0" w:space="0" w:color="auto"/>
        <w:left w:val="none" w:sz="0" w:space="0" w:color="auto"/>
        <w:bottom w:val="none" w:sz="0" w:space="0" w:color="auto"/>
        <w:right w:val="none" w:sz="0" w:space="0" w:color="auto"/>
      </w:divBdr>
    </w:div>
    <w:div w:id="1816602857">
      <w:bodyDiv w:val="1"/>
      <w:marLeft w:val="0"/>
      <w:marRight w:val="0"/>
      <w:marTop w:val="0"/>
      <w:marBottom w:val="0"/>
      <w:divBdr>
        <w:top w:val="none" w:sz="0" w:space="0" w:color="auto"/>
        <w:left w:val="none" w:sz="0" w:space="0" w:color="auto"/>
        <w:bottom w:val="none" w:sz="0" w:space="0" w:color="auto"/>
        <w:right w:val="none" w:sz="0" w:space="0" w:color="auto"/>
      </w:divBdr>
    </w:div>
    <w:div w:id="1816754192">
      <w:bodyDiv w:val="1"/>
      <w:marLeft w:val="0"/>
      <w:marRight w:val="0"/>
      <w:marTop w:val="0"/>
      <w:marBottom w:val="0"/>
      <w:divBdr>
        <w:top w:val="none" w:sz="0" w:space="0" w:color="auto"/>
        <w:left w:val="none" w:sz="0" w:space="0" w:color="auto"/>
        <w:bottom w:val="none" w:sz="0" w:space="0" w:color="auto"/>
        <w:right w:val="none" w:sz="0" w:space="0" w:color="auto"/>
      </w:divBdr>
    </w:div>
    <w:div w:id="1817140783">
      <w:bodyDiv w:val="1"/>
      <w:marLeft w:val="0"/>
      <w:marRight w:val="0"/>
      <w:marTop w:val="0"/>
      <w:marBottom w:val="0"/>
      <w:divBdr>
        <w:top w:val="none" w:sz="0" w:space="0" w:color="auto"/>
        <w:left w:val="none" w:sz="0" w:space="0" w:color="auto"/>
        <w:bottom w:val="none" w:sz="0" w:space="0" w:color="auto"/>
        <w:right w:val="none" w:sz="0" w:space="0" w:color="auto"/>
      </w:divBdr>
    </w:div>
    <w:div w:id="1817411293">
      <w:bodyDiv w:val="1"/>
      <w:marLeft w:val="0"/>
      <w:marRight w:val="0"/>
      <w:marTop w:val="0"/>
      <w:marBottom w:val="0"/>
      <w:divBdr>
        <w:top w:val="none" w:sz="0" w:space="0" w:color="auto"/>
        <w:left w:val="none" w:sz="0" w:space="0" w:color="auto"/>
        <w:bottom w:val="none" w:sz="0" w:space="0" w:color="auto"/>
        <w:right w:val="none" w:sz="0" w:space="0" w:color="auto"/>
      </w:divBdr>
    </w:div>
    <w:div w:id="1817453847">
      <w:bodyDiv w:val="1"/>
      <w:marLeft w:val="0"/>
      <w:marRight w:val="0"/>
      <w:marTop w:val="0"/>
      <w:marBottom w:val="0"/>
      <w:divBdr>
        <w:top w:val="none" w:sz="0" w:space="0" w:color="auto"/>
        <w:left w:val="none" w:sz="0" w:space="0" w:color="auto"/>
        <w:bottom w:val="none" w:sz="0" w:space="0" w:color="auto"/>
        <w:right w:val="none" w:sz="0" w:space="0" w:color="auto"/>
      </w:divBdr>
    </w:div>
    <w:div w:id="1817603963">
      <w:bodyDiv w:val="1"/>
      <w:marLeft w:val="0"/>
      <w:marRight w:val="0"/>
      <w:marTop w:val="0"/>
      <w:marBottom w:val="0"/>
      <w:divBdr>
        <w:top w:val="none" w:sz="0" w:space="0" w:color="auto"/>
        <w:left w:val="none" w:sz="0" w:space="0" w:color="auto"/>
        <w:bottom w:val="none" w:sz="0" w:space="0" w:color="auto"/>
        <w:right w:val="none" w:sz="0" w:space="0" w:color="auto"/>
      </w:divBdr>
    </w:div>
    <w:div w:id="1817988718">
      <w:bodyDiv w:val="1"/>
      <w:marLeft w:val="0"/>
      <w:marRight w:val="0"/>
      <w:marTop w:val="0"/>
      <w:marBottom w:val="0"/>
      <w:divBdr>
        <w:top w:val="none" w:sz="0" w:space="0" w:color="auto"/>
        <w:left w:val="none" w:sz="0" w:space="0" w:color="auto"/>
        <w:bottom w:val="none" w:sz="0" w:space="0" w:color="auto"/>
        <w:right w:val="none" w:sz="0" w:space="0" w:color="auto"/>
      </w:divBdr>
    </w:div>
    <w:div w:id="1818689690">
      <w:bodyDiv w:val="1"/>
      <w:marLeft w:val="0"/>
      <w:marRight w:val="0"/>
      <w:marTop w:val="0"/>
      <w:marBottom w:val="0"/>
      <w:divBdr>
        <w:top w:val="none" w:sz="0" w:space="0" w:color="auto"/>
        <w:left w:val="none" w:sz="0" w:space="0" w:color="auto"/>
        <w:bottom w:val="none" w:sz="0" w:space="0" w:color="auto"/>
        <w:right w:val="none" w:sz="0" w:space="0" w:color="auto"/>
      </w:divBdr>
    </w:div>
    <w:div w:id="1818717442">
      <w:bodyDiv w:val="1"/>
      <w:marLeft w:val="0"/>
      <w:marRight w:val="0"/>
      <w:marTop w:val="0"/>
      <w:marBottom w:val="0"/>
      <w:divBdr>
        <w:top w:val="none" w:sz="0" w:space="0" w:color="auto"/>
        <w:left w:val="none" w:sz="0" w:space="0" w:color="auto"/>
        <w:bottom w:val="none" w:sz="0" w:space="0" w:color="auto"/>
        <w:right w:val="none" w:sz="0" w:space="0" w:color="auto"/>
      </w:divBdr>
    </w:div>
    <w:div w:id="1818765785">
      <w:bodyDiv w:val="1"/>
      <w:marLeft w:val="0"/>
      <w:marRight w:val="0"/>
      <w:marTop w:val="0"/>
      <w:marBottom w:val="0"/>
      <w:divBdr>
        <w:top w:val="none" w:sz="0" w:space="0" w:color="auto"/>
        <w:left w:val="none" w:sz="0" w:space="0" w:color="auto"/>
        <w:bottom w:val="none" w:sz="0" w:space="0" w:color="auto"/>
        <w:right w:val="none" w:sz="0" w:space="0" w:color="auto"/>
      </w:divBdr>
    </w:div>
    <w:div w:id="1819102602">
      <w:bodyDiv w:val="1"/>
      <w:marLeft w:val="0"/>
      <w:marRight w:val="0"/>
      <w:marTop w:val="0"/>
      <w:marBottom w:val="0"/>
      <w:divBdr>
        <w:top w:val="none" w:sz="0" w:space="0" w:color="auto"/>
        <w:left w:val="none" w:sz="0" w:space="0" w:color="auto"/>
        <w:bottom w:val="none" w:sz="0" w:space="0" w:color="auto"/>
        <w:right w:val="none" w:sz="0" w:space="0" w:color="auto"/>
      </w:divBdr>
    </w:div>
    <w:div w:id="1819684109">
      <w:bodyDiv w:val="1"/>
      <w:marLeft w:val="0"/>
      <w:marRight w:val="0"/>
      <w:marTop w:val="0"/>
      <w:marBottom w:val="0"/>
      <w:divBdr>
        <w:top w:val="none" w:sz="0" w:space="0" w:color="auto"/>
        <w:left w:val="none" w:sz="0" w:space="0" w:color="auto"/>
        <w:bottom w:val="none" w:sz="0" w:space="0" w:color="auto"/>
        <w:right w:val="none" w:sz="0" w:space="0" w:color="auto"/>
      </w:divBdr>
    </w:div>
    <w:div w:id="1819686372">
      <w:bodyDiv w:val="1"/>
      <w:marLeft w:val="0"/>
      <w:marRight w:val="0"/>
      <w:marTop w:val="0"/>
      <w:marBottom w:val="0"/>
      <w:divBdr>
        <w:top w:val="none" w:sz="0" w:space="0" w:color="auto"/>
        <w:left w:val="none" w:sz="0" w:space="0" w:color="auto"/>
        <w:bottom w:val="none" w:sz="0" w:space="0" w:color="auto"/>
        <w:right w:val="none" w:sz="0" w:space="0" w:color="auto"/>
      </w:divBdr>
    </w:div>
    <w:div w:id="1820072583">
      <w:bodyDiv w:val="1"/>
      <w:marLeft w:val="0"/>
      <w:marRight w:val="0"/>
      <w:marTop w:val="0"/>
      <w:marBottom w:val="0"/>
      <w:divBdr>
        <w:top w:val="none" w:sz="0" w:space="0" w:color="auto"/>
        <w:left w:val="none" w:sz="0" w:space="0" w:color="auto"/>
        <w:bottom w:val="none" w:sz="0" w:space="0" w:color="auto"/>
        <w:right w:val="none" w:sz="0" w:space="0" w:color="auto"/>
      </w:divBdr>
    </w:div>
    <w:div w:id="1820682710">
      <w:bodyDiv w:val="1"/>
      <w:marLeft w:val="0"/>
      <w:marRight w:val="0"/>
      <w:marTop w:val="0"/>
      <w:marBottom w:val="0"/>
      <w:divBdr>
        <w:top w:val="none" w:sz="0" w:space="0" w:color="auto"/>
        <w:left w:val="none" w:sz="0" w:space="0" w:color="auto"/>
        <w:bottom w:val="none" w:sz="0" w:space="0" w:color="auto"/>
        <w:right w:val="none" w:sz="0" w:space="0" w:color="auto"/>
      </w:divBdr>
    </w:div>
    <w:div w:id="1820725928">
      <w:bodyDiv w:val="1"/>
      <w:marLeft w:val="0"/>
      <w:marRight w:val="0"/>
      <w:marTop w:val="0"/>
      <w:marBottom w:val="0"/>
      <w:divBdr>
        <w:top w:val="none" w:sz="0" w:space="0" w:color="auto"/>
        <w:left w:val="none" w:sz="0" w:space="0" w:color="auto"/>
        <w:bottom w:val="none" w:sz="0" w:space="0" w:color="auto"/>
        <w:right w:val="none" w:sz="0" w:space="0" w:color="auto"/>
      </w:divBdr>
    </w:div>
    <w:div w:id="1821341106">
      <w:bodyDiv w:val="1"/>
      <w:marLeft w:val="0"/>
      <w:marRight w:val="0"/>
      <w:marTop w:val="0"/>
      <w:marBottom w:val="0"/>
      <w:divBdr>
        <w:top w:val="none" w:sz="0" w:space="0" w:color="auto"/>
        <w:left w:val="none" w:sz="0" w:space="0" w:color="auto"/>
        <w:bottom w:val="none" w:sz="0" w:space="0" w:color="auto"/>
        <w:right w:val="none" w:sz="0" w:space="0" w:color="auto"/>
      </w:divBdr>
    </w:div>
    <w:div w:id="1821732598">
      <w:bodyDiv w:val="1"/>
      <w:marLeft w:val="0"/>
      <w:marRight w:val="0"/>
      <w:marTop w:val="0"/>
      <w:marBottom w:val="0"/>
      <w:divBdr>
        <w:top w:val="none" w:sz="0" w:space="0" w:color="auto"/>
        <w:left w:val="none" w:sz="0" w:space="0" w:color="auto"/>
        <w:bottom w:val="none" w:sz="0" w:space="0" w:color="auto"/>
        <w:right w:val="none" w:sz="0" w:space="0" w:color="auto"/>
      </w:divBdr>
    </w:div>
    <w:div w:id="1821967509">
      <w:bodyDiv w:val="1"/>
      <w:marLeft w:val="0"/>
      <w:marRight w:val="0"/>
      <w:marTop w:val="0"/>
      <w:marBottom w:val="0"/>
      <w:divBdr>
        <w:top w:val="none" w:sz="0" w:space="0" w:color="auto"/>
        <w:left w:val="none" w:sz="0" w:space="0" w:color="auto"/>
        <w:bottom w:val="none" w:sz="0" w:space="0" w:color="auto"/>
        <w:right w:val="none" w:sz="0" w:space="0" w:color="auto"/>
      </w:divBdr>
    </w:div>
    <w:div w:id="1822426437">
      <w:bodyDiv w:val="1"/>
      <w:marLeft w:val="0"/>
      <w:marRight w:val="0"/>
      <w:marTop w:val="0"/>
      <w:marBottom w:val="0"/>
      <w:divBdr>
        <w:top w:val="none" w:sz="0" w:space="0" w:color="auto"/>
        <w:left w:val="none" w:sz="0" w:space="0" w:color="auto"/>
        <w:bottom w:val="none" w:sz="0" w:space="0" w:color="auto"/>
        <w:right w:val="none" w:sz="0" w:space="0" w:color="auto"/>
      </w:divBdr>
    </w:div>
    <w:div w:id="1822499504">
      <w:bodyDiv w:val="1"/>
      <w:marLeft w:val="0"/>
      <w:marRight w:val="0"/>
      <w:marTop w:val="0"/>
      <w:marBottom w:val="0"/>
      <w:divBdr>
        <w:top w:val="none" w:sz="0" w:space="0" w:color="auto"/>
        <w:left w:val="none" w:sz="0" w:space="0" w:color="auto"/>
        <w:bottom w:val="none" w:sz="0" w:space="0" w:color="auto"/>
        <w:right w:val="none" w:sz="0" w:space="0" w:color="auto"/>
      </w:divBdr>
    </w:div>
    <w:div w:id="1822575954">
      <w:bodyDiv w:val="1"/>
      <w:marLeft w:val="0"/>
      <w:marRight w:val="0"/>
      <w:marTop w:val="0"/>
      <w:marBottom w:val="0"/>
      <w:divBdr>
        <w:top w:val="none" w:sz="0" w:space="0" w:color="auto"/>
        <w:left w:val="none" w:sz="0" w:space="0" w:color="auto"/>
        <w:bottom w:val="none" w:sz="0" w:space="0" w:color="auto"/>
        <w:right w:val="none" w:sz="0" w:space="0" w:color="auto"/>
      </w:divBdr>
    </w:div>
    <w:div w:id="1823279300">
      <w:bodyDiv w:val="1"/>
      <w:marLeft w:val="0"/>
      <w:marRight w:val="0"/>
      <w:marTop w:val="0"/>
      <w:marBottom w:val="0"/>
      <w:divBdr>
        <w:top w:val="none" w:sz="0" w:space="0" w:color="auto"/>
        <w:left w:val="none" w:sz="0" w:space="0" w:color="auto"/>
        <w:bottom w:val="none" w:sz="0" w:space="0" w:color="auto"/>
        <w:right w:val="none" w:sz="0" w:space="0" w:color="auto"/>
      </w:divBdr>
    </w:div>
    <w:div w:id="1824198338">
      <w:bodyDiv w:val="1"/>
      <w:marLeft w:val="0"/>
      <w:marRight w:val="0"/>
      <w:marTop w:val="0"/>
      <w:marBottom w:val="0"/>
      <w:divBdr>
        <w:top w:val="none" w:sz="0" w:space="0" w:color="auto"/>
        <w:left w:val="none" w:sz="0" w:space="0" w:color="auto"/>
        <w:bottom w:val="none" w:sz="0" w:space="0" w:color="auto"/>
        <w:right w:val="none" w:sz="0" w:space="0" w:color="auto"/>
      </w:divBdr>
    </w:div>
    <w:div w:id="1824345029">
      <w:bodyDiv w:val="1"/>
      <w:marLeft w:val="0"/>
      <w:marRight w:val="0"/>
      <w:marTop w:val="0"/>
      <w:marBottom w:val="0"/>
      <w:divBdr>
        <w:top w:val="none" w:sz="0" w:space="0" w:color="auto"/>
        <w:left w:val="none" w:sz="0" w:space="0" w:color="auto"/>
        <w:bottom w:val="none" w:sz="0" w:space="0" w:color="auto"/>
        <w:right w:val="none" w:sz="0" w:space="0" w:color="auto"/>
      </w:divBdr>
    </w:div>
    <w:div w:id="1824391868">
      <w:bodyDiv w:val="1"/>
      <w:marLeft w:val="0"/>
      <w:marRight w:val="0"/>
      <w:marTop w:val="0"/>
      <w:marBottom w:val="0"/>
      <w:divBdr>
        <w:top w:val="none" w:sz="0" w:space="0" w:color="auto"/>
        <w:left w:val="none" w:sz="0" w:space="0" w:color="auto"/>
        <w:bottom w:val="none" w:sz="0" w:space="0" w:color="auto"/>
        <w:right w:val="none" w:sz="0" w:space="0" w:color="auto"/>
      </w:divBdr>
    </w:div>
    <w:div w:id="1824589019">
      <w:bodyDiv w:val="1"/>
      <w:marLeft w:val="0"/>
      <w:marRight w:val="0"/>
      <w:marTop w:val="0"/>
      <w:marBottom w:val="0"/>
      <w:divBdr>
        <w:top w:val="none" w:sz="0" w:space="0" w:color="auto"/>
        <w:left w:val="none" w:sz="0" w:space="0" w:color="auto"/>
        <w:bottom w:val="none" w:sz="0" w:space="0" w:color="auto"/>
        <w:right w:val="none" w:sz="0" w:space="0" w:color="auto"/>
      </w:divBdr>
    </w:div>
    <w:div w:id="1824590130">
      <w:bodyDiv w:val="1"/>
      <w:marLeft w:val="0"/>
      <w:marRight w:val="0"/>
      <w:marTop w:val="0"/>
      <w:marBottom w:val="0"/>
      <w:divBdr>
        <w:top w:val="none" w:sz="0" w:space="0" w:color="auto"/>
        <w:left w:val="none" w:sz="0" w:space="0" w:color="auto"/>
        <w:bottom w:val="none" w:sz="0" w:space="0" w:color="auto"/>
        <w:right w:val="none" w:sz="0" w:space="0" w:color="auto"/>
      </w:divBdr>
    </w:div>
    <w:div w:id="1825001071">
      <w:bodyDiv w:val="1"/>
      <w:marLeft w:val="0"/>
      <w:marRight w:val="0"/>
      <w:marTop w:val="0"/>
      <w:marBottom w:val="0"/>
      <w:divBdr>
        <w:top w:val="none" w:sz="0" w:space="0" w:color="auto"/>
        <w:left w:val="none" w:sz="0" w:space="0" w:color="auto"/>
        <w:bottom w:val="none" w:sz="0" w:space="0" w:color="auto"/>
        <w:right w:val="none" w:sz="0" w:space="0" w:color="auto"/>
      </w:divBdr>
    </w:div>
    <w:div w:id="1825005414">
      <w:bodyDiv w:val="1"/>
      <w:marLeft w:val="0"/>
      <w:marRight w:val="0"/>
      <w:marTop w:val="0"/>
      <w:marBottom w:val="0"/>
      <w:divBdr>
        <w:top w:val="none" w:sz="0" w:space="0" w:color="auto"/>
        <w:left w:val="none" w:sz="0" w:space="0" w:color="auto"/>
        <w:bottom w:val="none" w:sz="0" w:space="0" w:color="auto"/>
        <w:right w:val="none" w:sz="0" w:space="0" w:color="auto"/>
      </w:divBdr>
    </w:div>
    <w:div w:id="1825121601">
      <w:bodyDiv w:val="1"/>
      <w:marLeft w:val="0"/>
      <w:marRight w:val="0"/>
      <w:marTop w:val="0"/>
      <w:marBottom w:val="0"/>
      <w:divBdr>
        <w:top w:val="none" w:sz="0" w:space="0" w:color="auto"/>
        <w:left w:val="none" w:sz="0" w:space="0" w:color="auto"/>
        <w:bottom w:val="none" w:sz="0" w:space="0" w:color="auto"/>
        <w:right w:val="none" w:sz="0" w:space="0" w:color="auto"/>
      </w:divBdr>
    </w:div>
    <w:div w:id="1825387731">
      <w:bodyDiv w:val="1"/>
      <w:marLeft w:val="0"/>
      <w:marRight w:val="0"/>
      <w:marTop w:val="0"/>
      <w:marBottom w:val="0"/>
      <w:divBdr>
        <w:top w:val="none" w:sz="0" w:space="0" w:color="auto"/>
        <w:left w:val="none" w:sz="0" w:space="0" w:color="auto"/>
        <w:bottom w:val="none" w:sz="0" w:space="0" w:color="auto"/>
        <w:right w:val="none" w:sz="0" w:space="0" w:color="auto"/>
      </w:divBdr>
    </w:div>
    <w:div w:id="1825388422">
      <w:bodyDiv w:val="1"/>
      <w:marLeft w:val="0"/>
      <w:marRight w:val="0"/>
      <w:marTop w:val="0"/>
      <w:marBottom w:val="0"/>
      <w:divBdr>
        <w:top w:val="none" w:sz="0" w:space="0" w:color="auto"/>
        <w:left w:val="none" w:sz="0" w:space="0" w:color="auto"/>
        <w:bottom w:val="none" w:sz="0" w:space="0" w:color="auto"/>
        <w:right w:val="none" w:sz="0" w:space="0" w:color="auto"/>
      </w:divBdr>
    </w:div>
    <w:div w:id="1825470627">
      <w:bodyDiv w:val="1"/>
      <w:marLeft w:val="0"/>
      <w:marRight w:val="0"/>
      <w:marTop w:val="0"/>
      <w:marBottom w:val="0"/>
      <w:divBdr>
        <w:top w:val="none" w:sz="0" w:space="0" w:color="auto"/>
        <w:left w:val="none" w:sz="0" w:space="0" w:color="auto"/>
        <w:bottom w:val="none" w:sz="0" w:space="0" w:color="auto"/>
        <w:right w:val="none" w:sz="0" w:space="0" w:color="auto"/>
      </w:divBdr>
    </w:div>
    <w:div w:id="1825857112">
      <w:bodyDiv w:val="1"/>
      <w:marLeft w:val="0"/>
      <w:marRight w:val="0"/>
      <w:marTop w:val="0"/>
      <w:marBottom w:val="0"/>
      <w:divBdr>
        <w:top w:val="none" w:sz="0" w:space="0" w:color="auto"/>
        <w:left w:val="none" w:sz="0" w:space="0" w:color="auto"/>
        <w:bottom w:val="none" w:sz="0" w:space="0" w:color="auto"/>
        <w:right w:val="none" w:sz="0" w:space="0" w:color="auto"/>
      </w:divBdr>
    </w:div>
    <w:div w:id="1826700204">
      <w:bodyDiv w:val="1"/>
      <w:marLeft w:val="0"/>
      <w:marRight w:val="0"/>
      <w:marTop w:val="0"/>
      <w:marBottom w:val="0"/>
      <w:divBdr>
        <w:top w:val="none" w:sz="0" w:space="0" w:color="auto"/>
        <w:left w:val="none" w:sz="0" w:space="0" w:color="auto"/>
        <w:bottom w:val="none" w:sz="0" w:space="0" w:color="auto"/>
        <w:right w:val="none" w:sz="0" w:space="0" w:color="auto"/>
      </w:divBdr>
    </w:div>
    <w:div w:id="1826701117">
      <w:bodyDiv w:val="1"/>
      <w:marLeft w:val="0"/>
      <w:marRight w:val="0"/>
      <w:marTop w:val="0"/>
      <w:marBottom w:val="0"/>
      <w:divBdr>
        <w:top w:val="none" w:sz="0" w:space="0" w:color="auto"/>
        <w:left w:val="none" w:sz="0" w:space="0" w:color="auto"/>
        <w:bottom w:val="none" w:sz="0" w:space="0" w:color="auto"/>
        <w:right w:val="none" w:sz="0" w:space="0" w:color="auto"/>
      </w:divBdr>
    </w:div>
    <w:div w:id="1826897397">
      <w:bodyDiv w:val="1"/>
      <w:marLeft w:val="0"/>
      <w:marRight w:val="0"/>
      <w:marTop w:val="0"/>
      <w:marBottom w:val="0"/>
      <w:divBdr>
        <w:top w:val="none" w:sz="0" w:space="0" w:color="auto"/>
        <w:left w:val="none" w:sz="0" w:space="0" w:color="auto"/>
        <w:bottom w:val="none" w:sz="0" w:space="0" w:color="auto"/>
        <w:right w:val="none" w:sz="0" w:space="0" w:color="auto"/>
      </w:divBdr>
    </w:div>
    <w:div w:id="1827280226">
      <w:bodyDiv w:val="1"/>
      <w:marLeft w:val="0"/>
      <w:marRight w:val="0"/>
      <w:marTop w:val="0"/>
      <w:marBottom w:val="0"/>
      <w:divBdr>
        <w:top w:val="none" w:sz="0" w:space="0" w:color="auto"/>
        <w:left w:val="none" w:sz="0" w:space="0" w:color="auto"/>
        <w:bottom w:val="none" w:sz="0" w:space="0" w:color="auto"/>
        <w:right w:val="none" w:sz="0" w:space="0" w:color="auto"/>
      </w:divBdr>
    </w:div>
    <w:div w:id="1827628473">
      <w:bodyDiv w:val="1"/>
      <w:marLeft w:val="0"/>
      <w:marRight w:val="0"/>
      <w:marTop w:val="0"/>
      <w:marBottom w:val="0"/>
      <w:divBdr>
        <w:top w:val="none" w:sz="0" w:space="0" w:color="auto"/>
        <w:left w:val="none" w:sz="0" w:space="0" w:color="auto"/>
        <w:bottom w:val="none" w:sz="0" w:space="0" w:color="auto"/>
        <w:right w:val="none" w:sz="0" w:space="0" w:color="auto"/>
      </w:divBdr>
    </w:div>
    <w:div w:id="1827742206">
      <w:bodyDiv w:val="1"/>
      <w:marLeft w:val="0"/>
      <w:marRight w:val="0"/>
      <w:marTop w:val="0"/>
      <w:marBottom w:val="0"/>
      <w:divBdr>
        <w:top w:val="none" w:sz="0" w:space="0" w:color="auto"/>
        <w:left w:val="none" w:sz="0" w:space="0" w:color="auto"/>
        <w:bottom w:val="none" w:sz="0" w:space="0" w:color="auto"/>
        <w:right w:val="none" w:sz="0" w:space="0" w:color="auto"/>
      </w:divBdr>
    </w:div>
    <w:div w:id="1828476567">
      <w:bodyDiv w:val="1"/>
      <w:marLeft w:val="0"/>
      <w:marRight w:val="0"/>
      <w:marTop w:val="0"/>
      <w:marBottom w:val="0"/>
      <w:divBdr>
        <w:top w:val="none" w:sz="0" w:space="0" w:color="auto"/>
        <w:left w:val="none" w:sz="0" w:space="0" w:color="auto"/>
        <w:bottom w:val="none" w:sz="0" w:space="0" w:color="auto"/>
        <w:right w:val="none" w:sz="0" w:space="0" w:color="auto"/>
      </w:divBdr>
    </w:div>
    <w:div w:id="1828589758">
      <w:bodyDiv w:val="1"/>
      <w:marLeft w:val="0"/>
      <w:marRight w:val="0"/>
      <w:marTop w:val="0"/>
      <w:marBottom w:val="0"/>
      <w:divBdr>
        <w:top w:val="none" w:sz="0" w:space="0" w:color="auto"/>
        <w:left w:val="none" w:sz="0" w:space="0" w:color="auto"/>
        <w:bottom w:val="none" w:sz="0" w:space="0" w:color="auto"/>
        <w:right w:val="none" w:sz="0" w:space="0" w:color="auto"/>
      </w:divBdr>
    </w:div>
    <w:div w:id="1828982674">
      <w:bodyDiv w:val="1"/>
      <w:marLeft w:val="0"/>
      <w:marRight w:val="0"/>
      <w:marTop w:val="0"/>
      <w:marBottom w:val="0"/>
      <w:divBdr>
        <w:top w:val="none" w:sz="0" w:space="0" w:color="auto"/>
        <w:left w:val="none" w:sz="0" w:space="0" w:color="auto"/>
        <w:bottom w:val="none" w:sz="0" w:space="0" w:color="auto"/>
        <w:right w:val="none" w:sz="0" w:space="0" w:color="auto"/>
      </w:divBdr>
    </w:div>
    <w:div w:id="1829321631">
      <w:bodyDiv w:val="1"/>
      <w:marLeft w:val="0"/>
      <w:marRight w:val="0"/>
      <w:marTop w:val="0"/>
      <w:marBottom w:val="0"/>
      <w:divBdr>
        <w:top w:val="none" w:sz="0" w:space="0" w:color="auto"/>
        <w:left w:val="none" w:sz="0" w:space="0" w:color="auto"/>
        <w:bottom w:val="none" w:sz="0" w:space="0" w:color="auto"/>
        <w:right w:val="none" w:sz="0" w:space="0" w:color="auto"/>
      </w:divBdr>
    </w:div>
    <w:div w:id="1830167862">
      <w:bodyDiv w:val="1"/>
      <w:marLeft w:val="0"/>
      <w:marRight w:val="0"/>
      <w:marTop w:val="0"/>
      <w:marBottom w:val="0"/>
      <w:divBdr>
        <w:top w:val="none" w:sz="0" w:space="0" w:color="auto"/>
        <w:left w:val="none" w:sz="0" w:space="0" w:color="auto"/>
        <w:bottom w:val="none" w:sz="0" w:space="0" w:color="auto"/>
        <w:right w:val="none" w:sz="0" w:space="0" w:color="auto"/>
      </w:divBdr>
    </w:div>
    <w:div w:id="1831092377">
      <w:bodyDiv w:val="1"/>
      <w:marLeft w:val="0"/>
      <w:marRight w:val="0"/>
      <w:marTop w:val="0"/>
      <w:marBottom w:val="0"/>
      <w:divBdr>
        <w:top w:val="none" w:sz="0" w:space="0" w:color="auto"/>
        <w:left w:val="none" w:sz="0" w:space="0" w:color="auto"/>
        <w:bottom w:val="none" w:sz="0" w:space="0" w:color="auto"/>
        <w:right w:val="none" w:sz="0" w:space="0" w:color="auto"/>
      </w:divBdr>
    </w:div>
    <w:div w:id="1831366683">
      <w:bodyDiv w:val="1"/>
      <w:marLeft w:val="0"/>
      <w:marRight w:val="0"/>
      <w:marTop w:val="0"/>
      <w:marBottom w:val="0"/>
      <w:divBdr>
        <w:top w:val="none" w:sz="0" w:space="0" w:color="auto"/>
        <w:left w:val="none" w:sz="0" w:space="0" w:color="auto"/>
        <w:bottom w:val="none" w:sz="0" w:space="0" w:color="auto"/>
        <w:right w:val="none" w:sz="0" w:space="0" w:color="auto"/>
      </w:divBdr>
    </w:div>
    <w:div w:id="1831484646">
      <w:bodyDiv w:val="1"/>
      <w:marLeft w:val="0"/>
      <w:marRight w:val="0"/>
      <w:marTop w:val="0"/>
      <w:marBottom w:val="0"/>
      <w:divBdr>
        <w:top w:val="none" w:sz="0" w:space="0" w:color="auto"/>
        <w:left w:val="none" w:sz="0" w:space="0" w:color="auto"/>
        <w:bottom w:val="none" w:sz="0" w:space="0" w:color="auto"/>
        <w:right w:val="none" w:sz="0" w:space="0" w:color="auto"/>
      </w:divBdr>
    </w:div>
    <w:div w:id="1831604164">
      <w:bodyDiv w:val="1"/>
      <w:marLeft w:val="0"/>
      <w:marRight w:val="0"/>
      <w:marTop w:val="0"/>
      <w:marBottom w:val="0"/>
      <w:divBdr>
        <w:top w:val="none" w:sz="0" w:space="0" w:color="auto"/>
        <w:left w:val="none" w:sz="0" w:space="0" w:color="auto"/>
        <w:bottom w:val="none" w:sz="0" w:space="0" w:color="auto"/>
        <w:right w:val="none" w:sz="0" w:space="0" w:color="auto"/>
      </w:divBdr>
    </w:div>
    <w:div w:id="1831755438">
      <w:bodyDiv w:val="1"/>
      <w:marLeft w:val="0"/>
      <w:marRight w:val="0"/>
      <w:marTop w:val="0"/>
      <w:marBottom w:val="0"/>
      <w:divBdr>
        <w:top w:val="none" w:sz="0" w:space="0" w:color="auto"/>
        <w:left w:val="none" w:sz="0" w:space="0" w:color="auto"/>
        <w:bottom w:val="none" w:sz="0" w:space="0" w:color="auto"/>
        <w:right w:val="none" w:sz="0" w:space="0" w:color="auto"/>
      </w:divBdr>
    </w:div>
    <w:div w:id="1831822774">
      <w:bodyDiv w:val="1"/>
      <w:marLeft w:val="0"/>
      <w:marRight w:val="0"/>
      <w:marTop w:val="0"/>
      <w:marBottom w:val="0"/>
      <w:divBdr>
        <w:top w:val="none" w:sz="0" w:space="0" w:color="auto"/>
        <w:left w:val="none" w:sz="0" w:space="0" w:color="auto"/>
        <w:bottom w:val="none" w:sz="0" w:space="0" w:color="auto"/>
        <w:right w:val="none" w:sz="0" w:space="0" w:color="auto"/>
      </w:divBdr>
    </w:div>
    <w:div w:id="1831947612">
      <w:bodyDiv w:val="1"/>
      <w:marLeft w:val="0"/>
      <w:marRight w:val="0"/>
      <w:marTop w:val="0"/>
      <w:marBottom w:val="0"/>
      <w:divBdr>
        <w:top w:val="none" w:sz="0" w:space="0" w:color="auto"/>
        <w:left w:val="none" w:sz="0" w:space="0" w:color="auto"/>
        <w:bottom w:val="none" w:sz="0" w:space="0" w:color="auto"/>
        <w:right w:val="none" w:sz="0" w:space="0" w:color="auto"/>
      </w:divBdr>
    </w:div>
    <w:div w:id="1832132709">
      <w:bodyDiv w:val="1"/>
      <w:marLeft w:val="0"/>
      <w:marRight w:val="0"/>
      <w:marTop w:val="0"/>
      <w:marBottom w:val="0"/>
      <w:divBdr>
        <w:top w:val="none" w:sz="0" w:space="0" w:color="auto"/>
        <w:left w:val="none" w:sz="0" w:space="0" w:color="auto"/>
        <w:bottom w:val="none" w:sz="0" w:space="0" w:color="auto"/>
        <w:right w:val="none" w:sz="0" w:space="0" w:color="auto"/>
      </w:divBdr>
    </w:div>
    <w:div w:id="1832409118">
      <w:bodyDiv w:val="1"/>
      <w:marLeft w:val="0"/>
      <w:marRight w:val="0"/>
      <w:marTop w:val="0"/>
      <w:marBottom w:val="0"/>
      <w:divBdr>
        <w:top w:val="none" w:sz="0" w:space="0" w:color="auto"/>
        <w:left w:val="none" w:sz="0" w:space="0" w:color="auto"/>
        <w:bottom w:val="none" w:sz="0" w:space="0" w:color="auto"/>
        <w:right w:val="none" w:sz="0" w:space="0" w:color="auto"/>
      </w:divBdr>
    </w:div>
    <w:div w:id="1832480112">
      <w:bodyDiv w:val="1"/>
      <w:marLeft w:val="0"/>
      <w:marRight w:val="0"/>
      <w:marTop w:val="0"/>
      <w:marBottom w:val="0"/>
      <w:divBdr>
        <w:top w:val="none" w:sz="0" w:space="0" w:color="auto"/>
        <w:left w:val="none" w:sz="0" w:space="0" w:color="auto"/>
        <w:bottom w:val="none" w:sz="0" w:space="0" w:color="auto"/>
        <w:right w:val="none" w:sz="0" w:space="0" w:color="auto"/>
      </w:divBdr>
    </w:div>
    <w:div w:id="1832524146">
      <w:bodyDiv w:val="1"/>
      <w:marLeft w:val="0"/>
      <w:marRight w:val="0"/>
      <w:marTop w:val="0"/>
      <w:marBottom w:val="0"/>
      <w:divBdr>
        <w:top w:val="none" w:sz="0" w:space="0" w:color="auto"/>
        <w:left w:val="none" w:sz="0" w:space="0" w:color="auto"/>
        <w:bottom w:val="none" w:sz="0" w:space="0" w:color="auto"/>
        <w:right w:val="none" w:sz="0" w:space="0" w:color="auto"/>
      </w:divBdr>
    </w:div>
    <w:div w:id="1832788186">
      <w:bodyDiv w:val="1"/>
      <w:marLeft w:val="0"/>
      <w:marRight w:val="0"/>
      <w:marTop w:val="0"/>
      <w:marBottom w:val="0"/>
      <w:divBdr>
        <w:top w:val="none" w:sz="0" w:space="0" w:color="auto"/>
        <w:left w:val="none" w:sz="0" w:space="0" w:color="auto"/>
        <w:bottom w:val="none" w:sz="0" w:space="0" w:color="auto"/>
        <w:right w:val="none" w:sz="0" w:space="0" w:color="auto"/>
      </w:divBdr>
    </w:div>
    <w:div w:id="1832794895">
      <w:bodyDiv w:val="1"/>
      <w:marLeft w:val="0"/>
      <w:marRight w:val="0"/>
      <w:marTop w:val="0"/>
      <w:marBottom w:val="0"/>
      <w:divBdr>
        <w:top w:val="none" w:sz="0" w:space="0" w:color="auto"/>
        <w:left w:val="none" w:sz="0" w:space="0" w:color="auto"/>
        <w:bottom w:val="none" w:sz="0" w:space="0" w:color="auto"/>
        <w:right w:val="none" w:sz="0" w:space="0" w:color="auto"/>
      </w:divBdr>
    </w:div>
    <w:div w:id="1833060464">
      <w:bodyDiv w:val="1"/>
      <w:marLeft w:val="0"/>
      <w:marRight w:val="0"/>
      <w:marTop w:val="0"/>
      <w:marBottom w:val="0"/>
      <w:divBdr>
        <w:top w:val="none" w:sz="0" w:space="0" w:color="auto"/>
        <w:left w:val="none" w:sz="0" w:space="0" w:color="auto"/>
        <w:bottom w:val="none" w:sz="0" w:space="0" w:color="auto"/>
        <w:right w:val="none" w:sz="0" w:space="0" w:color="auto"/>
      </w:divBdr>
    </w:div>
    <w:div w:id="1833374271">
      <w:bodyDiv w:val="1"/>
      <w:marLeft w:val="0"/>
      <w:marRight w:val="0"/>
      <w:marTop w:val="0"/>
      <w:marBottom w:val="0"/>
      <w:divBdr>
        <w:top w:val="none" w:sz="0" w:space="0" w:color="auto"/>
        <w:left w:val="none" w:sz="0" w:space="0" w:color="auto"/>
        <w:bottom w:val="none" w:sz="0" w:space="0" w:color="auto"/>
        <w:right w:val="none" w:sz="0" w:space="0" w:color="auto"/>
      </w:divBdr>
    </w:div>
    <w:div w:id="1834225354">
      <w:bodyDiv w:val="1"/>
      <w:marLeft w:val="0"/>
      <w:marRight w:val="0"/>
      <w:marTop w:val="0"/>
      <w:marBottom w:val="0"/>
      <w:divBdr>
        <w:top w:val="none" w:sz="0" w:space="0" w:color="auto"/>
        <w:left w:val="none" w:sz="0" w:space="0" w:color="auto"/>
        <w:bottom w:val="none" w:sz="0" w:space="0" w:color="auto"/>
        <w:right w:val="none" w:sz="0" w:space="0" w:color="auto"/>
      </w:divBdr>
    </w:div>
    <w:div w:id="1834297365">
      <w:bodyDiv w:val="1"/>
      <w:marLeft w:val="0"/>
      <w:marRight w:val="0"/>
      <w:marTop w:val="0"/>
      <w:marBottom w:val="0"/>
      <w:divBdr>
        <w:top w:val="none" w:sz="0" w:space="0" w:color="auto"/>
        <w:left w:val="none" w:sz="0" w:space="0" w:color="auto"/>
        <w:bottom w:val="none" w:sz="0" w:space="0" w:color="auto"/>
        <w:right w:val="none" w:sz="0" w:space="0" w:color="auto"/>
      </w:divBdr>
    </w:div>
    <w:div w:id="1834299275">
      <w:bodyDiv w:val="1"/>
      <w:marLeft w:val="0"/>
      <w:marRight w:val="0"/>
      <w:marTop w:val="0"/>
      <w:marBottom w:val="0"/>
      <w:divBdr>
        <w:top w:val="none" w:sz="0" w:space="0" w:color="auto"/>
        <w:left w:val="none" w:sz="0" w:space="0" w:color="auto"/>
        <w:bottom w:val="none" w:sz="0" w:space="0" w:color="auto"/>
        <w:right w:val="none" w:sz="0" w:space="0" w:color="auto"/>
      </w:divBdr>
    </w:div>
    <w:div w:id="1834684410">
      <w:bodyDiv w:val="1"/>
      <w:marLeft w:val="0"/>
      <w:marRight w:val="0"/>
      <w:marTop w:val="0"/>
      <w:marBottom w:val="0"/>
      <w:divBdr>
        <w:top w:val="none" w:sz="0" w:space="0" w:color="auto"/>
        <w:left w:val="none" w:sz="0" w:space="0" w:color="auto"/>
        <w:bottom w:val="none" w:sz="0" w:space="0" w:color="auto"/>
        <w:right w:val="none" w:sz="0" w:space="0" w:color="auto"/>
      </w:divBdr>
    </w:div>
    <w:div w:id="1834686993">
      <w:bodyDiv w:val="1"/>
      <w:marLeft w:val="0"/>
      <w:marRight w:val="0"/>
      <w:marTop w:val="0"/>
      <w:marBottom w:val="0"/>
      <w:divBdr>
        <w:top w:val="none" w:sz="0" w:space="0" w:color="auto"/>
        <w:left w:val="none" w:sz="0" w:space="0" w:color="auto"/>
        <w:bottom w:val="none" w:sz="0" w:space="0" w:color="auto"/>
        <w:right w:val="none" w:sz="0" w:space="0" w:color="auto"/>
      </w:divBdr>
    </w:div>
    <w:div w:id="1834955897">
      <w:bodyDiv w:val="1"/>
      <w:marLeft w:val="0"/>
      <w:marRight w:val="0"/>
      <w:marTop w:val="0"/>
      <w:marBottom w:val="0"/>
      <w:divBdr>
        <w:top w:val="none" w:sz="0" w:space="0" w:color="auto"/>
        <w:left w:val="none" w:sz="0" w:space="0" w:color="auto"/>
        <w:bottom w:val="none" w:sz="0" w:space="0" w:color="auto"/>
        <w:right w:val="none" w:sz="0" w:space="0" w:color="auto"/>
      </w:divBdr>
    </w:div>
    <w:div w:id="1835218235">
      <w:bodyDiv w:val="1"/>
      <w:marLeft w:val="0"/>
      <w:marRight w:val="0"/>
      <w:marTop w:val="0"/>
      <w:marBottom w:val="0"/>
      <w:divBdr>
        <w:top w:val="none" w:sz="0" w:space="0" w:color="auto"/>
        <w:left w:val="none" w:sz="0" w:space="0" w:color="auto"/>
        <w:bottom w:val="none" w:sz="0" w:space="0" w:color="auto"/>
        <w:right w:val="none" w:sz="0" w:space="0" w:color="auto"/>
      </w:divBdr>
    </w:div>
    <w:div w:id="1835486761">
      <w:bodyDiv w:val="1"/>
      <w:marLeft w:val="0"/>
      <w:marRight w:val="0"/>
      <w:marTop w:val="0"/>
      <w:marBottom w:val="0"/>
      <w:divBdr>
        <w:top w:val="none" w:sz="0" w:space="0" w:color="auto"/>
        <w:left w:val="none" w:sz="0" w:space="0" w:color="auto"/>
        <w:bottom w:val="none" w:sz="0" w:space="0" w:color="auto"/>
        <w:right w:val="none" w:sz="0" w:space="0" w:color="auto"/>
      </w:divBdr>
    </w:div>
    <w:div w:id="1835752982">
      <w:bodyDiv w:val="1"/>
      <w:marLeft w:val="0"/>
      <w:marRight w:val="0"/>
      <w:marTop w:val="0"/>
      <w:marBottom w:val="0"/>
      <w:divBdr>
        <w:top w:val="none" w:sz="0" w:space="0" w:color="auto"/>
        <w:left w:val="none" w:sz="0" w:space="0" w:color="auto"/>
        <w:bottom w:val="none" w:sz="0" w:space="0" w:color="auto"/>
        <w:right w:val="none" w:sz="0" w:space="0" w:color="auto"/>
      </w:divBdr>
    </w:div>
    <w:div w:id="1836653284">
      <w:bodyDiv w:val="1"/>
      <w:marLeft w:val="0"/>
      <w:marRight w:val="0"/>
      <w:marTop w:val="0"/>
      <w:marBottom w:val="0"/>
      <w:divBdr>
        <w:top w:val="none" w:sz="0" w:space="0" w:color="auto"/>
        <w:left w:val="none" w:sz="0" w:space="0" w:color="auto"/>
        <w:bottom w:val="none" w:sz="0" w:space="0" w:color="auto"/>
        <w:right w:val="none" w:sz="0" w:space="0" w:color="auto"/>
      </w:divBdr>
    </w:div>
    <w:div w:id="1836722364">
      <w:bodyDiv w:val="1"/>
      <w:marLeft w:val="0"/>
      <w:marRight w:val="0"/>
      <w:marTop w:val="0"/>
      <w:marBottom w:val="0"/>
      <w:divBdr>
        <w:top w:val="none" w:sz="0" w:space="0" w:color="auto"/>
        <w:left w:val="none" w:sz="0" w:space="0" w:color="auto"/>
        <w:bottom w:val="none" w:sz="0" w:space="0" w:color="auto"/>
        <w:right w:val="none" w:sz="0" w:space="0" w:color="auto"/>
      </w:divBdr>
    </w:div>
    <w:div w:id="1837189383">
      <w:bodyDiv w:val="1"/>
      <w:marLeft w:val="0"/>
      <w:marRight w:val="0"/>
      <w:marTop w:val="0"/>
      <w:marBottom w:val="0"/>
      <w:divBdr>
        <w:top w:val="none" w:sz="0" w:space="0" w:color="auto"/>
        <w:left w:val="none" w:sz="0" w:space="0" w:color="auto"/>
        <w:bottom w:val="none" w:sz="0" w:space="0" w:color="auto"/>
        <w:right w:val="none" w:sz="0" w:space="0" w:color="auto"/>
      </w:divBdr>
    </w:div>
    <w:div w:id="1837302889">
      <w:bodyDiv w:val="1"/>
      <w:marLeft w:val="0"/>
      <w:marRight w:val="0"/>
      <w:marTop w:val="0"/>
      <w:marBottom w:val="0"/>
      <w:divBdr>
        <w:top w:val="none" w:sz="0" w:space="0" w:color="auto"/>
        <w:left w:val="none" w:sz="0" w:space="0" w:color="auto"/>
        <w:bottom w:val="none" w:sz="0" w:space="0" w:color="auto"/>
        <w:right w:val="none" w:sz="0" w:space="0" w:color="auto"/>
      </w:divBdr>
    </w:div>
    <w:div w:id="1837646751">
      <w:bodyDiv w:val="1"/>
      <w:marLeft w:val="0"/>
      <w:marRight w:val="0"/>
      <w:marTop w:val="0"/>
      <w:marBottom w:val="0"/>
      <w:divBdr>
        <w:top w:val="none" w:sz="0" w:space="0" w:color="auto"/>
        <w:left w:val="none" w:sz="0" w:space="0" w:color="auto"/>
        <w:bottom w:val="none" w:sz="0" w:space="0" w:color="auto"/>
        <w:right w:val="none" w:sz="0" w:space="0" w:color="auto"/>
      </w:divBdr>
    </w:div>
    <w:div w:id="1837844041">
      <w:bodyDiv w:val="1"/>
      <w:marLeft w:val="0"/>
      <w:marRight w:val="0"/>
      <w:marTop w:val="0"/>
      <w:marBottom w:val="0"/>
      <w:divBdr>
        <w:top w:val="none" w:sz="0" w:space="0" w:color="auto"/>
        <w:left w:val="none" w:sz="0" w:space="0" w:color="auto"/>
        <w:bottom w:val="none" w:sz="0" w:space="0" w:color="auto"/>
        <w:right w:val="none" w:sz="0" w:space="0" w:color="auto"/>
      </w:divBdr>
    </w:div>
    <w:div w:id="1838036127">
      <w:bodyDiv w:val="1"/>
      <w:marLeft w:val="0"/>
      <w:marRight w:val="0"/>
      <w:marTop w:val="0"/>
      <w:marBottom w:val="0"/>
      <w:divBdr>
        <w:top w:val="none" w:sz="0" w:space="0" w:color="auto"/>
        <w:left w:val="none" w:sz="0" w:space="0" w:color="auto"/>
        <w:bottom w:val="none" w:sz="0" w:space="0" w:color="auto"/>
        <w:right w:val="none" w:sz="0" w:space="0" w:color="auto"/>
      </w:divBdr>
    </w:div>
    <w:div w:id="1838306967">
      <w:bodyDiv w:val="1"/>
      <w:marLeft w:val="0"/>
      <w:marRight w:val="0"/>
      <w:marTop w:val="0"/>
      <w:marBottom w:val="0"/>
      <w:divBdr>
        <w:top w:val="none" w:sz="0" w:space="0" w:color="auto"/>
        <w:left w:val="none" w:sz="0" w:space="0" w:color="auto"/>
        <w:bottom w:val="none" w:sz="0" w:space="0" w:color="auto"/>
        <w:right w:val="none" w:sz="0" w:space="0" w:color="auto"/>
      </w:divBdr>
    </w:div>
    <w:div w:id="1838568260">
      <w:bodyDiv w:val="1"/>
      <w:marLeft w:val="0"/>
      <w:marRight w:val="0"/>
      <w:marTop w:val="0"/>
      <w:marBottom w:val="0"/>
      <w:divBdr>
        <w:top w:val="none" w:sz="0" w:space="0" w:color="auto"/>
        <w:left w:val="none" w:sz="0" w:space="0" w:color="auto"/>
        <w:bottom w:val="none" w:sz="0" w:space="0" w:color="auto"/>
        <w:right w:val="none" w:sz="0" w:space="0" w:color="auto"/>
      </w:divBdr>
    </w:div>
    <w:div w:id="1839346458">
      <w:bodyDiv w:val="1"/>
      <w:marLeft w:val="0"/>
      <w:marRight w:val="0"/>
      <w:marTop w:val="0"/>
      <w:marBottom w:val="0"/>
      <w:divBdr>
        <w:top w:val="none" w:sz="0" w:space="0" w:color="auto"/>
        <w:left w:val="none" w:sz="0" w:space="0" w:color="auto"/>
        <w:bottom w:val="none" w:sz="0" w:space="0" w:color="auto"/>
        <w:right w:val="none" w:sz="0" w:space="0" w:color="auto"/>
      </w:divBdr>
    </w:div>
    <w:div w:id="1839534121">
      <w:bodyDiv w:val="1"/>
      <w:marLeft w:val="0"/>
      <w:marRight w:val="0"/>
      <w:marTop w:val="0"/>
      <w:marBottom w:val="0"/>
      <w:divBdr>
        <w:top w:val="none" w:sz="0" w:space="0" w:color="auto"/>
        <w:left w:val="none" w:sz="0" w:space="0" w:color="auto"/>
        <w:bottom w:val="none" w:sz="0" w:space="0" w:color="auto"/>
        <w:right w:val="none" w:sz="0" w:space="0" w:color="auto"/>
      </w:divBdr>
    </w:div>
    <w:div w:id="1839613418">
      <w:bodyDiv w:val="1"/>
      <w:marLeft w:val="0"/>
      <w:marRight w:val="0"/>
      <w:marTop w:val="0"/>
      <w:marBottom w:val="0"/>
      <w:divBdr>
        <w:top w:val="none" w:sz="0" w:space="0" w:color="auto"/>
        <w:left w:val="none" w:sz="0" w:space="0" w:color="auto"/>
        <w:bottom w:val="none" w:sz="0" w:space="0" w:color="auto"/>
        <w:right w:val="none" w:sz="0" w:space="0" w:color="auto"/>
      </w:divBdr>
    </w:div>
    <w:div w:id="1839811886">
      <w:bodyDiv w:val="1"/>
      <w:marLeft w:val="0"/>
      <w:marRight w:val="0"/>
      <w:marTop w:val="0"/>
      <w:marBottom w:val="0"/>
      <w:divBdr>
        <w:top w:val="none" w:sz="0" w:space="0" w:color="auto"/>
        <w:left w:val="none" w:sz="0" w:space="0" w:color="auto"/>
        <w:bottom w:val="none" w:sz="0" w:space="0" w:color="auto"/>
        <w:right w:val="none" w:sz="0" w:space="0" w:color="auto"/>
      </w:divBdr>
    </w:div>
    <w:div w:id="1840149597">
      <w:bodyDiv w:val="1"/>
      <w:marLeft w:val="0"/>
      <w:marRight w:val="0"/>
      <w:marTop w:val="0"/>
      <w:marBottom w:val="0"/>
      <w:divBdr>
        <w:top w:val="none" w:sz="0" w:space="0" w:color="auto"/>
        <w:left w:val="none" w:sz="0" w:space="0" w:color="auto"/>
        <w:bottom w:val="none" w:sz="0" w:space="0" w:color="auto"/>
        <w:right w:val="none" w:sz="0" w:space="0" w:color="auto"/>
      </w:divBdr>
    </w:div>
    <w:div w:id="1840653776">
      <w:bodyDiv w:val="1"/>
      <w:marLeft w:val="0"/>
      <w:marRight w:val="0"/>
      <w:marTop w:val="0"/>
      <w:marBottom w:val="0"/>
      <w:divBdr>
        <w:top w:val="none" w:sz="0" w:space="0" w:color="auto"/>
        <w:left w:val="none" w:sz="0" w:space="0" w:color="auto"/>
        <w:bottom w:val="none" w:sz="0" w:space="0" w:color="auto"/>
        <w:right w:val="none" w:sz="0" w:space="0" w:color="auto"/>
      </w:divBdr>
    </w:div>
    <w:div w:id="1841038508">
      <w:bodyDiv w:val="1"/>
      <w:marLeft w:val="0"/>
      <w:marRight w:val="0"/>
      <w:marTop w:val="0"/>
      <w:marBottom w:val="0"/>
      <w:divBdr>
        <w:top w:val="none" w:sz="0" w:space="0" w:color="auto"/>
        <w:left w:val="none" w:sz="0" w:space="0" w:color="auto"/>
        <w:bottom w:val="none" w:sz="0" w:space="0" w:color="auto"/>
        <w:right w:val="none" w:sz="0" w:space="0" w:color="auto"/>
      </w:divBdr>
    </w:div>
    <w:div w:id="1841652000">
      <w:bodyDiv w:val="1"/>
      <w:marLeft w:val="0"/>
      <w:marRight w:val="0"/>
      <w:marTop w:val="0"/>
      <w:marBottom w:val="0"/>
      <w:divBdr>
        <w:top w:val="none" w:sz="0" w:space="0" w:color="auto"/>
        <w:left w:val="none" w:sz="0" w:space="0" w:color="auto"/>
        <w:bottom w:val="none" w:sz="0" w:space="0" w:color="auto"/>
        <w:right w:val="none" w:sz="0" w:space="0" w:color="auto"/>
      </w:divBdr>
    </w:div>
    <w:div w:id="1842501304">
      <w:bodyDiv w:val="1"/>
      <w:marLeft w:val="0"/>
      <w:marRight w:val="0"/>
      <w:marTop w:val="0"/>
      <w:marBottom w:val="0"/>
      <w:divBdr>
        <w:top w:val="none" w:sz="0" w:space="0" w:color="auto"/>
        <w:left w:val="none" w:sz="0" w:space="0" w:color="auto"/>
        <w:bottom w:val="none" w:sz="0" w:space="0" w:color="auto"/>
        <w:right w:val="none" w:sz="0" w:space="0" w:color="auto"/>
      </w:divBdr>
    </w:div>
    <w:div w:id="1842816174">
      <w:bodyDiv w:val="1"/>
      <w:marLeft w:val="0"/>
      <w:marRight w:val="0"/>
      <w:marTop w:val="0"/>
      <w:marBottom w:val="0"/>
      <w:divBdr>
        <w:top w:val="none" w:sz="0" w:space="0" w:color="auto"/>
        <w:left w:val="none" w:sz="0" w:space="0" w:color="auto"/>
        <w:bottom w:val="none" w:sz="0" w:space="0" w:color="auto"/>
        <w:right w:val="none" w:sz="0" w:space="0" w:color="auto"/>
      </w:divBdr>
    </w:div>
    <w:div w:id="1844081140">
      <w:bodyDiv w:val="1"/>
      <w:marLeft w:val="0"/>
      <w:marRight w:val="0"/>
      <w:marTop w:val="0"/>
      <w:marBottom w:val="0"/>
      <w:divBdr>
        <w:top w:val="none" w:sz="0" w:space="0" w:color="auto"/>
        <w:left w:val="none" w:sz="0" w:space="0" w:color="auto"/>
        <w:bottom w:val="none" w:sz="0" w:space="0" w:color="auto"/>
        <w:right w:val="none" w:sz="0" w:space="0" w:color="auto"/>
      </w:divBdr>
    </w:div>
    <w:div w:id="1844860069">
      <w:bodyDiv w:val="1"/>
      <w:marLeft w:val="0"/>
      <w:marRight w:val="0"/>
      <w:marTop w:val="0"/>
      <w:marBottom w:val="0"/>
      <w:divBdr>
        <w:top w:val="none" w:sz="0" w:space="0" w:color="auto"/>
        <w:left w:val="none" w:sz="0" w:space="0" w:color="auto"/>
        <w:bottom w:val="none" w:sz="0" w:space="0" w:color="auto"/>
        <w:right w:val="none" w:sz="0" w:space="0" w:color="auto"/>
      </w:divBdr>
    </w:div>
    <w:div w:id="1845048842">
      <w:bodyDiv w:val="1"/>
      <w:marLeft w:val="0"/>
      <w:marRight w:val="0"/>
      <w:marTop w:val="0"/>
      <w:marBottom w:val="0"/>
      <w:divBdr>
        <w:top w:val="none" w:sz="0" w:space="0" w:color="auto"/>
        <w:left w:val="none" w:sz="0" w:space="0" w:color="auto"/>
        <w:bottom w:val="none" w:sz="0" w:space="0" w:color="auto"/>
        <w:right w:val="none" w:sz="0" w:space="0" w:color="auto"/>
      </w:divBdr>
    </w:div>
    <w:div w:id="1845899836">
      <w:bodyDiv w:val="1"/>
      <w:marLeft w:val="0"/>
      <w:marRight w:val="0"/>
      <w:marTop w:val="0"/>
      <w:marBottom w:val="0"/>
      <w:divBdr>
        <w:top w:val="none" w:sz="0" w:space="0" w:color="auto"/>
        <w:left w:val="none" w:sz="0" w:space="0" w:color="auto"/>
        <w:bottom w:val="none" w:sz="0" w:space="0" w:color="auto"/>
        <w:right w:val="none" w:sz="0" w:space="0" w:color="auto"/>
      </w:divBdr>
    </w:div>
    <w:div w:id="1846049766">
      <w:bodyDiv w:val="1"/>
      <w:marLeft w:val="0"/>
      <w:marRight w:val="0"/>
      <w:marTop w:val="0"/>
      <w:marBottom w:val="0"/>
      <w:divBdr>
        <w:top w:val="none" w:sz="0" w:space="0" w:color="auto"/>
        <w:left w:val="none" w:sz="0" w:space="0" w:color="auto"/>
        <w:bottom w:val="none" w:sz="0" w:space="0" w:color="auto"/>
        <w:right w:val="none" w:sz="0" w:space="0" w:color="auto"/>
      </w:divBdr>
    </w:div>
    <w:div w:id="1846239405">
      <w:bodyDiv w:val="1"/>
      <w:marLeft w:val="0"/>
      <w:marRight w:val="0"/>
      <w:marTop w:val="0"/>
      <w:marBottom w:val="0"/>
      <w:divBdr>
        <w:top w:val="none" w:sz="0" w:space="0" w:color="auto"/>
        <w:left w:val="none" w:sz="0" w:space="0" w:color="auto"/>
        <w:bottom w:val="none" w:sz="0" w:space="0" w:color="auto"/>
        <w:right w:val="none" w:sz="0" w:space="0" w:color="auto"/>
      </w:divBdr>
    </w:div>
    <w:div w:id="1846289602">
      <w:bodyDiv w:val="1"/>
      <w:marLeft w:val="0"/>
      <w:marRight w:val="0"/>
      <w:marTop w:val="0"/>
      <w:marBottom w:val="0"/>
      <w:divBdr>
        <w:top w:val="none" w:sz="0" w:space="0" w:color="auto"/>
        <w:left w:val="none" w:sz="0" w:space="0" w:color="auto"/>
        <w:bottom w:val="none" w:sz="0" w:space="0" w:color="auto"/>
        <w:right w:val="none" w:sz="0" w:space="0" w:color="auto"/>
      </w:divBdr>
    </w:div>
    <w:div w:id="1846479830">
      <w:bodyDiv w:val="1"/>
      <w:marLeft w:val="0"/>
      <w:marRight w:val="0"/>
      <w:marTop w:val="0"/>
      <w:marBottom w:val="0"/>
      <w:divBdr>
        <w:top w:val="none" w:sz="0" w:space="0" w:color="auto"/>
        <w:left w:val="none" w:sz="0" w:space="0" w:color="auto"/>
        <w:bottom w:val="none" w:sz="0" w:space="0" w:color="auto"/>
        <w:right w:val="none" w:sz="0" w:space="0" w:color="auto"/>
      </w:divBdr>
    </w:div>
    <w:div w:id="1846821568">
      <w:bodyDiv w:val="1"/>
      <w:marLeft w:val="0"/>
      <w:marRight w:val="0"/>
      <w:marTop w:val="0"/>
      <w:marBottom w:val="0"/>
      <w:divBdr>
        <w:top w:val="none" w:sz="0" w:space="0" w:color="auto"/>
        <w:left w:val="none" w:sz="0" w:space="0" w:color="auto"/>
        <w:bottom w:val="none" w:sz="0" w:space="0" w:color="auto"/>
        <w:right w:val="none" w:sz="0" w:space="0" w:color="auto"/>
      </w:divBdr>
    </w:div>
    <w:div w:id="1847094122">
      <w:bodyDiv w:val="1"/>
      <w:marLeft w:val="0"/>
      <w:marRight w:val="0"/>
      <w:marTop w:val="0"/>
      <w:marBottom w:val="0"/>
      <w:divBdr>
        <w:top w:val="none" w:sz="0" w:space="0" w:color="auto"/>
        <w:left w:val="none" w:sz="0" w:space="0" w:color="auto"/>
        <w:bottom w:val="none" w:sz="0" w:space="0" w:color="auto"/>
        <w:right w:val="none" w:sz="0" w:space="0" w:color="auto"/>
      </w:divBdr>
    </w:div>
    <w:div w:id="1847553147">
      <w:bodyDiv w:val="1"/>
      <w:marLeft w:val="0"/>
      <w:marRight w:val="0"/>
      <w:marTop w:val="0"/>
      <w:marBottom w:val="0"/>
      <w:divBdr>
        <w:top w:val="none" w:sz="0" w:space="0" w:color="auto"/>
        <w:left w:val="none" w:sz="0" w:space="0" w:color="auto"/>
        <w:bottom w:val="none" w:sz="0" w:space="0" w:color="auto"/>
        <w:right w:val="none" w:sz="0" w:space="0" w:color="auto"/>
      </w:divBdr>
    </w:div>
    <w:div w:id="1847556477">
      <w:bodyDiv w:val="1"/>
      <w:marLeft w:val="0"/>
      <w:marRight w:val="0"/>
      <w:marTop w:val="0"/>
      <w:marBottom w:val="0"/>
      <w:divBdr>
        <w:top w:val="none" w:sz="0" w:space="0" w:color="auto"/>
        <w:left w:val="none" w:sz="0" w:space="0" w:color="auto"/>
        <w:bottom w:val="none" w:sz="0" w:space="0" w:color="auto"/>
        <w:right w:val="none" w:sz="0" w:space="0" w:color="auto"/>
      </w:divBdr>
    </w:div>
    <w:div w:id="1848249072">
      <w:bodyDiv w:val="1"/>
      <w:marLeft w:val="0"/>
      <w:marRight w:val="0"/>
      <w:marTop w:val="0"/>
      <w:marBottom w:val="0"/>
      <w:divBdr>
        <w:top w:val="none" w:sz="0" w:space="0" w:color="auto"/>
        <w:left w:val="none" w:sz="0" w:space="0" w:color="auto"/>
        <w:bottom w:val="none" w:sz="0" w:space="0" w:color="auto"/>
        <w:right w:val="none" w:sz="0" w:space="0" w:color="auto"/>
      </w:divBdr>
    </w:div>
    <w:div w:id="1848904887">
      <w:bodyDiv w:val="1"/>
      <w:marLeft w:val="0"/>
      <w:marRight w:val="0"/>
      <w:marTop w:val="0"/>
      <w:marBottom w:val="0"/>
      <w:divBdr>
        <w:top w:val="none" w:sz="0" w:space="0" w:color="auto"/>
        <w:left w:val="none" w:sz="0" w:space="0" w:color="auto"/>
        <w:bottom w:val="none" w:sz="0" w:space="0" w:color="auto"/>
        <w:right w:val="none" w:sz="0" w:space="0" w:color="auto"/>
      </w:divBdr>
    </w:div>
    <w:div w:id="1849059357">
      <w:bodyDiv w:val="1"/>
      <w:marLeft w:val="0"/>
      <w:marRight w:val="0"/>
      <w:marTop w:val="0"/>
      <w:marBottom w:val="0"/>
      <w:divBdr>
        <w:top w:val="none" w:sz="0" w:space="0" w:color="auto"/>
        <w:left w:val="none" w:sz="0" w:space="0" w:color="auto"/>
        <w:bottom w:val="none" w:sz="0" w:space="0" w:color="auto"/>
        <w:right w:val="none" w:sz="0" w:space="0" w:color="auto"/>
      </w:divBdr>
    </w:div>
    <w:div w:id="1849517587">
      <w:bodyDiv w:val="1"/>
      <w:marLeft w:val="0"/>
      <w:marRight w:val="0"/>
      <w:marTop w:val="0"/>
      <w:marBottom w:val="0"/>
      <w:divBdr>
        <w:top w:val="none" w:sz="0" w:space="0" w:color="auto"/>
        <w:left w:val="none" w:sz="0" w:space="0" w:color="auto"/>
        <w:bottom w:val="none" w:sz="0" w:space="0" w:color="auto"/>
        <w:right w:val="none" w:sz="0" w:space="0" w:color="auto"/>
      </w:divBdr>
    </w:div>
    <w:div w:id="1850218762">
      <w:bodyDiv w:val="1"/>
      <w:marLeft w:val="0"/>
      <w:marRight w:val="0"/>
      <w:marTop w:val="0"/>
      <w:marBottom w:val="0"/>
      <w:divBdr>
        <w:top w:val="none" w:sz="0" w:space="0" w:color="auto"/>
        <w:left w:val="none" w:sz="0" w:space="0" w:color="auto"/>
        <w:bottom w:val="none" w:sz="0" w:space="0" w:color="auto"/>
        <w:right w:val="none" w:sz="0" w:space="0" w:color="auto"/>
      </w:divBdr>
    </w:div>
    <w:div w:id="1850370274">
      <w:bodyDiv w:val="1"/>
      <w:marLeft w:val="0"/>
      <w:marRight w:val="0"/>
      <w:marTop w:val="0"/>
      <w:marBottom w:val="0"/>
      <w:divBdr>
        <w:top w:val="none" w:sz="0" w:space="0" w:color="auto"/>
        <w:left w:val="none" w:sz="0" w:space="0" w:color="auto"/>
        <w:bottom w:val="none" w:sz="0" w:space="0" w:color="auto"/>
        <w:right w:val="none" w:sz="0" w:space="0" w:color="auto"/>
      </w:divBdr>
    </w:div>
    <w:div w:id="1850483152">
      <w:bodyDiv w:val="1"/>
      <w:marLeft w:val="0"/>
      <w:marRight w:val="0"/>
      <w:marTop w:val="0"/>
      <w:marBottom w:val="0"/>
      <w:divBdr>
        <w:top w:val="none" w:sz="0" w:space="0" w:color="auto"/>
        <w:left w:val="none" w:sz="0" w:space="0" w:color="auto"/>
        <w:bottom w:val="none" w:sz="0" w:space="0" w:color="auto"/>
        <w:right w:val="none" w:sz="0" w:space="0" w:color="auto"/>
      </w:divBdr>
    </w:div>
    <w:div w:id="1850563063">
      <w:bodyDiv w:val="1"/>
      <w:marLeft w:val="0"/>
      <w:marRight w:val="0"/>
      <w:marTop w:val="0"/>
      <w:marBottom w:val="0"/>
      <w:divBdr>
        <w:top w:val="none" w:sz="0" w:space="0" w:color="auto"/>
        <w:left w:val="none" w:sz="0" w:space="0" w:color="auto"/>
        <w:bottom w:val="none" w:sz="0" w:space="0" w:color="auto"/>
        <w:right w:val="none" w:sz="0" w:space="0" w:color="auto"/>
      </w:divBdr>
    </w:div>
    <w:div w:id="1850679492">
      <w:bodyDiv w:val="1"/>
      <w:marLeft w:val="0"/>
      <w:marRight w:val="0"/>
      <w:marTop w:val="0"/>
      <w:marBottom w:val="0"/>
      <w:divBdr>
        <w:top w:val="none" w:sz="0" w:space="0" w:color="auto"/>
        <w:left w:val="none" w:sz="0" w:space="0" w:color="auto"/>
        <w:bottom w:val="none" w:sz="0" w:space="0" w:color="auto"/>
        <w:right w:val="none" w:sz="0" w:space="0" w:color="auto"/>
      </w:divBdr>
    </w:div>
    <w:div w:id="1851406524">
      <w:bodyDiv w:val="1"/>
      <w:marLeft w:val="0"/>
      <w:marRight w:val="0"/>
      <w:marTop w:val="0"/>
      <w:marBottom w:val="0"/>
      <w:divBdr>
        <w:top w:val="none" w:sz="0" w:space="0" w:color="auto"/>
        <w:left w:val="none" w:sz="0" w:space="0" w:color="auto"/>
        <w:bottom w:val="none" w:sz="0" w:space="0" w:color="auto"/>
        <w:right w:val="none" w:sz="0" w:space="0" w:color="auto"/>
      </w:divBdr>
    </w:div>
    <w:div w:id="1851524139">
      <w:bodyDiv w:val="1"/>
      <w:marLeft w:val="0"/>
      <w:marRight w:val="0"/>
      <w:marTop w:val="0"/>
      <w:marBottom w:val="0"/>
      <w:divBdr>
        <w:top w:val="none" w:sz="0" w:space="0" w:color="auto"/>
        <w:left w:val="none" w:sz="0" w:space="0" w:color="auto"/>
        <w:bottom w:val="none" w:sz="0" w:space="0" w:color="auto"/>
        <w:right w:val="none" w:sz="0" w:space="0" w:color="auto"/>
      </w:divBdr>
    </w:div>
    <w:div w:id="1851555806">
      <w:bodyDiv w:val="1"/>
      <w:marLeft w:val="0"/>
      <w:marRight w:val="0"/>
      <w:marTop w:val="0"/>
      <w:marBottom w:val="0"/>
      <w:divBdr>
        <w:top w:val="none" w:sz="0" w:space="0" w:color="auto"/>
        <w:left w:val="none" w:sz="0" w:space="0" w:color="auto"/>
        <w:bottom w:val="none" w:sz="0" w:space="0" w:color="auto"/>
        <w:right w:val="none" w:sz="0" w:space="0" w:color="auto"/>
      </w:divBdr>
    </w:div>
    <w:div w:id="1851677799">
      <w:bodyDiv w:val="1"/>
      <w:marLeft w:val="0"/>
      <w:marRight w:val="0"/>
      <w:marTop w:val="0"/>
      <w:marBottom w:val="0"/>
      <w:divBdr>
        <w:top w:val="none" w:sz="0" w:space="0" w:color="auto"/>
        <w:left w:val="none" w:sz="0" w:space="0" w:color="auto"/>
        <w:bottom w:val="none" w:sz="0" w:space="0" w:color="auto"/>
        <w:right w:val="none" w:sz="0" w:space="0" w:color="auto"/>
      </w:divBdr>
    </w:div>
    <w:div w:id="1851679102">
      <w:bodyDiv w:val="1"/>
      <w:marLeft w:val="0"/>
      <w:marRight w:val="0"/>
      <w:marTop w:val="0"/>
      <w:marBottom w:val="0"/>
      <w:divBdr>
        <w:top w:val="none" w:sz="0" w:space="0" w:color="auto"/>
        <w:left w:val="none" w:sz="0" w:space="0" w:color="auto"/>
        <w:bottom w:val="none" w:sz="0" w:space="0" w:color="auto"/>
        <w:right w:val="none" w:sz="0" w:space="0" w:color="auto"/>
      </w:divBdr>
    </w:div>
    <w:div w:id="1852837368">
      <w:bodyDiv w:val="1"/>
      <w:marLeft w:val="0"/>
      <w:marRight w:val="0"/>
      <w:marTop w:val="0"/>
      <w:marBottom w:val="0"/>
      <w:divBdr>
        <w:top w:val="none" w:sz="0" w:space="0" w:color="auto"/>
        <w:left w:val="none" w:sz="0" w:space="0" w:color="auto"/>
        <w:bottom w:val="none" w:sz="0" w:space="0" w:color="auto"/>
        <w:right w:val="none" w:sz="0" w:space="0" w:color="auto"/>
      </w:divBdr>
    </w:div>
    <w:div w:id="1853836315">
      <w:bodyDiv w:val="1"/>
      <w:marLeft w:val="0"/>
      <w:marRight w:val="0"/>
      <w:marTop w:val="0"/>
      <w:marBottom w:val="0"/>
      <w:divBdr>
        <w:top w:val="none" w:sz="0" w:space="0" w:color="auto"/>
        <w:left w:val="none" w:sz="0" w:space="0" w:color="auto"/>
        <w:bottom w:val="none" w:sz="0" w:space="0" w:color="auto"/>
        <w:right w:val="none" w:sz="0" w:space="0" w:color="auto"/>
      </w:divBdr>
    </w:div>
    <w:div w:id="1854150839">
      <w:bodyDiv w:val="1"/>
      <w:marLeft w:val="0"/>
      <w:marRight w:val="0"/>
      <w:marTop w:val="0"/>
      <w:marBottom w:val="0"/>
      <w:divBdr>
        <w:top w:val="none" w:sz="0" w:space="0" w:color="auto"/>
        <w:left w:val="none" w:sz="0" w:space="0" w:color="auto"/>
        <w:bottom w:val="none" w:sz="0" w:space="0" w:color="auto"/>
        <w:right w:val="none" w:sz="0" w:space="0" w:color="auto"/>
      </w:divBdr>
    </w:div>
    <w:div w:id="1854341658">
      <w:bodyDiv w:val="1"/>
      <w:marLeft w:val="0"/>
      <w:marRight w:val="0"/>
      <w:marTop w:val="0"/>
      <w:marBottom w:val="0"/>
      <w:divBdr>
        <w:top w:val="none" w:sz="0" w:space="0" w:color="auto"/>
        <w:left w:val="none" w:sz="0" w:space="0" w:color="auto"/>
        <w:bottom w:val="none" w:sz="0" w:space="0" w:color="auto"/>
        <w:right w:val="none" w:sz="0" w:space="0" w:color="auto"/>
      </w:divBdr>
    </w:div>
    <w:div w:id="1854414915">
      <w:bodyDiv w:val="1"/>
      <w:marLeft w:val="0"/>
      <w:marRight w:val="0"/>
      <w:marTop w:val="0"/>
      <w:marBottom w:val="0"/>
      <w:divBdr>
        <w:top w:val="none" w:sz="0" w:space="0" w:color="auto"/>
        <w:left w:val="none" w:sz="0" w:space="0" w:color="auto"/>
        <w:bottom w:val="none" w:sz="0" w:space="0" w:color="auto"/>
        <w:right w:val="none" w:sz="0" w:space="0" w:color="auto"/>
      </w:divBdr>
    </w:div>
    <w:div w:id="1854955948">
      <w:bodyDiv w:val="1"/>
      <w:marLeft w:val="0"/>
      <w:marRight w:val="0"/>
      <w:marTop w:val="0"/>
      <w:marBottom w:val="0"/>
      <w:divBdr>
        <w:top w:val="none" w:sz="0" w:space="0" w:color="auto"/>
        <w:left w:val="none" w:sz="0" w:space="0" w:color="auto"/>
        <w:bottom w:val="none" w:sz="0" w:space="0" w:color="auto"/>
        <w:right w:val="none" w:sz="0" w:space="0" w:color="auto"/>
      </w:divBdr>
    </w:div>
    <w:div w:id="1856578258">
      <w:bodyDiv w:val="1"/>
      <w:marLeft w:val="0"/>
      <w:marRight w:val="0"/>
      <w:marTop w:val="0"/>
      <w:marBottom w:val="0"/>
      <w:divBdr>
        <w:top w:val="none" w:sz="0" w:space="0" w:color="auto"/>
        <w:left w:val="none" w:sz="0" w:space="0" w:color="auto"/>
        <w:bottom w:val="none" w:sz="0" w:space="0" w:color="auto"/>
        <w:right w:val="none" w:sz="0" w:space="0" w:color="auto"/>
      </w:divBdr>
    </w:div>
    <w:div w:id="1856770103">
      <w:bodyDiv w:val="1"/>
      <w:marLeft w:val="0"/>
      <w:marRight w:val="0"/>
      <w:marTop w:val="0"/>
      <w:marBottom w:val="0"/>
      <w:divBdr>
        <w:top w:val="none" w:sz="0" w:space="0" w:color="auto"/>
        <w:left w:val="none" w:sz="0" w:space="0" w:color="auto"/>
        <w:bottom w:val="none" w:sz="0" w:space="0" w:color="auto"/>
        <w:right w:val="none" w:sz="0" w:space="0" w:color="auto"/>
      </w:divBdr>
    </w:div>
    <w:div w:id="1856965138">
      <w:bodyDiv w:val="1"/>
      <w:marLeft w:val="0"/>
      <w:marRight w:val="0"/>
      <w:marTop w:val="0"/>
      <w:marBottom w:val="0"/>
      <w:divBdr>
        <w:top w:val="none" w:sz="0" w:space="0" w:color="auto"/>
        <w:left w:val="none" w:sz="0" w:space="0" w:color="auto"/>
        <w:bottom w:val="none" w:sz="0" w:space="0" w:color="auto"/>
        <w:right w:val="none" w:sz="0" w:space="0" w:color="auto"/>
      </w:divBdr>
    </w:div>
    <w:div w:id="1857110899">
      <w:bodyDiv w:val="1"/>
      <w:marLeft w:val="0"/>
      <w:marRight w:val="0"/>
      <w:marTop w:val="0"/>
      <w:marBottom w:val="0"/>
      <w:divBdr>
        <w:top w:val="none" w:sz="0" w:space="0" w:color="auto"/>
        <w:left w:val="none" w:sz="0" w:space="0" w:color="auto"/>
        <w:bottom w:val="none" w:sz="0" w:space="0" w:color="auto"/>
        <w:right w:val="none" w:sz="0" w:space="0" w:color="auto"/>
      </w:divBdr>
    </w:div>
    <w:div w:id="1857230470">
      <w:bodyDiv w:val="1"/>
      <w:marLeft w:val="0"/>
      <w:marRight w:val="0"/>
      <w:marTop w:val="0"/>
      <w:marBottom w:val="0"/>
      <w:divBdr>
        <w:top w:val="none" w:sz="0" w:space="0" w:color="auto"/>
        <w:left w:val="none" w:sz="0" w:space="0" w:color="auto"/>
        <w:bottom w:val="none" w:sz="0" w:space="0" w:color="auto"/>
        <w:right w:val="none" w:sz="0" w:space="0" w:color="auto"/>
      </w:divBdr>
    </w:div>
    <w:div w:id="1857497200">
      <w:bodyDiv w:val="1"/>
      <w:marLeft w:val="0"/>
      <w:marRight w:val="0"/>
      <w:marTop w:val="0"/>
      <w:marBottom w:val="0"/>
      <w:divBdr>
        <w:top w:val="none" w:sz="0" w:space="0" w:color="auto"/>
        <w:left w:val="none" w:sz="0" w:space="0" w:color="auto"/>
        <w:bottom w:val="none" w:sz="0" w:space="0" w:color="auto"/>
        <w:right w:val="none" w:sz="0" w:space="0" w:color="auto"/>
      </w:divBdr>
    </w:div>
    <w:div w:id="1857620572">
      <w:bodyDiv w:val="1"/>
      <w:marLeft w:val="0"/>
      <w:marRight w:val="0"/>
      <w:marTop w:val="0"/>
      <w:marBottom w:val="0"/>
      <w:divBdr>
        <w:top w:val="none" w:sz="0" w:space="0" w:color="auto"/>
        <w:left w:val="none" w:sz="0" w:space="0" w:color="auto"/>
        <w:bottom w:val="none" w:sz="0" w:space="0" w:color="auto"/>
        <w:right w:val="none" w:sz="0" w:space="0" w:color="auto"/>
      </w:divBdr>
    </w:div>
    <w:div w:id="1859156226">
      <w:bodyDiv w:val="1"/>
      <w:marLeft w:val="0"/>
      <w:marRight w:val="0"/>
      <w:marTop w:val="0"/>
      <w:marBottom w:val="0"/>
      <w:divBdr>
        <w:top w:val="none" w:sz="0" w:space="0" w:color="auto"/>
        <w:left w:val="none" w:sz="0" w:space="0" w:color="auto"/>
        <w:bottom w:val="none" w:sz="0" w:space="0" w:color="auto"/>
        <w:right w:val="none" w:sz="0" w:space="0" w:color="auto"/>
      </w:divBdr>
    </w:div>
    <w:div w:id="1859198137">
      <w:bodyDiv w:val="1"/>
      <w:marLeft w:val="0"/>
      <w:marRight w:val="0"/>
      <w:marTop w:val="0"/>
      <w:marBottom w:val="0"/>
      <w:divBdr>
        <w:top w:val="none" w:sz="0" w:space="0" w:color="auto"/>
        <w:left w:val="none" w:sz="0" w:space="0" w:color="auto"/>
        <w:bottom w:val="none" w:sz="0" w:space="0" w:color="auto"/>
        <w:right w:val="none" w:sz="0" w:space="0" w:color="auto"/>
      </w:divBdr>
    </w:div>
    <w:div w:id="1859267549">
      <w:bodyDiv w:val="1"/>
      <w:marLeft w:val="0"/>
      <w:marRight w:val="0"/>
      <w:marTop w:val="0"/>
      <w:marBottom w:val="0"/>
      <w:divBdr>
        <w:top w:val="none" w:sz="0" w:space="0" w:color="auto"/>
        <w:left w:val="none" w:sz="0" w:space="0" w:color="auto"/>
        <w:bottom w:val="none" w:sz="0" w:space="0" w:color="auto"/>
        <w:right w:val="none" w:sz="0" w:space="0" w:color="auto"/>
      </w:divBdr>
    </w:div>
    <w:div w:id="1859616320">
      <w:bodyDiv w:val="1"/>
      <w:marLeft w:val="0"/>
      <w:marRight w:val="0"/>
      <w:marTop w:val="0"/>
      <w:marBottom w:val="0"/>
      <w:divBdr>
        <w:top w:val="none" w:sz="0" w:space="0" w:color="auto"/>
        <w:left w:val="none" w:sz="0" w:space="0" w:color="auto"/>
        <w:bottom w:val="none" w:sz="0" w:space="0" w:color="auto"/>
        <w:right w:val="none" w:sz="0" w:space="0" w:color="auto"/>
      </w:divBdr>
    </w:div>
    <w:div w:id="1859657771">
      <w:bodyDiv w:val="1"/>
      <w:marLeft w:val="0"/>
      <w:marRight w:val="0"/>
      <w:marTop w:val="0"/>
      <w:marBottom w:val="0"/>
      <w:divBdr>
        <w:top w:val="none" w:sz="0" w:space="0" w:color="auto"/>
        <w:left w:val="none" w:sz="0" w:space="0" w:color="auto"/>
        <w:bottom w:val="none" w:sz="0" w:space="0" w:color="auto"/>
        <w:right w:val="none" w:sz="0" w:space="0" w:color="auto"/>
      </w:divBdr>
    </w:div>
    <w:div w:id="1859930158">
      <w:bodyDiv w:val="1"/>
      <w:marLeft w:val="0"/>
      <w:marRight w:val="0"/>
      <w:marTop w:val="0"/>
      <w:marBottom w:val="0"/>
      <w:divBdr>
        <w:top w:val="none" w:sz="0" w:space="0" w:color="auto"/>
        <w:left w:val="none" w:sz="0" w:space="0" w:color="auto"/>
        <w:bottom w:val="none" w:sz="0" w:space="0" w:color="auto"/>
        <w:right w:val="none" w:sz="0" w:space="0" w:color="auto"/>
      </w:divBdr>
    </w:div>
    <w:div w:id="1860006423">
      <w:bodyDiv w:val="1"/>
      <w:marLeft w:val="0"/>
      <w:marRight w:val="0"/>
      <w:marTop w:val="0"/>
      <w:marBottom w:val="0"/>
      <w:divBdr>
        <w:top w:val="none" w:sz="0" w:space="0" w:color="auto"/>
        <w:left w:val="none" w:sz="0" w:space="0" w:color="auto"/>
        <w:bottom w:val="none" w:sz="0" w:space="0" w:color="auto"/>
        <w:right w:val="none" w:sz="0" w:space="0" w:color="auto"/>
      </w:divBdr>
    </w:div>
    <w:div w:id="1861116521">
      <w:bodyDiv w:val="1"/>
      <w:marLeft w:val="0"/>
      <w:marRight w:val="0"/>
      <w:marTop w:val="0"/>
      <w:marBottom w:val="0"/>
      <w:divBdr>
        <w:top w:val="none" w:sz="0" w:space="0" w:color="auto"/>
        <w:left w:val="none" w:sz="0" w:space="0" w:color="auto"/>
        <w:bottom w:val="none" w:sz="0" w:space="0" w:color="auto"/>
        <w:right w:val="none" w:sz="0" w:space="0" w:color="auto"/>
      </w:divBdr>
    </w:div>
    <w:div w:id="1861123254">
      <w:bodyDiv w:val="1"/>
      <w:marLeft w:val="0"/>
      <w:marRight w:val="0"/>
      <w:marTop w:val="0"/>
      <w:marBottom w:val="0"/>
      <w:divBdr>
        <w:top w:val="none" w:sz="0" w:space="0" w:color="auto"/>
        <w:left w:val="none" w:sz="0" w:space="0" w:color="auto"/>
        <w:bottom w:val="none" w:sz="0" w:space="0" w:color="auto"/>
        <w:right w:val="none" w:sz="0" w:space="0" w:color="auto"/>
      </w:divBdr>
    </w:div>
    <w:div w:id="1861434334">
      <w:bodyDiv w:val="1"/>
      <w:marLeft w:val="0"/>
      <w:marRight w:val="0"/>
      <w:marTop w:val="0"/>
      <w:marBottom w:val="0"/>
      <w:divBdr>
        <w:top w:val="none" w:sz="0" w:space="0" w:color="auto"/>
        <w:left w:val="none" w:sz="0" w:space="0" w:color="auto"/>
        <w:bottom w:val="none" w:sz="0" w:space="0" w:color="auto"/>
        <w:right w:val="none" w:sz="0" w:space="0" w:color="auto"/>
      </w:divBdr>
    </w:div>
    <w:div w:id="1861966512">
      <w:bodyDiv w:val="1"/>
      <w:marLeft w:val="0"/>
      <w:marRight w:val="0"/>
      <w:marTop w:val="0"/>
      <w:marBottom w:val="0"/>
      <w:divBdr>
        <w:top w:val="none" w:sz="0" w:space="0" w:color="auto"/>
        <w:left w:val="none" w:sz="0" w:space="0" w:color="auto"/>
        <w:bottom w:val="none" w:sz="0" w:space="0" w:color="auto"/>
        <w:right w:val="none" w:sz="0" w:space="0" w:color="auto"/>
      </w:divBdr>
    </w:div>
    <w:div w:id="1862276102">
      <w:bodyDiv w:val="1"/>
      <w:marLeft w:val="0"/>
      <w:marRight w:val="0"/>
      <w:marTop w:val="0"/>
      <w:marBottom w:val="0"/>
      <w:divBdr>
        <w:top w:val="none" w:sz="0" w:space="0" w:color="auto"/>
        <w:left w:val="none" w:sz="0" w:space="0" w:color="auto"/>
        <w:bottom w:val="none" w:sz="0" w:space="0" w:color="auto"/>
        <w:right w:val="none" w:sz="0" w:space="0" w:color="auto"/>
      </w:divBdr>
    </w:div>
    <w:div w:id="1862432336">
      <w:bodyDiv w:val="1"/>
      <w:marLeft w:val="0"/>
      <w:marRight w:val="0"/>
      <w:marTop w:val="0"/>
      <w:marBottom w:val="0"/>
      <w:divBdr>
        <w:top w:val="none" w:sz="0" w:space="0" w:color="auto"/>
        <w:left w:val="none" w:sz="0" w:space="0" w:color="auto"/>
        <w:bottom w:val="none" w:sz="0" w:space="0" w:color="auto"/>
        <w:right w:val="none" w:sz="0" w:space="0" w:color="auto"/>
      </w:divBdr>
    </w:div>
    <w:div w:id="1862472515">
      <w:bodyDiv w:val="1"/>
      <w:marLeft w:val="0"/>
      <w:marRight w:val="0"/>
      <w:marTop w:val="0"/>
      <w:marBottom w:val="0"/>
      <w:divBdr>
        <w:top w:val="none" w:sz="0" w:space="0" w:color="auto"/>
        <w:left w:val="none" w:sz="0" w:space="0" w:color="auto"/>
        <w:bottom w:val="none" w:sz="0" w:space="0" w:color="auto"/>
        <w:right w:val="none" w:sz="0" w:space="0" w:color="auto"/>
      </w:divBdr>
    </w:div>
    <w:div w:id="1862477934">
      <w:bodyDiv w:val="1"/>
      <w:marLeft w:val="0"/>
      <w:marRight w:val="0"/>
      <w:marTop w:val="0"/>
      <w:marBottom w:val="0"/>
      <w:divBdr>
        <w:top w:val="none" w:sz="0" w:space="0" w:color="auto"/>
        <w:left w:val="none" w:sz="0" w:space="0" w:color="auto"/>
        <w:bottom w:val="none" w:sz="0" w:space="0" w:color="auto"/>
        <w:right w:val="none" w:sz="0" w:space="0" w:color="auto"/>
      </w:divBdr>
    </w:div>
    <w:div w:id="1863202334">
      <w:bodyDiv w:val="1"/>
      <w:marLeft w:val="0"/>
      <w:marRight w:val="0"/>
      <w:marTop w:val="0"/>
      <w:marBottom w:val="0"/>
      <w:divBdr>
        <w:top w:val="none" w:sz="0" w:space="0" w:color="auto"/>
        <w:left w:val="none" w:sz="0" w:space="0" w:color="auto"/>
        <w:bottom w:val="none" w:sz="0" w:space="0" w:color="auto"/>
        <w:right w:val="none" w:sz="0" w:space="0" w:color="auto"/>
      </w:divBdr>
    </w:div>
    <w:div w:id="1863204785">
      <w:bodyDiv w:val="1"/>
      <w:marLeft w:val="0"/>
      <w:marRight w:val="0"/>
      <w:marTop w:val="0"/>
      <w:marBottom w:val="0"/>
      <w:divBdr>
        <w:top w:val="none" w:sz="0" w:space="0" w:color="auto"/>
        <w:left w:val="none" w:sz="0" w:space="0" w:color="auto"/>
        <w:bottom w:val="none" w:sz="0" w:space="0" w:color="auto"/>
        <w:right w:val="none" w:sz="0" w:space="0" w:color="auto"/>
      </w:divBdr>
    </w:div>
    <w:div w:id="1863975552">
      <w:bodyDiv w:val="1"/>
      <w:marLeft w:val="0"/>
      <w:marRight w:val="0"/>
      <w:marTop w:val="0"/>
      <w:marBottom w:val="0"/>
      <w:divBdr>
        <w:top w:val="none" w:sz="0" w:space="0" w:color="auto"/>
        <w:left w:val="none" w:sz="0" w:space="0" w:color="auto"/>
        <w:bottom w:val="none" w:sz="0" w:space="0" w:color="auto"/>
        <w:right w:val="none" w:sz="0" w:space="0" w:color="auto"/>
      </w:divBdr>
    </w:div>
    <w:div w:id="1864510436">
      <w:bodyDiv w:val="1"/>
      <w:marLeft w:val="0"/>
      <w:marRight w:val="0"/>
      <w:marTop w:val="0"/>
      <w:marBottom w:val="0"/>
      <w:divBdr>
        <w:top w:val="none" w:sz="0" w:space="0" w:color="auto"/>
        <w:left w:val="none" w:sz="0" w:space="0" w:color="auto"/>
        <w:bottom w:val="none" w:sz="0" w:space="0" w:color="auto"/>
        <w:right w:val="none" w:sz="0" w:space="0" w:color="auto"/>
      </w:divBdr>
    </w:div>
    <w:div w:id="1864584732">
      <w:bodyDiv w:val="1"/>
      <w:marLeft w:val="0"/>
      <w:marRight w:val="0"/>
      <w:marTop w:val="0"/>
      <w:marBottom w:val="0"/>
      <w:divBdr>
        <w:top w:val="none" w:sz="0" w:space="0" w:color="auto"/>
        <w:left w:val="none" w:sz="0" w:space="0" w:color="auto"/>
        <w:bottom w:val="none" w:sz="0" w:space="0" w:color="auto"/>
        <w:right w:val="none" w:sz="0" w:space="0" w:color="auto"/>
      </w:divBdr>
    </w:div>
    <w:div w:id="1864780996">
      <w:bodyDiv w:val="1"/>
      <w:marLeft w:val="0"/>
      <w:marRight w:val="0"/>
      <w:marTop w:val="0"/>
      <w:marBottom w:val="0"/>
      <w:divBdr>
        <w:top w:val="none" w:sz="0" w:space="0" w:color="auto"/>
        <w:left w:val="none" w:sz="0" w:space="0" w:color="auto"/>
        <w:bottom w:val="none" w:sz="0" w:space="0" w:color="auto"/>
        <w:right w:val="none" w:sz="0" w:space="0" w:color="auto"/>
      </w:divBdr>
    </w:div>
    <w:div w:id="1864979996">
      <w:bodyDiv w:val="1"/>
      <w:marLeft w:val="0"/>
      <w:marRight w:val="0"/>
      <w:marTop w:val="0"/>
      <w:marBottom w:val="0"/>
      <w:divBdr>
        <w:top w:val="none" w:sz="0" w:space="0" w:color="auto"/>
        <w:left w:val="none" w:sz="0" w:space="0" w:color="auto"/>
        <w:bottom w:val="none" w:sz="0" w:space="0" w:color="auto"/>
        <w:right w:val="none" w:sz="0" w:space="0" w:color="auto"/>
      </w:divBdr>
    </w:div>
    <w:div w:id="1865239996">
      <w:bodyDiv w:val="1"/>
      <w:marLeft w:val="0"/>
      <w:marRight w:val="0"/>
      <w:marTop w:val="0"/>
      <w:marBottom w:val="0"/>
      <w:divBdr>
        <w:top w:val="none" w:sz="0" w:space="0" w:color="auto"/>
        <w:left w:val="none" w:sz="0" w:space="0" w:color="auto"/>
        <w:bottom w:val="none" w:sz="0" w:space="0" w:color="auto"/>
        <w:right w:val="none" w:sz="0" w:space="0" w:color="auto"/>
      </w:divBdr>
    </w:div>
    <w:div w:id="1865438783">
      <w:bodyDiv w:val="1"/>
      <w:marLeft w:val="0"/>
      <w:marRight w:val="0"/>
      <w:marTop w:val="0"/>
      <w:marBottom w:val="0"/>
      <w:divBdr>
        <w:top w:val="none" w:sz="0" w:space="0" w:color="auto"/>
        <w:left w:val="none" w:sz="0" w:space="0" w:color="auto"/>
        <w:bottom w:val="none" w:sz="0" w:space="0" w:color="auto"/>
        <w:right w:val="none" w:sz="0" w:space="0" w:color="auto"/>
      </w:divBdr>
    </w:div>
    <w:div w:id="1865703686">
      <w:bodyDiv w:val="1"/>
      <w:marLeft w:val="0"/>
      <w:marRight w:val="0"/>
      <w:marTop w:val="0"/>
      <w:marBottom w:val="0"/>
      <w:divBdr>
        <w:top w:val="none" w:sz="0" w:space="0" w:color="auto"/>
        <w:left w:val="none" w:sz="0" w:space="0" w:color="auto"/>
        <w:bottom w:val="none" w:sz="0" w:space="0" w:color="auto"/>
        <w:right w:val="none" w:sz="0" w:space="0" w:color="auto"/>
      </w:divBdr>
    </w:div>
    <w:div w:id="1865745435">
      <w:bodyDiv w:val="1"/>
      <w:marLeft w:val="0"/>
      <w:marRight w:val="0"/>
      <w:marTop w:val="0"/>
      <w:marBottom w:val="0"/>
      <w:divBdr>
        <w:top w:val="none" w:sz="0" w:space="0" w:color="auto"/>
        <w:left w:val="none" w:sz="0" w:space="0" w:color="auto"/>
        <w:bottom w:val="none" w:sz="0" w:space="0" w:color="auto"/>
        <w:right w:val="none" w:sz="0" w:space="0" w:color="auto"/>
      </w:divBdr>
    </w:div>
    <w:div w:id="1866358184">
      <w:bodyDiv w:val="1"/>
      <w:marLeft w:val="0"/>
      <w:marRight w:val="0"/>
      <w:marTop w:val="0"/>
      <w:marBottom w:val="0"/>
      <w:divBdr>
        <w:top w:val="none" w:sz="0" w:space="0" w:color="auto"/>
        <w:left w:val="none" w:sz="0" w:space="0" w:color="auto"/>
        <w:bottom w:val="none" w:sz="0" w:space="0" w:color="auto"/>
        <w:right w:val="none" w:sz="0" w:space="0" w:color="auto"/>
      </w:divBdr>
    </w:div>
    <w:div w:id="1866672814">
      <w:bodyDiv w:val="1"/>
      <w:marLeft w:val="0"/>
      <w:marRight w:val="0"/>
      <w:marTop w:val="0"/>
      <w:marBottom w:val="0"/>
      <w:divBdr>
        <w:top w:val="none" w:sz="0" w:space="0" w:color="auto"/>
        <w:left w:val="none" w:sz="0" w:space="0" w:color="auto"/>
        <w:bottom w:val="none" w:sz="0" w:space="0" w:color="auto"/>
        <w:right w:val="none" w:sz="0" w:space="0" w:color="auto"/>
      </w:divBdr>
    </w:div>
    <w:div w:id="1867136021">
      <w:bodyDiv w:val="1"/>
      <w:marLeft w:val="0"/>
      <w:marRight w:val="0"/>
      <w:marTop w:val="0"/>
      <w:marBottom w:val="0"/>
      <w:divBdr>
        <w:top w:val="none" w:sz="0" w:space="0" w:color="auto"/>
        <w:left w:val="none" w:sz="0" w:space="0" w:color="auto"/>
        <w:bottom w:val="none" w:sz="0" w:space="0" w:color="auto"/>
        <w:right w:val="none" w:sz="0" w:space="0" w:color="auto"/>
      </w:divBdr>
    </w:div>
    <w:div w:id="1867208267">
      <w:bodyDiv w:val="1"/>
      <w:marLeft w:val="0"/>
      <w:marRight w:val="0"/>
      <w:marTop w:val="0"/>
      <w:marBottom w:val="0"/>
      <w:divBdr>
        <w:top w:val="none" w:sz="0" w:space="0" w:color="auto"/>
        <w:left w:val="none" w:sz="0" w:space="0" w:color="auto"/>
        <w:bottom w:val="none" w:sz="0" w:space="0" w:color="auto"/>
        <w:right w:val="none" w:sz="0" w:space="0" w:color="auto"/>
      </w:divBdr>
    </w:div>
    <w:div w:id="1867600421">
      <w:bodyDiv w:val="1"/>
      <w:marLeft w:val="0"/>
      <w:marRight w:val="0"/>
      <w:marTop w:val="0"/>
      <w:marBottom w:val="0"/>
      <w:divBdr>
        <w:top w:val="none" w:sz="0" w:space="0" w:color="auto"/>
        <w:left w:val="none" w:sz="0" w:space="0" w:color="auto"/>
        <w:bottom w:val="none" w:sz="0" w:space="0" w:color="auto"/>
        <w:right w:val="none" w:sz="0" w:space="0" w:color="auto"/>
      </w:divBdr>
    </w:div>
    <w:div w:id="1867786258">
      <w:bodyDiv w:val="1"/>
      <w:marLeft w:val="0"/>
      <w:marRight w:val="0"/>
      <w:marTop w:val="0"/>
      <w:marBottom w:val="0"/>
      <w:divBdr>
        <w:top w:val="none" w:sz="0" w:space="0" w:color="auto"/>
        <w:left w:val="none" w:sz="0" w:space="0" w:color="auto"/>
        <w:bottom w:val="none" w:sz="0" w:space="0" w:color="auto"/>
        <w:right w:val="none" w:sz="0" w:space="0" w:color="auto"/>
      </w:divBdr>
    </w:div>
    <w:div w:id="1868712691">
      <w:bodyDiv w:val="1"/>
      <w:marLeft w:val="0"/>
      <w:marRight w:val="0"/>
      <w:marTop w:val="0"/>
      <w:marBottom w:val="0"/>
      <w:divBdr>
        <w:top w:val="none" w:sz="0" w:space="0" w:color="auto"/>
        <w:left w:val="none" w:sz="0" w:space="0" w:color="auto"/>
        <w:bottom w:val="none" w:sz="0" w:space="0" w:color="auto"/>
        <w:right w:val="none" w:sz="0" w:space="0" w:color="auto"/>
      </w:divBdr>
    </w:div>
    <w:div w:id="1869247694">
      <w:bodyDiv w:val="1"/>
      <w:marLeft w:val="0"/>
      <w:marRight w:val="0"/>
      <w:marTop w:val="0"/>
      <w:marBottom w:val="0"/>
      <w:divBdr>
        <w:top w:val="none" w:sz="0" w:space="0" w:color="auto"/>
        <w:left w:val="none" w:sz="0" w:space="0" w:color="auto"/>
        <w:bottom w:val="none" w:sz="0" w:space="0" w:color="auto"/>
        <w:right w:val="none" w:sz="0" w:space="0" w:color="auto"/>
      </w:divBdr>
    </w:div>
    <w:div w:id="1869636210">
      <w:bodyDiv w:val="1"/>
      <w:marLeft w:val="0"/>
      <w:marRight w:val="0"/>
      <w:marTop w:val="0"/>
      <w:marBottom w:val="0"/>
      <w:divBdr>
        <w:top w:val="none" w:sz="0" w:space="0" w:color="auto"/>
        <w:left w:val="none" w:sz="0" w:space="0" w:color="auto"/>
        <w:bottom w:val="none" w:sz="0" w:space="0" w:color="auto"/>
        <w:right w:val="none" w:sz="0" w:space="0" w:color="auto"/>
      </w:divBdr>
    </w:div>
    <w:div w:id="1869638062">
      <w:bodyDiv w:val="1"/>
      <w:marLeft w:val="0"/>
      <w:marRight w:val="0"/>
      <w:marTop w:val="0"/>
      <w:marBottom w:val="0"/>
      <w:divBdr>
        <w:top w:val="none" w:sz="0" w:space="0" w:color="auto"/>
        <w:left w:val="none" w:sz="0" w:space="0" w:color="auto"/>
        <w:bottom w:val="none" w:sz="0" w:space="0" w:color="auto"/>
        <w:right w:val="none" w:sz="0" w:space="0" w:color="auto"/>
      </w:divBdr>
    </w:div>
    <w:div w:id="1869681263">
      <w:bodyDiv w:val="1"/>
      <w:marLeft w:val="0"/>
      <w:marRight w:val="0"/>
      <w:marTop w:val="0"/>
      <w:marBottom w:val="0"/>
      <w:divBdr>
        <w:top w:val="none" w:sz="0" w:space="0" w:color="auto"/>
        <w:left w:val="none" w:sz="0" w:space="0" w:color="auto"/>
        <w:bottom w:val="none" w:sz="0" w:space="0" w:color="auto"/>
        <w:right w:val="none" w:sz="0" w:space="0" w:color="auto"/>
      </w:divBdr>
    </w:div>
    <w:div w:id="1869833603">
      <w:bodyDiv w:val="1"/>
      <w:marLeft w:val="0"/>
      <w:marRight w:val="0"/>
      <w:marTop w:val="0"/>
      <w:marBottom w:val="0"/>
      <w:divBdr>
        <w:top w:val="none" w:sz="0" w:space="0" w:color="auto"/>
        <w:left w:val="none" w:sz="0" w:space="0" w:color="auto"/>
        <w:bottom w:val="none" w:sz="0" w:space="0" w:color="auto"/>
        <w:right w:val="none" w:sz="0" w:space="0" w:color="auto"/>
      </w:divBdr>
    </w:div>
    <w:div w:id="1870336318">
      <w:bodyDiv w:val="1"/>
      <w:marLeft w:val="0"/>
      <w:marRight w:val="0"/>
      <w:marTop w:val="0"/>
      <w:marBottom w:val="0"/>
      <w:divBdr>
        <w:top w:val="none" w:sz="0" w:space="0" w:color="auto"/>
        <w:left w:val="none" w:sz="0" w:space="0" w:color="auto"/>
        <w:bottom w:val="none" w:sz="0" w:space="0" w:color="auto"/>
        <w:right w:val="none" w:sz="0" w:space="0" w:color="auto"/>
      </w:divBdr>
    </w:div>
    <w:div w:id="1870797347">
      <w:bodyDiv w:val="1"/>
      <w:marLeft w:val="0"/>
      <w:marRight w:val="0"/>
      <w:marTop w:val="0"/>
      <w:marBottom w:val="0"/>
      <w:divBdr>
        <w:top w:val="none" w:sz="0" w:space="0" w:color="auto"/>
        <w:left w:val="none" w:sz="0" w:space="0" w:color="auto"/>
        <w:bottom w:val="none" w:sz="0" w:space="0" w:color="auto"/>
        <w:right w:val="none" w:sz="0" w:space="0" w:color="auto"/>
      </w:divBdr>
    </w:div>
    <w:div w:id="1871140103">
      <w:bodyDiv w:val="1"/>
      <w:marLeft w:val="0"/>
      <w:marRight w:val="0"/>
      <w:marTop w:val="0"/>
      <w:marBottom w:val="0"/>
      <w:divBdr>
        <w:top w:val="none" w:sz="0" w:space="0" w:color="auto"/>
        <w:left w:val="none" w:sz="0" w:space="0" w:color="auto"/>
        <w:bottom w:val="none" w:sz="0" w:space="0" w:color="auto"/>
        <w:right w:val="none" w:sz="0" w:space="0" w:color="auto"/>
      </w:divBdr>
    </w:div>
    <w:div w:id="1871188662">
      <w:bodyDiv w:val="1"/>
      <w:marLeft w:val="0"/>
      <w:marRight w:val="0"/>
      <w:marTop w:val="0"/>
      <w:marBottom w:val="0"/>
      <w:divBdr>
        <w:top w:val="none" w:sz="0" w:space="0" w:color="auto"/>
        <w:left w:val="none" w:sz="0" w:space="0" w:color="auto"/>
        <w:bottom w:val="none" w:sz="0" w:space="0" w:color="auto"/>
        <w:right w:val="none" w:sz="0" w:space="0" w:color="auto"/>
      </w:divBdr>
    </w:div>
    <w:div w:id="1871256983">
      <w:bodyDiv w:val="1"/>
      <w:marLeft w:val="0"/>
      <w:marRight w:val="0"/>
      <w:marTop w:val="0"/>
      <w:marBottom w:val="0"/>
      <w:divBdr>
        <w:top w:val="none" w:sz="0" w:space="0" w:color="auto"/>
        <w:left w:val="none" w:sz="0" w:space="0" w:color="auto"/>
        <w:bottom w:val="none" w:sz="0" w:space="0" w:color="auto"/>
        <w:right w:val="none" w:sz="0" w:space="0" w:color="auto"/>
      </w:divBdr>
    </w:div>
    <w:div w:id="1871725650">
      <w:bodyDiv w:val="1"/>
      <w:marLeft w:val="0"/>
      <w:marRight w:val="0"/>
      <w:marTop w:val="0"/>
      <w:marBottom w:val="0"/>
      <w:divBdr>
        <w:top w:val="none" w:sz="0" w:space="0" w:color="auto"/>
        <w:left w:val="none" w:sz="0" w:space="0" w:color="auto"/>
        <w:bottom w:val="none" w:sz="0" w:space="0" w:color="auto"/>
        <w:right w:val="none" w:sz="0" w:space="0" w:color="auto"/>
      </w:divBdr>
    </w:div>
    <w:div w:id="1871840178">
      <w:bodyDiv w:val="1"/>
      <w:marLeft w:val="0"/>
      <w:marRight w:val="0"/>
      <w:marTop w:val="0"/>
      <w:marBottom w:val="0"/>
      <w:divBdr>
        <w:top w:val="none" w:sz="0" w:space="0" w:color="auto"/>
        <w:left w:val="none" w:sz="0" w:space="0" w:color="auto"/>
        <w:bottom w:val="none" w:sz="0" w:space="0" w:color="auto"/>
        <w:right w:val="none" w:sz="0" w:space="0" w:color="auto"/>
      </w:divBdr>
    </w:div>
    <w:div w:id="1872184786">
      <w:bodyDiv w:val="1"/>
      <w:marLeft w:val="0"/>
      <w:marRight w:val="0"/>
      <w:marTop w:val="0"/>
      <w:marBottom w:val="0"/>
      <w:divBdr>
        <w:top w:val="none" w:sz="0" w:space="0" w:color="auto"/>
        <w:left w:val="none" w:sz="0" w:space="0" w:color="auto"/>
        <w:bottom w:val="none" w:sz="0" w:space="0" w:color="auto"/>
        <w:right w:val="none" w:sz="0" w:space="0" w:color="auto"/>
      </w:divBdr>
    </w:div>
    <w:div w:id="1872264194">
      <w:bodyDiv w:val="1"/>
      <w:marLeft w:val="0"/>
      <w:marRight w:val="0"/>
      <w:marTop w:val="0"/>
      <w:marBottom w:val="0"/>
      <w:divBdr>
        <w:top w:val="none" w:sz="0" w:space="0" w:color="auto"/>
        <w:left w:val="none" w:sz="0" w:space="0" w:color="auto"/>
        <w:bottom w:val="none" w:sz="0" w:space="0" w:color="auto"/>
        <w:right w:val="none" w:sz="0" w:space="0" w:color="auto"/>
      </w:divBdr>
    </w:div>
    <w:div w:id="1873036384">
      <w:bodyDiv w:val="1"/>
      <w:marLeft w:val="0"/>
      <w:marRight w:val="0"/>
      <w:marTop w:val="0"/>
      <w:marBottom w:val="0"/>
      <w:divBdr>
        <w:top w:val="none" w:sz="0" w:space="0" w:color="auto"/>
        <w:left w:val="none" w:sz="0" w:space="0" w:color="auto"/>
        <w:bottom w:val="none" w:sz="0" w:space="0" w:color="auto"/>
        <w:right w:val="none" w:sz="0" w:space="0" w:color="auto"/>
      </w:divBdr>
    </w:div>
    <w:div w:id="1873616208">
      <w:bodyDiv w:val="1"/>
      <w:marLeft w:val="0"/>
      <w:marRight w:val="0"/>
      <w:marTop w:val="0"/>
      <w:marBottom w:val="0"/>
      <w:divBdr>
        <w:top w:val="none" w:sz="0" w:space="0" w:color="auto"/>
        <w:left w:val="none" w:sz="0" w:space="0" w:color="auto"/>
        <w:bottom w:val="none" w:sz="0" w:space="0" w:color="auto"/>
        <w:right w:val="none" w:sz="0" w:space="0" w:color="auto"/>
      </w:divBdr>
    </w:div>
    <w:div w:id="1874028933">
      <w:bodyDiv w:val="1"/>
      <w:marLeft w:val="0"/>
      <w:marRight w:val="0"/>
      <w:marTop w:val="0"/>
      <w:marBottom w:val="0"/>
      <w:divBdr>
        <w:top w:val="none" w:sz="0" w:space="0" w:color="auto"/>
        <w:left w:val="none" w:sz="0" w:space="0" w:color="auto"/>
        <w:bottom w:val="none" w:sz="0" w:space="0" w:color="auto"/>
        <w:right w:val="none" w:sz="0" w:space="0" w:color="auto"/>
      </w:divBdr>
    </w:div>
    <w:div w:id="1874030605">
      <w:bodyDiv w:val="1"/>
      <w:marLeft w:val="0"/>
      <w:marRight w:val="0"/>
      <w:marTop w:val="0"/>
      <w:marBottom w:val="0"/>
      <w:divBdr>
        <w:top w:val="none" w:sz="0" w:space="0" w:color="auto"/>
        <w:left w:val="none" w:sz="0" w:space="0" w:color="auto"/>
        <w:bottom w:val="none" w:sz="0" w:space="0" w:color="auto"/>
        <w:right w:val="none" w:sz="0" w:space="0" w:color="auto"/>
      </w:divBdr>
    </w:div>
    <w:div w:id="1874490302">
      <w:bodyDiv w:val="1"/>
      <w:marLeft w:val="0"/>
      <w:marRight w:val="0"/>
      <w:marTop w:val="0"/>
      <w:marBottom w:val="0"/>
      <w:divBdr>
        <w:top w:val="none" w:sz="0" w:space="0" w:color="auto"/>
        <w:left w:val="none" w:sz="0" w:space="0" w:color="auto"/>
        <w:bottom w:val="none" w:sz="0" w:space="0" w:color="auto"/>
        <w:right w:val="none" w:sz="0" w:space="0" w:color="auto"/>
      </w:divBdr>
    </w:div>
    <w:div w:id="1874541207">
      <w:bodyDiv w:val="1"/>
      <w:marLeft w:val="0"/>
      <w:marRight w:val="0"/>
      <w:marTop w:val="0"/>
      <w:marBottom w:val="0"/>
      <w:divBdr>
        <w:top w:val="none" w:sz="0" w:space="0" w:color="auto"/>
        <w:left w:val="none" w:sz="0" w:space="0" w:color="auto"/>
        <w:bottom w:val="none" w:sz="0" w:space="0" w:color="auto"/>
        <w:right w:val="none" w:sz="0" w:space="0" w:color="auto"/>
      </w:divBdr>
    </w:div>
    <w:div w:id="1875189910">
      <w:bodyDiv w:val="1"/>
      <w:marLeft w:val="0"/>
      <w:marRight w:val="0"/>
      <w:marTop w:val="0"/>
      <w:marBottom w:val="0"/>
      <w:divBdr>
        <w:top w:val="none" w:sz="0" w:space="0" w:color="auto"/>
        <w:left w:val="none" w:sz="0" w:space="0" w:color="auto"/>
        <w:bottom w:val="none" w:sz="0" w:space="0" w:color="auto"/>
        <w:right w:val="none" w:sz="0" w:space="0" w:color="auto"/>
      </w:divBdr>
    </w:div>
    <w:div w:id="1875344256">
      <w:bodyDiv w:val="1"/>
      <w:marLeft w:val="0"/>
      <w:marRight w:val="0"/>
      <w:marTop w:val="0"/>
      <w:marBottom w:val="0"/>
      <w:divBdr>
        <w:top w:val="none" w:sz="0" w:space="0" w:color="auto"/>
        <w:left w:val="none" w:sz="0" w:space="0" w:color="auto"/>
        <w:bottom w:val="none" w:sz="0" w:space="0" w:color="auto"/>
        <w:right w:val="none" w:sz="0" w:space="0" w:color="auto"/>
      </w:divBdr>
    </w:div>
    <w:div w:id="1876038012">
      <w:bodyDiv w:val="1"/>
      <w:marLeft w:val="0"/>
      <w:marRight w:val="0"/>
      <w:marTop w:val="0"/>
      <w:marBottom w:val="0"/>
      <w:divBdr>
        <w:top w:val="none" w:sz="0" w:space="0" w:color="auto"/>
        <w:left w:val="none" w:sz="0" w:space="0" w:color="auto"/>
        <w:bottom w:val="none" w:sz="0" w:space="0" w:color="auto"/>
        <w:right w:val="none" w:sz="0" w:space="0" w:color="auto"/>
      </w:divBdr>
    </w:div>
    <w:div w:id="1876117476">
      <w:bodyDiv w:val="1"/>
      <w:marLeft w:val="0"/>
      <w:marRight w:val="0"/>
      <w:marTop w:val="0"/>
      <w:marBottom w:val="0"/>
      <w:divBdr>
        <w:top w:val="none" w:sz="0" w:space="0" w:color="auto"/>
        <w:left w:val="none" w:sz="0" w:space="0" w:color="auto"/>
        <w:bottom w:val="none" w:sz="0" w:space="0" w:color="auto"/>
        <w:right w:val="none" w:sz="0" w:space="0" w:color="auto"/>
      </w:divBdr>
    </w:div>
    <w:div w:id="1876500745">
      <w:bodyDiv w:val="1"/>
      <w:marLeft w:val="0"/>
      <w:marRight w:val="0"/>
      <w:marTop w:val="0"/>
      <w:marBottom w:val="0"/>
      <w:divBdr>
        <w:top w:val="none" w:sz="0" w:space="0" w:color="auto"/>
        <w:left w:val="none" w:sz="0" w:space="0" w:color="auto"/>
        <w:bottom w:val="none" w:sz="0" w:space="0" w:color="auto"/>
        <w:right w:val="none" w:sz="0" w:space="0" w:color="auto"/>
      </w:divBdr>
    </w:div>
    <w:div w:id="1876650735">
      <w:bodyDiv w:val="1"/>
      <w:marLeft w:val="0"/>
      <w:marRight w:val="0"/>
      <w:marTop w:val="0"/>
      <w:marBottom w:val="0"/>
      <w:divBdr>
        <w:top w:val="none" w:sz="0" w:space="0" w:color="auto"/>
        <w:left w:val="none" w:sz="0" w:space="0" w:color="auto"/>
        <w:bottom w:val="none" w:sz="0" w:space="0" w:color="auto"/>
        <w:right w:val="none" w:sz="0" w:space="0" w:color="auto"/>
      </w:divBdr>
    </w:div>
    <w:div w:id="1876654889">
      <w:bodyDiv w:val="1"/>
      <w:marLeft w:val="0"/>
      <w:marRight w:val="0"/>
      <w:marTop w:val="0"/>
      <w:marBottom w:val="0"/>
      <w:divBdr>
        <w:top w:val="none" w:sz="0" w:space="0" w:color="auto"/>
        <w:left w:val="none" w:sz="0" w:space="0" w:color="auto"/>
        <w:bottom w:val="none" w:sz="0" w:space="0" w:color="auto"/>
        <w:right w:val="none" w:sz="0" w:space="0" w:color="auto"/>
      </w:divBdr>
    </w:div>
    <w:div w:id="1876699578">
      <w:bodyDiv w:val="1"/>
      <w:marLeft w:val="0"/>
      <w:marRight w:val="0"/>
      <w:marTop w:val="0"/>
      <w:marBottom w:val="0"/>
      <w:divBdr>
        <w:top w:val="none" w:sz="0" w:space="0" w:color="auto"/>
        <w:left w:val="none" w:sz="0" w:space="0" w:color="auto"/>
        <w:bottom w:val="none" w:sz="0" w:space="0" w:color="auto"/>
        <w:right w:val="none" w:sz="0" w:space="0" w:color="auto"/>
      </w:divBdr>
    </w:div>
    <w:div w:id="1876886898">
      <w:bodyDiv w:val="1"/>
      <w:marLeft w:val="0"/>
      <w:marRight w:val="0"/>
      <w:marTop w:val="0"/>
      <w:marBottom w:val="0"/>
      <w:divBdr>
        <w:top w:val="none" w:sz="0" w:space="0" w:color="auto"/>
        <w:left w:val="none" w:sz="0" w:space="0" w:color="auto"/>
        <w:bottom w:val="none" w:sz="0" w:space="0" w:color="auto"/>
        <w:right w:val="none" w:sz="0" w:space="0" w:color="auto"/>
      </w:divBdr>
    </w:div>
    <w:div w:id="1877544740">
      <w:bodyDiv w:val="1"/>
      <w:marLeft w:val="0"/>
      <w:marRight w:val="0"/>
      <w:marTop w:val="0"/>
      <w:marBottom w:val="0"/>
      <w:divBdr>
        <w:top w:val="none" w:sz="0" w:space="0" w:color="auto"/>
        <w:left w:val="none" w:sz="0" w:space="0" w:color="auto"/>
        <w:bottom w:val="none" w:sz="0" w:space="0" w:color="auto"/>
        <w:right w:val="none" w:sz="0" w:space="0" w:color="auto"/>
      </w:divBdr>
    </w:div>
    <w:div w:id="1878662489">
      <w:bodyDiv w:val="1"/>
      <w:marLeft w:val="0"/>
      <w:marRight w:val="0"/>
      <w:marTop w:val="0"/>
      <w:marBottom w:val="0"/>
      <w:divBdr>
        <w:top w:val="none" w:sz="0" w:space="0" w:color="auto"/>
        <w:left w:val="none" w:sz="0" w:space="0" w:color="auto"/>
        <w:bottom w:val="none" w:sz="0" w:space="0" w:color="auto"/>
        <w:right w:val="none" w:sz="0" w:space="0" w:color="auto"/>
      </w:divBdr>
    </w:div>
    <w:div w:id="1878931153">
      <w:bodyDiv w:val="1"/>
      <w:marLeft w:val="0"/>
      <w:marRight w:val="0"/>
      <w:marTop w:val="0"/>
      <w:marBottom w:val="0"/>
      <w:divBdr>
        <w:top w:val="none" w:sz="0" w:space="0" w:color="auto"/>
        <w:left w:val="none" w:sz="0" w:space="0" w:color="auto"/>
        <w:bottom w:val="none" w:sz="0" w:space="0" w:color="auto"/>
        <w:right w:val="none" w:sz="0" w:space="0" w:color="auto"/>
      </w:divBdr>
    </w:div>
    <w:div w:id="1881046506">
      <w:bodyDiv w:val="1"/>
      <w:marLeft w:val="0"/>
      <w:marRight w:val="0"/>
      <w:marTop w:val="0"/>
      <w:marBottom w:val="0"/>
      <w:divBdr>
        <w:top w:val="none" w:sz="0" w:space="0" w:color="auto"/>
        <w:left w:val="none" w:sz="0" w:space="0" w:color="auto"/>
        <w:bottom w:val="none" w:sz="0" w:space="0" w:color="auto"/>
        <w:right w:val="none" w:sz="0" w:space="0" w:color="auto"/>
      </w:divBdr>
    </w:div>
    <w:div w:id="1881236952">
      <w:bodyDiv w:val="1"/>
      <w:marLeft w:val="0"/>
      <w:marRight w:val="0"/>
      <w:marTop w:val="0"/>
      <w:marBottom w:val="0"/>
      <w:divBdr>
        <w:top w:val="none" w:sz="0" w:space="0" w:color="auto"/>
        <w:left w:val="none" w:sz="0" w:space="0" w:color="auto"/>
        <w:bottom w:val="none" w:sz="0" w:space="0" w:color="auto"/>
        <w:right w:val="none" w:sz="0" w:space="0" w:color="auto"/>
      </w:divBdr>
    </w:div>
    <w:div w:id="1881672382">
      <w:bodyDiv w:val="1"/>
      <w:marLeft w:val="0"/>
      <w:marRight w:val="0"/>
      <w:marTop w:val="0"/>
      <w:marBottom w:val="0"/>
      <w:divBdr>
        <w:top w:val="none" w:sz="0" w:space="0" w:color="auto"/>
        <w:left w:val="none" w:sz="0" w:space="0" w:color="auto"/>
        <w:bottom w:val="none" w:sz="0" w:space="0" w:color="auto"/>
        <w:right w:val="none" w:sz="0" w:space="0" w:color="auto"/>
      </w:divBdr>
    </w:div>
    <w:div w:id="1881897690">
      <w:bodyDiv w:val="1"/>
      <w:marLeft w:val="0"/>
      <w:marRight w:val="0"/>
      <w:marTop w:val="0"/>
      <w:marBottom w:val="0"/>
      <w:divBdr>
        <w:top w:val="none" w:sz="0" w:space="0" w:color="auto"/>
        <w:left w:val="none" w:sz="0" w:space="0" w:color="auto"/>
        <w:bottom w:val="none" w:sz="0" w:space="0" w:color="auto"/>
        <w:right w:val="none" w:sz="0" w:space="0" w:color="auto"/>
      </w:divBdr>
    </w:div>
    <w:div w:id="1883328486">
      <w:bodyDiv w:val="1"/>
      <w:marLeft w:val="0"/>
      <w:marRight w:val="0"/>
      <w:marTop w:val="0"/>
      <w:marBottom w:val="0"/>
      <w:divBdr>
        <w:top w:val="none" w:sz="0" w:space="0" w:color="auto"/>
        <w:left w:val="none" w:sz="0" w:space="0" w:color="auto"/>
        <w:bottom w:val="none" w:sz="0" w:space="0" w:color="auto"/>
        <w:right w:val="none" w:sz="0" w:space="0" w:color="auto"/>
      </w:divBdr>
    </w:div>
    <w:div w:id="1883589990">
      <w:bodyDiv w:val="1"/>
      <w:marLeft w:val="0"/>
      <w:marRight w:val="0"/>
      <w:marTop w:val="0"/>
      <w:marBottom w:val="0"/>
      <w:divBdr>
        <w:top w:val="none" w:sz="0" w:space="0" w:color="auto"/>
        <w:left w:val="none" w:sz="0" w:space="0" w:color="auto"/>
        <w:bottom w:val="none" w:sz="0" w:space="0" w:color="auto"/>
        <w:right w:val="none" w:sz="0" w:space="0" w:color="auto"/>
      </w:divBdr>
    </w:div>
    <w:div w:id="1883710586">
      <w:bodyDiv w:val="1"/>
      <w:marLeft w:val="0"/>
      <w:marRight w:val="0"/>
      <w:marTop w:val="0"/>
      <w:marBottom w:val="0"/>
      <w:divBdr>
        <w:top w:val="none" w:sz="0" w:space="0" w:color="auto"/>
        <w:left w:val="none" w:sz="0" w:space="0" w:color="auto"/>
        <w:bottom w:val="none" w:sz="0" w:space="0" w:color="auto"/>
        <w:right w:val="none" w:sz="0" w:space="0" w:color="auto"/>
      </w:divBdr>
    </w:div>
    <w:div w:id="1883978685">
      <w:bodyDiv w:val="1"/>
      <w:marLeft w:val="0"/>
      <w:marRight w:val="0"/>
      <w:marTop w:val="0"/>
      <w:marBottom w:val="0"/>
      <w:divBdr>
        <w:top w:val="none" w:sz="0" w:space="0" w:color="auto"/>
        <w:left w:val="none" w:sz="0" w:space="0" w:color="auto"/>
        <w:bottom w:val="none" w:sz="0" w:space="0" w:color="auto"/>
        <w:right w:val="none" w:sz="0" w:space="0" w:color="auto"/>
      </w:divBdr>
    </w:div>
    <w:div w:id="1884053811">
      <w:bodyDiv w:val="1"/>
      <w:marLeft w:val="0"/>
      <w:marRight w:val="0"/>
      <w:marTop w:val="0"/>
      <w:marBottom w:val="0"/>
      <w:divBdr>
        <w:top w:val="none" w:sz="0" w:space="0" w:color="auto"/>
        <w:left w:val="none" w:sz="0" w:space="0" w:color="auto"/>
        <w:bottom w:val="none" w:sz="0" w:space="0" w:color="auto"/>
        <w:right w:val="none" w:sz="0" w:space="0" w:color="auto"/>
      </w:divBdr>
    </w:div>
    <w:div w:id="1884630632">
      <w:bodyDiv w:val="1"/>
      <w:marLeft w:val="0"/>
      <w:marRight w:val="0"/>
      <w:marTop w:val="0"/>
      <w:marBottom w:val="0"/>
      <w:divBdr>
        <w:top w:val="none" w:sz="0" w:space="0" w:color="auto"/>
        <w:left w:val="none" w:sz="0" w:space="0" w:color="auto"/>
        <w:bottom w:val="none" w:sz="0" w:space="0" w:color="auto"/>
        <w:right w:val="none" w:sz="0" w:space="0" w:color="auto"/>
      </w:divBdr>
    </w:div>
    <w:div w:id="1885166960">
      <w:bodyDiv w:val="1"/>
      <w:marLeft w:val="0"/>
      <w:marRight w:val="0"/>
      <w:marTop w:val="0"/>
      <w:marBottom w:val="0"/>
      <w:divBdr>
        <w:top w:val="none" w:sz="0" w:space="0" w:color="auto"/>
        <w:left w:val="none" w:sz="0" w:space="0" w:color="auto"/>
        <w:bottom w:val="none" w:sz="0" w:space="0" w:color="auto"/>
        <w:right w:val="none" w:sz="0" w:space="0" w:color="auto"/>
      </w:divBdr>
    </w:div>
    <w:div w:id="1885363689">
      <w:bodyDiv w:val="1"/>
      <w:marLeft w:val="0"/>
      <w:marRight w:val="0"/>
      <w:marTop w:val="0"/>
      <w:marBottom w:val="0"/>
      <w:divBdr>
        <w:top w:val="none" w:sz="0" w:space="0" w:color="auto"/>
        <w:left w:val="none" w:sz="0" w:space="0" w:color="auto"/>
        <w:bottom w:val="none" w:sz="0" w:space="0" w:color="auto"/>
        <w:right w:val="none" w:sz="0" w:space="0" w:color="auto"/>
      </w:divBdr>
    </w:div>
    <w:div w:id="1885631945">
      <w:bodyDiv w:val="1"/>
      <w:marLeft w:val="0"/>
      <w:marRight w:val="0"/>
      <w:marTop w:val="0"/>
      <w:marBottom w:val="0"/>
      <w:divBdr>
        <w:top w:val="none" w:sz="0" w:space="0" w:color="auto"/>
        <w:left w:val="none" w:sz="0" w:space="0" w:color="auto"/>
        <w:bottom w:val="none" w:sz="0" w:space="0" w:color="auto"/>
        <w:right w:val="none" w:sz="0" w:space="0" w:color="auto"/>
      </w:divBdr>
    </w:div>
    <w:div w:id="1886523981">
      <w:bodyDiv w:val="1"/>
      <w:marLeft w:val="0"/>
      <w:marRight w:val="0"/>
      <w:marTop w:val="0"/>
      <w:marBottom w:val="0"/>
      <w:divBdr>
        <w:top w:val="none" w:sz="0" w:space="0" w:color="auto"/>
        <w:left w:val="none" w:sz="0" w:space="0" w:color="auto"/>
        <w:bottom w:val="none" w:sz="0" w:space="0" w:color="auto"/>
        <w:right w:val="none" w:sz="0" w:space="0" w:color="auto"/>
      </w:divBdr>
    </w:div>
    <w:div w:id="1886677195">
      <w:bodyDiv w:val="1"/>
      <w:marLeft w:val="0"/>
      <w:marRight w:val="0"/>
      <w:marTop w:val="0"/>
      <w:marBottom w:val="0"/>
      <w:divBdr>
        <w:top w:val="none" w:sz="0" w:space="0" w:color="auto"/>
        <w:left w:val="none" w:sz="0" w:space="0" w:color="auto"/>
        <w:bottom w:val="none" w:sz="0" w:space="0" w:color="auto"/>
        <w:right w:val="none" w:sz="0" w:space="0" w:color="auto"/>
      </w:divBdr>
    </w:div>
    <w:div w:id="1886678467">
      <w:bodyDiv w:val="1"/>
      <w:marLeft w:val="0"/>
      <w:marRight w:val="0"/>
      <w:marTop w:val="0"/>
      <w:marBottom w:val="0"/>
      <w:divBdr>
        <w:top w:val="none" w:sz="0" w:space="0" w:color="auto"/>
        <w:left w:val="none" w:sz="0" w:space="0" w:color="auto"/>
        <w:bottom w:val="none" w:sz="0" w:space="0" w:color="auto"/>
        <w:right w:val="none" w:sz="0" w:space="0" w:color="auto"/>
      </w:divBdr>
    </w:div>
    <w:div w:id="1887256512">
      <w:bodyDiv w:val="1"/>
      <w:marLeft w:val="0"/>
      <w:marRight w:val="0"/>
      <w:marTop w:val="0"/>
      <w:marBottom w:val="0"/>
      <w:divBdr>
        <w:top w:val="none" w:sz="0" w:space="0" w:color="auto"/>
        <w:left w:val="none" w:sz="0" w:space="0" w:color="auto"/>
        <w:bottom w:val="none" w:sz="0" w:space="0" w:color="auto"/>
        <w:right w:val="none" w:sz="0" w:space="0" w:color="auto"/>
      </w:divBdr>
    </w:div>
    <w:div w:id="1887720868">
      <w:bodyDiv w:val="1"/>
      <w:marLeft w:val="0"/>
      <w:marRight w:val="0"/>
      <w:marTop w:val="0"/>
      <w:marBottom w:val="0"/>
      <w:divBdr>
        <w:top w:val="none" w:sz="0" w:space="0" w:color="auto"/>
        <w:left w:val="none" w:sz="0" w:space="0" w:color="auto"/>
        <w:bottom w:val="none" w:sz="0" w:space="0" w:color="auto"/>
        <w:right w:val="none" w:sz="0" w:space="0" w:color="auto"/>
      </w:divBdr>
    </w:div>
    <w:div w:id="1887722119">
      <w:bodyDiv w:val="1"/>
      <w:marLeft w:val="0"/>
      <w:marRight w:val="0"/>
      <w:marTop w:val="0"/>
      <w:marBottom w:val="0"/>
      <w:divBdr>
        <w:top w:val="none" w:sz="0" w:space="0" w:color="auto"/>
        <w:left w:val="none" w:sz="0" w:space="0" w:color="auto"/>
        <w:bottom w:val="none" w:sz="0" w:space="0" w:color="auto"/>
        <w:right w:val="none" w:sz="0" w:space="0" w:color="auto"/>
      </w:divBdr>
    </w:div>
    <w:div w:id="1888297029">
      <w:bodyDiv w:val="1"/>
      <w:marLeft w:val="0"/>
      <w:marRight w:val="0"/>
      <w:marTop w:val="0"/>
      <w:marBottom w:val="0"/>
      <w:divBdr>
        <w:top w:val="none" w:sz="0" w:space="0" w:color="auto"/>
        <w:left w:val="none" w:sz="0" w:space="0" w:color="auto"/>
        <w:bottom w:val="none" w:sz="0" w:space="0" w:color="auto"/>
        <w:right w:val="none" w:sz="0" w:space="0" w:color="auto"/>
      </w:divBdr>
    </w:div>
    <w:div w:id="1888638605">
      <w:bodyDiv w:val="1"/>
      <w:marLeft w:val="0"/>
      <w:marRight w:val="0"/>
      <w:marTop w:val="0"/>
      <w:marBottom w:val="0"/>
      <w:divBdr>
        <w:top w:val="none" w:sz="0" w:space="0" w:color="auto"/>
        <w:left w:val="none" w:sz="0" w:space="0" w:color="auto"/>
        <w:bottom w:val="none" w:sz="0" w:space="0" w:color="auto"/>
        <w:right w:val="none" w:sz="0" w:space="0" w:color="auto"/>
      </w:divBdr>
    </w:div>
    <w:div w:id="1888835392">
      <w:bodyDiv w:val="1"/>
      <w:marLeft w:val="0"/>
      <w:marRight w:val="0"/>
      <w:marTop w:val="0"/>
      <w:marBottom w:val="0"/>
      <w:divBdr>
        <w:top w:val="none" w:sz="0" w:space="0" w:color="auto"/>
        <w:left w:val="none" w:sz="0" w:space="0" w:color="auto"/>
        <w:bottom w:val="none" w:sz="0" w:space="0" w:color="auto"/>
        <w:right w:val="none" w:sz="0" w:space="0" w:color="auto"/>
      </w:divBdr>
    </w:div>
    <w:div w:id="1889143893">
      <w:bodyDiv w:val="1"/>
      <w:marLeft w:val="0"/>
      <w:marRight w:val="0"/>
      <w:marTop w:val="0"/>
      <w:marBottom w:val="0"/>
      <w:divBdr>
        <w:top w:val="none" w:sz="0" w:space="0" w:color="auto"/>
        <w:left w:val="none" w:sz="0" w:space="0" w:color="auto"/>
        <w:bottom w:val="none" w:sz="0" w:space="0" w:color="auto"/>
        <w:right w:val="none" w:sz="0" w:space="0" w:color="auto"/>
      </w:divBdr>
    </w:div>
    <w:div w:id="1889367516">
      <w:bodyDiv w:val="1"/>
      <w:marLeft w:val="0"/>
      <w:marRight w:val="0"/>
      <w:marTop w:val="0"/>
      <w:marBottom w:val="0"/>
      <w:divBdr>
        <w:top w:val="none" w:sz="0" w:space="0" w:color="auto"/>
        <w:left w:val="none" w:sz="0" w:space="0" w:color="auto"/>
        <w:bottom w:val="none" w:sz="0" w:space="0" w:color="auto"/>
        <w:right w:val="none" w:sz="0" w:space="0" w:color="auto"/>
      </w:divBdr>
    </w:div>
    <w:div w:id="1889534482">
      <w:bodyDiv w:val="1"/>
      <w:marLeft w:val="0"/>
      <w:marRight w:val="0"/>
      <w:marTop w:val="0"/>
      <w:marBottom w:val="0"/>
      <w:divBdr>
        <w:top w:val="none" w:sz="0" w:space="0" w:color="auto"/>
        <w:left w:val="none" w:sz="0" w:space="0" w:color="auto"/>
        <w:bottom w:val="none" w:sz="0" w:space="0" w:color="auto"/>
        <w:right w:val="none" w:sz="0" w:space="0" w:color="auto"/>
      </w:divBdr>
    </w:div>
    <w:div w:id="1889953324">
      <w:bodyDiv w:val="1"/>
      <w:marLeft w:val="0"/>
      <w:marRight w:val="0"/>
      <w:marTop w:val="0"/>
      <w:marBottom w:val="0"/>
      <w:divBdr>
        <w:top w:val="none" w:sz="0" w:space="0" w:color="auto"/>
        <w:left w:val="none" w:sz="0" w:space="0" w:color="auto"/>
        <w:bottom w:val="none" w:sz="0" w:space="0" w:color="auto"/>
        <w:right w:val="none" w:sz="0" w:space="0" w:color="auto"/>
      </w:divBdr>
    </w:div>
    <w:div w:id="1890259302">
      <w:bodyDiv w:val="1"/>
      <w:marLeft w:val="0"/>
      <w:marRight w:val="0"/>
      <w:marTop w:val="0"/>
      <w:marBottom w:val="0"/>
      <w:divBdr>
        <w:top w:val="none" w:sz="0" w:space="0" w:color="auto"/>
        <w:left w:val="none" w:sz="0" w:space="0" w:color="auto"/>
        <w:bottom w:val="none" w:sz="0" w:space="0" w:color="auto"/>
        <w:right w:val="none" w:sz="0" w:space="0" w:color="auto"/>
      </w:divBdr>
    </w:div>
    <w:div w:id="1890720452">
      <w:bodyDiv w:val="1"/>
      <w:marLeft w:val="0"/>
      <w:marRight w:val="0"/>
      <w:marTop w:val="0"/>
      <w:marBottom w:val="0"/>
      <w:divBdr>
        <w:top w:val="none" w:sz="0" w:space="0" w:color="auto"/>
        <w:left w:val="none" w:sz="0" w:space="0" w:color="auto"/>
        <w:bottom w:val="none" w:sz="0" w:space="0" w:color="auto"/>
        <w:right w:val="none" w:sz="0" w:space="0" w:color="auto"/>
      </w:divBdr>
    </w:div>
    <w:div w:id="1890724334">
      <w:bodyDiv w:val="1"/>
      <w:marLeft w:val="0"/>
      <w:marRight w:val="0"/>
      <w:marTop w:val="0"/>
      <w:marBottom w:val="0"/>
      <w:divBdr>
        <w:top w:val="none" w:sz="0" w:space="0" w:color="auto"/>
        <w:left w:val="none" w:sz="0" w:space="0" w:color="auto"/>
        <w:bottom w:val="none" w:sz="0" w:space="0" w:color="auto"/>
        <w:right w:val="none" w:sz="0" w:space="0" w:color="auto"/>
      </w:divBdr>
    </w:div>
    <w:div w:id="1890798018">
      <w:bodyDiv w:val="1"/>
      <w:marLeft w:val="0"/>
      <w:marRight w:val="0"/>
      <w:marTop w:val="0"/>
      <w:marBottom w:val="0"/>
      <w:divBdr>
        <w:top w:val="none" w:sz="0" w:space="0" w:color="auto"/>
        <w:left w:val="none" w:sz="0" w:space="0" w:color="auto"/>
        <w:bottom w:val="none" w:sz="0" w:space="0" w:color="auto"/>
        <w:right w:val="none" w:sz="0" w:space="0" w:color="auto"/>
      </w:divBdr>
    </w:div>
    <w:div w:id="1890845522">
      <w:bodyDiv w:val="1"/>
      <w:marLeft w:val="0"/>
      <w:marRight w:val="0"/>
      <w:marTop w:val="0"/>
      <w:marBottom w:val="0"/>
      <w:divBdr>
        <w:top w:val="none" w:sz="0" w:space="0" w:color="auto"/>
        <w:left w:val="none" w:sz="0" w:space="0" w:color="auto"/>
        <w:bottom w:val="none" w:sz="0" w:space="0" w:color="auto"/>
        <w:right w:val="none" w:sz="0" w:space="0" w:color="auto"/>
      </w:divBdr>
    </w:div>
    <w:div w:id="1890996652">
      <w:bodyDiv w:val="1"/>
      <w:marLeft w:val="0"/>
      <w:marRight w:val="0"/>
      <w:marTop w:val="0"/>
      <w:marBottom w:val="0"/>
      <w:divBdr>
        <w:top w:val="none" w:sz="0" w:space="0" w:color="auto"/>
        <w:left w:val="none" w:sz="0" w:space="0" w:color="auto"/>
        <w:bottom w:val="none" w:sz="0" w:space="0" w:color="auto"/>
        <w:right w:val="none" w:sz="0" w:space="0" w:color="auto"/>
      </w:divBdr>
    </w:div>
    <w:div w:id="1891188395">
      <w:bodyDiv w:val="1"/>
      <w:marLeft w:val="0"/>
      <w:marRight w:val="0"/>
      <w:marTop w:val="0"/>
      <w:marBottom w:val="0"/>
      <w:divBdr>
        <w:top w:val="none" w:sz="0" w:space="0" w:color="auto"/>
        <w:left w:val="none" w:sz="0" w:space="0" w:color="auto"/>
        <w:bottom w:val="none" w:sz="0" w:space="0" w:color="auto"/>
        <w:right w:val="none" w:sz="0" w:space="0" w:color="auto"/>
      </w:divBdr>
    </w:div>
    <w:div w:id="1892422867">
      <w:bodyDiv w:val="1"/>
      <w:marLeft w:val="0"/>
      <w:marRight w:val="0"/>
      <w:marTop w:val="0"/>
      <w:marBottom w:val="0"/>
      <w:divBdr>
        <w:top w:val="none" w:sz="0" w:space="0" w:color="auto"/>
        <w:left w:val="none" w:sz="0" w:space="0" w:color="auto"/>
        <w:bottom w:val="none" w:sz="0" w:space="0" w:color="auto"/>
        <w:right w:val="none" w:sz="0" w:space="0" w:color="auto"/>
      </w:divBdr>
    </w:div>
    <w:div w:id="1892620300">
      <w:bodyDiv w:val="1"/>
      <w:marLeft w:val="0"/>
      <w:marRight w:val="0"/>
      <w:marTop w:val="0"/>
      <w:marBottom w:val="0"/>
      <w:divBdr>
        <w:top w:val="none" w:sz="0" w:space="0" w:color="auto"/>
        <w:left w:val="none" w:sz="0" w:space="0" w:color="auto"/>
        <w:bottom w:val="none" w:sz="0" w:space="0" w:color="auto"/>
        <w:right w:val="none" w:sz="0" w:space="0" w:color="auto"/>
      </w:divBdr>
    </w:div>
    <w:div w:id="1893076906">
      <w:bodyDiv w:val="1"/>
      <w:marLeft w:val="0"/>
      <w:marRight w:val="0"/>
      <w:marTop w:val="0"/>
      <w:marBottom w:val="0"/>
      <w:divBdr>
        <w:top w:val="none" w:sz="0" w:space="0" w:color="auto"/>
        <w:left w:val="none" w:sz="0" w:space="0" w:color="auto"/>
        <w:bottom w:val="none" w:sz="0" w:space="0" w:color="auto"/>
        <w:right w:val="none" w:sz="0" w:space="0" w:color="auto"/>
      </w:divBdr>
    </w:div>
    <w:div w:id="1893886646">
      <w:bodyDiv w:val="1"/>
      <w:marLeft w:val="0"/>
      <w:marRight w:val="0"/>
      <w:marTop w:val="0"/>
      <w:marBottom w:val="0"/>
      <w:divBdr>
        <w:top w:val="none" w:sz="0" w:space="0" w:color="auto"/>
        <w:left w:val="none" w:sz="0" w:space="0" w:color="auto"/>
        <w:bottom w:val="none" w:sz="0" w:space="0" w:color="auto"/>
        <w:right w:val="none" w:sz="0" w:space="0" w:color="auto"/>
      </w:divBdr>
    </w:div>
    <w:div w:id="1893999883">
      <w:bodyDiv w:val="1"/>
      <w:marLeft w:val="0"/>
      <w:marRight w:val="0"/>
      <w:marTop w:val="0"/>
      <w:marBottom w:val="0"/>
      <w:divBdr>
        <w:top w:val="none" w:sz="0" w:space="0" w:color="auto"/>
        <w:left w:val="none" w:sz="0" w:space="0" w:color="auto"/>
        <w:bottom w:val="none" w:sz="0" w:space="0" w:color="auto"/>
        <w:right w:val="none" w:sz="0" w:space="0" w:color="auto"/>
      </w:divBdr>
    </w:div>
    <w:div w:id="1894152101">
      <w:bodyDiv w:val="1"/>
      <w:marLeft w:val="0"/>
      <w:marRight w:val="0"/>
      <w:marTop w:val="0"/>
      <w:marBottom w:val="0"/>
      <w:divBdr>
        <w:top w:val="none" w:sz="0" w:space="0" w:color="auto"/>
        <w:left w:val="none" w:sz="0" w:space="0" w:color="auto"/>
        <w:bottom w:val="none" w:sz="0" w:space="0" w:color="auto"/>
        <w:right w:val="none" w:sz="0" w:space="0" w:color="auto"/>
      </w:divBdr>
    </w:div>
    <w:div w:id="1894465966">
      <w:bodyDiv w:val="1"/>
      <w:marLeft w:val="0"/>
      <w:marRight w:val="0"/>
      <w:marTop w:val="0"/>
      <w:marBottom w:val="0"/>
      <w:divBdr>
        <w:top w:val="none" w:sz="0" w:space="0" w:color="auto"/>
        <w:left w:val="none" w:sz="0" w:space="0" w:color="auto"/>
        <w:bottom w:val="none" w:sz="0" w:space="0" w:color="auto"/>
        <w:right w:val="none" w:sz="0" w:space="0" w:color="auto"/>
      </w:divBdr>
    </w:div>
    <w:div w:id="1895192324">
      <w:bodyDiv w:val="1"/>
      <w:marLeft w:val="0"/>
      <w:marRight w:val="0"/>
      <w:marTop w:val="0"/>
      <w:marBottom w:val="0"/>
      <w:divBdr>
        <w:top w:val="none" w:sz="0" w:space="0" w:color="auto"/>
        <w:left w:val="none" w:sz="0" w:space="0" w:color="auto"/>
        <w:bottom w:val="none" w:sz="0" w:space="0" w:color="auto"/>
        <w:right w:val="none" w:sz="0" w:space="0" w:color="auto"/>
      </w:divBdr>
    </w:div>
    <w:div w:id="1895582927">
      <w:bodyDiv w:val="1"/>
      <w:marLeft w:val="0"/>
      <w:marRight w:val="0"/>
      <w:marTop w:val="0"/>
      <w:marBottom w:val="0"/>
      <w:divBdr>
        <w:top w:val="none" w:sz="0" w:space="0" w:color="auto"/>
        <w:left w:val="none" w:sz="0" w:space="0" w:color="auto"/>
        <w:bottom w:val="none" w:sz="0" w:space="0" w:color="auto"/>
        <w:right w:val="none" w:sz="0" w:space="0" w:color="auto"/>
      </w:divBdr>
    </w:div>
    <w:div w:id="1896117611">
      <w:bodyDiv w:val="1"/>
      <w:marLeft w:val="0"/>
      <w:marRight w:val="0"/>
      <w:marTop w:val="0"/>
      <w:marBottom w:val="0"/>
      <w:divBdr>
        <w:top w:val="none" w:sz="0" w:space="0" w:color="auto"/>
        <w:left w:val="none" w:sz="0" w:space="0" w:color="auto"/>
        <w:bottom w:val="none" w:sz="0" w:space="0" w:color="auto"/>
        <w:right w:val="none" w:sz="0" w:space="0" w:color="auto"/>
      </w:divBdr>
    </w:div>
    <w:div w:id="1896307461">
      <w:bodyDiv w:val="1"/>
      <w:marLeft w:val="0"/>
      <w:marRight w:val="0"/>
      <w:marTop w:val="0"/>
      <w:marBottom w:val="0"/>
      <w:divBdr>
        <w:top w:val="none" w:sz="0" w:space="0" w:color="auto"/>
        <w:left w:val="none" w:sz="0" w:space="0" w:color="auto"/>
        <w:bottom w:val="none" w:sz="0" w:space="0" w:color="auto"/>
        <w:right w:val="none" w:sz="0" w:space="0" w:color="auto"/>
      </w:divBdr>
    </w:div>
    <w:div w:id="1896503698">
      <w:bodyDiv w:val="1"/>
      <w:marLeft w:val="0"/>
      <w:marRight w:val="0"/>
      <w:marTop w:val="0"/>
      <w:marBottom w:val="0"/>
      <w:divBdr>
        <w:top w:val="none" w:sz="0" w:space="0" w:color="auto"/>
        <w:left w:val="none" w:sz="0" w:space="0" w:color="auto"/>
        <w:bottom w:val="none" w:sz="0" w:space="0" w:color="auto"/>
        <w:right w:val="none" w:sz="0" w:space="0" w:color="auto"/>
      </w:divBdr>
    </w:div>
    <w:div w:id="1896769925">
      <w:bodyDiv w:val="1"/>
      <w:marLeft w:val="0"/>
      <w:marRight w:val="0"/>
      <w:marTop w:val="0"/>
      <w:marBottom w:val="0"/>
      <w:divBdr>
        <w:top w:val="none" w:sz="0" w:space="0" w:color="auto"/>
        <w:left w:val="none" w:sz="0" w:space="0" w:color="auto"/>
        <w:bottom w:val="none" w:sz="0" w:space="0" w:color="auto"/>
        <w:right w:val="none" w:sz="0" w:space="0" w:color="auto"/>
      </w:divBdr>
    </w:div>
    <w:div w:id="1896774582">
      <w:bodyDiv w:val="1"/>
      <w:marLeft w:val="0"/>
      <w:marRight w:val="0"/>
      <w:marTop w:val="0"/>
      <w:marBottom w:val="0"/>
      <w:divBdr>
        <w:top w:val="none" w:sz="0" w:space="0" w:color="auto"/>
        <w:left w:val="none" w:sz="0" w:space="0" w:color="auto"/>
        <w:bottom w:val="none" w:sz="0" w:space="0" w:color="auto"/>
        <w:right w:val="none" w:sz="0" w:space="0" w:color="auto"/>
      </w:divBdr>
    </w:div>
    <w:div w:id="1897083014">
      <w:bodyDiv w:val="1"/>
      <w:marLeft w:val="0"/>
      <w:marRight w:val="0"/>
      <w:marTop w:val="0"/>
      <w:marBottom w:val="0"/>
      <w:divBdr>
        <w:top w:val="none" w:sz="0" w:space="0" w:color="auto"/>
        <w:left w:val="none" w:sz="0" w:space="0" w:color="auto"/>
        <w:bottom w:val="none" w:sz="0" w:space="0" w:color="auto"/>
        <w:right w:val="none" w:sz="0" w:space="0" w:color="auto"/>
      </w:divBdr>
    </w:div>
    <w:div w:id="1897084347">
      <w:bodyDiv w:val="1"/>
      <w:marLeft w:val="0"/>
      <w:marRight w:val="0"/>
      <w:marTop w:val="0"/>
      <w:marBottom w:val="0"/>
      <w:divBdr>
        <w:top w:val="none" w:sz="0" w:space="0" w:color="auto"/>
        <w:left w:val="none" w:sz="0" w:space="0" w:color="auto"/>
        <w:bottom w:val="none" w:sz="0" w:space="0" w:color="auto"/>
        <w:right w:val="none" w:sz="0" w:space="0" w:color="auto"/>
      </w:divBdr>
    </w:div>
    <w:div w:id="1897164387">
      <w:bodyDiv w:val="1"/>
      <w:marLeft w:val="0"/>
      <w:marRight w:val="0"/>
      <w:marTop w:val="0"/>
      <w:marBottom w:val="0"/>
      <w:divBdr>
        <w:top w:val="none" w:sz="0" w:space="0" w:color="auto"/>
        <w:left w:val="none" w:sz="0" w:space="0" w:color="auto"/>
        <w:bottom w:val="none" w:sz="0" w:space="0" w:color="auto"/>
        <w:right w:val="none" w:sz="0" w:space="0" w:color="auto"/>
      </w:divBdr>
    </w:div>
    <w:div w:id="1898586097">
      <w:bodyDiv w:val="1"/>
      <w:marLeft w:val="0"/>
      <w:marRight w:val="0"/>
      <w:marTop w:val="0"/>
      <w:marBottom w:val="0"/>
      <w:divBdr>
        <w:top w:val="none" w:sz="0" w:space="0" w:color="auto"/>
        <w:left w:val="none" w:sz="0" w:space="0" w:color="auto"/>
        <w:bottom w:val="none" w:sz="0" w:space="0" w:color="auto"/>
        <w:right w:val="none" w:sz="0" w:space="0" w:color="auto"/>
      </w:divBdr>
    </w:div>
    <w:div w:id="1898591048">
      <w:bodyDiv w:val="1"/>
      <w:marLeft w:val="0"/>
      <w:marRight w:val="0"/>
      <w:marTop w:val="0"/>
      <w:marBottom w:val="0"/>
      <w:divBdr>
        <w:top w:val="none" w:sz="0" w:space="0" w:color="auto"/>
        <w:left w:val="none" w:sz="0" w:space="0" w:color="auto"/>
        <w:bottom w:val="none" w:sz="0" w:space="0" w:color="auto"/>
        <w:right w:val="none" w:sz="0" w:space="0" w:color="auto"/>
      </w:divBdr>
    </w:div>
    <w:div w:id="1898734977">
      <w:bodyDiv w:val="1"/>
      <w:marLeft w:val="0"/>
      <w:marRight w:val="0"/>
      <w:marTop w:val="0"/>
      <w:marBottom w:val="0"/>
      <w:divBdr>
        <w:top w:val="none" w:sz="0" w:space="0" w:color="auto"/>
        <w:left w:val="none" w:sz="0" w:space="0" w:color="auto"/>
        <w:bottom w:val="none" w:sz="0" w:space="0" w:color="auto"/>
        <w:right w:val="none" w:sz="0" w:space="0" w:color="auto"/>
      </w:divBdr>
    </w:div>
    <w:div w:id="1898737883">
      <w:bodyDiv w:val="1"/>
      <w:marLeft w:val="0"/>
      <w:marRight w:val="0"/>
      <w:marTop w:val="0"/>
      <w:marBottom w:val="0"/>
      <w:divBdr>
        <w:top w:val="none" w:sz="0" w:space="0" w:color="auto"/>
        <w:left w:val="none" w:sz="0" w:space="0" w:color="auto"/>
        <w:bottom w:val="none" w:sz="0" w:space="0" w:color="auto"/>
        <w:right w:val="none" w:sz="0" w:space="0" w:color="auto"/>
      </w:divBdr>
    </w:div>
    <w:div w:id="1900096075">
      <w:bodyDiv w:val="1"/>
      <w:marLeft w:val="0"/>
      <w:marRight w:val="0"/>
      <w:marTop w:val="0"/>
      <w:marBottom w:val="0"/>
      <w:divBdr>
        <w:top w:val="none" w:sz="0" w:space="0" w:color="auto"/>
        <w:left w:val="none" w:sz="0" w:space="0" w:color="auto"/>
        <w:bottom w:val="none" w:sz="0" w:space="0" w:color="auto"/>
        <w:right w:val="none" w:sz="0" w:space="0" w:color="auto"/>
      </w:divBdr>
    </w:div>
    <w:div w:id="1900481633">
      <w:bodyDiv w:val="1"/>
      <w:marLeft w:val="0"/>
      <w:marRight w:val="0"/>
      <w:marTop w:val="0"/>
      <w:marBottom w:val="0"/>
      <w:divBdr>
        <w:top w:val="none" w:sz="0" w:space="0" w:color="auto"/>
        <w:left w:val="none" w:sz="0" w:space="0" w:color="auto"/>
        <w:bottom w:val="none" w:sz="0" w:space="0" w:color="auto"/>
        <w:right w:val="none" w:sz="0" w:space="0" w:color="auto"/>
      </w:divBdr>
    </w:div>
    <w:div w:id="1901089300">
      <w:bodyDiv w:val="1"/>
      <w:marLeft w:val="0"/>
      <w:marRight w:val="0"/>
      <w:marTop w:val="0"/>
      <w:marBottom w:val="0"/>
      <w:divBdr>
        <w:top w:val="none" w:sz="0" w:space="0" w:color="auto"/>
        <w:left w:val="none" w:sz="0" w:space="0" w:color="auto"/>
        <w:bottom w:val="none" w:sz="0" w:space="0" w:color="auto"/>
        <w:right w:val="none" w:sz="0" w:space="0" w:color="auto"/>
      </w:divBdr>
    </w:div>
    <w:div w:id="1901746754">
      <w:bodyDiv w:val="1"/>
      <w:marLeft w:val="0"/>
      <w:marRight w:val="0"/>
      <w:marTop w:val="0"/>
      <w:marBottom w:val="0"/>
      <w:divBdr>
        <w:top w:val="none" w:sz="0" w:space="0" w:color="auto"/>
        <w:left w:val="none" w:sz="0" w:space="0" w:color="auto"/>
        <w:bottom w:val="none" w:sz="0" w:space="0" w:color="auto"/>
        <w:right w:val="none" w:sz="0" w:space="0" w:color="auto"/>
      </w:divBdr>
    </w:div>
    <w:div w:id="1902134561">
      <w:bodyDiv w:val="1"/>
      <w:marLeft w:val="0"/>
      <w:marRight w:val="0"/>
      <w:marTop w:val="0"/>
      <w:marBottom w:val="0"/>
      <w:divBdr>
        <w:top w:val="none" w:sz="0" w:space="0" w:color="auto"/>
        <w:left w:val="none" w:sz="0" w:space="0" w:color="auto"/>
        <w:bottom w:val="none" w:sz="0" w:space="0" w:color="auto"/>
        <w:right w:val="none" w:sz="0" w:space="0" w:color="auto"/>
      </w:divBdr>
    </w:div>
    <w:div w:id="1902255351">
      <w:bodyDiv w:val="1"/>
      <w:marLeft w:val="0"/>
      <w:marRight w:val="0"/>
      <w:marTop w:val="0"/>
      <w:marBottom w:val="0"/>
      <w:divBdr>
        <w:top w:val="none" w:sz="0" w:space="0" w:color="auto"/>
        <w:left w:val="none" w:sz="0" w:space="0" w:color="auto"/>
        <w:bottom w:val="none" w:sz="0" w:space="0" w:color="auto"/>
        <w:right w:val="none" w:sz="0" w:space="0" w:color="auto"/>
      </w:divBdr>
    </w:div>
    <w:div w:id="1903329026">
      <w:bodyDiv w:val="1"/>
      <w:marLeft w:val="0"/>
      <w:marRight w:val="0"/>
      <w:marTop w:val="0"/>
      <w:marBottom w:val="0"/>
      <w:divBdr>
        <w:top w:val="none" w:sz="0" w:space="0" w:color="auto"/>
        <w:left w:val="none" w:sz="0" w:space="0" w:color="auto"/>
        <w:bottom w:val="none" w:sz="0" w:space="0" w:color="auto"/>
        <w:right w:val="none" w:sz="0" w:space="0" w:color="auto"/>
      </w:divBdr>
    </w:div>
    <w:div w:id="1903521913">
      <w:bodyDiv w:val="1"/>
      <w:marLeft w:val="0"/>
      <w:marRight w:val="0"/>
      <w:marTop w:val="0"/>
      <w:marBottom w:val="0"/>
      <w:divBdr>
        <w:top w:val="none" w:sz="0" w:space="0" w:color="auto"/>
        <w:left w:val="none" w:sz="0" w:space="0" w:color="auto"/>
        <w:bottom w:val="none" w:sz="0" w:space="0" w:color="auto"/>
        <w:right w:val="none" w:sz="0" w:space="0" w:color="auto"/>
      </w:divBdr>
    </w:div>
    <w:div w:id="1903910311">
      <w:bodyDiv w:val="1"/>
      <w:marLeft w:val="0"/>
      <w:marRight w:val="0"/>
      <w:marTop w:val="0"/>
      <w:marBottom w:val="0"/>
      <w:divBdr>
        <w:top w:val="none" w:sz="0" w:space="0" w:color="auto"/>
        <w:left w:val="none" w:sz="0" w:space="0" w:color="auto"/>
        <w:bottom w:val="none" w:sz="0" w:space="0" w:color="auto"/>
        <w:right w:val="none" w:sz="0" w:space="0" w:color="auto"/>
      </w:divBdr>
    </w:div>
    <w:div w:id="1904219759">
      <w:bodyDiv w:val="1"/>
      <w:marLeft w:val="0"/>
      <w:marRight w:val="0"/>
      <w:marTop w:val="0"/>
      <w:marBottom w:val="0"/>
      <w:divBdr>
        <w:top w:val="none" w:sz="0" w:space="0" w:color="auto"/>
        <w:left w:val="none" w:sz="0" w:space="0" w:color="auto"/>
        <w:bottom w:val="none" w:sz="0" w:space="0" w:color="auto"/>
        <w:right w:val="none" w:sz="0" w:space="0" w:color="auto"/>
      </w:divBdr>
    </w:div>
    <w:div w:id="1905096303">
      <w:bodyDiv w:val="1"/>
      <w:marLeft w:val="0"/>
      <w:marRight w:val="0"/>
      <w:marTop w:val="0"/>
      <w:marBottom w:val="0"/>
      <w:divBdr>
        <w:top w:val="none" w:sz="0" w:space="0" w:color="auto"/>
        <w:left w:val="none" w:sz="0" w:space="0" w:color="auto"/>
        <w:bottom w:val="none" w:sz="0" w:space="0" w:color="auto"/>
        <w:right w:val="none" w:sz="0" w:space="0" w:color="auto"/>
      </w:divBdr>
    </w:div>
    <w:div w:id="1905098078">
      <w:bodyDiv w:val="1"/>
      <w:marLeft w:val="0"/>
      <w:marRight w:val="0"/>
      <w:marTop w:val="0"/>
      <w:marBottom w:val="0"/>
      <w:divBdr>
        <w:top w:val="none" w:sz="0" w:space="0" w:color="auto"/>
        <w:left w:val="none" w:sz="0" w:space="0" w:color="auto"/>
        <w:bottom w:val="none" w:sz="0" w:space="0" w:color="auto"/>
        <w:right w:val="none" w:sz="0" w:space="0" w:color="auto"/>
      </w:divBdr>
    </w:div>
    <w:div w:id="1905529062">
      <w:bodyDiv w:val="1"/>
      <w:marLeft w:val="0"/>
      <w:marRight w:val="0"/>
      <w:marTop w:val="0"/>
      <w:marBottom w:val="0"/>
      <w:divBdr>
        <w:top w:val="none" w:sz="0" w:space="0" w:color="auto"/>
        <w:left w:val="none" w:sz="0" w:space="0" w:color="auto"/>
        <w:bottom w:val="none" w:sz="0" w:space="0" w:color="auto"/>
        <w:right w:val="none" w:sz="0" w:space="0" w:color="auto"/>
      </w:divBdr>
    </w:div>
    <w:div w:id="1905607028">
      <w:bodyDiv w:val="1"/>
      <w:marLeft w:val="0"/>
      <w:marRight w:val="0"/>
      <w:marTop w:val="0"/>
      <w:marBottom w:val="0"/>
      <w:divBdr>
        <w:top w:val="none" w:sz="0" w:space="0" w:color="auto"/>
        <w:left w:val="none" w:sz="0" w:space="0" w:color="auto"/>
        <w:bottom w:val="none" w:sz="0" w:space="0" w:color="auto"/>
        <w:right w:val="none" w:sz="0" w:space="0" w:color="auto"/>
      </w:divBdr>
    </w:div>
    <w:div w:id="1905749680">
      <w:bodyDiv w:val="1"/>
      <w:marLeft w:val="0"/>
      <w:marRight w:val="0"/>
      <w:marTop w:val="0"/>
      <w:marBottom w:val="0"/>
      <w:divBdr>
        <w:top w:val="none" w:sz="0" w:space="0" w:color="auto"/>
        <w:left w:val="none" w:sz="0" w:space="0" w:color="auto"/>
        <w:bottom w:val="none" w:sz="0" w:space="0" w:color="auto"/>
        <w:right w:val="none" w:sz="0" w:space="0" w:color="auto"/>
      </w:divBdr>
    </w:div>
    <w:div w:id="1905798660">
      <w:bodyDiv w:val="1"/>
      <w:marLeft w:val="0"/>
      <w:marRight w:val="0"/>
      <w:marTop w:val="0"/>
      <w:marBottom w:val="0"/>
      <w:divBdr>
        <w:top w:val="none" w:sz="0" w:space="0" w:color="auto"/>
        <w:left w:val="none" w:sz="0" w:space="0" w:color="auto"/>
        <w:bottom w:val="none" w:sz="0" w:space="0" w:color="auto"/>
        <w:right w:val="none" w:sz="0" w:space="0" w:color="auto"/>
      </w:divBdr>
    </w:div>
    <w:div w:id="1906144835">
      <w:bodyDiv w:val="1"/>
      <w:marLeft w:val="0"/>
      <w:marRight w:val="0"/>
      <w:marTop w:val="0"/>
      <w:marBottom w:val="0"/>
      <w:divBdr>
        <w:top w:val="none" w:sz="0" w:space="0" w:color="auto"/>
        <w:left w:val="none" w:sz="0" w:space="0" w:color="auto"/>
        <w:bottom w:val="none" w:sz="0" w:space="0" w:color="auto"/>
        <w:right w:val="none" w:sz="0" w:space="0" w:color="auto"/>
      </w:divBdr>
    </w:div>
    <w:div w:id="1906526488">
      <w:bodyDiv w:val="1"/>
      <w:marLeft w:val="0"/>
      <w:marRight w:val="0"/>
      <w:marTop w:val="0"/>
      <w:marBottom w:val="0"/>
      <w:divBdr>
        <w:top w:val="none" w:sz="0" w:space="0" w:color="auto"/>
        <w:left w:val="none" w:sz="0" w:space="0" w:color="auto"/>
        <w:bottom w:val="none" w:sz="0" w:space="0" w:color="auto"/>
        <w:right w:val="none" w:sz="0" w:space="0" w:color="auto"/>
      </w:divBdr>
    </w:div>
    <w:div w:id="1906837191">
      <w:bodyDiv w:val="1"/>
      <w:marLeft w:val="0"/>
      <w:marRight w:val="0"/>
      <w:marTop w:val="0"/>
      <w:marBottom w:val="0"/>
      <w:divBdr>
        <w:top w:val="none" w:sz="0" w:space="0" w:color="auto"/>
        <w:left w:val="none" w:sz="0" w:space="0" w:color="auto"/>
        <w:bottom w:val="none" w:sz="0" w:space="0" w:color="auto"/>
        <w:right w:val="none" w:sz="0" w:space="0" w:color="auto"/>
      </w:divBdr>
    </w:div>
    <w:div w:id="1907376683">
      <w:bodyDiv w:val="1"/>
      <w:marLeft w:val="0"/>
      <w:marRight w:val="0"/>
      <w:marTop w:val="0"/>
      <w:marBottom w:val="0"/>
      <w:divBdr>
        <w:top w:val="none" w:sz="0" w:space="0" w:color="auto"/>
        <w:left w:val="none" w:sz="0" w:space="0" w:color="auto"/>
        <w:bottom w:val="none" w:sz="0" w:space="0" w:color="auto"/>
        <w:right w:val="none" w:sz="0" w:space="0" w:color="auto"/>
      </w:divBdr>
    </w:div>
    <w:div w:id="1907522404">
      <w:bodyDiv w:val="1"/>
      <w:marLeft w:val="0"/>
      <w:marRight w:val="0"/>
      <w:marTop w:val="0"/>
      <w:marBottom w:val="0"/>
      <w:divBdr>
        <w:top w:val="none" w:sz="0" w:space="0" w:color="auto"/>
        <w:left w:val="none" w:sz="0" w:space="0" w:color="auto"/>
        <w:bottom w:val="none" w:sz="0" w:space="0" w:color="auto"/>
        <w:right w:val="none" w:sz="0" w:space="0" w:color="auto"/>
      </w:divBdr>
    </w:div>
    <w:div w:id="1907522561">
      <w:bodyDiv w:val="1"/>
      <w:marLeft w:val="0"/>
      <w:marRight w:val="0"/>
      <w:marTop w:val="0"/>
      <w:marBottom w:val="0"/>
      <w:divBdr>
        <w:top w:val="none" w:sz="0" w:space="0" w:color="auto"/>
        <w:left w:val="none" w:sz="0" w:space="0" w:color="auto"/>
        <w:bottom w:val="none" w:sz="0" w:space="0" w:color="auto"/>
        <w:right w:val="none" w:sz="0" w:space="0" w:color="auto"/>
      </w:divBdr>
    </w:div>
    <w:div w:id="1908565807">
      <w:bodyDiv w:val="1"/>
      <w:marLeft w:val="0"/>
      <w:marRight w:val="0"/>
      <w:marTop w:val="0"/>
      <w:marBottom w:val="0"/>
      <w:divBdr>
        <w:top w:val="none" w:sz="0" w:space="0" w:color="auto"/>
        <w:left w:val="none" w:sz="0" w:space="0" w:color="auto"/>
        <w:bottom w:val="none" w:sz="0" w:space="0" w:color="auto"/>
        <w:right w:val="none" w:sz="0" w:space="0" w:color="auto"/>
      </w:divBdr>
    </w:div>
    <w:div w:id="1908875491">
      <w:bodyDiv w:val="1"/>
      <w:marLeft w:val="0"/>
      <w:marRight w:val="0"/>
      <w:marTop w:val="0"/>
      <w:marBottom w:val="0"/>
      <w:divBdr>
        <w:top w:val="none" w:sz="0" w:space="0" w:color="auto"/>
        <w:left w:val="none" w:sz="0" w:space="0" w:color="auto"/>
        <w:bottom w:val="none" w:sz="0" w:space="0" w:color="auto"/>
        <w:right w:val="none" w:sz="0" w:space="0" w:color="auto"/>
      </w:divBdr>
    </w:div>
    <w:div w:id="1908878757">
      <w:bodyDiv w:val="1"/>
      <w:marLeft w:val="0"/>
      <w:marRight w:val="0"/>
      <w:marTop w:val="0"/>
      <w:marBottom w:val="0"/>
      <w:divBdr>
        <w:top w:val="none" w:sz="0" w:space="0" w:color="auto"/>
        <w:left w:val="none" w:sz="0" w:space="0" w:color="auto"/>
        <w:bottom w:val="none" w:sz="0" w:space="0" w:color="auto"/>
        <w:right w:val="none" w:sz="0" w:space="0" w:color="auto"/>
      </w:divBdr>
    </w:div>
    <w:div w:id="1909922688">
      <w:bodyDiv w:val="1"/>
      <w:marLeft w:val="0"/>
      <w:marRight w:val="0"/>
      <w:marTop w:val="0"/>
      <w:marBottom w:val="0"/>
      <w:divBdr>
        <w:top w:val="none" w:sz="0" w:space="0" w:color="auto"/>
        <w:left w:val="none" w:sz="0" w:space="0" w:color="auto"/>
        <w:bottom w:val="none" w:sz="0" w:space="0" w:color="auto"/>
        <w:right w:val="none" w:sz="0" w:space="0" w:color="auto"/>
      </w:divBdr>
    </w:div>
    <w:div w:id="1910529646">
      <w:bodyDiv w:val="1"/>
      <w:marLeft w:val="0"/>
      <w:marRight w:val="0"/>
      <w:marTop w:val="0"/>
      <w:marBottom w:val="0"/>
      <w:divBdr>
        <w:top w:val="none" w:sz="0" w:space="0" w:color="auto"/>
        <w:left w:val="none" w:sz="0" w:space="0" w:color="auto"/>
        <w:bottom w:val="none" w:sz="0" w:space="0" w:color="auto"/>
        <w:right w:val="none" w:sz="0" w:space="0" w:color="auto"/>
      </w:divBdr>
    </w:div>
    <w:div w:id="1910847116">
      <w:bodyDiv w:val="1"/>
      <w:marLeft w:val="0"/>
      <w:marRight w:val="0"/>
      <w:marTop w:val="0"/>
      <w:marBottom w:val="0"/>
      <w:divBdr>
        <w:top w:val="none" w:sz="0" w:space="0" w:color="auto"/>
        <w:left w:val="none" w:sz="0" w:space="0" w:color="auto"/>
        <w:bottom w:val="none" w:sz="0" w:space="0" w:color="auto"/>
        <w:right w:val="none" w:sz="0" w:space="0" w:color="auto"/>
      </w:divBdr>
    </w:div>
    <w:div w:id="1910919524">
      <w:bodyDiv w:val="1"/>
      <w:marLeft w:val="0"/>
      <w:marRight w:val="0"/>
      <w:marTop w:val="0"/>
      <w:marBottom w:val="0"/>
      <w:divBdr>
        <w:top w:val="none" w:sz="0" w:space="0" w:color="auto"/>
        <w:left w:val="none" w:sz="0" w:space="0" w:color="auto"/>
        <w:bottom w:val="none" w:sz="0" w:space="0" w:color="auto"/>
        <w:right w:val="none" w:sz="0" w:space="0" w:color="auto"/>
      </w:divBdr>
    </w:div>
    <w:div w:id="1911844963">
      <w:bodyDiv w:val="1"/>
      <w:marLeft w:val="0"/>
      <w:marRight w:val="0"/>
      <w:marTop w:val="0"/>
      <w:marBottom w:val="0"/>
      <w:divBdr>
        <w:top w:val="none" w:sz="0" w:space="0" w:color="auto"/>
        <w:left w:val="none" w:sz="0" w:space="0" w:color="auto"/>
        <w:bottom w:val="none" w:sz="0" w:space="0" w:color="auto"/>
        <w:right w:val="none" w:sz="0" w:space="0" w:color="auto"/>
      </w:divBdr>
    </w:div>
    <w:div w:id="1911888985">
      <w:bodyDiv w:val="1"/>
      <w:marLeft w:val="0"/>
      <w:marRight w:val="0"/>
      <w:marTop w:val="0"/>
      <w:marBottom w:val="0"/>
      <w:divBdr>
        <w:top w:val="none" w:sz="0" w:space="0" w:color="auto"/>
        <w:left w:val="none" w:sz="0" w:space="0" w:color="auto"/>
        <w:bottom w:val="none" w:sz="0" w:space="0" w:color="auto"/>
        <w:right w:val="none" w:sz="0" w:space="0" w:color="auto"/>
      </w:divBdr>
    </w:div>
    <w:div w:id="1912155792">
      <w:bodyDiv w:val="1"/>
      <w:marLeft w:val="0"/>
      <w:marRight w:val="0"/>
      <w:marTop w:val="0"/>
      <w:marBottom w:val="0"/>
      <w:divBdr>
        <w:top w:val="none" w:sz="0" w:space="0" w:color="auto"/>
        <w:left w:val="none" w:sz="0" w:space="0" w:color="auto"/>
        <w:bottom w:val="none" w:sz="0" w:space="0" w:color="auto"/>
        <w:right w:val="none" w:sz="0" w:space="0" w:color="auto"/>
      </w:divBdr>
    </w:div>
    <w:div w:id="1912884099">
      <w:bodyDiv w:val="1"/>
      <w:marLeft w:val="0"/>
      <w:marRight w:val="0"/>
      <w:marTop w:val="0"/>
      <w:marBottom w:val="0"/>
      <w:divBdr>
        <w:top w:val="none" w:sz="0" w:space="0" w:color="auto"/>
        <w:left w:val="none" w:sz="0" w:space="0" w:color="auto"/>
        <w:bottom w:val="none" w:sz="0" w:space="0" w:color="auto"/>
        <w:right w:val="none" w:sz="0" w:space="0" w:color="auto"/>
      </w:divBdr>
    </w:div>
    <w:div w:id="1913080162">
      <w:bodyDiv w:val="1"/>
      <w:marLeft w:val="0"/>
      <w:marRight w:val="0"/>
      <w:marTop w:val="0"/>
      <w:marBottom w:val="0"/>
      <w:divBdr>
        <w:top w:val="none" w:sz="0" w:space="0" w:color="auto"/>
        <w:left w:val="none" w:sz="0" w:space="0" w:color="auto"/>
        <w:bottom w:val="none" w:sz="0" w:space="0" w:color="auto"/>
        <w:right w:val="none" w:sz="0" w:space="0" w:color="auto"/>
      </w:divBdr>
    </w:div>
    <w:div w:id="1913809293">
      <w:bodyDiv w:val="1"/>
      <w:marLeft w:val="0"/>
      <w:marRight w:val="0"/>
      <w:marTop w:val="0"/>
      <w:marBottom w:val="0"/>
      <w:divBdr>
        <w:top w:val="none" w:sz="0" w:space="0" w:color="auto"/>
        <w:left w:val="none" w:sz="0" w:space="0" w:color="auto"/>
        <w:bottom w:val="none" w:sz="0" w:space="0" w:color="auto"/>
        <w:right w:val="none" w:sz="0" w:space="0" w:color="auto"/>
      </w:divBdr>
    </w:div>
    <w:div w:id="1914201025">
      <w:bodyDiv w:val="1"/>
      <w:marLeft w:val="0"/>
      <w:marRight w:val="0"/>
      <w:marTop w:val="0"/>
      <w:marBottom w:val="0"/>
      <w:divBdr>
        <w:top w:val="none" w:sz="0" w:space="0" w:color="auto"/>
        <w:left w:val="none" w:sz="0" w:space="0" w:color="auto"/>
        <w:bottom w:val="none" w:sz="0" w:space="0" w:color="auto"/>
        <w:right w:val="none" w:sz="0" w:space="0" w:color="auto"/>
      </w:divBdr>
    </w:div>
    <w:div w:id="1914662631">
      <w:bodyDiv w:val="1"/>
      <w:marLeft w:val="0"/>
      <w:marRight w:val="0"/>
      <w:marTop w:val="0"/>
      <w:marBottom w:val="0"/>
      <w:divBdr>
        <w:top w:val="none" w:sz="0" w:space="0" w:color="auto"/>
        <w:left w:val="none" w:sz="0" w:space="0" w:color="auto"/>
        <w:bottom w:val="none" w:sz="0" w:space="0" w:color="auto"/>
        <w:right w:val="none" w:sz="0" w:space="0" w:color="auto"/>
      </w:divBdr>
    </w:div>
    <w:div w:id="1915165828">
      <w:bodyDiv w:val="1"/>
      <w:marLeft w:val="0"/>
      <w:marRight w:val="0"/>
      <w:marTop w:val="0"/>
      <w:marBottom w:val="0"/>
      <w:divBdr>
        <w:top w:val="none" w:sz="0" w:space="0" w:color="auto"/>
        <w:left w:val="none" w:sz="0" w:space="0" w:color="auto"/>
        <w:bottom w:val="none" w:sz="0" w:space="0" w:color="auto"/>
        <w:right w:val="none" w:sz="0" w:space="0" w:color="auto"/>
      </w:divBdr>
    </w:div>
    <w:div w:id="1915577973">
      <w:bodyDiv w:val="1"/>
      <w:marLeft w:val="0"/>
      <w:marRight w:val="0"/>
      <w:marTop w:val="0"/>
      <w:marBottom w:val="0"/>
      <w:divBdr>
        <w:top w:val="none" w:sz="0" w:space="0" w:color="auto"/>
        <w:left w:val="none" w:sz="0" w:space="0" w:color="auto"/>
        <w:bottom w:val="none" w:sz="0" w:space="0" w:color="auto"/>
        <w:right w:val="none" w:sz="0" w:space="0" w:color="auto"/>
      </w:divBdr>
    </w:div>
    <w:div w:id="1915966611">
      <w:bodyDiv w:val="1"/>
      <w:marLeft w:val="0"/>
      <w:marRight w:val="0"/>
      <w:marTop w:val="0"/>
      <w:marBottom w:val="0"/>
      <w:divBdr>
        <w:top w:val="none" w:sz="0" w:space="0" w:color="auto"/>
        <w:left w:val="none" w:sz="0" w:space="0" w:color="auto"/>
        <w:bottom w:val="none" w:sz="0" w:space="0" w:color="auto"/>
        <w:right w:val="none" w:sz="0" w:space="0" w:color="auto"/>
      </w:divBdr>
    </w:div>
    <w:div w:id="1916234555">
      <w:bodyDiv w:val="1"/>
      <w:marLeft w:val="0"/>
      <w:marRight w:val="0"/>
      <w:marTop w:val="0"/>
      <w:marBottom w:val="0"/>
      <w:divBdr>
        <w:top w:val="none" w:sz="0" w:space="0" w:color="auto"/>
        <w:left w:val="none" w:sz="0" w:space="0" w:color="auto"/>
        <w:bottom w:val="none" w:sz="0" w:space="0" w:color="auto"/>
        <w:right w:val="none" w:sz="0" w:space="0" w:color="auto"/>
      </w:divBdr>
    </w:div>
    <w:div w:id="1916548552">
      <w:bodyDiv w:val="1"/>
      <w:marLeft w:val="0"/>
      <w:marRight w:val="0"/>
      <w:marTop w:val="0"/>
      <w:marBottom w:val="0"/>
      <w:divBdr>
        <w:top w:val="none" w:sz="0" w:space="0" w:color="auto"/>
        <w:left w:val="none" w:sz="0" w:space="0" w:color="auto"/>
        <w:bottom w:val="none" w:sz="0" w:space="0" w:color="auto"/>
        <w:right w:val="none" w:sz="0" w:space="0" w:color="auto"/>
      </w:divBdr>
    </w:div>
    <w:div w:id="1916623094">
      <w:bodyDiv w:val="1"/>
      <w:marLeft w:val="0"/>
      <w:marRight w:val="0"/>
      <w:marTop w:val="0"/>
      <w:marBottom w:val="0"/>
      <w:divBdr>
        <w:top w:val="none" w:sz="0" w:space="0" w:color="auto"/>
        <w:left w:val="none" w:sz="0" w:space="0" w:color="auto"/>
        <w:bottom w:val="none" w:sz="0" w:space="0" w:color="auto"/>
        <w:right w:val="none" w:sz="0" w:space="0" w:color="auto"/>
      </w:divBdr>
    </w:div>
    <w:div w:id="1917279280">
      <w:bodyDiv w:val="1"/>
      <w:marLeft w:val="0"/>
      <w:marRight w:val="0"/>
      <w:marTop w:val="0"/>
      <w:marBottom w:val="0"/>
      <w:divBdr>
        <w:top w:val="none" w:sz="0" w:space="0" w:color="auto"/>
        <w:left w:val="none" w:sz="0" w:space="0" w:color="auto"/>
        <w:bottom w:val="none" w:sz="0" w:space="0" w:color="auto"/>
        <w:right w:val="none" w:sz="0" w:space="0" w:color="auto"/>
      </w:divBdr>
    </w:div>
    <w:div w:id="1917477044">
      <w:bodyDiv w:val="1"/>
      <w:marLeft w:val="0"/>
      <w:marRight w:val="0"/>
      <w:marTop w:val="0"/>
      <w:marBottom w:val="0"/>
      <w:divBdr>
        <w:top w:val="none" w:sz="0" w:space="0" w:color="auto"/>
        <w:left w:val="none" w:sz="0" w:space="0" w:color="auto"/>
        <w:bottom w:val="none" w:sz="0" w:space="0" w:color="auto"/>
        <w:right w:val="none" w:sz="0" w:space="0" w:color="auto"/>
      </w:divBdr>
    </w:div>
    <w:div w:id="1919485243">
      <w:bodyDiv w:val="1"/>
      <w:marLeft w:val="0"/>
      <w:marRight w:val="0"/>
      <w:marTop w:val="0"/>
      <w:marBottom w:val="0"/>
      <w:divBdr>
        <w:top w:val="none" w:sz="0" w:space="0" w:color="auto"/>
        <w:left w:val="none" w:sz="0" w:space="0" w:color="auto"/>
        <w:bottom w:val="none" w:sz="0" w:space="0" w:color="auto"/>
        <w:right w:val="none" w:sz="0" w:space="0" w:color="auto"/>
      </w:divBdr>
    </w:div>
    <w:div w:id="1919705654">
      <w:bodyDiv w:val="1"/>
      <w:marLeft w:val="0"/>
      <w:marRight w:val="0"/>
      <w:marTop w:val="0"/>
      <w:marBottom w:val="0"/>
      <w:divBdr>
        <w:top w:val="none" w:sz="0" w:space="0" w:color="auto"/>
        <w:left w:val="none" w:sz="0" w:space="0" w:color="auto"/>
        <w:bottom w:val="none" w:sz="0" w:space="0" w:color="auto"/>
        <w:right w:val="none" w:sz="0" w:space="0" w:color="auto"/>
      </w:divBdr>
    </w:div>
    <w:div w:id="1920098432">
      <w:bodyDiv w:val="1"/>
      <w:marLeft w:val="0"/>
      <w:marRight w:val="0"/>
      <w:marTop w:val="0"/>
      <w:marBottom w:val="0"/>
      <w:divBdr>
        <w:top w:val="none" w:sz="0" w:space="0" w:color="auto"/>
        <w:left w:val="none" w:sz="0" w:space="0" w:color="auto"/>
        <w:bottom w:val="none" w:sz="0" w:space="0" w:color="auto"/>
        <w:right w:val="none" w:sz="0" w:space="0" w:color="auto"/>
      </w:divBdr>
    </w:div>
    <w:div w:id="1922332724">
      <w:bodyDiv w:val="1"/>
      <w:marLeft w:val="0"/>
      <w:marRight w:val="0"/>
      <w:marTop w:val="0"/>
      <w:marBottom w:val="0"/>
      <w:divBdr>
        <w:top w:val="none" w:sz="0" w:space="0" w:color="auto"/>
        <w:left w:val="none" w:sz="0" w:space="0" w:color="auto"/>
        <w:bottom w:val="none" w:sz="0" w:space="0" w:color="auto"/>
        <w:right w:val="none" w:sz="0" w:space="0" w:color="auto"/>
      </w:divBdr>
    </w:div>
    <w:div w:id="1922716561">
      <w:bodyDiv w:val="1"/>
      <w:marLeft w:val="0"/>
      <w:marRight w:val="0"/>
      <w:marTop w:val="0"/>
      <w:marBottom w:val="0"/>
      <w:divBdr>
        <w:top w:val="none" w:sz="0" w:space="0" w:color="auto"/>
        <w:left w:val="none" w:sz="0" w:space="0" w:color="auto"/>
        <w:bottom w:val="none" w:sz="0" w:space="0" w:color="auto"/>
        <w:right w:val="none" w:sz="0" w:space="0" w:color="auto"/>
      </w:divBdr>
    </w:div>
    <w:div w:id="1922835603">
      <w:bodyDiv w:val="1"/>
      <w:marLeft w:val="0"/>
      <w:marRight w:val="0"/>
      <w:marTop w:val="0"/>
      <w:marBottom w:val="0"/>
      <w:divBdr>
        <w:top w:val="none" w:sz="0" w:space="0" w:color="auto"/>
        <w:left w:val="none" w:sz="0" w:space="0" w:color="auto"/>
        <w:bottom w:val="none" w:sz="0" w:space="0" w:color="auto"/>
        <w:right w:val="none" w:sz="0" w:space="0" w:color="auto"/>
      </w:divBdr>
    </w:div>
    <w:div w:id="1922986703">
      <w:bodyDiv w:val="1"/>
      <w:marLeft w:val="0"/>
      <w:marRight w:val="0"/>
      <w:marTop w:val="0"/>
      <w:marBottom w:val="0"/>
      <w:divBdr>
        <w:top w:val="none" w:sz="0" w:space="0" w:color="auto"/>
        <w:left w:val="none" w:sz="0" w:space="0" w:color="auto"/>
        <w:bottom w:val="none" w:sz="0" w:space="0" w:color="auto"/>
        <w:right w:val="none" w:sz="0" w:space="0" w:color="auto"/>
      </w:divBdr>
    </w:div>
    <w:div w:id="1922987997">
      <w:bodyDiv w:val="1"/>
      <w:marLeft w:val="0"/>
      <w:marRight w:val="0"/>
      <w:marTop w:val="0"/>
      <w:marBottom w:val="0"/>
      <w:divBdr>
        <w:top w:val="none" w:sz="0" w:space="0" w:color="auto"/>
        <w:left w:val="none" w:sz="0" w:space="0" w:color="auto"/>
        <w:bottom w:val="none" w:sz="0" w:space="0" w:color="auto"/>
        <w:right w:val="none" w:sz="0" w:space="0" w:color="auto"/>
      </w:divBdr>
    </w:div>
    <w:div w:id="1923906714">
      <w:bodyDiv w:val="1"/>
      <w:marLeft w:val="0"/>
      <w:marRight w:val="0"/>
      <w:marTop w:val="0"/>
      <w:marBottom w:val="0"/>
      <w:divBdr>
        <w:top w:val="none" w:sz="0" w:space="0" w:color="auto"/>
        <w:left w:val="none" w:sz="0" w:space="0" w:color="auto"/>
        <w:bottom w:val="none" w:sz="0" w:space="0" w:color="auto"/>
        <w:right w:val="none" w:sz="0" w:space="0" w:color="auto"/>
      </w:divBdr>
    </w:div>
    <w:div w:id="1924483119">
      <w:bodyDiv w:val="1"/>
      <w:marLeft w:val="0"/>
      <w:marRight w:val="0"/>
      <w:marTop w:val="0"/>
      <w:marBottom w:val="0"/>
      <w:divBdr>
        <w:top w:val="none" w:sz="0" w:space="0" w:color="auto"/>
        <w:left w:val="none" w:sz="0" w:space="0" w:color="auto"/>
        <w:bottom w:val="none" w:sz="0" w:space="0" w:color="auto"/>
        <w:right w:val="none" w:sz="0" w:space="0" w:color="auto"/>
      </w:divBdr>
    </w:div>
    <w:div w:id="1925021647">
      <w:bodyDiv w:val="1"/>
      <w:marLeft w:val="0"/>
      <w:marRight w:val="0"/>
      <w:marTop w:val="0"/>
      <w:marBottom w:val="0"/>
      <w:divBdr>
        <w:top w:val="none" w:sz="0" w:space="0" w:color="auto"/>
        <w:left w:val="none" w:sz="0" w:space="0" w:color="auto"/>
        <w:bottom w:val="none" w:sz="0" w:space="0" w:color="auto"/>
        <w:right w:val="none" w:sz="0" w:space="0" w:color="auto"/>
      </w:divBdr>
    </w:div>
    <w:div w:id="1926379766">
      <w:bodyDiv w:val="1"/>
      <w:marLeft w:val="0"/>
      <w:marRight w:val="0"/>
      <w:marTop w:val="0"/>
      <w:marBottom w:val="0"/>
      <w:divBdr>
        <w:top w:val="none" w:sz="0" w:space="0" w:color="auto"/>
        <w:left w:val="none" w:sz="0" w:space="0" w:color="auto"/>
        <w:bottom w:val="none" w:sz="0" w:space="0" w:color="auto"/>
        <w:right w:val="none" w:sz="0" w:space="0" w:color="auto"/>
      </w:divBdr>
    </w:div>
    <w:div w:id="1926499947">
      <w:bodyDiv w:val="1"/>
      <w:marLeft w:val="0"/>
      <w:marRight w:val="0"/>
      <w:marTop w:val="0"/>
      <w:marBottom w:val="0"/>
      <w:divBdr>
        <w:top w:val="none" w:sz="0" w:space="0" w:color="auto"/>
        <w:left w:val="none" w:sz="0" w:space="0" w:color="auto"/>
        <w:bottom w:val="none" w:sz="0" w:space="0" w:color="auto"/>
        <w:right w:val="none" w:sz="0" w:space="0" w:color="auto"/>
      </w:divBdr>
    </w:div>
    <w:div w:id="1927497027">
      <w:bodyDiv w:val="1"/>
      <w:marLeft w:val="0"/>
      <w:marRight w:val="0"/>
      <w:marTop w:val="0"/>
      <w:marBottom w:val="0"/>
      <w:divBdr>
        <w:top w:val="none" w:sz="0" w:space="0" w:color="auto"/>
        <w:left w:val="none" w:sz="0" w:space="0" w:color="auto"/>
        <w:bottom w:val="none" w:sz="0" w:space="0" w:color="auto"/>
        <w:right w:val="none" w:sz="0" w:space="0" w:color="auto"/>
      </w:divBdr>
    </w:div>
    <w:div w:id="1927691520">
      <w:bodyDiv w:val="1"/>
      <w:marLeft w:val="0"/>
      <w:marRight w:val="0"/>
      <w:marTop w:val="0"/>
      <w:marBottom w:val="0"/>
      <w:divBdr>
        <w:top w:val="none" w:sz="0" w:space="0" w:color="auto"/>
        <w:left w:val="none" w:sz="0" w:space="0" w:color="auto"/>
        <w:bottom w:val="none" w:sz="0" w:space="0" w:color="auto"/>
        <w:right w:val="none" w:sz="0" w:space="0" w:color="auto"/>
      </w:divBdr>
    </w:div>
    <w:div w:id="1927838154">
      <w:bodyDiv w:val="1"/>
      <w:marLeft w:val="0"/>
      <w:marRight w:val="0"/>
      <w:marTop w:val="0"/>
      <w:marBottom w:val="0"/>
      <w:divBdr>
        <w:top w:val="none" w:sz="0" w:space="0" w:color="auto"/>
        <w:left w:val="none" w:sz="0" w:space="0" w:color="auto"/>
        <w:bottom w:val="none" w:sz="0" w:space="0" w:color="auto"/>
        <w:right w:val="none" w:sz="0" w:space="0" w:color="auto"/>
      </w:divBdr>
    </w:div>
    <w:div w:id="1928031692">
      <w:bodyDiv w:val="1"/>
      <w:marLeft w:val="0"/>
      <w:marRight w:val="0"/>
      <w:marTop w:val="0"/>
      <w:marBottom w:val="0"/>
      <w:divBdr>
        <w:top w:val="none" w:sz="0" w:space="0" w:color="auto"/>
        <w:left w:val="none" w:sz="0" w:space="0" w:color="auto"/>
        <w:bottom w:val="none" w:sz="0" w:space="0" w:color="auto"/>
        <w:right w:val="none" w:sz="0" w:space="0" w:color="auto"/>
      </w:divBdr>
    </w:div>
    <w:div w:id="1929146990">
      <w:bodyDiv w:val="1"/>
      <w:marLeft w:val="0"/>
      <w:marRight w:val="0"/>
      <w:marTop w:val="0"/>
      <w:marBottom w:val="0"/>
      <w:divBdr>
        <w:top w:val="none" w:sz="0" w:space="0" w:color="auto"/>
        <w:left w:val="none" w:sz="0" w:space="0" w:color="auto"/>
        <w:bottom w:val="none" w:sz="0" w:space="0" w:color="auto"/>
        <w:right w:val="none" w:sz="0" w:space="0" w:color="auto"/>
      </w:divBdr>
    </w:div>
    <w:div w:id="1929270629">
      <w:bodyDiv w:val="1"/>
      <w:marLeft w:val="0"/>
      <w:marRight w:val="0"/>
      <w:marTop w:val="0"/>
      <w:marBottom w:val="0"/>
      <w:divBdr>
        <w:top w:val="none" w:sz="0" w:space="0" w:color="auto"/>
        <w:left w:val="none" w:sz="0" w:space="0" w:color="auto"/>
        <w:bottom w:val="none" w:sz="0" w:space="0" w:color="auto"/>
        <w:right w:val="none" w:sz="0" w:space="0" w:color="auto"/>
      </w:divBdr>
    </w:div>
    <w:div w:id="1930576632">
      <w:bodyDiv w:val="1"/>
      <w:marLeft w:val="0"/>
      <w:marRight w:val="0"/>
      <w:marTop w:val="0"/>
      <w:marBottom w:val="0"/>
      <w:divBdr>
        <w:top w:val="none" w:sz="0" w:space="0" w:color="auto"/>
        <w:left w:val="none" w:sz="0" w:space="0" w:color="auto"/>
        <w:bottom w:val="none" w:sz="0" w:space="0" w:color="auto"/>
        <w:right w:val="none" w:sz="0" w:space="0" w:color="auto"/>
      </w:divBdr>
    </w:div>
    <w:div w:id="1930773278">
      <w:bodyDiv w:val="1"/>
      <w:marLeft w:val="0"/>
      <w:marRight w:val="0"/>
      <w:marTop w:val="0"/>
      <w:marBottom w:val="0"/>
      <w:divBdr>
        <w:top w:val="none" w:sz="0" w:space="0" w:color="auto"/>
        <w:left w:val="none" w:sz="0" w:space="0" w:color="auto"/>
        <w:bottom w:val="none" w:sz="0" w:space="0" w:color="auto"/>
        <w:right w:val="none" w:sz="0" w:space="0" w:color="auto"/>
      </w:divBdr>
    </w:div>
    <w:div w:id="1931811830">
      <w:bodyDiv w:val="1"/>
      <w:marLeft w:val="0"/>
      <w:marRight w:val="0"/>
      <w:marTop w:val="0"/>
      <w:marBottom w:val="0"/>
      <w:divBdr>
        <w:top w:val="none" w:sz="0" w:space="0" w:color="auto"/>
        <w:left w:val="none" w:sz="0" w:space="0" w:color="auto"/>
        <w:bottom w:val="none" w:sz="0" w:space="0" w:color="auto"/>
        <w:right w:val="none" w:sz="0" w:space="0" w:color="auto"/>
      </w:divBdr>
    </w:div>
    <w:div w:id="1932002366">
      <w:bodyDiv w:val="1"/>
      <w:marLeft w:val="0"/>
      <w:marRight w:val="0"/>
      <w:marTop w:val="0"/>
      <w:marBottom w:val="0"/>
      <w:divBdr>
        <w:top w:val="none" w:sz="0" w:space="0" w:color="auto"/>
        <w:left w:val="none" w:sz="0" w:space="0" w:color="auto"/>
        <w:bottom w:val="none" w:sz="0" w:space="0" w:color="auto"/>
        <w:right w:val="none" w:sz="0" w:space="0" w:color="auto"/>
      </w:divBdr>
    </w:div>
    <w:div w:id="1932153747">
      <w:bodyDiv w:val="1"/>
      <w:marLeft w:val="0"/>
      <w:marRight w:val="0"/>
      <w:marTop w:val="0"/>
      <w:marBottom w:val="0"/>
      <w:divBdr>
        <w:top w:val="none" w:sz="0" w:space="0" w:color="auto"/>
        <w:left w:val="none" w:sz="0" w:space="0" w:color="auto"/>
        <w:bottom w:val="none" w:sz="0" w:space="0" w:color="auto"/>
        <w:right w:val="none" w:sz="0" w:space="0" w:color="auto"/>
      </w:divBdr>
    </w:div>
    <w:div w:id="1932159881">
      <w:bodyDiv w:val="1"/>
      <w:marLeft w:val="0"/>
      <w:marRight w:val="0"/>
      <w:marTop w:val="0"/>
      <w:marBottom w:val="0"/>
      <w:divBdr>
        <w:top w:val="none" w:sz="0" w:space="0" w:color="auto"/>
        <w:left w:val="none" w:sz="0" w:space="0" w:color="auto"/>
        <w:bottom w:val="none" w:sz="0" w:space="0" w:color="auto"/>
        <w:right w:val="none" w:sz="0" w:space="0" w:color="auto"/>
      </w:divBdr>
    </w:div>
    <w:div w:id="1932616828">
      <w:bodyDiv w:val="1"/>
      <w:marLeft w:val="0"/>
      <w:marRight w:val="0"/>
      <w:marTop w:val="0"/>
      <w:marBottom w:val="0"/>
      <w:divBdr>
        <w:top w:val="none" w:sz="0" w:space="0" w:color="auto"/>
        <w:left w:val="none" w:sz="0" w:space="0" w:color="auto"/>
        <w:bottom w:val="none" w:sz="0" w:space="0" w:color="auto"/>
        <w:right w:val="none" w:sz="0" w:space="0" w:color="auto"/>
      </w:divBdr>
    </w:div>
    <w:div w:id="1932665284">
      <w:bodyDiv w:val="1"/>
      <w:marLeft w:val="0"/>
      <w:marRight w:val="0"/>
      <w:marTop w:val="0"/>
      <w:marBottom w:val="0"/>
      <w:divBdr>
        <w:top w:val="none" w:sz="0" w:space="0" w:color="auto"/>
        <w:left w:val="none" w:sz="0" w:space="0" w:color="auto"/>
        <w:bottom w:val="none" w:sz="0" w:space="0" w:color="auto"/>
        <w:right w:val="none" w:sz="0" w:space="0" w:color="auto"/>
      </w:divBdr>
    </w:div>
    <w:div w:id="1933318189">
      <w:bodyDiv w:val="1"/>
      <w:marLeft w:val="0"/>
      <w:marRight w:val="0"/>
      <w:marTop w:val="0"/>
      <w:marBottom w:val="0"/>
      <w:divBdr>
        <w:top w:val="none" w:sz="0" w:space="0" w:color="auto"/>
        <w:left w:val="none" w:sz="0" w:space="0" w:color="auto"/>
        <w:bottom w:val="none" w:sz="0" w:space="0" w:color="auto"/>
        <w:right w:val="none" w:sz="0" w:space="0" w:color="auto"/>
      </w:divBdr>
    </w:div>
    <w:div w:id="1934581340">
      <w:bodyDiv w:val="1"/>
      <w:marLeft w:val="0"/>
      <w:marRight w:val="0"/>
      <w:marTop w:val="0"/>
      <w:marBottom w:val="0"/>
      <w:divBdr>
        <w:top w:val="none" w:sz="0" w:space="0" w:color="auto"/>
        <w:left w:val="none" w:sz="0" w:space="0" w:color="auto"/>
        <w:bottom w:val="none" w:sz="0" w:space="0" w:color="auto"/>
        <w:right w:val="none" w:sz="0" w:space="0" w:color="auto"/>
      </w:divBdr>
    </w:div>
    <w:div w:id="1934632074">
      <w:bodyDiv w:val="1"/>
      <w:marLeft w:val="0"/>
      <w:marRight w:val="0"/>
      <w:marTop w:val="0"/>
      <w:marBottom w:val="0"/>
      <w:divBdr>
        <w:top w:val="none" w:sz="0" w:space="0" w:color="auto"/>
        <w:left w:val="none" w:sz="0" w:space="0" w:color="auto"/>
        <w:bottom w:val="none" w:sz="0" w:space="0" w:color="auto"/>
        <w:right w:val="none" w:sz="0" w:space="0" w:color="auto"/>
      </w:divBdr>
    </w:div>
    <w:div w:id="1934698700">
      <w:bodyDiv w:val="1"/>
      <w:marLeft w:val="0"/>
      <w:marRight w:val="0"/>
      <w:marTop w:val="0"/>
      <w:marBottom w:val="0"/>
      <w:divBdr>
        <w:top w:val="none" w:sz="0" w:space="0" w:color="auto"/>
        <w:left w:val="none" w:sz="0" w:space="0" w:color="auto"/>
        <w:bottom w:val="none" w:sz="0" w:space="0" w:color="auto"/>
        <w:right w:val="none" w:sz="0" w:space="0" w:color="auto"/>
      </w:divBdr>
    </w:div>
    <w:div w:id="1935673633">
      <w:bodyDiv w:val="1"/>
      <w:marLeft w:val="0"/>
      <w:marRight w:val="0"/>
      <w:marTop w:val="0"/>
      <w:marBottom w:val="0"/>
      <w:divBdr>
        <w:top w:val="none" w:sz="0" w:space="0" w:color="auto"/>
        <w:left w:val="none" w:sz="0" w:space="0" w:color="auto"/>
        <w:bottom w:val="none" w:sz="0" w:space="0" w:color="auto"/>
        <w:right w:val="none" w:sz="0" w:space="0" w:color="auto"/>
      </w:divBdr>
    </w:div>
    <w:div w:id="1935821367">
      <w:bodyDiv w:val="1"/>
      <w:marLeft w:val="0"/>
      <w:marRight w:val="0"/>
      <w:marTop w:val="0"/>
      <w:marBottom w:val="0"/>
      <w:divBdr>
        <w:top w:val="none" w:sz="0" w:space="0" w:color="auto"/>
        <w:left w:val="none" w:sz="0" w:space="0" w:color="auto"/>
        <w:bottom w:val="none" w:sz="0" w:space="0" w:color="auto"/>
        <w:right w:val="none" w:sz="0" w:space="0" w:color="auto"/>
      </w:divBdr>
    </w:div>
    <w:div w:id="1935823297">
      <w:bodyDiv w:val="1"/>
      <w:marLeft w:val="0"/>
      <w:marRight w:val="0"/>
      <w:marTop w:val="0"/>
      <w:marBottom w:val="0"/>
      <w:divBdr>
        <w:top w:val="none" w:sz="0" w:space="0" w:color="auto"/>
        <w:left w:val="none" w:sz="0" w:space="0" w:color="auto"/>
        <w:bottom w:val="none" w:sz="0" w:space="0" w:color="auto"/>
        <w:right w:val="none" w:sz="0" w:space="0" w:color="auto"/>
      </w:divBdr>
    </w:div>
    <w:div w:id="1936669469">
      <w:bodyDiv w:val="1"/>
      <w:marLeft w:val="0"/>
      <w:marRight w:val="0"/>
      <w:marTop w:val="0"/>
      <w:marBottom w:val="0"/>
      <w:divBdr>
        <w:top w:val="none" w:sz="0" w:space="0" w:color="auto"/>
        <w:left w:val="none" w:sz="0" w:space="0" w:color="auto"/>
        <w:bottom w:val="none" w:sz="0" w:space="0" w:color="auto"/>
        <w:right w:val="none" w:sz="0" w:space="0" w:color="auto"/>
      </w:divBdr>
    </w:div>
    <w:div w:id="1936744866">
      <w:bodyDiv w:val="1"/>
      <w:marLeft w:val="0"/>
      <w:marRight w:val="0"/>
      <w:marTop w:val="0"/>
      <w:marBottom w:val="0"/>
      <w:divBdr>
        <w:top w:val="none" w:sz="0" w:space="0" w:color="auto"/>
        <w:left w:val="none" w:sz="0" w:space="0" w:color="auto"/>
        <w:bottom w:val="none" w:sz="0" w:space="0" w:color="auto"/>
        <w:right w:val="none" w:sz="0" w:space="0" w:color="auto"/>
      </w:divBdr>
    </w:div>
    <w:div w:id="1937325124">
      <w:bodyDiv w:val="1"/>
      <w:marLeft w:val="0"/>
      <w:marRight w:val="0"/>
      <w:marTop w:val="0"/>
      <w:marBottom w:val="0"/>
      <w:divBdr>
        <w:top w:val="none" w:sz="0" w:space="0" w:color="auto"/>
        <w:left w:val="none" w:sz="0" w:space="0" w:color="auto"/>
        <w:bottom w:val="none" w:sz="0" w:space="0" w:color="auto"/>
        <w:right w:val="none" w:sz="0" w:space="0" w:color="auto"/>
      </w:divBdr>
    </w:div>
    <w:div w:id="1937712403">
      <w:bodyDiv w:val="1"/>
      <w:marLeft w:val="0"/>
      <w:marRight w:val="0"/>
      <w:marTop w:val="0"/>
      <w:marBottom w:val="0"/>
      <w:divBdr>
        <w:top w:val="none" w:sz="0" w:space="0" w:color="auto"/>
        <w:left w:val="none" w:sz="0" w:space="0" w:color="auto"/>
        <w:bottom w:val="none" w:sz="0" w:space="0" w:color="auto"/>
        <w:right w:val="none" w:sz="0" w:space="0" w:color="auto"/>
      </w:divBdr>
    </w:div>
    <w:div w:id="1938126818">
      <w:bodyDiv w:val="1"/>
      <w:marLeft w:val="0"/>
      <w:marRight w:val="0"/>
      <w:marTop w:val="0"/>
      <w:marBottom w:val="0"/>
      <w:divBdr>
        <w:top w:val="none" w:sz="0" w:space="0" w:color="auto"/>
        <w:left w:val="none" w:sz="0" w:space="0" w:color="auto"/>
        <w:bottom w:val="none" w:sz="0" w:space="0" w:color="auto"/>
        <w:right w:val="none" w:sz="0" w:space="0" w:color="auto"/>
      </w:divBdr>
    </w:div>
    <w:div w:id="1938442898">
      <w:bodyDiv w:val="1"/>
      <w:marLeft w:val="0"/>
      <w:marRight w:val="0"/>
      <w:marTop w:val="0"/>
      <w:marBottom w:val="0"/>
      <w:divBdr>
        <w:top w:val="none" w:sz="0" w:space="0" w:color="auto"/>
        <w:left w:val="none" w:sz="0" w:space="0" w:color="auto"/>
        <w:bottom w:val="none" w:sz="0" w:space="0" w:color="auto"/>
        <w:right w:val="none" w:sz="0" w:space="0" w:color="auto"/>
      </w:divBdr>
    </w:div>
    <w:div w:id="1938516696">
      <w:bodyDiv w:val="1"/>
      <w:marLeft w:val="0"/>
      <w:marRight w:val="0"/>
      <w:marTop w:val="0"/>
      <w:marBottom w:val="0"/>
      <w:divBdr>
        <w:top w:val="none" w:sz="0" w:space="0" w:color="auto"/>
        <w:left w:val="none" w:sz="0" w:space="0" w:color="auto"/>
        <w:bottom w:val="none" w:sz="0" w:space="0" w:color="auto"/>
        <w:right w:val="none" w:sz="0" w:space="0" w:color="auto"/>
      </w:divBdr>
    </w:div>
    <w:div w:id="1938757362">
      <w:bodyDiv w:val="1"/>
      <w:marLeft w:val="0"/>
      <w:marRight w:val="0"/>
      <w:marTop w:val="0"/>
      <w:marBottom w:val="0"/>
      <w:divBdr>
        <w:top w:val="none" w:sz="0" w:space="0" w:color="auto"/>
        <w:left w:val="none" w:sz="0" w:space="0" w:color="auto"/>
        <w:bottom w:val="none" w:sz="0" w:space="0" w:color="auto"/>
        <w:right w:val="none" w:sz="0" w:space="0" w:color="auto"/>
      </w:divBdr>
    </w:div>
    <w:div w:id="1939173223">
      <w:bodyDiv w:val="1"/>
      <w:marLeft w:val="0"/>
      <w:marRight w:val="0"/>
      <w:marTop w:val="0"/>
      <w:marBottom w:val="0"/>
      <w:divBdr>
        <w:top w:val="none" w:sz="0" w:space="0" w:color="auto"/>
        <w:left w:val="none" w:sz="0" w:space="0" w:color="auto"/>
        <w:bottom w:val="none" w:sz="0" w:space="0" w:color="auto"/>
        <w:right w:val="none" w:sz="0" w:space="0" w:color="auto"/>
      </w:divBdr>
    </w:div>
    <w:div w:id="1939291533">
      <w:bodyDiv w:val="1"/>
      <w:marLeft w:val="0"/>
      <w:marRight w:val="0"/>
      <w:marTop w:val="0"/>
      <w:marBottom w:val="0"/>
      <w:divBdr>
        <w:top w:val="none" w:sz="0" w:space="0" w:color="auto"/>
        <w:left w:val="none" w:sz="0" w:space="0" w:color="auto"/>
        <w:bottom w:val="none" w:sz="0" w:space="0" w:color="auto"/>
        <w:right w:val="none" w:sz="0" w:space="0" w:color="auto"/>
      </w:divBdr>
    </w:div>
    <w:div w:id="1939478744">
      <w:bodyDiv w:val="1"/>
      <w:marLeft w:val="0"/>
      <w:marRight w:val="0"/>
      <w:marTop w:val="0"/>
      <w:marBottom w:val="0"/>
      <w:divBdr>
        <w:top w:val="none" w:sz="0" w:space="0" w:color="auto"/>
        <w:left w:val="none" w:sz="0" w:space="0" w:color="auto"/>
        <w:bottom w:val="none" w:sz="0" w:space="0" w:color="auto"/>
        <w:right w:val="none" w:sz="0" w:space="0" w:color="auto"/>
      </w:divBdr>
    </w:div>
    <w:div w:id="1939831046">
      <w:bodyDiv w:val="1"/>
      <w:marLeft w:val="0"/>
      <w:marRight w:val="0"/>
      <w:marTop w:val="0"/>
      <w:marBottom w:val="0"/>
      <w:divBdr>
        <w:top w:val="none" w:sz="0" w:space="0" w:color="auto"/>
        <w:left w:val="none" w:sz="0" w:space="0" w:color="auto"/>
        <w:bottom w:val="none" w:sz="0" w:space="0" w:color="auto"/>
        <w:right w:val="none" w:sz="0" w:space="0" w:color="auto"/>
      </w:divBdr>
    </w:div>
    <w:div w:id="1940135839">
      <w:bodyDiv w:val="1"/>
      <w:marLeft w:val="0"/>
      <w:marRight w:val="0"/>
      <w:marTop w:val="0"/>
      <w:marBottom w:val="0"/>
      <w:divBdr>
        <w:top w:val="none" w:sz="0" w:space="0" w:color="auto"/>
        <w:left w:val="none" w:sz="0" w:space="0" w:color="auto"/>
        <w:bottom w:val="none" w:sz="0" w:space="0" w:color="auto"/>
        <w:right w:val="none" w:sz="0" w:space="0" w:color="auto"/>
      </w:divBdr>
    </w:div>
    <w:div w:id="1940214121">
      <w:bodyDiv w:val="1"/>
      <w:marLeft w:val="0"/>
      <w:marRight w:val="0"/>
      <w:marTop w:val="0"/>
      <w:marBottom w:val="0"/>
      <w:divBdr>
        <w:top w:val="none" w:sz="0" w:space="0" w:color="auto"/>
        <w:left w:val="none" w:sz="0" w:space="0" w:color="auto"/>
        <w:bottom w:val="none" w:sz="0" w:space="0" w:color="auto"/>
        <w:right w:val="none" w:sz="0" w:space="0" w:color="auto"/>
      </w:divBdr>
    </w:div>
    <w:div w:id="1940215369">
      <w:bodyDiv w:val="1"/>
      <w:marLeft w:val="0"/>
      <w:marRight w:val="0"/>
      <w:marTop w:val="0"/>
      <w:marBottom w:val="0"/>
      <w:divBdr>
        <w:top w:val="none" w:sz="0" w:space="0" w:color="auto"/>
        <w:left w:val="none" w:sz="0" w:space="0" w:color="auto"/>
        <w:bottom w:val="none" w:sz="0" w:space="0" w:color="auto"/>
        <w:right w:val="none" w:sz="0" w:space="0" w:color="auto"/>
      </w:divBdr>
    </w:div>
    <w:div w:id="1940789751">
      <w:bodyDiv w:val="1"/>
      <w:marLeft w:val="0"/>
      <w:marRight w:val="0"/>
      <w:marTop w:val="0"/>
      <w:marBottom w:val="0"/>
      <w:divBdr>
        <w:top w:val="none" w:sz="0" w:space="0" w:color="auto"/>
        <w:left w:val="none" w:sz="0" w:space="0" w:color="auto"/>
        <w:bottom w:val="none" w:sz="0" w:space="0" w:color="auto"/>
        <w:right w:val="none" w:sz="0" w:space="0" w:color="auto"/>
      </w:divBdr>
    </w:div>
    <w:div w:id="1941445516">
      <w:bodyDiv w:val="1"/>
      <w:marLeft w:val="0"/>
      <w:marRight w:val="0"/>
      <w:marTop w:val="0"/>
      <w:marBottom w:val="0"/>
      <w:divBdr>
        <w:top w:val="none" w:sz="0" w:space="0" w:color="auto"/>
        <w:left w:val="none" w:sz="0" w:space="0" w:color="auto"/>
        <w:bottom w:val="none" w:sz="0" w:space="0" w:color="auto"/>
        <w:right w:val="none" w:sz="0" w:space="0" w:color="auto"/>
      </w:divBdr>
    </w:div>
    <w:div w:id="1943221740">
      <w:bodyDiv w:val="1"/>
      <w:marLeft w:val="0"/>
      <w:marRight w:val="0"/>
      <w:marTop w:val="0"/>
      <w:marBottom w:val="0"/>
      <w:divBdr>
        <w:top w:val="none" w:sz="0" w:space="0" w:color="auto"/>
        <w:left w:val="none" w:sz="0" w:space="0" w:color="auto"/>
        <w:bottom w:val="none" w:sz="0" w:space="0" w:color="auto"/>
        <w:right w:val="none" w:sz="0" w:space="0" w:color="auto"/>
      </w:divBdr>
    </w:div>
    <w:div w:id="1943295853">
      <w:bodyDiv w:val="1"/>
      <w:marLeft w:val="0"/>
      <w:marRight w:val="0"/>
      <w:marTop w:val="0"/>
      <w:marBottom w:val="0"/>
      <w:divBdr>
        <w:top w:val="none" w:sz="0" w:space="0" w:color="auto"/>
        <w:left w:val="none" w:sz="0" w:space="0" w:color="auto"/>
        <w:bottom w:val="none" w:sz="0" w:space="0" w:color="auto"/>
        <w:right w:val="none" w:sz="0" w:space="0" w:color="auto"/>
      </w:divBdr>
    </w:div>
    <w:div w:id="1943760111">
      <w:bodyDiv w:val="1"/>
      <w:marLeft w:val="0"/>
      <w:marRight w:val="0"/>
      <w:marTop w:val="0"/>
      <w:marBottom w:val="0"/>
      <w:divBdr>
        <w:top w:val="none" w:sz="0" w:space="0" w:color="auto"/>
        <w:left w:val="none" w:sz="0" w:space="0" w:color="auto"/>
        <w:bottom w:val="none" w:sz="0" w:space="0" w:color="auto"/>
        <w:right w:val="none" w:sz="0" w:space="0" w:color="auto"/>
      </w:divBdr>
    </w:div>
    <w:div w:id="1944338433">
      <w:bodyDiv w:val="1"/>
      <w:marLeft w:val="0"/>
      <w:marRight w:val="0"/>
      <w:marTop w:val="0"/>
      <w:marBottom w:val="0"/>
      <w:divBdr>
        <w:top w:val="none" w:sz="0" w:space="0" w:color="auto"/>
        <w:left w:val="none" w:sz="0" w:space="0" w:color="auto"/>
        <w:bottom w:val="none" w:sz="0" w:space="0" w:color="auto"/>
        <w:right w:val="none" w:sz="0" w:space="0" w:color="auto"/>
      </w:divBdr>
    </w:div>
    <w:div w:id="1944411637">
      <w:bodyDiv w:val="1"/>
      <w:marLeft w:val="0"/>
      <w:marRight w:val="0"/>
      <w:marTop w:val="0"/>
      <w:marBottom w:val="0"/>
      <w:divBdr>
        <w:top w:val="none" w:sz="0" w:space="0" w:color="auto"/>
        <w:left w:val="none" w:sz="0" w:space="0" w:color="auto"/>
        <w:bottom w:val="none" w:sz="0" w:space="0" w:color="auto"/>
        <w:right w:val="none" w:sz="0" w:space="0" w:color="auto"/>
      </w:divBdr>
    </w:div>
    <w:div w:id="1944679347">
      <w:bodyDiv w:val="1"/>
      <w:marLeft w:val="0"/>
      <w:marRight w:val="0"/>
      <w:marTop w:val="0"/>
      <w:marBottom w:val="0"/>
      <w:divBdr>
        <w:top w:val="none" w:sz="0" w:space="0" w:color="auto"/>
        <w:left w:val="none" w:sz="0" w:space="0" w:color="auto"/>
        <w:bottom w:val="none" w:sz="0" w:space="0" w:color="auto"/>
        <w:right w:val="none" w:sz="0" w:space="0" w:color="auto"/>
      </w:divBdr>
    </w:div>
    <w:div w:id="1945141147">
      <w:bodyDiv w:val="1"/>
      <w:marLeft w:val="0"/>
      <w:marRight w:val="0"/>
      <w:marTop w:val="0"/>
      <w:marBottom w:val="0"/>
      <w:divBdr>
        <w:top w:val="none" w:sz="0" w:space="0" w:color="auto"/>
        <w:left w:val="none" w:sz="0" w:space="0" w:color="auto"/>
        <w:bottom w:val="none" w:sz="0" w:space="0" w:color="auto"/>
        <w:right w:val="none" w:sz="0" w:space="0" w:color="auto"/>
      </w:divBdr>
    </w:div>
    <w:div w:id="1945376429">
      <w:bodyDiv w:val="1"/>
      <w:marLeft w:val="0"/>
      <w:marRight w:val="0"/>
      <w:marTop w:val="0"/>
      <w:marBottom w:val="0"/>
      <w:divBdr>
        <w:top w:val="none" w:sz="0" w:space="0" w:color="auto"/>
        <w:left w:val="none" w:sz="0" w:space="0" w:color="auto"/>
        <w:bottom w:val="none" w:sz="0" w:space="0" w:color="auto"/>
        <w:right w:val="none" w:sz="0" w:space="0" w:color="auto"/>
      </w:divBdr>
    </w:div>
    <w:div w:id="1946037275">
      <w:bodyDiv w:val="1"/>
      <w:marLeft w:val="0"/>
      <w:marRight w:val="0"/>
      <w:marTop w:val="0"/>
      <w:marBottom w:val="0"/>
      <w:divBdr>
        <w:top w:val="none" w:sz="0" w:space="0" w:color="auto"/>
        <w:left w:val="none" w:sz="0" w:space="0" w:color="auto"/>
        <w:bottom w:val="none" w:sz="0" w:space="0" w:color="auto"/>
        <w:right w:val="none" w:sz="0" w:space="0" w:color="auto"/>
      </w:divBdr>
    </w:div>
    <w:div w:id="1946158858">
      <w:bodyDiv w:val="1"/>
      <w:marLeft w:val="0"/>
      <w:marRight w:val="0"/>
      <w:marTop w:val="0"/>
      <w:marBottom w:val="0"/>
      <w:divBdr>
        <w:top w:val="none" w:sz="0" w:space="0" w:color="auto"/>
        <w:left w:val="none" w:sz="0" w:space="0" w:color="auto"/>
        <w:bottom w:val="none" w:sz="0" w:space="0" w:color="auto"/>
        <w:right w:val="none" w:sz="0" w:space="0" w:color="auto"/>
      </w:divBdr>
    </w:div>
    <w:div w:id="1946385022">
      <w:bodyDiv w:val="1"/>
      <w:marLeft w:val="0"/>
      <w:marRight w:val="0"/>
      <w:marTop w:val="0"/>
      <w:marBottom w:val="0"/>
      <w:divBdr>
        <w:top w:val="none" w:sz="0" w:space="0" w:color="auto"/>
        <w:left w:val="none" w:sz="0" w:space="0" w:color="auto"/>
        <w:bottom w:val="none" w:sz="0" w:space="0" w:color="auto"/>
        <w:right w:val="none" w:sz="0" w:space="0" w:color="auto"/>
      </w:divBdr>
    </w:div>
    <w:div w:id="1947420432">
      <w:bodyDiv w:val="1"/>
      <w:marLeft w:val="0"/>
      <w:marRight w:val="0"/>
      <w:marTop w:val="0"/>
      <w:marBottom w:val="0"/>
      <w:divBdr>
        <w:top w:val="none" w:sz="0" w:space="0" w:color="auto"/>
        <w:left w:val="none" w:sz="0" w:space="0" w:color="auto"/>
        <w:bottom w:val="none" w:sz="0" w:space="0" w:color="auto"/>
        <w:right w:val="none" w:sz="0" w:space="0" w:color="auto"/>
      </w:divBdr>
    </w:div>
    <w:div w:id="1947691544">
      <w:bodyDiv w:val="1"/>
      <w:marLeft w:val="0"/>
      <w:marRight w:val="0"/>
      <w:marTop w:val="0"/>
      <w:marBottom w:val="0"/>
      <w:divBdr>
        <w:top w:val="none" w:sz="0" w:space="0" w:color="auto"/>
        <w:left w:val="none" w:sz="0" w:space="0" w:color="auto"/>
        <w:bottom w:val="none" w:sz="0" w:space="0" w:color="auto"/>
        <w:right w:val="none" w:sz="0" w:space="0" w:color="auto"/>
      </w:divBdr>
    </w:div>
    <w:div w:id="1948000415">
      <w:bodyDiv w:val="1"/>
      <w:marLeft w:val="0"/>
      <w:marRight w:val="0"/>
      <w:marTop w:val="0"/>
      <w:marBottom w:val="0"/>
      <w:divBdr>
        <w:top w:val="none" w:sz="0" w:space="0" w:color="auto"/>
        <w:left w:val="none" w:sz="0" w:space="0" w:color="auto"/>
        <w:bottom w:val="none" w:sz="0" w:space="0" w:color="auto"/>
        <w:right w:val="none" w:sz="0" w:space="0" w:color="auto"/>
      </w:divBdr>
    </w:div>
    <w:div w:id="1948006546">
      <w:bodyDiv w:val="1"/>
      <w:marLeft w:val="0"/>
      <w:marRight w:val="0"/>
      <w:marTop w:val="0"/>
      <w:marBottom w:val="0"/>
      <w:divBdr>
        <w:top w:val="none" w:sz="0" w:space="0" w:color="auto"/>
        <w:left w:val="none" w:sz="0" w:space="0" w:color="auto"/>
        <w:bottom w:val="none" w:sz="0" w:space="0" w:color="auto"/>
        <w:right w:val="none" w:sz="0" w:space="0" w:color="auto"/>
      </w:divBdr>
    </w:div>
    <w:div w:id="1948582930">
      <w:bodyDiv w:val="1"/>
      <w:marLeft w:val="0"/>
      <w:marRight w:val="0"/>
      <w:marTop w:val="0"/>
      <w:marBottom w:val="0"/>
      <w:divBdr>
        <w:top w:val="none" w:sz="0" w:space="0" w:color="auto"/>
        <w:left w:val="none" w:sz="0" w:space="0" w:color="auto"/>
        <w:bottom w:val="none" w:sz="0" w:space="0" w:color="auto"/>
        <w:right w:val="none" w:sz="0" w:space="0" w:color="auto"/>
      </w:divBdr>
    </w:div>
    <w:div w:id="1948586056">
      <w:bodyDiv w:val="1"/>
      <w:marLeft w:val="0"/>
      <w:marRight w:val="0"/>
      <w:marTop w:val="0"/>
      <w:marBottom w:val="0"/>
      <w:divBdr>
        <w:top w:val="none" w:sz="0" w:space="0" w:color="auto"/>
        <w:left w:val="none" w:sz="0" w:space="0" w:color="auto"/>
        <w:bottom w:val="none" w:sz="0" w:space="0" w:color="auto"/>
        <w:right w:val="none" w:sz="0" w:space="0" w:color="auto"/>
      </w:divBdr>
    </w:div>
    <w:div w:id="1948848072">
      <w:bodyDiv w:val="1"/>
      <w:marLeft w:val="0"/>
      <w:marRight w:val="0"/>
      <w:marTop w:val="0"/>
      <w:marBottom w:val="0"/>
      <w:divBdr>
        <w:top w:val="none" w:sz="0" w:space="0" w:color="auto"/>
        <w:left w:val="none" w:sz="0" w:space="0" w:color="auto"/>
        <w:bottom w:val="none" w:sz="0" w:space="0" w:color="auto"/>
        <w:right w:val="none" w:sz="0" w:space="0" w:color="auto"/>
      </w:divBdr>
    </w:div>
    <w:div w:id="1949851452">
      <w:bodyDiv w:val="1"/>
      <w:marLeft w:val="0"/>
      <w:marRight w:val="0"/>
      <w:marTop w:val="0"/>
      <w:marBottom w:val="0"/>
      <w:divBdr>
        <w:top w:val="none" w:sz="0" w:space="0" w:color="auto"/>
        <w:left w:val="none" w:sz="0" w:space="0" w:color="auto"/>
        <w:bottom w:val="none" w:sz="0" w:space="0" w:color="auto"/>
        <w:right w:val="none" w:sz="0" w:space="0" w:color="auto"/>
      </w:divBdr>
    </w:div>
    <w:div w:id="1950158971">
      <w:bodyDiv w:val="1"/>
      <w:marLeft w:val="0"/>
      <w:marRight w:val="0"/>
      <w:marTop w:val="0"/>
      <w:marBottom w:val="0"/>
      <w:divBdr>
        <w:top w:val="none" w:sz="0" w:space="0" w:color="auto"/>
        <w:left w:val="none" w:sz="0" w:space="0" w:color="auto"/>
        <w:bottom w:val="none" w:sz="0" w:space="0" w:color="auto"/>
        <w:right w:val="none" w:sz="0" w:space="0" w:color="auto"/>
      </w:divBdr>
    </w:div>
    <w:div w:id="1950352114">
      <w:bodyDiv w:val="1"/>
      <w:marLeft w:val="0"/>
      <w:marRight w:val="0"/>
      <w:marTop w:val="0"/>
      <w:marBottom w:val="0"/>
      <w:divBdr>
        <w:top w:val="none" w:sz="0" w:space="0" w:color="auto"/>
        <w:left w:val="none" w:sz="0" w:space="0" w:color="auto"/>
        <w:bottom w:val="none" w:sz="0" w:space="0" w:color="auto"/>
        <w:right w:val="none" w:sz="0" w:space="0" w:color="auto"/>
      </w:divBdr>
    </w:div>
    <w:div w:id="1950355667">
      <w:bodyDiv w:val="1"/>
      <w:marLeft w:val="0"/>
      <w:marRight w:val="0"/>
      <w:marTop w:val="0"/>
      <w:marBottom w:val="0"/>
      <w:divBdr>
        <w:top w:val="none" w:sz="0" w:space="0" w:color="auto"/>
        <w:left w:val="none" w:sz="0" w:space="0" w:color="auto"/>
        <w:bottom w:val="none" w:sz="0" w:space="0" w:color="auto"/>
        <w:right w:val="none" w:sz="0" w:space="0" w:color="auto"/>
      </w:divBdr>
    </w:div>
    <w:div w:id="1950700071">
      <w:bodyDiv w:val="1"/>
      <w:marLeft w:val="0"/>
      <w:marRight w:val="0"/>
      <w:marTop w:val="0"/>
      <w:marBottom w:val="0"/>
      <w:divBdr>
        <w:top w:val="none" w:sz="0" w:space="0" w:color="auto"/>
        <w:left w:val="none" w:sz="0" w:space="0" w:color="auto"/>
        <w:bottom w:val="none" w:sz="0" w:space="0" w:color="auto"/>
        <w:right w:val="none" w:sz="0" w:space="0" w:color="auto"/>
      </w:divBdr>
    </w:div>
    <w:div w:id="1951545795">
      <w:bodyDiv w:val="1"/>
      <w:marLeft w:val="0"/>
      <w:marRight w:val="0"/>
      <w:marTop w:val="0"/>
      <w:marBottom w:val="0"/>
      <w:divBdr>
        <w:top w:val="none" w:sz="0" w:space="0" w:color="auto"/>
        <w:left w:val="none" w:sz="0" w:space="0" w:color="auto"/>
        <w:bottom w:val="none" w:sz="0" w:space="0" w:color="auto"/>
        <w:right w:val="none" w:sz="0" w:space="0" w:color="auto"/>
      </w:divBdr>
    </w:div>
    <w:div w:id="1953200546">
      <w:bodyDiv w:val="1"/>
      <w:marLeft w:val="0"/>
      <w:marRight w:val="0"/>
      <w:marTop w:val="0"/>
      <w:marBottom w:val="0"/>
      <w:divBdr>
        <w:top w:val="none" w:sz="0" w:space="0" w:color="auto"/>
        <w:left w:val="none" w:sz="0" w:space="0" w:color="auto"/>
        <w:bottom w:val="none" w:sz="0" w:space="0" w:color="auto"/>
        <w:right w:val="none" w:sz="0" w:space="0" w:color="auto"/>
      </w:divBdr>
    </w:div>
    <w:div w:id="1953314934">
      <w:bodyDiv w:val="1"/>
      <w:marLeft w:val="0"/>
      <w:marRight w:val="0"/>
      <w:marTop w:val="0"/>
      <w:marBottom w:val="0"/>
      <w:divBdr>
        <w:top w:val="none" w:sz="0" w:space="0" w:color="auto"/>
        <w:left w:val="none" w:sz="0" w:space="0" w:color="auto"/>
        <w:bottom w:val="none" w:sz="0" w:space="0" w:color="auto"/>
        <w:right w:val="none" w:sz="0" w:space="0" w:color="auto"/>
      </w:divBdr>
    </w:div>
    <w:div w:id="1953974055">
      <w:bodyDiv w:val="1"/>
      <w:marLeft w:val="0"/>
      <w:marRight w:val="0"/>
      <w:marTop w:val="0"/>
      <w:marBottom w:val="0"/>
      <w:divBdr>
        <w:top w:val="none" w:sz="0" w:space="0" w:color="auto"/>
        <w:left w:val="none" w:sz="0" w:space="0" w:color="auto"/>
        <w:bottom w:val="none" w:sz="0" w:space="0" w:color="auto"/>
        <w:right w:val="none" w:sz="0" w:space="0" w:color="auto"/>
      </w:divBdr>
    </w:div>
    <w:div w:id="1954238948">
      <w:bodyDiv w:val="1"/>
      <w:marLeft w:val="0"/>
      <w:marRight w:val="0"/>
      <w:marTop w:val="0"/>
      <w:marBottom w:val="0"/>
      <w:divBdr>
        <w:top w:val="none" w:sz="0" w:space="0" w:color="auto"/>
        <w:left w:val="none" w:sz="0" w:space="0" w:color="auto"/>
        <w:bottom w:val="none" w:sz="0" w:space="0" w:color="auto"/>
        <w:right w:val="none" w:sz="0" w:space="0" w:color="auto"/>
      </w:divBdr>
    </w:div>
    <w:div w:id="1954509289">
      <w:bodyDiv w:val="1"/>
      <w:marLeft w:val="0"/>
      <w:marRight w:val="0"/>
      <w:marTop w:val="0"/>
      <w:marBottom w:val="0"/>
      <w:divBdr>
        <w:top w:val="none" w:sz="0" w:space="0" w:color="auto"/>
        <w:left w:val="none" w:sz="0" w:space="0" w:color="auto"/>
        <w:bottom w:val="none" w:sz="0" w:space="0" w:color="auto"/>
        <w:right w:val="none" w:sz="0" w:space="0" w:color="auto"/>
      </w:divBdr>
    </w:div>
    <w:div w:id="1954556354">
      <w:bodyDiv w:val="1"/>
      <w:marLeft w:val="0"/>
      <w:marRight w:val="0"/>
      <w:marTop w:val="0"/>
      <w:marBottom w:val="0"/>
      <w:divBdr>
        <w:top w:val="none" w:sz="0" w:space="0" w:color="auto"/>
        <w:left w:val="none" w:sz="0" w:space="0" w:color="auto"/>
        <w:bottom w:val="none" w:sz="0" w:space="0" w:color="auto"/>
        <w:right w:val="none" w:sz="0" w:space="0" w:color="auto"/>
      </w:divBdr>
    </w:div>
    <w:div w:id="1955021337">
      <w:bodyDiv w:val="1"/>
      <w:marLeft w:val="0"/>
      <w:marRight w:val="0"/>
      <w:marTop w:val="0"/>
      <w:marBottom w:val="0"/>
      <w:divBdr>
        <w:top w:val="none" w:sz="0" w:space="0" w:color="auto"/>
        <w:left w:val="none" w:sz="0" w:space="0" w:color="auto"/>
        <w:bottom w:val="none" w:sz="0" w:space="0" w:color="auto"/>
        <w:right w:val="none" w:sz="0" w:space="0" w:color="auto"/>
      </w:divBdr>
    </w:div>
    <w:div w:id="1955480123">
      <w:bodyDiv w:val="1"/>
      <w:marLeft w:val="0"/>
      <w:marRight w:val="0"/>
      <w:marTop w:val="0"/>
      <w:marBottom w:val="0"/>
      <w:divBdr>
        <w:top w:val="none" w:sz="0" w:space="0" w:color="auto"/>
        <w:left w:val="none" w:sz="0" w:space="0" w:color="auto"/>
        <w:bottom w:val="none" w:sz="0" w:space="0" w:color="auto"/>
        <w:right w:val="none" w:sz="0" w:space="0" w:color="auto"/>
      </w:divBdr>
    </w:div>
    <w:div w:id="1955598253">
      <w:bodyDiv w:val="1"/>
      <w:marLeft w:val="0"/>
      <w:marRight w:val="0"/>
      <w:marTop w:val="0"/>
      <w:marBottom w:val="0"/>
      <w:divBdr>
        <w:top w:val="none" w:sz="0" w:space="0" w:color="auto"/>
        <w:left w:val="none" w:sz="0" w:space="0" w:color="auto"/>
        <w:bottom w:val="none" w:sz="0" w:space="0" w:color="auto"/>
        <w:right w:val="none" w:sz="0" w:space="0" w:color="auto"/>
      </w:divBdr>
    </w:div>
    <w:div w:id="1956251995">
      <w:bodyDiv w:val="1"/>
      <w:marLeft w:val="0"/>
      <w:marRight w:val="0"/>
      <w:marTop w:val="0"/>
      <w:marBottom w:val="0"/>
      <w:divBdr>
        <w:top w:val="none" w:sz="0" w:space="0" w:color="auto"/>
        <w:left w:val="none" w:sz="0" w:space="0" w:color="auto"/>
        <w:bottom w:val="none" w:sz="0" w:space="0" w:color="auto"/>
        <w:right w:val="none" w:sz="0" w:space="0" w:color="auto"/>
      </w:divBdr>
    </w:div>
    <w:div w:id="1956672477">
      <w:bodyDiv w:val="1"/>
      <w:marLeft w:val="0"/>
      <w:marRight w:val="0"/>
      <w:marTop w:val="0"/>
      <w:marBottom w:val="0"/>
      <w:divBdr>
        <w:top w:val="none" w:sz="0" w:space="0" w:color="auto"/>
        <w:left w:val="none" w:sz="0" w:space="0" w:color="auto"/>
        <w:bottom w:val="none" w:sz="0" w:space="0" w:color="auto"/>
        <w:right w:val="none" w:sz="0" w:space="0" w:color="auto"/>
      </w:divBdr>
    </w:div>
    <w:div w:id="1956978785">
      <w:bodyDiv w:val="1"/>
      <w:marLeft w:val="0"/>
      <w:marRight w:val="0"/>
      <w:marTop w:val="0"/>
      <w:marBottom w:val="0"/>
      <w:divBdr>
        <w:top w:val="none" w:sz="0" w:space="0" w:color="auto"/>
        <w:left w:val="none" w:sz="0" w:space="0" w:color="auto"/>
        <w:bottom w:val="none" w:sz="0" w:space="0" w:color="auto"/>
        <w:right w:val="none" w:sz="0" w:space="0" w:color="auto"/>
      </w:divBdr>
    </w:div>
    <w:div w:id="1957560599">
      <w:bodyDiv w:val="1"/>
      <w:marLeft w:val="0"/>
      <w:marRight w:val="0"/>
      <w:marTop w:val="0"/>
      <w:marBottom w:val="0"/>
      <w:divBdr>
        <w:top w:val="none" w:sz="0" w:space="0" w:color="auto"/>
        <w:left w:val="none" w:sz="0" w:space="0" w:color="auto"/>
        <w:bottom w:val="none" w:sz="0" w:space="0" w:color="auto"/>
        <w:right w:val="none" w:sz="0" w:space="0" w:color="auto"/>
      </w:divBdr>
    </w:div>
    <w:div w:id="1957977098">
      <w:bodyDiv w:val="1"/>
      <w:marLeft w:val="0"/>
      <w:marRight w:val="0"/>
      <w:marTop w:val="0"/>
      <w:marBottom w:val="0"/>
      <w:divBdr>
        <w:top w:val="none" w:sz="0" w:space="0" w:color="auto"/>
        <w:left w:val="none" w:sz="0" w:space="0" w:color="auto"/>
        <w:bottom w:val="none" w:sz="0" w:space="0" w:color="auto"/>
        <w:right w:val="none" w:sz="0" w:space="0" w:color="auto"/>
      </w:divBdr>
    </w:div>
    <w:div w:id="1958370545">
      <w:bodyDiv w:val="1"/>
      <w:marLeft w:val="0"/>
      <w:marRight w:val="0"/>
      <w:marTop w:val="0"/>
      <w:marBottom w:val="0"/>
      <w:divBdr>
        <w:top w:val="none" w:sz="0" w:space="0" w:color="auto"/>
        <w:left w:val="none" w:sz="0" w:space="0" w:color="auto"/>
        <w:bottom w:val="none" w:sz="0" w:space="0" w:color="auto"/>
        <w:right w:val="none" w:sz="0" w:space="0" w:color="auto"/>
      </w:divBdr>
    </w:div>
    <w:div w:id="1958826830">
      <w:bodyDiv w:val="1"/>
      <w:marLeft w:val="0"/>
      <w:marRight w:val="0"/>
      <w:marTop w:val="0"/>
      <w:marBottom w:val="0"/>
      <w:divBdr>
        <w:top w:val="none" w:sz="0" w:space="0" w:color="auto"/>
        <w:left w:val="none" w:sz="0" w:space="0" w:color="auto"/>
        <w:bottom w:val="none" w:sz="0" w:space="0" w:color="auto"/>
        <w:right w:val="none" w:sz="0" w:space="0" w:color="auto"/>
      </w:divBdr>
    </w:div>
    <w:div w:id="1959215351">
      <w:bodyDiv w:val="1"/>
      <w:marLeft w:val="0"/>
      <w:marRight w:val="0"/>
      <w:marTop w:val="0"/>
      <w:marBottom w:val="0"/>
      <w:divBdr>
        <w:top w:val="none" w:sz="0" w:space="0" w:color="auto"/>
        <w:left w:val="none" w:sz="0" w:space="0" w:color="auto"/>
        <w:bottom w:val="none" w:sz="0" w:space="0" w:color="auto"/>
        <w:right w:val="none" w:sz="0" w:space="0" w:color="auto"/>
      </w:divBdr>
    </w:div>
    <w:div w:id="1959291604">
      <w:bodyDiv w:val="1"/>
      <w:marLeft w:val="0"/>
      <w:marRight w:val="0"/>
      <w:marTop w:val="0"/>
      <w:marBottom w:val="0"/>
      <w:divBdr>
        <w:top w:val="none" w:sz="0" w:space="0" w:color="auto"/>
        <w:left w:val="none" w:sz="0" w:space="0" w:color="auto"/>
        <w:bottom w:val="none" w:sz="0" w:space="0" w:color="auto"/>
        <w:right w:val="none" w:sz="0" w:space="0" w:color="auto"/>
      </w:divBdr>
    </w:div>
    <w:div w:id="1959331916">
      <w:bodyDiv w:val="1"/>
      <w:marLeft w:val="0"/>
      <w:marRight w:val="0"/>
      <w:marTop w:val="0"/>
      <w:marBottom w:val="0"/>
      <w:divBdr>
        <w:top w:val="none" w:sz="0" w:space="0" w:color="auto"/>
        <w:left w:val="none" w:sz="0" w:space="0" w:color="auto"/>
        <w:bottom w:val="none" w:sz="0" w:space="0" w:color="auto"/>
        <w:right w:val="none" w:sz="0" w:space="0" w:color="auto"/>
      </w:divBdr>
    </w:div>
    <w:div w:id="1959489018">
      <w:bodyDiv w:val="1"/>
      <w:marLeft w:val="0"/>
      <w:marRight w:val="0"/>
      <w:marTop w:val="0"/>
      <w:marBottom w:val="0"/>
      <w:divBdr>
        <w:top w:val="none" w:sz="0" w:space="0" w:color="auto"/>
        <w:left w:val="none" w:sz="0" w:space="0" w:color="auto"/>
        <w:bottom w:val="none" w:sz="0" w:space="0" w:color="auto"/>
        <w:right w:val="none" w:sz="0" w:space="0" w:color="auto"/>
      </w:divBdr>
    </w:div>
    <w:div w:id="1959680749">
      <w:bodyDiv w:val="1"/>
      <w:marLeft w:val="0"/>
      <w:marRight w:val="0"/>
      <w:marTop w:val="0"/>
      <w:marBottom w:val="0"/>
      <w:divBdr>
        <w:top w:val="none" w:sz="0" w:space="0" w:color="auto"/>
        <w:left w:val="none" w:sz="0" w:space="0" w:color="auto"/>
        <w:bottom w:val="none" w:sz="0" w:space="0" w:color="auto"/>
        <w:right w:val="none" w:sz="0" w:space="0" w:color="auto"/>
      </w:divBdr>
    </w:div>
    <w:div w:id="1960182935">
      <w:bodyDiv w:val="1"/>
      <w:marLeft w:val="0"/>
      <w:marRight w:val="0"/>
      <w:marTop w:val="0"/>
      <w:marBottom w:val="0"/>
      <w:divBdr>
        <w:top w:val="none" w:sz="0" w:space="0" w:color="auto"/>
        <w:left w:val="none" w:sz="0" w:space="0" w:color="auto"/>
        <w:bottom w:val="none" w:sz="0" w:space="0" w:color="auto"/>
        <w:right w:val="none" w:sz="0" w:space="0" w:color="auto"/>
      </w:divBdr>
    </w:div>
    <w:div w:id="1960261417">
      <w:bodyDiv w:val="1"/>
      <w:marLeft w:val="0"/>
      <w:marRight w:val="0"/>
      <w:marTop w:val="0"/>
      <w:marBottom w:val="0"/>
      <w:divBdr>
        <w:top w:val="none" w:sz="0" w:space="0" w:color="auto"/>
        <w:left w:val="none" w:sz="0" w:space="0" w:color="auto"/>
        <w:bottom w:val="none" w:sz="0" w:space="0" w:color="auto"/>
        <w:right w:val="none" w:sz="0" w:space="0" w:color="auto"/>
      </w:divBdr>
    </w:div>
    <w:div w:id="1961102897">
      <w:bodyDiv w:val="1"/>
      <w:marLeft w:val="0"/>
      <w:marRight w:val="0"/>
      <w:marTop w:val="0"/>
      <w:marBottom w:val="0"/>
      <w:divBdr>
        <w:top w:val="none" w:sz="0" w:space="0" w:color="auto"/>
        <w:left w:val="none" w:sz="0" w:space="0" w:color="auto"/>
        <w:bottom w:val="none" w:sz="0" w:space="0" w:color="auto"/>
        <w:right w:val="none" w:sz="0" w:space="0" w:color="auto"/>
      </w:divBdr>
    </w:div>
    <w:div w:id="1961717704">
      <w:bodyDiv w:val="1"/>
      <w:marLeft w:val="0"/>
      <w:marRight w:val="0"/>
      <w:marTop w:val="0"/>
      <w:marBottom w:val="0"/>
      <w:divBdr>
        <w:top w:val="none" w:sz="0" w:space="0" w:color="auto"/>
        <w:left w:val="none" w:sz="0" w:space="0" w:color="auto"/>
        <w:bottom w:val="none" w:sz="0" w:space="0" w:color="auto"/>
        <w:right w:val="none" w:sz="0" w:space="0" w:color="auto"/>
      </w:divBdr>
    </w:div>
    <w:div w:id="1962153106">
      <w:bodyDiv w:val="1"/>
      <w:marLeft w:val="0"/>
      <w:marRight w:val="0"/>
      <w:marTop w:val="0"/>
      <w:marBottom w:val="0"/>
      <w:divBdr>
        <w:top w:val="none" w:sz="0" w:space="0" w:color="auto"/>
        <w:left w:val="none" w:sz="0" w:space="0" w:color="auto"/>
        <w:bottom w:val="none" w:sz="0" w:space="0" w:color="auto"/>
        <w:right w:val="none" w:sz="0" w:space="0" w:color="auto"/>
      </w:divBdr>
    </w:div>
    <w:div w:id="1962758844">
      <w:bodyDiv w:val="1"/>
      <w:marLeft w:val="0"/>
      <w:marRight w:val="0"/>
      <w:marTop w:val="0"/>
      <w:marBottom w:val="0"/>
      <w:divBdr>
        <w:top w:val="none" w:sz="0" w:space="0" w:color="auto"/>
        <w:left w:val="none" w:sz="0" w:space="0" w:color="auto"/>
        <w:bottom w:val="none" w:sz="0" w:space="0" w:color="auto"/>
        <w:right w:val="none" w:sz="0" w:space="0" w:color="auto"/>
      </w:divBdr>
    </w:div>
    <w:div w:id="1962956731">
      <w:bodyDiv w:val="1"/>
      <w:marLeft w:val="0"/>
      <w:marRight w:val="0"/>
      <w:marTop w:val="0"/>
      <w:marBottom w:val="0"/>
      <w:divBdr>
        <w:top w:val="none" w:sz="0" w:space="0" w:color="auto"/>
        <w:left w:val="none" w:sz="0" w:space="0" w:color="auto"/>
        <w:bottom w:val="none" w:sz="0" w:space="0" w:color="auto"/>
        <w:right w:val="none" w:sz="0" w:space="0" w:color="auto"/>
      </w:divBdr>
    </w:div>
    <w:div w:id="1963000901">
      <w:bodyDiv w:val="1"/>
      <w:marLeft w:val="0"/>
      <w:marRight w:val="0"/>
      <w:marTop w:val="0"/>
      <w:marBottom w:val="0"/>
      <w:divBdr>
        <w:top w:val="none" w:sz="0" w:space="0" w:color="auto"/>
        <w:left w:val="none" w:sz="0" w:space="0" w:color="auto"/>
        <w:bottom w:val="none" w:sz="0" w:space="0" w:color="auto"/>
        <w:right w:val="none" w:sz="0" w:space="0" w:color="auto"/>
      </w:divBdr>
    </w:div>
    <w:div w:id="1963994448">
      <w:bodyDiv w:val="1"/>
      <w:marLeft w:val="0"/>
      <w:marRight w:val="0"/>
      <w:marTop w:val="0"/>
      <w:marBottom w:val="0"/>
      <w:divBdr>
        <w:top w:val="none" w:sz="0" w:space="0" w:color="auto"/>
        <w:left w:val="none" w:sz="0" w:space="0" w:color="auto"/>
        <w:bottom w:val="none" w:sz="0" w:space="0" w:color="auto"/>
        <w:right w:val="none" w:sz="0" w:space="0" w:color="auto"/>
      </w:divBdr>
    </w:div>
    <w:div w:id="1964732001">
      <w:bodyDiv w:val="1"/>
      <w:marLeft w:val="0"/>
      <w:marRight w:val="0"/>
      <w:marTop w:val="0"/>
      <w:marBottom w:val="0"/>
      <w:divBdr>
        <w:top w:val="none" w:sz="0" w:space="0" w:color="auto"/>
        <w:left w:val="none" w:sz="0" w:space="0" w:color="auto"/>
        <w:bottom w:val="none" w:sz="0" w:space="0" w:color="auto"/>
        <w:right w:val="none" w:sz="0" w:space="0" w:color="auto"/>
      </w:divBdr>
    </w:div>
    <w:div w:id="1964921865">
      <w:bodyDiv w:val="1"/>
      <w:marLeft w:val="0"/>
      <w:marRight w:val="0"/>
      <w:marTop w:val="0"/>
      <w:marBottom w:val="0"/>
      <w:divBdr>
        <w:top w:val="none" w:sz="0" w:space="0" w:color="auto"/>
        <w:left w:val="none" w:sz="0" w:space="0" w:color="auto"/>
        <w:bottom w:val="none" w:sz="0" w:space="0" w:color="auto"/>
        <w:right w:val="none" w:sz="0" w:space="0" w:color="auto"/>
      </w:divBdr>
    </w:div>
    <w:div w:id="1966234599">
      <w:bodyDiv w:val="1"/>
      <w:marLeft w:val="0"/>
      <w:marRight w:val="0"/>
      <w:marTop w:val="0"/>
      <w:marBottom w:val="0"/>
      <w:divBdr>
        <w:top w:val="none" w:sz="0" w:space="0" w:color="auto"/>
        <w:left w:val="none" w:sz="0" w:space="0" w:color="auto"/>
        <w:bottom w:val="none" w:sz="0" w:space="0" w:color="auto"/>
        <w:right w:val="none" w:sz="0" w:space="0" w:color="auto"/>
      </w:divBdr>
    </w:div>
    <w:div w:id="1966345241">
      <w:bodyDiv w:val="1"/>
      <w:marLeft w:val="0"/>
      <w:marRight w:val="0"/>
      <w:marTop w:val="0"/>
      <w:marBottom w:val="0"/>
      <w:divBdr>
        <w:top w:val="none" w:sz="0" w:space="0" w:color="auto"/>
        <w:left w:val="none" w:sz="0" w:space="0" w:color="auto"/>
        <w:bottom w:val="none" w:sz="0" w:space="0" w:color="auto"/>
        <w:right w:val="none" w:sz="0" w:space="0" w:color="auto"/>
      </w:divBdr>
    </w:div>
    <w:div w:id="1966544392">
      <w:bodyDiv w:val="1"/>
      <w:marLeft w:val="0"/>
      <w:marRight w:val="0"/>
      <w:marTop w:val="0"/>
      <w:marBottom w:val="0"/>
      <w:divBdr>
        <w:top w:val="none" w:sz="0" w:space="0" w:color="auto"/>
        <w:left w:val="none" w:sz="0" w:space="0" w:color="auto"/>
        <w:bottom w:val="none" w:sz="0" w:space="0" w:color="auto"/>
        <w:right w:val="none" w:sz="0" w:space="0" w:color="auto"/>
      </w:divBdr>
    </w:div>
    <w:div w:id="1966547173">
      <w:bodyDiv w:val="1"/>
      <w:marLeft w:val="0"/>
      <w:marRight w:val="0"/>
      <w:marTop w:val="0"/>
      <w:marBottom w:val="0"/>
      <w:divBdr>
        <w:top w:val="none" w:sz="0" w:space="0" w:color="auto"/>
        <w:left w:val="none" w:sz="0" w:space="0" w:color="auto"/>
        <w:bottom w:val="none" w:sz="0" w:space="0" w:color="auto"/>
        <w:right w:val="none" w:sz="0" w:space="0" w:color="auto"/>
      </w:divBdr>
    </w:div>
    <w:div w:id="1966618663">
      <w:bodyDiv w:val="1"/>
      <w:marLeft w:val="0"/>
      <w:marRight w:val="0"/>
      <w:marTop w:val="0"/>
      <w:marBottom w:val="0"/>
      <w:divBdr>
        <w:top w:val="none" w:sz="0" w:space="0" w:color="auto"/>
        <w:left w:val="none" w:sz="0" w:space="0" w:color="auto"/>
        <w:bottom w:val="none" w:sz="0" w:space="0" w:color="auto"/>
        <w:right w:val="none" w:sz="0" w:space="0" w:color="auto"/>
      </w:divBdr>
    </w:div>
    <w:div w:id="1966740719">
      <w:bodyDiv w:val="1"/>
      <w:marLeft w:val="0"/>
      <w:marRight w:val="0"/>
      <w:marTop w:val="0"/>
      <w:marBottom w:val="0"/>
      <w:divBdr>
        <w:top w:val="none" w:sz="0" w:space="0" w:color="auto"/>
        <w:left w:val="none" w:sz="0" w:space="0" w:color="auto"/>
        <w:bottom w:val="none" w:sz="0" w:space="0" w:color="auto"/>
        <w:right w:val="none" w:sz="0" w:space="0" w:color="auto"/>
      </w:divBdr>
    </w:div>
    <w:div w:id="1967733522">
      <w:bodyDiv w:val="1"/>
      <w:marLeft w:val="0"/>
      <w:marRight w:val="0"/>
      <w:marTop w:val="0"/>
      <w:marBottom w:val="0"/>
      <w:divBdr>
        <w:top w:val="none" w:sz="0" w:space="0" w:color="auto"/>
        <w:left w:val="none" w:sz="0" w:space="0" w:color="auto"/>
        <w:bottom w:val="none" w:sz="0" w:space="0" w:color="auto"/>
        <w:right w:val="none" w:sz="0" w:space="0" w:color="auto"/>
      </w:divBdr>
    </w:div>
    <w:div w:id="1968003345">
      <w:bodyDiv w:val="1"/>
      <w:marLeft w:val="0"/>
      <w:marRight w:val="0"/>
      <w:marTop w:val="0"/>
      <w:marBottom w:val="0"/>
      <w:divBdr>
        <w:top w:val="none" w:sz="0" w:space="0" w:color="auto"/>
        <w:left w:val="none" w:sz="0" w:space="0" w:color="auto"/>
        <w:bottom w:val="none" w:sz="0" w:space="0" w:color="auto"/>
        <w:right w:val="none" w:sz="0" w:space="0" w:color="auto"/>
      </w:divBdr>
    </w:div>
    <w:div w:id="1968851621">
      <w:bodyDiv w:val="1"/>
      <w:marLeft w:val="0"/>
      <w:marRight w:val="0"/>
      <w:marTop w:val="0"/>
      <w:marBottom w:val="0"/>
      <w:divBdr>
        <w:top w:val="none" w:sz="0" w:space="0" w:color="auto"/>
        <w:left w:val="none" w:sz="0" w:space="0" w:color="auto"/>
        <w:bottom w:val="none" w:sz="0" w:space="0" w:color="auto"/>
        <w:right w:val="none" w:sz="0" w:space="0" w:color="auto"/>
      </w:divBdr>
    </w:div>
    <w:div w:id="1969164951">
      <w:bodyDiv w:val="1"/>
      <w:marLeft w:val="0"/>
      <w:marRight w:val="0"/>
      <w:marTop w:val="0"/>
      <w:marBottom w:val="0"/>
      <w:divBdr>
        <w:top w:val="none" w:sz="0" w:space="0" w:color="auto"/>
        <w:left w:val="none" w:sz="0" w:space="0" w:color="auto"/>
        <w:bottom w:val="none" w:sz="0" w:space="0" w:color="auto"/>
        <w:right w:val="none" w:sz="0" w:space="0" w:color="auto"/>
      </w:divBdr>
    </w:div>
    <w:div w:id="1969816209">
      <w:bodyDiv w:val="1"/>
      <w:marLeft w:val="0"/>
      <w:marRight w:val="0"/>
      <w:marTop w:val="0"/>
      <w:marBottom w:val="0"/>
      <w:divBdr>
        <w:top w:val="none" w:sz="0" w:space="0" w:color="auto"/>
        <w:left w:val="none" w:sz="0" w:space="0" w:color="auto"/>
        <w:bottom w:val="none" w:sz="0" w:space="0" w:color="auto"/>
        <w:right w:val="none" w:sz="0" w:space="0" w:color="auto"/>
      </w:divBdr>
    </w:div>
    <w:div w:id="1969969316">
      <w:bodyDiv w:val="1"/>
      <w:marLeft w:val="0"/>
      <w:marRight w:val="0"/>
      <w:marTop w:val="0"/>
      <w:marBottom w:val="0"/>
      <w:divBdr>
        <w:top w:val="none" w:sz="0" w:space="0" w:color="auto"/>
        <w:left w:val="none" w:sz="0" w:space="0" w:color="auto"/>
        <w:bottom w:val="none" w:sz="0" w:space="0" w:color="auto"/>
        <w:right w:val="none" w:sz="0" w:space="0" w:color="auto"/>
      </w:divBdr>
    </w:div>
    <w:div w:id="1970164153">
      <w:bodyDiv w:val="1"/>
      <w:marLeft w:val="0"/>
      <w:marRight w:val="0"/>
      <w:marTop w:val="0"/>
      <w:marBottom w:val="0"/>
      <w:divBdr>
        <w:top w:val="none" w:sz="0" w:space="0" w:color="auto"/>
        <w:left w:val="none" w:sz="0" w:space="0" w:color="auto"/>
        <w:bottom w:val="none" w:sz="0" w:space="0" w:color="auto"/>
        <w:right w:val="none" w:sz="0" w:space="0" w:color="auto"/>
      </w:divBdr>
    </w:div>
    <w:div w:id="1971086095">
      <w:bodyDiv w:val="1"/>
      <w:marLeft w:val="0"/>
      <w:marRight w:val="0"/>
      <w:marTop w:val="0"/>
      <w:marBottom w:val="0"/>
      <w:divBdr>
        <w:top w:val="none" w:sz="0" w:space="0" w:color="auto"/>
        <w:left w:val="none" w:sz="0" w:space="0" w:color="auto"/>
        <w:bottom w:val="none" w:sz="0" w:space="0" w:color="auto"/>
        <w:right w:val="none" w:sz="0" w:space="0" w:color="auto"/>
      </w:divBdr>
    </w:div>
    <w:div w:id="1971859103">
      <w:bodyDiv w:val="1"/>
      <w:marLeft w:val="0"/>
      <w:marRight w:val="0"/>
      <w:marTop w:val="0"/>
      <w:marBottom w:val="0"/>
      <w:divBdr>
        <w:top w:val="none" w:sz="0" w:space="0" w:color="auto"/>
        <w:left w:val="none" w:sz="0" w:space="0" w:color="auto"/>
        <w:bottom w:val="none" w:sz="0" w:space="0" w:color="auto"/>
        <w:right w:val="none" w:sz="0" w:space="0" w:color="auto"/>
      </w:divBdr>
    </w:div>
    <w:div w:id="1972057519">
      <w:bodyDiv w:val="1"/>
      <w:marLeft w:val="0"/>
      <w:marRight w:val="0"/>
      <w:marTop w:val="0"/>
      <w:marBottom w:val="0"/>
      <w:divBdr>
        <w:top w:val="none" w:sz="0" w:space="0" w:color="auto"/>
        <w:left w:val="none" w:sz="0" w:space="0" w:color="auto"/>
        <w:bottom w:val="none" w:sz="0" w:space="0" w:color="auto"/>
        <w:right w:val="none" w:sz="0" w:space="0" w:color="auto"/>
      </w:divBdr>
    </w:div>
    <w:div w:id="1972441770">
      <w:bodyDiv w:val="1"/>
      <w:marLeft w:val="0"/>
      <w:marRight w:val="0"/>
      <w:marTop w:val="0"/>
      <w:marBottom w:val="0"/>
      <w:divBdr>
        <w:top w:val="none" w:sz="0" w:space="0" w:color="auto"/>
        <w:left w:val="none" w:sz="0" w:space="0" w:color="auto"/>
        <w:bottom w:val="none" w:sz="0" w:space="0" w:color="auto"/>
        <w:right w:val="none" w:sz="0" w:space="0" w:color="auto"/>
      </w:divBdr>
    </w:div>
    <w:div w:id="1972442636">
      <w:bodyDiv w:val="1"/>
      <w:marLeft w:val="0"/>
      <w:marRight w:val="0"/>
      <w:marTop w:val="0"/>
      <w:marBottom w:val="0"/>
      <w:divBdr>
        <w:top w:val="none" w:sz="0" w:space="0" w:color="auto"/>
        <w:left w:val="none" w:sz="0" w:space="0" w:color="auto"/>
        <w:bottom w:val="none" w:sz="0" w:space="0" w:color="auto"/>
        <w:right w:val="none" w:sz="0" w:space="0" w:color="auto"/>
      </w:divBdr>
    </w:div>
    <w:div w:id="1972976362">
      <w:bodyDiv w:val="1"/>
      <w:marLeft w:val="0"/>
      <w:marRight w:val="0"/>
      <w:marTop w:val="0"/>
      <w:marBottom w:val="0"/>
      <w:divBdr>
        <w:top w:val="none" w:sz="0" w:space="0" w:color="auto"/>
        <w:left w:val="none" w:sz="0" w:space="0" w:color="auto"/>
        <w:bottom w:val="none" w:sz="0" w:space="0" w:color="auto"/>
        <w:right w:val="none" w:sz="0" w:space="0" w:color="auto"/>
      </w:divBdr>
    </w:div>
    <w:div w:id="1973054589">
      <w:bodyDiv w:val="1"/>
      <w:marLeft w:val="0"/>
      <w:marRight w:val="0"/>
      <w:marTop w:val="0"/>
      <w:marBottom w:val="0"/>
      <w:divBdr>
        <w:top w:val="none" w:sz="0" w:space="0" w:color="auto"/>
        <w:left w:val="none" w:sz="0" w:space="0" w:color="auto"/>
        <w:bottom w:val="none" w:sz="0" w:space="0" w:color="auto"/>
        <w:right w:val="none" w:sz="0" w:space="0" w:color="auto"/>
      </w:divBdr>
    </w:div>
    <w:div w:id="1973830656">
      <w:bodyDiv w:val="1"/>
      <w:marLeft w:val="0"/>
      <w:marRight w:val="0"/>
      <w:marTop w:val="0"/>
      <w:marBottom w:val="0"/>
      <w:divBdr>
        <w:top w:val="none" w:sz="0" w:space="0" w:color="auto"/>
        <w:left w:val="none" w:sz="0" w:space="0" w:color="auto"/>
        <w:bottom w:val="none" w:sz="0" w:space="0" w:color="auto"/>
        <w:right w:val="none" w:sz="0" w:space="0" w:color="auto"/>
      </w:divBdr>
    </w:div>
    <w:div w:id="1974209701">
      <w:bodyDiv w:val="1"/>
      <w:marLeft w:val="0"/>
      <w:marRight w:val="0"/>
      <w:marTop w:val="0"/>
      <w:marBottom w:val="0"/>
      <w:divBdr>
        <w:top w:val="none" w:sz="0" w:space="0" w:color="auto"/>
        <w:left w:val="none" w:sz="0" w:space="0" w:color="auto"/>
        <w:bottom w:val="none" w:sz="0" w:space="0" w:color="auto"/>
        <w:right w:val="none" w:sz="0" w:space="0" w:color="auto"/>
      </w:divBdr>
    </w:div>
    <w:div w:id="1974217105">
      <w:bodyDiv w:val="1"/>
      <w:marLeft w:val="0"/>
      <w:marRight w:val="0"/>
      <w:marTop w:val="0"/>
      <w:marBottom w:val="0"/>
      <w:divBdr>
        <w:top w:val="none" w:sz="0" w:space="0" w:color="auto"/>
        <w:left w:val="none" w:sz="0" w:space="0" w:color="auto"/>
        <w:bottom w:val="none" w:sz="0" w:space="0" w:color="auto"/>
        <w:right w:val="none" w:sz="0" w:space="0" w:color="auto"/>
      </w:divBdr>
    </w:div>
    <w:div w:id="1974365856">
      <w:bodyDiv w:val="1"/>
      <w:marLeft w:val="0"/>
      <w:marRight w:val="0"/>
      <w:marTop w:val="0"/>
      <w:marBottom w:val="0"/>
      <w:divBdr>
        <w:top w:val="none" w:sz="0" w:space="0" w:color="auto"/>
        <w:left w:val="none" w:sz="0" w:space="0" w:color="auto"/>
        <w:bottom w:val="none" w:sz="0" w:space="0" w:color="auto"/>
        <w:right w:val="none" w:sz="0" w:space="0" w:color="auto"/>
      </w:divBdr>
    </w:div>
    <w:div w:id="1974480904">
      <w:bodyDiv w:val="1"/>
      <w:marLeft w:val="0"/>
      <w:marRight w:val="0"/>
      <w:marTop w:val="0"/>
      <w:marBottom w:val="0"/>
      <w:divBdr>
        <w:top w:val="none" w:sz="0" w:space="0" w:color="auto"/>
        <w:left w:val="none" w:sz="0" w:space="0" w:color="auto"/>
        <w:bottom w:val="none" w:sz="0" w:space="0" w:color="auto"/>
        <w:right w:val="none" w:sz="0" w:space="0" w:color="auto"/>
      </w:divBdr>
    </w:div>
    <w:div w:id="1974865267">
      <w:bodyDiv w:val="1"/>
      <w:marLeft w:val="0"/>
      <w:marRight w:val="0"/>
      <w:marTop w:val="0"/>
      <w:marBottom w:val="0"/>
      <w:divBdr>
        <w:top w:val="none" w:sz="0" w:space="0" w:color="auto"/>
        <w:left w:val="none" w:sz="0" w:space="0" w:color="auto"/>
        <w:bottom w:val="none" w:sz="0" w:space="0" w:color="auto"/>
        <w:right w:val="none" w:sz="0" w:space="0" w:color="auto"/>
      </w:divBdr>
    </w:div>
    <w:div w:id="1976181539">
      <w:bodyDiv w:val="1"/>
      <w:marLeft w:val="0"/>
      <w:marRight w:val="0"/>
      <w:marTop w:val="0"/>
      <w:marBottom w:val="0"/>
      <w:divBdr>
        <w:top w:val="none" w:sz="0" w:space="0" w:color="auto"/>
        <w:left w:val="none" w:sz="0" w:space="0" w:color="auto"/>
        <w:bottom w:val="none" w:sz="0" w:space="0" w:color="auto"/>
        <w:right w:val="none" w:sz="0" w:space="0" w:color="auto"/>
      </w:divBdr>
    </w:div>
    <w:div w:id="1976331623">
      <w:bodyDiv w:val="1"/>
      <w:marLeft w:val="0"/>
      <w:marRight w:val="0"/>
      <w:marTop w:val="0"/>
      <w:marBottom w:val="0"/>
      <w:divBdr>
        <w:top w:val="none" w:sz="0" w:space="0" w:color="auto"/>
        <w:left w:val="none" w:sz="0" w:space="0" w:color="auto"/>
        <w:bottom w:val="none" w:sz="0" w:space="0" w:color="auto"/>
        <w:right w:val="none" w:sz="0" w:space="0" w:color="auto"/>
      </w:divBdr>
    </w:div>
    <w:div w:id="1976452021">
      <w:bodyDiv w:val="1"/>
      <w:marLeft w:val="0"/>
      <w:marRight w:val="0"/>
      <w:marTop w:val="0"/>
      <w:marBottom w:val="0"/>
      <w:divBdr>
        <w:top w:val="none" w:sz="0" w:space="0" w:color="auto"/>
        <w:left w:val="none" w:sz="0" w:space="0" w:color="auto"/>
        <w:bottom w:val="none" w:sz="0" w:space="0" w:color="auto"/>
        <w:right w:val="none" w:sz="0" w:space="0" w:color="auto"/>
      </w:divBdr>
    </w:div>
    <w:div w:id="1976567328">
      <w:bodyDiv w:val="1"/>
      <w:marLeft w:val="0"/>
      <w:marRight w:val="0"/>
      <w:marTop w:val="0"/>
      <w:marBottom w:val="0"/>
      <w:divBdr>
        <w:top w:val="none" w:sz="0" w:space="0" w:color="auto"/>
        <w:left w:val="none" w:sz="0" w:space="0" w:color="auto"/>
        <w:bottom w:val="none" w:sz="0" w:space="0" w:color="auto"/>
        <w:right w:val="none" w:sz="0" w:space="0" w:color="auto"/>
      </w:divBdr>
    </w:div>
    <w:div w:id="1978948103">
      <w:bodyDiv w:val="1"/>
      <w:marLeft w:val="0"/>
      <w:marRight w:val="0"/>
      <w:marTop w:val="0"/>
      <w:marBottom w:val="0"/>
      <w:divBdr>
        <w:top w:val="none" w:sz="0" w:space="0" w:color="auto"/>
        <w:left w:val="none" w:sz="0" w:space="0" w:color="auto"/>
        <w:bottom w:val="none" w:sz="0" w:space="0" w:color="auto"/>
        <w:right w:val="none" w:sz="0" w:space="0" w:color="auto"/>
      </w:divBdr>
    </w:div>
    <w:div w:id="1979677256">
      <w:bodyDiv w:val="1"/>
      <w:marLeft w:val="0"/>
      <w:marRight w:val="0"/>
      <w:marTop w:val="0"/>
      <w:marBottom w:val="0"/>
      <w:divBdr>
        <w:top w:val="none" w:sz="0" w:space="0" w:color="auto"/>
        <w:left w:val="none" w:sz="0" w:space="0" w:color="auto"/>
        <w:bottom w:val="none" w:sz="0" w:space="0" w:color="auto"/>
        <w:right w:val="none" w:sz="0" w:space="0" w:color="auto"/>
      </w:divBdr>
    </w:div>
    <w:div w:id="1979844938">
      <w:bodyDiv w:val="1"/>
      <w:marLeft w:val="0"/>
      <w:marRight w:val="0"/>
      <w:marTop w:val="0"/>
      <w:marBottom w:val="0"/>
      <w:divBdr>
        <w:top w:val="none" w:sz="0" w:space="0" w:color="auto"/>
        <w:left w:val="none" w:sz="0" w:space="0" w:color="auto"/>
        <w:bottom w:val="none" w:sz="0" w:space="0" w:color="auto"/>
        <w:right w:val="none" w:sz="0" w:space="0" w:color="auto"/>
      </w:divBdr>
    </w:div>
    <w:div w:id="1980112339">
      <w:bodyDiv w:val="1"/>
      <w:marLeft w:val="0"/>
      <w:marRight w:val="0"/>
      <w:marTop w:val="0"/>
      <w:marBottom w:val="0"/>
      <w:divBdr>
        <w:top w:val="none" w:sz="0" w:space="0" w:color="auto"/>
        <w:left w:val="none" w:sz="0" w:space="0" w:color="auto"/>
        <w:bottom w:val="none" w:sz="0" w:space="0" w:color="auto"/>
        <w:right w:val="none" w:sz="0" w:space="0" w:color="auto"/>
      </w:divBdr>
    </w:div>
    <w:div w:id="1980182507">
      <w:bodyDiv w:val="1"/>
      <w:marLeft w:val="0"/>
      <w:marRight w:val="0"/>
      <w:marTop w:val="0"/>
      <w:marBottom w:val="0"/>
      <w:divBdr>
        <w:top w:val="none" w:sz="0" w:space="0" w:color="auto"/>
        <w:left w:val="none" w:sz="0" w:space="0" w:color="auto"/>
        <w:bottom w:val="none" w:sz="0" w:space="0" w:color="auto"/>
        <w:right w:val="none" w:sz="0" w:space="0" w:color="auto"/>
      </w:divBdr>
    </w:div>
    <w:div w:id="1980455145">
      <w:bodyDiv w:val="1"/>
      <w:marLeft w:val="0"/>
      <w:marRight w:val="0"/>
      <w:marTop w:val="0"/>
      <w:marBottom w:val="0"/>
      <w:divBdr>
        <w:top w:val="none" w:sz="0" w:space="0" w:color="auto"/>
        <w:left w:val="none" w:sz="0" w:space="0" w:color="auto"/>
        <w:bottom w:val="none" w:sz="0" w:space="0" w:color="auto"/>
        <w:right w:val="none" w:sz="0" w:space="0" w:color="auto"/>
      </w:divBdr>
    </w:div>
    <w:div w:id="1980694949">
      <w:bodyDiv w:val="1"/>
      <w:marLeft w:val="0"/>
      <w:marRight w:val="0"/>
      <w:marTop w:val="0"/>
      <w:marBottom w:val="0"/>
      <w:divBdr>
        <w:top w:val="none" w:sz="0" w:space="0" w:color="auto"/>
        <w:left w:val="none" w:sz="0" w:space="0" w:color="auto"/>
        <w:bottom w:val="none" w:sz="0" w:space="0" w:color="auto"/>
        <w:right w:val="none" w:sz="0" w:space="0" w:color="auto"/>
      </w:divBdr>
    </w:div>
    <w:div w:id="1980760818">
      <w:bodyDiv w:val="1"/>
      <w:marLeft w:val="0"/>
      <w:marRight w:val="0"/>
      <w:marTop w:val="0"/>
      <w:marBottom w:val="0"/>
      <w:divBdr>
        <w:top w:val="none" w:sz="0" w:space="0" w:color="auto"/>
        <w:left w:val="none" w:sz="0" w:space="0" w:color="auto"/>
        <w:bottom w:val="none" w:sz="0" w:space="0" w:color="auto"/>
        <w:right w:val="none" w:sz="0" w:space="0" w:color="auto"/>
      </w:divBdr>
    </w:div>
    <w:div w:id="1980911715">
      <w:bodyDiv w:val="1"/>
      <w:marLeft w:val="0"/>
      <w:marRight w:val="0"/>
      <w:marTop w:val="0"/>
      <w:marBottom w:val="0"/>
      <w:divBdr>
        <w:top w:val="none" w:sz="0" w:space="0" w:color="auto"/>
        <w:left w:val="none" w:sz="0" w:space="0" w:color="auto"/>
        <w:bottom w:val="none" w:sz="0" w:space="0" w:color="auto"/>
        <w:right w:val="none" w:sz="0" w:space="0" w:color="auto"/>
      </w:divBdr>
    </w:div>
    <w:div w:id="1981156380">
      <w:bodyDiv w:val="1"/>
      <w:marLeft w:val="0"/>
      <w:marRight w:val="0"/>
      <w:marTop w:val="0"/>
      <w:marBottom w:val="0"/>
      <w:divBdr>
        <w:top w:val="none" w:sz="0" w:space="0" w:color="auto"/>
        <w:left w:val="none" w:sz="0" w:space="0" w:color="auto"/>
        <w:bottom w:val="none" w:sz="0" w:space="0" w:color="auto"/>
        <w:right w:val="none" w:sz="0" w:space="0" w:color="auto"/>
      </w:divBdr>
    </w:div>
    <w:div w:id="1981420892">
      <w:bodyDiv w:val="1"/>
      <w:marLeft w:val="0"/>
      <w:marRight w:val="0"/>
      <w:marTop w:val="0"/>
      <w:marBottom w:val="0"/>
      <w:divBdr>
        <w:top w:val="none" w:sz="0" w:space="0" w:color="auto"/>
        <w:left w:val="none" w:sz="0" w:space="0" w:color="auto"/>
        <w:bottom w:val="none" w:sz="0" w:space="0" w:color="auto"/>
        <w:right w:val="none" w:sz="0" w:space="0" w:color="auto"/>
      </w:divBdr>
    </w:div>
    <w:div w:id="1982954556">
      <w:bodyDiv w:val="1"/>
      <w:marLeft w:val="0"/>
      <w:marRight w:val="0"/>
      <w:marTop w:val="0"/>
      <w:marBottom w:val="0"/>
      <w:divBdr>
        <w:top w:val="none" w:sz="0" w:space="0" w:color="auto"/>
        <w:left w:val="none" w:sz="0" w:space="0" w:color="auto"/>
        <w:bottom w:val="none" w:sz="0" w:space="0" w:color="auto"/>
        <w:right w:val="none" w:sz="0" w:space="0" w:color="auto"/>
      </w:divBdr>
    </w:div>
    <w:div w:id="1983075216">
      <w:bodyDiv w:val="1"/>
      <w:marLeft w:val="0"/>
      <w:marRight w:val="0"/>
      <w:marTop w:val="0"/>
      <w:marBottom w:val="0"/>
      <w:divBdr>
        <w:top w:val="none" w:sz="0" w:space="0" w:color="auto"/>
        <w:left w:val="none" w:sz="0" w:space="0" w:color="auto"/>
        <w:bottom w:val="none" w:sz="0" w:space="0" w:color="auto"/>
        <w:right w:val="none" w:sz="0" w:space="0" w:color="auto"/>
      </w:divBdr>
    </w:div>
    <w:div w:id="1984193941">
      <w:bodyDiv w:val="1"/>
      <w:marLeft w:val="0"/>
      <w:marRight w:val="0"/>
      <w:marTop w:val="0"/>
      <w:marBottom w:val="0"/>
      <w:divBdr>
        <w:top w:val="none" w:sz="0" w:space="0" w:color="auto"/>
        <w:left w:val="none" w:sz="0" w:space="0" w:color="auto"/>
        <w:bottom w:val="none" w:sz="0" w:space="0" w:color="auto"/>
        <w:right w:val="none" w:sz="0" w:space="0" w:color="auto"/>
      </w:divBdr>
    </w:div>
    <w:div w:id="1984390338">
      <w:bodyDiv w:val="1"/>
      <w:marLeft w:val="0"/>
      <w:marRight w:val="0"/>
      <w:marTop w:val="0"/>
      <w:marBottom w:val="0"/>
      <w:divBdr>
        <w:top w:val="none" w:sz="0" w:space="0" w:color="auto"/>
        <w:left w:val="none" w:sz="0" w:space="0" w:color="auto"/>
        <w:bottom w:val="none" w:sz="0" w:space="0" w:color="auto"/>
        <w:right w:val="none" w:sz="0" w:space="0" w:color="auto"/>
      </w:divBdr>
    </w:div>
    <w:div w:id="1985619681">
      <w:bodyDiv w:val="1"/>
      <w:marLeft w:val="0"/>
      <w:marRight w:val="0"/>
      <w:marTop w:val="0"/>
      <w:marBottom w:val="0"/>
      <w:divBdr>
        <w:top w:val="none" w:sz="0" w:space="0" w:color="auto"/>
        <w:left w:val="none" w:sz="0" w:space="0" w:color="auto"/>
        <w:bottom w:val="none" w:sz="0" w:space="0" w:color="auto"/>
        <w:right w:val="none" w:sz="0" w:space="0" w:color="auto"/>
      </w:divBdr>
    </w:div>
    <w:div w:id="1985815282">
      <w:bodyDiv w:val="1"/>
      <w:marLeft w:val="0"/>
      <w:marRight w:val="0"/>
      <w:marTop w:val="0"/>
      <w:marBottom w:val="0"/>
      <w:divBdr>
        <w:top w:val="none" w:sz="0" w:space="0" w:color="auto"/>
        <w:left w:val="none" w:sz="0" w:space="0" w:color="auto"/>
        <w:bottom w:val="none" w:sz="0" w:space="0" w:color="auto"/>
        <w:right w:val="none" w:sz="0" w:space="0" w:color="auto"/>
      </w:divBdr>
    </w:div>
    <w:div w:id="1986157348">
      <w:bodyDiv w:val="1"/>
      <w:marLeft w:val="0"/>
      <w:marRight w:val="0"/>
      <w:marTop w:val="0"/>
      <w:marBottom w:val="0"/>
      <w:divBdr>
        <w:top w:val="none" w:sz="0" w:space="0" w:color="auto"/>
        <w:left w:val="none" w:sz="0" w:space="0" w:color="auto"/>
        <w:bottom w:val="none" w:sz="0" w:space="0" w:color="auto"/>
        <w:right w:val="none" w:sz="0" w:space="0" w:color="auto"/>
      </w:divBdr>
    </w:div>
    <w:div w:id="1988509797">
      <w:bodyDiv w:val="1"/>
      <w:marLeft w:val="0"/>
      <w:marRight w:val="0"/>
      <w:marTop w:val="0"/>
      <w:marBottom w:val="0"/>
      <w:divBdr>
        <w:top w:val="none" w:sz="0" w:space="0" w:color="auto"/>
        <w:left w:val="none" w:sz="0" w:space="0" w:color="auto"/>
        <w:bottom w:val="none" w:sz="0" w:space="0" w:color="auto"/>
        <w:right w:val="none" w:sz="0" w:space="0" w:color="auto"/>
      </w:divBdr>
    </w:div>
    <w:div w:id="1989043801">
      <w:bodyDiv w:val="1"/>
      <w:marLeft w:val="0"/>
      <w:marRight w:val="0"/>
      <w:marTop w:val="0"/>
      <w:marBottom w:val="0"/>
      <w:divBdr>
        <w:top w:val="none" w:sz="0" w:space="0" w:color="auto"/>
        <w:left w:val="none" w:sz="0" w:space="0" w:color="auto"/>
        <w:bottom w:val="none" w:sz="0" w:space="0" w:color="auto"/>
        <w:right w:val="none" w:sz="0" w:space="0" w:color="auto"/>
      </w:divBdr>
    </w:div>
    <w:div w:id="1989048320">
      <w:bodyDiv w:val="1"/>
      <w:marLeft w:val="0"/>
      <w:marRight w:val="0"/>
      <w:marTop w:val="0"/>
      <w:marBottom w:val="0"/>
      <w:divBdr>
        <w:top w:val="none" w:sz="0" w:space="0" w:color="auto"/>
        <w:left w:val="none" w:sz="0" w:space="0" w:color="auto"/>
        <w:bottom w:val="none" w:sz="0" w:space="0" w:color="auto"/>
        <w:right w:val="none" w:sz="0" w:space="0" w:color="auto"/>
      </w:divBdr>
    </w:div>
    <w:div w:id="1989938843">
      <w:bodyDiv w:val="1"/>
      <w:marLeft w:val="0"/>
      <w:marRight w:val="0"/>
      <w:marTop w:val="0"/>
      <w:marBottom w:val="0"/>
      <w:divBdr>
        <w:top w:val="none" w:sz="0" w:space="0" w:color="auto"/>
        <w:left w:val="none" w:sz="0" w:space="0" w:color="auto"/>
        <w:bottom w:val="none" w:sz="0" w:space="0" w:color="auto"/>
        <w:right w:val="none" w:sz="0" w:space="0" w:color="auto"/>
      </w:divBdr>
    </w:div>
    <w:div w:id="1990860945">
      <w:bodyDiv w:val="1"/>
      <w:marLeft w:val="0"/>
      <w:marRight w:val="0"/>
      <w:marTop w:val="0"/>
      <w:marBottom w:val="0"/>
      <w:divBdr>
        <w:top w:val="none" w:sz="0" w:space="0" w:color="auto"/>
        <w:left w:val="none" w:sz="0" w:space="0" w:color="auto"/>
        <w:bottom w:val="none" w:sz="0" w:space="0" w:color="auto"/>
        <w:right w:val="none" w:sz="0" w:space="0" w:color="auto"/>
      </w:divBdr>
    </w:div>
    <w:div w:id="1991247442">
      <w:bodyDiv w:val="1"/>
      <w:marLeft w:val="0"/>
      <w:marRight w:val="0"/>
      <w:marTop w:val="0"/>
      <w:marBottom w:val="0"/>
      <w:divBdr>
        <w:top w:val="none" w:sz="0" w:space="0" w:color="auto"/>
        <w:left w:val="none" w:sz="0" w:space="0" w:color="auto"/>
        <w:bottom w:val="none" w:sz="0" w:space="0" w:color="auto"/>
        <w:right w:val="none" w:sz="0" w:space="0" w:color="auto"/>
      </w:divBdr>
    </w:div>
    <w:div w:id="1991597172">
      <w:bodyDiv w:val="1"/>
      <w:marLeft w:val="0"/>
      <w:marRight w:val="0"/>
      <w:marTop w:val="0"/>
      <w:marBottom w:val="0"/>
      <w:divBdr>
        <w:top w:val="none" w:sz="0" w:space="0" w:color="auto"/>
        <w:left w:val="none" w:sz="0" w:space="0" w:color="auto"/>
        <w:bottom w:val="none" w:sz="0" w:space="0" w:color="auto"/>
        <w:right w:val="none" w:sz="0" w:space="0" w:color="auto"/>
      </w:divBdr>
    </w:div>
    <w:div w:id="1992249502">
      <w:bodyDiv w:val="1"/>
      <w:marLeft w:val="0"/>
      <w:marRight w:val="0"/>
      <w:marTop w:val="0"/>
      <w:marBottom w:val="0"/>
      <w:divBdr>
        <w:top w:val="none" w:sz="0" w:space="0" w:color="auto"/>
        <w:left w:val="none" w:sz="0" w:space="0" w:color="auto"/>
        <w:bottom w:val="none" w:sz="0" w:space="0" w:color="auto"/>
        <w:right w:val="none" w:sz="0" w:space="0" w:color="auto"/>
      </w:divBdr>
    </w:div>
    <w:div w:id="1992325055">
      <w:bodyDiv w:val="1"/>
      <w:marLeft w:val="0"/>
      <w:marRight w:val="0"/>
      <w:marTop w:val="0"/>
      <w:marBottom w:val="0"/>
      <w:divBdr>
        <w:top w:val="none" w:sz="0" w:space="0" w:color="auto"/>
        <w:left w:val="none" w:sz="0" w:space="0" w:color="auto"/>
        <w:bottom w:val="none" w:sz="0" w:space="0" w:color="auto"/>
        <w:right w:val="none" w:sz="0" w:space="0" w:color="auto"/>
      </w:divBdr>
    </w:div>
    <w:div w:id="1992442633">
      <w:bodyDiv w:val="1"/>
      <w:marLeft w:val="0"/>
      <w:marRight w:val="0"/>
      <w:marTop w:val="0"/>
      <w:marBottom w:val="0"/>
      <w:divBdr>
        <w:top w:val="none" w:sz="0" w:space="0" w:color="auto"/>
        <w:left w:val="none" w:sz="0" w:space="0" w:color="auto"/>
        <w:bottom w:val="none" w:sz="0" w:space="0" w:color="auto"/>
        <w:right w:val="none" w:sz="0" w:space="0" w:color="auto"/>
      </w:divBdr>
    </w:div>
    <w:div w:id="1992633652">
      <w:bodyDiv w:val="1"/>
      <w:marLeft w:val="0"/>
      <w:marRight w:val="0"/>
      <w:marTop w:val="0"/>
      <w:marBottom w:val="0"/>
      <w:divBdr>
        <w:top w:val="none" w:sz="0" w:space="0" w:color="auto"/>
        <w:left w:val="none" w:sz="0" w:space="0" w:color="auto"/>
        <w:bottom w:val="none" w:sz="0" w:space="0" w:color="auto"/>
        <w:right w:val="none" w:sz="0" w:space="0" w:color="auto"/>
      </w:divBdr>
    </w:div>
    <w:div w:id="1992831352">
      <w:bodyDiv w:val="1"/>
      <w:marLeft w:val="0"/>
      <w:marRight w:val="0"/>
      <w:marTop w:val="0"/>
      <w:marBottom w:val="0"/>
      <w:divBdr>
        <w:top w:val="none" w:sz="0" w:space="0" w:color="auto"/>
        <w:left w:val="none" w:sz="0" w:space="0" w:color="auto"/>
        <w:bottom w:val="none" w:sz="0" w:space="0" w:color="auto"/>
        <w:right w:val="none" w:sz="0" w:space="0" w:color="auto"/>
      </w:divBdr>
    </w:div>
    <w:div w:id="1992950647">
      <w:bodyDiv w:val="1"/>
      <w:marLeft w:val="0"/>
      <w:marRight w:val="0"/>
      <w:marTop w:val="0"/>
      <w:marBottom w:val="0"/>
      <w:divBdr>
        <w:top w:val="none" w:sz="0" w:space="0" w:color="auto"/>
        <w:left w:val="none" w:sz="0" w:space="0" w:color="auto"/>
        <w:bottom w:val="none" w:sz="0" w:space="0" w:color="auto"/>
        <w:right w:val="none" w:sz="0" w:space="0" w:color="auto"/>
      </w:divBdr>
    </w:div>
    <w:div w:id="1993101339">
      <w:bodyDiv w:val="1"/>
      <w:marLeft w:val="0"/>
      <w:marRight w:val="0"/>
      <w:marTop w:val="0"/>
      <w:marBottom w:val="0"/>
      <w:divBdr>
        <w:top w:val="none" w:sz="0" w:space="0" w:color="auto"/>
        <w:left w:val="none" w:sz="0" w:space="0" w:color="auto"/>
        <w:bottom w:val="none" w:sz="0" w:space="0" w:color="auto"/>
        <w:right w:val="none" w:sz="0" w:space="0" w:color="auto"/>
      </w:divBdr>
    </w:div>
    <w:div w:id="1993171594">
      <w:bodyDiv w:val="1"/>
      <w:marLeft w:val="0"/>
      <w:marRight w:val="0"/>
      <w:marTop w:val="0"/>
      <w:marBottom w:val="0"/>
      <w:divBdr>
        <w:top w:val="none" w:sz="0" w:space="0" w:color="auto"/>
        <w:left w:val="none" w:sz="0" w:space="0" w:color="auto"/>
        <w:bottom w:val="none" w:sz="0" w:space="0" w:color="auto"/>
        <w:right w:val="none" w:sz="0" w:space="0" w:color="auto"/>
      </w:divBdr>
    </w:div>
    <w:div w:id="1993748313">
      <w:bodyDiv w:val="1"/>
      <w:marLeft w:val="0"/>
      <w:marRight w:val="0"/>
      <w:marTop w:val="0"/>
      <w:marBottom w:val="0"/>
      <w:divBdr>
        <w:top w:val="none" w:sz="0" w:space="0" w:color="auto"/>
        <w:left w:val="none" w:sz="0" w:space="0" w:color="auto"/>
        <w:bottom w:val="none" w:sz="0" w:space="0" w:color="auto"/>
        <w:right w:val="none" w:sz="0" w:space="0" w:color="auto"/>
      </w:divBdr>
    </w:div>
    <w:div w:id="1994021136">
      <w:bodyDiv w:val="1"/>
      <w:marLeft w:val="0"/>
      <w:marRight w:val="0"/>
      <w:marTop w:val="0"/>
      <w:marBottom w:val="0"/>
      <w:divBdr>
        <w:top w:val="none" w:sz="0" w:space="0" w:color="auto"/>
        <w:left w:val="none" w:sz="0" w:space="0" w:color="auto"/>
        <w:bottom w:val="none" w:sz="0" w:space="0" w:color="auto"/>
        <w:right w:val="none" w:sz="0" w:space="0" w:color="auto"/>
      </w:divBdr>
    </w:div>
    <w:div w:id="1994093419">
      <w:bodyDiv w:val="1"/>
      <w:marLeft w:val="0"/>
      <w:marRight w:val="0"/>
      <w:marTop w:val="0"/>
      <w:marBottom w:val="0"/>
      <w:divBdr>
        <w:top w:val="none" w:sz="0" w:space="0" w:color="auto"/>
        <w:left w:val="none" w:sz="0" w:space="0" w:color="auto"/>
        <w:bottom w:val="none" w:sz="0" w:space="0" w:color="auto"/>
        <w:right w:val="none" w:sz="0" w:space="0" w:color="auto"/>
      </w:divBdr>
    </w:div>
    <w:div w:id="1994137288">
      <w:bodyDiv w:val="1"/>
      <w:marLeft w:val="0"/>
      <w:marRight w:val="0"/>
      <w:marTop w:val="0"/>
      <w:marBottom w:val="0"/>
      <w:divBdr>
        <w:top w:val="none" w:sz="0" w:space="0" w:color="auto"/>
        <w:left w:val="none" w:sz="0" w:space="0" w:color="auto"/>
        <w:bottom w:val="none" w:sz="0" w:space="0" w:color="auto"/>
        <w:right w:val="none" w:sz="0" w:space="0" w:color="auto"/>
      </w:divBdr>
    </w:div>
    <w:div w:id="1995060441">
      <w:bodyDiv w:val="1"/>
      <w:marLeft w:val="0"/>
      <w:marRight w:val="0"/>
      <w:marTop w:val="0"/>
      <w:marBottom w:val="0"/>
      <w:divBdr>
        <w:top w:val="none" w:sz="0" w:space="0" w:color="auto"/>
        <w:left w:val="none" w:sz="0" w:space="0" w:color="auto"/>
        <w:bottom w:val="none" w:sz="0" w:space="0" w:color="auto"/>
        <w:right w:val="none" w:sz="0" w:space="0" w:color="auto"/>
      </w:divBdr>
    </w:div>
    <w:div w:id="1996185079">
      <w:bodyDiv w:val="1"/>
      <w:marLeft w:val="0"/>
      <w:marRight w:val="0"/>
      <w:marTop w:val="0"/>
      <w:marBottom w:val="0"/>
      <w:divBdr>
        <w:top w:val="none" w:sz="0" w:space="0" w:color="auto"/>
        <w:left w:val="none" w:sz="0" w:space="0" w:color="auto"/>
        <w:bottom w:val="none" w:sz="0" w:space="0" w:color="auto"/>
        <w:right w:val="none" w:sz="0" w:space="0" w:color="auto"/>
      </w:divBdr>
    </w:div>
    <w:div w:id="1996520243">
      <w:bodyDiv w:val="1"/>
      <w:marLeft w:val="0"/>
      <w:marRight w:val="0"/>
      <w:marTop w:val="0"/>
      <w:marBottom w:val="0"/>
      <w:divBdr>
        <w:top w:val="none" w:sz="0" w:space="0" w:color="auto"/>
        <w:left w:val="none" w:sz="0" w:space="0" w:color="auto"/>
        <w:bottom w:val="none" w:sz="0" w:space="0" w:color="auto"/>
        <w:right w:val="none" w:sz="0" w:space="0" w:color="auto"/>
      </w:divBdr>
    </w:div>
    <w:div w:id="1996642144">
      <w:bodyDiv w:val="1"/>
      <w:marLeft w:val="0"/>
      <w:marRight w:val="0"/>
      <w:marTop w:val="0"/>
      <w:marBottom w:val="0"/>
      <w:divBdr>
        <w:top w:val="none" w:sz="0" w:space="0" w:color="auto"/>
        <w:left w:val="none" w:sz="0" w:space="0" w:color="auto"/>
        <w:bottom w:val="none" w:sz="0" w:space="0" w:color="auto"/>
        <w:right w:val="none" w:sz="0" w:space="0" w:color="auto"/>
      </w:divBdr>
    </w:div>
    <w:div w:id="1996911298">
      <w:bodyDiv w:val="1"/>
      <w:marLeft w:val="0"/>
      <w:marRight w:val="0"/>
      <w:marTop w:val="0"/>
      <w:marBottom w:val="0"/>
      <w:divBdr>
        <w:top w:val="none" w:sz="0" w:space="0" w:color="auto"/>
        <w:left w:val="none" w:sz="0" w:space="0" w:color="auto"/>
        <w:bottom w:val="none" w:sz="0" w:space="0" w:color="auto"/>
        <w:right w:val="none" w:sz="0" w:space="0" w:color="auto"/>
      </w:divBdr>
    </w:div>
    <w:div w:id="1997341190">
      <w:bodyDiv w:val="1"/>
      <w:marLeft w:val="0"/>
      <w:marRight w:val="0"/>
      <w:marTop w:val="0"/>
      <w:marBottom w:val="0"/>
      <w:divBdr>
        <w:top w:val="none" w:sz="0" w:space="0" w:color="auto"/>
        <w:left w:val="none" w:sz="0" w:space="0" w:color="auto"/>
        <w:bottom w:val="none" w:sz="0" w:space="0" w:color="auto"/>
        <w:right w:val="none" w:sz="0" w:space="0" w:color="auto"/>
      </w:divBdr>
    </w:div>
    <w:div w:id="1997416867">
      <w:bodyDiv w:val="1"/>
      <w:marLeft w:val="0"/>
      <w:marRight w:val="0"/>
      <w:marTop w:val="0"/>
      <w:marBottom w:val="0"/>
      <w:divBdr>
        <w:top w:val="none" w:sz="0" w:space="0" w:color="auto"/>
        <w:left w:val="none" w:sz="0" w:space="0" w:color="auto"/>
        <w:bottom w:val="none" w:sz="0" w:space="0" w:color="auto"/>
        <w:right w:val="none" w:sz="0" w:space="0" w:color="auto"/>
      </w:divBdr>
    </w:div>
    <w:div w:id="1997879809">
      <w:bodyDiv w:val="1"/>
      <w:marLeft w:val="0"/>
      <w:marRight w:val="0"/>
      <w:marTop w:val="0"/>
      <w:marBottom w:val="0"/>
      <w:divBdr>
        <w:top w:val="none" w:sz="0" w:space="0" w:color="auto"/>
        <w:left w:val="none" w:sz="0" w:space="0" w:color="auto"/>
        <w:bottom w:val="none" w:sz="0" w:space="0" w:color="auto"/>
        <w:right w:val="none" w:sz="0" w:space="0" w:color="auto"/>
      </w:divBdr>
    </w:div>
    <w:div w:id="1999263284">
      <w:bodyDiv w:val="1"/>
      <w:marLeft w:val="0"/>
      <w:marRight w:val="0"/>
      <w:marTop w:val="0"/>
      <w:marBottom w:val="0"/>
      <w:divBdr>
        <w:top w:val="none" w:sz="0" w:space="0" w:color="auto"/>
        <w:left w:val="none" w:sz="0" w:space="0" w:color="auto"/>
        <w:bottom w:val="none" w:sz="0" w:space="0" w:color="auto"/>
        <w:right w:val="none" w:sz="0" w:space="0" w:color="auto"/>
      </w:divBdr>
    </w:div>
    <w:div w:id="2000037968">
      <w:bodyDiv w:val="1"/>
      <w:marLeft w:val="0"/>
      <w:marRight w:val="0"/>
      <w:marTop w:val="0"/>
      <w:marBottom w:val="0"/>
      <w:divBdr>
        <w:top w:val="none" w:sz="0" w:space="0" w:color="auto"/>
        <w:left w:val="none" w:sz="0" w:space="0" w:color="auto"/>
        <w:bottom w:val="none" w:sz="0" w:space="0" w:color="auto"/>
        <w:right w:val="none" w:sz="0" w:space="0" w:color="auto"/>
      </w:divBdr>
    </w:div>
    <w:div w:id="2000041041">
      <w:bodyDiv w:val="1"/>
      <w:marLeft w:val="0"/>
      <w:marRight w:val="0"/>
      <w:marTop w:val="0"/>
      <w:marBottom w:val="0"/>
      <w:divBdr>
        <w:top w:val="none" w:sz="0" w:space="0" w:color="auto"/>
        <w:left w:val="none" w:sz="0" w:space="0" w:color="auto"/>
        <w:bottom w:val="none" w:sz="0" w:space="0" w:color="auto"/>
        <w:right w:val="none" w:sz="0" w:space="0" w:color="auto"/>
      </w:divBdr>
    </w:div>
    <w:div w:id="2000886849">
      <w:bodyDiv w:val="1"/>
      <w:marLeft w:val="0"/>
      <w:marRight w:val="0"/>
      <w:marTop w:val="0"/>
      <w:marBottom w:val="0"/>
      <w:divBdr>
        <w:top w:val="none" w:sz="0" w:space="0" w:color="auto"/>
        <w:left w:val="none" w:sz="0" w:space="0" w:color="auto"/>
        <w:bottom w:val="none" w:sz="0" w:space="0" w:color="auto"/>
        <w:right w:val="none" w:sz="0" w:space="0" w:color="auto"/>
      </w:divBdr>
    </w:div>
    <w:div w:id="2001034888">
      <w:bodyDiv w:val="1"/>
      <w:marLeft w:val="0"/>
      <w:marRight w:val="0"/>
      <w:marTop w:val="0"/>
      <w:marBottom w:val="0"/>
      <w:divBdr>
        <w:top w:val="none" w:sz="0" w:space="0" w:color="auto"/>
        <w:left w:val="none" w:sz="0" w:space="0" w:color="auto"/>
        <w:bottom w:val="none" w:sz="0" w:space="0" w:color="auto"/>
        <w:right w:val="none" w:sz="0" w:space="0" w:color="auto"/>
      </w:divBdr>
    </w:div>
    <w:div w:id="2001034948">
      <w:bodyDiv w:val="1"/>
      <w:marLeft w:val="0"/>
      <w:marRight w:val="0"/>
      <w:marTop w:val="0"/>
      <w:marBottom w:val="0"/>
      <w:divBdr>
        <w:top w:val="none" w:sz="0" w:space="0" w:color="auto"/>
        <w:left w:val="none" w:sz="0" w:space="0" w:color="auto"/>
        <w:bottom w:val="none" w:sz="0" w:space="0" w:color="auto"/>
        <w:right w:val="none" w:sz="0" w:space="0" w:color="auto"/>
      </w:divBdr>
    </w:div>
    <w:div w:id="2001080252">
      <w:bodyDiv w:val="1"/>
      <w:marLeft w:val="0"/>
      <w:marRight w:val="0"/>
      <w:marTop w:val="0"/>
      <w:marBottom w:val="0"/>
      <w:divBdr>
        <w:top w:val="none" w:sz="0" w:space="0" w:color="auto"/>
        <w:left w:val="none" w:sz="0" w:space="0" w:color="auto"/>
        <w:bottom w:val="none" w:sz="0" w:space="0" w:color="auto"/>
        <w:right w:val="none" w:sz="0" w:space="0" w:color="auto"/>
      </w:divBdr>
    </w:div>
    <w:div w:id="2001228881">
      <w:bodyDiv w:val="1"/>
      <w:marLeft w:val="0"/>
      <w:marRight w:val="0"/>
      <w:marTop w:val="0"/>
      <w:marBottom w:val="0"/>
      <w:divBdr>
        <w:top w:val="none" w:sz="0" w:space="0" w:color="auto"/>
        <w:left w:val="none" w:sz="0" w:space="0" w:color="auto"/>
        <w:bottom w:val="none" w:sz="0" w:space="0" w:color="auto"/>
        <w:right w:val="none" w:sz="0" w:space="0" w:color="auto"/>
      </w:divBdr>
    </w:div>
    <w:div w:id="2001545681">
      <w:bodyDiv w:val="1"/>
      <w:marLeft w:val="0"/>
      <w:marRight w:val="0"/>
      <w:marTop w:val="0"/>
      <w:marBottom w:val="0"/>
      <w:divBdr>
        <w:top w:val="none" w:sz="0" w:space="0" w:color="auto"/>
        <w:left w:val="none" w:sz="0" w:space="0" w:color="auto"/>
        <w:bottom w:val="none" w:sz="0" w:space="0" w:color="auto"/>
        <w:right w:val="none" w:sz="0" w:space="0" w:color="auto"/>
      </w:divBdr>
    </w:div>
    <w:div w:id="2001691296">
      <w:bodyDiv w:val="1"/>
      <w:marLeft w:val="0"/>
      <w:marRight w:val="0"/>
      <w:marTop w:val="0"/>
      <w:marBottom w:val="0"/>
      <w:divBdr>
        <w:top w:val="none" w:sz="0" w:space="0" w:color="auto"/>
        <w:left w:val="none" w:sz="0" w:space="0" w:color="auto"/>
        <w:bottom w:val="none" w:sz="0" w:space="0" w:color="auto"/>
        <w:right w:val="none" w:sz="0" w:space="0" w:color="auto"/>
      </w:divBdr>
    </w:div>
    <w:div w:id="2002150438">
      <w:bodyDiv w:val="1"/>
      <w:marLeft w:val="0"/>
      <w:marRight w:val="0"/>
      <w:marTop w:val="0"/>
      <w:marBottom w:val="0"/>
      <w:divBdr>
        <w:top w:val="none" w:sz="0" w:space="0" w:color="auto"/>
        <w:left w:val="none" w:sz="0" w:space="0" w:color="auto"/>
        <w:bottom w:val="none" w:sz="0" w:space="0" w:color="auto"/>
        <w:right w:val="none" w:sz="0" w:space="0" w:color="auto"/>
      </w:divBdr>
    </w:div>
    <w:div w:id="2002846678">
      <w:bodyDiv w:val="1"/>
      <w:marLeft w:val="0"/>
      <w:marRight w:val="0"/>
      <w:marTop w:val="0"/>
      <w:marBottom w:val="0"/>
      <w:divBdr>
        <w:top w:val="none" w:sz="0" w:space="0" w:color="auto"/>
        <w:left w:val="none" w:sz="0" w:space="0" w:color="auto"/>
        <w:bottom w:val="none" w:sz="0" w:space="0" w:color="auto"/>
        <w:right w:val="none" w:sz="0" w:space="0" w:color="auto"/>
      </w:divBdr>
    </w:div>
    <w:div w:id="2003004900">
      <w:bodyDiv w:val="1"/>
      <w:marLeft w:val="0"/>
      <w:marRight w:val="0"/>
      <w:marTop w:val="0"/>
      <w:marBottom w:val="0"/>
      <w:divBdr>
        <w:top w:val="none" w:sz="0" w:space="0" w:color="auto"/>
        <w:left w:val="none" w:sz="0" w:space="0" w:color="auto"/>
        <w:bottom w:val="none" w:sz="0" w:space="0" w:color="auto"/>
        <w:right w:val="none" w:sz="0" w:space="0" w:color="auto"/>
      </w:divBdr>
    </w:div>
    <w:div w:id="2003317519">
      <w:bodyDiv w:val="1"/>
      <w:marLeft w:val="0"/>
      <w:marRight w:val="0"/>
      <w:marTop w:val="0"/>
      <w:marBottom w:val="0"/>
      <w:divBdr>
        <w:top w:val="none" w:sz="0" w:space="0" w:color="auto"/>
        <w:left w:val="none" w:sz="0" w:space="0" w:color="auto"/>
        <w:bottom w:val="none" w:sz="0" w:space="0" w:color="auto"/>
        <w:right w:val="none" w:sz="0" w:space="0" w:color="auto"/>
      </w:divBdr>
    </w:div>
    <w:div w:id="2003700826">
      <w:bodyDiv w:val="1"/>
      <w:marLeft w:val="0"/>
      <w:marRight w:val="0"/>
      <w:marTop w:val="0"/>
      <w:marBottom w:val="0"/>
      <w:divBdr>
        <w:top w:val="none" w:sz="0" w:space="0" w:color="auto"/>
        <w:left w:val="none" w:sz="0" w:space="0" w:color="auto"/>
        <w:bottom w:val="none" w:sz="0" w:space="0" w:color="auto"/>
        <w:right w:val="none" w:sz="0" w:space="0" w:color="auto"/>
      </w:divBdr>
    </w:div>
    <w:div w:id="2003847411">
      <w:bodyDiv w:val="1"/>
      <w:marLeft w:val="0"/>
      <w:marRight w:val="0"/>
      <w:marTop w:val="0"/>
      <w:marBottom w:val="0"/>
      <w:divBdr>
        <w:top w:val="none" w:sz="0" w:space="0" w:color="auto"/>
        <w:left w:val="none" w:sz="0" w:space="0" w:color="auto"/>
        <w:bottom w:val="none" w:sz="0" w:space="0" w:color="auto"/>
        <w:right w:val="none" w:sz="0" w:space="0" w:color="auto"/>
      </w:divBdr>
    </w:div>
    <w:div w:id="2004121404">
      <w:bodyDiv w:val="1"/>
      <w:marLeft w:val="0"/>
      <w:marRight w:val="0"/>
      <w:marTop w:val="0"/>
      <w:marBottom w:val="0"/>
      <w:divBdr>
        <w:top w:val="none" w:sz="0" w:space="0" w:color="auto"/>
        <w:left w:val="none" w:sz="0" w:space="0" w:color="auto"/>
        <w:bottom w:val="none" w:sz="0" w:space="0" w:color="auto"/>
        <w:right w:val="none" w:sz="0" w:space="0" w:color="auto"/>
      </w:divBdr>
    </w:div>
    <w:div w:id="2004384157">
      <w:bodyDiv w:val="1"/>
      <w:marLeft w:val="0"/>
      <w:marRight w:val="0"/>
      <w:marTop w:val="0"/>
      <w:marBottom w:val="0"/>
      <w:divBdr>
        <w:top w:val="none" w:sz="0" w:space="0" w:color="auto"/>
        <w:left w:val="none" w:sz="0" w:space="0" w:color="auto"/>
        <w:bottom w:val="none" w:sz="0" w:space="0" w:color="auto"/>
        <w:right w:val="none" w:sz="0" w:space="0" w:color="auto"/>
      </w:divBdr>
    </w:div>
    <w:div w:id="2004624489">
      <w:bodyDiv w:val="1"/>
      <w:marLeft w:val="0"/>
      <w:marRight w:val="0"/>
      <w:marTop w:val="0"/>
      <w:marBottom w:val="0"/>
      <w:divBdr>
        <w:top w:val="none" w:sz="0" w:space="0" w:color="auto"/>
        <w:left w:val="none" w:sz="0" w:space="0" w:color="auto"/>
        <w:bottom w:val="none" w:sz="0" w:space="0" w:color="auto"/>
        <w:right w:val="none" w:sz="0" w:space="0" w:color="auto"/>
      </w:divBdr>
    </w:div>
    <w:div w:id="2004628757">
      <w:bodyDiv w:val="1"/>
      <w:marLeft w:val="0"/>
      <w:marRight w:val="0"/>
      <w:marTop w:val="0"/>
      <w:marBottom w:val="0"/>
      <w:divBdr>
        <w:top w:val="none" w:sz="0" w:space="0" w:color="auto"/>
        <w:left w:val="none" w:sz="0" w:space="0" w:color="auto"/>
        <w:bottom w:val="none" w:sz="0" w:space="0" w:color="auto"/>
        <w:right w:val="none" w:sz="0" w:space="0" w:color="auto"/>
      </w:divBdr>
    </w:div>
    <w:div w:id="2004818109">
      <w:bodyDiv w:val="1"/>
      <w:marLeft w:val="0"/>
      <w:marRight w:val="0"/>
      <w:marTop w:val="0"/>
      <w:marBottom w:val="0"/>
      <w:divBdr>
        <w:top w:val="none" w:sz="0" w:space="0" w:color="auto"/>
        <w:left w:val="none" w:sz="0" w:space="0" w:color="auto"/>
        <w:bottom w:val="none" w:sz="0" w:space="0" w:color="auto"/>
        <w:right w:val="none" w:sz="0" w:space="0" w:color="auto"/>
      </w:divBdr>
    </w:div>
    <w:div w:id="2005470963">
      <w:bodyDiv w:val="1"/>
      <w:marLeft w:val="0"/>
      <w:marRight w:val="0"/>
      <w:marTop w:val="0"/>
      <w:marBottom w:val="0"/>
      <w:divBdr>
        <w:top w:val="none" w:sz="0" w:space="0" w:color="auto"/>
        <w:left w:val="none" w:sz="0" w:space="0" w:color="auto"/>
        <w:bottom w:val="none" w:sz="0" w:space="0" w:color="auto"/>
        <w:right w:val="none" w:sz="0" w:space="0" w:color="auto"/>
      </w:divBdr>
    </w:div>
    <w:div w:id="2005544535">
      <w:bodyDiv w:val="1"/>
      <w:marLeft w:val="0"/>
      <w:marRight w:val="0"/>
      <w:marTop w:val="0"/>
      <w:marBottom w:val="0"/>
      <w:divBdr>
        <w:top w:val="none" w:sz="0" w:space="0" w:color="auto"/>
        <w:left w:val="none" w:sz="0" w:space="0" w:color="auto"/>
        <w:bottom w:val="none" w:sz="0" w:space="0" w:color="auto"/>
        <w:right w:val="none" w:sz="0" w:space="0" w:color="auto"/>
      </w:divBdr>
    </w:div>
    <w:div w:id="2006279288">
      <w:bodyDiv w:val="1"/>
      <w:marLeft w:val="0"/>
      <w:marRight w:val="0"/>
      <w:marTop w:val="0"/>
      <w:marBottom w:val="0"/>
      <w:divBdr>
        <w:top w:val="none" w:sz="0" w:space="0" w:color="auto"/>
        <w:left w:val="none" w:sz="0" w:space="0" w:color="auto"/>
        <w:bottom w:val="none" w:sz="0" w:space="0" w:color="auto"/>
        <w:right w:val="none" w:sz="0" w:space="0" w:color="auto"/>
      </w:divBdr>
    </w:div>
    <w:div w:id="2007318444">
      <w:bodyDiv w:val="1"/>
      <w:marLeft w:val="0"/>
      <w:marRight w:val="0"/>
      <w:marTop w:val="0"/>
      <w:marBottom w:val="0"/>
      <w:divBdr>
        <w:top w:val="none" w:sz="0" w:space="0" w:color="auto"/>
        <w:left w:val="none" w:sz="0" w:space="0" w:color="auto"/>
        <w:bottom w:val="none" w:sz="0" w:space="0" w:color="auto"/>
        <w:right w:val="none" w:sz="0" w:space="0" w:color="auto"/>
      </w:divBdr>
    </w:div>
    <w:div w:id="2007589382">
      <w:bodyDiv w:val="1"/>
      <w:marLeft w:val="0"/>
      <w:marRight w:val="0"/>
      <w:marTop w:val="0"/>
      <w:marBottom w:val="0"/>
      <w:divBdr>
        <w:top w:val="none" w:sz="0" w:space="0" w:color="auto"/>
        <w:left w:val="none" w:sz="0" w:space="0" w:color="auto"/>
        <w:bottom w:val="none" w:sz="0" w:space="0" w:color="auto"/>
        <w:right w:val="none" w:sz="0" w:space="0" w:color="auto"/>
      </w:divBdr>
    </w:div>
    <w:div w:id="2008245109">
      <w:bodyDiv w:val="1"/>
      <w:marLeft w:val="0"/>
      <w:marRight w:val="0"/>
      <w:marTop w:val="0"/>
      <w:marBottom w:val="0"/>
      <w:divBdr>
        <w:top w:val="none" w:sz="0" w:space="0" w:color="auto"/>
        <w:left w:val="none" w:sz="0" w:space="0" w:color="auto"/>
        <w:bottom w:val="none" w:sz="0" w:space="0" w:color="auto"/>
        <w:right w:val="none" w:sz="0" w:space="0" w:color="auto"/>
      </w:divBdr>
    </w:div>
    <w:div w:id="2008826981">
      <w:bodyDiv w:val="1"/>
      <w:marLeft w:val="0"/>
      <w:marRight w:val="0"/>
      <w:marTop w:val="0"/>
      <w:marBottom w:val="0"/>
      <w:divBdr>
        <w:top w:val="none" w:sz="0" w:space="0" w:color="auto"/>
        <w:left w:val="none" w:sz="0" w:space="0" w:color="auto"/>
        <w:bottom w:val="none" w:sz="0" w:space="0" w:color="auto"/>
        <w:right w:val="none" w:sz="0" w:space="0" w:color="auto"/>
      </w:divBdr>
    </w:div>
    <w:div w:id="2009286964">
      <w:bodyDiv w:val="1"/>
      <w:marLeft w:val="0"/>
      <w:marRight w:val="0"/>
      <w:marTop w:val="0"/>
      <w:marBottom w:val="0"/>
      <w:divBdr>
        <w:top w:val="none" w:sz="0" w:space="0" w:color="auto"/>
        <w:left w:val="none" w:sz="0" w:space="0" w:color="auto"/>
        <w:bottom w:val="none" w:sz="0" w:space="0" w:color="auto"/>
        <w:right w:val="none" w:sz="0" w:space="0" w:color="auto"/>
      </w:divBdr>
    </w:div>
    <w:div w:id="2009558751">
      <w:bodyDiv w:val="1"/>
      <w:marLeft w:val="0"/>
      <w:marRight w:val="0"/>
      <w:marTop w:val="0"/>
      <w:marBottom w:val="0"/>
      <w:divBdr>
        <w:top w:val="none" w:sz="0" w:space="0" w:color="auto"/>
        <w:left w:val="none" w:sz="0" w:space="0" w:color="auto"/>
        <w:bottom w:val="none" w:sz="0" w:space="0" w:color="auto"/>
        <w:right w:val="none" w:sz="0" w:space="0" w:color="auto"/>
      </w:divBdr>
    </w:div>
    <w:div w:id="2009818774">
      <w:bodyDiv w:val="1"/>
      <w:marLeft w:val="0"/>
      <w:marRight w:val="0"/>
      <w:marTop w:val="0"/>
      <w:marBottom w:val="0"/>
      <w:divBdr>
        <w:top w:val="none" w:sz="0" w:space="0" w:color="auto"/>
        <w:left w:val="none" w:sz="0" w:space="0" w:color="auto"/>
        <w:bottom w:val="none" w:sz="0" w:space="0" w:color="auto"/>
        <w:right w:val="none" w:sz="0" w:space="0" w:color="auto"/>
      </w:divBdr>
    </w:div>
    <w:div w:id="2010055195">
      <w:bodyDiv w:val="1"/>
      <w:marLeft w:val="0"/>
      <w:marRight w:val="0"/>
      <w:marTop w:val="0"/>
      <w:marBottom w:val="0"/>
      <w:divBdr>
        <w:top w:val="none" w:sz="0" w:space="0" w:color="auto"/>
        <w:left w:val="none" w:sz="0" w:space="0" w:color="auto"/>
        <w:bottom w:val="none" w:sz="0" w:space="0" w:color="auto"/>
        <w:right w:val="none" w:sz="0" w:space="0" w:color="auto"/>
      </w:divBdr>
    </w:div>
    <w:div w:id="2010062854">
      <w:bodyDiv w:val="1"/>
      <w:marLeft w:val="0"/>
      <w:marRight w:val="0"/>
      <w:marTop w:val="0"/>
      <w:marBottom w:val="0"/>
      <w:divBdr>
        <w:top w:val="none" w:sz="0" w:space="0" w:color="auto"/>
        <w:left w:val="none" w:sz="0" w:space="0" w:color="auto"/>
        <w:bottom w:val="none" w:sz="0" w:space="0" w:color="auto"/>
        <w:right w:val="none" w:sz="0" w:space="0" w:color="auto"/>
      </w:divBdr>
    </w:div>
    <w:div w:id="2010711687">
      <w:bodyDiv w:val="1"/>
      <w:marLeft w:val="0"/>
      <w:marRight w:val="0"/>
      <w:marTop w:val="0"/>
      <w:marBottom w:val="0"/>
      <w:divBdr>
        <w:top w:val="none" w:sz="0" w:space="0" w:color="auto"/>
        <w:left w:val="none" w:sz="0" w:space="0" w:color="auto"/>
        <w:bottom w:val="none" w:sz="0" w:space="0" w:color="auto"/>
        <w:right w:val="none" w:sz="0" w:space="0" w:color="auto"/>
      </w:divBdr>
    </w:div>
    <w:div w:id="2010788262">
      <w:bodyDiv w:val="1"/>
      <w:marLeft w:val="0"/>
      <w:marRight w:val="0"/>
      <w:marTop w:val="0"/>
      <w:marBottom w:val="0"/>
      <w:divBdr>
        <w:top w:val="none" w:sz="0" w:space="0" w:color="auto"/>
        <w:left w:val="none" w:sz="0" w:space="0" w:color="auto"/>
        <w:bottom w:val="none" w:sz="0" w:space="0" w:color="auto"/>
        <w:right w:val="none" w:sz="0" w:space="0" w:color="auto"/>
      </w:divBdr>
    </w:div>
    <w:div w:id="2010988026">
      <w:bodyDiv w:val="1"/>
      <w:marLeft w:val="0"/>
      <w:marRight w:val="0"/>
      <w:marTop w:val="0"/>
      <w:marBottom w:val="0"/>
      <w:divBdr>
        <w:top w:val="none" w:sz="0" w:space="0" w:color="auto"/>
        <w:left w:val="none" w:sz="0" w:space="0" w:color="auto"/>
        <w:bottom w:val="none" w:sz="0" w:space="0" w:color="auto"/>
        <w:right w:val="none" w:sz="0" w:space="0" w:color="auto"/>
      </w:divBdr>
    </w:div>
    <w:div w:id="2011103326">
      <w:bodyDiv w:val="1"/>
      <w:marLeft w:val="0"/>
      <w:marRight w:val="0"/>
      <w:marTop w:val="0"/>
      <w:marBottom w:val="0"/>
      <w:divBdr>
        <w:top w:val="none" w:sz="0" w:space="0" w:color="auto"/>
        <w:left w:val="none" w:sz="0" w:space="0" w:color="auto"/>
        <w:bottom w:val="none" w:sz="0" w:space="0" w:color="auto"/>
        <w:right w:val="none" w:sz="0" w:space="0" w:color="auto"/>
      </w:divBdr>
    </w:div>
    <w:div w:id="2011129620">
      <w:bodyDiv w:val="1"/>
      <w:marLeft w:val="0"/>
      <w:marRight w:val="0"/>
      <w:marTop w:val="0"/>
      <w:marBottom w:val="0"/>
      <w:divBdr>
        <w:top w:val="none" w:sz="0" w:space="0" w:color="auto"/>
        <w:left w:val="none" w:sz="0" w:space="0" w:color="auto"/>
        <w:bottom w:val="none" w:sz="0" w:space="0" w:color="auto"/>
        <w:right w:val="none" w:sz="0" w:space="0" w:color="auto"/>
      </w:divBdr>
    </w:div>
    <w:div w:id="2011327931">
      <w:bodyDiv w:val="1"/>
      <w:marLeft w:val="0"/>
      <w:marRight w:val="0"/>
      <w:marTop w:val="0"/>
      <w:marBottom w:val="0"/>
      <w:divBdr>
        <w:top w:val="none" w:sz="0" w:space="0" w:color="auto"/>
        <w:left w:val="none" w:sz="0" w:space="0" w:color="auto"/>
        <w:bottom w:val="none" w:sz="0" w:space="0" w:color="auto"/>
        <w:right w:val="none" w:sz="0" w:space="0" w:color="auto"/>
      </w:divBdr>
    </w:div>
    <w:div w:id="2012098623">
      <w:bodyDiv w:val="1"/>
      <w:marLeft w:val="0"/>
      <w:marRight w:val="0"/>
      <w:marTop w:val="0"/>
      <w:marBottom w:val="0"/>
      <w:divBdr>
        <w:top w:val="none" w:sz="0" w:space="0" w:color="auto"/>
        <w:left w:val="none" w:sz="0" w:space="0" w:color="auto"/>
        <w:bottom w:val="none" w:sz="0" w:space="0" w:color="auto"/>
        <w:right w:val="none" w:sz="0" w:space="0" w:color="auto"/>
      </w:divBdr>
    </w:div>
    <w:div w:id="2012100471">
      <w:bodyDiv w:val="1"/>
      <w:marLeft w:val="0"/>
      <w:marRight w:val="0"/>
      <w:marTop w:val="0"/>
      <w:marBottom w:val="0"/>
      <w:divBdr>
        <w:top w:val="none" w:sz="0" w:space="0" w:color="auto"/>
        <w:left w:val="none" w:sz="0" w:space="0" w:color="auto"/>
        <w:bottom w:val="none" w:sz="0" w:space="0" w:color="auto"/>
        <w:right w:val="none" w:sz="0" w:space="0" w:color="auto"/>
      </w:divBdr>
    </w:div>
    <w:div w:id="2012444785">
      <w:bodyDiv w:val="1"/>
      <w:marLeft w:val="0"/>
      <w:marRight w:val="0"/>
      <w:marTop w:val="0"/>
      <w:marBottom w:val="0"/>
      <w:divBdr>
        <w:top w:val="none" w:sz="0" w:space="0" w:color="auto"/>
        <w:left w:val="none" w:sz="0" w:space="0" w:color="auto"/>
        <w:bottom w:val="none" w:sz="0" w:space="0" w:color="auto"/>
        <w:right w:val="none" w:sz="0" w:space="0" w:color="auto"/>
      </w:divBdr>
    </w:div>
    <w:div w:id="2012562806">
      <w:bodyDiv w:val="1"/>
      <w:marLeft w:val="0"/>
      <w:marRight w:val="0"/>
      <w:marTop w:val="0"/>
      <w:marBottom w:val="0"/>
      <w:divBdr>
        <w:top w:val="none" w:sz="0" w:space="0" w:color="auto"/>
        <w:left w:val="none" w:sz="0" w:space="0" w:color="auto"/>
        <w:bottom w:val="none" w:sz="0" w:space="0" w:color="auto"/>
        <w:right w:val="none" w:sz="0" w:space="0" w:color="auto"/>
      </w:divBdr>
    </w:div>
    <w:div w:id="2012835549">
      <w:bodyDiv w:val="1"/>
      <w:marLeft w:val="0"/>
      <w:marRight w:val="0"/>
      <w:marTop w:val="0"/>
      <w:marBottom w:val="0"/>
      <w:divBdr>
        <w:top w:val="none" w:sz="0" w:space="0" w:color="auto"/>
        <w:left w:val="none" w:sz="0" w:space="0" w:color="auto"/>
        <w:bottom w:val="none" w:sz="0" w:space="0" w:color="auto"/>
        <w:right w:val="none" w:sz="0" w:space="0" w:color="auto"/>
      </w:divBdr>
    </w:div>
    <w:div w:id="2012902818">
      <w:bodyDiv w:val="1"/>
      <w:marLeft w:val="0"/>
      <w:marRight w:val="0"/>
      <w:marTop w:val="0"/>
      <w:marBottom w:val="0"/>
      <w:divBdr>
        <w:top w:val="none" w:sz="0" w:space="0" w:color="auto"/>
        <w:left w:val="none" w:sz="0" w:space="0" w:color="auto"/>
        <w:bottom w:val="none" w:sz="0" w:space="0" w:color="auto"/>
        <w:right w:val="none" w:sz="0" w:space="0" w:color="auto"/>
      </w:divBdr>
    </w:div>
    <w:div w:id="2013337471">
      <w:bodyDiv w:val="1"/>
      <w:marLeft w:val="0"/>
      <w:marRight w:val="0"/>
      <w:marTop w:val="0"/>
      <w:marBottom w:val="0"/>
      <w:divBdr>
        <w:top w:val="none" w:sz="0" w:space="0" w:color="auto"/>
        <w:left w:val="none" w:sz="0" w:space="0" w:color="auto"/>
        <w:bottom w:val="none" w:sz="0" w:space="0" w:color="auto"/>
        <w:right w:val="none" w:sz="0" w:space="0" w:color="auto"/>
      </w:divBdr>
    </w:div>
    <w:div w:id="2013338524">
      <w:bodyDiv w:val="1"/>
      <w:marLeft w:val="0"/>
      <w:marRight w:val="0"/>
      <w:marTop w:val="0"/>
      <w:marBottom w:val="0"/>
      <w:divBdr>
        <w:top w:val="none" w:sz="0" w:space="0" w:color="auto"/>
        <w:left w:val="none" w:sz="0" w:space="0" w:color="auto"/>
        <w:bottom w:val="none" w:sz="0" w:space="0" w:color="auto"/>
        <w:right w:val="none" w:sz="0" w:space="0" w:color="auto"/>
      </w:divBdr>
    </w:div>
    <w:div w:id="2013491082">
      <w:bodyDiv w:val="1"/>
      <w:marLeft w:val="0"/>
      <w:marRight w:val="0"/>
      <w:marTop w:val="0"/>
      <w:marBottom w:val="0"/>
      <w:divBdr>
        <w:top w:val="none" w:sz="0" w:space="0" w:color="auto"/>
        <w:left w:val="none" w:sz="0" w:space="0" w:color="auto"/>
        <w:bottom w:val="none" w:sz="0" w:space="0" w:color="auto"/>
        <w:right w:val="none" w:sz="0" w:space="0" w:color="auto"/>
      </w:divBdr>
    </w:div>
    <w:div w:id="2014801179">
      <w:bodyDiv w:val="1"/>
      <w:marLeft w:val="0"/>
      <w:marRight w:val="0"/>
      <w:marTop w:val="0"/>
      <w:marBottom w:val="0"/>
      <w:divBdr>
        <w:top w:val="none" w:sz="0" w:space="0" w:color="auto"/>
        <w:left w:val="none" w:sz="0" w:space="0" w:color="auto"/>
        <w:bottom w:val="none" w:sz="0" w:space="0" w:color="auto"/>
        <w:right w:val="none" w:sz="0" w:space="0" w:color="auto"/>
      </w:divBdr>
    </w:div>
    <w:div w:id="2014989718">
      <w:bodyDiv w:val="1"/>
      <w:marLeft w:val="0"/>
      <w:marRight w:val="0"/>
      <w:marTop w:val="0"/>
      <w:marBottom w:val="0"/>
      <w:divBdr>
        <w:top w:val="none" w:sz="0" w:space="0" w:color="auto"/>
        <w:left w:val="none" w:sz="0" w:space="0" w:color="auto"/>
        <w:bottom w:val="none" w:sz="0" w:space="0" w:color="auto"/>
        <w:right w:val="none" w:sz="0" w:space="0" w:color="auto"/>
      </w:divBdr>
    </w:div>
    <w:div w:id="2015838171">
      <w:bodyDiv w:val="1"/>
      <w:marLeft w:val="0"/>
      <w:marRight w:val="0"/>
      <w:marTop w:val="0"/>
      <w:marBottom w:val="0"/>
      <w:divBdr>
        <w:top w:val="none" w:sz="0" w:space="0" w:color="auto"/>
        <w:left w:val="none" w:sz="0" w:space="0" w:color="auto"/>
        <w:bottom w:val="none" w:sz="0" w:space="0" w:color="auto"/>
        <w:right w:val="none" w:sz="0" w:space="0" w:color="auto"/>
      </w:divBdr>
    </w:div>
    <w:div w:id="2016224118">
      <w:bodyDiv w:val="1"/>
      <w:marLeft w:val="0"/>
      <w:marRight w:val="0"/>
      <w:marTop w:val="0"/>
      <w:marBottom w:val="0"/>
      <w:divBdr>
        <w:top w:val="none" w:sz="0" w:space="0" w:color="auto"/>
        <w:left w:val="none" w:sz="0" w:space="0" w:color="auto"/>
        <w:bottom w:val="none" w:sz="0" w:space="0" w:color="auto"/>
        <w:right w:val="none" w:sz="0" w:space="0" w:color="auto"/>
      </w:divBdr>
    </w:div>
    <w:div w:id="2016610466">
      <w:bodyDiv w:val="1"/>
      <w:marLeft w:val="0"/>
      <w:marRight w:val="0"/>
      <w:marTop w:val="0"/>
      <w:marBottom w:val="0"/>
      <w:divBdr>
        <w:top w:val="none" w:sz="0" w:space="0" w:color="auto"/>
        <w:left w:val="none" w:sz="0" w:space="0" w:color="auto"/>
        <w:bottom w:val="none" w:sz="0" w:space="0" w:color="auto"/>
        <w:right w:val="none" w:sz="0" w:space="0" w:color="auto"/>
      </w:divBdr>
    </w:div>
    <w:div w:id="2016687858">
      <w:bodyDiv w:val="1"/>
      <w:marLeft w:val="0"/>
      <w:marRight w:val="0"/>
      <w:marTop w:val="0"/>
      <w:marBottom w:val="0"/>
      <w:divBdr>
        <w:top w:val="none" w:sz="0" w:space="0" w:color="auto"/>
        <w:left w:val="none" w:sz="0" w:space="0" w:color="auto"/>
        <w:bottom w:val="none" w:sz="0" w:space="0" w:color="auto"/>
        <w:right w:val="none" w:sz="0" w:space="0" w:color="auto"/>
      </w:divBdr>
    </w:div>
    <w:div w:id="2016690787">
      <w:bodyDiv w:val="1"/>
      <w:marLeft w:val="0"/>
      <w:marRight w:val="0"/>
      <w:marTop w:val="0"/>
      <w:marBottom w:val="0"/>
      <w:divBdr>
        <w:top w:val="none" w:sz="0" w:space="0" w:color="auto"/>
        <w:left w:val="none" w:sz="0" w:space="0" w:color="auto"/>
        <w:bottom w:val="none" w:sz="0" w:space="0" w:color="auto"/>
        <w:right w:val="none" w:sz="0" w:space="0" w:color="auto"/>
      </w:divBdr>
    </w:div>
    <w:div w:id="2016835285">
      <w:bodyDiv w:val="1"/>
      <w:marLeft w:val="0"/>
      <w:marRight w:val="0"/>
      <w:marTop w:val="0"/>
      <w:marBottom w:val="0"/>
      <w:divBdr>
        <w:top w:val="none" w:sz="0" w:space="0" w:color="auto"/>
        <w:left w:val="none" w:sz="0" w:space="0" w:color="auto"/>
        <w:bottom w:val="none" w:sz="0" w:space="0" w:color="auto"/>
        <w:right w:val="none" w:sz="0" w:space="0" w:color="auto"/>
      </w:divBdr>
    </w:div>
    <w:div w:id="2017153749">
      <w:bodyDiv w:val="1"/>
      <w:marLeft w:val="0"/>
      <w:marRight w:val="0"/>
      <w:marTop w:val="0"/>
      <w:marBottom w:val="0"/>
      <w:divBdr>
        <w:top w:val="none" w:sz="0" w:space="0" w:color="auto"/>
        <w:left w:val="none" w:sz="0" w:space="0" w:color="auto"/>
        <w:bottom w:val="none" w:sz="0" w:space="0" w:color="auto"/>
        <w:right w:val="none" w:sz="0" w:space="0" w:color="auto"/>
      </w:divBdr>
    </w:div>
    <w:div w:id="2017614126">
      <w:bodyDiv w:val="1"/>
      <w:marLeft w:val="0"/>
      <w:marRight w:val="0"/>
      <w:marTop w:val="0"/>
      <w:marBottom w:val="0"/>
      <w:divBdr>
        <w:top w:val="none" w:sz="0" w:space="0" w:color="auto"/>
        <w:left w:val="none" w:sz="0" w:space="0" w:color="auto"/>
        <w:bottom w:val="none" w:sz="0" w:space="0" w:color="auto"/>
        <w:right w:val="none" w:sz="0" w:space="0" w:color="auto"/>
      </w:divBdr>
    </w:div>
    <w:div w:id="2018115705">
      <w:bodyDiv w:val="1"/>
      <w:marLeft w:val="0"/>
      <w:marRight w:val="0"/>
      <w:marTop w:val="0"/>
      <w:marBottom w:val="0"/>
      <w:divBdr>
        <w:top w:val="none" w:sz="0" w:space="0" w:color="auto"/>
        <w:left w:val="none" w:sz="0" w:space="0" w:color="auto"/>
        <w:bottom w:val="none" w:sz="0" w:space="0" w:color="auto"/>
        <w:right w:val="none" w:sz="0" w:space="0" w:color="auto"/>
      </w:divBdr>
    </w:div>
    <w:div w:id="2018460546">
      <w:bodyDiv w:val="1"/>
      <w:marLeft w:val="0"/>
      <w:marRight w:val="0"/>
      <w:marTop w:val="0"/>
      <w:marBottom w:val="0"/>
      <w:divBdr>
        <w:top w:val="none" w:sz="0" w:space="0" w:color="auto"/>
        <w:left w:val="none" w:sz="0" w:space="0" w:color="auto"/>
        <w:bottom w:val="none" w:sz="0" w:space="0" w:color="auto"/>
        <w:right w:val="none" w:sz="0" w:space="0" w:color="auto"/>
      </w:divBdr>
    </w:div>
    <w:div w:id="2018843205">
      <w:bodyDiv w:val="1"/>
      <w:marLeft w:val="0"/>
      <w:marRight w:val="0"/>
      <w:marTop w:val="0"/>
      <w:marBottom w:val="0"/>
      <w:divBdr>
        <w:top w:val="none" w:sz="0" w:space="0" w:color="auto"/>
        <w:left w:val="none" w:sz="0" w:space="0" w:color="auto"/>
        <w:bottom w:val="none" w:sz="0" w:space="0" w:color="auto"/>
        <w:right w:val="none" w:sz="0" w:space="0" w:color="auto"/>
      </w:divBdr>
    </w:div>
    <w:div w:id="2019651788">
      <w:bodyDiv w:val="1"/>
      <w:marLeft w:val="0"/>
      <w:marRight w:val="0"/>
      <w:marTop w:val="0"/>
      <w:marBottom w:val="0"/>
      <w:divBdr>
        <w:top w:val="none" w:sz="0" w:space="0" w:color="auto"/>
        <w:left w:val="none" w:sz="0" w:space="0" w:color="auto"/>
        <w:bottom w:val="none" w:sz="0" w:space="0" w:color="auto"/>
        <w:right w:val="none" w:sz="0" w:space="0" w:color="auto"/>
      </w:divBdr>
    </w:div>
    <w:div w:id="2021664073">
      <w:bodyDiv w:val="1"/>
      <w:marLeft w:val="0"/>
      <w:marRight w:val="0"/>
      <w:marTop w:val="0"/>
      <w:marBottom w:val="0"/>
      <w:divBdr>
        <w:top w:val="none" w:sz="0" w:space="0" w:color="auto"/>
        <w:left w:val="none" w:sz="0" w:space="0" w:color="auto"/>
        <w:bottom w:val="none" w:sz="0" w:space="0" w:color="auto"/>
        <w:right w:val="none" w:sz="0" w:space="0" w:color="auto"/>
      </w:divBdr>
    </w:div>
    <w:div w:id="2021883618">
      <w:bodyDiv w:val="1"/>
      <w:marLeft w:val="0"/>
      <w:marRight w:val="0"/>
      <w:marTop w:val="0"/>
      <w:marBottom w:val="0"/>
      <w:divBdr>
        <w:top w:val="none" w:sz="0" w:space="0" w:color="auto"/>
        <w:left w:val="none" w:sz="0" w:space="0" w:color="auto"/>
        <w:bottom w:val="none" w:sz="0" w:space="0" w:color="auto"/>
        <w:right w:val="none" w:sz="0" w:space="0" w:color="auto"/>
      </w:divBdr>
    </w:div>
    <w:div w:id="2022119118">
      <w:bodyDiv w:val="1"/>
      <w:marLeft w:val="0"/>
      <w:marRight w:val="0"/>
      <w:marTop w:val="0"/>
      <w:marBottom w:val="0"/>
      <w:divBdr>
        <w:top w:val="none" w:sz="0" w:space="0" w:color="auto"/>
        <w:left w:val="none" w:sz="0" w:space="0" w:color="auto"/>
        <w:bottom w:val="none" w:sz="0" w:space="0" w:color="auto"/>
        <w:right w:val="none" w:sz="0" w:space="0" w:color="auto"/>
      </w:divBdr>
    </w:div>
    <w:div w:id="2022199537">
      <w:bodyDiv w:val="1"/>
      <w:marLeft w:val="0"/>
      <w:marRight w:val="0"/>
      <w:marTop w:val="0"/>
      <w:marBottom w:val="0"/>
      <w:divBdr>
        <w:top w:val="none" w:sz="0" w:space="0" w:color="auto"/>
        <w:left w:val="none" w:sz="0" w:space="0" w:color="auto"/>
        <w:bottom w:val="none" w:sz="0" w:space="0" w:color="auto"/>
        <w:right w:val="none" w:sz="0" w:space="0" w:color="auto"/>
      </w:divBdr>
    </w:div>
    <w:div w:id="2022732010">
      <w:bodyDiv w:val="1"/>
      <w:marLeft w:val="0"/>
      <w:marRight w:val="0"/>
      <w:marTop w:val="0"/>
      <w:marBottom w:val="0"/>
      <w:divBdr>
        <w:top w:val="none" w:sz="0" w:space="0" w:color="auto"/>
        <w:left w:val="none" w:sz="0" w:space="0" w:color="auto"/>
        <w:bottom w:val="none" w:sz="0" w:space="0" w:color="auto"/>
        <w:right w:val="none" w:sz="0" w:space="0" w:color="auto"/>
      </w:divBdr>
    </w:div>
    <w:div w:id="2023044243">
      <w:bodyDiv w:val="1"/>
      <w:marLeft w:val="0"/>
      <w:marRight w:val="0"/>
      <w:marTop w:val="0"/>
      <w:marBottom w:val="0"/>
      <w:divBdr>
        <w:top w:val="none" w:sz="0" w:space="0" w:color="auto"/>
        <w:left w:val="none" w:sz="0" w:space="0" w:color="auto"/>
        <w:bottom w:val="none" w:sz="0" w:space="0" w:color="auto"/>
        <w:right w:val="none" w:sz="0" w:space="0" w:color="auto"/>
      </w:divBdr>
    </w:div>
    <w:div w:id="2023123285">
      <w:bodyDiv w:val="1"/>
      <w:marLeft w:val="0"/>
      <w:marRight w:val="0"/>
      <w:marTop w:val="0"/>
      <w:marBottom w:val="0"/>
      <w:divBdr>
        <w:top w:val="none" w:sz="0" w:space="0" w:color="auto"/>
        <w:left w:val="none" w:sz="0" w:space="0" w:color="auto"/>
        <w:bottom w:val="none" w:sz="0" w:space="0" w:color="auto"/>
        <w:right w:val="none" w:sz="0" w:space="0" w:color="auto"/>
      </w:divBdr>
    </w:div>
    <w:div w:id="2023165247">
      <w:bodyDiv w:val="1"/>
      <w:marLeft w:val="0"/>
      <w:marRight w:val="0"/>
      <w:marTop w:val="0"/>
      <w:marBottom w:val="0"/>
      <w:divBdr>
        <w:top w:val="none" w:sz="0" w:space="0" w:color="auto"/>
        <w:left w:val="none" w:sz="0" w:space="0" w:color="auto"/>
        <w:bottom w:val="none" w:sz="0" w:space="0" w:color="auto"/>
        <w:right w:val="none" w:sz="0" w:space="0" w:color="auto"/>
      </w:divBdr>
    </w:div>
    <w:div w:id="2024087252">
      <w:bodyDiv w:val="1"/>
      <w:marLeft w:val="0"/>
      <w:marRight w:val="0"/>
      <w:marTop w:val="0"/>
      <w:marBottom w:val="0"/>
      <w:divBdr>
        <w:top w:val="none" w:sz="0" w:space="0" w:color="auto"/>
        <w:left w:val="none" w:sz="0" w:space="0" w:color="auto"/>
        <w:bottom w:val="none" w:sz="0" w:space="0" w:color="auto"/>
        <w:right w:val="none" w:sz="0" w:space="0" w:color="auto"/>
      </w:divBdr>
    </w:div>
    <w:div w:id="2024278705">
      <w:bodyDiv w:val="1"/>
      <w:marLeft w:val="0"/>
      <w:marRight w:val="0"/>
      <w:marTop w:val="0"/>
      <w:marBottom w:val="0"/>
      <w:divBdr>
        <w:top w:val="none" w:sz="0" w:space="0" w:color="auto"/>
        <w:left w:val="none" w:sz="0" w:space="0" w:color="auto"/>
        <w:bottom w:val="none" w:sz="0" w:space="0" w:color="auto"/>
        <w:right w:val="none" w:sz="0" w:space="0" w:color="auto"/>
      </w:divBdr>
    </w:div>
    <w:div w:id="2024283410">
      <w:bodyDiv w:val="1"/>
      <w:marLeft w:val="0"/>
      <w:marRight w:val="0"/>
      <w:marTop w:val="0"/>
      <w:marBottom w:val="0"/>
      <w:divBdr>
        <w:top w:val="none" w:sz="0" w:space="0" w:color="auto"/>
        <w:left w:val="none" w:sz="0" w:space="0" w:color="auto"/>
        <w:bottom w:val="none" w:sz="0" w:space="0" w:color="auto"/>
        <w:right w:val="none" w:sz="0" w:space="0" w:color="auto"/>
      </w:divBdr>
    </w:div>
    <w:div w:id="2024361764">
      <w:bodyDiv w:val="1"/>
      <w:marLeft w:val="0"/>
      <w:marRight w:val="0"/>
      <w:marTop w:val="0"/>
      <w:marBottom w:val="0"/>
      <w:divBdr>
        <w:top w:val="none" w:sz="0" w:space="0" w:color="auto"/>
        <w:left w:val="none" w:sz="0" w:space="0" w:color="auto"/>
        <w:bottom w:val="none" w:sz="0" w:space="0" w:color="auto"/>
        <w:right w:val="none" w:sz="0" w:space="0" w:color="auto"/>
      </w:divBdr>
    </w:div>
    <w:div w:id="2024433837">
      <w:bodyDiv w:val="1"/>
      <w:marLeft w:val="0"/>
      <w:marRight w:val="0"/>
      <w:marTop w:val="0"/>
      <w:marBottom w:val="0"/>
      <w:divBdr>
        <w:top w:val="none" w:sz="0" w:space="0" w:color="auto"/>
        <w:left w:val="none" w:sz="0" w:space="0" w:color="auto"/>
        <w:bottom w:val="none" w:sz="0" w:space="0" w:color="auto"/>
        <w:right w:val="none" w:sz="0" w:space="0" w:color="auto"/>
      </w:divBdr>
    </w:div>
    <w:div w:id="2025091195">
      <w:bodyDiv w:val="1"/>
      <w:marLeft w:val="0"/>
      <w:marRight w:val="0"/>
      <w:marTop w:val="0"/>
      <w:marBottom w:val="0"/>
      <w:divBdr>
        <w:top w:val="none" w:sz="0" w:space="0" w:color="auto"/>
        <w:left w:val="none" w:sz="0" w:space="0" w:color="auto"/>
        <w:bottom w:val="none" w:sz="0" w:space="0" w:color="auto"/>
        <w:right w:val="none" w:sz="0" w:space="0" w:color="auto"/>
      </w:divBdr>
    </w:div>
    <w:div w:id="2025472275">
      <w:bodyDiv w:val="1"/>
      <w:marLeft w:val="0"/>
      <w:marRight w:val="0"/>
      <w:marTop w:val="0"/>
      <w:marBottom w:val="0"/>
      <w:divBdr>
        <w:top w:val="none" w:sz="0" w:space="0" w:color="auto"/>
        <w:left w:val="none" w:sz="0" w:space="0" w:color="auto"/>
        <w:bottom w:val="none" w:sz="0" w:space="0" w:color="auto"/>
        <w:right w:val="none" w:sz="0" w:space="0" w:color="auto"/>
      </w:divBdr>
    </w:div>
    <w:div w:id="2025741414">
      <w:bodyDiv w:val="1"/>
      <w:marLeft w:val="0"/>
      <w:marRight w:val="0"/>
      <w:marTop w:val="0"/>
      <w:marBottom w:val="0"/>
      <w:divBdr>
        <w:top w:val="none" w:sz="0" w:space="0" w:color="auto"/>
        <w:left w:val="none" w:sz="0" w:space="0" w:color="auto"/>
        <w:bottom w:val="none" w:sz="0" w:space="0" w:color="auto"/>
        <w:right w:val="none" w:sz="0" w:space="0" w:color="auto"/>
      </w:divBdr>
    </w:div>
    <w:div w:id="2025982532">
      <w:bodyDiv w:val="1"/>
      <w:marLeft w:val="0"/>
      <w:marRight w:val="0"/>
      <w:marTop w:val="0"/>
      <w:marBottom w:val="0"/>
      <w:divBdr>
        <w:top w:val="none" w:sz="0" w:space="0" w:color="auto"/>
        <w:left w:val="none" w:sz="0" w:space="0" w:color="auto"/>
        <w:bottom w:val="none" w:sz="0" w:space="0" w:color="auto"/>
        <w:right w:val="none" w:sz="0" w:space="0" w:color="auto"/>
      </w:divBdr>
    </w:div>
    <w:div w:id="2026008353">
      <w:bodyDiv w:val="1"/>
      <w:marLeft w:val="0"/>
      <w:marRight w:val="0"/>
      <w:marTop w:val="0"/>
      <w:marBottom w:val="0"/>
      <w:divBdr>
        <w:top w:val="none" w:sz="0" w:space="0" w:color="auto"/>
        <w:left w:val="none" w:sz="0" w:space="0" w:color="auto"/>
        <w:bottom w:val="none" w:sz="0" w:space="0" w:color="auto"/>
        <w:right w:val="none" w:sz="0" w:space="0" w:color="auto"/>
      </w:divBdr>
    </w:div>
    <w:div w:id="2026250859">
      <w:bodyDiv w:val="1"/>
      <w:marLeft w:val="0"/>
      <w:marRight w:val="0"/>
      <w:marTop w:val="0"/>
      <w:marBottom w:val="0"/>
      <w:divBdr>
        <w:top w:val="none" w:sz="0" w:space="0" w:color="auto"/>
        <w:left w:val="none" w:sz="0" w:space="0" w:color="auto"/>
        <w:bottom w:val="none" w:sz="0" w:space="0" w:color="auto"/>
        <w:right w:val="none" w:sz="0" w:space="0" w:color="auto"/>
      </w:divBdr>
    </w:div>
    <w:div w:id="2027169272">
      <w:bodyDiv w:val="1"/>
      <w:marLeft w:val="0"/>
      <w:marRight w:val="0"/>
      <w:marTop w:val="0"/>
      <w:marBottom w:val="0"/>
      <w:divBdr>
        <w:top w:val="none" w:sz="0" w:space="0" w:color="auto"/>
        <w:left w:val="none" w:sz="0" w:space="0" w:color="auto"/>
        <w:bottom w:val="none" w:sz="0" w:space="0" w:color="auto"/>
        <w:right w:val="none" w:sz="0" w:space="0" w:color="auto"/>
      </w:divBdr>
    </w:div>
    <w:div w:id="2027172793">
      <w:bodyDiv w:val="1"/>
      <w:marLeft w:val="0"/>
      <w:marRight w:val="0"/>
      <w:marTop w:val="0"/>
      <w:marBottom w:val="0"/>
      <w:divBdr>
        <w:top w:val="none" w:sz="0" w:space="0" w:color="auto"/>
        <w:left w:val="none" w:sz="0" w:space="0" w:color="auto"/>
        <w:bottom w:val="none" w:sz="0" w:space="0" w:color="auto"/>
        <w:right w:val="none" w:sz="0" w:space="0" w:color="auto"/>
      </w:divBdr>
    </w:div>
    <w:div w:id="2027173075">
      <w:bodyDiv w:val="1"/>
      <w:marLeft w:val="0"/>
      <w:marRight w:val="0"/>
      <w:marTop w:val="0"/>
      <w:marBottom w:val="0"/>
      <w:divBdr>
        <w:top w:val="none" w:sz="0" w:space="0" w:color="auto"/>
        <w:left w:val="none" w:sz="0" w:space="0" w:color="auto"/>
        <w:bottom w:val="none" w:sz="0" w:space="0" w:color="auto"/>
        <w:right w:val="none" w:sz="0" w:space="0" w:color="auto"/>
      </w:divBdr>
    </w:div>
    <w:div w:id="2028023895">
      <w:bodyDiv w:val="1"/>
      <w:marLeft w:val="0"/>
      <w:marRight w:val="0"/>
      <w:marTop w:val="0"/>
      <w:marBottom w:val="0"/>
      <w:divBdr>
        <w:top w:val="none" w:sz="0" w:space="0" w:color="auto"/>
        <w:left w:val="none" w:sz="0" w:space="0" w:color="auto"/>
        <w:bottom w:val="none" w:sz="0" w:space="0" w:color="auto"/>
        <w:right w:val="none" w:sz="0" w:space="0" w:color="auto"/>
      </w:divBdr>
    </w:div>
    <w:div w:id="2028171903">
      <w:bodyDiv w:val="1"/>
      <w:marLeft w:val="0"/>
      <w:marRight w:val="0"/>
      <w:marTop w:val="0"/>
      <w:marBottom w:val="0"/>
      <w:divBdr>
        <w:top w:val="none" w:sz="0" w:space="0" w:color="auto"/>
        <w:left w:val="none" w:sz="0" w:space="0" w:color="auto"/>
        <w:bottom w:val="none" w:sz="0" w:space="0" w:color="auto"/>
        <w:right w:val="none" w:sz="0" w:space="0" w:color="auto"/>
      </w:divBdr>
    </w:div>
    <w:div w:id="2028869239">
      <w:bodyDiv w:val="1"/>
      <w:marLeft w:val="0"/>
      <w:marRight w:val="0"/>
      <w:marTop w:val="0"/>
      <w:marBottom w:val="0"/>
      <w:divBdr>
        <w:top w:val="none" w:sz="0" w:space="0" w:color="auto"/>
        <w:left w:val="none" w:sz="0" w:space="0" w:color="auto"/>
        <w:bottom w:val="none" w:sz="0" w:space="0" w:color="auto"/>
        <w:right w:val="none" w:sz="0" w:space="0" w:color="auto"/>
      </w:divBdr>
    </w:div>
    <w:div w:id="2028870897">
      <w:bodyDiv w:val="1"/>
      <w:marLeft w:val="0"/>
      <w:marRight w:val="0"/>
      <w:marTop w:val="0"/>
      <w:marBottom w:val="0"/>
      <w:divBdr>
        <w:top w:val="none" w:sz="0" w:space="0" w:color="auto"/>
        <w:left w:val="none" w:sz="0" w:space="0" w:color="auto"/>
        <w:bottom w:val="none" w:sz="0" w:space="0" w:color="auto"/>
        <w:right w:val="none" w:sz="0" w:space="0" w:color="auto"/>
      </w:divBdr>
    </w:div>
    <w:div w:id="2028941371">
      <w:bodyDiv w:val="1"/>
      <w:marLeft w:val="0"/>
      <w:marRight w:val="0"/>
      <w:marTop w:val="0"/>
      <w:marBottom w:val="0"/>
      <w:divBdr>
        <w:top w:val="none" w:sz="0" w:space="0" w:color="auto"/>
        <w:left w:val="none" w:sz="0" w:space="0" w:color="auto"/>
        <w:bottom w:val="none" w:sz="0" w:space="0" w:color="auto"/>
        <w:right w:val="none" w:sz="0" w:space="0" w:color="auto"/>
      </w:divBdr>
    </w:div>
    <w:div w:id="2029140016">
      <w:bodyDiv w:val="1"/>
      <w:marLeft w:val="0"/>
      <w:marRight w:val="0"/>
      <w:marTop w:val="0"/>
      <w:marBottom w:val="0"/>
      <w:divBdr>
        <w:top w:val="none" w:sz="0" w:space="0" w:color="auto"/>
        <w:left w:val="none" w:sz="0" w:space="0" w:color="auto"/>
        <w:bottom w:val="none" w:sz="0" w:space="0" w:color="auto"/>
        <w:right w:val="none" w:sz="0" w:space="0" w:color="auto"/>
      </w:divBdr>
    </w:div>
    <w:div w:id="2029325995">
      <w:bodyDiv w:val="1"/>
      <w:marLeft w:val="0"/>
      <w:marRight w:val="0"/>
      <w:marTop w:val="0"/>
      <w:marBottom w:val="0"/>
      <w:divBdr>
        <w:top w:val="none" w:sz="0" w:space="0" w:color="auto"/>
        <w:left w:val="none" w:sz="0" w:space="0" w:color="auto"/>
        <w:bottom w:val="none" w:sz="0" w:space="0" w:color="auto"/>
        <w:right w:val="none" w:sz="0" w:space="0" w:color="auto"/>
      </w:divBdr>
    </w:div>
    <w:div w:id="2029483629">
      <w:bodyDiv w:val="1"/>
      <w:marLeft w:val="0"/>
      <w:marRight w:val="0"/>
      <w:marTop w:val="0"/>
      <w:marBottom w:val="0"/>
      <w:divBdr>
        <w:top w:val="none" w:sz="0" w:space="0" w:color="auto"/>
        <w:left w:val="none" w:sz="0" w:space="0" w:color="auto"/>
        <w:bottom w:val="none" w:sz="0" w:space="0" w:color="auto"/>
        <w:right w:val="none" w:sz="0" w:space="0" w:color="auto"/>
      </w:divBdr>
    </w:div>
    <w:div w:id="2029912783">
      <w:bodyDiv w:val="1"/>
      <w:marLeft w:val="0"/>
      <w:marRight w:val="0"/>
      <w:marTop w:val="0"/>
      <w:marBottom w:val="0"/>
      <w:divBdr>
        <w:top w:val="none" w:sz="0" w:space="0" w:color="auto"/>
        <w:left w:val="none" w:sz="0" w:space="0" w:color="auto"/>
        <w:bottom w:val="none" w:sz="0" w:space="0" w:color="auto"/>
        <w:right w:val="none" w:sz="0" w:space="0" w:color="auto"/>
      </w:divBdr>
    </w:div>
    <w:div w:id="2029986346">
      <w:bodyDiv w:val="1"/>
      <w:marLeft w:val="0"/>
      <w:marRight w:val="0"/>
      <w:marTop w:val="0"/>
      <w:marBottom w:val="0"/>
      <w:divBdr>
        <w:top w:val="none" w:sz="0" w:space="0" w:color="auto"/>
        <w:left w:val="none" w:sz="0" w:space="0" w:color="auto"/>
        <w:bottom w:val="none" w:sz="0" w:space="0" w:color="auto"/>
        <w:right w:val="none" w:sz="0" w:space="0" w:color="auto"/>
      </w:divBdr>
    </w:div>
    <w:div w:id="2031755467">
      <w:bodyDiv w:val="1"/>
      <w:marLeft w:val="0"/>
      <w:marRight w:val="0"/>
      <w:marTop w:val="0"/>
      <w:marBottom w:val="0"/>
      <w:divBdr>
        <w:top w:val="none" w:sz="0" w:space="0" w:color="auto"/>
        <w:left w:val="none" w:sz="0" w:space="0" w:color="auto"/>
        <w:bottom w:val="none" w:sz="0" w:space="0" w:color="auto"/>
        <w:right w:val="none" w:sz="0" w:space="0" w:color="auto"/>
      </w:divBdr>
    </w:div>
    <w:div w:id="2031907114">
      <w:bodyDiv w:val="1"/>
      <w:marLeft w:val="0"/>
      <w:marRight w:val="0"/>
      <w:marTop w:val="0"/>
      <w:marBottom w:val="0"/>
      <w:divBdr>
        <w:top w:val="none" w:sz="0" w:space="0" w:color="auto"/>
        <w:left w:val="none" w:sz="0" w:space="0" w:color="auto"/>
        <w:bottom w:val="none" w:sz="0" w:space="0" w:color="auto"/>
        <w:right w:val="none" w:sz="0" w:space="0" w:color="auto"/>
      </w:divBdr>
    </w:div>
    <w:div w:id="2033141790">
      <w:bodyDiv w:val="1"/>
      <w:marLeft w:val="0"/>
      <w:marRight w:val="0"/>
      <w:marTop w:val="0"/>
      <w:marBottom w:val="0"/>
      <w:divBdr>
        <w:top w:val="none" w:sz="0" w:space="0" w:color="auto"/>
        <w:left w:val="none" w:sz="0" w:space="0" w:color="auto"/>
        <w:bottom w:val="none" w:sz="0" w:space="0" w:color="auto"/>
        <w:right w:val="none" w:sz="0" w:space="0" w:color="auto"/>
      </w:divBdr>
    </w:div>
    <w:div w:id="2033652710">
      <w:bodyDiv w:val="1"/>
      <w:marLeft w:val="0"/>
      <w:marRight w:val="0"/>
      <w:marTop w:val="0"/>
      <w:marBottom w:val="0"/>
      <w:divBdr>
        <w:top w:val="none" w:sz="0" w:space="0" w:color="auto"/>
        <w:left w:val="none" w:sz="0" w:space="0" w:color="auto"/>
        <w:bottom w:val="none" w:sz="0" w:space="0" w:color="auto"/>
        <w:right w:val="none" w:sz="0" w:space="0" w:color="auto"/>
      </w:divBdr>
    </w:div>
    <w:div w:id="2034067546">
      <w:bodyDiv w:val="1"/>
      <w:marLeft w:val="0"/>
      <w:marRight w:val="0"/>
      <w:marTop w:val="0"/>
      <w:marBottom w:val="0"/>
      <w:divBdr>
        <w:top w:val="none" w:sz="0" w:space="0" w:color="auto"/>
        <w:left w:val="none" w:sz="0" w:space="0" w:color="auto"/>
        <w:bottom w:val="none" w:sz="0" w:space="0" w:color="auto"/>
        <w:right w:val="none" w:sz="0" w:space="0" w:color="auto"/>
      </w:divBdr>
    </w:div>
    <w:div w:id="2034071492">
      <w:bodyDiv w:val="1"/>
      <w:marLeft w:val="0"/>
      <w:marRight w:val="0"/>
      <w:marTop w:val="0"/>
      <w:marBottom w:val="0"/>
      <w:divBdr>
        <w:top w:val="none" w:sz="0" w:space="0" w:color="auto"/>
        <w:left w:val="none" w:sz="0" w:space="0" w:color="auto"/>
        <w:bottom w:val="none" w:sz="0" w:space="0" w:color="auto"/>
        <w:right w:val="none" w:sz="0" w:space="0" w:color="auto"/>
      </w:divBdr>
    </w:div>
    <w:div w:id="2034303293">
      <w:bodyDiv w:val="1"/>
      <w:marLeft w:val="0"/>
      <w:marRight w:val="0"/>
      <w:marTop w:val="0"/>
      <w:marBottom w:val="0"/>
      <w:divBdr>
        <w:top w:val="none" w:sz="0" w:space="0" w:color="auto"/>
        <w:left w:val="none" w:sz="0" w:space="0" w:color="auto"/>
        <w:bottom w:val="none" w:sz="0" w:space="0" w:color="auto"/>
        <w:right w:val="none" w:sz="0" w:space="0" w:color="auto"/>
      </w:divBdr>
    </w:div>
    <w:div w:id="2034376495">
      <w:bodyDiv w:val="1"/>
      <w:marLeft w:val="0"/>
      <w:marRight w:val="0"/>
      <w:marTop w:val="0"/>
      <w:marBottom w:val="0"/>
      <w:divBdr>
        <w:top w:val="none" w:sz="0" w:space="0" w:color="auto"/>
        <w:left w:val="none" w:sz="0" w:space="0" w:color="auto"/>
        <w:bottom w:val="none" w:sz="0" w:space="0" w:color="auto"/>
        <w:right w:val="none" w:sz="0" w:space="0" w:color="auto"/>
      </w:divBdr>
    </w:div>
    <w:div w:id="2034646008">
      <w:bodyDiv w:val="1"/>
      <w:marLeft w:val="0"/>
      <w:marRight w:val="0"/>
      <w:marTop w:val="0"/>
      <w:marBottom w:val="0"/>
      <w:divBdr>
        <w:top w:val="none" w:sz="0" w:space="0" w:color="auto"/>
        <w:left w:val="none" w:sz="0" w:space="0" w:color="auto"/>
        <w:bottom w:val="none" w:sz="0" w:space="0" w:color="auto"/>
        <w:right w:val="none" w:sz="0" w:space="0" w:color="auto"/>
      </w:divBdr>
    </w:div>
    <w:div w:id="2034988308">
      <w:bodyDiv w:val="1"/>
      <w:marLeft w:val="0"/>
      <w:marRight w:val="0"/>
      <w:marTop w:val="0"/>
      <w:marBottom w:val="0"/>
      <w:divBdr>
        <w:top w:val="none" w:sz="0" w:space="0" w:color="auto"/>
        <w:left w:val="none" w:sz="0" w:space="0" w:color="auto"/>
        <w:bottom w:val="none" w:sz="0" w:space="0" w:color="auto"/>
        <w:right w:val="none" w:sz="0" w:space="0" w:color="auto"/>
      </w:divBdr>
    </w:div>
    <w:div w:id="2035382760">
      <w:bodyDiv w:val="1"/>
      <w:marLeft w:val="0"/>
      <w:marRight w:val="0"/>
      <w:marTop w:val="0"/>
      <w:marBottom w:val="0"/>
      <w:divBdr>
        <w:top w:val="none" w:sz="0" w:space="0" w:color="auto"/>
        <w:left w:val="none" w:sz="0" w:space="0" w:color="auto"/>
        <w:bottom w:val="none" w:sz="0" w:space="0" w:color="auto"/>
        <w:right w:val="none" w:sz="0" w:space="0" w:color="auto"/>
      </w:divBdr>
    </w:div>
    <w:div w:id="2035568024">
      <w:bodyDiv w:val="1"/>
      <w:marLeft w:val="0"/>
      <w:marRight w:val="0"/>
      <w:marTop w:val="0"/>
      <w:marBottom w:val="0"/>
      <w:divBdr>
        <w:top w:val="none" w:sz="0" w:space="0" w:color="auto"/>
        <w:left w:val="none" w:sz="0" w:space="0" w:color="auto"/>
        <w:bottom w:val="none" w:sz="0" w:space="0" w:color="auto"/>
        <w:right w:val="none" w:sz="0" w:space="0" w:color="auto"/>
      </w:divBdr>
    </w:div>
    <w:div w:id="2035576988">
      <w:bodyDiv w:val="1"/>
      <w:marLeft w:val="0"/>
      <w:marRight w:val="0"/>
      <w:marTop w:val="0"/>
      <w:marBottom w:val="0"/>
      <w:divBdr>
        <w:top w:val="none" w:sz="0" w:space="0" w:color="auto"/>
        <w:left w:val="none" w:sz="0" w:space="0" w:color="auto"/>
        <w:bottom w:val="none" w:sz="0" w:space="0" w:color="auto"/>
        <w:right w:val="none" w:sz="0" w:space="0" w:color="auto"/>
      </w:divBdr>
    </w:div>
    <w:div w:id="2035884192">
      <w:bodyDiv w:val="1"/>
      <w:marLeft w:val="0"/>
      <w:marRight w:val="0"/>
      <w:marTop w:val="0"/>
      <w:marBottom w:val="0"/>
      <w:divBdr>
        <w:top w:val="none" w:sz="0" w:space="0" w:color="auto"/>
        <w:left w:val="none" w:sz="0" w:space="0" w:color="auto"/>
        <w:bottom w:val="none" w:sz="0" w:space="0" w:color="auto"/>
        <w:right w:val="none" w:sz="0" w:space="0" w:color="auto"/>
      </w:divBdr>
    </w:div>
    <w:div w:id="2036150472">
      <w:bodyDiv w:val="1"/>
      <w:marLeft w:val="0"/>
      <w:marRight w:val="0"/>
      <w:marTop w:val="0"/>
      <w:marBottom w:val="0"/>
      <w:divBdr>
        <w:top w:val="none" w:sz="0" w:space="0" w:color="auto"/>
        <w:left w:val="none" w:sz="0" w:space="0" w:color="auto"/>
        <w:bottom w:val="none" w:sz="0" w:space="0" w:color="auto"/>
        <w:right w:val="none" w:sz="0" w:space="0" w:color="auto"/>
      </w:divBdr>
    </w:div>
    <w:div w:id="2036299452">
      <w:bodyDiv w:val="1"/>
      <w:marLeft w:val="0"/>
      <w:marRight w:val="0"/>
      <w:marTop w:val="0"/>
      <w:marBottom w:val="0"/>
      <w:divBdr>
        <w:top w:val="none" w:sz="0" w:space="0" w:color="auto"/>
        <w:left w:val="none" w:sz="0" w:space="0" w:color="auto"/>
        <w:bottom w:val="none" w:sz="0" w:space="0" w:color="auto"/>
        <w:right w:val="none" w:sz="0" w:space="0" w:color="auto"/>
      </w:divBdr>
    </w:div>
    <w:div w:id="2036809935">
      <w:bodyDiv w:val="1"/>
      <w:marLeft w:val="0"/>
      <w:marRight w:val="0"/>
      <w:marTop w:val="0"/>
      <w:marBottom w:val="0"/>
      <w:divBdr>
        <w:top w:val="none" w:sz="0" w:space="0" w:color="auto"/>
        <w:left w:val="none" w:sz="0" w:space="0" w:color="auto"/>
        <w:bottom w:val="none" w:sz="0" w:space="0" w:color="auto"/>
        <w:right w:val="none" w:sz="0" w:space="0" w:color="auto"/>
      </w:divBdr>
    </w:div>
    <w:div w:id="2036885274">
      <w:bodyDiv w:val="1"/>
      <w:marLeft w:val="0"/>
      <w:marRight w:val="0"/>
      <w:marTop w:val="0"/>
      <w:marBottom w:val="0"/>
      <w:divBdr>
        <w:top w:val="none" w:sz="0" w:space="0" w:color="auto"/>
        <w:left w:val="none" w:sz="0" w:space="0" w:color="auto"/>
        <w:bottom w:val="none" w:sz="0" w:space="0" w:color="auto"/>
        <w:right w:val="none" w:sz="0" w:space="0" w:color="auto"/>
      </w:divBdr>
    </w:div>
    <w:div w:id="2036924947">
      <w:bodyDiv w:val="1"/>
      <w:marLeft w:val="0"/>
      <w:marRight w:val="0"/>
      <w:marTop w:val="0"/>
      <w:marBottom w:val="0"/>
      <w:divBdr>
        <w:top w:val="none" w:sz="0" w:space="0" w:color="auto"/>
        <w:left w:val="none" w:sz="0" w:space="0" w:color="auto"/>
        <w:bottom w:val="none" w:sz="0" w:space="0" w:color="auto"/>
        <w:right w:val="none" w:sz="0" w:space="0" w:color="auto"/>
      </w:divBdr>
    </w:div>
    <w:div w:id="2036929332">
      <w:bodyDiv w:val="1"/>
      <w:marLeft w:val="0"/>
      <w:marRight w:val="0"/>
      <w:marTop w:val="0"/>
      <w:marBottom w:val="0"/>
      <w:divBdr>
        <w:top w:val="none" w:sz="0" w:space="0" w:color="auto"/>
        <w:left w:val="none" w:sz="0" w:space="0" w:color="auto"/>
        <w:bottom w:val="none" w:sz="0" w:space="0" w:color="auto"/>
        <w:right w:val="none" w:sz="0" w:space="0" w:color="auto"/>
      </w:divBdr>
    </w:div>
    <w:div w:id="2037150426">
      <w:bodyDiv w:val="1"/>
      <w:marLeft w:val="0"/>
      <w:marRight w:val="0"/>
      <w:marTop w:val="0"/>
      <w:marBottom w:val="0"/>
      <w:divBdr>
        <w:top w:val="none" w:sz="0" w:space="0" w:color="auto"/>
        <w:left w:val="none" w:sz="0" w:space="0" w:color="auto"/>
        <w:bottom w:val="none" w:sz="0" w:space="0" w:color="auto"/>
        <w:right w:val="none" w:sz="0" w:space="0" w:color="auto"/>
      </w:divBdr>
    </w:div>
    <w:div w:id="2037463687">
      <w:bodyDiv w:val="1"/>
      <w:marLeft w:val="0"/>
      <w:marRight w:val="0"/>
      <w:marTop w:val="0"/>
      <w:marBottom w:val="0"/>
      <w:divBdr>
        <w:top w:val="none" w:sz="0" w:space="0" w:color="auto"/>
        <w:left w:val="none" w:sz="0" w:space="0" w:color="auto"/>
        <w:bottom w:val="none" w:sz="0" w:space="0" w:color="auto"/>
        <w:right w:val="none" w:sz="0" w:space="0" w:color="auto"/>
      </w:divBdr>
    </w:div>
    <w:div w:id="2037537885">
      <w:bodyDiv w:val="1"/>
      <w:marLeft w:val="0"/>
      <w:marRight w:val="0"/>
      <w:marTop w:val="0"/>
      <w:marBottom w:val="0"/>
      <w:divBdr>
        <w:top w:val="none" w:sz="0" w:space="0" w:color="auto"/>
        <w:left w:val="none" w:sz="0" w:space="0" w:color="auto"/>
        <w:bottom w:val="none" w:sz="0" w:space="0" w:color="auto"/>
        <w:right w:val="none" w:sz="0" w:space="0" w:color="auto"/>
      </w:divBdr>
    </w:div>
    <w:div w:id="2038462305">
      <w:bodyDiv w:val="1"/>
      <w:marLeft w:val="0"/>
      <w:marRight w:val="0"/>
      <w:marTop w:val="0"/>
      <w:marBottom w:val="0"/>
      <w:divBdr>
        <w:top w:val="none" w:sz="0" w:space="0" w:color="auto"/>
        <w:left w:val="none" w:sz="0" w:space="0" w:color="auto"/>
        <w:bottom w:val="none" w:sz="0" w:space="0" w:color="auto"/>
        <w:right w:val="none" w:sz="0" w:space="0" w:color="auto"/>
      </w:divBdr>
    </w:div>
    <w:div w:id="2039238913">
      <w:bodyDiv w:val="1"/>
      <w:marLeft w:val="0"/>
      <w:marRight w:val="0"/>
      <w:marTop w:val="0"/>
      <w:marBottom w:val="0"/>
      <w:divBdr>
        <w:top w:val="none" w:sz="0" w:space="0" w:color="auto"/>
        <w:left w:val="none" w:sz="0" w:space="0" w:color="auto"/>
        <w:bottom w:val="none" w:sz="0" w:space="0" w:color="auto"/>
        <w:right w:val="none" w:sz="0" w:space="0" w:color="auto"/>
      </w:divBdr>
    </w:div>
    <w:div w:id="2039969895">
      <w:bodyDiv w:val="1"/>
      <w:marLeft w:val="0"/>
      <w:marRight w:val="0"/>
      <w:marTop w:val="0"/>
      <w:marBottom w:val="0"/>
      <w:divBdr>
        <w:top w:val="none" w:sz="0" w:space="0" w:color="auto"/>
        <w:left w:val="none" w:sz="0" w:space="0" w:color="auto"/>
        <w:bottom w:val="none" w:sz="0" w:space="0" w:color="auto"/>
        <w:right w:val="none" w:sz="0" w:space="0" w:color="auto"/>
      </w:divBdr>
    </w:div>
    <w:div w:id="2040160402">
      <w:bodyDiv w:val="1"/>
      <w:marLeft w:val="0"/>
      <w:marRight w:val="0"/>
      <w:marTop w:val="0"/>
      <w:marBottom w:val="0"/>
      <w:divBdr>
        <w:top w:val="none" w:sz="0" w:space="0" w:color="auto"/>
        <w:left w:val="none" w:sz="0" w:space="0" w:color="auto"/>
        <w:bottom w:val="none" w:sz="0" w:space="0" w:color="auto"/>
        <w:right w:val="none" w:sz="0" w:space="0" w:color="auto"/>
      </w:divBdr>
    </w:div>
    <w:div w:id="2040206083">
      <w:bodyDiv w:val="1"/>
      <w:marLeft w:val="0"/>
      <w:marRight w:val="0"/>
      <w:marTop w:val="0"/>
      <w:marBottom w:val="0"/>
      <w:divBdr>
        <w:top w:val="none" w:sz="0" w:space="0" w:color="auto"/>
        <w:left w:val="none" w:sz="0" w:space="0" w:color="auto"/>
        <w:bottom w:val="none" w:sz="0" w:space="0" w:color="auto"/>
        <w:right w:val="none" w:sz="0" w:space="0" w:color="auto"/>
      </w:divBdr>
    </w:div>
    <w:div w:id="2040814542">
      <w:bodyDiv w:val="1"/>
      <w:marLeft w:val="0"/>
      <w:marRight w:val="0"/>
      <w:marTop w:val="0"/>
      <w:marBottom w:val="0"/>
      <w:divBdr>
        <w:top w:val="none" w:sz="0" w:space="0" w:color="auto"/>
        <w:left w:val="none" w:sz="0" w:space="0" w:color="auto"/>
        <w:bottom w:val="none" w:sz="0" w:space="0" w:color="auto"/>
        <w:right w:val="none" w:sz="0" w:space="0" w:color="auto"/>
      </w:divBdr>
    </w:div>
    <w:div w:id="2041397958">
      <w:bodyDiv w:val="1"/>
      <w:marLeft w:val="0"/>
      <w:marRight w:val="0"/>
      <w:marTop w:val="0"/>
      <w:marBottom w:val="0"/>
      <w:divBdr>
        <w:top w:val="none" w:sz="0" w:space="0" w:color="auto"/>
        <w:left w:val="none" w:sz="0" w:space="0" w:color="auto"/>
        <w:bottom w:val="none" w:sz="0" w:space="0" w:color="auto"/>
        <w:right w:val="none" w:sz="0" w:space="0" w:color="auto"/>
      </w:divBdr>
    </w:div>
    <w:div w:id="2041776879">
      <w:bodyDiv w:val="1"/>
      <w:marLeft w:val="0"/>
      <w:marRight w:val="0"/>
      <w:marTop w:val="0"/>
      <w:marBottom w:val="0"/>
      <w:divBdr>
        <w:top w:val="none" w:sz="0" w:space="0" w:color="auto"/>
        <w:left w:val="none" w:sz="0" w:space="0" w:color="auto"/>
        <w:bottom w:val="none" w:sz="0" w:space="0" w:color="auto"/>
        <w:right w:val="none" w:sz="0" w:space="0" w:color="auto"/>
      </w:divBdr>
    </w:div>
    <w:div w:id="2041858076">
      <w:bodyDiv w:val="1"/>
      <w:marLeft w:val="0"/>
      <w:marRight w:val="0"/>
      <w:marTop w:val="0"/>
      <w:marBottom w:val="0"/>
      <w:divBdr>
        <w:top w:val="none" w:sz="0" w:space="0" w:color="auto"/>
        <w:left w:val="none" w:sz="0" w:space="0" w:color="auto"/>
        <w:bottom w:val="none" w:sz="0" w:space="0" w:color="auto"/>
        <w:right w:val="none" w:sz="0" w:space="0" w:color="auto"/>
      </w:divBdr>
    </w:div>
    <w:div w:id="2042044726">
      <w:bodyDiv w:val="1"/>
      <w:marLeft w:val="0"/>
      <w:marRight w:val="0"/>
      <w:marTop w:val="0"/>
      <w:marBottom w:val="0"/>
      <w:divBdr>
        <w:top w:val="none" w:sz="0" w:space="0" w:color="auto"/>
        <w:left w:val="none" w:sz="0" w:space="0" w:color="auto"/>
        <w:bottom w:val="none" w:sz="0" w:space="0" w:color="auto"/>
        <w:right w:val="none" w:sz="0" w:space="0" w:color="auto"/>
      </w:divBdr>
    </w:div>
    <w:div w:id="2042240700">
      <w:bodyDiv w:val="1"/>
      <w:marLeft w:val="0"/>
      <w:marRight w:val="0"/>
      <w:marTop w:val="0"/>
      <w:marBottom w:val="0"/>
      <w:divBdr>
        <w:top w:val="none" w:sz="0" w:space="0" w:color="auto"/>
        <w:left w:val="none" w:sz="0" w:space="0" w:color="auto"/>
        <w:bottom w:val="none" w:sz="0" w:space="0" w:color="auto"/>
        <w:right w:val="none" w:sz="0" w:space="0" w:color="auto"/>
      </w:divBdr>
    </w:div>
    <w:div w:id="2042707010">
      <w:bodyDiv w:val="1"/>
      <w:marLeft w:val="0"/>
      <w:marRight w:val="0"/>
      <w:marTop w:val="0"/>
      <w:marBottom w:val="0"/>
      <w:divBdr>
        <w:top w:val="none" w:sz="0" w:space="0" w:color="auto"/>
        <w:left w:val="none" w:sz="0" w:space="0" w:color="auto"/>
        <w:bottom w:val="none" w:sz="0" w:space="0" w:color="auto"/>
        <w:right w:val="none" w:sz="0" w:space="0" w:color="auto"/>
      </w:divBdr>
    </w:div>
    <w:div w:id="2043045358">
      <w:bodyDiv w:val="1"/>
      <w:marLeft w:val="0"/>
      <w:marRight w:val="0"/>
      <w:marTop w:val="0"/>
      <w:marBottom w:val="0"/>
      <w:divBdr>
        <w:top w:val="none" w:sz="0" w:space="0" w:color="auto"/>
        <w:left w:val="none" w:sz="0" w:space="0" w:color="auto"/>
        <w:bottom w:val="none" w:sz="0" w:space="0" w:color="auto"/>
        <w:right w:val="none" w:sz="0" w:space="0" w:color="auto"/>
      </w:divBdr>
    </w:div>
    <w:div w:id="2043555298">
      <w:bodyDiv w:val="1"/>
      <w:marLeft w:val="0"/>
      <w:marRight w:val="0"/>
      <w:marTop w:val="0"/>
      <w:marBottom w:val="0"/>
      <w:divBdr>
        <w:top w:val="none" w:sz="0" w:space="0" w:color="auto"/>
        <w:left w:val="none" w:sz="0" w:space="0" w:color="auto"/>
        <w:bottom w:val="none" w:sz="0" w:space="0" w:color="auto"/>
        <w:right w:val="none" w:sz="0" w:space="0" w:color="auto"/>
      </w:divBdr>
    </w:div>
    <w:div w:id="2044474328">
      <w:bodyDiv w:val="1"/>
      <w:marLeft w:val="0"/>
      <w:marRight w:val="0"/>
      <w:marTop w:val="0"/>
      <w:marBottom w:val="0"/>
      <w:divBdr>
        <w:top w:val="none" w:sz="0" w:space="0" w:color="auto"/>
        <w:left w:val="none" w:sz="0" w:space="0" w:color="auto"/>
        <w:bottom w:val="none" w:sz="0" w:space="0" w:color="auto"/>
        <w:right w:val="none" w:sz="0" w:space="0" w:color="auto"/>
      </w:divBdr>
    </w:div>
    <w:div w:id="2044552380">
      <w:bodyDiv w:val="1"/>
      <w:marLeft w:val="0"/>
      <w:marRight w:val="0"/>
      <w:marTop w:val="0"/>
      <w:marBottom w:val="0"/>
      <w:divBdr>
        <w:top w:val="none" w:sz="0" w:space="0" w:color="auto"/>
        <w:left w:val="none" w:sz="0" w:space="0" w:color="auto"/>
        <w:bottom w:val="none" w:sz="0" w:space="0" w:color="auto"/>
        <w:right w:val="none" w:sz="0" w:space="0" w:color="auto"/>
      </w:divBdr>
    </w:div>
    <w:div w:id="2044747760">
      <w:bodyDiv w:val="1"/>
      <w:marLeft w:val="0"/>
      <w:marRight w:val="0"/>
      <w:marTop w:val="0"/>
      <w:marBottom w:val="0"/>
      <w:divBdr>
        <w:top w:val="none" w:sz="0" w:space="0" w:color="auto"/>
        <w:left w:val="none" w:sz="0" w:space="0" w:color="auto"/>
        <w:bottom w:val="none" w:sz="0" w:space="0" w:color="auto"/>
        <w:right w:val="none" w:sz="0" w:space="0" w:color="auto"/>
      </w:divBdr>
    </w:div>
    <w:div w:id="2044867362">
      <w:bodyDiv w:val="1"/>
      <w:marLeft w:val="0"/>
      <w:marRight w:val="0"/>
      <w:marTop w:val="0"/>
      <w:marBottom w:val="0"/>
      <w:divBdr>
        <w:top w:val="none" w:sz="0" w:space="0" w:color="auto"/>
        <w:left w:val="none" w:sz="0" w:space="0" w:color="auto"/>
        <w:bottom w:val="none" w:sz="0" w:space="0" w:color="auto"/>
        <w:right w:val="none" w:sz="0" w:space="0" w:color="auto"/>
      </w:divBdr>
    </w:div>
    <w:div w:id="2044943668">
      <w:bodyDiv w:val="1"/>
      <w:marLeft w:val="0"/>
      <w:marRight w:val="0"/>
      <w:marTop w:val="0"/>
      <w:marBottom w:val="0"/>
      <w:divBdr>
        <w:top w:val="none" w:sz="0" w:space="0" w:color="auto"/>
        <w:left w:val="none" w:sz="0" w:space="0" w:color="auto"/>
        <w:bottom w:val="none" w:sz="0" w:space="0" w:color="auto"/>
        <w:right w:val="none" w:sz="0" w:space="0" w:color="auto"/>
      </w:divBdr>
    </w:div>
    <w:div w:id="2045322262">
      <w:bodyDiv w:val="1"/>
      <w:marLeft w:val="0"/>
      <w:marRight w:val="0"/>
      <w:marTop w:val="0"/>
      <w:marBottom w:val="0"/>
      <w:divBdr>
        <w:top w:val="none" w:sz="0" w:space="0" w:color="auto"/>
        <w:left w:val="none" w:sz="0" w:space="0" w:color="auto"/>
        <w:bottom w:val="none" w:sz="0" w:space="0" w:color="auto"/>
        <w:right w:val="none" w:sz="0" w:space="0" w:color="auto"/>
      </w:divBdr>
    </w:div>
    <w:div w:id="2045519230">
      <w:bodyDiv w:val="1"/>
      <w:marLeft w:val="0"/>
      <w:marRight w:val="0"/>
      <w:marTop w:val="0"/>
      <w:marBottom w:val="0"/>
      <w:divBdr>
        <w:top w:val="none" w:sz="0" w:space="0" w:color="auto"/>
        <w:left w:val="none" w:sz="0" w:space="0" w:color="auto"/>
        <w:bottom w:val="none" w:sz="0" w:space="0" w:color="auto"/>
        <w:right w:val="none" w:sz="0" w:space="0" w:color="auto"/>
      </w:divBdr>
    </w:div>
    <w:div w:id="2045673244">
      <w:bodyDiv w:val="1"/>
      <w:marLeft w:val="0"/>
      <w:marRight w:val="0"/>
      <w:marTop w:val="0"/>
      <w:marBottom w:val="0"/>
      <w:divBdr>
        <w:top w:val="none" w:sz="0" w:space="0" w:color="auto"/>
        <w:left w:val="none" w:sz="0" w:space="0" w:color="auto"/>
        <w:bottom w:val="none" w:sz="0" w:space="0" w:color="auto"/>
        <w:right w:val="none" w:sz="0" w:space="0" w:color="auto"/>
      </w:divBdr>
    </w:div>
    <w:div w:id="2047220136">
      <w:bodyDiv w:val="1"/>
      <w:marLeft w:val="0"/>
      <w:marRight w:val="0"/>
      <w:marTop w:val="0"/>
      <w:marBottom w:val="0"/>
      <w:divBdr>
        <w:top w:val="none" w:sz="0" w:space="0" w:color="auto"/>
        <w:left w:val="none" w:sz="0" w:space="0" w:color="auto"/>
        <w:bottom w:val="none" w:sz="0" w:space="0" w:color="auto"/>
        <w:right w:val="none" w:sz="0" w:space="0" w:color="auto"/>
      </w:divBdr>
    </w:div>
    <w:div w:id="2047632785">
      <w:bodyDiv w:val="1"/>
      <w:marLeft w:val="0"/>
      <w:marRight w:val="0"/>
      <w:marTop w:val="0"/>
      <w:marBottom w:val="0"/>
      <w:divBdr>
        <w:top w:val="none" w:sz="0" w:space="0" w:color="auto"/>
        <w:left w:val="none" w:sz="0" w:space="0" w:color="auto"/>
        <w:bottom w:val="none" w:sz="0" w:space="0" w:color="auto"/>
        <w:right w:val="none" w:sz="0" w:space="0" w:color="auto"/>
      </w:divBdr>
    </w:div>
    <w:div w:id="2047875714">
      <w:bodyDiv w:val="1"/>
      <w:marLeft w:val="0"/>
      <w:marRight w:val="0"/>
      <w:marTop w:val="0"/>
      <w:marBottom w:val="0"/>
      <w:divBdr>
        <w:top w:val="none" w:sz="0" w:space="0" w:color="auto"/>
        <w:left w:val="none" w:sz="0" w:space="0" w:color="auto"/>
        <w:bottom w:val="none" w:sz="0" w:space="0" w:color="auto"/>
        <w:right w:val="none" w:sz="0" w:space="0" w:color="auto"/>
      </w:divBdr>
    </w:div>
    <w:div w:id="2048485952">
      <w:bodyDiv w:val="1"/>
      <w:marLeft w:val="0"/>
      <w:marRight w:val="0"/>
      <w:marTop w:val="0"/>
      <w:marBottom w:val="0"/>
      <w:divBdr>
        <w:top w:val="none" w:sz="0" w:space="0" w:color="auto"/>
        <w:left w:val="none" w:sz="0" w:space="0" w:color="auto"/>
        <w:bottom w:val="none" w:sz="0" w:space="0" w:color="auto"/>
        <w:right w:val="none" w:sz="0" w:space="0" w:color="auto"/>
      </w:divBdr>
    </w:div>
    <w:div w:id="2048598439">
      <w:bodyDiv w:val="1"/>
      <w:marLeft w:val="0"/>
      <w:marRight w:val="0"/>
      <w:marTop w:val="0"/>
      <w:marBottom w:val="0"/>
      <w:divBdr>
        <w:top w:val="none" w:sz="0" w:space="0" w:color="auto"/>
        <w:left w:val="none" w:sz="0" w:space="0" w:color="auto"/>
        <w:bottom w:val="none" w:sz="0" w:space="0" w:color="auto"/>
        <w:right w:val="none" w:sz="0" w:space="0" w:color="auto"/>
      </w:divBdr>
    </w:div>
    <w:div w:id="2048682354">
      <w:bodyDiv w:val="1"/>
      <w:marLeft w:val="0"/>
      <w:marRight w:val="0"/>
      <w:marTop w:val="0"/>
      <w:marBottom w:val="0"/>
      <w:divBdr>
        <w:top w:val="none" w:sz="0" w:space="0" w:color="auto"/>
        <w:left w:val="none" w:sz="0" w:space="0" w:color="auto"/>
        <w:bottom w:val="none" w:sz="0" w:space="0" w:color="auto"/>
        <w:right w:val="none" w:sz="0" w:space="0" w:color="auto"/>
      </w:divBdr>
    </w:div>
    <w:div w:id="2048721287">
      <w:bodyDiv w:val="1"/>
      <w:marLeft w:val="0"/>
      <w:marRight w:val="0"/>
      <w:marTop w:val="0"/>
      <w:marBottom w:val="0"/>
      <w:divBdr>
        <w:top w:val="none" w:sz="0" w:space="0" w:color="auto"/>
        <w:left w:val="none" w:sz="0" w:space="0" w:color="auto"/>
        <w:bottom w:val="none" w:sz="0" w:space="0" w:color="auto"/>
        <w:right w:val="none" w:sz="0" w:space="0" w:color="auto"/>
      </w:divBdr>
    </w:div>
    <w:div w:id="2049604542">
      <w:bodyDiv w:val="1"/>
      <w:marLeft w:val="0"/>
      <w:marRight w:val="0"/>
      <w:marTop w:val="0"/>
      <w:marBottom w:val="0"/>
      <w:divBdr>
        <w:top w:val="none" w:sz="0" w:space="0" w:color="auto"/>
        <w:left w:val="none" w:sz="0" w:space="0" w:color="auto"/>
        <w:bottom w:val="none" w:sz="0" w:space="0" w:color="auto"/>
        <w:right w:val="none" w:sz="0" w:space="0" w:color="auto"/>
      </w:divBdr>
    </w:div>
    <w:div w:id="2049723639">
      <w:bodyDiv w:val="1"/>
      <w:marLeft w:val="0"/>
      <w:marRight w:val="0"/>
      <w:marTop w:val="0"/>
      <w:marBottom w:val="0"/>
      <w:divBdr>
        <w:top w:val="none" w:sz="0" w:space="0" w:color="auto"/>
        <w:left w:val="none" w:sz="0" w:space="0" w:color="auto"/>
        <w:bottom w:val="none" w:sz="0" w:space="0" w:color="auto"/>
        <w:right w:val="none" w:sz="0" w:space="0" w:color="auto"/>
      </w:divBdr>
    </w:div>
    <w:div w:id="2049838934">
      <w:bodyDiv w:val="1"/>
      <w:marLeft w:val="0"/>
      <w:marRight w:val="0"/>
      <w:marTop w:val="0"/>
      <w:marBottom w:val="0"/>
      <w:divBdr>
        <w:top w:val="none" w:sz="0" w:space="0" w:color="auto"/>
        <w:left w:val="none" w:sz="0" w:space="0" w:color="auto"/>
        <w:bottom w:val="none" w:sz="0" w:space="0" w:color="auto"/>
        <w:right w:val="none" w:sz="0" w:space="0" w:color="auto"/>
      </w:divBdr>
    </w:div>
    <w:div w:id="2050492080">
      <w:bodyDiv w:val="1"/>
      <w:marLeft w:val="0"/>
      <w:marRight w:val="0"/>
      <w:marTop w:val="0"/>
      <w:marBottom w:val="0"/>
      <w:divBdr>
        <w:top w:val="none" w:sz="0" w:space="0" w:color="auto"/>
        <w:left w:val="none" w:sz="0" w:space="0" w:color="auto"/>
        <w:bottom w:val="none" w:sz="0" w:space="0" w:color="auto"/>
        <w:right w:val="none" w:sz="0" w:space="0" w:color="auto"/>
      </w:divBdr>
    </w:div>
    <w:div w:id="2050761847">
      <w:bodyDiv w:val="1"/>
      <w:marLeft w:val="0"/>
      <w:marRight w:val="0"/>
      <w:marTop w:val="0"/>
      <w:marBottom w:val="0"/>
      <w:divBdr>
        <w:top w:val="none" w:sz="0" w:space="0" w:color="auto"/>
        <w:left w:val="none" w:sz="0" w:space="0" w:color="auto"/>
        <w:bottom w:val="none" w:sz="0" w:space="0" w:color="auto"/>
        <w:right w:val="none" w:sz="0" w:space="0" w:color="auto"/>
      </w:divBdr>
    </w:div>
    <w:div w:id="2051110235">
      <w:bodyDiv w:val="1"/>
      <w:marLeft w:val="0"/>
      <w:marRight w:val="0"/>
      <w:marTop w:val="0"/>
      <w:marBottom w:val="0"/>
      <w:divBdr>
        <w:top w:val="none" w:sz="0" w:space="0" w:color="auto"/>
        <w:left w:val="none" w:sz="0" w:space="0" w:color="auto"/>
        <w:bottom w:val="none" w:sz="0" w:space="0" w:color="auto"/>
        <w:right w:val="none" w:sz="0" w:space="0" w:color="auto"/>
      </w:divBdr>
    </w:div>
    <w:div w:id="2051369789">
      <w:bodyDiv w:val="1"/>
      <w:marLeft w:val="0"/>
      <w:marRight w:val="0"/>
      <w:marTop w:val="0"/>
      <w:marBottom w:val="0"/>
      <w:divBdr>
        <w:top w:val="none" w:sz="0" w:space="0" w:color="auto"/>
        <w:left w:val="none" w:sz="0" w:space="0" w:color="auto"/>
        <w:bottom w:val="none" w:sz="0" w:space="0" w:color="auto"/>
        <w:right w:val="none" w:sz="0" w:space="0" w:color="auto"/>
      </w:divBdr>
    </w:div>
    <w:div w:id="2051562512">
      <w:bodyDiv w:val="1"/>
      <w:marLeft w:val="0"/>
      <w:marRight w:val="0"/>
      <w:marTop w:val="0"/>
      <w:marBottom w:val="0"/>
      <w:divBdr>
        <w:top w:val="none" w:sz="0" w:space="0" w:color="auto"/>
        <w:left w:val="none" w:sz="0" w:space="0" w:color="auto"/>
        <w:bottom w:val="none" w:sz="0" w:space="0" w:color="auto"/>
        <w:right w:val="none" w:sz="0" w:space="0" w:color="auto"/>
      </w:divBdr>
    </w:div>
    <w:div w:id="2051606732">
      <w:bodyDiv w:val="1"/>
      <w:marLeft w:val="0"/>
      <w:marRight w:val="0"/>
      <w:marTop w:val="0"/>
      <w:marBottom w:val="0"/>
      <w:divBdr>
        <w:top w:val="none" w:sz="0" w:space="0" w:color="auto"/>
        <w:left w:val="none" w:sz="0" w:space="0" w:color="auto"/>
        <w:bottom w:val="none" w:sz="0" w:space="0" w:color="auto"/>
        <w:right w:val="none" w:sz="0" w:space="0" w:color="auto"/>
      </w:divBdr>
    </w:div>
    <w:div w:id="2051956543">
      <w:bodyDiv w:val="1"/>
      <w:marLeft w:val="0"/>
      <w:marRight w:val="0"/>
      <w:marTop w:val="0"/>
      <w:marBottom w:val="0"/>
      <w:divBdr>
        <w:top w:val="none" w:sz="0" w:space="0" w:color="auto"/>
        <w:left w:val="none" w:sz="0" w:space="0" w:color="auto"/>
        <w:bottom w:val="none" w:sz="0" w:space="0" w:color="auto"/>
        <w:right w:val="none" w:sz="0" w:space="0" w:color="auto"/>
      </w:divBdr>
    </w:div>
    <w:div w:id="2052026455">
      <w:bodyDiv w:val="1"/>
      <w:marLeft w:val="0"/>
      <w:marRight w:val="0"/>
      <w:marTop w:val="0"/>
      <w:marBottom w:val="0"/>
      <w:divBdr>
        <w:top w:val="none" w:sz="0" w:space="0" w:color="auto"/>
        <w:left w:val="none" w:sz="0" w:space="0" w:color="auto"/>
        <w:bottom w:val="none" w:sz="0" w:space="0" w:color="auto"/>
        <w:right w:val="none" w:sz="0" w:space="0" w:color="auto"/>
      </w:divBdr>
    </w:div>
    <w:div w:id="2052264374">
      <w:bodyDiv w:val="1"/>
      <w:marLeft w:val="0"/>
      <w:marRight w:val="0"/>
      <w:marTop w:val="0"/>
      <w:marBottom w:val="0"/>
      <w:divBdr>
        <w:top w:val="none" w:sz="0" w:space="0" w:color="auto"/>
        <w:left w:val="none" w:sz="0" w:space="0" w:color="auto"/>
        <w:bottom w:val="none" w:sz="0" w:space="0" w:color="auto"/>
        <w:right w:val="none" w:sz="0" w:space="0" w:color="auto"/>
      </w:divBdr>
    </w:div>
    <w:div w:id="2052413001">
      <w:bodyDiv w:val="1"/>
      <w:marLeft w:val="0"/>
      <w:marRight w:val="0"/>
      <w:marTop w:val="0"/>
      <w:marBottom w:val="0"/>
      <w:divBdr>
        <w:top w:val="none" w:sz="0" w:space="0" w:color="auto"/>
        <w:left w:val="none" w:sz="0" w:space="0" w:color="auto"/>
        <w:bottom w:val="none" w:sz="0" w:space="0" w:color="auto"/>
        <w:right w:val="none" w:sz="0" w:space="0" w:color="auto"/>
      </w:divBdr>
    </w:div>
    <w:div w:id="2052919637">
      <w:bodyDiv w:val="1"/>
      <w:marLeft w:val="0"/>
      <w:marRight w:val="0"/>
      <w:marTop w:val="0"/>
      <w:marBottom w:val="0"/>
      <w:divBdr>
        <w:top w:val="none" w:sz="0" w:space="0" w:color="auto"/>
        <w:left w:val="none" w:sz="0" w:space="0" w:color="auto"/>
        <w:bottom w:val="none" w:sz="0" w:space="0" w:color="auto"/>
        <w:right w:val="none" w:sz="0" w:space="0" w:color="auto"/>
      </w:divBdr>
    </w:div>
    <w:div w:id="2053731241">
      <w:bodyDiv w:val="1"/>
      <w:marLeft w:val="0"/>
      <w:marRight w:val="0"/>
      <w:marTop w:val="0"/>
      <w:marBottom w:val="0"/>
      <w:divBdr>
        <w:top w:val="none" w:sz="0" w:space="0" w:color="auto"/>
        <w:left w:val="none" w:sz="0" w:space="0" w:color="auto"/>
        <w:bottom w:val="none" w:sz="0" w:space="0" w:color="auto"/>
        <w:right w:val="none" w:sz="0" w:space="0" w:color="auto"/>
      </w:divBdr>
    </w:div>
    <w:div w:id="2054110597">
      <w:bodyDiv w:val="1"/>
      <w:marLeft w:val="0"/>
      <w:marRight w:val="0"/>
      <w:marTop w:val="0"/>
      <w:marBottom w:val="0"/>
      <w:divBdr>
        <w:top w:val="none" w:sz="0" w:space="0" w:color="auto"/>
        <w:left w:val="none" w:sz="0" w:space="0" w:color="auto"/>
        <w:bottom w:val="none" w:sz="0" w:space="0" w:color="auto"/>
        <w:right w:val="none" w:sz="0" w:space="0" w:color="auto"/>
      </w:divBdr>
    </w:div>
    <w:div w:id="2054226576">
      <w:bodyDiv w:val="1"/>
      <w:marLeft w:val="0"/>
      <w:marRight w:val="0"/>
      <w:marTop w:val="0"/>
      <w:marBottom w:val="0"/>
      <w:divBdr>
        <w:top w:val="none" w:sz="0" w:space="0" w:color="auto"/>
        <w:left w:val="none" w:sz="0" w:space="0" w:color="auto"/>
        <w:bottom w:val="none" w:sz="0" w:space="0" w:color="auto"/>
        <w:right w:val="none" w:sz="0" w:space="0" w:color="auto"/>
      </w:divBdr>
    </w:div>
    <w:div w:id="2054426858">
      <w:bodyDiv w:val="1"/>
      <w:marLeft w:val="0"/>
      <w:marRight w:val="0"/>
      <w:marTop w:val="0"/>
      <w:marBottom w:val="0"/>
      <w:divBdr>
        <w:top w:val="none" w:sz="0" w:space="0" w:color="auto"/>
        <w:left w:val="none" w:sz="0" w:space="0" w:color="auto"/>
        <w:bottom w:val="none" w:sz="0" w:space="0" w:color="auto"/>
        <w:right w:val="none" w:sz="0" w:space="0" w:color="auto"/>
      </w:divBdr>
    </w:div>
    <w:div w:id="2055033009">
      <w:bodyDiv w:val="1"/>
      <w:marLeft w:val="0"/>
      <w:marRight w:val="0"/>
      <w:marTop w:val="0"/>
      <w:marBottom w:val="0"/>
      <w:divBdr>
        <w:top w:val="none" w:sz="0" w:space="0" w:color="auto"/>
        <w:left w:val="none" w:sz="0" w:space="0" w:color="auto"/>
        <w:bottom w:val="none" w:sz="0" w:space="0" w:color="auto"/>
        <w:right w:val="none" w:sz="0" w:space="0" w:color="auto"/>
      </w:divBdr>
    </w:div>
    <w:div w:id="2055615420">
      <w:bodyDiv w:val="1"/>
      <w:marLeft w:val="0"/>
      <w:marRight w:val="0"/>
      <w:marTop w:val="0"/>
      <w:marBottom w:val="0"/>
      <w:divBdr>
        <w:top w:val="none" w:sz="0" w:space="0" w:color="auto"/>
        <w:left w:val="none" w:sz="0" w:space="0" w:color="auto"/>
        <w:bottom w:val="none" w:sz="0" w:space="0" w:color="auto"/>
        <w:right w:val="none" w:sz="0" w:space="0" w:color="auto"/>
      </w:divBdr>
    </w:div>
    <w:div w:id="2055809230">
      <w:bodyDiv w:val="1"/>
      <w:marLeft w:val="0"/>
      <w:marRight w:val="0"/>
      <w:marTop w:val="0"/>
      <w:marBottom w:val="0"/>
      <w:divBdr>
        <w:top w:val="none" w:sz="0" w:space="0" w:color="auto"/>
        <w:left w:val="none" w:sz="0" w:space="0" w:color="auto"/>
        <w:bottom w:val="none" w:sz="0" w:space="0" w:color="auto"/>
        <w:right w:val="none" w:sz="0" w:space="0" w:color="auto"/>
      </w:divBdr>
    </w:div>
    <w:div w:id="2056156622">
      <w:bodyDiv w:val="1"/>
      <w:marLeft w:val="0"/>
      <w:marRight w:val="0"/>
      <w:marTop w:val="0"/>
      <w:marBottom w:val="0"/>
      <w:divBdr>
        <w:top w:val="none" w:sz="0" w:space="0" w:color="auto"/>
        <w:left w:val="none" w:sz="0" w:space="0" w:color="auto"/>
        <w:bottom w:val="none" w:sz="0" w:space="0" w:color="auto"/>
        <w:right w:val="none" w:sz="0" w:space="0" w:color="auto"/>
      </w:divBdr>
    </w:div>
    <w:div w:id="2056420859">
      <w:bodyDiv w:val="1"/>
      <w:marLeft w:val="0"/>
      <w:marRight w:val="0"/>
      <w:marTop w:val="0"/>
      <w:marBottom w:val="0"/>
      <w:divBdr>
        <w:top w:val="none" w:sz="0" w:space="0" w:color="auto"/>
        <w:left w:val="none" w:sz="0" w:space="0" w:color="auto"/>
        <w:bottom w:val="none" w:sz="0" w:space="0" w:color="auto"/>
        <w:right w:val="none" w:sz="0" w:space="0" w:color="auto"/>
      </w:divBdr>
    </w:div>
    <w:div w:id="2056463170">
      <w:bodyDiv w:val="1"/>
      <w:marLeft w:val="0"/>
      <w:marRight w:val="0"/>
      <w:marTop w:val="0"/>
      <w:marBottom w:val="0"/>
      <w:divBdr>
        <w:top w:val="none" w:sz="0" w:space="0" w:color="auto"/>
        <w:left w:val="none" w:sz="0" w:space="0" w:color="auto"/>
        <w:bottom w:val="none" w:sz="0" w:space="0" w:color="auto"/>
        <w:right w:val="none" w:sz="0" w:space="0" w:color="auto"/>
      </w:divBdr>
    </w:div>
    <w:div w:id="2057196177">
      <w:bodyDiv w:val="1"/>
      <w:marLeft w:val="0"/>
      <w:marRight w:val="0"/>
      <w:marTop w:val="0"/>
      <w:marBottom w:val="0"/>
      <w:divBdr>
        <w:top w:val="none" w:sz="0" w:space="0" w:color="auto"/>
        <w:left w:val="none" w:sz="0" w:space="0" w:color="auto"/>
        <w:bottom w:val="none" w:sz="0" w:space="0" w:color="auto"/>
        <w:right w:val="none" w:sz="0" w:space="0" w:color="auto"/>
      </w:divBdr>
    </w:div>
    <w:div w:id="2057386214">
      <w:bodyDiv w:val="1"/>
      <w:marLeft w:val="0"/>
      <w:marRight w:val="0"/>
      <w:marTop w:val="0"/>
      <w:marBottom w:val="0"/>
      <w:divBdr>
        <w:top w:val="none" w:sz="0" w:space="0" w:color="auto"/>
        <w:left w:val="none" w:sz="0" w:space="0" w:color="auto"/>
        <w:bottom w:val="none" w:sz="0" w:space="0" w:color="auto"/>
        <w:right w:val="none" w:sz="0" w:space="0" w:color="auto"/>
      </w:divBdr>
    </w:div>
    <w:div w:id="2057462191">
      <w:bodyDiv w:val="1"/>
      <w:marLeft w:val="0"/>
      <w:marRight w:val="0"/>
      <w:marTop w:val="0"/>
      <w:marBottom w:val="0"/>
      <w:divBdr>
        <w:top w:val="none" w:sz="0" w:space="0" w:color="auto"/>
        <w:left w:val="none" w:sz="0" w:space="0" w:color="auto"/>
        <w:bottom w:val="none" w:sz="0" w:space="0" w:color="auto"/>
        <w:right w:val="none" w:sz="0" w:space="0" w:color="auto"/>
      </w:divBdr>
    </w:div>
    <w:div w:id="2057731914">
      <w:bodyDiv w:val="1"/>
      <w:marLeft w:val="0"/>
      <w:marRight w:val="0"/>
      <w:marTop w:val="0"/>
      <w:marBottom w:val="0"/>
      <w:divBdr>
        <w:top w:val="none" w:sz="0" w:space="0" w:color="auto"/>
        <w:left w:val="none" w:sz="0" w:space="0" w:color="auto"/>
        <w:bottom w:val="none" w:sz="0" w:space="0" w:color="auto"/>
        <w:right w:val="none" w:sz="0" w:space="0" w:color="auto"/>
      </w:divBdr>
    </w:div>
    <w:div w:id="2058117494">
      <w:bodyDiv w:val="1"/>
      <w:marLeft w:val="0"/>
      <w:marRight w:val="0"/>
      <w:marTop w:val="0"/>
      <w:marBottom w:val="0"/>
      <w:divBdr>
        <w:top w:val="none" w:sz="0" w:space="0" w:color="auto"/>
        <w:left w:val="none" w:sz="0" w:space="0" w:color="auto"/>
        <w:bottom w:val="none" w:sz="0" w:space="0" w:color="auto"/>
        <w:right w:val="none" w:sz="0" w:space="0" w:color="auto"/>
      </w:divBdr>
    </w:div>
    <w:div w:id="2058315883">
      <w:bodyDiv w:val="1"/>
      <w:marLeft w:val="0"/>
      <w:marRight w:val="0"/>
      <w:marTop w:val="0"/>
      <w:marBottom w:val="0"/>
      <w:divBdr>
        <w:top w:val="none" w:sz="0" w:space="0" w:color="auto"/>
        <w:left w:val="none" w:sz="0" w:space="0" w:color="auto"/>
        <w:bottom w:val="none" w:sz="0" w:space="0" w:color="auto"/>
        <w:right w:val="none" w:sz="0" w:space="0" w:color="auto"/>
      </w:divBdr>
    </w:div>
    <w:div w:id="2058387066">
      <w:bodyDiv w:val="1"/>
      <w:marLeft w:val="0"/>
      <w:marRight w:val="0"/>
      <w:marTop w:val="0"/>
      <w:marBottom w:val="0"/>
      <w:divBdr>
        <w:top w:val="none" w:sz="0" w:space="0" w:color="auto"/>
        <w:left w:val="none" w:sz="0" w:space="0" w:color="auto"/>
        <w:bottom w:val="none" w:sz="0" w:space="0" w:color="auto"/>
        <w:right w:val="none" w:sz="0" w:space="0" w:color="auto"/>
      </w:divBdr>
    </w:div>
    <w:div w:id="2058623996">
      <w:bodyDiv w:val="1"/>
      <w:marLeft w:val="0"/>
      <w:marRight w:val="0"/>
      <w:marTop w:val="0"/>
      <w:marBottom w:val="0"/>
      <w:divBdr>
        <w:top w:val="none" w:sz="0" w:space="0" w:color="auto"/>
        <w:left w:val="none" w:sz="0" w:space="0" w:color="auto"/>
        <w:bottom w:val="none" w:sz="0" w:space="0" w:color="auto"/>
        <w:right w:val="none" w:sz="0" w:space="0" w:color="auto"/>
      </w:divBdr>
    </w:div>
    <w:div w:id="2058968458">
      <w:bodyDiv w:val="1"/>
      <w:marLeft w:val="0"/>
      <w:marRight w:val="0"/>
      <w:marTop w:val="0"/>
      <w:marBottom w:val="0"/>
      <w:divBdr>
        <w:top w:val="none" w:sz="0" w:space="0" w:color="auto"/>
        <w:left w:val="none" w:sz="0" w:space="0" w:color="auto"/>
        <w:bottom w:val="none" w:sz="0" w:space="0" w:color="auto"/>
        <w:right w:val="none" w:sz="0" w:space="0" w:color="auto"/>
      </w:divBdr>
    </w:div>
    <w:div w:id="2059470287">
      <w:bodyDiv w:val="1"/>
      <w:marLeft w:val="0"/>
      <w:marRight w:val="0"/>
      <w:marTop w:val="0"/>
      <w:marBottom w:val="0"/>
      <w:divBdr>
        <w:top w:val="none" w:sz="0" w:space="0" w:color="auto"/>
        <w:left w:val="none" w:sz="0" w:space="0" w:color="auto"/>
        <w:bottom w:val="none" w:sz="0" w:space="0" w:color="auto"/>
        <w:right w:val="none" w:sz="0" w:space="0" w:color="auto"/>
      </w:divBdr>
    </w:div>
    <w:div w:id="2059477769">
      <w:bodyDiv w:val="1"/>
      <w:marLeft w:val="0"/>
      <w:marRight w:val="0"/>
      <w:marTop w:val="0"/>
      <w:marBottom w:val="0"/>
      <w:divBdr>
        <w:top w:val="none" w:sz="0" w:space="0" w:color="auto"/>
        <w:left w:val="none" w:sz="0" w:space="0" w:color="auto"/>
        <w:bottom w:val="none" w:sz="0" w:space="0" w:color="auto"/>
        <w:right w:val="none" w:sz="0" w:space="0" w:color="auto"/>
      </w:divBdr>
    </w:div>
    <w:div w:id="2059938727">
      <w:bodyDiv w:val="1"/>
      <w:marLeft w:val="0"/>
      <w:marRight w:val="0"/>
      <w:marTop w:val="0"/>
      <w:marBottom w:val="0"/>
      <w:divBdr>
        <w:top w:val="none" w:sz="0" w:space="0" w:color="auto"/>
        <w:left w:val="none" w:sz="0" w:space="0" w:color="auto"/>
        <w:bottom w:val="none" w:sz="0" w:space="0" w:color="auto"/>
        <w:right w:val="none" w:sz="0" w:space="0" w:color="auto"/>
      </w:divBdr>
    </w:div>
    <w:div w:id="2060396369">
      <w:bodyDiv w:val="1"/>
      <w:marLeft w:val="0"/>
      <w:marRight w:val="0"/>
      <w:marTop w:val="0"/>
      <w:marBottom w:val="0"/>
      <w:divBdr>
        <w:top w:val="none" w:sz="0" w:space="0" w:color="auto"/>
        <w:left w:val="none" w:sz="0" w:space="0" w:color="auto"/>
        <w:bottom w:val="none" w:sz="0" w:space="0" w:color="auto"/>
        <w:right w:val="none" w:sz="0" w:space="0" w:color="auto"/>
      </w:divBdr>
    </w:div>
    <w:div w:id="2060665994">
      <w:bodyDiv w:val="1"/>
      <w:marLeft w:val="0"/>
      <w:marRight w:val="0"/>
      <w:marTop w:val="0"/>
      <w:marBottom w:val="0"/>
      <w:divBdr>
        <w:top w:val="none" w:sz="0" w:space="0" w:color="auto"/>
        <w:left w:val="none" w:sz="0" w:space="0" w:color="auto"/>
        <w:bottom w:val="none" w:sz="0" w:space="0" w:color="auto"/>
        <w:right w:val="none" w:sz="0" w:space="0" w:color="auto"/>
      </w:divBdr>
    </w:div>
    <w:div w:id="2061199785">
      <w:bodyDiv w:val="1"/>
      <w:marLeft w:val="0"/>
      <w:marRight w:val="0"/>
      <w:marTop w:val="0"/>
      <w:marBottom w:val="0"/>
      <w:divBdr>
        <w:top w:val="none" w:sz="0" w:space="0" w:color="auto"/>
        <w:left w:val="none" w:sz="0" w:space="0" w:color="auto"/>
        <w:bottom w:val="none" w:sz="0" w:space="0" w:color="auto"/>
        <w:right w:val="none" w:sz="0" w:space="0" w:color="auto"/>
      </w:divBdr>
    </w:div>
    <w:div w:id="2061201216">
      <w:bodyDiv w:val="1"/>
      <w:marLeft w:val="0"/>
      <w:marRight w:val="0"/>
      <w:marTop w:val="0"/>
      <w:marBottom w:val="0"/>
      <w:divBdr>
        <w:top w:val="none" w:sz="0" w:space="0" w:color="auto"/>
        <w:left w:val="none" w:sz="0" w:space="0" w:color="auto"/>
        <w:bottom w:val="none" w:sz="0" w:space="0" w:color="auto"/>
        <w:right w:val="none" w:sz="0" w:space="0" w:color="auto"/>
      </w:divBdr>
    </w:div>
    <w:div w:id="2061246855">
      <w:bodyDiv w:val="1"/>
      <w:marLeft w:val="0"/>
      <w:marRight w:val="0"/>
      <w:marTop w:val="0"/>
      <w:marBottom w:val="0"/>
      <w:divBdr>
        <w:top w:val="none" w:sz="0" w:space="0" w:color="auto"/>
        <w:left w:val="none" w:sz="0" w:space="0" w:color="auto"/>
        <w:bottom w:val="none" w:sz="0" w:space="0" w:color="auto"/>
        <w:right w:val="none" w:sz="0" w:space="0" w:color="auto"/>
      </w:divBdr>
    </w:div>
    <w:div w:id="2061705873">
      <w:bodyDiv w:val="1"/>
      <w:marLeft w:val="0"/>
      <w:marRight w:val="0"/>
      <w:marTop w:val="0"/>
      <w:marBottom w:val="0"/>
      <w:divBdr>
        <w:top w:val="none" w:sz="0" w:space="0" w:color="auto"/>
        <w:left w:val="none" w:sz="0" w:space="0" w:color="auto"/>
        <w:bottom w:val="none" w:sz="0" w:space="0" w:color="auto"/>
        <w:right w:val="none" w:sz="0" w:space="0" w:color="auto"/>
      </w:divBdr>
    </w:div>
    <w:div w:id="2061829876">
      <w:bodyDiv w:val="1"/>
      <w:marLeft w:val="0"/>
      <w:marRight w:val="0"/>
      <w:marTop w:val="0"/>
      <w:marBottom w:val="0"/>
      <w:divBdr>
        <w:top w:val="none" w:sz="0" w:space="0" w:color="auto"/>
        <w:left w:val="none" w:sz="0" w:space="0" w:color="auto"/>
        <w:bottom w:val="none" w:sz="0" w:space="0" w:color="auto"/>
        <w:right w:val="none" w:sz="0" w:space="0" w:color="auto"/>
      </w:divBdr>
    </w:div>
    <w:div w:id="2062122718">
      <w:bodyDiv w:val="1"/>
      <w:marLeft w:val="0"/>
      <w:marRight w:val="0"/>
      <w:marTop w:val="0"/>
      <w:marBottom w:val="0"/>
      <w:divBdr>
        <w:top w:val="none" w:sz="0" w:space="0" w:color="auto"/>
        <w:left w:val="none" w:sz="0" w:space="0" w:color="auto"/>
        <w:bottom w:val="none" w:sz="0" w:space="0" w:color="auto"/>
        <w:right w:val="none" w:sz="0" w:space="0" w:color="auto"/>
      </w:divBdr>
    </w:div>
    <w:div w:id="2062551972">
      <w:bodyDiv w:val="1"/>
      <w:marLeft w:val="0"/>
      <w:marRight w:val="0"/>
      <w:marTop w:val="0"/>
      <w:marBottom w:val="0"/>
      <w:divBdr>
        <w:top w:val="none" w:sz="0" w:space="0" w:color="auto"/>
        <w:left w:val="none" w:sz="0" w:space="0" w:color="auto"/>
        <w:bottom w:val="none" w:sz="0" w:space="0" w:color="auto"/>
        <w:right w:val="none" w:sz="0" w:space="0" w:color="auto"/>
      </w:divBdr>
    </w:div>
    <w:div w:id="2062822023">
      <w:bodyDiv w:val="1"/>
      <w:marLeft w:val="0"/>
      <w:marRight w:val="0"/>
      <w:marTop w:val="0"/>
      <w:marBottom w:val="0"/>
      <w:divBdr>
        <w:top w:val="none" w:sz="0" w:space="0" w:color="auto"/>
        <w:left w:val="none" w:sz="0" w:space="0" w:color="auto"/>
        <w:bottom w:val="none" w:sz="0" w:space="0" w:color="auto"/>
        <w:right w:val="none" w:sz="0" w:space="0" w:color="auto"/>
      </w:divBdr>
    </w:div>
    <w:div w:id="2063016772">
      <w:bodyDiv w:val="1"/>
      <w:marLeft w:val="0"/>
      <w:marRight w:val="0"/>
      <w:marTop w:val="0"/>
      <w:marBottom w:val="0"/>
      <w:divBdr>
        <w:top w:val="none" w:sz="0" w:space="0" w:color="auto"/>
        <w:left w:val="none" w:sz="0" w:space="0" w:color="auto"/>
        <w:bottom w:val="none" w:sz="0" w:space="0" w:color="auto"/>
        <w:right w:val="none" w:sz="0" w:space="0" w:color="auto"/>
      </w:divBdr>
    </w:div>
    <w:div w:id="2064594526">
      <w:bodyDiv w:val="1"/>
      <w:marLeft w:val="0"/>
      <w:marRight w:val="0"/>
      <w:marTop w:val="0"/>
      <w:marBottom w:val="0"/>
      <w:divBdr>
        <w:top w:val="none" w:sz="0" w:space="0" w:color="auto"/>
        <w:left w:val="none" w:sz="0" w:space="0" w:color="auto"/>
        <w:bottom w:val="none" w:sz="0" w:space="0" w:color="auto"/>
        <w:right w:val="none" w:sz="0" w:space="0" w:color="auto"/>
      </w:divBdr>
    </w:div>
    <w:div w:id="2064714939">
      <w:bodyDiv w:val="1"/>
      <w:marLeft w:val="0"/>
      <w:marRight w:val="0"/>
      <w:marTop w:val="0"/>
      <w:marBottom w:val="0"/>
      <w:divBdr>
        <w:top w:val="none" w:sz="0" w:space="0" w:color="auto"/>
        <w:left w:val="none" w:sz="0" w:space="0" w:color="auto"/>
        <w:bottom w:val="none" w:sz="0" w:space="0" w:color="auto"/>
        <w:right w:val="none" w:sz="0" w:space="0" w:color="auto"/>
      </w:divBdr>
    </w:div>
    <w:div w:id="2065182083">
      <w:bodyDiv w:val="1"/>
      <w:marLeft w:val="0"/>
      <w:marRight w:val="0"/>
      <w:marTop w:val="0"/>
      <w:marBottom w:val="0"/>
      <w:divBdr>
        <w:top w:val="none" w:sz="0" w:space="0" w:color="auto"/>
        <w:left w:val="none" w:sz="0" w:space="0" w:color="auto"/>
        <w:bottom w:val="none" w:sz="0" w:space="0" w:color="auto"/>
        <w:right w:val="none" w:sz="0" w:space="0" w:color="auto"/>
      </w:divBdr>
    </w:div>
    <w:div w:id="2065712044">
      <w:bodyDiv w:val="1"/>
      <w:marLeft w:val="0"/>
      <w:marRight w:val="0"/>
      <w:marTop w:val="0"/>
      <w:marBottom w:val="0"/>
      <w:divBdr>
        <w:top w:val="none" w:sz="0" w:space="0" w:color="auto"/>
        <w:left w:val="none" w:sz="0" w:space="0" w:color="auto"/>
        <w:bottom w:val="none" w:sz="0" w:space="0" w:color="auto"/>
        <w:right w:val="none" w:sz="0" w:space="0" w:color="auto"/>
      </w:divBdr>
    </w:div>
    <w:div w:id="2065903486">
      <w:bodyDiv w:val="1"/>
      <w:marLeft w:val="0"/>
      <w:marRight w:val="0"/>
      <w:marTop w:val="0"/>
      <w:marBottom w:val="0"/>
      <w:divBdr>
        <w:top w:val="none" w:sz="0" w:space="0" w:color="auto"/>
        <w:left w:val="none" w:sz="0" w:space="0" w:color="auto"/>
        <w:bottom w:val="none" w:sz="0" w:space="0" w:color="auto"/>
        <w:right w:val="none" w:sz="0" w:space="0" w:color="auto"/>
      </w:divBdr>
    </w:div>
    <w:div w:id="2065908456">
      <w:bodyDiv w:val="1"/>
      <w:marLeft w:val="0"/>
      <w:marRight w:val="0"/>
      <w:marTop w:val="0"/>
      <w:marBottom w:val="0"/>
      <w:divBdr>
        <w:top w:val="none" w:sz="0" w:space="0" w:color="auto"/>
        <w:left w:val="none" w:sz="0" w:space="0" w:color="auto"/>
        <w:bottom w:val="none" w:sz="0" w:space="0" w:color="auto"/>
        <w:right w:val="none" w:sz="0" w:space="0" w:color="auto"/>
      </w:divBdr>
    </w:div>
    <w:div w:id="2065910277">
      <w:bodyDiv w:val="1"/>
      <w:marLeft w:val="0"/>
      <w:marRight w:val="0"/>
      <w:marTop w:val="0"/>
      <w:marBottom w:val="0"/>
      <w:divBdr>
        <w:top w:val="none" w:sz="0" w:space="0" w:color="auto"/>
        <w:left w:val="none" w:sz="0" w:space="0" w:color="auto"/>
        <w:bottom w:val="none" w:sz="0" w:space="0" w:color="auto"/>
        <w:right w:val="none" w:sz="0" w:space="0" w:color="auto"/>
      </w:divBdr>
    </w:div>
    <w:div w:id="2068071363">
      <w:bodyDiv w:val="1"/>
      <w:marLeft w:val="0"/>
      <w:marRight w:val="0"/>
      <w:marTop w:val="0"/>
      <w:marBottom w:val="0"/>
      <w:divBdr>
        <w:top w:val="none" w:sz="0" w:space="0" w:color="auto"/>
        <w:left w:val="none" w:sz="0" w:space="0" w:color="auto"/>
        <w:bottom w:val="none" w:sz="0" w:space="0" w:color="auto"/>
        <w:right w:val="none" w:sz="0" w:space="0" w:color="auto"/>
      </w:divBdr>
    </w:div>
    <w:div w:id="2068261723">
      <w:bodyDiv w:val="1"/>
      <w:marLeft w:val="0"/>
      <w:marRight w:val="0"/>
      <w:marTop w:val="0"/>
      <w:marBottom w:val="0"/>
      <w:divBdr>
        <w:top w:val="none" w:sz="0" w:space="0" w:color="auto"/>
        <w:left w:val="none" w:sz="0" w:space="0" w:color="auto"/>
        <w:bottom w:val="none" w:sz="0" w:space="0" w:color="auto"/>
        <w:right w:val="none" w:sz="0" w:space="0" w:color="auto"/>
      </w:divBdr>
    </w:div>
    <w:div w:id="2068455716">
      <w:bodyDiv w:val="1"/>
      <w:marLeft w:val="0"/>
      <w:marRight w:val="0"/>
      <w:marTop w:val="0"/>
      <w:marBottom w:val="0"/>
      <w:divBdr>
        <w:top w:val="none" w:sz="0" w:space="0" w:color="auto"/>
        <w:left w:val="none" w:sz="0" w:space="0" w:color="auto"/>
        <w:bottom w:val="none" w:sz="0" w:space="0" w:color="auto"/>
        <w:right w:val="none" w:sz="0" w:space="0" w:color="auto"/>
      </w:divBdr>
    </w:div>
    <w:div w:id="2068722789">
      <w:bodyDiv w:val="1"/>
      <w:marLeft w:val="0"/>
      <w:marRight w:val="0"/>
      <w:marTop w:val="0"/>
      <w:marBottom w:val="0"/>
      <w:divBdr>
        <w:top w:val="none" w:sz="0" w:space="0" w:color="auto"/>
        <w:left w:val="none" w:sz="0" w:space="0" w:color="auto"/>
        <w:bottom w:val="none" w:sz="0" w:space="0" w:color="auto"/>
        <w:right w:val="none" w:sz="0" w:space="0" w:color="auto"/>
      </w:divBdr>
    </w:div>
    <w:div w:id="2068992777">
      <w:bodyDiv w:val="1"/>
      <w:marLeft w:val="0"/>
      <w:marRight w:val="0"/>
      <w:marTop w:val="0"/>
      <w:marBottom w:val="0"/>
      <w:divBdr>
        <w:top w:val="none" w:sz="0" w:space="0" w:color="auto"/>
        <w:left w:val="none" w:sz="0" w:space="0" w:color="auto"/>
        <w:bottom w:val="none" w:sz="0" w:space="0" w:color="auto"/>
        <w:right w:val="none" w:sz="0" w:space="0" w:color="auto"/>
      </w:divBdr>
    </w:div>
    <w:div w:id="2068994526">
      <w:bodyDiv w:val="1"/>
      <w:marLeft w:val="0"/>
      <w:marRight w:val="0"/>
      <w:marTop w:val="0"/>
      <w:marBottom w:val="0"/>
      <w:divBdr>
        <w:top w:val="none" w:sz="0" w:space="0" w:color="auto"/>
        <w:left w:val="none" w:sz="0" w:space="0" w:color="auto"/>
        <w:bottom w:val="none" w:sz="0" w:space="0" w:color="auto"/>
        <w:right w:val="none" w:sz="0" w:space="0" w:color="auto"/>
      </w:divBdr>
    </w:div>
    <w:div w:id="2069063550">
      <w:bodyDiv w:val="1"/>
      <w:marLeft w:val="0"/>
      <w:marRight w:val="0"/>
      <w:marTop w:val="0"/>
      <w:marBottom w:val="0"/>
      <w:divBdr>
        <w:top w:val="none" w:sz="0" w:space="0" w:color="auto"/>
        <w:left w:val="none" w:sz="0" w:space="0" w:color="auto"/>
        <w:bottom w:val="none" w:sz="0" w:space="0" w:color="auto"/>
        <w:right w:val="none" w:sz="0" w:space="0" w:color="auto"/>
      </w:divBdr>
    </w:div>
    <w:div w:id="2069527428">
      <w:bodyDiv w:val="1"/>
      <w:marLeft w:val="0"/>
      <w:marRight w:val="0"/>
      <w:marTop w:val="0"/>
      <w:marBottom w:val="0"/>
      <w:divBdr>
        <w:top w:val="none" w:sz="0" w:space="0" w:color="auto"/>
        <w:left w:val="none" w:sz="0" w:space="0" w:color="auto"/>
        <w:bottom w:val="none" w:sz="0" w:space="0" w:color="auto"/>
        <w:right w:val="none" w:sz="0" w:space="0" w:color="auto"/>
      </w:divBdr>
    </w:div>
    <w:div w:id="2070496919">
      <w:bodyDiv w:val="1"/>
      <w:marLeft w:val="0"/>
      <w:marRight w:val="0"/>
      <w:marTop w:val="0"/>
      <w:marBottom w:val="0"/>
      <w:divBdr>
        <w:top w:val="none" w:sz="0" w:space="0" w:color="auto"/>
        <w:left w:val="none" w:sz="0" w:space="0" w:color="auto"/>
        <w:bottom w:val="none" w:sz="0" w:space="0" w:color="auto"/>
        <w:right w:val="none" w:sz="0" w:space="0" w:color="auto"/>
      </w:divBdr>
    </w:div>
    <w:div w:id="2071462502">
      <w:bodyDiv w:val="1"/>
      <w:marLeft w:val="0"/>
      <w:marRight w:val="0"/>
      <w:marTop w:val="0"/>
      <w:marBottom w:val="0"/>
      <w:divBdr>
        <w:top w:val="none" w:sz="0" w:space="0" w:color="auto"/>
        <w:left w:val="none" w:sz="0" w:space="0" w:color="auto"/>
        <w:bottom w:val="none" w:sz="0" w:space="0" w:color="auto"/>
        <w:right w:val="none" w:sz="0" w:space="0" w:color="auto"/>
      </w:divBdr>
    </w:div>
    <w:div w:id="2071882607">
      <w:bodyDiv w:val="1"/>
      <w:marLeft w:val="0"/>
      <w:marRight w:val="0"/>
      <w:marTop w:val="0"/>
      <w:marBottom w:val="0"/>
      <w:divBdr>
        <w:top w:val="none" w:sz="0" w:space="0" w:color="auto"/>
        <w:left w:val="none" w:sz="0" w:space="0" w:color="auto"/>
        <w:bottom w:val="none" w:sz="0" w:space="0" w:color="auto"/>
        <w:right w:val="none" w:sz="0" w:space="0" w:color="auto"/>
      </w:divBdr>
    </w:div>
    <w:div w:id="2071884501">
      <w:bodyDiv w:val="1"/>
      <w:marLeft w:val="0"/>
      <w:marRight w:val="0"/>
      <w:marTop w:val="0"/>
      <w:marBottom w:val="0"/>
      <w:divBdr>
        <w:top w:val="none" w:sz="0" w:space="0" w:color="auto"/>
        <w:left w:val="none" w:sz="0" w:space="0" w:color="auto"/>
        <w:bottom w:val="none" w:sz="0" w:space="0" w:color="auto"/>
        <w:right w:val="none" w:sz="0" w:space="0" w:color="auto"/>
      </w:divBdr>
    </w:div>
    <w:div w:id="2071952113">
      <w:bodyDiv w:val="1"/>
      <w:marLeft w:val="0"/>
      <w:marRight w:val="0"/>
      <w:marTop w:val="0"/>
      <w:marBottom w:val="0"/>
      <w:divBdr>
        <w:top w:val="none" w:sz="0" w:space="0" w:color="auto"/>
        <w:left w:val="none" w:sz="0" w:space="0" w:color="auto"/>
        <w:bottom w:val="none" w:sz="0" w:space="0" w:color="auto"/>
        <w:right w:val="none" w:sz="0" w:space="0" w:color="auto"/>
      </w:divBdr>
    </w:div>
    <w:div w:id="2072078334">
      <w:bodyDiv w:val="1"/>
      <w:marLeft w:val="0"/>
      <w:marRight w:val="0"/>
      <w:marTop w:val="0"/>
      <w:marBottom w:val="0"/>
      <w:divBdr>
        <w:top w:val="none" w:sz="0" w:space="0" w:color="auto"/>
        <w:left w:val="none" w:sz="0" w:space="0" w:color="auto"/>
        <w:bottom w:val="none" w:sz="0" w:space="0" w:color="auto"/>
        <w:right w:val="none" w:sz="0" w:space="0" w:color="auto"/>
      </w:divBdr>
    </w:div>
    <w:div w:id="2072462403">
      <w:bodyDiv w:val="1"/>
      <w:marLeft w:val="0"/>
      <w:marRight w:val="0"/>
      <w:marTop w:val="0"/>
      <w:marBottom w:val="0"/>
      <w:divBdr>
        <w:top w:val="none" w:sz="0" w:space="0" w:color="auto"/>
        <w:left w:val="none" w:sz="0" w:space="0" w:color="auto"/>
        <w:bottom w:val="none" w:sz="0" w:space="0" w:color="auto"/>
        <w:right w:val="none" w:sz="0" w:space="0" w:color="auto"/>
      </w:divBdr>
    </w:div>
    <w:div w:id="2073035763">
      <w:bodyDiv w:val="1"/>
      <w:marLeft w:val="0"/>
      <w:marRight w:val="0"/>
      <w:marTop w:val="0"/>
      <w:marBottom w:val="0"/>
      <w:divBdr>
        <w:top w:val="none" w:sz="0" w:space="0" w:color="auto"/>
        <w:left w:val="none" w:sz="0" w:space="0" w:color="auto"/>
        <w:bottom w:val="none" w:sz="0" w:space="0" w:color="auto"/>
        <w:right w:val="none" w:sz="0" w:space="0" w:color="auto"/>
      </w:divBdr>
    </w:div>
    <w:div w:id="2073238465">
      <w:bodyDiv w:val="1"/>
      <w:marLeft w:val="0"/>
      <w:marRight w:val="0"/>
      <w:marTop w:val="0"/>
      <w:marBottom w:val="0"/>
      <w:divBdr>
        <w:top w:val="none" w:sz="0" w:space="0" w:color="auto"/>
        <w:left w:val="none" w:sz="0" w:space="0" w:color="auto"/>
        <w:bottom w:val="none" w:sz="0" w:space="0" w:color="auto"/>
        <w:right w:val="none" w:sz="0" w:space="0" w:color="auto"/>
      </w:divBdr>
    </w:div>
    <w:div w:id="2073505026">
      <w:bodyDiv w:val="1"/>
      <w:marLeft w:val="0"/>
      <w:marRight w:val="0"/>
      <w:marTop w:val="0"/>
      <w:marBottom w:val="0"/>
      <w:divBdr>
        <w:top w:val="none" w:sz="0" w:space="0" w:color="auto"/>
        <w:left w:val="none" w:sz="0" w:space="0" w:color="auto"/>
        <w:bottom w:val="none" w:sz="0" w:space="0" w:color="auto"/>
        <w:right w:val="none" w:sz="0" w:space="0" w:color="auto"/>
      </w:divBdr>
    </w:div>
    <w:div w:id="2073576837">
      <w:bodyDiv w:val="1"/>
      <w:marLeft w:val="0"/>
      <w:marRight w:val="0"/>
      <w:marTop w:val="0"/>
      <w:marBottom w:val="0"/>
      <w:divBdr>
        <w:top w:val="none" w:sz="0" w:space="0" w:color="auto"/>
        <w:left w:val="none" w:sz="0" w:space="0" w:color="auto"/>
        <w:bottom w:val="none" w:sz="0" w:space="0" w:color="auto"/>
        <w:right w:val="none" w:sz="0" w:space="0" w:color="auto"/>
      </w:divBdr>
    </w:div>
    <w:div w:id="2073656545">
      <w:bodyDiv w:val="1"/>
      <w:marLeft w:val="0"/>
      <w:marRight w:val="0"/>
      <w:marTop w:val="0"/>
      <w:marBottom w:val="0"/>
      <w:divBdr>
        <w:top w:val="none" w:sz="0" w:space="0" w:color="auto"/>
        <w:left w:val="none" w:sz="0" w:space="0" w:color="auto"/>
        <w:bottom w:val="none" w:sz="0" w:space="0" w:color="auto"/>
        <w:right w:val="none" w:sz="0" w:space="0" w:color="auto"/>
      </w:divBdr>
    </w:div>
    <w:div w:id="2074233504">
      <w:bodyDiv w:val="1"/>
      <w:marLeft w:val="0"/>
      <w:marRight w:val="0"/>
      <w:marTop w:val="0"/>
      <w:marBottom w:val="0"/>
      <w:divBdr>
        <w:top w:val="none" w:sz="0" w:space="0" w:color="auto"/>
        <w:left w:val="none" w:sz="0" w:space="0" w:color="auto"/>
        <w:bottom w:val="none" w:sz="0" w:space="0" w:color="auto"/>
        <w:right w:val="none" w:sz="0" w:space="0" w:color="auto"/>
      </w:divBdr>
    </w:div>
    <w:div w:id="2075001959">
      <w:bodyDiv w:val="1"/>
      <w:marLeft w:val="0"/>
      <w:marRight w:val="0"/>
      <w:marTop w:val="0"/>
      <w:marBottom w:val="0"/>
      <w:divBdr>
        <w:top w:val="none" w:sz="0" w:space="0" w:color="auto"/>
        <w:left w:val="none" w:sz="0" w:space="0" w:color="auto"/>
        <w:bottom w:val="none" w:sz="0" w:space="0" w:color="auto"/>
        <w:right w:val="none" w:sz="0" w:space="0" w:color="auto"/>
      </w:divBdr>
    </w:div>
    <w:div w:id="2075809135">
      <w:bodyDiv w:val="1"/>
      <w:marLeft w:val="0"/>
      <w:marRight w:val="0"/>
      <w:marTop w:val="0"/>
      <w:marBottom w:val="0"/>
      <w:divBdr>
        <w:top w:val="none" w:sz="0" w:space="0" w:color="auto"/>
        <w:left w:val="none" w:sz="0" w:space="0" w:color="auto"/>
        <w:bottom w:val="none" w:sz="0" w:space="0" w:color="auto"/>
        <w:right w:val="none" w:sz="0" w:space="0" w:color="auto"/>
      </w:divBdr>
    </w:div>
    <w:div w:id="2076050047">
      <w:bodyDiv w:val="1"/>
      <w:marLeft w:val="0"/>
      <w:marRight w:val="0"/>
      <w:marTop w:val="0"/>
      <w:marBottom w:val="0"/>
      <w:divBdr>
        <w:top w:val="none" w:sz="0" w:space="0" w:color="auto"/>
        <w:left w:val="none" w:sz="0" w:space="0" w:color="auto"/>
        <w:bottom w:val="none" w:sz="0" w:space="0" w:color="auto"/>
        <w:right w:val="none" w:sz="0" w:space="0" w:color="auto"/>
      </w:divBdr>
    </w:div>
    <w:div w:id="2076272924">
      <w:bodyDiv w:val="1"/>
      <w:marLeft w:val="0"/>
      <w:marRight w:val="0"/>
      <w:marTop w:val="0"/>
      <w:marBottom w:val="0"/>
      <w:divBdr>
        <w:top w:val="none" w:sz="0" w:space="0" w:color="auto"/>
        <w:left w:val="none" w:sz="0" w:space="0" w:color="auto"/>
        <w:bottom w:val="none" w:sz="0" w:space="0" w:color="auto"/>
        <w:right w:val="none" w:sz="0" w:space="0" w:color="auto"/>
      </w:divBdr>
    </w:div>
    <w:div w:id="2076273450">
      <w:bodyDiv w:val="1"/>
      <w:marLeft w:val="0"/>
      <w:marRight w:val="0"/>
      <w:marTop w:val="0"/>
      <w:marBottom w:val="0"/>
      <w:divBdr>
        <w:top w:val="none" w:sz="0" w:space="0" w:color="auto"/>
        <w:left w:val="none" w:sz="0" w:space="0" w:color="auto"/>
        <w:bottom w:val="none" w:sz="0" w:space="0" w:color="auto"/>
        <w:right w:val="none" w:sz="0" w:space="0" w:color="auto"/>
      </w:divBdr>
    </w:div>
    <w:div w:id="2076580752">
      <w:bodyDiv w:val="1"/>
      <w:marLeft w:val="0"/>
      <w:marRight w:val="0"/>
      <w:marTop w:val="0"/>
      <w:marBottom w:val="0"/>
      <w:divBdr>
        <w:top w:val="none" w:sz="0" w:space="0" w:color="auto"/>
        <w:left w:val="none" w:sz="0" w:space="0" w:color="auto"/>
        <w:bottom w:val="none" w:sz="0" w:space="0" w:color="auto"/>
        <w:right w:val="none" w:sz="0" w:space="0" w:color="auto"/>
      </w:divBdr>
    </w:div>
    <w:div w:id="2076852768">
      <w:bodyDiv w:val="1"/>
      <w:marLeft w:val="0"/>
      <w:marRight w:val="0"/>
      <w:marTop w:val="0"/>
      <w:marBottom w:val="0"/>
      <w:divBdr>
        <w:top w:val="none" w:sz="0" w:space="0" w:color="auto"/>
        <w:left w:val="none" w:sz="0" w:space="0" w:color="auto"/>
        <w:bottom w:val="none" w:sz="0" w:space="0" w:color="auto"/>
        <w:right w:val="none" w:sz="0" w:space="0" w:color="auto"/>
      </w:divBdr>
    </w:div>
    <w:div w:id="2076972857">
      <w:bodyDiv w:val="1"/>
      <w:marLeft w:val="0"/>
      <w:marRight w:val="0"/>
      <w:marTop w:val="0"/>
      <w:marBottom w:val="0"/>
      <w:divBdr>
        <w:top w:val="none" w:sz="0" w:space="0" w:color="auto"/>
        <w:left w:val="none" w:sz="0" w:space="0" w:color="auto"/>
        <w:bottom w:val="none" w:sz="0" w:space="0" w:color="auto"/>
        <w:right w:val="none" w:sz="0" w:space="0" w:color="auto"/>
      </w:divBdr>
    </w:div>
    <w:div w:id="2077432392">
      <w:bodyDiv w:val="1"/>
      <w:marLeft w:val="0"/>
      <w:marRight w:val="0"/>
      <w:marTop w:val="0"/>
      <w:marBottom w:val="0"/>
      <w:divBdr>
        <w:top w:val="none" w:sz="0" w:space="0" w:color="auto"/>
        <w:left w:val="none" w:sz="0" w:space="0" w:color="auto"/>
        <w:bottom w:val="none" w:sz="0" w:space="0" w:color="auto"/>
        <w:right w:val="none" w:sz="0" w:space="0" w:color="auto"/>
      </w:divBdr>
    </w:div>
    <w:div w:id="2077436364">
      <w:bodyDiv w:val="1"/>
      <w:marLeft w:val="0"/>
      <w:marRight w:val="0"/>
      <w:marTop w:val="0"/>
      <w:marBottom w:val="0"/>
      <w:divBdr>
        <w:top w:val="none" w:sz="0" w:space="0" w:color="auto"/>
        <w:left w:val="none" w:sz="0" w:space="0" w:color="auto"/>
        <w:bottom w:val="none" w:sz="0" w:space="0" w:color="auto"/>
        <w:right w:val="none" w:sz="0" w:space="0" w:color="auto"/>
      </w:divBdr>
    </w:div>
    <w:div w:id="2077775965">
      <w:bodyDiv w:val="1"/>
      <w:marLeft w:val="0"/>
      <w:marRight w:val="0"/>
      <w:marTop w:val="0"/>
      <w:marBottom w:val="0"/>
      <w:divBdr>
        <w:top w:val="none" w:sz="0" w:space="0" w:color="auto"/>
        <w:left w:val="none" w:sz="0" w:space="0" w:color="auto"/>
        <w:bottom w:val="none" w:sz="0" w:space="0" w:color="auto"/>
        <w:right w:val="none" w:sz="0" w:space="0" w:color="auto"/>
      </w:divBdr>
    </w:div>
    <w:div w:id="2078749216">
      <w:bodyDiv w:val="1"/>
      <w:marLeft w:val="0"/>
      <w:marRight w:val="0"/>
      <w:marTop w:val="0"/>
      <w:marBottom w:val="0"/>
      <w:divBdr>
        <w:top w:val="none" w:sz="0" w:space="0" w:color="auto"/>
        <w:left w:val="none" w:sz="0" w:space="0" w:color="auto"/>
        <w:bottom w:val="none" w:sz="0" w:space="0" w:color="auto"/>
        <w:right w:val="none" w:sz="0" w:space="0" w:color="auto"/>
      </w:divBdr>
    </w:div>
    <w:div w:id="2078893855">
      <w:bodyDiv w:val="1"/>
      <w:marLeft w:val="0"/>
      <w:marRight w:val="0"/>
      <w:marTop w:val="0"/>
      <w:marBottom w:val="0"/>
      <w:divBdr>
        <w:top w:val="none" w:sz="0" w:space="0" w:color="auto"/>
        <w:left w:val="none" w:sz="0" w:space="0" w:color="auto"/>
        <w:bottom w:val="none" w:sz="0" w:space="0" w:color="auto"/>
        <w:right w:val="none" w:sz="0" w:space="0" w:color="auto"/>
      </w:divBdr>
    </w:div>
    <w:div w:id="2079009223">
      <w:bodyDiv w:val="1"/>
      <w:marLeft w:val="0"/>
      <w:marRight w:val="0"/>
      <w:marTop w:val="0"/>
      <w:marBottom w:val="0"/>
      <w:divBdr>
        <w:top w:val="none" w:sz="0" w:space="0" w:color="auto"/>
        <w:left w:val="none" w:sz="0" w:space="0" w:color="auto"/>
        <w:bottom w:val="none" w:sz="0" w:space="0" w:color="auto"/>
        <w:right w:val="none" w:sz="0" w:space="0" w:color="auto"/>
      </w:divBdr>
    </w:div>
    <w:div w:id="2079474547">
      <w:bodyDiv w:val="1"/>
      <w:marLeft w:val="0"/>
      <w:marRight w:val="0"/>
      <w:marTop w:val="0"/>
      <w:marBottom w:val="0"/>
      <w:divBdr>
        <w:top w:val="none" w:sz="0" w:space="0" w:color="auto"/>
        <w:left w:val="none" w:sz="0" w:space="0" w:color="auto"/>
        <w:bottom w:val="none" w:sz="0" w:space="0" w:color="auto"/>
        <w:right w:val="none" w:sz="0" w:space="0" w:color="auto"/>
      </w:divBdr>
    </w:div>
    <w:div w:id="2079861965">
      <w:bodyDiv w:val="1"/>
      <w:marLeft w:val="0"/>
      <w:marRight w:val="0"/>
      <w:marTop w:val="0"/>
      <w:marBottom w:val="0"/>
      <w:divBdr>
        <w:top w:val="none" w:sz="0" w:space="0" w:color="auto"/>
        <w:left w:val="none" w:sz="0" w:space="0" w:color="auto"/>
        <w:bottom w:val="none" w:sz="0" w:space="0" w:color="auto"/>
        <w:right w:val="none" w:sz="0" w:space="0" w:color="auto"/>
      </w:divBdr>
    </w:div>
    <w:div w:id="2079862570">
      <w:bodyDiv w:val="1"/>
      <w:marLeft w:val="0"/>
      <w:marRight w:val="0"/>
      <w:marTop w:val="0"/>
      <w:marBottom w:val="0"/>
      <w:divBdr>
        <w:top w:val="none" w:sz="0" w:space="0" w:color="auto"/>
        <w:left w:val="none" w:sz="0" w:space="0" w:color="auto"/>
        <w:bottom w:val="none" w:sz="0" w:space="0" w:color="auto"/>
        <w:right w:val="none" w:sz="0" w:space="0" w:color="auto"/>
      </w:divBdr>
    </w:div>
    <w:div w:id="2079865815">
      <w:bodyDiv w:val="1"/>
      <w:marLeft w:val="0"/>
      <w:marRight w:val="0"/>
      <w:marTop w:val="0"/>
      <w:marBottom w:val="0"/>
      <w:divBdr>
        <w:top w:val="none" w:sz="0" w:space="0" w:color="auto"/>
        <w:left w:val="none" w:sz="0" w:space="0" w:color="auto"/>
        <w:bottom w:val="none" w:sz="0" w:space="0" w:color="auto"/>
        <w:right w:val="none" w:sz="0" w:space="0" w:color="auto"/>
      </w:divBdr>
    </w:div>
    <w:div w:id="2080859979">
      <w:bodyDiv w:val="1"/>
      <w:marLeft w:val="0"/>
      <w:marRight w:val="0"/>
      <w:marTop w:val="0"/>
      <w:marBottom w:val="0"/>
      <w:divBdr>
        <w:top w:val="none" w:sz="0" w:space="0" w:color="auto"/>
        <w:left w:val="none" w:sz="0" w:space="0" w:color="auto"/>
        <w:bottom w:val="none" w:sz="0" w:space="0" w:color="auto"/>
        <w:right w:val="none" w:sz="0" w:space="0" w:color="auto"/>
      </w:divBdr>
    </w:div>
    <w:div w:id="2081364040">
      <w:bodyDiv w:val="1"/>
      <w:marLeft w:val="0"/>
      <w:marRight w:val="0"/>
      <w:marTop w:val="0"/>
      <w:marBottom w:val="0"/>
      <w:divBdr>
        <w:top w:val="none" w:sz="0" w:space="0" w:color="auto"/>
        <w:left w:val="none" w:sz="0" w:space="0" w:color="auto"/>
        <w:bottom w:val="none" w:sz="0" w:space="0" w:color="auto"/>
        <w:right w:val="none" w:sz="0" w:space="0" w:color="auto"/>
      </w:divBdr>
    </w:div>
    <w:div w:id="2081757156">
      <w:bodyDiv w:val="1"/>
      <w:marLeft w:val="0"/>
      <w:marRight w:val="0"/>
      <w:marTop w:val="0"/>
      <w:marBottom w:val="0"/>
      <w:divBdr>
        <w:top w:val="none" w:sz="0" w:space="0" w:color="auto"/>
        <w:left w:val="none" w:sz="0" w:space="0" w:color="auto"/>
        <w:bottom w:val="none" w:sz="0" w:space="0" w:color="auto"/>
        <w:right w:val="none" w:sz="0" w:space="0" w:color="auto"/>
      </w:divBdr>
    </w:div>
    <w:div w:id="2082214788">
      <w:bodyDiv w:val="1"/>
      <w:marLeft w:val="0"/>
      <w:marRight w:val="0"/>
      <w:marTop w:val="0"/>
      <w:marBottom w:val="0"/>
      <w:divBdr>
        <w:top w:val="none" w:sz="0" w:space="0" w:color="auto"/>
        <w:left w:val="none" w:sz="0" w:space="0" w:color="auto"/>
        <w:bottom w:val="none" w:sz="0" w:space="0" w:color="auto"/>
        <w:right w:val="none" w:sz="0" w:space="0" w:color="auto"/>
      </w:divBdr>
    </w:div>
    <w:div w:id="2082364072">
      <w:bodyDiv w:val="1"/>
      <w:marLeft w:val="0"/>
      <w:marRight w:val="0"/>
      <w:marTop w:val="0"/>
      <w:marBottom w:val="0"/>
      <w:divBdr>
        <w:top w:val="none" w:sz="0" w:space="0" w:color="auto"/>
        <w:left w:val="none" w:sz="0" w:space="0" w:color="auto"/>
        <w:bottom w:val="none" w:sz="0" w:space="0" w:color="auto"/>
        <w:right w:val="none" w:sz="0" w:space="0" w:color="auto"/>
      </w:divBdr>
    </w:div>
    <w:div w:id="2082555743">
      <w:bodyDiv w:val="1"/>
      <w:marLeft w:val="0"/>
      <w:marRight w:val="0"/>
      <w:marTop w:val="0"/>
      <w:marBottom w:val="0"/>
      <w:divBdr>
        <w:top w:val="none" w:sz="0" w:space="0" w:color="auto"/>
        <w:left w:val="none" w:sz="0" w:space="0" w:color="auto"/>
        <w:bottom w:val="none" w:sz="0" w:space="0" w:color="auto"/>
        <w:right w:val="none" w:sz="0" w:space="0" w:color="auto"/>
      </w:divBdr>
    </w:div>
    <w:div w:id="2082633728">
      <w:bodyDiv w:val="1"/>
      <w:marLeft w:val="0"/>
      <w:marRight w:val="0"/>
      <w:marTop w:val="0"/>
      <w:marBottom w:val="0"/>
      <w:divBdr>
        <w:top w:val="none" w:sz="0" w:space="0" w:color="auto"/>
        <w:left w:val="none" w:sz="0" w:space="0" w:color="auto"/>
        <w:bottom w:val="none" w:sz="0" w:space="0" w:color="auto"/>
        <w:right w:val="none" w:sz="0" w:space="0" w:color="auto"/>
      </w:divBdr>
    </w:div>
    <w:div w:id="2082873861">
      <w:bodyDiv w:val="1"/>
      <w:marLeft w:val="0"/>
      <w:marRight w:val="0"/>
      <w:marTop w:val="0"/>
      <w:marBottom w:val="0"/>
      <w:divBdr>
        <w:top w:val="none" w:sz="0" w:space="0" w:color="auto"/>
        <w:left w:val="none" w:sz="0" w:space="0" w:color="auto"/>
        <w:bottom w:val="none" w:sz="0" w:space="0" w:color="auto"/>
        <w:right w:val="none" w:sz="0" w:space="0" w:color="auto"/>
      </w:divBdr>
    </w:div>
    <w:div w:id="2083022768">
      <w:bodyDiv w:val="1"/>
      <w:marLeft w:val="0"/>
      <w:marRight w:val="0"/>
      <w:marTop w:val="0"/>
      <w:marBottom w:val="0"/>
      <w:divBdr>
        <w:top w:val="none" w:sz="0" w:space="0" w:color="auto"/>
        <w:left w:val="none" w:sz="0" w:space="0" w:color="auto"/>
        <w:bottom w:val="none" w:sz="0" w:space="0" w:color="auto"/>
        <w:right w:val="none" w:sz="0" w:space="0" w:color="auto"/>
      </w:divBdr>
    </w:div>
    <w:div w:id="2083991514">
      <w:bodyDiv w:val="1"/>
      <w:marLeft w:val="0"/>
      <w:marRight w:val="0"/>
      <w:marTop w:val="0"/>
      <w:marBottom w:val="0"/>
      <w:divBdr>
        <w:top w:val="none" w:sz="0" w:space="0" w:color="auto"/>
        <w:left w:val="none" w:sz="0" w:space="0" w:color="auto"/>
        <w:bottom w:val="none" w:sz="0" w:space="0" w:color="auto"/>
        <w:right w:val="none" w:sz="0" w:space="0" w:color="auto"/>
      </w:divBdr>
    </w:div>
    <w:div w:id="2084177824">
      <w:bodyDiv w:val="1"/>
      <w:marLeft w:val="0"/>
      <w:marRight w:val="0"/>
      <w:marTop w:val="0"/>
      <w:marBottom w:val="0"/>
      <w:divBdr>
        <w:top w:val="none" w:sz="0" w:space="0" w:color="auto"/>
        <w:left w:val="none" w:sz="0" w:space="0" w:color="auto"/>
        <w:bottom w:val="none" w:sz="0" w:space="0" w:color="auto"/>
        <w:right w:val="none" w:sz="0" w:space="0" w:color="auto"/>
      </w:divBdr>
    </w:div>
    <w:div w:id="2084333953">
      <w:bodyDiv w:val="1"/>
      <w:marLeft w:val="0"/>
      <w:marRight w:val="0"/>
      <w:marTop w:val="0"/>
      <w:marBottom w:val="0"/>
      <w:divBdr>
        <w:top w:val="none" w:sz="0" w:space="0" w:color="auto"/>
        <w:left w:val="none" w:sz="0" w:space="0" w:color="auto"/>
        <w:bottom w:val="none" w:sz="0" w:space="0" w:color="auto"/>
        <w:right w:val="none" w:sz="0" w:space="0" w:color="auto"/>
      </w:divBdr>
    </w:div>
    <w:div w:id="2084528381">
      <w:bodyDiv w:val="1"/>
      <w:marLeft w:val="0"/>
      <w:marRight w:val="0"/>
      <w:marTop w:val="0"/>
      <w:marBottom w:val="0"/>
      <w:divBdr>
        <w:top w:val="none" w:sz="0" w:space="0" w:color="auto"/>
        <w:left w:val="none" w:sz="0" w:space="0" w:color="auto"/>
        <w:bottom w:val="none" w:sz="0" w:space="0" w:color="auto"/>
        <w:right w:val="none" w:sz="0" w:space="0" w:color="auto"/>
      </w:divBdr>
    </w:div>
    <w:div w:id="2084598525">
      <w:bodyDiv w:val="1"/>
      <w:marLeft w:val="0"/>
      <w:marRight w:val="0"/>
      <w:marTop w:val="0"/>
      <w:marBottom w:val="0"/>
      <w:divBdr>
        <w:top w:val="none" w:sz="0" w:space="0" w:color="auto"/>
        <w:left w:val="none" w:sz="0" w:space="0" w:color="auto"/>
        <w:bottom w:val="none" w:sz="0" w:space="0" w:color="auto"/>
        <w:right w:val="none" w:sz="0" w:space="0" w:color="auto"/>
      </w:divBdr>
    </w:div>
    <w:div w:id="2084640838">
      <w:bodyDiv w:val="1"/>
      <w:marLeft w:val="0"/>
      <w:marRight w:val="0"/>
      <w:marTop w:val="0"/>
      <w:marBottom w:val="0"/>
      <w:divBdr>
        <w:top w:val="none" w:sz="0" w:space="0" w:color="auto"/>
        <w:left w:val="none" w:sz="0" w:space="0" w:color="auto"/>
        <w:bottom w:val="none" w:sz="0" w:space="0" w:color="auto"/>
        <w:right w:val="none" w:sz="0" w:space="0" w:color="auto"/>
      </w:divBdr>
    </w:div>
    <w:div w:id="2085834120">
      <w:bodyDiv w:val="1"/>
      <w:marLeft w:val="0"/>
      <w:marRight w:val="0"/>
      <w:marTop w:val="0"/>
      <w:marBottom w:val="0"/>
      <w:divBdr>
        <w:top w:val="none" w:sz="0" w:space="0" w:color="auto"/>
        <w:left w:val="none" w:sz="0" w:space="0" w:color="auto"/>
        <w:bottom w:val="none" w:sz="0" w:space="0" w:color="auto"/>
        <w:right w:val="none" w:sz="0" w:space="0" w:color="auto"/>
      </w:divBdr>
    </w:div>
    <w:div w:id="2085950729">
      <w:bodyDiv w:val="1"/>
      <w:marLeft w:val="0"/>
      <w:marRight w:val="0"/>
      <w:marTop w:val="0"/>
      <w:marBottom w:val="0"/>
      <w:divBdr>
        <w:top w:val="none" w:sz="0" w:space="0" w:color="auto"/>
        <w:left w:val="none" w:sz="0" w:space="0" w:color="auto"/>
        <w:bottom w:val="none" w:sz="0" w:space="0" w:color="auto"/>
        <w:right w:val="none" w:sz="0" w:space="0" w:color="auto"/>
      </w:divBdr>
    </w:div>
    <w:div w:id="2086679794">
      <w:bodyDiv w:val="1"/>
      <w:marLeft w:val="0"/>
      <w:marRight w:val="0"/>
      <w:marTop w:val="0"/>
      <w:marBottom w:val="0"/>
      <w:divBdr>
        <w:top w:val="none" w:sz="0" w:space="0" w:color="auto"/>
        <w:left w:val="none" w:sz="0" w:space="0" w:color="auto"/>
        <w:bottom w:val="none" w:sz="0" w:space="0" w:color="auto"/>
        <w:right w:val="none" w:sz="0" w:space="0" w:color="auto"/>
      </w:divBdr>
    </w:div>
    <w:div w:id="2086877965">
      <w:bodyDiv w:val="1"/>
      <w:marLeft w:val="0"/>
      <w:marRight w:val="0"/>
      <w:marTop w:val="0"/>
      <w:marBottom w:val="0"/>
      <w:divBdr>
        <w:top w:val="none" w:sz="0" w:space="0" w:color="auto"/>
        <w:left w:val="none" w:sz="0" w:space="0" w:color="auto"/>
        <w:bottom w:val="none" w:sz="0" w:space="0" w:color="auto"/>
        <w:right w:val="none" w:sz="0" w:space="0" w:color="auto"/>
      </w:divBdr>
    </w:div>
    <w:div w:id="2086947217">
      <w:bodyDiv w:val="1"/>
      <w:marLeft w:val="0"/>
      <w:marRight w:val="0"/>
      <w:marTop w:val="0"/>
      <w:marBottom w:val="0"/>
      <w:divBdr>
        <w:top w:val="none" w:sz="0" w:space="0" w:color="auto"/>
        <w:left w:val="none" w:sz="0" w:space="0" w:color="auto"/>
        <w:bottom w:val="none" w:sz="0" w:space="0" w:color="auto"/>
        <w:right w:val="none" w:sz="0" w:space="0" w:color="auto"/>
      </w:divBdr>
    </w:div>
    <w:div w:id="2087417131">
      <w:bodyDiv w:val="1"/>
      <w:marLeft w:val="0"/>
      <w:marRight w:val="0"/>
      <w:marTop w:val="0"/>
      <w:marBottom w:val="0"/>
      <w:divBdr>
        <w:top w:val="none" w:sz="0" w:space="0" w:color="auto"/>
        <w:left w:val="none" w:sz="0" w:space="0" w:color="auto"/>
        <w:bottom w:val="none" w:sz="0" w:space="0" w:color="auto"/>
        <w:right w:val="none" w:sz="0" w:space="0" w:color="auto"/>
      </w:divBdr>
    </w:div>
    <w:div w:id="2088569853">
      <w:bodyDiv w:val="1"/>
      <w:marLeft w:val="0"/>
      <w:marRight w:val="0"/>
      <w:marTop w:val="0"/>
      <w:marBottom w:val="0"/>
      <w:divBdr>
        <w:top w:val="none" w:sz="0" w:space="0" w:color="auto"/>
        <w:left w:val="none" w:sz="0" w:space="0" w:color="auto"/>
        <w:bottom w:val="none" w:sz="0" w:space="0" w:color="auto"/>
        <w:right w:val="none" w:sz="0" w:space="0" w:color="auto"/>
      </w:divBdr>
    </w:div>
    <w:div w:id="2088913894">
      <w:bodyDiv w:val="1"/>
      <w:marLeft w:val="0"/>
      <w:marRight w:val="0"/>
      <w:marTop w:val="0"/>
      <w:marBottom w:val="0"/>
      <w:divBdr>
        <w:top w:val="none" w:sz="0" w:space="0" w:color="auto"/>
        <w:left w:val="none" w:sz="0" w:space="0" w:color="auto"/>
        <w:bottom w:val="none" w:sz="0" w:space="0" w:color="auto"/>
        <w:right w:val="none" w:sz="0" w:space="0" w:color="auto"/>
      </w:divBdr>
    </w:div>
    <w:div w:id="2089036963">
      <w:bodyDiv w:val="1"/>
      <w:marLeft w:val="0"/>
      <w:marRight w:val="0"/>
      <w:marTop w:val="0"/>
      <w:marBottom w:val="0"/>
      <w:divBdr>
        <w:top w:val="none" w:sz="0" w:space="0" w:color="auto"/>
        <w:left w:val="none" w:sz="0" w:space="0" w:color="auto"/>
        <w:bottom w:val="none" w:sz="0" w:space="0" w:color="auto"/>
        <w:right w:val="none" w:sz="0" w:space="0" w:color="auto"/>
      </w:divBdr>
    </w:div>
    <w:div w:id="2089838207">
      <w:bodyDiv w:val="1"/>
      <w:marLeft w:val="0"/>
      <w:marRight w:val="0"/>
      <w:marTop w:val="0"/>
      <w:marBottom w:val="0"/>
      <w:divBdr>
        <w:top w:val="none" w:sz="0" w:space="0" w:color="auto"/>
        <w:left w:val="none" w:sz="0" w:space="0" w:color="auto"/>
        <w:bottom w:val="none" w:sz="0" w:space="0" w:color="auto"/>
        <w:right w:val="none" w:sz="0" w:space="0" w:color="auto"/>
      </w:divBdr>
    </w:div>
    <w:div w:id="2090541301">
      <w:bodyDiv w:val="1"/>
      <w:marLeft w:val="0"/>
      <w:marRight w:val="0"/>
      <w:marTop w:val="0"/>
      <w:marBottom w:val="0"/>
      <w:divBdr>
        <w:top w:val="none" w:sz="0" w:space="0" w:color="auto"/>
        <w:left w:val="none" w:sz="0" w:space="0" w:color="auto"/>
        <w:bottom w:val="none" w:sz="0" w:space="0" w:color="auto"/>
        <w:right w:val="none" w:sz="0" w:space="0" w:color="auto"/>
      </w:divBdr>
    </w:div>
    <w:div w:id="2090732547">
      <w:bodyDiv w:val="1"/>
      <w:marLeft w:val="0"/>
      <w:marRight w:val="0"/>
      <w:marTop w:val="0"/>
      <w:marBottom w:val="0"/>
      <w:divBdr>
        <w:top w:val="none" w:sz="0" w:space="0" w:color="auto"/>
        <w:left w:val="none" w:sz="0" w:space="0" w:color="auto"/>
        <w:bottom w:val="none" w:sz="0" w:space="0" w:color="auto"/>
        <w:right w:val="none" w:sz="0" w:space="0" w:color="auto"/>
      </w:divBdr>
    </w:div>
    <w:div w:id="2091465036">
      <w:bodyDiv w:val="1"/>
      <w:marLeft w:val="0"/>
      <w:marRight w:val="0"/>
      <w:marTop w:val="0"/>
      <w:marBottom w:val="0"/>
      <w:divBdr>
        <w:top w:val="none" w:sz="0" w:space="0" w:color="auto"/>
        <w:left w:val="none" w:sz="0" w:space="0" w:color="auto"/>
        <w:bottom w:val="none" w:sz="0" w:space="0" w:color="auto"/>
        <w:right w:val="none" w:sz="0" w:space="0" w:color="auto"/>
      </w:divBdr>
    </w:div>
    <w:div w:id="2092459558">
      <w:bodyDiv w:val="1"/>
      <w:marLeft w:val="0"/>
      <w:marRight w:val="0"/>
      <w:marTop w:val="0"/>
      <w:marBottom w:val="0"/>
      <w:divBdr>
        <w:top w:val="none" w:sz="0" w:space="0" w:color="auto"/>
        <w:left w:val="none" w:sz="0" w:space="0" w:color="auto"/>
        <w:bottom w:val="none" w:sz="0" w:space="0" w:color="auto"/>
        <w:right w:val="none" w:sz="0" w:space="0" w:color="auto"/>
      </w:divBdr>
    </w:div>
    <w:div w:id="2093040509">
      <w:bodyDiv w:val="1"/>
      <w:marLeft w:val="0"/>
      <w:marRight w:val="0"/>
      <w:marTop w:val="0"/>
      <w:marBottom w:val="0"/>
      <w:divBdr>
        <w:top w:val="none" w:sz="0" w:space="0" w:color="auto"/>
        <w:left w:val="none" w:sz="0" w:space="0" w:color="auto"/>
        <w:bottom w:val="none" w:sz="0" w:space="0" w:color="auto"/>
        <w:right w:val="none" w:sz="0" w:space="0" w:color="auto"/>
      </w:divBdr>
    </w:div>
    <w:div w:id="2094471369">
      <w:bodyDiv w:val="1"/>
      <w:marLeft w:val="0"/>
      <w:marRight w:val="0"/>
      <w:marTop w:val="0"/>
      <w:marBottom w:val="0"/>
      <w:divBdr>
        <w:top w:val="none" w:sz="0" w:space="0" w:color="auto"/>
        <w:left w:val="none" w:sz="0" w:space="0" w:color="auto"/>
        <w:bottom w:val="none" w:sz="0" w:space="0" w:color="auto"/>
        <w:right w:val="none" w:sz="0" w:space="0" w:color="auto"/>
      </w:divBdr>
    </w:div>
    <w:div w:id="2094888551">
      <w:bodyDiv w:val="1"/>
      <w:marLeft w:val="0"/>
      <w:marRight w:val="0"/>
      <w:marTop w:val="0"/>
      <w:marBottom w:val="0"/>
      <w:divBdr>
        <w:top w:val="none" w:sz="0" w:space="0" w:color="auto"/>
        <w:left w:val="none" w:sz="0" w:space="0" w:color="auto"/>
        <w:bottom w:val="none" w:sz="0" w:space="0" w:color="auto"/>
        <w:right w:val="none" w:sz="0" w:space="0" w:color="auto"/>
      </w:divBdr>
    </w:div>
    <w:div w:id="2095086386">
      <w:bodyDiv w:val="1"/>
      <w:marLeft w:val="0"/>
      <w:marRight w:val="0"/>
      <w:marTop w:val="0"/>
      <w:marBottom w:val="0"/>
      <w:divBdr>
        <w:top w:val="none" w:sz="0" w:space="0" w:color="auto"/>
        <w:left w:val="none" w:sz="0" w:space="0" w:color="auto"/>
        <w:bottom w:val="none" w:sz="0" w:space="0" w:color="auto"/>
        <w:right w:val="none" w:sz="0" w:space="0" w:color="auto"/>
      </w:divBdr>
    </w:div>
    <w:div w:id="2095273054">
      <w:bodyDiv w:val="1"/>
      <w:marLeft w:val="0"/>
      <w:marRight w:val="0"/>
      <w:marTop w:val="0"/>
      <w:marBottom w:val="0"/>
      <w:divBdr>
        <w:top w:val="none" w:sz="0" w:space="0" w:color="auto"/>
        <w:left w:val="none" w:sz="0" w:space="0" w:color="auto"/>
        <w:bottom w:val="none" w:sz="0" w:space="0" w:color="auto"/>
        <w:right w:val="none" w:sz="0" w:space="0" w:color="auto"/>
      </w:divBdr>
    </w:div>
    <w:div w:id="2095273608">
      <w:bodyDiv w:val="1"/>
      <w:marLeft w:val="0"/>
      <w:marRight w:val="0"/>
      <w:marTop w:val="0"/>
      <w:marBottom w:val="0"/>
      <w:divBdr>
        <w:top w:val="none" w:sz="0" w:space="0" w:color="auto"/>
        <w:left w:val="none" w:sz="0" w:space="0" w:color="auto"/>
        <w:bottom w:val="none" w:sz="0" w:space="0" w:color="auto"/>
        <w:right w:val="none" w:sz="0" w:space="0" w:color="auto"/>
      </w:divBdr>
    </w:div>
    <w:div w:id="2095515680">
      <w:bodyDiv w:val="1"/>
      <w:marLeft w:val="0"/>
      <w:marRight w:val="0"/>
      <w:marTop w:val="0"/>
      <w:marBottom w:val="0"/>
      <w:divBdr>
        <w:top w:val="none" w:sz="0" w:space="0" w:color="auto"/>
        <w:left w:val="none" w:sz="0" w:space="0" w:color="auto"/>
        <w:bottom w:val="none" w:sz="0" w:space="0" w:color="auto"/>
        <w:right w:val="none" w:sz="0" w:space="0" w:color="auto"/>
      </w:divBdr>
    </w:div>
    <w:div w:id="2095933332">
      <w:bodyDiv w:val="1"/>
      <w:marLeft w:val="0"/>
      <w:marRight w:val="0"/>
      <w:marTop w:val="0"/>
      <w:marBottom w:val="0"/>
      <w:divBdr>
        <w:top w:val="none" w:sz="0" w:space="0" w:color="auto"/>
        <w:left w:val="none" w:sz="0" w:space="0" w:color="auto"/>
        <w:bottom w:val="none" w:sz="0" w:space="0" w:color="auto"/>
        <w:right w:val="none" w:sz="0" w:space="0" w:color="auto"/>
      </w:divBdr>
    </w:div>
    <w:div w:id="2096003536">
      <w:bodyDiv w:val="1"/>
      <w:marLeft w:val="0"/>
      <w:marRight w:val="0"/>
      <w:marTop w:val="0"/>
      <w:marBottom w:val="0"/>
      <w:divBdr>
        <w:top w:val="none" w:sz="0" w:space="0" w:color="auto"/>
        <w:left w:val="none" w:sz="0" w:space="0" w:color="auto"/>
        <w:bottom w:val="none" w:sz="0" w:space="0" w:color="auto"/>
        <w:right w:val="none" w:sz="0" w:space="0" w:color="auto"/>
      </w:divBdr>
    </w:div>
    <w:div w:id="2096051906">
      <w:bodyDiv w:val="1"/>
      <w:marLeft w:val="0"/>
      <w:marRight w:val="0"/>
      <w:marTop w:val="0"/>
      <w:marBottom w:val="0"/>
      <w:divBdr>
        <w:top w:val="none" w:sz="0" w:space="0" w:color="auto"/>
        <w:left w:val="none" w:sz="0" w:space="0" w:color="auto"/>
        <w:bottom w:val="none" w:sz="0" w:space="0" w:color="auto"/>
        <w:right w:val="none" w:sz="0" w:space="0" w:color="auto"/>
      </w:divBdr>
    </w:div>
    <w:div w:id="2096320248">
      <w:bodyDiv w:val="1"/>
      <w:marLeft w:val="0"/>
      <w:marRight w:val="0"/>
      <w:marTop w:val="0"/>
      <w:marBottom w:val="0"/>
      <w:divBdr>
        <w:top w:val="none" w:sz="0" w:space="0" w:color="auto"/>
        <w:left w:val="none" w:sz="0" w:space="0" w:color="auto"/>
        <w:bottom w:val="none" w:sz="0" w:space="0" w:color="auto"/>
        <w:right w:val="none" w:sz="0" w:space="0" w:color="auto"/>
      </w:divBdr>
    </w:div>
    <w:div w:id="2096439860">
      <w:bodyDiv w:val="1"/>
      <w:marLeft w:val="0"/>
      <w:marRight w:val="0"/>
      <w:marTop w:val="0"/>
      <w:marBottom w:val="0"/>
      <w:divBdr>
        <w:top w:val="none" w:sz="0" w:space="0" w:color="auto"/>
        <w:left w:val="none" w:sz="0" w:space="0" w:color="auto"/>
        <w:bottom w:val="none" w:sz="0" w:space="0" w:color="auto"/>
        <w:right w:val="none" w:sz="0" w:space="0" w:color="auto"/>
      </w:divBdr>
    </w:div>
    <w:div w:id="2096704132">
      <w:bodyDiv w:val="1"/>
      <w:marLeft w:val="0"/>
      <w:marRight w:val="0"/>
      <w:marTop w:val="0"/>
      <w:marBottom w:val="0"/>
      <w:divBdr>
        <w:top w:val="none" w:sz="0" w:space="0" w:color="auto"/>
        <w:left w:val="none" w:sz="0" w:space="0" w:color="auto"/>
        <w:bottom w:val="none" w:sz="0" w:space="0" w:color="auto"/>
        <w:right w:val="none" w:sz="0" w:space="0" w:color="auto"/>
      </w:divBdr>
    </w:div>
    <w:div w:id="2097362056">
      <w:bodyDiv w:val="1"/>
      <w:marLeft w:val="0"/>
      <w:marRight w:val="0"/>
      <w:marTop w:val="0"/>
      <w:marBottom w:val="0"/>
      <w:divBdr>
        <w:top w:val="none" w:sz="0" w:space="0" w:color="auto"/>
        <w:left w:val="none" w:sz="0" w:space="0" w:color="auto"/>
        <w:bottom w:val="none" w:sz="0" w:space="0" w:color="auto"/>
        <w:right w:val="none" w:sz="0" w:space="0" w:color="auto"/>
      </w:divBdr>
    </w:div>
    <w:div w:id="2097555172">
      <w:bodyDiv w:val="1"/>
      <w:marLeft w:val="0"/>
      <w:marRight w:val="0"/>
      <w:marTop w:val="0"/>
      <w:marBottom w:val="0"/>
      <w:divBdr>
        <w:top w:val="none" w:sz="0" w:space="0" w:color="auto"/>
        <w:left w:val="none" w:sz="0" w:space="0" w:color="auto"/>
        <w:bottom w:val="none" w:sz="0" w:space="0" w:color="auto"/>
        <w:right w:val="none" w:sz="0" w:space="0" w:color="auto"/>
      </w:divBdr>
    </w:div>
    <w:div w:id="2098596479">
      <w:bodyDiv w:val="1"/>
      <w:marLeft w:val="0"/>
      <w:marRight w:val="0"/>
      <w:marTop w:val="0"/>
      <w:marBottom w:val="0"/>
      <w:divBdr>
        <w:top w:val="none" w:sz="0" w:space="0" w:color="auto"/>
        <w:left w:val="none" w:sz="0" w:space="0" w:color="auto"/>
        <w:bottom w:val="none" w:sz="0" w:space="0" w:color="auto"/>
        <w:right w:val="none" w:sz="0" w:space="0" w:color="auto"/>
      </w:divBdr>
    </w:div>
    <w:div w:id="2099475127">
      <w:bodyDiv w:val="1"/>
      <w:marLeft w:val="0"/>
      <w:marRight w:val="0"/>
      <w:marTop w:val="0"/>
      <w:marBottom w:val="0"/>
      <w:divBdr>
        <w:top w:val="none" w:sz="0" w:space="0" w:color="auto"/>
        <w:left w:val="none" w:sz="0" w:space="0" w:color="auto"/>
        <w:bottom w:val="none" w:sz="0" w:space="0" w:color="auto"/>
        <w:right w:val="none" w:sz="0" w:space="0" w:color="auto"/>
      </w:divBdr>
    </w:div>
    <w:div w:id="2099592106">
      <w:bodyDiv w:val="1"/>
      <w:marLeft w:val="0"/>
      <w:marRight w:val="0"/>
      <w:marTop w:val="0"/>
      <w:marBottom w:val="0"/>
      <w:divBdr>
        <w:top w:val="none" w:sz="0" w:space="0" w:color="auto"/>
        <w:left w:val="none" w:sz="0" w:space="0" w:color="auto"/>
        <w:bottom w:val="none" w:sz="0" w:space="0" w:color="auto"/>
        <w:right w:val="none" w:sz="0" w:space="0" w:color="auto"/>
      </w:divBdr>
    </w:div>
    <w:div w:id="2100591628">
      <w:bodyDiv w:val="1"/>
      <w:marLeft w:val="0"/>
      <w:marRight w:val="0"/>
      <w:marTop w:val="0"/>
      <w:marBottom w:val="0"/>
      <w:divBdr>
        <w:top w:val="none" w:sz="0" w:space="0" w:color="auto"/>
        <w:left w:val="none" w:sz="0" w:space="0" w:color="auto"/>
        <w:bottom w:val="none" w:sz="0" w:space="0" w:color="auto"/>
        <w:right w:val="none" w:sz="0" w:space="0" w:color="auto"/>
      </w:divBdr>
    </w:div>
    <w:div w:id="2101023791">
      <w:bodyDiv w:val="1"/>
      <w:marLeft w:val="0"/>
      <w:marRight w:val="0"/>
      <w:marTop w:val="0"/>
      <w:marBottom w:val="0"/>
      <w:divBdr>
        <w:top w:val="none" w:sz="0" w:space="0" w:color="auto"/>
        <w:left w:val="none" w:sz="0" w:space="0" w:color="auto"/>
        <w:bottom w:val="none" w:sz="0" w:space="0" w:color="auto"/>
        <w:right w:val="none" w:sz="0" w:space="0" w:color="auto"/>
      </w:divBdr>
    </w:div>
    <w:div w:id="2101216942">
      <w:bodyDiv w:val="1"/>
      <w:marLeft w:val="0"/>
      <w:marRight w:val="0"/>
      <w:marTop w:val="0"/>
      <w:marBottom w:val="0"/>
      <w:divBdr>
        <w:top w:val="none" w:sz="0" w:space="0" w:color="auto"/>
        <w:left w:val="none" w:sz="0" w:space="0" w:color="auto"/>
        <w:bottom w:val="none" w:sz="0" w:space="0" w:color="auto"/>
        <w:right w:val="none" w:sz="0" w:space="0" w:color="auto"/>
      </w:divBdr>
    </w:div>
    <w:div w:id="2101487778">
      <w:bodyDiv w:val="1"/>
      <w:marLeft w:val="0"/>
      <w:marRight w:val="0"/>
      <w:marTop w:val="0"/>
      <w:marBottom w:val="0"/>
      <w:divBdr>
        <w:top w:val="none" w:sz="0" w:space="0" w:color="auto"/>
        <w:left w:val="none" w:sz="0" w:space="0" w:color="auto"/>
        <w:bottom w:val="none" w:sz="0" w:space="0" w:color="auto"/>
        <w:right w:val="none" w:sz="0" w:space="0" w:color="auto"/>
      </w:divBdr>
    </w:div>
    <w:div w:id="2102070050">
      <w:bodyDiv w:val="1"/>
      <w:marLeft w:val="0"/>
      <w:marRight w:val="0"/>
      <w:marTop w:val="0"/>
      <w:marBottom w:val="0"/>
      <w:divBdr>
        <w:top w:val="none" w:sz="0" w:space="0" w:color="auto"/>
        <w:left w:val="none" w:sz="0" w:space="0" w:color="auto"/>
        <w:bottom w:val="none" w:sz="0" w:space="0" w:color="auto"/>
        <w:right w:val="none" w:sz="0" w:space="0" w:color="auto"/>
      </w:divBdr>
    </w:div>
    <w:div w:id="2102675791">
      <w:bodyDiv w:val="1"/>
      <w:marLeft w:val="0"/>
      <w:marRight w:val="0"/>
      <w:marTop w:val="0"/>
      <w:marBottom w:val="0"/>
      <w:divBdr>
        <w:top w:val="none" w:sz="0" w:space="0" w:color="auto"/>
        <w:left w:val="none" w:sz="0" w:space="0" w:color="auto"/>
        <w:bottom w:val="none" w:sz="0" w:space="0" w:color="auto"/>
        <w:right w:val="none" w:sz="0" w:space="0" w:color="auto"/>
      </w:divBdr>
    </w:div>
    <w:div w:id="2102791846">
      <w:bodyDiv w:val="1"/>
      <w:marLeft w:val="0"/>
      <w:marRight w:val="0"/>
      <w:marTop w:val="0"/>
      <w:marBottom w:val="0"/>
      <w:divBdr>
        <w:top w:val="none" w:sz="0" w:space="0" w:color="auto"/>
        <w:left w:val="none" w:sz="0" w:space="0" w:color="auto"/>
        <w:bottom w:val="none" w:sz="0" w:space="0" w:color="auto"/>
        <w:right w:val="none" w:sz="0" w:space="0" w:color="auto"/>
      </w:divBdr>
    </w:div>
    <w:div w:id="2102868568">
      <w:bodyDiv w:val="1"/>
      <w:marLeft w:val="0"/>
      <w:marRight w:val="0"/>
      <w:marTop w:val="0"/>
      <w:marBottom w:val="0"/>
      <w:divBdr>
        <w:top w:val="none" w:sz="0" w:space="0" w:color="auto"/>
        <w:left w:val="none" w:sz="0" w:space="0" w:color="auto"/>
        <w:bottom w:val="none" w:sz="0" w:space="0" w:color="auto"/>
        <w:right w:val="none" w:sz="0" w:space="0" w:color="auto"/>
      </w:divBdr>
    </w:div>
    <w:div w:id="2103068334">
      <w:bodyDiv w:val="1"/>
      <w:marLeft w:val="0"/>
      <w:marRight w:val="0"/>
      <w:marTop w:val="0"/>
      <w:marBottom w:val="0"/>
      <w:divBdr>
        <w:top w:val="none" w:sz="0" w:space="0" w:color="auto"/>
        <w:left w:val="none" w:sz="0" w:space="0" w:color="auto"/>
        <w:bottom w:val="none" w:sz="0" w:space="0" w:color="auto"/>
        <w:right w:val="none" w:sz="0" w:space="0" w:color="auto"/>
      </w:divBdr>
    </w:div>
    <w:div w:id="2103211505">
      <w:bodyDiv w:val="1"/>
      <w:marLeft w:val="0"/>
      <w:marRight w:val="0"/>
      <w:marTop w:val="0"/>
      <w:marBottom w:val="0"/>
      <w:divBdr>
        <w:top w:val="none" w:sz="0" w:space="0" w:color="auto"/>
        <w:left w:val="none" w:sz="0" w:space="0" w:color="auto"/>
        <w:bottom w:val="none" w:sz="0" w:space="0" w:color="auto"/>
        <w:right w:val="none" w:sz="0" w:space="0" w:color="auto"/>
      </w:divBdr>
    </w:div>
    <w:div w:id="2103646042">
      <w:bodyDiv w:val="1"/>
      <w:marLeft w:val="0"/>
      <w:marRight w:val="0"/>
      <w:marTop w:val="0"/>
      <w:marBottom w:val="0"/>
      <w:divBdr>
        <w:top w:val="none" w:sz="0" w:space="0" w:color="auto"/>
        <w:left w:val="none" w:sz="0" w:space="0" w:color="auto"/>
        <w:bottom w:val="none" w:sz="0" w:space="0" w:color="auto"/>
        <w:right w:val="none" w:sz="0" w:space="0" w:color="auto"/>
      </w:divBdr>
    </w:div>
    <w:div w:id="2103798001">
      <w:bodyDiv w:val="1"/>
      <w:marLeft w:val="0"/>
      <w:marRight w:val="0"/>
      <w:marTop w:val="0"/>
      <w:marBottom w:val="0"/>
      <w:divBdr>
        <w:top w:val="none" w:sz="0" w:space="0" w:color="auto"/>
        <w:left w:val="none" w:sz="0" w:space="0" w:color="auto"/>
        <w:bottom w:val="none" w:sz="0" w:space="0" w:color="auto"/>
        <w:right w:val="none" w:sz="0" w:space="0" w:color="auto"/>
      </w:divBdr>
    </w:div>
    <w:div w:id="2104567285">
      <w:bodyDiv w:val="1"/>
      <w:marLeft w:val="0"/>
      <w:marRight w:val="0"/>
      <w:marTop w:val="0"/>
      <w:marBottom w:val="0"/>
      <w:divBdr>
        <w:top w:val="none" w:sz="0" w:space="0" w:color="auto"/>
        <w:left w:val="none" w:sz="0" w:space="0" w:color="auto"/>
        <w:bottom w:val="none" w:sz="0" w:space="0" w:color="auto"/>
        <w:right w:val="none" w:sz="0" w:space="0" w:color="auto"/>
      </w:divBdr>
    </w:div>
    <w:div w:id="2104640102">
      <w:bodyDiv w:val="1"/>
      <w:marLeft w:val="0"/>
      <w:marRight w:val="0"/>
      <w:marTop w:val="0"/>
      <w:marBottom w:val="0"/>
      <w:divBdr>
        <w:top w:val="none" w:sz="0" w:space="0" w:color="auto"/>
        <w:left w:val="none" w:sz="0" w:space="0" w:color="auto"/>
        <w:bottom w:val="none" w:sz="0" w:space="0" w:color="auto"/>
        <w:right w:val="none" w:sz="0" w:space="0" w:color="auto"/>
      </w:divBdr>
    </w:div>
    <w:div w:id="2105568895">
      <w:bodyDiv w:val="1"/>
      <w:marLeft w:val="0"/>
      <w:marRight w:val="0"/>
      <w:marTop w:val="0"/>
      <w:marBottom w:val="0"/>
      <w:divBdr>
        <w:top w:val="none" w:sz="0" w:space="0" w:color="auto"/>
        <w:left w:val="none" w:sz="0" w:space="0" w:color="auto"/>
        <w:bottom w:val="none" w:sz="0" w:space="0" w:color="auto"/>
        <w:right w:val="none" w:sz="0" w:space="0" w:color="auto"/>
      </w:divBdr>
    </w:div>
    <w:div w:id="2105611263">
      <w:bodyDiv w:val="1"/>
      <w:marLeft w:val="0"/>
      <w:marRight w:val="0"/>
      <w:marTop w:val="0"/>
      <w:marBottom w:val="0"/>
      <w:divBdr>
        <w:top w:val="none" w:sz="0" w:space="0" w:color="auto"/>
        <w:left w:val="none" w:sz="0" w:space="0" w:color="auto"/>
        <w:bottom w:val="none" w:sz="0" w:space="0" w:color="auto"/>
        <w:right w:val="none" w:sz="0" w:space="0" w:color="auto"/>
      </w:divBdr>
    </w:div>
    <w:div w:id="2105955277">
      <w:bodyDiv w:val="1"/>
      <w:marLeft w:val="0"/>
      <w:marRight w:val="0"/>
      <w:marTop w:val="0"/>
      <w:marBottom w:val="0"/>
      <w:divBdr>
        <w:top w:val="none" w:sz="0" w:space="0" w:color="auto"/>
        <w:left w:val="none" w:sz="0" w:space="0" w:color="auto"/>
        <w:bottom w:val="none" w:sz="0" w:space="0" w:color="auto"/>
        <w:right w:val="none" w:sz="0" w:space="0" w:color="auto"/>
      </w:divBdr>
    </w:div>
    <w:div w:id="2107725803">
      <w:bodyDiv w:val="1"/>
      <w:marLeft w:val="0"/>
      <w:marRight w:val="0"/>
      <w:marTop w:val="0"/>
      <w:marBottom w:val="0"/>
      <w:divBdr>
        <w:top w:val="none" w:sz="0" w:space="0" w:color="auto"/>
        <w:left w:val="none" w:sz="0" w:space="0" w:color="auto"/>
        <w:bottom w:val="none" w:sz="0" w:space="0" w:color="auto"/>
        <w:right w:val="none" w:sz="0" w:space="0" w:color="auto"/>
      </w:divBdr>
    </w:div>
    <w:div w:id="2108034836">
      <w:bodyDiv w:val="1"/>
      <w:marLeft w:val="0"/>
      <w:marRight w:val="0"/>
      <w:marTop w:val="0"/>
      <w:marBottom w:val="0"/>
      <w:divBdr>
        <w:top w:val="none" w:sz="0" w:space="0" w:color="auto"/>
        <w:left w:val="none" w:sz="0" w:space="0" w:color="auto"/>
        <w:bottom w:val="none" w:sz="0" w:space="0" w:color="auto"/>
        <w:right w:val="none" w:sz="0" w:space="0" w:color="auto"/>
      </w:divBdr>
    </w:div>
    <w:div w:id="2108112179">
      <w:bodyDiv w:val="1"/>
      <w:marLeft w:val="0"/>
      <w:marRight w:val="0"/>
      <w:marTop w:val="0"/>
      <w:marBottom w:val="0"/>
      <w:divBdr>
        <w:top w:val="none" w:sz="0" w:space="0" w:color="auto"/>
        <w:left w:val="none" w:sz="0" w:space="0" w:color="auto"/>
        <w:bottom w:val="none" w:sz="0" w:space="0" w:color="auto"/>
        <w:right w:val="none" w:sz="0" w:space="0" w:color="auto"/>
      </w:divBdr>
    </w:div>
    <w:div w:id="2108770929">
      <w:bodyDiv w:val="1"/>
      <w:marLeft w:val="0"/>
      <w:marRight w:val="0"/>
      <w:marTop w:val="0"/>
      <w:marBottom w:val="0"/>
      <w:divBdr>
        <w:top w:val="none" w:sz="0" w:space="0" w:color="auto"/>
        <w:left w:val="none" w:sz="0" w:space="0" w:color="auto"/>
        <w:bottom w:val="none" w:sz="0" w:space="0" w:color="auto"/>
        <w:right w:val="none" w:sz="0" w:space="0" w:color="auto"/>
      </w:divBdr>
    </w:div>
    <w:div w:id="2109276537">
      <w:bodyDiv w:val="1"/>
      <w:marLeft w:val="0"/>
      <w:marRight w:val="0"/>
      <w:marTop w:val="0"/>
      <w:marBottom w:val="0"/>
      <w:divBdr>
        <w:top w:val="none" w:sz="0" w:space="0" w:color="auto"/>
        <w:left w:val="none" w:sz="0" w:space="0" w:color="auto"/>
        <w:bottom w:val="none" w:sz="0" w:space="0" w:color="auto"/>
        <w:right w:val="none" w:sz="0" w:space="0" w:color="auto"/>
      </w:divBdr>
    </w:div>
    <w:div w:id="2109502576">
      <w:bodyDiv w:val="1"/>
      <w:marLeft w:val="0"/>
      <w:marRight w:val="0"/>
      <w:marTop w:val="0"/>
      <w:marBottom w:val="0"/>
      <w:divBdr>
        <w:top w:val="none" w:sz="0" w:space="0" w:color="auto"/>
        <w:left w:val="none" w:sz="0" w:space="0" w:color="auto"/>
        <w:bottom w:val="none" w:sz="0" w:space="0" w:color="auto"/>
        <w:right w:val="none" w:sz="0" w:space="0" w:color="auto"/>
      </w:divBdr>
    </w:div>
    <w:div w:id="2109809873">
      <w:bodyDiv w:val="1"/>
      <w:marLeft w:val="0"/>
      <w:marRight w:val="0"/>
      <w:marTop w:val="0"/>
      <w:marBottom w:val="0"/>
      <w:divBdr>
        <w:top w:val="none" w:sz="0" w:space="0" w:color="auto"/>
        <w:left w:val="none" w:sz="0" w:space="0" w:color="auto"/>
        <w:bottom w:val="none" w:sz="0" w:space="0" w:color="auto"/>
        <w:right w:val="none" w:sz="0" w:space="0" w:color="auto"/>
      </w:divBdr>
    </w:div>
    <w:div w:id="2109884197">
      <w:bodyDiv w:val="1"/>
      <w:marLeft w:val="0"/>
      <w:marRight w:val="0"/>
      <w:marTop w:val="0"/>
      <w:marBottom w:val="0"/>
      <w:divBdr>
        <w:top w:val="none" w:sz="0" w:space="0" w:color="auto"/>
        <w:left w:val="none" w:sz="0" w:space="0" w:color="auto"/>
        <w:bottom w:val="none" w:sz="0" w:space="0" w:color="auto"/>
        <w:right w:val="none" w:sz="0" w:space="0" w:color="auto"/>
      </w:divBdr>
    </w:div>
    <w:div w:id="2110156063">
      <w:bodyDiv w:val="1"/>
      <w:marLeft w:val="0"/>
      <w:marRight w:val="0"/>
      <w:marTop w:val="0"/>
      <w:marBottom w:val="0"/>
      <w:divBdr>
        <w:top w:val="none" w:sz="0" w:space="0" w:color="auto"/>
        <w:left w:val="none" w:sz="0" w:space="0" w:color="auto"/>
        <w:bottom w:val="none" w:sz="0" w:space="0" w:color="auto"/>
        <w:right w:val="none" w:sz="0" w:space="0" w:color="auto"/>
      </w:divBdr>
    </w:div>
    <w:div w:id="2110345727">
      <w:bodyDiv w:val="1"/>
      <w:marLeft w:val="0"/>
      <w:marRight w:val="0"/>
      <w:marTop w:val="0"/>
      <w:marBottom w:val="0"/>
      <w:divBdr>
        <w:top w:val="none" w:sz="0" w:space="0" w:color="auto"/>
        <w:left w:val="none" w:sz="0" w:space="0" w:color="auto"/>
        <w:bottom w:val="none" w:sz="0" w:space="0" w:color="auto"/>
        <w:right w:val="none" w:sz="0" w:space="0" w:color="auto"/>
      </w:divBdr>
    </w:div>
    <w:div w:id="2110393226">
      <w:bodyDiv w:val="1"/>
      <w:marLeft w:val="0"/>
      <w:marRight w:val="0"/>
      <w:marTop w:val="0"/>
      <w:marBottom w:val="0"/>
      <w:divBdr>
        <w:top w:val="none" w:sz="0" w:space="0" w:color="auto"/>
        <w:left w:val="none" w:sz="0" w:space="0" w:color="auto"/>
        <w:bottom w:val="none" w:sz="0" w:space="0" w:color="auto"/>
        <w:right w:val="none" w:sz="0" w:space="0" w:color="auto"/>
      </w:divBdr>
    </w:div>
    <w:div w:id="2110469940">
      <w:bodyDiv w:val="1"/>
      <w:marLeft w:val="0"/>
      <w:marRight w:val="0"/>
      <w:marTop w:val="0"/>
      <w:marBottom w:val="0"/>
      <w:divBdr>
        <w:top w:val="none" w:sz="0" w:space="0" w:color="auto"/>
        <w:left w:val="none" w:sz="0" w:space="0" w:color="auto"/>
        <w:bottom w:val="none" w:sz="0" w:space="0" w:color="auto"/>
        <w:right w:val="none" w:sz="0" w:space="0" w:color="auto"/>
      </w:divBdr>
    </w:div>
    <w:div w:id="2110926473">
      <w:bodyDiv w:val="1"/>
      <w:marLeft w:val="0"/>
      <w:marRight w:val="0"/>
      <w:marTop w:val="0"/>
      <w:marBottom w:val="0"/>
      <w:divBdr>
        <w:top w:val="none" w:sz="0" w:space="0" w:color="auto"/>
        <w:left w:val="none" w:sz="0" w:space="0" w:color="auto"/>
        <w:bottom w:val="none" w:sz="0" w:space="0" w:color="auto"/>
        <w:right w:val="none" w:sz="0" w:space="0" w:color="auto"/>
      </w:divBdr>
    </w:div>
    <w:div w:id="2112117741">
      <w:bodyDiv w:val="1"/>
      <w:marLeft w:val="0"/>
      <w:marRight w:val="0"/>
      <w:marTop w:val="0"/>
      <w:marBottom w:val="0"/>
      <w:divBdr>
        <w:top w:val="none" w:sz="0" w:space="0" w:color="auto"/>
        <w:left w:val="none" w:sz="0" w:space="0" w:color="auto"/>
        <w:bottom w:val="none" w:sz="0" w:space="0" w:color="auto"/>
        <w:right w:val="none" w:sz="0" w:space="0" w:color="auto"/>
      </w:divBdr>
    </w:div>
    <w:div w:id="2112163601">
      <w:bodyDiv w:val="1"/>
      <w:marLeft w:val="0"/>
      <w:marRight w:val="0"/>
      <w:marTop w:val="0"/>
      <w:marBottom w:val="0"/>
      <w:divBdr>
        <w:top w:val="none" w:sz="0" w:space="0" w:color="auto"/>
        <w:left w:val="none" w:sz="0" w:space="0" w:color="auto"/>
        <w:bottom w:val="none" w:sz="0" w:space="0" w:color="auto"/>
        <w:right w:val="none" w:sz="0" w:space="0" w:color="auto"/>
      </w:divBdr>
    </w:div>
    <w:div w:id="2112889371">
      <w:bodyDiv w:val="1"/>
      <w:marLeft w:val="0"/>
      <w:marRight w:val="0"/>
      <w:marTop w:val="0"/>
      <w:marBottom w:val="0"/>
      <w:divBdr>
        <w:top w:val="none" w:sz="0" w:space="0" w:color="auto"/>
        <w:left w:val="none" w:sz="0" w:space="0" w:color="auto"/>
        <w:bottom w:val="none" w:sz="0" w:space="0" w:color="auto"/>
        <w:right w:val="none" w:sz="0" w:space="0" w:color="auto"/>
      </w:divBdr>
    </w:div>
    <w:div w:id="2112894956">
      <w:bodyDiv w:val="1"/>
      <w:marLeft w:val="0"/>
      <w:marRight w:val="0"/>
      <w:marTop w:val="0"/>
      <w:marBottom w:val="0"/>
      <w:divBdr>
        <w:top w:val="none" w:sz="0" w:space="0" w:color="auto"/>
        <w:left w:val="none" w:sz="0" w:space="0" w:color="auto"/>
        <w:bottom w:val="none" w:sz="0" w:space="0" w:color="auto"/>
        <w:right w:val="none" w:sz="0" w:space="0" w:color="auto"/>
      </w:divBdr>
    </w:div>
    <w:div w:id="2113627384">
      <w:bodyDiv w:val="1"/>
      <w:marLeft w:val="0"/>
      <w:marRight w:val="0"/>
      <w:marTop w:val="0"/>
      <w:marBottom w:val="0"/>
      <w:divBdr>
        <w:top w:val="none" w:sz="0" w:space="0" w:color="auto"/>
        <w:left w:val="none" w:sz="0" w:space="0" w:color="auto"/>
        <w:bottom w:val="none" w:sz="0" w:space="0" w:color="auto"/>
        <w:right w:val="none" w:sz="0" w:space="0" w:color="auto"/>
      </w:divBdr>
    </w:div>
    <w:div w:id="2113669490">
      <w:bodyDiv w:val="1"/>
      <w:marLeft w:val="0"/>
      <w:marRight w:val="0"/>
      <w:marTop w:val="0"/>
      <w:marBottom w:val="0"/>
      <w:divBdr>
        <w:top w:val="none" w:sz="0" w:space="0" w:color="auto"/>
        <w:left w:val="none" w:sz="0" w:space="0" w:color="auto"/>
        <w:bottom w:val="none" w:sz="0" w:space="0" w:color="auto"/>
        <w:right w:val="none" w:sz="0" w:space="0" w:color="auto"/>
      </w:divBdr>
    </w:div>
    <w:div w:id="2114130616">
      <w:bodyDiv w:val="1"/>
      <w:marLeft w:val="0"/>
      <w:marRight w:val="0"/>
      <w:marTop w:val="0"/>
      <w:marBottom w:val="0"/>
      <w:divBdr>
        <w:top w:val="none" w:sz="0" w:space="0" w:color="auto"/>
        <w:left w:val="none" w:sz="0" w:space="0" w:color="auto"/>
        <w:bottom w:val="none" w:sz="0" w:space="0" w:color="auto"/>
        <w:right w:val="none" w:sz="0" w:space="0" w:color="auto"/>
      </w:divBdr>
    </w:div>
    <w:div w:id="2114207914">
      <w:bodyDiv w:val="1"/>
      <w:marLeft w:val="0"/>
      <w:marRight w:val="0"/>
      <w:marTop w:val="0"/>
      <w:marBottom w:val="0"/>
      <w:divBdr>
        <w:top w:val="none" w:sz="0" w:space="0" w:color="auto"/>
        <w:left w:val="none" w:sz="0" w:space="0" w:color="auto"/>
        <w:bottom w:val="none" w:sz="0" w:space="0" w:color="auto"/>
        <w:right w:val="none" w:sz="0" w:space="0" w:color="auto"/>
      </w:divBdr>
    </w:div>
    <w:div w:id="2115199595">
      <w:bodyDiv w:val="1"/>
      <w:marLeft w:val="0"/>
      <w:marRight w:val="0"/>
      <w:marTop w:val="0"/>
      <w:marBottom w:val="0"/>
      <w:divBdr>
        <w:top w:val="none" w:sz="0" w:space="0" w:color="auto"/>
        <w:left w:val="none" w:sz="0" w:space="0" w:color="auto"/>
        <w:bottom w:val="none" w:sz="0" w:space="0" w:color="auto"/>
        <w:right w:val="none" w:sz="0" w:space="0" w:color="auto"/>
      </w:divBdr>
    </w:div>
    <w:div w:id="2115635905">
      <w:bodyDiv w:val="1"/>
      <w:marLeft w:val="0"/>
      <w:marRight w:val="0"/>
      <w:marTop w:val="0"/>
      <w:marBottom w:val="0"/>
      <w:divBdr>
        <w:top w:val="none" w:sz="0" w:space="0" w:color="auto"/>
        <w:left w:val="none" w:sz="0" w:space="0" w:color="auto"/>
        <w:bottom w:val="none" w:sz="0" w:space="0" w:color="auto"/>
        <w:right w:val="none" w:sz="0" w:space="0" w:color="auto"/>
      </w:divBdr>
    </w:div>
    <w:div w:id="2116240968">
      <w:bodyDiv w:val="1"/>
      <w:marLeft w:val="0"/>
      <w:marRight w:val="0"/>
      <w:marTop w:val="0"/>
      <w:marBottom w:val="0"/>
      <w:divBdr>
        <w:top w:val="none" w:sz="0" w:space="0" w:color="auto"/>
        <w:left w:val="none" w:sz="0" w:space="0" w:color="auto"/>
        <w:bottom w:val="none" w:sz="0" w:space="0" w:color="auto"/>
        <w:right w:val="none" w:sz="0" w:space="0" w:color="auto"/>
      </w:divBdr>
    </w:div>
    <w:div w:id="2116749523">
      <w:bodyDiv w:val="1"/>
      <w:marLeft w:val="0"/>
      <w:marRight w:val="0"/>
      <w:marTop w:val="0"/>
      <w:marBottom w:val="0"/>
      <w:divBdr>
        <w:top w:val="none" w:sz="0" w:space="0" w:color="auto"/>
        <w:left w:val="none" w:sz="0" w:space="0" w:color="auto"/>
        <w:bottom w:val="none" w:sz="0" w:space="0" w:color="auto"/>
        <w:right w:val="none" w:sz="0" w:space="0" w:color="auto"/>
      </w:divBdr>
    </w:div>
    <w:div w:id="2117022046">
      <w:bodyDiv w:val="1"/>
      <w:marLeft w:val="0"/>
      <w:marRight w:val="0"/>
      <w:marTop w:val="0"/>
      <w:marBottom w:val="0"/>
      <w:divBdr>
        <w:top w:val="none" w:sz="0" w:space="0" w:color="auto"/>
        <w:left w:val="none" w:sz="0" w:space="0" w:color="auto"/>
        <w:bottom w:val="none" w:sz="0" w:space="0" w:color="auto"/>
        <w:right w:val="none" w:sz="0" w:space="0" w:color="auto"/>
      </w:divBdr>
    </w:div>
    <w:div w:id="2118939356">
      <w:bodyDiv w:val="1"/>
      <w:marLeft w:val="0"/>
      <w:marRight w:val="0"/>
      <w:marTop w:val="0"/>
      <w:marBottom w:val="0"/>
      <w:divBdr>
        <w:top w:val="none" w:sz="0" w:space="0" w:color="auto"/>
        <w:left w:val="none" w:sz="0" w:space="0" w:color="auto"/>
        <w:bottom w:val="none" w:sz="0" w:space="0" w:color="auto"/>
        <w:right w:val="none" w:sz="0" w:space="0" w:color="auto"/>
      </w:divBdr>
    </w:div>
    <w:div w:id="2119597745">
      <w:bodyDiv w:val="1"/>
      <w:marLeft w:val="0"/>
      <w:marRight w:val="0"/>
      <w:marTop w:val="0"/>
      <w:marBottom w:val="0"/>
      <w:divBdr>
        <w:top w:val="none" w:sz="0" w:space="0" w:color="auto"/>
        <w:left w:val="none" w:sz="0" w:space="0" w:color="auto"/>
        <w:bottom w:val="none" w:sz="0" w:space="0" w:color="auto"/>
        <w:right w:val="none" w:sz="0" w:space="0" w:color="auto"/>
      </w:divBdr>
    </w:div>
    <w:div w:id="2120642379">
      <w:bodyDiv w:val="1"/>
      <w:marLeft w:val="0"/>
      <w:marRight w:val="0"/>
      <w:marTop w:val="0"/>
      <w:marBottom w:val="0"/>
      <w:divBdr>
        <w:top w:val="none" w:sz="0" w:space="0" w:color="auto"/>
        <w:left w:val="none" w:sz="0" w:space="0" w:color="auto"/>
        <w:bottom w:val="none" w:sz="0" w:space="0" w:color="auto"/>
        <w:right w:val="none" w:sz="0" w:space="0" w:color="auto"/>
      </w:divBdr>
    </w:div>
    <w:div w:id="2120758074">
      <w:bodyDiv w:val="1"/>
      <w:marLeft w:val="0"/>
      <w:marRight w:val="0"/>
      <w:marTop w:val="0"/>
      <w:marBottom w:val="0"/>
      <w:divBdr>
        <w:top w:val="none" w:sz="0" w:space="0" w:color="auto"/>
        <w:left w:val="none" w:sz="0" w:space="0" w:color="auto"/>
        <w:bottom w:val="none" w:sz="0" w:space="0" w:color="auto"/>
        <w:right w:val="none" w:sz="0" w:space="0" w:color="auto"/>
      </w:divBdr>
    </w:div>
    <w:div w:id="2121220998">
      <w:bodyDiv w:val="1"/>
      <w:marLeft w:val="0"/>
      <w:marRight w:val="0"/>
      <w:marTop w:val="0"/>
      <w:marBottom w:val="0"/>
      <w:divBdr>
        <w:top w:val="none" w:sz="0" w:space="0" w:color="auto"/>
        <w:left w:val="none" w:sz="0" w:space="0" w:color="auto"/>
        <w:bottom w:val="none" w:sz="0" w:space="0" w:color="auto"/>
        <w:right w:val="none" w:sz="0" w:space="0" w:color="auto"/>
      </w:divBdr>
    </w:div>
    <w:div w:id="2121560641">
      <w:bodyDiv w:val="1"/>
      <w:marLeft w:val="0"/>
      <w:marRight w:val="0"/>
      <w:marTop w:val="0"/>
      <w:marBottom w:val="0"/>
      <w:divBdr>
        <w:top w:val="none" w:sz="0" w:space="0" w:color="auto"/>
        <w:left w:val="none" w:sz="0" w:space="0" w:color="auto"/>
        <w:bottom w:val="none" w:sz="0" w:space="0" w:color="auto"/>
        <w:right w:val="none" w:sz="0" w:space="0" w:color="auto"/>
      </w:divBdr>
    </w:div>
    <w:div w:id="2122141037">
      <w:bodyDiv w:val="1"/>
      <w:marLeft w:val="0"/>
      <w:marRight w:val="0"/>
      <w:marTop w:val="0"/>
      <w:marBottom w:val="0"/>
      <w:divBdr>
        <w:top w:val="none" w:sz="0" w:space="0" w:color="auto"/>
        <w:left w:val="none" w:sz="0" w:space="0" w:color="auto"/>
        <w:bottom w:val="none" w:sz="0" w:space="0" w:color="auto"/>
        <w:right w:val="none" w:sz="0" w:space="0" w:color="auto"/>
      </w:divBdr>
    </w:div>
    <w:div w:id="2122530670">
      <w:bodyDiv w:val="1"/>
      <w:marLeft w:val="0"/>
      <w:marRight w:val="0"/>
      <w:marTop w:val="0"/>
      <w:marBottom w:val="0"/>
      <w:divBdr>
        <w:top w:val="none" w:sz="0" w:space="0" w:color="auto"/>
        <w:left w:val="none" w:sz="0" w:space="0" w:color="auto"/>
        <w:bottom w:val="none" w:sz="0" w:space="0" w:color="auto"/>
        <w:right w:val="none" w:sz="0" w:space="0" w:color="auto"/>
      </w:divBdr>
    </w:div>
    <w:div w:id="2123766362">
      <w:bodyDiv w:val="1"/>
      <w:marLeft w:val="0"/>
      <w:marRight w:val="0"/>
      <w:marTop w:val="0"/>
      <w:marBottom w:val="0"/>
      <w:divBdr>
        <w:top w:val="none" w:sz="0" w:space="0" w:color="auto"/>
        <w:left w:val="none" w:sz="0" w:space="0" w:color="auto"/>
        <w:bottom w:val="none" w:sz="0" w:space="0" w:color="auto"/>
        <w:right w:val="none" w:sz="0" w:space="0" w:color="auto"/>
      </w:divBdr>
    </w:div>
    <w:div w:id="2124953834">
      <w:bodyDiv w:val="1"/>
      <w:marLeft w:val="0"/>
      <w:marRight w:val="0"/>
      <w:marTop w:val="0"/>
      <w:marBottom w:val="0"/>
      <w:divBdr>
        <w:top w:val="none" w:sz="0" w:space="0" w:color="auto"/>
        <w:left w:val="none" w:sz="0" w:space="0" w:color="auto"/>
        <w:bottom w:val="none" w:sz="0" w:space="0" w:color="auto"/>
        <w:right w:val="none" w:sz="0" w:space="0" w:color="auto"/>
      </w:divBdr>
    </w:div>
    <w:div w:id="2125541361">
      <w:bodyDiv w:val="1"/>
      <w:marLeft w:val="0"/>
      <w:marRight w:val="0"/>
      <w:marTop w:val="0"/>
      <w:marBottom w:val="0"/>
      <w:divBdr>
        <w:top w:val="none" w:sz="0" w:space="0" w:color="auto"/>
        <w:left w:val="none" w:sz="0" w:space="0" w:color="auto"/>
        <w:bottom w:val="none" w:sz="0" w:space="0" w:color="auto"/>
        <w:right w:val="none" w:sz="0" w:space="0" w:color="auto"/>
      </w:divBdr>
    </w:div>
    <w:div w:id="2126462936">
      <w:bodyDiv w:val="1"/>
      <w:marLeft w:val="0"/>
      <w:marRight w:val="0"/>
      <w:marTop w:val="0"/>
      <w:marBottom w:val="0"/>
      <w:divBdr>
        <w:top w:val="none" w:sz="0" w:space="0" w:color="auto"/>
        <w:left w:val="none" w:sz="0" w:space="0" w:color="auto"/>
        <w:bottom w:val="none" w:sz="0" w:space="0" w:color="auto"/>
        <w:right w:val="none" w:sz="0" w:space="0" w:color="auto"/>
      </w:divBdr>
    </w:div>
    <w:div w:id="2126728887">
      <w:bodyDiv w:val="1"/>
      <w:marLeft w:val="0"/>
      <w:marRight w:val="0"/>
      <w:marTop w:val="0"/>
      <w:marBottom w:val="0"/>
      <w:divBdr>
        <w:top w:val="none" w:sz="0" w:space="0" w:color="auto"/>
        <w:left w:val="none" w:sz="0" w:space="0" w:color="auto"/>
        <w:bottom w:val="none" w:sz="0" w:space="0" w:color="auto"/>
        <w:right w:val="none" w:sz="0" w:space="0" w:color="auto"/>
      </w:divBdr>
    </w:div>
    <w:div w:id="2127069168">
      <w:bodyDiv w:val="1"/>
      <w:marLeft w:val="0"/>
      <w:marRight w:val="0"/>
      <w:marTop w:val="0"/>
      <w:marBottom w:val="0"/>
      <w:divBdr>
        <w:top w:val="none" w:sz="0" w:space="0" w:color="auto"/>
        <w:left w:val="none" w:sz="0" w:space="0" w:color="auto"/>
        <w:bottom w:val="none" w:sz="0" w:space="0" w:color="auto"/>
        <w:right w:val="none" w:sz="0" w:space="0" w:color="auto"/>
      </w:divBdr>
    </w:div>
    <w:div w:id="2127384722">
      <w:bodyDiv w:val="1"/>
      <w:marLeft w:val="0"/>
      <w:marRight w:val="0"/>
      <w:marTop w:val="0"/>
      <w:marBottom w:val="0"/>
      <w:divBdr>
        <w:top w:val="none" w:sz="0" w:space="0" w:color="auto"/>
        <w:left w:val="none" w:sz="0" w:space="0" w:color="auto"/>
        <w:bottom w:val="none" w:sz="0" w:space="0" w:color="auto"/>
        <w:right w:val="none" w:sz="0" w:space="0" w:color="auto"/>
      </w:divBdr>
    </w:div>
    <w:div w:id="2128229141">
      <w:bodyDiv w:val="1"/>
      <w:marLeft w:val="0"/>
      <w:marRight w:val="0"/>
      <w:marTop w:val="0"/>
      <w:marBottom w:val="0"/>
      <w:divBdr>
        <w:top w:val="none" w:sz="0" w:space="0" w:color="auto"/>
        <w:left w:val="none" w:sz="0" w:space="0" w:color="auto"/>
        <w:bottom w:val="none" w:sz="0" w:space="0" w:color="auto"/>
        <w:right w:val="none" w:sz="0" w:space="0" w:color="auto"/>
      </w:divBdr>
    </w:div>
    <w:div w:id="2128309670">
      <w:bodyDiv w:val="1"/>
      <w:marLeft w:val="0"/>
      <w:marRight w:val="0"/>
      <w:marTop w:val="0"/>
      <w:marBottom w:val="0"/>
      <w:divBdr>
        <w:top w:val="none" w:sz="0" w:space="0" w:color="auto"/>
        <w:left w:val="none" w:sz="0" w:space="0" w:color="auto"/>
        <w:bottom w:val="none" w:sz="0" w:space="0" w:color="auto"/>
        <w:right w:val="none" w:sz="0" w:space="0" w:color="auto"/>
      </w:divBdr>
    </w:div>
    <w:div w:id="2128499234">
      <w:bodyDiv w:val="1"/>
      <w:marLeft w:val="0"/>
      <w:marRight w:val="0"/>
      <w:marTop w:val="0"/>
      <w:marBottom w:val="0"/>
      <w:divBdr>
        <w:top w:val="none" w:sz="0" w:space="0" w:color="auto"/>
        <w:left w:val="none" w:sz="0" w:space="0" w:color="auto"/>
        <w:bottom w:val="none" w:sz="0" w:space="0" w:color="auto"/>
        <w:right w:val="none" w:sz="0" w:space="0" w:color="auto"/>
      </w:divBdr>
    </w:div>
    <w:div w:id="2130007879">
      <w:bodyDiv w:val="1"/>
      <w:marLeft w:val="0"/>
      <w:marRight w:val="0"/>
      <w:marTop w:val="0"/>
      <w:marBottom w:val="0"/>
      <w:divBdr>
        <w:top w:val="none" w:sz="0" w:space="0" w:color="auto"/>
        <w:left w:val="none" w:sz="0" w:space="0" w:color="auto"/>
        <w:bottom w:val="none" w:sz="0" w:space="0" w:color="auto"/>
        <w:right w:val="none" w:sz="0" w:space="0" w:color="auto"/>
      </w:divBdr>
    </w:div>
    <w:div w:id="2130394900">
      <w:bodyDiv w:val="1"/>
      <w:marLeft w:val="0"/>
      <w:marRight w:val="0"/>
      <w:marTop w:val="0"/>
      <w:marBottom w:val="0"/>
      <w:divBdr>
        <w:top w:val="none" w:sz="0" w:space="0" w:color="auto"/>
        <w:left w:val="none" w:sz="0" w:space="0" w:color="auto"/>
        <w:bottom w:val="none" w:sz="0" w:space="0" w:color="auto"/>
        <w:right w:val="none" w:sz="0" w:space="0" w:color="auto"/>
      </w:divBdr>
    </w:div>
    <w:div w:id="2130513939">
      <w:bodyDiv w:val="1"/>
      <w:marLeft w:val="0"/>
      <w:marRight w:val="0"/>
      <w:marTop w:val="0"/>
      <w:marBottom w:val="0"/>
      <w:divBdr>
        <w:top w:val="none" w:sz="0" w:space="0" w:color="auto"/>
        <w:left w:val="none" w:sz="0" w:space="0" w:color="auto"/>
        <w:bottom w:val="none" w:sz="0" w:space="0" w:color="auto"/>
        <w:right w:val="none" w:sz="0" w:space="0" w:color="auto"/>
      </w:divBdr>
    </w:div>
    <w:div w:id="2130585839">
      <w:bodyDiv w:val="1"/>
      <w:marLeft w:val="0"/>
      <w:marRight w:val="0"/>
      <w:marTop w:val="0"/>
      <w:marBottom w:val="0"/>
      <w:divBdr>
        <w:top w:val="none" w:sz="0" w:space="0" w:color="auto"/>
        <w:left w:val="none" w:sz="0" w:space="0" w:color="auto"/>
        <w:bottom w:val="none" w:sz="0" w:space="0" w:color="auto"/>
        <w:right w:val="none" w:sz="0" w:space="0" w:color="auto"/>
      </w:divBdr>
    </w:div>
    <w:div w:id="2131432550">
      <w:bodyDiv w:val="1"/>
      <w:marLeft w:val="0"/>
      <w:marRight w:val="0"/>
      <w:marTop w:val="0"/>
      <w:marBottom w:val="0"/>
      <w:divBdr>
        <w:top w:val="none" w:sz="0" w:space="0" w:color="auto"/>
        <w:left w:val="none" w:sz="0" w:space="0" w:color="auto"/>
        <w:bottom w:val="none" w:sz="0" w:space="0" w:color="auto"/>
        <w:right w:val="none" w:sz="0" w:space="0" w:color="auto"/>
      </w:divBdr>
    </w:div>
    <w:div w:id="2131629921">
      <w:bodyDiv w:val="1"/>
      <w:marLeft w:val="0"/>
      <w:marRight w:val="0"/>
      <w:marTop w:val="0"/>
      <w:marBottom w:val="0"/>
      <w:divBdr>
        <w:top w:val="none" w:sz="0" w:space="0" w:color="auto"/>
        <w:left w:val="none" w:sz="0" w:space="0" w:color="auto"/>
        <w:bottom w:val="none" w:sz="0" w:space="0" w:color="auto"/>
        <w:right w:val="none" w:sz="0" w:space="0" w:color="auto"/>
      </w:divBdr>
    </w:div>
    <w:div w:id="2131699314">
      <w:bodyDiv w:val="1"/>
      <w:marLeft w:val="0"/>
      <w:marRight w:val="0"/>
      <w:marTop w:val="0"/>
      <w:marBottom w:val="0"/>
      <w:divBdr>
        <w:top w:val="none" w:sz="0" w:space="0" w:color="auto"/>
        <w:left w:val="none" w:sz="0" w:space="0" w:color="auto"/>
        <w:bottom w:val="none" w:sz="0" w:space="0" w:color="auto"/>
        <w:right w:val="none" w:sz="0" w:space="0" w:color="auto"/>
      </w:divBdr>
    </w:div>
    <w:div w:id="2132043114">
      <w:bodyDiv w:val="1"/>
      <w:marLeft w:val="0"/>
      <w:marRight w:val="0"/>
      <w:marTop w:val="0"/>
      <w:marBottom w:val="0"/>
      <w:divBdr>
        <w:top w:val="none" w:sz="0" w:space="0" w:color="auto"/>
        <w:left w:val="none" w:sz="0" w:space="0" w:color="auto"/>
        <w:bottom w:val="none" w:sz="0" w:space="0" w:color="auto"/>
        <w:right w:val="none" w:sz="0" w:space="0" w:color="auto"/>
      </w:divBdr>
    </w:div>
    <w:div w:id="2132360717">
      <w:bodyDiv w:val="1"/>
      <w:marLeft w:val="0"/>
      <w:marRight w:val="0"/>
      <w:marTop w:val="0"/>
      <w:marBottom w:val="0"/>
      <w:divBdr>
        <w:top w:val="none" w:sz="0" w:space="0" w:color="auto"/>
        <w:left w:val="none" w:sz="0" w:space="0" w:color="auto"/>
        <w:bottom w:val="none" w:sz="0" w:space="0" w:color="auto"/>
        <w:right w:val="none" w:sz="0" w:space="0" w:color="auto"/>
      </w:divBdr>
    </w:div>
    <w:div w:id="2132703431">
      <w:bodyDiv w:val="1"/>
      <w:marLeft w:val="0"/>
      <w:marRight w:val="0"/>
      <w:marTop w:val="0"/>
      <w:marBottom w:val="0"/>
      <w:divBdr>
        <w:top w:val="none" w:sz="0" w:space="0" w:color="auto"/>
        <w:left w:val="none" w:sz="0" w:space="0" w:color="auto"/>
        <w:bottom w:val="none" w:sz="0" w:space="0" w:color="auto"/>
        <w:right w:val="none" w:sz="0" w:space="0" w:color="auto"/>
      </w:divBdr>
    </w:div>
    <w:div w:id="2133084786">
      <w:bodyDiv w:val="1"/>
      <w:marLeft w:val="0"/>
      <w:marRight w:val="0"/>
      <w:marTop w:val="0"/>
      <w:marBottom w:val="0"/>
      <w:divBdr>
        <w:top w:val="none" w:sz="0" w:space="0" w:color="auto"/>
        <w:left w:val="none" w:sz="0" w:space="0" w:color="auto"/>
        <w:bottom w:val="none" w:sz="0" w:space="0" w:color="auto"/>
        <w:right w:val="none" w:sz="0" w:space="0" w:color="auto"/>
      </w:divBdr>
    </w:div>
    <w:div w:id="2133085119">
      <w:bodyDiv w:val="1"/>
      <w:marLeft w:val="0"/>
      <w:marRight w:val="0"/>
      <w:marTop w:val="0"/>
      <w:marBottom w:val="0"/>
      <w:divBdr>
        <w:top w:val="none" w:sz="0" w:space="0" w:color="auto"/>
        <w:left w:val="none" w:sz="0" w:space="0" w:color="auto"/>
        <w:bottom w:val="none" w:sz="0" w:space="0" w:color="auto"/>
        <w:right w:val="none" w:sz="0" w:space="0" w:color="auto"/>
      </w:divBdr>
    </w:div>
    <w:div w:id="2133401154">
      <w:bodyDiv w:val="1"/>
      <w:marLeft w:val="0"/>
      <w:marRight w:val="0"/>
      <w:marTop w:val="0"/>
      <w:marBottom w:val="0"/>
      <w:divBdr>
        <w:top w:val="none" w:sz="0" w:space="0" w:color="auto"/>
        <w:left w:val="none" w:sz="0" w:space="0" w:color="auto"/>
        <w:bottom w:val="none" w:sz="0" w:space="0" w:color="auto"/>
        <w:right w:val="none" w:sz="0" w:space="0" w:color="auto"/>
      </w:divBdr>
    </w:div>
    <w:div w:id="2133548608">
      <w:bodyDiv w:val="1"/>
      <w:marLeft w:val="0"/>
      <w:marRight w:val="0"/>
      <w:marTop w:val="0"/>
      <w:marBottom w:val="0"/>
      <w:divBdr>
        <w:top w:val="none" w:sz="0" w:space="0" w:color="auto"/>
        <w:left w:val="none" w:sz="0" w:space="0" w:color="auto"/>
        <w:bottom w:val="none" w:sz="0" w:space="0" w:color="auto"/>
        <w:right w:val="none" w:sz="0" w:space="0" w:color="auto"/>
      </w:divBdr>
    </w:div>
    <w:div w:id="2133983889">
      <w:bodyDiv w:val="1"/>
      <w:marLeft w:val="0"/>
      <w:marRight w:val="0"/>
      <w:marTop w:val="0"/>
      <w:marBottom w:val="0"/>
      <w:divBdr>
        <w:top w:val="none" w:sz="0" w:space="0" w:color="auto"/>
        <w:left w:val="none" w:sz="0" w:space="0" w:color="auto"/>
        <w:bottom w:val="none" w:sz="0" w:space="0" w:color="auto"/>
        <w:right w:val="none" w:sz="0" w:space="0" w:color="auto"/>
      </w:divBdr>
    </w:div>
    <w:div w:id="2134589327">
      <w:bodyDiv w:val="1"/>
      <w:marLeft w:val="0"/>
      <w:marRight w:val="0"/>
      <w:marTop w:val="0"/>
      <w:marBottom w:val="0"/>
      <w:divBdr>
        <w:top w:val="none" w:sz="0" w:space="0" w:color="auto"/>
        <w:left w:val="none" w:sz="0" w:space="0" w:color="auto"/>
        <w:bottom w:val="none" w:sz="0" w:space="0" w:color="auto"/>
        <w:right w:val="none" w:sz="0" w:space="0" w:color="auto"/>
      </w:divBdr>
    </w:div>
    <w:div w:id="2134590901">
      <w:bodyDiv w:val="1"/>
      <w:marLeft w:val="0"/>
      <w:marRight w:val="0"/>
      <w:marTop w:val="0"/>
      <w:marBottom w:val="0"/>
      <w:divBdr>
        <w:top w:val="none" w:sz="0" w:space="0" w:color="auto"/>
        <w:left w:val="none" w:sz="0" w:space="0" w:color="auto"/>
        <w:bottom w:val="none" w:sz="0" w:space="0" w:color="auto"/>
        <w:right w:val="none" w:sz="0" w:space="0" w:color="auto"/>
      </w:divBdr>
    </w:div>
    <w:div w:id="2135130069">
      <w:bodyDiv w:val="1"/>
      <w:marLeft w:val="0"/>
      <w:marRight w:val="0"/>
      <w:marTop w:val="0"/>
      <w:marBottom w:val="0"/>
      <w:divBdr>
        <w:top w:val="none" w:sz="0" w:space="0" w:color="auto"/>
        <w:left w:val="none" w:sz="0" w:space="0" w:color="auto"/>
        <w:bottom w:val="none" w:sz="0" w:space="0" w:color="auto"/>
        <w:right w:val="none" w:sz="0" w:space="0" w:color="auto"/>
      </w:divBdr>
    </w:div>
    <w:div w:id="2135170915">
      <w:bodyDiv w:val="1"/>
      <w:marLeft w:val="0"/>
      <w:marRight w:val="0"/>
      <w:marTop w:val="0"/>
      <w:marBottom w:val="0"/>
      <w:divBdr>
        <w:top w:val="none" w:sz="0" w:space="0" w:color="auto"/>
        <w:left w:val="none" w:sz="0" w:space="0" w:color="auto"/>
        <w:bottom w:val="none" w:sz="0" w:space="0" w:color="auto"/>
        <w:right w:val="none" w:sz="0" w:space="0" w:color="auto"/>
      </w:divBdr>
    </w:div>
    <w:div w:id="2135783727">
      <w:bodyDiv w:val="1"/>
      <w:marLeft w:val="0"/>
      <w:marRight w:val="0"/>
      <w:marTop w:val="0"/>
      <w:marBottom w:val="0"/>
      <w:divBdr>
        <w:top w:val="none" w:sz="0" w:space="0" w:color="auto"/>
        <w:left w:val="none" w:sz="0" w:space="0" w:color="auto"/>
        <w:bottom w:val="none" w:sz="0" w:space="0" w:color="auto"/>
        <w:right w:val="none" w:sz="0" w:space="0" w:color="auto"/>
      </w:divBdr>
    </w:div>
    <w:div w:id="2135902943">
      <w:bodyDiv w:val="1"/>
      <w:marLeft w:val="0"/>
      <w:marRight w:val="0"/>
      <w:marTop w:val="0"/>
      <w:marBottom w:val="0"/>
      <w:divBdr>
        <w:top w:val="none" w:sz="0" w:space="0" w:color="auto"/>
        <w:left w:val="none" w:sz="0" w:space="0" w:color="auto"/>
        <w:bottom w:val="none" w:sz="0" w:space="0" w:color="auto"/>
        <w:right w:val="none" w:sz="0" w:space="0" w:color="auto"/>
      </w:divBdr>
    </w:div>
    <w:div w:id="2136017366">
      <w:bodyDiv w:val="1"/>
      <w:marLeft w:val="0"/>
      <w:marRight w:val="0"/>
      <w:marTop w:val="0"/>
      <w:marBottom w:val="0"/>
      <w:divBdr>
        <w:top w:val="none" w:sz="0" w:space="0" w:color="auto"/>
        <w:left w:val="none" w:sz="0" w:space="0" w:color="auto"/>
        <w:bottom w:val="none" w:sz="0" w:space="0" w:color="auto"/>
        <w:right w:val="none" w:sz="0" w:space="0" w:color="auto"/>
      </w:divBdr>
    </w:div>
    <w:div w:id="2136633643">
      <w:bodyDiv w:val="1"/>
      <w:marLeft w:val="0"/>
      <w:marRight w:val="0"/>
      <w:marTop w:val="0"/>
      <w:marBottom w:val="0"/>
      <w:divBdr>
        <w:top w:val="none" w:sz="0" w:space="0" w:color="auto"/>
        <w:left w:val="none" w:sz="0" w:space="0" w:color="auto"/>
        <w:bottom w:val="none" w:sz="0" w:space="0" w:color="auto"/>
        <w:right w:val="none" w:sz="0" w:space="0" w:color="auto"/>
      </w:divBdr>
    </w:div>
    <w:div w:id="2136824473">
      <w:bodyDiv w:val="1"/>
      <w:marLeft w:val="0"/>
      <w:marRight w:val="0"/>
      <w:marTop w:val="0"/>
      <w:marBottom w:val="0"/>
      <w:divBdr>
        <w:top w:val="none" w:sz="0" w:space="0" w:color="auto"/>
        <w:left w:val="none" w:sz="0" w:space="0" w:color="auto"/>
        <w:bottom w:val="none" w:sz="0" w:space="0" w:color="auto"/>
        <w:right w:val="none" w:sz="0" w:space="0" w:color="auto"/>
      </w:divBdr>
    </w:div>
    <w:div w:id="2137067717">
      <w:bodyDiv w:val="1"/>
      <w:marLeft w:val="0"/>
      <w:marRight w:val="0"/>
      <w:marTop w:val="0"/>
      <w:marBottom w:val="0"/>
      <w:divBdr>
        <w:top w:val="none" w:sz="0" w:space="0" w:color="auto"/>
        <w:left w:val="none" w:sz="0" w:space="0" w:color="auto"/>
        <w:bottom w:val="none" w:sz="0" w:space="0" w:color="auto"/>
        <w:right w:val="none" w:sz="0" w:space="0" w:color="auto"/>
      </w:divBdr>
    </w:div>
    <w:div w:id="2137946118">
      <w:bodyDiv w:val="1"/>
      <w:marLeft w:val="0"/>
      <w:marRight w:val="0"/>
      <w:marTop w:val="0"/>
      <w:marBottom w:val="0"/>
      <w:divBdr>
        <w:top w:val="none" w:sz="0" w:space="0" w:color="auto"/>
        <w:left w:val="none" w:sz="0" w:space="0" w:color="auto"/>
        <w:bottom w:val="none" w:sz="0" w:space="0" w:color="auto"/>
        <w:right w:val="none" w:sz="0" w:space="0" w:color="auto"/>
      </w:divBdr>
    </w:div>
    <w:div w:id="2138179829">
      <w:bodyDiv w:val="1"/>
      <w:marLeft w:val="0"/>
      <w:marRight w:val="0"/>
      <w:marTop w:val="0"/>
      <w:marBottom w:val="0"/>
      <w:divBdr>
        <w:top w:val="none" w:sz="0" w:space="0" w:color="auto"/>
        <w:left w:val="none" w:sz="0" w:space="0" w:color="auto"/>
        <w:bottom w:val="none" w:sz="0" w:space="0" w:color="auto"/>
        <w:right w:val="none" w:sz="0" w:space="0" w:color="auto"/>
      </w:divBdr>
    </w:div>
    <w:div w:id="2138209543">
      <w:bodyDiv w:val="1"/>
      <w:marLeft w:val="0"/>
      <w:marRight w:val="0"/>
      <w:marTop w:val="0"/>
      <w:marBottom w:val="0"/>
      <w:divBdr>
        <w:top w:val="none" w:sz="0" w:space="0" w:color="auto"/>
        <w:left w:val="none" w:sz="0" w:space="0" w:color="auto"/>
        <w:bottom w:val="none" w:sz="0" w:space="0" w:color="auto"/>
        <w:right w:val="none" w:sz="0" w:space="0" w:color="auto"/>
      </w:divBdr>
    </w:div>
    <w:div w:id="2138521331">
      <w:bodyDiv w:val="1"/>
      <w:marLeft w:val="0"/>
      <w:marRight w:val="0"/>
      <w:marTop w:val="0"/>
      <w:marBottom w:val="0"/>
      <w:divBdr>
        <w:top w:val="none" w:sz="0" w:space="0" w:color="auto"/>
        <w:left w:val="none" w:sz="0" w:space="0" w:color="auto"/>
        <w:bottom w:val="none" w:sz="0" w:space="0" w:color="auto"/>
        <w:right w:val="none" w:sz="0" w:space="0" w:color="auto"/>
      </w:divBdr>
    </w:div>
    <w:div w:id="2138713352">
      <w:bodyDiv w:val="1"/>
      <w:marLeft w:val="0"/>
      <w:marRight w:val="0"/>
      <w:marTop w:val="0"/>
      <w:marBottom w:val="0"/>
      <w:divBdr>
        <w:top w:val="none" w:sz="0" w:space="0" w:color="auto"/>
        <w:left w:val="none" w:sz="0" w:space="0" w:color="auto"/>
        <w:bottom w:val="none" w:sz="0" w:space="0" w:color="auto"/>
        <w:right w:val="none" w:sz="0" w:space="0" w:color="auto"/>
      </w:divBdr>
    </w:div>
    <w:div w:id="2138793404">
      <w:bodyDiv w:val="1"/>
      <w:marLeft w:val="0"/>
      <w:marRight w:val="0"/>
      <w:marTop w:val="0"/>
      <w:marBottom w:val="0"/>
      <w:divBdr>
        <w:top w:val="none" w:sz="0" w:space="0" w:color="auto"/>
        <w:left w:val="none" w:sz="0" w:space="0" w:color="auto"/>
        <w:bottom w:val="none" w:sz="0" w:space="0" w:color="auto"/>
        <w:right w:val="none" w:sz="0" w:space="0" w:color="auto"/>
      </w:divBdr>
    </w:div>
    <w:div w:id="2139059322">
      <w:bodyDiv w:val="1"/>
      <w:marLeft w:val="0"/>
      <w:marRight w:val="0"/>
      <w:marTop w:val="0"/>
      <w:marBottom w:val="0"/>
      <w:divBdr>
        <w:top w:val="none" w:sz="0" w:space="0" w:color="auto"/>
        <w:left w:val="none" w:sz="0" w:space="0" w:color="auto"/>
        <w:bottom w:val="none" w:sz="0" w:space="0" w:color="auto"/>
        <w:right w:val="none" w:sz="0" w:space="0" w:color="auto"/>
      </w:divBdr>
    </w:div>
    <w:div w:id="2139293670">
      <w:bodyDiv w:val="1"/>
      <w:marLeft w:val="0"/>
      <w:marRight w:val="0"/>
      <w:marTop w:val="0"/>
      <w:marBottom w:val="0"/>
      <w:divBdr>
        <w:top w:val="none" w:sz="0" w:space="0" w:color="auto"/>
        <w:left w:val="none" w:sz="0" w:space="0" w:color="auto"/>
        <w:bottom w:val="none" w:sz="0" w:space="0" w:color="auto"/>
        <w:right w:val="none" w:sz="0" w:space="0" w:color="auto"/>
      </w:divBdr>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 w:id="2139642494">
      <w:bodyDiv w:val="1"/>
      <w:marLeft w:val="0"/>
      <w:marRight w:val="0"/>
      <w:marTop w:val="0"/>
      <w:marBottom w:val="0"/>
      <w:divBdr>
        <w:top w:val="none" w:sz="0" w:space="0" w:color="auto"/>
        <w:left w:val="none" w:sz="0" w:space="0" w:color="auto"/>
        <w:bottom w:val="none" w:sz="0" w:space="0" w:color="auto"/>
        <w:right w:val="none" w:sz="0" w:space="0" w:color="auto"/>
      </w:divBdr>
    </w:div>
    <w:div w:id="2140176299">
      <w:bodyDiv w:val="1"/>
      <w:marLeft w:val="0"/>
      <w:marRight w:val="0"/>
      <w:marTop w:val="0"/>
      <w:marBottom w:val="0"/>
      <w:divBdr>
        <w:top w:val="none" w:sz="0" w:space="0" w:color="auto"/>
        <w:left w:val="none" w:sz="0" w:space="0" w:color="auto"/>
        <w:bottom w:val="none" w:sz="0" w:space="0" w:color="auto"/>
        <w:right w:val="none" w:sz="0" w:space="0" w:color="auto"/>
      </w:divBdr>
    </w:div>
    <w:div w:id="2140224738">
      <w:bodyDiv w:val="1"/>
      <w:marLeft w:val="0"/>
      <w:marRight w:val="0"/>
      <w:marTop w:val="0"/>
      <w:marBottom w:val="0"/>
      <w:divBdr>
        <w:top w:val="none" w:sz="0" w:space="0" w:color="auto"/>
        <w:left w:val="none" w:sz="0" w:space="0" w:color="auto"/>
        <w:bottom w:val="none" w:sz="0" w:space="0" w:color="auto"/>
        <w:right w:val="none" w:sz="0" w:space="0" w:color="auto"/>
      </w:divBdr>
    </w:div>
    <w:div w:id="2140954791">
      <w:bodyDiv w:val="1"/>
      <w:marLeft w:val="0"/>
      <w:marRight w:val="0"/>
      <w:marTop w:val="0"/>
      <w:marBottom w:val="0"/>
      <w:divBdr>
        <w:top w:val="none" w:sz="0" w:space="0" w:color="auto"/>
        <w:left w:val="none" w:sz="0" w:space="0" w:color="auto"/>
        <w:bottom w:val="none" w:sz="0" w:space="0" w:color="auto"/>
        <w:right w:val="none" w:sz="0" w:space="0" w:color="auto"/>
      </w:divBdr>
    </w:div>
    <w:div w:id="2141023775">
      <w:bodyDiv w:val="1"/>
      <w:marLeft w:val="0"/>
      <w:marRight w:val="0"/>
      <w:marTop w:val="0"/>
      <w:marBottom w:val="0"/>
      <w:divBdr>
        <w:top w:val="none" w:sz="0" w:space="0" w:color="auto"/>
        <w:left w:val="none" w:sz="0" w:space="0" w:color="auto"/>
        <w:bottom w:val="none" w:sz="0" w:space="0" w:color="auto"/>
        <w:right w:val="none" w:sz="0" w:space="0" w:color="auto"/>
      </w:divBdr>
    </w:div>
    <w:div w:id="2141071157">
      <w:bodyDiv w:val="1"/>
      <w:marLeft w:val="0"/>
      <w:marRight w:val="0"/>
      <w:marTop w:val="0"/>
      <w:marBottom w:val="0"/>
      <w:divBdr>
        <w:top w:val="none" w:sz="0" w:space="0" w:color="auto"/>
        <w:left w:val="none" w:sz="0" w:space="0" w:color="auto"/>
        <w:bottom w:val="none" w:sz="0" w:space="0" w:color="auto"/>
        <w:right w:val="none" w:sz="0" w:space="0" w:color="auto"/>
      </w:divBdr>
    </w:div>
    <w:div w:id="2141528359">
      <w:bodyDiv w:val="1"/>
      <w:marLeft w:val="0"/>
      <w:marRight w:val="0"/>
      <w:marTop w:val="0"/>
      <w:marBottom w:val="0"/>
      <w:divBdr>
        <w:top w:val="none" w:sz="0" w:space="0" w:color="auto"/>
        <w:left w:val="none" w:sz="0" w:space="0" w:color="auto"/>
        <w:bottom w:val="none" w:sz="0" w:space="0" w:color="auto"/>
        <w:right w:val="none" w:sz="0" w:space="0" w:color="auto"/>
      </w:divBdr>
    </w:div>
    <w:div w:id="2142068763">
      <w:bodyDiv w:val="1"/>
      <w:marLeft w:val="0"/>
      <w:marRight w:val="0"/>
      <w:marTop w:val="0"/>
      <w:marBottom w:val="0"/>
      <w:divBdr>
        <w:top w:val="none" w:sz="0" w:space="0" w:color="auto"/>
        <w:left w:val="none" w:sz="0" w:space="0" w:color="auto"/>
        <w:bottom w:val="none" w:sz="0" w:space="0" w:color="auto"/>
        <w:right w:val="none" w:sz="0" w:space="0" w:color="auto"/>
      </w:divBdr>
    </w:div>
    <w:div w:id="2142262416">
      <w:bodyDiv w:val="1"/>
      <w:marLeft w:val="0"/>
      <w:marRight w:val="0"/>
      <w:marTop w:val="0"/>
      <w:marBottom w:val="0"/>
      <w:divBdr>
        <w:top w:val="none" w:sz="0" w:space="0" w:color="auto"/>
        <w:left w:val="none" w:sz="0" w:space="0" w:color="auto"/>
        <w:bottom w:val="none" w:sz="0" w:space="0" w:color="auto"/>
        <w:right w:val="none" w:sz="0" w:space="0" w:color="auto"/>
      </w:divBdr>
    </w:div>
    <w:div w:id="2142652649">
      <w:bodyDiv w:val="1"/>
      <w:marLeft w:val="0"/>
      <w:marRight w:val="0"/>
      <w:marTop w:val="0"/>
      <w:marBottom w:val="0"/>
      <w:divBdr>
        <w:top w:val="none" w:sz="0" w:space="0" w:color="auto"/>
        <w:left w:val="none" w:sz="0" w:space="0" w:color="auto"/>
        <w:bottom w:val="none" w:sz="0" w:space="0" w:color="auto"/>
        <w:right w:val="none" w:sz="0" w:space="0" w:color="auto"/>
      </w:divBdr>
    </w:div>
    <w:div w:id="2142770740">
      <w:bodyDiv w:val="1"/>
      <w:marLeft w:val="0"/>
      <w:marRight w:val="0"/>
      <w:marTop w:val="0"/>
      <w:marBottom w:val="0"/>
      <w:divBdr>
        <w:top w:val="none" w:sz="0" w:space="0" w:color="auto"/>
        <w:left w:val="none" w:sz="0" w:space="0" w:color="auto"/>
        <w:bottom w:val="none" w:sz="0" w:space="0" w:color="auto"/>
        <w:right w:val="none" w:sz="0" w:space="0" w:color="auto"/>
      </w:divBdr>
    </w:div>
    <w:div w:id="2143182927">
      <w:bodyDiv w:val="1"/>
      <w:marLeft w:val="0"/>
      <w:marRight w:val="0"/>
      <w:marTop w:val="0"/>
      <w:marBottom w:val="0"/>
      <w:divBdr>
        <w:top w:val="none" w:sz="0" w:space="0" w:color="auto"/>
        <w:left w:val="none" w:sz="0" w:space="0" w:color="auto"/>
        <w:bottom w:val="none" w:sz="0" w:space="0" w:color="auto"/>
        <w:right w:val="none" w:sz="0" w:space="0" w:color="auto"/>
      </w:divBdr>
    </w:div>
    <w:div w:id="2143232946">
      <w:bodyDiv w:val="1"/>
      <w:marLeft w:val="0"/>
      <w:marRight w:val="0"/>
      <w:marTop w:val="0"/>
      <w:marBottom w:val="0"/>
      <w:divBdr>
        <w:top w:val="none" w:sz="0" w:space="0" w:color="auto"/>
        <w:left w:val="none" w:sz="0" w:space="0" w:color="auto"/>
        <w:bottom w:val="none" w:sz="0" w:space="0" w:color="auto"/>
        <w:right w:val="none" w:sz="0" w:space="0" w:color="auto"/>
      </w:divBdr>
    </w:div>
    <w:div w:id="2143427115">
      <w:bodyDiv w:val="1"/>
      <w:marLeft w:val="0"/>
      <w:marRight w:val="0"/>
      <w:marTop w:val="0"/>
      <w:marBottom w:val="0"/>
      <w:divBdr>
        <w:top w:val="none" w:sz="0" w:space="0" w:color="auto"/>
        <w:left w:val="none" w:sz="0" w:space="0" w:color="auto"/>
        <w:bottom w:val="none" w:sz="0" w:space="0" w:color="auto"/>
        <w:right w:val="none" w:sz="0" w:space="0" w:color="auto"/>
      </w:divBdr>
    </w:div>
    <w:div w:id="2143451411">
      <w:bodyDiv w:val="1"/>
      <w:marLeft w:val="0"/>
      <w:marRight w:val="0"/>
      <w:marTop w:val="0"/>
      <w:marBottom w:val="0"/>
      <w:divBdr>
        <w:top w:val="none" w:sz="0" w:space="0" w:color="auto"/>
        <w:left w:val="none" w:sz="0" w:space="0" w:color="auto"/>
        <w:bottom w:val="none" w:sz="0" w:space="0" w:color="auto"/>
        <w:right w:val="none" w:sz="0" w:space="0" w:color="auto"/>
      </w:divBdr>
    </w:div>
    <w:div w:id="2143570047">
      <w:bodyDiv w:val="1"/>
      <w:marLeft w:val="0"/>
      <w:marRight w:val="0"/>
      <w:marTop w:val="0"/>
      <w:marBottom w:val="0"/>
      <w:divBdr>
        <w:top w:val="none" w:sz="0" w:space="0" w:color="auto"/>
        <w:left w:val="none" w:sz="0" w:space="0" w:color="auto"/>
        <w:bottom w:val="none" w:sz="0" w:space="0" w:color="auto"/>
        <w:right w:val="none" w:sz="0" w:space="0" w:color="auto"/>
      </w:divBdr>
    </w:div>
    <w:div w:id="2143645035">
      <w:bodyDiv w:val="1"/>
      <w:marLeft w:val="0"/>
      <w:marRight w:val="0"/>
      <w:marTop w:val="0"/>
      <w:marBottom w:val="0"/>
      <w:divBdr>
        <w:top w:val="none" w:sz="0" w:space="0" w:color="auto"/>
        <w:left w:val="none" w:sz="0" w:space="0" w:color="auto"/>
        <w:bottom w:val="none" w:sz="0" w:space="0" w:color="auto"/>
        <w:right w:val="none" w:sz="0" w:space="0" w:color="auto"/>
      </w:divBdr>
    </w:div>
    <w:div w:id="2143846184">
      <w:bodyDiv w:val="1"/>
      <w:marLeft w:val="0"/>
      <w:marRight w:val="0"/>
      <w:marTop w:val="0"/>
      <w:marBottom w:val="0"/>
      <w:divBdr>
        <w:top w:val="none" w:sz="0" w:space="0" w:color="auto"/>
        <w:left w:val="none" w:sz="0" w:space="0" w:color="auto"/>
        <w:bottom w:val="none" w:sz="0" w:space="0" w:color="auto"/>
        <w:right w:val="none" w:sz="0" w:space="0" w:color="auto"/>
      </w:divBdr>
    </w:div>
    <w:div w:id="2144610850">
      <w:bodyDiv w:val="1"/>
      <w:marLeft w:val="0"/>
      <w:marRight w:val="0"/>
      <w:marTop w:val="0"/>
      <w:marBottom w:val="0"/>
      <w:divBdr>
        <w:top w:val="none" w:sz="0" w:space="0" w:color="auto"/>
        <w:left w:val="none" w:sz="0" w:space="0" w:color="auto"/>
        <w:bottom w:val="none" w:sz="0" w:space="0" w:color="auto"/>
        <w:right w:val="none" w:sz="0" w:space="0" w:color="auto"/>
      </w:divBdr>
    </w:div>
    <w:div w:id="2144737211">
      <w:bodyDiv w:val="1"/>
      <w:marLeft w:val="0"/>
      <w:marRight w:val="0"/>
      <w:marTop w:val="0"/>
      <w:marBottom w:val="0"/>
      <w:divBdr>
        <w:top w:val="none" w:sz="0" w:space="0" w:color="auto"/>
        <w:left w:val="none" w:sz="0" w:space="0" w:color="auto"/>
        <w:bottom w:val="none" w:sz="0" w:space="0" w:color="auto"/>
        <w:right w:val="none" w:sz="0" w:space="0" w:color="auto"/>
      </w:divBdr>
    </w:div>
    <w:div w:id="2144810936">
      <w:bodyDiv w:val="1"/>
      <w:marLeft w:val="0"/>
      <w:marRight w:val="0"/>
      <w:marTop w:val="0"/>
      <w:marBottom w:val="0"/>
      <w:divBdr>
        <w:top w:val="none" w:sz="0" w:space="0" w:color="auto"/>
        <w:left w:val="none" w:sz="0" w:space="0" w:color="auto"/>
        <w:bottom w:val="none" w:sz="0" w:space="0" w:color="auto"/>
        <w:right w:val="none" w:sz="0" w:space="0" w:color="auto"/>
      </w:divBdr>
    </w:div>
    <w:div w:id="2144931278">
      <w:bodyDiv w:val="1"/>
      <w:marLeft w:val="0"/>
      <w:marRight w:val="0"/>
      <w:marTop w:val="0"/>
      <w:marBottom w:val="0"/>
      <w:divBdr>
        <w:top w:val="none" w:sz="0" w:space="0" w:color="auto"/>
        <w:left w:val="none" w:sz="0" w:space="0" w:color="auto"/>
        <w:bottom w:val="none" w:sz="0" w:space="0" w:color="auto"/>
        <w:right w:val="none" w:sz="0" w:space="0" w:color="auto"/>
      </w:divBdr>
    </w:div>
    <w:div w:id="2145538151">
      <w:bodyDiv w:val="1"/>
      <w:marLeft w:val="0"/>
      <w:marRight w:val="0"/>
      <w:marTop w:val="0"/>
      <w:marBottom w:val="0"/>
      <w:divBdr>
        <w:top w:val="none" w:sz="0" w:space="0" w:color="auto"/>
        <w:left w:val="none" w:sz="0" w:space="0" w:color="auto"/>
        <w:bottom w:val="none" w:sz="0" w:space="0" w:color="auto"/>
        <w:right w:val="none" w:sz="0" w:space="0" w:color="auto"/>
      </w:divBdr>
    </w:div>
    <w:div w:id="2145804237">
      <w:bodyDiv w:val="1"/>
      <w:marLeft w:val="0"/>
      <w:marRight w:val="0"/>
      <w:marTop w:val="0"/>
      <w:marBottom w:val="0"/>
      <w:divBdr>
        <w:top w:val="none" w:sz="0" w:space="0" w:color="auto"/>
        <w:left w:val="none" w:sz="0" w:space="0" w:color="auto"/>
        <w:bottom w:val="none" w:sz="0" w:space="0" w:color="auto"/>
        <w:right w:val="none" w:sz="0" w:space="0" w:color="auto"/>
      </w:divBdr>
    </w:div>
    <w:div w:id="2145848223">
      <w:bodyDiv w:val="1"/>
      <w:marLeft w:val="0"/>
      <w:marRight w:val="0"/>
      <w:marTop w:val="0"/>
      <w:marBottom w:val="0"/>
      <w:divBdr>
        <w:top w:val="none" w:sz="0" w:space="0" w:color="auto"/>
        <w:left w:val="none" w:sz="0" w:space="0" w:color="auto"/>
        <w:bottom w:val="none" w:sz="0" w:space="0" w:color="auto"/>
        <w:right w:val="none" w:sz="0" w:space="0" w:color="auto"/>
      </w:divBdr>
    </w:div>
    <w:div w:id="2146192727">
      <w:bodyDiv w:val="1"/>
      <w:marLeft w:val="0"/>
      <w:marRight w:val="0"/>
      <w:marTop w:val="0"/>
      <w:marBottom w:val="0"/>
      <w:divBdr>
        <w:top w:val="none" w:sz="0" w:space="0" w:color="auto"/>
        <w:left w:val="none" w:sz="0" w:space="0" w:color="auto"/>
        <w:bottom w:val="none" w:sz="0" w:space="0" w:color="auto"/>
        <w:right w:val="none" w:sz="0" w:space="0" w:color="auto"/>
      </w:divBdr>
    </w:div>
    <w:div w:id="2146504224">
      <w:bodyDiv w:val="1"/>
      <w:marLeft w:val="0"/>
      <w:marRight w:val="0"/>
      <w:marTop w:val="0"/>
      <w:marBottom w:val="0"/>
      <w:divBdr>
        <w:top w:val="none" w:sz="0" w:space="0" w:color="auto"/>
        <w:left w:val="none" w:sz="0" w:space="0" w:color="auto"/>
        <w:bottom w:val="none" w:sz="0" w:space="0" w:color="auto"/>
        <w:right w:val="none" w:sz="0" w:space="0" w:color="auto"/>
      </w:divBdr>
    </w:div>
    <w:div w:id="2146698916">
      <w:bodyDiv w:val="1"/>
      <w:marLeft w:val="0"/>
      <w:marRight w:val="0"/>
      <w:marTop w:val="0"/>
      <w:marBottom w:val="0"/>
      <w:divBdr>
        <w:top w:val="none" w:sz="0" w:space="0" w:color="auto"/>
        <w:left w:val="none" w:sz="0" w:space="0" w:color="auto"/>
        <w:bottom w:val="none" w:sz="0" w:space="0" w:color="auto"/>
        <w:right w:val="none" w:sz="0" w:space="0" w:color="auto"/>
      </w:divBdr>
    </w:div>
    <w:div w:id="2146894174">
      <w:bodyDiv w:val="1"/>
      <w:marLeft w:val="0"/>
      <w:marRight w:val="0"/>
      <w:marTop w:val="0"/>
      <w:marBottom w:val="0"/>
      <w:divBdr>
        <w:top w:val="none" w:sz="0" w:space="0" w:color="auto"/>
        <w:left w:val="none" w:sz="0" w:space="0" w:color="auto"/>
        <w:bottom w:val="none" w:sz="0" w:space="0" w:color="auto"/>
        <w:right w:val="none" w:sz="0" w:space="0" w:color="auto"/>
      </w:divBdr>
    </w:div>
    <w:div w:id="2146925335">
      <w:bodyDiv w:val="1"/>
      <w:marLeft w:val="0"/>
      <w:marRight w:val="0"/>
      <w:marTop w:val="0"/>
      <w:marBottom w:val="0"/>
      <w:divBdr>
        <w:top w:val="none" w:sz="0" w:space="0" w:color="auto"/>
        <w:left w:val="none" w:sz="0" w:space="0" w:color="auto"/>
        <w:bottom w:val="none" w:sz="0" w:space="0" w:color="auto"/>
        <w:right w:val="none" w:sz="0" w:space="0" w:color="auto"/>
      </w:divBdr>
    </w:div>
    <w:div w:id="2147232749">
      <w:bodyDiv w:val="1"/>
      <w:marLeft w:val="0"/>
      <w:marRight w:val="0"/>
      <w:marTop w:val="0"/>
      <w:marBottom w:val="0"/>
      <w:divBdr>
        <w:top w:val="none" w:sz="0" w:space="0" w:color="auto"/>
        <w:left w:val="none" w:sz="0" w:space="0" w:color="auto"/>
        <w:bottom w:val="none" w:sz="0" w:space="0" w:color="auto"/>
        <w:right w:val="none" w:sz="0" w:space="0" w:color="auto"/>
      </w:divBdr>
    </w:div>
    <w:div w:id="214735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image" Target="media/image6.jpg"/><Relationship Id="rId42" Type="http://schemas.openxmlformats.org/officeDocument/2006/relationships/header" Target="header5.xml"/><Relationship Id="rId63" Type="http://schemas.openxmlformats.org/officeDocument/2006/relationships/image" Target="media/image18.png"/><Relationship Id="rId84" Type="http://schemas.openxmlformats.org/officeDocument/2006/relationships/image" Target="media/image29.jpeg"/><Relationship Id="rId138" Type="http://schemas.openxmlformats.org/officeDocument/2006/relationships/footer" Target="footer22.xml"/><Relationship Id="rId107" Type="http://schemas.openxmlformats.org/officeDocument/2006/relationships/footer" Target="footer16.xml"/><Relationship Id="rId11" Type="http://schemas.openxmlformats.org/officeDocument/2006/relationships/footnotes" Target="footnotes.xml"/><Relationship Id="rId32" Type="http://schemas.openxmlformats.org/officeDocument/2006/relationships/hyperlink" Target="https://www.sesoc.org.nz/wp-content/uploads/2024/06/SESOC-BRANZ-Resource-Map-Interactive-v2.pdf" TargetMode="External"/><Relationship Id="rId53" Type="http://schemas.openxmlformats.org/officeDocument/2006/relationships/footer" Target="footer8.xml"/><Relationship Id="rId74" Type="http://schemas.openxmlformats.org/officeDocument/2006/relationships/header" Target="header10.xml"/><Relationship Id="rId128" Type="http://schemas.openxmlformats.org/officeDocument/2006/relationships/footer" Target="footer19.xml"/><Relationship Id="rId5" Type="http://schemas.openxmlformats.org/officeDocument/2006/relationships/customXml" Target="../customXml/item5.xml"/><Relationship Id="rId90" Type="http://schemas.openxmlformats.org/officeDocument/2006/relationships/image" Target="media/image35.png"/><Relationship Id="rId95" Type="http://schemas.openxmlformats.org/officeDocument/2006/relationships/header" Target="header12.xml"/><Relationship Id="rId22" Type="http://schemas.openxmlformats.org/officeDocument/2006/relationships/image" Target="media/image7.png"/><Relationship Id="rId27" Type="http://schemas.openxmlformats.org/officeDocument/2006/relationships/image" Target="media/image8.png"/><Relationship Id="rId43" Type="http://schemas.openxmlformats.org/officeDocument/2006/relationships/footer" Target="footer4.xml"/><Relationship Id="rId48" Type="http://schemas.openxmlformats.org/officeDocument/2006/relationships/footer" Target="footer7.xml"/><Relationship Id="rId64" Type="http://schemas.openxmlformats.org/officeDocument/2006/relationships/image" Target="media/image19.png"/><Relationship Id="rId69" Type="http://schemas.openxmlformats.org/officeDocument/2006/relationships/hyperlink" Target="https://www.building.govt.nz/building-code-compliance/b-stability/b1-structure/altering-existing-building/demonstrating-and-assessing-compliance-for-buildings-undergoing-alterations" TargetMode="External"/><Relationship Id="rId113" Type="http://schemas.openxmlformats.org/officeDocument/2006/relationships/image" Target="media/image47.png"/><Relationship Id="rId118" Type="http://schemas.openxmlformats.org/officeDocument/2006/relationships/image" Target="media/image50.png"/><Relationship Id="rId134" Type="http://schemas.openxmlformats.org/officeDocument/2006/relationships/image" Target="media/image57.png"/><Relationship Id="rId139" Type="http://schemas.openxmlformats.org/officeDocument/2006/relationships/header" Target="header23.xml"/><Relationship Id="rId80" Type="http://schemas.openxmlformats.org/officeDocument/2006/relationships/hyperlink" Target="https://www.building.govt.nz/getting-started/seismic-work-programme/seismic-risk-series/low-damage-seismic-design" TargetMode="External"/><Relationship Id="rId85" Type="http://schemas.openxmlformats.org/officeDocument/2006/relationships/image" Target="media/image30.png"/><Relationship Id="rId12" Type="http://schemas.openxmlformats.org/officeDocument/2006/relationships/endnotes" Target="endnotes.xml"/><Relationship Id="rId17" Type="http://schemas.openxmlformats.org/officeDocument/2006/relationships/hyperlink" Target="https://www.tewhatuora.govt.nz/" TargetMode="External"/><Relationship Id="rId33" Type="http://schemas.openxmlformats.org/officeDocument/2006/relationships/image" Target="media/image9.png"/><Relationship Id="rId38" Type="http://schemas.openxmlformats.org/officeDocument/2006/relationships/diagramQuickStyle" Target="diagrams/quickStyle1.xml"/><Relationship Id="rId59" Type="http://schemas.openxmlformats.org/officeDocument/2006/relationships/image" Target="media/image15.png"/><Relationship Id="rId103" Type="http://schemas.openxmlformats.org/officeDocument/2006/relationships/image" Target="media/image41.png"/><Relationship Id="rId108" Type="http://schemas.openxmlformats.org/officeDocument/2006/relationships/footer" Target="footer17.xml"/><Relationship Id="rId124" Type="http://schemas.openxmlformats.org/officeDocument/2006/relationships/hyperlink" Target="https://www.building.govt.nz/getting-started/seismic-work-programme/seismic-risk-series/low-damage-seismic-design" TargetMode="External"/><Relationship Id="rId129" Type="http://schemas.openxmlformats.org/officeDocument/2006/relationships/header" Target="header19.xml"/><Relationship Id="rId54" Type="http://schemas.openxmlformats.org/officeDocument/2006/relationships/header" Target="header9.xml"/><Relationship Id="rId70" Type="http://schemas.openxmlformats.org/officeDocument/2006/relationships/image" Target="media/image23.png"/><Relationship Id="rId75" Type="http://schemas.openxmlformats.org/officeDocument/2006/relationships/footer" Target="footer11.xml"/><Relationship Id="rId91" Type="http://schemas.openxmlformats.org/officeDocument/2006/relationships/image" Target="media/image36.svg"/><Relationship Id="rId96" Type="http://schemas.openxmlformats.org/officeDocument/2006/relationships/footer" Target="footer13.xml"/><Relationship Id="rId140" Type="http://schemas.openxmlformats.org/officeDocument/2006/relationships/footer" Target="footer23.xml"/><Relationship Id="rId14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s://www.tewhatuora.govt.nz/publications/health-facility-design-guidance-note/" TargetMode="External"/><Relationship Id="rId28" Type="http://schemas.openxmlformats.org/officeDocument/2006/relationships/header" Target="header3.xml"/><Relationship Id="rId49" Type="http://schemas.openxmlformats.org/officeDocument/2006/relationships/image" Target="media/image13.png"/><Relationship Id="rId114" Type="http://schemas.microsoft.com/office/2007/relationships/hdphoto" Target="media/hdphoto1.wdp"/><Relationship Id="rId119" Type="http://schemas.openxmlformats.org/officeDocument/2006/relationships/image" Target="media/image51.png"/><Relationship Id="rId44" Type="http://schemas.openxmlformats.org/officeDocument/2006/relationships/footer" Target="footer5.xml"/><Relationship Id="rId60" Type="http://schemas.openxmlformats.org/officeDocument/2006/relationships/hyperlink" Target="https://www.building.govt.nz/assets/Uploads/managing-buildings/earthquake-prone-buildings/epb-substantial-alterations.pdf" TargetMode="External"/><Relationship Id="rId65" Type="http://schemas.openxmlformats.org/officeDocument/2006/relationships/image" Target="media/image20.png"/><Relationship Id="rId81" Type="http://schemas.openxmlformats.org/officeDocument/2006/relationships/hyperlink" Target="https://femap58.atcouncil.org/supporting-materials" TargetMode="External"/><Relationship Id="rId86" Type="http://schemas.openxmlformats.org/officeDocument/2006/relationships/image" Target="media/image31.jpeg"/><Relationship Id="rId130" Type="http://schemas.openxmlformats.org/officeDocument/2006/relationships/image" Target="media/image54.jpg"/><Relationship Id="rId135" Type="http://schemas.openxmlformats.org/officeDocument/2006/relationships/header" Target="header21.xml"/><Relationship Id="rId13" Type="http://schemas.openxmlformats.org/officeDocument/2006/relationships/image" Target="media/image1.jpg"/><Relationship Id="rId18" Type="http://schemas.openxmlformats.org/officeDocument/2006/relationships/image" Target="media/image5.png"/><Relationship Id="rId39" Type="http://schemas.openxmlformats.org/officeDocument/2006/relationships/diagramColors" Target="diagrams/colors1.xml"/><Relationship Id="rId109" Type="http://schemas.openxmlformats.org/officeDocument/2006/relationships/image" Target="media/image43.png"/><Relationship Id="rId34" Type="http://schemas.openxmlformats.org/officeDocument/2006/relationships/image" Target="media/image10.jpg"/><Relationship Id="rId50" Type="http://schemas.openxmlformats.org/officeDocument/2006/relationships/hyperlink" Target="https://www.nzsee.org.nz/db/PUBS/Earthquake-Design-for-Uncertainty-Advisory_Rev1_August-2022-NZSEE-SESOC-NZGS.pdf" TargetMode="External"/><Relationship Id="rId55" Type="http://schemas.openxmlformats.org/officeDocument/2006/relationships/footer" Target="footer9.xml"/><Relationship Id="rId76" Type="http://schemas.openxmlformats.org/officeDocument/2006/relationships/footer" Target="footer12.xml"/><Relationship Id="rId97" Type="http://schemas.openxmlformats.org/officeDocument/2006/relationships/header" Target="header13.xml"/><Relationship Id="rId104" Type="http://schemas.openxmlformats.org/officeDocument/2006/relationships/image" Target="media/image42.emf"/><Relationship Id="rId120" Type="http://schemas.openxmlformats.org/officeDocument/2006/relationships/header" Target="header16.xml"/><Relationship Id="rId125" Type="http://schemas.openxmlformats.org/officeDocument/2006/relationships/hyperlink" Target="https://www.gns.cri.nz/research-projects/national-seismic-hazard-model/" TargetMode="External"/><Relationship Id="rId141" Type="http://schemas.openxmlformats.org/officeDocument/2006/relationships/image" Target="media/image59.jpg"/><Relationship Id="rId146"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24.png"/><Relationship Id="rId92" Type="http://schemas.openxmlformats.org/officeDocument/2006/relationships/image" Target="media/image37.png"/><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yperlink" Target="https://healthfacilityguidelines.com.au/" TargetMode="External"/><Relationship Id="rId40" Type="http://schemas.microsoft.com/office/2007/relationships/diagramDrawing" Target="diagrams/drawing1.xml"/><Relationship Id="rId45" Type="http://schemas.openxmlformats.org/officeDocument/2006/relationships/header" Target="header6.xml"/><Relationship Id="rId66" Type="http://schemas.openxmlformats.org/officeDocument/2006/relationships/image" Target="media/image21.png"/><Relationship Id="rId87" Type="http://schemas.openxmlformats.org/officeDocument/2006/relationships/image" Target="media/image32.jpeg"/><Relationship Id="rId110" Type="http://schemas.openxmlformats.org/officeDocument/2006/relationships/image" Target="media/image44.png"/><Relationship Id="rId115" Type="http://schemas.openxmlformats.org/officeDocument/2006/relationships/image" Target="media/image48.png"/><Relationship Id="rId131" Type="http://schemas.openxmlformats.org/officeDocument/2006/relationships/header" Target="header20.xml"/><Relationship Id="rId136" Type="http://schemas.openxmlformats.org/officeDocument/2006/relationships/footer" Target="footer21.xml"/><Relationship Id="rId61" Type="http://schemas.openxmlformats.org/officeDocument/2006/relationships/image" Target="media/image16.png"/><Relationship Id="rId82" Type="http://schemas.openxmlformats.org/officeDocument/2006/relationships/image" Target="media/image27.jpeg"/><Relationship Id="rId19" Type="http://schemas.openxmlformats.org/officeDocument/2006/relationships/header" Target="header2.xml"/><Relationship Id="rId14" Type="http://schemas.openxmlformats.org/officeDocument/2006/relationships/header" Target="header1.xml"/><Relationship Id="rId30" Type="http://schemas.openxmlformats.org/officeDocument/2006/relationships/footer" Target="footer3.xml"/><Relationship Id="rId35" Type="http://schemas.openxmlformats.org/officeDocument/2006/relationships/hyperlink" Target="https://www.nibs.org/bssc" TargetMode="External"/><Relationship Id="rId56" Type="http://schemas.openxmlformats.org/officeDocument/2006/relationships/footer" Target="footer10.xml"/><Relationship Id="rId77" Type="http://schemas.openxmlformats.org/officeDocument/2006/relationships/image" Target="media/image25.jpg"/><Relationship Id="rId100" Type="http://schemas.openxmlformats.org/officeDocument/2006/relationships/footer" Target="footer15.xml"/><Relationship Id="rId105" Type="http://schemas.openxmlformats.org/officeDocument/2006/relationships/oleObject" Target="embeddings/Microsoft_Visio_2003-2010_Drawing1.vsd"/><Relationship Id="rId126" Type="http://schemas.openxmlformats.org/officeDocument/2006/relationships/header" Target="header17.xml"/><Relationship Id="rId147" Type="http://schemas.microsoft.com/office/2020/10/relationships/intelligence" Target="intelligence2.xml"/><Relationship Id="rId8" Type="http://schemas.openxmlformats.org/officeDocument/2006/relationships/styles" Target="styles.xml"/><Relationship Id="rId51" Type="http://schemas.openxmlformats.org/officeDocument/2006/relationships/hyperlink" Target="https://www.nzsee.org.nz/db/PUBS/Earthquake-Design-for-Uncertainty-Advisory_Rev1_August-2022-NZSEE-SESOC-NZGS.pdf" TargetMode="External"/><Relationship Id="rId72" Type="http://schemas.openxmlformats.org/officeDocument/2006/relationships/hyperlink" Target="https://www.building.govt.nz/building-code-compliance/b-stability/b1-structure/altering-existing-building/demonstrating-and-assessing-compliance-for-buildings-undergoing-alterations/step-3-applicants-assess-anarp-for-outstanding-fire-and-accessibility-building-code-clauses" TargetMode="External"/><Relationship Id="rId93" Type="http://schemas.openxmlformats.org/officeDocument/2006/relationships/image" Target="media/image38.svg"/><Relationship Id="rId98" Type="http://schemas.openxmlformats.org/officeDocument/2006/relationships/header" Target="header14.xml"/><Relationship Id="rId121" Type="http://schemas.openxmlformats.org/officeDocument/2006/relationships/footer" Target="footer18.xml"/><Relationship Id="rId142" Type="http://schemas.openxmlformats.org/officeDocument/2006/relationships/header" Target="header24.xml"/><Relationship Id="rId3" Type="http://schemas.openxmlformats.org/officeDocument/2006/relationships/customXml" Target="../customXml/item3.xml"/><Relationship Id="rId25" Type="http://schemas.openxmlformats.org/officeDocument/2006/relationships/hyperlink" Target="https://www.tewhatuora.govt.nz/publications/health-facility-design-guidance-note/" TargetMode="External"/><Relationship Id="rId46" Type="http://schemas.openxmlformats.org/officeDocument/2006/relationships/footer" Target="footer6.xml"/><Relationship Id="rId67" Type="http://schemas.openxmlformats.org/officeDocument/2006/relationships/image" Target="media/image22.png"/><Relationship Id="rId116" Type="http://schemas.microsoft.com/office/2007/relationships/hdphoto" Target="media/hdphoto2.wdp"/><Relationship Id="rId137" Type="http://schemas.openxmlformats.org/officeDocument/2006/relationships/header" Target="header22.xml"/><Relationship Id="rId20" Type="http://schemas.openxmlformats.org/officeDocument/2006/relationships/footer" Target="footer2.xml"/><Relationship Id="rId41" Type="http://schemas.openxmlformats.org/officeDocument/2006/relationships/image" Target="media/image11.png"/><Relationship Id="rId62" Type="http://schemas.openxmlformats.org/officeDocument/2006/relationships/image" Target="media/image17.png"/><Relationship Id="rId83" Type="http://schemas.openxmlformats.org/officeDocument/2006/relationships/image" Target="media/image28.jpeg"/><Relationship Id="rId88" Type="http://schemas.openxmlformats.org/officeDocument/2006/relationships/image" Target="media/image33.jpeg"/><Relationship Id="rId111" Type="http://schemas.openxmlformats.org/officeDocument/2006/relationships/image" Target="media/image45.png"/><Relationship Id="rId132" Type="http://schemas.openxmlformats.org/officeDocument/2006/relationships/footer" Target="footer20.xml"/><Relationship Id="rId15" Type="http://schemas.openxmlformats.org/officeDocument/2006/relationships/footer" Target="footer1.xml"/><Relationship Id="rId36" Type="http://schemas.openxmlformats.org/officeDocument/2006/relationships/diagramData" Target="diagrams/data1.xml"/><Relationship Id="rId57" Type="http://schemas.openxmlformats.org/officeDocument/2006/relationships/image" Target="media/image14.png"/><Relationship Id="rId106" Type="http://schemas.openxmlformats.org/officeDocument/2006/relationships/header" Target="header15.xml"/><Relationship Id="rId127" Type="http://schemas.openxmlformats.org/officeDocument/2006/relationships/header" Target="header18.xml"/><Relationship Id="rId10" Type="http://schemas.openxmlformats.org/officeDocument/2006/relationships/webSettings" Target="webSettings.xml"/><Relationship Id="rId31" Type="http://schemas.openxmlformats.org/officeDocument/2006/relationships/hyperlink" Target="https://www.sesoc.org.nz/wp-content/uploads/2024/05/SESOC_BRANZ_Resource_Map_Printable.pdf" TargetMode="External"/><Relationship Id="rId52" Type="http://schemas.openxmlformats.org/officeDocument/2006/relationships/header" Target="header8.xml"/><Relationship Id="rId73" Type="http://schemas.openxmlformats.org/officeDocument/2006/relationships/hyperlink" Target="https://view.officeapps.live.com/op/view.aspx?src=https%3A%2F%2Fwww.tewhatuora.govt.nz%2Fassets%2FAbout-us%2FEnvironmental-sustainability-and-climate-resilience%2FFinal-Te-Whatu-Ora-Seismic-Policy-26-Jan-2024-Copy.docx&amp;wdOrigin=BROWSELINK" TargetMode="External"/><Relationship Id="rId78" Type="http://schemas.openxmlformats.org/officeDocument/2006/relationships/hyperlink" Target="https://www.nzsee.org.nz/db/PUBS/2022-NSHM-Advisory_Rev1.0_October-2022-SESOC-NZSEE-NZGS.pdf" TargetMode="External"/><Relationship Id="rId94" Type="http://schemas.openxmlformats.org/officeDocument/2006/relationships/header" Target="header11.xml"/><Relationship Id="rId99" Type="http://schemas.openxmlformats.org/officeDocument/2006/relationships/footer" Target="footer14.xml"/><Relationship Id="rId101" Type="http://schemas.openxmlformats.org/officeDocument/2006/relationships/image" Target="media/image39.png"/><Relationship Id="rId122" Type="http://schemas.openxmlformats.org/officeDocument/2006/relationships/image" Target="media/image52.jpg"/><Relationship Id="rId143" Type="http://schemas.openxmlformats.org/officeDocument/2006/relationships/footer" Target="footer24.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hyperlink" Target="https://www.building.govt.nz/assets/Uploads/getting-started/seismic-work-programme/low-damage-seismic-design-for-buildings.pdf" TargetMode="External"/><Relationship Id="rId47" Type="http://schemas.openxmlformats.org/officeDocument/2006/relationships/header" Target="header7.xml"/><Relationship Id="rId68" Type="http://schemas.openxmlformats.org/officeDocument/2006/relationships/hyperlink" Target="https://www.building.govt.nz/managing-buildings/change-of-use-and-alterations/" TargetMode="External"/><Relationship Id="rId89" Type="http://schemas.openxmlformats.org/officeDocument/2006/relationships/image" Target="media/image34.jpeg"/><Relationship Id="rId112" Type="http://schemas.openxmlformats.org/officeDocument/2006/relationships/image" Target="media/image46.png"/><Relationship Id="rId133" Type="http://schemas.openxmlformats.org/officeDocument/2006/relationships/image" Target="media/image56.jpg"/><Relationship Id="rId16" Type="http://schemas.openxmlformats.org/officeDocument/2006/relationships/image" Target="media/image4.png"/><Relationship Id="rId37" Type="http://schemas.openxmlformats.org/officeDocument/2006/relationships/diagramLayout" Target="diagrams/layout1.xml"/><Relationship Id="rId58" Type="http://schemas.openxmlformats.org/officeDocument/2006/relationships/hyperlink" Target="https://www.tewhatuora.govt.nz/publications/health-facility-design-guidance-note/" TargetMode="External"/><Relationship Id="rId79" Type="http://schemas.openxmlformats.org/officeDocument/2006/relationships/image" Target="media/image26.png"/><Relationship Id="rId102" Type="http://schemas.openxmlformats.org/officeDocument/2006/relationships/image" Target="media/image40.png"/><Relationship Id="rId123" Type="http://schemas.openxmlformats.org/officeDocument/2006/relationships/hyperlink" Target="https://www.building.govt.nz/getting-started/seismic-work-programme/seismic-risk-series/low-damage-seismic-design" TargetMode="External"/><Relationship Id="rId14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0.xml.rels><?xml version="1.0" encoding="UTF-8" standalone="yes"?>
<Relationships xmlns="http://schemas.openxmlformats.org/package/2006/relationships"><Relationship Id="rId1" Type="http://schemas.openxmlformats.org/officeDocument/2006/relationships/image" Target="media/image12.jp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2.jpg"/></Relationships>
</file>

<file path=word/_rels/header18.xml.rels><?xml version="1.0" encoding="UTF-8" standalone="yes"?>
<Relationships xmlns="http://schemas.openxmlformats.org/package/2006/relationships"><Relationship Id="rId1" Type="http://schemas.openxmlformats.org/officeDocument/2006/relationships/image" Target="media/image53.jp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55.jpg"/></Relationships>
</file>

<file path=word/_rels/header21.xml.rels><?xml version="1.0" encoding="UTF-8" standalone="yes"?>
<Relationships xmlns="http://schemas.openxmlformats.org/package/2006/relationships"><Relationship Id="rId1" Type="http://schemas.openxmlformats.org/officeDocument/2006/relationships/image" Target="media/image58.jpg"/></Relationships>
</file>

<file path=word/_rels/header22.xml.rels><?xml version="1.0" encoding="UTF-8" standalone="yes"?>
<Relationships xmlns="http://schemas.openxmlformats.org/package/2006/relationships"><Relationship Id="rId1" Type="http://schemas.openxmlformats.org/officeDocument/2006/relationships/image" Target="media/image2.jpg"/></Relationships>
</file>

<file path=word/_rels/header23.xml.rels><?xml version="1.0" encoding="UTF-8" standalone="yes"?>
<Relationships xmlns="http://schemas.openxmlformats.org/package/2006/relationships"><Relationship Id="rId1" Type="http://schemas.openxmlformats.org/officeDocument/2006/relationships/image" Target="media/image2.jpg"/></Relationships>
</file>

<file path=word/_rels/header24.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2.jp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12.jp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4B11A7-AD2D-4803-AF71-F41852C66C8C}" type="doc">
      <dgm:prSet loTypeId="urn:microsoft.com/office/officeart/2005/8/layout/process4" loCatId="process" qsTypeId="urn:microsoft.com/office/officeart/2005/8/quickstyle/simple1" qsCatId="simple" csTypeId="urn:microsoft.com/office/officeart/2005/8/colors/colorful2" csCatId="colorful" phldr="1"/>
      <dgm:spPr/>
      <dgm:t>
        <a:bodyPr/>
        <a:lstStyle/>
        <a:p>
          <a:endParaRPr lang="en-NZ"/>
        </a:p>
      </dgm:t>
    </dgm:pt>
    <dgm:pt modelId="{B9E7F72D-30C8-4B3B-A9E5-A6FE4E54AF6B}">
      <dgm:prSet phldrT="[Text]" custT="1"/>
      <dgm:spPr/>
      <dgm:t>
        <a:bodyPr/>
        <a:lstStyle/>
        <a:p>
          <a:pPr algn="ctr"/>
          <a:r>
            <a:rPr lang="en-NZ" sz="1100"/>
            <a:t>Outcome Objectives</a:t>
          </a:r>
        </a:p>
      </dgm:t>
    </dgm:pt>
    <dgm:pt modelId="{C429B971-C537-4D5E-8753-35F4CFA240F3}" type="parTrans" cxnId="{AFB66680-10E1-4688-A0BC-533203587D18}">
      <dgm:prSet/>
      <dgm:spPr/>
      <dgm:t>
        <a:bodyPr/>
        <a:lstStyle/>
        <a:p>
          <a:pPr algn="ctr"/>
          <a:endParaRPr lang="en-NZ" sz="2800"/>
        </a:p>
      </dgm:t>
    </dgm:pt>
    <dgm:pt modelId="{ED513748-39BB-4405-A7B4-98EA2A11829D}" type="sibTrans" cxnId="{AFB66680-10E1-4688-A0BC-533203587D18}">
      <dgm:prSet/>
      <dgm:spPr/>
      <dgm:t>
        <a:bodyPr/>
        <a:lstStyle/>
        <a:p>
          <a:pPr algn="ctr"/>
          <a:endParaRPr lang="en-NZ" sz="2800"/>
        </a:p>
      </dgm:t>
    </dgm:pt>
    <dgm:pt modelId="{4F8C8888-8BB8-4C75-A5B5-6E1AFCEFBD76}">
      <dgm:prSet phldrT="[Text]" custT="1"/>
      <dgm:spPr/>
      <dgm:t>
        <a:bodyPr/>
        <a:lstStyle/>
        <a:p>
          <a:pPr algn="ctr"/>
          <a:r>
            <a:rPr lang="en-NZ" sz="1050"/>
            <a:t>The mission</a:t>
          </a:r>
          <a:r>
            <a:rPr lang="en-NZ" sz="1050">
              <a:latin typeface="Calibri" panose="020F0502020204030204" pitchFamily="34" charset="0"/>
              <a:cs typeface="Calibri" panose="020F0502020204030204" pitchFamily="34" charset="0"/>
            </a:rPr>
            <a:t>—</a:t>
          </a:r>
          <a:r>
            <a:rPr lang="en-NZ" sz="1050"/>
            <a:t>the overall success criteria following a big earthquake</a:t>
          </a:r>
        </a:p>
      </dgm:t>
    </dgm:pt>
    <dgm:pt modelId="{641DBD86-2B6B-43DC-9A7B-D5B8C5B44F45}" type="parTrans" cxnId="{28999BA3-2F19-46AC-B722-FADA922CACE4}">
      <dgm:prSet/>
      <dgm:spPr/>
      <dgm:t>
        <a:bodyPr/>
        <a:lstStyle/>
        <a:p>
          <a:pPr algn="ctr"/>
          <a:endParaRPr lang="en-NZ" sz="2800"/>
        </a:p>
      </dgm:t>
    </dgm:pt>
    <dgm:pt modelId="{C7124FFB-C6F7-4632-8046-27A3D9AA9249}" type="sibTrans" cxnId="{28999BA3-2F19-46AC-B722-FADA922CACE4}">
      <dgm:prSet/>
      <dgm:spPr/>
      <dgm:t>
        <a:bodyPr/>
        <a:lstStyle/>
        <a:p>
          <a:pPr algn="ctr"/>
          <a:endParaRPr lang="en-NZ" sz="2800"/>
        </a:p>
      </dgm:t>
    </dgm:pt>
    <dgm:pt modelId="{0F448863-1093-4C6D-B0D2-E356517EE329}">
      <dgm:prSet phldrT="[Text]" custT="1"/>
      <dgm:spPr/>
      <dgm:t>
        <a:bodyPr/>
        <a:lstStyle/>
        <a:p>
          <a:pPr algn="ctr"/>
          <a:r>
            <a:rPr lang="en-NZ" sz="1100"/>
            <a:t>Performance Goals for Buildings</a:t>
          </a:r>
        </a:p>
      </dgm:t>
    </dgm:pt>
    <dgm:pt modelId="{1E040C2C-9819-425D-A2C6-5008AE692D3C}" type="parTrans" cxnId="{E9C10A65-4FA8-4CE7-8396-D7638CF6522F}">
      <dgm:prSet/>
      <dgm:spPr/>
      <dgm:t>
        <a:bodyPr/>
        <a:lstStyle/>
        <a:p>
          <a:pPr algn="ctr"/>
          <a:endParaRPr lang="en-NZ" sz="2800"/>
        </a:p>
      </dgm:t>
    </dgm:pt>
    <dgm:pt modelId="{6A10F7D3-4F35-44A0-AAC4-EF72D7795267}" type="sibTrans" cxnId="{E9C10A65-4FA8-4CE7-8396-D7638CF6522F}">
      <dgm:prSet/>
      <dgm:spPr/>
      <dgm:t>
        <a:bodyPr/>
        <a:lstStyle/>
        <a:p>
          <a:pPr algn="ctr"/>
          <a:endParaRPr lang="en-NZ" sz="2800"/>
        </a:p>
      </dgm:t>
    </dgm:pt>
    <dgm:pt modelId="{4F5F2A84-A967-4D3A-847D-B2F0605881CC}">
      <dgm:prSet phldrT="[Text]" custT="1"/>
      <dgm:spPr/>
      <dgm:t>
        <a:bodyPr/>
        <a:lstStyle/>
        <a:p>
          <a:pPr algn="ctr"/>
          <a:r>
            <a:rPr lang="en-NZ" sz="1100"/>
            <a:t>Physical States</a:t>
          </a:r>
        </a:p>
      </dgm:t>
    </dgm:pt>
    <dgm:pt modelId="{143C115F-2590-4C20-BFE8-BF36B87B494D}" type="parTrans" cxnId="{49551CED-2709-4DB5-9FA8-0AF0B884B724}">
      <dgm:prSet/>
      <dgm:spPr/>
      <dgm:t>
        <a:bodyPr/>
        <a:lstStyle/>
        <a:p>
          <a:pPr algn="ctr"/>
          <a:endParaRPr lang="en-NZ" sz="2800"/>
        </a:p>
      </dgm:t>
    </dgm:pt>
    <dgm:pt modelId="{074B9DF8-B8F2-4091-81B1-39DC6944EB87}" type="sibTrans" cxnId="{49551CED-2709-4DB5-9FA8-0AF0B884B724}">
      <dgm:prSet/>
      <dgm:spPr/>
      <dgm:t>
        <a:bodyPr/>
        <a:lstStyle/>
        <a:p>
          <a:pPr algn="ctr"/>
          <a:endParaRPr lang="en-NZ" sz="2800"/>
        </a:p>
      </dgm:t>
    </dgm:pt>
    <dgm:pt modelId="{61B8F656-CECA-4441-A8E9-83D43D45C1F8}">
      <dgm:prSet phldrT="[Text]" custT="1"/>
      <dgm:spPr/>
      <dgm:t>
        <a:bodyPr/>
        <a:lstStyle/>
        <a:p>
          <a:pPr algn="ctr"/>
          <a:r>
            <a:rPr lang="en-NZ" sz="1050"/>
            <a:t>Descriptions of the maximum tolerable levels of damage that would allow the performance goals to be met</a:t>
          </a:r>
        </a:p>
      </dgm:t>
    </dgm:pt>
    <dgm:pt modelId="{2EB29F82-C0E2-4183-9DF0-E2761AFD540A}" type="parTrans" cxnId="{A2128CE5-2EBD-4860-87FA-6851D391D2AB}">
      <dgm:prSet/>
      <dgm:spPr/>
      <dgm:t>
        <a:bodyPr/>
        <a:lstStyle/>
        <a:p>
          <a:pPr algn="ctr"/>
          <a:endParaRPr lang="en-NZ" sz="2800"/>
        </a:p>
      </dgm:t>
    </dgm:pt>
    <dgm:pt modelId="{9EC4DA89-3539-4F77-938F-80213A0677EF}" type="sibTrans" cxnId="{A2128CE5-2EBD-4860-87FA-6851D391D2AB}">
      <dgm:prSet/>
      <dgm:spPr/>
      <dgm:t>
        <a:bodyPr/>
        <a:lstStyle/>
        <a:p>
          <a:pPr algn="ctr"/>
          <a:endParaRPr lang="en-NZ" sz="2800"/>
        </a:p>
      </dgm:t>
    </dgm:pt>
    <dgm:pt modelId="{2ABC8D69-929F-4BE5-AB38-9DDEC47CF09E}">
      <dgm:prSet phldrT="[Text]" custT="1"/>
      <dgm:spPr/>
      <dgm:t>
        <a:bodyPr/>
        <a:lstStyle/>
        <a:p>
          <a:pPr algn="ctr"/>
          <a:r>
            <a:rPr lang="en-NZ" sz="1100"/>
            <a:t>Engineering Design Criteria</a:t>
          </a:r>
        </a:p>
      </dgm:t>
    </dgm:pt>
    <dgm:pt modelId="{9D672F4D-366F-4AE3-A266-7D6B997CD6F3}" type="parTrans" cxnId="{6C113BF6-ABE4-46B6-A98F-A0FA41B70BCE}">
      <dgm:prSet/>
      <dgm:spPr/>
      <dgm:t>
        <a:bodyPr/>
        <a:lstStyle/>
        <a:p>
          <a:pPr algn="ctr"/>
          <a:endParaRPr lang="en-NZ" sz="2800"/>
        </a:p>
      </dgm:t>
    </dgm:pt>
    <dgm:pt modelId="{F92F38D3-529B-47DC-85E6-EE8FB9324057}" type="sibTrans" cxnId="{6C113BF6-ABE4-46B6-A98F-A0FA41B70BCE}">
      <dgm:prSet/>
      <dgm:spPr/>
      <dgm:t>
        <a:bodyPr/>
        <a:lstStyle/>
        <a:p>
          <a:pPr algn="ctr"/>
          <a:endParaRPr lang="en-NZ" sz="2800"/>
        </a:p>
      </dgm:t>
    </dgm:pt>
    <dgm:pt modelId="{056B97AA-A474-4C9B-BA28-434B9EA2C9DB}">
      <dgm:prSet custT="1"/>
      <dgm:spPr/>
      <dgm:t>
        <a:bodyPr/>
        <a:lstStyle/>
        <a:p>
          <a:pPr algn="ctr"/>
          <a:r>
            <a:rPr lang="en-NZ" sz="1050"/>
            <a:t>Structural design criteria that correspond to the physical states/ damage thresholds</a:t>
          </a:r>
        </a:p>
      </dgm:t>
    </dgm:pt>
    <dgm:pt modelId="{A6093F32-A88E-4F8A-B538-BF90808EFCC0}" type="parTrans" cxnId="{FCB4EB45-59FA-43A7-8015-357B28FB6BDB}">
      <dgm:prSet/>
      <dgm:spPr/>
      <dgm:t>
        <a:bodyPr/>
        <a:lstStyle/>
        <a:p>
          <a:pPr algn="ctr"/>
          <a:endParaRPr lang="en-NZ" sz="2800"/>
        </a:p>
      </dgm:t>
    </dgm:pt>
    <dgm:pt modelId="{B87020E7-0FA8-45F3-8789-57A7540188A2}" type="sibTrans" cxnId="{FCB4EB45-59FA-43A7-8015-357B28FB6BDB}">
      <dgm:prSet/>
      <dgm:spPr/>
      <dgm:t>
        <a:bodyPr/>
        <a:lstStyle/>
        <a:p>
          <a:pPr algn="ctr"/>
          <a:endParaRPr lang="en-NZ" sz="2800"/>
        </a:p>
      </dgm:t>
    </dgm:pt>
    <dgm:pt modelId="{A8ECD564-D558-4A5D-9EF6-1A4261C5D8FC}">
      <dgm:prSet phldrT="[Text]" custT="1"/>
      <dgm:spPr/>
      <dgm:t>
        <a:bodyPr/>
        <a:lstStyle/>
        <a:p>
          <a:pPr algn="ctr"/>
          <a:r>
            <a:rPr lang="en-NZ" sz="1050"/>
            <a:t>Translates the clinical and user needs into the performance requirements for hospital buildings</a:t>
          </a:r>
        </a:p>
      </dgm:t>
    </dgm:pt>
    <dgm:pt modelId="{6DE42940-42F3-4554-82C4-ED5E08C7F1C0}" type="parTrans" cxnId="{23B50B33-48A0-4CA3-A4DB-60388465AE03}">
      <dgm:prSet/>
      <dgm:spPr/>
      <dgm:t>
        <a:bodyPr/>
        <a:lstStyle/>
        <a:p>
          <a:pPr algn="ctr"/>
          <a:endParaRPr lang="en-NZ" sz="2800"/>
        </a:p>
      </dgm:t>
    </dgm:pt>
    <dgm:pt modelId="{87F95D49-F06B-474B-8E89-54395F51B55D}" type="sibTrans" cxnId="{23B50B33-48A0-4CA3-A4DB-60388465AE03}">
      <dgm:prSet/>
      <dgm:spPr/>
      <dgm:t>
        <a:bodyPr/>
        <a:lstStyle/>
        <a:p>
          <a:pPr algn="ctr"/>
          <a:endParaRPr lang="en-NZ" sz="2800"/>
        </a:p>
      </dgm:t>
    </dgm:pt>
    <dgm:pt modelId="{2C8CCE0D-A1B6-4C3A-B492-922718F41DD4}" type="pres">
      <dgm:prSet presAssocID="{F64B11A7-AD2D-4803-AF71-F41852C66C8C}" presName="Name0" presStyleCnt="0">
        <dgm:presLayoutVars>
          <dgm:dir/>
          <dgm:animLvl val="lvl"/>
          <dgm:resizeHandles val="exact"/>
        </dgm:presLayoutVars>
      </dgm:prSet>
      <dgm:spPr/>
    </dgm:pt>
    <dgm:pt modelId="{F9316C8D-5E82-4AF5-A597-BAFD3B61CECD}" type="pres">
      <dgm:prSet presAssocID="{2ABC8D69-929F-4BE5-AB38-9DDEC47CF09E}" presName="boxAndChildren" presStyleCnt="0"/>
      <dgm:spPr/>
    </dgm:pt>
    <dgm:pt modelId="{41A291A5-0AD7-40CE-B630-11BE78321863}" type="pres">
      <dgm:prSet presAssocID="{2ABC8D69-929F-4BE5-AB38-9DDEC47CF09E}" presName="parentTextBox" presStyleLbl="node1" presStyleIdx="0" presStyleCnt="4"/>
      <dgm:spPr/>
    </dgm:pt>
    <dgm:pt modelId="{5617FE96-09BA-443A-BD79-1AF3161A4274}" type="pres">
      <dgm:prSet presAssocID="{2ABC8D69-929F-4BE5-AB38-9DDEC47CF09E}" presName="entireBox" presStyleLbl="node1" presStyleIdx="0" presStyleCnt="4"/>
      <dgm:spPr/>
    </dgm:pt>
    <dgm:pt modelId="{0882ADF7-B227-46C8-A483-C123A15F0277}" type="pres">
      <dgm:prSet presAssocID="{2ABC8D69-929F-4BE5-AB38-9DDEC47CF09E}" presName="descendantBox" presStyleCnt="0"/>
      <dgm:spPr/>
    </dgm:pt>
    <dgm:pt modelId="{BE144B55-7BD7-40FA-8938-A55862742B4D}" type="pres">
      <dgm:prSet presAssocID="{056B97AA-A474-4C9B-BA28-434B9EA2C9DB}" presName="childTextBox" presStyleLbl="fgAccFollowNode1" presStyleIdx="0" presStyleCnt="4">
        <dgm:presLayoutVars>
          <dgm:bulletEnabled val="1"/>
        </dgm:presLayoutVars>
      </dgm:prSet>
      <dgm:spPr/>
    </dgm:pt>
    <dgm:pt modelId="{BD902B04-D6BF-46C2-AD98-59E2BD4FBD39}" type="pres">
      <dgm:prSet presAssocID="{074B9DF8-B8F2-4091-81B1-39DC6944EB87}" presName="sp" presStyleCnt="0"/>
      <dgm:spPr/>
    </dgm:pt>
    <dgm:pt modelId="{3F24FBAA-201F-4491-88E2-5903496A2612}" type="pres">
      <dgm:prSet presAssocID="{4F5F2A84-A967-4D3A-847D-B2F0605881CC}" presName="arrowAndChildren" presStyleCnt="0"/>
      <dgm:spPr/>
    </dgm:pt>
    <dgm:pt modelId="{7144DDCF-5685-488F-AD88-99D65FEBE7A3}" type="pres">
      <dgm:prSet presAssocID="{4F5F2A84-A967-4D3A-847D-B2F0605881CC}" presName="parentTextArrow" presStyleLbl="node1" presStyleIdx="0" presStyleCnt="4"/>
      <dgm:spPr/>
    </dgm:pt>
    <dgm:pt modelId="{A19A3919-6F96-4783-80EC-6DEEA26F4B97}" type="pres">
      <dgm:prSet presAssocID="{4F5F2A84-A967-4D3A-847D-B2F0605881CC}" presName="arrow" presStyleLbl="node1" presStyleIdx="1" presStyleCnt="4"/>
      <dgm:spPr/>
    </dgm:pt>
    <dgm:pt modelId="{71BF8502-456A-488E-919B-4109364705EA}" type="pres">
      <dgm:prSet presAssocID="{4F5F2A84-A967-4D3A-847D-B2F0605881CC}" presName="descendantArrow" presStyleCnt="0"/>
      <dgm:spPr/>
    </dgm:pt>
    <dgm:pt modelId="{AD6C1AAA-781C-4985-A79F-B4A655E8E9E6}" type="pres">
      <dgm:prSet presAssocID="{61B8F656-CECA-4441-A8E9-83D43D45C1F8}" presName="childTextArrow" presStyleLbl="fgAccFollowNode1" presStyleIdx="1" presStyleCnt="4">
        <dgm:presLayoutVars>
          <dgm:bulletEnabled val="1"/>
        </dgm:presLayoutVars>
      </dgm:prSet>
      <dgm:spPr/>
    </dgm:pt>
    <dgm:pt modelId="{89E1851B-0059-46C5-A6A9-C6A11575DB90}" type="pres">
      <dgm:prSet presAssocID="{6A10F7D3-4F35-44A0-AAC4-EF72D7795267}" presName="sp" presStyleCnt="0"/>
      <dgm:spPr/>
    </dgm:pt>
    <dgm:pt modelId="{991C68FB-9724-4428-8EF1-E2474C5CA8BE}" type="pres">
      <dgm:prSet presAssocID="{0F448863-1093-4C6D-B0D2-E356517EE329}" presName="arrowAndChildren" presStyleCnt="0"/>
      <dgm:spPr/>
    </dgm:pt>
    <dgm:pt modelId="{33CBF566-E38E-4E48-AA32-E0EC1712FD9B}" type="pres">
      <dgm:prSet presAssocID="{0F448863-1093-4C6D-B0D2-E356517EE329}" presName="parentTextArrow" presStyleLbl="node1" presStyleIdx="1" presStyleCnt="4"/>
      <dgm:spPr/>
    </dgm:pt>
    <dgm:pt modelId="{78C8937D-3731-41DC-925A-306B617523D2}" type="pres">
      <dgm:prSet presAssocID="{0F448863-1093-4C6D-B0D2-E356517EE329}" presName="arrow" presStyleLbl="node1" presStyleIdx="2" presStyleCnt="4"/>
      <dgm:spPr/>
    </dgm:pt>
    <dgm:pt modelId="{3DD26ABE-7C83-4D89-9447-2A780BB1EBB0}" type="pres">
      <dgm:prSet presAssocID="{0F448863-1093-4C6D-B0D2-E356517EE329}" presName="descendantArrow" presStyleCnt="0"/>
      <dgm:spPr/>
    </dgm:pt>
    <dgm:pt modelId="{A4320D4C-DA77-45E0-B7ED-848238200713}" type="pres">
      <dgm:prSet presAssocID="{A8ECD564-D558-4A5D-9EF6-1A4261C5D8FC}" presName="childTextArrow" presStyleLbl="fgAccFollowNode1" presStyleIdx="2" presStyleCnt="4">
        <dgm:presLayoutVars>
          <dgm:bulletEnabled val="1"/>
        </dgm:presLayoutVars>
      </dgm:prSet>
      <dgm:spPr/>
    </dgm:pt>
    <dgm:pt modelId="{99828D9D-043E-40CE-8289-1EA41ECA421E}" type="pres">
      <dgm:prSet presAssocID="{ED513748-39BB-4405-A7B4-98EA2A11829D}" presName="sp" presStyleCnt="0"/>
      <dgm:spPr/>
    </dgm:pt>
    <dgm:pt modelId="{D1E6D24B-C95A-4E0E-A924-F89DF001E92F}" type="pres">
      <dgm:prSet presAssocID="{B9E7F72D-30C8-4B3B-A9E5-A6FE4E54AF6B}" presName="arrowAndChildren" presStyleCnt="0"/>
      <dgm:spPr/>
    </dgm:pt>
    <dgm:pt modelId="{75227165-940A-4CF7-8B36-44231866D785}" type="pres">
      <dgm:prSet presAssocID="{B9E7F72D-30C8-4B3B-A9E5-A6FE4E54AF6B}" presName="parentTextArrow" presStyleLbl="node1" presStyleIdx="2" presStyleCnt="4"/>
      <dgm:spPr/>
    </dgm:pt>
    <dgm:pt modelId="{84D5B847-FB2E-49D4-A898-415356F3EBB0}" type="pres">
      <dgm:prSet presAssocID="{B9E7F72D-30C8-4B3B-A9E5-A6FE4E54AF6B}" presName="arrow" presStyleLbl="node1" presStyleIdx="3" presStyleCnt="4"/>
      <dgm:spPr/>
    </dgm:pt>
    <dgm:pt modelId="{EE9D819C-4634-4B39-B9BF-9FC47C44E9B8}" type="pres">
      <dgm:prSet presAssocID="{B9E7F72D-30C8-4B3B-A9E5-A6FE4E54AF6B}" presName="descendantArrow" presStyleCnt="0"/>
      <dgm:spPr/>
    </dgm:pt>
    <dgm:pt modelId="{D01E9A69-FB5C-4340-88B8-F15BD505DC4D}" type="pres">
      <dgm:prSet presAssocID="{4F8C8888-8BB8-4C75-A5B5-6E1AFCEFBD76}" presName="childTextArrow" presStyleLbl="fgAccFollowNode1" presStyleIdx="3" presStyleCnt="4">
        <dgm:presLayoutVars>
          <dgm:bulletEnabled val="1"/>
        </dgm:presLayoutVars>
      </dgm:prSet>
      <dgm:spPr/>
    </dgm:pt>
  </dgm:ptLst>
  <dgm:cxnLst>
    <dgm:cxn modelId="{277CD408-8D75-4A02-A2A3-3033646D5362}" type="presOf" srcId="{4F5F2A84-A967-4D3A-847D-B2F0605881CC}" destId="{A19A3919-6F96-4783-80EC-6DEEA26F4B97}" srcOrd="1" destOrd="0" presId="urn:microsoft.com/office/officeart/2005/8/layout/process4"/>
    <dgm:cxn modelId="{EF81BF2E-3920-48AC-AB94-7F09FED98B03}" type="presOf" srcId="{4F8C8888-8BB8-4C75-A5B5-6E1AFCEFBD76}" destId="{D01E9A69-FB5C-4340-88B8-F15BD505DC4D}" srcOrd="0" destOrd="0" presId="urn:microsoft.com/office/officeart/2005/8/layout/process4"/>
    <dgm:cxn modelId="{D1F3C82E-B8F8-41B6-8735-1A2D37FE3294}" type="presOf" srcId="{056B97AA-A474-4C9B-BA28-434B9EA2C9DB}" destId="{BE144B55-7BD7-40FA-8938-A55862742B4D}" srcOrd="0" destOrd="0" presId="urn:microsoft.com/office/officeart/2005/8/layout/process4"/>
    <dgm:cxn modelId="{23B50B33-48A0-4CA3-A4DB-60388465AE03}" srcId="{0F448863-1093-4C6D-B0D2-E356517EE329}" destId="{A8ECD564-D558-4A5D-9EF6-1A4261C5D8FC}" srcOrd="0" destOrd="0" parTransId="{6DE42940-42F3-4554-82C4-ED5E08C7F1C0}" sibTransId="{87F95D49-F06B-474B-8E89-54395F51B55D}"/>
    <dgm:cxn modelId="{B0BB963B-EA7C-472B-A866-061BC4D7F972}" type="presOf" srcId="{0F448863-1093-4C6D-B0D2-E356517EE329}" destId="{33CBF566-E38E-4E48-AA32-E0EC1712FD9B}" srcOrd="0" destOrd="0" presId="urn:microsoft.com/office/officeart/2005/8/layout/process4"/>
    <dgm:cxn modelId="{E9C10A65-4FA8-4CE7-8396-D7638CF6522F}" srcId="{F64B11A7-AD2D-4803-AF71-F41852C66C8C}" destId="{0F448863-1093-4C6D-B0D2-E356517EE329}" srcOrd="1" destOrd="0" parTransId="{1E040C2C-9819-425D-A2C6-5008AE692D3C}" sibTransId="{6A10F7D3-4F35-44A0-AAC4-EF72D7795267}"/>
    <dgm:cxn modelId="{FCB4EB45-59FA-43A7-8015-357B28FB6BDB}" srcId="{2ABC8D69-929F-4BE5-AB38-9DDEC47CF09E}" destId="{056B97AA-A474-4C9B-BA28-434B9EA2C9DB}" srcOrd="0" destOrd="0" parTransId="{A6093F32-A88E-4F8A-B538-BF90808EFCC0}" sibTransId="{B87020E7-0FA8-45F3-8789-57A7540188A2}"/>
    <dgm:cxn modelId="{1509326A-76A6-48DA-8C9A-FD17059D65F9}" type="presOf" srcId="{61B8F656-CECA-4441-A8E9-83D43D45C1F8}" destId="{AD6C1AAA-781C-4985-A79F-B4A655E8E9E6}" srcOrd="0" destOrd="0" presId="urn:microsoft.com/office/officeart/2005/8/layout/process4"/>
    <dgm:cxn modelId="{BD11426B-A8AB-4713-8698-4462F3166BB3}" type="presOf" srcId="{A8ECD564-D558-4A5D-9EF6-1A4261C5D8FC}" destId="{A4320D4C-DA77-45E0-B7ED-848238200713}" srcOrd="0" destOrd="0" presId="urn:microsoft.com/office/officeart/2005/8/layout/process4"/>
    <dgm:cxn modelId="{856BFE73-A2FF-4D26-87F0-5FA6172DCDFA}" type="presOf" srcId="{2ABC8D69-929F-4BE5-AB38-9DDEC47CF09E}" destId="{41A291A5-0AD7-40CE-B630-11BE78321863}" srcOrd="0" destOrd="0" presId="urn:microsoft.com/office/officeart/2005/8/layout/process4"/>
    <dgm:cxn modelId="{AFB66680-10E1-4688-A0BC-533203587D18}" srcId="{F64B11A7-AD2D-4803-AF71-F41852C66C8C}" destId="{B9E7F72D-30C8-4B3B-A9E5-A6FE4E54AF6B}" srcOrd="0" destOrd="0" parTransId="{C429B971-C537-4D5E-8753-35F4CFA240F3}" sibTransId="{ED513748-39BB-4405-A7B4-98EA2A11829D}"/>
    <dgm:cxn modelId="{792A3C85-C201-45DC-AB38-8608D6F399E7}" type="presOf" srcId="{4F5F2A84-A967-4D3A-847D-B2F0605881CC}" destId="{7144DDCF-5685-488F-AD88-99D65FEBE7A3}" srcOrd="0" destOrd="0" presId="urn:microsoft.com/office/officeart/2005/8/layout/process4"/>
    <dgm:cxn modelId="{28999BA3-2F19-46AC-B722-FADA922CACE4}" srcId="{B9E7F72D-30C8-4B3B-A9E5-A6FE4E54AF6B}" destId="{4F8C8888-8BB8-4C75-A5B5-6E1AFCEFBD76}" srcOrd="0" destOrd="0" parTransId="{641DBD86-2B6B-43DC-9A7B-D5B8C5B44F45}" sibTransId="{C7124FFB-C6F7-4632-8046-27A3D9AA9249}"/>
    <dgm:cxn modelId="{278107D0-001B-44B3-AD7B-43294463755E}" type="presOf" srcId="{B9E7F72D-30C8-4B3B-A9E5-A6FE4E54AF6B}" destId="{84D5B847-FB2E-49D4-A898-415356F3EBB0}" srcOrd="1" destOrd="0" presId="urn:microsoft.com/office/officeart/2005/8/layout/process4"/>
    <dgm:cxn modelId="{EE4914D5-A3EE-4266-B02D-1737084FB80B}" type="presOf" srcId="{2ABC8D69-929F-4BE5-AB38-9DDEC47CF09E}" destId="{5617FE96-09BA-443A-BD79-1AF3161A4274}" srcOrd="1" destOrd="0" presId="urn:microsoft.com/office/officeart/2005/8/layout/process4"/>
    <dgm:cxn modelId="{252804DE-DF0D-4DD6-9812-C04E34C54317}" type="presOf" srcId="{F64B11A7-AD2D-4803-AF71-F41852C66C8C}" destId="{2C8CCE0D-A1B6-4C3A-B492-922718F41DD4}" srcOrd="0" destOrd="0" presId="urn:microsoft.com/office/officeart/2005/8/layout/process4"/>
    <dgm:cxn modelId="{DDB256DE-CE57-46E6-BB53-B093863336EC}" type="presOf" srcId="{0F448863-1093-4C6D-B0D2-E356517EE329}" destId="{78C8937D-3731-41DC-925A-306B617523D2}" srcOrd="1" destOrd="0" presId="urn:microsoft.com/office/officeart/2005/8/layout/process4"/>
    <dgm:cxn modelId="{EFF643E0-7ADE-49F4-A32F-0759231F6FC8}" type="presOf" srcId="{B9E7F72D-30C8-4B3B-A9E5-A6FE4E54AF6B}" destId="{75227165-940A-4CF7-8B36-44231866D785}" srcOrd="0" destOrd="0" presId="urn:microsoft.com/office/officeart/2005/8/layout/process4"/>
    <dgm:cxn modelId="{A2128CE5-2EBD-4860-87FA-6851D391D2AB}" srcId="{4F5F2A84-A967-4D3A-847D-B2F0605881CC}" destId="{61B8F656-CECA-4441-A8E9-83D43D45C1F8}" srcOrd="0" destOrd="0" parTransId="{2EB29F82-C0E2-4183-9DF0-E2761AFD540A}" sibTransId="{9EC4DA89-3539-4F77-938F-80213A0677EF}"/>
    <dgm:cxn modelId="{49551CED-2709-4DB5-9FA8-0AF0B884B724}" srcId="{F64B11A7-AD2D-4803-AF71-F41852C66C8C}" destId="{4F5F2A84-A967-4D3A-847D-B2F0605881CC}" srcOrd="2" destOrd="0" parTransId="{143C115F-2590-4C20-BFE8-BF36B87B494D}" sibTransId="{074B9DF8-B8F2-4091-81B1-39DC6944EB87}"/>
    <dgm:cxn modelId="{6C113BF6-ABE4-46B6-A98F-A0FA41B70BCE}" srcId="{F64B11A7-AD2D-4803-AF71-F41852C66C8C}" destId="{2ABC8D69-929F-4BE5-AB38-9DDEC47CF09E}" srcOrd="3" destOrd="0" parTransId="{9D672F4D-366F-4AE3-A266-7D6B997CD6F3}" sibTransId="{F92F38D3-529B-47DC-85E6-EE8FB9324057}"/>
    <dgm:cxn modelId="{904410BB-EE4A-4B5D-955E-35425D5527B4}" type="presParOf" srcId="{2C8CCE0D-A1B6-4C3A-B492-922718F41DD4}" destId="{F9316C8D-5E82-4AF5-A597-BAFD3B61CECD}" srcOrd="0" destOrd="0" presId="urn:microsoft.com/office/officeart/2005/8/layout/process4"/>
    <dgm:cxn modelId="{FB1A7BE8-5C3F-45B9-B9B0-84635FE05680}" type="presParOf" srcId="{F9316C8D-5E82-4AF5-A597-BAFD3B61CECD}" destId="{41A291A5-0AD7-40CE-B630-11BE78321863}" srcOrd="0" destOrd="0" presId="urn:microsoft.com/office/officeart/2005/8/layout/process4"/>
    <dgm:cxn modelId="{EAB0E726-DE01-4FC4-9D2E-3981A0039D62}" type="presParOf" srcId="{F9316C8D-5E82-4AF5-A597-BAFD3B61CECD}" destId="{5617FE96-09BA-443A-BD79-1AF3161A4274}" srcOrd="1" destOrd="0" presId="urn:microsoft.com/office/officeart/2005/8/layout/process4"/>
    <dgm:cxn modelId="{E24E6B65-686E-4B17-894A-F894F9091679}" type="presParOf" srcId="{F9316C8D-5E82-4AF5-A597-BAFD3B61CECD}" destId="{0882ADF7-B227-46C8-A483-C123A15F0277}" srcOrd="2" destOrd="0" presId="urn:microsoft.com/office/officeart/2005/8/layout/process4"/>
    <dgm:cxn modelId="{237BD3C4-1E31-4F2F-A73F-26E136022BF9}" type="presParOf" srcId="{0882ADF7-B227-46C8-A483-C123A15F0277}" destId="{BE144B55-7BD7-40FA-8938-A55862742B4D}" srcOrd="0" destOrd="0" presId="urn:microsoft.com/office/officeart/2005/8/layout/process4"/>
    <dgm:cxn modelId="{513A77A5-66DB-4283-A6E9-2F6E1BFAE9DA}" type="presParOf" srcId="{2C8CCE0D-A1B6-4C3A-B492-922718F41DD4}" destId="{BD902B04-D6BF-46C2-AD98-59E2BD4FBD39}" srcOrd="1" destOrd="0" presId="urn:microsoft.com/office/officeart/2005/8/layout/process4"/>
    <dgm:cxn modelId="{A13CFE91-3B8A-4709-98D4-784EF69F7949}" type="presParOf" srcId="{2C8CCE0D-A1B6-4C3A-B492-922718F41DD4}" destId="{3F24FBAA-201F-4491-88E2-5903496A2612}" srcOrd="2" destOrd="0" presId="urn:microsoft.com/office/officeart/2005/8/layout/process4"/>
    <dgm:cxn modelId="{C6DD7A9B-352F-4A11-8D0F-DD583BBAD64E}" type="presParOf" srcId="{3F24FBAA-201F-4491-88E2-5903496A2612}" destId="{7144DDCF-5685-488F-AD88-99D65FEBE7A3}" srcOrd="0" destOrd="0" presId="urn:microsoft.com/office/officeart/2005/8/layout/process4"/>
    <dgm:cxn modelId="{1058347E-6A59-43F3-9653-FD6F0AB7060C}" type="presParOf" srcId="{3F24FBAA-201F-4491-88E2-5903496A2612}" destId="{A19A3919-6F96-4783-80EC-6DEEA26F4B97}" srcOrd="1" destOrd="0" presId="urn:microsoft.com/office/officeart/2005/8/layout/process4"/>
    <dgm:cxn modelId="{449D7F87-1A51-4476-A458-4BB96EF34EDD}" type="presParOf" srcId="{3F24FBAA-201F-4491-88E2-5903496A2612}" destId="{71BF8502-456A-488E-919B-4109364705EA}" srcOrd="2" destOrd="0" presId="urn:microsoft.com/office/officeart/2005/8/layout/process4"/>
    <dgm:cxn modelId="{53D4EDF0-603B-4EAA-AD73-6EFB51D12C93}" type="presParOf" srcId="{71BF8502-456A-488E-919B-4109364705EA}" destId="{AD6C1AAA-781C-4985-A79F-B4A655E8E9E6}" srcOrd="0" destOrd="0" presId="urn:microsoft.com/office/officeart/2005/8/layout/process4"/>
    <dgm:cxn modelId="{21992AE7-34BF-49CC-9BF7-03149BA6A9F5}" type="presParOf" srcId="{2C8CCE0D-A1B6-4C3A-B492-922718F41DD4}" destId="{89E1851B-0059-46C5-A6A9-C6A11575DB90}" srcOrd="3" destOrd="0" presId="urn:microsoft.com/office/officeart/2005/8/layout/process4"/>
    <dgm:cxn modelId="{92879CBD-4312-4F8E-B4C8-631C0D33B9B2}" type="presParOf" srcId="{2C8CCE0D-A1B6-4C3A-B492-922718F41DD4}" destId="{991C68FB-9724-4428-8EF1-E2474C5CA8BE}" srcOrd="4" destOrd="0" presId="urn:microsoft.com/office/officeart/2005/8/layout/process4"/>
    <dgm:cxn modelId="{543DA122-FA06-4A53-A32F-54F6CAE274EC}" type="presParOf" srcId="{991C68FB-9724-4428-8EF1-E2474C5CA8BE}" destId="{33CBF566-E38E-4E48-AA32-E0EC1712FD9B}" srcOrd="0" destOrd="0" presId="urn:microsoft.com/office/officeart/2005/8/layout/process4"/>
    <dgm:cxn modelId="{CC7D8513-B143-4201-9183-4F7A76578DBE}" type="presParOf" srcId="{991C68FB-9724-4428-8EF1-E2474C5CA8BE}" destId="{78C8937D-3731-41DC-925A-306B617523D2}" srcOrd="1" destOrd="0" presId="urn:microsoft.com/office/officeart/2005/8/layout/process4"/>
    <dgm:cxn modelId="{5A827A37-8B83-4AAC-B15C-436C23AB2013}" type="presParOf" srcId="{991C68FB-9724-4428-8EF1-E2474C5CA8BE}" destId="{3DD26ABE-7C83-4D89-9447-2A780BB1EBB0}" srcOrd="2" destOrd="0" presId="urn:microsoft.com/office/officeart/2005/8/layout/process4"/>
    <dgm:cxn modelId="{FC4AA5B5-BB3C-4476-A2CA-19B54E84D240}" type="presParOf" srcId="{3DD26ABE-7C83-4D89-9447-2A780BB1EBB0}" destId="{A4320D4C-DA77-45E0-B7ED-848238200713}" srcOrd="0" destOrd="0" presId="urn:microsoft.com/office/officeart/2005/8/layout/process4"/>
    <dgm:cxn modelId="{9404F22A-2C04-462F-87E5-4139EC90B281}" type="presParOf" srcId="{2C8CCE0D-A1B6-4C3A-B492-922718F41DD4}" destId="{99828D9D-043E-40CE-8289-1EA41ECA421E}" srcOrd="5" destOrd="0" presId="urn:microsoft.com/office/officeart/2005/8/layout/process4"/>
    <dgm:cxn modelId="{BA42B6AA-01C0-4020-85DC-9F4DE87ACF61}" type="presParOf" srcId="{2C8CCE0D-A1B6-4C3A-B492-922718F41DD4}" destId="{D1E6D24B-C95A-4E0E-A924-F89DF001E92F}" srcOrd="6" destOrd="0" presId="urn:microsoft.com/office/officeart/2005/8/layout/process4"/>
    <dgm:cxn modelId="{02209C4D-C130-42ED-B842-184D322F8CF1}" type="presParOf" srcId="{D1E6D24B-C95A-4E0E-A924-F89DF001E92F}" destId="{75227165-940A-4CF7-8B36-44231866D785}" srcOrd="0" destOrd="0" presId="urn:microsoft.com/office/officeart/2005/8/layout/process4"/>
    <dgm:cxn modelId="{03EE3422-F3B0-4AD5-8BCC-24D7FAA3B949}" type="presParOf" srcId="{D1E6D24B-C95A-4E0E-A924-F89DF001E92F}" destId="{84D5B847-FB2E-49D4-A898-415356F3EBB0}" srcOrd="1" destOrd="0" presId="urn:microsoft.com/office/officeart/2005/8/layout/process4"/>
    <dgm:cxn modelId="{77942D6E-0A0A-41C6-B1E0-C215BE904235}" type="presParOf" srcId="{D1E6D24B-C95A-4E0E-A924-F89DF001E92F}" destId="{EE9D819C-4634-4B39-B9BF-9FC47C44E9B8}" srcOrd="2" destOrd="0" presId="urn:microsoft.com/office/officeart/2005/8/layout/process4"/>
    <dgm:cxn modelId="{D1FEBB5D-BB49-42EE-B935-569C5FA5C099}" type="presParOf" srcId="{EE9D819C-4634-4B39-B9BF-9FC47C44E9B8}" destId="{D01E9A69-FB5C-4340-88B8-F15BD505DC4D}" srcOrd="0" destOrd="0" presId="urn:microsoft.com/office/officeart/2005/8/layout/process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17FE96-09BA-443A-BD79-1AF3161A4274}">
      <dsp:nvSpPr>
        <dsp:cNvPr id="0" name=""/>
        <dsp:cNvSpPr/>
      </dsp:nvSpPr>
      <dsp:spPr>
        <a:xfrm>
          <a:off x="0" y="2975024"/>
          <a:ext cx="3341370" cy="650862"/>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NZ" sz="1100" kern="1200"/>
            <a:t>Engineering Design Criteria</a:t>
          </a:r>
        </a:p>
      </dsp:txBody>
      <dsp:txXfrm>
        <a:off x="0" y="2975024"/>
        <a:ext cx="3341370" cy="351465"/>
      </dsp:txXfrm>
    </dsp:sp>
    <dsp:sp modelId="{BE144B55-7BD7-40FA-8938-A55862742B4D}">
      <dsp:nvSpPr>
        <dsp:cNvPr id="0" name=""/>
        <dsp:cNvSpPr/>
      </dsp:nvSpPr>
      <dsp:spPr>
        <a:xfrm>
          <a:off x="0" y="3313472"/>
          <a:ext cx="3341370" cy="299396"/>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NZ" sz="1050" kern="1200"/>
            <a:t>Structural design criteria that correspond to the physical states/ damage thresholds</a:t>
          </a:r>
        </a:p>
      </dsp:txBody>
      <dsp:txXfrm>
        <a:off x="0" y="3313472"/>
        <a:ext cx="3341370" cy="299396"/>
      </dsp:txXfrm>
    </dsp:sp>
    <dsp:sp modelId="{A19A3919-6F96-4783-80EC-6DEEA26F4B97}">
      <dsp:nvSpPr>
        <dsp:cNvPr id="0" name=""/>
        <dsp:cNvSpPr/>
      </dsp:nvSpPr>
      <dsp:spPr>
        <a:xfrm rot="10800000">
          <a:off x="0" y="1983760"/>
          <a:ext cx="3341370" cy="1001026"/>
        </a:xfrm>
        <a:prstGeom prst="upArrowCallout">
          <a:avLst/>
        </a:prstGeom>
        <a:solidFill>
          <a:schemeClr val="accent2">
            <a:hueOff val="-671783"/>
            <a:satOff val="-5165"/>
            <a:lumOff val="13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NZ" sz="1100" kern="1200"/>
            <a:t>Physical States</a:t>
          </a:r>
        </a:p>
      </dsp:txBody>
      <dsp:txXfrm rot="-10800000">
        <a:off x="0" y="1983760"/>
        <a:ext cx="3341370" cy="351360"/>
      </dsp:txXfrm>
    </dsp:sp>
    <dsp:sp modelId="{AD6C1AAA-781C-4985-A79F-B4A655E8E9E6}">
      <dsp:nvSpPr>
        <dsp:cNvPr id="0" name=""/>
        <dsp:cNvSpPr/>
      </dsp:nvSpPr>
      <dsp:spPr>
        <a:xfrm>
          <a:off x="0" y="2335120"/>
          <a:ext cx="3341370" cy="299306"/>
        </a:xfrm>
        <a:prstGeom prst="rect">
          <a:avLst/>
        </a:prstGeom>
        <a:solidFill>
          <a:schemeClr val="accent2">
            <a:tint val="40000"/>
            <a:alpha val="90000"/>
            <a:hueOff val="-833729"/>
            <a:satOff val="-1174"/>
            <a:lumOff val="-141"/>
            <a:alphaOff val="0"/>
          </a:schemeClr>
        </a:solidFill>
        <a:ln w="12700" cap="flat" cmpd="sng" algn="ctr">
          <a:solidFill>
            <a:schemeClr val="accent2">
              <a:tint val="40000"/>
              <a:alpha val="90000"/>
              <a:hueOff val="-833729"/>
              <a:satOff val="-1174"/>
              <a:lumOff val="-14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NZ" sz="1050" kern="1200"/>
            <a:t>Descriptions of the maximum tolerable levels of damage that would allow the performance goals to be met</a:t>
          </a:r>
        </a:p>
      </dsp:txBody>
      <dsp:txXfrm>
        <a:off x="0" y="2335120"/>
        <a:ext cx="3341370" cy="299306"/>
      </dsp:txXfrm>
    </dsp:sp>
    <dsp:sp modelId="{78C8937D-3731-41DC-925A-306B617523D2}">
      <dsp:nvSpPr>
        <dsp:cNvPr id="0" name=""/>
        <dsp:cNvSpPr/>
      </dsp:nvSpPr>
      <dsp:spPr>
        <a:xfrm rot="10800000">
          <a:off x="0" y="992496"/>
          <a:ext cx="3341370" cy="1001026"/>
        </a:xfrm>
        <a:prstGeom prst="upArrowCallout">
          <a:avLst/>
        </a:prstGeom>
        <a:solidFill>
          <a:schemeClr val="accent2">
            <a:hueOff val="-1343566"/>
            <a:satOff val="-10331"/>
            <a:lumOff val="26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NZ" sz="1100" kern="1200"/>
            <a:t>Performance Goals for Buildings</a:t>
          </a:r>
        </a:p>
      </dsp:txBody>
      <dsp:txXfrm rot="-10800000">
        <a:off x="0" y="992496"/>
        <a:ext cx="3341370" cy="351360"/>
      </dsp:txXfrm>
    </dsp:sp>
    <dsp:sp modelId="{A4320D4C-DA77-45E0-B7ED-848238200713}">
      <dsp:nvSpPr>
        <dsp:cNvPr id="0" name=""/>
        <dsp:cNvSpPr/>
      </dsp:nvSpPr>
      <dsp:spPr>
        <a:xfrm>
          <a:off x="0" y="1343857"/>
          <a:ext cx="3341370" cy="299306"/>
        </a:xfrm>
        <a:prstGeom prst="rect">
          <a:avLst/>
        </a:prstGeom>
        <a:solidFill>
          <a:schemeClr val="accent2">
            <a:tint val="40000"/>
            <a:alpha val="90000"/>
            <a:hueOff val="-1667459"/>
            <a:satOff val="-2348"/>
            <a:lumOff val="-283"/>
            <a:alphaOff val="0"/>
          </a:schemeClr>
        </a:solidFill>
        <a:ln w="12700" cap="flat" cmpd="sng" algn="ctr">
          <a:solidFill>
            <a:schemeClr val="accent2">
              <a:tint val="40000"/>
              <a:alpha val="90000"/>
              <a:hueOff val="-1667459"/>
              <a:satOff val="-2348"/>
              <a:lumOff val="-28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NZ" sz="1050" kern="1200"/>
            <a:t>Translates the clinical and user needs into the performance requirements for hospital buildings</a:t>
          </a:r>
        </a:p>
      </dsp:txBody>
      <dsp:txXfrm>
        <a:off x="0" y="1343857"/>
        <a:ext cx="3341370" cy="299306"/>
      </dsp:txXfrm>
    </dsp:sp>
    <dsp:sp modelId="{84D5B847-FB2E-49D4-A898-415356F3EBB0}">
      <dsp:nvSpPr>
        <dsp:cNvPr id="0" name=""/>
        <dsp:cNvSpPr/>
      </dsp:nvSpPr>
      <dsp:spPr>
        <a:xfrm rot="10800000">
          <a:off x="0" y="1233"/>
          <a:ext cx="3341370" cy="1001026"/>
        </a:xfrm>
        <a:prstGeom prst="upArrowCallout">
          <a:avLst/>
        </a:prstGeom>
        <a:solidFill>
          <a:schemeClr val="accent2">
            <a:hueOff val="-2015349"/>
            <a:satOff val="-15496"/>
            <a:lumOff val="39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NZ" sz="1100" kern="1200"/>
            <a:t>Outcome Objectives</a:t>
          </a:r>
        </a:p>
      </dsp:txBody>
      <dsp:txXfrm rot="-10800000">
        <a:off x="0" y="1233"/>
        <a:ext cx="3341370" cy="351360"/>
      </dsp:txXfrm>
    </dsp:sp>
    <dsp:sp modelId="{D01E9A69-FB5C-4340-88B8-F15BD505DC4D}">
      <dsp:nvSpPr>
        <dsp:cNvPr id="0" name=""/>
        <dsp:cNvSpPr/>
      </dsp:nvSpPr>
      <dsp:spPr>
        <a:xfrm>
          <a:off x="0" y="352593"/>
          <a:ext cx="3341370" cy="299306"/>
        </a:xfrm>
        <a:prstGeom prst="rect">
          <a:avLst/>
        </a:prstGeom>
        <a:solidFill>
          <a:schemeClr val="accent2">
            <a:tint val="40000"/>
            <a:alpha val="90000"/>
            <a:hueOff val="-2501188"/>
            <a:satOff val="-3522"/>
            <a:lumOff val="-424"/>
            <a:alphaOff val="0"/>
          </a:schemeClr>
        </a:solidFill>
        <a:ln w="12700" cap="flat" cmpd="sng" algn="ctr">
          <a:solidFill>
            <a:schemeClr val="accent2">
              <a:tint val="40000"/>
              <a:alpha val="90000"/>
              <a:hueOff val="-2501188"/>
              <a:satOff val="-3522"/>
              <a:lumOff val="-42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NZ" sz="1050" kern="1200"/>
            <a:t>The mission</a:t>
          </a:r>
          <a:r>
            <a:rPr lang="en-NZ" sz="1050" kern="1200">
              <a:latin typeface="Calibri" panose="020F0502020204030204" pitchFamily="34" charset="0"/>
              <a:cs typeface="Calibri" panose="020F0502020204030204" pitchFamily="34" charset="0"/>
            </a:rPr>
            <a:t>—</a:t>
          </a:r>
          <a:r>
            <a:rPr lang="en-NZ" sz="1050" kern="1200"/>
            <a:t>the overall success criteria following a big earthquake</a:t>
          </a:r>
        </a:p>
      </dsp:txBody>
      <dsp:txXfrm>
        <a:off x="0" y="352593"/>
        <a:ext cx="3341370" cy="29930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2098659788"/>
        <w:category>
          <w:name w:val="General"/>
          <w:gallery w:val="placeholder"/>
        </w:category>
        <w:types>
          <w:type w:val="bbPlcHdr"/>
        </w:types>
        <w:behaviors>
          <w:behavior w:val="content"/>
        </w:behaviors>
        <w:guid w:val="{B834BA4B-2B5D-49CF-ABB2-59C8B7910631}"/>
      </w:docPartPr>
      <w:docPartBody>
        <w:p w:rsidR="007F33F6" w:rsidRDefault="00E17AAD">
          <w:r w:rsidRPr="004167FB">
            <w:rPr>
              <w:rStyle w:val="PlaceholderText"/>
            </w:rPr>
            <w:t>Type equation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Poppins">
    <w:panose1 w:val="00000500000000000000"/>
    <w:charset w:val="00"/>
    <w:family w:val="auto"/>
    <w:pitch w:val="variable"/>
    <w:sig w:usb0="00008007" w:usb1="00000000" w:usb2="00000000" w:usb3="00000000" w:csb0="00000093"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AAD"/>
    <w:rsid w:val="004420AD"/>
    <w:rsid w:val="0049194A"/>
    <w:rsid w:val="007E3974"/>
    <w:rsid w:val="007F33F6"/>
    <w:rsid w:val="008F7AFF"/>
    <w:rsid w:val="0092073B"/>
    <w:rsid w:val="00955E0D"/>
    <w:rsid w:val="00A727EC"/>
    <w:rsid w:val="00CF3759"/>
    <w:rsid w:val="00D01769"/>
    <w:rsid w:val="00E17A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NZ" w:eastAsia="en-N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7AAD"/>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HealthNZ_2024">
  <a:themeElements>
    <a:clrScheme name="Custom 2">
      <a:dk1>
        <a:srgbClr val="15284C"/>
      </a:dk1>
      <a:lt1>
        <a:srgbClr val="F6F4EC"/>
      </a:lt1>
      <a:dk2>
        <a:srgbClr val="15284C"/>
      </a:dk2>
      <a:lt2>
        <a:srgbClr val="30A1AC"/>
      </a:lt2>
      <a:accent1>
        <a:srgbClr val="4D2379"/>
      </a:accent1>
      <a:accent2>
        <a:srgbClr val="003399"/>
      </a:accent2>
      <a:accent3>
        <a:srgbClr val="0C818F"/>
      </a:accent3>
      <a:accent4>
        <a:srgbClr val="FFFFFF"/>
      </a:accent4>
      <a:accent5>
        <a:srgbClr val="15284C"/>
      </a:accent5>
      <a:accent6>
        <a:srgbClr val="FFFFFF"/>
      </a:accent6>
      <a:hlink>
        <a:srgbClr val="2B529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NZS22</b:Tag>
    <b:SourceType>DocumentFromInternetSite</b:SourceType>
    <b:Guid>{8AE32933-8FD3-41E2-AF27-8134E04A4B99}</b:Guid>
    <b:Title>Earthquake Design for Uncertainty: Advisory, Rev. 1</b:Title>
    <b:Year>2022</b:Year>
    <b:Month>August</b:Month>
    <b:YearAccessed>2022</b:YearAccessed>
    <b:MonthAccessed>August</b:MonthAccessed>
    <b:DayAccessed>24</b:DayAccessed>
    <b:URL>https://www.nzsee.org.nz/db/PUBS/Earthquake-Design-for-Uncertainty-Advisory_Rev1_August-2022-NZSEE-SESOC-NZGS.pdf</b:URL>
    <b:Author>
      <b:Author>
        <b:Corporate>NZSEE, SESOC, NZGS</b:Corporate>
      </b:Author>
    </b:Author>
    <b:RefOrder>17</b:RefOrder>
  </b:Source>
  <b:Source>
    <b:Tag>SES221</b:Tag>
    <b:SourceType>Book</b:SourceType>
    <b:Guid>{987A77F1-0F6A-4D6A-9DA9-067890D95079}</b:Guid>
    <b:Author>
      <b:Author>
        <b:Corporate>SESOC</b:Corporate>
      </b:Author>
    </b:Author>
    <b:Title>Interim Design Guidelines: Design of Conventional Structural Systems v11, October 2022</b:Title>
    <b:Year>2022</b:Year>
    <b:Publisher>Strutural Engineering Society of New Zealand</b:Publisher>
    <b:RefOrder>18</b:RefOrder>
  </b:Source>
  <b:Source>
    <b:Tag>SNZ171</b:Tag>
    <b:SourceType>Book</b:SourceType>
    <b:Guid>{69D3E81F-C358-4DC2-972B-6EC1B8FE5073}</b:Guid>
    <b:Author>
      <b:Author>
        <b:Corporate>SNZ</b:Corporate>
      </b:Author>
    </b:Author>
    <b:Title>NZS 3101:2006 Inc. Amd. 1-3 Concrete Structures Standard</b:Title>
    <b:Year>2017</b:Year>
    <b:Publisher>Standards New Zealand</b:Publisher>
    <b:RefOrder>19</b:RefOrder>
  </b:Source>
  <b:Source>
    <b:Tag>SNZ18</b:Tag>
    <b:SourceType>Book</b:SourceType>
    <b:Guid>{1BC146C6-F25A-4EA3-A6A3-09EF56F63A78}</b:Guid>
    <b:Title>SNZ TS 3404:2018 Durability Requirements for Steel Structures and Components</b:Title>
    <b:Year>2018</b:Year>
    <b:Author>
      <b:Author>
        <b:Corporate>SNZ</b:Corporate>
      </b:Author>
    </b:Author>
    <b:Publisher>Standards New Zealand</b:Publisher>
    <b:RefOrder>20</b:RefOrder>
  </b:Source>
  <b:Source>
    <b:Tag>SES22</b:Tag>
    <b:SourceType>DocumentFromInternetSite</b:SourceType>
    <b:Guid>{EF468152-CB90-452F-93BD-1284879FF062}</b:Guid>
    <b:Title>Interim Advice on the 2022 National Seismic Hazard Model Release</b:Title>
    <b:Year>2022</b:Year>
    <b:Author>
      <b:Author>
        <b:Corporate>SESOC, NZSEE, NZGS</b:Corporate>
      </b:Author>
    </b:Author>
    <b:Month>October</b:Month>
    <b:YearAccessed>2022</b:YearAccessed>
    <b:MonthAccessed>October</b:MonthAccessed>
    <b:DayAccessed>4</b:DayAccessed>
    <b:URL>https://www.nzsee.org.nz/db/PUBS/2022-NSHM-Advisory_Rev1.0_October-2022-SESOC-NZSEE-NZGS.pdf</b:URL>
    <b:RefOrder>33</b:RefOrder>
  </b:Source>
  <b:Source>
    <b:Tag>MBI20</b:Tag>
    <b:SourceType>Report</b:SourceType>
    <b:Guid>{C09F7197-252C-4CAB-AF0E-C2E950ECBD70}</b:Guid>
    <b:Author>
      <b:Author>
        <b:Corporate>MBIE</b:Corporate>
      </b:Author>
    </b:Author>
    <b:Title>Whole-of-Life Embodied Carbon Emissions Reduction Framework</b:Title>
    <b:Year>2020</b:Year>
    <b:City>Wellington</b:City>
    <b:Publisher>Ministry of Business, Innovation and Employment</b:Publisher>
    <b:RefOrder>11</b:RefOrder>
  </b:Source>
  <b:Source>
    <b:Tag>TeW22</b:Tag>
    <b:SourceType>Report</b:SourceType>
    <b:Guid>{749A05E6-3768-4480-B9B9-7F355743B073}</b:Guid>
    <b:Author>
      <b:Author>
        <b:Corporate>Te Whatu Ora, Te Aka Whai Ora</b:Corporate>
      </b:Author>
    </b:Author>
    <b:Title>Te Pae Tata Interim New Zealand Health Plan, October 2022</b:Title>
    <b:Year>2022</b:Year>
    <b:Publisher>Te Whatu Ora - Maori Health Authority, Te Aka Whai Ora - Health New Zealand</b:Publisher>
    <b:RefOrder>56</b:RefOrder>
  </b:Source>
  <b:Source>
    <b:Tag>NZG211</b:Tag>
    <b:SourceType>Book</b:SourceType>
    <b:Guid>{414FEFAF-0567-4E9D-80D5-167C64639317}</b:Guid>
    <b:Author>
      <b:Author>
        <b:Corporate>NZGS, MBIE</b:Corporate>
      </b:Author>
    </b:Author>
    <b:Title>Earthquake Geotechnical Earthquake Practice Modules 1-6, Rev. 1, November 2021</b:Title>
    <b:Year>2021</b:Year>
    <b:Publisher>New Zealand Geotechnical Society, Ministry of Business, Innovation and Employment</b:Publisher>
    <b:City>Wellington</b:City>
    <b:RefOrder>57</b:RefOrder>
  </b:Source>
  <b:Source>
    <b:Tag>Kes22</b:Tag>
    <b:SourceType>Report</b:SourceType>
    <b:Guid>{26A4CFD1-6C5D-4301-9924-05634517706C}</b:Guid>
    <b:Author>
      <b:Author>
        <b:Corporate>Kestrel Group</b:Corporate>
      </b:Author>
    </b:Author>
    <b:Title>Understanding and Improving the Seismic Resilience of Hospital Buildings, Summary and Technical Reports, 3 June 2022</b:Title>
    <b:Year>2022</b:Year>
    <b:City>Wellington</b:City>
    <b:Publisher>Kestrel Group</b:Publisher>
    <b:RefOrder>3</b:RefOrder>
  </b:Source>
  <b:Source>
    <b:Tag>FEM21</b:Tag>
    <b:SourceType>Report</b:SourceType>
    <b:Guid>{B251A267-CB15-46CA-8D4D-1B186C8F094D}</b:Guid>
    <b:Author>
      <b:Author>
        <b:Corporate>FEMA, NIST</b:Corporate>
      </b:Author>
    </b:Author>
    <b:Title>FEMA P-2090/NIST SP-1254 Recommended Options for Improving the Built Environment for Post-Earthquake Reoccupancy and Functional Recovery Time, Final Report, January 2021</b:Title>
    <b:Year>2021</b:Year>
    <b:Publisher>Federal Emergency Management Agency, National Institute of Standards and Technology</b:Publisher>
    <b:RefOrder>16</b:RefOrder>
  </b:Source>
  <b:Source>
    <b:Tag>SPU12</b:Tag>
    <b:SourceType>Report</b:SourceType>
    <b:Guid>{D01079E2-9102-48FC-B3A6-489709D6CFDE}</b:Guid>
    <b:Author>
      <b:Author>
        <b:Corporate>SPUR</b:Corporate>
      </b:Author>
    </b:Author>
    <b:Title>Spur Report 01/2012 Safe Enough to Stay</b:Title>
    <b:Year>2012</b:Year>
    <b:Publisher>San Francisco Bay Area Planning and Urban Rescue Association</b:Publisher>
    <b:City>San Fransisco</b:City>
    <b:URL>https://www.spur.org/sites/default/files/2013-09/SPUR_Safe_Enough_to_Stay.pdf</b:URL>
    <b:RefOrder>54</b:RefOrder>
  </b:Source>
  <b:Source>
    <b:Tag>NZG231</b:Tag>
    <b:SourceType>Report</b:SourceType>
    <b:Guid>{B1511F7D-844E-4949-B605-AC3E41AA3141}</b:Guid>
    <b:Author>
      <b:Author>
        <b:Corporate>NZGBC</b:Corporate>
      </b:Author>
    </b:Author>
    <b:Title>Life Cycle Impacts Calculator Guide, Version 1.0 - May 2023</b:Title>
    <b:Year>2023</b:Year>
    <b:Publisher>New Zealand Green Building Council</b:Publisher>
    <b:RefOrder>21</b:RefOrder>
  </b:Source>
  <b:Source>
    <b:Tag>MBI221</b:Tag>
    <b:SourceType>Report</b:SourceType>
    <b:Guid>{8DBDB027-8D60-4920-9C8D-4276B6C4B2B0}</b:Guid>
    <b:Title>Whole-of-Life Embodied Carbon Assessment: Technical Methodology, February 2022</b:Title>
    <b:Year>2022</b:Year>
    <b:Publisher>Ministry of Business, Innovation and Employment</b:Publisher>
    <b:Author>
      <b:Author>
        <b:Corporate>MBIE</b:Corporate>
      </b:Author>
    </b:Author>
    <b:RefOrder>58</b:RefOrder>
  </b:Source>
  <b:Source>
    <b:Tag>FEM18</b:Tag>
    <b:SourceType>Report</b:SourceType>
    <b:Guid>{FACE4395-FD46-445C-BBA2-D60B7285FE94}</b:Guid>
    <b:Title>FEMA P-58-1 Seismic Performance Assessment of Buildings: Volume 1 - Methodology (Second Edition)</b:Title>
    <b:Year>2018</b:Year>
    <b:City>Washington, D.C.</b:City>
    <b:Publisher>Federal Emergency Managment Agency</b:Publisher>
    <b:Author>
      <b:Author>
        <b:Corporate>FEMA</b:Corporate>
      </b:Author>
    </b:Author>
    <b:RefOrder>35</b:RefOrder>
  </b:Source>
  <b:Source>
    <b:Tag>SNZ00</b:Tag>
    <b:SourceType>Book</b:SourceType>
    <b:Guid>{8CABD5A1-2143-4629-BB51-33720E58FAA6}</b:Guid>
    <b:Author>
      <b:Author>
        <b:Corporate>SNZ</b:Corporate>
      </b:Author>
    </b:Author>
    <b:Title>AS/NZS 2785:2000 Suspended Ceilings - Design and Installation</b:Title>
    <b:Year>2000</b:Year>
    <b:Publisher>Standards New Zealand</b:Publisher>
    <b:City>Wellington</b:City>
    <b:RefOrder>59</b:RefOrder>
  </b:Source>
  <b:Source>
    <b:Tag>AWC15</b:Tag>
    <b:SourceType>Book</b:SourceType>
    <b:Guid>{1AD4ACA6-7ECE-483D-829E-5168B8FC746A}</b:Guid>
    <b:Author>
      <b:Author>
        <b:Corporate>AWCI</b:Corporate>
      </b:Author>
    </b:Author>
    <b:Title>Code of Practice for Design, Installation and Seismic Restraint of Suspended Ceilings - Version 1, October 2015</b:Title>
    <b:Year>2015</b:Year>
    <b:Publisher>Association of Wall &amp; Ceiling Industries</b:Publisher>
    <b:RefOrder>39</b:RefOrder>
  </b:Source>
  <b:Source>
    <b:Tag>SNZ09</b:Tag>
    <b:SourceType>Book</b:SourceType>
    <b:Guid>{196AFDF0-8D58-4A93-A727-FF3AB7FA5C8A}</b:Guid>
    <b:Author>
      <b:Author>
        <b:Corporate>SNZ</b:Corporate>
      </b:Author>
    </b:Author>
    <b:Title>NZS 4219:2009 Seismic Performance of Engineering Systems in Buildings</b:Title>
    <b:Year>2009</b:Year>
    <b:City>Wellington</b:City>
    <b:Publisher>Standards New Zealand</b:Publisher>
    <b:RefOrder>44</b:RefOrder>
  </b:Source>
  <b:Source>
    <b:Tag>ASH12</b:Tag>
    <b:SourceType>Book</b:SourceType>
    <b:Guid>{B20E735E-2B22-415A-80F3-387932CE4007}</b:Guid>
    <b:Author>
      <b:Author>
        <b:Corporate>ASHRAE</b:Corporate>
      </b:Author>
    </b:Author>
    <b:Title>Practical Guide to Seismic Restraint: Second Edition</b:Title>
    <b:Year>2012</b:Year>
    <b:Publisher>American Society of Heating, Refrigerating and Air-Conditioning Engineerings, Inc.</b:Publisher>
    <b:RefOrder>24</b:RefOrder>
  </b:Source>
  <b:Source>
    <b:Tag>Mas16</b:Tag>
    <b:SourceType>Book</b:SourceType>
    <b:Guid>{0C46E44C-E71B-4661-B61E-68C8EAFE5C60}</b:Guid>
    <b:Author>
      <b:Author>
        <b:Corporate>Mason Industries</b:Corporate>
      </b:Author>
    </b:Author>
    <b:Title>Seismic Restraint Guidelines: 11th Edition, January 2016</b:Title>
    <b:Year>2016</b:Year>
    <b:Publisher>Mason Industries</b:Publisher>
    <b:RefOrder>60</b:RefOrder>
  </b:Source>
  <b:Source>
    <b:Tag>ASC22</b:Tag>
    <b:SourceType>Book</b:SourceType>
    <b:Guid>{7B183090-98FC-4C02-B8BB-745D0A8BBA3A}</b:Guid>
    <b:Author>
      <b:Author>
        <b:Corporate>ASCE/SEI</b:Corporate>
      </b:Author>
    </b:Author>
    <b:Title>ASCE/SEI 7-22 Minimum Design Loads and Associated Criteria for Buildings and Other Structures</b:Title>
    <b:Year>2022</b:Year>
    <b:Publisher>American Society of Civil Engineers</b:Publisher>
    <b:RefOrder>61</b:RefOrder>
  </b:Source>
  <b:Source>
    <b:Tag>NZS09</b:Tag>
    <b:SourceType>Book</b:SourceType>
    <b:Guid>{D85D228B-94DE-4857-BC28-EFD7776CA516}</b:Guid>
    <b:Author>
      <b:Author>
        <b:Corporate>NZSEE</b:Corporate>
      </b:Author>
    </b:Author>
    <b:Title>Recommednations of a NZSEE Study Group on Seismic Design of Storage Tanks, November 2009</b:Title>
    <b:Year>2009</b:Year>
    <b:Publisher>New Zealand Society for Earthquake Engineering</b:Publisher>
    <b:RefOrder>45</b:RefOrder>
  </b:Source>
  <b:Source>
    <b:Tag>FEM</b:Tag>
    <b:SourceType>Report</b:SourceType>
    <b:Guid>{E6F2617A-A4B2-456B-A9E5-CA5369573E11}</b:Guid>
    <b:Title>FEMA P-58-3 Seismic Performance Assessment of Buildings: Volume 3 - Supporting Electronic Materials and Background</b:Title>
    <b:Publisher>Federal Emergency Management Agency</b:Publisher>
    <b:Author>
      <b:Author>
        <b:Corporate>FEMA</b:Corporate>
      </b:Author>
    </b:Author>
    <b:URL>https://femap58.atcouncil.org/supporting-materials</b:URL>
    <b:RefOrder>37</b:RefOrder>
  </b:Source>
  <b:Source>
    <b:Tag>AWC18</b:Tag>
    <b:SourceType>Book</b:SourceType>
    <b:Guid>{A5FF0666-C1D3-481E-98BE-E9772D712FA2}</b:Guid>
    <b:Title>Code of Practice for the seismic design and installation of non-strutural internal walls and partitions - 1st Edition, July 2018</b:Title>
    <b:Year>2018</b:Year>
    <b:Publisher>Association of Wall &amp; Ceiling Industries</b:Publisher>
    <b:Author>
      <b:Author>
        <b:Corporate>AWCI</b:Corporate>
      </b:Author>
    </b:Author>
    <b:RefOrder>38</b:RefOrder>
  </b:Source>
  <b:Source>
    <b:Tag>TeW</b:Tag>
    <b:SourceType>Book</b:SourceType>
    <b:Guid>{C3200F0D-D7BE-45ED-BA2E-B08588BEB809}</b:Guid>
    <b:Author>
      <b:Author>
        <b:Corporate>Te Whatu Ora</b:Corporate>
      </b:Author>
    </b:Author>
    <b:Title>NZ Health Facility Design Guidance Note DGN V2.0: NZ Health Facility Design, September 2022</b:Title>
    <b:Publisher>Te Whatu Ora</b:Publisher>
    <b:Year>2022</b:Year>
    <b:URL>https://www.tewhatuora.govt.nz/publications/health-facility-design-guidance-note/</b:URL>
    <b:RefOrder>1</b:RefOrder>
  </b:Source>
  <b:Source>
    <b:Tag>ENZ18</b:Tag>
    <b:SourceType>Report</b:SourceType>
    <b:Guid>{54123044-C7A4-4B3D-9564-FEED28BC5900}</b:Guid>
    <b:Author>
      <b:Author>
        <b:Corporate>ENZ</b:Corporate>
      </b:Author>
    </b:Author>
    <b:Title>Practice Note 2: Peer Review - Version 2, April 2018</b:Title>
    <b:Year>2018</b:Year>
    <b:Publisher>Engineering New Zealand</b:Publisher>
    <b:RefOrder>8</b:RefOrder>
  </b:Source>
  <b:Source>
    <b:Tag>BRA15</b:Tag>
    <b:SourceType>JournalArticle</b:SourceType>
    <b:Guid>{2C693E39-4B93-4359-8A41-F12790D35518}</b:Guid>
    <b:Title>Seismically Resilient Non-structural Elements #4 - Seismic Clearance at Penetrations</b:Title>
    <b:Year>2015</b:Year>
    <b:URL>https://www.branz.co.nz/pubs/branz-facts/non-structural-elements/</b:URL>
    <b:Author>
      <b:Author>
        <b:Corporate>BRANZ</b:Corporate>
      </b:Author>
    </b:Author>
    <b:JournalName>BRANZ Facts</b:JournalName>
    <b:RefOrder>43</b:RefOrder>
  </b:Source>
  <b:Source>
    <b:Tag>SES10</b:Tag>
    <b:SourceType>Report</b:SourceType>
    <b:Guid>{98121633-C519-4B73-88AD-E8719779C787}</b:Guid>
    <b:Author>
      <b:Author>
        <b:Corporate>SESOC</b:Corporate>
      </b:Author>
    </b:Author>
    <b:Title>SESOC Practice Guideline: Independent Review of Structural Designs for Building Consent</b:Title>
    <b:Year>2010</b:Year>
    <b:Publisher>Strutural Engineering Society of New Zealand</b:Publisher>
    <b:RefOrder>9</b:RefOrder>
  </b:Source>
  <b:Source>
    <b:Tag>MBI18</b:Tag>
    <b:SourceType>Book</b:SourceType>
    <b:Guid>{14EBB711-AADD-4241-B032-5F3AF942C2BA}</b:Guid>
    <b:Author>
      <b:Author>
        <b:Corporate>MBIE</b:Corporate>
      </b:Author>
    </b:Author>
    <b:Title>Managing Buildings in an Emergency: Guidance for decision makers and territorial authorities - Ver. 1, June 2018</b:Title>
    <b:Year>2018</b:Year>
    <b:Publisher>Ministry of Business, Innovation and Employment</b:Publisher>
    <b:RefOrder>62</b:RefOrder>
  </b:Source>
  <b:Source>
    <b:Tag>NZS19</b:Tag>
    <b:SourceType>Book</b:SourceType>
    <b:Guid>{0DB0C2C1-AB2A-4AE5-9ECA-4BFA6CD31B22}</b:Guid>
    <b:Author>
      <b:Author>
        <b:Corporate>NZSEE</b:Corporate>
      </b:Author>
    </b:Author>
    <b:Title>Guideline for the Design of Seismic Isolation Systems for Buildings - June 2019 Draft for Trial Use</b:Title>
    <b:Year>2019</b:Year>
    <b:Publisher>New Zealand Society for Earthquake Engineering</b:Publisher>
    <b:RefOrder>36</b:RefOrder>
  </b:Source>
  <b:Source>
    <b:Tag>Smi09</b:Tag>
    <b:SourceType>Report</b:SourceType>
    <b:Guid>{7F6387E3-2574-4F72-98C8-78863E8BDCD6}</b:Guid>
    <b:Title>SCI P354: Design of Floors for Vibration: A New Approach (Revised Edition, February 2009)</b:Title>
    <b:Year>2009</b:Year>
    <b:Publisher>Steel Construction Institute (UK)</b:Publisher>
    <b:Author>
      <b:Author>
        <b:NameList>
          <b:Person>
            <b:Last>Smith</b:Last>
            <b:Middle>L.</b:Middle>
            <b:First>A.</b:First>
          </b:Person>
          <b:Person>
            <b:Last>Hicks</b:Last>
            <b:Middle>J.</b:Middle>
            <b:First>S.</b:First>
          </b:Person>
          <b:Person>
            <b:Last>Devine</b:Last>
            <b:Middle>J.</b:Middle>
            <b:First>P.</b:First>
          </b:Person>
        </b:NameList>
      </b:Author>
    </b:Author>
    <b:RefOrder>22</b:RefOrder>
  </b:Source>
  <b:Source>
    <b:Tag>Wil06</b:Tag>
    <b:SourceType>Report</b:SourceType>
    <b:Guid>{19BC4AE1-775E-4916-BF91-C23F6387FB19}</b:Guid>
    <b:Title>CCIP-016 A Design Guide for Footfall Induced Vibration of Structures</b:Title>
    <b:Year>2006</b:Year>
    <b:Publisher>The Concrete Society, UK on behalf of the Cement and Concrete Industry Publications Forum</b:Publisher>
    <b:Author>
      <b:Author>
        <b:NameList>
          <b:Person>
            <b:Last>Wilford</b:Last>
            <b:Middle>R.</b:Middle>
            <b:First>M.</b:First>
          </b:Person>
          <b:Person>
            <b:Last>Young</b:Last>
            <b:First>P.</b:First>
          </b:Person>
        </b:NameList>
      </b:Author>
    </b:Author>
    <b:RefOrder>23</b:RefOrder>
  </b:Source>
  <b:Source>
    <b:Tag>ISO07</b:Tag>
    <b:SourceType>Book</b:SourceType>
    <b:Guid>{A8073984-CD0A-4B9A-AA34-344E0BA788EE}</b:Guid>
    <b:Author>
      <b:Author>
        <b:Corporate>ISO</b:Corporate>
      </b:Author>
    </b:Author>
    <b:Title>ISO 10137:2007 Bases for Design of Structures - Serviceability of buildings and walkways against vibrations</b:Title>
    <b:Year>2007</b:Year>
    <b:Publisher>International Organization for Standardization</b:Publisher>
    <b:RefOrder>25</b:RefOrder>
  </b:Source>
  <b:Source>
    <b:Tag>BSI08</b:Tag>
    <b:SourceType>Book</b:SourceType>
    <b:Guid>{93316CB7-76D7-40AC-A24E-6C5A2BBEE7FE}</b:Guid>
    <b:Author>
      <b:Author>
        <b:NameList>
          <b:Person>
            <b:Last>BSI</b:Last>
          </b:Person>
        </b:NameList>
      </b:Author>
    </b:Author>
    <b:Title>BS 6472-1:2008 Guide to evaluation of human exposure to vibration in buildings: Vibration sources other than blasting</b:Title>
    <b:Year>2008</b:Year>
    <b:Publisher>British Standards Institute</b:Publisher>
    <b:RefOrder>26</b:RefOrder>
  </b:Source>
  <b:Source>
    <b:Tag>Dep13</b:Tag>
    <b:SourceType>Book</b:SourceType>
    <b:Guid>{4C2B3BB8-D178-4F87-B947-A86E622683D0}</b:Guid>
    <b:Author>
      <b:Author>
        <b:Corporate>Department of Health</b:Corporate>
      </b:Author>
    </b:Author>
    <b:Title>Health Technical Memorandum HTM 08-01: Acoustics</b:Title>
    <b:Year>2013</b:Year>
    <b:Publisher>Department of Health/NHS (UK)</b:Publisher>
    <b:URL>https://www.england.nhs.uk/wp-content/uploads/2021/05/HTM_08-01.pdf</b:URL>
    <b:RefOrder>27</b:RefOrder>
  </b:Source>
  <b:Source>
    <b:Tag>ASH15</b:Tag>
    <b:SourceType>Book</b:SourceType>
    <b:Guid>{98060FB7-65E4-4BFC-96B8-B67290D702D3}</b:Guid>
    <b:Author>
      <b:Author>
        <b:Corporate>ASHRAE</b:Corporate>
      </b:Author>
    </b:Author>
    <b:Title>ASHRAE Handbook - HVAC Applications, SI Edition (Chapter 48 - Noise and Vibration Control)</b:Title>
    <b:Year>2015</b:Year>
    <b:Publisher>ASHRAE</b:Publisher>
    <b:Pages>48.44 (Chapter 48 - Noise and Vibration Control)</b:Pages>
    <b:RefOrder>29</b:RefOrder>
  </b:Source>
  <b:Source>
    <b:Tag>IES05</b:Tag>
    <b:SourceType>Book</b:SourceType>
    <b:Guid>{7708EB63-13F6-4B1F-A49E-52BA131952C1}</b:Guid>
    <b:Author>
      <b:Author>
        <b:Corporate>IEST</b:Corporate>
      </b:Author>
    </b:Author>
    <b:Title>Recommended Practice RP-012: IES-RP-CC012.2 Considerations in Clean Room Design (Appendix C)</b:Title>
    <b:Year>2005</b:Year>
    <b:Publisher>Institute of Environmental Sciences</b:Publisher>
    <b:RefOrder>28</b:RefOrder>
  </b:Source>
  <b:Source>
    <b:Tag>Wat20</b:Tag>
    <b:SourceType>ArticleInAPeriodical</b:SourceType>
    <b:Guid>{2A86A021-B405-463A-8D82-6199E94C6227}</b:Guid>
    <b:Title>Lean Design: 10 things to do now</b:Title>
    <b:JournalName>The Structural Engineer</b:JournalName>
    <b:Year>2020</b:Year>
    <b:Pages>12-14</b:Pages>
    <b:Author>
      <b:Author>
        <b:NameList>
          <b:Person>
            <b:Last>Watson</b:Last>
            <b:First>Natasha</b:First>
          </b:Person>
        </b:NameList>
      </b:Author>
    </b:Author>
    <b:PeriodicalTitle>The Structural Engineer</b:PeriodicalTitle>
    <b:Month>August</b:Month>
    <b:RefOrder>30</b:RefOrder>
  </b:Source>
  <b:Source>
    <b:Tag>FEM23</b:Tag>
    <b:SourceType>Report</b:SourceType>
    <b:Guid>{D3C1F6A7-F9A0-4CCA-B06D-F5CA2F39F783}</b:Guid>
    <b:Author>
      <b:Author>
        <b:Corporate>FEMA</b:Corporate>
      </b:Author>
    </b:Author>
    <b:Title>FEMA P-2055-2 Recommendations for Cordoning Earthquake-Damaged Buildings</b:Title>
    <b:Year>2023</b:Year>
    <b:Publisher>Federal Emergency Management Agency</b:Publisher>
    <b:RefOrder>55</b:RefOrder>
  </b:Source>
  <b:Source>
    <b:Tag>Pra22</b:Tag>
    <b:SourceType>Report</b:SourceType>
    <b:Guid>{E87621D7-94DB-4776-A1D1-10D980EE5A99}</b:Guid>
    <b:Title>Using P21-tested Bracing Units Outside the Scope of NZS 3604, September 2022</b:Title>
    <b:Year>2022</b:Year>
    <b:Publisher>Engineering New Zealand</b:Publisher>
    <b:Author>
      <b:Author>
        <b:NameList>
          <b:Person>
            <b:Last>Pratchett</b:Last>
            <b:First>Martin</b:First>
          </b:Person>
        </b:NameList>
      </b:Author>
    </b:Author>
    <b:RefOrder>53</b:RefOrder>
  </b:Source>
  <b:Source>
    <b:Tag>SNZ111</b:Tag>
    <b:SourceType>Book</b:SourceType>
    <b:Guid>{47A7A806-12B1-4FE5-B0E4-DE7C56FB3183}</b:Guid>
    <b:Title>NZS 3604:2011 Timber-framed buildings</b:Title>
    <b:Year>2011</b:Year>
    <b:Publisher>Standards New Zealand</b:Publisher>
    <b:Author>
      <b:Author>
        <b:Corporate>SNZ</b:Corporate>
      </b:Author>
    </b:Author>
    <b:RefOrder>51</b:RefOrder>
  </b:Source>
  <b:Source>
    <b:Tag>NAS19</b:Tag>
    <b:SourceType>Book</b:SourceType>
    <b:Guid>{9BF42A28-BE4C-4483-9D18-EBCB04AC8A3D}</b:Guid>
    <b:Author>
      <b:Author>
        <b:Corporate>NASH</b:Corporate>
      </b:Author>
    </b:Author>
    <b:Title>NASH Standard Part 2:2019 Light Steel Framed Buildings</b:Title>
    <b:Year>2019</b:Year>
    <b:Publisher>National Association of Steel-Framed Housing Inc.</b:Publisher>
    <b:RefOrder>52</b:RefOrder>
  </b:Source>
  <b:Source>
    <b:Tag>ENZ23</b:Tag>
    <b:SourceType>Report</b:SourceType>
    <b:Guid>{05E1D340-3EF6-4BA0-A18B-10B8714B91AF}</b:Guid>
    <b:Author>
      <b:Author>
        <b:Corporate>ENZ</b:Corporate>
      </b:Author>
    </b:Author>
    <b:Title>Warehouse Review Findings Report, February 2023</b:Title>
    <b:Year>2023</b:Year>
    <b:Publisher>Engineering New Zealand</b:Publisher>
    <b:RefOrder>50</b:RefOrder>
  </b:Source>
  <b:Source>
    <b:Tag>BSI14</b:Tag>
    <b:SourceType>Book</b:SourceType>
    <b:Guid>{1C7FC820-0969-4F45-B030-AA5FE560E652}</b:Guid>
    <b:Author>
      <b:Author>
        <b:Corporate>BSI</b:Corporate>
      </b:Author>
    </b:Author>
    <b:Title>BS EN 81-20:2014 Safety Rules for the Construction and Installation of Lifts - Part 20: Passenger and goods passenger lifts</b:Title>
    <b:Year>2014</b:Year>
    <b:City>Brussels</b:City>
    <b:Publisher>British Standards Institution/European Committee for Standardisation</b:Publisher>
    <b:RefOrder>48</b:RefOrder>
  </b:Source>
  <b:Source>
    <b:Tag>BSI141</b:Tag>
    <b:SourceType>Book</b:SourceType>
    <b:Guid>{E63F1400-8E92-4A47-9547-88C26DE8EDE7}</b:Guid>
    <b:Author>
      <b:Author>
        <b:Corporate>BSI</b:Corporate>
      </b:Author>
    </b:Author>
    <b:Title>BS EN 81-50:2014 Safety Rules for the Construction and Installation of Lifts - Part 50: Design Rules, Calculations, Examinations and Tests of Lift Components</b:Title>
    <b:Year>2014</b:Year>
    <b:City>Brussels</b:City>
    <b:Publisher>British Standards Insitution/European Committee for Standardisation</b:Publisher>
    <b:RefOrder>49</b:RefOrder>
  </b:Source>
  <b:Source>
    <b:Tag>DIN13</b:Tag>
    <b:SourceType>Book</b:SourceType>
    <b:Guid>{22AC1476-80AD-406D-B22F-483414A72DD2}</b:Guid>
    <b:Author>
      <b:Author>
        <b:Corporate>DIN</b:Corporate>
      </b:Author>
    </b:Author>
    <b:Title>DIN EN 81-77:2013 Safety Rules for the Construction and Installation of Lifts: Lifts Subject to Seismic Conditions</b:Title>
    <b:Year>2013</b:Year>
    <b:City>Berlin</b:City>
    <b:Publisher>DIN/European Committee for Standardisation</b:Publisher>
    <b:RefOrder>47</b:RefOrder>
  </b:Source>
  <b:Source>
    <b:Tag>BIM23</b:Tag>
    <b:SourceType>Book</b:SourceType>
    <b:Guid>{1B18FB98-BB4E-4DC4-ABCC-0334CD97A75B}</b:Guid>
    <b:Author>
      <b:Author>
        <b:Corporate>BIMinNZ</b:Corporate>
      </b:Author>
    </b:Author>
    <b:Title>The New Zealand BIM Handbook, Fourth Edition (v4.1) 2023</b:Title>
    <b:Year>2023</b:Year>
    <b:Publisher>BIMinNZ, NZ Institute of Building</b:Publisher>
    <b:RefOrder>40</b:RefOrder>
  </b:Source>
  <b:Source>
    <b:Tag>API21</b:Tag>
    <b:SourceType>Book</b:SourceType>
    <b:Guid>{E2C0FAEB-6730-4AD8-A562-B39ED6F36CDE}</b:Guid>
    <b:Author>
      <b:Author>
        <b:Corporate>API</b:Corporate>
      </b:Author>
    </b:Author>
    <b:Title>API 650:2020 Welded Tanks for Oil Storage, 13th Edition Inc. Errata 1</b:Title>
    <b:Year>2021</b:Year>
    <b:Publisher>American Petroleum Institute</b:Publisher>
    <b:RefOrder>46</b:RefOrder>
  </b:Source>
  <b:Source>
    <b:Tag>SNZ11</b:Tag>
    <b:SourceType>Book</b:SourceType>
    <b:Guid>{33791FDE-B408-4A3B-BFE6-293D1BBF1F79}</b:Guid>
    <b:Author>
      <b:Author>
        <b:Corporate>SNZ</b:Corporate>
      </b:Author>
    </b:Author>
    <b:Title>AS/NZS 1170.0:2002 Inc. Amd. 1-5 Structural Design Actions - Part 0: General Principles</b:Title>
    <b:Year>2011</b:Year>
    <b:Publisher>Standards New Zealand</b:Publisher>
    <b:RefOrder>34</b:RefOrder>
  </b:Source>
  <b:Source>
    <b:Tag>SNZ091</b:Tag>
    <b:SourceType>Book</b:SourceType>
    <b:Guid>{3167A53C-FB7B-4C0D-902E-4830BAABB81F}</b:Guid>
    <b:Title>AS/NZS 1170.1:2002 Inc. Amd. 1-2 Stru tural Design Actions - Part 1: Permanent, Imposed and other actions</b:Title>
    <b:Year>2009</b:Year>
    <b:Publisher>Standards New Zealand</b:Publisher>
    <b:Author>
      <b:Author>
        <b:Corporate>SNZ</b:Corporate>
      </b:Author>
    </b:Author>
    <b:RefOrder>32</b:RefOrder>
  </b:Source>
  <b:Source>
    <b:Tag>TeW231</b:Tag>
    <b:SourceType>Report</b:SourceType>
    <b:Guid>{B5DC4C45-47F1-4E22-BDE1-46CB0D6B9B27}</b:Guid>
    <b:Title>Te Whatu Ora Seismic Policy HNZ7001, February 2024</b:Title>
    <b:Year>2024</b:Year>
    <b:Publisher>Te Whatu Ora | Health NZ, Infrastruture and Investment Group</b:Publisher>
    <b:Author>
      <b:Author>
        <b:Corporate>Te Whatu Ora</b:Corporate>
      </b:Author>
    </b:Author>
    <b:RefOrder>31</b:RefOrder>
  </b:Source>
  <b:Source>
    <b:Tag>BRA10</b:Tag>
    <b:SourceType>Report</b:SourceType>
    <b:Guid>{3F8F0172-8949-4821-8E24-C3C46A647A40}</b:Guid>
    <b:Author>
      <b:Author>
        <b:Corporate>BRANZ</b:Corporate>
      </b:Author>
    </b:Author>
    <b:Title>P21 A wall bracing test and evaluation procedure</b:Title>
    <b:Year>2010</b:Year>
    <b:Publisher>Building Research Association of New Zealand</b:Publisher>
    <b:RefOrder>42</b:RefOrder>
  </b:Source>
  <b:Source>
    <b:Tag>NZC22</b:Tag>
    <b:SourceType>Report</b:SourceType>
    <b:Guid>{DC586E64-9CF0-494E-AECA-A85134BB035A}</b:Guid>
    <b:Title>NZCIC Design Guidelines 2023</b:Title>
    <b:Year>2023</b:Year>
    <b:Publisher>New Zealand Construction Industry Council</b:Publisher>
    <b:Author>
      <b:Author>
        <b:Corporate>NZCIC</b:Corporate>
      </b:Author>
    </b:Author>
    <b:URL>https://nzcic.co.nz/resources/nzcic-guidelines/</b:URL>
    <b:RefOrder>7</b:RefOrder>
  </b:Source>
  <b:Source>
    <b:Tag>ENZ19</b:Tag>
    <b:SourceType>Report</b:SourceType>
    <b:Guid>{AAED1BD5-8BD9-4480-850A-D6E07E8C6025}</b:Guid>
    <b:Author>
      <b:Author>
        <b:Corporate>ENZ</b:Corporate>
      </b:Author>
    </b:Author>
    <b:Title>Practice Note 19: Seismic Resistance of Pressure Equipment and its Supports - Version 5, December 2019</b:Title>
    <b:Year>2019</b:Year>
    <b:Publisher>Engineering New Zealand</b:Publisher>
    <b:RefOrder>14</b:RefOrder>
  </b:Source>
  <b:Source>
    <b:Tag>Bec22</b:Tag>
    <b:SourceType>Report</b:SourceType>
    <b:Guid>{887F54AD-7D3E-45BF-AA0B-2D6B2963FE47}</b:Guid>
    <b:Author>
      <b:Author>
        <b:Corporate>Beca</b:Corporate>
      </b:Author>
    </b:Author>
    <b:Title>Seismic Design Basis Guidance for Storage Tanks-vessels - Rev. 1, July 2022</b:Title>
    <b:Year>2022</b:Year>
    <b:Publisher>Beca Limited</b:Publisher>
    <b:RefOrder>15</b:RefOrder>
  </b:Source>
  <b:Source>
    <b:Tag>SES24</b:Tag>
    <b:SourceType>Book</b:SourceType>
    <b:Guid>{96CB2A0B-D8A6-4E30-AD1B-21B07BC8892D}</b:Guid>
    <b:Author>
      <b:Author>
        <b:Corporate>SESOC</b:Corporate>
      </b:Author>
    </b:Author>
    <b:Title>Top Tips for Low Carbon Design, v1, May 2024</b:Title>
    <b:Year>2024</b:Year>
    <b:Publisher>SESOC Sustainability Task Force</b:Publisher>
    <b:URL>https://www.sesoc.org.nz/wp-content/uploads/2024/05/SESOC-Top-Tips_-V1-2024.pdf</b:URL>
    <b:RefOrder>12</b:RefOrder>
  </b:Source>
  <b:Source>
    <b:Tag>SES241</b:Tag>
    <b:SourceType>Report</b:SourceType>
    <b:Guid>{BDF8ACF4-CE7A-459D-8567-58BE9BC57D3A}</b:Guid>
    <b:Author>
      <b:Author>
        <b:Corporate>SESOC</b:Corporate>
      </b:Author>
    </b:Author>
    <b:Title>SESOC Low Carbon Design Resource Map</b:Title>
    <b:Year>2024</b:Year>
    <b:Publisher>SESOC Sustainability Task Force</b:Publisher>
    <b:URL>https://www.sesoc.org.nz/wp-content/uploads/2024/05/SESOC_BRANZ_Resource_Map_Printable.pdf</b:URL>
    <b:RefOrder>13</b:RefOrder>
  </b:Source>
  <b:Source>
    <b:Tag>BRA13</b:Tag>
    <b:SourceType>Report</b:SourceType>
    <b:Guid>{06DF8D17-21C6-4143-82B6-7DF67B662EB2}</b:Guid>
    <b:Author>
      <b:Author>
        <b:Corporate>BRANZ</b:Corporate>
      </b:Author>
    </b:Author>
    <b:Title>Study Report SR 305 (2013) Bracing ratings for non-proprietary bracing walls</b:Title>
    <b:Year>2013</b:Year>
    <b:Publisher>Building Research Associated of New Zealand</b:Publisher>
    <b:RefOrder>41</b:RefOrder>
  </b:Source>
  <b:Source>
    <b:Tag>TeW23</b:Tag>
    <b:SourceType>Book</b:SourceType>
    <b:Guid>{9007027D-0D5C-4F42-973F-7921FFC4EE8D}</b:Guid>
    <b:Title>Fire Engineering Design for New Zealand Public Hospitals - Design Guidance Version 1, 1 July 2024</b:Title>
    <b:Year>2024</b:Year>
    <b:Publisher>Te Whatu Ora</b:Publisher>
    <b:Author>
      <b:Author>
        <b:Corporate>Te Whatu Ora</b:Corporate>
      </b:Author>
    </b:Author>
    <b:RefOrder>2</b:RefOrder>
  </b:Source>
  <b:Source>
    <b:Tag>Placeholder2</b:Tag>
    <b:SourceType>Book</b:SourceType>
    <b:Guid>{95758C8C-FBB2-4A65-BA56-D43175B6BBC1}</b:Guid>
    <b:Author>
      <b:Author>
        <b:Corporate>MBIE, EQC, NZSEE, SESOC, NZGS</b:Corporate>
      </b:Author>
    </b:Author>
    <b:Title>The Seismic Assessment of Existing Buildings, Technical Guidelines for Engineering Assessments, Initial Release July 2017</b:Title>
    <b:Year>2017</b:Year>
    <b:City>Wellington</b:City>
    <b:Publisher>Ministry of Business, Innovation and Employment</b:Publisher>
    <b:RefOrder>5</b:RefOrder>
  </b:Source>
  <b:Source>
    <b:Tag>Con18</b:Tag>
    <b:SourceType>Book</b:SourceType>
    <b:Guid>{9B785956-2E50-42A9-9D55-432566CD62E2}</b:Guid>
    <b:Title>Concrete Buildings C5, Technical Proposal to Revise the Engineering Assessment Guidelines, Vers. 1A, November 2018</b:Title>
    <b:Year>2018</b:Year>
    <b:City>Wellington</b:City>
    <b:Publisher>Ministry of Business, Innovation and Employment</b:Publisher>
    <b:Author>
      <b:Author>
        <b:Corporate>MBIE, EQC, NZSEE, SESOC, NZGS</b:Corporate>
      </b:Author>
    </b:Author>
    <b:RefOrder>6</b:RefOrder>
  </b:Source>
  <b:Source>
    <b:Tag>BIP24</b:Tag>
    <b:SourceType>Report</b:SourceType>
    <b:Guid>{186122A9-D8E6-4554-B3E7-81550F6600AE}</b:Guid>
    <b:Author>
      <b:Author>
        <b:Corporate>BIP, BRANZ</b:Corporate>
      </b:Author>
    </b:Author>
    <b:Title>Code of Practice for the Seismic Performance of Non-Structural Elements (BRANZ ER95) - Version 2.1, September 2024</b:Title>
    <b:Year>2024</b:Year>
    <b:Publisher>Building Innovation Partnership</b:Publisher>
    <b:RefOrder>4</b:RefOrder>
  </b:Source>
  <b:Source>
    <b:Tag>MBI241</b:Tag>
    <b:SourceType>Book</b:SourceType>
    <b:Guid>{2E83D3BE-F913-4289-82A7-57F2E580F244}</b:Guid>
    <b:Author>
      <b:Author>
        <b:Corporate>MBIE</b:Corporate>
      </b:Author>
    </b:Author>
    <b:Title>Low Damage Seismic Design - Volume 1: Benefits, Options and Getting Started, December 2024</b:Title>
    <b:Year>2024</b:Year>
    <b:Publisher>Ministry of Business, Innovation and Employment</b:Publisher>
    <b:URL>https://www.building.govt.nz/getting-started/seismic-work-programme/seismic-risk-series/low-damage-seismic-design</b:URL>
    <b:RefOrder>63</b:RefOrder>
  </b:Source>
  <b:Source>
    <b:Tag>NZG23</b:Tag>
    <b:SourceType>Report</b:SourceType>
    <b:Guid>{7C5B9F5C-7C9C-438A-B379-7CBC3BA01610}</b:Guid>
    <b:Author>
      <b:Author>
        <b:Corporate>NZGBC</b:Corporate>
      </b:Author>
    </b:Author>
    <b:Title>NZGBC Embodied Carbon Methodology, Version 2.0 - December 2024</b:Title>
    <b:Year>2024</b:Year>
    <b:Publisher>New Zealand Green Building Council</b:Publisher>
    <b:RefOrder>10</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ikau document" ma:contentTypeID="0x010100D5C1E13D20A8554992C24F7EE470E02300683371588631A642BC7CBC252DBF6498" ma:contentTypeVersion="7" ma:contentTypeDescription="Create a new document." ma:contentTypeScope="" ma:versionID="d615b140fdbd630d6ce779824304b698">
  <xsd:schema xmlns:xsd="http://www.w3.org/2001/XMLSchema" xmlns:xs="http://www.w3.org/2001/XMLSchema" xmlns:p="http://schemas.microsoft.com/office/2006/metadata/properties" xmlns:ns1="http://schemas.microsoft.com/sharepoint/v3" xmlns:ns2="9253c88c-d550-4ff1-afdc-d5dc691f60b0" xmlns:ns3="1648de66-f3f9-4d4b-aae7-60266db04554" targetNamespace="http://schemas.microsoft.com/office/2006/metadata/properties" ma:root="true" ma:fieldsID="d3a8378e7bd0359311e6610898c0562e" ns1:_="" ns2:_="" ns3:_="">
    <xsd:import namespace="http://schemas.microsoft.com/sharepoint/v3"/>
    <xsd:import namespace="9253c88c-d550-4ff1-afdc-d5dc691f60b0"/>
    <xsd:import namespace="1648de66-f3f9-4d4b-aae7-60266db04554"/>
    <xsd:element name="properties">
      <xsd:complexType>
        <xsd:sequence>
          <xsd:element name="documentManagement">
            <xsd:complexType>
              <xsd:all>
                <xsd:element ref="ns2:TaxCatchAll" minOccurs="0"/>
                <xsd:element ref="ns2:TaxCatchAllLabel" minOccurs="0"/>
                <xsd:element ref="ns2:ka9b207035bc48f2a4f6a2bfed7195b7" minOccurs="0"/>
                <xsd:element ref="ns1:Name" minOccurs="0"/>
                <xsd:element ref="ns2:f3e7f0a218d8438586e2a8545792c0ef" minOccurs="0"/>
                <xsd:element ref="ns2:mb22360ee3e3407ca28e907eb3b7ca6b" minOccurs="0"/>
                <xsd:element ref="ns2:HNZOwner" minOccurs="0"/>
                <xsd:element ref="ns2:p7110e5651294189b89368865130750f" minOccurs="0"/>
                <xsd:element ref="ns2:p777f0da518742b188a1f7fd5ee91810" minOccurs="0"/>
                <xsd:element ref="ns2:HNZReviewDate"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ame" ma:index="12" nillable="true" ma:displayName="Account" ma:internalName="Na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53c88c-d550-4ff1-afdc-d5dc691f60b0"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6e7d32d1-9299-4ac7-a4a8-6d40901f8ab4}" ma:internalName="TaxCatchAll" ma:showField="CatchAllData" ma:web="1648de66-f3f9-4d4b-aae7-60266db04554">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6e7d32d1-9299-4ac7-a4a8-6d40901f8ab4}" ma:internalName="TaxCatchAllLabel" ma:readOnly="true" ma:showField="CatchAllDataLabel" ma:web="1648de66-f3f9-4d4b-aae7-60266db04554">
      <xsd:complexType>
        <xsd:complexContent>
          <xsd:extension base="dms:MultiChoiceLookup">
            <xsd:sequence>
              <xsd:element name="Value" type="dms:Lookup" maxOccurs="unbounded" minOccurs="0" nillable="true"/>
            </xsd:sequence>
          </xsd:extension>
        </xsd:complexContent>
      </xsd:complexType>
    </xsd:element>
    <xsd:element name="ka9b207035bc48f2a4f6a2bfed7195b7" ma:index="10" nillable="true" ma:taxonomy="true" ma:internalName="ka9b207035bc48f2a4f6a2bfed7195b7" ma:taxonomyFieldName="BusinessFunction" ma:displayName="Business Function" ma:default="" ma:fieldId="{4a9b2070-35bc-48f2-a4f6-a2bfed7195b7}" ma:sspId="ebf29b3f-1e51-457b-ae0c-362182e58074" ma:termSetId="411f0e66-67f8-40f8-97cc-417744de1cc0" ma:anchorId="00000000-0000-0000-0000-000000000000" ma:open="false" ma:isKeyword="false">
      <xsd:complexType>
        <xsd:sequence>
          <xsd:element ref="pc:Terms" minOccurs="0" maxOccurs="1"/>
        </xsd:sequence>
      </xsd:complexType>
    </xsd:element>
    <xsd:element name="f3e7f0a218d8438586e2a8545792c0ef" ma:index="13" nillable="true" ma:taxonomy="true" ma:internalName="f3e7f0a218d8438586e2a8545792c0ef" ma:taxonomyFieldName="HNZTopic" ma:displayName="Topic" ma:fieldId="{f3e7f0a2-18d8-4385-86e2-a8545792c0ef}" ma:taxonomyMulti="true" ma:sspId="ebf29b3f-1e51-457b-ae0c-362182e58074" ma:termSetId="6fc62df7-d99b-474b-a41d-680956366171" ma:anchorId="00000000-0000-0000-0000-000000000000" ma:open="false" ma:isKeyword="false">
      <xsd:complexType>
        <xsd:sequence>
          <xsd:element ref="pc:Terms" minOccurs="0" maxOccurs="1"/>
        </xsd:sequence>
      </xsd:complexType>
    </xsd:element>
    <xsd:element name="mb22360ee3e3407ca28e907eb3b7ca6b" ma:index="15" nillable="true" ma:taxonomy="true" ma:internalName="mb22360ee3e3407ca28e907eb3b7ca6b" ma:taxonomyFieldName="HNZStatus" ma:displayName="Status" ma:default="3;#Draft|4dbd6f0d-7021-43d2-a391-03666245495e" ma:fieldId="{6b22360e-e3e3-407c-a28e-907eb3b7ca6b}" ma:sspId="ebf29b3f-1e51-457b-ae0c-362182e58074" ma:termSetId="24ac87aa-3fa8-4daa-a27b-a4701436e34e" ma:anchorId="00000000-0000-0000-0000-000000000000" ma:open="false" ma:isKeyword="false">
      <xsd:complexType>
        <xsd:sequence>
          <xsd:element ref="pc:Terms" minOccurs="0" maxOccurs="1"/>
        </xsd:sequence>
      </xsd:complexType>
    </xsd:element>
    <xsd:element name="HNZOwner" ma:index="17" nillable="true" ma:displayName="Owner" ma:internalName="HNZ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7110e5651294189b89368865130750f" ma:index="18" nillable="true" ma:taxonomy="true" ma:internalName="p7110e5651294189b89368865130750f" ma:taxonomyFieldName="HNZRegion" ma:displayName="Region" ma:fieldId="{97110e56-5129-4189-b893-68865130750f}" ma:taxonomyMulti="true" ma:sspId="ebf29b3f-1e51-457b-ae0c-362182e58074" ma:termSetId="e78d2f76-fe8a-4030-92ee-8b1f3410a63d" ma:anchorId="00000000-0000-0000-0000-000000000000" ma:open="false" ma:isKeyword="false">
      <xsd:complexType>
        <xsd:sequence>
          <xsd:element ref="pc:Terms" minOccurs="0" maxOccurs="1"/>
        </xsd:sequence>
      </xsd:complexType>
    </xsd:element>
    <xsd:element name="p777f0da518742b188a1f7fd5ee91810" ma:index="20" nillable="true" ma:taxonomy="true" ma:internalName="p777f0da518742b188a1f7fd5ee91810" ma:taxonomyFieldName="HNZLocalArea" ma:displayName="Local Area" ma:fieldId="{9777f0da-5187-42b1-88a1-f7fd5ee91810}" ma:taxonomyMulti="true" ma:sspId="ebf29b3f-1e51-457b-ae0c-362182e58074" ma:termSetId="067abcc4-089e-4bdf-badc-3de5e533a37b" ma:anchorId="00000000-0000-0000-0000-000000000000" ma:open="false" ma:isKeyword="false">
      <xsd:complexType>
        <xsd:sequence>
          <xsd:element ref="pc:Terms" minOccurs="0" maxOccurs="1"/>
        </xsd:sequence>
      </xsd:complexType>
    </xsd:element>
    <xsd:element name="HNZReviewDate" ma:index="22" nillable="true" ma:displayName="Review Date" ma:description="Review Date for Intranet content" ma:format="DateOnly" ma:internalName="HNZReview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648de66-f3f9-4d4b-aae7-60266db04554"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dexed="true"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ebf29b3f-1e51-457b-ae0c-362182e58074" ContentTypeId="0x010100D5C1E13D20A8554992C24F7EE470E023"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mb22360ee3e3407ca28e907eb3b7ca6b xmlns="9253c88c-d550-4ff1-afdc-d5dc691f60b0">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4dbd6f0d-7021-43d2-a391-03666245495e</TermId>
        </TermInfo>
      </Terms>
    </mb22360ee3e3407ca28e907eb3b7ca6b>
    <HNZOwner xmlns="9253c88c-d550-4ff1-afdc-d5dc691f60b0">
      <UserInfo>
        <DisplayName/>
        <AccountId xsi:nil="true"/>
        <AccountType/>
      </UserInfo>
    </HNZOwner>
    <ka9b207035bc48f2a4f6a2bfed7195b7 xmlns="9253c88c-d550-4ff1-afdc-d5dc691f60b0">
      <Terms xmlns="http://schemas.microsoft.com/office/infopath/2007/PartnerControls"/>
    </ka9b207035bc48f2a4f6a2bfed7195b7>
    <HNZReviewDate xmlns="9253c88c-d550-4ff1-afdc-d5dc691f60b0" xsi:nil="true"/>
    <f3e7f0a218d8438586e2a8545792c0ef xmlns="9253c88c-d550-4ff1-afdc-d5dc691f60b0">
      <Terms xmlns="http://schemas.microsoft.com/office/infopath/2007/PartnerControls"/>
    </f3e7f0a218d8438586e2a8545792c0ef>
    <TaxCatchAll xmlns="9253c88c-d550-4ff1-afdc-d5dc691f60b0">
      <Value>3</Value>
    </TaxCatchAll>
    <p7110e5651294189b89368865130750f xmlns="9253c88c-d550-4ff1-afdc-d5dc691f60b0">
      <Terms xmlns="http://schemas.microsoft.com/office/infopath/2007/PartnerControls"/>
    </p7110e5651294189b89368865130750f>
    <p777f0da518742b188a1f7fd5ee91810 xmlns="9253c88c-d550-4ff1-afdc-d5dc691f60b0">
      <Terms xmlns="http://schemas.microsoft.com/office/infopath/2007/PartnerControls"/>
    </p777f0da518742b188a1f7fd5ee91810>
    <_dlc_DocId xmlns="1648de66-f3f9-4d4b-aae7-60266db04554">2000088-1569783174-63095</_dlc_DocId>
    <_dlc_DocIdUrl xmlns="1648de66-f3f9-4d4b-aae7-60266db04554">
      <Url>https://hauoraaotearoa.sharepoint.com/sites/2000088/_layouts/15/DocIdRedir.aspx?ID=2000088-1569783174-63095</Url>
      <Description>2000088-1569783174-63095</Description>
    </_dlc_DocIdUrl>
  </documentManagement>
</p:properties>
</file>

<file path=customXml/itemProps1.xml><?xml version="1.0" encoding="utf-8"?>
<ds:datastoreItem xmlns:ds="http://schemas.openxmlformats.org/officeDocument/2006/customXml" ds:itemID="{7852CEF2-F91C-49A8-9CCA-BF314EC1FC8E}">
  <ds:schemaRefs>
    <ds:schemaRef ds:uri="http://schemas.openxmlformats.org/officeDocument/2006/bibliography"/>
  </ds:schemaRefs>
</ds:datastoreItem>
</file>

<file path=customXml/itemProps2.xml><?xml version="1.0" encoding="utf-8"?>
<ds:datastoreItem xmlns:ds="http://schemas.openxmlformats.org/officeDocument/2006/customXml" ds:itemID="{20963ED7-B0D9-46A8-9179-33C82B37266B}">
  <ds:schemaRefs>
    <ds:schemaRef ds:uri="http://schemas.microsoft.com/sharepoint/v3/contenttype/forms"/>
  </ds:schemaRefs>
</ds:datastoreItem>
</file>

<file path=customXml/itemProps3.xml><?xml version="1.0" encoding="utf-8"?>
<ds:datastoreItem xmlns:ds="http://schemas.openxmlformats.org/officeDocument/2006/customXml" ds:itemID="{398AB1BF-9122-46E5-BF6B-05BF8E6329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253c88c-d550-4ff1-afdc-d5dc691f60b0"/>
    <ds:schemaRef ds:uri="1648de66-f3f9-4d4b-aae7-60266db045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FA1D84D-BF8A-4AC4-9EAA-405EEAC0527A}">
  <ds:schemaRefs>
    <ds:schemaRef ds:uri="Microsoft.SharePoint.Taxonomy.ContentTypeSync"/>
  </ds:schemaRefs>
</ds:datastoreItem>
</file>

<file path=customXml/itemProps5.xml><?xml version="1.0" encoding="utf-8"?>
<ds:datastoreItem xmlns:ds="http://schemas.openxmlformats.org/officeDocument/2006/customXml" ds:itemID="{FAD5AB6D-4015-47B1-AB6A-F827D6627FC1}">
  <ds:schemaRefs>
    <ds:schemaRef ds:uri="http://schemas.microsoft.com/sharepoint/events"/>
  </ds:schemaRefs>
</ds:datastoreItem>
</file>

<file path=customXml/itemProps6.xml><?xml version="1.0" encoding="utf-8"?>
<ds:datastoreItem xmlns:ds="http://schemas.openxmlformats.org/officeDocument/2006/customXml" ds:itemID="{A4FCEA18-75BC-429C-B635-6B830A053149}">
  <ds:schemaRefs>
    <ds:schemaRef ds:uri="http://purl.org/dc/terms/"/>
    <ds:schemaRef ds:uri="http://purl.org/dc/elements/1.1/"/>
    <ds:schemaRef ds:uri="http://schemas.openxmlformats.org/package/2006/metadata/core-properties"/>
    <ds:schemaRef ds:uri="http://schemas.microsoft.com/sharepoint/v3"/>
    <ds:schemaRef ds:uri="http://schemas.microsoft.com/office/2006/metadata/properties"/>
    <ds:schemaRef ds:uri="http://purl.org/dc/dcmitype/"/>
    <ds:schemaRef ds:uri="http://schemas.microsoft.com/office/2006/documentManagement/types"/>
    <ds:schemaRef ds:uri="http://www.w3.org/XML/1998/namespace"/>
    <ds:schemaRef ds:uri="http://schemas.microsoft.com/office/infopath/2007/PartnerControls"/>
    <ds:schemaRef ds:uri="1648de66-f3f9-4d4b-aae7-60266db04554"/>
    <ds:schemaRef ds:uri="9253c88c-d550-4ff1-afdc-d5dc691f60b0"/>
  </ds:schemaRefs>
</ds:datastoreItem>
</file>

<file path=docMetadata/LabelInfo.xml><?xml version="1.0" encoding="utf-8"?>
<clbl:labelList xmlns:clbl="http://schemas.microsoft.com/office/2020/mipLabelMetadata">
  <clbl:label id="{7ff3009e-32a6-4428-9d24-97a44ed5c911}" enabled="1" method="Privileged" siteId="{bb0f7126-b1c5-4f3e-8ca1-2b24f0f74620}" contentBits="0" removed="0"/>
</clbl:labelList>
</file>

<file path=docProps/app.xml><?xml version="1.0" encoding="utf-8"?>
<Properties xmlns="http://schemas.openxmlformats.org/officeDocument/2006/extended-properties" xmlns:vt="http://schemas.openxmlformats.org/officeDocument/2006/docPropsVTypes">
  <Template>Normal</Template>
  <TotalTime>1317</TotalTime>
  <Pages>217</Pages>
  <Words>76124</Words>
  <Characters>433909</Characters>
  <Application>Microsoft Office Word</Application>
  <DocSecurity>0</DocSecurity>
  <Lines>3615</Lines>
  <Paragraphs>1018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Thompson</dc:creator>
  <cp:keywords/>
  <dc:description/>
  <cp:lastModifiedBy>Saltanat Cole</cp:lastModifiedBy>
  <cp:revision>706</cp:revision>
  <cp:lastPrinted>2025-07-15T04:49:00Z</cp:lastPrinted>
  <dcterms:created xsi:type="dcterms:W3CDTF">2025-07-08T23:21:00Z</dcterms:created>
  <dcterms:modified xsi:type="dcterms:W3CDTF">2025-07-20T22:58:00Z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0x010100D5C1E13D20A8554992C24F7EE470E02300683371588631A642BC7CBC252DBF6498</vt:lpwstr>
  </property>
  <property fmtid="{D5CDD505-2E9C-101B-9397-08002B2CF9AE}" pid="3" name="_dlc_DocIdItemGuid">
    <vt:lpwstr>b0a6d70d-bd5e-4f58-b361-dbefe8756ea5</vt:lpwstr>
  </property>
  <property fmtid="{D5CDD505-2E9C-101B-9397-08002B2CF9AE}" pid="4" name="MoH_x0020_Business_x0020_Function">
    <vt:lpwstr/>
  </property>
  <property fmtid="{D5CDD505-2E9C-101B-9397-08002B2CF9AE}" pid="5" name="MediaServiceImageTags">
    <vt:lpwstr/>
  </property>
  <property fmtid="{D5CDD505-2E9C-101B-9397-08002B2CF9AE}" pid="6" name="Status">
    <vt:lpwstr>Draft</vt:lpwstr>
  </property>
  <property fmtid="{D5CDD505-2E9C-101B-9397-08002B2CF9AE}" pid="7" name="d65eeeaccac147a2976cca470bd7ff68">
    <vt:lpwstr/>
  </property>
  <property fmtid="{D5CDD505-2E9C-101B-9397-08002B2CF9AE}" pid="8" name="MoH Business Function">
    <vt:lpwstr/>
  </property>
  <property fmtid="{D5CDD505-2E9C-101B-9397-08002B2CF9AE}" pid="9" name="ClassificationContentMarkingHeaderShapeIds">
    <vt:lpwstr>11,12,13</vt:lpwstr>
  </property>
  <property fmtid="{D5CDD505-2E9C-101B-9397-08002B2CF9AE}" pid="10" name="ClassificationContentMarkingHeaderFontProps">
    <vt:lpwstr>#000000,8,Calibri</vt:lpwstr>
  </property>
  <property fmtid="{D5CDD505-2E9C-101B-9397-08002B2CF9AE}" pid="11" name="ClassificationContentMarkingHeaderText">
    <vt:lpwstr>Sensitivity: General</vt:lpwstr>
  </property>
  <property fmtid="{D5CDD505-2E9C-101B-9397-08002B2CF9AE}" pid="12" name="HNZStatus">
    <vt:lpwstr>3;#Draft|4dbd6f0d-7021-43d2-a391-03666245495e</vt:lpwstr>
  </property>
  <property fmtid="{D5CDD505-2E9C-101B-9397-08002B2CF9AE}" pid="13" name="BusinessFunction">
    <vt:lpwstr/>
  </property>
  <property fmtid="{D5CDD505-2E9C-101B-9397-08002B2CF9AE}" pid="14" name="HNZRegion">
    <vt:lpwstr/>
  </property>
  <property fmtid="{D5CDD505-2E9C-101B-9397-08002B2CF9AE}" pid="15" name="HNZTopic">
    <vt:lpwstr/>
  </property>
  <property fmtid="{D5CDD505-2E9C-101B-9397-08002B2CF9AE}" pid="16" name="HNZLocalArea">
    <vt:lpwstr/>
  </property>
  <property fmtid="{D5CDD505-2E9C-101B-9397-08002B2CF9AE}" pid="17" name="lcf76f155ced4ddcb4097134ff3c332f">
    <vt:lpwstr/>
  </property>
</Properties>
</file>