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C86F2" w14:textId="23C8A0B4" w:rsidR="00817A32" w:rsidRDefault="0087795F" w:rsidP="00817A32">
      <w:pPr>
        <w:jc w:val="right"/>
      </w:pPr>
      <w:r>
        <w:rPr>
          <w:noProof/>
        </w:rPr>
        <mc:AlternateContent>
          <mc:Choice Requires="wps">
            <w:drawing>
              <wp:anchor distT="45720" distB="45720" distL="114300" distR="114300" simplePos="0" relativeHeight="251658241" behindDoc="0" locked="0" layoutInCell="1" allowOverlap="1" wp14:anchorId="35C75025" wp14:editId="3A5A69BE">
                <wp:simplePos x="0" y="0"/>
                <wp:positionH relativeFrom="margin">
                  <wp:align>right</wp:align>
                </wp:positionH>
                <wp:positionV relativeFrom="page">
                  <wp:posOffset>1473200</wp:posOffset>
                </wp:positionV>
                <wp:extent cx="6116955" cy="40665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240D16BE" w14:textId="03BD1EAD" w:rsidR="0087795F" w:rsidRPr="0087795F" w:rsidRDefault="000D252C" w:rsidP="0087795F">
                            <w:pPr>
                              <w:pStyle w:val="Title"/>
                              <w:rPr>
                                <w:rFonts w:eastAsia="+mj-ea"/>
                              </w:rPr>
                            </w:pPr>
                            <w:r>
                              <w:rPr>
                                <w:rFonts w:eastAsia="+mj-ea"/>
                              </w:rPr>
                              <w:t>Design Guidance and Assurance Framework</w:t>
                            </w:r>
                          </w:p>
                          <w:p w14:paraId="782116A9" w14:textId="00667748" w:rsidR="0087795F" w:rsidRPr="007F15E1" w:rsidRDefault="000D252C" w:rsidP="0087795F">
                            <w:pPr>
                              <w:pStyle w:val="Subtitle"/>
                            </w:pPr>
                            <w:r>
                              <w:rPr>
                                <w:rFonts w:eastAsia="+mj-ea"/>
                              </w:rPr>
                              <w:t>Version 1.</w:t>
                            </w:r>
                            <w:r w:rsidR="00BC01C7">
                              <w:rPr>
                                <w:rFonts w:eastAsia="+mj-ea"/>
                              </w:rPr>
                              <w:t>4</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5C75025" id="_x0000_t202" coordsize="21600,21600" o:spt="202" path="m,l,21600r21600,l21600,xe">
                <v:stroke joinstyle="miter"/>
                <v:path gradientshapeok="t" o:connecttype="rect"/>
              </v:shapetype>
              <v:shape id="Text Box 2" o:spid="_x0000_s1026" type="#_x0000_t202" style="position:absolute;left:0;text-align:left;margin-left:430.45pt;margin-top:116pt;width:481.65pt;height:320.2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240D16BE" w14:textId="03BD1EAD" w:rsidR="0087795F" w:rsidRPr="0087795F" w:rsidRDefault="000D252C" w:rsidP="0087795F">
                      <w:pPr>
                        <w:pStyle w:val="Title"/>
                        <w:rPr>
                          <w:rFonts w:eastAsia="+mj-ea"/>
                        </w:rPr>
                      </w:pPr>
                      <w:r>
                        <w:rPr>
                          <w:rFonts w:eastAsia="+mj-ea"/>
                        </w:rPr>
                        <w:t>Design Guidance and Assurance Framework</w:t>
                      </w:r>
                    </w:p>
                    <w:p w14:paraId="782116A9" w14:textId="00667748" w:rsidR="0087795F" w:rsidRPr="007F15E1" w:rsidRDefault="000D252C" w:rsidP="0087795F">
                      <w:pPr>
                        <w:pStyle w:val="Subtitle"/>
                      </w:pPr>
                      <w:r>
                        <w:rPr>
                          <w:rFonts w:eastAsia="+mj-ea"/>
                        </w:rPr>
                        <w:t>Version 1.</w:t>
                      </w:r>
                      <w:r w:rsidR="00BC01C7">
                        <w:rPr>
                          <w:rFonts w:eastAsia="+mj-ea"/>
                        </w:rPr>
                        <w:t>4</w:t>
                      </w:r>
                    </w:p>
                  </w:txbxContent>
                </v:textbox>
                <w10:wrap type="square" anchorx="margin" anchory="page"/>
              </v:shape>
            </w:pict>
          </mc:Fallback>
        </mc:AlternateContent>
      </w:r>
      <w:r w:rsidR="00817A32" w:rsidRPr="00063471">
        <w:rPr>
          <w:noProof/>
        </w:rPr>
        <w:drawing>
          <wp:anchor distT="0" distB="0" distL="114300" distR="114300" simplePos="0" relativeHeight="251658240" behindDoc="1" locked="0" layoutInCell="1" allowOverlap="1" wp14:anchorId="340186C8" wp14:editId="62C9EB96">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A32">
        <w:rPr>
          <w:noProof/>
        </w:rPr>
        <w:drawing>
          <wp:inline distT="0" distB="0" distL="0" distR="0" wp14:anchorId="42A74012" wp14:editId="703F9AFD">
            <wp:extent cx="2668367" cy="5739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68367" cy="573951"/>
                    </a:xfrm>
                    <a:prstGeom prst="rect">
                      <a:avLst/>
                    </a:prstGeom>
                    <a:noFill/>
                  </pic:spPr>
                </pic:pic>
              </a:graphicData>
            </a:graphic>
          </wp:inline>
        </w:drawing>
      </w:r>
    </w:p>
    <w:p w14:paraId="2231BCB2" w14:textId="66962F7B" w:rsidR="00817A32" w:rsidRDefault="008D78D9" w:rsidP="0087795F">
      <w:r>
        <w:rPr>
          <w:noProof/>
        </w:rPr>
        <w:drawing>
          <wp:anchor distT="0" distB="0" distL="114300" distR="114300" simplePos="0" relativeHeight="251658242" behindDoc="0" locked="0" layoutInCell="1" allowOverlap="1" wp14:anchorId="508FFA96" wp14:editId="3E8D3817">
            <wp:simplePos x="0" y="0"/>
            <wp:positionH relativeFrom="margin">
              <wp:posOffset>-121920</wp:posOffset>
            </wp:positionH>
            <wp:positionV relativeFrom="margin">
              <wp:posOffset>9086850</wp:posOffset>
            </wp:positionV>
            <wp:extent cx="1799590" cy="431800"/>
            <wp:effectExtent l="0" t="0" r="0" b="0"/>
            <wp:wrapSquare wrapText="bothSides"/>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9590" cy="431800"/>
                    </a:xfrm>
                    <a:prstGeom prst="rect">
                      <a:avLst/>
                    </a:prstGeom>
                  </pic:spPr>
                </pic:pic>
              </a:graphicData>
            </a:graphic>
            <wp14:sizeRelH relativeFrom="margin">
              <wp14:pctWidth>0</wp14:pctWidth>
            </wp14:sizeRelH>
            <wp14:sizeRelV relativeFrom="margin">
              <wp14:pctHeight>0</wp14:pctHeight>
            </wp14:sizeRelV>
          </wp:anchor>
        </w:drawing>
      </w:r>
      <w:r w:rsidR="0087795F">
        <w:t xml:space="preserve"> </w:t>
      </w:r>
      <w:r w:rsidR="00817A32">
        <w:br w:type="page"/>
      </w:r>
    </w:p>
    <w:p w14:paraId="6920B6C7" w14:textId="60594062" w:rsidR="004C2E5B" w:rsidRPr="00DE11A8" w:rsidRDefault="004C2E5B" w:rsidP="004C2E5B">
      <w:r w:rsidRPr="00DE11A8">
        <w:lastRenderedPageBreak/>
        <w:t xml:space="preserve">Citation: </w:t>
      </w:r>
      <w:r w:rsidR="00ED4008" w:rsidRPr="00DE11A8">
        <w:t>Te Whatu Ora – Health New Zealand</w:t>
      </w:r>
      <w:r w:rsidRPr="00DE11A8">
        <w:t xml:space="preserve">. </w:t>
      </w:r>
      <w:r w:rsidR="000D252C" w:rsidRPr="00DE11A8">
        <w:t>2023</w:t>
      </w:r>
      <w:r w:rsidRPr="00DE11A8">
        <w:t xml:space="preserve">. </w:t>
      </w:r>
      <w:r w:rsidR="000D252C" w:rsidRPr="00DE11A8">
        <w:rPr>
          <w:i/>
          <w:iCs/>
        </w:rPr>
        <w:t>Design Guidance and Assurance Framework</w:t>
      </w:r>
      <w:r w:rsidRPr="00DE11A8">
        <w:t xml:space="preserve">. Wellington: </w:t>
      </w:r>
      <w:r w:rsidR="00ED4008" w:rsidRPr="00DE11A8">
        <w:t>Te Whatu Ora – Health New Zealand</w:t>
      </w:r>
      <w:r w:rsidRPr="00DE11A8">
        <w:t>.</w:t>
      </w:r>
    </w:p>
    <w:p w14:paraId="4D7D059D" w14:textId="4314B465" w:rsidR="004C2E5B" w:rsidRDefault="004C2E5B" w:rsidP="004C2E5B">
      <w:r w:rsidRPr="00DE11A8">
        <w:t xml:space="preserve">Published in </w:t>
      </w:r>
      <w:r w:rsidR="000D252C" w:rsidRPr="00DE11A8">
        <w:t>March</w:t>
      </w:r>
      <w:r w:rsidR="00ED4008" w:rsidRPr="00DE11A8">
        <w:t xml:space="preserve"> </w:t>
      </w:r>
      <w:r w:rsidR="000D252C" w:rsidRPr="00DE11A8">
        <w:t>2023</w:t>
      </w:r>
      <w:r w:rsidRPr="00DE11A8">
        <w:t xml:space="preserve"> by </w:t>
      </w:r>
      <w:r w:rsidR="00ED4008" w:rsidRPr="00DE11A8">
        <w:t>Te Whatu Ora – Health New Zealand</w:t>
      </w:r>
      <w:r w:rsidRPr="00DE11A8">
        <w:br/>
        <w:t xml:space="preserve">PO Box </w:t>
      </w:r>
      <w:r w:rsidR="00F10DE1" w:rsidRPr="00DE11A8">
        <w:t>793</w:t>
      </w:r>
      <w:r w:rsidRPr="00DE11A8">
        <w:t>, Wellington 6140, New Zealand</w:t>
      </w:r>
      <w:r w:rsidR="00947BD9" w:rsidRPr="00DE11A8">
        <w:br/>
      </w:r>
      <w:r w:rsidRPr="00DE11A8">
        <w:br/>
      </w:r>
      <w:r w:rsidRPr="00DE11A8">
        <w:rPr>
          <w:szCs w:val="24"/>
        </w:rPr>
        <w:t xml:space="preserve">ISBN </w:t>
      </w:r>
      <w:r w:rsidR="00BB6329" w:rsidRPr="00DE11A8">
        <w:rPr>
          <w:rStyle w:val="normaltextrun"/>
          <w:rFonts w:ascii="Arial" w:hAnsi="Arial" w:cs="Arial"/>
          <w:color w:val="000000"/>
          <w:szCs w:val="24"/>
          <w:shd w:val="clear" w:color="auto" w:fill="FFFFFF"/>
          <w:lang w:val="en-US"/>
        </w:rPr>
        <w:t>978-1-99-106722-7</w:t>
      </w:r>
      <w:r w:rsidR="00BB6329" w:rsidRPr="00DE11A8">
        <w:rPr>
          <w:rStyle w:val="eop"/>
          <w:rFonts w:ascii="Arial" w:hAnsi="Arial" w:cs="Arial"/>
          <w:color w:val="000000"/>
          <w:szCs w:val="24"/>
          <w:shd w:val="clear" w:color="auto" w:fill="FFFFFF"/>
        </w:rPr>
        <w:t xml:space="preserve"> </w:t>
      </w:r>
      <w:r w:rsidRPr="00DE11A8">
        <w:rPr>
          <w:szCs w:val="24"/>
        </w:rPr>
        <w:t>(online)</w:t>
      </w:r>
    </w:p>
    <w:p w14:paraId="504D3518" w14:textId="77777777" w:rsidR="00B75F7F" w:rsidRDefault="00B75F7F" w:rsidP="004C2E5B">
      <w:r w:rsidRPr="00EF30CD">
        <w:rPr>
          <w:noProof/>
          <w:lang w:eastAsia="en-NZ"/>
        </w:rPr>
        <w:drawing>
          <wp:inline distT="0" distB="0" distL="0" distR="0" wp14:anchorId="7696A350" wp14:editId="7FC30EF0">
            <wp:extent cx="1413017" cy="31473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3CFACA7D" w14:textId="77777777" w:rsidR="00B75F7F" w:rsidRDefault="00B75F7F" w:rsidP="00C033FA">
      <w:r w:rsidRPr="00B75F7F">
        <w:t>This document is available at</w:t>
      </w:r>
      <w:r w:rsidR="00ED4008">
        <w:t xml:space="preserve"> </w:t>
      </w:r>
      <w:hyperlink r:id="rId17"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076F5385" w14:textId="77777777" w:rsidTr="00B75F7F">
        <w:tc>
          <w:tcPr>
            <w:tcW w:w="1696" w:type="dxa"/>
            <w:vAlign w:val="center"/>
          </w:tcPr>
          <w:p w14:paraId="7C36DF0B" w14:textId="77777777" w:rsidR="00B75F7F" w:rsidRDefault="00B75F7F" w:rsidP="00B75F7F">
            <w:r w:rsidRPr="00EF30CD">
              <w:rPr>
                <w:rFonts w:cs="Segoe UI"/>
                <w:b/>
                <w:noProof/>
                <w:sz w:val="15"/>
                <w:szCs w:val="15"/>
                <w:lang w:eastAsia="en-NZ"/>
              </w:rPr>
              <w:drawing>
                <wp:inline distT="0" distB="0" distL="0" distR="0" wp14:anchorId="17A0DA10" wp14:editId="10DA673D">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6017ADB1" w14:textId="3B6E178C" w:rsidR="00B75F7F" w:rsidRDefault="00B75F7F" w:rsidP="00B75F7F">
            <w:r w:rsidRPr="00B75F7F">
              <w:t xml:space="preserve">This work is licensed under the Creative Commons Attribution 4.0 International licence. In essence, you are free to: share </w:t>
            </w:r>
            <w:r w:rsidR="00B2729E" w:rsidRPr="00B75F7F">
              <w:t>i.e.</w:t>
            </w:r>
            <w:r w:rsidRPr="00B75F7F">
              <w:t xml:space="preserve">, copy and redistribute the material in any medium or format; adapt </w:t>
            </w:r>
            <w:r w:rsidR="00B2729E" w:rsidRPr="00B75F7F">
              <w:t>i.e.</w:t>
            </w:r>
            <w:r w:rsidRPr="00B75F7F">
              <w:t>, remix, transform and build upon the material. You must give appropriate credit, provide a link to the licence and indicate if changes were made.</w:t>
            </w:r>
          </w:p>
        </w:tc>
      </w:tr>
    </w:tbl>
    <w:p w14:paraId="54E3BE3A" w14:textId="77777777" w:rsidR="00630DE1" w:rsidRPr="00B75F7F" w:rsidRDefault="00630DE1" w:rsidP="00B75F7F">
      <w:r>
        <w:br w:type="page"/>
      </w:r>
    </w:p>
    <w:p w14:paraId="400597A7" w14:textId="77777777" w:rsidR="004C2E5B" w:rsidRDefault="004C2E5B" w:rsidP="000D252C">
      <w:pPr>
        <w:pStyle w:val="NumberedHeading1"/>
      </w:pPr>
      <w:bookmarkStart w:id="0" w:name="_Toc210288785"/>
      <w:r>
        <w:lastRenderedPageBreak/>
        <w:t>Foreword</w:t>
      </w:r>
      <w:bookmarkEnd w:id="0"/>
    </w:p>
    <w:p w14:paraId="263DB7FD" w14:textId="5C1CCA9A" w:rsidR="000D252C" w:rsidRDefault="00D023B2" w:rsidP="000D252C">
      <w:pPr>
        <w:spacing w:before="0" w:after="160" w:line="259" w:lineRule="auto"/>
      </w:pPr>
      <w:r>
        <w:t>Health N</w:t>
      </w:r>
      <w:r w:rsidR="00D36766">
        <w:t xml:space="preserve">ew </w:t>
      </w:r>
      <w:r>
        <w:t>Z</w:t>
      </w:r>
      <w:r w:rsidR="00D36766">
        <w:t>ealand</w:t>
      </w:r>
      <w:r>
        <w:t xml:space="preserve"> |</w:t>
      </w:r>
      <w:r w:rsidR="000D252C">
        <w:t>Te Whatu Ora is building the foundations of a new health system. Delivering a unified, sustainable health system includes:</w:t>
      </w:r>
    </w:p>
    <w:p w14:paraId="28C81996" w14:textId="795F50AF" w:rsidR="000D252C" w:rsidRDefault="000D252C" w:rsidP="000D252C">
      <w:pPr>
        <w:pStyle w:val="ListBullet"/>
      </w:pPr>
      <w:r>
        <w:t>Delivering equity for all,</w:t>
      </w:r>
    </w:p>
    <w:p w14:paraId="1F8A5D92" w14:textId="22A6E18F" w:rsidR="000D252C" w:rsidRDefault="000D252C" w:rsidP="000D252C">
      <w:pPr>
        <w:pStyle w:val="ListBullet"/>
      </w:pPr>
      <w:r>
        <w:t>Embedding Te Tiriti,</w:t>
      </w:r>
    </w:p>
    <w:p w14:paraId="1A3467DC" w14:textId="534FC1F2" w:rsidR="000D252C" w:rsidRDefault="000D252C" w:rsidP="000D252C">
      <w:pPr>
        <w:pStyle w:val="ListBullet"/>
      </w:pPr>
      <w:r>
        <w:t>Implementing a population health approach, and</w:t>
      </w:r>
    </w:p>
    <w:p w14:paraId="678110C7" w14:textId="10708F88" w:rsidR="000D252C" w:rsidRDefault="000D252C" w:rsidP="000D252C">
      <w:pPr>
        <w:pStyle w:val="ListBullet"/>
      </w:pPr>
      <w:r>
        <w:t>Ensuring sustainability of the health system.</w:t>
      </w:r>
    </w:p>
    <w:p w14:paraId="5D6D826D" w14:textId="40F789E9" w:rsidR="000D252C" w:rsidRDefault="000D252C" w:rsidP="000D252C">
      <w:pPr>
        <w:spacing w:before="0" w:after="160" w:line="259" w:lineRule="auto"/>
      </w:pPr>
      <w:r>
        <w:t xml:space="preserve">The health estate has an important role to play in delivering these objectives, and infrastructure investment </w:t>
      </w:r>
      <w:r w:rsidR="009A69F3">
        <w:t xml:space="preserve">will </w:t>
      </w:r>
      <w:r>
        <w:t>deliver on the aspirations set out in Te Pae Tata.</w:t>
      </w:r>
    </w:p>
    <w:p w14:paraId="4D316B29" w14:textId="77777777" w:rsidR="000D252C" w:rsidRDefault="000D252C" w:rsidP="000D252C">
      <w:pPr>
        <w:spacing w:before="0" w:after="160" w:line="259" w:lineRule="auto"/>
      </w:pPr>
      <w:r>
        <w:t>Providing nationally consistent design guidance, drawing on the wealth of expertise that exists across New Zealand, guidance that is genuinely informed by the principles of Te Tiriti o Waitangi, will deliver buildings that promote equitable access, that respond to the social, cultural and physical needs of all New Zealanders.</w:t>
      </w:r>
    </w:p>
    <w:p w14:paraId="7BE8DC62" w14:textId="77777777" w:rsidR="000D252C" w:rsidRDefault="000D252C" w:rsidP="000D252C">
      <w:pPr>
        <w:spacing w:before="0" w:after="160" w:line="259" w:lineRule="auto"/>
      </w:pPr>
      <w:r>
        <w:t xml:space="preserve">Nationally consistent design guidance, and transparent design assurance processes also support standardised, faster and more efficient infrastructure delivery processes, improving the sustainability of the health system, and building construction sector confidence in hospital development processes.  </w:t>
      </w:r>
    </w:p>
    <w:p w14:paraId="2F5B894C" w14:textId="77777777" w:rsidR="000D252C" w:rsidRDefault="000D252C" w:rsidP="000D252C">
      <w:pPr>
        <w:spacing w:before="0" w:after="160" w:line="259" w:lineRule="auto"/>
      </w:pPr>
      <w:r>
        <w:t>Thank you to everybody who contributed to producing this Design Guidance and Assurance Framework.</w:t>
      </w:r>
    </w:p>
    <w:p w14:paraId="65AEFF73" w14:textId="739030F2" w:rsidR="000D252C" w:rsidRDefault="0030657A" w:rsidP="000D252C">
      <w:pPr>
        <w:spacing w:before="0" w:after="160" w:line="259" w:lineRule="auto"/>
      </w:pPr>
      <w:r>
        <w:rPr>
          <w:noProof/>
        </w:rPr>
        <w:drawing>
          <wp:inline distT="0" distB="0" distL="0" distR="0" wp14:anchorId="7DB29817" wp14:editId="4781A503">
            <wp:extent cx="1743997" cy="838200"/>
            <wp:effectExtent l="0" t="0" r="8890" b="0"/>
            <wp:docPr id="10" name="Picture 10"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signature&#10;&#10;Description automatically generated"/>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759468" cy="845635"/>
                    </a:xfrm>
                    <a:prstGeom prst="rect">
                      <a:avLst/>
                    </a:prstGeom>
                    <a:ln>
                      <a:noFill/>
                    </a:ln>
                    <a:extLst>
                      <a:ext uri="{53640926-AAD7-44D8-BBD7-CCE9431645EC}">
                        <a14:shadowObscured xmlns:a14="http://schemas.microsoft.com/office/drawing/2010/main"/>
                      </a:ext>
                    </a:extLst>
                  </pic:spPr>
                </pic:pic>
              </a:graphicData>
            </a:graphic>
          </wp:inline>
        </w:drawing>
      </w:r>
      <w:r w:rsidR="000D252C">
        <w:t xml:space="preserve"> </w:t>
      </w:r>
    </w:p>
    <w:p w14:paraId="10D0C9C7" w14:textId="77777777" w:rsidR="000D252C" w:rsidRDefault="000D252C" w:rsidP="000D252C">
      <w:pPr>
        <w:spacing w:before="0" w:after="160" w:line="259" w:lineRule="auto"/>
      </w:pPr>
      <w:r>
        <w:t>Jeremy Holman</w:t>
      </w:r>
    </w:p>
    <w:p w14:paraId="70AF01F4" w14:textId="77777777" w:rsidR="00001A03" w:rsidRDefault="00001A03">
      <w:pPr>
        <w:spacing w:before="0" w:after="160" w:line="259" w:lineRule="auto"/>
      </w:pPr>
      <w:r w:rsidRPr="00001A03">
        <w:t xml:space="preserve">Chief Infrastructure and Investment Officer </w:t>
      </w:r>
    </w:p>
    <w:p w14:paraId="4390CAC4" w14:textId="77777777" w:rsidR="00001A03" w:rsidRDefault="00001A03">
      <w:pPr>
        <w:spacing w:before="0" w:after="160" w:line="259" w:lineRule="auto"/>
      </w:pPr>
      <w:r w:rsidRPr="00001A03">
        <w:t xml:space="preserve">Infrastructure and Investment Group </w:t>
      </w:r>
    </w:p>
    <w:p w14:paraId="1B429B7F" w14:textId="0E9E5C6E" w:rsidR="000D252C" w:rsidRDefault="00206195">
      <w:pPr>
        <w:spacing w:before="0" w:after="160" w:line="259" w:lineRule="auto"/>
      </w:pPr>
      <w:r>
        <w:t>H</w:t>
      </w:r>
      <w:r w:rsidR="003657EA">
        <w:t xml:space="preserve">ealth </w:t>
      </w:r>
      <w:r>
        <w:t>N</w:t>
      </w:r>
      <w:r w:rsidR="00210553">
        <w:t xml:space="preserve">ew </w:t>
      </w:r>
      <w:r>
        <w:t>Z</w:t>
      </w:r>
      <w:r w:rsidR="00210553">
        <w:t>ealand</w:t>
      </w:r>
      <w:r>
        <w:t xml:space="preserve"> | </w:t>
      </w:r>
      <w:r w:rsidR="00001A03" w:rsidRPr="00001A03">
        <w:t>Te Whatu Ora</w:t>
      </w:r>
      <w:r w:rsidR="000D252C">
        <w:br w:type="page"/>
      </w:r>
    </w:p>
    <w:p w14:paraId="52CD19E0" w14:textId="73EA144E" w:rsidR="000D252C" w:rsidRDefault="000D252C" w:rsidP="000D252C">
      <w:pPr>
        <w:pStyle w:val="NumberedHeading1"/>
      </w:pPr>
      <w:bookmarkStart w:id="1" w:name="_Toc210288786"/>
      <w:r>
        <w:lastRenderedPageBreak/>
        <w:t>Executive summary</w:t>
      </w:r>
      <w:bookmarkEnd w:id="1"/>
    </w:p>
    <w:p w14:paraId="01784108" w14:textId="5774764F" w:rsidR="000D252C" w:rsidRDefault="000D252C" w:rsidP="000D252C">
      <w:r>
        <w:t xml:space="preserve">Nationally consistent design guidance and assurance processes will support fit-for-purpose facility development, that supports equity and sustainability objectives. Providing clear and consistent design expectations will streamline development </w:t>
      </w:r>
      <w:r w:rsidR="35FE49C8">
        <w:t>processes and</w:t>
      </w:r>
      <w:r>
        <w:t xml:space="preserve"> reduce the risk of time and cost overruns. </w:t>
      </w:r>
    </w:p>
    <w:p w14:paraId="7D637CDC" w14:textId="2D1DA472" w:rsidR="000D252C" w:rsidRDefault="000D252C" w:rsidP="000D252C">
      <w:r>
        <w:t xml:space="preserve">This framework sets out processes that will ensure that patients and their whānau, staff and key stakeholders can contribute to developing agreed guidance, using the Australasian Health Facility Guidelines as a base, and developing </w:t>
      </w:r>
      <w:r w:rsidR="006B1FC2">
        <w:t xml:space="preserve">New Zealand | Aotearoa </w:t>
      </w:r>
      <w:r>
        <w:t xml:space="preserve">specific guidance to meet our unique needs. </w:t>
      </w:r>
    </w:p>
    <w:p w14:paraId="6CBA0386" w14:textId="25CCA26F" w:rsidR="000D252C" w:rsidRDefault="000D252C" w:rsidP="000D252C">
      <w:r>
        <w:t xml:space="preserve">Developing </w:t>
      </w:r>
      <w:r w:rsidR="00B84075">
        <w:t xml:space="preserve">New Zealand | Aotearoa </w:t>
      </w:r>
      <w:r>
        <w:t>specific guidance, developed in partnership with tangata whenua, will support health facility designs that reflect te Ao Māori priorities.</w:t>
      </w:r>
    </w:p>
    <w:p w14:paraId="37261DF2" w14:textId="77777777" w:rsidR="000D252C" w:rsidRDefault="000D252C" w:rsidP="000D252C">
      <w:r>
        <w:t>Assurance processes to support consistent application of the guidance are also set out here; the processes drive standardisation, while providing approval pathways for local and innovative solutions, where required.</w:t>
      </w:r>
    </w:p>
    <w:p w14:paraId="7EC2DDE2" w14:textId="36804408" w:rsidR="000D252C" w:rsidRDefault="000D252C" w:rsidP="000D252C">
      <w:r>
        <w:t>The guidance and assurance processes are designed to be continuously improved, with lessons learned, and post-occupancy evaluation information feeding into guidance reviews and updates. Post occupancy reviews will not only seek input from clinicians and facilit</w:t>
      </w:r>
      <w:r w:rsidR="00E306D9">
        <w:t>y</w:t>
      </w:r>
      <w:r>
        <w:t xml:space="preserve"> </w:t>
      </w:r>
      <w:proofErr w:type="gramStart"/>
      <w:r>
        <w:t>managers, but</w:t>
      </w:r>
      <w:proofErr w:type="gramEnd"/>
      <w:r>
        <w:t xml:space="preserve"> will also include input from patients and their whanau, to amplify lived experience in developing and reviewing facility design guidance.</w:t>
      </w:r>
    </w:p>
    <w:p w14:paraId="25C792FA" w14:textId="569EBBEA" w:rsidR="000D252C" w:rsidRDefault="000D252C" w:rsidP="000D252C">
      <w:r>
        <w:br w:type="page"/>
      </w:r>
    </w:p>
    <w:sdt>
      <w:sdtPr>
        <w:rPr>
          <w:rFonts w:asciiTheme="minorHAnsi" w:eastAsiaTheme="minorEastAsia" w:hAnsiTheme="minorHAnsi" w:cstheme="minorBidi"/>
          <w:b w:val="0"/>
          <w:color w:val="auto"/>
          <w:sz w:val="24"/>
          <w:szCs w:val="24"/>
        </w:rPr>
        <w:id w:val="-1875375867"/>
        <w:docPartObj>
          <w:docPartGallery w:val="Table of Contents"/>
          <w:docPartUnique/>
        </w:docPartObj>
      </w:sdtPr>
      <w:sdtEndPr>
        <w:rPr>
          <w:noProof/>
        </w:rPr>
      </w:sdtEndPr>
      <w:sdtContent>
        <w:p w14:paraId="745E4A66" w14:textId="77777777" w:rsidR="00630DE1" w:rsidRDefault="00630DE1" w:rsidP="00630DE1">
          <w:pPr>
            <w:pStyle w:val="TOCHeading"/>
          </w:pPr>
          <w:r w:rsidRPr="00630DE1">
            <w:t>Contents</w:t>
          </w:r>
        </w:p>
        <w:p w14:paraId="247912FF" w14:textId="342FE95D" w:rsidR="00E32CFA" w:rsidRDefault="00630DE1">
          <w:pPr>
            <w:pStyle w:val="TOC1"/>
            <w:tabs>
              <w:tab w:val="left" w:pos="480"/>
              <w:tab w:val="right" w:pos="10456"/>
            </w:tabs>
            <w:rPr>
              <w:rFonts w:eastAsiaTheme="minorEastAsia"/>
              <w:b w:val="0"/>
              <w:noProof/>
              <w:kern w:val="2"/>
              <w:szCs w:val="24"/>
              <w:lang w:eastAsia="en-NZ"/>
              <w14:ligatures w14:val="standardContextual"/>
            </w:rPr>
          </w:pPr>
          <w:r>
            <w:fldChar w:fldCharType="begin"/>
          </w:r>
          <w:r>
            <w:instrText xml:space="preserve"> TOC \o "1-2" \h \z \u </w:instrText>
          </w:r>
          <w:r>
            <w:fldChar w:fldCharType="separate"/>
          </w:r>
          <w:hyperlink w:anchor="_Toc210288785" w:history="1">
            <w:r w:rsidR="00E32CFA" w:rsidRPr="008D57FE">
              <w:rPr>
                <w:rStyle w:val="Hyperlink"/>
                <w:noProof/>
              </w:rPr>
              <w:t>1</w:t>
            </w:r>
            <w:r w:rsidR="00E32CFA">
              <w:rPr>
                <w:rFonts w:eastAsiaTheme="minorEastAsia"/>
                <w:b w:val="0"/>
                <w:noProof/>
                <w:kern w:val="2"/>
                <w:szCs w:val="24"/>
                <w:lang w:eastAsia="en-NZ"/>
                <w14:ligatures w14:val="standardContextual"/>
              </w:rPr>
              <w:tab/>
            </w:r>
            <w:r w:rsidR="00E32CFA" w:rsidRPr="008D57FE">
              <w:rPr>
                <w:rStyle w:val="Hyperlink"/>
                <w:noProof/>
              </w:rPr>
              <w:t>Foreword</w:t>
            </w:r>
            <w:r w:rsidR="00E32CFA">
              <w:rPr>
                <w:noProof/>
                <w:webHidden/>
              </w:rPr>
              <w:tab/>
            </w:r>
            <w:r w:rsidR="00E32CFA">
              <w:rPr>
                <w:noProof/>
                <w:webHidden/>
              </w:rPr>
              <w:fldChar w:fldCharType="begin"/>
            </w:r>
            <w:r w:rsidR="00E32CFA">
              <w:rPr>
                <w:noProof/>
                <w:webHidden/>
              </w:rPr>
              <w:instrText xml:space="preserve"> PAGEREF _Toc210288785 \h </w:instrText>
            </w:r>
            <w:r w:rsidR="00E32CFA">
              <w:rPr>
                <w:noProof/>
                <w:webHidden/>
              </w:rPr>
            </w:r>
            <w:r w:rsidR="00E32CFA">
              <w:rPr>
                <w:noProof/>
                <w:webHidden/>
              </w:rPr>
              <w:fldChar w:fldCharType="separate"/>
            </w:r>
            <w:r w:rsidR="00E32CFA">
              <w:rPr>
                <w:noProof/>
                <w:webHidden/>
              </w:rPr>
              <w:t>3</w:t>
            </w:r>
            <w:r w:rsidR="00E32CFA">
              <w:rPr>
                <w:noProof/>
                <w:webHidden/>
              </w:rPr>
              <w:fldChar w:fldCharType="end"/>
            </w:r>
          </w:hyperlink>
        </w:p>
        <w:p w14:paraId="53DA8199" w14:textId="1E3EB774" w:rsidR="00E32CFA" w:rsidRDefault="00E32CFA">
          <w:pPr>
            <w:pStyle w:val="TOC1"/>
            <w:tabs>
              <w:tab w:val="left" w:pos="480"/>
              <w:tab w:val="right" w:pos="10456"/>
            </w:tabs>
            <w:rPr>
              <w:rFonts w:eastAsiaTheme="minorEastAsia"/>
              <w:b w:val="0"/>
              <w:noProof/>
              <w:kern w:val="2"/>
              <w:szCs w:val="24"/>
              <w:lang w:eastAsia="en-NZ"/>
              <w14:ligatures w14:val="standardContextual"/>
            </w:rPr>
          </w:pPr>
          <w:hyperlink w:anchor="_Toc210288786" w:history="1">
            <w:r w:rsidRPr="008D57FE">
              <w:rPr>
                <w:rStyle w:val="Hyperlink"/>
                <w:noProof/>
              </w:rPr>
              <w:t>2</w:t>
            </w:r>
            <w:r>
              <w:rPr>
                <w:rFonts w:eastAsiaTheme="minorEastAsia"/>
                <w:b w:val="0"/>
                <w:noProof/>
                <w:kern w:val="2"/>
                <w:szCs w:val="24"/>
                <w:lang w:eastAsia="en-NZ"/>
                <w14:ligatures w14:val="standardContextual"/>
              </w:rPr>
              <w:tab/>
            </w:r>
            <w:r w:rsidRPr="008D57FE">
              <w:rPr>
                <w:rStyle w:val="Hyperlink"/>
                <w:noProof/>
              </w:rPr>
              <w:t>Executive summary</w:t>
            </w:r>
            <w:r>
              <w:rPr>
                <w:noProof/>
                <w:webHidden/>
              </w:rPr>
              <w:tab/>
            </w:r>
            <w:r>
              <w:rPr>
                <w:noProof/>
                <w:webHidden/>
              </w:rPr>
              <w:fldChar w:fldCharType="begin"/>
            </w:r>
            <w:r>
              <w:rPr>
                <w:noProof/>
                <w:webHidden/>
              </w:rPr>
              <w:instrText xml:space="preserve"> PAGEREF _Toc210288786 \h </w:instrText>
            </w:r>
            <w:r>
              <w:rPr>
                <w:noProof/>
                <w:webHidden/>
              </w:rPr>
            </w:r>
            <w:r>
              <w:rPr>
                <w:noProof/>
                <w:webHidden/>
              </w:rPr>
              <w:fldChar w:fldCharType="separate"/>
            </w:r>
            <w:r>
              <w:rPr>
                <w:noProof/>
                <w:webHidden/>
              </w:rPr>
              <w:t>4</w:t>
            </w:r>
            <w:r>
              <w:rPr>
                <w:noProof/>
                <w:webHidden/>
              </w:rPr>
              <w:fldChar w:fldCharType="end"/>
            </w:r>
          </w:hyperlink>
        </w:p>
        <w:p w14:paraId="00AAB6EF" w14:textId="03CD74F3" w:rsidR="00E32CFA" w:rsidRDefault="00E32CFA">
          <w:pPr>
            <w:pStyle w:val="TOC1"/>
            <w:tabs>
              <w:tab w:val="left" w:pos="480"/>
              <w:tab w:val="right" w:pos="10456"/>
            </w:tabs>
            <w:rPr>
              <w:rFonts w:eastAsiaTheme="minorEastAsia"/>
              <w:b w:val="0"/>
              <w:noProof/>
              <w:kern w:val="2"/>
              <w:szCs w:val="24"/>
              <w:lang w:eastAsia="en-NZ"/>
              <w14:ligatures w14:val="standardContextual"/>
            </w:rPr>
          </w:pPr>
          <w:hyperlink w:anchor="_Toc210288787" w:history="1">
            <w:r w:rsidRPr="008D57FE">
              <w:rPr>
                <w:rStyle w:val="Hyperlink"/>
                <w:noProof/>
              </w:rPr>
              <w:t>3</w:t>
            </w:r>
            <w:r>
              <w:rPr>
                <w:rFonts w:eastAsiaTheme="minorEastAsia"/>
                <w:b w:val="0"/>
                <w:noProof/>
                <w:kern w:val="2"/>
                <w:szCs w:val="24"/>
                <w:lang w:eastAsia="en-NZ"/>
                <w14:ligatures w14:val="standardContextual"/>
              </w:rPr>
              <w:tab/>
            </w:r>
            <w:r w:rsidRPr="008D57FE">
              <w:rPr>
                <w:rStyle w:val="Hyperlink"/>
                <w:noProof/>
              </w:rPr>
              <w:t>Working Group</w:t>
            </w:r>
            <w:r>
              <w:rPr>
                <w:noProof/>
                <w:webHidden/>
              </w:rPr>
              <w:tab/>
            </w:r>
            <w:r>
              <w:rPr>
                <w:noProof/>
                <w:webHidden/>
              </w:rPr>
              <w:fldChar w:fldCharType="begin"/>
            </w:r>
            <w:r>
              <w:rPr>
                <w:noProof/>
                <w:webHidden/>
              </w:rPr>
              <w:instrText xml:space="preserve"> PAGEREF _Toc210288787 \h </w:instrText>
            </w:r>
            <w:r>
              <w:rPr>
                <w:noProof/>
                <w:webHidden/>
              </w:rPr>
            </w:r>
            <w:r>
              <w:rPr>
                <w:noProof/>
                <w:webHidden/>
              </w:rPr>
              <w:fldChar w:fldCharType="separate"/>
            </w:r>
            <w:r>
              <w:rPr>
                <w:noProof/>
                <w:webHidden/>
              </w:rPr>
              <w:t>7</w:t>
            </w:r>
            <w:r>
              <w:rPr>
                <w:noProof/>
                <w:webHidden/>
              </w:rPr>
              <w:fldChar w:fldCharType="end"/>
            </w:r>
          </w:hyperlink>
        </w:p>
        <w:p w14:paraId="303894F7" w14:textId="7EECC7A4" w:rsidR="00E32CFA" w:rsidRDefault="00E32CFA">
          <w:pPr>
            <w:pStyle w:val="TOC1"/>
            <w:tabs>
              <w:tab w:val="left" w:pos="480"/>
              <w:tab w:val="right" w:pos="10456"/>
            </w:tabs>
            <w:rPr>
              <w:rFonts w:eastAsiaTheme="minorEastAsia"/>
              <w:b w:val="0"/>
              <w:noProof/>
              <w:kern w:val="2"/>
              <w:szCs w:val="24"/>
              <w:lang w:eastAsia="en-NZ"/>
              <w14:ligatures w14:val="standardContextual"/>
            </w:rPr>
          </w:pPr>
          <w:hyperlink w:anchor="_Toc210288788" w:history="1">
            <w:r w:rsidRPr="008D57FE">
              <w:rPr>
                <w:rStyle w:val="Hyperlink"/>
                <w:noProof/>
              </w:rPr>
              <w:t>4</w:t>
            </w:r>
            <w:r>
              <w:rPr>
                <w:rFonts w:eastAsiaTheme="minorEastAsia"/>
                <w:b w:val="0"/>
                <w:noProof/>
                <w:kern w:val="2"/>
                <w:szCs w:val="24"/>
                <w:lang w:eastAsia="en-NZ"/>
                <w14:ligatures w14:val="standardContextual"/>
              </w:rPr>
              <w:tab/>
            </w:r>
            <w:r w:rsidRPr="008D57FE">
              <w:rPr>
                <w:rStyle w:val="Hyperlink"/>
                <w:noProof/>
              </w:rPr>
              <w:t>Consultation</w:t>
            </w:r>
            <w:r>
              <w:rPr>
                <w:noProof/>
                <w:webHidden/>
              </w:rPr>
              <w:tab/>
            </w:r>
            <w:r>
              <w:rPr>
                <w:noProof/>
                <w:webHidden/>
              </w:rPr>
              <w:fldChar w:fldCharType="begin"/>
            </w:r>
            <w:r>
              <w:rPr>
                <w:noProof/>
                <w:webHidden/>
              </w:rPr>
              <w:instrText xml:space="preserve"> PAGEREF _Toc210288788 \h </w:instrText>
            </w:r>
            <w:r>
              <w:rPr>
                <w:noProof/>
                <w:webHidden/>
              </w:rPr>
            </w:r>
            <w:r>
              <w:rPr>
                <w:noProof/>
                <w:webHidden/>
              </w:rPr>
              <w:fldChar w:fldCharType="separate"/>
            </w:r>
            <w:r>
              <w:rPr>
                <w:noProof/>
                <w:webHidden/>
              </w:rPr>
              <w:t>8</w:t>
            </w:r>
            <w:r>
              <w:rPr>
                <w:noProof/>
                <w:webHidden/>
              </w:rPr>
              <w:fldChar w:fldCharType="end"/>
            </w:r>
          </w:hyperlink>
        </w:p>
        <w:p w14:paraId="05B78CAB" w14:textId="7C006A31" w:rsidR="00E32CFA" w:rsidRDefault="00E32CFA">
          <w:pPr>
            <w:pStyle w:val="TOC1"/>
            <w:tabs>
              <w:tab w:val="left" w:pos="480"/>
              <w:tab w:val="right" w:pos="10456"/>
            </w:tabs>
            <w:rPr>
              <w:rFonts w:eastAsiaTheme="minorEastAsia"/>
              <w:b w:val="0"/>
              <w:noProof/>
              <w:kern w:val="2"/>
              <w:szCs w:val="24"/>
              <w:lang w:eastAsia="en-NZ"/>
              <w14:ligatures w14:val="standardContextual"/>
            </w:rPr>
          </w:pPr>
          <w:hyperlink w:anchor="_Toc210288789" w:history="1">
            <w:r w:rsidRPr="008D57FE">
              <w:rPr>
                <w:rStyle w:val="Hyperlink"/>
                <w:noProof/>
              </w:rPr>
              <w:t>5</w:t>
            </w:r>
            <w:r>
              <w:rPr>
                <w:rFonts w:eastAsiaTheme="minorEastAsia"/>
                <w:b w:val="0"/>
                <w:noProof/>
                <w:kern w:val="2"/>
                <w:szCs w:val="24"/>
                <w:lang w:eastAsia="en-NZ"/>
                <w14:ligatures w14:val="standardContextual"/>
              </w:rPr>
              <w:tab/>
            </w:r>
            <w:r w:rsidRPr="008D57FE">
              <w:rPr>
                <w:rStyle w:val="Hyperlink"/>
                <w:noProof/>
              </w:rPr>
              <w:t>Revision History</w:t>
            </w:r>
            <w:r>
              <w:rPr>
                <w:noProof/>
                <w:webHidden/>
              </w:rPr>
              <w:tab/>
            </w:r>
            <w:r>
              <w:rPr>
                <w:noProof/>
                <w:webHidden/>
              </w:rPr>
              <w:fldChar w:fldCharType="begin"/>
            </w:r>
            <w:r>
              <w:rPr>
                <w:noProof/>
                <w:webHidden/>
              </w:rPr>
              <w:instrText xml:space="preserve"> PAGEREF _Toc210288789 \h </w:instrText>
            </w:r>
            <w:r>
              <w:rPr>
                <w:noProof/>
                <w:webHidden/>
              </w:rPr>
            </w:r>
            <w:r>
              <w:rPr>
                <w:noProof/>
                <w:webHidden/>
              </w:rPr>
              <w:fldChar w:fldCharType="separate"/>
            </w:r>
            <w:r>
              <w:rPr>
                <w:noProof/>
                <w:webHidden/>
              </w:rPr>
              <w:t>8</w:t>
            </w:r>
            <w:r>
              <w:rPr>
                <w:noProof/>
                <w:webHidden/>
              </w:rPr>
              <w:fldChar w:fldCharType="end"/>
            </w:r>
          </w:hyperlink>
        </w:p>
        <w:p w14:paraId="6D9C3F4B" w14:textId="372A4948" w:rsidR="00E32CFA" w:rsidRDefault="00E32CFA">
          <w:pPr>
            <w:pStyle w:val="TOC1"/>
            <w:tabs>
              <w:tab w:val="left" w:pos="480"/>
              <w:tab w:val="right" w:pos="10456"/>
            </w:tabs>
            <w:rPr>
              <w:rFonts w:eastAsiaTheme="minorEastAsia"/>
              <w:b w:val="0"/>
              <w:noProof/>
              <w:kern w:val="2"/>
              <w:szCs w:val="24"/>
              <w:lang w:eastAsia="en-NZ"/>
              <w14:ligatures w14:val="standardContextual"/>
            </w:rPr>
          </w:pPr>
          <w:hyperlink w:anchor="_Toc210288790" w:history="1">
            <w:r w:rsidRPr="008D57FE">
              <w:rPr>
                <w:rStyle w:val="Hyperlink"/>
                <w:noProof/>
              </w:rPr>
              <w:t>6</w:t>
            </w:r>
            <w:r>
              <w:rPr>
                <w:rFonts w:eastAsiaTheme="minorEastAsia"/>
                <w:b w:val="0"/>
                <w:noProof/>
                <w:kern w:val="2"/>
                <w:szCs w:val="24"/>
                <w:lang w:eastAsia="en-NZ"/>
                <w14:ligatures w14:val="standardContextual"/>
              </w:rPr>
              <w:tab/>
            </w:r>
            <w:r w:rsidRPr="008D57FE">
              <w:rPr>
                <w:rStyle w:val="Hyperlink"/>
                <w:noProof/>
              </w:rPr>
              <w:t>Objectives</w:t>
            </w:r>
            <w:r>
              <w:rPr>
                <w:noProof/>
                <w:webHidden/>
              </w:rPr>
              <w:tab/>
            </w:r>
            <w:r>
              <w:rPr>
                <w:noProof/>
                <w:webHidden/>
              </w:rPr>
              <w:fldChar w:fldCharType="begin"/>
            </w:r>
            <w:r>
              <w:rPr>
                <w:noProof/>
                <w:webHidden/>
              </w:rPr>
              <w:instrText xml:space="preserve"> PAGEREF _Toc210288790 \h </w:instrText>
            </w:r>
            <w:r>
              <w:rPr>
                <w:noProof/>
                <w:webHidden/>
              </w:rPr>
            </w:r>
            <w:r>
              <w:rPr>
                <w:noProof/>
                <w:webHidden/>
              </w:rPr>
              <w:fldChar w:fldCharType="separate"/>
            </w:r>
            <w:r>
              <w:rPr>
                <w:noProof/>
                <w:webHidden/>
              </w:rPr>
              <w:t>9</w:t>
            </w:r>
            <w:r>
              <w:rPr>
                <w:noProof/>
                <w:webHidden/>
              </w:rPr>
              <w:fldChar w:fldCharType="end"/>
            </w:r>
          </w:hyperlink>
        </w:p>
        <w:p w14:paraId="1E35072A" w14:textId="71C64AD1" w:rsidR="00E32CFA" w:rsidRDefault="00E32CFA">
          <w:pPr>
            <w:pStyle w:val="TOC1"/>
            <w:tabs>
              <w:tab w:val="left" w:pos="480"/>
              <w:tab w:val="right" w:pos="10456"/>
            </w:tabs>
            <w:rPr>
              <w:rFonts w:eastAsiaTheme="minorEastAsia"/>
              <w:b w:val="0"/>
              <w:noProof/>
              <w:kern w:val="2"/>
              <w:szCs w:val="24"/>
              <w:lang w:eastAsia="en-NZ"/>
              <w14:ligatures w14:val="standardContextual"/>
            </w:rPr>
          </w:pPr>
          <w:hyperlink w:anchor="_Toc210288791" w:history="1">
            <w:r w:rsidRPr="008D57FE">
              <w:rPr>
                <w:rStyle w:val="Hyperlink"/>
                <w:noProof/>
              </w:rPr>
              <w:t>7</w:t>
            </w:r>
            <w:r>
              <w:rPr>
                <w:rFonts w:eastAsiaTheme="minorEastAsia"/>
                <w:b w:val="0"/>
                <w:noProof/>
                <w:kern w:val="2"/>
                <w:szCs w:val="24"/>
                <w:lang w:eastAsia="en-NZ"/>
                <w14:ligatures w14:val="standardContextual"/>
              </w:rPr>
              <w:tab/>
            </w:r>
            <w:r w:rsidRPr="008D57FE">
              <w:rPr>
                <w:rStyle w:val="Hyperlink"/>
                <w:noProof/>
              </w:rPr>
              <w:t>Scope</w:t>
            </w:r>
            <w:r>
              <w:rPr>
                <w:noProof/>
                <w:webHidden/>
              </w:rPr>
              <w:tab/>
            </w:r>
            <w:r>
              <w:rPr>
                <w:noProof/>
                <w:webHidden/>
              </w:rPr>
              <w:fldChar w:fldCharType="begin"/>
            </w:r>
            <w:r>
              <w:rPr>
                <w:noProof/>
                <w:webHidden/>
              </w:rPr>
              <w:instrText xml:space="preserve"> PAGEREF _Toc210288791 \h </w:instrText>
            </w:r>
            <w:r>
              <w:rPr>
                <w:noProof/>
                <w:webHidden/>
              </w:rPr>
            </w:r>
            <w:r>
              <w:rPr>
                <w:noProof/>
                <w:webHidden/>
              </w:rPr>
              <w:fldChar w:fldCharType="separate"/>
            </w:r>
            <w:r>
              <w:rPr>
                <w:noProof/>
                <w:webHidden/>
              </w:rPr>
              <w:t>9</w:t>
            </w:r>
            <w:r>
              <w:rPr>
                <w:noProof/>
                <w:webHidden/>
              </w:rPr>
              <w:fldChar w:fldCharType="end"/>
            </w:r>
          </w:hyperlink>
        </w:p>
        <w:p w14:paraId="73608922" w14:textId="7DBAE6F5" w:rsidR="00E32CFA" w:rsidRDefault="00E32CFA">
          <w:pPr>
            <w:pStyle w:val="TOC1"/>
            <w:tabs>
              <w:tab w:val="left" w:pos="480"/>
              <w:tab w:val="right" w:pos="10456"/>
            </w:tabs>
            <w:rPr>
              <w:rFonts w:eastAsiaTheme="minorEastAsia"/>
              <w:b w:val="0"/>
              <w:noProof/>
              <w:kern w:val="2"/>
              <w:szCs w:val="24"/>
              <w:lang w:eastAsia="en-NZ"/>
              <w14:ligatures w14:val="standardContextual"/>
            </w:rPr>
          </w:pPr>
          <w:hyperlink w:anchor="_Toc210288792" w:history="1">
            <w:r w:rsidRPr="008D57FE">
              <w:rPr>
                <w:rStyle w:val="Hyperlink"/>
                <w:noProof/>
              </w:rPr>
              <w:t>8</w:t>
            </w:r>
            <w:r>
              <w:rPr>
                <w:rFonts w:eastAsiaTheme="minorEastAsia"/>
                <w:b w:val="0"/>
                <w:noProof/>
                <w:kern w:val="2"/>
                <w:szCs w:val="24"/>
                <w:lang w:eastAsia="en-NZ"/>
                <w14:ligatures w14:val="standardContextual"/>
              </w:rPr>
              <w:tab/>
            </w:r>
            <w:r w:rsidRPr="008D57FE">
              <w:rPr>
                <w:rStyle w:val="Hyperlink"/>
                <w:noProof/>
              </w:rPr>
              <w:t>Context</w:t>
            </w:r>
            <w:r>
              <w:rPr>
                <w:noProof/>
                <w:webHidden/>
              </w:rPr>
              <w:tab/>
            </w:r>
            <w:r>
              <w:rPr>
                <w:noProof/>
                <w:webHidden/>
              </w:rPr>
              <w:fldChar w:fldCharType="begin"/>
            </w:r>
            <w:r>
              <w:rPr>
                <w:noProof/>
                <w:webHidden/>
              </w:rPr>
              <w:instrText xml:space="preserve"> PAGEREF _Toc210288792 \h </w:instrText>
            </w:r>
            <w:r>
              <w:rPr>
                <w:noProof/>
                <w:webHidden/>
              </w:rPr>
            </w:r>
            <w:r>
              <w:rPr>
                <w:noProof/>
                <w:webHidden/>
              </w:rPr>
              <w:fldChar w:fldCharType="separate"/>
            </w:r>
            <w:r>
              <w:rPr>
                <w:noProof/>
                <w:webHidden/>
              </w:rPr>
              <w:t>11</w:t>
            </w:r>
            <w:r>
              <w:rPr>
                <w:noProof/>
                <w:webHidden/>
              </w:rPr>
              <w:fldChar w:fldCharType="end"/>
            </w:r>
          </w:hyperlink>
        </w:p>
        <w:p w14:paraId="5979C401" w14:textId="2820535B" w:rsidR="00E32CFA" w:rsidRDefault="00E32CFA">
          <w:pPr>
            <w:pStyle w:val="TOC1"/>
            <w:tabs>
              <w:tab w:val="left" w:pos="480"/>
              <w:tab w:val="right" w:pos="10456"/>
            </w:tabs>
            <w:rPr>
              <w:rFonts w:eastAsiaTheme="minorEastAsia"/>
              <w:b w:val="0"/>
              <w:noProof/>
              <w:kern w:val="2"/>
              <w:szCs w:val="24"/>
              <w:lang w:eastAsia="en-NZ"/>
              <w14:ligatures w14:val="standardContextual"/>
            </w:rPr>
          </w:pPr>
          <w:hyperlink w:anchor="_Toc210288793" w:history="1">
            <w:r w:rsidRPr="008D57FE">
              <w:rPr>
                <w:rStyle w:val="Hyperlink"/>
                <w:noProof/>
              </w:rPr>
              <w:t>9</w:t>
            </w:r>
            <w:r>
              <w:rPr>
                <w:rFonts w:eastAsiaTheme="minorEastAsia"/>
                <w:b w:val="0"/>
                <w:noProof/>
                <w:kern w:val="2"/>
                <w:szCs w:val="24"/>
                <w:lang w:eastAsia="en-NZ"/>
                <w14:ligatures w14:val="standardContextual"/>
              </w:rPr>
              <w:tab/>
            </w:r>
            <w:r w:rsidRPr="008D57FE">
              <w:rPr>
                <w:rStyle w:val="Hyperlink"/>
                <w:noProof/>
              </w:rPr>
              <w:t>Benefits</w:t>
            </w:r>
            <w:r>
              <w:rPr>
                <w:noProof/>
                <w:webHidden/>
              </w:rPr>
              <w:tab/>
            </w:r>
            <w:r>
              <w:rPr>
                <w:noProof/>
                <w:webHidden/>
              </w:rPr>
              <w:fldChar w:fldCharType="begin"/>
            </w:r>
            <w:r>
              <w:rPr>
                <w:noProof/>
                <w:webHidden/>
              </w:rPr>
              <w:instrText xml:space="preserve"> PAGEREF _Toc210288793 \h </w:instrText>
            </w:r>
            <w:r>
              <w:rPr>
                <w:noProof/>
                <w:webHidden/>
              </w:rPr>
            </w:r>
            <w:r>
              <w:rPr>
                <w:noProof/>
                <w:webHidden/>
              </w:rPr>
              <w:fldChar w:fldCharType="separate"/>
            </w:r>
            <w:r>
              <w:rPr>
                <w:noProof/>
                <w:webHidden/>
              </w:rPr>
              <w:t>12</w:t>
            </w:r>
            <w:r>
              <w:rPr>
                <w:noProof/>
                <w:webHidden/>
              </w:rPr>
              <w:fldChar w:fldCharType="end"/>
            </w:r>
          </w:hyperlink>
        </w:p>
        <w:p w14:paraId="2F612E82" w14:textId="28A5DC5D" w:rsidR="00E32CFA" w:rsidRDefault="00E32CFA">
          <w:pPr>
            <w:pStyle w:val="TOC1"/>
            <w:tabs>
              <w:tab w:val="left" w:pos="720"/>
              <w:tab w:val="right" w:pos="10456"/>
            </w:tabs>
            <w:rPr>
              <w:rFonts w:eastAsiaTheme="minorEastAsia"/>
              <w:b w:val="0"/>
              <w:noProof/>
              <w:kern w:val="2"/>
              <w:szCs w:val="24"/>
              <w:lang w:eastAsia="en-NZ"/>
              <w14:ligatures w14:val="standardContextual"/>
            </w:rPr>
          </w:pPr>
          <w:hyperlink w:anchor="_Toc210288794" w:history="1">
            <w:r w:rsidRPr="008D57FE">
              <w:rPr>
                <w:rStyle w:val="Hyperlink"/>
                <w:noProof/>
              </w:rPr>
              <w:t>10</w:t>
            </w:r>
            <w:r>
              <w:rPr>
                <w:rFonts w:eastAsiaTheme="minorEastAsia"/>
                <w:b w:val="0"/>
                <w:noProof/>
                <w:kern w:val="2"/>
                <w:szCs w:val="24"/>
                <w:lang w:eastAsia="en-NZ"/>
                <w14:ligatures w14:val="standardContextual"/>
              </w:rPr>
              <w:tab/>
            </w:r>
            <w:r w:rsidRPr="008D57FE">
              <w:rPr>
                <w:rStyle w:val="Hyperlink"/>
                <w:noProof/>
              </w:rPr>
              <w:t>Design Guidance</w:t>
            </w:r>
            <w:r>
              <w:rPr>
                <w:noProof/>
                <w:webHidden/>
              </w:rPr>
              <w:tab/>
            </w:r>
            <w:r>
              <w:rPr>
                <w:noProof/>
                <w:webHidden/>
              </w:rPr>
              <w:fldChar w:fldCharType="begin"/>
            </w:r>
            <w:r>
              <w:rPr>
                <w:noProof/>
                <w:webHidden/>
              </w:rPr>
              <w:instrText xml:space="preserve"> PAGEREF _Toc210288794 \h </w:instrText>
            </w:r>
            <w:r>
              <w:rPr>
                <w:noProof/>
                <w:webHidden/>
              </w:rPr>
            </w:r>
            <w:r>
              <w:rPr>
                <w:noProof/>
                <w:webHidden/>
              </w:rPr>
              <w:fldChar w:fldCharType="separate"/>
            </w:r>
            <w:r>
              <w:rPr>
                <w:noProof/>
                <w:webHidden/>
              </w:rPr>
              <w:t>14</w:t>
            </w:r>
            <w:r>
              <w:rPr>
                <w:noProof/>
                <w:webHidden/>
              </w:rPr>
              <w:fldChar w:fldCharType="end"/>
            </w:r>
          </w:hyperlink>
        </w:p>
        <w:p w14:paraId="3E420A64" w14:textId="6F0550AD" w:rsidR="00E32CFA" w:rsidRDefault="00E32CFA">
          <w:pPr>
            <w:pStyle w:val="TOC2"/>
            <w:tabs>
              <w:tab w:val="left" w:pos="960"/>
              <w:tab w:val="right" w:pos="10456"/>
            </w:tabs>
            <w:rPr>
              <w:rFonts w:eastAsiaTheme="minorEastAsia"/>
              <w:noProof/>
              <w:kern w:val="2"/>
              <w:szCs w:val="24"/>
              <w:lang w:eastAsia="en-NZ"/>
              <w14:ligatures w14:val="standardContextual"/>
            </w:rPr>
          </w:pPr>
          <w:hyperlink w:anchor="_Toc210288795" w:history="1">
            <w:r w:rsidRPr="008D57FE">
              <w:rPr>
                <w:rStyle w:val="Hyperlink"/>
                <w:noProof/>
              </w:rPr>
              <w:t>10.1</w:t>
            </w:r>
            <w:r>
              <w:rPr>
                <w:rFonts w:eastAsiaTheme="minorEastAsia"/>
                <w:noProof/>
                <w:kern w:val="2"/>
                <w:szCs w:val="24"/>
                <w:lang w:eastAsia="en-NZ"/>
                <w14:ligatures w14:val="standardContextual"/>
              </w:rPr>
              <w:tab/>
            </w:r>
            <w:r w:rsidRPr="008D57FE">
              <w:rPr>
                <w:rStyle w:val="Hyperlink"/>
                <w:noProof/>
              </w:rPr>
              <w:t>Introduction</w:t>
            </w:r>
            <w:r>
              <w:rPr>
                <w:noProof/>
                <w:webHidden/>
              </w:rPr>
              <w:tab/>
            </w:r>
            <w:r>
              <w:rPr>
                <w:noProof/>
                <w:webHidden/>
              </w:rPr>
              <w:fldChar w:fldCharType="begin"/>
            </w:r>
            <w:r>
              <w:rPr>
                <w:noProof/>
                <w:webHidden/>
              </w:rPr>
              <w:instrText xml:space="preserve"> PAGEREF _Toc210288795 \h </w:instrText>
            </w:r>
            <w:r>
              <w:rPr>
                <w:noProof/>
                <w:webHidden/>
              </w:rPr>
            </w:r>
            <w:r>
              <w:rPr>
                <w:noProof/>
                <w:webHidden/>
              </w:rPr>
              <w:fldChar w:fldCharType="separate"/>
            </w:r>
            <w:r>
              <w:rPr>
                <w:noProof/>
                <w:webHidden/>
              </w:rPr>
              <w:t>14</w:t>
            </w:r>
            <w:r>
              <w:rPr>
                <w:noProof/>
                <w:webHidden/>
              </w:rPr>
              <w:fldChar w:fldCharType="end"/>
            </w:r>
          </w:hyperlink>
        </w:p>
        <w:p w14:paraId="06957E04" w14:textId="021361B9" w:rsidR="00E32CFA" w:rsidRDefault="00E32CFA">
          <w:pPr>
            <w:pStyle w:val="TOC2"/>
            <w:tabs>
              <w:tab w:val="left" w:pos="960"/>
              <w:tab w:val="right" w:pos="10456"/>
            </w:tabs>
            <w:rPr>
              <w:rFonts w:eastAsiaTheme="minorEastAsia"/>
              <w:noProof/>
              <w:kern w:val="2"/>
              <w:szCs w:val="24"/>
              <w:lang w:eastAsia="en-NZ"/>
              <w14:ligatures w14:val="standardContextual"/>
            </w:rPr>
          </w:pPr>
          <w:hyperlink w:anchor="_Toc210288796" w:history="1">
            <w:r w:rsidRPr="008D57FE">
              <w:rPr>
                <w:rStyle w:val="Hyperlink"/>
                <w:noProof/>
              </w:rPr>
              <w:t>10.2</w:t>
            </w:r>
            <w:r>
              <w:rPr>
                <w:rFonts w:eastAsiaTheme="minorEastAsia"/>
                <w:noProof/>
                <w:kern w:val="2"/>
                <w:szCs w:val="24"/>
                <w:lang w:eastAsia="en-NZ"/>
                <w14:ligatures w14:val="standardContextual"/>
              </w:rPr>
              <w:tab/>
            </w:r>
            <w:r w:rsidRPr="008D57FE">
              <w:rPr>
                <w:rStyle w:val="Hyperlink"/>
                <w:noProof/>
              </w:rPr>
              <w:t>The Australasian Health Infrastructure Alliance (AHIA)</w:t>
            </w:r>
            <w:r>
              <w:rPr>
                <w:noProof/>
                <w:webHidden/>
              </w:rPr>
              <w:tab/>
            </w:r>
            <w:r>
              <w:rPr>
                <w:noProof/>
                <w:webHidden/>
              </w:rPr>
              <w:fldChar w:fldCharType="begin"/>
            </w:r>
            <w:r>
              <w:rPr>
                <w:noProof/>
                <w:webHidden/>
              </w:rPr>
              <w:instrText xml:space="preserve"> PAGEREF _Toc210288796 \h </w:instrText>
            </w:r>
            <w:r>
              <w:rPr>
                <w:noProof/>
                <w:webHidden/>
              </w:rPr>
            </w:r>
            <w:r>
              <w:rPr>
                <w:noProof/>
                <w:webHidden/>
              </w:rPr>
              <w:fldChar w:fldCharType="separate"/>
            </w:r>
            <w:r>
              <w:rPr>
                <w:noProof/>
                <w:webHidden/>
              </w:rPr>
              <w:t>15</w:t>
            </w:r>
            <w:r>
              <w:rPr>
                <w:noProof/>
                <w:webHidden/>
              </w:rPr>
              <w:fldChar w:fldCharType="end"/>
            </w:r>
          </w:hyperlink>
        </w:p>
        <w:p w14:paraId="30101135" w14:textId="45372CD4" w:rsidR="00E32CFA" w:rsidRDefault="00E32CFA">
          <w:pPr>
            <w:pStyle w:val="TOC2"/>
            <w:tabs>
              <w:tab w:val="left" w:pos="960"/>
              <w:tab w:val="right" w:pos="10456"/>
            </w:tabs>
            <w:rPr>
              <w:rFonts w:eastAsiaTheme="minorEastAsia"/>
              <w:noProof/>
              <w:kern w:val="2"/>
              <w:szCs w:val="24"/>
              <w:lang w:eastAsia="en-NZ"/>
              <w14:ligatures w14:val="standardContextual"/>
            </w:rPr>
          </w:pPr>
          <w:hyperlink w:anchor="_Toc210288797" w:history="1">
            <w:r w:rsidRPr="008D57FE">
              <w:rPr>
                <w:rStyle w:val="Hyperlink"/>
                <w:noProof/>
              </w:rPr>
              <w:t>10.3</w:t>
            </w:r>
            <w:r>
              <w:rPr>
                <w:rFonts w:eastAsiaTheme="minorEastAsia"/>
                <w:noProof/>
                <w:kern w:val="2"/>
                <w:szCs w:val="24"/>
                <w:lang w:eastAsia="en-NZ"/>
                <w14:ligatures w14:val="standardContextual"/>
              </w:rPr>
              <w:tab/>
            </w:r>
            <w:r w:rsidRPr="008D57FE">
              <w:rPr>
                <w:rStyle w:val="Hyperlink"/>
                <w:noProof/>
              </w:rPr>
              <w:t>Australasian Health Facility Guidelines (AusHFG)</w:t>
            </w:r>
            <w:r>
              <w:rPr>
                <w:noProof/>
                <w:webHidden/>
              </w:rPr>
              <w:tab/>
            </w:r>
            <w:r>
              <w:rPr>
                <w:noProof/>
                <w:webHidden/>
              </w:rPr>
              <w:fldChar w:fldCharType="begin"/>
            </w:r>
            <w:r>
              <w:rPr>
                <w:noProof/>
                <w:webHidden/>
              </w:rPr>
              <w:instrText xml:space="preserve"> PAGEREF _Toc210288797 \h </w:instrText>
            </w:r>
            <w:r>
              <w:rPr>
                <w:noProof/>
                <w:webHidden/>
              </w:rPr>
            </w:r>
            <w:r>
              <w:rPr>
                <w:noProof/>
                <w:webHidden/>
              </w:rPr>
              <w:fldChar w:fldCharType="separate"/>
            </w:r>
            <w:r>
              <w:rPr>
                <w:noProof/>
                <w:webHidden/>
              </w:rPr>
              <w:t>16</w:t>
            </w:r>
            <w:r>
              <w:rPr>
                <w:noProof/>
                <w:webHidden/>
              </w:rPr>
              <w:fldChar w:fldCharType="end"/>
            </w:r>
          </w:hyperlink>
        </w:p>
        <w:p w14:paraId="7370E91B" w14:textId="03877F82" w:rsidR="00E32CFA" w:rsidRDefault="00E32CFA">
          <w:pPr>
            <w:pStyle w:val="TOC2"/>
            <w:tabs>
              <w:tab w:val="left" w:pos="960"/>
              <w:tab w:val="right" w:pos="10456"/>
            </w:tabs>
            <w:rPr>
              <w:rFonts w:eastAsiaTheme="minorEastAsia"/>
              <w:noProof/>
              <w:kern w:val="2"/>
              <w:szCs w:val="24"/>
              <w:lang w:eastAsia="en-NZ"/>
              <w14:ligatures w14:val="standardContextual"/>
            </w:rPr>
          </w:pPr>
          <w:hyperlink w:anchor="_Toc210288798" w:history="1">
            <w:r w:rsidRPr="008D57FE">
              <w:rPr>
                <w:rStyle w:val="Hyperlink"/>
                <w:noProof/>
              </w:rPr>
              <w:t>10.4</w:t>
            </w:r>
            <w:r>
              <w:rPr>
                <w:rFonts w:eastAsiaTheme="minorEastAsia"/>
                <w:noProof/>
                <w:kern w:val="2"/>
                <w:szCs w:val="24"/>
                <w:lang w:eastAsia="en-NZ"/>
                <w14:ligatures w14:val="standardContextual"/>
              </w:rPr>
              <w:tab/>
            </w:r>
            <w:r w:rsidRPr="008D57FE">
              <w:rPr>
                <w:rStyle w:val="Hyperlink"/>
                <w:noProof/>
              </w:rPr>
              <w:t>New Zealand Design Guidance Notes (DGNs)</w:t>
            </w:r>
            <w:r>
              <w:rPr>
                <w:noProof/>
                <w:webHidden/>
              </w:rPr>
              <w:tab/>
            </w:r>
            <w:r>
              <w:rPr>
                <w:noProof/>
                <w:webHidden/>
              </w:rPr>
              <w:fldChar w:fldCharType="begin"/>
            </w:r>
            <w:r>
              <w:rPr>
                <w:noProof/>
                <w:webHidden/>
              </w:rPr>
              <w:instrText xml:space="preserve"> PAGEREF _Toc210288798 \h </w:instrText>
            </w:r>
            <w:r>
              <w:rPr>
                <w:noProof/>
                <w:webHidden/>
              </w:rPr>
            </w:r>
            <w:r>
              <w:rPr>
                <w:noProof/>
                <w:webHidden/>
              </w:rPr>
              <w:fldChar w:fldCharType="separate"/>
            </w:r>
            <w:r>
              <w:rPr>
                <w:noProof/>
                <w:webHidden/>
              </w:rPr>
              <w:t>16</w:t>
            </w:r>
            <w:r>
              <w:rPr>
                <w:noProof/>
                <w:webHidden/>
              </w:rPr>
              <w:fldChar w:fldCharType="end"/>
            </w:r>
          </w:hyperlink>
        </w:p>
        <w:p w14:paraId="4DAB9C41" w14:textId="4B81BBAF" w:rsidR="00E32CFA" w:rsidRDefault="00E32CFA">
          <w:pPr>
            <w:pStyle w:val="TOC2"/>
            <w:tabs>
              <w:tab w:val="left" w:pos="960"/>
              <w:tab w:val="right" w:pos="10456"/>
            </w:tabs>
            <w:rPr>
              <w:rFonts w:eastAsiaTheme="minorEastAsia"/>
              <w:noProof/>
              <w:kern w:val="2"/>
              <w:szCs w:val="24"/>
              <w:lang w:eastAsia="en-NZ"/>
              <w14:ligatures w14:val="standardContextual"/>
            </w:rPr>
          </w:pPr>
          <w:hyperlink w:anchor="_Toc210288799" w:history="1">
            <w:r w:rsidRPr="008D57FE">
              <w:rPr>
                <w:rStyle w:val="Hyperlink"/>
                <w:noProof/>
              </w:rPr>
              <w:t>10.5</w:t>
            </w:r>
            <w:r>
              <w:rPr>
                <w:rFonts w:eastAsiaTheme="minorEastAsia"/>
                <w:noProof/>
                <w:kern w:val="2"/>
                <w:szCs w:val="24"/>
                <w:lang w:eastAsia="en-NZ"/>
                <w14:ligatures w14:val="standardContextual"/>
              </w:rPr>
              <w:tab/>
            </w:r>
            <w:r w:rsidRPr="008D57FE">
              <w:rPr>
                <w:rStyle w:val="Hyperlink"/>
                <w:noProof/>
              </w:rPr>
              <w:t>Guidance development</w:t>
            </w:r>
            <w:r>
              <w:rPr>
                <w:noProof/>
                <w:webHidden/>
              </w:rPr>
              <w:tab/>
            </w:r>
            <w:r>
              <w:rPr>
                <w:noProof/>
                <w:webHidden/>
              </w:rPr>
              <w:fldChar w:fldCharType="begin"/>
            </w:r>
            <w:r>
              <w:rPr>
                <w:noProof/>
                <w:webHidden/>
              </w:rPr>
              <w:instrText xml:space="preserve"> PAGEREF _Toc210288799 \h </w:instrText>
            </w:r>
            <w:r>
              <w:rPr>
                <w:noProof/>
                <w:webHidden/>
              </w:rPr>
            </w:r>
            <w:r>
              <w:rPr>
                <w:noProof/>
                <w:webHidden/>
              </w:rPr>
              <w:fldChar w:fldCharType="separate"/>
            </w:r>
            <w:r>
              <w:rPr>
                <w:noProof/>
                <w:webHidden/>
              </w:rPr>
              <w:t>17</w:t>
            </w:r>
            <w:r>
              <w:rPr>
                <w:noProof/>
                <w:webHidden/>
              </w:rPr>
              <w:fldChar w:fldCharType="end"/>
            </w:r>
          </w:hyperlink>
        </w:p>
        <w:p w14:paraId="4B9655BC" w14:textId="5A05BCD3" w:rsidR="00E32CFA" w:rsidRDefault="00E32CFA">
          <w:pPr>
            <w:pStyle w:val="TOC2"/>
            <w:tabs>
              <w:tab w:val="left" w:pos="960"/>
              <w:tab w:val="right" w:pos="10456"/>
            </w:tabs>
            <w:rPr>
              <w:rFonts w:eastAsiaTheme="minorEastAsia"/>
              <w:noProof/>
              <w:kern w:val="2"/>
              <w:szCs w:val="24"/>
              <w:lang w:eastAsia="en-NZ"/>
              <w14:ligatures w14:val="standardContextual"/>
            </w:rPr>
          </w:pPr>
          <w:hyperlink w:anchor="_Toc210288800" w:history="1">
            <w:r w:rsidRPr="008D57FE">
              <w:rPr>
                <w:rStyle w:val="Hyperlink"/>
                <w:noProof/>
              </w:rPr>
              <w:t>10.6</w:t>
            </w:r>
            <w:r>
              <w:rPr>
                <w:rFonts w:eastAsiaTheme="minorEastAsia"/>
                <w:noProof/>
                <w:kern w:val="2"/>
                <w:szCs w:val="24"/>
                <w:lang w:eastAsia="en-NZ"/>
                <w14:ligatures w14:val="standardContextual"/>
              </w:rPr>
              <w:tab/>
            </w:r>
            <w:r w:rsidRPr="008D57FE">
              <w:rPr>
                <w:rStyle w:val="Hyperlink"/>
                <w:noProof/>
              </w:rPr>
              <w:t>Consultation</w:t>
            </w:r>
            <w:r>
              <w:rPr>
                <w:noProof/>
                <w:webHidden/>
              </w:rPr>
              <w:tab/>
            </w:r>
            <w:r>
              <w:rPr>
                <w:noProof/>
                <w:webHidden/>
              </w:rPr>
              <w:fldChar w:fldCharType="begin"/>
            </w:r>
            <w:r>
              <w:rPr>
                <w:noProof/>
                <w:webHidden/>
              </w:rPr>
              <w:instrText xml:space="preserve"> PAGEREF _Toc210288800 \h </w:instrText>
            </w:r>
            <w:r>
              <w:rPr>
                <w:noProof/>
                <w:webHidden/>
              </w:rPr>
            </w:r>
            <w:r>
              <w:rPr>
                <w:noProof/>
                <w:webHidden/>
              </w:rPr>
              <w:fldChar w:fldCharType="separate"/>
            </w:r>
            <w:r>
              <w:rPr>
                <w:noProof/>
                <w:webHidden/>
              </w:rPr>
              <w:t>18</w:t>
            </w:r>
            <w:r>
              <w:rPr>
                <w:noProof/>
                <w:webHidden/>
              </w:rPr>
              <w:fldChar w:fldCharType="end"/>
            </w:r>
          </w:hyperlink>
        </w:p>
        <w:p w14:paraId="6163EB41" w14:textId="42D6E246" w:rsidR="00E32CFA" w:rsidRDefault="00E32CFA">
          <w:pPr>
            <w:pStyle w:val="TOC2"/>
            <w:tabs>
              <w:tab w:val="left" w:pos="960"/>
              <w:tab w:val="right" w:pos="10456"/>
            </w:tabs>
            <w:rPr>
              <w:rFonts w:eastAsiaTheme="minorEastAsia"/>
              <w:noProof/>
              <w:kern w:val="2"/>
              <w:szCs w:val="24"/>
              <w:lang w:eastAsia="en-NZ"/>
              <w14:ligatures w14:val="standardContextual"/>
            </w:rPr>
          </w:pPr>
          <w:hyperlink w:anchor="_Toc210288801" w:history="1">
            <w:r w:rsidRPr="008D57FE">
              <w:rPr>
                <w:rStyle w:val="Hyperlink"/>
                <w:noProof/>
              </w:rPr>
              <w:t>10.7</w:t>
            </w:r>
            <w:r>
              <w:rPr>
                <w:rFonts w:eastAsiaTheme="minorEastAsia"/>
                <w:noProof/>
                <w:kern w:val="2"/>
                <w:szCs w:val="24"/>
                <w:lang w:eastAsia="en-NZ"/>
                <w14:ligatures w14:val="standardContextual"/>
              </w:rPr>
              <w:tab/>
            </w:r>
            <w:r w:rsidRPr="008D57FE">
              <w:rPr>
                <w:rStyle w:val="Hyperlink"/>
                <w:noProof/>
              </w:rPr>
              <w:t>Impact</w:t>
            </w:r>
            <w:r>
              <w:rPr>
                <w:noProof/>
                <w:webHidden/>
              </w:rPr>
              <w:tab/>
            </w:r>
            <w:r>
              <w:rPr>
                <w:noProof/>
                <w:webHidden/>
              </w:rPr>
              <w:fldChar w:fldCharType="begin"/>
            </w:r>
            <w:r>
              <w:rPr>
                <w:noProof/>
                <w:webHidden/>
              </w:rPr>
              <w:instrText xml:space="preserve"> PAGEREF _Toc210288801 \h </w:instrText>
            </w:r>
            <w:r>
              <w:rPr>
                <w:noProof/>
                <w:webHidden/>
              </w:rPr>
            </w:r>
            <w:r>
              <w:rPr>
                <w:noProof/>
                <w:webHidden/>
              </w:rPr>
              <w:fldChar w:fldCharType="separate"/>
            </w:r>
            <w:r>
              <w:rPr>
                <w:noProof/>
                <w:webHidden/>
              </w:rPr>
              <w:t>18</w:t>
            </w:r>
            <w:r>
              <w:rPr>
                <w:noProof/>
                <w:webHidden/>
              </w:rPr>
              <w:fldChar w:fldCharType="end"/>
            </w:r>
          </w:hyperlink>
        </w:p>
        <w:p w14:paraId="51451446" w14:textId="25470A2C" w:rsidR="00E32CFA" w:rsidRDefault="00E32CFA">
          <w:pPr>
            <w:pStyle w:val="TOC2"/>
            <w:tabs>
              <w:tab w:val="left" w:pos="960"/>
              <w:tab w:val="right" w:pos="10456"/>
            </w:tabs>
            <w:rPr>
              <w:rFonts w:eastAsiaTheme="minorEastAsia"/>
              <w:noProof/>
              <w:kern w:val="2"/>
              <w:szCs w:val="24"/>
              <w:lang w:eastAsia="en-NZ"/>
              <w14:ligatures w14:val="standardContextual"/>
            </w:rPr>
          </w:pPr>
          <w:hyperlink w:anchor="_Toc210288802" w:history="1">
            <w:r w:rsidRPr="008D57FE">
              <w:rPr>
                <w:rStyle w:val="Hyperlink"/>
                <w:noProof/>
              </w:rPr>
              <w:t>10.8</w:t>
            </w:r>
            <w:r>
              <w:rPr>
                <w:rFonts w:eastAsiaTheme="minorEastAsia"/>
                <w:noProof/>
                <w:kern w:val="2"/>
                <w:szCs w:val="24"/>
                <w:lang w:eastAsia="en-NZ"/>
                <w14:ligatures w14:val="standardContextual"/>
              </w:rPr>
              <w:tab/>
            </w:r>
            <w:r w:rsidRPr="008D57FE">
              <w:rPr>
                <w:rStyle w:val="Hyperlink"/>
                <w:noProof/>
              </w:rPr>
              <w:t>Updates</w:t>
            </w:r>
            <w:r>
              <w:rPr>
                <w:noProof/>
                <w:webHidden/>
              </w:rPr>
              <w:tab/>
            </w:r>
            <w:r>
              <w:rPr>
                <w:noProof/>
                <w:webHidden/>
              </w:rPr>
              <w:fldChar w:fldCharType="begin"/>
            </w:r>
            <w:r>
              <w:rPr>
                <w:noProof/>
                <w:webHidden/>
              </w:rPr>
              <w:instrText xml:space="preserve"> PAGEREF _Toc210288802 \h </w:instrText>
            </w:r>
            <w:r>
              <w:rPr>
                <w:noProof/>
                <w:webHidden/>
              </w:rPr>
            </w:r>
            <w:r>
              <w:rPr>
                <w:noProof/>
                <w:webHidden/>
              </w:rPr>
              <w:fldChar w:fldCharType="separate"/>
            </w:r>
            <w:r>
              <w:rPr>
                <w:noProof/>
                <w:webHidden/>
              </w:rPr>
              <w:t>19</w:t>
            </w:r>
            <w:r>
              <w:rPr>
                <w:noProof/>
                <w:webHidden/>
              </w:rPr>
              <w:fldChar w:fldCharType="end"/>
            </w:r>
          </w:hyperlink>
        </w:p>
        <w:p w14:paraId="62279E57" w14:textId="00F1D9EA" w:rsidR="00E32CFA" w:rsidRDefault="00E32CFA">
          <w:pPr>
            <w:pStyle w:val="TOC2"/>
            <w:tabs>
              <w:tab w:val="left" w:pos="960"/>
              <w:tab w:val="right" w:pos="10456"/>
            </w:tabs>
            <w:rPr>
              <w:rFonts w:eastAsiaTheme="minorEastAsia"/>
              <w:noProof/>
              <w:kern w:val="2"/>
              <w:szCs w:val="24"/>
              <w:lang w:eastAsia="en-NZ"/>
              <w14:ligatures w14:val="standardContextual"/>
            </w:rPr>
          </w:pPr>
          <w:hyperlink w:anchor="_Toc210288803" w:history="1">
            <w:r w:rsidRPr="008D57FE">
              <w:rPr>
                <w:rStyle w:val="Hyperlink"/>
                <w:noProof/>
              </w:rPr>
              <w:t>10.9</w:t>
            </w:r>
            <w:r>
              <w:rPr>
                <w:rFonts w:eastAsiaTheme="minorEastAsia"/>
                <w:noProof/>
                <w:kern w:val="2"/>
                <w:szCs w:val="24"/>
                <w:lang w:eastAsia="en-NZ"/>
                <w14:ligatures w14:val="standardContextual"/>
              </w:rPr>
              <w:tab/>
            </w:r>
            <w:r w:rsidRPr="008D57FE">
              <w:rPr>
                <w:rStyle w:val="Hyperlink"/>
                <w:noProof/>
              </w:rPr>
              <w:t>Roles</w:t>
            </w:r>
            <w:r>
              <w:rPr>
                <w:noProof/>
                <w:webHidden/>
              </w:rPr>
              <w:tab/>
            </w:r>
            <w:r>
              <w:rPr>
                <w:noProof/>
                <w:webHidden/>
              </w:rPr>
              <w:fldChar w:fldCharType="begin"/>
            </w:r>
            <w:r>
              <w:rPr>
                <w:noProof/>
                <w:webHidden/>
              </w:rPr>
              <w:instrText xml:space="preserve"> PAGEREF _Toc210288803 \h </w:instrText>
            </w:r>
            <w:r>
              <w:rPr>
                <w:noProof/>
                <w:webHidden/>
              </w:rPr>
            </w:r>
            <w:r>
              <w:rPr>
                <w:noProof/>
                <w:webHidden/>
              </w:rPr>
              <w:fldChar w:fldCharType="separate"/>
            </w:r>
            <w:r>
              <w:rPr>
                <w:noProof/>
                <w:webHidden/>
              </w:rPr>
              <w:t>19</w:t>
            </w:r>
            <w:r>
              <w:rPr>
                <w:noProof/>
                <w:webHidden/>
              </w:rPr>
              <w:fldChar w:fldCharType="end"/>
            </w:r>
          </w:hyperlink>
        </w:p>
        <w:p w14:paraId="24F25270" w14:textId="457332AB" w:rsidR="00E32CFA" w:rsidRDefault="00E32CFA">
          <w:pPr>
            <w:pStyle w:val="TOC2"/>
            <w:tabs>
              <w:tab w:val="left" w:pos="1200"/>
              <w:tab w:val="right" w:pos="10456"/>
            </w:tabs>
            <w:rPr>
              <w:rFonts w:eastAsiaTheme="minorEastAsia"/>
              <w:noProof/>
              <w:kern w:val="2"/>
              <w:szCs w:val="24"/>
              <w:lang w:eastAsia="en-NZ"/>
              <w14:ligatures w14:val="standardContextual"/>
            </w:rPr>
          </w:pPr>
          <w:hyperlink w:anchor="_Toc210288804" w:history="1">
            <w:r w:rsidRPr="008D57FE">
              <w:rPr>
                <w:rStyle w:val="Hyperlink"/>
                <w:noProof/>
              </w:rPr>
              <w:t>10.10</w:t>
            </w:r>
            <w:r>
              <w:rPr>
                <w:rFonts w:eastAsiaTheme="minorEastAsia"/>
                <w:noProof/>
                <w:kern w:val="2"/>
                <w:szCs w:val="24"/>
                <w:lang w:eastAsia="en-NZ"/>
                <w14:ligatures w14:val="standardContextual"/>
              </w:rPr>
              <w:tab/>
            </w:r>
            <w:r w:rsidRPr="008D57FE">
              <w:rPr>
                <w:rStyle w:val="Hyperlink"/>
                <w:noProof/>
              </w:rPr>
              <w:t>Innovative solutions</w:t>
            </w:r>
            <w:r>
              <w:rPr>
                <w:noProof/>
                <w:webHidden/>
              </w:rPr>
              <w:tab/>
            </w:r>
            <w:r>
              <w:rPr>
                <w:noProof/>
                <w:webHidden/>
              </w:rPr>
              <w:fldChar w:fldCharType="begin"/>
            </w:r>
            <w:r>
              <w:rPr>
                <w:noProof/>
                <w:webHidden/>
              </w:rPr>
              <w:instrText xml:space="preserve"> PAGEREF _Toc210288804 \h </w:instrText>
            </w:r>
            <w:r>
              <w:rPr>
                <w:noProof/>
                <w:webHidden/>
              </w:rPr>
            </w:r>
            <w:r>
              <w:rPr>
                <w:noProof/>
                <w:webHidden/>
              </w:rPr>
              <w:fldChar w:fldCharType="separate"/>
            </w:r>
            <w:r>
              <w:rPr>
                <w:noProof/>
                <w:webHidden/>
              </w:rPr>
              <w:t>20</w:t>
            </w:r>
            <w:r>
              <w:rPr>
                <w:noProof/>
                <w:webHidden/>
              </w:rPr>
              <w:fldChar w:fldCharType="end"/>
            </w:r>
          </w:hyperlink>
        </w:p>
        <w:p w14:paraId="7F515C90" w14:textId="0E27D56F" w:rsidR="00E32CFA" w:rsidRDefault="00E32CFA">
          <w:pPr>
            <w:pStyle w:val="TOC2"/>
            <w:tabs>
              <w:tab w:val="left" w:pos="1200"/>
              <w:tab w:val="right" w:pos="10456"/>
            </w:tabs>
            <w:rPr>
              <w:rFonts w:eastAsiaTheme="minorEastAsia"/>
              <w:noProof/>
              <w:kern w:val="2"/>
              <w:szCs w:val="24"/>
              <w:lang w:eastAsia="en-NZ"/>
              <w14:ligatures w14:val="standardContextual"/>
            </w:rPr>
          </w:pPr>
          <w:hyperlink w:anchor="_Toc210288805" w:history="1">
            <w:r w:rsidRPr="008D57FE">
              <w:rPr>
                <w:rStyle w:val="Hyperlink"/>
                <w:noProof/>
              </w:rPr>
              <w:t>10.11</w:t>
            </w:r>
            <w:r>
              <w:rPr>
                <w:rFonts w:eastAsiaTheme="minorEastAsia"/>
                <w:noProof/>
                <w:kern w:val="2"/>
                <w:szCs w:val="24"/>
                <w:lang w:eastAsia="en-NZ"/>
                <w14:ligatures w14:val="standardContextual"/>
              </w:rPr>
              <w:tab/>
            </w:r>
            <w:r w:rsidRPr="008D57FE">
              <w:rPr>
                <w:rStyle w:val="Hyperlink"/>
                <w:noProof/>
              </w:rPr>
              <w:t>Continuous improvement</w:t>
            </w:r>
            <w:r>
              <w:rPr>
                <w:noProof/>
                <w:webHidden/>
              </w:rPr>
              <w:tab/>
            </w:r>
            <w:r>
              <w:rPr>
                <w:noProof/>
                <w:webHidden/>
              </w:rPr>
              <w:fldChar w:fldCharType="begin"/>
            </w:r>
            <w:r>
              <w:rPr>
                <w:noProof/>
                <w:webHidden/>
              </w:rPr>
              <w:instrText xml:space="preserve"> PAGEREF _Toc210288805 \h </w:instrText>
            </w:r>
            <w:r>
              <w:rPr>
                <w:noProof/>
                <w:webHidden/>
              </w:rPr>
            </w:r>
            <w:r>
              <w:rPr>
                <w:noProof/>
                <w:webHidden/>
              </w:rPr>
              <w:fldChar w:fldCharType="separate"/>
            </w:r>
            <w:r>
              <w:rPr>
                <w:noProof/>
                <w:webHidden/>
              </w:rPr>
              <w:t>20</w:t>
            </w:r>
            <w:r>
              <w:rPr>
                <w:noProof/>
                <w:webHidden/>
              </w:rPr>
              <w:fldChar w:fldCharType="end"/>
            </w:r>
          </w:hyperlink>
        </w:p>
        <w:p w14:paraId="6F590442" w14:textId="3EAB3726" w:rsidR="00E32CFA" w:rsidRDefault="00E32CFA">
          <w:pPr>
            <w:pStyle w:val="TOC2"/>
            <w:tabs>
              <w:tab w:val="left" w:pos="1200"/>
              <w:tab w:val="right" w:pos="10456"/>
            </w:tabs>
            <w:rPr>
              <w:rFonts w:eastAsiaTheme="minorEastAsia"/>
              <w:noProof/>
              <w:kern w:val="2"/>
              <w:szCs w:val="24"/>
              <w:lang w:eastAsia="en-NZ"/>
              <w14:ligatures w14:val="standardContextual"/>
            </w:rPr>
          </w:pPr>
          <w:hyperlink w:anchor="_Toc210288806" w:history="1">
            <w:r w:rsidRPr="008D57FE">
              <w:rPr>
                <w:rStyle w:val="Hyperlink"/>
                <w:noProof/>
              </w:rPr>
              <w:t>10.12</w:t>
            </w:r>
            <w:r>
              <w:rPr>
                <w:rFonts w:eastAsiaTheme="minorEastAsia"/>
                <w:noProof/>
                <w:kern w:val="2"/>
                <w:szCs w:val="24"/>
                <w:lang w:eastAsia="en-NZ"/>
                <w14:ligatures w14:val="standardContextual"/>
              </w:rPr>
              <w:tab/>
            </w:r>
            <w:r w:rsidRPr="008D57FE">
              <w:rPr>
                <w:rStyle w:val="Hyperlink"/>
                <w:noProof/>
              </w:rPr>
              <w:t>Audience</w:t>
            </w:r>
            <w:r>
              <w:rPr>
                <w:noProof/>
                <w:webHidden/>
              </w:rPr>
              <w:tab/>
            </w:r>
            <w:r>
              <w:rPr>
                <w:noProof/>
                <w:webHidden/>
              </w:rPr>
              <w:fldChar w:fldCharType="begin"/>
            </w:r>
            <w:r>
              <w:rPr>
                <w:noProof/>
                <w:webHidden/>
              </w:rPr>
              <w:instrText xml:space="preserve"> PAGEREF _Toc210288806 \h </w:instrText>
            </w:r>
            <w:r>
              <w:rPr>
                <w:noProof/>
                <w:webHidden/>
              </w:rPr>
            </w:r>
            <w:r>
              <w:rPr>
                <w:noProof/>
                <w:webHidden/>
              </w:rPr>
              <w:fldChar w:fldCharType="separate"/>
            </w:r>
            <w:r>
              <w:rPr>
                <w:noProof/>
                <w:webHidden/>
              </w:rPr>
              <w:t>20</w:t>
            </w:r>
            <w:r>
              <w:rPr>
                <w:noProof/>
                <w:webHidden/>
              </w:rPr>
              <w:fldChar w:fldCharType="end"/>
            </w:r>
          </w:hyperlink>
        </w:p>
        <w:p w14:paraId="4505533C" w14:textId="53629E15" w:rsidR="00E32CFA" w:rsidRDefault="00E32CFA">
          <w:pPr>
            <w:pStyle w:val="TOC1"/>
            <w:tabs>
              <w:tab w:val="left" w:pos="720"/>
              <w:tab w:val="right" w:pos="10456"/>
            </w:tabs>
            <w:rPr>
              <w:rFonts w:eastAsiaTheme="minorEastAsia"/>
              <w:b w:val="0"/>
              <w:noProof/>
              <w:kern w:val="2"/>
              <w:szCs w:val="24"/>
              <w:lang w:eastAsia="en-NZ"/>
              <w14:ligatures w14:val="standardContextual"/>
            </w:rPr>
          </w:pPr>
          <w:hyperlink w:anchor="_Toc210288807" w:history="1">
            <w:r w:rsidRPr="008D57FE">
              <w:rPr>
                <w:rStyle w:val="Hyperlink"/>
                <w:noProof/>
              </w:rPr>
              <w:t>11</w:t>
            </w:r>
            <w:r>
              <w:rPr>
                <w:rFonts w:eastAsiaTheme="minorEastAsia"/>
                <w:b w:val="0"/>
                <w:noProof/>
                <w:kern w:val="2"/>
                <w:szCs w:val="24"/>
                <w:lang w:eastAsia="en-NZ"/>
                <w14:ligatures w14:val="standardContextual"/>
              </w:rPr>
              <w:tab/>
            </w:r>
            <w:r w:rsidRPr="008D57FE">
              <w:rPr>
                <w:rStyle w:val="Hyperlink"/>
                <w:noProof/>
              </w:rPr>
              <w:t>Design Assurance</w:t>
            </w:r>
            <w:r>
              <w:rPr>
                <w:noProof/>
                <w:webHidden/>
              </w:rPr>
              <w:tab/>
            </w:r>
            <w:r>
              <w:rPr>
                <w:noProof/>
                <w:webHidden/>
              </w:rPr>
              <w:fldChar w:fldCharType="begin"/>
            </w:r>
            <w:r>
              <w:rPr>
                <w:noProof/>
                <w:webHidden/>
              </w:rPr>
              <w:instrText xml:space="preserve"> PAGEREF _Toc210288807 \h </w:instrText>
            </w:r>
            <w:r>
              <w:rPr>
                <w:noProof/>
                <w:webHidden/>
              </w:rPr>
            </w:r>
            <w:r>
              <w:rPr>
                <w:noProof/>
                <w:webHidden/>
              </w:rPr>
              <w:fldChar w:fldCharType="separate"/>
            </w:r>
            <w:r>
              <w:rPr>
                <w:noProof/>
                <w:webHidden/>
              </w:rPr>
              <w:t>22</w:t>
            </w:r>
            <w:r>
              <w:rPr>
                <w:noProof/>
                <w:webHidden/>
              </w:rPr>
              <w:fldChar w:fldCharType="end"/>
            </w:r>
          </w:hyperlink>
        </w:p>
        <w:p w14:paraId="7856F6FD" w14:textId="7A7A6BA4" w:rsidR="00E32CFA" w:rsidRDefault="00E32CFA">
          <w:pPr>
            <w:pStyle w:val="TOC2"/>
            <w:tabs>
              <w:tab w:val="left" w:pos="960"/>
              <w:tab w:val="right" w:pos="10456"/>
            </w:tabs>
            <w:rPr>
              <w:rFonts w:eastAsiaTheme="minorEastAsia"/>
              <w:noProof/>
              <w:kern w:val="2"/>
              <w:szCs w:val="24"/>
              <w:lang w:eastAsia="en-NZ"/>
              <w14:ligatures w14:val="standardContextual"/>
            </w:rPr>
          </w:pPr>
          <w:hyperlink w:anchor="_Toc210288808" w:history="1">
            <w:r w:rsidRPr="008D57FE">
              <w:rPr>
                <w:rStyle w:val="Hyperlink"/>
                <w:noProof/>
              </w:rPr>
              <w:t>11.1</w:t>
            </w:r>
            <w:r>
              <w:rPr>
                <w:rFonts w:eastAsiaTheme="minorEastAsia"/>
                <w:noProof/>
                <w:kern w:val="2"/>
                <w:szCs w:val="24"/>
                <w:lang w:eastAsia="en-NZ"/>
                <w14:ligatures w14:val="standardContextual"/>
              </w:rPr>
              <w:tab/>
            </w:r>
            <w:r w:rsidRPr="008D57FE">
              <w:rPr>
                <w:rStyle w:val="Hyperlink"/>
                <w:noProof/>
              </w:rPr>
              <w:t>Introduction</w:t>
            </w:r>
            <w:r>
              <w:rPr>
                <w:noProof/>
                <w:webHidden/>
              </w:rPr>
              <w:tab/>
            </w:r>
            <w:r>
              <w:rPr>
                <w:noProof/>
                <w:webHidden/>
              </w:rPr>
              <w:fldChar w:fldCharType="begin"/>
            </w:r>
            <w:r>
              <w:rPr>
                <w:noProof/>
                <w:webHidden/>
              </w:rPr>
              <w:instrText xml:space="preserve"> PAGEREF _Toc210288808 \h </w:instrText>
            </w:r>
            <w:r>
              <w:rPr>
                <w:noProof/>
                <w:webHidden/>
              </w:rPr>
            </w:r>
            <w:r>
              <w:rPr>
                <w:noProof/>
                <w:webHidden/>
              </w:rPr>
              <w:fldChar w:fldCharType="separate"/>
            </w:r>
            <w:r>
              <w:rPr>
                <w:noProof/>
                <w:webHidden/>
              </w:rPr>
              <w:t>22</w:t>
            </w:r>
            <w:r>
              <w:rPr>
                <w:noProof/>
                <w:webHidden/>
              </w:rPr>
              <w:fldChar w:fldCharType="end"/>
            </w:r>
          </w:hyperlink>
        </w:p>
        <w:p w14:paraId="3B4E5214" w14:textId="68FD1437" w:rsidR="00E32CFA" w:rsidRDefault="00E32CFA">
          <w:pPr>
            <w:pStyle w:val="TOC2"/>
            <w:tabs>
              <w:tab w:val="left" w:pos="960"/>
              <w:tab w:val="right" w:pos="10456"/>
            </w:tabs>
            <w:rPr>
              <w:rFonts w:eastAsiaTheme="minorEastAsia"/>
              <w:noProof/>
              <w:kern w:val="2"/>
              <w:szCs w:val="24"/>
              <w:lang w:eastAsia="en-NZ"/>
              <w14:ligatures w14:val="standardContextual"/>
            </w:rPr>
          </w:pPr>
          <w:hyperlink w:anchor="_Toc210288809" w:history="1">
            <w:r w:rsidRPr="008D57FE">
              <w:rPr>
                <w:rStyle w:val="Hyperlink"/>
                <w:noProof/>
              </w:rPr>
              <w:t>11.2</w:t>
            </w:r>
            <w:r>
              <w:rPr>
                <w:rFonts w:eastAsiaTheme="minorEastAsia"/>
                <w:noProof/>
                <w:kern w:val="2"/>
                <w:szCs w:val="24"/>
                <w:lang w:eastAsia="en-NZ"/>
                <w14:ligatures w14:val="standardContextual"/>
              </w:rPr>
              <w:tab/>
            </w:r>
            <w:r w:rsidRPr="008D57FE">
              <w:rPr>
                <w:rStyle w:val="Hyperlink"/>
                <w:noProof/>
              </w:rPr>
              <w:t>Scope</w:t>
            </w:r>
            <w:r>
              <w:rPr>
                <w:noProof/>
                <w:webHidden/>
              </w:rPr>
              <w:tab/>
            </w:r>
            <w:r>
              <w:rPr>
                <w:noProof/>
                <w:webHidden/>
              </w:rPr>
              <w:fldChar w:fldCharType="begin"/>
            </w:r>
            <w:r>
              <w:rPr>
                <w:noProof/>
                <w:webHidden/>
              </w:rPr>
              <w:instrText xml:space="preserve"> PAGEREF _Toc210288809 \h </w:instrText>
            </w:r>
            <w:r>
              <w:rPr>
                <w:noProof/>
                <w:webHidden/>
              </w:rPr>
            </w:r>
            <w:r>
              <w:rPr>
                <w:noProof/>
                <w:webHidden/>
              </w:rPr>
              <w:fldChar w:fldCharType="separate"/>
            </w:r>
            <w:r>
              <w:rPr>
                <w:noProof/>
                <w:webHidden/>
              </w:rPr>
              <w:t>23</w:t>
            </w:r>
            <w:r>
              <w:rPr>
                <w:noProof/>
                <w:webHidden/>
              </w:rPr>
              <w:fldChar w:fldCharType="end"/>
            </w:r>
          </w:hyperlink>
        </w:p>
        <w:p w14:paraId="46AFA102" w14:textId="49251184" w:rsidR="00E32CFA" w:rsidRDefault="00E32CFA">
          <w:pPr>
            <w:pStyle w:val="TOC2"/>
            <w:tabs>
              <w:tab w:val="left" w:pos="960"/>
              <w:tab w:val="right" w:pos="10456"/>
            </w:tabs>
            <w:rPr>
              <w:rFonts w:eastAsiaTheme="minorEastAsia"/>
              <w:noProof/>
              <w:kern w:val="2"/>
              <w:szCs w:val="24"/>
              <w:lang w:eastAsia="en-NZ"/>
              <w14:ligatures w14:val="standardContextual"/>
            </w:rPr>
          </w:pPr>
          <w:hyperlink w:anchor="_Toc210288810" w:history="1">
            <w:r w:rsidRPr="008D57FE">
              <w:rPr>
                <w:rStyle w:val="Hyperlink"/>
                <w:noProof/>
              </w:rPr>
              <w:t>11.3</w:t>
            </w:r>
            <w:r>
              <w:rPr>
                <w:rFonts w:eastAsiaTheme="minorEastAsia"/>
                <w:noProof/>
                <w:kern w:val="2"/>
                <w:szCs w:val="24"/>
                <w:lang w:eastAsia="en-NZ"/>
                <w14:ligatures w14:val="standardContextual"/>
              </w:rPr>
              <w:tab/>
            </w:r>
            <w:r w:rsidRPr="008D57FE">
              <w:rPr>
                <w:rStyle w:val="Hyperlink"/>
                <w:noProof/>
              </w:rPr>
              <w:t>Desktop Review</w:t>
            </w:r>
            <w:r>
              <w:rPr>
                <w:noProof/>
                <w:webHidden/>
              </w:rPr>
              <w:tab/>
            </w:r>
            <w:r>
              <w:rPr>
                <w:noProof/>
                <w:webHidden/>
              </w:rPr>
              <w:fldChar w:fldCharType="begin"/>
            </w:r>
            <w:r>
              <w:rPr>
                <w:noProof/>
                <w:webHidden/>
              </w:rPr>
              <w:instrText xml:space="preserve"> PAGEREF _Toc210288810 \h </w:instrText>
            </w:r>
            <w:r>
              <w:rPr>
                <w:noProof/>
                <w:webHidden/>
              </w:rPr>
            </w:r>
            <w:r>
              <w:rPr>
                <w:noProof/>
                <w:webHidden/>
              </w:rPr>
              <w:fldChar w:fldCharType="separate"/>
            </w:r>
            <w:r>
              <w:rPr>
                <w:noProof/>
                <w:webHidden/>
              </w:rPr>
              <w:t>24</w:t>
            </w:r>
            <w:r>
              <w:rPr>
                <w:noProof/>
                <w:webHidden/>
              </w:rPr>
              <w:fldChar w:fldCharType="end"/>
            </w:r>
          </w:hyperlink>
        </w:p>
        <w:p w14:paraId="5AC0981A" w14:textId="49DDA48C" w:rsidR="00E32CFA" w:rsidRDefault="00E32CFA">
          <w:pPr>
            <w:pStyle w:val="TOC2"/>
            <w:tabs>
              <w:tab w:val="left" w:pos="960"/>
              <w:tab w:val="right" w:pos="10456"/>
            </w:tabs>
            <w:rPr>
              <w:rFonts w:eastAsiaTheme="minorEastAsia"/>
              <w:noProof/>
              <w:kern w:val="2"/>
              <w:szCs w:val="24"/>
              <w:lang w:eastAsia="en-NZ"/>
              <w14:ligatures w14:val="standardContextual"/>
            </w:rPr>
          </w:pPr>
          <w:hyperlink w:anchor="_Toc210288811" w:history="1">
            <w:r w:rsidRPr="008D57FE">
              <w:rPr>
                <w:rStyle w:val="Hyperlink"/>
                <w:noProof/>
              </w:rPr>
              <w:t>11.4</w:t>
            </w:r>
            <w:r>
              <w:rPr>
                <w:rFonts w:eastAsiaTheme="minorEastAsia"/>
                <w:noProof/>
                <w:kern w:val="2"/>
                <w:szCs w:val="24"/>
                <w:lang w:eastAsia="en-NZ"/>
                <w14:ligatures w14:val="standardContextual"/>
              </w:rPr>
              <w:tab/>
            </w:r>
            <w:r w:rsidRPr="008D57FE">
              <w:rPr>
                <w:rStyle w:val="Hyperlink"/>
                <w:noProof/>
              </w:rPr>
              <w:t>Full Review</w:t>
            </w:r>
            <w:r>
              <w:rPr>
                <w:noProof/>
                <w:webHidden/>
              </w:rPr>
              <w:tab/>
            </w:r>
            <w:r>
              <w:rPr>
                <w:noProof/>
                <w:webHidden/>
              </w:rPr>
              <w:fldChar w:fldCharType="begin"/>
            </w:r>
            <w:r>
              <w:rPr>
                <w:noProof/>
                <w:webHidden/>
              </w:rPr>
              <w:instrText xml:space="preserve"> PAGEREF _Toc210288811 \h </w:instrText>
            </w:r>
            <w:r>
              <w:rPr>
                <w:noProof/>
                <w:webHidden/>
              </w:rPr>
            </w:r>
            <w:r>
              <w:rPr>
                <w:noProof/>
                <w:webHidden/>
              </w:rPr>
              <w:fldChar w:fldCharType="separate"/>
            </w:r>
            <w:r>
              <w:rPr>
                <w:noProof/>
                <w:webHidden/>
              </w:rPr>
              <w:t>24</w:t>
            </w:r>
            <w:r>
              <w:rPr>
                <w:noProof/>
                <w:webHidden/>
              </w:rPr>
              <w:fldChar w:fldCharType="end"/>
            </w:r>
          </w:hyperlink>
        </w:p>
        <w:p w14:paraId="2997F723" w14:textId="76E9E4E1" w:rsidR="00E32CFA" w:rsidRDefault="00E32CFA">
          <w:pPr>
            <w:pStyle w:val="TOC2"/>
            <w:tabs>
              <w:tab w:val="left" w:pos="960"/>
              <w:tab w:val="right" w:pos="10456"/>
            </w:tabs>
            <w:rPr>
              <w:rFonts w:eastAsiaTheme="minorEastAsia"/>
              <w:noProof/>
              <w:kern w:val="2"/>
              <w:szCs w:val="24"/>
              <w:lang w:eastAsia="en-NZ"/>
              <w14:ligatures w14:val="standardContextual"/>
            </w:rPr>
          </w:pPr>
          <w:hyperlink w:anchor="_Toc210288812" w:history="1">
            <w:r w:rsidRPr="008D57FE">
              <w:rPr>
                <w:rStyle w:val="Hyperlink"/>
                <w:noProof/>
              </w:rPr>
              <w:t>11.5</w:t>
            </w:r>
            <w:r>
              <w:rPr>
                <w:rFonts w:eastAsiaTheme="minorEastAsia"/>
                <w:noProof/>
                <w:kern w:val="2"/>
                <w:szCs w:val="24"/>
                <w:lang w:eastAsia="en-NZ"/>
                <w14:ligatures w14:val="standardContextual"/>
              </w:rPr>
              <w:tab/>
            </w:r>
            <w:r w:rsidRPr="008D57FE">
              <w:rPr>
                <w:rStyle w:val="Hyperlink"/>
                <w:noProof/>
              </w:rPr>
              <w:t>Timing</w:t>
            </w:r>
            <w:r>
              <w:rPr>
                <w:noProof/>
                <w:webHidden/>
              </w:rPr>
              <w:tab/>
            </w:r>
            <w:r>
              <w:rPr>
                <w:noProof/>
                <w:webHidden/>
              </w:rPr>
              <w:fldChar w:fldCharType="begin"/>
            </w:r>
            <w:r>
              <w:rPr>
                <w:noProof/>
                <w:webHidden/>
              </w:rPr>
              <w:instrText xml:space="preserve"> PAGEREF _Toc210288812 \h </w:instrText>
            </w:r>
            <w:r>
              <w:rPr>
                <w:noProof/>
                <w:webHidden/>
              </w:rPr>
            </w:r>
            <w:r>
              <w:rPr>
                <w:noProof/>
                <w:webHidden/>
              </w:rPr>
              <w:fldChar w:fldCharType="separate"/>
            </w:r>
            <w:r>
              <w:rPr>
                <w:noProof/>
                <w:webHidden/>
              </w:rPr>
              <w:t>25</w:t>
            </w:r>
            <w:r>
              <w:rPr>
                <w:noProof/>
                <w:webHidden/>
              </w:rPr>
              <w:fldChar w:fldCharType="end"/>
            </w:r>
          </w:hyperlink>
        </w:p>
        <w:p w14:paraId="45F0BD73" w14:textId="11BB8955" w:rsidR="00E32CFA" w:rsidRDefault="00E32CFA">
          <w:pPr>
            <w:pStyle w:val="TOC2"/>
            <w:tabs>
              <w:tab w:val="left" w:pos="960"/>
              <w:tab w:val="right" w:pos="10456"/>
            </w:tabs>
            <w:rPr>
              <w:rFonts w:eastAsiaTheme="minorEastAsia"/>
              <w:noProof/>
              <w:kern w:val="2"/>
              <w:szCs w:val="24"/>
              <w:lang w:eastAsia="en-NZ"/>
              <w14:ligatures w14:val="standardContextual"/>
            </w:rPr>
          </w:pPr>
          <w:hyperlink w:anchor="_Toc210288813" w:history="1">
            <w:r w:rsidRPr="008D57FE">
              <w:rPr>
                <w:rStyle w:val="Hyperlink"/>
                <w:noProof/>
              </w:rPr>
              <w:t>11.6</w:t>
            </w:r>
            <w:r>
              <w:rPr>
                <w:rFonts w:eastAsiaTheme="minorEastAsia"/>
                <w:noProof/>
                <w:kern w:val="2"/>
                <w:szCs w:val="24"/>
                <w:lang w:eastAsia="en-NZ"/>
                <w14:ligatures w14:val="standardContextual"/>
              </w:rPr>
              <w:tab/>
            </w:r>
            <w:r w:rsidRPr="008D57FE">
              <w:rPr>
                <w:rStyle w:val="Hyperlink"/>
                <w:noProof/>
              </w:rPr>
              <w:t>Process</w:t>
            </w:r>
            <w:r>
              <w:rPr>
                <w:noProof/>
                <w:webHidden/>
              </w:rPr>
              <w:tab/>
            </w:r>
            <w:r>
              <w:rPr>
                <w:noProof/>
                <w:webHidden/>
              </w:rPr>
              <w:fldChar w:fldCharType="begin"/>
            </w:r>
            <w:r>
              <w:rPr>
                <w:noProof/>
                <w:webHidden/>
              </w:rPr>
              <w:instrText xml:space="preserve"> PAGEREF _Toc210288813 \h </w:instrText>
            </w:r>
            <w:r>
              <w:rPr>
                <w:noProof/>
                <w:webHidden/>
              </w:rPr>
            </w:r>
            <w:r>
              <w:rPr>
                <w:noProof/>
                <w:webHidden/>
              </w:rPr>
              <w:fldChar w:fldCharType="separate"/>
            </w:r>
            <w:r>
              <w:rPr>
                <w:noProof/>
                <w:webHidden/>
              </w:rPr>
              <w:t>25</w:t>
            </w:r>
            <w:r>
              <w:rPr>
                <w:noProof/>
                <w:webHidden/>
              </w:rPr>
              <w:fldChar w:fldCharType="end"/>
            </w:r>
          </w:hyperlink>
        </w:p>
        <w:p w14:paraId="3FA0C669" w14:textId="524A4AFF" w:rsidR="00E32CFA" w:rsidRDefault="00E32CFA">
          <w:pPr>
            <w:pStyle w:val="TOC2"/>
            <w:tabs>
              <w:tab w:val="left" w:pos="960"/>
              <w:tab w:val="right" w:pos="10456"/>
            </w:tabs>
            <w:rPr>
              <w:rFonts w:eastAsiaTheme="minorEastAsia"/>
              <w:noProof/>
              <w:kern w:val="2"/>
              <w:szCs w:val="24"/>
              <w:lang w:eastAsia="en-NZ"/>
              <w14:ligatures w14:val="standardContextual"/>
            </w:rPr>
          </w:pPr>
          <w:hyperlink w:anchor="_Toc210288814" w:history="1">
            <w:r w:rsidRPr="008D57FE">
              <w:rPr>
                <w:rStyle w:val="Hyperlink"/>
                <w:noProof/>
              </w:rPr>
              <w:t>11.7</w:t>
            </w:r>
            <w:r>
              <w:rPr>
                <w:rFonts w:eastAsiaTheme="minorEastAsia"/>
                <w:noProof/>
                <w:kern w:val="2"/>
                <w:szCs w:val="24"/>
                <w:lang w:eastAsia="en-NZ"/>
                <w14:ligatures w14:val="standardContextual"/>
              </w:rPr>
              <w:tab/>
            </w:r>
            <w:r w:rsidRPr="008D57FE">
              <w:rPr>
                <w:rStyle w:val="Hyperlink"/>
                <w:noProof/>
              </w:rPr>
              <w:t>Full DA Template</w:t>
            </w:r>
            <w:r>
              <w:rPr>
                <w:noProof/>
                <w:webHidden/>
              </w:rPr>
              <w:tab/>
            </w:r>
            <w:r>
              <w:rPr>
                <w:noProof/>
                <w:webHidden/>
              </w:rPr>
              <w:fldChar w:fldCharType="begin"/>
            </w:r>
            <w:r>
              <w:rPr>
                <w:noProof/>
                <w:webHidden/>
              </w:rPr>
              <w:instrText xml:space="preserve"> PAGEREF _Toc210288814 \h </w:instrText>
            </w:r>
            <w:r>
              <w:rPr>
                <w:noProof/>
                <w:webHidden/>
              </w:rPr>
            </w:r>
            <w:r>
              <w:rPr>
                <w:noProof/>
                <w:webHidden/>
              </w:rPr>
              <w:fldChar w:fldCharType="separate"/>
            </w:r>
            <w:r>
              <w:rPr>
                <w:noProof/>
                <w:webHidden/>
              </w:rPr>
              <w:t>27</w:t>
            </w:r>
            <w:r>
              <w:rPr>
                <w:noProof/>
                <w:webHidden/>
              </w:rPr>
              <w:fldChar w:fldCharType="end"/>
            </w:r>
          </w:hyperlink>
        </w:p>
        <w:p w14:paraId="15E877A0" w14:textId="3C6C5F35" w:rsidR="00E32CFA" w:rsidRDefault="00E32CFA">
          <w:pPr>
            <w:pStyle w:val="TOC2"/>
            <w:tabs>
              <w:tab w:val="left" w:pos="960"/>
              <w:tab w:val="right" w:pos="10456"/>
            </w:tabs>
            <w:rPr>
              <w:rFonts w:eastAsiaTheme="minorEastAsia"/>
              <w:noProof/>
              <w:kern w:val="2"/>
              <w:szCs w:val="24"/>
              <w:lang w:eastAsia="en-NZ"/>
              <w14:ligatures w14:val="standardContextual"/>
            </w:rPr>
          </w:pPr>
          <w:hyperlink w:anchor="_Toc210288815" w:history="1">
            <w:r w:rsidRPr="008D57FE">
              <w:rPr>
                <w:rStyle w:val="Hyperlink"/>
                <w:noProof/>
              </w:rPr>
              <w:t>11.8</w:t>
            </w:r>
            <w:r>
              <w:rPr>
                <w:rFonts w:eastAsiaTheme="minorEastAsia"/>
                <w:noProof/>
                <w:kern w:val="2"/>
                <w:szCs w:val="24"/>
                <w:lang w:eastAsia="en-NZ"/>
                <w14:ligatures w14:val="standardContextual"/>
              </w:rPr>
              <w:tab/>
            </w:r>
            <w:r w:rsidRPr="008D57FE">
              <w:rPr>
                <w:rStyle w:val="Hyperlink"/>
                <w:noProof/>
              </w:rPr>
              <w:t>Governance Report</w:t>
            </w:r>
            <w:r>
              <w:rPr>
                <w:noProof/>
                <w:webHidden/>
              </w:rPr>
              <w:tab/>
            </w:r>
            <w:r>
              <w:rPr>
                <w:noProof/>
                <w:webHidden/>
              </w:rPr>
              <w:fldChar w:fldCharType="begin"/>
            </w:r>
            <w:r>
              <w:rPr>
                <w:noProof/>
                <w:webHidden/>
              </w:rPr>
              <w:instrText xml:space="preserve"> PAGEREF _Toc210288815 \h </w:instrText>
            </w:r>
            <w:r>
              <w:rPr>
                <w:noProof/>
                <w:webHidden/>
              </w:rPr>
            </w:r>
            <w:r>
              <w:rPr>
                <w:noProof/>
                <w:webHidden/>
              </w:rPr>
              <w:fldChar w:fldCharType="separate"/>
            </w:r>
            <w:r>
              <w:rPr>
                <w:noProof/>
                <w:webHidden/>
              </w:rPr>
              <w:t>28</w:t>
            </w:r>
            <w:r>
              <w:rPr>
                <w:noProof/>
                <w:webHidden/>
              </w:rPr>
              <w:fldChar w:fldCharType="end"/>
            </w:r>
          </w:hyperlink>
        </w:p>
        <w:p w14:paraId="1241E190" w14:textId="5C0DDF7C" w:rsidR="00E32CFA" w:rsidRDefault="00E32CFA">
          <w:pPr>
            <w:pStyle w:val="TOC2"/>
            <w:tabs>
              <w:tab w:val="left" w:pos="960"/>
              <w:tab w:val="right" w:pos="10456"/>
            </w:tabs>
            <w:rPr>
              <w:rFonts w:eastAsiaTheme="minorEastAsia"/>
              <w:noProof/>
              <w:kern w:val="2"/>
              <w:szCs w:val="24"/>
              <w:lang w:eastAsia="en-NZ"/>
              <w14:ligatures w14:val="standardContextual"/>
            </w:rPr>
          </w:pPr>
          <w:hyperlink w:anchor="_Toc210288816" w:history="1">
            <w:r w:rsidRPr="008D57FE">
              <w:rPr>
                <w:rStyle w:val="Hyperlink"/>
                <w:noProof/>
              </w:rPr>
              <w:t>11.9</w:t>
            </w:r>
            <w:r>
              <w:rPr>
                <w:rFonts w:eastAsiaTheme="minorEastAsia"/>
                <w:noProof/>
                <w:kern w:val="2"/>
                <w:szCs w:val="24"/>
                <w:lang w:eastAsia="en-NZ"/>
                <w14:ligatures w14:val="standardContextual"/>
              </w:rPr>
              <w:tab/>
            </w:r>
            <w:r w:rsidRPr="008D57FE">
              <w:rPr>
                <w:rStyle w:val="Hyperlink"/>
                <w:noProof/>
              </w:rPr>
              <w:t>Close-out</w:t>
            </w:r>
            <w:r>
              <w:rPr>
                <w:noProof/>
                <w:webHidden/>
              </w:rPr>
              <w:tab/>
            </w:r>
            <w:r>
              <w:rPr>
                <w:noProof/>
                <w:webHidden/>
              </w:rPr>
              <w:fldChar w:fldCharType="begin"/>
            </w:r>
            <w:r>
              <w:rPr>
                <w:noProof/>
                <w:webHidden/>
              </w:rPr>
              <w:instrText xml:space="preserve"> PAGEREF _Toc210288816 \h </w:instrText>
            </w:r>
            <w:r>
              <w:rPr>
                <w:noProof/>
                <w:webHidden/>
              </w:rPr>
            </w:r>
            <w:r>
              <w:rPr>
                <w:noProof/>
                <w:webHidden/>
              </w:rPr>
              <w:fldChar w:fldCharType="separate"/>
            </w:r>
            <w:r>
              <w:rPr>
                <w:noProof/>
                <w:webHidden/>
              </w:rPr>
              <w:t>28</w:t>
            </w:r>
            <w:r>
              <w:rPr>
                <w:noProof/>
                <w:webHidden/>
              </w:rPr>
              <w:fldChar w:fldCharType="end"/>
            </w:r>
          </w:hyperlink>
        </w:p>
        <w:p w14:paraId="0476F9C7" w14:textId="06D0B37E" w:rsidR="00E32CFA" w:rsidRDefault="00E32CFA">
          <w:pPr>
            <w:pStyle w:val="TOC2"/>
            <w:tabs>
              <w:tab w:val="left" w:pos="1200"/>
              <w:tab w:val="right" w:pos="10456"/>
            </w:tabs>
            <w:rPr>
              <w:rFonts w:eastAsiaTheme="minorEastAsia"/>
              <w:noProof/>
              <w:kern w:val="2"/>
              <w:szCs w:val="24"/>
              <w:lang w:eastAsia="en-NZ"/>
              <w14:ligatures w14:val="standardContextual"/>
            </w:rPr>
          </w:pPr>
          <w:hyperlink w:anchor="_Toc210288817" w:history="1">
            <w:r w:rsidRPr="008D57FE">
              <w:rPr>
                <w:rStyle w:val="Hyperlink"/>
                <w:noProof/>
              </w:rPr>
              <w:t>11.10</w:t>
            </w:r>
            <w:r>
              <w:rPr>
                <w:rFonts w:eastAsiaTheme="minorEastAsia"/>
                <w:noProof/>
                <w:kern w:val="2"/>
                <w:szCs w:val="24"/>
                <w:lang w:eastAsia="en-NZ"/>
                <w14:ligatures w14:val="standardContextual"/>
              </w:rPr>
              <w:tab/>
            </w:r>
            <w:r w:rsidRPr="008D57FE">
              <w:rPr>
                <w:rStyle w:val="Hyperlink"/>
                <w:noProof/>
              </w:rPr>
              <w:t>Timeframe</w:t>
            </w:r>
            <w:r>
              <w:rPr>
                <w:noProof/>
                <w:webHidden/>
              </w:rPr>
              <w:tab/>
            </w:r>
            <w:r>
              <w:rPr>
                <w:noProof/>
                <w:webHidden/>
              </w:rPr>
              <w:fldChar w:fldCharType="begin"/>
            </w:r>
            <w:r>
              <w:rPr>
                <w:noProof/>
                <w:webHidden/>
              </w:rPr>
              <w:instrText xml:space="preserve"> PAGEREF _Toc210288817 \h </w:instrText>
            </w:r>
            <w:r>
              <w:rPr>
                <w:noProof/>
                <w:webHidden/>
              </w:rPr>
            </w:r>
            <w:r>
              <w:rPr>
                <w:noProof/>
                <w:webHidden/>
              </w:rPr>
              <w:fldChar w:fldCharType="separate"/>
            </w:r>
            <w:r>
              <w:rPr>
                <w:noProof/>
                <w:webHidden/>
              </w:rPr>
              <w:t>28</w:t>
            </w:r>
            <w:r>
              <w:rPr>
                <w:noProof/>
                <w:webHidden/>
              </w:rPr>
              <w:fldChar w:fldCharType="end"/>
            </w:r>
          </w:hyperlink>
        </w:p>
        <w:p w14:paraId="6358FE10" w14:textId="20A2B592" w:rsidR="00E32CFA" w:rsidRDefault="00E32CFA">
          <w:pPr>
            <w:pStyle w:val="TOC2"/>
            <w:tabs>
              <w:tab w:val="left" w:pos="1200"/>
              <w:tab w:val="right" w:pos="10456"/>
            </w:tabs>
            <w:rPr>
              <w:rFonts w:eastAsiaTheme="minorEastAsia"/>
              <w:noProof/>
              <w:kern w:val="2"/>
              <w:szCs w:val="24"/>
              <w:lang w:eastAsia="en-NZ"/>
              <w14:ligatures w14:val="standardContextual"/>
            </w:rPr>
          </w:pPr>
          <w:hyperlink w:anchor="_Toc210288818" w:history="1">
            <w:r w:rsidRPr="008D57FE">
              <w:rPr>
                <w:rStyle w:val="Hyperlink"/>
                <w:noProof/>
              </w:rPr>
              <w:t>11.11</w:t>
            </w:r>
            <w:r>
              <w:rPr>
                <w:rFonts w:eastAsiaTheme="minorEastAsia"/>
                <w:noProof/>
                <w:kern w:val="2"/>
                <w:szCs w:val="24"/>
                <w:lang w:eastAsia="en-NZ"/>
                <w14:ligatures w14:val="standardContextual"/>
              </w:rPr>
              <w:tab/>
            </w:r>
            <w:r w:rsidRPr="008D57FE">
              <w:rPr>
                <w:rStyle w:val="Hyperlink"/>
                <w:noProof/>
              </w:rPr>
              <w:t>Deviations and innovations</w:t>
            </w:r>
            <w:r>
              <w:rPr>
                <w:noProof/>
                <w:webHidden/>
              </w:rPr>
              <w:tab/>
            </w:r>
            <w:r>
              <w:rPr>
                <w:noProof/>
                <w:webHidden/>
              </w:rPr>
              <w:fldChar w:fldCharType="begin"/>
            </w:r>
            <w:r>
              <w:rPr>
                <w:noProof/>
                <w:webHidden/>
              </w:rPr>
              <w:instrText xml:space="preserve"> PAGEREF _Toc210288818 \h </w:instrText>
            </w:r>
            <w:r>
              <w:rPr>
                <w:noProof/>
                <w:webHidden/>
              </w:rPr>
            </w:r>
            <w:r>
              <w:rPr>
                <w:noProof/>
                <w:webHidden/>
              </w:rPr>
              <w:fldChar w:fldCharType="separate"/>
            </w:r>
            <w:r>
              <w:rPr>
                <w:noProof/>
                <w:webHidden/>
              </w:rPr>
              <w:t>28</w:t>
            </w:r>
            <w:r>
              <w:rPr>
                <w:noProof/>
                <w:webHidden/>
              </w:rPr>
              <w:fldChar w:fldCharType="end"/>
            </w:r>
          </w:hyperlink>
        </w:p>
        <w:p w14:paraId="6817A38C" w14:textId="660EB7D6" w:rsidR="00E32CFA" w:rsidRDefault="00E32CFA">
          <w:pPr>
            <w:pStyle w:val="TOC2"/>
            <w:tabs>
              <w:tab w:val="left" w:pos="1200"/>
              <w:tab w:val="right" w:pos="10456"/>
            </w:tabs>
            <w:rPr>
              <w:rFonts w:eastAsiaTheme="minorEastAsia"/>
              <w:noProof/>
              <w:kern w:val="2"/>
              <w:szCs w:val="24"/>
              <w:lang w:eastAsia="en-NZ"/>
              <w14:ligatures w14:val="standardContextual"/>
            </w:rPr>
          </w:pPr>
          <w:hyperlink w:anchor="_Toc210288819" w:history="1">
            <w:r w:rsidRPr="008D57FE">
              <w:rPr>
                <w:rStyle w:val="Hyperlink"/>
                <w:noProof/>
              </w:rPr>
              <w:t>11.12</w:t>
            </w:r>
            <w:r>
              <w:rPr>
                <w:rFonts w:eastAsiaTheme="minorEastAsia"/>
                <w:noProof/>
                <w:kern w:val="2"/>
                <w:szCs w:val="24"/>
                <w:lang w:eastAsia="en-NZ"/>
                <w14:ligatures w14:val="standardContextual"/>
              </w:rPr>
              <w:tab/>
            </w:r>
            <w:r w:rsidRPr="008D57FE">
              <w:rPr>
                <w:rStyle w:val="Hyperlink"/>
                <w:noProof/>
              </w:rPr>
              <w:t>Design Authority</w:t>
            </w:r>
            <w:r>
              <w:rPr>
                <w:noProof/>
                <w:webHidden/>
              </w:rPr>
              <w:tab/>
            </w:r>
            <w:r>
              <w:rPr>
                <w:noProof/>
                <w:webHidden/>
              </w:rPr>
              <w:fldChar w:fldCharType="begin"/>
            </w:r>
            <w:r>
              <w:rPr>
                <w:noProof/>
                <w:webHidden/>
              </w:rPr>
              <w:instrText xml:space="preserve"> PAGEREF _Toc210288819 \h </w:instrText>
            </w:r>
            <w:r>
              <w:rPr>
                <w:noProof/>
                <w:webHidden/>
              </w:rPr>
            </w:r>
            <w:r>
              <w:rPr>
                <w:noProof/>
                <w:webHidden/>
              </w:rPr>
              <w:fldChar w:fldCharType="separate"/>
            </w:r>
            <w:r>
              <w:rPr>
                <w:noProof/>
                <w:webHidden/>
              </w:rPr>
              <w:t>30</w:t>
            </w:r>
            <w:r>
              <w:rPr>
                <w:noProof/>
                <w:webHidden/>
              </w:rPr>
              <w:fldChar w:fldCharType="end"/>
            </w:r>
          </w:hyperlink>
        </w:p>
        <w:p w14:paraId="6DEA15BC" w14:textId="2D864DB9" w:rsidR="00E32CFA" w:rsidRDefault="00E32CFA">
          <w:pPr>
            <w:pStyle w:val="TOC2"/>
            <w:tabs>
              <w:tab w:val="left" w:pos="1200"/>
              <w:tab w:val="right" w:pos="10456"/>
            </w:tabs>
            <w:rPr>
              <w:rFonts w:eastAsiaTheme="minorEastAsia"/>
              <w:noProof/>
              <w:kern w:val="2"/>
              <w:szCs w:val="24"/>
              <w:lang w:eastAsia="en-NZ"/>
              <w14:ligatures w14:val="standardContextual"/>
            </w:rPr>
          </w:pPr>
          <w:hyperlink w:anchor="_Toc210288820" w:history="1">
            <w:r w:rsidRPr="008D57FE">
              <w:rPr>
                <w:rStyle w:val="Hyperlink"/>
                <w:noProof/>
              </w:rPr>
              <w:t>11.13</w:t>
            </w:r>
            <w:r>
              <w:rPr>
                <w:rFonts w:eastAsiaTheme="minorEastAsia"/>
                <w:noProof/>
                <w:kern w:val="2"/>
                <w:szCs w:val="24"/>
                <w:lang w:eastAsia="en-NZ"/>
                <w14:ligatures w14:val="standardContextual"/>
              </w:rPr>
              <w:tab/>
            </w:r>
            <w:r w:rsidRPr="008D57FE">
              <w:rPr>
                <w:rStyle w:val="Hyperlink"/>
                <w:noProof/>
              </w:rPr>
              <w:t>Continuous improvement</w:t>
            </w:r>
            <w:r>
              <w:rPr>
                <w:noProof/>
                <w:webHidden/>
              </w:rPr>
              <w:tab/>
            </w:r>
            <w:r>
              <w:rPr>
                <w:noProof/>
                <w:webHidden/>
              </w:rPr>
              <w:fldChar w:fldCharType="begin"/>
            </w:r>
            <w:r>
              <w:rPr>
                <w:noProof/>
                <w:webHidden/>
              </w:rPr>
              <w:instrText xml:space="preserve"> PAGEREF _Toc210288820 \h </w:instrText>
            </w:r>
            <w:r>
              <w:rPr>
                <w:noProof/>
                <w:webHidden/>
              </w:rPr>
            </w:r>
            <w:r>
              <w:rPr>
                <w:noProof/>
                <w:webHidden/>
              </w:rPr>
              <w:fldChar w:fldCharType="separate"/>
            </w:r>
            <w:r>
              <w:rPr>
                <w:noProof/>
                <w:webHidden/>
              </w:rPr>
              <w:t>31</w:t>
            </w:r>
            <w:r>
              <w:rPr>
                <w:noProof/>
                <w:webHidden/>
              </w:rPr>
              <w:fldChar w:fldCharType="end"/>
            </w:r>
          </w:hyperlink>
        </w:p>
        <w:p w14:paraId="4850D25F" w14:textId="56905E0A" w:rsidR="00E32CFA" w:rsidRDefault="00E32CFA">
          <w:pPr>
            <w:pStyle w:val="TOC2"/>
            <w:tabs>
              <w:tab w:val="right" w:pos="10456"/>
            </w:tabs>
            <w:rPr>
              <w:rFonts w:eastAsiaTheme="minorEastAsia"/>
              <w:noProof/>
              <w:kern w:val="2"/>
              <w:szCs w:val="24"/>
              <w:lang w:eastAsia="en-NZ"/>
              <w14:ligatures w14:val="standardContextual"/>
            </w:rPr>
          </w:pPr>
          <w:hyperlink w:anchor="_Toc210288821" w:history="1">
            <w:r w:rsidRPr="008D57FE">
              <w:rPr>
                <w:rStyle w:val="Hyperlink"/>
                <w:noProof/>
              </w:rPr>
              <w:t>Appendix A – Design Assurance Threshold Tool</w:t>
            </w:r>
            <w:r>
              <w:rPr>
                <w:noProof/>
                <w:webHidden/>
              </w:rPr>
              <w:tab/>
            </w:r>
            <w:r>
              <w:rPr>
                <w:noProof/>
                <w:webHidden/>
              </w:rPr>
              <w:fldChar w:fldCharType="begin"/>
            </w:r>
            <w:r>
              <w:rPr>
                <w:noProof/>
                <w:webHidden/>
              </w:rPr>
              <w:instrText xml:space="preserve"> PAGEREF _Toc210288821 \h </w:instrText>
            </w:r>
            <w:r>
              <w:rPr>
                <w:noProof/>
                <w:webHidden/>
              </w:rPr>
            </w:r>
            <w:r>
              <w:rPr>
                <w:noProof/>
                <w:webHidden/>
              </w:rPr>
              <w:fldChar w:fldCharType="separate"/>
            </w:r>
            <w:r>
              <w:rPr>
                <w:noProof/>
                <w:webHidden/>
              </w:rPr>
              <w:t>32</w:t>
            </w:r>
            <w:r>
              <w:rPr>
                <w:noProof/>
                <w:webHidden/>
              </w:rPr>
              <w:fldChar w:fldCharType="end"/>
            </w:r>
          </w:hyperlink>
        </w:p>
        <w:p w14:paraId="5D01E8E2" w14:textId="5FA350C4" w:rsidR="00864352" w:rsidRDefault="00630DE1" w:rsidP="00630DE1">
          <w:pPr>
            <w:rPr>
              <w:bCs/>
              <w:noProof/>
            </w:rPr>
          </w:pPr>
          <w:r>
            <w:fldChar w:fldCharType="end"/>
          </w:r>
        </w:p>
      </w:sdtContent>
    </w:sdt>
    <w:p w14:paraId="06BFFCBF" w14:textId="30AC4C8F" w:rsidR="00014BB0" w:rsidRDefault="00014BB0" w:rsidP="00630DE1">
      <w:r>
        <w:br w:type="page"/>
      </w:r>
    </w:p>
    <w:p w14:paraId="0E4FD619" w14:textId="73AB2349" w:rsidR="00B75F7F" w:rsidRDefault="0023585F" w:rsidP="0023585F">
      <w:pPr>
        <w:pStyle w:val="NumberedHeading1"/>
      </w:pPr>
      <w:bookmarkStart w:id="2" w:name="_Toc210288787"/>
      <w:r>
        <w:lastRenderedPageBreak/>
        <w:t>Working Group</w:t>
      </w:r>
      <w:bookmarkEnd w:id="2"/>
    </w:p>
    <w:p w14:paraId="61C6F47E" w14:textId="77777777" w:rsidR="0023585F" w:rsidRDefault="0023585F" w:rsidP="0023585F">
      <w:r>
        <w:t>This framework was developed in consultation with a Working Group including representatives set out in the table below:</w:t>
      </w:r>
    </w:p>
    <w:tbl>
      <w:tblPr>
        <w:tblStyle w:val="TeWhatuOra"/>
        <w:tblW w:w="0" w:type="auto"/>
        <w:tblLook w:val="0420" w:firstRow="1" w:lastRow="0" w:firstColumn="0" w:lastColumn="0" w:noHBand="0" w:noVBand="1"/>
      </w:tblPr>
      <w:tblGrid>
        <w:gridCol w:w="1935"/>
        <w:gridCol w:w="5316"/>
        <w:gridCol w:w="3205"/>
      </w:tblGrid>
      <w:tr w:rsidR="009A7276" w14:paraId="33C03D95" w14:textId="77777777" w:rsidTr="0023585F">
        <w:trPr>
          <w:cnfStyle w:val="100000000000" w:firstRow="1" w:lastRow="0" w:firstColumn="0" w:lastColumn="0" w:oddVBand="0" w:evenVBand="0" w:oddHBand="0" w:evenHBand="0" w:firstRowFirstColumn="0" w:firstRowLastColumn="0" w:lastRowFirstColumn="0" w:lastRowLastColumn="0"/>
        </w:trPr>
        <w:tc>
          <w:tcPr>
            <w:tcW w:w="0" w:type="auto"/>
          </w:tcPr>
          <w:p w14:paraId="14A5A0B8" w14:textId="7D01D051" w:rsidR="0023585F" w:rsidRDefault="0023585F" w:rsidP="0023585F">
            <w:r>
              <w:t>Name</w:t>
            </w:r>
          </w:p>
        </w:tc>
        <w:tc>
          <w:tcPr>
            <w:tcW w:w="0" w:type="auto"/>
          </w:tcPr>
          <w:p w14:paraId="31135C81" w14:textId="5950B756" w:rsidR="0023585F" w:rsidRDefault="0023585F" w:rsidP="0023585F">
            <w:r>
              <w:t>Title</w:t>
            </w:r>
          </w:p>
        </w:tc>
        <w:tc>
          <w:tcPr>
            <w:tcW w:w="0" w:type="auto"/>
          </w:tcPr>
          <w:p w14:paraId="4ED09A67" w14:textId="4CC4DA40" w:rsidR="0023585F" w:rsidRDefault="0023585F" w:rsidP="0023585F">
            <w:r>
              <w:t>Agency</w:t>
            </w:r>
          </w:p>
        </w:tc>
      </w:tr>
      <w:tr w:rsidR="0023585F" w14:paraId="3ED65205" w14:textId="77777777" w:rsidTr="0023585F">
        <w:tc>
          <w:tcPr>
            <w:tcW w:w="0" w:type="auto"/>
          </w:tcPr>
          <w:p w14:paraId="710740A3" w14:textId="0C2EFDC9" w:rsidR="0023585F" w:rsidRDefault="0023585F" w:rsidP="0023585F">
            <w:r>
              <w:t>Andy Savin</w:t>
            </w:r>
          </w:p>
        </w:tc>
        <w:tc>
          <w:tcPr>
            <w:tcW w:w="0" w:type="auto"/>
          </w:tcPr>
          <w:p w14:paraId="3E47A04E" w14:textId="30557EF3" w:rsidR="0023585F" w:rsidRDefault="0023585F" w:rsidP="0023585F">
            <w:r>
              <w:t>Clinical Health Planner &amp; Project Manager</w:t>
            </w:r>
          </w:p>
        </w:tc>
        <w:tc>
          <w:tcPr>
            <w:tcW w:w="0" w:type="auto"/>
          </w:tcPr>
          <w:p w14:paraId="5CDDAA2C" w14:textId="7C958BA8" w:rsidR="0023585F" w:rsidRDefault="0023585F" w:rsidP="0023585F">
            <w:r>
              <w:t>Klein Architects</w:t>
            </w:r>
          </w:p>
        </w:tc>
      </w:tr>
      <w:tr w:rsidR="0023585F" w14:paraId="37218CAA" w14:textId="77777777" w:rsidTr="0023585F">
        <w:tc>
          <w:tcPr>
            <w:tcW w:w="0" w:type="auto"/>
          </w:tcPr>
          <w:p w14:paraId="3F156335" w14:textId="56DE11FC" w:rsidR="0023585F" w:rsidRDefault="0023585F" w:rsidP="0023585F">
            <w:r>
              <w:t>Melanie Walsh</w:t>
            </w:r>
          </w:p>
        </w:tc>
        <w:tc>
          <w:tcPr>
            <w:tcW w:w="0" w:type="auto"/>
          </w:tcPr>
          <w:p w14:paraId="328BB67B" w14:textId="348C24F3" w:rsidR="0023585F" w:rsidRDefault="0023585F" w:rsidP="0023585F">
            <w:r>
              <w:t>Technical Director – Building Services</w:t>
            </w:r>
          </w:p>
        </w:tc>
        <w:tc>
          <w:tcPr>
            <w:tcW w:w="0" w:type="auto"/>
          </w:tcPr>
          <w:p w14:paraId="34E45870" w14:textId="29DDC885" w:rsidR="0023585F" w:rsidRDefault="0023585F" w:rsidP="0023585F">
            <w:r>
              <w:t>Beca</w:t>
            </w:r>
          </w:p>
        </w:tc>
      </w:tr>
      <w:tr w:rsidR="0023585F" w14:paraId="1A1424A7" w14:textId="77777777" w:rsidTr="0023585F">
        <w:tc>
          <w:tcPr>
            <w:tcW w:w="0" w:type="auto"/>
          </w:tcPr>
          <w:p w14:paraId="1D1E36A4" w14:textId="3B3D316E" w:rsidR="0023585F" w:rsidRDefault="0023585F" w:rsidP="0023585F">
            <w:r>
              <w:t>Laura Aileone</w:t>
            </w:r>
          </w:p>
        </w:tc>
        <w:tc>
          <w:tcPr>
            <w:tcW w:w="0" w:type="auto"/>
          </w:tcPr>
          <w:p w14:paraId="2B230619" w14:textId="64CD8A1B" w:rsidR="0023585F" w:rsidRDefault="0023585F" w:rsidP="0023585F">
            <w:r>
              <w:t>Principal Advisor, Primary and Community</w:t>
            </w:r>
          </w:p>
        </w:tc>
        <w:tc>
          <w:tcPr>
            <w:tcW w:w="0" w:type="auto"/>
          </w:tcPr>
          <w:p w14:paraId="79ADC2B9" w14:textId="0EFAAF07" w:rsidR="0023585F" w:rsidRDefault="0023585F" w:rsidP="0023585F">
            <w:r>
              <w:t xml:space="preserve">Te Aki Whai Ora – </w:t>
            </w:r>
            <w:r w:rsidRPr="0023585F">
              <w:t>Māori</w:t>
            </w:r>
            <w:r>
              <w:t xml:space="preserve"> Health Authority</w:t>
            </w:r>
          </w:p>
        </w:tc>
      </w:tr>
      <w:tr w:rsidR="0023585F" w14:paraId="71F46B22" w14:textId="77777777" w:rsidTr="0023585F">
        <w:tc>
          <w:tcPr>
            <w:tcW w:w="0" w:type="auto"/>
          </w:tcPr>
          <w:p w14:paraId="11CECE72" w14:textId="3CF22A63" w:rsidR="0023585F" w:rsidRDefault="0023585F" w:rsidP="0023585F">
            <w:r>
              <w:t>Sole Labbe Hubbard</w:t>
            </w:r>
          </w:p>
        </w:tc>
        <w:tc>
          <w:tcPr>
            <w:tcW w:w="0" w:type="auto"/>
          </w:tcPr>
          <w:p w14:paraId="45D2B299" w14:textId="5B6727CB" w:rsidR="0023585F" w:rsidRDefault="0023585F" w:rsidP="0023585F">
            <w:r>
              <w:t>Service Design Business Analyst, Digital Strategy and Investment</w:t>
            </w:r>
          </w:p>
        </w:tc>
        <w:tc>
          <w:tcPr>
            <w:tcW w:w="0" w:type="auto"/>
          </w:tcPr>
          <w:p w14:paraId="3F1A607D" w14:textId="5D12DECC" w:rsidR="0023585F" w:rsidRDefault="0023585F" w:rsidP="0023585F">
            <w:r>
              <w:t>Te Whatu Ora</w:t>
            </w:r>
          </w:p>
        </w:tc>
      </w:tr>
      <w:tr w:rsidR="0023585F" w14:paraId="3B899F06" w14:textId="77777777" w:rsidTr="0023585F">
        <w:tc>
          <w:tcPr>
            <w:tcW w:w="0" w:type="auto"/>
          </w:tcPr>
          <w:p w14:paraId="48BEDB61" w14:textId="3ADDD950" w:rsidR="0023585F" w:rsidRDefault="0023585F" w:rsidP="0023585F">
            <w:r>
              <w:t>Margo Kyle</w:t>
            </w:r>
          </w:p>
        </w:tc>
        <w:tc>
          <w:tcPr>
            <w:tcW w:w="0" w:type="auto"/>
          </w:tcPr>
          <w:p w14:paraId="5CF304F5" w14:textId="49A0299B" w:rsidR="0023585F" w:rsidRDefault="0023585F" w:rsidP="0023585F">
            <w:r>
              <w:t>Principal Advisor, Service Planning</w:t>
            </w:r>
          </w:p>
        </w:tc>
        <w:tc>
          <w:tcPr>
            <w:tcW w:w="0" w:type="auto"/>
          </w:tcPr>
          <w:p w14:paraId="72121A58" w14:textId="171E6440" w:rsidR="0023585F" w:rsidRDefault="0023585F" w:rsidP="0023585F">
            <w:r>
              <w:t>Te Whatu Ora</w:t>
            </w:r>
          </w:p>
        </w:tc>
      </w:tr>
      <w:tr w:rsidR="0023585F" w14:paraId="045A6367" w14:textId="77777777" w:rsidTr="0023585F">
        <w:tc>
          <w:tcPr>
            <w:tcW w:w="0" w:type="auto"/>
          </w:tcPr>
          <w:p w14:paraId="29A6892A" w14:textId="16BC02C9" w:rsidR="0023585F" w:rsidRDefault="0023585F" w:rsidP="0023585F">
            <w:r>
              <w:t>Justin Kennedy-Good</w:t>
            </w:r>
          </w:p>
        </w:tc>
        <w:tc>
          <w:tcPr>
            <w:tcW w:w="0" w:type="auto"/>
          </w:tcPr>
          <w:p w14:paraId="74E8DDE1" w14:textId="333AC801" w:rsidR="0023585F" w:rsidRDefault="0023585F" w:rsidP="0023585F">
            <w:r>
              <w:t>Director, Ara Manawa</w:t>
            </w:r>
          </w:p>
        </w:tc>
        <w:tc>
          <w:tcPr>
            <w:tcW w:w="0" w:type="auto"/>
          </w:tcPr>
          <w:p w14:paraId="249507D6" w14:textId="1E9A5C2E" w:rsidR="0023585F" w:rsidRDefault="0023585F" w:rsidP="0023585F">
            <w:r>
              <w:t>Te Whatu Ora, Te Toka Tumai, Auckland</w:t>
            </w:r>
          </w:p>
        </w:tc>
      </w:tr>
      <w:tr w:rsidR="0023585F" w14:paraId="082DB2E2" w14:textId="77777777" w:rsidTr="0023585F">
        <w:tc>
          <w:tcPr>
            <w:tcW w:w="0" w:type="auto"/>
          </w:tcPr>
          <w:p w14:paraId="1AA424E9" w14:textId="1022863D" w:rsidR="0023585F" w:rsidRDefault="0023585F" w:rsidP="0023585F">
            <w:r>
              <w:t>Christine Corin</w:t>
            </w:r>
          </w:p>
        </w:tc>
        <w:tc>
          <w:tcPr>
            <w:tcW w:w="0" w:type="auto"/>
          </w:tcPr>
          <w:p w14:paraId="2628C4DB" w14:textId="61774712" w:rsidR="0023585F" w:rsidRDefault="0023585F" w:rsidP="0023585F">
            <w:r>
              <w:t>Programme Manager, Facilities and Infrastructure</w:t>
            </w:r>
          </w:p>
        </w:tc>
        <w:tc>
          <w:tcPr>
            <w:tcW w:w="0" w:type="auto"/>
          </w:tcPr>
          <w:p w14:paraId="0514C09B" w14:textId="7D8C2630" w:rsidR="0023585F" w:rsidRDefault="0023585F" w:rsidP="0023585F">
            <w:r>
              <w:t>Te Whatu Ora, Waitaha, Canterbury</w:t>
            </w:r>
          </w:p>
        </w:tc>
      </w:tr>
      <w:tr w:rsidR="0023585F" w14:paraId="4A8696EB" w14:textId="77777777" w:rsidTr="0023585F">
        <w:tc>
          <w:tcPr>
            <w:tcW w:w="0" w:type="auto"/>
          </w:tcPr>
          <w:p w14:paraId="5EF744BF" w14:textId="218CEAAE" w:rsidR="0023585F" w:rsidRDefault="0023585F" w:rsidP="0023585F">
            <w:r>
              <w:t>Dr. Debbie Wilson</w:t>
            </w:r>
          </w:p>
        </w:tc>
        <w:tc>
          <w:tcPr>
            <w:tcW w:w="0" w:type="auto"/>
          </w:tcPr>
          <w:p w14:paraId="4F15346B" w14:textId="080A6DB9" w:rsidR="0023585F" w:rsidRDefault="0023585F" w:rsidP="0023585F">
            <w:r>
              <w:t>Principal Advisor – Sustainability, Health Asset Management and Analysis</w:t>
            </w:r>
          </w:p>
        </w:tc>
        <w:tc>
          <w:tcPr>
            <w:tcW w:w="0" w:type="auto"/>
          </w:tcPr>
          <w:p w14:paraId="7B88CF53" w14:textId="6723988D" w:rsidR="0023585F" w:rsidRDefault="0023585F" w:rsidP="0023585F">
            <w:r>
              <w:t>Te Whatu Ora</w:t>
            </w:r>
          </w:p>
        </w:tc>
      </w:tr>
      <w:tr w:rsidR="0023585F" w14:paraId="12D227BD" w14:textId="77777777" w:rsidTr="0023585F">
        <w:tc>
          <w:tcPr>
            <w:tcW w:w="0" w:type="auto"/>
          </w:tcPr>
          <w:p w14:paraId="7BD9F1F0" w14:textId="7292B635" w:rsidR="0023585F" w:rsidRDefault="0023585F" w:rsidP="0023585F">
            <w:r>
              <w:t>Matt Johns</w:t>
            </w:r>
          </w:p>
        </w:tc>
        <w:tc>
          <w:tcPr>
            <w:tcW w:w="0" w:type="auto"/>
          </w:tcPr>
          <w:p w14:paraId="73237926" w14:textId="5F0E0F58" w:rsidR="0023585F" w:rsidRDefault="0023585F" w:rsidP="0023585F">
            <w:r>
              <w:t>Head of Projects, Facilities &amp; Development</w:t>
            </w:r>
          </w:p>
        </w:tc>
        <w:tc>
          <w:tcPr>
            <w:tcW w:w="0" w:type="auto"/>
          </w:tcPr>
          <w:p w14:paraId="32EB957A" w14:textId="39E4293C" w:rsidR="0023585F" w:rsidRDefault="0023585F" w:rsidP="0023585F">
            <w:r>
              <w:t>Te Whatu Ora, Te Toka Tumai, Auckland</w:t>
            </w:r>
          </w:p>
        </w:tc>
      </w:tr>
      <w:tr w:rsidR="0023585F" w14:paraId="1D001CEA" w14:textId="77777777" w:rsidTr="0023585F">
        <w:tc>
          <w:tcPr>
            <w:tcW w:w="0" w:type="auto"/>
          </w:tcPr>
          <w:p w14:paraId="6EAEB91E" w14:textId="5440BED7" w:rsidR="0023585F" w:rsidRDefault="0023585F" w:rsidP="0023585F">
            <w:r>
              <w:t>Allan Johns</w:t>
            </w:r>
          </w:p>
        </w:tc>
        <w:tc>
          <w:tcPr>
            <w:tcW w:w="0" w:type="auto"/>
          </w:tcPr>
          <w:p w14:paraId="40009634" w14:textId="00DA68BE" w:rsidR="0023585F" w:rsidRDefault="0023585F" w:rsidP="0023585F">
            <w:r>
              <w:t>Director, Facilities &amp; Development</w:t>
            </w:r>
          </w:p>
        </w:tc>
        <w:tc>
          <w:tcPr>
            <w:tcW w:w="0" w:type="auto"/>
          </w:tcPr>
          <w:p w14:paraId="718F2EB7" w14:textId="144F61A8" w:rsidR="0023585F" w:rsidRDefault="0023585F" w:rsidP="0023585F">
            <w:r>
              <w:t>Te Whatu Ora, Te Toka Tumai, Auckland</w:t>
            </w:r>
          </w:p>
        </w:tc>
      </w:tr>
    </w:tbl>
    <w:p w14:paraId="47823806" w14:textId="73F0429E" w:rsidR="00635353" w:rsidRDefault="00635353" w:rsidP="0023585F"/>
    <w:p w14:paraId="63389D42" w14:textId="77777777" w:rsidR="00635353" w:rsidRDefault="00635353">
      <w:pPr>
        <w:spacing w:before="0" w:after="160" w:line="259" w:lineRule="auto"/>
      </w:pPr>
      <w:r>
        <w:br w:type="page"/>
      </w:r>
    </w:p>
    <w:p w14:paraId="571FA455" w14:textId="57957A0B" w:rsidR="0023585F" w:rsidRDefault="00635353" w:rsidP="00635353">
      <w:pPr>
        <w:pStyle w:val="NumberedHeading1"/>
      </w:pPr>
      <w:bookmarkStart w:id="3" w:name="_Toc210288788"/>
      <w:r>
        <w:lastRenderedPageBreak/>
        <w:t>Consultation</w:t>
      </w:r>
      <w:bookmarkEnd w:id="3"/>
    </w:p>
    <w:p w14:paraId="6F2CB5A7" w14:textId="23B6D463" w:rsidR="00635353" w:rsidRDefault="00635353" w:rsidP="00635353">
      <w:r>
        <w:t xml:space="preserve">The draft was provided to the agencies listed below, from </w:t>
      </w:r>
      <w:r w:rsidRPr="00CD0AEB">
        <w:t>14-20</w:t>
      </w:r>
      <w:r w:rsidRPr="00CD0AEB">
        <w:rPr>
          <w:vertAlign w:val="superscript"/>
        </w:rPr>
        <w:t>th</w:t>
      </w:r>
      <w:r>
        <w:t xml:space="preserve"> February 2023. </w:t>
      </w:r>
    </w:p>
    <w:tbl>
      <w:tblPr>
        <w:tblStyle w:val="TeWhatuOra"/>
        <w:tblW w:w="0" w:type="auto"/>
        <w:tblLook w:val="0420" w:firstRow="1" w:lastRow="0" w:firstColumn="0" w:lastColumn="0" w:noHBand="0" w:noVBand="1"/>
      </w:tblPr>
      <w:tblGrid>
        <w:gridCol w:w="9628"/>
      </w:tblGrid>
      <w:tr w:rsidR="00635353" w14:paraId="0C9873DC" w14:textId="77777777" w:rsidTr="00635353">
        <w:trPr>
          <w:cnfStyle w:val="100000000000" w:firstRow="1" w:lastRow="0" w:firstColumn="0" w:lastColumn="0" w:oddVBand="0" w:evenVBand="0" w:oddHBand="0" w:evenHBand="0" w:firstRowFirstColumn="0" w:firstRowLastColumn="0" w:lastRowFirstColumn="0" w:lastRowLastColumn="0"/>
        </w:trPr>
        <w:tc>
          <w:tcPr>
            <w:tcW w:w="9628" w:type="dxa"/>
          </w:tcPr>
          <w:p w14:paraId="45A2AB75" w14:textId="33EBC6DA" w:rsidR="00635353" w:rsidRDefault="00635353" w:rsidP="00635353">
            <w:r>
              <w:t>Agency/Group</w:t>
            </w:r>
          </w:p>
        </w:tc>
      </w:tr>
      <w:tr w:rsidR="00635353" w14:paraId="0220E0C6" w14:textId="77777777" w:rsidTr="00635353">
        <w:tc>
          <w:tcPr>
            <w:tcW w:w="9628" w:type="dxa"/>
          </w:tcPr>
          <w:p w14:paraId="0182631C" w14:textId="0B2DF6E8" w:rsidR="00635353" w:rsidRDefault="00635353" w:rsidP="00635353">
            <w:r>
              <w:t>Te Aka Whai Ora</w:t>
            </w:r>
          </w:p>
        </w:tc>
      </w:tr>
      <w:tr w:rsidR="00635353" w14:paraId="00359EA7" w14:textId="77777777" w:rsidTr="00635353">
        <w:tc>
          <w:tcPr>
            <w:tcW w:w="9628" w:type="dxa"/>
          </w:tcPr>
          <w:p w14:paraId="4FA175EB" w14:textId="4B40C77D" w:rsidR="00635353" w:rsidRDefault="00635353" w:rsidP="00635353">
            <w:r>
              <w:t>Pacific Health (Te Whatu Ora)</w:t>
            </w:r>
          </w:p>
        </w:tc>
      </w:tr>
      <w:tr w:rsidR="00635353" w14:paraId="32C8E120" w14:textId="77777777" w:rsidTr="00635353">
        <w:tc>
          <w:tcPr>
            <w:tcW w:w="9628" w:type="dxa"/>
          </w:tcPr>
          <w:p w14:paraId="24141DD3" w14:textId="3E128678" w:rsidR="00635353" w:rsidRDefault="00635353" w:rsidP="00635353">
            <w:r>
              <w:t>New Zealand Health Design Council</w:t>
            </w:r>
          </w:p>
        </w:tc>
      </w:tr>
      <w:tr w:rsidR="00635353" w14:paraId="1A17F536" w14:textId="77777777" w:rsidTr="00635353">
        <w:tc>
          <w:tcPr>
            <w:tcW w:w="9628" w:type="dxa"/>
          </w:tcPr>
          <w:p w14:paraId="5F7156B3" w14:textId="7B45F728" w:rsidR="00635353" w:rsidRDefault="00635353" w:rsidP="00635353">
            <w:r>
              <w:t>DIG – Investment Delivery Group (Te Whatu Ora)</w:t>
            </w:r>
          </w:p>
        </w:tc>
      </w:tr>
      <w:tr w:rsidR="00635353" w14:paraId="7E98F016" w14:textId="77777777" w:rsidTr="00635353">
        <w:tc>
          <w:tcPr>
            <w:tcW w:w="9628" w:type="dxa"/>
          </w:tcPr>
          <w:p w14:paraId="2426C67A" w14:textId="2D0B03A7" w:rsidR="00635353" w:rsidRDefault="00635353" w:rsidP="00635353">
            <w:r>
              <w:t>MHIP (Te Whatu Ora, Infrastructure and Investment Group)</w:t>
            </w:r>
          </w:p>
        </w:tc>
      </w:tr>
      <w:tr w:rsidR="00635353" w14:paraId="3ACE7903" w14:textId="77777777" w:rsidTr="00635353">
        <w:tc>
          <w:tcPr>
            <w:tcW w:w="9628" w:type="dxa"/>
          </w:tcPr>
          <w:p w14:paraId="4C3F7DEB" w14:textId="5E9D5CCE" w:rsidR="00635353" w:rsidRDefault="00635353" w:rsidP="00635353">
            <w:r>
              <w:t>Infrastructure Investment Planning (Te Whatu Ora, Infrastructure and Investment Group)</w:t>
            </w:r>
          </w:p>
        </w:tc>
      </w:tr>
      <w:tr w:rsidR="00635353" w14:paraId="4A0FC105" w14:textId="77777777" w:rsidTr="00635353">
        <w:tc>
          <w:tcPr>
            <w:tcW w:w="9628" w:type="dxa"/>
          </w:tcPr>
          <w:p w14:paraId="1E053D5C" w14:textId="349FDE81" w:rsidR="00635353" w:rsidRDefault="00635353" w:rsidP="00635353">
            <w:r>
              <w:t>Data and Digital (Te Whatu Ora)</w:t>
            </w:r>
          </w:p>
        </w:tc>
      </w:tr>
      <w:tr w:rsidR="00635353" w14:paraId="3DC458E1" w14:textId="77777777" w:rsidTr="00635353">
        <w:tc>
          <w:tcPr>
            <w:tcW w:w="9628" w:type="dxa"/>
          </w:tcPr>
          <w:p w14:paraId="596CCB69" w14:textId="2FCA763C" w:rsidR="00635353" w:rsidRDefault="00635353" w:rsidP="00635353">
            <w:r>
              <w:t>Infrastructure Procurement (Te Whatu Ora, Infrastructure and Investment Group)</w:t>
            </w:r>
          </w:p>
        </w:tc>
      </w:tr>
    </w:tbl>
    <w:p w14:paraId="3F79E538" w14:textId="447C2D81" w:rsidR="00635353" w:rsidRDefault="00635353" w:rsidP="00635353">
      <w:pPr>
        <w:pStyle w:val="NumberedHeading1"/>
      </w:pPr>
      <w:bookmarkStart w:id="4" w:name="_Toc210288789"/>
      <w:r>
        <w:t>Revision History</w:t>
      </w:r>
      <w:bookmarkEnd w:id="4"/>
    </w:p>
    <w:tbl>
      <w:tblPr>
        <w:tblStyle w:val="TeWhatuOra"/>
        <w:tblW w:w="9634" w:type="dxa"/>
        <w:tblLook w:val="0620" w:firstRow="1" w:lastRow="0" w:firstColumn="0" w:lastColumn="0" w:noHBand="1" w:noVBand="1"/>
      </w:tblPr>
      <w:tblGrid>
        <w:gridCol w:w="1051"/>
        <w:gridCol w:w="1921"/>
        <w:gridCol w:w="2410"/>
        <w:gridCol w:w="4252"/>
      </w:tblGrid>
      <w:tr w:rsidR="007456F4" w:rsidRPr="00635353" w14:paraId="077AB915" w14:textId="77777777" w:rsidTr="00635353">
        <w:trPr>
          <w:cnfStyle w:val="100000000000" w:firstRow="1" w:lastRow="0" w:firstColumn="0" w:lastColumn="0" w:oddVBand="0" w:evenVBand="0" w:oddHBand="0" w:evenHBand="0" w:firstRowFirstColumn="0" w:firstRowLastColumn="0" w:lastRowFirstColumn="0" w:lastRowLastColumn="0"/>
          <w:trHeight w:val="20"/>
        </w:trPr>
        <w:tc>
          <w:tcPr>
            <w:tcW w:w="1051" w:type="dxa"/>
          </w:tcPr>
          <w:p w14:paraId="6B450B77" w14:textId="77777777" w:rsidR="00635353" w:rsidRPr="00635353" w:rsidRDefault="00635353" w:rsidP="00635353">
            <w:r w:rsidRPr="00635353">
              <w:t>Version</w:t>
            </w:r>
          </w:p>
        </w:tc>
        <w:tc>
          <w:tcPr>
            <w:tcW w:w="1921" w:type="dxa"/>
          </w:tcPr>
          <w:p w14:paraId="52D5C4B2" w14:textId="77777777" w:rsidR="00635353" w:rsidRPr="00635353" w:rsidRDefault="00635353" w:rsidP="00635353">
            <w:r w:rsidRPr="00635353">
              <w:t>Date</w:t>
            </w:r>
          </w:p>
        </w:tc>
        <w:tc>
          <w:tcPr>
            <w:tcW w:w="2410" w:type="dxa"/>
          </w:tcPr>
          <w:p w14:paraId="6DE7D33A" w14:textId="77777777" w:rsidR="00635353" w:rsidRPr="00635353" w:rsidRDefault="00635353" w:rsidP="00635353">
            <w:r w:rsidRPr="00635353">
              <w:t>Author</w:t>
            </w:r>
          </w:p>
        </w:tc>
        <w:tc>
          <w:tcPr>
            <w:tcW w:w="4252" w:type="dxa"/>
          </w:tcPr>
          <w:p w14:paraId="719F4DDB" w14:textId="77777777" w:rsidR="00635353" w:rsidRPr="00635353" w:rsidRDefault="00635353" w:rsidP="00635353">
            <w:r w:rsidRPr="00635353">
              <w:t>Description of changes</w:t>
            </w:r>
          </w:p>
        </w:tc>
      </w:tr>
      <w:tr w:rsidR="00635353" w:rsidRPr="00635353" w14:paraId="12D608FC" w14:textId="77777777" w:rsidTr="00635353">
        <w:trPr>
          <w:trHeight w:val="20"/>
        </w:trPr>
        <w:tc>
          <w:tcPr>
            <w:tcW w:w="1051" w:type="dxa"/>
          </w:tcPr>
          <w:p w14:paraId="0A1B0B1C" w14:textId="77777777" w:rsidR="00635353" w:rsidRPr="00635353" w:rsidRDefault="00635353" w:rsidP="00635353">
            <w:pPr>
              <w:spacing w:beforeAutospacing="0" w:after="80" w:afterAutospacing="0"/>
            </w:pPr>
            <w:r w:rsidRPr="00635353">
              <w:t>1.0</w:t>
            </w:r>
          </w:p>
        </w:tc>
        <w:tc>
          <w:tcPr>
            <w:tcW w:w="1921" w:type="dxa"/>
          </w:tcPr>
          <w:p w14:paraId="4A85F8A7" w14:textId="77777777" w:rsidR="00635353" w:rsidRPr="00635353" w:rsidRDefault="00635353" w:rsidP="00635353">
            <w:pPr>
              <w:spacing w:beforeAutospacing="0" w:after="80" w:afterAutospacing="0"/>
            </w:pPr>
            <w:r w:rsidRPr="00635353">
              <w:t>Jan 18, 2023</w:t>
            </w:r>
          </w:p>
        </w:tc>
        <w:tc>
          <w:tcPr>
            <w:tcW w:w="2410" w:type="dxa"/>
          </w:tcPr>
          <w:p w14:paraId="10A10373" w14:textId="77777777" w:rsidR="00635353" w:rsidRPr="00635353" w:rsidRDefault="00635353" w:rsidP="00635353">
            <w:pPr>
              <w:spacing w:beforeAutospacing="0" w:after="80" w:afterAutospacing="0"/>
            </w:pPr>
            <w:r w:rsidRPr="00635353">
              <w:t>Facility Design and Advisory Team</w:t>
            </w:r>
          </w:p>
        </w:tc>
        <w:tc>
          <w:tcPr>
            <w:tcW w:w="4252" w:type="dxa"/>
          </w:tcPr>
          <w:p w14:paraId="0C0E1205" w14:textId="77777777" w:rsidR="00635353" w:rsidRPr="00635353" w:rsidRDefault="00635353" w:rsidP="00635353">
            <w:pPr>
              <w:spacing w:beforeAutospacing="0" w:after="80" w:afterAutospacing="0"/>
            </w:pPr>
            <w:r w:rsidRPr="00635353">
              <w:t>Initial draft.</w:t>
            </w:r>
          </w:p>
        </w:tc>
      </w:tr>
      <w:tr w:rsidR="00635353" w:rsidRPr="00635353" w14:paraId="45C54CD8" w14:textId="77777777" w:rsidTr="00635353">
        <w:trPr>
          <w:trHeight w:val="20"/>
        </w:trPr>
        <w:tc>
          <w:tcPr>
            <w:tcW w:w="1051" w:type="dxa"/>
          </w:tcPr>
          <w:p w14:paraId="382363BE" w14:textId="77777777" w:rsidR="00635353" w:rsidRPr="00635353" w:rsidRDefault="00635353" w:rsidP="00635353">
            <w:pPr>
              <w:spacing w:beforeAutospacing="0" w:after="80" w:afterAutospacing="0"/>
            </w:pPr>
            <w:r w:rsidRPr="00635353">
              <w:t>1.1</w:t>
            </w:r>
          </w:p>
        </w:tc>
        <w:tc>
          <w:tcPr>
            <w:tcW w:w="1921" w:type="dxa"/>
          </w:tcPr>
          <w:p w14:paraId="40B652B4" w14:textId="77777777" w:rsidR="00635353" w:rsidRPr="00635353" w:rsidRDefault="00635353" w:rsidP="00635353">
            <w:pPr>
              <w:spacing w:beforeAutospacing="0" w:after="80" w:afterAutospacing="0"/>
            </w:pPr>
            <w:r w:rsidRPr="00635353">
              <w:t>Feb 10, 2023</w:t>
            </w:r>
          </w:p>
        </w:tc>
        <w:tc>
          <w:tcPr>
            <w:tcW w:w="2410" w:type="dxa"/>
          </w:tcPr>
          <w:p w14:paraId="2D8FA5B3" w14:textId="77777777" w:rsidR="00635353" w:rsidRPr="00635353" w:rsidRDefault="00635353" w:rsidP="00635353">
            <w:pPr>
              <w:spacing w:beforeAutospacing="0" w:after="80" w:afterAutospacing="0"/>
            </w:pPr>
            <w:r w:rsidRPr="00635353">
              <w:t>Facility Design and Advisory Team</w:t>
            </w:r>
          </w:p>
        </w:tc>
        <w:tc>
          <w:tcPr>
            <w:tcW w:w="4252" w:type="dxa"/>
          </w:tcPr>
          <w:p w14:paraId="7AD4837D" w14:textId="77777777" w:rsidR="00635353" w:rsidRPr="00635353" w:rsidRDefault="00635353" w:rsidP="00635353">
            <w:pPr>
              <w:spacing w:beforeAutospacing="0" w:after="80" w:afterAutospacing="0"/>
            </w:pPr>
            <w:r w:rsidRPr="00635353">
              <w:t>Response to Working Group feedback.</w:t>
            </w:r>
          </w:p>
        </w:tc>
      </w:tr>
      <w:tr w:rsidR="00635353" w:rsidRPr="00635353" w14:paraId="27EA4B4C" w14:textId="77777777" w:rsidTr="00635353">
        <w:trPr>
          <w:trHeight w:val="20"/>
        </w:trPr>
        <w:tc>
          <w:tcPr>
            <w:tcW w:w="1051" w:type="dxa"/>
          </w:tcPr>
          <w:p w14:paraId="3D21CCD1" w14:textId="77777777" w:rsidR="00635353" w:rsidRPr="00635353" w:rsidRDefault="00635353" w:rsidP="00635353">
            <w:pPr>
              <w:spacing w:beforeAutospacing="0" w:after="80" w:afterAutospacing="0"/>
            </w:pPr>
            <w:r w:rsidRPr="00635353">
              <w:t>1.2</w:t>
            </w:r>
          </w:p>
        </w:tc>
        <w:tc>
          <w:tcPr>
            <w:tcW w:w="1921" w:type="dxa"/>
          </w:tcPr>
          <w:p w14:paraId="54BB394D" w14:textId="77777777" w:rsidR="00635353" w:rsidRPr="00635353" w:rsidRDefault="00635353" w:rsidP="00635353">
            <w:pPr>
              <w:spacing w:beforeAutospacing="0" w:after="80" w:afterAutospacing="0"/>
            </w:pPr>
            <w:r w:rsidRPr="00635353">
              <w:t>March 10, 2023</w:t>
            </w:r>
          </w:p>
        </w:tc>
        <w:tc>
          <w:tcPr>
            <w:tcW w:w="2410" w:type="dxa"/>
          </w:tcPr>
          <w:p w14:paraId="2D9234D6" w14:textId="77777777" w:rsidR="00635353" w:rsidRPr="00635353" w:rsidRDefault="00635353" w:rsidP="00635353">
            <w:pPr>
              <w:spacing w:beforeAutospacing="0" w:after="80" w:afterAutospacing="0"/>
            </w:pPr>
            <w:r w:rsidRPr="00635353">
              <w:t>Facility Design and Advisory Team</w:t>
            </w:r>
          </w:p>
        </w:tc>
        <w:tc>
          <w:tcPr>
            <w:tcW w:w="4252" w:type="dxa"/>
          </w:tcPr>
          <w:p w14:paraId="5D01C4DD" w14:textId="77777777" w:rsidR="00635353" w:rsidRPr="00635353" w:rsidRDefault="00635353" w:rsidP="00635353">
            <w:pPr>
              <w:spacing w:beforeAutospacing="0" w:after="80" w:afterAutospacing="0"/>
            </w:pPr>
            <w:r w:rsidRPr="00635353">
              <w:t>Response to consultation feedback.</w:t>
            </w:r>
          </w:p>
        </w:tc>
      </w:tr>
      <w:tr w:rsidR="00635353" w:rsidRPr="00635353" w14:paraId="0D7B07B6" w14:textId="77777777" w:rsidTr="00635353">
        <w:trPr>
          <w:trHeight w:val="20"/>
        </w:trPr>
        <w:tc>
          <w:tcPr>
            <w:tcW w:w="1051" w:type="dxa"/>
          </w:tcPr>
          <w:p w14:paraId="6257637F" w14:textId="77777777" w:rsidR="00635353" w:rsidRPr="00635353" w:rsidRDefault="00635353" w:rsidP="00635353">
            <w:pPr>
              <w:spacing w:beforeAutospacing="0" w:after="80" w:afterAutospacing="0"/>
            </w:pPr>
            <w:r w:rsidRPr="00635353">
              <w:t>1.3</w:t>
            </w:r>
          </w:p>
        </w:tc>
        <w:tc>
          <w:tcPr>
            <w:tcW w:w="1921" w:type="dxa"/>
          </w:tcPr>
          <w:p w14:paraId="4D90E484" w14:textId="77777777" w:rsidR="00635353" w:rsidRPr="00635353" w:rsidRDefault="00635353" w:rsidP="00635353">
            <w:pPr>
              <w:spacing w:beforeAutospacing="0" w:after="80" w:afterAutospacing="0"/>
            </w:pPr>
            <w:r w:rsidRPr="00635353">
              <w:t>March 24</w:t>
            </w:r>
          </w:p>
        </w:tc>
        <w:tc>
          <w:tcPr>
            <w:tcW w:w="2410" w:type="dxa"/>
          </w:tcPr>
          <w:p w14:paraId="4A9B6C93" w14:textId="77777777" w:rsidR="00635353" w:rsidRPr="00635353" w:rsidRDefault="00635353" w:rsidP="00635353">
            <w:pPr>
              <w:spacing w:beforeAutospacing="0" w:after="80" w:afterAutospacing="0"/>
            </w:pPr>
            <w:r w:rsidRPr="00635353">
              <w:t>Facility Design and Advisory Team</w:t>
            </w:r>
          </w:p>
        </w:tc>
        <w:tc>
          <w:tcPr>
            <w:tcW w:w="4252" w:type="dxa"/>
          </w:tcPr>
          <w:p w14:paraId="47A12E53" w14:textId="77777777" w:rsidR="00635353" w:rsidRPr="00635353" w:rsidRDefault="00635353" w:rsidP="00635353">
            <w:pPr>
              <w:spacing w:beforeAutospacing="0" w:after="80" w:afterAutospacing="0"/>
            </w:pPr>
            <w:r w:rsidRPr="00635353">
              <w:t>Response to Te Whatu Ora ELT feedback.</w:t>
            </w:r>
          </w:p>
        </w:tc>
      </w:tr>
      <w:tr w:rsidR="00910C7C" w:rsidRPr="00635353" w14:paraId="06FB2B7C" w14:textId="77777777" w:rsidTr="00635353">
        <w:trPr>
          <w:trHeight w:val="20"/>
        </w:trPr>
        <w:tc>
          <w:tcPr>
            <w:tcW w:w="1051" w:type="dxa"/>
          </w:tcPr>
          <w:p w14:paraId="7F9DB2B9" w14:textId="5A539885" w:rsidR="00910C7C" w:rsidRPr="00635353" w:rsidRDefault="00910C7C" w:rsidP="00635353">
            <w:pPr>
              <w:spacing w:after="80"/>
            </w:pPr>
            <w:r>
              <w:t>1.4</w:t>
            </w:r>
          </w:p>
        </w:tc>
        <w:tc>
          <w:tcPr>
            <w:tcW w:w="1921" w:type="dxa"/>
          </w:tcPr>
          <w:p w14:paraId="5FDE5C5D" w14:textId="1F4DE389" w:rsidR="00910C7C" w:rsidRPr="00635353" w:rsidRDefault="00EB02FE" w:rsidP="00635353">
            <w:pPr>
              <w:spacing w:after="80"/>
            </w:pPr>
            <w:r>
              <w:t>Septe</w:t>
            </w:r>
            <w:r w:rsidR="00F36E8A">
              <w:t xml:space="preserve">mber </w:t>
            </w:r>
            <w:r w:rsidR="00910C7C">
              <w:t>2025</w:t>
            </w:r>
          </w:p>
        </w:tc>
        <w:tc>
          <w:tcPr>
            <w:tcW w:w="2410" w:type="dxa"/>
          </w:tcPr>
          <w:p w14:paraId="708A510C" w14:textId="3B1F7596" w:rsidR="00910C7C" w:rsidRPr="00635353" w:rsidRDefault="00910C7C" w:rsidP="00635353">
            <w:pPr>
              <w:spacing w:after="80"/>
            </w:pPr>
            <w:r>
              <w:t xml:space="preserve">National </w:t>
            </w:r>
            <w:r w:rsidR="00E827BF">
              <w:t>F</w:t>
            </w:r>
            <w:r>
              <w:t>acility</w:t>
            </w:r>
            <w:r w:rsidR="00E827BF">
              <w:t xml:space="preserve"> Design Advisory and Assurance team</w:t>
            </w:r>
          </w:p>
        </w:tc>
        <w:tc>
          <w:tcPr>
            <w:tcW w:w="4252" w:type="dxa"/>
          </w:tcPr>
          <w:p w14:paraId="05541D78" w14:textId="37FE007C" w:rsidR="00910C7C" w:rsidRPr="00635353" w:rsidRDefault="00C66E56" w:rsidP="00635353">
            <w:pPr>
              <w:spacing w:after="80"/>
            </w:pPr>
            <w:r>
              <w:t>Health New Zealand</w:t>
            </w:r>
            <w:r w:rsidR="00922861">
              <w:t xml:space="preserve"> references and design assurance </w:t>
            </w:r>
            <w:r w:rsidR="00D75A37">
              <w:t>revision</w:t>
            </w:r>
            <w:r w:rsidR="0018599C">
              <w:t xml:space="preserve"> and general update</w:t>
            </w:r>
            <w:r w:rsidR="00D871D5">
              <w:t>.</w:t>
            </w:r>
          </w:p>
        </w:tc>
      </w:tr>
    </w:tbl>
    <w:p w14:paraId="3A946DCC" w14:textId="01856445" w:rsidR="00635353" w:rsidRDefault="00635353" w:rsidP="00635353"/>
    <w:p w14:paraId="75644AE8" w14:textId="77777777" w:rsidR="00635353" w:rsidRDefault="00635353">
      <w:pPr>
        <w:spacing w:before="0" w:after="160" w:line="259" w:lineRule="auto"/>
      </w:pPr>
      <w:r>
        <w:br w:type="page"/>
      </w:r>
    </w:p>
    <w:p w14:paraId="1D98947E" w14:textId="5543274B" w:rsidR="00635353" w:rsidRDefault="00635353" w:rsidP="00635353">
      <w:pPr>
        <w:pStyle w:val="NumberedHeading1"/>
      </w:pPr>
      <w:bookmarkStart w:id="5" w:name="_Toc207271526"/>
      <w:bookmarkStart w:id="6" w:name="_Toc210288790"/>
      <w:r>
        <w:lastRenderedPageBreak/>
        <w:t>Objectives</w:t>
      </w:r>
      <w:bookmarkEnd w:id="5"/>
      <w:bookmarkEnd w:id="6"/>
    </w:p>
    <w:p w14:paraId="1AC5C446" w14:textId="13B86559" w:rsidR="00635353" w:rsidRDefault="00635353" w:rsidP="00635353">
      <w:r>
        <w:t xml:space="preserve">Design guidance and assurance processes help </w:t>
      </w:r>
      <w:r w:rsidR="00F334AD">
        <w:t>H</w:t>
      </w:r>
      <w:r w:rsidR="008C6BB3">
        <w:t xml:space="preserve">ealth </w:t>
      </w:r>
      <w:r w:rsidR="00F334AD">
        <w:t>N</w:t>
      </w:r>
      <w:r w:rsidR="00322E97">
        <w:t xml:space="preserve">ew </w:t>
      </w:r>
      <w:r w:rsidR="00F334AD">
        <w:t>Z</w:t>
      </w:r>
      <w:r w:rsidR="00322E97">
        <w:t>eal</w:t>
      </w:r>
      <w:r w:rsidR="00C66E56">
        <w:t>and</w:t>
      </w:r>
      <w:r w:rsidR="00F334AD">
        <w:t xml:space="preserve"> | </w:t>
      </w:r>
      <w:r>
        <w:t xml:space="preserve">Te Whatu Ora deliver consistent, fit-for-purpose health facilities across </w:t>
      </w:r>
      <w:r w:rsidR="005A537D">
        <w:t>New Zealand</w:t>
      </w:r>
      <w:r w:rsidR="006B1FC2">
        <w:t xml:space="preserve"> | Aotearoa</w:t>
      </w:r>
      <w:r>
        <w:t xml:space="preserve">. Providing guidance helps design teams to develop facilities that not only deliver on functionality and affordability </w:t>
      </w:r>
      <w:r w:rsidR="73FEDD85">
        <w:t>expectations but</w:t>
      </w:r>
      <w:r>
        <w:t xml:space="preserve"> increasingly sets out pathways for </w:t>
      </w:r>
      <w:r w:rsidR="00E979E0">
        <w:t xml:space="preserve">Health NZ | Te Whatu Ora </w:t>
      </w:r>
      <w:r>
        <w:t xml:space="preserve">facilities to support health equity </w:t>
      </w:r>
      <w:r w:rsidR="00C66E56">
        <w:t>outcomes and</w:t>
      </w:r>
      <w:r>
        <w:t xml:space="preserve"> reflect te Ao </w:t>
      </w:r>
      <w:r w:rsidR="00F83486">
        <w:t>Māori</w:t>
      </w:r>
      <w:r>
        <w:t xml:space="preserve"> priorities in health infrastructure.</w:t>
      </w:r>
    </w:p>
    <w:p w14:paraId="30077CCF" w14:textId="61B8DB1E" w:rsidR="00635353" w:rsidRDefault="00635353" w:rsidP="00635353">
      <w:r>
        <w:t xml:space="preserve">Improved design assurance processes will provide early feedback for project teams, building confidence that project funding is meeting </w:t>
      </w:r>
      <w:r w:rsidR="0066744A">
        <w:t xml:space="preserve">functional, </w:t>
      </w:r>
      <w:r>
        <w:t>operational and strategic goals, and reducing the risk of project delays and cost overruns. By setting out clear design expectations and standardised solutions, where project teams are supported through assurance processes, we expect faster and more efficient design processes, with reduced risk during delivery phases.</w:t>
      </w:r>
    </w:p>
    <w:p w14:paraId="2A4BE0B3" w14:textId="17F03464" w:rsidR="00635353" w:rsidRDefault="00635353" w:rsidP="00635353">
      <w:r>
        <w:t xml:space="preserve">The guidance is based on research and broad consultation and tested through decades of application in trans-Tasman projects. Establishing formal consultation processes will give consumers and industry an opportunity to contribute to design guidance and assurance processes, that suit the </w:t>
      </w:r>
      <w:r w:rsidR="00B84075">
        <w:t xml:space="preserve">New Zealand | Aotearoa </w:t>
      </w:r>
      <w:r>
        <w:t xml:space="preserve">context. Feedback processes that value the voice of consumers will inform guidance for when we plan and design health </w:t>
      </w:r>
      <w:r w:rsidR="7919D167">
        <w:t>services and</w:t>
      </w:r>
      <w:r>
        <w:t xml:space="preserve"> will ensure that we have mechanisms in place to be held to account.</w:t>
      </w:r>
    </w:p>
    <w:p w14:paraId="3BF80227" w14:textId="77777777" w:rsidR="00635353" w:rsidRDefault="00635353" w:rsidP="00635353">
      <w:r>
        <w:t>Health facility design processes will still require professionals to weave together inputs from:</w:t>
      </w:r>
    </w:p>
    <w:p w14:paraId="347764D1" w14:textId="7F775E6B" w:rsidR="00635353" w:rsidRDefault="00635353" w:rsidP="00635353">
      <w:pPr>
        <w:pStyle w:val="ListBullet"/>
      </w:pPr>
      <w:r>
        <w:t>clinical service plans (local and regional)</w:t>
      </w:r>
    </w:p>
    <w:p w14:paraId="636366D0" w14:textId="1CFC479D" w:rsidR="00635353" w:rsidRDefault="00635353" w:rsidP="00635353">
      <w:pPr>
        <w:pStyle w:val="ListBullet"/>
      </w:pPr>
      <w:r>
        <w:t>models of care</w:t>
      </w:r>
    </w:p>
    <w:p w14:paraId="776C1EF0" w14:textId="534A656D" w:rsidR="00635353" w:rsidRDefault="00635353" w:rsidP="00635353">
      <w:pPr>
        <w:pStyle w:val="ListBullet"/>
      </w:pPr>
      <w:r>
        <w:t>regulations</w:t>
      </w:r>
    </w:p>
    <w:p w14:paraId="09EBD42D" w14:textId="082384F8" w:rsidR="00635353" w:rsidRDefault="00635353" w:rsidP="00635353">
      <w:pPr>
        <w:pStyle w:val="ListBullet"/>
      </w:pPr>
      <w:r>
        <w:t>site specific requirements (</w:t>
      </w:r>
      <w:r w:rsidR="00F83486">
        <w:t>e.g.</w:t>
      </w:r>
      <w:r>
        <w:t xml:space="preserve"> building condition)</w:t>
      </w:r>
    </w:p>
    <w:p w14:paraId="373786E8" w14:textId="46A2E946" w:rsidR="00635353" w:rsidRDefault="00635353" w:rsidP="00635353">
      <w:pPr>
        <w:pStyle w:val="ListBullet"/>
      </w:pPr>
      <w:r>
        <w:t xml:space="preserve">territorial authority’s District Plans, and </w:t>
      </w:r>
    </w:p>
    <w:p w14:paraId="683F53D6" w14:textId="7D07CD9F" w:rsidR="00635353" w:rsidRDefault="00635353" w:rsidP="00635353">
      <w:pPr>
        <w:pStyle w:val="ListBullet"/>
      </w:pPr>
      <w:r>
        <w:t>consultation with key stakeholders such as user groups, tangata whenua, clinicians, staff, data and digital teams and territorial authorities.</w:t>
      </w:r>
    </w:p>
    <w:p w14:paraId="42535B5E" w14:textId="01C843E6" w:rsidR="00635353" w:rsidRDefault="00635353" w:rsidP="00635353">
      <w:r>
        <w:t xml:space="preserve">Design guidance sets out what </w:t>
      </w:r>
      <w:r w:rsidR="00E44E69">
        <w:t>H</w:t>
      </w:r>
      <w:r w:rsidR="00FD4CD4">
        <w:t xml:space="preserve">ealth New </w:t>
      </w:r>
      <w:r w:rsidR="00E44E69">
        <w:t>Zealand</w:t>
      </w:r>
      <w:r w:rsidR="00FD4CD4">
        <w:t xml:space="preserve"> |</w:t>
      </w:r>
      <w:r>
        <w:t xml:space="preserve">Te Whatu Ora expects from designers. Assurance processes test alignment to the guidance, to ensure that health infrastructure expenditure will deliver on </w:t>
      </w:r>
      <w:r w:rsidR="00E44E69">
        <w:t xml:space="preserve">expected </w:t>
      </w:r>
      <w:r>
        <w:t>health outcomes.</w:t>
      </w:r>
    </w:p>
    <w:p w14:paraId="4FD62C0B" w14:textId="6C75FE50" w:rsidR="00635353" w:rsidRDefault="00E642C4" w:rsidP="00635353">
      <w:pPr>
        <w:pStyle w:val="NumberedHeading1"/>
      </w:pPr>
      <w:bookmarkStart w:id="7" w:name="_Toc210288791"/>
      <w:r>
        <w:t>S</w:t>
      </w:r>
      <w:r w:rsidR="00635353">
        <w:t>cope</w:t>
      </w:r>
      <w:bookmarkEnd w:id="7"/>
    </w:p>
    <w:p w14:paraId="1F2FBB15" w14:textId="77777777" w:rsidR="00635353" w:rsidRDefault="00635353" w:rsidP="00635353">
      <w:r>
        <w:t>Design guidance and assurance processes won’t replace professional services such as engineering and architectural services, and it won’t replace regulations such as the New Zealand Building Code.</w:t>
      </w:r>
    </w:p>
    <w:p w14:paraId="0528DC30" w14:textId="7516B13F" w:rsidR="00635353" w:rsidRDefault="00635353" w:rsidP="00635353">
      <w:r>
        <w:lastRenderedPageBreak/>
        <w:t xml:space="preserve">While design guidance is freely available for designers to use for any health care facilities, </w:t>
      </w:r>
      <w:r w:rsidR="00E979E0">
        <w:t>Health N</w:t>
      </w:r>
      <w:r w:rsidR="00C66E56">
        <w:t xml:space="preserve">ew </w:t>
      </w:r>
      <w:r w:rsidR="00E979E0">
        <w:t>Z</w:t>
      </w:r>
      <w:r w:rsidR="00C66E56">
        <w:t>ealand</w:t>
      </w:r>
      <w:r w:rsidR="00E979E0">
        <w:t xml:space="preserve"> | Te Whatu Ora </w:t>
      </w:r>
      <w:r>
        <w:t>assurance processes don’t apply to:</w:t>
      </w:r>
    </w:p>
    <w:p w14:paraId="0B93E2D3" w14:textId="079FA7F0" w:rsidR="00635353" w:rsidRDefault="00635353" w:rsidP="00635353">
      <w:pPr>
        <w:pStyle w:val="ListBullet"/>
      </w:pPr>
      <w:r>
        <w:t>private health facilities</w:t>
      </w:r>
    </w:p>
    <w:p w14:paraId="437173C5" w14:textId="2B500E6D" w:rsidR="00635353" w:rsidRDefault="00635353" w:rsidP="00635353">
      <w:pPr>
        <w:pStyle w:val="ListBullet"/>
      </w:pPr>
      <w:r>
        <w:t>non-government aged care facilities</w:t>
      </w:r>
    </w:p>
    <w:p w14:paraId="72733277" w14:textId="584466F6" w:rsidR="00635353" w:rsidRDefault="00635353" w:rsidP="00635353">
      <w:pPr>
        <w:pStyle w:val="ListBullet"/>
      </w:pPr>
      <w:r>
        <w:t>private medical practitioners and associated consulting rooms</w:t>
      </w:r>
    </w:p>
    <w:p w14:paraId="486400A2" w14:textId="463EBDAF" w:rsidR="00635353" w:rsidRDefault="00635353" w:rsidP="00635353">
      <w:pPr>
        <w:pStyle w:val="ListBullet"/>
      </w:pPr>
      <w:r>
        <w:t>pharmacies (retail and stand-alone)</w:t>
      </w:r>
    </w:p>
    <w:p w14:paraId="3F791501" w14:textId="3E1D6083" w:rsidR="00635353" w:rsidRDefault="00635353" w:rsidP="00635353">
      <w:pPr>
        <w:pStyle w:val="ListBullet"/>
      </w:pPr>
      <w:r>
        <w:t xml:space="preserve">support residential facilities </w:t>
      </w:r>
    </w:p>
    <w:p w14:paraId="23278C26" w14:textId="5C3666FA" w:rsidR="00635353" w:rsidRDefault="00635353" w:rsidP="00635353">
      <w:pPr>
        <w:pStyle w:val="ListBullet"/>
      </w:pPr>
      <w:r>
        <w:t>residential housing</w:t>
      </w:r>
    </w:p>
    <w:p w14:paraId="508F8BE7" w14:textId="6640817C" w:rsidR="00635353" w:rsidRDefault="00635353" w:rsidP="00635353">
      <w:r>
        <w:t xml:space="preserve">Low risk public health projects should comply with </w:t>
      </w:r>
      <w:r w:rsidR="00C92A79">
        <w:t>guidance,</w:t>
      </w:r>
      <w:r w:rsidR="00A527BE" w:rsidRPr="001226C6">
        <w:rPr>
          <w:color w:val="000000" w:themeColor="text1"/>
        </w:rPr>
        <w:t xml:space="preserve"> </w:t>
      </w:r>
      <w:r>
        <w:t>but project teams and/or facilities and maintenance teams can monitor alignment (rather than the</w:t>
      </w:r>
      <w:r w:rsidR="003A579D">
        <w:t xml:space="preserve"> National</w:t>
      </w:r>
      <w:r>
        <w:t xml:space="preserve"> Facility and Design Advisory</w:t>
      </w:r>
      <w:r w:rsidR="003A579D">
        <w:t xml:space="preserve"> and Assurance</w:t>
      </w:r>
      <w:r>
        <w:t xml:space="preserve"> team).</w:t>
      </w:r>
    </w:p>
    <w:p w14:paraId="21A9E488" w14:textId="0DB0E7FC" w:rsidR="00635353" w:rsidRDefault="00635353">
      <w:pPr>
        <w:spacing w:before="0" w:after="160" w:line="259" w:lineRule="auto"/>
      </w:pPr>
      <w:r>
        <w:br w:type="page"/>
      </w:r>
    </w:p>
    <w:p w14:paraId="56C07953" w14:textId="08495ED1" w:rsidR="00635353" w:rsidRDefault="00635353" w:rsidP="00635353">
      <w:pPr>
        <w:pStyle w:val="NumberedHeading1"/>
      </w:pPr>
      <w:bookmarkStart w:id="8" w:name="_Toc210288792"/>
      <w:r>
        <w:lastRenderedPageBreak/>
        <w:t>Context</w:t>
      </w:r>
      <w:bookmarkEnd w:id="8"/>
    </w:p>
    <w:p w14:paraId="5CCF6FE0" w14:textId="10999FF0" w:rsidR="00635353" w:rsidRDefault="00635353" w:rsidP="00635353">
      <w:r>
        <w:t xml:space="preserve">This is one of </w:t>
      </w:r>
      <w:proofErr w:type="gramStart"/>
      <w:r>
        <w:t>a number of</w:t>
      </w:r>
      <w:proofErr w:type="gramEnd"/>
      <w:r>
        <w:t xml:space="preserve"> infrastructure frameworks be</w:t>
      </w:r>
      <w:r w:rsidR="42DE480F">
        <w:t>ing</w:t>
      </w:r>
      <w:r>
        <w:t xml:space="preserve"> developed, as </w:t>
      </w:r>
      <w:r w:rsidR="00C66E56">
        <w:t>Health New Zealand</w:t>
      </w:r>
      <w:r w:rsidR="00E979E0">
        <w:t xml:space="preserve"> | Te Whatu Ora </w:t>
      </w:r>
      <w:r>
        <w:t xml:space="preserve">establish a nationally led view of infrastructure investment. This framework should be used in conjunction with other infrastructure frameworks, as they are finalised.  </w:t>
      </w:r>
    </w:p>
    <w:p w14:paraId="4AC853D1" w14:textId="17A7C449" w:rsidR="00635353" w:rsidRDefault="00635353" w:rsidP="00635353">
      <w:r>
        <w:t>Where the frameworks potentially overlap (</w:t>
      </w:r>
      <w:r w:rsidR="00F83486">
        <w:t>e.g.</w:t>
      </w:r>
      <w:r>
        <w:t xml:space="preserve"> with digital infrastructure development), the infrastructure and investment teams involved will collaborate to ensure that guidance is coordinated and led by the appropriate team.</w:t>
      </w:r>
    </w:p>
    <w:p w14:paraId="50D43EA6" w14:textId="19EA17F8" w:rsidR="00635353" w:rsidRDefault="00635353" w:rsidP="00635353">
      <w:r>
        <w:rPr>
          <w:noProof/>
        </w:rPr>
        <w:drawing>
          <wp:inline distT="0" distB="0" distL="0" distR="0" wp14:anchorId="44A64079" wp14:editId="74ED5B31">
            <wp:extent cx="6429375" cy="1816735"/>
            <wp:effectExtent l="38100" t="0" r="85725" b="12065"/>
            <wp:docPr id="1987332186" name="Diagram 19873321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3249582" w14:textId="4CC831C9" w:rsidR="00635353" w:rsidRDefault="00635353" w:rsidP="00635353">
      <w:r>
        <w:t>As we come together as national agencies</w:t>
      </w:r>
      <w:r w:rsidR="00F41D39">
        <w:t>,</w:t>
      </w:r>
      <w:r>
        <w:t xml:space="preserve"> there is an opportunity to share resources like facility design expertise. The design and assurance framework will establish mechanisms to gather and communicate the wealth of facility design expertise that exists across </w:t>
      </w:r>
      <w:r w:rsidR="00B84075">
        <w:t xml:space="preserve">New Zealand | Aotearoa </w:t>
      </w:r>
      <w:r>
        <w:t>so that designers have easy access to tried and tested design solutions.</w:t>
      </w:r>
    </w:p>
    <w:p w14:paraId="3D887A0A" w14:textId="77777777" w:rsidR="00635353" w:rsidRDefault="00635353" w:rsidP="00635353">
      <w:r>
        <w:t>A consistent, national approach will improve our ability to deliver high quality healthcare facilities, affordably. Agreeing on a national approach will improve equity outcomes, where, over time, patients and their whānau can expect the same quality healthcare facilities, no matter where they live.</w:t>
      </w:r>
    </w:p>
    <w:p w14:paraId="6861025B" w14:textId="37BE94FF" w:rsidR="00635353" w:rsidRDefault="00635353" w:rsidP="00635353">
      <w:r>
        <w:t>Developing a standardised response (to improve efficiency and reduce risk) won’t prevent design teams from responding to local voices and local conditions. While striving to support consistent, affordable, high-quality facilities, the framework will also build channels to hear, and respond to, the voices of patients and their whānau, clinicians, tangata whenua and local communities.</w:t>
      </w:r>
    </w:p>
    <w:p w14:paraId="2F6BB669" w14:textId="52419D34" w:rsidR="00635353" w:rsidRDefault="00635353">
      <w:pPr>
        <w:spacing w:before="0" w:after="160" w:line="259" w:lineRule="auto"/>
      </w:pPr>
      <w:r>
        <w:br w:type="page"/>
      </w:r>
    </w:p>
    <w:p w14:paraId="3A38C389" w14:textId="1E9D5AF2" w:rsidR="00635353" w:rsidRDefault="00635353" w:rsidP="00635353">
      <w:pPr>
        <w:pStyle w:val="NumberedHeading1"/>
      </w:pPr>
      <w:bookmarkStart w:id="9" w:name="_Toc210288793"/>
      <w:r>
        <w:lastRenderedPageBreak/>
        <w:t>Benefits</w:t>
      </w:r>
      <w:bookmarkEnd w:id="9"/>
    </w:p>
    <w:p w14:paraId="59D6C38F" w14:textId="3C887FEE" w:rsidR="00635353" w:rsidRDefault="00635353" w:rsidP="00635353">
      <w:r>
        <w:t xml:space="preserve">Providing health facility design guidance, supported with collaborative assurance processes, ensures that projects not only meet </w:t>
      </w:r>
      <w:r w:rsidR="00C66E56">
        <w:t>Health New Zealand</w:t>
      </w:r>
      <w:r w:rsidR="00E979E0">
        <w:t xml:space="preserve"> | Te Whatu Ora </w:t>
      </w:r>
      <w:r>
        <w:t xml:space="preserve">strategic health objectives, but also cost and quality standards. </w:t>
      </w:r>
    </w:p>
    <w:p w14:paraId="1F192E13" w14:textId="5C2E510C" w:rsidR="00635353" w:rsidRDefault="00635353" w:rsidP="00635353">
      <w:r>
        <w:t xml:space="preserve">Guidance and assurance processes are designed to provide </w:t>
      </w:r>
      <w:r w:rsidR="31389E38">
        <w:t>effec</w:t>
      </w:r>
      <w:r>
        <w:t>t</w:t>
      </w:r>
      <w:r w:rsidR="24548784">
        <w:t>ive</w:t>
      </w:r>
      <w:r>
        <w:t xml:space="preserve"> support early in a project life (master planning/test of fit, concept plan, and preliminary design), so that project teams can build on best practice, and identify </w:t>
      </w:r>
      <w:r w:rsidR="277AD775">
        <w:t>roadblocks</w:t>
      </w:r>
      <w:r>
        <w:t xml:space="preserve"> and cost considerations as early as possible.  Assurance processes (</w:t>
      </w:r>
      <w:r w:rsidRPr="00626C7A">
        <w:t xml:space="preserve">to check against </w:t>
      </w:r>
      <w:r w:rsidR="006F0FD4" w:rsidRPr="00626C7A">
        <w:t>guidance</w:t>
      </w:r>
      <w:r>
        <w:t>) early in the design process reduce the risk of rework, or poor alignment with functional or strategic outcomes.</w:t>
      </w:r>
    </w:p>
    <w:p w14:paraId="240962AD" w14:textId="283520CA" w:rsidR="00635353" w:rsidRDefault="00635353" w:rsidP="00635353">
      <w:r>
        <w:t>Clear design guidance, with transparent assurance processes, will give project teams</w:t>
      </w:r>
      <w:r w:rsidR="001145DF">
        <w:t xml:space="preserve"> and governance</w:t>
      </w:r>
      <w:r>
        <w:t xml:space="preserve"> </w:t>
      </w:r>
      <w:r w:rsidR="15DE722D">
        <w:t xml:space="preserve">groups </w:t>
      </w:r>
      <w:r>
        <w:t xml:space="preserve">certainty and confidence at each stage of the design. The guidance and assurance processes </w:t>
      </w:r>
      <w:r w:rsidR="00767A62">
        <w:t>also</w:t>
      </w:r>
      <w:r>
        <w:t xml:space="preserve"> </w:t>
      </w:r>
      <w:r w:rsidR="00A35BED">
        <w:t>ensure</w:t>
      </w:r>
      <w:r>
        <w:t xml:space="preserve"> that the right technical assessments (</w:t>
      </w:r>
      <w:r w:rsidR="00F83486">
        <w:t>e.g.</w:t>
      </w:r>
      <w:r>
        <w:t xml:space="preserve"> geotechnical site analysis) are carried out, before committing to more extensive design processes. </w:t>
      </w:r>
    </w:p>
    <w:p w14:paraId="171B3D2C" w14:textId="0FEA5213" w:rsidR="00635353" w:rsidRDefault="00635353" w:rsidP="00635353">
      <w:r>
        <w:t xml:space="preserve">While the design guidance and assurance processes are mainly developed to improve new-build outcomes, the guidance is relevant for staff managing existing healthcare facilities. It covers important </w:t>
      </w:r>
      <w:r w:rsidR="00555D40">
        <w:t xml:space="preserve">standardised </w:t>
      </w:r>
      <w:r>
        <w:t>features such as door widths for access and security, ceiling finishes for infection prevention and control, and specialised plumbing specifications in renal facilities</w:t>
      </w:r>
      <w:r w:rsidR="00555D40">
        <w:t xml:space="preserve"> for example</w:t>
      </w:r>
      <w:r w:rsidR="00A61E5D">
        <w:t>.</w:t>
      </w:r>
    </w:p>
    <w:p w14:paraId="0B068EEA" w14:textId="77777777" w:rsidR="00635353" w:rsidRDefault="00635353" w:rsidP="00635353">
      <w:r>
        <w:t xml:space="preserve">Design guidance and assurance can also optimise future use of the health estate. Master planning guidance ensures that project teams respond to a holistic, long-term plan for organising facilities at each hospital campus. Master planning is a key (and complex) design decision-making process in health facilities, where capital decisions can have long-term impacts on functional outcomes and operating costs. For example, a site with </w:t>
      </w:r>
      <w:proofErr w:type="gramStart"/>
      <w:r>
        <w:t>a large number of</w:t>
      </w:r>
      <w:proofErr w:type="gramEnd"/>
      <w:r>
        <w:t xml:space="preserve"> dispersed small buildings will be more expensive to heat, clean and keep secure, and harder for staff, patients and their whānau to navigate, particularly where accessibility is an issue. </w:t>
      </w:r>
    </w:p>
    <w:p w14:paraId="15A556E4" w14:textId="308B6AB7" w:rsidR="00635353" w:rsidRDefault="00635353" w:rsidP="00635353">
      <w:r>
        <w:t xml:space="preserve">In conjunction with asset management information, and </w:t>
      </w:r>
      <w:r w:rsidR="00CB3C0F">
        <w:t>health</w:t>
      </w:r>
      <w:r>
        <w:t xml:space="preserve"> service plan</w:t>
      </w:r>
      <w:r w:rsidR="00CB3C0F">
        <w:t>ning</w:t>
      </w:r>
      <w:r>
        <w:t xml:space="preserve">, effective master plans can provide the foundation for long term investment planning. Setting out the master plan standards will ensure that there is a nationally consistent approach, that draws on international and industry best </w:t>
      </w:r>
      <w:r w:rsidR="2C895FE4">
        <w:t>practice. (</w:t>
      </w:r>
      <w:r w:rsidR="00B55A13">
        <w:t>See</w:t>
      </w:r>
      <w:r w:rsidR="000C2D7E">
        <w:t xml:space="preserve"> Health New </w:t>
      </w:r>
      <w:r w:rsidR="00BC3EAC">
        <w:t>Zealand</w:t>
      </w:r>
      <w:r w:rsidR="000C2D7E">
        <w:t xml:space="preserve"> </w:t>
      </w:r>
      <w:r w:rsidR="00D240CC">
        <w:t xml:space="preserve">| Te Whatu Ora </w:t>
      </w:r>
      <w:r w:rsidR="00937D1C">
        <w:t>M</w:t>
      </w:r>
      <w:r w:rsidR="000C2D7E">
        <w:t xml:space="preserve">aster </w:t>
      </w:r>
      <w:r w:rsidR="00937D1C">
        <w:t>P</w:t>
      </w:r>
      <w:r w:rsidR="000C2D7E">
        <w:t xml:space="preserve">lanning </w:t>
      </w:r>
      <w:r w:rsidR="00937D1C">
        <w:t>G</w:t>
      </w:r>
      <w:r w:rsidR="000C2D7E">
        <w:t>uidance document</w:t>
      </w:r>
      <w:r>
        <w:t xml:space="preserve"> </w:t>
      </w:r>
      <w:hyperlink r:id="rId25">
        <w:r w:rsidR="00A65594" w:rsidRPr="3E31F167">
          <w:rPr>
            <w:color w:val="0000FF"/>
            <w:u w:val="single"/>
          </w:rPr>
          <w:t>Masterplanning-guidance-FINAL-1-1.docx</w:t>
        </w:r>
      </w:hyperlink>
      <w:r w:rsidR="00BC3EAC">
        <w:t xml:space="preserve"> )</w:t>
      </w:r>
    </w:p>
    <w:p w14:paraId="7FABCFE5" w14:textId="03031EEE" w:rsidR="00635353" w:rsidRDefault="44E5541F" w:rsidP="00635353">
      <w:r>
        <w:t>Improved design guidance supported by robust assurance processes will deliver consistent, value-for-money facilities. Consistent design outcomes will support a range of benefits for key stakeholder groups, as shown in the diagram below.</w:t>
      </w:r>
    </w:p>
    <w:p w14:paraId="36FDD64B" w14:textId="409BBA93" w:rsidR="00635353" w:rsidRPr="00A53AE4" w:rsidRDefault="00AD2F74" w:rsidP="1EDB34DE">
      <w:r>
        <w:rPr>
          <w:noProof/>
        </w:rPr>
        <w:lastRenderedPageBreak/>
        <w:drawing>
          <wp:inline distT="0" distB="0" distL="0" distR="0" wp14:anchorId="31515E7D" wp14:editId="415423A5">
            <wp:extent cx="6106377" cy="3620005"/>
            <wp:effectExtent l="0" t="0" r="8890" b="0"/>
            <wp:docPr id="711005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005106" name="Picture 711005106"/>
                    <pic:cNvPicPr/>
                  </pic:nvPicPr>
                  <pic:blipFill>
                    <a:blip r:embed="rId26">
                      <a:extLst>
                        <a:ext uri="{28A0092B-C50C-407E-A947-70E740481C1C}">
                          <a14:useLocalDpi xmlns:a14="http://schemas.microsoft.com/office/drawing/2010/main" val="0"/>
                        </a:ext>
                      </a:extLst>
                    </a:blip>
                    <a:stretch>
                      <a:fillRect/>
                    </a:stretch>
                  </pic:blipFill>
                  <pic:spPr>
                    <a:xfrm>
                      <a:off x="0" y="0"/>
                      <a:ext cx="6106377" cy="3620005"/>
                    </a:xfrm>
                    <a:prstGeom prst="rect">
                      <a:avLst/>
                    </a:prstGeom>
                  </pic:spPr>
                </pic:pic>
              </a:graphicData>
            </a:graphic>
          </wp:inline>
        </w:drawing>
      </w:r>
    </w:p>
    <w:p w14:paraId="6FFCB30A" w14:textId="4AD6E6B4" w:rsidR="00635353" w:rsidRDefault="00635353" w:rsidP="00635353">
      <w:r>
        <w:t>Guidance and assurance will be developed and updated through a process of continuous improvement, with clinicians, patients and their whānau, tangata whenua and local communities feeding back into design guidance through established channels</w:t>
      </w:r>
      <w:r w:rsidR="00E762B8">
        <w:t>;</w:t>
      </w:r>
      <w:r>
        <w:t xml:space="preserve"> ensuring that lived experience informs guidance is a priority. This will support facility designs that continue to evolve to meet the changing health needs of our communities.</w:t>
      </w:r>
    </w:p>
    <w:p w14:paraId="6778D193" w14:textId="08CBB317" w:rsidR="00635353" w:rsidRDefault="00635353">
      <w:pPr>
        <w:spacing w:before="0" w:after="160" w:line="259" w:lineRule="auto"/>
      </w:pPr>
      <w:r>
        <w:br w:type="page"/>
      </w:r>
    </w:p>
    <w:p w14:paraId="3D83BA56" w14:textId="77777777" w:rsidR="000848E5" w:rsidRDefault="00635353" w:rsidP="00635353">
      <w:pPr>
        <w:pStyle w:val="NumberedHeading1"/>
      </w:pPr>
      <w:bookmarkStart w:id="10" w:name="_Toc210288794"/>
      <w:r>
        <w:lastRenderedPageBreak/>
        <w:t>Design Guidance</w:t>
      </w:r>
      <w:bookmarkEnd w:id="10"/>
      <w:r>
        <w:t xml:space="preserve"> </w:t>
      </w:r>
    </w:p>
    <w:p w14:paraId="09A21C33" w14:textId="223A9C1D" w:rsidR="00635353" w:rsidRDefault="00635353" w:rsidP="000848E5">
      <w:pPr>
        <w:pStyle w:val="NumberedHeading2"/>
      </w:pPr>
      <w:bookmarkStart w:id="11" w:name="_Toc210288795"/>
      <w:r>
        <w:t>Introduction</w:t>
      </w:r>
      <w:bookmarkEnd w:id="11"/>
    </w:p>
    <w:p w14:paraId="25EB0339" w14:textId="547A242D" w:rsidR="00635353" w:rsidRDefault="00635353" w:rsidP="00635353">
      <w:r>
        <w:t xml:space="preserve">This Framework establishes design guidance as the basis for public health facility project briefs in </w:t>
      </w:r>
      <w:r w:rsidR="00DC74B3">
        <w:t>New Zealand | Aotearoa.</w:t>
      </w:r>
    </w:p>
    <w:p w14:paraId="43E774BA" w14:textId="134CC9EC" w:rsidR="00635353" w:rsidRDefault="00635353" w:rsidP="00635353">
      <w:r>
        <w:t xml:space="preserve">Providing design guidance early in a project enables designers, contractors, project managers and funders to deliver an effective result, quickly and consistently. For example, national design guidance centralises and front loads consultation processes, saving time on projects. Frontloading the consultation will ensure that consistent, tested designs can be developed efficiently (drawing on expertise from across </w:t>
      </w:r>
      <w:r w:rsidR="00C66E56">
        <w:t>Health New Zealand</w:t>
      </w:r>
      <w:r w:rsidR="00E979E0">
        <w:t xml:space="preserve"> | Te Whatu Ora</w:t>
      </w:r>
      <w:r w:rsidR="00AB3AE5">
        <w:t>,</w:t>
      </w:r>
      <w:r w:rsidR="00E979E0">
        <w:t xml:space="preserve"> </w:t>
      </w:r>
      <w:r>
        <w:t>tangata whenua, clinicians</w:t>
      </w:r>
      <w:r w:rsidR="00000EF2">
        <w:t>, property teams</w:t>
      </w:r>
      <w:r>
        <w:t xml:space="preserve"> and other key stakeholders reviewing and contributing to projects through normal project consultation processes. </w:t>
      </w:r>
    </w:p>
    <w:p w14:paraId="2175E74D" w14:textId="77777777" w:rsidR="00635353" w:rsidRDefault="00635353" w:rsidP="00635353">
      <w:r>
        <w:t>Additional benefits of guidance include:</w:t>
      </w:r>
    </w:p>
    <w:p w14:paraId="433745BF" w14:textId="3C68D544" w:rsidR="00635353" w:rsidRDefault="00635353" w:rsidP="00635353">
      <w:pPr>
        <w:pStyle w:val="ListBullet"/>
      </w:pPr>
      <w:r>
        <w:t>setting out key project parameters (floor area, adjacencies, finishes, etc) giving a good idea of project costs and viability, early in a project; and</w:t>
      </w:r>
    </w:p>
    <w:p w14:paraId="3A7B82E2" w14:textId="18E92F12" w:rsidR="00635353" w:rsidRDefault="00635353" w:rsidP="00635353">
      <w:pPr>
        <w:pStyle w:val="ListBullet"/>
      </w:pPr>
      <w:r>
        <w:t>supporting strategic, long-term use of the health estate by guiding effective master planning.</w:t>
      </w:r>
    </w:p>
    <w:p w14:paraId="2F58F16B" w14:textId="77777777" w:rsidR="00635353" w:rsidRDefault="00635353" w:rsidP="00635353">
      <w:r>
        <w:t>There are two parts to the design guidance:</w:t>
      </w:r>
    </w:p>
    <w:p w14:paraId="02325D22" w14:textId="44BF9770" w:rsidR="00635353" w:rsidRDefault="00635353" w:rsidP="00635353">
      <w:pPr>
        <w:pStyle w:val="ListNumber"/>
      </w:pPr>
      <w:r>
        <w:t>Australasian Health Facility Guidelines (AusHFG), which is augmented by</w:t>
      </w:r>
    </w:p>
    <w:p w14:paraId="612B8ADC" w14:textId="05216B9F" w:rsidR="00635353" w:rsidRDefault="00635353" w:rsidP="00635353">
      <w:pPr>
        <w:pStyle w:val="ListNumber"/>
      </w:pPr>
      <w:r>
        <w:t>New Zealand specific design guidance.</w:t>
      </w:r>
    </w:p>
    <w:p w14:paraId="5E7B0BE3" w14:textId="3F43D78C" w:rsidR="00635353" w:rsidRDefault="00635353" w:rsidP="00635353">
      <w:r>
        <w:t xml:space="preserve">All </w:t>
      </w:r>
      <w:r w:rsidR="00C66E56">
        <w:t>Health New Zealand</w:t>
      </w:r>
      <w:r w:rsidR="00E979E0">
        <w:t xml:space="preserve"> | Te Whatu Ora </w:t>
      </w:r>
      <w:r>
        <w:t>capital projects are required to follow this guidance and use the AusHFG and New Zealand Guidance Notes as the basis for facility, department and room planning and design. It is mandatory for design teams to develop solutions that are aligned with AusHFG and New Zealand specific design guidance.</w:t>
      </w:r>
    </w:p>
    <w:p w14:paraId="3183FEDF" w14:textId="77777777" w:rsidR="00635353" w:rsidRDefault="00635353" w:rsidP="00635353">
      <w:r>
        <w:t>Where projects require solutions that aren’t addressed in the guidance, or an innovative solution is available, project specific design solutions will be considered (alongside any cost benefit analysis), and the guidance updated, as appropriate.</w:t>
      </w:r>
    </w:p>
    <w:p w14:paraId="4A130EF7" w14:textId="0E15996E" w:rsidR="00635353" w:rsidRDefault="00D910F8" w:rsidP="00635353">
      <w:r>
        <w:t>Aligning</w:t>
      </w:r>
      <w:r w:rsidR="00635353">
        <w:t xml:space="preserve"> with design guidance doesn’t remove any requirement to comply with New Zealand regulations (</w:t>
      </w:r>
      <w:r w:rsidR="00F83486">
        <w:t>e.g.</w:t>
      </w:r>
      <w:r w:rsidR="00635353">
        <w:t>, the New Zealand Building Code, or food safety requirements). The guidance augments existing design inputs, including regulations, site constraints and user requirements. The diagram below sets out the hierarchy of considerations in the design process.</w:t>
      </w:r>
    </w:p>
    <w:p w14:paraId="75785290" w14:textId="38055A39" w:rsidR="002D61A1" w:rsidRDefault="002D61A1" w:rsidP="00635353">
      <w:r>
        <w:rPr>
          <w:noProof/>
        </w:rPr>
        <w:lastRenderedPageBreak/>
        <w:drawing>
          <wp:inline distT="0" distB="0" distL="0" distR="0" wp14:anchorId="40631E7D" wp14:editId="5CE28D45">
            <wp:extent cx="5942330" cy="2743200"/>
            <wp:effectExtent l="19050" t="0" r="3937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077CEAE" w14:textId="121878C9" w:rsidR="002D61A1" w:rsidRDefault="002D61A1" w:rsidP="002D61A1">
      <w:pPr>
        <w:pStyle w:val="NumberedHeading2"/>
      </w:pPr>
      <w:bookmarkStart w:id="12" w:name="_Toc210288796"/>
      <w:r>
        <w:t>The Australasian Health Infrastructure Alliance (AHIA)</w:t>
      </w:r>
      <w:bookmarkEnd w:id="12"/>
    </w:p>
    <w:p w14:paraId="7134D8F2" w14:textId="4FAE807C" w:rsidR="002D61A1" w:rsidRDefault="00C66E56" w:rsidP="002D61A1">
      <w:r>
        <w:t>Health New Zealand</w:t>
      </w:r>
      <w:r w:rsidR="002D61A1">
        <w:t xml:space="preserve"> </w:t>
      </w:r>
      <w:r w:rsidR="009C6C3E">
        <w:t xml:space="preserve">| Te Whatu Ora, </w:t>
      </w:r>
      <w:r w:rsidR="002D61A1">
        <w:t>participates in the Australasian Health Infrastructure Alliance (AHIA) which is made up of public health authorities across Australia and New Zealand. Collectively the nine jurisdictions provide funding for the Australasian Health Facility Guidelines (AusHFG). The Guidelines have now been in use for over a decade across Australasia and have been tested through billions of dollars of trans-Tasman hospital investment.</w:t>
      </w:r>
    </w:p>
    <w:p w14:paraId="2506E086" w14:textId="5D4EB840" w:rsidR="002D61A1" w:rsidRDefault="002D61A1" w:rsidP="002D61A1">
      <w:r>
        <w:rPr>
          <w:noProof/>
        </w:rPr>
        <w:drawing>
          <wp:inline distT="0" distB="0" distL="0" distR="0" wp14:anchorId="1654830D" wp14:editId="04E84293">
            <wp:extent cx="6115685" cy="3597910"/>
            <wp:effectExtent l="0" t="0" r="0" b="2540"/>
            <wp:docPr id="288543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5685" cy="3597910"/>
                    </a:xfrm>
                    <a:prstGeom prst="rect">
                      <a:avLst/>
                    </a:prstGeom>
                    <a:noFill/>
                    <a:ln>
                      <a:noFill/>
                    </a:ln>
                  </pic:spPr>
                </pic:pic>
              </a:graphicData>
            </a:graphic>
          </wp:inline>
        </w:drawing>
      </w:r>
    </w:p>
    <w:p w14:paraId="429F0ED8" w14:textId="37DA54AA" w:rsidR="002D61A1" w:rsidRDefault="002D61A1" w:rsidP="002D61A1">
      <w:pPr>
        <w:pStyle w:val="NumberedHeading2"/>
      </w:pPr>
      <w:bookmarkStart w:id="13" w:name="_Toc210288797"/>
      <w:r>
        <w:lastRenderedPageBreak/>
        <w:t>Australasian Health Facility Guidelines (AusHFG)</w:t>
      </w:r>
      <w:bookmarkEnd w:id="13"/>
    </w:p>
    <w:p w14:paraId="6DD9B668" w14:textId="37C3392E" w:rsidR="00B60FA3" w:rsidRPr="00B60FA3" w:rsidRDefault="00B60FA3" w:rsidP="00B60FA3">
      <w:r w:rsidRPr="00B60FA3">
        <w:t>The AusHFG enable health facility planners and designers to use a common set of guidelines for the base elements of health facilities, with standard room layouts available in common BIM</w:t>
      </w:r>
      <w:r w:rsidRPr="00B60FA3">
        <w:rPr>
          <w:vertAlign w:val="superscript"/>
        </w:rPr>
        <w:footnoteReference w:id="1"/>
      </w:r>
      <w:r w:rsidRPr="00B60FA3">
        <w:t xml:space="preserve"> formats. The Australasian guidance provides general advice including:</w:t>
      </w:r>
    </w:p>
    <w:p w14:paraId="5437B5EE" w14:textId="77777777" w:rsidR="00B60FA3" w:rsidRPr="00B60FA3" w:rsidRDefault="00B60FA3" w:rsidP="00B60FA3">
      <w:pPr>
        <w:pStyle w:val="ListBullet"/>
      </w:pPr>
      <w:r w:rsidRPr="00B60FA3">
        <w:t>health facility briefing and planning</w:t>
      </w:r>
    </w:p>
    <w:p w14:paraId="784B58EE" w14:textId="77777777" w:rsidR="00B60FA3" w:rsidRPr="00B60FA3" w:rsidRDefault="00B60FA3" w:rsidP="00B60FA3">
      <w:pPr>
        <w:pStyle w:val="ListBullet"/>
      </w:pPr>
      <w:r w:rsidRPr="00B60FA3">
        <w:t>design for access, mobility, safety and security</w:t>
      </w:r>
    </w:p>
    <w:p w14:paraId="7D9F8AC2" w14:textId="78E65319" w:rsidR="00B60FA3" w:rsidRDefault="00B60FA3" w:rsidP="00B60FA3">
      <w:pPr>
        <w:pStyle w:val="ListBullet"/>
      </w:pPr>
      <w:r w:rsidRPr="00B60FA3">
        <w:t xml:space="preserve">infection prevention and control, including pandemic </w:t>
      </w:r>
      <w:r w:rsidR="00AE4950">
        <w:t xml:space="preserve">preparedness </w:t>
      </w:r>
      <w:r w:rsidRPr="00B60FA3">
        <w:t>planning</w:t>
      </w:r>
    </w:p>
    <w:p w14:paraId="5D8A27D8" w14:textId="1291A7FD" w:rsidR="000F168C" w:rsidRPr="00B60FA3" w:rsidRDefault="000F168C" w:rsidP="00B60FA3">
      <w:pPr>
        <w:pStyle w:val="ListBullet"/>
      </w:pPr>
      <w:r>
        <w:t>spatial benchmarking</w:t>
      </w:r>
    </w:p>
    <w:p w14:paraId="6C9B2EAF" w14:textId="77777777" w:rsidR="00B60FA3" w:rsidRPr="00B60FA3" w:rsidRDefault="00B60FA3" w:rsidP="00B60FA3">
      <w:pPr>
        <w:pStyle w:val="ListBullet"/>
      </w:pPr>
      <w:r w:rsidRPr="00B60FA3">
        <w:t>building services and environmental design</w:t>
      </w:r>
    </w:p>
    <w:p w14:paraId="185AD34E" w14:textId="77777777" w:rsidR="00B60FA3" w:rsidRPr="00B60FA3" w:rsidRDefault="00B60FA3" w:rsidP="00B60FA3">
      <w:pPr>
        <w:pStyle w:val="ListBullet"/>
      </w:pPr>
      <w:r w:rsidRPr="00B60FA3">
        <w:t>project Implementation.</w:t>
      </w:r>
    </w:p>
    <w:p w14:paraId="6F69282E" w14:textId="22CCDE5D" w:rsidR="00B60FA3" w:rsidRPr="00B60FA3" w:rsidRDefault="00B60FA3" w:rsidP="00B60FA3">
      <w:r w:rsidRPr="00B60FA3">
        <w:t>The AusHFG also provides specific advice about laying out departments (</w:t>
      </w:r>
      <w:hyperlink r:id="rId33">
        <w:r w:rsidRPr="00B60FA3">
          <w:rPr>
            <w:rStyle w:val="Hyperlink"/>
          </w:rPr>
          <w:t>Health Planning Units</w:t>
        </w:r>
      </w:hyperlink>
      <w:r w:rsidRPr="00B60FA3">
        <w:rPr>
          <w:b/>
          <w:u w:val="single"/>
        </w:rPr>
        <w:t>)</w:t>
      </w:r>
      <w:r w:rsidRPr="00B60FA3">
        <w:t>, and standard rooms (</w:t>
      </w:r>
      <w:hyperlink r:id="rId34">
        <w:r w:rsidRPr="00B60FA3">
          <w:rPr>
            <w:rStyle w:val="Hyperlink"/>
          </w:rPr>
          <w:t>Standard Components</w:t>
        </w:r>
      </w:hyperlink>
      <w:r w:rsidRPr="00B60FA3">
        <w:t xml:space="preserve">), including room </w:t>
      </w:r>
      <w:r w:rsidR="005F474C">
        <w:t xml:space="preserve">data and </w:t>
      </w:r>
      <w:r w:rsidRPr="00B60FA3">
        <w:t>layout sheets, generic specifications for</w:t>
      </w:r>
      <w:r w:rsidR="003F32D2">
        <w:t xml:space="preserve"> engineering services,</w:t>
      </w:r>
      <w:r w:rsidRPr="00B60FA3">
        <w:t xml:space="preserve"> </w:t>
      </w:r>
      <w:r w:rsidR="00901A8D">
        <w:t xml:space="preserve">finishes, </w:t>
      </w:r>
      <w:r w:rsidR="001E71AE">
        <w:t xml:space="preserve">furniture, </w:t>
      </w:r>
      <w:r w:rsidRPr="00B60FA3">
        <w:t xml:space="preserve">fixtures, </w:t>
      </w:r>
      <w:r w:rsidR="001E71AE">
        <w:t>equipment</w:t>
      </w:r>
      <w:r w:rsidRPr="00B60FA3">
        <w:t xml:space="preserve">, </w:t>
      </w:r>
      <w:r w:rsidR="002005DF">
        <w:t xml:space="preserve">room areas </w:t>
      </w:r>
      <w:r w:rsidRPr="00B60FA3">
        <w:t xml:space="preserve">and </w:t>
      </w:r>
      <w:r w:rsidR="002005DF">
        <w:t xml:space="preserve">departmental </w:t>
      </w:r>
      <w:r w:rsidRPr="00B60FA3">
        <w:t>schedules of accommodation.</w:t>
      </w:r>
    </w:p>
    <w:p w14:paraId="30376C8A" w14:textId="6031FD4F" w:rsidR="00B60FA3" w:rsidRPr="00B60FA3" w:rsidRDefault="00B60FA3" w:rsidP="00B60FA3">
      <w:r w:rsidRPr="00B60FA3">
        <w:t xml:space="preserve">AusHFG content is developed to reflect the range of conditions in each of the AHIA jurisdictions, </w:t>
      </w:r>
      <w:r w:rsidR="00B87475" w:rsidRPr="00B60FA3">
        <w:t xml:space="preserve">including </w:t>
      </w:r>
      <w:r w:rsidR="00B87475">
        <w:t>New</w:t>
      </w:r>
      <w:r w:rsidR="005A537D">
        <w:t xml:space="preserve"> Zealand</w:t>
      </w:r>
      <w:r w:rsidR="00606429">
        <w:t xml:space="preserve"> | Aotearoa</w:t>
      </w:r>
      <w:r w:rsidRPr="00B60FA3">
        <w:t xml:space="preserve">. Our local subject matter experts (clinical and non-clinical) participate in consultation processes including Expert Review Groups, consultant review processes, and reviewing drafts. </w:t>
      </w:r>
    </w:p>
    <w:p w14:paraId="594BBF7A" w14:textId="77777777" w:rsidR="00B60FA3" w:rsidRPr="00B60FA3" w:rsidRDefault="00B60FA3" w:rsidP="00B60FA3">
      <w:r w:rsidRPr="00B60FA3">
        <w:t xml:space="preserve">AusHFG content will increasingly include and reflect New Zealand conditions, as this consultation framework is implemented. </w:t>
      </w:r>
    </w:p>
    <w:p w14:paraId="55E92FC0" w14:textId="5084C824" w:rsidR="00B60FA3" w:rsidRDefault="00B60FA3" w:rsidP="00B60FA3">
      <w:pPr>
        <w:pStyle w:val="NumberedHeading2"/>
      </w:pPr>
      <w:bookmarkStart w:id="14" w:name="_Toc210288798"/>
      <w:r>
        <w:t xml:space="preserve">New Zealand </w:t>
      </w:r>
      <w:r w:rsidR="0038594B">
        <w:t>D</w:t>
      </w:r>
      <w:r>
        <w:t xml:space="preserve">esign </w:t>
      </w:r>
      <w:r w:rsidR="0038594B">
        <w:t>G</w:t>
      </w:r>
      <w:r>
        <w:t xml:space="preserve">uidance </w:t>
      </w:r>
      <w:r w:rsidR="0038594B">
        <w:t>N</w:t>
      </w:r>
      <w:r>
        <w:t>otes (DGNs)</w:t>
      </w:r>
      <w:bookmarkEnd w:id="14"/>
    </w:p>
    <w:p w14:paraId="3D4AFFDC" w14:textId="35230952" w:rsidR="00B60FA3" w:rsidRDefault="005E0032" w:rsidP="00B60FA3">
      <w:r>
        <w:t xml:space="preserve">New Zealand | Aotearoa </w:t>
      </w:r>
      <w:r w:rsidR="00B60FA3">
        <w:t>specific design guidance is developed when the need won’t be met by AusHFG guidance (or won’t be met within the required timeframe).</w:t>
      </w:r>
    </w:p>
    <w:p w14:paraId="01467E48" w14:textId="1A9A188A" w:rsidR="00B60FA3" w:rsidRDefault="00B60FA3" w:rsidP="00B60FA3">
      <w:r>
        <w:t xml:space="preserve">Design parameters that are specific to </w:t>
      </w:r>
      <w:r w:rsidR="00BC5B4D">
        <w:t xml:space="preserve">New Zealand | Aotearoa </w:t>
      </w:r>
      <w:r>
        <w:t>will include cultural, environmental, legislative and geographic considerations, like:</w:t>
      </w:r>
    </w:p>
    <w:p w14:paraId="08673E17" w14:textId="099DDA57" w:rsidR="00B60FA3" w:rsidRDefault="00B60FA3" w:rsidP="00B60FA3">
      <w:pPr>
        <w:pStyle w:val="ListBullet"/>
      </w:pPr>
      <w:r>
        <w:t>working with tangata whenua in design processes, and acknowledging kaupapa Māori design principles</w:t>
      </w:r>
    </w:p>
    <w:p w14:paraId="7BC5B917" w14:textId="0088C03E" w:rsidR="00B60FA3" w:rsidRDefault="00B60FA3" w:rsidP="00B60FA3">
      <w:pPr>
        <w:pStyle w:val="ListBullet"/>
      </w:pPr>
      <w:r>
        <w:t xml:space="preserve">meeting equity objectives </w:t>
      </w:r>
    </w:p>
    <w:p w14:paraId="6B5AB0A9" w14:textId="6F89B6A2" w:rsidR="00B60FA3" w:rsidRDefault="00B60FA3" w:rsidP="00B60FA3">
      <w:pPr>
        <w:pStyle w:val="ListBullet"/>
      </w:pPr>
      <w:r>
        <w:lastRenderedPageBreak/>
        <w:t>responding to the geotechnical</w:t>
      </w:r>
      <w:r w:rsidR="00BC5B4D">
        <w:t xml:space="preserve">, </w:t>
      </w:r>
      <w:r>
        <w:t>seismic</w:t>
      </w:r>
      <w:r w:rsidR="00BC5B4D">
        <w:t xml:space="preserve"> and climatic conditions</w:t>
      </w:r>
      <w:r>
        <w:t xml:space="preserve"> at </w:t>
      </w:r>
      <w:r w:rsidR="00C66E56">
        <w:t>Health New Zealand</w:t>
      </w:r>
      <w:r w:rsidR="00E979E0">
        <w:t xml:space="preserve"> | Te Whatu Ora </w:t>
      </w:r>
      <w:r>
        <w:t>sites</w:t>
      </w:r>
    </w:p>
    <w:p w14:paraId="11382B06" w14:textId="7DA5CC6C" w:rsidR="00B60FA3" w:rsidRDefault="00B60FA3" w:rsidP="00B60FA3">
      <w:pPr>
        <w:pStyle w:val="ListBullet"/>
      </w:pPr>
      <w:r>
        <w:t>regulations (like fire engineering requirements)</w:t>
      </w:r>
    </w:p>
    <w:p w14:paraId="32D740C0" w14:textId="2FB63F43" w:rsidR="00B60FA3" w:rsidRDefault="00B60FA3" w:rsidP="00B60FA3">
      <w:pPr>
        <w:pStyle w:val="ListBullet"/>
      </w:pPr>
      <w:r>
        <w:t>meeting New Zealand’s Carbon Neutral Public Sector objectives.</w:t>
      </w:r>
    </w:p>
    <w:p w14:paraId="5B34D812" w14:textId="06DBC8BD" w:rsidR="00B60FA3" w:rsidRDefault="00B60FA3" w:rsidP="00B60FA3">
      <w:r>
        <w:t>There is potential to develop agreed construction details and product specifications in the future, where this will reduce risk of building failure, and speed up design processes.</w:t>
      </w:r>
    </w:p>
    <w:p w14:paraId="49556E0B" w14:textId="6D7AADAD" w:rsidR="00B60FA3" w:rsidRDefault="00E73F4E" w:rsidP="00B60FA3">
      <w:pPr>
        <w:pStyle w:val="NumberedHeading2"/>
      </w:pPr>
      <w:bookmarkStart w:id="15" w:name="_Toc210288799"/>
      <w:r>
        <w:t>G</w:t>
      </w:r>
      <w:r w:rsidR="00B60FA3">
        <w:t>uidance</w:t>
      </w:r>
      <w:r>
        <w:t xml:space="preserve"> development</w:t>
      </w:r>
      <w:bookmarkEnd w:id="15"/>
      <w:r w:rsidR="00B60FA3">
        <w:t xml:space="preserve"> </w:t>
      </w:r>
    </w:p>
    <w:p w14:paraId="00F658E6" w14:textId="06D96D0D" w:rsidR="00B60FA3" w:rsidRPr="00B60FA3" w:rsidRDefault="00B60FA3" w:rsidP="00B60FA3">
      <w:r w:rsidRPr="00B60FA3">
        <w:t xml:space="preserve">Both AusHFG guidance and New Zealand specific DGNs are drafted based on the evidence available, revised in response to expert review feedback, and </w:t>
      </w:r>
      <w:r w:rsidR="00875FA0">
        <w:t>updated</w:t>
      </w:r>
      <w:r w:rsidRPr="00B60FA3">
        <w:t xml:space="preserve"> when impacts such as cost, sustainability, accessibility and adaptability have been </w:t>
      </w:r>
      <w:proofErr w:type="gramStart"/>
      <w:r w:rsidRPr="00B60FA3">
        <w:t>taken into account</w:t>
      </w:r>
      <w:proofErr w:type="gramEnd"/>
      <w:r w:rsidRPr="00B60FA3">
        <w:t>. The diagram below sets out the process for developing DGNs in New Zealand (which mirrors the process for developing AusHFG).</w:t>
      </w:r>
    </w:p>
    <w:p w14:paraId="22145465" w14:textId="605BE535" w:rsidR="00B60FA3" w:rsidRDefault="00B60FA3" w:rsidP="00B60FA3">
      <w:r>
        <w:rPr>
          <w:noProof/>
        </w:rPr>
        <w:drawing>
          <wp:inline distT="0" distB="0" distL="0" distR="0" wp14:anchorId="407508AE" wp14:editId="47991360">
            <wp:extent cx="6120130" cy="3880758"/>
            <wp:effectExtent l="19050" t="0" r="90170" b="2476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01AA700A" w14:textId="3B16155C" w:rsidR="00B60FA3" w:rsidRDefault="00B60FA3" w:rsidP="00B60FA3">
      <w:r w:rsidRPr="00B60FA3">
        <w:t xml:space="preserve">DGNs are drafted based on the best available </w:t>
      </w:r>
      <w:r w:rsidR="0006030F">
        <w:t>information</w:t>
      </w:r>
      <w:r w:rsidRPr="00B60FA3">
        <w:t xml:space="preserve">. </w:t>
      </w:r>
      <w:r w:rsidR="00C66E56">
        <w:t>Health New Zealand</w:t>
      </w:r>
      <w:r w:rsidR="00E979E0">
        <w:t xml:space="preserve"> | Te Whatu Ora </w:t>
      </w:r>
      <w:r w:rsidRPr="00B60FA3">
        <w:t xml:space="preserve">holds a record of the evidence base for each </w:t>
      </w:r>
      <w:r w:rsidR="0074030F" w:rsidRPr="00B60FA3">
        <w:t>decision;</w:t>
      </w:r>
      <w:r w:rsidRPr="00B60FA3">
        <w:t xml:space="preserve"> the information we hold is:</w:t>
      </w:r>
    </w:p>
    <w:p w14:paraId="1080228D" w14:textId="6B2BB03E" w:rsidR="00B60FA3" w:rsidRDefault="00B60FA3" w:rsidP="00B60FA3">
      <w:pPr>
        <w:pStyle w:val="ListBullet"/>
      </w:pPr>
      <w:r>
        <w:t>fact checked, publicly available, and sense checked by experienced practitioners</w:t>
      </w:r>
    </w:p>
    <w:p w14:paraId="1EBA3598" w14:textId="3B513346" w:rsidR="00B60FA3" w:rsidRDefault="00B60FA3" w:rsidP="00B60FA3">
      <w:pPr>
        <w:pStyle w:val="ListBullet"/>
      </w:pPr>
      <w:r>
        <w:t>ethical (</w:t>
      </w:r>
      <w:r w:rsidR="00F83486">
        <w:t>e.g.</w:t>
      </w:r>
      <w:r>
        <w:t>, obtained with informed consent, and without harm)</w:t>
      </w:r>
    </w:p>
    <w:p w14:paraId="68A6CECD" w14:textId="5B6A9D16" w:rsidR="00B60FA3" w:rsidRDefault="00B60FA3" w:rsidP="00B60FA3">
      <w:pPr>
        <w:pStyle w:val="ListBullet"/>
      </w:pPr>
      <w:r>
        <w:t>up to date and relevant</w:t>
      </w:r>
    </w:p>
    <w:p w14:paraId="62586C5B" w14:textId="779BF6BA" w:rsidR="00B60FA3" w:rsidRDefault="00B60FA3" w:rsidP="00B60FA3">
      <w:pPr>
        <w:pStyle w:val="ListBullet"/>
      </w:pPr>
      <w:r>
        <w:t>auditable.</w:t>
      </w:r>
    </w:p>
    <w:p w14:paraId="7541CFBF" w14:textId="648754CD" w:rsidR="00B60FA3" w:rsidRDefault="00B60FA3" w:rsidP="00B60FA3">
      <w:r>
        <w:lastRenderedPageBreak/>
        <w:t xml:space="preserve">Sources include international standards and guidance, New Zealand policy, our post-occupancy evaluation database (which includes lived experience feedback from patients and their whānau), industry and </w:t>
      </w:r>
      <w:r w:rsidR="00E0027C">
        <w:t>Non-Government Organisation (</w:t>
      </w:r>
      <w:r>
        <w:t>NGO</w:t>
      </w:r>
      <w:r w:rsidR="00E0027C">
        <w:t>)</w:t>
      </w:r>
      <w:r>
        <w:t xml:space="preserve"> best practice guidance and standards, and regulations. </w:t>
      </w:r>
    </w:p>
    <w:p w14:paraId="1A90B266" w14:textId="78CBD9C7" w:rsidR="00B60FA3" w:rsidRDefault="00B60FA3" w:rsidP="00B60FA3">
      <w:r>
        <w:t>Where there is no existing evidence, we explore sources like: learnings from similar industries, and primary research (using human-centred design principles, or new post occupancy evaluation for example).</w:t>
      </w:r>
    </w:p>
    <w:p w14:paraId="1F192A2B" w14:textId="26B83263" w:rsidR="00B60FA3" w:rsidRDefault="00B60FA3" w:rsidP="00B60FA3">
      <w:pPr>
        <w:pStyle w:val="NumberedHeading2"/>
      </w:pPr>
      <w:bookmarkStart w:id="16" w:name="_Toc210288800"/>
      <w:r>
        <w:t>Consult</w:t>
      </w:r>
      <w:r w:rsidR="00AD0359">
        <w:t>ation</w:t>
      </w:r>
      <w:bookmarkEnd w:id="16"/>
    </w:p>
    <w:p w14:paraId="38530BAB" w14:textId="77777777" w:rsidR="00B60FA3" w:rsidRDefault="00B60FA3" w:rsidP="00B60FA3">
      <w:r>
        <w:t>Expert Review Group membership varies according to the guidance topic, but formal consultation processes will increasingly involve a range of stakeholders, including:</w:t>
      </w:r>
    </w:p>
    <w:p w14:paraId="64F37BCE" w14:textId="675E2499" w:rsidR="00B60FA3" w:rsidRDefault="00B60FA3" w:rsidP="00B60FA3">
      <w:pPr>
        <w:pStyle w:val="ListBullet"/>
      </w:pPr>
      <w:r>
        <w:t>Voice for consumers</w:t>
      </w:r>
    </w:p>
    <w:p w14:paraId="6BE1821F" w14:textId="4F3B0C57" w:rsidR="00B60FA3" w:rsidRDefault="00B60FA3" w:rsidP="00B60FA3">
      <w:pPr>
        <w:pStyle w:val="ListBullet"/>
      </w:pPr>
      <w:r>
        <w:t>Tangata whenua</w:t>
      </w:r>
    </w:p>
    <w:p w14:paraId="4549DBDE" w14:textId="0F020C79" w:rsidR="00B60FA3" w:rsidRDefault="00B60FA3" w:rsidP="00B60FA3">
      <w:pPr>
        <w:pStyle w:val="ListBullet"/>
      </w:pPr>
      <w:r>
        <w:t>Pacific Health</w:t>
      </w:r>
    </w:p>
    <w:p w14:paraId="3D84B02F" w14:textId="43D2ECC4" w:rsidR="00B60FA3" w:rsidRDefault="001A3ACA" w:rsidP="00B60FA3">
      <w:pPr>
        <w:pStyle w:val="ListBullet"/>
      </w:pPr>
      <w:r>
        <w:t>H</w:t>
      </w:r>
      <w:r w:rsidR="00FC1A8D">
        <w:t xml:space="preserve">ealth </w:t>
      </w:r>
      <w:r w:rsidR="00B60FA3">
        <w:t>design practitioners</w:t>
      </w:r>
    </w:p>
    <w:p w14:paraId="2667E16E" w14:textId="7D7C02A9" w:rsidR="00B60FA3" w:rsidRDefault="00B60FA3" w:rsidP="00B60FA3">
      <w:pPr>
        <w:pStyle w:val="ListBullet"/>
      </w:pPr>
      <w:r>
        <w:t xml:space="preserve">Health </w:t>
      </w:r>
      <w:r w:rsidR="00B96910">
        <w:t xml:space="preserve">facility </w:t>
      </w:r>
      <w:r>
        <w:t>planners</w:t>
      </w:r>
    </w:p>
    <w:p w14:paraId="520E601C" w14:textId="32E6C808" w:rsidR="00F2182E" w:rsidRDefault="00F2182E" w:rsidP="00B60FA3">
      <w:pPr>
        <w:pStyle w:val="ListBullet"/>
      </w:pPr>
      <w:r>
        <w:t xml:space="preserve">Infection </w:t>
      </w:r>
      <w:r w:rsidR="00AD76FF">
        <w:t>p</w:t>
      </w:r>
      <w:r>
        <w:t xml:space="preserve">revention and </w:t>
      </w:r>
      <w:r w:rsidR="00AD76FF">
        <w:t>c</w:t>
      </w:r>
      <w:r>
        <w:t xml:space="preserve">ontrol </w:t>
      </w:r>
    </w:p>
    <w:p w14:paraId="7A3FF114" w14:textId="0B7A93E5" w:rsidR="00B60FA3" w:rsidRDefault="00B60FA3" w:rsidP="00B60FA3">
      <w:pPr>
        <w:pStyle w:val="ListBullet"/>
      </w:pPr>
      <w:r>
        <w:t xml:space="preserve">Facility </w:t>
      </w:r>
      <w:r w:rsidR="00DB5D1B">
        <w:t xml:space="preserve">/ property </w:t>
      </w:r>
      <w:r>
        <w:t xml:space="preserve">and asset managers </w:t>
      </w:r>
    </w:p>
    <w:p w14:paraId="02108E58" w14:textId="4D6B7742" w:rsidR="00B60FA3" w:rsidRDefault="00B60FA3" w:rsidP="00B60FA3">
      <w:pPr>
        <w:pStyle w:val="ListBullet"/>
      </w:pPr>
      <w:r>
        <w:t>Non-clinical support (e.g., security</w:t>
      </w:r>
      <w:r w:rsidR="00300D28">
        <w:t>, equipment pool</w:t>
      </w:r>
      <w:r>
        <w:t xml:space="preserve"> and cleaning contractors)</w:t>
      </w:r>
    </w:p>
    <w:p w14:paraId="50318608" w14:textId="4D74CAC7" w:rsidR="00B60FA3" w:rsidRDefault="00B60FA3" w:rsidP="00B60FA3">
      <w:pPr>
        <w:pStyle w:val="ListBullet"/>
      </w:pPr>
      <w:r>
        <w:t>Operations and logistics managers</w:t>
      </w:r>
    </w:p>
    <w:p w14:paraId="16EFC65D" w14:textId="10DD69C8" w:rsidR="00B60FA3" w:rsidRDefault="00B60FA3" w:rsidP="00B60FA3">
      <w:pPr>
        <w:pStyle w:val="ListBullet"/>
      </w:pPr>
      <w:r>
        <w:t>Clinicians</w:t>
      </w:r>
    </w:p>
    <w:p w14:paraId="0799A605" w14:textId="5D67F523" w:rsidR="00B60FA3" w:rsidRDefault="00B60FA3" w:rsidP="00B60FA3">
      <w:pPr>
        <w:pStyle w:val="ListBullet"/>
      </w:pPr>
      <w:r>
        <w:t>Whaikaha – Ministry for Disabled People</w:t>
      </w:r>
    </w:p>
    <w:p w14:paraId="2C82C531" w14:textId="069EF665" w:rsidR="00B60FA3" w:rsidRDefault="00B60FA3" w:rsidP="00B60FA3">
      <w:pPr>
        <w:pStyle w:val="ListBullet"/>
      </w:pPr>
      <w:r>
        <w:t>Te Tari Mātāwaka – Ministry for Ethnic Communities</w:t>
      </w:r>
    </w:p>
    <w:p w14:paraId="2FD3A532" w14:textId="2BFFC2B6" w:rsidR="00B60FA3" w:rsidRDefault="00B60FA3" w:rsidP="00B60FA3">
      <w:pPr>
        <w:pStyle w:val="ListBullet"/>
      </w:pPr>
      <w:r>
        <w:t>Data and Digital providers</w:t>
      </w:r>
    </w:p>
    <w:p w14:paraId="65753213" w14:textId="30FB5809" w:rsidR="00B60FA3" w:rsidRDefault="00AD76FF" w:rsidP="00B60FA3">
      <w:pPr>
        <w:pStyle w:val="ListBullet"/>
      </w:pPr>
      <w:r>
        <w:t xml:space="preserve">Technical advisory services </w:t>
      </w:r>
      <w:r w:rsidR="00B60FA3">
        <w:t>(</w:t>
      </w:r>
      <w:r w:rsidR="00F83486">
        <w:t>e.g.</w:t>
      </w:r>
      <w:r w:rsidR="00B60FA3">
        <w:t>,</w:t>
      </w:r>
      <w:r>
        <w:t xml:space="preserve"> engineering</w:t>
      </w:r>
      <w:r w:rsidR="00B60FA3">
        <w:t>).</w:t>
      </w:r>
    </w:p>
    <w:p w14:paraId="5C0EE49C" w14:textId="170AF8E2" w:rsidR="00B60FA3" w:rsidRDefault="00B60FA3" w:rsidP="00B60FA3">
      <w:r>
        <w:t>Contributing to drafting processes might involve</w:t>
      </w:r>
      <w:r w:rsidR="00A8020F">
        <w:t>,</w:t>
      </w:r>
      <w:r>
        <w:t xml:space="preserve"> multi-disciplinary review groups, targeted interviews or focus groups, </w:t>
      </w:r>
      <w:r w:rsidR="00D21D7D">
        <w:t xml:space="preserve">and / </w:t>
      </w:r>
      <w:r>
        <w:t>or reviewing drafts.</w:t>
      </w:r>
    </w:p>
    <w:p w14:paraId="2A6F331D" w14:textId="2A0B9A1A" w:rsidR="00B60FA3" w:rsidRDefault="00270A59" w:rsidP="00B02EFC">
      <w:pPr>
        <w:pStyle w:val="NumberedHeading2"/>
      </w:pPr>
      <w:bookmarkStart w:id="17" w:name="_Toc210288801"/>
      <w:r>
        <w:t>Impact</w:t>
      </w:r>
      <w:bookmarkEnd w:id="17"/>
    </w:p>
    <w:p w14:paraId="5AF744CE" w14:textId="77777777" w:rsidR="00B02EFC" w:rsidRDefault="00B02EFC" w:rsidP="00B02EFC">
      <w:r>
        <w:t>Key impacts of both AusHFG and New Zealand specific guidance will be considered before introduction, including:</w:t>
      </w:r>
    </w:p>
    <w:p w14:paraId="5B17864D" w14:textId="35800ED4" w:rsidR="00B02EFC" w:rsidRDefault="00B02EFC" w:rsidP="00B02EFC">
      <w:pPr>
        <w:pStyle w:val="ListBullet"/>
      </w:pPr>
      <w:r>
        <w:t xml:space="preserve">staff safety and wellbeing </w:t>
      </w:r>
    </w:p>
    <w:p w14:paraId="30880E4B" w14:textId="0CC5ACEA" w:rsidR="00B02EFC" w:rsidRDefault="00B02EFC" w:rsidP="00B02EFC">
      <w:pPr>
        <w:pStyle w:val="ListBullet"/>
      </w:pPr>
      <w:r>
        <w:t>patient and whānau experience</w:t>
      </w:r>
    </w:p>
    <w:p w14:paraId="6E99104F" w14:textId="168754F1" w:rsidR="00B02EFC" w:rsidRDefault="00B02EFC" w:rsidP="00B02EFC">
      <w:pPr>
        <w:pStyle w:val="ListBullet"/>
      </w:pPr>
      <w:r>
        <w:lastRenderedPageBreak/>
        <w:t>clinician experience</w:t>
      </w:r>
    </w:p>
    <w:p w14:paraId="0113A854" w14:textId="60D26369" w:rsidR="00B02EFC" w:rsidRDefault="00B02EFC" w:rsidP="00B02EFC">
      <w:pPr>
        <w:pStyle w:val="ListBullet"/>
      </w:pPr>
      <w:r>
        <w:t>clinical functionality (including pandemic readiness)</w:t>
      </w:r>
    </w:p>
    <w:p w14:paraId="6A2D5B48" w14:textId="356D233E" w:rsidR="00B02EFC" w:rsidRDefault="00B02EFC" w:rsidP="00B02EFC">
      <w:pPr>
        <w:pStyle w:val="ListBullet"/>
      </w:pPr>
      <w:r>
        <w:t xml:space="preserve">capital cost </w:t>
      </w:r>
    </w:p>
    <w:p w14:paraId="6913BEE8" w14:textId="53EE8EAC" w:rsidR="00B02EFC" w:rsidRDefault="00B02EFC" w:rsidP="00B02EFC">
      <w:pPr>
        <w:pStyle w:val="ListBullet"/>
      </w:pPr>
      <w:r>
        <w:t>operating costs</w:t>
      </w:r>
    </w:p>
    <w:p w14:paraId="358FC936" w14:textId="745251F5" w:rsidR="00B02EFC" w:rsidRDefault="00B02EFC" w:rsidP="00B02EFC">
      <w:pPr>
        <w:pStyle w:val="ListBullet"/>
      </w:pPr>
      <w:r>
        <w:t xml:space="preserve">buildability, </w:t>
      </w:r>
      <w:r w:rsidR="00095E13">
        <w:t>durability</w:t>
      </w:r>
      <w:r w:rsidR="00C243FC">
        <w:t xml:space="preserve">, </w:t>
      </w:r>
      <w:r w:rsidR="000571E0">
        <w:t xml:space="preserve">risk management, </w:t>
      </w:r>
      <w:r>
        <w:t>maintainability</w:t>
      </w:r>
      <w:r w:rsidR="001F316E">
        <w:t xml:space="preserve">, infection </w:t>
      </w:r>
      <w:r w:rsidR="000571E0">
        <w:t xml:space="preserve">prevention and </w:t>
      </w:r>
      <w:r w:rsidR="001F316E">
        <w:t>control</w:t>
      </w:r>
      <w:r>
        <w:t xml:space="preserve"> and safety in design</w:t>
      </w:r>
    </w:p>
    <w:p w14:paraId="6826EAEA" w14:textId="11432857" w:rsidR="00B02EFC" w:rsidRDefault="00B02EFC" w:rsidP="00B02EFC">
      <w:pPr>
        <w:pStyle w:val="ListBullet"/>
      </w:pPr>
      <w:r>
        <w:t>sustainability</w:t>
      </w:r>
    </w:p>
    <w:p w14:paraId="380F0C18" w14:textId="586F56C3" w:rsidR="00B02EFC" w:rsidRDefault="00B02EFC" w:rsidP="00B02EFC">
      <w:pPr>
        <w:pStyle w:val="ListBullet"/>
      </w:pPr>
      <w:r>
        <w:t>Te Tiriti o Waitangi, and tikanga Māori</w:t>
      </w:r>
    </w:p>
    <w:p w14:paraId="344FBC93" w14:textId="426069C8" w:rsidR="00B02EFC" w:rsidRDefault="00B02EFC" w:rsidP="00B02EFC">
      <w:pPr>
        <w:pStyle w:val="ListBullet"/>
      </w:pPr>
      <w:r>
        <w:t>contribution to system transformation</w:t>
      </w:r>
    </w:p>
    <w:p w14:paraId="720234A8" w14:textId="77777777" w:rsidR="00B02EFC" w:rsidRDefault="00B02EFC" w:rsidP="00B02EFC">
      <w:r>
        <w:t>While it may not be simple to weigh the relative merits of capital cost vs sustainability/operating cost outcomes (for example), we expect the formal process to make these trade-offs explicit and transparent.</w:t>
      </w:r>
    </w:p>
    <w:p w14:paraId="551D0B29" w14:textId="59AB0864" w:rsidR="00B02EFC" w:rsidRDefault="00B02EFC" w:rsidP="00B02EFC">
      <w:r>
        <w:t>Innovative design solutions may be tested through trials or pilot programmes, before formal DGNs are issued.</w:t>
      </w:r>
    </w:p>
    <w:p w14:paraId="74FAECDC" w14:textId="3F684655" w:rsidR="00B02EFC" w:rsidRDefault="00270A59" w:rsidP="00B02EFC">
      <w:pPr>
        <w:pStyle w:val="NumberedHeading2"/>
      </w:pPr>
      <w:bookmarkStart w:id="18" w:name="_Toc210288802"/>
      <w:r>
        <w:t>Updates</w:t>
      </w:r>
      <w:bookmarkEnd w:id="18"/>
    </w:p>
    <w:p w14:paraId="42BCBC2A" w14:textId="77777777" w:rsidR="00B02EFC" w:rsidRDefault="00B02EFC" w:rsidP="00B02EFC">
      <w:r>
        <w:t xml:space="preserve">AusHFG and New Zealand specific guidance is updated on a </w:t>
      </w:r>
      <w:proofErr w:type="gramStart"/>
      <w:r>
        <w:t>3-5 year</w:t>
      </w:r>
      <w:proofErr w:type="gramEnd"/>
      <w:r>
        <w:t xml:space="preserve"> cycle, but reviews can be brought forward when:</w:t>
      </w:r>
    </w:p>
    <w:p w14:paraId="5D8B749E" w14:textId="128FDA8E" w:rsidR="00B02EFC" w:rsidRDefault="00B02EFC" w:rsidP="00B02EFC">
      <w:pPr>
        <w:pStyle w:val="ListBullet"/>
      </w:pPr>
      <w:r>
        <w:t>there is a technological change</w:t>
      </w:r>
    </w:p>
    <w:p w14:paraId="4A05B7AD" w14:textId="72105DDF" w:rsidR="00B02EFC" w:rsidRDefault="00B02EFC" w:rsidP="00B02EFC">
      <w:pPr>
        <w:pStyle w:val="ListBullet"/>
      </w:pPr>
      <w:r>
        <w:t>there is a new or emerging risk (</w:t>
      </w:r>
      <w:r w:rsidR="00F83486">
        <w:t>e.g.</w:t>
      </w:r>
      <w:r>
        <w:t>, pandemic, building/material failure)</w:t>
      </w:r>
    </w:p>
    <w:p w14:paraId="58643F5D" w14:textId="2819D243" w:rsidR="00B02EFC" w:rsidRDefault="00B02EFC" w:rsidP="00B02EFC">
      <w:pPr>
        <w:pStyle w:val="ListBullet"/>
      </w:pPr>
      <w:r>
        <w:t>there is a new opportunity (</w:t>
      </w:r>
      <w:r w:rsidR="00F83486">
        <w:t>e.g.</w:t>
      </w:r>
      <w:r>
        <w:t>, equity, sustainability, efficiency)</w:t>
      </w:r>
    </w:p>
    <w:p w14:paraId="18DFB29F" w14:textId="35C3E9BC" w:rsidR="00B02EFC" w:rsidRDefault="00B02EFC" w:rsidP="00B02EFC">
      <w:pPr>
        <w:pStyle w:val="ListBullet"/>
      </w:pPr>
      <w:r>
        <w:t>a New Zealand specific gap is identified in AusHFG guidance.</w:t>
      </w:r>
    </w:p>
    <w:p w14:paraId="7B069477" w14:textId="77777777" w:rsidR="00CB645B" w:rsidRDefault="00CB645B" w:rsidP="00CB645B">
      <w:pPr>
        <w:pStyle w:val="ListBullet"/>
        <w:numPr>
          <w:ilvl w:val="0"/>
          <w:numId w:val="0"/>
        </w:numPr>
        <w:ind w:left="425"/>
      </w:pPr>
    </w:p>
    <w:p w14:paraId="1B3D396F" w14:textId="74F2D819" w:rsidR="00BC4763" w:rsidRPr="00C80C8C" w:rsidRDefault="00BC4763" w:rsidP="00BC4763">
      <w:r w:rsidRPr="00C80C8C">
        <w:t xml:space="preserve">Updates that occur before the </w:t>
      </w:r>
      <w:r w:rsidR="006A6C63" w:rsidRPr="00C80C8C">
        <w:t xml:space="preserve">commencement of </w:t>
      </w:r>
      <w:r w:rsidR="009F0E13" w:rsidRPr="00C80C8C">
        <w:t xml:space="preserve">a project’s </w:t>
      </w:r>
      <w:r w:rsidRPr="00C80C8C">
        <w:t xml:space="preserve">Concept </w:t>
      </w:r>
      <w:r w:rsidR="009F0E13" w:rsidRPr="00C80C8C">
        <w:t xml:space="preserve">design </w:t>
      </w:r>
      <w:r w:rsidRPr="00C80C8C">
        <w:t>phase</w:t>
      </w:r>
      <w:r w:rsidR="009F0E13" w:rsidRPr="00C80C8C">
        <w:t>,</w:t>
      </w:r>
      <w:r w:rsidR="006A1D62" w:rsidRPr="00C80C8C">
        <w:t xml:space="preserve"> </w:t>
      </w:r>
      <w:r w:rsidR="005F29A7">
        <w:t xml:space="preserve">should </w:t>
      </w:r>
      <w:r w:rsidRPr="00C80C8C">
        <w:t>be incorporated in</w:t>
      </w:r>
      <w:r w:rsidR="00B81F20" w:rsidRPr="00C80C8C">
        <w:t>to</w:t>
      </w:r>
      <w:r w:rsidRPr="00C80C8C">
        <w:t xml:space="preserve"> the project. </w:t>
      </w:r>
    </w:p>
    <w:p w14:paraId="38C080B2" w14:textId="315CE567" w:rsidR="00BC4763" w:rsidRPr="00C80C8C" w:rsidRDefault="00BC4763" w:rsidP="00B02EFC">
      <w:r w:rsidRPr="00C80C8C">
        <w:t>Updates made after this point should be considered for inclusion, in discussion with the project Governance group. A gap analysis and impact for the project should be identified and documented in the project design report.</w:t>
      </w:r>
    </w:p>
    <w:p w14:paraId="3D169908" w14:textId="53E623C0" w:rsidR="00B02EFC" w:rsidRDefault="00B02EFC" w:rsidP="00B02EFC">
      <w:pPr>
        <w:pStyle w:val="NumberedHeading2"/>
      </w:pPr>
      <w:bookmarkStart w:id="19" w:name="_Toc210288803"/>
      <w:r>
        <w:t>Role</w:t>
      </w:r>
      <w:r w:rsidR="007675C1">
        <w:t>s</w:t>
      </w:r>
      <w:bookmarkEnd w:id="19"/>
    </w:p>
    <w:p w14:paraId="559EF8D7" w14:textId="55355CB5" w:rsidR="00B02EFC" w:rsidRDefault="00B02EFC" w:rsidP="00B02EFC">
      <w:r>
        <w:t xml:space="preserve">AusHFG and DGNS don’t replace professional services provided by Architects and Engineers (for example), who lead the response to the Functional Design Brief, and navigate regulatory and planning requirements, but guidance does set out what </w:t>
      </w:r>
      <w:r w:rsidR="00C66E56">
        <w:t>Health New Zealand</w:t>
      </w:r>
      <w:r w:rsidR="006D5687">
        <w:t xml:space="preserve"> </w:t>
      </w:r>
      <w:r w:rsidR="00937F79">
        <w:t xml:space="preserve">| </w:t>
      </w:r>
      <w:r>
        <w:t xml:space="preserve">Te Whatu Ora, as a client, expects. </w:t>
      </w:r>
    </w:p>
    <w:p w14:paraId="66F608B4" w14:textId="0F9EA039" w:rsidR="00B02EFC" w:rsidRDefault="00B02EFC" w:rsidP="00B02EFC">
      <w:r>
        <w:lastRenderedPageBreak/>
        <w:t xml:space="preserve">We expect guidance to help designers to establish </w:t>
      </w:r>
      <w:r w:rsidR="00526A1C">
        <w:t>design</w:t>
      </w:r>
      <w:r w:rsidR="000D737B">
        <w:t xml:space="preserve"> </w:t>
      </w:r>
      <w:r>
        <w:t>fundamentals quickly, enabling them to use their expertise to address project specific and/or complex issues.</w:t>
      </w:r>
    </w:p>
    <w:p w14:paraId="7B595345" w14:textId="31D380CD" w:rsidR="00B02EFC" w:rsidRDefault="007675C1" w:rsidP="00B02EFC">
      <w:pPr>
        <w:pStyle w:val="NumberedHeading2"/>
      </w:pPr>
      <w:bookmarkStart w:id="20" w:name="_Toc210288804"/>
      <w:r>
        <w:t>I</w:t>
      </w:r>
      <w:r w:rsidR="00B02EFC">
        <w:t>nnovative solutions</w:t>
      </w:r>
      <w:bookmarkEnd w:id="20"/>
    </w:p>
    <w:p w14:paraId="12F4CC69" w14:textId="741A43FA" w:rsidR="00B02EFC" w:rsidRPr="00B02EFC" w:rsidRDefault="00B02EFC" w:rsidP="00B02EFC">
      <w:r>
        <w:t>Guidance doesn’t replace the need to work collaboratively with project-specific stakeholders, like tangata whenua, territorial authorities or user groups. Where design solutions</w:t>
      </w:r>
      <w:r w:rsidR="007F3BCA">
        <w:t xml:space="preserve"> or innovations</w:t>
      </w:r>
      <w:r>
        <w:t xml:space="preserve"> are </w:t>
      </w:r>
      <w:r w:rsidR="00EA23A0">
        <w:t xml:space="preserve">proposed and </w:t>
      </w:r>
      <w:r>
        <w:t xml:space="preserve">significantly deviate from AusHFG or New Zealand DGNs, project teams </w:t>
      </w:r>
      <w:r w:rsidR="00E055B8">
        <w:t xml:space="preserve">must </w:t>
      </w:r>
      <w:r w:rsidR="00570839">
        <w:t xml:space="preserve">follow the process outlined in </w:t>
      </w:r>
      <w:r w:rsidR="009E0BA5">
        <w:t>Section</w:t>
      </w:r>
      <w:r w:rsidR="00570839">
        <w:t xml:space="preserve"> 11.1</w:t>
      </w:r>
      <w:r w:rsidR="00CB06D3">
        <w:t>1</w:t>
      </w:r>
      <w:r w:rsidR="00FC4360">
        <w:t>.</w:t>
      </w:r>
    </w:p>
    <w:p w14:paraId="2A8DF618" w14:textId="4D0A4092" w:rsidR="00B02EFC" w:rsidRPr="00B02EFC" w:rsidRDefault="00B02EFC" w:rsidP="00B02EFC">
      <w:r w:rsidRPr="00B02EFC">
        <w:t xml:space="preserve">Project teams are responsible for identifying </w:t>
      </w:r>
      <w:r w:rsidR="00724A76">
        <w:t>deviations</w:t>
      </w:r>
      <w:r w:rsidRPr="00B02EFC">
        <w:t xml:space="preserve"> </w:t>
      </w:r>
      <w:r w:rsidR="00F122C4">
        <w:t>and signalling these to the Project Director.</w:t>
      </w:r>
      <w:r w:rsidRPr="00B02EFC">
        <w:t xml:space="preserve"> </w:t>
      </w:r>
    </w:p>
    <w:p w14:paraId="7AC5D7CD" w14:textId="7C8440F6" w:rsidR="00B02EFC" w:rsidRDefault="00AE5279" w:rsidP="00B82D8F">
      <w:pPr>
        <w:pStyle w:val="NumberedHeading2"/>
      </w:pPr>
      <w:bookmarkStart w:id="21" w:name="_Toc210288805"/>
      <w:r>
        <w:t>C</w:t>
      </w:r>
      <w:r w:rsidR="00B82D8F">
        <w:t>ontinuous improvement</w:t>
      </w:r>
      <w:bookmarkEnd w:id="21"/>
    </w:p>
    <w:p w14:paraId="5FED0C67" w14:textId="7F341CC5" w:rsidR="00B82D8F" w:rsidRDefault="00B82D8F" w:rsidP="00B82D8F">
      <w:r>
        <w:t xml:space="preserve">The </w:t>
      </w:r>
      <w:r w:rsidR="00643720">
        <w:t xml:space="preserve">National </w:t>
      </w:r>
      <w:r w:rsidR="00FB2374">
        <w:t>Facility Design</w:t>
      </w:r>
      <w:r>
        <w:t xml:space="preserve"> </w:t>
      </w:r>
      <w:r w:rsidR="008F10C7">
        <w:t>Advisory and Assurance T</w:t>
      </w:r>
      <w:r>
        <w:t xml:space="preserve">eam supports evidence-based design improvements. While guidance is updated on a </w:t>
      </w:r>
      <w:proofErr w:type="gramStart"/>
      <w:r>
        <w:t>3-5 year</w:t>
      </w:r>
      <w:proofErr w:type="gramEnd"/>
      <w:r>
        <w:t xml:space="preserve"> cycle to keep up to date with changing technological, social and environmental conditions, guidance will be continuously improved by feedback loops (including post occupancy evaluation </w:t>
      </w:r>
      <w:r w:rsidRPr="00123587">
        <w:t xml:space="preserve">and alternative </w:t>
      </w:r>
      <w:r w:rsidR="00DA6090" w:rsidRPr="00FC4360">
        <w:t xml:space="preserve">design </w:t>
      </w:r>
      <w:r w:rsidRPr="00123587">
        <w:t xml:space="preserve">solutions approved by the </w:t>
      </w:r>
      <w:r w:rsidR="00933270" w:rsidRPr="00123587">
        <w:t>Design Authority</w:t>
      </w:r>
      <w:r w:rsidRPr="00123587">
        <w:t>).</w:t>
      </w:r>
    </w:p>
    <w:p w14:paraId="2401C33B" w14:textId="02800A45" w:rsidR="00B82D8F" w:rsidRDefault="00B82D8F" w:rsidP="00B82D8F">
      <w:r>
        <w:t>The</w:t>
      </w:r>
      <w:r w:rsidR="008531DB">
        <w:t xml:space="preserve"> National</w:t>
      </w:r>
      <w:r>
        <w:t xml:space="preserve"> Facility Design Advisory</w:t>
      </w:r>
      <w:r w:rsidR="008531DB">
        <w:t xml:space="preserve"> and Assurance</w:t>
      </w:r>
      <w:r>
        <w:t xml:space="preserve"> </w:t>
      </w:r>
      <w:r w:rsidR="002721D0">
        <w:t>T</w:t>
      </w:r>
      <w:r>
        <w:t>eam maintain a database of post-occupancy review findings and lessons learned, to influence and improve future design guidance. This can include the performance of systems, fixtures and finishes, through to feedback on patient and whānau experiences of our healthcare facilities.  Recurring issues identified through assurance processes will also form part of the lessons-learned dataset and be used to drive improvements in the guidance.</w:t>
      </w:r>
    </w:p>
    <w:p w14:paraId="72AB7E61" w14:textId="2AD488CD" w:rsidR="00B82D8F" w:rsidRDefault="00B82D8F" w:rsidP="00B82D8F">
      <w:r>
        <w:t xml:space="preserve">Design guidance and assurance processes and collateral will also be continuously improved, in response to feedback from facility users such as staff, patients and their whānau, and facilities managers. Supporting designers to adopt the </w:t>
      </w:r>
      <w:proofErr w:type="gramStart"/>
      <w:r>
        <w:t>guidance,</w:t>
      </w:r>
      <w:r w:rsidR="00D910DB">
        <w:t xml:space="preserve"> </w:t>
      </w:r>
      <w:r>
        <w:t>and</w:t>
      </w:r>
      <w:proofErr w:type="gramEnd"/>
      <w:r>
        <w:t xml:space="preserve"> building relationships to understand how it is being adopted (and if not, why not) will ultimately deliver a robust set of design guidance.  </w:t>
      </w:r>
    </w:p>
    <w:p w14:paraId="7CC3121E" w14:textId="0A15AC2B" w:rsidR="00B82D8F" w:rsidRDefault="00B82D8F" w:rsidP="00B82D8F">
      <w:r>
        <w:t>Feedback mechanisms will include participating in industry forums, collaborative design assurance processes</w:t>
      </w:r>
      <w:r w:rsidR="0011612B">
        <w:t>, post occupancy reviews</w:t>
      </w:r>
      <w:r>
        <w:t xml:space="preserve"> and maintaining and analysing a database of facility design queries.</w:t>
      </w:r>
    </w:p>
    <w:p w14:paraId="6F9080EB" w14:textId="702ED90C" w:rsidR="00B82D8F" w:rsidRDefault="00E04F86" w:rsidP="00B82D8F">
      <w:pPr>
        <w:pStyle w:val="NumberedHeading2"/>
      </w:pPr>
      <w:bookmarkStart w:id="22" w:name="_Toc210288806"/>
      <w:r>
        <w:t>A</w:t>
      </w:r>
      <w:r w:rsidR="00B82D8F">
        <w:t>udience</w:t>
      </w:r>
      <w:bookmarkEnd w:id="22"/>
    </w:p>
    <w:p w14:paraId="127AC74A" w14:textId="36A9054B" w:rsidR="00B82D8F" w:rsidRDefault="00B82D8F" w:rsidP="00B82D8F">
      <w:r>
        <w:t xml:space="preserve">The </w:t>
      </w:r>
      <w:r w:rsidR="004A168C">
        <w:t xml:space="preserve">National </w:t>
      </w:r>
      <w:r>
        <w:t>Facilities Design Advisory</w:t>
      </w:r>
      <w:r w:rsidR="004A168C">
        <w:t xml:space="preserve"> and Assurance</w:t>
      </w:r>
      <w:r>
        <w:t xml:space="preserve"> Team will proactively update stakeholders when DGNs are developed or updated. Existing communication channels are in place for AusHFG updates, which will be amplified through Infrastructure and Investment Group stakeholder channels in</w:t>
      </w:r>
      <w:r w:rsidR="005A537D">
        <w:t xml:space="preserve"> New Zealand</w:t>
      </w:r>
      <w:r w:rsidR="00602FD9">
        <w:t xml:space="preserve"> | Aotearoa</w:t>
      </w:r>
      <w:r>
        <w:t xml:space="preserve">. </w:t>
      </w:r>
    </w:p>
    <w:p w14:paraId="0B3C1B5B" w14:textId="44F48519" w:rsidR="00B82D8F" w:rsidRDefault="00B82D8F" w:rsidP="00B82D8F">
      <w:r>
        <w:lastRenderedPageBreak/>
        <w:t>Establishing consistent, formal channels will improve buy-</w:t>
      </w:r>
      <w:proofErr w:type="gramStart"/>
      <w:r>
        <w:t>in, and</w:t>
      </w:r>
      <w:proofErr w:type="gramEnd"/>
      <w:r>
        <w:t xml:space="preserve"> build confidence that the AusHFG and DGNs are the foundation for health facility design </w:t>
      </w:r>
      <w:r w:rsidR="00A85A35">
        <w:t>in New</w:t>
      </w:r>
      <w:r w:rsidR="005A537D">
        <w:t xml:space="preserve"> Zealand</w:t>
      </w:r>
      <w:r w:rsidR="00E7699E">
        <w:t xml:space="preserve"> |</w:t>
      </w:r>
      <w:r w:rsidR="00602FD9">
        <w:t xml:space="preserve"> Aotearoa</w:t>
      </w:r>
      <w:r>
        <w:t>. Proposed mechanisms include:</w:t>
      </w:r>
    </w:p>
    <w:p w14:paraId="1BF231C0" w14:textId="644B036D" w:rsidR="00B82D8F" w:rsidRDefault="00B82D8F" w:rsidP="00B82D8F">
      <w:pPr>
        <w:pStyle w:val="ListBullet"/>
      </w:pPr>
      <w:r>
        <w:t>anticipating new design guidance with early communications to stakeholders</w:t>
      </w:r>
    </w:p>
    <w:p w14:paraId="356B555D" w14:textId="56E0905B" w:rsidR="00B82D8F" w:rsidRDefault="00B82D8F" w:rsidP="00B82D8F">
      <w:pPr>
        <w:pStyle w:val="ListBullet"/>
      </w:pPr>
      <w:r>
        <w:t>releasing DGNs on the</w:t>
      </w:r>
      <w:r w:rsidR="001A1B94">
        <w:t xml:space="preserve"> </w:t>
      </w:r>
      <w:r w:rsidR="00C66E56">
        <w:t>Health New Zealand</w:t>
      </w:r>
      <w:r w:rsidR="00E979E0">
        <w:t xml:space="preserve"> | Te Whatu Ora </w:t>
      </w:r>
      <w:r>
        <w:t>external facing website</w:t>
      </w:r>
    </w:p>
    <w:p w14:paraId="71B6969E" w14:textId="2B997124" w:rsidR="00B82D8F" w:rsidRDefault="00B82D8F" w:rsidP="00B82D8F">
      <w:pPr>
        <w:pStyle w:val="ListBullet"/>
      </w:pPr>
      <w:r>
        <w:t xml:space="preserve">supporting new design guidance with training </w:t>
      </w:r>
    </w:p>
    <w:p w14:paraId="04BD1055" w14:textId="38962A20" w:rsidR="00B82D8F" w:rsidRDefault="00B82D8F" w:rsidP="00B82D8F">
      <w:pPr>
        <w:pStyle w:val="ListBullet"/>
      </w:pPr>
      <w:r>
        <w:t>reaching core stakeholder groups through industry forums and e-newsletters.</w:t>
      </w:r>
    </w:p>
    <w:p w14:paraId="7556CA74" w14:textId="77777777" w:rsidR="00B82D8F" w:rsidRDefault="00B82D8F" w:rsidP="00B82D8F">
      <w:r>
        <w:t>Existing design advisory functions will continue to build awareness of the guidance, supporting improved uptake from project initiation.</w:t>
      </w:r>
    </w:p>
    <w:p w14:paraId="16774592" w14:textId="1DA1C5B2" w:rsidR="00B82D8F" w:rsidRDefault="00B82D8F" w:rsidP="00B82D8F">
      <w:r>
        <w:t>Special care will be taken to provide in-flight projects with relevant design guidance as early as possible, with clear, realistic guidance about timeframes for implementation. The objective is to support delivery, and signal change as early as possible.</w:t>
      </w:r>
    </w:p>
    <w:p w14:paraId="2F2B1AB3" w14:textId="293E9A19" w:rsidR="00B82D8F" w:rsidRDefault="00B82D8F">
      <w:pPr>
        <w:spacing w:before="0" w:after="160" w:line="259" w:lineRule="auto"/>
      </w:pPr>
      <w:r>
        <w:br w:type="page"/>
      </w:r>
    </w:p>
    <w:p w14:paraId="61AA7963" w14:textId="78431AE9" w:rsidR="00B82D8F" w:rsidRDefault="00B82D8F" w:rsidP="00B82D8F">
      <w:pPr>
        <w:pStyle w:val="NumberedHeading1"/>
      </w:pPr>
      <w:bookmarkStart w:id="23" w:name="_Toc210288807"/>
      <w:r>
        <w:lastRenderedPageBreak/>
        <w:t>Design Assurance</w:t>
      </w:r>
      <w:bookmarkEnd w:id="23"/>
    </w:p>
    <w:p w14:paraId="4532E7C6" w14:textId="605B9A71" w:rsidR="00C36AC7" w:rsidRPr="00C36AC7" w:rsidRDefault="00C36AC7" w:rsidP="00C36AC7">
      <w:pPr>
        <w:pStyle w:val="NumberedHeading2"/>
      </w:pPr>
      <w:bookmarkStart w:id="24" w:name="_Toc210288808"/>
      <w:r>
        <w:t>Introduction</w:t>
      </w:r>
      <w:bookmarkEnd w:id="24"/>
    </w:p>
    <w:p w14:paraId="1120C808" w14:textId="0D4A7DA3" w:rsidR="00B92066" w:rsidRDefault="00B92066" w:rsidP="00B92066">
      <w:pPr>
        <w:ind w:left="360"/>
        <w:rPr>
          <w:bCs/>
        </w:rPr>
      </w:pPr>
      <w:r w:rsidRPr="0076720E">
        <w:rPr>
          <w:bCs/>
        </w:rPr>
        <w:t xml:space="preserve">Design Assurance (DA) is a mandatory review of qualifying </w:t>
      </w:r>
      <w:r w:rsidR="00C66E56">
        <w:rPr>
          <w:bCs/>
        </w:rPr>
        <w:t>Health New Zealand</w:t>
      </w:r>
      <w:r w:rsidR="007456F4">
        <w:rPr>
          <w:bCs/>
        </w:rPr>
        <w:t xml:space="preserve"> </w:t>
      </w:r>
      <w:r w:rsidR="002F49FC">
        <w:rPr>
          <w:bCs/>
        </w:rPr>
        <w:t xml:space="preserve">|Te Whatu </w:t>
      </w:r>
      <w:r w:rsidR="00CE10F8">
        <w:rPr>
          <w:bCs/>
        </w:rPr>
        <w:t>Ora</w:t>
      </w:r>
      <w:r w:rsidR="002F49FC">
        <w:rPr>
          <w:bCs/>
        </w:rPr>
        <w:t xml:space="preserve"> </w:t>
      </w:r>
      <w:r w:rsidRPr="0076720E">
        <w:rPr>
          <w:bCs/>
        </w:rPr>
        <w:t>capital works projects to provide assurance on design documentation, process, quality and completeness.</w:t>
      </w:r>
    </w:p>
    <w:p w14:paraId="4FA4289C" w14:textId="6B3D99D7" w:rsidR="00BF66BA" w:rsidRDefault="00BF66BA" w:rsidP="00B92066">
      <w:pPr>
        <w:ind w:left="360"/>
        <w:rPr>
          <w:bCs/>
        </w:rPr>
      </w:pPr>
      <w:r>
        <w:rPr>
          <w:bCs/>
        </w:rPr>
        <w:t xml:space="preserve">The </w:t>
      </w:r>
      <w:r w:rsidR="003C7D99">
        <w:rPr>
          <w:bCs/>
        </w:rPr>
        <w:t>purpose of DA is to</w:t>
      </w:r>
      <w:r w:rsidR="008F7AE8">
        <w:rPr>
          <w:bCs/>
        </w:rPr>
        <w:t xml:space="preserve"> support </w:t>
      </w:r>
      <w:r w:rsidR="00B81F99">
        <w:rPr>
          <w:bCs/>
        </w:rPr>
        <w:t>project design teams</w:t>
      </w:r>
      <w:r w:rsidR="008F7AE8">
        <w:rPr>
          <w:bCs/>
        </w:rPr>
        <w:t xml:space="preserve"> to</w:t>
      </w:r>
      <w:r w:rsidR="51C808D8">
        <w:t>:</w:t>
      </w:r>
    </w:p>
    <w:p w14:paraId="71987778" w14:textId="7890E6DE" w:rsidR="003C7D99" w:rsidRDefault="00BC3E57" w:rsidP="003C7D99">
      <w:pPr>
        <w:pStyle w:val="ListParagraph"/>
        <w:numPr>
          <w:ilvl w:val="0"/>
          <w:numId w:val="8"/>
        </w:numPr>
        <w:rPr>
          <w:bCs/>
        </w:rPr>
      </w:pPr>
      <w:r w:rsidRPr="00BC3E57">
        <w:rPr>
          <w:bCs/>
        </w:rPr>
        <w:t>deliver affordable</w:t>
      </w:r>
      <w:r w:rsidR="5E7FE0F0">
        <w:t>,</w:t>
      </w:r>
      <w:r w:rsidRPr="00BC3E57">
        <w:rPr>
          <w:bCs/>
        </w:rPr>
        <w:t xml:space="preserve"> consistent, efficient, high-quality, and effective health facilit</w:t>
      </w:r>
      <w:r w:rsidR="005067EE">
        <w:rPr>
          <w:bCs/>
        </w:rPr>
        <w:t>y design</w:t>
      </w:r>
    </w:p>
    <w:p w14:paraId="27D5A922" w14:textId="5293CC02" w:rsidR="003B5DE2" w:rsidRPr="003B5DE2" w:rsidRDefault="00C32B2C" w:rsidP="003B5DE2">
      <w:pPr>
        <w:pStyle w:val="ListParagraph"/>
        <w:numPr>
          <w:ilvl w:val="0"/>
          <w:numId w:val="8"/>
        </w:numPr>
        <w:rPr>
          <w:bCs/>
        </w:rPr>
      </w:pPr>
      <w:r>
        <w:rPr>
          <w:bCs/>
        </w:rPr>
        <w:t xml:space="preserve">ensure that the </w:t>
      </w:r>
      <w:r w:rsidR="00F634DC">
        <w:rPr>
          <w:bCs/>
        </w:rPr>
        <w:t>design meets the project</w:t>
      </w:r>
      <w:r w:rsidR="00372171">
        <w:rPr>
          <w:bCs/>
        </w:rPr>
        <w:t>’s</w:t>
      </w:r>
      <w:r w:rsidR="00F634DC">
        <w:rPr>
          <w:bCs/>
        </w:rPr>
        <w:t xml:space="preserve"> intended functional requirements and scope</w:t>
      </w:r>
    </w:p>
    <w:p w14:paraId="7D37736D" w14:textId="41B23D3B" w:rsidR="00BC3E57" w:rsidRDefault="00D61F4D" w:rsidP="003C7D99">
      <w:pPr>
        <w:pStyle w:val="ListParagraph"/>
        <w:numPr>
          <w:ilvl w:val="0"/>
          <w:numId w:val="8"/>
        </w:numPr>
        <w:rPr>
          <w:bCs/>
        </w:rPr>
      </w:pPr>
      <w:r>
        <w:rPr>
          <w:bCs/>
        </w:rPr>
        <w:t xml:space="preserve">understand </w:t>
      </w:r>
      <w:r w:rsidRPr="007E4D6B">
        <w:rPr>
          <w:bCs/>
        </w:rPr>
        <w:t>Health</w:t>
      </w:r>
      <w:r w:rsidR="00C66E56">
        <w:rPr>
          <w:bCs/>
        </w:rPr>
        <w:t xml:space="preserve"> New Zealand</w:t>
      </w:r>
      <w:r w:rsidR="00E979E0">
        <w:rPr>
          <w:bCs/>
        </w:rPr>
        <w:t xml:space="preserve"> | Te Whatu Ora </w:t>
      </w:r>
      <w:r w:rsidR="007E4D6B" w:rsidRPr="007E4D6B">
        <w:rPr>
          <w:bCs/>
        </w:rPr>
        <w:t>expectations</w:t>
      </w:r>
      <w:r w:rsidR="007E4D6B">
        <w:rPr>
          <w:bCs/>
        </w:rPr>
        <w:t xml:space="preserve"> </w:t>
      </w:r>
    </w:p>
    <w:p w14:paraId="636CDD3A" w14:textId="7C5142FE" w:rsidR="007E4D6B" w:rsidRDefault="008B4E23" w:rsidP="003C7D99">
      <w:pPr>
        <w:pStyle w:val="ListParagraph"/>
        <w:numPr>
          <w:ilvl w:val="0"/>
          <w:numId w:val="8"/>
        </w:numPr>
        <w:rPr>
          <w:bCs/>
        </w:rPr>
      </w:pPr>
      <w:r>
        <w:rPr>
          <w:bCs/>
        </w:rPr>
        <w:t xml:space="preserve">support </w:t>
      </w:r>
      <w:r w:rsidR="009044B2" w:rsidRPr="009044B2">
        <w:rPr>
          <w:bCs/>
        </w:rPr>
        <w:t>alignment with design guidance</w:t>
      </w:r>
    </w:p>
    <w:p w14:paraId="5DB72E1A" w14:textId="370A5812" w:rsidR="009836B0" w:rsidRDefault="00EE5654" w:rsidP="003C7D99">
      <w:pPr>
        <w:pStyle w:val="ListParagraph"/>
        <w:numPr>
          <w:ilvl w:val="0"/>
          <w:numId w:val="8"/>
        </w:numPr>
        <w:rPr>
          <w:bCs/>
        </w:rPr>
      </w:pPr>
      <w:r>
        <w:rPr>
          <w:bCs/>
        </w:rPr>
        <w:t>foster</w:t>
      </w:r>
      <w:r w:rsidR="005521EF">
        <w:rPr>
          <w:bCs/>
        </w:rPr>
        <w:t xml:space="preserve"> </w:t>
      </w:r>
      <w:r w:rsidR="009836B0" w:rsidRPr="009836B0">
        <w:rPr>
          <w:bCs/>
        </w:rPr>
        <w:t>project tracking and transparency</w:t>
      </w:r>
      <w:r w:rsidR="009836B0">
        <w:rPr>
          <w:bCs/>
        </w:rPr>
        <w:t xml:space="preserve"> of </w:t>
      </w:r>
      <w:r w:rsidR="00AE72B6">
        <w:rPr>
          <w:bCs/>
        </w:rPr>
        <w:t xml:space="preserve">deviations </w:t>
      </w:r>
    </w:p>
    <w:p w14:paraId="69ECE539" w14:textId="0577E0F4" w:rsidR="00A925CA" w:rsidRDefault="000E050D" w:rsidP="00A925CA">
      <w:pPr>
        <w:pStyle w:val="ListParagraph"/>
        <w:numPr>
          <w:ilvl w:val="0"/>
          <w:numId w:val="8"/>
        </w:numPr>
        <w:rPr>
          <w:bCs/>
        </w:rPr>
      </w:pPr>
      <w:r>
        <w:rPr>
          <w:bCs/>
        </w:rPr>
        <w:t>p</w:t>
      </w:r>
      <w:r w:rsidR="00A925CA" w:rsidRPr="00A925CA">
        <w:rPr>
          <w:bCs/>
        </w:rPr>
        <w:t xml:space="preserve">romote standardisation </w:t>
      </w:r>
      <w:r w:rsidR="004E42D2">
        <w:rPr>
          <w:bCs/>
        </w:rPr>
        <w:t>and improve the design process</w:t>
      </w:r>
    </w:p>
    <w:p w14:paraId="375AB697" w14:textId="7839F942" w:rsidR="007114FA" w:rsidRDefault="000E050D" w:rsidP="00F93F82">
      <w:pPr>
        <w:pStyle w:val="ListParagraph"/>
        <w:numPr>
          <w:ilvl w:val="0"/>
          <w:numId w:val="8"/>
        </w:numPr>
        <w:rPr>
          <w:bCs/>
        </w:rPr>
      </w:pPr>
      <w:r>
        <w:rPr>
          <w:bCs/>
        </w:rPr>
        <w:t>p</w:t>
      </w:r>
      <w:r w:rsidR="006D798E">
        <w:rPr>
          <w:bCs/>
        </w:rPr>
        <w:t>rovide a</w:t>
      </w:r>
      <w:r w:rsidR="00662A04">
        <w:rPr>
          <w:bCs/>
        </w:rPr>
        <w:t xml:space="preserve"> </w:t>
      </w:r>
      <w:r w:rsidR="001D5980">
        <w:rPr>
          <w:bCs/>
        </w:rPr>
        <w:t xml:space="preserve">project </w:t>
      </w:r>
      <w:r w:rsidR="00CF4770">
        <w:rPr>
          <w:bCs/>
        </w:rPr>
        <w:t xml:space="preserve">design phase </w:t>
      </w:r>
      <w:r w:rsidR="001938D3">
        <w:rPr>
          <w:bCs/>
        </w:rPr>
        <w:t xml:space="preserve">Governance </w:t>
      </w:r>
      <w:r w:rsidR="000B057E">
        <w:rPr>
          <w:bCs/>
        </w:rPr>
        <w:t>reporting</w:t>
      </w:r>
      <w:r w:rsidR="006D798E">
        <w:rPr>
          <w:bCs/>
        </w:rPr>
        <w:t xml:space="preserve"> mechanism</w:t>
      </w:r>
      <w:r w:rsidR="00662A04">
        <w:rPr>
          <w:bCs/>
        </w:rPr>
        <w:t>.</w:t>
      </w:r>
    </w:p>
    <w:p w14:paraId="161CD2A2" w14:textId="77777777" w:rsidR="00B85384" w:rsidRPr="00F93F82" w:rsidRDefault="00B85384" w:rsidP="004C067A">
      <w:pPr>
        <w:pStyle w:val="ListParagraph"/>
        <w:ind w:left="1080"/>
        <w:rPr>
          <w:bCs/>
        </w:rPr>
      </w:pPr>
    </w:p>
    <w:p w14:paraId="20153C36" w14:textId="253E9A01" w:rsidR="00B85384" w:rsidRDefault="00977196" w:rsidP="00444BDC">
      <w:pPr>
        <w:rPr>
          <w:bCs/>
        </w:rPr>
      </w:pPr>
      <w:r>
        <w:rPr>
          <w:bCs/>
        </w:rPr>
        <w:t>The</w:t>
      </w:r>
      <w:r w:rsidR="00A57936">
        <w:rPr>
          <w:bCs/>
        </w:rPr>
        <w:t xml:space="preserve"> </w:t>
      </w:r>
      <w:r w:rsidR="007114FA">
        <w:rPr>
          <w:bCs/>
        </w:rPr>
        <w:t>DA review</w:t>
      </w:r>
      <w:r w:rsidR="00F90B15">
        <w:rPr>
          <w:bCs/>
        </w:rPr>
        <w:t xml:space="preserve"> </w:t>
      </w:r>
      <w:r w:rsidR="007114FA">
        <w:rPr>
          <w:bCs/>
        </w:rPr>
        <w:t>assesses</w:t>
      </w:r>
      <w:r w:rsidR="00734A93">
        <w:rPr>
          <w:bCs/>
        </w:rPr>
        <w:t>:</w:t>
      </w:r>
    </w:p>
    <w:p w14:paraId="09B07DC9" w14:textId="77777777" w:rsidR="00B10295" w:rsidRDefault="00B10295" w:rsidP="00444BDC">
      <w:pPr>
        <w:rPr>
          <w:bCs/>
        </w:rPr>
      </w:pPr>
    </w:p>
    <w:p w14:paraId="75F1D977" w14:textId="504FC9FE" w:rsidR="000D10D7" w:rsidRPr="000D10D7" w:rsidRDefault="003B3232" w:rsidP="007A4B9A">
      <w:pPr>
        <w:pStyle w:val="ListParagraph"/>
        <w:ind w:left="0"/>
        <w:jc w:val="both"/>
        <w:rPr>
          <w:bCs/>
        </w:rPr>
      </w:pPr>
      <w:r>
        <w:rPr>
          <w:noProof/>
        </w:rPr>
        <w:drawing>
          <wp:inline distT="0" distB="0" distL="0" distR="0" wp14:anchorId="2004F0EA" wp14:editId="0B5AB0E1">
            <wp:extent cx="6288311" cy="2800350"/>
            <wp:effectExtent l="0" t="0" r="0" b="0"/>
            <wp:docPr id="576323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23909" name="Picture 3"/>
                    <pic:cNvPicPr/>
                  </pic:nvPicPr>
                  <pic:blipFill>
                    <a:blip r:embed="rId40">
                      <a:extLst>
                        <a:ext uri="{28A0092B-C50C-407E-A947-70E740481C1C}">
                          <a14:useLocalDpi xmlns:a14="http://schemas.microsoft.com/office/drawing/2010/main"/>
                        </a:ext>
                      </a:extLst>
                    </a:blip>
                    <a:stretch>
                      <a:fillRect/>
                    </a:stretch>
                  </pic:blipFill>
                  <pic:spPr>
                    <a:xfrm>
                      <a:off x="0" y="0"/>
                      <a:ext cx="6294503" cy="2803107"/>
                    </a:xfrm>
                    <a:prstGeom prst="rect">
                      <a:avLst/>
                    </a:prstGeom>
                  </pic:spPr>
                </pic:pic>
              </a:graphicData>
            </a:graphic>
          </wp:inline>
        </w:drawing>
      </w:r>
    </w:p>
    <w:p w14:paraId="36645BD1" w14:textId="77777777" w:rsidR="007114FA" w:rsidRDefault="007114FA" w:rsidP="00E6165C">
      <w:pPr>
        <w:jc w:val="center"/>
        <w:rPr>
          <w:bCs/>
        </w:rPr>
      </w:pPr>
    </w:p>
    <w:p w14:paraId="5C3DA89C" w14:textId="77777777" w:rsidR="000A5180" w:rsidRDefault="000A5180">
      <w:pPr>
        <w:rPr>
          <w:bCs/>
        </w:rPr>
      </w:pPr>
    </w:p>
    <w:p w14:paraId="7FBC80C1" w14:textId="77777777" w:rsidR="009E5378" w:rsidRDefault="009E5378" w:rsidP="007B6A42">
      <w:pPr>
        <w:pStyle w:val="ListParagraph"/>
        <w:rPr>
          <w:bCs/>
        </w:rPr>
      </w:pPr>
    </w:p>
    <w:p w14:paraId="173D75EA" w14:textId="77777777" w:rsidR="00B10295" w:rsidRPr="009E5378" w:rsidRDefault="00B10295" w:rsidP="007B6A42">
      <w:pPr>
        <w:pStyle w:val="ListParagraph"/>
        <w:rPr>
          <w:bCs/>
        </w:rPr>
      </w:pPr>
    </w:p>
    <w:p w14:paraId="38599836" w14:textId="6A299108" w:rsidR="000F5732" w:rsidRDefault="0037425E" w:rsidP="001024D1">
      <w:pPr>
        <w:rPr>
          <w:bCs/>
        </w:rPr>
      </w:pPr>
      <w:r>
        <w:rPr>
          <w:bCs/>
        </w:rPr>
        <w:lastRenderedPageBreak/>
        <w:t>Assurance</w:t>
      </w:r>
      <w:r w:rsidR="001F3E6B">
        <w:rPr>
          <w:bCs/>
        </w:rPr>
        <w:t xml:space="preserve"> is</w:t>
      </w:r>
      <w:r w:rsidR="000F5732">
        <w:rPr>
          <w:bCs/>
        </w:rPr>
        <w:t xml:space="preserve"> provided in three ways</w:t>
      </w:r>
      <w:r w:rsidR="00F739F7">
        <w:rPr>
          <w:bCs/>
        </w:rPr>
        <w:t>.</w:t>
      </w:r>
    </w:p>
    <w:p w14:paraId="6360ACD1" w14:textId="0C569B1B" w:rsidR="000F5732" w:rsidRPr="001024D1" w:rsidRDefault="000F5732" w:rsidP="001024D1">
      <w:pPr>
        <w:rPr>
          <w:bCs/>
        </w:rPr>
      </w:pPr>
      <w:r>
        <w:rPr>
          <w:bCs/>
          <w:noProof/>
        </w:rPr>
        <w:drawing>
          <wp:inline distT="0" distB="0" distL="0" distR="0" wp14:anchorId="7189207D" wp14:editId="7AE95B3E">
            <wp:extent cx="5856232" cy="3164619"/>
            <wp:effectExtent l="0" t="0" r="0" b="0"/>
            <wp:docPr id="1494486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86912" name="Picture 2"/>
                    <pic:cNvPicPr/>
                  </pic:nvPicPr>
                  <pic:blipFill>
                    <a:blip r:embed="rId41">
                      <a:extLst>
                        <a:ext uri="{28A0092B-C50C-407E-A947-70E740481C1C}">
                          <a14:useLocalDpi xmlns:a14="http://schemas.microsoft.com/office/drawing/2010/main" val="0"/>
                        </a:ext>
                      </a:extLst>
                    </a:blip>
                    <a:stretch>
                      <a:fillRect/>
                    </a:stretch>
                  </pic:blipFill>
                  <pic:spPr>
                    <a:xfrm>
                      <a:off x="0" y="0"/>
                      <a:ext cx="5871264" cy="3172742"/>
                    </a:xfrm>
                    <a:prstGeom prst="rect">
                      <a:avLst/>
                    </a:prstGeom>
                  </pic:spPr>
                </pic:pic>
              </a:graphicData>
            </a:graphic>
          </wp:inline>
        </w:drawing>
      </w:r>
    </w:p>
    <w:p w14:paraId="3F2680D8" w14:textId="2C33D69C" w:rsidR="00B82D8F" w:rsidRDefault="00D4004A" w:rsidP="00B82D8F">
      <w:pPr>
        <w:pStyle w:val="NumberedHeading2"/>
      </w:pPr>
      <w:bookmarkStart w:id="25" w:name="_Toc210288809"/>
      <w:r>
        <w:t>S</w:t>
      </w:r>
      <w:r w:rsidR="00B572E5">
        <w:t>cope</w:t>
      </w:r>
      <w:bookmarkEnd w:id="25"/>
    </w:p>
    <w:p w14:paraId="2A19236C" w14:textId="3CFFAF12" w:rsidR="00B82D8F" w:rsidRPr="000050B2" w:rsidRDefault="00B3264B" w:rsidP="00B82D8F">
      <w:r>
        <w:t>DA</w:t>
      </w:r>
      <w:r w:rsidR="00F64CB4">
        <w:t xml:space="preserve"> is required for </w:t>
      </w:r>
      <w:r w:rsidR="00B82D8F" w:rsidRPr="00775223">
        <w:t>new building</w:t>
      </w:r>
      <w:r w:rsidR="006473C0">
        <w:t>s</w:t>
      </w:r>
      <w:r>
        <w:t xml:space="preserve"> </w:t>
      </w:r>
      <w:r w:rsidR="00B82D8F" w:rsidRPr="00775223">
        <w:t>and significant refurbishments</w:t>
      </w:r>
      <w:r>
        <w:t xml:space="preserve"> </w:t>
      </w:r>
      <w:r w:rsidR="00B82D8F" w:rsidRPr="00775223">
        <w:t>including alterations to existing buildings. Where a building is repurposed (</w:t>
      </w:r>
      <w:r w:rsidR="00F83486" w:rsidRPr="00775223">
        <w:t>e.g.</w:t>
      </w:r>
      <w:r w:rsidR="00B82D8F" w:rsidRPr="00775223">
        <w:t xml:space="preserve"> converted from a ward to an office space), the repurposed facilities must meet the requirements for the new occupancy type.</w:t>
      </w:r>
    </w:p>
    <w:p w14:paraId="2170B3B6" w14:textId="4B2F16D6" w:rsidR="00B82D8F" w:rsidRPr="00775223" w:rsidRDefault="00B82D8F" w:rsidP="00B82D8F">
      <w:r w:rsidRPr="00775223">
        <w:t>Minor renovations, maintenance and cosmetic upgrades</w:t>
      </w:r>
      <w:r w:rsidR="00676844">
        <w:t xml:space="preserve"> (like-for like)</w:t>
      </w:r>
      <w:r w:rsidRPr="00775223">
        <w:t xml:space="preserve"> are not covered by the </w:t>
      </w:r>
      <w:r w:rsidR="00676844">
        <w:t>DA</w:t>
      </w:r>
      <w:r w:rsidRPr="00775223">
        <w:t xml:space="preserve"> processes, but </w:t>
      </w:r>
      <w:r w:rsidR="006E1B25">
        <w:t>design proposals</w:t>
      </w:r>
      <w:r w:rsidR="006E1B25" w:rsidRPr="00775223">
        <w:t xml:space="preserve"> </w:t>
      </w:r>
      <w:r w:rsidRPr="00775223">
        <w:t xml:space="preserve">should be aligned with AusHFG and </w:t>
      </w:r>
      <w:r w:rsidR="00A77846">
        <w:t xml:space="preserve">NZ </w:t>
      </w:r>
      <w:r w:rsidRPr="00775223">
        <w:t xml:space="preserve">DGN. </w:t>
      </w:r>
    </w:p>
    <w:p w14:paraId="197B40F3" w14:textId="77777777" w:rsidR="003E2F57" w:rsidRDefault="006E1B25" w:rsidP="00B82D8F">
      <w:r>
        <w:t xml:space="preserve">DA </w:t>
      </w:r>
      <w:r w:rsidR="00C7084D">
        <w:t>is</w:t>
      </w:r>
      <w:r w:rsidR="00B82D8F" w:rsidRPr="00775223">
        <w:t xml:space="preserve"> tailored to suit the size and complexity of the project, with resources targeted to the highest value, mo</w:t>
      </w:r>
      <w:r w:rsidR="00EE71F3">
        <w:t>s</w:t>
      </w:r>
      <w:r w:rsidR="00B82D8F" w:rsidRPr="00775223">
        <w:t>t complex projects</w:t>
      </w:r>
      <w:r w:rsidR="00E15DE0">
        <w:t>.</w:t>
      </w:r>
    </w:p>
    <w:p w14:paraId="3CA7B7F4" w14:textId="0AB65479" w:rsidR="00250EEB" w:rsidRDefault="0049239D" w:rsidP="00B82D8F">
      <w:r>
        <w:t xml:space="preserve">The DA </w:t>
      </w:r>
      <w:r w:rsidR="00CA48BB">
        <w:t>Threshold Tool</w:t>
      </w:r>
      <w:r w:rsidR="00291C66">
        <w:t xml:space="preserve"> is</w:t>
      </w:r>
      <w:r w:rsidR="00CA48BB">
        <w:t xml:space="preserve"> used </w:t>
      </w:r>
      <w:r>
        <w:t>to determine the</w:t>
      </w:r>
      <w:r w:rsidR="00CA48BB">
        <w:t xml:space="preserve"> review</w:t>
      </w:r>
      <w:r>
        <w:t xml:space="preserve"> type</w:t>
      </w:r>
      <w:r w:rsidR="00CA48BB">
        <w:t xml:space="preserve">. </w:t>
      </w:r>
      <w:r w:rsidR="00F41A10">
        <w:t>See</w:t>
      </w:r>
      <w:r w:rsidR="00CA48BB">
        <w:t xml:space="preserve"> Appendix </w:t>
      </w:r>
      <w:r w:rsidR="0071015B">
        <w:t>A</w:t>
      </w:r>
      <w:r w:rsidR="00A214DF">
        <w:t>.</w:t>
      </w:r>
    </w:p>
    <w:p w14:paraId="734E4FF3" w14:textId="21C08EC1" w:rsidR="003E2F57" w:rsidRDefault="00D13EE4" w:rsidP="00B82D8F">
      <w:r>
        <w:t xml:space="preserve">The </w:t>
      </w:r>
      <w:r w:rsidR="00250EEB">
        <w:t>foll</w:t>
      </w:r>
      <w:r w:rsidR="002C2434">
        <w:t xml:space="preserve">owing </w:t>
      </w:r>
      <w:r>
        <w:t xml:space="preserve">diagram </w:t>
      </w:r>
      <w:r w:rsidR="00FA543B">
        <w:t>illustrates</w:t>
      </w:r>
      <w:r>
        <w:t xml:space="preserve"> this process.</w:t>
      </w:r>
    </w:p>
    <w:p w14:paraId="2E9CAE11" w14:textId="62D07CBD" w:rsidR="00CA48BB" w:rsidRDefault="00CB46E4" w:rsidP="00B82D8F">
      <w:r>
        <w:rPr>
          <w:noProof/>
        </w:rPr>
        <w:lastRenderedPageBreak/>
        <w:drawing>
          <wp:inline distT="0" distB="0" distL="0" distR="0" wp14:anchorId="3A098164" wp14:editId="7CBB3494">
            <wp:extent cx="6645910" cy="3046095"/>
            <wp:effectExtent l="0" t="0" r="2540" b="1905"/>
            <wp:docPr id="1223270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45414" name="Picture 918245414"/>
                    <pic:cNvPicPr/>
                  </pic:nvPicPr>
                  <pic:blipFill>
                    <a:blip r:embed="rId42">
                      <a:extLst>
                        <a:ext uri="{28A0092B-C50C-407E-A947-70E740481C1C}">
                          <a14:useLocalDpi xmlns:a14="http://schemas.microsoft.com/office/drawing/2010/main" val="0"/>
                        </a:ext>
                      </a:extLst>
                    </a:blip>
                    <a:stretch>
                      <a:fillRect/>
                    </a:stretch>
                  </pic:blipFill>
                  <pic:spPr>
                    <a:xfrm>
                      <a:off x="0" y="0"/>
                      <a:ext cx="6645910" cy="3046095"/>
                    </a:xfrm>
                    <a:prstGeom prst="rect">
                      <a:avLst/>
                    </a:prstGeom>
                  </pic:spPr>
                </pic:pic>
              </a:graphicData>
            </a:graphic>
          </wp:inline>
        </w:drawing>
      </w:r>
    </w:p>
    <w:p w14:paraId="18FEC7BF" w14:textId="543A7114" w:rsidR="00CA48BB" w:rsidRDefault="00CA48BB" w:rsidP="00B82D8F"/>
    <w:p w14:paraId="4A37FD84" w14:textId="3BC2CB22" w:rsidR="00C947ED" w:rsidRDefault="00C947ED" w:rsidP="00C947ED">
      <w:pPr>
        <w:pStyle w:val="NumberedHeading2"/>
      </w:pPr>
      <w:bookmarkStart w:id="26" w:name="_Toc210288810"/>
      <w:r>
        <w:t>Desktop Review</w:t>
      </w:r>
      <w:bookmarkEnd w:id="26"/>
      <w:r>
        <w:t xml:space="preserve"> </w:t>
      </w:r>
    </w:p>
    <w:p w14:paraId="61059043" w14:textId="31C85833" w:rsidR="00C947ED" w:rsidRDefault="00C947ED" w:rsidP="00C947ED">
      <w:pPr>
        <w:pStyle w:val="Heading3"/>
        <w:rPr>
          <w:rFonts w:asciiTheme="minorHAnsi" w:eastAsiaTheme="minorHAnsi" w:hAnsiTheme="minorHAnsi" w:cstheme="minorBidi"/>
          <w:b w:val="0"/>
          <w:color w:val="auto"/>
          <w:sz w:val="24"/>
          <w:szCs w:val="22"/>
        </w:rPr>
      </w:pPr>
      <w:r>
        <w:rPr>
          <w:rFonts w:asciiTheme="minorHAnsi" w:eastAsiaTheme="minorHAnsi" w:hAnsiTheme="minorHAnsi" w:cstheme="minorBidi"/>
          <w:b w:val="0"/>
          <w:color w:val="auto"/>
          <w:sz w:val="24"/>
          <w:szCs w:val="22"/>
        </w:rPr>
        <w:t>The desktop</w:t>
      </w:r>
      <w:r w:rsidR="00C10CD9">
        <w:rPr>
          <w:rFonts w:asciiTheme="minorHAnsi" w:eastAsiaTheme="minorHAnsi" w:hAnsiTheme="minorHAnsi" w:cstheme="minorBidi"/>
          <w:b w:val="0"/>
          <w:color w:val="auto"/>
          <w:sz w:val="24"/>
          <w:szCs w:val="22"/>
        </w:rPr>
        <w:t xml:space="preserve"> DA</w:t>
      </w:r>
      <w:r>
        <w:rPr>
          <w:rFonts w:asciiTheme="minorHAnsi" w:eastAsiaTheme="minorHAnsi" w:hAnsiTheme="minorHAnsi" w:cstheme="minorBidi"/>
          <w:b w:val="0"/>
          <w:color w:val="auto"/>
          <w:sz w:val="24"/>
          <w:szCs w:val="22"/>
        </w:rPr>
        <w:t xml:space="preserve"> review for less complex projects, is a h</w:t>
      </w:r>
      <w:r w:rsidRPr="004C49FD">
        <w:rPr>
          <w:rFonts w:asciiTheme="minorHAnsi" w:eastAsiaTheme="minorHAnsi" w:hAnsiTheme="minorHAnsi" w:cstheme="minorBidi"/>
          <w:b w:val="0"/>
          <w:color w:val="auto"/>
          <w:sz w:val="24"/>
          <w:szCs w:val="22"/>
        </w:rPr>
        <w:t xml:space="preserve">igh-level </w:t>
      </w:r>
      <w:r>
        <w:rPr>
          <w:rFonts w:asciiTheme="minorHAnsi" w:eastAsiaTheme="minorHAnsi" w:hAnsiTheme="minorHAnsi" w:cstheme="minorBidi"/>
          <w:b w:val="0"/>
          <w:color w:val="auto"/>
          <w:sz w:val="24"/>
          <w:szCs w:val="22"/>
        </w:rPr>
        <w:t>tailored assessment of the design processes that have been integrated within the project. It is usually undertaken</w:t>
      </w:r>
      <w:r w:rsidRPr="004C49FD">
        <w:rPr>
          <w:rFonts w:asciiTheme="minorHAnsi" w:eastAsiaTheme="minorHAnsi" w:hAnsiTheme="minorHAnsi" w:cstheme="minorBidi"/>
          <w:b w:val="0"/>
          <w:color w:val="auto"/>
          <w:sz w:val="24"/>
          <w:szCs w:val="22"/>
        </w:rPr>
        <w:t xml:space="preserve"> </w:t>
      </w:r>
      <w:r>
        <w:rPr>
          <w:rFonts w:asciiTheme="minorHAnsi" w:eastAsiaTheme="minorHAnsi" w:hAnsiTheme="minorHAnsi" w:cstheme="minorBidi"/>
          <w:b w:val="0"/>
          <w:color w:val="auto"/>
          <w:sz w:val="24"/>
          <w:szCs w:val="22"/>
        </w:rPr>
        <w:t xml:space="preserve">at </w:t>
      </w:r>
      <w:r w:rsidRPr="004C49FD">
        <w:rPr>
          <w:rFonts w:asciiTheme="minorHAnsi" w:eastAsiaTheme="minorHAnsi" w:hAnsiTheme="minorHAnsi" w:cstheme="minorBidi"/>
          <w:b w:val="0"/>
          <w:color w:val="auto"/>
          <w:sz w:val="24"/>
          <w:szCs w:val="22"/>
        </w:rPr>
        <w:t>Concept Design</w:t>
      </w:r>
      <w:r>
        <w:rPr>
          <w:rFonts w:asciiTheme="minorHAnsi" w:eastAsiaTheme="minorHAnsi" w:hAnsiTheme="minorHAnsi" w:cstheme="minorBidi"/>
          <w:b w:val="0"/>
          <w:color w:val="auto"/>
          <w:sz w:val="24"/>
          <w:szCs w:val="22"/>
        </w:rPr>
        <w:t xml:space="preserve">.  </w:t>
      </w:r>
    </w:p>
    <w:p w14:paraId="2D7C35FB" w14:textId="77777777" w:rsidR="00C947ED" w:rsidRDefault="00C947ED" w:rsidP="00C947ED">
      <w:r>
        <w:t>Available project design phase documentation is reviewed and a report that includes recommendations for consideration by Project Governance is provided.</w:t>
      </w:r>
    </w:p>
    <w:p w14:paraId="112F9748" w14:textId="77777777" w:rsidR="00C947ED" w:rsidRPr="004C49FD" w:rsidRDefault="00C947ED" w:rsidP="00C947ED">
      <w:r>
        <w:rPr>
          <w:noProof/>
        </w:rPr>
        <w:drawing>
          <wp:inline distT="0" distB="0" distL="0" distR="0" wp14:anchorId="67B2DD55" wp14:editId="53E1F080">
            <wp:extent cx="6120130" cy="1602105"/>
            <wp:effectExtent l="0" t="0" r="0" b="0"/>
            <wp:docPr id="1913031065" name="Picture 2"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16918" name="Picture 2" descr="A blue rectangle with white text&#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6120130" cy="1602105"/>
                    </a:xfrm>
                    <a:prstGeom prst="rect">
                      <a:avLst/>
                    </a:prstGeom>
                  </pic:spPr>
                </pic:pic>
              </a:graphicData>
            </a:graphic>
          </wp:inline>
        </w:drawing>
      </w:r>
    </w:p>
    <w:p w14:paraId="69CB685D" w14:textId="6F1DB20B" w:rsidR="00C947ED" w:rsidRDefault="00C947ED" w:rsidP="00C947ED">
      <w:pPr>
        <w:pStyle w:val="NumberedHeading2"/>
      </w:pPr>
      <w:bookmarkStart w:id="27" w:name="_Toc210288811"/>
      <w:r>
        <w:t>Full Review</w:t>
      </w:r>
      <w:bookmarkEnd w:id="27"/>
      <w:r>
        <w:t xml:space="preserve"> </w:t>
      </w:r>
    </w:p>
    <w:p w14:paraId="3B6FB55E" w14:textId="77777777" w:rsidR="00C947ED" w:rsidRDefault="00C947ED" w:rsidP="00C947ED">
      <w:pPr>
        <w:rPr>
          <w:bCs/>
        </w:rPr>
      </w:pPr>
      <w:r w:rsidRPr="003C4CE7">
        <w:rPr>
          <w:bCs/>
        </w:rPr>
        <w:t xml:space="preserve">The </w:t>
      </w:r>
      <w:r>
        <w:rPr>
          <w:bCs/>
        </w:rPr>
        <w:t>full</w:t>
      </w:r>
      <w:r w:rsidRPr="003C4CE7">
        <w:rPr>
          <w:bCs/>
        </w:rPr>
        <w:t xml:space="preserve"> DA review</w:t>
      </w:r>
      <w:r>
        <w:rPr>
          <w:bCs/>
        </w:rPr>
        <w:t xml:space="preserve"> for complex, larger scaled projects, is process and evidence based and is g</w:t>
      </w:r>
      <w:r w:rsidRPr="003C3766">
        <w:rPr>
          <w:bCs/>
        </w:rPr>
        <w:t xml:space="preserve">uided by the </w:t>
      </w:r>
      <w:r>
        <w:rPr>
          <w:bCs/>
        </w:rPr>
        <w:t xml:space="preserve">appropriate design phase </w:t>
      </w:r>
      <w:r w:rsidRPr="003C3766">
        <w:rPr>
          <w:bCs/>
        </w:rPr>
        <w:t>DA template item list</w:t>
      </w:r>
      <w:r>
        <w:rPr>
          <w:bCs/>
        </w:rPr>
        <w:t>.</w:t>
      </w:r>
    </w:p>
    <w:p w14:paraId="478D9B1C" w14:textId="77777777" w:rsidR="00C947ED" w:rsidRDefault="00C947ED" w:rsidP="00C947ED">
      <w:pPr>
        <w:rPr>
          <w:bCs/>
        </w:rPr>
      </w:pPr>
      <w:r>
        <w:rPr>
          <w:bCs/>
        </w:rPr>
        <w:t xml:space="preserve">It is </w:t>
      </w:r>
      <w:r w:rsidRPr="001852A7">
        <w:rPr>
          <w:b/>
        </w:rPr>
        <w:t>not</w:t>
      </w:r>
      <w:r>
        <w:rPr>
          <w:bCs/>
        </w:rPr>
        <w:t xml:space="preserve"> a design review but </w:t>
      </w:r>
      <w:r w:rsidRPr="00ED25F2">
        <w:rPr>
          <w:bCs/>
        </w:rPr>
        <w:t>assesses</w:t>
      </w:r>
      <w:r>
        <w:rPr>
          <w:bCs/>
        </w:rPr>
        <w:t xml:space="preserve"> in detail,</w:t>
      </w:r>
      <w:r w:rsidRPr="00ED25F2">
        <w:rPr>
          <w:bCs/>
        </w:rPr>
        <w:t xml:space="preserve"> the </w:t>
      </w:r>
      <w:r>
        <w:rPr>
          <w:bCs/>
        </w:rPr>
        <w:t xml:space="preserve">design </w:t>
      </w:r>
      <w:r w:rsidRPr="00ED25F2">
        <w:rPr>
          <w:bCs/>
        </w:rPr>
        <w:t>processes that have been integrated within the project</w:t>
      </w:r>
      <w:r>
        <w:rPr>
          <w:bCs/>
        </w:rPr>
        <w:t xml:space="preserve">. </w:t>
      </w:r>
    </w:p>
    <w:p w14:paraId="1E845159" w14:textId="77777777" w:rsidR="00C947ED" w:rsidRDefault="00C947ED" w:rsidP="00C947ED">
      <w:pPr>
        <w:rPr>
          <w:bCs/>
        </w:rPr>
      </w:pPr>
      <w:r>
        <w:rPr>
          <w:bCs/>
        </w:rPr>
        <w:t>An independent Peer Review is undertaken at Concept Design and provides a deep dive, expert assessment of the design proposal.</w:t>
      </w:r>
    </w:p>
    <w:p w14:paraId="265A271D" w14:textId="6D5CD911" w:rsidR="006C60A8" w:rsidRDefault="006C60A8" w:rsidP="00B82D8F"/>
    <w:p w14:paraId="26E92284" w14:textId="4239A264" w:rsidR="00B82D8F" w:rsidRDefault="009352AF" w:rsidP="00B82D8F">
      <w:pPr>
        <w:pStyle w:val="NumberedHeading2"/>
      </w:pPr>
      <w:bookmarkStart w:id="28" w:name="_Toc210288812"/>
      <w:r>
        <w:t>Timing</w:t>
      </w:r>
      <w:bookmarkEnd w:id="28"/>
    </w:p>
    <w:p w14:paraId="10320978" w14:textId="11D3D7DF" w:rsidR="00B82D8F" w:rsidRDefault="00AB660E" w:rsidP="00B82D8F">
      <w:r>
        <w:t>D</w:t>
      </w:r>
      <w:r w:rsidR="00A07226">
        <w:t>A</w:t>
      </w:r>
      <w:r>
        <w:t xml:space="preserve"> reviews are</w:t>
      </w:r>
      <w:r w:rsidR="00A07226">
        <w:t xml:space="preserve"> undertaken</w:t>
      </w:r>
      <w:r w:rsidR="00B82D8F">
        <w:t xml:space="preserve"> at</w:t>
      </w:r>
      <w:r w:rsidR="00C859D8">
        <w:t xml:space="preserve"> the completion of</w:t>
      </w:r>
      <w:r w:rsidR="00A07226">
        <w:t>:</w:t>
      </w:r>
    </w:p>
    <w:p w14:paraId="69F82C2B" w14:textId="5BBFFBEB" w:rsidR="00B82D8F" w:rsidRDefault="00B82D8F" w:rsidP="00B82D8F">
      <w:pPr>
        <w:pStyle w:val="ListBullet"/>
      </w:pPr>
      <w:r>
        <w:t>Concept Design</w:t>
      </w:r>
    </w:p>
    <w:p w14:paraId="70C34F2D" w14:textId="6F303BA3" w:rsidR="00B82D8F" w:rsidRDefault="00B82D8F" w:rsidP="00B82D8F">
      <w:pPr>
        <w:pStyle w:val="ListBullet"/>
      </w:pPr>
      <w:r>
        <w:t xml:space="preserve">Preliminary Design </w:t>
      </w:r>
    </w:p>
    <w:p w14:paraId="510AD3C4" w14:textId="5B31B949" w:rsidR="00C53DEB" w:rsidRDefault="00B82D8F" w:rsidP="00B625EA">
      <w:pPr>
        <w:pStyle w:val="ListBullet"/>
      </w:pPr>
      <w:r>
        <w:t>Developed Design.</w:t>
      </w:r>
    </w:p>
    <w:p w14:paraId="2E86A7DC" w14:textId="0B15B41D" w:rsidR="008D74FB" w:rsidRDefault="008D74FB" w:rsidP="00DD554F">
      <w:pPr>
        <w:pStyle w:val="ListBullet"/>
        <w:numPr>
          <w:ilvl w:val="0"/>
          <w:numId w:val="0"/>
        </w:numPr>
      </w:pPr>
      <w:r>
        <w:t>Fur</w:t>
      </w:r>
      <w:r w:rsidR="000C7174">
        <w:t xml:space="preserve">ther </w:t>
      </w:r>
      <w:r w:rsidR="00375226">
        <w:t xml:space="preserve">DA </w:t>
      </w:r>
      <w:r w:rsidR="000C7174">
        <w:t xml:space="preserve">project support may be provided </w:t>
      </w:r>
      <w:r w:rsidR="00FE3A7B">
        <w:t xml:space="preserve">to suit the project </w:t>
      </w:r>
      <w:r w:rsidR="009E0AC5">
        <w:t xml:space="preserve">phase </w:t>
      </w:r>
      <w:r w:rsidR="00DD554F">
        <w:t>e.g.</w:t>
      </w:r>
      <w:r w:rsidR="009E0AC5">
        <w:t xml:space="preserve"> Business Case – Test of Fit and </w:t>
      </w:r>
      <w:r w:rsidR="00375226">
        <w:t>M</w:t>
      </w:r>
      <w:r w:rsidR="009E0AC5">
        <w:t>asterplans</w:t>
      </w:r>
      <w:r w:rsidR="00C53DEB">
        <w:t>.</w:t>
      </w:r>
    </w:p>
    <w:p w14:paraId="5F9E7028" w14:textId="5CBE2F67" w:rsidR="00B82D8F" w:rsidRDefault="00DD554F" w:rsidP="000904D5">
      <w:pPr>
        <w:pStyle w:val="NumberedHeading2"/>
      </w:pPr>
      <w:bookmarkStart w:id="29" w:name="_Toc210288813"/>
      <w:r>
        <w:t>P</w:t>
      </w:r>
      <w:r w:rsidR="00D4004A">
        <w:t>rocess</w:t>
      </w:r>
      <w:bookmarkEnd w:id="29"/>
    </w:p>
    <w:p w14:paraId="5D4779F2" w14:textId="3ADFBB02" w:rsidR="003F7F82" w:rsidRDefault="00792F7D" w:rsidP="00DB44BD">
      <w:r>
        <w:t>The following process</w:t>
      </w:r>
      <w:r w:rsidR="003F7F82">
        <w:t xml:space="preserve"> is used to commence a</w:t>
      </w:r>
      <w:r w:rsidR="00BB5699">
        <w:t xml:space="preserve"> DA review</w:t>
      </w:r>
      <w:r w:rsidR="009A5A07">
        <w:t>:</w:t>
      </w:r>
    </w:p>
    <w:p w14:paraId="5728742A" w14:textId="77777777" w:rsidR="00281EFF" w:rsidRDefault="000E3701" w:rsidP="000E3701">
      <w:pPr>
        <w:pStyle w:val="ListParagraph"/>
        <w:numPr>
          <w:ilvl w:val="0"/>
          <w:numId w:val="19"/>
        </w:numPr>
      </w:pPr>
      <w:proofErr w:type="gramStart"/>
      <w:r>
        <w:t>Make contact with</w:t>
      </w:r>
      <w:proofErr w:type="gramEnd"/>
      <w:r>
        <w:t xml:space="preserve"> the National Facility Design Advisory and Assurance Team</w:t>
      </w:r>
    </w:p>
    <w:p w14:paraId="7F57AD51" w14:textId="40726057" w:rsidR="00A04023" w:rsidRDefault="00A04023" w:rsidP="00DF1836">
      <w:pPr>
        <w:pStyle w:val="ListParagraph"/>
        <w:rPr>
          <w:b/>
          <w:bCs/>
        </w:rPr>
      </w:pPr>
      <w:hyperlink r:id="rId44" w:history="1">
        <w:r w:rsidRPr="00340960">
          <w:rPr>
            <w:rStyle w:val="Hyperlink"/>
            <w:b w:val="0"/>
            <w:bCs/>
          </w:rPr>
          <w:t>facility.design@tewhatuora.govt.nz</w:t>
        </w:r>
      </w:hyperlink>
    </w:p>
    <w:p w14:paraId="4E1EC8BF" w14:textId="77777777" w:rsidR="00750D73" w:rsidRPr="00DF1836" w:rsidRDefault="00750D73" w:rsidP="00750D73">
      <w:pPr>
        <w:pStyle w:val="ListParagraph"/>
        <w:rPr>
          <w:b/>
          <w:bCs/>
        </w:rPr>
      </w:pPr>
    </w:p>
    <w:p w14:paraId="627E1E96" w14:textId="1EF87EF6" w:rsidR="003F57DF" w:rsidRDefault="00541F0E" w:rsidP="00DF1836">
      <w:pPr>
        <w:pStyle w:val="ListParagraph"/>
        <w:numPr>
          <w:ilvl w:val="0"/>
          <w:numId w:val="19"/>
        </w:numPr>
      </w:pPr>
      <w:r>
        <w:t>Use the DA Threshold Tool to establish the type of</w:t>
      </w:r>
      <w:r w:rsidR="00A04023">
        <w:t xml:space="preserve"> DA review that will be required</w:t>
      </w:r>
      <w:r w:rsidR="00A77A4F">
        <w:t xml:space="preserve"> (see </w:t>
      </w:r>
      <w:r w:rsidR="00B625EA">
        <w:t>Appendix</w:t>
      </w:r>
      <w:r w:rsidR="00A77A4F">
        <w:t xml:space="preserve"> A</w:t>
      </w:r>
      <w:r w:rsidR="00B625EA">
        <w:t>)</w:t>
      </w:r>
    </w:p>
    <w:p w14:paraId="4B3FCC0C" w14:textId="77777777" w:rsidR="00750D73" w:rsidRDefault="00750D73" w:rsidP="00750D73">
      <w:pPr>
        <w:pStyle w:val="ListParagraph"/>
      </w:pPr>
    </w:p>
    <w:p w14:paraId="6E984C21" w14:textId="592996BE" w:rsidR="00281EFF" w:rsidRDefault="00C954B5" w:rsidP="00D904E9">
      <w:pPr>
        <w:pStyle w:val="ListParagraph"/>
        <w:numPr>
          <w:ilvl w:val="0"/>
          <w:numId w:val="19"/>
        </w:numPr>
      </w:pPr>
      <w:r>
        <w:t xml:space="preserve">Project DA Initiation Meeting and </w:t>
      </w:r>
      <w:r w:rsidR="00F2510C">
        <w:t xml:space="preserve">ongoing </w:t>
      </w:r>
      <w:r>
        <w:t>support</w:t>
      </w:r>
      <w:r w:rsidR="003F57DF">
        <w:t>.</w:t>
      </w:r>
      <w:r w:rsidR="009352AF">
        <w:t xml:space="preserve"> </w:t>
      </w:r>
    </w:p>
    <w:p w14:paraId="00E317C2" w14:textId="7C637F64" w:rsidR="00302CBB" w:rsidRDefault="00CD391A" w:rsidP="00CD391A">
      <w:pPr>
        <w:rPr>
          <w:bCs/>
        </w:rPr>
      </w:pPr>
      <w:r>
        <w:rPr>
          <w:bCs/>
        </w:rPr>
        <w:t>Once a review is commenced</w:t>
      </w:r>
      <w:r w:rsidR="000B1CEF">
        <w:rPr>
          <w:bCs/>
        </w:rPr>
        <w:t>,</w:t>
      </w:r>
      <w:r>
        <w:rPr>
          <w:bCs/>
        </w:rPr>
        <w:t xml:space="preserve"> the </w:t>
      </w:r>
      <w:r w:rsidR="00514874">
        <w:rPr>
          <w:bCs/>
        </w:rPr>
        <w:t xml:space="preserve">DA </w:t>
      </w:r>
      <w:r w:rsidR="000B1CEF">
        <w:rPr>
          <w:bCs/>
        </w:rPr>
        <w:t>process is detailed below:</w:t>
      </w:r>
    </w:p>
    <w:p w14:paraId="3C37FD63" w14:textId="32BD08EF" w:rsidR="00302CBB" w:rsidRDefault="00302CBB" w:rsidP="00321249">
      <w:pPr>
        <w:jc w:val="center"/>
        <w:rPr>
          <w:bCs/>
        </w:rPr>
      </w:pPr>
      <w:r>
        <w:rPr>
          <w:noProof/>
        </w:rPr>
        <w:drawing>
          <wp:inline distT="0" distB="0" distL="0" distR="0" wp14:anchorId="190C9118" wp14:editId="1226F826">
            <wp:extent cx="6286500" cy="3398284"/>
            <wp:effectExtent l="0" t="0" r="0" b="0"/>
            <wp:docPr id="438727237" name="Picture 1" descr="A diagram of a project presen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27237" name="Picture 1" descr="A diagram of a project presentation&#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6291286" cy="3400871"/>
                    </a:xfrm>
                    <a:prstGeom prst="rect">
                      <a:avLst/>
                    </a:prstGeom>
                  </pic:spPr>
                </pic:pic>
              </a:graphicData>
            </a:graphic>
          </wp:inline>
        </w:drawing>
      </w:r>
    </w:p>
    <w:p w14:paraId="5462C43A" w14:textId="77777777" w:rsidR="00514874" w:rsidRDefault="00514874" w:rsidP="00514874">
      <w:pPr>
        <w:rPr>
          <w:bCs/>
        </w:rPr>
      </w:pPr>
      <w:r>
        <w:rPr>
          <w:bCs/>
        </w:rPr>
        <w:lastRenderedPageBreak/>
        <w:t>The full DA review is a c</w:t>
      </w:r>
      <w:r w:rsidRPr="003C3766">
        <w:rPr>
          <w:bCs/>
        </w:rPr>
        <w:t>ollaborative and interactive</w:t>
      </w:r>
      <w:r>
        <w:rPr>
          <w:bCs/>
        </w:rPr>
        <w:t xml:space="preserve"> process, which includes the exchange of the </w:t>
      </w:r>
      <w:r w:rsidRPr="003C3766">
        <w:rPr>
          <w:bCs/>
        </w:rPr>
        <w:t>DA template</w:t>
      </w:r>
      <w:r>
        <w:rPr>
          <w:bCs/>
        </w:rPr>
        <w:t xml:space="preserve"> between the project design and the</w:t>
      </w:r>
      <w:r w:rsidRPr="00B704F6">
        <w:t xml:space="preserve"> </w:t>
      </w:r>
      <w:r>
        <w:t>National Facility Design Advisory and Assurance teams</w:t>
      </w:r>
      <w:r w:rsidRPr="003C3766">
        <w:rPr>
          <w:bCs/>
        </w:rPr>
        <w:t>.</w:t>
      </w:r>
      <w:r>
        <w:rPr>
          <w:bCs/>
        </w:rPr>
        <w:t xml:space="preserve"> </w:t>
      </w:r>
    </w:p>
    <w:p w14:paraId="4854EEB7" w14:textId="50235991" w:rsidR="00514874" w:rsidRDefault="00DE1287" w:rsidP="003C3766">
      <w:pPr>
        <w:rPr>
          <w:bCs/>
          <w:noProof/>
        </w:rPr>
      </w:pPr>
      <w:r>
        <w:rPr>
          <w:bCs/>
          <w:noProof/>
        </w:rPr>
        <w:t xml:space="preserve">A peer reivew is </w:t>
      </w:r>
      <w:r w:rsidR="001C48B8">
        <w:rPr>
          <w:bCs/>
          <w:noProof/>
        </w:rPr>
        <w:t xml:space="preserve">required at concept </w:t>
      </w:r>
      <w:r w:rsidR="008C030C">
        <w:rPr>
          <w:bCs/>
          <w:noProof/>
        </w:rPr>
        <w:t xml:space="preserve">design to </w:t>
      </w:r>
      <w:r w:rsidR="009668A8">
        <w:rPr>
          <w:bCs/>
          <w:noProof/>
        </w:rPr>
        <w:t>examine the detail of the design</w:t>
      </w:r>
      <w:r w:rsidR="00073054">
        <w:rPr>
          <w:bCs/>
          <w:noProof/>
        </w:rPr>
        <w:t xml:space="preserve"> </w:t>
      </w:r>
      <w:r w:rsidR="009668A8">
        <w:rPr>
          <w:bCs/>
          <w:noProof/>
        </w:rPr>
        <w:t>proposal.</w:t>
      </w:r>
    </w:p>
    <w:p w14:paraId="7AC8759E" w14:textId="43EFA325" w:rsidR="00560E4D" w:rsidRDefault="009668A8" w:rsidP="003C3766">
      <w:pPr>
        <w:rPr>
          <w:bCs/>
        </w:rPr>
      </w:pPr>
      <w:r>
        <w:rPr>
          <w:bCs/>
          <w:noProof/>
        </w:rPr>
        <w:drawing>
          <wp:inline distT="0" distB="0" distL="0" distR="0" wp14:anchorId="5B52A3B2" wp14:editId="48808DFF">
            <wp:extent cx="4278366" cy="1812897"/>
            <wp:effectExtent l="0" t="0" r="8255" b="0"/>
            <wp:docPr id="1089488071" name="Picture 5"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88071" name="Picture 5" descr="A close-up of a logo&#10;&#10;AI-generated content may be incorrect."/>
                    <pic:cNvPicPr/>
                  </pic:nvPicPr>
                  <pic:blipFill rotWithShape="1">
                    <a:blip r:embed="rId46">
                      <a:extLst>
                        <a:ext uri="{28A0092B-C50C-407E-A947-70E740481C1C}">
                          <a14:useLocalDpi xmlns:a14="http://schemas.microsoft.com/office/drawing/2010/main" val="0"/>
                        </a:ext>
                      </a:extLst>
                    </a:blip>
                    <a:srcRect t="5545" b="5739"/>
                    <a:stretch>
                      <a:fillRect/>
                    </a:stretch>
                  </pic:blipFill>
                  <pic:spPr bwMode="auto">
                    <a:xfrm>
                      <a:off x="0" y="0"/>
                      <a:ext cx="4314863" cy="1828362"/>
                    </a:xfrm>
                    <a:prstGeom prst="rect">
                      <a:avLst/>
                    </a:prstGeom>
                    <a:ln>
                      <a:noFill/>
                    </a:ln>
                    <a:extLst>
                      <a:ext uri="{53640926-AAD7-44D8-BBD7-CCE9431645EC}">
                        <a14:shadowObscured xmlns:a14="http://schemas.microsoft.com/office/drawing/2010/main"/>
                      </a:ext>
                    </a:extLst>
                  </pic:spPr>
                </pic:pic>
              </a:graphicData>
            </a:graphic>
          </wp:inline>
        </w:drawing>
      </w:r>
    </w:p>
    <w:p w14:paraId="7FBFB1ED" w14:textId="77777777" w:rsidR="004B39CD" w:rsidRDefault="004B39CD" w:rsidP="003C3766">
      <w:pPr>
        <w:rPr>
          <w:bCs/>
        </w:rPr>
      </w:pPr>
    </w:p>
    <w:p w14:paraId="6D9C1AC9" w14:textId="582AC6D8" w:rsidR="004E2BE1" w:rsidRDefault="00A7773B" w:rsidP="004E2BE1">
      <w:r>
        <w:t xml:space="preserve">Required </w:t>
      </w:r>
      <w:r w:rsidR="008414DA">
        <w:t xml:space="preserve">project </w:t>
      </w:r>
      <w:r>
        <w:t xml:space="preserve">documentation is </w:t>
      </w:r>
      <w:r w:rsidR="002B0A55">
        <w:t>identified at the top of the design phase DA</w:t>
      </w:r>
      <w:r w:rsidR="008414DA">
        <w:t xml:space="preserve"> template.</w:t>
      </w:r>
      <w:r w:rsidR="0041398A">
        <w:br/>
      </w:r>
      <w:r w:rsidR="004E2BE1">
        <w:t xml:space="preserve">For example, the following </w:t>
      </w:r>
      <w:r w:rsidR="00414FC5">
        <w:t>information</w:t>
      </w:r>
      <w:r w:rsidR="004E2BE1">
        <w:t xml:space="preserve"> is required for the Concept Design DA review.</w:t>
      </w:r>
    </w:p>
    <w:p w14:paraId="1AA5516E" w14:textId="77777777" w:rsidR="005820B3" w:rsidRDefault="00291F1B" w:rsidP="00291F1B">
      <w:pPr>
        <w:jc w:val="center"/>
      </w:pPr>
      <w:r>
        <w:rPr>
          <w:noProof/>
        </w:rPr>
        <w:drawing>
          <wp:inline distT="0" distB="0" distL="0" distR="0" wp14:anchorId="7FB331E4" wp14:editId="1FAB613E">
            <wp:extent cx="2393282" cy="3352800"/>
            <wp:effectExtent l="0" t="0" r="7620" b="0"/>
            <wp:docPr id="1877759302" name="Picture 1"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59302" name="Picture 1" descr="A white rectangular box with black text&#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2425003" cy="3397239"/>
                    </a:xfrm>
                    <a:prstGeom prst="rect">
                      <a:avLst/>
                    </a:prstGeom>
                  </pic:spPr>
                </pic:pic>
              </a:graphicData>
            </a:graphic>
          </wp:inline>
        </w:drawing>
      </w:r>
    </w:p>
    <w:p w14:paraId="07FFF801" w14:textId="6FCCE87A" w:rsidR="00F8723B" w:rsidRDefault="00F8723B" w:rsidP="00252F78">
      <w:r>
        <w:t xml:space="preserve">If documentation is absent or incomplete, the project team </w:t>
      </w:r>
      <w:r w:rsidR="005D5530">
        <w:t>will</w:t>
      </w:r>
      <w:r>
        <w:t xml:space="preserve"> complete the document set as soon as possible</w:t>
      </w:r>
      <w:r w:rsidRPr="00D53122">
        <w:t xml:space="preserve">. The </w:t>
      </w:r>
      <w:r w:rsidR="00E16227" w:rsidRPr="00D53122">
        <w:t>DA</w:t>
      </w:r>
      <w:r w:rsidRPr="00D53122">
        <w:t xml:space="preserve"> process </w:t>
      </w:r>
      <w:r w:rsidR="002B1CB4" w:rsidRPr="00D53122">
        <w:t>may</w:t>
      </w:r>
      <w:r w:rsidR="002B1CB4">
        <w:t xml:space="preserve"> be stalled until</w:t>
      </w:r>
      <w:r w:rsidR="00704E20">
        <w:t xml:space="preserve"> such time that</w:t>
      </w:r>
      <w:r w:rsidR="00D60F1C">
        <w:t xml:space="preserve"> all information is </w:t>
      </w:r>
      <w:r w:rsidR="00D53122">
        <w:t>available.</w:t>
      </w:r>
    </w:p>
    <w:p w14:paraId="004EAF67" w14:textId="3D41EFCC" w:rsidR="0058406F" w:rsidRPr="003C3766" w:rsidRDefault="0058406F" w:rsidP="003C3766"/>
    <w:p w14:paraId="066C862A" w14:textId="0A07DF88" w:rsidR="00696F8C" w:rsidRPr="000904D5" w:rsidRDefault="00696F8C" w:rsidP="000904D5"/>
    <w:p w14:paraId="3B7D62EF" w14:textId="45E0B0B0" w:rsidR="000904D5" w:rsidRDefault="001B1620" w:rsidP="002A1A54">
      <w:pPr>
        <w:pStyle w:val="NumberedHeading2"/>
      </w:pPr>
      <w:bookmarkStart w:id="30" w:name="_Toc210288814"/>
      <w:r>
        <w:lastRenderedPageBreak/>
        <w:t xml:space="preserve">Full </w:t>
      </w:r>
      <w:r w:rsidR="00C83358">
        <w:t>DA</w:t>
      </w:r>
      <w:r w:rsidR="006A36BD">
        <w:t xml:space="preserve"> T</w:t>
      </w:r>
      <w:r w:rsidR="00260751">
        <w:t>e</w:t>
      </w:r>
      <w:r w:rsidR="006A36BD">
        <w:t>mplate</w:t>
      </w:r>
      <w:bookmarkEnd w:id="30"/>
    </w:p>
    <w:p w14:paraId="22EA0D53" w14:textId="5FAD6D70" w:rsidR="00BB5810" w:rsidRDefault="00327EDF" w:rsidP="005F553A">
      <w:r>
        <w:t>The</w:t>
      </w:r>
      <w:r w:rsidR="001C2DFD">
        <w:t xml:space="preserve"> </w:t>
      </w:r>
      <w:r w:rsidR="0018512E">
        <w:t>full DA</w:t>
      </w:r>
      <w:r>
        <w:t xml:space="preserve"> template</w:t>
      </w:r>
      <w:r w:rsidR="005F553A">
        <w:t xml:space="preserve"> </w:t>
      </w:r>
      <w:r w:rsidR="00322256">
        <w:t>include</w:t>
      </w:r>
      <w:r w:rsidR="000970BD">
        <w:t>s</w:t>
      </w:r>
      <w:r w:rsidR="00B44484" w:rsidRPr="00B44484">
        <w:t xml:space="preserve"> assessment items that relate </w:t>
      </w:r>
      <w:r w:rsidR="004B39CD" w:rsidRPr="00B44484">
        <w:t>to</w:t>
      </w:r>
      <w:r w:rsidR="004B39CD">
        <w:t>,</w:t>
      </w:r>
    </w:p>
    <w:p w14:paraId="201B3FC8" w14:textId="4BC05773" w:rsidR="00DB77A1" w:rsidRPr="00DB77A1" w:rsidRDefault="009613B7" w:rsidP="00BB5810">
      <w:pPr>
        <w:pStyle w:val="ListParagraph"/>
        <w:numPr>
          <w:ilvl w:val="0"/>
          <w:numId w:val="14"/>
        </w:numPr>
        <w:rPr>
          <w:b/>
          <w:bCs/>
        </w:rPr>
      </w:pPr>
      <w:r w:rsidRPr="00DB77A1">
        <w:rPr>
          <w:b/>
          <w:bCs/>
        </w:rPr>
        <w:t xml:space="preserve">New Zealand </w:t>
      </w:r>
      <w:r w:rsidR="00F27A86">
        <w:rPr>
          <w:b/>
          <w:bCs/>
        </w:rPr>
        <w:t>D</w:t>
      </w:r>
      <w:r w:rsidRPr="00DB77A1">
        <w:rPr>
          <w:b/>
          <w:bCs/>
        </w:rPr>
        <w:t xml:space="preserve">esign </w:t>
      </w:r>
      <w:r w:rsidR="00F27A86">
        <w:rPr>
          <w:b/>
          <w:bCs/>
        </w:rPr>
        <w:t>G</w:t>
      </w:r>
      <w:r w:rsidRPr="00DB77A1">
        <w:rPr>
          <w:b/>
          <w:bCs/>
        </w:rPr>
        <w:t>uidance</w:t>
      </w:r>
      <w:r w:rsidR="00F27A86">
        <w:rPr>
          <w:b/>
          <w:bCs/>
        </w:rPr>
        <w:t xml:space="preserve"> Note</w:t>
      </w:r>
    </w:p>
    <w:p w14:paraId="3287655B" w14:textId="336E39C7" w:rsidR="00BB5810" w:rsidRDefault="00E14999" w:rsidP="00A1331C">
      <w:pPr>
        <w:pStyle w:val="ListParagraph"/>
        <w:numPr>
          <w:ilvl w:val="0"/>
          <w:numId w:val="24"/>
        </w:numPr>
      </w:pPr>
      <w:r>
        <w:t>a</w:t>
      </w:r>
      <w:r w:rsidR="00BB5810">
        <w:t>lignment with guidance</w:t>
      </w:r>
      <w:r w:rsidR="005B32D8">
        <w:t xml:space="preserve"> and</w:t>
      </w:r>
      <w:r w:rsidR="00301D7B">
        <w:t xml:space="preserve"> includes </w:t>
      </w:r>
      <w:proofErr w:type="gramStart"/>
      <w:r w:rsidR="00905710">
        <w:t>Environmental</w:t>
      </w:r>
      <w:proofErr w:type="gramEnd"/>
      <w:r w:rsidR="00905710">
        <w:t xml:space="preserve"> </w:t>
      </w:r>
      <w:r w:rsidR="00301D7B">
        <w:t>S</w:t>
      </w:r>
      <w:r w:rsidR="00905710">
        <w:t xml:space="preserve">ustainable </w:t>
      </w:r>
      <w:r w:rsidR="00301D7B">
        <w:t>D</w:t>
      </w:r>
      <w:r w:rsidR="00905710">
        <w:t>esign</w:t>
      </w:r>
      <w:r w:rsidR="00301D7B">
        <w:t xml:space="preserve"> targets</w:t>
      </w:r>
    </w:p>
    <w:p w14:paraId="0BBAE01B" w14:textId="77777777" w:rsidR="00095E7F" w:rsidRPr="00095E7F" w:rsidRDefault="00782C8C" w:rsidP="00BB5810">
      <w:pPr>
        <w:pStyle w:val="ListParagraph"/>
        <w:numPr>
          <w:ilvl w:val="0"/>
          <w:numId w:val="14"/>
        </w:numPr>
        <w:rPr>
          <w:b/>
          <w:bCs/>
        </w:rPr>
      </w:pPr>
      <w:r w:rsidRPr="00095E7F">
        <w:rPr>
          <w:b/>
          <w:bCs/>
        </w:rPr>
        <w:t>Archit</w:t>
      </w:r>
      <w:r w:rsidR="00095E7F" w:rsidRPr="00095E7F">
        <w:rPr>
          <w:b/>
          <w:bCs/>
        </w:rPr>
        <w:t>ecture</w:t>
      </w:r>
    </w:p>
    <w:p w14:paraId="106CF500" w14:textId="39E4F42C" w:rsidR="00EF1B64" w:rsidRDefault="00EF1B64" w:rsidP="00A1331C">
      <w:pPr>
        <w:pStyle w:val="ListParagraph"/>
        <w:numPr>
          <w:ilvl w:val="0"/>
          <w:numId w:val="23"/>
        </w:numPr>
      </w:pPr>
      <w:r>
        <w:t>Architectur</w:t>
      </w:r>
      <w:r w:rsidR="002A70D0">
        <w:t>al</w:t>
      </w:r>
      <w:r>
        <w:t xml:space="preserve"> design processes</w:t>
      </w:r>
    </w:p>
    <w:p w14:paraId="22300111" w14:textId="77777777" w:rsidR="001005B5" w:rsidRPr="00E62FA6" w:rsidRDefault="00DA75C9" w:rsidP="00BB5810">
      <w:pPr>
        <w:pStyle w:val="ListParagraph"/>
        <w:numPr>
          <w:ilvl w:val="0"/>
          <w:numId w:val="14"/>
        </w:numPr>
        <w:rPr>
          <w:b/>
          <w:bCs/>
        </w:rPr>
      </w:pPr>
      <w:r w:rsidRPr="00E62FA6">
        <w:rPr>
          <w:b/>
          <w:bCs/>
        </w:rPr>
        <w:t xml:space="preserve">Schedule of Accommodation </w:t>
      </w:r>
    </w:p>
    <w:p w14:paraId="1DC521D4" w14:textId="7F817725" w:rsidR="00EF1B64" w:rsidRDefault="001B1C5D" w:rsidP="00A1331C">
      <w:pPr>
        <w:pStyle w:val="ListParagraph"/>
        <w:numPr>
          <w:ilvl w:val="0"/>
          <w:numId w:val="22"/>
        </w:numPr>
      </w:pPr>
      <w:r>
        <w:t xml:space="preserve">Management of the project </w:t>
      </w:r>
      <w:r w:rsidR="00A51FA7">
        <w:t>and</w:t>
      </w:r>
      <w:r w:rsidR="00EF1B64">
        <w:t xml:space="preserve"> </w:t>
      </w:r>
      <w:r>
        <w:t>design response to the brief</w:t>
      </w:r>
    </w:p>
    <w:p w14:paraId="21FEBEB0" w14:textId="2FA50B3E" w:rsidR="00AF630C" w:rsidRPr="005006B6" w:rsidRDefault="00AF630C" w:rsidP="00BB5810">
      <w:pPr>
        <w:pStyle w:val="ListParagraph"/>
        <w:numPr>
          <w:ilvl w:val="0"/>
          <w:numId w:val="14"/>
        </w:numPr>
        <w:rPr>
          <w:b/>
          <w:bCs/>
        </w:rPr>
      </w:pPr>
      <w:r w:rsidRPr="005006B6">
        <w:rPr>
          <w:b/>
          <w:bCs/>
        </w:rPr>
        <w:t xml:space="preserve">Standardisation </w:t>
      </w:r>
    </w:p>
    <w:p w14:paraId="63C7F8AD" w14:textId="60036E3B" w:rsidR="00E14999" w:rsidRDefault="00B81965" w:rsidP="00A1331C">
      <w:pPr>
        <w:pStyle w:val="ListParagraph"/>
        <w:numPr>
          <w:ilvl w:val="0"/>
          <w:numId w:val="21"/>
        </w:numPr>
      </w:pPr>
      <w:r>
        <w:t>integration of standardisation strategies</w:t>
      </w:r>
      <w:r w:rsidR="009E0496">
        <w:t xml:space="preserve"> within </w:t>
      </w:r>
      <w:r w:rsidR="006008E8">
        <w:t xml:space="preserve">the </w:t>
      </w:r>
      <w:r w:rsidR="009E0496">
        <w:t>project.</w:t>
      </w:r>
      <w:r>
        <w:t xml:space="preserve"> </w:t>
      </w:r>
    </w:p>
    <w:p w14:paraId="151D0C31" w14:textId="4126C40A" w:rsidR="005C61C6" w:rsidRDefault="00926D93" w:rsidP="005F553A">
      <w:pPr>
        <w:rPr>
          <w:b/>
          <w:bCs/>
        </w:rPr>
      </w:pPr>
      <w:r>
        <w:rPr>
          <w:b/>
          <w:bCs/>
        </w:rPr>
        <w:t>Assessment system</w:t>
      </w:r>
    </w:p>
    <w:p w14:paraId="034BC6FD" w14:textId="22C0DBE1" w:rsidR="00A822B8" w:rsidRDefault="00D018D7" w:rsidP="005F553A">
      <w:r>
        <w:t xml:space="preserve">Assessment is based on the quality and completeness of the documentation and whether the </w:t>
      </w:r>
      <w:r w:rsidR="004E0B96">
        <w:t>project</w:t>
      </w:r>
      <w:r>
        <w:t xml:space="preserve"> meets </w:t>
      </w:r>
      <w:r w:rsidR="00C66E56">
        <w:t>Health New Zealand</w:t>
      </w:r>
      <w:r w:rsidR="00E979E0">
        <w:t xml:space="preserve"> | Te Whatu Ora </w:t>
      </w:r>
      <w:r>
        <w:t>objectives.</w:t>
      </w:r>
      <w:r w:rsidR="00015155">
        <w:t xml:space="preserve"> </w:t>
      </w:r>
    </w:p>
    <w:p w14:paraId="7946BE65" w14:textId="46DB409E" w:rsidR="00735346" w:rsidRPr="004F75BB" w:rsidRDefault="009B6414" w:rsidP="005F553A">
      <w:r>
        <w:t>The report includes</w:t>
      </w:r>
      <w:r w:rsidR="00BF040E">
        <w:t xml:space="preserve"> c</w:t>
      </w:r>
      <w:r w:rsidR="000A4059">
        <w:t>ommentary</w:t>
      </w:r>
      <w:r w:rsidR="001D5E7E">
        <w:t xml:space="preserve"> and </w:t>
      </w:r>
      <w:r w:rsidR="00894C29">
        <w:t>recommendations</w:t>
      </w:r>
      <w:r w:rsidR="0091284C">
        <w:t xml:space="preserve"> as well as a </w:t>
      </w:r>
      <w:r w:rsidR="00782C4C">
        <w:t>c</w:t>
      </w:r>
      <w:r w:rsidR="000A4059">
        <w:t>olour</w:t>
      </w:r>
      <w:r w:rsidR="00577DB4">
        <w:t xml:space="preserve"> </w:t>
      </w:r>
      <w:r w:rsidR="00782C4C">
        <w:t>rating</w:t>
      </w:r>
      <w:r w:rsidR="00BF040E">
        <w:t xml:space="preserve"> system </w:t>
      </w:r>
      <w:r w:rsidR="005D1703">
        <w:t>as follows.</w:t>
      </w:r>
    </w:p>
    <w:tbl>
      <w:tblPr>
        <w:tblW w:w="4540" w:type="dxa"/>
        <w:tblLook w:val="04A0" w:firstRow="1" w:lastRow="0" w:firstColumn="1" w:lastColumn="0" w:noHBand="0" w:noVBand="1"/>
      </w:tblPr>
      <w:tblGrid>
        <w:gridCol w:w="602"/>
        <w:gridCol w:w="3716"/>
        <w:gridCol w:w="222"/>
      </w:tblGrid>
      <w:tr w:rsidR="00253B59" w:rsidRPr="00253B59" w14:paraId="0FAEC903" w14:textId="77777777" w:rsidTr="00253B59">
        <w:trPr>
          <w:gridAfter w:val="1"/>
          <w:wAfter w:w="16" w:type="dxa"/>
          <w:trHeight w:val="300"/>
        </w:trPr>
        <w:tc>
          <w:tcPr>
            <w:tcW w:w="4524" w:type="dxa"/>
            <w:gridSpan w:val="2"/>
            <w:tcBorders>
              <w:top w:val="single" w:sz="8" w:space="0" w:color="auto"/>
              <w:left w:val="single" w:sz="8" w:space="0" w:color="auto"/>
              <w:bottom w:val="nil"/>
              <w:right w:val="single" w:sz="4" w:space="0" w:color="auto"/>
            </w:tcBorders>
            <w:shd w:val="clear" w:color="000000" w:fill="808080"/>
            <w:vAlign w:val="center"/>
            <w:hideMark/>
          </w:tcPr>
          <w:p w14:paraId="6309F2A6" w14:textId="77777777" w:rsidR="00253B59" w:rsidRPr="00253B59" w:rsidRDefault="00253B59" w:rsidP="00253B59">
            <w:pPr>
              <w:spacing w:before="0" w:after="0" w:line="240" w:lineRule="auto"/>
              <w:rPr>
                <w:rFonts w:ascii="Calibri" w:eastAsia="Times New Roman" w:hAnsi="Calibri" w:cs="Calibri"/>
                <w:b/>
                <w:bCs/>
                <w:color w:val="000000"/>
                <w:sz w:val="18"/>
                <w:szCs w:val="18"/>
                <w:lang w:eastAsia="en-NZ"/>
              </w:rPr>
            </w:pPr>
            <w:r w:rsidRPr="00253B59">
              <w:rPr>
                <w:rFonts w:ascii="Calibri" w:eastAsia="Times New Roman" w:hAnsi="Calibri" w:cs="Calibri"/>
                <w:b/>
                <w:bCs/>
                <w:color w:val="000000"/>
                <w:sz w:val="18"/>
                <w:szCs w:val="18"/>
                <w:lang w:eastAsia="en-NZ"/>
              </w:rPr>
              <w:t xml:space="preserve">Legend - Review outcome </w:t>
            </w:r>
          </w:p>
        </w:tc>
      </w:tr>
      <w:tr w:rsidR="00253B59" w:rsidRPr="00253B59" w14:paraId="71FC7C15" w14:textId="77777777" w:rsidTr="00253B59">
        <w:trPr>
          <w:gridAfter w:val="1"/>
          <w:wAfter w:w="16" w:type="dxa"/>
          <w:trHeight w:val="465"/>
        </w:trPr>
        <w:tc>
          <w:tcPr>
            <w:tcW w:w="618" w:type="dxa"/>
            <w:vMerge w:val="restart"/>
            <w:tcBorders>
              <w:top w:val="single" w:sz="8" w:space="0" w:color="auto"/>
              <w:left w:val="nil"/>
              <w:bottom w:val="nil"/>
              <w:right w:val="single" w:sz="4" w:space="0" w:color="auto"/>
            </w:tcBorders>
            <w:shd w:val="clear" w:color="000000" w:fill="92D050"/>
            <w:vAlign w:val="center"/>
            <w:hideMark/>
          </w:tcPr>
          <w:p w14:paraId="3F62317C" w14:textId="77777777" w:rsidR="00253B59" w:rsidRPr="00253B59" w:rsidRDefault="00253B59" w:rsidP="00253B59">
            <w:pPr>
              <w:spacing w:before="0" w:after="0" w:line="240" w:lineRule="auto"/>
              <w:jc w:val="center"/>
              <w:rPr>
                <w:rFonts w:ascii="Calibri" w:eastAsia="Times New Roman" w:hAnsi="Calibri" w:cs="Calibri"/>
                <w:color w:val="000000"/>
                <w:sz w:val="18"/>
                <w:szCs w:val="18"/>
                <w:lang w:eastAsia="en-NZ"/>
              </w:rPr>
            </w:pPr>
            <w:r w:rsidRPr="00253B59">
              <w:rPr>
                <w:rFonts w:ascii="Calibri" w:eastAsia="Times New Roman" w:hAnsi="Calibri" w:cs="Calibri"/>
                <w:color w:val="000000"/>
                <w:sz w:val="18"/>
                <w:szCs w:val="18"/>
                <w:lang w:eastAsia="en-NZ"/>
              </w:rPr>
              <w:t>C</w:t>
            </w:r>
          </w:p>
        </w:tc>
        <w:tc>
          <w:tcPr>
            <w:tcW w:w="3906" w:type="dxa"/>
            <w:vMerge w:val="restart"/>
            <w:tcBorders>
              <w:top w:val="single" w:sz="8" w:space="0" w:color="auto"/>
              <w:left w:val="single" w:sz="4" w:space="0" w:color="auto"/>
              <w:bottom w:val="single" w:sz="4" w:space="0" w:color="000000"/>
              <w:right w:val="single" w:sz="8" w:space="0" w:color="auto"/>
            </w:tcBorders>
            <w:vAlign w:val="center"/>
            <w:hideMark/>
          </w:tcPr>
          <w:p w14:paraId="35114122" w14:textId="77777777" w:rsidR="00253B59" w:rsidRPr="00253B59" w:rsidRDefault="00253B59" w:rsidP="00253B59">
            <w:pPr>
              <w:spacing w:before="0" w:after="0" w:line="240" w:lineRule="auto"/>
              <w:rPr>
                <w:rFonts w:ascii="Calibri" w:eastAsia="Times New Roman" w:hAnsi="Calibri" w:cs="Calibri"/>
                <w:color w:val="000000"/>
                <w:sz w:val="18"/>
                <w:szCs w:val="18"/>
                <w:lang w:eastAsia="en-NZ"/>
              </w:rPr>
            </w:pPr>
            <w:r w:rsidRPr="00253B59">
              <w:rPr>
                <w:rFonts w:ascii="Calibri" w:eastAsia="Times New Roman" w:hAnsi="Calibri" w:cs="Calibri"/>
                <w:color w:val="000000"/>
                <w:sz w:val="18"/>
                <w:szCs w:val="18"/>
                <w:lang w:eastAsia="en-NZ"/>
              </w:rPr>
              <w:t>Completed</w:t>
            </w:r>
          </w:p>
        </w:tc>
      </w:tr>
      <w:tr w:rsidR="00253B59" w:rsidRPr="00253B59" w14:paraId="37D4AF5F" w14:textId="77777777" w:rsidTr="00253B59">
        <w:trPr>
          <w:trHeight w:val="60"/>
        </w:trPr>
        <w:tc>
          <w:tcPr>
            <w:tcW w:w="618" w:type="dxa"/>
            <w:vMerge/>
            <w:tcBorders>
              <w:top w:val="single" w:sz="8" w:space="0" w:color="auto"/>
              <w:left w:val="nil"/>
              <w:bottom w:val="nil"/>
              <w:right w:val="single" w:sz="4" w:space="0" w:color="auto"/>
            </w:tcBorders>
            <w:vAlign w:val="center"/>
            <w:hideMark/>
          </w:tcPr>
          <w:p w14:paraId="7E311D72" w14:textId="77777777" w:rsidR="00253B59" w:rsidRPr="00253B59" w:rsidRDefault="00253B59" w:rsidP="00253B59">
            <w:pPr>
              <w:spacing w:before="0" w:after="0" w:line="240" w:lineRule="auto"/>
              <w:rPr>
                <w:rFonts w:ascii="Calibri" w:eastAsia="Times New Roman" w:hAnsi="Calibri" w:cs="Calibri"/>
                <w:color w:val="000000"/>
                <w:sz w:val="18"/>
                <w:szCs w:val="18"/>
                <w:lang w:eastAsia="en-NZ"/>
              </w:rPr>
            </w:pPr>
          </w:p>
        </w:tc>
        <w:tc>
          <w:tcPr>
            <w:tcW w:w="3906" w:type="dxa"/>
            <w:vMerge/>
            <w:tcBorders>
              <w:top w:val="single" w:sz="8" w:space="0" w:color="auto"/>
              <w:left w:val="single" w:sz="4" w:space="0" w:color="auto"/>
              <w:bottom w:val="single" w:sz="4" w:space="0" w:color="000000"/>
              <w:right w:val="single" w:sz="8" w:space="0" w:color="auto"/>
            </w:tcBorders>
            <w:vAlign w:val="center"/>
            <w:hideMark/>
          </w:tcPr>
          <w:p w14:paraId="3D43AD4E" w14:textId="77777777" w:rsidR="00253B59" w:rsidRPr="00253B59" w:rsidRDefault="00253B59" w:rsidP="00253B59">
            <w:pPr>
              <w:spacing w:before="0" w:after="0" w:line="240" w:lineRule="auto"/>
              <w:rPr>
                <w:rFonts w:ascii="Calibri" w:eastAsia="Times New Roman" w:hAnsi="Calibri" w:cs="Calibri"/>
                <w:color w:val="000000"/>
                <w:sz w:val="18"/>
                <w:szCs w:val="18"/>
                <w:lang w:eastAsia="en-NZ"/>
              </w:rPr>
            </w:pPr>
          </w:p>
        </w:tc>
        <w:tc>
          <w:tcPr>
            <w:tcW w:w="16" w:type="dxa"/>
            <w:tcBorders>
              <w:top w:val="nil"/>
              <w:left w:val="nil"/>
              <w:bottom w:val="nil"/>
              <w:right w:val="nil"/>
            </w:tcBorders>
            <w:noWrap/>
            <w:vAlign w:val="bottom"/>
            <w:hideMark/>
          </w:tcPr>
          <w:p w14:paraId="685C4BCC" w14:textId="77777777" w:rsidR="00253B59" w:rsidRPr="00253B59" w:rsidRDefault="00253B59" w:rsidP="00253B59">
            <w:pPr>
              <w:spacing w:before="0" w:after="0" w:line="240" w:lineRule="auto"/>
              <w:rPr>
                <w:rFonts w:ascii="Calibri" w:eastAsia="Times New Roman" w:hAnsi="Calibri" w:cs="Calibri"/>
                <w:color w:val="000000"/>
                <w:sz w:val="18"/>
                <w:szCs w:val="18"/>
                <w:lang w:eastAsia="en-NZ"/>
              </w:rPr>
            </w:pPr>
          </w:p>
        </w:tc>
      </w:tr>
      <w:tr w:rsidR="00253B59" w:rsidRPr="00253B59" w14:paraId="6CAD46DA" w14:textId="77777777" w:rsidTr="00253B59">
        <w:trPr>
          <w:trHeight w:val="570"/>
        </w:trPr>
        <w:tc>
          <w:tcPr>
            <w:tcW w:w="618" w:type="dxa"/>
            <w:tcBorders>
              <w:top w:val="nil"/>
              <w:left w:val="nil"/>
              <w:bottom w:val="single" w:sz="4" w:space="0" w:color="auto"/>
              <w:right w:val="single" w:sz="4" w:space="0" w:color="auto"/>
            </w:tcBorders>
            <w:shd w:val="clear" w:color="000000" w:fill="FFC000"/>
            <w:vAlign w:val="center"/>
            <w:hideMark/>
          </w:tcPr>
          <w:p w14:paraId="75589651" w14:textId="77777777" w:rsidR="00253B59" w:rsidRPr="00253B59" w:rsidRDefault="00253B59" w:rsidP="00253B59">
            <w:pPr>
              <w:spacing w:before="0" w:after="0" w:line="240" w:lineRule="auto"/>
              <w:jc w:val="center"/>
              <w:rPr>
                <w:rFonts w:ascii="Calibri" w:eastAsia="Times New Roman" w:hAnsi="Calibri" w:cs="Calibri"/>
                <w:color w:val="000000"/>
                <w:sz w:val="18"/>
                <w:szCs w:val="18"/>
                <w:lang w:eastAsia="en-NZ"/>
              </w:rPr>
            </w:pPr>
            <w:r w:rsidRPr="00253B59">
              <w:rPr>
                <w:rFonts w:ascii="Calibri" w:eastAsia="Times New Roman" w:hAnsi="Calibri" w:cs="Calibri"/>
                <w:color w:val="000000"/>
                <w:sz w:val="18"/>
                <w:szCs w:val="18"/>
                <w:lang w:eastAsia="en-NZ"/>
              </w:rPr>
              <w:t>W</w:t>
            </w:r>
          </w:p>
        </w:tc>
        <w:tc>
          <w:tcPr>
            <w:tcW w:w="3906" w:type="dxa"/>
            <w:tcBorders>
              <w:top w:val="nil"/>
              <w:left w:val="nil"/>
              <w:bottom w:val="single" w:sz="4" w:space="0" w:color="auto"/>
              <w:right w:val="single" w:sz="8" w:space="0" w:color="auto"/>
            </w:tcBorders>
            <w:vAlign w:val="center"/>
            <w:hideMark/>
          </w:tcPr>
          <w:p w14:paraId="628B9437" w14:textId="77777777" w:rsidR="00253B59" w:rsidRPr="00253B59" w:rsidRDefault="00253B59" w:rsidP="00253B59">
            <w:pPr>
              <w:spacing w:before="0" w:after="0" w:line="240" w:lineRule="auto"/>
              <w:rPr>
                <w:rFonts w:ascii="Calibri" w:eastAsia="Times New Roman" w:hAnsi="Calibri" w:cs="Calibri"/>
                <w:color w:val="000000"/>
                <w:sz w:val="18"/>
                <w:szCs w:val="18"/>
                <w:lang w:eastAsia="en-NZ"/>
              </w:rPr>
            </w:pPr>
            <w:r w:rsidRPr="00253B59">
              <w:rPr>
                <w:rFonts w:ascii="Calibri" w:eastAsia="Times New Roman" w:hAnsi="Calibri" w:cs="Calibri"/>
                <w:color w:val="000000"/>
                <w:sz w:val="18"/>
                <w:szCs w:val="18"/>
                <w:lang w:eastAsia="en-NZ"/>
              </w:rPr>
              <w:t>Work in Progress</w:t>
            </w:r>
          </w:p>
        </w:tc>
        <w:tc>
          <w:tcPr>
            <w:tcW w:w="16" w:type="dxa"/>
            <w:vAlign w:val="center"/>
            <w:hideMark/>
          </w:tcPr>
          <w:p w14:paraId="1FC1E650" w14:textId="77777777" w:rsidR="00253B59" w:rsidRPr="00253B59" w:rsidRDefault="00253B59" w:rsidP="00253B59">
            <w:pPr>
              <w:spacing w:before="0" w:after="0" w:line="240" w:lineRule="auto"/>
              <w:rPr>
                <w:rFonts w:ascii="Times New Roman" w:eastAsia="Times New Roman" w:hAnsi="Times New Roman" w:cs="Times New Roman"/>
                <w:sz w:val="20"/>
                <w:szCs w:val="20"/>
                <w:lang w:eastAsia="en-NZ"/>
              </w:rPr>
            </w:pPr>
          </w:p>
        </w:tc>
      </w:tr>
      <w:tr w:rsidR="00253B59" w:rsidRPr="00253B59" w14:paraId="6231AF36" w14:textId="77777777" w:rsidTr="00253B59">
        <w:trPr>
          <w:trHeight w:val="510"/>
        </w:trPr>
        <w:tc>
          <w:tcPr>
            <w:tcW w:w="618" w:type="dxa"/>
            <w:tcBorders>
              <w:top w:val="single" w:sz="4" w:space="0" w:color="auto"/>
              <w:left w:val="nil"/>
              <w:bottom w:val="single" w:sz="8" w:space="0" w:color="auto"/>
              <w:right w:val="single" w:sz="4" w:space="0" w:color="auto"/>
            </w:tcBorders>
            <w:shd w:val="clear" w:color="000000" w:fill="FF0000"/>
            <w:vAlign w:val="center"/>
            <w:hideMark/>
          </w:tcPr>
          <w:p w14:paraId="4E841773" w14:textId="77777777" w:rsidR="00253B59" w:rsidRPr="00253B59" w:rsidRDefault="00253B59" w:rsidP="00253B59">
            <w:pPr>
              <w:spacing w:before="0" w:after="0" w:line="240" w:lineRule="auto"/>
              <w:jc w:val="center"/>
              <w:rPr>
                <w:rFonts w:ascii="Calibri" w:eastAsia="Times New Roman" w:hAnsi="Calibri" w:cs="Calibri"/>
                <w:color w:val="000000"/>
                <w:sz w:val="18"/>
                <w:szCs w:val="18"/>
                <w:lang w:eastAsia="en-NZ"/>
              </w:rPr>
            </w:pPr>
            <w:r w:rsidRPr="00253B59">
              <w:rPr>
                <w:rFonts w:ascii="Calibri" w:eastAsia="Times New Roman" w:hAnsi="Calibri" w:cs="Calibri"/>
                <w:color w:val="000000"/>
                <w:sz w:val="18"/>
                <w:szCs w:val="18"/>
                <w:lang w:eastAsia="en-NZ"/>
              </w:rPr>
              <w:t>N</w:t>
            </w:r>
          </w:p>
        </w:tc>
        <w:tc>
          <w:tcPr>
            <w:tcW w:w="3906" w:type="dxa"/>
            <w:tcBorders>
              <w:top w:val="nil"/>
              <w:left w:val="nil"/>
              <w:bottom w:val="single" w:sz="8" w:space="0" w:color="auto"/>
              <w:right w:val="single" w:sz="8" w:space="0" w:color="auto"/>
            </w:tcBorders>
            <w:vAlign w:val="center"/>
            <w:hideMark/>
          </w:tcPr>
          <w:p w14:paraId="3C84732A" w14:textId="77777777" w:rsidR="00253B59" w:rsidRPr="00253B59" w:rsidRDefault="00253B59" w:rsidP="00253B59">
            <w:pPr>
              <w:spacing w:before="0" w:after="0" w:line="240" w:lineRule="auto"/>
              <w:rPr>
                <w:rFonts w:ascii="Calibri" w:eastAsia="Times New Roman" w:hAnsi="Calibri" w:cs="Calibri"/>
                <w:color w:val="000000"/>
                <w:sz w:val="18"/>
                <w:szCs w:val="18"/>
                <w:lang w:eastAsia="en-NZ"/>
              </w:rPr>
            </w:pPr>
            <w:r w:rsidRPr="00253B59">
              <w:rPr>
                <w:rFonts w:ascii="Calibri" w:eastAsia="Times New Roman" w:hAnsi="Calibri" w:cs="Calibri"/>
                <w:color w:val="000000"/>
                <w:sz w:val="18"/>
                <w:szCs w:val="18"/>
                <w:lang w:eastAsia="en-NZ"/>
              </w:rPr>
              <w:t>Not completed</w:t>
            </w:r>
          </w:p>
        </w:tc>
        <w:tc>
          <w:tcPr>
            <w:tcW w:w="16" w:type="dxa"/>
            <w:vAlign w:val="center"/>
            <w:hideMark/>
          </w:tcPr>
          <w:p w14:paraId="4042EAAC" w14:textId="77777777" w:rsidR="00253B59" w:rsidRPr="00253B59" w:rsidRDefault="00253B59" w:rsidP="00253B59">
            <w:pPr>
              <w:spacing w:before="0" w:after="0" w:line="240" w:lineRule="auto"/>
              <w:rPr>
                <w:rFonts w:ascii="Times New Roman" w:eastAsia="Times New Roman" w:hAnsi="Times New Roman" w:cs="Times New Roman"/>
                <w:sz w:val="20"/>
                <w:szCs w:val="20"/>
                <w:lang w:eastAsia="en-NZ"/>
              </w:rPr>
            </w:pPr>
          </w:p>
        </w:tc>
      </w:tr>
    </w:tbl>
    <w:p w14:paraId="4E458325" w14:textId="22494B20" w:rsidR="00735346" w:rsidRDefault="00735346" w:rsidP="005F553A">
      <w:pPr>
        <w:rPr>
          <w:b/>
          <w:bCs/>
        </w:rPr>
      </w:pPr>
    </w:p>
    <w:p w14:paraId="295551BB" w14:textId="3755C594" w:rsidR="001455E1" w:rsidRDefault="00A474F9" w:rsidP="005F553A">
      <w:pPr>
        <w:rPr>
          <w:b/>
          <w:bCs/>
        </w:rPr>
      </w:pPr>
      <w:r w:rsidRPr="00674FE0">
        <w:rPr>
          <w:b/>
          <w:bCs/>
        </w:rPr>
        <w:t xml:space="preserve">Report </w:t>
      </w:r>
      <w:r w:rsidR="00674FE0" w:rsidRPr="00674FE0">
        <w:rPr>
          <w:b/>
          <w:bCs/>
        </w:rPr>
        <w:t>and Feedback Meeting</w:t>
      </w:r>
    </w:p>
    <w:p w14:paraId="7D7EA41A" w14:textId="16699DCB" w:rsidR="005A317D" w:rsidRDefault="00E764B2" w:rsidP="005F553A">
      <w:r>
        <w:t>The</w:t>
      </w:r>
      <w:r w:rsidR="000554DB">
        <w:t xml:space="preserve"> full</w:t>
      </w:r>
      <w:r>
        <w:t xml:space="preserve"> DA Report is issued to the project design team </w:t>
      </w:r>
      <w:r w:rsidR="00E64869">
        <w:t>ahead</w:t>
      </w:r>
      <w:r>
        <w:t xml:space="preserve"> of the Feedback Meeting</w:t>
      </w:r>
      <w:r w:rsidR="008B4A7E">
        <w:t xml:space="preserve"> where i</w:t>
      </w:r>
      <w:r w:rsidR="00373CA8">
        <w:t>tems are discussed and the template is updated</w:t>
      </w:r>
      <w:r w:rsidR="003A1D82">
        <w:t xml:space="preserve"> accordingly</w:t>
      </w:r>
      <w:r w:rsidR="00E1092F">
        <w:t xml:space="preserve">. </w:t>
      </w:r>
    </w:p>
    <w:p w14:paraId="1E49CA50" w14:textId="1E4A6A27" w:rsidR="00D40683" w:rsidRPr="008D1E79" w:rsidRDefault="00D40683" w:rsidP="00D40683">
      <w:r w:rsidRPr="008D1E79">
        <w:t xml:space="preserve">The project team </w:t>
      </w:r>
      <w:r w:rsidR="005D5530">
        <w:t xml:space="preserve">will </w:t>
      </w:r>
      <w:r w:rsidRPr="008D1E79">
        <w:t xml:space="preserve">respond to the </w:t>
      </w:r>
      <w:r w:rsidR="00521EE7" w:rsidRPr="00A40B26">
        <w:t>Action Items</w:t>
      </w:r>
      <w:r w:rsidRPr="00A40B26">
        <w:t>,</w:t>
      </w:r>
      <w:r w:rsidRPr="008D1E79">
        <w:t xml:space="preserve"> with concise notes showing how the issues have been addressed</w:t>
      </w:r>
      <w:r w:rsidR="00BB3D22">
        <w:t xml:space="preserve">. </w:t>
      </w:r>
      <w:r w:rsidRPr="008D1E79">
        <w:t>Each comment should:</w:t>
      </w:r>
    </w:p>
    <w:p w14:paraId="0FE33083" w14:textId="7755EBF6" w:rsidR="00D40683" w:rsidRPr="008D1E79" w:rsidRDefault="00D40683" w:rsidP="00D40683">
      <w:pPr>
        <w:pStyle w:val="ListBullet"/>
      </w:pPr>
      <w:r w:rsidRPr="008D1E79">
        <w:t>refer to specific drawings and reports</w:t>
      </w:r>
    </w:p>
    <w:p w14:paraId="19C8D614" w14:textId="38FDC937" w:rsidR="00D40683" w:rsidRPr="008D1E79" w:rsidRDefault="00D40683" w:rsidP="00D40683">
      <w:pPr>
        <w:pStyle w:val="ListBullet"/>
      </w:pPr>
      <w:r w:rsidRPr="008D1E79">
        <w:t>provide supporting information, keeping comments concise and factual</w:t>
      </w:r>
    </w:p>
    <w:p w14:paraId="48C9717E" w14:textId="4DAA42C8" w:rsidR="00D40683" w:rsidRDefault="00D40683" w:rsidP="00D40683">
      <w:pPr>
        <w:pStyle w:val="ListBullet"/>
      </w:pPr>
      <w:r w:rsidRPr="008D1E79">
        <w:t>highlight key decision rationale</w:t>
      </w:r>
      <w:r w:rsidR="00473DB1">
        <w:t>.</w:t>
      </w:r>
    </w:p>
    <w:p w14:paraId="40F97672" w14:textId="0F472705" w:rsidR="007F07A4" w:rsidRDefault="007F07A4" w:rsidP="007F07A4">
      <w:pPr>
        <w:pStyle w:val="ListBullet"/>
        <w:numPr>
          <w:ilvl w:val="0"/>
          <w:numId w:val="0"/>
        </w:numPr>
        <w:tabs>
          <w:tab w:val="clear" w:pos="425"/>
          <w:tab w:val="left" w:pos="142"/>
        </w:tabs>
        <w:ind w:left="142"/>
      </w:pPr>
      <w:r w:rsidRPr="007F07A4">
        <w:t>The Feedback Meeting is an opportunity to discuss the amber and red items indicated in the project DA review report. Actions items arising from this meeting are provided to the project design team for completion before the DA review may be closed out for the specific design phase.</w:t>
      </w:r>
    </w:p>
    <w:p w14:paraId="557560F8" w14:textId="5A4C4A3C" w:rsidR="00865643" w:rsidRPr="008D1E79" w:rsidRDefault="00865643" w:rsidP="0075274B">
      <w:r>
        <w:lastRenderedPageBreak/>
        <w:t>Where further</w:t>
      </w:r>
      <w:r w:rsidRPr="00041B1A">
        <w:t xml:space="preserve"> </w:t>
      </w:r>
      <w:r>
        <w:t xml:space="preserve">assurance information is required, the National Facility Design Advisory and Assurance team will re-issue the report and include any </w:t>
      </w:r>
      <w:r w:rsidRPr="009F430F">
        <w:rPr>
          <w:b/>
          <w:bCs/>
        </w:rPr>
        <w:t>Action Items</w:t>
      </w:r>
      <w:r>
        <w:t xml:space="preserve"> for the project design team to complete.</w:t>
      </w:r>
    </w:p>
    <w:p w14:paraId="5B2361DE" w14:textId="22C3138E" w:rsidR="007C440B" w:rsidRDefault="007C440B" w:rsidP="002A1A54">
      <w:pPr>
        <w:pStyle w:val="NumberedHeading2"/>
      </w:pPr>
      <w:bookmarkStart w:id="31" w:name="_Toc210288815"/>
      <w:r>
        <w:t>Governance Report</w:t>
      </w:r>
      <w:bookmarkEnd w:id="31"/>
    </w:p>
    <w:p w14:paraId="26F70C7B" w14:textId="4DD3FE02" w:rsidR="009A2F53" w:rsidRDefault="00B74070" w:rsidP="007C440B">
      <w:r>
        <w:t>A</w:t>
      </w:r>
      <w:r w:rsidR="008F4AF8">
        <w:t xml:space="preserve"> </w:t>
      </w:r>
      <w:r w:rsidR="00C6298E">
        <w:t xml:space="preserve">DA Governance </w:t>
      </w:r>
      <w:r w:rsidR="007A5755">
        <w:t>R</w:t>
      </w:r>
      <w:r w:rsidR="00C6298E">
        <w:t>eport</w:t>
      </w:r>
      <w:r w:rsidR="00294C0B">
        <w:t xml:space="preserve"> may be generated, if the</w:t>
      </w:r>
      <w:r w:rsidR="009A4E35">
        <w:t xml:space="preserve"> DA items have not been sufficiently resolved</w:t>
      </w:r>
      <w:r w:rsidR="000A637E">
        <w:t xml:space="preserve"> (item status remains at </w:t>
      </w:r>
      <w:r w:rsidR="00CE1648">
        <w:t>amber and</w:t>
      </w:r>
      <w:r w:rsidR="00FD6ED3">
        <w:t>/or</w:t>
      </w:r>
      <w:r w:rsidR="00CE1648">
        <w:t xml:space="preserve"> </w:t>
      </w:r>
      <w:r w:rsidR="000A637E">
        <w:t xml:space="preserve">red) </w:t>
      </w:r>
      <w:r w:rsidR="00024234">
        <w:t>during the review</w:t>
      </w:r>
      <w:r w:rsidR="007A5755">
        <w:t xml:space="preserve"> process</w:t>
      </w:r>
      <w:r w:rsidR="000A637E">
        <w:t xml:space="preserve">. </w:t>
      </w:r>
      <w:r w:rsidR="006B7282">
        <w:br/>
        <w:t>Project r</w:t>
      </w:r>
      <w:r w:rsidR="00396919">
        <w:t>isk and impact on outcome</w:t>
      </w:r>
      <w:r w:rsidR="00E92683">
        <w:t xml:space="preserve"> is identified for</w:t>
      </w:r>
      <w:r w:rsidR="002D2B69">
        <w:t xml:space="preserve"> discussion at</w:t>
      </w:r>
      <w:r w:rsidR="00AD5F4D">
        <w:t xml:space="preserve"> the </w:t>
      </w:r>
      <w:r w:rsidR="002D2B69">
        <w:t>project Governance Meeting</w:t>
      </w:r>
      <w:r w:rsidR="00121263">
        <w:t xml:space="preserve">. </w:t>
      </w:r>
    </w:p>
    <w:p w14:paraId="1181F487" w14:textId="2DA92D15" w:rsidR="007C440B" w:rsidRDefault="00271F38" w:rsidP="000904D5">
      <w:r>
        <w:t xml:space="preserve">For </w:t>
      </w:r>
      <w:r w:rsidR="00B613FA">
        <w:t>DA close out</w:t>
      </w:r>
      <w:r>
        <w:t xml:space="preserve">, </w:t>
      </w:r>
      <w:r w:rsidR="00905F5B">
        <w:t xml:space="preserve">the Governance </w:t>
      </w:r>
      <w:r w:rsidR="00C05F5B">
        <w:t>G</w:t>
      </w:r>
      <w:r w:rsidR="00E831C8">
        <w:t xml:space="preserve">roup </w:t>
      </w:r>
      <w:r w:rsidR="003F2B96">
        <w:t>d</w:t>
      </w:r>
      <w:r w:rsidR="00121263">
        <w:t>ecisions</w:t>
      </w:r>
      <w:r w:rsidR="00515BCF">
        <w:t xml:space="preserve"> </w:t>
      </w:r>
      <w:r w:rsidR="00B201C0">
        <w:t>are</w:t>
      </w:r>
      <w:r w:rsidR="003F2B96">
        <w:t xml:space="preserve"> </w:t>
      </w:r>
      <w:r w:rsidR="00E831C8">
        <w:t xml:space="preserve">to be </w:t>
      </w:r>
      <w:r w:rsidR="003F2B96">
        <w:t>communicated</w:t>
      </w:r>
      <w:r w:rsidR="00FA4606">
        <w:t xml:space="preserve"> back</w:t>
      </w:r>
      <w:r w:rsidR="003F2B96">
        <w:t xml:space="preserve"> to the National </w:t>
      </w:r>
      <w:r w:rsidR="009A2F53">
        <w:t>F</w:t>
      </w:r>
      <w:r w:rsidR="003F2B96">
        <w:t>acility Design</w:t>
      </w:r>
      <w:r w:rsidR="009A2F53">
        <w:t xml:space="preserve"> Advisory and Assurance </w:t>
      </w:r>
      <w:r w:rsidR="00B613FA">
        <w:t>T</w:t>
      </w:r>
      <w:r w:rsidR="009A2F53">
        <w:t>eam</w:t>
      </w:r>
      <w:r>
        <w:t>.</w:t>
      </w:r>
    </w:p>
    <w:p w14:paraId="615F3F4E" w14:textId="3B051AE9" w:rsidR="009C2B80" w:rsidRDefault="009C2B80" w:rsidP="002A1A54">
      <w:pPr>
        <w:pStyle w:val="NumberedHeading2"/>
      </w:pPr>
      <w:bookmarkStart w:id="32" w:name="_Toc210288816"/>
      <w:r>
        <w:t>Close-out</w:t>
      </w:r>
      <w:bookmarkEnd w:id="32"/>
    </w:p>
    <w:p w14:paraId="0E6C0695" w14:textId="38CBCD81" w:rsidR="000904D5" w:rsidRDefault="008E47B4" w:rsidP="000904D5">
      <w:r>
        <w:t xml:space="preserve">The </w:t>
      </w:r>
      <w:r w:rsidR="00891E47">
        <w:t>review</w:t>
      </w:r>
      <w:r>
        <w:t xml:space="preserve"> will be closed out </w:t>
      </w:r>
      <w:r w:rsidR="00890880">
        <w:t>when</w:t>
      </w:r>
      <w:r w:rsidR="008F578F">
        <w:t xml:space="preserve"> </w:t>
      </w:r>
      <w:r w:rsidR="00B61030">
        <w:t>the DA items are sufficiently resolved</w:t>
      </w:r>
      <w:r w:rsidR="00891E47">
        <w:t xml:space="preserve"> for the project</w:t>
      </w:r>
      <w:r w:rsidR="00F135D9">
        <w:t xml:space="preserve"> and the National Facility Design Advisory and Assurance Team are confident to provide </w:t>
      </w:r>
      <w:r w:rsidR="009728A6">
        <w:t>assurance for the project to proceed to the next design phase.</w:t>
      </w:r>
    </w:p>
    <w:p w14:paraId="3FB96D86" w14:textId="51EF6289" w:rsidR="00AC0A8E" w:rsidRDefault="00EC1036" w:rsidP="002A1A54">
      <w:pPr>
        <w:pStyle w:val="NumberedHeading2"/>
      </w:pPr>
      <w:bookmarkStart w:id="33" w:name="_Toc210288817"/>
      <w:r>
        <w:t>T</w:t>
      </w:r>
      <w:r w:rsidR="00AC0A8E">
        <w:t>i</w:t>
      </w:r>
      <w:r w:rsidR="00512798">
        <w:t>meframe</w:t>
      </w:r>
      <w:bookmarkEnd w:id="33"/>
      <w:r w:rsidR="00AC0A8E">
        <w:t xml:space="preserve"> </w:t>
      </w:r>
    </w:p>
    <w:p w14:paraId="1CAA35A7" w14:textId="65F3E84B" w:rsidR="006E4091" w:rsidRDefault="00540D4D" w:rsidP="00AC0A8E">
      <w:r>
        <w:t>Every effort is made to</w:t>
      </w:r>
      <w:r w:rsidR="00260B9F">
        <w:t xml:space="preserve"> ensure that the DA review process is undertaken </w:t>
      </w:r>
      <w:r w:rsidR="009B0F8D">
        <w:t>in a timely manner.</w:t>
      </w:r>
    </w:p>
    <w:p w14:paraId="7949647F" w14:textId="65F524B7" w:rsidR="009B0F8D" w:rsidRDefault="009B0F8D" w:rsidP="00AC0A8E">
      <w:r>
        <w:t>The following table provides</w:t>
      </w:r>
      <w:r w:rsidR="006120B9">
        <w:t xml:space="preserve"> approximate timeframes</w:t>
      </w:r>
      <w:r w:rsidR="00CC730B">
        <w:t xml:space="preserve"> for </w:t>
      </w:r>
      <w:r w:rsidR="008E7FE8">
        <w:t xml:space="preserve">each </w:t>
      </w:r>
      <w:r w:rsidR="00CC730B">
        <w:t>DA review</w:t>
      </w:r>
      <w:r w:rsidR="008E7FE8">
        <w:t xml:space="preserve"> type</w:t>
      </w:r>
      <w:r w:rsidR="00CC730B">
        <w:t>.</w:t>
      </w:r>
      <w:r w:rsidR="006120B9">
        <w:t xml:space="preserve"> </w:t>
      </w:r>
    </w:p>
    <w:tbl>
      <w:tblPr>
        <w:tblStyle w:val="TeWhatuOra"/>
        <w:tblW w:w="10060" w:type="dxa"/>
        <w:tblLayout w:type="fixed"/>
        <w:tblLook w:val="0420" w:firstRow="1" w:lastRow="0" w:firstColumn="0" w:lastColumn="0" w:noHBand="0" w:noVBand="1"/>
      </w:tblPr>
      <w:tblGrid>
        <w:gridCol w:w="1980"/>
        <w:gridCol w:w="1701"/>
        <w:gridCol w:w="1276"/>
        <w:gridCol w:w="3543"/>
        <w:gridCol w:w="1560"/>
      </w:tblGrid>
      <w:tr w:rsidR="00444EBB" w:rsidRPr="008D1E79" w14:paraId="5F1676F0" w14:textId="468B6A98" w:rsidTr="009342F8">
        <w:trPr>
          <w:cnfStyle w:val="100000000000" w:firstRow="1" w:lastRow="0" w:firstColumn="0" w:lastColumn="0" w:oddVBand="0" w:evenVBand="0" w:oddHBand="0" w:evenHBand="0" w:firstRowFirstColumn="0" w:firstRowLastColumn="0" w:lastRowFirstColumn="0" w:lastRowLastColumn="0"/>
          <w:trHeight w:val="20"/>
        </w:trPr>
        <w:tc>
          <w:tcPr>
            <w:tcW w:w="1980" w:type="dxa"/>
          </w:tcPr>
          <w:p w14:paraId="0F674997" w14:textId="77777777" w:rsidR="008149D1" w:rsidRPr="008D1E79" w:rsidRDefault="008149D1" w:rsidP="008D1E79"/>
        </w:tc>
        <w:tc>
          <w:tcPr>
            <w:tcW w:w="1701" w:type="dxa"/>
          </w:tcPr>
          <w:p w14:paraId="078C4AB9" w14:textId="0FBCFB56" w:rsidR="008149D1" w:rsidRPr="008D1E79" w:rsidRDefault="008149D1" w:rsidP="008D1E79">
            <w:r>
              <w:t>Document</w:t>
            </w:r>
            <w:r>
              <w:br/>
            </w:r>
            <w:r w:rsidRPr="008D1E79">
              <w:t>Assessment</w:t>
            </w:r>
          </w:p>
        </w:tc>
        <w:tc>
          <w:tcPr>
            <w:tcW w:w="1276" w:type="dxa"/>
          </w:tcPr>
          <w:p w14:paraId="30BD0931" w14:textId="6FAF086F" w:rsidR="008149D1" w:rsidRPr="008D1E79" w:rsidRDefault="008149D1" w:rsidP="008D1E79">
            <w:r w:rsidRPr="008D1E79">
              <w:t>Review period</w:t>
            </w:r>
            <w:r>
              <w:br/>
            </w:r>
            <w:r w:rsidRPr="009342F8">
              <w:rPr>
                <w:b w:val="0"/>
                <w:bCs/>
                <w:sz w:val="20"/>
                <w:szCs w:val="20"/>
              </w:rPr>
              <w:t>(indicative)</w:t>
            </w:r>
          </w:p>
        </w:tc>
        <w:tc>
          <w:tcPr>
            <w:tcW w:w="3543" w:type="dxa"/>
          </w:tcPr>
          <w:p w14:paraId="0379BF1B" w14:textId="61B715E1" w:rsidR="008149D1" w:rsidRPr="00FE3C5E" w:rsidRDefault="008149D1" w:rsidP="008D1E79">
            <w:pPr>
              <w:rPr>
                <w:b w:val="0"/>
              </w:rPr>
            </w:pPr>
            <w:r>
              <w:t xml:space="preserve">Feedback </w:t>
            </w:r>
            <w:r w:rsidR="00FE3C5E">
              <w:rPr>
                <w:b w:val="0"/>
              </w:rPr>
              <w:br/>
            </w:r>
            <w:r w:rsidRPr="009342F8">
              <w:rPr>
                <w:b w:val="0"/>
                <w:bCs/>
                <w:sz w:val="20"/>
                <w:szCs w:val="20"/>
              </w:rPr>
              <w:t>(Feedback meeting, review of Action items, Governance Report &amp; DA Close out)</w:t>
            </w:r>
          </w:p>
        </w:tc>
        <w:tc>
          <w:tcPr>
            <w:tcW w:w="1560" w:type="dxa"/>
          </w:tcPr>
          <w:p w14:paraId="6D8531E4" w14:textId="70BB423B" w:rsidR="008149D1" w:rsidRDefault="00CC0061" w:rsidP="008D1E79">
            <w:r>
              <w:t>Total</w:t>
            </w:r>
          </w:p>
        </w:tc>
      </w:tr>
      <w:tr w:rsidR="008149D1" w:rsidRPr="008D1E79" w14:paraId="6C6D63EF" w14:textId="238DAB0B" w:rsidTr="009342F8">
        <w:trPr>
          <w:trHeight w:val="20"/>
        </w:trPr>
        <w:tc>
          <w:tcPr>
            <w:tcW w:w="1980" w:type="dxa"/>
          </w:tcPr>
          <w:p w14:paraId="7BDDC2BB" w14:textId="15D8E85E" w:rsidR="008149D1" w:rsidRPr="006446CB" w:rsidRDefault="008149D1" w:rsidP="00D86562">
            <w:pPr>
              <w:spacing w:before="100" w:after="100"/>
              <w:rPr>
                <w:b/>
                <w:bCs/>
              </w:rPr>
            </w:pPr>
            <w:r w:rsidRPr="006446CB">
              <w:rPr>
                <w:b/>
                <w:bCs/>
              </w:rPr>
              <w:t>Desktop review</w:t>
            </w:r>
          </w:p>
        </w:tc>
        <w:tc>
          <w:tcPr>
            <w:tcW w:w="1701" w:type="dxa"/>
          </w:tcPr>
          <w:p w14:paraId="05846F35" w14:textId="6B0F7A70" w:rsidR="008149D1" w:rsidRPr="008D1E79" w:rsidRDefault="009342F8" w:rsidP="008D1E79">
            <w:r>
              <w:t xml:space="preserve">.5 </w:t>
            </w:r>
            <w:r w:rsidR="008149D1" w:rsidRPr="008D1E79">
              <w:t>-</w:t>
            </w:r>
            <w:r>
              <w:t>1</w:t>
            </w:r>
            <w:r w:rsidR="008149D1" w:rsidRPr="008D1E79">
              <w:t xml:space="preserve"> days</w:t>
            </w:r>
          </w:p>
        </w:tc>
        <w:tc>
          <w:tcPr>
            <w:tcW w:w="1276" w:type="dxa"/>
          </w:tcPr>
          <w:p w14:paraId="44AAEDB0" w14:textId="79D5C80E" w:rsidR="008149D1" w:rsidRPr="008D1E79" w:rsidRDefault="008149D1" w:rsidP="008D1E79">
            <w:r>
              <w:t>1</w:t>
            </w:r>
            <w:r w:rsidR="00C27C68">
              <w:t xml:space="preserve"> </w:t>
            </w:r>
            <w:r>
              <w:t>-</w:t>
            </w:r>
            <w:r w:rsidR="00C27C68">
              <w:t xml:space="preserve"> </w:t>
            </w:r>
            <w:r>
              <w:t>5</w:t>
            </w:r>
            <w:r w:rsidRPr="008D1E79">
              <w:t xml:space="preserve"> days</w:t>
            </w:r>
          </w:p>
        </w:tc>
        <w:tc>
          <w:tcPr>
            <w:tcW w:w="3543" w:type="dxa"/>
          </w:tcPr>
          <w:p w14:paraId="17B82502" w14:textId="7030FAEE" w:rsidR="008149D1" w:rsidRPr="008D1E79" w:rsidDel="003C3802" w:rsidRDefault="008149D1" w:rsidP="008D1E79">
            <w:r>
              <w:t>1 day (if required)</w:t>
            </w:r>
          </w:p>
        </w:tc>
        <w:tc>
          <w:tcPr>
            <w:tcW w:w="1560" w:type="dxa"/>
          </w:tcPr>
          <w:p w14:paraId="0CE78A02" w14:textId="73079541" w:rsidR="008149D1" w:rsidRDefault="00CA0ABA" w:rsidP="008D1E79">
            <w:r>
              <w:t>1</w:t>
            </w:r>
            <w:r w:rsidR="004F493A">
              <w:t xml:space="preserve"> </w:t>
            </w:r>
            <w:r>
              <w:t>-</w:t>
            </w:r>
            <w:r w:rsidR="004F493A">
              <w:t xml:space="preserve"> </w:t>
            </w:r>
            <w:r w:rsidR="008F5897">
              <w:t>7</w:t>
            </w:r>
            <w:r w:rsidR="00165658">
              <w:t xml:space="preserve"> days</w:t>
            </w:r>
          </w:p>
        </w:tc>
      </w:tr>
      <w:tr w:rsidR="008149D1" w:rsidRPr="008D1E79" w14:paraId="626A05B4" w14:textId="684D6D69" w:rsidTr="009342F8">
        <w:trPr>
          <w:trHeight w:val="20"/>
        </w:trPr>
        <w:tc>
          <w:tcPr>
            <w:tcW w:w="1980" w:type="dxa"/>
          </w:tcPr>
          <w:p w14:paraId="3B9FB05A" w14:textId="2D0AEA7E" w:rsidR="008149D1" w:rsidRPr="006446CB" w:rsidRDefault="008149D1" w:rsidP="008D1E79">
            <w:pPr>
              <w:rPr>
                <w:b/>
                <w:bCs/>
              </w:rPr>
            </w:pPr>
            <w:r w:rsidRPr="006446CB">
              <w:rPr>
                <w:b/>
                <w:bCs/>
              </w:rPr>
              <w:t>Full review</w:t>
            </w:r>
          </w:p>
        </w:tc>
        <w:tc>
          <w:tcPr>
            <w:tcW w:w="1701" w:type="dxa"/>
          </w:tcPr>
          <w:p w14:paraId="783D2F27" w14:textId="3C6524EF" w:rsidR="008149D1" w:rsidRPr="008D1E79" w:rsidRDefault="008149D1" w:rsidP="008D1E79">
            <w:r>
              <w:t>1-3</w:t>
            </w:r>
            <w:r w:rsidRPr="008D1E79">
              <w:t xml:space="preserve"> days</w:t>
            </w:r>
          </w:p>
        </w:tc>
        <w:tc>
          <w:tcPr>
            <w:tcW w:w="1276" w:type="dxa"/>
          </w:tcPr>
          <w:p w14:paraId="5E46EFCA" w14:textId="3B3E7460" w:rsidR="008149D1" w:rsidRPr="008D1E79" w:rsidRDefault="008149D1" w:rsidP="008D1E79">
            <w:r>
              <w:t>5</w:t>
            </w:r>
            <w:r w:rsidR="00C27C68">
              <w:t xml:space="preserve"> </w:t>
            </w:r>
            <w:r>
              <w:t>-10</w:t>
            </w:r>
            <w:r w:rsidRPr="008D1E79">
              <w:t xml:space="preserve"> days</w:t>
            </w:r>
          </w:p>
        </w:tc>
        <w:tc>
          <w:tcPr>
            <w:tcW w:w="3543" w:type="dxa"/>
          </w:tcPr>
          <w:p w14:paraId="67653479" w14:textId="04126F26" w:rsidR="008149D1" w:rsidRPr="008D1E79" w:rsidRDefault="008149D1" w:rsidP="008D1E79">
            <w:r>
              <w:t>1</w:t>
            </w:r>
            <w:r w:rsidR="00C27C68">
              <w:t xml:space="preserve"> </w:t>
            </w:r>
            <w:r>
              <w:t>-</w:t>
            </w:r>
            <w:r w:rsidR="00C27C68">
              <w:t xml:space="preserve"> </w:t>
            </w:r>
            <w:r>
              <w:t>3 days</w:t>
            </w:r>
          </w:p>
        </w:tc>
        <w:tc>
          <w:tcPr>
            <w:tcW w:w="1560" w:type="dxa"/>
          </w:tcPr>
          <w:p w14:paraId="7D6B34D3" w14:textId="22D7B6AA" w:rsidR="008149D1" w:rsidRDefault="00237954" w:rsidP="008D1E79">
            <w:r>
              <w:t>7</w:t>
            </w:r>
            <w:r w:rsidR="001318C9">
              <w:t xml:space="preserve"> </w:t>
            </w:r>
            <w:r w:rsidR="00C27C68">
              <w:t>-</w:t>
            </w:r>
            <w:r w:rsidR="004F493A">
              <w:t>16 days</w:t>
            </w:r>
          </w:p>
        </w:tc>
      </w:tr>
    </w:tbl>
    <w:p w14:paraId="1FAA8486" w14:textId="6F38CA74" w:rsidR="008D1E79" w:rsidRDefault="00132F0A" w:rsidP="008D1E79">
      <w:pPr>
        <w:pStyle w:val="NumberedHeading2"/>
      </w:pPr>
      <w:bookmarkStart w:id="34" w:name="_Toc210288818"/>
      <w:r>
        <w:t>D</w:t>
      </w:r>
      <w:r w:rsidR="00834F1E">
        <w:t xml:space="preserve">eviations and </w:t>
      </w:r>
      <w:r w:rsidR="000244D4">
        <w:t>innovati</w:t>
      </w:r>
      <w:r w:rsidR="00DC10C4">
        <w:t>ons</w:t>
      </w:r>
      <w:bookmarkEnd w:id="34"/>
    </w:p>
    <w:p w14:paraId="4DA88CFC" w14:textId="54477560" w:rsidR="00596366" w:rsidRDefault="00AD480F" w:rsidP="008C07AA">
      <w:pPr>
        <w:rPr>
          <w:rFonts w:asciiTheme="majorHAnsi" w:hAnsiTheme="majorHAnsi" w:cstheme="majorHAnsi"/>
        </w:rPr>
      </w:pPr>
      <w:r w:rsidRPr="00903A50">
        <w:rPr>
          <w:rFonts w:asciiTheme="majorHAnsi" w:hAnsiTheme="majorHAnsi" w:cstheme="majorHAnsi"/>
        </w:rPr>
        <w:t>Deviations</w:t>
      </w:r>
      <w:r w:rsidR="008D1E79" w:rsidRPr="00903A50">
        <w:rPr>
          <w:rFonts w:asciiTheme="majorHAnsi" w:hAnsiTheme="majorHAnsi" w:cstheme="majorHAnsi"/>
        </w:rPr>
        <w:t xml:space="preserve"> from the guidance (AusHFG </w:t>
      </w:r>
      <w:r w:rsidR="0002626B">
        <w:rPr>
          <w:rFonts w:asciiTheme="majorHAnsi" w:hAnsiTheme="majorHAnsi" w:cstheme="majorHAnsi"/>
        </w:rPr>
        <w:t>an</w:t>
      </w:r>
      <w:r w:rsidR="00457A4D">
        <w:rPr>
          <w:rFonts w:asciiTheme="majorHAnsi" w:hAnsiTheme="majorHAnsi" w:cstheme="majorHAnsi"/>
        </w:rPr>
        <w:t xml:space="preserve">d / </w:t>
      </w:r>
      <w:r w:rsidR="008D1E79" w:rsidRPr="00903A50">
        <w:rPr>
          <w:rFonts w:asciiTheme="majorHAnsi" w:hAnsiTheme="majorHAnsi" w:cstheme="majorHAnsi"/>
        </w:rPr>
        <w:t xml:space="preserve">or New Zealand Guidance) </w:t>
      </w:r>
      <w:r w:rsidR="00026977">
        <w:rPr>
          <w:rFonts w:asciiTheme="majorHAnsi" w:hAnsiTheme="majorHAnsi" w:cstheme="majorHAnsi"/>
        </w:rPr>
        <w:t xml:space="preserve">should </w:t>
      </w:r>
      <w:r w:rsidR="008D1E79" w:rsidRPr="00903A50">
        <w:rPr>
          <w:rFonts w:asciiTheme="majorHAnsi" w:hAnsiTheme="majorHAnsi" w:cstheme="majorHAnsi"/>
        </w:rPr>
        <w:t>be identified</w:t>
      </w:r>
      <w:r w:rsidR="00132F0A">
        <w:rPr>
          <w:rFonts w:asciiTheme="majorHAnsi" w:hAnsiTheme="majorHAnsi" w:cstheme="majorHAnsi"/>
        </w:rPr>
        <w:t xml:space="preserve"> and</w:t>
      </w:r>
      <w:r w:rsidR="005F6C3A" w:rsidRPr="00903A50">
        <w:rPr>
          <w:rFonts w:asciiTheme="majorHAnsi" w:hAnsiTheme="majorHAnsi" w:cstheme="majorHAnsi"/>
        </w:rPr>
        <w:t xml:space="preserve"> reported</w:t>
      </w:r>
      <w:r w:rsidR="008D1E79" w:rsidRPr="00903A50">
        <w:rPr>
          <w:rFonts w:asciiTheme="majorHAnsi" w:hAnsiTheme="majorHAnsi" w:cstheme="majorHAnsi"/>
        </w:rPr>
        <w:t xml:space="preserve">. </w:t>
      </w:r>
    </w:p>
    <w:p w14:paraId="57D04A5E" w14:textId="3A54B822" w:rsidR="008D1E79" w:rsidRDefault="007F3434" w:rsidP="008C07AA">
      <w:pPr>
        <w:rPr>
          <w:rFonts w:asciiTheme="majorHAnsi" w:hAnsiTheme="majorHAnsi" w:cstheme="majorHAnsi"/>
        </w:rPr>
      </w:pPr>
      <w:r>
        <w:rPr>
          <w:rFonts w:asciiTheme="majorHAnsi" w:hAnsiTheme="majorHAnsi" w:cstheme="majorHAnsi"/>
        </w:rPr>
        <w:t>W</w:t>
      </w:r>
      <w:r w:rsidR="00416214" w:rsidRPr="00416214">
        <w:rPr>
          <w:rFonts w:asciiTheme="majorHAnsi" w:hAnsiTheme="majorHAnsi" w:cstheme="majorHAnsi"/>
        </w:rPr>
        <w:t xml:space="preserve">here projects </w:t>
      </w:r>
      <w:r w:rsidR="00106401">
        <w:rPr>
          <w:rFonts w:asciiTheme="majorHAnsi" w:hAnsiTheme="majorHAnsi" w:cstheme="majorHAnsi"/>
        </w:rPr>
        <w:t>offer</w:t>
      </w:r>
      <w:r w:rsidR="00106401" w:rsidRPr="00416214">
        <w:rPr>
          <w:rFonts w:asciiTheme="majorHAnsi" w:hAnsiTheme="majorHAnsi" w:cstheme="majorHAnsi"/>
        </w:rPr>
        <w:t xml:space="preserve"> </w:t>
      </w:r>
      <w:r w:rsidR="00416214" w:rsidRPr="00416214">
        <w:rPr>
          <w:rFonts w:asciiTheme="majorHAnsi" w:hAnsiTheme="majorHAnsi" w:cstheme="majorHAnsi"/>
        </w:rPr>
        <w:t xml:space="preserve">solutions that </w:t>
      </w:r>
      <w:r w:rsidR="00630432">
        <w:rPr>
          <w:rFonts w:asciiTheme="majorHAnsi" w:hAnsiTheme="majorHAnsi" w:cstheme="majorHAnsi"/>
        </w:rPr>
        <w:t>contradict</w:t>
      </w:r>
      <w:r w:rsidR="00416214" w:rsidRPr="00416214">
        <w:rPr>
          <w:rFonts w:asciiTheme="majorHAnsi" w:hAnsiTheme="majorHAnsi" w:cstheme="majorHAnsi"/>
        </w:rPr>
        <w:t xml:space="preserve"> the guidance, or </w:t>
      </w:r>
      <w:r w:rsidR="00D64723">
        <w:rPr>
          <w:rFonts w:asciiTheme="majorHAnsi" w:hAnsiTheme="majorHAnsi" w:cstheme="majorHAnsi"/>
        </w:rPr>
        <w:t xml:space="preserve">present an </w:t>
      </w:r>
      <w:r w:rsidR="00416214" w:rsidRPr="00416214">
        <w:rPr>
          <w:rFonts w:asciiTheme="majorHAnsi" w:hAnsiTheme="majorHAnsi" w:cstheme="majorHAnsi"/>
        </w:rPr>
        <w:t>innovative solution</w:t>
      </w:r>
      <w:r w:rsidR="00AD5DCF">
        <w:rPr>
          <w:rFonts w:asciiTheme="majorHAnsi" w:hAnsiTheme="majorHAnsi" w:cstheme="majorHAnsi"/>
        </w:rPr>
        <w:t>, these</w:t>
      </w:r>
      <w:r w:rsidR="00405F36">
        <w:rPr>
          <w:rFonts w:asciiTheme="majorHAnsi" w:hAnsiTheme="majorHAnsi" w:cstheme="majorHAnsi"/>
        </w:rPr>
        <w:t xml:space="preserve"> proposals</w:t>
      </w:r>
      <w:r w:rsidR="00416214" w:rsidRPr="00416214">
        <w:rPr>
          <w:rFonts w:asciiTheme="majorHAnsi" w:hAnsiTheme="majorHAnsi" w:cstheme="majorHAnsi"/>
        </w:rPr>
        <w:t xml:space="preserve"> will be considered </w:t>
      </w:r>
      <w:r w:rsidR="00693DC4">
        <w:rPr>
          <w:rFonts w:asciiTheme="majorHAnsi" w:hAnsiTheme="majorHAnsi" w:cstheme="majorHAnsi"/>
        </w:rPr>
        <w:t xml:space="preserve">on a </w:t>
      </w:r>
      <w:r w:rsidR="00FE7507">
        <w:rPr>
          <w:rFonts w:asciiTheme="majorHAnsi" w:hAnsiTheme="majorHAnsi" w:cstheme="majorHAnsi"/>
        </w:rPr>
        <w:t>project-by-project</w:t>
      </w:r>
      <w:r w:rsidR="00693DC4">
        <w:rPr>
          <w:rFonts w:asciiTheme="majorHAnsi" w:hAnsiTheme="majorHAnsi" w:cstheme="majorHAnsi"/>
        </w:rPr>
        <w:t xml:space="preserve"> basis</w:t>
      </w:r>
      <w:r w:rsidR="00807FAE">
        <w:rPr>
          <w:rFonts w:asciiTheme="majorHAnsi" w:hAnsiTheme="majorHAnsi" w:cstheme="majorHAnsi"/>
        </w:rPr>
        <w:t>.</w:t>
      </w:r>
      <w:r w:rsidR="00416214" w:rsidRPr="00416214">
        <w:rPr>
          <w:rFonts w:asciiTheme="majorHAnsi" w:hAnsiTheme="majorHAnsi" w:cstheme="majorHAnsi"/>
        </w:rPr>
        <w:t xml:space="preserve"> </w:t>
      </w:r>
    </w:p>
    <w:p w14:paraId="30F546F3" w14:textId="77777777" w:rsidR="002D377D" w:rsidRPr="00903A50" w:rsidRDefault="002D377D" w:rsidP="008C07AA">
      <w:pPr>
        <w:rPr>
          <w:rFonts w:asciiTheme="majorHAnsi" w:hAnsiTheme="majorHAnsi" w:cstheme="majorHAnsi"/>
        </w:rPr>
      </w:pPr>
    </w:p>
    <w:p w14:paraId="2B30A905" w14:textId="64BAAD7D" w:rsidR="00214E12" w:rsidRPr="00903A50" w:rsidRDefault="00214E12" w:rsidP="008C07AA">
      <w:pPr>
        <w:rPr>
          <w:rFonts w:asciiTheme="majorHAnsi" w:hAnsiTheme="majorHAnsi" w:cstheme="majorHAnsi"/>
        </w:rPr>
      </w:pPr>
      <w:bookmarkStart w:id="35" w:name="_Hlk203577039"/>
      <w:r w:rsidRPr="00903A50">
        <w:rPr>
          <w:rFonts w:asciiTheme="majorHAnsi" w:hAnsiTheme="majorHAnsi" w:cstheme="majorHAnsi"/>
          <w:b/>
          <w:bCs/>
        </w:rPr>
        <w:lastRenderedPageBreak/>
        <w:t>Minor deviations</w:t>
      </w:r>
      <w:r w:rsidRPr="00903A50">
        <w:rPr>
          <w:rFonts w:asciiTheme="majorHAnsi" w:hAnsiTheme="majorHAnsi" w:cstheme="majorHAnsi"/>
        </w:rPr>
        <w:t xml:space="preserve"> include</w:t>
      </w:r>
    </w:p>
    <w:bookmarkEnd w:id="35"/>
    <w:p w14:paraId="7D84CBB9" w14:textId="6058027F" w:rsidR="00506DFE" w:rsidRPr="00506DFE" w:rsidRDefault="008D7B5B" w:rsidP="00506DFE">
      <w:pPr>
        <w:rPr>
          <w:rFonts w:asciiTheme="majorHAnsi" w:hAnsiTheme="majorHAnsi" w:cstheme="majorHAnsi"/>
        </w:rPr>
      </w:pPr>
      <w:r w:rsidRPr="00903A50">
        <w:rPr>
          <w:rFonts w:asciiTheme="majorHAnsi" w:hAnsiTheme="majorHAnsi" w:cstheme="majorHAnsi"/>
        </w:rPr>
        <w:t>1:</w:t>
      </w:r>
      <w:r w:rsidR="0079553A" w:rsidRPr="00903A50">
        <w:rPr>
          <w:rFonts w:asciiTheme="majorHAnsi" w:hAnsiTheme="majorHAnsi" w:cstheme="majorHAnsi"/>
        </w:rPr>
        <w:t xml:space="preserve"> </w:t>
      </w:r>
      <w:r w:rsidR="00506DFE" w:rsidRPr="00506DFE">
        <w:rPr>
          <w:rFonts w:asciiTheme="majorHAnsi" w:hAnsiTheme="majorHAnsi" w:cstheme="majorHAnsi"/>
        </w:rPr>
        <w:t xml:space="preserve">A change to the project briefed area or </w:t>
      </w:r>
      <w:proofErr w:type="gramStart"/>
      <w:r w:rsidR="00506DFE" w:rsidRPr="00506DFE">
        <w:rPr>
          <w:rFonts w:asciiTheme="majorHAnsi" w:hAnsiTheme="majorHAnsi" w:cstheme="majorHAnsi"/>
        </w:rPr>
        <w:t>fit-out</w:t>
      </w:r>
      <w:proofErr w:type="gramEnd"/>
      <w:r w:rsidR="00506DFE" w:rsidRPr="00506DFE">
        <w:rPr>
          <w:rFonts w:asciiTheme="majorHAnsi" w:hAnsiTheme="majorHAnsi" w:cstheme="majorHAnsi"/>
        </w:rPr>
        <w:t xml:space="preserve"> that </w:t>
      </w:r>
      <w:r w:rsidR="00506DFE" w:rsidRPr="00506DFE">
        <w:rPr>
          <w:rFonts w:asciiTheme="majorHAnsi" w:hAnsiTheme="majorHAnsi" w:cstheme="majorHAnsi"/>
          <w:b/>
          <w:bCs/>
          <w:u w:val="single"/>
        </w:rPr>
        <w:t>does not</w:t>
      </w:r>
      <w:r w:rsidR="00506DFE" w:rsidRPr="00506DFE">
        <w:rPr>
          <w:rFonts w:asciiTheme="majorHAnsi" w:hAnsiTheme="majorHAnsi" w:cstheme="majorHAnsi"/>
          <w:b/>
          <w:bCs/>
        </w:rPr>
        <w:t xml:space="preserve"> </w:t>
      </w:r>
      <w:r w:rsidR="00506DFE" w:rsidRPr="00506DFE">
        <w:rPr>
          <w:rFonts w:asciiTheme="majorHAnsi" w:hAnsiTheme="majorHAnsi" w:cstheme="majorHAnsi"/>
        </w:rPr>
        <w:t xml:space="preserve">affect the clinical and/or operational function of the room, </w:t>
      </w:r>
      <w:r w:rsidR="00A60F0D">
        <w:rPr>
          <w:rFonts w:asciiTheme="majorHAnsi" w:hAnsiTheme="majorHAnsi" w:cstheme="majorHAnsi"/>
        </w:rPr>
        <w:t>Examples</w:t>
      </w:r>
      <w:r w:rsidR="00506DFE" w:rsidRPr="00506DFE">
        <w:rPr>
          <w:rFonts w:asciiTheme="majorHAnsi" w:hAnsiTheme="majorHAnsi" w:cstheme="majorHAnsi"/>
        </w:rPr>
        <w:t>:</w:t>
      </w:r>
    </w:p>
    <w:p w14:paraId="6A8865FA" w14:textId="77777777" w:rsidR="00506DFE" w:rsidRPr="00506DFE" w:rsidRDefault="00506DFE" w:rsidP="00506DFE">
      <w:pPr>
        <w:numPr>
          <w:ilvl w:val="1"/>
          <w:numId w:val="15"/>
        </w:numPr>
        <w:rPr>
          <w:rFonts w:asciiTheme="majorHAnsi" w:hAnsiTheme="majorHAnsi" w:cstheme="majorHAnsi"/>
        </w:rPr>
      </w:pPr>
      <w:r w:rsidRPr="00506DFE">
        <w:rPr>
          <w:rFonts w:asciiTheme="majorHAnsi" w:hAnsiTheme="majorHAnsi" w:cstheme="majorHAnsi"/>
        </w:rPr>
        <w:t>Relocation or substitution of furniture &amp; fixtures</w:t>
      </w:r>
    </w:p>
    <w:p w14:paraId="0DBD05B5" w14:textId="2A3B9086" w:rsidR="00506DFE" w:rsidRPr="00903A50" w:rsidRDefault="00EB6EB7" w:rsidP="00506DFE">
      <w:pPr>
        <w:numPr>
          <w:ilvl w:val="1"/>
          <w:numId w:val="15"/>
        </w:numPr>
        <w:rPr>
          <w:rFonts w:asciiTheme="majorHAnsi" w:hAnsiTheme="majorHAnsi" w:cstheme="majorHAnsi"/>
        </w:rPr>
      </w:pPr>
      <w:r>
        <w:rPr>
          <w:rFonts w:asciiTheme="majorHAnsi" w:hAnsiTheme="majorHAnsi" w:cstheme="majorHAnsi"/>
        </w:rPr>
        <w:t>A</w:t>
      </w:r>
      <w:r w:rsidR="00506DFE" w:rsidRPr="00506DFE">
        <w:rPr>
          <w:rFonts w:asciiTheme="majorHAnsi" w:hAnsiTheme="majorHAnsi" w:cstheme="majorHAnsi"/>
        </w:rPr>
        <w:t xml:space="preserve">rea deviations of less than 10% </w:t>
      </w:r>
      <w:r w:rsidR="00B412D2">
        <w:rPr>
          <w:rFonts w:asciiTheme="majorHAnsi" w:hAnsiTheme="majorHAnsi" w:cstheme="majorHAnsi"/>
        </w:rPr>
        <w:t>of</w:t>
      </w:r>
      <w:r w:rsidR="00506DFE" w:rsidRPr="00506DFE">
        <w:rPr>
          <w:rFonts w:asciiTheme="majorHAnsi" w:hAnsiTheme="majorHAnsi" w:cstheme="majorHAnsi"/>
        </w:rPr>
        <w:t xml:space="preserve"> AusHFG standard components</w:t>
      </w:r>
    </w:p>
    <w:p w14:paraId="46288177" w14:textId="7A095756" w:rsidR="00020D45" w:rsidRPr="00903A50" w:rsidRDefault="0079553A" w:rsidP="008D7B5B">
      <w:pPr>
        <w:rPr>
          <w:rFonts w:asciiTheme="majorHAnsi" w:hAnsiTheme="majorHAnsi" w:cstheme="majorHAnsi"/>
        </w:rPr>
      </w:pPr>
      <w:r w:rsidRPr="00903A50">
        <w:rPr>
          <w:rFonts w:asciiTheme="majorHAnsi" w:hAnsiTheme="majorHAnsi" w:cstheme="majorHAnsi"/>
        </w:rPr>
        <w:t xml:space="preserve">2: </w:t>
      </w:r>
      <w:r w:rsidR="0005131C" w:rsidRPr="00903A50">
        <w:rPr>
          <w:rFonts w:asciiTheme="majorHAnsi" w:hAnsiTheme="majorHAnsi" w:cstheme="majorHAnsi"/>
        </w:rPr>
        <w:t>A</w:t>
      </w:r>
      <w:r w:rsidRPr="00903A50">
        <w:rPr>
          <w:rFonts w:asciiTheme="majorHAnsi" w:hAnsiTheme="majorHAnsi" w:cstheme="majorHAnsi"/>
        </w:rPr>
        <w:t xml:space="preserve"> change to</w:t>
      </w:r>
      <w:r w:rsidR="008D7B5B" w:rsidRPr="008D7B5B">
        <w:rPr>
          <w:rFonts w:asciiTheme="majorHAnsi" w:hAnsiTheme="majorHAnsi" w:cstheme="majorHAnsi"/>
        </w:rPr>
        <w:t xml:space="preserve"> the AusHFG percentage allocation for departmental circulation, travel &amp; engineering (T&amp;E)</w:t>
      </w:r>
    </w:p>
    <w:p w14:paraId="56B6BF59" w14:textId="0CF99490" w:rsidR="0005131C" w:rsidRPr="00903A50" w:rsidRDefault="0005131C" w:rsidP="0005131C">
      <w:pPr>
        <w:rPr>
          <w:rFonts w:asciiTheme="majorHAnsi" w:hAnsiTheme="majorHAnsi" w:cstheme="majorHAnsi"/>
        </w:rPr>
      </w:pPr>
      <w:r w:rsidRPr="00903A50">
        <w:rPr>
          <w:rFonts w:asciiTheme="majorHAnsi" w:hAnsiTheme="majorHAnsi" w:cstheme="majorHAnsi"/>
          <w:b/>
          <w:bCs/>
        </w:rPr>
        <w:t>Major deviations</w:t>
      </w:r>
      <w:r w:rsidRPr="00903A50">
        <w:rPr>
          <w:rFonts w:asciiTheme="majorHAnsi" w:hAnsiTheme="majorHAnsi" w:cstheme="majorHAnsi"/>
        </w:rPr>
        <w:t xml:space="preserve"> include</w:t>
      </w:r>
    </w:p>
    <w:p w14:paraId="49147CC2" w14:textId="3E1456FA" w:rsidR="00BA7586" w:rsidRPr="00BA7586" w:rsidRDefault="00BA7586" w:rsidP="00BA7586">
      <w:pPr>
        <w:spacing w:before="20" w:after="20" w:line="216" w:lineRule="auto"/>
        <w:rPr>
          <w:rFonts w:asciiTheme="majorHAnsi" w:eastAsia="Times New Roman" w:hAnsiTheme="majorHAnsi" w:cstheme="majorHAnsi"/>
          <w:szCs w:val="24"/>
          <w:lang w:eastAsia="en-NZ"/>
        </w:rPr>
      </w:pPr>
      <w:r w:rsidRPr="00BA7586">
        <w:rPr>
          <w:rFonts w:asciiTheme="majorHAnsi" w:eastAsia="+mn-ea" w:hAnsiTheme="majorHAnsi" w:cstheme="majorHAnsi"/>
          <w:color w:val="000000"/>
          <w:kern w:val="24"/>
          <w:szCs w:val="24"/>
          <w:lang w:eastAsia="en-NZ"/>
        </w:rPr>
        <w:t xml:space="preserve">proposals that </w:t>
      </w:r>
      <w:r w:rsidRPr="00BA7586">
        <w:rPr>
          <w:rFonts w:asciiTheme="majorHAnsi" w:eastAsia="+mn-ea" w:hAnsiTheme="majorHAnsi" w:cstheme="majorHAnsi"/>
          <w:b/>
          <w:bCs/>
          <w:color w:val="000000"/>
          <w:kern w:val="24"/>
          <w:szCs w:val="24"/>
          <w:u w:val="single"/>
          <w:lang w:eastAsia="en-NZ"/>
        </w:rPr>
        <w:t xml:space="preserve">do affect </w:t>
      </w:r>
      <w:r w:rsidRPr="00BA7586">
        <w:rPr>
          <w:rFonts w:asciiTheme="majorHAnsi" w:eastAsia="+mn-ea" w:hAnsiTheme="majorHAnsi" w:cstheme="majorHAnsi"/>
          <w:color w:val="000000"/>
          <w:kern w:val="24"/>
          <w:szCs w:val="24"/>
          <w:lang w:eastAsia="en-NZ"/>
        </w:rPr>
        <w:t xml:space="preserve">the clinical and/or operational function of a room or space </w:t>
      </w:r>
      <w:r w:rsidR="00903A50" w:rsidRPr="00903A50">
        <w:rPr>
          <w:rFonts w:asciiTheme="majorHAnsi" w:eastAsia="+mn-ea" w:hAnsiTheme="majorHAnsi" w:cstheme="majorHAnsi"/>
          <w:color w:val="000000"/>
          <w:kern w:val="24"/>
          <w:szCs w:val="24"/>
          <w:lang w:eastAsia="en-NZ"/>
        </w:rPr>
        <w:t>such as</w:t>
      </w:r>
      <w:r w:rsidRPr="00BA7586">
        <w:rPr>
          <w:rFonts w:asciiTheme="majorHAnsi" w:eastAsia="+mn-ea" w:hAnsiTheme="majorHAnsi" w:cstheme="majorHAnsi"/>
          <w:color w:val="000000"/>
          <w:kern w:val="24"/>
          <w:szCs w:val="24"/>
          <w:lang w:eastAsia="en-NZ"/>
        </w:rPr>
        <w:t>:</w:t>
      </w:r>
    </w:p>
    <w:p w14:paraId="320308CD" w14:textId="77777777" w:rsidR="00BA7586" w:rsidRPr="00BA7586" w:rsidRDefault="00BA7586" w:rsidP="00903A50">
      <w:pPr>
        <w:numPr>
          <w:ilvl w:val="1"/>
          <w:numId w:val="15"/>
        </w:numPr>
        <w:rPr>
          <w:rFonts w:asciiTheme="majorHAnsi" w:hAnsiTheme="majorHAnsi" w:cstheme="majorHAnsi"/>
        </w:rPr>
      </w:pPr>
      <w:r w:rsidRPr="00BA7586">
        <w:rPr>
          <w:rFonts w:asciiTheme="majorHAnsi" w:hAnsiTheme="majorHAnsi" w:cstheme="majorHAnsi"/>
        </w:rPr>
        <w:t>Additional rooms / spaces not specified in the relevant AusHFG HPU.</w:t>
      </w:r>
    </w:p>
    <w:p w14:paraId="397570A6" w14:textId="77777777" w:rsidR="00BA7586" w:rsidRPr="00BA7586" w:rsidRDefault="00BA7586" w:rsidP="00903A50">
      <w:pPr>
        <w:numPr>
          <w:ilvl w:val="1"/>
          <w:numId w:val="15"/>
        </w:numPr>
        <w:rPr>
          <w:rFonts w:asciiTheme="majorHAnsi" w:hAnsiTheme="majorHAnsi" w:cstheme="majorHAnsi"/>
        </w:rPr>
      </w:pPr>
      <w:r w:rsidRPr="00BA7586">
        <w:rPr>
          <w:rFonts w:asciiTheme="majorHAnsi" w:hAnsiTheme="majorHAnsi" w:cstheme="majorHAnsi"/>
        </w:rPr>
        <w:t>Deleted rooms / spaces from those listed in the relevant AusHFG HPU.</w:t>
      </w:r>
    </w:p>
    <w:p w14:paraId="260F8945" w14:textId="1671E6FB" w:rsidR="004D31E6" w:rsidRPr="00903A50" w:rsidRDefault="004D31E6" w:rsidP="004D31E6">
      <w:pPr>
        <w:numPr>
          <w:ilvl w:val="1"/>
          <w:numId w:val="15"/>
        </w:numPr>
        <w:rPr>
          <w:rFonts w:asciiTheme="majorHAnsi" w:hAnsiTheme="majorHAnsi" w:cstheme="majorHAnsi"/>
        </w:rPr>
      </w:pPr>
      <w:r>
        <w:rPr>
          <w:rFonts w:asciiTheme="majorHAnsi" w:hAnsiTheme="majorHAnsi" w:cstheme="majorHAnsi"/>
        </w:rPr>
        <w:t>A</w:t>
      </w:r>
      <w:r w:rsidRPr="00506DFE">
        <w:rPr>
          <w:rFonts w:asciiTheme="majorHAnsi" w:hAnsiTheme="majorHAnsi" w:cstheme="majorHAnsi"/>
        </w:rPr>
        <w:t xml:space="preserve">rea deviations of </w:t>
      </w:r>
      <w:r w:rsidR="00B63DA0">
        <w:rPr>
          <w:rFonts w:asciiTheme="majorHAnsi" w:hAnsiTheme="majorHAnsi" w:cstheme="majorHAnsi"/>
        </w:rPr>
        <w:t>greater</w:t>
      </w:r>
      <w:r w:rsidRPr="00506DFE">
        <w:rPr>
          <w:rFonts w:asciiTheme="majorHAnsi" w:hAnsiTheme="majorHAnsi" w:cstheme="majorHAnsi"/>
        </w:rPr>
        <w:t xml:space="preserve"> than 10% </w:t>
      </w:r>
      <w:r>
        <w:rPr>
          <w:rFonts w:asciiTheme="majorHAnsi" w:hAnsiTheme="majorHAnsi" w:cstheme="majorHAnsi"/>
        </w:rPr>
        <w:t>of</w:t>
      </w:r>
      <w:r w:rsidRPr="00506DFE">
        <w:rPr>
          <w:rFonts w:asciiTheme="majorHAnsi" w:hAnsiTheme="majorHAnsi" w:cstheme="majorHAnsi"/>
        </w:rPr>
        <w:t xml:space="preserve"> AusHFG standard components</w:t>
      </w:r>
    </w:p>
    <w:p w14:paraId="6E9349CA" w14:textId="46E049BE" w:rsidR="00BA7586" w:rsidRPr="00BA7586" w:rsidRDefault="00BA7586" w:rsidP="00903A50">
      <w:pPr>
        <w:numPr>
          <w:ilvl w:val="1"/>
          <w:numId w:val="15"/>
        </w:numPr>
        <w:rPr>
          <w:rFonts w:asciiTheme="majorHAnsi" w:hAnsiTheme="majorHAnsi" w:cstheme="majorHAnsi"/>
        </w:rPr>
      </w:pPr>
      <w:r w:rsidRPr="00BA7586">
        <w:rPr>
          <w:rFonts w:asciiTheme="majorHAnsi" w:hAnsiTheme="majorHAnsi" w:cstheme="majorHAnsi"/>
        </w:rPr>
        <w:t>Additional FFE items or engineering solution</w:t>
      </w:r>
      <w:r w:rsidR="004D31E6">
        <w:rPr>
          <w:rFonts w:asciiTheme="majorHAnsi" w:hAnsiTheme="majorHAnsi" w:cstheme="majorHAnsi"/>
        </w:rPr>
        <w:t>s</w:t>
      </w:r>
      <w:r w:rsidRPr="00BA7586">
        <w:rPr>
          <w:rFonts w:asciiTheme="majorHAnsi" w:hAnsiTheme="majorHAnsi" w:cstheme="majorHAnsi"/>
        </w:rPr>
        <w:t xml:space="preserve"> not specified as optional in the room Data Sheet for a standard component.</w:t>
      </w:r>
    </w:p>
    <w:p w14:paraId="2382B502" w14:textId="77777777" w:rsidR="00BA7586" w:rsidRPr="00BA7586" w:rsidRDefault="00BA7586" w:rsidP="00903A50">
      <w:pPr>
        <w:numPr>
          <w:ilvl w:val="1"/>
          <w:numId w:val="15"/>
        </w:numPr>
        <w:rPr>
          <w:rFonts w:asciiTheme="majorHAnsi" w:hAnsiTheme="majorHAnsi" w:cstheme="majorHAnsi"/>
        </w:rPr>
      </w:pPr>
      <w:r w:rsidRPr="00BA7586">
        <w:rPr>
          <w:rFonts w:asciiTheme="majorHAnsi" w:hAnsiTheme="majorHAnsi" w:cstheme="majorHAnsi"/>
        </w:rPr>
        <w:t>Deletion of any major FFE item or engineering services not specified as optional on the room Data Sheet for a standard component.</w:t>
      </w:r>
    </w:p>
    <w:p w14:paraId="6866D37C" w14:textId="424398EC" w:rsidR="00BA7586" w:rsidRPr="00BA7586" w:rsidRDefault="00BA7586" w:rsidP="00903A50">
      <w:pPr>
        <w:numPr>
          <w:ilvl w:val="1"/>
          <w:numId w:val="15"/>
        </w:numPr>
        <w:rPr>
          <w:rFonts w:asciiTheme="majorHAnsi" w:hAnsiTheme="majorHAnsi" w:cstheme="majorHAnsi"/>
        </w:rPr>
      </w:pPr>
      <w:r w:rsidRPr="00BA7586">
        <w:rPr>
          <w:rFonts w:asciiTheme="majorHAnsi" w:hAnsiTheme="majorHAnsi" w:cstheme="majorHAnsi"/>
        </w:rPr>
        <w:t>Non-conformance with design guidance provided in the AusHFG / DGN in relation to access, safety, security, and infection prevention &amp; control.</w:t>
      </w:r>
    </w:p>
    <w:p w14:paraId="4BCC1A02" w14:textId="0D8BE1C1" w:rsidR="00BA7586" w:rsidRDefault="00BA7586" w:rsidP="00903A50">
      <w:pPr>
        <w:numPr>
          <w:ilvl w:val="1"/>
          <w:numId w:val="15"/>
        </w:numPr>
        <w:rPr>
          <w:rFonts w:asciiTheme="majorHAnsi" w:hAnsiTheme="majorHAnsi" w:cstheme="majorHAnsi"/>
        </w:rPr>
      </w:pPr>
      <w:r w:rsidRPr="00BA7586">
        <w:rPr>
          <w:rFonts w:asciiTheme="majorHAnsi" w:hAnsiTheme="majorHAnsi" w:cstheme="majorHAnsi"/>
        </w:rPr>
        <w:t xml:space="preserve">Non-conformance with the </w:t>
      </w:r>
      <w:r w:rsidR="00C66E56">
        <w:rPr>
          <w:rFonts w:asciiTheme="majorHAnsi" w:hAnsiTheme="majorHAnsi" w:cstheme="majorHAnsi"/>
        </w:rPr>
        <w:t>Health New Zealand</w:t>
      </w:r>
      <w:r w:rsidRPr="00BA7586">
        <w:rPr>
          <w:rFonts w:asciiTheme="majorHAnsi" w:hAnsiTheme="majorHAnsi" w:cstheme="majorHAnsi"/>
        </w:rPr>
        <w:t xml:space="preserve"> DGN in relation to seismic, sustainability and cultural design principles.</w:t>
      </w:r>
    </w:p>
    <w:p w14:paraId="6BED018D" w14:textId="6C710E2C" w:rsidR="00BA7586" w:rsidRDefault="000C034C" w:rsidP="000C034C">
      <w:pPr>
        <w:rPr>
          <w:rFonts w:asciiTheme="majorHAnsi" w:hAnsiTheme="majorHAnsi" w:cstheme="majorHAnsi"/>
        </w:rPr>
      </w:pPr>
      <w:r>
        <w:rPr>
          <w:rFonts w:asciiTheme="majorHAnsi" w:hAnsiTheme="majorHAnsi" w:cstheme="majorHAnsi"/>
        </w:rPr>
        <w:t xml:space="preserve">The following </w:t>
      </w:r>
      <w:r w:rsidR="00716F0D">
        <w:rPr>
          <w:rFonts w:asciiTheme="majorHAnsi" w:hAnsiTheme="majorHAnsi" w:cstheme="majorHAnsi"/>
        </w:rPr>
        <w:t>diagram</w:t>
      </w:r>
      <w:r>
        <w:rPr>
          <w:rFonts w:asciiTheme="majorHAnsi" w:hAnsiTheme="majorHAnsi" w:cstheme="majorHAnsi"/>
        </w:rPr>
        <w:t xml:space="preserve"> demonstrates</w:t>
      </w:r>
      <w:r w:rsidR="00716F0D">
        <w:rPr>
          <w:rFonts w:asciiTheme="majorHAnsi" w:hAnsiTheme="majorHAnsi" w:cstheme="majorHAnsi"/>
        </w:rPr>
        <w:t xml:space="preserve"> the </w:t>
      </w:r>
      <w:r w:rsidR="00C66E56">
        <w:rPr>
          <w:rFonts w:asciiTheme="majorHAnsi" w:hAnsiTheme="majorHAnsi" w:cstheme="majorHAnsi"/>
        </w:rPr>
        <w:t>Health New Zealand</w:t>
      </w:r>
      <w:r w:rsidR="00716F0D">
        <w:rPr>
          <w:rFonts w:asciiTheme="majorHAnsi" w:hAnsiTheme="majorHAnsi" w:cstheme="majorHAnsi"/>
        </w:rPr>
        <w:t xml:space="preserve"> process</w:t>
      </w:r>
      <w:r>
        <w:rPr>
          <w:rFonts w:asciiTheme="majorHAnsi" w:hAnsiTheme="majorHAnsi" w:cstheme="majorHAnsi"/>
        </w:rPr>
        <w:t xml:space="preserve"> </w:t>
      </w:r>
      <w:r w:rsidR="00716F0D">
        <w:rPr>
          <w:rFonts w:asciiTheme="majorHAnsi" w:hAnsiTheme="majorHAnsi" w:cstheme="majorHAnsi"/>
        </w:rPr>
        <w:t xml:space="preserve">for the management of </w:t>
      </w:r>
      <w:r>
        <w:rPr>
          <w:rFonts w:asciiTheme="majorHAnsi" w:hAnsiTheme="majorHAnsi" w:cstheme="majorHAnsi"/>
        </w:rPr>
        <w:t xml:space="preserve">project </w:t>
      </w:r>
      <w:r w:rsidR="00716F0D">
        <w:rPr>
          <w:rFonts w:asciiTheme="majorHAnsi" w:hAnsiTheme="majorHAnsi" w:cstheme="majorHAnsi"/>
        </w:rPr>
        <w:t>deviations</w:t>
      </w:r>
      <w:r>
        <w:rPr>
          <w:rFonts w:asciiTheme="majorHAnsi" w:hAnsiTheme="majorHAnsi" w:cstheme="majorHAnsi"/>
        </w:rPr>
        <w:t xml:space="preserve"> </w:t>
      </w:r>
    </w:p>
    <w:p w14:paraId="101B8A57" w14:textId="044AFBA4" w:rsidR="00BA7586" w:rsidRDefault="00716F0D" w:rsidP="003E39B5">
      <w:pPr>
        <w:jc w:val="center"/>
        <w:rPr>
          <w:rFonts w:asciiTheme="majorHAnsi" w:hAnsiTheme="majorHAnsi" w:cstheme="majorHAnsi"/>
        </w:rPr>
      </w:pPr>
      <w:r>
        <w:rPr>
          <w:rFonts w:asciiTheme="majorHAnsi" w:hAnsiTheme="majorHAnsi" w:cstheme="majorHAnsi"/>
          <w:noProof/>
        </w:rPr>
        <w:lastRenderedPageBreak/>
        <w:drawing>
          <wp:inline distT="0" distB="0" distL="0" distR="0" wp14:anchorId="4BA46AD0" wp14:editId="22935F8D">
            <wp:extent cx="6238875" cy="4727395"/>
            <wp:effectExtent l="0" t="0" r="0" b="0"/>
            <wp:docPr id="21026328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32824" name="Picture 7"/>
                    <pic:cNvPicPr/>
                  </pic:nvPicPr>
                  <pic:blipFill>
                    <a:blip r:embed="rId48">
                      <a:extLst>
                        <a:ext uri="{28A0092B-C50C-407E-A947-70E740481C1C}">
                          <a14:useLocalDpi xmlns:a14="http://schemas.microsoft.com/office/drawing/2010/main" val="0"/>
                        </a:ext>
                      </a:extLst>
                    </a:blip>
                    <a:stretch>
                      <a:fillRect/>
                    </a:stretch>
                  </pic:blipFill>
                  <pic:spPr>
                    <a:xfrm>
                      <a:off x="0" y="0"/>
                      <a:ext cx="6247499" cy="4733930"/>
                    </a:xfrm>
                    <a:prstGeom prst="rect">
                      <a:avLst/>
                    </a:prstGeom>
                  </pic:spPr>
                </pic:pic>
              </a:graphicData>
            </a:graphic>
          </wp:inline>
        </w:drawing>
      </w:r>
    </w:p>
    <w:p w14:paraId="1F4F0AB5" w14:textId="77777777" w:rsidR="003E39B5" w:rsidRPr="00BA7586" w:rsidRDefault="003E39B5" w:rsidP="003E39B5">
      <w:pPr>
        <w:jc w:val="center"/>
        <w:rPr>
          <w:rFonts w:asciiTheme="majorHAnsi" w:hAnsiTheme="majorHAnsi" w:cstheme="majorHAnsi"/>
        </w:rPr>
      </w:pPr>
    </w:p>
    <w:p w14:paraId="4A73A427" w14:textId="4F066733" w:rsidR="00E03BB4" w:rsidRDefault="00C82EE7" w:rsidP="00E03BB4">
      <w:r>
        <w:t>D</w:t>
      </w:r>
      <w:r w:rsidR="00E03BB4">
        <w:t>eviations are</w:t>
      </w:r>
      <w:r>
        <w:t xml:space="preserve"> to</w:t>
      </w:r>
      <w:r w:rsidR="00E03BB4">
        <w:t xml:space="preserve"> </w:t>
      </w:r>
      <w:r>
        <w:t xml:space="preserve">be </w:t>
      </w:r>
      <w:r w:rsidR="00E03BB4">
        <w:t>tracked</w:t>
      </w:r>
      <w:r w:rsidR="00760942">
        <w:t xml:space="preserve"> and re</w:t>
      </w:r>
      <w:r w:rsidR="00371405">
        <w:t>corded</w:t>
      </w:r>
      <w:r w:rsidR="00760942">
        <w:t xml:space="preserve"> in the</w:t>
      </w:r>
      <w:r w:rsidR="00080AA0">
        <w:t xml:space="preserve"> remarks / comments section of the</w:t>
      </w:r>
      <w:r w:rsidR="0033264D">
        <w:t xml:space="preserve"> Schedule of </w:t>
      </w:r>
      <w:r w:rsidR="00034459">
        <w:t>Accommodation</w:t>
      </w:r>
      <w:r w:rsidR="00530AFD">
        <w:t xml:space="preserve"> (</w:t>
      </w:r>
      <w:r w:rsidR="00034459">
        <w:t>area and room location changes) as well as the</w:t>
      </w:r>
      <w:r w:rsidR="00224C67">
        <w:t xml:space="preserve"> Room Data Sheets (changes to room briefing</w:t>
      </w:r>
      <w:r w:rsidR="00D74C7D">
        <w:t xml:space="preserve"> requirements)</w:t>
      </w:r>
    </w:p>
    <w:p w14:paraId="16CD8FFD" w14:textId="038E0FB1" w:rsidR="005036E6" w:rsidRDefault="003E39B5" w:rsidP="0005131C">
      <w:pPr>
        <w:rPr>
          <w:rFonts w:asciiTheme="majorHAnsi" w:hAnsiTheme="majorHAnsi" w:cstheme="majorHAnsi"/>
        </w:rPr>
      </w:pPr>
      <w:r>
        <w:rPr>
          <w:rFonts w:asciiTheme="majorHAnsi" w:hAnsiTheme="majorHAnsi" w:cstheme="majorHAnsi"/>
        </w:rPr>
        <w:t xml:space="preserve">A </w:t>
      </w:r>
      <w:hyperlink r:id="rId49" w:history="1">
        <w:r w:rsidRPr="002866F5">
          <w:rPr>
            <w:rStyle w:val="Hyperlink"/>
            <w:rFonts w:asciiTheme="majorHAnsi" w:hAnsiTheme="majorHAnsi" w:cstheme="majorHAnsi"/>
            <w:bCs/>
          </w:rPr>
          <w:t>Design</w:t>
        </w:r>
        <w:r w:rsidR="008634E8" w:rsidRPr="002866F5">
          <w:rPr>
            <w:rStyle w:val="Hyperlink"/>
            <w:rFonts w:asciiTheme="majorHAnsi" w:hAnsiTheme="majorHAnsi" w:cstheme="majorHAnsi"/>
            <w:bCs/>
          </w:rPr>
          <w:t xml:space="preserve"> Authority – Major Deviation Application Form</w:t>
        </w:r>
      </w:hyperlink>
      <w:r w:rsidR="00775576">
        <w:rPr>
          <w:rFonts w:asciiTheme="majorHAnsi" w:hAnsiTheme="majorHAnsi" w:cstheme="majorHAnsi"/>
          <w:b/>
          <w:bCs/>
        </w:rPr>
        <w:t xml:space="preserve"> </w:t>
      </w:r>
      <w:r w:rsidR="00775576" w:rsidRPr="00775576">
        <w:rPr>
          <w:rFonts w:asciiTheme="majorHAnsi" w:hAnsiTheme="majorHAnsi" w:cstheme="majorHAnsi"/>
        </w:rPr>
        <w:t xml:space="preserve">is </w:t>
      </w:r>
      <w:r w:rsidR="00775576">
        <w:rPr>
          <w:rFonts w:asciiTheme="majorHAnsi" w:hAnsiTheme="majorHAnsi" w:cstheme="majorHAnsi"/>
        </w:rPr>
        <w:t xml:space="preserve">to be submitted for </w:t>
      </w:r>
      <w:r w:rsidR="00BA1ABA">
        <w:rPr>
          <w:rFonts w:asciiTheme="majorHAnsi" w:hAnsiTheme="majorHAnsi" w:cstheme="majorHAnsi"/>
        </w:rPr>
        <w:t>major,</w:t>
      </w:r>
      <w:r w:rsidR="0079006A">
        <w:rPr>
          <w:rFonts w:asciiTheme="majorHAnsi" w:hAnsiTheme="majorHAnsi" w:cstheme="majorHAnsi"/>
        </w:rPr>
        <w:t xml:space="preserve"> </w:t>
      </w:r>
      <w:r w:rsidR="003F1080">
        <w:rPr>
          <w:rFonts w:asciiTheme="majorHAnsi" w:hAnsiTheme="majorHAnsi" w:cstheme="majorHAnsi"/>
        </w:rPr>
        <w:t>material and innovation deviations</w:t>
      </w:r>
      <w:r w:rsidR="003A6CFD">
        <w:rPr>
          <w:rFonts w:asciiTheme="majorHAnsi" w:hAnsiTheme="majorHAnsi" w:cstheme="majorHAnsi"/>
        </w:rPr>
        <w:t>.</w:t>
      </w:r>
    </w:p>
    <w:p w14:paraId="1DF1E91D" w14:textId="36D9FCA7" w:rsidR="007E394B" w:rsidRDefault="003A6028" w:rsidP="007E394B">
      <w:pPr>
        <w:pStyle w:val="NumberedHeading2"/>
      </w:pPr>
      <w:bookmarkStart w:id="36" w:name="_Toc210288819"/>
      <w:r>
        <w:t>Design Autho</w:t>
      </w:r>
      <w:r w:rsidR="00FE5564">
        <w:t>rity</w:t>
      </w:r>
      <w:bookmarkEnd w:id="36"/>
    </w:p>
    <w:p w14:paraId="7B32C6BF" w14:textId="523C125F" w:rsidR="008702FD" w:rsidRDefault="0080271A" w:rsidP="008702FD">
      <w:r>
        <w:t>T</w:t>
      </w:r>
      <w:r w:rsidRPr="008702FD">
        <w:t xml:space="preserve">he </w:t>
      </w:r>
      <w:r w:rsidRPr="008702FD">
        <w:rPr>
          <w:b/>
          <w:bCs/>
        </w:rPr>
        <w:t>Design Authority</w:t>
      </w:r>
      <w:r w:rsidR="008702FD" w:rsidRPr="008702FD">
        <w:t xml:space="preserve"> </w:t>
      </w:r>
      <w:r w:rsidR="008D457C">
        <w:t xml:space="preserve">will </w:t>
      </w:r>
      <w:r w:rsidR="008702FD" w:rsidRPr="008702FD">
        <w:t xml:space="preserve">assess and make determinations on </w:t>
      </w:r>
      <w:r w:rsidR="0043710D">
        <w:t>major</w:t>
      </w:r>
      <w:r w:rsidR="00DE1404">
        <w:t xml:space="preserve">, </w:t>
      </w:r>
      <w:r w:rsidR="00DE1404">
        <w:rPr>
          <w:rFonts w:asciiTheme="majorHAnsi" w:hAnsiTheme="majorHAnsi" w:cstheme="majorHAnsi"/>
        </w:rPr>
        <w:t xml:space="preserve">material and innovation </w:t>
      </w:r>
      <w:r w:rsidR="008D457C">
        <w:t>deviation</w:t>
      </w:r>
      <w:r w:rsidR="008702FD" w:rsidRPr="008702FD">
        <w:t xml:space="preserve"> requests. </w:t>
      </w:r>
    </w:p>
    <w:p w14:paraId="7E9D766C" w14:textId="58C47DF3" w:rsidR="00BA1ABA" w:rsidRDefault="005257FC" w:rsidP="008702FD">
      <w:r>
        <w:t>Each item will be assessed by subject matter exper</w:t>
      </w:r>
      <w:r w:rsidR="00200AE1">
        <w:t xml:space="preserve">ts </w:t>
      </w:r>
      <w:r w:rsidR="007700E0">
        <w:t xml:space="preserve">and </w:t>
      </w:r>
      <w:r w:rsidR="006E39C8">
        <w:t>decisions communicated</w:t>
      </w:r>
      <w:r w:rsidR="008702FD" w:rsidRPr="008702FD">
        <w:t xml:space="preserve"> to the </w:t>
      </w:r>
      <w:r w:rsidR="00D1444B">
        <w:t>P</w:t>
      </w:r>
      <w:r w:rsidR="008702FD" w:rsidRPr="008702FD">
        <w:t xml:space="preserve">roject </w:t>
      </w:r>
      <w:r w:rsidR="00D1444B">
        <w:t>D</w:t>
      </w:r>
      <w:r w:rsidR="008702FD" w:rsidRPr="008702FD">
        <w:t xml:space="preserve">irector and </w:t>
      </w:r>
      <w:r w:rsidR="00C554EA">
        <w:t xml:space="preserve">National </w:t>
      </w:r>
      <w:r w:rsidR="005D0B02">
        <w:t xml:space="preserve">Facility </w:t>
      </w:r>
      <w:r w:rsidR="008702FD" w:rsidRPr="008702FD">
        <w:t>Design</w:t>
      </w:r>
      <w:r w:rsidR="005D0B02">
        <w:t xml:space="preserve"> </w:t>
      </w:r>
      <w:r w:rsidR="008702FD" w:rsidRPr="008702FD">
        <w:t xml:space="preserve">Advisory and Assurance </w:t>
      </w:r>
      <w:r w:rsidR="005D0B02">
        <w:t>team</w:t>
      </w:r>
      <w:r w:rsidR="008702FD" w:rsidRPr="008702FD">
        <w:t xml:space="preserve">. Determinations that impact on system level health and infrastructure planning will be communicated to both </w:t>
      </w:r>
      <w:r w:rsidR="00BB26D7">
        <w:t>Planning,</w:t>
      </w:r>
      <w:r w:rsidR="00A75E5E">
        <w:t xml:space="preserve"> Funding and Outcomes</w:t>
      </w:r>
      <w:r w:rsidR="008702FD" w:rsidRPr="008702FD">
        <w:t xml:space="preserve"> and</w:t>
      </w:r>
      <w:r w:rsidR="00A75E5E">
        <w:t xml:space="preserve"> the </w:t>
      </w:r>
      <w:r w:rsidR="00F132C6" w:rsidRPr="008702FD">
        <w:t>I</w:t>
      </w:r>
      <w:r w:rsidR="00F132C6">
        <w:t>nfrastructure</w:t>
      </w:r>
      <w:r w:rsidR="00BF0587">
        <w:t xml:space="preserve"> and Investment Group</w:t>
      </w:r>
      <w:r w:rsidR="00BB26D7">
        <w:t>s</w:t>
      </w:r>
      <w:r w:rsidR="00DB14BB">
        <w:t>.</w:t>
      </w:r>
    </w:p>
    <w:p w14:paraId="6C3722D2" w14:textId="3466BC04" w:rsidR="00967DAF" w:rsidRDefault="00A07C41" w:rsidP="008702FD">
      <w:r>
        <w:t xml:space="preserve">The </w:t>
      </w:r>
      <w:r w:rsidR="007029EA">
        <w:t>following process is</w:t>
      </w:r>
      <w:r w:rsidR="00D1702C">
        <w:t xml:space="preserve"> </w:t>
      </w:r>
      <w:r>
        <w:t>required</w:t>
      </w:r>
      <w:r w:rsidR="003E1B52">
        <w:t xml:space="preserve"> </w:t>
      </w:r>
      <w:r w:rsidR="00C4017D">
        <w:t xml:space="preserve">for </w:t>
      </w:r>
      <w:r w:rsidR="00296754">
        <w:t>m</w:t>
      </w:r>
      <w:r w:rsidR="003E1B52">
        <w:t>ajor deviations</w:t>
      </w:r>
      <w:r w:rsidR="00D7393B">
        <w:t>:</w:t>
      </w:r>
      <w:r w:rsidR="005249B8">
        <w:t xml:space="preserve"> </w:t>
      </w:r>
      <w:r w:rsidR="00BC630B">
        <w:t xml:space="preserve"> </w:t>
      </w:r>
    </w:p>
    <w:p w14:paraId="33034F24" w14:textId="497BC26D" w:rsidR="00967DAF" w:rsidRPr="00967DAF" w:rsidRDefault="00D85B7E" w:rsidP="00967DAF">
      <w:pPr>
        <w:numPr>
          <w:ilvl w:val="0"/>
          <w:numId w:val="20"/>
        </w:numPr>
      </w:pPr>
      <w:r>
        <w:rPr>
          <w:lang w:val="en-US"/>
        </w:rPr>
        <w:t>Noted item r</w:t>
      </w:r>
      <w:r w:rsidR="009776A6">
        <w:rPr>
          <w:lang w:val="en-US"/>
        </w:rPr>
        <w:t>eported</w:t>
      </w:r>
      <w:r w:rsidR="00967DAF" w:rsidRPr="00967DAF">
        <w:rPr>
          <w:lang w:val="en-US"/>
        </w:rPr>
        <w:t xml:space="preserve"> by the health planner or architect to the </w:t>
      </w:r>
      <w:r w:rsidR="00FA023C">
        <w:rPr>
          <w:lang w:val="en-US"/>
        </w:rPr>
        <w:t>P</w:t>
      </w:r>
      <w:r w:rsidR="00967DAF" w:rsidRPr="00967DAF">
        <w:rPr>
          <w:lang w:val="en-US"/>
        </w:rPr>
        <w:t xml:space="preserve">roject </w:t>
      </w:r>
      <w:r w:rsidR="00FA023C">
        <w:rPr>
          <w:lang w:val="en-US"/>
        </w:rPr>
        <w:t>D</w:t>
      </w:r>
      <w:r w:rsidR="00967DAF" w:rsidRPr="00967DAF">
        <w:rPr>
          <w:lang w:val="en-US"/>
        </w:rPr>
        <w:t>irector</w:t>
      </w:r>
    </w:p>
    <w:p w14:paraId="448D7569" w14:textId="1E09F9DB" w:rsidR="008E7BFF" w:rsidRDefault="00FA023C" w:rsidP="00C603D5">
      <w:pPr>
        <w:numPr>
          <w:ilvl w:val="0"/>
          <w:numId w:val="20"/>
        </w:numPr>
      </w:pPr>
      <w:r>
        <w:rPr>
          <w:lang w:val="en-US"/>
        </w:rPr>
        <w:lastRenderedPageBreak/>
        <w:t>P</w:t>
      </w:r>
      <w:r w:rsidR="00967DAF" w:rsidRPr="00967DAF">
        <w:rPr>
          <w:lang w:val="en-US"/>
        </w:rPr>
        <w:t xml:space="preserve">roject </w:t>
      </w:r>
      <w:r>
        <w:rPr>
          <w:lang w:val="en-US"/>
        </w:rPr>
        <w:t>D</w:t>
      </w:r>
      <w:r w:rsidR="00967DAF" w:rsidRPr="00967DAF">
        <w:rPr>
          <w:lang w:val="en-US"/>
        </w:rPr>
        <w:t xml:space="preserve">irector will complete the </w:t>
      </w:r>
      <w:hyperlink r:id="rId50" w:history="1">
        <w:r w:rsidR="00DF5917" w:rsidRPr="003662AF">
          <w:rPr>
            <w:rStyle w:val="Hyperlink"/>
            <w:rFonts w:asciiTheme="majorHAnsi" w:hAnsiTheme="majorHAnsi" w:cstheme="majorHAnsi"/>
            <w:bCs/>
          </w:rPr>
          <w:t>Design Authority – Major Deviation Application Form</w:t>
        </w:r>
      </w:hyperlink>
      <w:r w:rsidR="00DF5917">
        <w:rPr>
          <w:rFonts w:asciiTheme="majorHAnsi" w:hAnsiTheme="majorHAnsi" w:cstheme="majorHAnsi"/>
          <w:b/>
          <w:bCs/>
        </w:rPr>
        <w:t xml:space="preserve"> </w:t>
      </w:r>
      <w:r w:rsidR="00296754" w:rsidRPr="00F30705">
        <w:rPr>
          <w:rFonts w:asciiTheme="majorHAnsi" w:hAnsiTheme="majorHAnsi" w:cstheme="majorHAnsi"/>
        </w:rPr>
        <w:t xml:space="preserve">and forward </w:t>
      </w:r>
      <w:r w:rsidR="00967DAF" w:rsidRPr="00967DAF">
        <w:rPr>
          <w:lang w:val="en-US"/>
        </w:rPr>
        <w:t xml:space="preserve">to the </w:t>
      </w:r>
      <w:r w:rsidR="00177848">
        <w:rPr>
          <w:lang w:val="en-US"/>
        </w:rPr>
        <w:t>D</w:t>
      </w:r>
      <w:r w:rsidR="00967DAF" w:rsidRPr="00967DAF">
        <w:rPr>
          <w:lang w:val="en-US"/>
        </w:rPr>
        <w:t xml:space="preserve">esign </w:t>
      </w:r>
      <w:r w:rsidR="00177848">
        <w:rPr>
          <w:lang w:val="en-US"/>
        </w:rPr>
        <w:t>A</w:t>
      </w:r>
      <w:r w:rsidR="00D1702C" w:rsidRPr="00967DAF">
        <w:rPr>
          <w:lang w:val="en-US"/>
        </w:rPr>
        <w:t>uthority</w:t>
      </w:r>
      <w:r w:rsidR="00967DAF" w:rsidRPr="00967DAF">
        <w:rPr>
          <w:lang w:val="en-US"/>
        </w:rPr>
        <w:t xml:space="preserve"> </w:t>
      </w:r>
      <w:r w:rsidR="009D2DD1">
        <w:rPr>
          <w:lang w:val="en-US"/>
        </w:rPr>
        <w:t>v</w:t>
      </w:r>
      <w:r w:rsidR="000F76A7">
        <w:rPr>
          <w:lang w:val="en-US"/>
        </w:rPr>
        <w:t xml:space="preserve">ia </w:t>
      </w:r>
      <w:r w:rsidR="008E7BFF">
        <w:rPr>
          <w:lang w:val="en-US"/>
        </w:rPr>
        <w:t>the National</w:t>
      </w:r>
      <w:r w:rsidR="009D2DD1">
        <w:t xml:space="preserve"> Facility </w:t>
      </w:r>
      <w:r w:rsidR="009D2DD1" w:rsidRPr="008702FD">
        <w:t>Design</w:t>
      </w:r>
      <w:r w:rsidR="009D2DD1">
        <w:t xml:space="preserve"> </w:t>
      </w:r>
      <w:r w:rsidR="009D2DD1" w:rsidRPr="008702FD">
        <w:t xml:space="preserve">Advisory and Assurance </w:t>
      </w:r>
      <w:r w:rsidR="009D2DD1">
        <w:t xml:space="preserve">team </w:t>
      </w:r>
      <w:r w:rsidR="008E7BFF">
        <w:t>email address</w:t>
      </w:r>
      <w:r w:rsidR="00C603D5">
        <w:t xml:space="preserve"> </w:t>
      </w:r>
      <w:hyperlink r:id="rId51" w:history="1">
        <w:r w:rsidR="00C603D5" w:rsidRPr="007C7B89">
          <w:rPr>
            <w:rStyle w:val="Hyperlink"/>
            <w:b w:val="0"/>
            <w:bCs/>
          </w:rPr>
          <w:t>facility.design@tewhatuora.govt.nz</w:t>
        </w:r>
      </w:hyperlink>
    </w:p>
    <w:p w14:paraId="15721BBC" w14:textId="72D6C80D" w:rsidR="00967DAF" w:rsidRPr="00967DAF" w:rsidRDefault="00967DAF" w:rsidP="00967DAF">
      <w:pPr>
        <w:numPr>
          <w:ilvl w:val="0"/>
          <w:numId w:val="20"/>
        </w:numPr>
      </w:pPr>
      <w:r w:rsidRPr="00967DAF">
        <w:rPr>
          <w:lang w:val="en-US"/>
        </w:rPr>
        <w:t xml:space="preserve">The </w:t>
      </w:r>
      <w:r w:rsidRPr="00E754AB">
        <w:rPr>
          <w:b/>
          <w:bCs/>
          <w:lang w:val="en-US"/>
        </w:rPr>
        <w:t>Design Authority</w:t>
      </w:r>
      <w:r w:rsidRPr="00967DAF">
        <w:rPr>
          <w:lang w:val="en-US"/>
        </w:rPr>
        <w:t xml:space="preserve"> will </w:t>
      </w:r>
      <w:proofErr w:type="gramStart"/>
      <w:r w:rsidRPr="00967DAF">
        <w:rPr>
          <w:lang w:val="en-US"/>
        </w:rPr>
        <w:t>make a determination</w:t>
      </w:r>
      <w:proofErr w:type="gramEnd"/>
      <w:r w:rsidRPr="00967DAF">
        <w:rPr>
          <w:lang w:val="en-US"/>
        </w:rPr>
        <w:t xml:space="preserve"> and feedback to the </w:t>
      </w:r>
      <w:r w:rsidR="005515DF">
        <w:rPr>
          <w:lang w:val="en-US"/>
        </w:rPr>
        <w:t>P</w:t>
      </w:r>
      <w:r w:rsidRPr="00967DAF">
        <w:rPr>
          <w:lang w:val="en-US"/>
        </w:rPr>
        <w:t xml:space="preserve">roject </w:t>
      </w:r>
      <w:r w:rsidR="005515DF">
        <w:rPr>
          <w:lang w:val="en-US"/>
        </w:rPr>
        <w:t>D</w:t>
      </w:r>
      <w:r w:rsidRPr="00967DAF">
        <w:rPr>
          <w:lang w:val="en-US"/>
        </w:rPr>
        <w:t xml:space="preserve">irector </w:t>
      </w:r>
      <w:r w:rsidR="005A1C43">
        <w:rPr>
          <w:lang w:val="en-US"/>
        </w:rPr>
        <w:t>via the National</w:t>
      </w:r>
      <w:r w:rsidR="005A1C43">
        <w:t xml:space="preserve"> Facility </w:t>
      </w:r>
      <w:r w:rsidR="005A1C43" w:rsidRPr="008702FD">
        <w:t>Design</w:t>
      </w:r>
      <w:r w:rsidR="005A1C43">
        <w:t xml:space="preserve"> </w:t>
      </w:r>
      <w:r w:rsidR="005A1C43" w:rsidRPr="008702FD">
        <w:t xml:space="preserve">Advisory </w:t>
      </w:r>
      <w:r w:rsidR="005515DF" w:rsidRPr="008702FD">
        <w:t xml:space="preserve">and </w:t>
      </w:r>
      <w:r w:rsidR="005A1C43" w:rsidRPr="008702FD">
        <w:t xml:space="preserve">Assurance </w:t>
      </w:r>
      <w:r w:rsidR="005A1C43">
        <w:t>team</w:t>
      </w:r>
      <w:r w:rsidR="00617345">
        <w:rPr>
          <w:lang w:val="en-US"/>
        </w:rPr>
        <w:t>.</w:t>
      </w:r>
      <w:r w:rsidRPr="00967DAF">
        <w:rPr>
          <w:lang w:val="en-US"/>
        </w:rPr>
        <w:t xml:space="preserve"> </w:t>
      </w:r>
    </w:p>
    <w:p w14:paraId="70693085" w14:textId="4959827B" w:rsidR="00C74BC1" w:rsidRPr="00BA1ABA" w:rsidRDefault="00C74BC1" w:rsidP="008702FD"/>
    <w:p w14:paraId="6C9BD18E" w14:textId="5E178601" w:rsidR="00E62473" w:rsidRDefault="00E62473" w:rsidP="00E62473">
      <w:pPr>
        <w:pStyle w:val="NumberedHeading2"/>
      </w:pPr>
      <w:bookmarkStart w:id="37" w:name="_Toc210288820"/>
      <w:r>
        <w:t>Continuous improvement</w:t>
      </w:r>
      <w:bookmarkEnd w:id="37"/>
      <w:r>
        <w:t xml:space="preserve"> </w:t>
      </w:r>
    </w:p>
    <w:p w14:paraId="46F8F2BD" w14:textId="023553C7" w:rsidR="00E62473" w:rsidRDefault="005016DA" w:rsidP="00E62473">
      <w:r>
        <w:t>Lessons learnt</w:t>
      </w:r>
      <w:r w:rsidR="00843AA8">
        <w:t xml:space="preserve"> through the</w:t>
      </w:r>
      <w:r w:rsidR="003B428E">
        <w:t xml:space="preserve"> design </w:t>
      </w:r>
      <w:r w:rsidR="00CD7D32">
        <w:t xml:space="preserve">guidance </w:t>
      </w:r>
      <w:r w:rsidR="003B428E">
        <w:t xml:space="preserve">and assurance </w:t>
      </w:r>
      <w:proofErr w:type="gramStart"/>
      <w:r w:rsidR="003B428E">
        <w:t>process</w:t>
      </w:r>
      <w:r w:rsidR="00FC7254">
        <w:t>,</w:t>
      </w:r>
      <w:proofErr w:type="gramEnd"/>
      <w:r w:rsidR="00FC7254">
        <w:t xml:space="preserve"> project advisory</w:t>
      </w:r>
      <w:r w:rsidR="00593339">
        <w:t xml:space="preserve"> queries</w:t>
      </w:r>
      <w:r w:rsidR="00FC7254">
        <w:t xml:space="preserve"> and post occupancy reviews</w:t>
      </w:r>
      <w:r w:rsidR="003B428E">
        <w:t xml:space="preserve"> will inform future guidance and projects as indicated in the following diagram.</w:t>
      </w:r>
    </w:p>
    <w:p w14:paraId="056BE7D1" w14:textId="477A4CD2" w:rsidR="001F4BEF" w:rsidRPr="008D7B5B" w:rsidRDefault="001F4BEF" w:rsidP="00E62473">
      <w:r>
        <w:rPr>
          <w:noProof/>
        </w:rPr>
        <w:drawing>
          <wp:inline distT="0" distB="0" distL="0" distR="0" wp14:anchorId="39E1FF23" wp14:editId="57318935">
            <wp:extent cx="5867400" cy="3088105"/>
            <wp:effectExtent l="0" t="0" r="0" b="0"/>
            <wp:docPr id="1668900244" name="Picture 1" descr="A diagram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00244" name="Picture 1" descr="A diagram of a project&#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5878289" cy="3093836"/>
                    </a:xfrm>
                    <a:prstGeom prst="rect">
                      <a:avLst/>
                    </a:prstGeom>
                  </pic:spPr>
                </pic:pic>
              </a:graphicData>
            </a:graphic>
          </wp:inline>
        </w:drawing>
      </w:r>
    </w:p>
    <w:p w14:paraId="5FA6903F" w14:textId="7A2B3D4F" w:rsidR="00C8279A" w:rsidRDefault="00C8279A">
      <w:pPr>
        <w:spacing w:before="0" w:after="160" w:line="259" w:lineRule="auto"/>
        <w:rPr>
          <w:rFonts w:asciiTheme="majorHAnsi" w:eastAsiaTheme="majorEastAsia" w:hAnsiTheme="majorHAnsi" w:cstheme="majorBidi"/>
          <w:b/>
          <w:color w:val="1C2549" w:themeColor="text2"/>
          <w:sz w:val="48"/>
          <w:szCs w:val="26"/>
        </w:rPr>
      </w:pPr>
      <w:r>
        <w:rPr>
          <w:rFonts w:asciiTheme="majorHAnsi" w:eastAsiaTheme="majorEastAsia" w:hAnsiTheme="majorHAnsi" w:cstheme="majorBidi"/>
          <w:b/>
          <w:color w:val="1C2549" w:themeColor="text2"/>
          <w:sz w:val="48"/>
          <w:szCs w:val="26"/>
        </w:rPr>
        <w:br w:type="page"/>
      </w:r>
    </w:p>
    <w:p w14:paraId="67DBE6F3" w14:textId="77777777" w:rsidR="00D578BF" w:rsidRDefault="00D578BF">
      <w:pPr>
        <w:spacing w:before="0" w:after="160" w:line="259" w:lineRule="auto"/>
        <w:rPr>
          <w:rFonts w:asciiTheme="majorHAnsi" w:eastAsiaTheme="majorEastAsia" w:hAnsiTheme="majorHAnsi" w:cstheme="majorBidi"/>
          <w:b/>
          <w:color w:val="1C2549" w:themeColor="text2"/>
          <w:sz w:val="48"/>
          <w:szCs w:val="26"/>
        </w:rPr>
      </w:pPr>
    </w:p>
    <w:p w14:paraId="5974DE6A" w14:textId="13E00C00" w:rsidR="003660C2" w:rsidRDefault="001E78F9" w:rsidP="00947E76">
      <w:pPr>
        <w:pStyle w:val="Heading2"/>
      </w:pPr>
      <w:bookmarkStart w:id="38" w:name="_Toc210288821"/>
      <w:r>
        <w:t xml:space="preserve">Appendix </w:t>
      </w:r>
      <w:r w:rsidR="00E46C7F">
        <w:t>A</w:t>
      </w:r>
      <w:r>
        <w:t xml:space="preserve"> – Design Assurance Threshold</w:t>
      </w:r>
      <w:r w:rsidR="007C7B89">
        <w:t xml:space="preserve"> Tool</w:t>
      </w:r>
      <w:bookmarkEnd w:id="38"/>
    </w:p>
    <w:p w14:paraId="31EB7FC9" w14:textId="77777777" w:rsidR="00A7257B" w:rsidRPr="00720129" w:rsidRDefault="00A7257B" w:rsidP="00A7257B">
      <w:pPr>
        <w:textAlignment w:val="baseline"/>
        <w:rPr>
          <w:rFonts w:ascii="Arial" w:eastAsia="Arial" w:hAnsi="Arial" w:cs="Arial"/>
          <w:color w:val="000000" w:themeColor="text1"/>
          <w:sz w:val="18"/>
          <w:szCs w:val="18"/>
          <w:lang w:eastAsia="en-NZ"/>
        </w:rPr>
      </w:pPr>
      <w:r w:rsidRPr="181C33BD">
        <w:rPr>
          <w:rFonts w:ascii="Arial" w:eastAsia="Arial" w:hAnsi="Arial" w:cs="Arial"/>
          <w:color w:val="000000" w:themeColor="text1"/>
          <w:lang w:eastAsia="en-NZ"/>
        </w:rPr>
        <w:t>The table below outlines the criteria that will determine the type of design assurance process required (desktop or full design assurance review). </w:t>
      </w:r>
    </w:p>
    <w:p w14:paraId="32920B3A" w14:textId="77777777" w:rsidR="00A7257B" w:rsidRPr="00720129" w:rsidRDefault="00A7257B" w:rsidP="00A7257B">
      <w:pPr>
        <w:rPr>
          <w:rFonts w:ascii="Arial" w:eastAsia="Arial" w:hAnsi="Arial" w:cs="Arial"/>
          <w:sz w:val="22"/>
          <w:lang w:eastAsia="en-NZ"/>
        </w:rPr>
      </w:pPr>
      <w:r w:rsidRPr="34C96328">
        <w:rPr>
          <w:rFonts w:ascii="Arial" w:eastAsia="Arial" w:hAnsi="Arial" w:cs="Arial"/>
          <w:lang w:eastAsia="en-NZ"/>
        </w:rPr>
        <w:t>Note: the following projects are excluded from the design assurance process and do not need to be processed through this table:</w:t>
      </w:r>
    </w:p>
    <w:p w14:paraId="27C5754E" w14:textId="77777777" w:rsidR="00A7257B" w:rsidRPr="00720129" w:rsidRDefault="00A7257B" w:rsidP="00A7257B">
      <w:pPr>
        <w:pStyle w:val="ListBullet"/>
        <w:rPr>
          <w:rFonts w:ascii="Arial" w:eastAsia="Arial" w:hAnsi="Arial" w:cs="Arial"/>
          <w:lang w:eastAsia="en-NZ"/>
        </w:rPr>
      </w:pPr>
      <w:r w:rsidRPr="181C33BD">
        <w:rPr>
          <w:rFonts w:ascii="Arial" w:eastAsia="Arial" w:hAnsi="Arial" w:cs="Arial"/>
          <w:lang w:eastAsia="en-NZ"/>
        </w:rPr>
        <w:t>External works including landscaping and roading.</w:t>
      </w:r>
    </w:p>
    <w:p w14:paraId="5D3204E1" w14:textId="77777777" w:rsidR="00A7257B" w:rsidRPr="00720129" w:rsidRDefault="00A7257B" w:rsidP="00A7257B">
      <w:pPr>
        <w:pStyle w:val="ListBullet"/>
        <w:rPr>
          <w:rFonts w:ascii="Arial" w:eastAsia="Arial" w:hAnsi="Arial" w:cs="Arial"/>
          <w:lang w:eastAsia="en-NZ"/>
        </w:rPr>
      </w:pPr>
      <w:r w:rsidRPr="181C33BD">
        <w:rPr>
          <w:rFonts w:ascii="Arial" w:eastAsia="Arial" w:hAnsi="Arial" w:cs="Arial"/>
          <w:lang w:eastAsia="en-NZ"/>
        </w:rPr>
        <w:t>Carparks – on-grade and multi-level buildings.</w:t>
      </w:r>
    </w:p>
    <w:p w14:paraId="62F219E2" w14:textId="77777777" w:rsidR="00A7257B" w:rsidRPr="00720129" w:rsidRDefault="00A7257B" w:rsidP="00A7257B">
      <w:pPr>
        <w:pStyle w:val="ListBullet"/>
        <w:rPr>
          <w:rFonts w:ascii="Arial" w:eastAsia="Arial" w:hAnsi="Arial" w:cs="Arial"/>
          <w:lang w:eastAsia="en-NZ"/>
        </w:rPr>
      </w:pPr>
      <w:r w:rsidRPr="181C33BD">
        <w:rPr>
          <w:rFonts w:ascii="Arial" w:eastAsia="Arial" w:hAnsi="Arial" w:cs="Arial"/>
          <w:lang w:eastAsia="en-NZ"/>
        </w:rPr>
        <w:t>Independent and integrated engineering plant projects.</w:t>
      </w:r>
    </w:p>
    <w:p w14:paraId="7CD7CD63" w14:textId="77777777" w:rsidR="00A7257B" w:rsidRDefault="00A7257B" w:rsidP="00A7257B">
      <w:pPr>
        <w:pStyle w:val="ListBullet"/>
        <w:rPr>
          <w:rFonts w:ascii="Arial" w:eastAsia="Arial" w:hAnsi="Arial" w:cs="Arial"/>
          <w:lang w:eastAsia="en-NZ"/>
        </w:rPr>
      </w:pPr>
      <w:r w:rsidRPr="4895E373">
        <w:rPr>
          <w:rFonts w:ascii="Arial" w:eastAsia="Arial" w:hAnsi="Arial" w:cs="Arial"/>
          <w:lang w:eastAsia="en-NZ"/>
        </w:rPr>
        <w:t>Refurbishment projects that are solely limited to refinishing and replacement of like-for-like including general maintenance. (eg: painting &amp; vinyl upgrade / lift replacement etc)</w:t>
      </w:r>
    </w:p>
    <w:tbl>
      <w:tblPr>
        <w:tblStyle w:val="TeWhatuOra"/>
        <w:tblW w:w="5082" w:type="pct"/>
        <w:tblLook w:val="0420" w:firstRow="1" w:lastRow="0" w:firstColumn="0" w:lastColumn="0" w:noHBand="0" w:noVBand="1"/>
      </w:tblPr>
      <w:tblGrid>
        <w:gridCol w:w="7224"/>
        <w:gridCol w:w="1135"/>
        <w:gridCol w:w="1135"/>
        <w:gridCol w:w="1133"/>
      </w:tblGrid>
      <w:tr w:rsidR="00D16088" w14:paraId="091FA773" w14:textId="77777777" w:rsidTr="00BB26D7">
        <w:trPr>
          <w:cnfStyle w:val="100000000000" w:firstRow="1" w:lastRow="0" w:firstColumn="0" w:lastColumn="0" w:oddVBand="0" w:evenVBand="0" w:oddHBand="0" w:evenHBand="0" w:firstRowFirstColumn="0" w:firstRowLastColumn="0" w:lastRowFirstColumn="0" w:lastRowLastColumn="0"/>
          <w:trHeight w:val="645"/>
          <w:tblHeader/>
        </w:trPr>
        <w:tc>
          <w:tcPr>
            <w:tcW w:w="3399" w:type="pct"/>
            <w:hideMark/>
          </w:tcPr>
          <w:p w14:paraId="7DEF4A71" w14:textId="77777777" w:rsidR="00A7257B" w:rsidRDefault="00A7257B">
            <w:pPr>
              <w:textAlignment w:val="baseline"/>
              <w:rPr>
                <w:rFonts w:ascii="Arial" w:eastAsia="Arial" w:hAnsi="Arial" w:cs="Arial"/>
                <w:sz w:val="22"/>
                <w:lang w:eastAsia="en-NZ"/>
              </w:rPr>
            </w:pPr>
            <w:r w:rsidRPr="181C33BD">
              <w:rPr>
                <w:rFonts w:ascii="Arial" w:eastAsia="Arial" w:hAnsi="Arial" w:cs="Arial"/>
                <w:lang w:eastAsia="en-NZ"/>
              </w:rPr>
              <w:t>  </w:t>
            </w:r>
            <w:r w:rsidRPr="181C33BD">
              <w:rPr>
                <w:rFonts w:ascii="Arial" w:eastAsia="Arial" w:hAnsi="Arial" w:cs="Arial"/>
                <w:color w:val="000000" w:themeColor="text1"/>
                <w:lang w:eastAsia="en-NZ"/>
              </w:rPr>
              <w:t>Design Assurance Review - threshold questions</w:t>
            </w:r>
          </w:p>
        </w:tc>
        <w:tc>
          <w:tcPr>
            <w:tcW w:w="534" w:type="pct"/>
            <w:hideMark/>
          </w:tcPr>
          <w:p w14:paraId="6007DE70" w14:textId="77777777" w:rsidR="00A7257B" w:rsidRDefault="00A7257B">
            <w:pPr>
              <w:jc w:val="center"/>
              <w:textAlignment w:val="baseline"/>
              <w:rPr>
                <w:rFonts w:ascii="Arial" w:eastAsia="Arial" w:hAnsi="Arial" w:cs="Arial"/>
                <w:lang w:eastAsia="en-NZ"/>
              </w:rPr>
            </w:pPr>
            <w:r w:rsidRPr="181C33BD">
              <w:rPr>
                <w:rFonts w:ascii="Arial" w:eastAsia="Arial" w:hAnsi="Arial" w:cs="Arial"/>
                <w:color w:val="000000" w:themeColor="text1"/>
                <w:lang w:eastAsia="en-NZ"/>
              </w:rPr>
              <w:t>Item value </w:t>
            </w:r>
          </w:p>
        </w:tc>
        <w:tc>
          <w:tcPr>
            <w:tcW w:w="534" w:type="pct"/>
            <w:hideMark/>
          </w:tcPr>
          <w:p w14:paraId="28ED659A" w14:textId="77777777" w:rsidR="00A7257B" w:rsidRPr="00C644B6" w:rsidRDefault="00A7257B">
            <w:pPr>
              <w:jc w:val="center"/>
              <w:textAlignment w:val="baseline"/>
              <w:rPr>
                <w:rFonts w:ascii="Arial" w:eastAsia="Arial" w:hAnsi="Arial" w:cs="Arial"/>
                <w:b w:val="0"/>
                <w:color w:val="000000"/>
                <w:lang w:eastAsia="en-NZ"/>
              </w:rPr>
            </w:pPr>
            <w:r w:rsidRPr="181C33BD">
              <w:rPr>
                <w:rFonts w:ascii="Arial" w:eastAsia="Arial" w:hAnsi="Arial" w:cs="Arial"/>
                <w:color w:val="000000" w:themeColor="text1"/>
                <w:lang w:eastAsia="en-NZ"/>
              </w:rPr>
              <w:t>Score</w:t>
            </w:r>
            <w:r>
              <w:br/>
            </w:r>
            <w:r w:rsidRPr="181C33BD">
              <w:rPr>
                <w:rFonts w:ascii="Arial" w:eastAsia="Arial" w:hAnsi="Arial" w:cs="Arial"/>
                <w:color w:val="000000" w:themeColor="text1"/>
                <w:lang w:eastAsia="en-NZ"/>
              </w:rPr>
              <w:t>3-7</w:t>
            </w:r>
          </w:p>
        </w:tc>
        <w:tc>
          <w:tcPr>
            <w:tcW w:w="534" w:type="pct"/>
            <w:hideMark/>
          </w:tcPr>
          <w:p w14:paraId="365F828A" w14:textId="77777777" w:rsidR="00A7257B" w:rsidRPr="00C644B6" w:rsidRDefault="00A7257B">
            <w:pPr>
              <w:jc w:val="center"/>
              <w:textAlignment w:val="baseline"/>
              <w:rPr>
                <w:rFonts w:ascii="Arial" w:eastAsia="Arial" w:hAnsi="Arial" w:cs="Arial"/>
                <w:b w:val="0"/>
                <w:color w:val="000000"/>
                <w:lang w:eastAsia="en-NZ"/>
              </w:rPr>
            </w:pPr>
            <w:r w:rsidRPr="181C33BD">
              <w:rPr>
                <w:rFonts w:ascii="Arial" w:eastAsia="Arial" w:hAnsi="Arial" w:cs="Arial"/>
                <w:color w:val="000000" w:themeColor="text1"/>
                <w:lang w:eastAsia="en-NZ"/>
              </w:rPr>
              <w:t xml:space="preserve">Score </w:t>
            </w:r>
            <w:r>
              <w:br/>
            </w:r>
            <w:r w:rsidRPr="181C33BD">
              <w:rPr>
                <w:rFonts w:ascii="Arial" w:eastAsia="Arial" w:hAnsi="Arial" w:cs="Arial"/>
                <w:color w:val="000000" w:themeColor="text1"/>
                <w:lang w:eastAsia="en-NZ"/>
              </w:rPr>
              <w:t>8-10  </w:t>
            </w:r>
          </w:p>
        </w:tc>
      </w:tr>
      <w:tr w:rsidR="00A7257B" w14:paraId="150ADFA6" w14:textId="77777777" w:rsidTr="00BB26D7">
        <w:trPr>
          <w:trHeight w:val="1546"/>
        </w:trPr>
        <w:tc>
          <w:tcPr>
            <w:tcW w:w="3399" w:type="pct"/>
            <w:hideMark/>
          </w:tcPr>
          <w:p w14:paraId="1E67ACEA" w14:textId="77777777" w:rsidR="00A7257B" w:rsidRDefault="00A7257B">
            <w:pPr>
              <w:textAlignment w:val="baseline"/>
              <w:rPr>
                <w:rFonts w:ascii="Arial" w:eastAsia="Arial" w:hAnsi="Arial" w:cs="Arial"/>
                <w:lang w:eastAsia="en-NZ"/>
              </w:rPr>
            </w:pPr>
            <w:r w:rsidRPr="34C96328">
              <w:rPr>
                <w:rFonts w:ascii="Arial" w:eastAsia="Arial" w:hAnsi="Arial" w:cs="Arial"/>
                <w:lang w:eastAsia="en-NZ"/>
              </w:rPr>
              <w:t>1: Project Budget?</w:t>
            </w:r>
            <w:r>
              <w:br/>
            </w:r>
            <w:r w:rsidRPr="34C96328">
              <w:rPr>
                <w:rFonts w:ascii="Arial" w:eastAsia="Arial" w:hAnsi="Arial" w:cs="Arial"/>
                <w:lang w:eastAsia="en-NZ"/>
              </w:rPr>
              <w:t>up to $10M (n = 1)</w:t>
            </w:r>
            <w:r>
              <w:br/>
            </w:r>
            <w:r w:rsidRPr="34C96328">
              <w:rPr>
                <w:rFonts w:ascii="Arial" w:eastAsia="Arial" w:hAnsi="Arial" w:cs="Arial"/>
                <w:lang w:eastAsia="en-NZ"/>
              </w:rPr>
              <w:t>$10 – 50M (n = 3)</w:t>
            </w:r>
            <w:r>
              <w:br/>
            </w:r>
            <w:r w:rsidRPr="34C96328">
              <w:rPr>
                <w:rFonts w:ascii="Arial" w:eastAsia="Arial" w:hAnsi="Arial" w:cs="Arial"/>
                <w:lang w:eastAsia="en-NZ"/>
              </w:rPr>
              <w:t>$50M and over (n = 5)</w:t>
            </w:r>
          </w:p>
        </w:tc>
        <w:tc>
          <w:tcPr>
            <w:tcW w:w="534" w:type="pct"/>
            <w:hideMark/>
          </w:tcPr>
          <w:p w14:paraId="0A614116" w14:textId="77777777" w:rsidR="00A7257B" w:rsidRDefault="00A7257B">
            <w:pPr>
              <w:jc w:val="center"/>
              <w:textAlignment w:val="baseline"/>
              <w:rPr>
                <w:rFonts w:ascii="Arial" w:eastAsia="Arial" w:hAnsi="Arial" w:cs="Arial"/>
                <w:lang w:eastAsia="en-NZ"/>
              </w:rPr>
            </w:pPr>
            <w:r>
              <w:br/>
            </w:r>
            <w:r w:rsidRPr="181C33BD">
              <w:rPr>
                <w:rFonts w:ascii="Arial" w:eastAsia="Arial" w:hAnsi="Arial" w:cs="Arial"/>
                <w:lang w:eastAsia="en-NZ"/>
              </w:rPr>
              <w:t xml:space="preserve">5, 3 or 1 </w:t>
            </w:r>
          </w:p>
        </w:tc>
        <w:tc>
          <w:tcPr>
            <w:tcW w:w="534" w:type="pct"/>
            <w:vMerge w:val="restart"/>
            <w:hideMark/>
          </w:tcPr>
          <w:p w14:paraId="500AA5AF" w14:textId="77777777" w:rsidR="00A7257B" w:rsidRDefault="00A7257B">
            <w:pPr>
              <w:jc w:val="center"/>
              <w:textAlignment w:val="baseline"/>
              <w:rPr>
                <w:rFonts w:ascii="Arial" w:eastAsia="Arial" w:hAnsi="Arial" w:cs="Arial"/>
                <w:lang w:eastAsia="en-NZ"/>
              </w:rPr>
            </w:pPr>
            <w:r w:rsidRPr="181C33BD">
              <w:rPr>
                <w:rFonts w:ascii="Arial" w:eastAsia="Arial" w:hAnsi="Arial" w:cs="Arial"/>
                <w:lang w:eastAsia="en-NZ"/>
              </w:rPr>
              <w:t>Desk-top DA Review  </w:t>
            </w:r>
          </w:p>
        </w:tc>
        <w:tc>
          <w:tcPr>
            <w:tcW w:w="534" w:type="pct"/>
            <w:vMerge w:val="restart"/>
            <w:hideMark/>
          </w:tcPr>
          <w:p w14:paraId="4383095C" w14:textId="77777777" w:rsidR="00A7257B" w:rsidRDefault="00A7257B">
            <w:pPr>
              <w:jc w:val="center"/>
              <w:textAlignment w:val="baseline"/>
              <w:rPr>
                <w:rFonts w:ascii="Arial" w:eastAsia="Arial" w:hAnsi="Arial" w:cs="Arial"/>
                <w:lang w:eastAsia="en-NZ"/>
              </w:rPr>
            </w:pPr>
            <w:r w:rsidRPr="181C33BD">
              <w:rPr>
                <w:rFonts w:ascii="Arial" w:eastAsia="Arial" w:hAnsi="Arial" w:cs="Arial"/>
                <w:lang w:eastAsia="en-NZ"/>
              </w:rPr>
              <w:t>Full DA Review  </w:t>
            </w:r>
          </w:p>
        </w:tc>
      </w:tr>
      <w:tr w:rsidR="00A7257B" w14:paraId="35A300AA" w14:textId="77777777" w:rsidTr="00BB26D7">
        <w:trPr>
          <w:trHeight w:val="868"/>
        </w:trPr>
        <w:tc>
          <w:tcPr>
            <w:tcW w:w="3399" w:type="pct"/>
            <w:hideMark/>
          </w:tcPr>
          <w:p w14:paraId="5D3292E2" w14:textId="77777777" w:rsidR="00A7257B" w:rsidRDefault="00A7257B">
            <w:pPr>
              <w:textAlignment w:val="baseline"/>
              <w:rPr>
                <w:rFonts w:ascii="Arial" w:eastAsia="Arial" w:hAnsi="Arial" w:cs="Arial"/>
                <w:lang w:eastAsia="en-NZ"/>
              </w:rPr>
            </w:pPr>
            <w:r w:rsidRPr="34C96328">
              <w:rPr>
                <w:rFonts w:ascii="Arial" w:eastAsia="Arial" w:hAnsi="Arial" w:cs="Arial"/>
                <w:color w:val="000000" w:themeColor="text1"/>
                <w:lang w:eastAsia="en-NZ"/>
              </w:rPr>
              <w:t>2: Does the project include new build, partial new build or alter the existing layout and / or change the function of an existing space? </w:t>
            </w:r>
            <w:r>
              <w:br/>
            </w:r>
            <w:r w:rsidRPr="34C96328">
              <w:rPr>
                <w:rFonts w:ascii="Arial" w:eastAsia="Arial" w:hAnsi="Arial" w:cs="Arial"/>
                <w:lang w:eastAsia="en-NZ"/>
              </w:rPr>
              <w:t xml:space="preserve">(if yes =2, no =0)  </w:t>
            </w:r>
          </w:p>
        </w:tc>
        <w:tc>
          <w:tcPr>
            <w:tcW w:w="534" w:type="pct"/>
            <w:hideMark/>
          </w:tcPr>
          <w:p w14:paraId="7839CF0D" w14:textId="77777777" w:rsidR="00A7257B" w:rsidRDefault="00A7257B">
            <w:pPr>
              <w:jc w:val="center"/>
              <w:textAlignment w:val="baseline"/>
              <w:rPr>
                <w:rFonts w:ascii="Arial" w:eastAsia="Arial" w:hAnsi="Arial" w:cs="Arial"/>
                <w:lang w:eastAsia="en-NZ"/>
              </w:rPr>
            </w:pPr>
            <w:r w:rsidRPr="181C33BD">
              <w:rPr>
                <w:rFonts w:ascii="Arial" w:eastAsia="Arial" w:hAnsi="Arial" w:cs="Arial"/>
                <w:lang w:eastAsia="en-NZ"/>
              </w:rPr>
              <w:t>2</w:t>
            </w:r>
          </w:p>
        </w:tc>
        <w:tc>
          <w:tcPr>
            <w:tcW w:w="534" w:type="pct"/>
            <w:vMerge/>
            <w:hideMark/>
          </w:tcPr>
          <w:p w14:paraId="5CC91597" w14:textId="77777777" w:rsidR="00A7257B" w:rsidRDefault="00A7257B">
            <w:pPr>
              <w:rPr>
                <w:rFonts w:ascii="Calibri" w:hAnsi="Calibri" w:cs="Calibri"/>
                <w:sz w:val="22"/>
                <w:lang w:eastAsia="en-NZ"/>
              </w:rPr>
            </w:pPr>
          </w:p>
        </w:tc>
        <w:tc>
          <w:tcPr>
            <w:tcW w:w="534" w:type="pct"/>
            <w:vMerge/>
            <w:hideMark/>
          </w:tcPr>
          <w:p w14:paraId="294E230A" w14:textId="77777777" w:rsidR="00A7257B" w:rsidRDefault="00A7257B">
            <w:pPr>
              <w:rPr>
                <w:rFonts w:ascii="Calibri" w:hAnsi="Calibri" w:cs="Calibri"/>
                <w:sz w:val="22"/>
                <w:lang w:eastAsia="en-NZ"/>
              </w:rPr>
            </w:pPr>
          </w:p>
        </w:tc>
      </w:tr>
      <w:tr w:rsidR="00A7257B" w14:paraId="045FEBC5" w14:textId="77777777" w:rsidTr="00BB26D7">
        <w:trPr>
          <w:trHeight w:val="945"/>
        </w:trPr>
        <w:tc>
          <w:tcPr>
            <w:tcW w:w="3399" w:type="pct"/>
            <w:hideMark/>
          </w:tcPr>
          <w:p w14:paraId="495D3EEB" w14:textId="77777777" w:rsidR="00A7257B" w:rsidRPr="00EF3B7A" w:rsidRDefault="00A7257B">
            <w:pPr>
              <w:textAlignment w:val="baseline"/>
              <w:rPr>
                <w:rFonts w:ascii="Arial" w:eastAsia="Arial" w:hAnsi="Arial" w:cs="Arial"/>
                <w:lang w:eastAsia="en-NZ"/>
              </w:rPr>
            </w:pPr>
            <w:r w:rsidRPr="181C33BD">
              <w:rPr>
                <w:rFonts w:ascii="Arial" w:eastAsia="Arial" w:hAnsi="Arial" w:cs="Arial"/>
                <w:lang w:eastAsia="en-NZ"/>
              </w:rPr>
              <w:t>3: Will the project engage an architectural lead consultant team?</w:t>
            </w:r>
            <w:r>
              <w:br/>
            </w:r>
            <w:r w:rsidRPr="181C33BD">
              <w:rPr>
                <w:rFonts w:ascii="Arial" w:eastAsia="Arial" w:hAnsi="Arial" w:cs="Arial"/>
                <w:lang w:eastAsia="en-NZ"/>
              </w:rPr>
              <w:t>(if yes =1, no =0)</w:t>
            </w:r>
          </w:p>
        </w:tc>
        <w:tc>
          <w:tcPr>
            <w:tcW w:w="534" w:type="pct"/>
            <w:hideMark/>
          </w:tcPr>
          <w:p w14:paraId="194389F3" w14:textId="77777777" w:rsidR="00A7257B" w:rsidRPr="008E6CB5" w:rsidRDefault="00A7257B">
            <w:pPr>
              <w:jc w:val="center"/>
              <w:textAlignment w:val="baseline"/>
              <w:rPr>
                <w:rFonts w:ascii="Arial" w:eastAsia="Arial" w:hAnsi="Arial" w:cs="Arial"/>
                <w:lang w:eastAsia="en-NZ"/>
              </w:rPr>
            </w:pPr>
            <w:r w:rsidRPr="181C33BD">
              <w:rPr>
                <w:rFonts w:ascii="Arial" w:eastAsia="Arial" w:hAnsi="Arial" w:cs="Arial"/>
                <w:lang w:eastAsia="en-NZ"/>
              </w:rPr>
              <w:t>1</w:t>
            </w:r>
          </w:p>
        </w:tc>
        <w:tc>
          <w:tcPr>
            <w:tcW w:w="534" w:type="pct"/>
            <w:vMerge/>
            <w:hideMark/>
          </w:tcPr>
          <w:p w14:paraId="4F0FFB2E" w14:textId="77777777" w:rsidR="00A7257B" w:rsidRDefault="00A7257B">
            <w:pPr>
              <w:rPr>
                <w:rFonts w:ascii="Calibri" w:hAnsi="Calibri" w:cs="Calibri"/>
                <w:sz w:val="22"/>
                <w:lang w:eastAsia="en-NZ"/>
              </w:rPr>
            </w:pPr>
          </w:p>
        </w:tc>
        <w:tc>
          <w:tcPr>
            <w:tcW w:w="534" w:type="pct"/>
            <w:vMerge/>
            <w:hideMark/>
          </w:tcPr>
          <w:p w14:paraId="3323EDA0" w14:textId="77777777" w:rsidR="00A7257B" w:rsidRDefault="00A7257B">
            <w:pPr>
              <w:rPr>
                <w:rFonts w:ascii="Calibri" w:hAnsi="Calibri" w:cs="Calibri"/>
                <w:sz w:val="22"/>
                <w:lang w:eastAsia="en-NZ"/>
              </w:rPr>
            </w:pPr>
          </w:p>
        </w:tc>
      </w:tr>
      <w:tr w:rsidR="00A7257B" w14:paraId="0AF3F510" w14:textId="77777777" w:rsidTr="00BB26D7">
        <w:trPr>
          <w:trHeight w:val="945"/>
        </w:trPr>
        <w:tc>
          <w:tcPr>
            <w:tcW w:w="3399" w:type="pct"/>
          </w:tcPr>
          <w:p w14:paraId="6EE49378" w14:textId="77777777" w:rsidR="00A7257B" w:rsidRPr="008E6CB5" w:rsidRDefault="00A7257B">
            <w:pPr>
              <w:textAlignment w:val="baseline"/>
              <w:rPr>
                <w:rFonts w:ascii="Arial" w:eastAsia="Arial" w:hAnsi="Arial" w:cs="Arial"/>
                <w:lang w:eastAsia="en-NZ"/>
              </w:rPr>
            </w:pPr>
            <w:r w:rsidRPr="181C33BD">
              <w:rPr>
                <w:rFonts w:ascii="Arial" w:eastAsia="Arial" w:hAnsi="Arial" w:cs="Arial"/>
                <w:lang w:eastAsia="en-NZ"/>
              </w:rPr>
              <w:t>4: Will the project follow a typical design process including full design stages and stakeholder participation?</w:t>
            </w:r>
            <w:r>
              <w:br/>
            </w:r>
            <w:r w:rsidRPr="181C33BD">
              <w:rPr>
                <w:rFonts w:ascii="Arial" w:eastAsia="Arial" w:hAnsi="Arial" w:cs="Arial"/>
                <w:lang w:eastAsia="en-NZ"/>
              </w:rPr>
              <w:t xml:space="preserve">(if yes =2, no =0)   </w:t>
            </w:r>
          </w:p>
        </w:tc>
        <w:tc>
          <w:tcPr>
            <w:tcW w:w="534" w:type="pct"/>
          </w:tcPr>
          <w:p w14:paraId="51FA578E" w14:textId="77777777" w:rsidR="00A7257B" w:rsidRPr="008E6CB5" w:rsidRDefault="00A7257B">
            <w:pPr>
              <w:jc w:val="center"/>
              <w:textAlignment w:val="baseline"/>
              <w:rPr>
                <w:rFonts w:ascii="Arial" w:eastAsia="Arial" w:hAnsi="Arial" w:cs="Arial"/>
                <w:lang w:eastAsia="en-NZ"/>
              </w:rPr>
            </w:pPr>
            <w:r>
              <w:br/>
            </w:r>
            <w:r w:rsidRPr="181C33BD">
              <w:rPr>
                <w:rFonts w:ascii="Arial" w:eastAsia="Arial" w:hAnsi="Arial" w:cs="Arial"/>
                <w:lang w:eastAsia="en-NZ"/>
              </w:rPr>
              <w:t xml:space="preserve">2 </w:t>
            </w:r>
          </w:p>
        </w:tc>
        <w:tc>
          <w:tcPr>
            <w:tcW w:w="534" w:type="pct"/>
            <w:vMerge/>
          </w:tcPr>
          <w:p w14:paraId="0BFDD142" w14:textId="77777777" w:rsidR="00A7257B" w:rsidRDefault="00A7257B">
            <w:pPr>
              <w:rPr>
                <w:rFonts w:ascii="Calibri" w:hAnsi="Calibri" w:cs="Calibri"/>
                <w:sz w:val="22"/>
                <w:lang w:eastAsia="en-NZ"/>
              </w:rPr>
            </w:pPr>
          </w:p>
        </w:tc>
        <w:tc>
          <w:tcPr>
            <w:tcW w:w="534" w:type="pct"/>
            <w:vMerge/>
          </w:tcPr>
          <w:p w14:paraId="23518F52" w14:textId="77777777" w:rsidR="00A7257B" w:rsidRDefault="00A7257B">
            <w:pPr>
              <w:rPr>
                <w:rFonts w:ascii="Calibri" w:hAnsi="Calibri" w:cs="Calibri"/>
                <w:sz w:val="22"/>
                <w:lang w:eastAsia="en-NZ"/>
              </w:rPr>
            </w:pPr>
          </w:p>
        </w:tc>
      </w:tr>
      <w:tr w:rsidR="00A7257B" w14:paraId="516C0DF8" w14:textId="77777777" w:rsidTr="00BB26D7">
        <w:trPr>
          <w:trHeight w:val="540"/>
        </w:trPr>
        <w:tc>
          <w:tcPr>
            <w:tcW w:w="3399" w:type="pct"/>
          </w:tcPr>
          <w:p w14:paraId="4C0D2A19" w14:textId="77777777" w:rsidR="00A7257B" w:rsidRDefault="00A7257B">
            <w:pPr>
              <w:jc w:val="center"/>
              <w:textAlignment w:val="baseline"/>
              <w:rPr>
                <w:rFonts w:ascii="Arial" w:eastAsia="Arial" w:hAnsi="Arial" w:cs="Arial"/>
                <w:lang w:eastAsia="en-NZ"/>
              </w:rPr>
            </w:pPr>
            <w:r w:rsidRPr="181C33BD">
              <w:rPr>
                <w:rFonts w:ascii="Arial" w:eastAsia="Arial" w:hAnsi="Arial" w:cs="Arial"/>
                <w:b/>
                <w:bCs/>
                <w:color w:val="000000" w:themeColor="text1"/>
                <w:lang w:eastAsia="en-NZ"/>
              </w:rPr>
              <w:t>Total Score</w:t>
            </w:r>
          </w:p>
        </w:tc>
        <w:tc>
          <w:tcPr>
            <w:tcW w:w="534" w:type="pct"/>
          </w:tcPr>
          <w:p w14:paraId="3014DF45" w14:textId="77777777" w:rsidR="00A7257B" w:rsidRDefault="00A7257B">
            <w:pPr>
              <w:jc w:val="center"/>
              <w:textAlignment w:val="baseline"/>
              <w:rPr>
                <w:rFonts w:ascii="Arial" w:eastAsia="Arial" w:hAnsi="Arial" w:cs="Arial"/>
                <w:lang w:eastAsia="en-NZ"/>
              </w:rPr>
            </w:pPr>
          </w:p>
        </w:tc>
        <w:tc>
          <w:tcPr>
            <w:tcW w:w="534" w:type="pct"/>
          </w:tcPr>
          <w:p w14:paraId="2BC619E8" w14:textId="77777777" w:rsidR="00A7257B" w:rsidRDefault="00A7257B">
            <w:pPr>
              <w:rPr>
                <w:rFonts w:ascii="Arial" w:eastAsia="Arial" w:hAnsi="Arial" w:cs="Arial"/>
                <w:sz w:val="22"/>
                <w:lang w:eastAsia="en-NZ"/>
              </w:rPr>
            </w:pPr>
          </w:p>
        </w:tc>
        <w:tc>
          <w:tcPr>
            <w:tcW w:w="534" w:type="pct"/>
          </w:tcPr>
          <w:p w14:paraId="69DCA9D4" w14:textId="77777777" w:rsidR="00A7257B" w:rsidRDefault="00A7257B">
            <w:pPr>
              <w:rPr>
                <w:rFonts w:ascii="Arial" w:eastAsia="Arial" w:hAnsi="Arial" w:cs="Arial"/>
                <w:sz w:val="22"/>
                <w:lang w:eastAsia="en-NZ"/>
              </w:rPr>
            </w:pPr>
          </w:p>
        </w:tc>
      </w:tr>
    </w:tbl>
    <w:p w14:paraId="3960C8C6" w14:textId="77777777" w:rsidR="00A7257B" w:rsidRDefault="00A7257B" w:rsidP="00A7257B"/>
    <w:p w14:paraId="6EBACC25" w14:textId="393F7DE8" w:rsidR="00D578BF" w:rsidRPr="00B376A2" w:rsidRDefault="00D578BF" w:rsidP="00D578BF">
      <w:pPr>
        <w:rPr>
          <w:b/>
          <w:bCs/>
        </w:rPr>
      </w:pPr>
    </w:p>
    <w:sectPr w:rsidR="00D578BF" w:rsidRPr="00B376A2" w:rsidSect="00F11666">
      <w:footerReference w:type="default" r:id="rId53"/>
      <w:pgSz w:w="11906" w:h="16838"/>
      <w:pgMar w:top="720" w:right="720" w:bottom="720" w:left="720"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35C9E" w14:textId="77777777" w:rsidR="00FD6455" w:rsidRDefault="00FD6455" w:rsidP="00817A32">
      <w:pPr>
        <w:spacing w:before="0" w:after="0" w:line="240" w:lineRule="auto"/>
      </w:pPr>
      <w:r>
        <w:separator/>
      </w:r>
    </w:p>
  </w:endnote>
  <w:endnote w:type="continuationSeparator" w:id="0">
    <w:p w14:paraId="2F6F8667" w14:textId="77777777" w:rsidR="00FD6455" w:rsidRDefault="00FD6455"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mj-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7F522" w14:textId="3189DADC" w:rsidR="00222274" w:rsidRPr="00630DE1" w:rsidRDefault="00CF36D6" w:rsidP="00222274">
    <w:pPr>
      <w:pBdr>
        <w:top w:val="single" w:sz="2" w:space="4" w:color="808080"/>
      </w:pBdr>
      <w:tabs>
        <w:tab w:val="right" w:pos="14570"/>
      </w:tabs>
      <w:spacing w:after="0" w:line="240" w:lineRule="auto"/>
      <w:rPr>
        <w:rFonts w:ascii="Arial" w:eastAsia="Calibri" w:hAnsi="Arial" w:cs="Arial"/>
        <w:noProof/>
        <w:szCs w:val="24"/>
      </w:rPr>
    </w:pPr>
    <w:r>
      <w:rPr>
        <w:rFonts w:ascii="Arial" w:eastAsia="Calibri" w:hAnsi="Arial" w:cs="Arial"/>
        <w:noProof/>
        <w:szCs w:val="24"/>
      </w:rPr>
      <w:t xml:space="preserve">HNZ </w:t>
    </w:r>
    <w:r w:rsidR="0023585F">
      <w:rPr>
        <w:rFonts w:ascii="Arial" w:eastAsia="Calibri" w:hAnsi="Arial" w:cs="Arial"/>
        <w:noProof/>
        <w:szCs w:val="24"/>
      </w:rPr>
      <w:t>Design Guidance and Assurance Framework</w:t>
    </w:r>
    <w:r w:rsidR="006B35D3">
      <w:rPr>
        <w:rFonts w:ascii="Arial" w:eastAsia="Calibri" w:hAnsi="Arial" w:cs="Arial"/>
        <w:noProof/>
        <w:szCs w:val="24"/>
      </w:rPr>
      <w:t xml:space="preserve"> V1.4</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EAF9E" w14:textId="77777777" w:rsidR="00FD6455" w:rsidRDefault="00FD6455" w:rsidP="00817A32">
      <w:pPr>
        <w:spacing w:before="0" w:after="0" w:line="240" w:lineRule="auto"/>
      </w:pPr>
    </w:p>
  </w:footnote>
  <w:footnote w:type="continuationSeparator" w:id="0">
    <w:p w14:paraId="34BF1B37" w14:textId="77777777" w:rsidR="00FD6455" w:rsidRDefault="00FD6455" w:rsidP="00817A32">
      <w:pPr>
        <w:spacing w:before="0" w:after="0" w:line="240" w:lineRule="auto"/>
      </w:pPr>
      <w:r>
        <w:continuationSeparator/>
      </w:r>
    </w:p>
  </w:footnote>
  <w:footnote w:id="1">
    <w:p w14:paraId="49FD80E3" w14:textId="011AF3D4" w:rsidR="00B60FA3" w:rsidRDefault="00B60FA3" w:rsidP="00B60FA3">
      <w:pPr>
        <w:pStyle w:val="FootnoteText"/>
      </w:pPr>
      <w:r>
        <w:rPr>
          <w:rStyle w:val="FootnoteReference"/>
        </w:rPr>
        <w:footnoteRef/>
      </w:r>
      <w:r>
        <w:t xml:space="preserve"> Building Information M</w:t>
      </w:r>
      <w:r w:rsidR="000609F5">
        <w:t>odelling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140CBB"/>
    <w:multiLevelType w:val="hybridMultilevel"/>
    <w:tmpl w:val="2848C4D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7" w15:restartNumberingAfterBreak="0">
    <w:nsid w:val="1BE311B7"/>
    <w:multiLevelType w:val="hybridMultilevel"/>
    <w:tmpl w:val="978A0BD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080783D"/>
    <w:multiLevelType w:val="hybridMultilevel"/>
    <w:tmpl w:val="12CA0E20"/>
    <w:lvl w:ilvl="0" w:tplc="4C105D18">
      <w:start w:val="1"/>
      <w:numFmt w:val="bullet"/>
      <w:lvlText w:val="•"/>
      <w:lvlJc w:val="left"/>
      <w:pPr>
        <w:tabs>
          <w:tab w:val="num" w:pos="720"/>
        </w:tabs>
        <w:ind w:left="720" w:hanging="360"/>
      </w:pPr>
      <w:rPr>
        <w:rFonts w:ascii="Times New Roman" w:hAnsi="Times New Roman" w:hint="default"/>
      </w:rPr>
    </w:lvl>
    <w:lvl w:ilvl="1" w:tplc="E15E8B66" w:tentative="1">
      <w:start w:val="1"/>
      <w:numFmt w:val="bullet"/>
      <w:lvlText w:val="•"/>
      <w:lvlJc w:val="left"/>
      <w:pPr>
        <w:tabs>
          <w:tab w:val="num" w:pos="1440"/>
        </w:tabs>
        <w:ind w:left="1440" w:hanging="360"/>
      </w:pPr>
      <w:rPr>
        <w:rFonts w:ascii="Times New Roman" w:hAnsi="Times New Roman" w:hint="default"/>
      </w:rPr>
    </w:lvl>
    <w:lvl w:ilvl="2" w:tplc="744E5EC6" w:tentative="1">
      <w:start w:val="1"/>
      <w:numFmt w:val="bullet"/>
      <w:lvlText w:val="•"/>
      <w:lvlJc w:val="left"/>
      <w:pPr>
        <w:tabs>
          <w:tab w:val="num" w:pos="2160"/>
        </w:tabs>
        <w:ind w:left="2160" w:hanging="360"/>
      </w:pPr>
      <w:rPr>
        <w:rFonts w:ascii="Times New Roman" w:hAnsi="Times New Roman" w:hint="default"/>
      </w:rPr>
    </w:lvl>
    <w:lvl w:ilvl="3" w:tplc="2D821F74" w:tentative="1">
      <w:start w:val="1"/>
      <w:numFmt w:val="bullet"/>
      <w:lvlText w:val="•"/>
      <w:lvlJc w:val="left"/>
      <w:pPr>
        <w:tabs>
          <w:tab w:val="num" w:pos="2880"/>
        </w:tabs>
        <w:ind w:left="2880" w:hanging="360"/>
      </w:pPr>
      <w:rPr>
        <w:rFonts w:ascii="Times New Roman" w:hAnsi="Times New Roman" w:hint="default"/>
      </w:rPr>
    </w:lvl>
    <w:lvl w:ilvl="4" w:tplc="F15611B4" w:tentative="1">
      <w:start w:val="1"/>
      <w:numFmt w:val="bullet"/>
      <w:lvlText w:val="•"/>
      <w:lvlJc w:val="left"/>
      <w:pPr>
        <w:tabs>
          <w:tab w:val="num" w:pos="3600"/>
        </w:tabs>
        <w:ind w:left="3600" w:hanging="360"/>
      </w:pPr>
      <w:rPr>
        <w:rFonts w:ascii="Times New Roman" w:hAnsi="Times New Roman" w:hint="default"/>
      </w:rPr>
    </w:lvl>
    <w:lvl w:ilvl="5" w:tplc="89366778" w:tentative="1">
      <w:start w:val="1"/>
      <w:numFmt w:val="bullet"/>
      <w:lvlText w:val="•"/>
      <w:lvlJc w:val="left"/>
      <w:pPr>
        <w:tabs>
          <w:tab w:val="num" w:pos="4320"/>
        </w:tabs>
        <w:ind w:left="4320" w:hanging="360"/>
      </w:pPr>
      <w:rPr>
        <w:rFonts w:ascii="Times New Roman" w:hAnsi="Times New Roman" w:hint="default"/>
      </w:rPr>
    </w:lvl>
    <w:lvl w:ilvl="6" w:tplc="F1C6F37E" w:tentative="1">
      <w:start w:val="1"/>
      <w:numFmt w:val="bullet"/>
      <w:lvlText w:val="•"/>
      <w:lvlJc w:val="left"/>
      <w:pPr>
        <w:tabs>
          <w:tab w:val="num" w:pos="5040"/>
        </w:tabs>
        <w:ind w:left="5040" w:hanging="360"/>
      </w:pPr>
      <w:rPr>
        <w:rFonts w:ascii="Times New Roman" w:hAnsi="Times New Roman" w:hint="default"/>
      </w:rPr>
    </w:lvl>
    <w:lvl w:ilvl="7" w:tplc="C2248892" w:tentative="1">
      <w:start w:val="1"/>
      <w:numFmt w:val="bullet"/>
      <w:lvlText w:val="•"/>
      <w:lvlJc w:val="left"/>
      <w:pPr>
        <w:tabs>
          <w:tab w:val="num" w:pos="5760"/>
        </w:tabs>
        <w:ind w:left="5760" w:hanging="360"/>
      </w:pPr>
      <w:rPr>
        <w:rFonts w:ascii="Times New Roman" w:hAnsi="Times New Roman" w:hint="default"/>
      </w:rPr>
    </w:lvl>
    <w:lvl w:ilvl="8" w:tplc="CD74564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7214829"/>
    <w:multiLevelType w:val="hybridMultilevel"/>
    <w:tmpl w:val="3A3EC576"/>
    <w:lvl w:ilvl="0" w:tplc="D5781BDC">
      <w:start w:val="1"/>
      <w:numFmt w:val="decimal"/>
      <w:lvlText w:val="%1."/>
      <w:lvlJc w:val="left"/>
      <w:pPr>
        <w:tabs>
          <w:tab w:val="num" w:pos="720"/>
        </w:tabs>
        <w:ind w:left="720" w:hanging="360"/>
      </w:pPr>
    </w:lvl>
    <w:lvl w:ilvl="1" w:tplc="205A8426" w:tentative="1">
      <w:start w:val="1"/>
      <w:numFmt w:val="decimal"/>
      <w:lvlText w:val="%2."/>
      <w:lvlJc w:val="left"/>
      <w:pPr>
        <w:tabs>
          <w:tab w:val="num" w:pos="1440"/>
        </w:tabs>
        <w:ind w:left="1440" w:hanging="360"/>
      </w:pPr>
    </w:lvl>
    <w:lvl w:ilvl="2" w:tplc="196A79B0" w:tentative="1">
      <w:start w:val="1"/>
      <w:numFmt w:val="decimal"/>
      <w:lvlText w:val="%3."/>
      <w:lvlJc w:val="left"/>
      <w:pPr>
        <w:tabs>
          <w:tab w:val="num" w:pos="2160"/>
        </w:tabs>
        <w:ind w:left="2160" w:hanging="360"/>
      </w:pPr>
    </w:lvl>
    <w:lvl w:ilvl="3" w:tplc="E2824088" w:tentative="1">
      <w:start w:val="1"/>
      <w:numFmt w:val="decimal"/>
      <w:lvlText w:val="%4."/>
      <w:lvlJc w:val="left"/>
      <w:pPr>
        <w:tabs>
          <w:tab w:val="num" w:pos="2880"/>
        </w:tabs>
        <w:ind w:left="2880" w:hanging="360"/>
      </w:pPr>
    </w:lvl>
    <w:lvl w:ilvl="4" w:tplc="FC88AB88" w:tentative="1">
      <w:start w:val="1"/>
      <w:numFmt w:val="decimal"/>
      <w:lvlText w:val="%5."/>
      <w:lvlJc w:val="left"/>
      <w:pPr>
        <w:tabs>
          <w:tab w:val="num" w:pos="3600"/>
        </w:tabs>
        <w:ind w:left="3600" w:hanging="360"/>
      </w:pPr>
    </w:lvl>
    <w:lvl w:ilvl="5" w:tplc="2E445592" w:tentative="1">
      <w:start w:val="1"/>
      <w:numFmt w:val="decimal"/>
      <w:lvlText w:val="%6."/>
      <w:lvlJc w:val="left"/>
      <w:pPr>
        <w:tabs>
          <w:tab w:val="num" w:pos="4320"/>
        </w:tabs>
        <w:ind w:left="4320" w:hanging="360"/>
      </w:pPr>
    </w:lvl>
    <w:lvl w:ilvl="6" w:tplc="229E4CDE" w:tentative="1">
      <w:start w:val="1"/>
      <w:numFmt w:val="decimal"/>
      <w:lvlText w:val="%7."/>
      <w:lvlJc w:val="left"/>
      <w:pPr>
        <w:tabs>
          <w:tab w:val="num" w:pos="5040"/>
        </w:tabs>
        <w:ind w:left="5040" w:hanging="360"/>
      </w:pPr>
    </w:lvl>
    <w:lvl w:ilvl="7" w:tplc="52A27596" w:tentative="1">
      <w:start w:val="1"/>
      <w:numFmt w:val="decimal"/>
      <w:lvlText w:val="%8."/>
      <w:lvlJc w:val="left"/>
      <w:pPr>
        <w:tabs>
          <w:tab w:val="num" w:pos="5760"/>
        </w:tabs>
        <w:ind w:left="5760" w:hanging="360"/>
      </w:pPr>
    </w:lvl>
    <w:lvl w:ilvl="8" w:tplc="96106786" w:tentative="1">
      <w:start w:val="1"/>
      <w:numFmt w:val="decimal"/>
      <w:lvlText w:val="%9."/>
      <w:lvlJc w:val="left"/>
      <w:pPr>
        <w:tabs>
          <w:tab w:val="num" w:pos="6480"/>
        </w:tabs>
        <w:ind w:left="6480" w:hanging="360"/>
      </w:pPr>
    </w:lvl>
  </w:abstractNum>
  <w:abstractNum w:abstractNumId="11" w15:restartNumberingAfterBreak="0">
    <w:nsid w:val="28FC175C"/>
    <w:multiLevelType w:val="hybridMultilevel"/>
    <w:tmpl w:val="C87E31B4"/>
    <w:lvl w:ilvl="0" w:tplc="388226F0">
      <w:start w:val="1"/>
      <w:numFmt w:val="bullet"/>
      <w:lvlText w:val="•"/>
      <w:lvlJc w:val="left"/>
      <w:pPr>
        <w:tabs>
          <w:tab w:val="num" w:pos="720"/>
        </w:tabs>
        <w:ind w:left="720" w:hanging="360"/>
      </w:pPr>
      <w:rPr>
        <w:rFonts w:ascii="Times New Roman" w:hAnsi="Times New Roman" w:hint="default"/>
      </w:rPr>
    </w:lvl>
    <w:lvl w:ilvl="1" w:tplc="3C8E5CAA" w:tentative="1">
      <w:start w:val="1"/>
      <w:numFmt w:val="bullet"/>
      <w:lvlText w:val="•"/>
      <w:lvlJc w:val="left"/>
      <w:pPr>
        <w:tabs>
          <w:tab w:val="num" w:pos="1440"/>
        </w:tabs>
        <w:ind w:left="1440" w:hanging="360"/>
      </w:pPr>
      <w:rPr>
        <w:rFonts w:ascii="Times New Roman" w:hAnsi="Times New Roman" w:hint="default"/>
      </w:rPr>
    </w:lvl>
    <w:lvl w:ilvl="2" w:tplc="665A0380" w:tentative="1">
      <w:start w:val="1"/>
      <w:numFmt w:val="bullet"/>
      <w:lvlText w:val="•"/>
      <w:lvlJc w:val="left"/>
      <w:pPr>
        <w:tabs>
          <w:tab w:val="num" w:pos="2160"/>
        </w:tabs>
        <w:ind w:left="2160" w:hanging="360"/>
      </w:pPr>
      <w:rPr>
        <w:rFonts w:ascii="Times New Roman" w:hAnsi="Times New Roman" w:hint="default"/>
      </w:rPr>
    </w:lvl>
    <w:lvl w:ilvl="3" w:tplc="8E8C018C" w:tentative="1">
      <w:start w:val="1"/>
      <w:numFmt w:val="bullet"/>
      <w:lvlText w:val="•"/>
      <w:lvlJc w:val="left"/>
      <w:pPr>
        <w:tabs>
          <w:tab w:val="num" w:pos="2880"/>
        </w:tabs>
        <w:ind w:left="2880" w:hanging="360"/>
      </w:pPr>
      <w:rPr>
        <w:rFonts w:ascii="Times New Roman" w:hAnsi="Times New Roman" w:hint="default"/>
      </w:rPr>
    </w:lvl>
    <w:lvl w:ilvl="4" w:tplc="8E70FAAA" w:tentative="1">
      <w:start w:val="1"/>
      <w:numFmt w:val="bullet"/>
      <w:lvlText w:val="•"/>
      <w:lvlJc w:val="left"/>
      <w:pPr>
        <w:tabs>
          <w:tab w:val="num" w:pos="3600"/>
        </w:tabs>
        <w:ind w:left="3600" w:hanging="360"/>
      </w:pPr>
      <w:rPr>
        <w:rFonts w:ascii="Times New Roman" w:hAnsi="Times New Roman" w:hint="default"/>
      </w:rPr>
    </w:lvl>
    <w:lvl w:ilvl="5" w:tplc="013CBC1C" w:tentative="1">
      <w:start w:val="1"/>
      <w:numFmt w:val="bullet"/>
      <w:lvlText w:val="•"/>
      <w:lvlJc w:val="left"/>
      <w:pPr>
        <w:tabs>
          <w:tab w:val="num" w:pos="4320"/>
        </w:tabs>
        <w:ind w:left="4320" w:hanging="360"/>
      </w:pPr>
      <w:rPr>
        <w:rFonts w:ascii="Times New Roman" w:hAnsi="Times New Roman" w:hint="default"/>
      </w:rPr>
    </w:lvl>
    <w:lvl w:ilvl="6" w:tplc="15328B26" w:tentative="1">
      <w:start w:val="1"/>
      <w:numFmt w:val="bullet"/>
      <w:lvlText w:val="•"/>
      <w:lvlJc w:val="left"/>
      <w:pPr>
        <w:tabs>
          <w:tab w:val="num" w:pos="5040"/>
        </w:tabs>
        <w:ind w:left="5040" w:hanging="360"/>
      </w:pPr>
      <w:rPr>
        <w:rFonts w:ascii="Times New Roman" w:hAnsi="Times New Roman" w:hint="default"/>
      </w:rPr>
    </w:lvl>
    <w:lvl w:ilvl="7" w:tplc="BD060752" w:tentative="1">
      <w:start w:val="1"/>
      <w:numFmt w:val="bullet"/>
      <w:lvlText w:val="•"/>
      <w:lvlJc w:val="left"/>
      <w:pPr>
        <w:tabs>
          <w:tab w:val="num" w:pos="5760"/>
        </w:tabs>
        <w:ind w:left="5760" w:hanging="360"/>
      </w:pPr>
      <w:rPr>
        <w:rFonts w:ascii="Times New Roman" w:hAnsi="Times New Roman" w:hint="default"/>
      </w:rPr>
    </w:lvl>
    <w:lvl w:ilvl="8" w:tplc="5622E90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D054AED"/>
    <w:multiLevelType w:val="hybridMultilevel"/>
    <w:tmpl w:val="48F65FBE"/>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3" w15:restartNumberingAfterBreak="0">
    <w:nsid w:val="3ABF650A"/>
    <w:multiLevelType w:val="hybridMultilevel"/>
    <w:tmpl w:val="07EEAF9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AAD224E"/>
    <w:multiLevelType w:val="hybridMultilevel"/>
    <w:tmpl w:val="74C8B02E"/>
    <w:lvl w:ilvl="0" w:tplc="48DA5DEA">
      <w:start w:val="7"/>
      <w:numFmt w:val="bullet"/>
      <w:lvlText w:val="-"/>
      <w:lvlJc w:val="left"/>
      <w:pPr>
        <w:ind w:left="1080" w:hanging="36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5" w15:restartNumberingAfterBreak="0">
    <w:nsid w:val="4DC12692"/>
    <w:multiLevelType w:val="hybridMultilevel"/>
    <w:tmpl w:val="AC8AC740"/>
    <w:lvl w:ilvl="0" w:tplc="B22493A6">
      <w:start w:val="7"/>
      <w:numFmt w:val="bullet"/>
      <w:lvlText w:val="-"/>
      <w:lvlJc w:val="left"/>
      <w:pPr>
        <w:ind w:left="1080" w:hanging="36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15:restartNumberingAfterBreak="0">
    <w:nsid w:val="53355563"/>
    <w:multiLevelType w:val="hybridMultilevel"/>
    <w:tmpl w:val="D97CF4A0"/>
    <w:lvl w:ilvl="0" w:tplc="26E44730">
      <w:start w:val="1"/>
      <w:numFmt w:val="bullet"/>
      <w:lvlText w:val="•"/>
      <w:lvlJc w:val="left"/>
      <w:pPr>
        <w:tabs>
          <w:tab w:val="num" w:pos="720"/>
        </w:tabs>
        <w:ind w:left="720" w:hanging="360"/>
      </w:pPr>
      <w:rPr>
        <w:rFonts w:ascii="Arial" w:hAnsi="Arial" w:hint="default"/>
      </w:rPr>
    </w:lvl>
    <w:lvl w:ilvl="1" w:tplc="5D923A9C">
      <w:start w:val="1"/>
      <w:numFmt w:val="bullet"/>
      <w:lvlText w:val="•"/>
      <w:lvlJc w:val="left"/>
      <w:pPr>
        <w:tabs>
          <w:tab w:val="num" w:pos="1440"/>
        </w:tabs>
        <w:ind w:left="1440" w:hanging="360"/>
      </w:pPr>
      <w:rPr>
        <w:rFonts w:ascii="Arial" w:hAnsi="Arial" w:hint="default"/>
      </w:rPr>
    </w:lvl>
    <w:lvl w:ilvl="2" w:tplc="0292D648" w:tentative="1">
      <w:start w:val="1"/>
      <w:numFmt w:val="bullet"/>
      <w:lvlText w:val="•"/>
      <w:lvlJc w:val="left"/>
      <w:pPr>
        <w:tabs>
          <w:tab w:val="num" w:pos="2160"/>
        </w:tabs>
        <w:ind w:left="2160" w:hanging="360"/>
      </w:pPr>
      <w:rPr>
        <w:rFonts w:ascii="Arial" w:hAnsi="Arial" w:hint="default"/>
      </w:rPr>
    </w:lvl>
    <w:lvl w:ilvl="3" w:tplc="0D6E87FA" w:tentative="1">
      <w:start w:val="1"/>
      <w:numFmt w:val="bullet"/>
      <w:lvlText w:val="•"/>
      <w:lvlJc w:val="left"/>
      <w:pPr>
        <w:tabs>
          <w:tab w:val="num" w:pos="2880"/>
        </w:tabs>
        <w:ind w:left="2880" w:hanging="360"/>
      </w:pPr>
      <w:rPr>
        <w:rFonts w:ascii="Arial" w:hAnsi="Arial" w:hint="default"/>
      </w:rPr>
    </w:lvl>
    <w:lvl w:ilvl="4" w:tplc="E9783D76" w:tentative="1">
      <w:start w:val="1"/>
      <w:numFmt w:val="bullet"/>
      <w:lvlText w:val="•"/>
      <w:lvlJc w:val="left"/>
      <w:pPr>
        <w:tabs>
          <w:tab w:val="num" w:pos="3600"/>
        </w:tabs>
        <w:ind w:left="3600" w:hanging="360"/>
      </w:pPr>
      <w:rPr>
        <w:rFonts w:ascii="Arial" w:hAnsi="Arial" w:hint="default"/>
      </w:rPr>
    </w:lvl>
    <w:lvl w:ilvl="5" w:tplc="2DB60798" w:tentative="1">
      <w:start w:val="1"/>
      <w:numFmt w:val="bullet"/>
      <w:lvlText w:val="•"/>
      <w:lvlJc w:val="left"/>
      <w:pPr>
        <w:tabs>
          <w:tab w:val="num" w:pos="4320"/>
        </w:tabs>
        <w:ind w:left="4320" w:hanging="360"/>
      </w:pPr>
      <w:rPr>
        <w:rFonts w:ascii="Arial" w:hAnsi="Arial" w:hint="default"/>
      </w:rPr>
    </w:lvl>
    <w:lvl w:ilvl="6" w:tplc="C2AAACDA" w:tentative="1">
      <w:start w:val="1"/>
      <w:numFmt w:val="bullet"/>
      <w:lvlText w:val="•"/>
      <w:lvlJc w:val="left"/>
      <w:pPr>
        <w:tabs>
          <w:tab w:val="num" w:pos="5040"/>
        </w:tabs>
        <w:ind w:left="5040" w:hanging="360"/>
      </w:pPr>
      <w:rPr>
        <w:rFonts w:ascii="Arial" w:hAnsi="Arial" w:hint="default"/>
      </w:rPr>
    </w:lvl>
    <w:lvl w:ilvl="7" w:tplc="91B2DFFA" w:tentative="1">
      <w:start w:val="1"/>
      <w:numFmt w:val="bullet"/>
      <w:lvlText w:val="•"/>
      <w:lvlJc w:val="left"/>
      <w:pPr>
        <w:tabs>
          <w:tab w:val="num" w:pos="5760"/>
        </w:tabs>
        <w:ind w:left="5760" w:hanging="360"/>
      </w:pPr>
      <w:rPr>
        <w:rFonts w:ascii="Arial" w:hAnsi="Arial" w:hint="default"/>
      </w:rPr>
    </w:lvl>
    <w:lvl w:ilvl="8" w:tplc="01149B7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6CC2A6F"/>
    <w:multiLevelType w:val="hybridMultilevel"/>
    <w:tmpl w:val="37C4DF8E"/>
    <w:lvl w:ilvl="0" w:tplc="CEA411D0">
      <w:start w:val="1"/>
      <w:numFmt w:val="bullet"/>
      <w:lvlText w:val="•"/>
      <w:lvlJc w:val="left"/>
      <w:pPr>
        <w:tabs>
          <w:tab w:val="num" w:pos="720"/>
        </w:tabs>
        <w:ind w:left="720" w:hanging="360"/>
      </w:pPr>
      <w:rPr>
        <w:rFonts w:ascii="Times New Roman" w:hAnsi="Times New Roman" w:hint="default"/>
      </w:rPr>
    </w:lvl>
    <w:lvl w:ilvl="1" w:tplc="A6C8B6A6" w:tentative="1">
      <w:start w:val="1"/>
      <w:numFmt w:val="bullet"/>
      <w:lvlText w:val="•"/>
      <w:lvlJc w:val="left"/>
      <w:pPr>
        <w:tabs>
          <w:tab w:val="num" w:pos="1440"/>
        </w:tabs>
        <w:ind w:left="1440" w:hanging="360"/>
      </w:pPr>
      <w:rPr>
        <w:rFonts w:ascii="Times New Roman" w:hAnsi="Times New Roman" w:hint="default"/>
      </w:rPr>
    </w:lvl>
    <w:lvl w:ilvl="2" w:tplc="AA64345E" w:tentative="1">
      <w:start w:val="1"/>
      <w:numFmt w:val="bullet"/>
      <w:lvlText w:val="•"/>
      <w:lvlJc w:val="left"/>
      <w:pPr>
        <w:tabs>
          <w:tab w:val="num" w:pos="2160"/>
        </w:tabs>
        <w:ind w:left="2160" w:hanging="360"/>
      </w:pPr>
      <w:rPr>
        <w:rFonts w:ascii="Times New Roman" w:hAnsi="Times New Roman" w:hint="default"/>
      </w:rPr>
    </w:lvl>
    <w:lvl w:ilvl="3" w:tplc="48AA12C6" w:tentative="1">
      <w:start w:val="1"/>
      <w:numFmt w:val="bullet"/>
      <w:lvlText w:val="•"/>
      <w:lvlJc w:val="left"/>
      <w:pPr>
        <w:tabs>
          <w:tab w:val="num" w:pos="2880"/>
        </w:tabs>
        <w:ind w:left="2880" w:hanging="360"/>
      </w:pPr>
      <w:rPr>
        <w:rFonts w:ascii="Times New Roman" w:hAnsi="Times New Roman" w:hint="default"/>
      </w:rPr>
    </w:lvl>
    <w:lvl w:ilvl="4" w:tplc="8CCCFC0C" w:tentative="1">
      <w:start w:val="1"/>
      <w:numFmt w:val="bullet"/>
      <w:lvlText w:val="•"/>
      <w:lvlJc w:val="left"/>
      <w:pPr>
        <w:tabs>
          <w:tab w:val="num" w:pos="3600"/>
        </w:tabs>
        <w:ind w:left="3600" w:hanging="360"/>
      </w:pPr>
      <w:rPr>
        <w:rFonts w:ascii="Times New Roman" w:hAnsi="Times New Roman" w:hint="default"/>
      </w:rPr>
    </w:lvl>
    <w:lvl w:ilvl="5" w:tplc="FCBC62C2" w:tentative="1">
      <w:start w:val="1"/>
      <w:numFmt w:val="bullet"/>
      <w:lvlText w:val="•"/>
      <w:lvlJc w:val="left"/>
      <w:pPr>
        <w:tabs>
          <w:tab w:val="num" w:pos="4320"/>
        </w:tabs>
        <w:ind w:left="4320" w:hanging="360"/>
      </w:pPr>
      <w:rPr>
        <w:rFonts w:ascii="Times New Roman" w:hAnsi="Times New Roman" w:hint="default"/>
      </w:rPr>
    </w:lvl>
    <w:lvl w:ilvl="6" w:tplc="2B2EE09A" w:tentative="1">
      <w:start w:val="1"/>
      <w:numFmt w:val="bullet"/>
      <w:lvlText w:val="•"/>
      <w:lvlJc w:val="left"/>
      <w:pPr>
        <w:tabs>
          <w:tab w:val="num" w:pos="5040"/>
        </w:tabs>
        <w:ind w:left="5040" w:hanging="360"/>
      </w:pPr>
      <w:rPr>
        <w:rFonts w:ascii="Times New Roman" w:hAnsi="Times New Roman" w:hint="default"/>
      </w:rPr>
    </w:lvl>
    <w:lvl w:ilvl="7" w:tplc="FBCC83C0" w:tentative="1">
      <w:start w:val="1"/>
      <w:numFmt w:val="bullet"/>
      <w:lvlText w:val="•"/>
      <w:lvlJc w:val="left"/>
      <w:pPr>
        <w:tabs>
          <w:tab w:val="num" w:pos="5760"/>
        </w:tabs>
        <w:ind w:left="5760" w:hanging="360"/>
      </w:pPr>
      <w:rPr>
        <w:rFonts w:ascii="Times New Roman" w:hAnsi="Times New Roman" w:hint="default"/>
      </w:rPr>
    </w:lvl>
    <w:lvl w:ilvl="8" w:tplc="FD38F9A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E2E63C4"/>
    <w:multiLevelType w:val="hybridMultilevel"/>
    <w:tmpl w:val="89065056"/>
    <w:lvl w:ilvl="0" w:tplc="9F089786">
      <w:start w:val="7"/>
      <w:numFmt w:val="bullet"/>
      <w:lvlText w:val="-"/>
      <w:lvlJc w:val="left"/>
      <w:pPr>
        <w:ind w:left="1080" w:hanging="36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15:restartNumberingAfterBreak="0">
    <w:nsid w:val="65496F3D"/>
    <w:multiLevelType w:val="hybridMultilevel"/>
    <w:tmpl w:val="6F1E61E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69D447E7"/>
    <w:multiLevelType w:val="hybridMultilevel"/>
    <w:tmpl w:val="6D2A3B68"/>
    <w:lvl w:ilvl="0" w:tplc="92F43432">
      <w:start w:val="1"/>
      <w:numFmt w:val="bullet"/>
      <w:lvlText w:val="•"/>
      <w:lvlJc w:val="left"/>
      <w:pPr>
        <w:tabs>
          <w:tab w:val="num" w:pos="720"/>
        </w:tabs>
        <w:ind w:left="720" w:hanging="360"/>
      </w:pPr>
      <w:rPr>
        <w:rFonts w:ascii="Arial" w:hAnsi="Arial" w:hint="default"/>
      </w:rPr>
    </w:lvl>
    <w:lvl w:ilvl="1" w:tplc="E378123C">
      <w:start w:val="1"/>
      <w:numFmt w:val="bullet"/>
      <w:lvlText w:val="•"/>
      <w:lvlJc w:val="left"/>
      <w:pPr>
        <w:tabs>
          <w:tab w:val="num" w:pos="1440"/>
        </w:tabs>
        <w:ind w:left="1440" w:hanging="360"/>
      </w:pPr>
      <w:rPr>
        <w:rFonts w:ascii="Arial" w:hAnsi="Arial" w:hint="default"/>
      </w:rPr>
    </w:lvl>
    <w:lvl w:ilvl="2" w:tplc="D5804AD6" w:tentative="1">
      <w:start w:val="1"/>
      <w:numFmt w:val="bullet"/>
      <w:lvlText w:val="•"/>
      <w:lvlJc w:val="left"/>
      <w:pPr>
        <w:tabs>
          <w:tab w:val="num" w:pos="2160"/>
        </w:tabs>
        <w:ind w:left="2160" w:hanging="360"/>
      </w:pPr>
      <w:rPr>
        <w:rFonts w:ascii="Arial" w:hAnsi="Arial" w:hint="default"/>
      </w:rPr>
    </w:lvl>
    <w:lvl w:ilvl="3" w:tplc="474A3A9C" w:tentative="1">
      <w:start w:val="1"/>
      <w:numFmt w:val="bullet"/>
      <w:lvlText w:val="•"/>
      <w:lvlJc w:val="left"/>
      <w:pPr>
        <w:tabs>
          <w:tab w:val="num" w:pos="2880"/>
        </w:tabs>
        <w:ind w:left="2880" w:hanging="360"/>
      </w:pPr>
      <w:rPr>
        <w:rFonts w:ascii="Arial" w:hAnsi="Arial" w:hint="default"/>
      </w:rPr>
    </w:lvl>
    <w:lvl w:ilvl="4" w:tplc="C05E4D22" w:tentative="1">
      <w:start w:val="1"/>
      <w:numFmt w:val="bullet"/>
      <w:lvlText w:val="•"/>
      <w:lvlJc w:val="left"/>
      <w:pPr>
        <w:tabs>
          <w:tab w:val="num" w:pos="3600"/>
        </w:tabs>
        <w:ind w:left="3600" w:hanging="360"/>
      </w:pPr>
      <w:rPr>
        <w:rFonts w:ascii="Arial" w:hAnsi="Arial" w:hint="default"/>
      </w:rPr>
    </w:lvl>
    <w:lvl w:ilvl="5" w:tplc="9F785D8C" w:tentative="1">
      <w:start w:val="1"/>
      <w:numFmt w:val="bullet"/>
      <w:lvlText w:val="•"/>
      <w:lvlJc w:val="left"/>
      <w:pPr>
        <w:tabs>
          <w:tab w:val="num" w:pos="4320"/>
        </w:tabs>
        <w:ind w:left="4320" w:hanging="360"/>
      </w:pPr>
      <w:rPr>
        <w:rFonts w:ascii="Arial" w:hAnsi="Arial" w:hint="default"/>
      </w:rPr>
    </w:lvl>
    <w:lvl w:ilvl="6" w:tplc="1BCA5582" w:tentative="1">
      <w:start w:val="1"/>
      <w:numFmt w:val="bullet"/>
      <w:lvlText w:val="•"/>
      <w:lvlJc w:val="left"/>
      <w:pPr>
        <w:tabs>
          <w:tab w:val="num" w:pos="5040"/>
        </w:tabs>
        <w:ind w:left="5040" w:hanging="360"/>
      </w:pPr>
      <w:rPr>
        <w:rFonts w:ascii="Arial" w:hAnsi="Arial" w:hint="default"/>
      </w:rPr>
    </w:lvl>
    <w:lvl w:ilvl="7" w:tplc="D01682CC" w:tentative="1">
      <w:start w:val="1"/>
      <w:numFmt w:val="bullet"/>
      <w:lvlText w:val="•"/>
      <w:lvlJc w:val="left"/>
      <w:pPr>
        <w:tabs>
          <w:tab w:val="num" w:pos="5760"/>
        </w:tabs>
        <w:ind w:left="5760" w:hanging="360"/>
      </w:pPr>
      <w:rPr>
        <w:rFonts w:ascii="Arial" w:hAnsi="Arial" w:hint="default"/>
      </w:rPr>
    </w:lvl>
    <w:lvl w:ilvl="8" w:tplc="423C47E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3E618B3"/>
    <w:multiLevelType w:val="hybridMultilevel"/>
    <w:tmpl w:val="0C94F34C"/>
    <w:lvl w:ilvl="0" w:tplc="DFF8EF26">
      <w:start w:val="7"/>
      <w:numFmt w:val="bullet"/>
      <w:lvlText w:val="-"/>
      <w:lvlJc w:val="left"/>
      <w:pPr>
        <w:ind w:left="1080" w:hanging="36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2" w15:restartNumberingAfterBreak="0">
    <w:nsid w:val="765437CC"/>
    <w:multiLevelType w:val="hybridMultilevel"/>
    <w:tmpl w:val="9BA6B38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7CF45EBC"/>
    <w:multiLevelType w:val="hybridMultilevel"/>
    <w:tmpl w:val="529A5C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15100048">
    <w:abstractNumId w:val="9"/>
  </w:num>
  <w:num w:numId="2" w16cid:durableId="1098260535">
    <w:abstractNumId w:val="4"/>
  </w:num>
  <w:num w:numId="3" w16cid:durableId="734160918">
    <w:abstractNumId w:val="2"/>
  </w:num>
  <w:num w:numId="4" w16cid:durableId="1139805916">
    <w:abstractNumId w:val="1"/>
  </w:num>
  <w:num w:numId="5" w16cid:durableId="2019959789">
    <w:abstractNumId w:val="3"/>
  </w:num>
  <w:num w:numId="6" w16cid:durableId="531770102">
    <w:abstractNumId w:val="0"/>
  </w:num>
  <w:num w:numId="7" w16cid:durableId="1846045264">
    <w:abstractNumId w:val="6"/>
  </w:num>
  <w:num w:numId="8" w16cid:durableId="185825202">
    <w:abstractNumId w:val="12"/>
  </w:num>
  <w:num w:numId="9" w16cid:durableId="328991069">
    <w:abstractNumId w:val="23"/>
  </w:num>
  <w:num w:numId="10" w16cid:durableId="1236429018">
    <w:abstractNumId w:val="13"/>
  </w:num>
  <w:num w:numId="11" w16cid:durableId="61028413">
    <w:abstractNumId w:val="17"/>
  </w:num>
  <w:num w:numId="12" w16cid:durableId="1146823757">
    <w:abstractNumId w:val="8"/>
  </w:num>
  <w:num w:numId="13" w16cid:durableId="580414048">
    <w:abstractNumId w:val="11"/>
  </w:num>
  <w:num w:numId="14" w16cid:durableId="2101482489">
    <w:abstractNumId w:val="19"/>
  </w:num>
  <w:num w:numId="15" w16cid:durableId="1308776829">
    <w:abstractNumId w:val="16"/>
  </w:num>
  <w:num w:numId="16" w16cid:durableId="792863607">
    <w:abstractNumId w:val="20"/>
  </w:num>
  <w:num w:numId="17" w16cid:durableId="1607348593">
    <w:abstractNumId w:val="5"/>
  </w:num>
  <w:num w:numId="18" w16cid:durableId="1135492961">
    <w:abstractNumId w:val="7"/>
  </w:num>
  <w:num w:numId="19" w16cid:durableId="1947732401">
    <w:abstractNumId w:val="22"/>
  </w:num>
  <w:num w:numId="20" w16cid:durableId="2050757311">
    <w:abstractNumId w:val="10"/>
  </w:num>
  <w:num w:numId="21" w16cid:durableId="1589652485">
    <w:abstractNumId w:val="21"/>
  </w:num>
  <w:num w:numId="22" w16cid:durableId="20976209">
    <w:abstractNumId w:val="15"/>
  </w:num>
  <w:num w:numId="23" w16cid:durableId="1415399629">
    <w:abstractNumId w:val="14"/>
  </w:num>
  <w:num w:numId="24" w16cid:durableId="18165276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52C"/>
    <w:rsid w:val="00000017"/>
    <w:rsid w:val="0000049A"/>
    <w:rsid w:val="00000EF2"/>
    <w:rsid w:val="00001A03"/>
    <w:rsid w:val="00001BB1"/>
    <w:rsid w:val="00001F88"/>
    <w:rsid w:val="00002A6C"/>
    <w:rsid w:val="00003040"/>
    <w:rsid w:val="000050B2"/>
    <w:rsid w:val="000050E8"/>
    <w:rsid w:val="000059E9"/>
    <w:rsid w:val="00005D48"/>
    <w:rsid w:val="0000676C"/>
    <w:rsid w:val="00006F62"/>
    <w:rsid w:val="0000707A"/>
    <w:rsid w:val="000072A0"/>
    <w:rsid w:val="000072A6"/>
    <w:rsid w:val="0001143D"/>
    <w:rsid w:val="00011AC6"/>
    <w:rsid w:val="000127C7"/>
    <w:rsid w:val="00013B6E"/>
    <w:rsid w:val="00013CC7"/>
    <w:rsid w:val="00014BB0"/>
    <w:rsid w:val="00015155"/>
    <w:rsid w:val="0001548C"/>
    <w:rsid w:val="00015793"/>
    <w:rsid w:val="0001623A"/>
    <w:rsid w:val="000169C7"/>
    <w:rsid w:val="000170C0"/>
    <w:rsid w:val="00020210"/>
    <w:rsid w:val="000209B9"/>
    <w:rsid w:val="00020D45"/>
    <w:rsid w:val="0002120D"/>
    <w:rsid w:val="000224C3"/>
    <w:rsid w:val="0002327A"/>
    <w:rsid w:val="000238AC"/>
    <w:rsid w:val="00023D47"/>
    <w:rsid w:val="00024234"/>
    <w:rsid w:val="00024240"/>
    <w:rsid w:val="000244D4"/>
    <w:rsid w:val="00024649"/>
    <w:rsid w:val="00024769"/>
    <w:rsid w:val="00024AE4"/>
    <w:rsid w:val="00024E06"/>
    <w:rsid w:val="000250EA"/>
    <w:rsid w:val="0002626B"/>
    <w:rsid w:val="0002673C"/>
    <w:rsid w:val="00026977"/>
    <w:rsid w:val="000302A1"/>
    <w:rsid w:val="00030371"/>
    <w:rsid w:val="0003156D"/>
    <w:rsid w:val="00031D7B"/>
    <w:rsid w:val="00032E5A"/>
    <w:rsid w:val="000333CB"/>
    <w:rsid w:val="00033D76"/>
    <w:rsid w:val="00034459"/>
    <w:rsid w:val="00034BCB"/>
    <w:rsid w:val="000350BB"/>
    <w:rsid w:val="00037B1F"/>
    <w:rsid w:val="0004078E"/>
    <w:rsid w:val="00040865"/>
    <w:rsid w:val="00041A3D"/>
    <w:rsid w:val="00041B1A"/>
    <w:rsid w:val="000427AC"/>
    <w:rsid w:val="00043C05"/>
    <w:rsid w:val="00043E0D"/>
    <w:rsid w:val="000444DA"/>
    <w:rsid w:val="00045005"/>
    <w:rsid w:val="00047F5E"/>
    <w:rsid w:val="00050073"/>
    <w:rsid w:val="000502FE"/>
    <w:rsid w:val="000505C8"/>
    <w:rsid w:val="000505E2"/>
    <w:rsid w:val="00050863"/>
    <w:rsid w:val="0005131C"/>
    <w:rsid w:val="00051849"/>
    <w:rsid w:val="0005327A"/>
    <w:rsid w:val="00054492"/>
    <w:rsid w:val="000554DB"/>
    <w:rsid w:val="00055DC5"/>
    <w:rsid w:val="00056C7E"/>
    <w:rsid w:val="000571E0"/>
    <w:rsid w:val="00057B2E"/>
    <w:rsid w:val="00060211"/>
    <w:rsid w:val="0006030F"/>
    <w:rsid w:val="000603B7"/>
    <w:rsid w:val="000608FF"/>
    <w:rsid w:val="000609F5"/>
    <w:rsid w:val="00060DCC"/>
    <w:rsid w:val="000615B7"/>
    <w:rsid w:val="00061A88"/>
    <w:rsid w:val="00062142"/>
    <w:rsid w:val="00062864"/>
    <w:rsid w:val="00062C22"/>
    <w:rsid w:val="00062D1B"/>
    <w:rsid w:val="00062D2B"/>
    <w:rsid w:val="000633A9"/>
    <w:rsid w:val="00063DE6"/>
    <w:rsid w:val="000645F2"/>
    <w:rsid w:val="00067095"/>
    <w:rsid w:val="000701F8"/>
    <w:rsid w:val="00070587"/>
    <w:rsid w:val="00072107"/>
    <w:rsid w:val="00072111"/>
    <w:rsid w:val="00073054"/>
    <w:rsid w:val="00073D44"/>
    <w:rsid w:val="00074958"/>
    <w:rsid w:val="00074E9A"/>
    <w:rsid w:val="00075ED9"/>
    <w:rsid w:val="000773D5"/>
    <w:rsid w:val="000774B6"/>
    <w:rsid w:val="00077559"/>
    <w:rsid w:val="00080831"/>
    <w:rsid w:val="0008094E"/>
    <w:rsid w:val="00080AA0"/>
    <w:rsid w:val="00080FF1"/>
    <w:rsid w:val="00081736"/>
    <w:rsid w:val="00081BAF"/>
    <w:rsid w:val="00083639"/>
    <w:rsid w:val="000848E5"/>
    <w:rsid w:val="000879E2"/>
    <w:rsid w:val="000879FD"/>
    <w:rsid w:val="000904D5"/>
    <w:rsid w:val="00090944"/>
    <w:rsid w:val="00090B2D"/>
    <w:rsid w:val="00091334"/>
    <w:rsid w:val="000918DF"/>
    <w:rsid w:val="00091FDB"/>
    <w:rsid w:val="00092560"/>
    <w:rsid w:val="00092ACA"/>
    <w:rsid w:val="00092B9B"/>
    <w:rsid w:val="00093204"/>
    <w:rsid w:val="00093906"/>
    <w:rsid w:val="00094061"/>
    <w:rsid w:val="00094E54"/>
    <w:rsid w:val="00095325"/>
    <w:rsid w:val="00095B1F"/>
    <w:rsid w:val="00095CBF"/>
    <w:rsid w:val="00095E13"/>
    <w:rsid w:val="00095E7F"/>
    <w:rsid w:val="000960F6"/>
    <w:rsid w:val="0009650D"/>
    <w:rsid w:val="000970BC"/>
    <w:rsid w:val="000970BD"/>
    <w:rsid w:val="00097C4C"/>
    <w:rsid w:val="000A118A"/>
    <w:rsid w:val="000A18C7"/>
    <w:rsid w:val="000A22B1"/>
    <w:rsid w:val="000A3704"/>
    <w:rsid w:val="000A391B"/>
    <w:rsid w:val="000A4059"/>
    <w:rsid w:val="000A44D0"/>
    <w:rsid w:val="000A5180"/>
    <w:rsid w:val="000A5357"/>
    <w:rsid w:val="000A59E3"/>
    <w:rsid w:val="000A637E"/>
    <w:rsid w:val="000A65E3"/>
    <w:rsid w:val="000A7A15"/>
    <w:rsid w:val="000A7E10"/>
    <w:rsid w:val="000B057E"/>
    <w:rsid w:val="000B0762"/>
    <w:rsid w:val="000B0F0A"/>
    <w:rsid w:val="000B1797"/>
    <w:rsid w:val="000B1CEF"/>
    <w:rsid w:val="000B2CE8"/>
    <w:rsid w:val="000B3032"/>
    <w:rsid w:val="000B3261"/>
    <w:rsid w:val="000B32A5"/>
    <w:rsid w:val="000B38C2"/>
    <w:rsid w:val="000B5B9E"/>
    <w:rsid w:val="000B5D0D"/>
    <w:rsid w:val="000B5D4F"/>
    <w:rsid w:val="000B6150"/>
    <w:rsid w:val="000B65D5"/>
    <w:rsid w:val="000B6E2D"/>
    <w:rsid w:val="000B7665"/>
    <w:rsid w:val="000C0166"/>
    <w:rsid w:val="000C0271"/>
    <w:rsid w:val="000C034C"/>
    <w:rsid w:val="000C150E"/>
    <w:rsid w:val="000C1BD0"/>
    <w:rsid w:val="000C1BF9"/>
    <w:rsid w:val="000C261A"/>
    <w:rsid w:val="000C2871"/>
    <w:rsid w:val="000C2D7C"/>
    <w:rsid w:val="000C2D7E"/>
    <w:rsid w:val="000C314D"/>
    <w:rsid w:val="000C3A03"/>
    <w:rsid w:val="000C4519"/>
    <w:rsid w:val="000C5221"/>
    <w:rsid w:val="000C561B"/>
    <w:rsid w:val="000C5FF6"/>
    <w:rsid w:val="000C66C5"/>
    <w:rsid w:val="000C7174"/>
    <w:rsid w:val="000C7B61"/>
    <w:rsid w:val="000C7E04"/>
    <w:rsid w:val="000D0501"/>
    <w:rsid w:val="000D0864"/>
    <w:rsid w:val="000D10D7"/>
    <w:rsid w:val="000D1611"/>
    <w:rsid w:val="000D1D22"/>
    <w:rsid w:val="000D252C"/>
    <w:rsid w:val="000D2605"/>
    <w:rsid w:val="000D2C65"/>
    <w:rsid w:val="000D2D02"/>
    <w:rsid w:val="000D32F5"/>
    <w:rsid w:val="000D33D0"/>
    <w:rsid w:val="000D4807"/>
    <w:rsid w:val="000D4A07"/>
    <w:rsid w:val="000D59DA"/>
    <w:rsid w:val="000D64C1"/>
    <w:rsid w:val="000D6D11"/>
    <w:rsid w:val="000D737B"/>
    <w:rsid w:val="000D7A30"/>
    <w:rsid w:val="000E050D"/>
    <w:rsid w:val="000E0A3B"/>
    <w:rsid w:val="000E12B2"/>
    <w:rsid w:val="000E1366"/>
    <w:rsid w:val="000E1556"/>
    <w:rsid w:val="000E21C6"/>
    <w:rsid w:val="000E3313"/>
    <w:rsid w:val="000E3701"/>
    <w:rsid w:val="000E4131"/>
    <w:rsid w:val="000E4F9E"/>
    <w:rsid w:val="000E55A4"/>
    <w:rsid w:val="000E5CB1"/>
    <w:rsid w:val="000E679C"/>
    <w:rsid w:val="000E739A"/>
    <w:rsid w:val="000E73B6"/>
    <w:rsid w:val="000E73BC"/>
    <w:rsid w:val="000E7D07"/>
    <w:rsid w:val="000F0532"/>
    <w:rsid w:val="000F0A40"/>
    <w:rsid w:val="000F0B6A"/>
    <w:rsid w:val="000F0C7F"/>
    <w:rsid w:val="000F168C"/>
    <w:rsid w:val="000F30D0"/>
    <w:rsid w:val="000F3799"/>
    <w:rsid w:val="000F3FEB"/>
    <w:rsid w:val="000F445D"/>
    <w:rsid w:val="000F4681"/>
    <w:rsid w:val="000F48EB"/>
    <w:rsid w:val="000F4994"/>
    <w:rsid w:val="000F542B"/>
    <w:rsid w:val="000F56BC"/>
    <w:rsid w:val="000F5732"/>
    <w:rsid w:val="000F6F54"/>
    <w:rsid w:val="000F76A7"/>
    <w:rsid w:val="000F777A"/>
    <w:rsid w:val="000F796A"/>
    <w:rsid w:val="000F7F46"/>
    <w:rsid w:val="0010027D"/>
    <w:rsid w:val="001005B5"/>
    <w:rsid w:val="0010088A"/>
    <w:rsid w:val="001012E3"/>
    <w:rsid w:val="00101C7F"/>
    <w:rsid w:val="001024D1"/>
    <w:rsid w:val="00102F6D"/>
    <w:rsid w:val="0010344C"/>
    <w:rsid w:val="0010432F"/>
    <w:rsid w:val="001044F7"/>
    <w:rsid w:val="001059C3"/>
    <w:rsid w:val="00105ABC"/>
    <w:rsid w:val="0010612D"/>
    <w:rsid w:val="0010633D"/>
    <w:rsid w:val="00106401"/>
    <w:rsid w:val="001067DE"/>
    <w:rsid w:val="00106F7D"/>
    <w:rsid w:val="00107EF7"/>
    <w:rsid w:val="00110E8E"/>
    <w:rsid w:val="00111CD5"/>
    <w:rsid w:val="00112DAA"/>
    <w:rsid w:val="00113B7F"/>
    <w:rsid w:val="00113BA4"/>
    <w:rsid w:val="00113DDA"/>
    <w:rsid w:val="00114075"/>
    <w:rsid w:val="001145DF"/>
    <w:rsid w:val="0011519D"/>
    <w:rsid w:val="0011612B"/>
    <w:rsid w:val="00116403"/>
    <w:rsid w:val="00120B7D"/>
    <w:rsid w:val="00120CE8"/>
    <w:rsid w:val="00121263"/>
    <w:rsid w:val="0012136B"/>
    <w:rsid w:val="001221CC"/>
    <w:rsid w:val="001221D0"/>
    <w:rsid w:val="001226C6"/>
    <w:rsid w:val="00122C20"/>
    <w:rsid w:val="001231A0"/>
    <w:rsid w:val="0012324A"/>
    <w:rsid w:val="0012348C"/>
    <w:rsid w:val="00123587"/>
    <w:rsid w:val="00123CE6"/>
    <w:rsid w:val="00123DAB"/>
    <w:rsid w:val="001242E4"/>
    <w:rsid w:val="001244B0"/>
    <w:rsid w:val="001246F4"/>
    <w:rsid w:val="001253C0"/>
    <w:rsid w:val="00125BFC"/>
    <w:rsid w:val="00126350"/>
    <w:rsid w:val="00126EB1"/>
    <w:rsid w:val="0012783A"/>
    <w:rsid w:val="00127E06"/>
    <w:rsid w:val="001300BB"/>
    <w:rsid w:val="001302C9"/>
    <w:rsid w:val="00130805"/>
    <w:rsid w:val="001312C2"/>
    <w:rsid w:val="0013140B"/>
    <w:rsid w:val="001318C9"/>
    <w:rsid w:val="00131DCE"/>
    <w:rsid w:val="00132A31"/>
    <w:rsid w:val="00132C53"/>
    <w:rsid w:val="00132F0A"/>
    <w:rsid w:val="00135E1D"/>
    <w:rsid w:val="00136F32"/>
    <w:rsid w:val="00140BFC"/>
    <w:rsid w:val="00141123"/>
    <w:rsid w:val="00141D0C"/>
    <w:rsid w:val="00142029"/>
    <w:rsid w:val="0014279D"/>
    <w:rsid w:val="001428FC"/>
    <w:rsid w:val="00144AE7"/>
    <w:rsid w:val="001455E1"/>
    <w:rsid w:val="00145688"/>
    <w:rsid w:val="0014582F"/>
    <w:rsid w:val="00145DF2"/>
    <w:rsid w:val="001467A5"/>
    <w:rsid w:val="00146CBA"/>
    <w:rsid w:val="00146F71"/>
    <w:rsid w:val="001471DD"/>
    <w:rsid w:val="0014753B"/>
    <w:rsid w:val="00150054"/>
    <w:rsid w:val="00150241"/>
    <w:rsid w:val="00150972"/>
    <w:rsid w:val="00150B15"/>
    <w:rsid w:val="00150FD7"/>
    <w:rsid w:val="00151687"/>
    <w:rsid w:val="001517BF"/>
    <w:rsid w:val="00152197"/>
    <w:rsid w:val="001527B0"/>
    <w:rsid w:val="0015438D"/>
    <w:rsid w:val="00156395"/>
    <w:rsid w:val="0016006B"/>
    <w:rsid w:val="00160591"/>
    <w:rsid w:val="00160F30"/>
    <w:rsid w:val="00162B74"/>
    <w:rsid w:val="00164167"/>
    <w:rsid w:val="00164825"/>
    <w:rsid w:val="00164B4C"/>
    <w:rsid w:val="0016541A"/>
    <w:rsid w:val="00165658"/>
    <w:rsid w:val="001658FE"/>
    <w:rsid w:val="00165A1C"/>
    <w:rsid w:val="00166AA2"/>
    <w:rsid w:val="00166B07"/>
    <w:rsid w:val="00167D25"/>
    <w:rsid w:val="001704F8"/>
    <w:rsid w:val="00170DFC"/>
    <w:rsid w:val="0017166E"/>
    <w:rsid w:val="00171682"/>
    <w:rsid w:val="00171875"/>
    <w:rsid w:val="001738F6"/>
    <w:rsid w:val="00173C50"/>
    <w:rsid w:val="001745FF"/>
    <w:rsid w:val="0017535E"/>
    <w:rsid w:val="00176A8F"/>
    <w:rsid w:val="00177848"/>
    <w:rsid w:val="00177A33"/>
    <w:rsid w:val="00177FCD"/>
    <w:rsid w:val="00180265"/>
    <w:rsid w:val="0018071B"/>
    <w:rsid w:val="00180BF3"/>
    <w:rsid w:val="00181AA7"/>
    <w:rsid w:val="00182719"/>
    <w:rsid w:val="0018454C"/>
    <w:rsid w:val="0018512E"/>
    <w:rsid w:val="001851F0"/>
    <w:rsid w:val="001852A7"/>
    <w:rsid w:val="0018599C"/>
    <w:rsid w:val="00185AB9"/>
    <w:rsid w:val="00186D58"/>
    <w:rsid w:val="00186F6E"/>
    <w:rsid w:val="00190C94"/>
    <w:rsid w:val="0019122E"/>
    <w:rsid w:val="00191B9B"/>
    <w:rsid w:val="00191BB8"/>
    <w:rsid w:val="001938D3"/>
    <w:rsid w:val="001952F9"/>
    <w:rsid w:val="00195F1D"/>
    <w:rsid w:val="001968B9"/>
    <w:rsid w:val="001971C7"/>
    <w:rsid w:val="00197264"/>
    <w:rsid w:val="001973DF"/>
    <w:rsid w:val="001978F4"/>
    <w:rsid w:val="001A02A6"/>
    <w:rsid w:val="001A05EB"/>
    <w:rsid w:val="001A05F5"/>
    <w:rsid w:val="001A0AE5"/>
    <w:rsid w:val="001A146C"/>
    <w:rsid w:val="001A1B94"/>
    <w:rsid w:val="001A201C"/>
    <w:rsid w:val="001A2715"/>
    <w:rsid w:val="001A295D"/>
    <w:rsid w:val="001A2BC9"/>
    <w:rsid w:val="001A2E88"/>
    <w:rsid w:val="001A30AD"/>
    <w:rsid w:val="001A32F9"/>
    <w:rsid w:val="001A3ACA"/>
    <w:rsid w:val="001A4359"/>
    <w:rsid w:val="001A5518"/>
    <w:rsid w:val="001A5752"/>
    <w:rsid w:val="001A5D43"/>
    <w:rsid w:val="001A6659"/>
    <w:rsid w:val="001B0271"/>
    <w:rsid w:val="001B03EF"/>
    <w:rsid w:val="001B0466"/>
    <w:rsid w:val="001B1620"/>
    <w:rsid w:val="001B1963"/>
    <w:rsid w:val="001B1C5D"/>
    <w:rsid w:val="001B1F82"/>
    <w:rsid w:val="001B2DCD"/>
    <w:rsid w:val="001B4048"/>
    <w:rsid w:val="001B4231"/>
    <w:rsid w:val="001B4D66"/>
    <w:rsid w:val="001B5E9D"/>
    <w:rsid w:val="001B67C3"/>
    <w:rsid w:val="001B6F1F"/>
    <w:rsid w:val="001C2DFD"/>
    <w:rsid w:val="001C2E0F"/>
    <w:rsid w:val="001C37CA"/>
    <w:rsid w:val="001C4783"/>
    <w:rsid w:val="001C48B8"/>
    <w:rsid w:val="001C49DC"/>
    <w:rsid w:val="001C4C5E"/>
    <w:rsid w:val="001C4D03"/>
    <w:rsid w:val="001C4D33"/>
    <w:rsid w:val="001C57A6"/>
    <w:rsid w:val="001C60A7"/>
    <w:rsid w:val="001C7339"/>
    <w:rsid w:val="001D0A61"/>
    <w:rsid w:val="001D1413"/>
    <w:rsid w:val="001D1BD4"/>
    <w:rsid w:val="001D1FBD"/>
    <w:rsid w:val="001D2860"/>
    <w:rsid w:val="001D2C6A"/>
    <w:rsid w:val="001D4A6B"/>
    <w:rsid w:val="001D4B18"/>
    <w:rsid w:val="001D5980"/>
    <w:rsid w:val="001D5A6E"/>
    <w:rsid w:val="001D5E7E"/>
    <w:rsid w:val="001D69FE"/>
    <w:rsid w:val="001D746B"/>
    <w:rsid w:val="001E095F"/>
    <w:rsid w:val="001E175E"/>
    <w:rsid w:val="001E2A72"/>
    <w:rsid w:val="001E5B03"/>
    <w:rsid w:val="001E63C6"/>
    <w:rsid w:val="001E6431"/>
    <w:rsid w:val="001E71AE"/>
    <w:rsid w:val="001E777E"/>
    <w:rsid w:val="001E78F9"/>
    <w:rsid w:val="001F062B"/>
    <w:rsid w:val="001F1B0F"/>
    <w:rsid w:val="001F228C"/>
    <w:rsid w:val="001F316E"/>
    <w:rsid w:val="001F3E6B"/>
    <w:rsid w:val="001F458E"/>
    <w:rsid w:val="001F4BEF"/>
    <w:rsid w:val="001F550A"/>
    <w:rsid w:val="001F5E05"/>
    <w:rsid w:val="001F69CE"/>
    <w:rsid w:val="002005DF"/>
    <w:rsid w:val="002005EC"/>
    <w:rsid w:val="00200959"/>
    <w:rsid w:val="00200AE1"/>
    <w:rsid w:val="00200B34"/>
    <w:rsid w:val="00201FBF"/>
    <w:rsid w:val="00203B6E"/>
    <w:rsid w:val="00206195"/>
    <w:rsid w:val="00206F59"/>
    <w:rsid w:val="00207148"/>
    <w:rsid w:val="00210329"/>
    <w:rsid w:val="00210553"/>
    <w:rsid w:val="00210CE1"/>
    <w:rsid w:val="0021240D"/>
    <w:rsid w:val="0021251F"/>
    <w:rsid w:val="00212A2E"/>
    <w:rsid w:val="00213ED5"/>
    <w:rsid w:val="002143FB"/>
    <w:rsid w:val="0021449D"/>
    <w:rsid w:val="0021474B"/>
    <w:rsid w:val="00214D13"/>
    <w:rsid w:val="00214E12"/>
    <w:rsid w:val="00216C19"/>
    <w:rsid w:val="00216E1D"/>
    <w:rsid w:val="00217459"/>
    <w:rsid w:val="0021769A"/>
    <w:rsid w:val="0022190C"/>
    <w:rsid w:val="00222274"/>
    <w:rsid w:val="00222506"/>
    <w:rsid w:val="0022342D"/>
    <w:rsid w:val="00223CF5"/>
    <w:rsid w:val="002242ED"/>
    <w:rsid w:val="00224C67"/>
    <w:rsid w:val="00224EF7"/>
    <w:rsid w:val="00226B97"/>
    <w:rsid w:val="00226DCF"/>
    <w:rsid w:val="00227779"/>
    <w:rsid w:val="00227BDC"/>
    <w:rsid w:val="00231214"/>
    <w:rsid w:val="002327B7"/>
    <w:rsid w:val="002329B3"/>
    <w:rsid w:val="00232B93"/>
    <w:rsid w:val="00232E5F"/>
    <w:rsid w:val="0023333B"/>
    <w:rsid w:val="00234101"/>
    <w:rsid w:val="0023585F"/>
    <w:rsid w:val="002364E0"/>
    <w:rsid w:val="00236E43"/>
    <w:rsid w:val="00237954"/>
    <w:rsid w:val="002409F9"/>
    <w:rsid w:val="00241C82"/>
    <w:rsid w:val="00242B4E"/>
    <w:rsid w:val="00243746"/>
    <w:rsid w:val="00244969"/>
    <w:rsid w:val="00245388"/>
    <w:rsid w:val="0024559C"/>
    <w:rsid w:val="00245748"/>
    <w:rsid w:val="00245C92"/>
    <w:rsid w:val="00245DA7"/>
    <w:rsid w:val="00247816"/>
    <w:rsid w:val="00250BFC"/>
    <w:rsid w:val="00250EEB"/>
    <w:rsid w:val="00251272"/>
    <w:rsid w:val="0025186C"/>
    <w:rsid w:val="00252019"/>
    <w:rsid w:val="00252F78"/>
    <w:rsid w:val="0025336E"/>
    <w:rsid w:val="00253B59"/>
    <w:rsid w:val="002545B4"/>
    <w:rsid w:val="00254C51"/>
    <w:rsid w:val="00255AB7"/>
    <w:rsid w:val="00255E8C"/>
    <w:rsid w:val="0025606F"/>
    <w:rsid w:val="00256652"/>
    <w:rsid w:val="00256DC4"/>
    <w:rsid w:val="00260567"/>
    <w:rsid w:val="00260751"/>
    <w:rsid w:val="00260B9F"/>
    <w:rsid w:val="0026163B"/>
    <w:rsid w:val="002617C1"/>
    <w:rsid w:val="002626D3"/>
    <w:rsid w:val="0026271B"/>
    <w:rsid w:val="002637A9"/>
    <w:rsid w:val="002649AF"/>
    <w:rsid w:val="00264E19"/>
    <w:rsid w:val="00265353"/>
    <w:rsid w:val="00270A59"/>
    <w:rsid w:val="00270C41"/>
    <w:rsid w:val="002715A2"/>
    <w:rsid w:val="00271F38"/>
    <w:rsid w:val="00271F7E"/>
    <w:rsid w:val="00272078"/>
    <w:rsid w:val="00272093"/>
    <w:rsid w:val="002720DC"/>
    <w:rsid w:val="002721D0"/>
    <w:rsid w:val="00274EE3"/>
    <w:rsid w:val="00275C7B"/>
    <w:rsid w:val="00275D51"/>
    <w:rsid w:val="0027678E"/>
    <w:rsid w:val="00276942"/>
    <w:rsid w:val="00277400"/>
    <w:rsid w:val="002778C5"/>
    <w:rsid w:val="00277BCA"/>
    <w:rsid w:val="0028065F"/>
    <w:rsid w:val="00280A43"/>
    <w:rsid w:val="00280B45"/>
    <w:rsid w:val="00281B58"/>
    <w:rsid w:val="00281CF8"/>
    <w:rsid w:val="00281EFF"/>
    <w:rsid w:val="002828CC"/>
    <w:rsid w:val="002839FC"/>
    <w:rsid w:val="00283AC5"/>
    <w:rsid w:val="00283E2C"/>
    <w:rsid w:val="00283E58"/>
    <w:rsid w:val="002840EA"/>
    <w:rsid w:val="0028435D"/>
    <w:rsid w:val="002866F5"/>
    <w:rsid w:val="00286741"/>
    <w:rsid w:val="00287EBC"/>
    <w:rsid w:val="0029068A"/>
    <w:rsid w:val="00290BC6"/>
    <w:rsid w:val="0029158D"/>
    <w:rsid w:val="00291C66"/>
    <w:rsid w:val="00291F1B"/>
    <w:rsid w:val="00292A11"/>
    <w:rsid w:val="00292CFE"/>
    <w:rsid w:val="002938AB"/>
    <w:rsid w:val="002938FB"/>
    <w:rsid w:val="00293C92"/>
    <w:rsid w:val="00293F41"/>
    <w:rsid w:val="002941B0"/>
    <w:rsid w:val="002942A2"/>
    <w:rsid w:val="002944A3"/>
    <w:rsid w:val="00294C0B"/>
    <w:rsid w:val="00294C83"/>
    <w:rsid w:val="002953A0"/>
    <w:rsid w:val="00296754"/>
    <w:rsid w:val="002A0EE2"/>
    <w:rsid w:val="002A1315"/>
    <w:rsid w:val="002A17BF"/>
    <w:rsid w:val="002A1A54"/>
    <w:rsid w:val="002A1E86"/>
    <w:rsid w:val="002A1FDB"/>
    <w:rsid w:val="002A2434"/>
    <w:rsid w:val="002A2D68"/>
    <w:rsid w:val="002A49F7"/>
    <w:rsid w:val="002A6129"/>
    <w:rsid w:val="002A6BDB"/>
    <w:rsid w:val="002A70D0"/>
    <w:rsid w:val="002A7585"/>
    <w:rsid w:val="002B0A55"/>
    <w:rsid w:val="002B0AC0"/>
    <w:rsid w:val="002B1CB4"/>
    <w:rsid w:val="002B1E8E"/>
    <w:rsid w:val="002B27A6"/>
    <w:rsid w:val="002B40C6"/>
    <w:rsid w:val="002B747D"/>
    <w:rsid w:val="002B7689"/>
    <w:rsid w:val="002B7795"/>
    <w:rsid w:val="002C2434"/>
    <w:rsid w:val="002C368D"/>
    <w:rsid w:val="002C42FB"/>
    <w:rsid w:val="002C44DF"/>
    <w:rsid w:val="002C4B5F"/>
    <w:rsid w:val="002C4D26"/>
    <w:rsid w:val="002C590A"/>
    <w:rsid w:val="002C5DBB"/>
    <w:rsid w:val="002C786D"/>
    <w:rsid w:val="002C7A54"/>
    <w:rsid w:val="002C7C23"/>
    <w:rsid w:val="002D004A"/>
    <w:rsid w:val="002D0ECC"/>
    <w:rsid w:val="002D149E"/>
    <w:rsid w:val="002D1657"/>
    <w:rsid w:val="002D18A6"/>
    <w:rsid w:val="002D1DB7"/>
    <w:rsid w:val="002D2B69"/>
    <w:rsid w:val="002D349F"/>
    <w:rsid w:val="002D377D"/>
    <w:rsid w:val="002D3FF6"/>
    <w:rsid w:val="002D4169"/>
    <w:rsid w:val="002D50CA"/>
    <w:rsid w:val="002D522A"/>
    <w:rsid w:val="002D61A1"/>
    <w:rsid w:val="002D63E3"/>
    <w:rsid w:val="002D7880"/>
    <w:rsid w:val="002E02D9"/>
    <w:rsid w:val="002E0FA1"/>
    <w:rsid w:val="002E18D2"/>
    <w:rsid w:val="002E27FF"/>
    <w:rsid w:val="002E2A25"/>
    <w:rsid w:val="002E2FA2"/>
    <w:rsid w:val="002E3206"/>
    <w:rsid w:val="002E3C54"/>
    <w:rsid w:val="002E444B"/>
    <w:rsid w:val="002E570C"/>
    <w:rsid w:val="002E585E"/>
    <w:rsid w:val="002E6010"/>
    <w:rsid w:val="002E6D67"/>
    <w:rsid w:val="002F0AD0"/>
    <w:rsid w:val="002F1E0D"/>
    <w:rsid w:val="002F3DA0"/>
    <w:rsid w:val="002F422C"/>
    <w:rsid w:val="002F43BE"/>
    <w:rsid w:val="002F49FC"/>
    <w:rsid w:val="002F5888"/>
    <w:rsid w:val="002F5BFB"/>
    <w:rsid w:val="002F6123"/>
    <w:rsid w:val="002F6510"/>
    <w:rsid w:val="002F6809"/>
    <w:rsid w:val="002F74F3"/>
    <w:rsid w:val="00300D28"/>
    <w:rsid w:val="00301270"/>
    <w:rsid w:val="00301D7B"/>
    <w:rsid w:val="003023A6"/>
    <w:rsid w:val="00302AB9"/>
    <w:rsid w:val="00302CBB"/>
    <w:rsid w:val="003033B8"/>
    <w:rsid w:val="003037C8"/>
    <w:rsid w:val="00305228"/>
    <w:rsid w:val="003057B0"/>
    <w:rsid w:val="0030657A"/>
    <w:rsid w:val="00306DD6"/>
    <w:rsid w:val="00307CBF"/>
    <w:rsid w:val="00307E39"/>
    <w:rsid w:val="00310938"/>
    <w:rsid w:val="00310BE2"/>
    <w:rsid w:val="00311260"/>
    <w:rsid w:val="00311930"/>
    <w:rsid w:val="00311F84"/>
    <w:rsid w:val="00314E78"/>
    <w:rsid w:val="00315376"/>
    <w:rsid w:val="003161E7"/>
    <w:rsid w:val="003167C6"/>
    <w:rsid w:val="00316E14"/>
    <w:rsid w:val="00317049"/>
    <w:rsid w:val="00317889"/>
    <w:rsid w:val="00317D0D"/>
    <w:rsid w:val="00321226"/>
    <w:rsid w:val="00321249"/>
    <w:rsid w:val="00321950"/>
    <w:rsid w:val="00322256"/>
    <w:rsid w:val="00322E97"/>
    <w:rsid w:val="003238D3"/>
    <w:rsid w:val="00324208"/>
    <w:rsid w:val="003249CE"/>
    <w:rsid w:val="003253BA"/>
    <w:rsid w:val="003264D9"/>
    <w:rsid w:val="00326D0C"/>
    <w:rsid w:val="00327EDF"/>
    <w:rsid w:val="00330545"/>
    <w:rsid w:val="00331B49"/>
    <w:rsid w:val="00332082"/>
    <w:rsid w:val="00332160"/>
    <w:rsid w:val="0033264D"/>
    <w:rsid w:val="003329D3"/>
    <w:rsid w:val="00332DA5"/>
    <w:rsid w:val="00333104"/>
    <w:rsid w:val="003332BF"/>
    <w:rsid w:val="00334C7D"/>
    <w:rsid w:val="00334EE7"/>
    <w:rsid w:val="00335E0C"/>
    <w:rsid w:val="00336B0C"/>
    <w:rsid w:val="00336FBD"/>
    <w:rsid w:val="00340960"/>
    <w:rsid w:val="003427CA"/>
    <w:rsid w:val="00342BA2"/>
    <w:rsid w:val="00342C45"/>
    <w:rsid w:val="00345649"/>
    <w:rsid w:val="00345933"/>
    <w:rsid w:val="003467E3"/>
    <w:rsid w:val="0034794B"/>
    <w:rsid w:val="003502B6"/>
    <w:rsid w:val="003515AA"/>
    <w:rsid w:val="00351E24"/>
    <w:rsid w:val="00351E90"/>
    <w:rsid w:val="0035237B"/>
    <w:rsid w:val="00352981"/>
    <w:rsid w:val="00352E23"/>
    <w:rsid w:val="00354448"/>
    <w:rsid w:val="003547B3"/>
    <w:rsid w:val="00354802"/>
    <w:rsid w:val="003552F9"/>
    <w:rsid w:val="00355884"/>
    <w:rsid w:val="00355B9B"/>
    <w:rsid w:val="00356287"/>
    <w:rsid w:val="003566EA"/>
    <w:rsid w:val="00356C5C"/>
    <w:rsid w:val="00361B2C"/>
    <w:rsid w:val="00362679"/>
    <w:rsid w:val="00363D99"/>
    <w:rsid w:val="00365729"/>
    <w:rsid w:val="003657EA"/>
    <w:rsid w:val="00365885"/>
    <w:rsid w:val="003660C2"/>
    <w:rsid w:val="003662AF"/>
    <w:rsid w:val="00366C46"/>
    <w:rsid w:val="0036732C"/>
    <w:rsid w:val="00367375"/>
    <w:rsid w:val="003676DD"/>
    <w:rsid w:val="00367ED3"/>
    <w:rsid w:val="00370134"/>
    <w:rsid w:val="003707A5"/>
    <w:rsid w:val="00370F3F"/>
    <w:rsid w:val="00371405"/>
    <w:rsid w:val="00372171"/>
    <w:rsid w:val="00372C6A"/>
    <w:rsid w:val="00372DC6"/>
    <w:rsid w:val="00373084"/>
    <w:rsid w:val="00373CA8"/>
    <w:rsid w:val="0037425E"/>
    <w:rsid w:val="0037460A"/>
    <w:rsid w:val="003751B4"/>
    <w:rsid w:val="00375226"/>
    <w:rsid w:val="00375825"/>
    <w:rsid w:val="00375C3C"/>
    <w:rsid w:val="00375CB9"/>
    <w:rsid w:val="00376360"/>
    <w:rsid w:val="0037644C"/>
    <w:rsid w:val="00376633"/>
    <w:rsid w:val="003775B2"/>
    <w:rsid w:val="003775B9"/>
    <w:rsid w:val="0037790C"/>
    <w:rsid w:val="00377C17"/>
    <w:rsid w:val="00380413"/>
    <w:rsid w:val="00380574"/>
    <w:rsid w:val="00380D13"/>
    <w:rsid w:val="00381031"/>
    <w:rsid w:val="003836A0"/>
    <w:rsid w:val="00385132"/>
    <w:rsid w:val="0038594B"/>
    <w:rsid w:val="00385D57"/>
    <w:rsid w:val="00385F70"/>
    <w:rsid w:val="0038634E"/>
    <w:rsid w:val="003869F1"/>
    <w:rsid w:val="00387941"/>
    <w:rsid w:val="00387A00"/>
    <w:rsid w:val="00387B24"/>
    <w:rsid w:val="00387CCC"/>
    <w:rsid w:val="00390FD2"/>
    <w:rsid w:val="00391B4B"/>
    <w:rsid w:val="003921FC"/>
    <w:rsid w:val="00392AB0"/>
    <w:rsid w:val="0039436B"/>
    <w:rsid w:val="003944ED"/>
    <w:rsid w:val="00395630"/>
    <w:rsid w:val="00395CFE"/>
    <w:rsid w:val="00396919"/>
    <w:rsid w:val="003977BD"/>
    <w:rsid w:val="003A0E72"/>
    <w:rsid w:val="003A1928"/>
    <w:rsid w:val="003A1C99"/>
    <w:rsid w:val="003A1D82"/>
    <w:rsid w:val="003A469A"/>
    <w:rsid w:val="003A4A45"/>
    <w:rsid w:val="003A579D"/>
    <w:rsid w:val="003A6028"/>
    <w:rsid w:val="003A6283"/>
    <w:rsid w:val="003A6CFD"/>
    <w:rsid w:val="003B032C"/>
    <w:rsid w:val="003B0AD2"/>
    <w:rsid w:val="003B23E6"/>
    <w:rsid w:val="003B2B1B"/>
    <w:rsid w:val="003B3232"/>
    <w:rsid w:val="003B3487"/>
    <w:rsid w:val="003B428E"/>
    <w:rsid w:val="003B4436"/>
    <w:rsid w:val="003B522D"/>
    <w:rsid w:val="003B5327"/>
    <w:rsid w:val="003B55AC"/>
    <w:rsid w:val="003B5DE2"/>
    <w:rsid w:val="003B620D"/>
    <w:rsid w:val="003B6AF2"/>
    <w:rsid w:val="003B73E7"/>
    <w:rsid w:val="003B7500"/>
    <w:rsid w:val="003C3766"/>
    <w:rsid w:val="003C3802"/>
    <w:rsid w:val="003C408D"/>
    <w:rsid w:val="003C494A"/>
    <w:rsid w:val="003C4CE7"/>
    <w:rsid w:val="003C5B8A"/>
    <w:rsid w:val="003C5C94"/>
    <w:rsid w:val="003C7D99"/>
    <w:rsid w:val="003D0073"/>
    <w:rsid w:val="003D0894"/>
    <w:rsid w:val="003D0992"/>
    <w:rsid w:val="003D3AAE"/>
    <w:rsid w:val="003D3B6C"/>
    <w:rsid w:val="003D472A"/>
    <w:rsid w:val="003D5527"/>
    <w:rsid w:val="003D7427"/>
    <w:rsid w:val="003D7F2F"/>
    <w:rsid w:val="003E0688"/>
    <w:rsid w:val="003E1B52"/>
    <w:rsid w:val="003E2431"/>
    <w:rsid w:val="003E2F57"/>
    <w:rsid w:val="003E3394"/>
    <w:rsid w:val="003E3739"/>
    <w:rsid w:val="003E38CA"/>
    <w:rsid w:val="003E39B5"/>
    <w:rsid w:val="003E3A3E"/>
    <w:rsid w:val="003E47C6"/>
    <w:rsid w:val="003E5733"/>
    <w:rsid w:val="003E5B2A"/>
    <w:rsid w:val="003E60DE"/>
    <w:rsid w:val="003E62F5"/>
    <w:rsid w:val="003E6307"/>
    <w:rsid w:val="003E654E"/>
    <w:rsid w:val="003E6F8C"/>
    <w:rsid w:val="003E7180"/>
    <w:rsid w:val="003E7FD3"/>
    <w:rsid w:val="003F05CC"/>
    <w:rsid w:val="003F0996"/>
    <w:rsid w:val="003F1080"/>
    <w:rsid w:val="003F17D1"/>
    <w:rsid w:val="003F1D48"/>
    <w:rsid w:val="003F2B96"/>
    <w:rsid w:val="003F32D2"/>
    <w:rsid w:val="003F3548"/>
    <w:rsid w:val="003F4969"/>
    <w:rsid w:val="003F4A7D"/>
    <w:rsid w:val="003F5712"/>
    <w:rsid w:val="003F57DF"/>
    <w:rsid w:val="003F5DCE"/>
    <w:rsid w:val="003F6B10"/>
    <w:rsid w:val="003F7D02"/>
    <w:rsid w:val="003F7F82"/>
    <w:rsid w:val="0040155A"/>
    <w:rsid w:val="00403BD3"/>
    <w:rsid w:val="004044EE"/>
    <w:rsid w:val="00405AF0"/>
    <w:rsid w:val="00405F36"/>
    <w:rsid w:val="004074BE"/>
    <w:rsid w:val="00407875"/>
    <w:rsid w:val="00407C51"/>
    <w:rsid w:val="0041005F"/>
    <w:rsid w:val="00410401"/>
    <w:rsid w:val="00411211"/>
    <w:rsid w:val="00411836"/>
    <w:rsid w:val="00411921"/>
    <w:rsid w:val="00411C5B"/>
    <w:rsid w:val="00411D07"/>
    <w:rsid w:val="0041231F"/>
    <w:rsid w:val="00412922"/>
    <w:rsid w:val="0041398A"/>
    <w:rsid w:val="00413E67"/>
    <w:rsid w:val="00414FC5"/>
    <w:rsid w:val="0041575F"/>
    <w:rsid w:val="00416214"/>
    <w:rsid w:val="0041631F"/>
    <w:rsid w:val="00417C7C"/>
    <w:rsid w:val="00420159"/>
    <w:rsid w:val="00420963"/>
    <w:rsid w:val="00420D7D"/>
    <w:rsid w:val="004214F8"/>
    <w:rsid w:val="00421C29"/>
    <w:rsid w:val="00422623"/>
    <w:rsid w:val="0042273F"/>
    <w:rsid w:val="00422C11"/>
    <w:rsid w:val="0042464A"/>
    <w:rsid w:val="004248D1"/>
    <w:rsid w:val="00424B18"/>
    <w:rsid w:val="00424EA8"/>
    <w:rsid w:val="0042554E"/>
    <w:rsid w:val="00426939"/>
    <w:rsid w:val="00427E8E"/>
    <w:rsid w:val="00430D48"/>
    <w:rsid w:val="00431684"/>
    <w:rsid w:val="0043209F"/>
    <w:rsid w:val="00432FCB"/>
    <w:rsid w:val="00433363"/>
    <w:rsid w:val="00433551"/>
    <w:rsid w:val="00433F0C"/>
    <w:rsid w:val="00434745"/>
    <w:rsid w:val="004361BE"/>
    <w:rsid w:val="0043654C"/>
    <w:rsid w:val="0043710D"/>
    <w:rsid w:val="0044001D"/>
    <w:rsid w:val="00441CB5"/>
    <w:rsid w:val="00442533"/>
    <w:rsid w:val="004426D7"/>
    <w:rsid w:val="00442938"/>
    <w:rsid w:val="00444BDC"/>
    <w:rsid w:val="00444EBB"/>
    <w:rsid w:val="00445B88"/>
    <w:rsid w:val="00445FEA"/>
    <w:rsid w:val="004462BA"/>
    <w:rsid w:val="00446F95"/>
    <w:rsid w:val="0044725B"/>
    <w:rsid w:val="004502F8"/>
    <w:rsid w:val="00450FD9"/>
    <w:rsid w:val="004522B9"/>
    <w:rsid w:val="0045255F"/>
    <w:rsid w:val="004526DF"/>
    <w:rsid w:val="00455BC0"/>
    <w:rsid w:val="00456520"/>
    <w:rsid w:val="00456DA9"/>
    <w:rsid w:val="00457317"/>
    <w:rsid w:val="00457A4D"/>
    <w:rsid w:val="00457F5C"/>
    <w:rsid w:val="004617DA"/>
    <w:rsid w:val="00464475"/>
    <w:rsid w:val="00464777"/>
    <w:rsid w:val="00464A7D"/>
    <w:rsid w:val="0046511F"/>
    <w:rsid w:val="004652AC"/>
    <w:rsid w:val="00465F40"/>
    <w:rsid w:val="00466F68"/>
    <w:rsid w:val="004678A6"/>
    <w:rsid w:val="00467ED1"/>
    <w:rsid w:val="00470A28"/>
    <w:rsid w:val="004719A2"/>
    <w:rsid w:val="004733AA"/>
    <w:rsid w:val="004736B2"/>
    <w:rsid w:val="00473DB1"/>
    <w:rsid w:val="00473DF2"/>
    <w:rsid w:val="00474F7C"/>
    <w:rsid w:val="004753F0"/>
    <w:rsid w:val="00477896"/>
    <w:rsid w:val="00481B8B"/>
    <w:rsid w:val="00481BED"/>
    <w:rsid w:val="0048280E"/>
    <w:rsid w:val="00483029"/>
    <w:rsid w:val="004833C8"/>
    <w:rsid w:val="0048350C"/>
    <w:rsid w:val="00483D74"/>
    <w:rsid w:val="00483E71"/>
    <w:rsid w:val="00484D02"/>
    <w:rsid w:val="004863E6"/>
    <w:rsid w:val="00486685"/>
    <w:rsid w:val="00490761"/>
    <w:rsid w:val="0049147E"/>
    <w:rsid w:val="004917DC"/>
    <w:rsid w:val="00491DC6"/>
    <w:rsid w:val="0049239D"/>
    <w:rsid w:val="00493524"/>
    <w:rsid w:val="00493C08"/>
    <w:rsid w:val="00493F60"/>
    <w:rsid w:val="004956A5"/>
    <w:rsid w:val="00495719"/>
    <w:rsid w:val="0049576C"/>
    <w:rsid w:val="00495920"/>
    <w:rsid w:val="004959AA"/>
    <w:rsid w:val="00495B93"/>
    <w:rsid w:val="004977FF"/>
    <w:rsid w:val="00497FE0"/>
    <w:rsid w:val="004A0E28"/>
    <w:rsid w:val="004A15A7"/>
    <w:rsid w:val="004A1607"/>
    <w:rsid w:val="004A168C"/>
    <w:rsid w:val="004A39E7"/>
    <w:rsid w:val="004A3B72"/>
    <w:rsid w:val="004A64B6"/>
    <w:rsid w:val="004A6D57"/>
    <w:rsid w:val="004A7494"/>
    <w:rsid w:val="004A7A7D"/>
    <w:rsid w:val="004A7C11"/>
    <w:rsid w:val="004A7CBF"/>
    <w:rsid w:val="004B0174"/>
    <w:rsid w:val="004B10C0"/>
    <w:rsid w:val="004B136B"/>
    <w:rsid w:val="004B1A37"/>
    <w:rsid w:val="004B2323"/>
    <w:rsid w:val="004B2EFD"/>
    <w:rsid w:val="004B382C"/>
    <w:rsid w:val="004B39CD"/>
    <w:rsid w:val="004B3EA0"/>
    <w:rsid w:val="004B448A"/>
    <w:rsid w:val="004B45CA"/>
    <w:rsid w:val="004B4E75"/>
    <w:rsid w:val="004B57C8"/>
    <w:rsid w:val="004B71C0"/>
    <w:rsid w:val="004C0240"/>
    <w:rsid w:val="004C067A"/>
    <w:rsid w:val="004C1153"/>
    <w:rsid w:val="004C2E5B"/>
    <w:rsid w:val="004C37A5"/>
    <w:rsid w:val="004C3D63"/>
    <w:rsid w:val="004C48BE"/>
    <w:rsid w:val="004C49C8"/>
    <w:rsid w:val="004C49FD"/>
    <w:rsid w:val="004C4CF1"/>
    <w:rsid w:val="004C4E78"/>
    <w:rsid w:val="004C4F16"/>
    <w:rsid w:val="004C5C6E"/>
    <w:rsid w:val="004C610A"/>
    <w:rsid w:val="004C6913"/>
    <w:rsid w:val="004C784D"/>
    <w:rsid w:val="004D0077"/>
    <w:rsid w:val="004D0F92"/>
    <w:rsid w:val="004D1811"/>
    <w:rsid w:val="004D183E"/>
    <w:rsid w:val="004D1AF2"/>
    <w:rsid w:val="004D31E6"/>
    <w:rsid w:val="004D36A8"/>
    <w:rsid w:val="004D5877"/>
    <w:rsid w:val="004D7F25"/>
    <w:rsid w:val="004E05E7"/>
    <w:rsid w:val="004E0B96"/>
    <w:rsid w:val="004E2955"/>
    <w:rsid w:val="004E2B18"/>
    <w:rsid w:val="004E2BE1"/>
    <w:rsid w:val="004E33E0"/>
    <w:rsid w:val="004E42D2"/>
    <w:rsid w:val="004E4729"/>
    <w:rsid w:val="004E518F"/>
    <w:rsid w:val="004E59C1"/>
    <w:rsid w:val="004E6778"/>
    <w:rsid w:val="004E6AFD"/>
    <w:rsid w:val="004E7922"/>
    <w:rsid w:val="004E7C28"/>
    <w:rsid w:val="004F07C5"/>
    <w:rsid w:val="004F1F76"/>
    <w:rsid w:val="004F1FC8"/>
    <w:rsid w:val="004F26AB"/>
    <w:rsid w:val="004F2720"/>
    <w:rsid w:val="004F3F78"/>
    <w:rsid w:val="004F493A"/>
    <w:rsid w:val="004F6954"/>
    <w:rsid w:val="004F6F17"/>
    <w:rsid w:val="004F75BB"/>
    <w:rsid w:val="004F7840"/>
    <w:rsid w:val="005005DA"/>
    <w:rsid w:val="00500666"/>
    <w:rsid w:val="005006B6"/>
    <w:rsid w:val="005014FD"/>
    <w:rsid w:val="005016DA"/>
    <w:rsid w:val="00503181"/>
    <w:rsid w:val="005036E6"/>
    <w:rsid w:val="0050448D"/>
    <w:rsid w:val="0050485E"/>
    <w:rsid w:val="00505583"/>
    <w:rsid w:val="00505904"/>
    <w:rsid w:val="00505F46"/>
    <w:rsid w:val="005067EE"/>
    <w:rsid w:val="00506B50"/>
    <w:rsid w:val="00506B9E"/>
    <w:rsid w:val="00506DFE"/>
    <w:rsid w:val="00507ED5"/>
    <w:rsid w:val="00512289"/>
    <w:rsid w:val="005123B0"/>
    <w:rsid w:val="00512798"/>
    <w:rsid w:val="005128AD"/>
    <w:rsid w:val="00512AAE"/>
    <w:rsid w:val="005131D4"/>
    <w:rsid w:val="005132FC"/>
    <w:rsid w:val="0051370C"/>
    <w:rsid w:val="00513A57"/>
    <w:rsid w:val="00514874"/>
    <w:rsid w:val="00514981"/>
    <w:rsid w:val="00514DEB"/>
    <w:rsid w:val="00515BCF"/>
    <w:rsid w:val="00516AB4"/>
    <w:rsid w:val="00516B8E"/>
    <w:rsid w:val="005176D2"/>
    <w:rsid w:val="00520F7D"/>
    <w:rsid w:val="0052181C"/>
    <w:rsid w:val="00521C0D"/>
    <w:rsid w:val="00521EE7"/>
    <w:rsid w:val="00522356"/>
    <w:rsid w:val="00522A82"/>
    <w:rsid w:val="00523102"/>
    <w:rsid w:val="005249B8"/>
    <w:rsid w:val="005257FC"/>
    <w:rsid w:val="00525998"/>
    <w:rsid w:val="00526A1C"/>
    <w:rsid w:val="005278A9"/>
    <w:rsid w:val="00527C8E"/>
    <w:rsid w:val="005309C8"/>
    <w:rsid w:val="00530AFD"/>
    <w:rsid w:val="00530DEF"/>
    <w:rsid w:val="00530FCA"/>
    <w:rsid w:val="0053292C"/>
    <w:rsid w:val="00533781"/>
    <w:rsid w:val="00537BFE"/>
    <w:rsid w:val="00537C09"/>
    <w:rsid w:val="00540454"/>
    <w:rsid w:val="00540D4D"/>
    <w:rsid w:val="00541F0E"/>
    <w:rsid w:val="00543E82"/>
    <w:rsid w:val="00544025"/>
    <w:rsid w:val="00545796"/>
    <w:rsid w:val="00550211"/>
    <w:rsid w:val="0055025B"/>
    <w:rsid w:val="00550865"/>
    <w:rsid w:val="00550893"/>
    <w:rsid w:val="00550958"/>
    <w:rsid w:val="00550BE5"/>
    <w:rsid w:val="005515DF"/>
    <w:rsid w:val="0055219C"/>
    <w:rsid w:val="005521EF"/>
    <w:rsid w:val="00553228"/>
    <w:rsid w:val="005543A5"/>
    <w:rsid w:val="005550E1"/>
    <w:rsid w:val="00555684"/>
    <w:rsid w:val="00555D40"/>
    <w:rsid w:val="005561E4"/>
    <w:rsid w:val="00556302"/>
    <w:rsid w:val="005566E5"/>
    <w:rsid w:val="00557B72"/>
    <w:rsid w:val="00560BD6"/>
    <w:rsid w:val="00560E4D"/>
    <w:rsid w:val="00561362"/>
    <w:rsid w:val="00561388"/>
    <w:rsid w:val="0056153C"/>
    <w:rsid w:val="005629F2"/>
    <w:rsid w:val="00562AD3"/>
    <w:rsid w:val="00564F05"/>
    <w:rsid w:val="0056688C"/>
    <w:rsid w:val="00566E71"/>
    <w:rsid w:val="005676FE"/>
    <w:rsid w:val="00567DC0"/>
    <w:rsid w:val="0057033F"/>
    <w:rsid w:val="00570839"/>
    <w:rsid w:val="005708BF"/>
    <w:rsid w:val="005712D3"/>
    <w:rsid w:val="00571330"/>
    <w:rsid w:val="00571D8D"/>
    <w:rsid w:val="00575ABC"/>
    <w:rsid w:val="0057649B"/>
    <w:rsid w:val="0057658C"/>
    <w:rsid w:val="00576C80"/>
    <w:rsid w:val="005770E4"/>
    <w:rsid w:val="00577689"/>
    <w:rsid w:val="0057786B"/>
    <w:rsid w:val="00577DB4"/>
    <w:rsid w:val="005807A1"/>
    <w:rsid w:val="00580BB1"/>
    <w:rsid w:val="00581041"/>
    <w:rsid w:val="00581094"/>
    <w:rsid w:val="005814F6"/>
    <w:rsid w:val="00581644"/>
    <w:rsid w:val="00581B7D"/>
    <w:rsid w:val="00581D49"/>
    <w:rsid w:val="005820B3"/>
    <w:rsid w:val="00582F55"/>
    <w:rsid w:val="005831BD"/>
    <w:rsid w:val="0058406F"/>
    <w:rsid w:val="005851D9"/>
    <w:rsid w:val="00585BED"/>
    <w:rsid w:val="0058617E"/>
    <w:rsid w:val="00586E78"/>
    <w:rsid w:val="00586F92"/>
    <w:rsid w:val="00586FA3"/>
    <w:rsid w:val="00587715"/>
    <w:rsid w:val="0058783F"/>
    <w:rsid w:val="00590A8B"/>
    <w:rsid w:val="00591BE6"/>
    <w:rsid w:val="00593339"/>
    <w:rsid w:val="0059334E"/>
    <w:rsid w:val="00593436"/>
    <w:rsid w:val="005938BD"/>
    <w:rsid w:val="00596366"/>
    <w:rsid w:val="00596BFD"/>
    <w:rsid w:val="0059707C"/>
    <w:rsid w:val="005974D8"/>
    <w:rsid w:val="00597CC3"/>
    <w:rsid w:val="005A0D55"/>
    <w:rsid w:val="005A1328"/>
    <w:rsid w:val="005A1C43"/>
    <w:rsid w:val="005A28A4"/>
    <w:rsid w:val="005A2E17"/>
    <w:rsid w:val="005A30CA"/>
    <w:rsid w:val="005A317D"/>
    <w:rsid w:val="005A3B76"/>
    <w:rsid w:val="005A537D"/>
    <w:rsid w:val="005A53BB"/>
    <w:rsid w:val="005A5466"/>
    <w:rsid w:val="005A5834"/>
    <w:rsid w:val="005A596B"/>
    <w:rsid w:val="005A5FBC"/>
    <w:rsid w:val="005A73B6"/>
    <w:rsid w:val="005A7B16"/>
    <w:rsid w:val="005B02C2"/>
    <w:rsid w:val="005B0F64"/>
    <w:rsid w:val="005B178C"/>
    <w:rsid w:val="005B1AF7"/>
    <w:rsid w:val="005B32D8"/>
    <w:rsid w:val="005B4F68"/>
    <w:rsid w:val="005B7A1D"/>
    <w:rsid w:val="005C0B28"/>
    <w:rsid w:val="005C2D27"/>
    <w:rsid w:val="005C362F"/>
    <w:rsid w:val="005C42AC"/>
    <w:rsid w:val="005C4C79"/>
    <w:rsid w:val="005C50AA"/>
    <w:rsid w:val="005C5183"/>
    <w:rsid w:val="005C51A0"/>
    <w:rsid w:val="005C53A5"/>
    <w:rsid w:val="005C5B44"/>
    <w:rsid w:val="005C61C6"/>
    <w:rsid w:val="005D00C5"/>
    <w:rsid w:val="005D0379"/>
    <w:rsid w:val="005D050A"/>
    <w:rsid w:val="005D081F"/>
    <w:rsid w:val="005D0B02"/>
    <w:rsid w:val="005D1703"/>
    <w:rsid w:val="005D1A8F"/>
    <w:rsid w:val="005D2165"/>
    <w:rsid w:val="005D2EF8"/>
    <w:rsid w:val="005D303A"/>
    <w:rsid w:val="005D3834"/>
    <w:rsid w:val="005D3FA6"/>
    <w:rsid w:val="005D5530"/>
    <w:rsid w:val="005D5AC6"/>
    <w:rsid w:val="005D5CA4"/>
    <w:rsid w:val="005D753C"/>
    <w:rsid w:val="005D7629"/>
    <w:rsid w:val="005D7E43"/>
    <w:rsid w:val="005E0032"/>
    <w:rsid w:val="005E01E5"/>
    <w:rsid w:val="005E040E"/>
    <w:rsid w:val="005E0580"/>
    <w:rsid w:val="005E08C1"/>
    <w:rsid w:val="005E12CC"/>
    <w:rsid w:val="005E1A1A"/>
    <w:rsid w:val="005E2CF5"/>
    <w:rsid w:val="005E3356"/>
    <w:rsid w:val="005E3640"/>
    <w:rsid w:val="005E37ED"/>
    <w:rsid w:val="005E5601"/>
    <w:rsid w:val="005E5947"/>
    <w:rsid w:val="005E5DA0"/>
    <w:rsid w:val="005E7265"/>
    <w:rsid w:val="005F1422"/>
    <w:rsid w:val="005F1F80"/>
    <w:rsid w:val="005F273A"/>
    <w:rsid w:val="005F29A7"/>
    <w:rsid w:val="005F474C"/>
    <w:rsid w:val="005F4FDD"/>
    <w:rsid w:val="005F553A"/>
    <w:rsid w:val="005F6C3A"/>
    <w:rsid w:val="005F6F94"/>
    <w:rsid w:val="005F6FA6"/>
    <w:rsid w:val="00600329"/>
    <w:rsid w:val="006008E8"/>
    <w:rsid w:val="00601F0D"/>
    <w:rsid w:val="00602408"/>
    <w:rsid w:val="00602CDA"/>
    <w:rsid w:val="00602FB4"/>
    <w:rsid w:val="00602FD9"/>
    <w:rsid w:val="006047C5"/>
    <w:rsid w:val="00605E8A"/>
    <w:rsid w:val="00606429"/>
    <w:rsid w:val="00606D13"/>
    <w:rsid w:val="00607958"/>
    <w:rsid w:val="006115D3"/>
    <w:rsid w:val="006115F3"/>
    <w:rsid w:val="00611E42"/>
    <w:rsid w:val="006120B9"/>
    <w:rsid w:val="00613438"/>
    <w:rsid w:val="0061388F"/>
    <w:rsid w:val="0061442A"/>
    <w:rsid w:val="00614601"/>
    <w:rsid w:val="0061465D"/>
    <w:rsid w:val="006146D5"/>
    <w:rsid w:val="0061524E"/>
    <w:rsid w:val="00616D2A"/>
    <w:rsid w:val="00617345"/>
    <w:rsid w:val="00617AD1"/>
    <w:rsid w:val="00622EE5"/>
    <w:rsid w:val="00624023"/>
    <w:rsid w:val="00626C7A"/>
    <w:rsid w:val="00627341"/>
    <w:rsid w:val="00630432"/>
    <w:rsid w:val="00630DE1"/>
    <w:rsid w:val="006310AC"/>
    <w:rsid w:val="0063129C"/>
    <w:rsid w:val="00631CE8"/>
    <w:rsid w:val="00632223"/>
    <w:rsid w:val="00632278"/>
    <w:rsid w:val="006343AA"/>
    <w:rsid w:val="00634A19"/>
    <w:rsid w:val="00635353"/>
    <w:rsid w:val="00635445"/>
    <w:rsid w:val="00635AB7"/>
    <w:rsid w:val="006361A0"/>
    <w:rsid w:val="00636F4D"/>
    <w:rsid w:val="00637B31"/>
    <w:rsid w:val="00641613"/>
    <w:rsid w:val="00641B91"/>
    <w:rsid w:val="00641F0B"/>
    <w:rsid w:val="00642610"/>
    <w:rsid w:val="006426D0"/>
    <w:rsid w:val="006430A1"/>
    <w:rsid w:val="00643720"/>
    <w:rsid w:val="006446CB"/>
    <w:rsid w:val="00644D97"/>
    <w:rsid w:val="0064546D"/>
    <w:rsid w:val="00646A5A"/>
    <w:rsid w:val="00647223"/>
    <w:rsid w:val="006473C0"/>
    <w:rsid w:val="006476C7"/>
    <w:rsid w:val="00647937"/>
    <w:rsid w:val="006526E8"/>
    <w:rsid w:val="0065272C"/>
    <w:rsid w:val="00652C3D"/>
    <w:rsid w:val="00653E8B"/>
    <w:rsid w:val="00654665"/>
    <w:rsid w:val="00654A73"/>
    <w:rsid w:val="00655D95"/>
    <w:rsid w:val="006573AB"/>
    <w:rsid w:val="0066012A"/>
    <w:rsid w:val="00660C26"/>
    <w:rsid w:val="00660D9D"/>
    <w:rsid w:val="00662A04"/>
    <w:rsid w:val="0066354F"/>
    <w:rsid w:val="00663BF5"/>
    <w:rsid w:val="006651A1"/>
    <w:rsid w:val="0066594C"/>
    <w:rsid w:val="00665A19"/>
    <w:rsid w:val="006667F4"/>
    <w:rsid w:val="0066744A"/>
    <w:rsid w:val="0066766E"/>
    <w:rsid w:val="00667C10"/>
    <w:rsid w:val="006706EC"/>
    <w:rsid w:val="00670810"/>
    <w:rsid w:val="00670CF4"/>
    <w:rsid w:val="006711AA"/>
    <w:rsid w:val="00671997"/>
    <w:rsid w:val="00671A6E"/>
    <w:rsid w:val="006733E5"/>
    <w:rsid w:val="00673ABF"/>
    <w:rsid w:val="00673CB0"/>
    <w:rsid w:val="00673F4D"/>
    <w:rsid w:val="00674FE0"/>
    <w:rsid w:val="00675EC3"/>
    <w:rsid w:val="006765D4"/>
    <w:rsid w:val="006766CE"/>
    <w:rsid w:val="00676844"/>
    <w:rsid w:val="00676CF4"/>
    <w:rsid w:val="00676D4C"/>
    <w:rsid w:val="006774FD"/>
    <w:rsid w:val="00680760"/>
    <w:rsid w:val="00680E5C"/>
    <w:rsid w:val="00681A6E"/>
    <w:rsid w:val="00681CBB"/>
    <w:rsid w:val="00681EB4"/>
    <w:rsid w:val="00683FD5"/>
    <w:rsid w:val="00684619"/>
    <w:rsid w:val="00684672"/>
    <w:rsid w:val="00684CED"/>
    <w:rsid w:val="00686335"/>
    <w:rsid w:val="00690829"/>
    <w:rsid w:val="006909E8"/>
    <w:rsid w:val="00690D78"/>
    <w:rsid w:val="00692A43"/>
    <w:rsid w:val="00693C56"/>
    <w:rsid w:val="00693DC4"/>
    <w:rsid w:val="00694911"/>
    <w:rsid w:val="00694B98"/>
    <w:rsid w:val="00696F8C"/>
    <w:rsid w:val="006A0092"/>
    <w:rsid w:val="006A1D62"/>
    <w:rsid w:val="006A223D"/>
    <w:rsid w:val="006A23B4"/>
    <w:rsid w:val="006A3608"/>
    <w:rsid w:val="006A36BD"/>
    <w:rsid w:val="006A3A27"/>
    <w:rsid w:val="006A3F75"/>
    <w:rsid w:val="006A433E"/>
    <w:rsid w:val="006A4417"/>
    <w:rsid w:val="006A4A8F"/>
    <w:rsid w:val="006A4B12"/>
    <w:rsid w:val="006A4CFC"/>
    <w:rsid w:val="006A5470"/>
    <w:rsid w:val="006A560C"/>
    <w:rsid w:val="006A58D7"/>
    <w:rsid w:val="006A591A"/>
    <w:rsid w:val="006A6C08"/>
    <w:rsid w:val="006A6C63"/>
    <w:rsid w:val="006A6D9B"/>
    <w:rsid w:val="006B0B68"/>
    <w:rsid w:val="006B0DF0"/>
    <w:rsid w:val="006B0EF6"/>
    <w:rsid w:val="006B1581"/>
    <w:rsid w:val="006B1FC2"/>
    <w:rsid w:val="006B27A5"/>
    <w:rsid w:val="006B35D3"/>
    <w:rsid w:val="006B36CA"/>
    <w:rsid w:val="006B3E86"/>
    <w:rsid w:val="006B4CB7"/>
    <w:rsid w:val="006B52D9"/>
    <w:rsid w:val="006B5B85"/>
    <w:rsid w:val="006B5CEE"/>
    <w:rsid w:val="006B6A9E"/>
    <w:rsid w:val="006B7282"/>
    <w:rsid w:val="006B74BB"/>
    <w:rsid w:val="006B7995"/>
    <w:rsid w:val="006B7A57"/>
    <w:rsid w:val="006C02DC"/>
    <w:rsid w:val="006C098E"/>
    <w:rsid w:val="006C0B05"/>
    <w:rsid w:val="006C137A"/>
    <w:rsid w:val="006C1388"/>
    <w:rsid w:val="006C1CDE"/>
    <w:rsid w:val="006C24E3"/>
    <w:rsid w:val="006C3DBE"/>
    <w:rsid w:val="006C4899"/>
    <w:rsid w:val="006C5C80"/>
    <w:rsid w:val="006C60A8"/>
    <w:rsid w:val="006C704C"/>
    <w:rsid w:val="006C7554"/>
    <w:rsid w:val="006D040E"/>
    <w:rsid w:val="006D08CB"/>
    <w:rsid w:val="006D136E"/>
    <w:rsid w:val="006D18AE"/>
    <w:rsid w:val="006D26FA"/>
    <w:rsid w:val="006D288B"/>
    <w:rsid w:val="006D385F"/>
    <w:rsid w:val="006D388E"/>
    <w:rsid w:val="006D390E"/>
    <w:rsid w:val="006D3A75"/>
    <w:rsid w:val="006D5687"/>
    <w:rsid w:val="006D586E"/>
    <w:rsid w:val="006D6932"/>
    <w:rsid w:val="006D798E"/>
    <w:rsid w:val="006D7D32"/>
    <w:rsid w:val="006E0729"/>
    <w:rsid w:val="006E184B"/>
    <w:rsid w:val="006E1B25"/>
    <w:rsid w:val="006E29E3"/>
    <w:rsid w:val="006E39C8"/>
    <w:rsid w:val="006E3A22"/>
    <w:rsid w:val="006E3EB9"/>
    <w:rsid w:val="006E4091"/>
    <w:rsid w:val="006E42C7"/>
    <w:rsid w:val="006E4A41"/>
    <w:rsid w:val="006E5124"/>
    <w:rsid w:val="006E5C7F"/>
    <w:rsid w:val="006E72D4"/>
    <w:rsid w:val="006F011F"/>
    <w:rsid w:val="006F0740"/>
    <w:rsid w:val="006F0B3A"/>
    <w:rsid w:val="006F0D1B"/>
    <w:rsid w:val="006F0DA3"/>
    <w:rsid w:val="006F0FD4"/>
    <w:rsid w:val="006F17D3"/>
    <w:rsid w:val="006F1F90"/>
    <w:rsid w:val="006F2065"/>
    <w:rsid w:val="006F2F76"/>
    <w:rsid w:val="006F3232"/>
    <w:rsid w:val="006F3B0E"/>
    <w:rsid w:val="006F4CDC"/>
    <w:rsid w:val="006F5BA4"/>
    <w:rsid w:val="006F7B4A"/>
    <w:rsid w:val="00700FAE"/>
    <w:rsid w:val="00701066"/>
    <w:rsid w:val="00701509"/>
    <w:rsid w:val="00701856"/>
    <w:rsid w:val="00701F2B"/>
    <w:rsid w:val="007029EA"/>
    <w:rsid w:val="0070364F"/>
    <w:rsid w:val="0070372C"/>
    <w:rsid w:val="007043BE"/>
    <w:rsid w:val="00704E20"/>
    <w:rsid w:val="007050A5"/>
    <w:rsid w:val="007050AA"/>
    <w:rsid w:val="00705A93"/>
    <w:rsid w:val="00705F49"/>
    <w:rsid w:val="0071015B"/>
    <w:rsid w:val="00710E58"/>
    <w:rsid w:val="0071126B"/>
    <w:rsid w:val="007114FA"/>
    <w:rsid w:val="007115B3"/>
    <w:rsid w:val="00711A35"/>
    <w:rsid w:val="00711B22"/>
    <w:rsid w:val="00711CCF"/>
    <w:rsid w:val="00711E1A"/>
    <w:rsid w:val="00711F14"/>
    <w:rsid w:val="00712124"/>
    <w:rsid w:val="007121AE"/>
    <w:rsid w:val="0071242B"/>
    <w:rsid w:val="00712B15"/>
    <w:rsid w:val="00713739"/>
    <w:rsid w:val="007149E1"/>
    <w:rsid w:val="00714A28"/>
    <w:rsid w:val="00715317"/>
    <w:rsid w:val="00716F0D"/>
    <w:rsid w:val="0072170D"/>
    <w:rsid w:val="007240C6"/>
    <w:rsid w:val="007243D5"/>
    <w:rsid w:val="00724A76"/>
    <w:rsid w:val="00724C83"/>
    <w:rsid w:val="00724D02"/>
    <w:rsid w:val="00727378"/>
    <w:rsid w:val="00727FB0"/>
    <w:rsid w:val="0073017A"/>
    <w:rsid w:val="00731D4F"/>
    <w:rsid w:val="0073312B"/>
    <w:rsid w:val="0073317E"/>
    <w:rsid w:val="0073475F"/>
    <w:rsid w:val="00734A93"/>
    <w:rsid w:val="00735346"/>
    <w:rsid w:val="00735A5E"/>
    <w:rsid w:val="00736773"/>
    <w:rsid w:val="00736E2E"/>
    <w:rsid w:val="00737294"/>
    <w:rsid w:val="00737861"/>
    <w:rsid w:val="0074005B"/>
    <w:rsid w:val="0074030F"/>
    <w:rsid w:val="00745121"/>
    <w:rsid w:val="007454D1"/>
    <w:rsid w:val="00745624"/>
    <w:rsid w:val="007456F4"/>
    <w:rsid w:val="007456FC"/>
    <w:rsid w:val="00745CC0"/>
    <w:rsid w:val="007509CD"/>
    <w:rsid w:val="00750D73"/>
    <w:rsid w:val="00751ADB"/>
    <w:rsid w:val="0075274B"/>
    <w:rsid w:val="00752751"/>
    <w:rsid w:val="00753078"/>
    <w:rsid w:val="007550AC"/>
    <w:rsid w:val="00755303"/>
    <w:rsid w:val="00756254"/>
    <w:rsid w:val="00756880"/>
    <w:rsid w:val="00757593"/>
    <w:rsid w:val="00760942"/>
    <w:rsid w:val="00760C0D"/>
    <w:rsid w:val="00761E4E"/>
    <w:rsid w:val="00761EF8"/>
    <w:rsid w:val="007623FF"/>
    <w:rsid w:val="007638C0"/>
    <w:rsid w:val="00764006"/>
    <w:rsid w:val="00764FE6"/>
    <w:rsid w:val="00765028"/>
    <w:rsid w:val="00765748"/>
    <w:rsid w:val="007665B3"/>
    <w:rsid w:val="0076720E"/>
    <w:rsid w:val="007675C1"/>
    <w:rsid w:val="0076787D"/>
    <w:rsid w:val="00767A62"/>
    <w:rsid w:val="007700E0"/>
    <w:rsid w:val="00770116"/>
    <w:rsid w:val="00770CE5"/>
    <w:rsid w:val="00772A4E"/>
    <w:rsid w:val="00772F43"/>
    <w:rsid w:val="0077334C"/>
    <w:rsid w:val="00773BFF"/>
    <w:rsid w:val="00773C54"/>
    <w:rsid w:val="007742FC"/>
    <w:rsid w:val="007748C4"/>
    <w:rsid w:val="00775223"/>
    <w:rsid w:val="0077544B"/>
    <w:rsid w:val="00775576"/>
    <w:rsid w:val="00776234"/>
    <w:rsid w:val="00777259"/>
    <w:rsid w:val="00777700"/>
    <w:rsid w:val="007777A8"/>
    <w:rsid w:val="00777955"/>
    <w:rsid w:val="00777BA1"/>
    <w:rsid w:val="00777E57"/>
    <w:rsid w:val="00777F72"/>
    <w:rsid w:val="00780473"/>
    <w:rsid w:val="00780EA6"/>
    <w:rsid w:val="00780EEB"/>
    <w:rsid w:val="0078195F"/>
    <w:rsid w:val="0078273E"/>
    <w:rsid w:val="00782C4C"/>
    <w:rsid w:val="00782C8C"/>
    <w:rsid w:val="00783B71"/>
    <w:rsid w:val="0078717E"/>
    <w:rsid w:val="00787EAD"/>
    <w:rsid w:val="0079006A"/>
    <w:rsid w:val="0079067E"/>
    <w:rsid w:val="00790A64"/>
    <w:rsid w:val="00791D0D"/>
    <w:rsid w:val="00792F7D"/>
    <w:rsid w:val="00793F41"/>
    <w:rsid w:val="007941B7"/>
    <w:rsid w:val="00794C16"/>
    <w:rsid w:val="007951A2"/>
    <w:rsid w:val="007953CE"/>
    <w:rsid w:val="0079553A"/>
    <w:rsid w:val="0079563D"/>
    <w:rsid w:val="007961AD"/>
    <w:rsid w:val="00797BA0"/>
    <w:rsid w:val="00797C89"/>
    <w:rsid w:val="00797D85"/>
    <w:rsid w:val="007A0427"/>
    <w:rsid w:val="007A0AE4"/>
    <w:rsid w:val="007A0C05"/>
    <w:rsid w:val="007A150C"/>
    <w:rsid w:val="007A1A0A"/>
    <w:rsid w:val="007A21AF"/>
    <w:rsid w:val="007A2B86"/>
    <w:rsid w:val="007A35D0"/>
    <w:rsid w:val="007A3BD1"/>
    <w:rsid w:val="007A4B9A"/>
    <w:rsid w:val="007A4E19"/>
    <w:rsid w:val="007A5755"/>
    <w:rsid w:val="007A6716"/>
    <w:rsid w:val="007A6F11"/>
    <w:rsid w:val="007A74DD"/>
    <w:rsid w:val="007A7904"/>
    <w:rsid w:val="007B0A03"/>
    <w:rsid w:val="007B0BF7"/>
    <w:rsid w:val="007B1A4A"/>
    <w:rsid w:val="007B2B5D"/>
    <w:rsid w:val="007B331B"/>
    <w:rsid w:val="007B3697"/>
    <w:rsid w:val="007B37FC"/>
    <w:rsid w:val="007B4132"/>
    <w:rsid w:val="007B561C"/>
    <w:rsid w:val="007B6363"/>
    <w:rsid w:val="007B6A42"/>
    <w:rsid w:val="007B6CA4"/>
    <w:rsid w:val="007B7228"/>
    <w:rsid w:val="007C0EB6"/>
    <w:rsid w:val="007C1180"/>
    <w:rsid w:val="007C12A0"/>
    <w:rsid w:val="007C1598"/>
    <w:rsid w:val="007C2AB2"/>
    <w:rsid w:val="007C2E87"/>
    <w:rsid w:val="007C3EC3"/>
    <w:rsid w:val="007C440B"/>
    <w:rsid w:val="007C4467"/>
    <w:rsid w:val="007C5953"/>
    <w:rsid w:val="007C599E"/>
    <w:rsid w:val="007C6227"/>
    <w:rsid w:val="007C7101"/>
    <w:rsid w:val="007C7B89"/>
    <w:rsid w:val="007D1076"/>
    <w:rsid w:val="007D1A16"/>
    <w:rsid w:val="007D1E8A"/>
    <w:rsid w:val="007D3603"/>
    <w:rsid w:val="007D3A78"/>
    <w:rsid w:val="007D4311"/>
    <w:rsid w:val="007D4FA7"/>
    <w:rsid w:val="007D580E"/>
    <w:rsid w:val="007D5C26"/>
    <w:rsid w:val="007D5F0D"/>
    <w:rsid w:val="007D61EB"/>
    <w:rsid w:val="007D7BDD"/>
    <w:rsid w:val="007E01D2"/>
    <w:rsid w:val="007E099F"/>
    <w:rsid w:val="007E0D53"/>
    <w:rsid w:val="007E10A2"/>
    <w:rsid w:val="007E19A1"/>
    <w:rsid w:val="007E235C"/>
    <w:rsid w:val="007E394B"/>
    <w:rsid w:val="007E3C38"/>
    <w:rsid w:val="007E40A7"/>
    <w:rsid w:val="007E4651"/>
    <w:rsid w:val="007E4D6B"/>
    <w:rsid w:val="007E5469"/>
    <w:rsid w:val="007E576B"/>
    <w:rsid w:val="007E5871"/>
    <w:rsid w:val="007E6336"/>
    <w:rsid w:val="007E7598"/>
    <w:rsid w:val="007E7CBC"/>
    <w:rsid w:val="007F07A4"/>
    <w:rsid w:val="007F081C"/>
    <w:rsid w:val="007F2AFF"/>
    <w:rsid w:val="007F2CA5"/>
    <w:rsid w:val="007F2F5C"/>
    <w:rsid w:val="007F3434"/>
    <w:rsid w:val="007F3838"/>
    <w:rsid w:val="007F3BCA"/>
    <w:rsid w:val="007F4915"/>
    <w:rsid w:val="007F4EED"/>
    <w:rsid w:val="007F77F1"/>
    <w:rsid w:val="007F7D1C"/>
    <w:rsid w:val="0080017E"/>
    <w:rsid w:val="00802318"/>
    <w:rsid w:val="008026DA"/>
    <w:rsid w:val="0080271A"/>
    <w:rsid w:val="00802AE9"/>
    <w:rsid w:val="00804095"/>
    <w:rsid w:val="0080458C"/>
    <w:rsid w:val="0080498F"/>
    <w:rsid w:val="00804D01"/>
    <w:rsid w:val="00804DED"/>
    <w:rsid w:val="00807CA0"/>
    <w:rsid w:val="00807FAE"/>
    <w:rsid w:val="008100DE"/>
    <w:rsid w:val="008103D7"/>
    <w:rsid w:val="008110D7"/>
    <w:rsid w:val="008114F2"/>
    <w:rsid w:val="008120DD"/>
    <w:rsid w:val="008128E8"/>
    <w:rsid w:val="00812A5F"/>
    <w:rsid w:val="00813683"/>
    <w:rsid w:val="008149D1"/>
    <w:rsid w:val="008156DC"/>
    <w:rsid w:val="0081608A"/>
    <w:rsid w:val="0081622E"/>
    <w:rsid w:val="00816A7A"/>
    <w:rsid w:val="0081779A"/>
    <w:rsid w:val="00817A32"/>
    <w:rsid w:val="00820A10"/>
    <w:rsid w:val="00821826"/>
    <w:rsid w:val="00822FD6"/>
    <w:rsid w:val="008244F3"/>
    <w:rsid w:val="008247A2"/>
    <w:rsid w:val="00825A8A"/>
    <w:rsid w:val="00825D81"/>
    <w:rsid w:val="0082606E"/>
    <w:rsid w:val="0082761D"/>
    <w:rsid w:val="00827BDE"/>
    <w:rsid w:val="00827FCB"/>
    <w:rsid w:val="00827FDA"/>
    <w:rsid w:val="0083017D"/>
    <w:rsid w:val="00830A4C"/>
    <w:rsid w:val="008313DF"/>
    <w:rsid w:val="00831CD2"/>
    <w:rsid w:val="00831D37"/>
    <w:rsid w:val="00833664"/>
    <w:rsid w:val="0083484A"/>
    <w:rsid w:val="00834C08"/>
    <w:rsid w:val="00834F1E"/>
    <w:rsid w:val="008361CD"/>
    <w:rsid w:val="00836B3A"/>
    <w:rsid w:val="00841396"/>
    <w:rsid w:val="008414DA"/>
    <w:rsid w:val="0084343D"/>
    <w:rsid w:val="00843AA8"/>
    <w:rsid w:val="00843F57"/>
    <w:rsid w:val="00844025"/>
    <w:rsid w:val="00846448"/>
    <w:rsid w:val="00846DCF"/>
    <w:rsid w:val="008477F2"/>
    <w:rsid w:val="00852A28"/>
    <w:rsid w:val="00852FB0"/>
    <w:rsid w:val="008531DB"/>
    <w:rsid w:val="00853416"/>
    <w:rsid w:val="00854B79"/>
    <w:rsid w:val="008555E4"/>
    <w:rsid w:val="008556F2"/>
    <w:rsid w:val="00855F04"/>
    <w:rsid w:val="0085732E"/>
    <w:rsid w:val="00857DFD"/>
    <w:rsid w:val="00860101"/>
    <w:rsid w:val="00860BAF"/>
    <w:rsid w:val="00861960"/>
    <w:rsid w:val="00862C9B"/>
    <w:rsid w:val="00863203"/>
    <w:rsid w:val="00863386"/>
    <w:rsid w:val="008634E8"/>
    <w:rsid w:val="00864352"/>
    <w:rsid w:val="00865643"/>
    <w:rsid w:val="008665A2"/>
    <w:rsid w:val="008670A5"/>
    <w:rsid w:val="00870192"/>
    <w:rsid w:val="008702FD"/>
    <w:rsid w:val="008716A2"/>
    <w:rsid w:val="00871C59"/>
    <w:rsid w:val="00873A6F"/>
    <w:rsid w:val="00874A73"/>
    <w:rsid w:val="00874BAF"/>
    <w:rsid w:val="00875EE6"/>
    <w:rsid w:val="00875F81"/>
    <w:rsid w:val="00875FA0"/>
    <w:rsid w:val="008761BD"/>
    <w:rsid w:val="0087663C"/>
    <w:rsid w:val="00877102"/>
    <w:rsid w:val="0087795F"/>
    <w:rsid w:val="00880173"/>
    <w:rsid w:val="00880256"/>
    <w:rsid w:val="00880BC9"/>
    <w:rsid w:val="0088323F"/>
    <w:rsid w:val="00883717"/>
    <w:rsid w:val="008842E7"/>
    <w:rsid w:val="00884659"/>
    <w:rsid w:val="008846D9"/>
    <w:rsid w:val="00884D88"/>
    <w:rsid w:val="00886B77"/>
    <w:rsid w:val="00886BB4"/>
    <w:rsid w:val="008874B5"/>
    <w:rsid w:val="00887689"/>
    <w:rsid w:val="00887E88"/>
    <w:rsid w:val="00890880"/>
    <w:rsid w:val="008917E4"/>
    <w:rsid w:val="008918BE"/>
    <w:rsid w:val="00891991"/>
    <w:rsid w:val="00891B4A"/>
    <w:rsid w:val="00891E47"/>
    <w:rsid w:val="00892292"/>
    <w:rsid w:val="008923B0"/>
    <w:rsid w:val="008929D3"/>
    <w:rsid w:val="008941BB"/>
    <w:rsid w:val="0089459B"/>
    <w:rsid w:val="008946A2"/>
    <w:rsid w:val="00894C29"/>
    <w:rsid w:val="00894D08"/>
    <w:rsid w:val="00894E70"/>
    <w:rsid w:val="008958C9"/>
    <w:rsid w:val="008958F3"/>
    <w:rsid w:val="00897570"/>
    <w:rsid w:val="008977FC"/>
    <w:rsid w:val="00897FF3"/>
    <w:rsid w:val="008A1494"/>
    <w:rsid w:val="008A249C"/>
    <w:rsid w:val="008A2858"/>
    <w:rsid w:val="008A2974"/>
    <w:rsid w:val="008A2A08"/>
    <w:rsid w:val="008A2F07"/>
    <w:rsid w:val="008A3212"/>
    <w:rsid w:val="008A3839"/>
    <w:rsid w:val="008A45E4"/>
    <w:rsid w:val="008A517F"/>
    <w:rsid w:val="008A5320"/>
    <w:rsid w:val="008A6E42"/>
    <w:rsid w:val="008A7E4C"/>
    <w:rsid w:val="008B1DEC"/>
    <w:rsid w:val="008B2093"/>
    <w:rsid w:val="008B2280"/>
    <w:rsid w:val="008B24DC"/>
    <w:rsid w:val="008B2AB7"/>
    <w:rsid w:val="008B3E33"/>
    <w:rsid w:val="008B40BA"/>
    <w:rsid w:val="008B4A7E"/>
    <w:rsid w:val="008B4E23"/>
    <w:rsid w:val="008B610D"/>
    <w:rsid w:val="008B7A2F"/>
    <w:rsid w:val="008C030C"/>
    <w:rsid w:val="008C07AA"/>
    <w:rsid w:val="008C1305"/>
    <w:rsid w:val="008C1D3A"/>
    <w:rsid w:val="008C284A"/>
    <w:rsid w:val="008C3599"/>
    <w:rsid w:val="008C380E"/>
    <w:rsid w:val="008C43C9"/>
    <w:rsid w:val="008C452E"/>
    <w:rsid w:val="008C4867"/>
    <w:rsid w:val="008C60D3"/>
    <w:rsid w:val="008C66D3"/>
    <w:rsid w:val="008C6B70"/>
    <w:rsid w:val="008C6BB3"/>
    <w:rsid w:val="008C6E36"/>
    <w:rsid w:val="008D0C96"/>
    <w:rsid w:val="008D1355"/>
    <w:rsid w:val="008D140E"/>
    <w:rsid w:val="008D14F4"/>
    <w:rsid w:val="008D15C3"/>
    <w:rsid w:val="008D1E79"/>
    <w:rsid w:val="008D2E84"/>
    <w:rsid w:val="008D457C"/>
    <w:rsid w:val="008D4C43"/>
    <w:rsid w:val="008D53AE"/>
    <w:rsid w:val="008D5AE6"/>
    <w:rsid w:val="008D6275"/>
    <w:rsid w:val="008D74FB"/>
    <w:rsid w:val="008D751E"/>
    <w:rsid w:val="008D78D9"/>
    <w:rsid w:val="008D7B5B"/>
    <w:rsid w:val="008E0B89"/>
    <w:rsid w:val="008E0D89"/>
    <w:rsid w:val="008E15BF"/>
    <w:rsid w:val="008E20A3"/>
    <w:rsid w:val="008E2A6E"/>
    <w:rsid w:val="008E34F9"/>
    <w:rsid w:val="008E3D64"/>
    <w:rsid w:val="008E47B4"/>
    <w:rsid w:val="008E5BD9"/>
    <w:rsid w:val="008E5D89"/>
    <w:rsid w:val="008E68D0"/>
    <w:rsid w:val="008E70F2"/>
    <w:rsid w:val="008E73D1"/>
    <w:rsid w:val="008E7BFF"/>
    <w:rsid w:val="008E7FE8"/>
    <w:rsid w:val="008F0EE0"/>
    <w:rsid w:val="008F10C7"/>
    <w:rsid w:val="008F153D"/>
    <w:rsid w:val="008F3A0B"/>
    <w:rsid w:val="008F3C0F"/>
    <w:rsid w:val="008F405F"/>
    <w:rsid w:val="008F4290"/>
    <w:rsid w:val="008F4AF8"/>
    <w:rsid w:val="008F4F56"/>
    <w:rsid w:val="008F578F"/>
    <w:rsid w:val="008F5897"/>
    <w:rsid w:val="008F6671"/>
    <w:rsid w:val="008F6941"/>
    <w:rsid w:val="008F721D"/>
    <w:rsid w:val="008F7380"/>
    <w:rsid w:val="008F7459"/>
    <w:rsid w:val="008F7AE8"/>
    <w:rsid w:val="008F7B03"/>
    <w:rsid w:val="00901A8D"/>
    <w:rsid w:val="009025C6"/>
    <w:rsid w:val="00902901"/>
    <w:rsid w:val="00903404"/>
    <w:rsid w:val="0090369A"/>
    <w:rsid w:val="00903777"/>
    <w:rsid w:val="00903950"/>
    <w:rsid w:val="00903A50"/>
    <w:rsid w:val="00904205"/>
    <w:rsid w:val="009044B2"/>
    <w:rsid w:val="009055C2"/>
    <w:rsid w:val="00905710"/>
    <w:rsid w:val="00905F5B"/>
    <w:rsid w:val="009064C8"/>
    <w:rsid w:val="00906586"/>
    <w:rsid w:val="0090751D"/>
    <w:rsid w:val="00910C7C"/>
    <w:rsid w:val="00910E23"/>
    <w:rsid w:val="009113C9"/>
    <w:rsid w:val="0091284C"/>
    <w:rsid w:val="00912D35"/>
    <w:rsid w:val="00913916"/>
    <w:rsid w:val="00913A67"/>
    <w:rsid w:val="00913D77"/>
    <w:rsid w:val="0091444C"/>
    <w:rsid w:val="00914663"/>
    <w:rsid w:val="009147DD"/>
    <w:rsid w:val="009155D8"/>
    <w:rsid w:val="0091691B"/>
    <w:rsid w:val="00916EB5"/>
    <w:rsid w:val="00916ED1"/>
    <w:rsid w:val="0091767C"/>
    <w:rsid w:val="009201A4"/>
    <w:rsid w:val="00920468"/>
    <w:rsid w:val="00920E0F"/>
    <w:rsid w:val="00921390"/>
    <w:rsid w:val="00921DDD"/>
    <w:rsid w:val="00922861"/>
    <w:rsid w:val="0092286A"/>
    <w:rsid w:val="00922E3D"/>
    <w:rsid w:val="00923680"/>
    <w:rsid w:val="0092421B"/>
    <w:rsid w:val="00924527"/>
    <w:rsid w:val="00926D93"/>
    <w:rsid w:val="009304AF"/>
    <w:rsid w:val="009305F6"/>
    <w:rsid w:val="00930BB6"/>
    <w:rsid w:val="009315F8"/>
    <w:rsid w:val="009326B4"/>
    <w:rsid w:val="00933270"/>
    <w:rsid w:val="009333D7"/>
    <w:rsid w:val="00934061"/>
    <w:rsid w:val="009342F8"/>
    <w:rsid w:val="00934768"/>
    <w:rsid w:val="00934999"/>
    <w:rsid w:val="00934FEC"/>
    <w:rsid w:val="009352AF"/>
    <w:rsid w:val="009354B6"/>
    <w:rsid w:val="009354D0"/>
    <w:rsid w:val="00936086"/>
    <w:rsid w:val="00936AC1"/>
    <w:rsid w:val="00937B82"/>
    <w:rsid w:val="00937D1C"/>
    <w:rsid w:val="00937F79"/>
    <w:rsid w:val="0094033B"/>
    <w:rsid w:val="009416F2"/>
    <w:rsid w:val="00941FE8"/>
    <w:rsid w:val="00943E7A"/>
    <w:rsid w:val="00945A4C"/>
    <w:rsid w:val="009469D2"/>
    <w:rsid w:val="00946E17"/>
    <w:rsid w:val="0094779A"/>
    <w:rsid w:val="00947BD9"/>
    <w:rsid w:val="00947E76"/>
    <w:rsid w:val="009506FD"/>
    <w:rsid w:val="0095106B"/>
    <w:rsid w:val="00951150"/>
    <w:rsid w:val="009515C2"/>
    <w:rsid w:val="00952348"/>
    <w:rsid w:val="0095242B"/>
    <w:rsid w:val="00952A36"/>
    <w:rsid w:val="00953250"/>
    <w:rsid w:val="009534FD"/>
    <w:rsid w:val="0095374C"/>
    <w:rsid w:val="00953DFD"/>
    <w:rsid w:val="0095438B"/>
    <w:rsid w:val="009545C4"/>
    <w:rsid w:val="00954696"/>
    <w:rsid w:val="009556F3"/>
    <w:rsid w:val="00955FE0"/>
    <w:rsid w:val="00956C54"/>
    <w:rsid w:val="00957715"/>
    <w:rsid w:val="009607FD"/>
    <w:rsid w:val="009613B7"/>
    <w:rsid w:val="0096156D"/>
    <w:rsid w:val="00961B08"/>
    <w:rsid w:val="0096327A"/>
    <w:rsid w:val="00963586"/>
    <w:rsid w:val="00964EDB"/>
    <w:rsid w:val="00965DC1"/>
    <w:rsid w:val="00965FE5"/>
    <w:rsid w:val="009668A8"/>
    <w:rsid w:val="009669CE"/>
    <w:rsid w:val="00966C8E"/>
    <w:rsid w:val="00967DAF"/>
    <w:rsid w:val="00967EF3"/>
    <w:rsid w:val="00971702"/>
    <w:rsid w:val="00971C38"/>
    <w:rsid w:val="00971E45"/>
    <w:rsid w:val="0097202F"/>
    <w:rsid w:val="00972070"/>
    <w:rsid w:val="009728A6"/>
    <w:rsid w:val="009737BD"/>
    <w:rsid w:val="00973CF2"/>
    <w:rsid w:val="00973F58"/>
    <w:rsid w:val="009741E1"/>
    <w:rsid w:val="00975751"/>
    <w:rsid w:val="00976837"/>
    <w:rsid w:val="00976F0D"/>
    <w:rsid w:val="00977196"/>
    <w:rsid w:val="00977243"/>
    <w:rsid w:val="0097740F"/>
    <w:rsid w:val="009776A6"/>
    <w:rsid w:val="009776DC"/>
    <w:rsid w:val="009803E7"/>
    <w:rsid w:val="00980FDE"/>
    <w:rsid w:val="00981BA3"/>
    <w:rsid w:val="009824D1"/>
    <w:rsid w:val="009834AC"/>
    <w:rsid w:val="009836B0"/>
    <w:rsid w:val="00983A8F"/>
    <w:rsid w:val="0098480E"/>
    <w:rsid w:val="0098483F"/>
    <w:rsid w:val="0098528D"/>
    <w:rsid w:val="009863FC"/>
    <w:rsid w:val="00986817"/>
    <w:rsid w:val="00986971"/>
    <w:rsid w:val="00987BB4"/>
    <w:rsid w:val="009907F0"/>
    <w:rsid w:val="009912F6"/>
    <w:rsid w:val="00991702"/>
    <w:rsid w:val="009917A8"/>
    <w:rsid w:val="0099259F"/>
    <w:rsid w:val="0099278C"/>
    <w:rsid w:val="00994A72"/>
    <w:rsid w:val="009961FE"/>
    <w:rsid w:val="009A0006"/>
    <w:rsid w:val="009A0BB9"/>
    <w:rsid w:val="009A0E44"/>
    <w:rsid w:val="009A11A2"/>
    <w:rsid w:val="009A2F53"/>
    <w:rsid w:val="009A3583"/>
    <w:rsid w:val="009A3C04"/>
    <w:rsid w:val="009A4E35"/>
    <w:rsid w:val="009A5A07"/>
    <w:rsid w:val="009A5DC5"/>
    <w:rsid w:val="009A6243"/>
    <w:rsid w:val="009A69F3"/>
    <w:rsid w:val="009A7276"/>
    <w:rsid w:val="009A7D62"/>
    <w:rsid w:val="009B06F3"/>
    <w:rsid w:val="009B0F8D"/>
    <w:rsid w:val="009B385E"/>
    <w:rsid w:val="009B4DBB"/>
    <w:rsid w:val="009B5453"/>
    <w:rsid w:val="009B6414"/>
    <w:rsid w:val="009B6F11"/>
    <w:rsid w:val="009B7801"/>
    <w:rsid w:val="009B7DAF"/>
    <w:rsid w:val="009C155A"/>
    <w:rsid w:val="009C1BB1"/>
    <w:rsid w:val="009C213C"/>
    <w:rsid w:val="009C22E3"/>
    <w:rsid w:val="009C2943"/>
    <w:rsid w:val="009C2B80"/>
    <w:rsid w:val="009C2F22"/>
    <w:rsid w:val="009C4708"/>
    <w:rsid w:val="009C4CDB"/>
    <w:rsid w:val="009C4F0B"/>
    <w:rsid w:val="009C6640"/>
    <w:rsid w:val="009C68FF"/>
    <w:rsid w:val="009C6C3E"/>
    <w:rsid w:val="009C6F82"/>
    <w:rsid w:val="009D0FF6"/>
    <w:rsid w:val="009D1C09"/>
    <w:rsid w:val="009D205C"/>
    <w:rsid w:val="009D2412"/>
    <w:rsid w:val="009D26A7"/>
    <w:rsid w:val="009D2842"/>
    <w:rsid w:val="009D2DD1"/>
    <w:rsid w:val="009D4B61"/>
    <w:rsid w:val="009D5EC5"/>
    <w:rsid w:val="009D5F48"/>
    <w:rsid w:val="009D61DD"/>
    <w:rsid w:val="009D62D2"/>
    <w:rsid w:val="009D6BC4"/>
    <w:rsid w:val="009D6C9D"/>
    <w:rsid w:val="009D79F7"/>
    <w:rsid w:val="009D7A3A"/>
    <w:rsid w:val="009D7D65"/>
    <w:rsid w:val="009E0496"/>
    <w:rsid w:val="009E0901"/>
    <w:rsid w:val="009E0AC5"/>
    <w:rsid w:val="009E0BA5"/>
    <w:rsid w:val="009E0BBC"/>
    <w:rsid w:val="009E0E27"/>
    <w:rsid w:val="009E171A"/>
    <w:rsid w:val="009E198E"/>
    <w:rsid w:val="009E201A"/>
    <w:rsid w:val="009E37CE"/>
    <w:rsid w:val="009E3931"/>
    <w:rsid w:val="009E39EB"/>
    <w:rsid w:val="009E3E9D"/>
    <w:rsid w:val="009E454D"/>
    <w:rsid w:val="009E5378"/>
    <w:rsid w:val="009E59D4"/>
    <w:rsid w:val="009F0A99"/>
    <w:rsid w:val="009F0E13"/>
    <w:rsid w:val="009F1776"/>
    <w:rsid w:val="009F1C3D"/>
    <w:rsid w:val="009F3E42"/>
    <w:rsid w:val="009F3E4E"/>
    <w:rsid w:val="009F430F"/>
    <w:rsid w:val="009F620D"/>
    <w:rsid w:val="009F69AB"/>
    <w:rsid w:val="009F6B3D"/>
    <w:rsid w:val="00A00943"/>
    <w:rsid w:val="00A024DB"/>
    <w:rsid w:val="00A02F6E"/>
    <w:rsid w:val="00A034E6"/>
    <w:rsid w:val="00A03F1A"/>
    <w:rsid w:val="00A04023"/>
    <w:rsid w:val="00A0436D"/>
    <w:rsid w:val="00A04678"/>
    <w:rsid w:val="00A04B6E"/>
    <w:rsid w:val="00A0588F"/>
    <w:rsid w:val="00A0625F"/>
    <w:rsid w:val="00A06C8F"/>
    <w:rsid w:val="00A07226"/>
    <w:rsid w:val="00A072EA"/>
    <w:rsid w:val="00A07A22"/>
    <w:rsid w:val="00A07C41"/>
    <w:rsid w:val="00A1075F"/>
    <w:rsid w:val="00A10794"/>
    <w:rsid w:val="00A1123E"/>
    <w:rsid w:val="00A11AA7"/>
    <w:rsid w:val="00A122D2"/>
    <w:rsid w:val="00A124D6"/>
    <w:rsid w:val="00A126D6"/>
    <w:rsid w:val="00A12B8B"/>
    <w:rsid w:val="00A1331C"/>
    <w:rsid w:val="00A136BF"/>
    <w:rsid w:val="00A14C34"/>
    <w:rsid w:val="00A15D78"/>
    <w:rsid w:val="00A161BF"/>
    <w:rsid w:val="00A1772A"/>
    <w:rsid w:val="00A214DF"/>
    <w:rsid w:val="00A22A4B"/>
    <w:rsid w:val="00A24EA5"/>
    <w:rsid w:val="00A24EB3"/>
    <w:rsid w:val="00A267BD"/>
    <w:rsid w:val="00A27BF0"/>
    <w:rsid w:val="00A307F9"/>
    <w:rsid w:val="00A315CB"/>
    <w:rsid w:val="00A32587"/>
    <w:rsid w:val="00A32C6A"/>
    <w:rsid w:val="00A3302F"/>
    <w:rsid w:val="00A33804"/>
    <w:rsid w:val="00A33BC9"/>
    <w:rsid w:val="00A35BED"/>
    <w:rsid w:val="00A35F7A"/>
    <w:rsid w:val="00A36101"/>
    <w:rsid w:val="00A36538"/>
    <w:rsid w:val="00A36CFB"/>
    <w:rsid w:val="00A40B26"/>
    <w:rsid w:val="00A40EA5"/>
    <w:rsid w:val="00A41F51"/>
    <w:rsid w:val="00A421EF"/>
    <w:rsid w:val="00A425B0"/>
    <w:rsid w:val="00A425B2"/>
    <w:rsid w:val="00A42C21"/>
    <w:rsid w:val="00A42E91"/>
    <w:rsid w:val="00A43AE9"/>
    <w:rsid w:val="00A44010"/>
    <w:rsid w:val="00A474F9"/>
    <w:rsid w:val="00A50CDF"/>
    <w:rsid w:val="00A50DAD"/>
    <w:rsid w:val="00A513E5"/>
    <w:rsid w:val="00A51869"/>
    <w:rsid w:val="00A51FA7"/>
    <w:rsid w:val="00A52091"/>
    <w:rsid w:val="00A527BE"/>
    <w:rsid w:val="00A53AA9"/>
    <w:rsid w:val="00A53AE4"/>
    <w:rsid w:val="00A53B3D"/>
    <w:rsid w:val="00A54214"/>
    <w:rsid w:val="00A54F10"/>
    <w:rsid w:val="00A5537C"/>
    <w:rsid w:val="00A560B4"/>
    <w:rsid w:val="00A57420"/>
    <w:rsid w:val="00A57936"/>
    <w:rsid w:val="00A57B4D"/>
    <w:rsid w:val="00A57D42"/>
    <w:rsid w:val="00A602B8"/>
    <w:rsid w:val="00A602F1"/>
    <w:rsid w:val="00A607C6"/>
    <w:rsid w:val="00A60F0D"/>
    <w:rsid w:val="00A61E5D"/>
    <w:rsid w:val="00A623EA"/>
    <w:rsid w:val="00A6481A"/>
    <w:rsid w:val="00A649E9"/>
    <w:rsid w:val="00A64B61"/>
    <w:rsid w:val="00A65594"/>
    <w:rsid w:val="00A6590F"/>
    <w:rsid w:val="00A66878"/>
    <w:rsid w:val="00A66957"/>
    <w:rsid w:val="00A66BD9"/>
    <w:rsid w:val="00A67AA6"/>
    <w:rsid w:val="00A67F51"/>
    <w:rsid w:val="00A67FA0"/>
    <w:rsid w:val="00A70307"/>
    <w:rsid w:val="00A70843"/>
    <w:rsid w:val="00A7257B"/>
    <w:rsid w:val="00A728DB"/>
    <w:rsid w:val="00A72936"/>
    <w:rsid w:val="00A72DF5"/>
    <w:rsid w:val="00A7315E"/>
    <w:rsid w:val="00A74484"/>
    <w:rsid w:val="00A747A5"/>
    <w:rsid w:val="00A74EC2"/>
    <w:rsid w:val="00A7597E"/>
    <w:rsid w:val="00A75A0C"/>
    <w:rsid w:val="00A75AD7"/>
    <w:rsid w:val="00A75E5E"/>
    <w:rsid w:val="00A76DAA"/>
    <w:rsid w:val="00A770B2"/>
    <w:rsid w:val="00A7773B"/>
    <w:rsid w:val="00A77846"/>
    <w:rsid w:val="00A77A4F"/>
    <w:rsid w:val="00A8020F"/>
    <w:rsid w:val="00A80850"/>
    <w:rsid w:val="00A822B8"/>
    <w:rsid w:val="00A84A70"/>
    <w:rsid w:val="00A85215"/>
    <w:rsid w:val="00A8583D"/>
    <w:rsid w:val="00A858E9"/>
    <w:rsid w:val="00A85A35"/>
    <w:rsid w:val="00A8659A"/>
    <w:rsid w:val="00A86BEC"/>
    <w:rsid w:val="00A87806"/>
    <w:rsid w:val="00A90C9C"/>
    <w:rsid w:val="00A914C6"/>
    <w:rsid w:val="00A91BA2"/>
    <w:rsid w:val="00A925CA"/>
    <w:rsid w:val="00A92673"/>
    <w:rsid w:val="00A93B7E"/>
    <w:rsid w:val="00A95E03"/>
    <w:rsid w:val="00A978D8"/>
    <w:rsid w:val="00A97C06"/>
    <w:rsid w:val="00AA1D0A"/>
    <w:rsid w:val="00AA2B56"/>
    <w:rsid w:val="00AA3948"/>
    <w:rsid w:val="00AA40B9"/>
    <w:rsid w:val="00AA490E"/>
    <w:rsid w:val="00AA49F7"/>
    <w:rsid w:val="00AA4AA7"/>
    <w:rsid w:val="00AA56CF"/>
    <w:rsid w:val="00AA5A1A"/>
    <w:rsid w:val="00AA60AE"/>
    <w:rsid w:val="00AA657E"/>
    <w:rsid w:val="00AA69DE"/>
    <w:rsid w:val="00AB08D8"/>
    <w:rsid w:val="00AB10EF"/>
    <w:rsid w:val="00AB178C"/>
    <w:rsid w:val="00AB24F9"/>
    <w:rsid w:val="00AB39DE"/>
    <w:rsid w:val="00AB3AE5"/>
    <w:rsid w:val="00AB4ADA"/>
    <w:rsid w:val="00AB4B6E"/>
    <w:rsid w:val="00AB594A"/>
    <w:rsid w:val="00AB660E"/>
    <w:rsid w:val="00AB6A67"/>
    <w:rsid w:val="00AB6FD1"/>
    <w:rsid w:val="00AB7873"/>
    <w:rsid w:val="00AB7F34"/>
    <w:rsid w:val="00AC0596"/>
    <w:rsid w:val="00AC0A8E"/>
    <w:rsid w:val="00AC20A6"/>
    <w:rsid w:val="00AC271F"/>
    <w:rsid w:val="00AC2E47"/>
    <w:rsid w:val="00AC3096"/>
    <w:rsid w:val="00AC37B1"/>
    <w:rsid w:val="00AC3EBD"/>
    <w:rsid w:val="00AC5A79"/>
    <w:rsid w:val="00AC6897"/>
    <w:rsid w:val="00AC75A5"/>
    <w:rsid w:val="00AC79BE"/>
    <w:rsid w:val="00AC7E9A"/>
    <w:rsid w:val="00AD0323"/>
    <w:rsid w:val="00AD0359"/>
    <w:rsid w:val="00AD0BCD"/>
    <w:rsid w:val="00AD16C5"/>
    <w:rsid w:val="00AD1A0A"/>
    <w:rsid w:val="00AD1D83"/>
    <w:rsid w:val="00AD2F74"/>
    <w:rsid w:val="00AD36B9"/>
    <w:rsid w:val="00AD3835"/>
    <w:rsid w:val="00AD38FE"/>
    <w:rsid w:val="00AD3DF7"/>
    <w:rsid w:val="00AD4447"/>
    <w:rsid w:val="00AD480F"/>
    <w:rsid w:val="00AD5D64"/>
    <w:rsid w:val="00AD5DCF"/>
    <w:rsid w:val="00AD5F4D"/>
    <w:rsid w:val="00AD6F83"/>
    <w:rsid w:val="00AD73B0"/>
    <w:rsid w:val="00AD76FF"/>
    <w:rsid w:val="00AD78EB"/>
    <w:rsid w:val="00AD79D2"/>
    <w:rsid w:val="00AE00D4"/>
    <w:rsid w:val="00AE2B62"/>
    <w:rsid w:val="00AE3B39"/>
    <w:rsid w:val="00AE4696"/>
    <w:rsid w:val="00AE4950"/>
    <w:rsid w:val="00AE4CB2"/>
    <w:rsid w:val="00AE50AB"/>
    <w:rsid w:val="00AE5279"/>
    <w:rsid w:val="00AE61A0"/>
    <w:rsid w:val="00AE6A5E"/>
    <w:rsid w:val="00AE72B6"/>
    <w:rsid w:val="00AE73CA"/>
    <w:rsid w:val="00AF10BD"/>
    <w:rsid w:val="00AF126D"/>
    <w:rsid w:val="00AF224A"/>
    <w:rsid w:val="00AF41CE"/>
    <w:rsid w:val="00AF4CB5"/>
    <w:rsid w:val="00AF53D1"/>
    <w:rsid w:val="00AF5B16"/>
    <w:rsid w:val="00AF630C"/>
    <w:rsid w:val="00AF75BC"/>
    <w:rsid w:val="00B009CB"/>
    <w:rsid w:val="00B0205A"/>
    <w:rsid w:val="00B0232E"/>
    <w:rsid w:val="00B02514"/>
    <w:rsid w:val="00B02D50"/>
    <w:rsid w:val="00B02EFC"/>
    <w:rsid w:val="00B03855"/>
    <w:rsid w:val="00B046AC"/>
    <w:rsid w:val="00B05549"/>
    <w:rsid w:val="00B0566F"/>
    <w:rsid w:val="00B05F13"/>
    <w:rsid w:val="00B06880"/>
    <w:rsid w:val="00B06B96"/>
    <w:rsid w:val="00B06E52"/>
    <w:rsid w:val="00B07ED9"/>
    <w:rsid w:val="00B10295"/>
    <w:rsid w:val="00B110EA"/>
    <w:rsid w:val="00B116B7"/>
    <w:rsid w:val="00B12178"/>
    <w:rsid w:val="00B1232B"/>
    <w:rsid w:val="00B1302F"/>
    <w:rsid w:val="00B14526"/>
    <w:rsid w:val="00B14565"/>
    <w:rsid w:val="00B1644F"/>
    <w:rsid w:val="00B201C0"/>
    <w:rsid w:val="00B22344"/>
    <w:rsid w:val="00B23E84"/>
    <w:rsid w:val="00B24C3C"/>
    <w:rsid w:val="00B24E9E"/>
    <w:rsid w:val="00B2729E"/>
    <w:rsid w:val="00B27B5E"/>
    <w:rsid w:val="00B3021E"/>
    <w:rsid w:val="00B308CF"/>
    <w:rsid w:val="00B3163C"/>
    <w:rsid w:val="00B31E57"/>
    <w:rsid w:val="00B32023"/>
    <w:rsid w:val="00B3264B"/>
    <w:rsid w:val="00B32C82"/>
    <w:rsid w:val="00B32CFF"/>
    <w:rsid w:val="00B35C95"/>
    <w:rsid w:val="00B35FBE"/>
    <w:rsid w:val="00B376A2"/>
    <w:rsid w:val="00B40527"/>
    <w:rsid w:val="00B41102"/>
    <w:rsid w:val="00B412D2"/>
    <w:rsid w:val="00B416B4"/>
    <w:rsid w:val="00B42162"/>
    <w:rsid w:val="00B42F84"/>
    <w:rsid w:val="00B43A82"/>
    <w:rsid w:val="00B43B24"/>
    <w:rsid w:val="00B43DF6"/>
    <w:rsid w:val="00B44484"/>
    <w:rsid w:val="00B44F85"/>
    <w:rsid w:val="00B456C6"/>
    <w:rsid w:val="00B458DC"/>
    <w:rsid w:val="00B45DD9"/>
    <w:rsid w:val="00B47AA9"/>
    <w:rsid w:val="00B50524"/>
    <w:rsid w:val="00B50E60"/>
    <w:rsid w:val="00B50FE0"/>
    <w:rsid w:val="00B52ED3"/>
    <w:rsid w:val="00B5320B"/>
    <w:rsid w:val="00B543B7"/>
    <w:rsid w:val="00B54A3F"/>
    <w:rsid w:val="00B554AA"/>
    <w:rsid w:val="00B55A13"/>
    <w:rsid w:val="00B55FA5"/>
    <w:rsid w:val="00B572E5"/>
    <w:rsid w:val="00B57439"/>
    <w:rsid w:val="00B60F7C"/>
    <w:rsid w:val="00B60FA3"/>
    <w:rsid w:val="00B61030"/>
    <w:rsid w:val="00B612C4"/>
    <w:rsid w:val="00B613FA"/>
    <w:rsid w:val="00B61D5F"/>
    <w:rsid w:val="00B625EA"/>
    <w:rsid w:val="00B62CC9"/>
    <w:rsid w:val="00B63DA0"/>
    <w:rsid w:val="00B64306"/>
    <w:rsid w:val="00B64EC1"/>
    <w:rsid w:val="00B654CF"/>
    <w:rsid w:val="00B66398"/>
    <w:rsid w:val="00B6716F"/>
    <w:rsid w:val="00B67759"/>
    <w:rsid w:val="00B6787D"/>
    <w:rsid w:val="00B6799A"/>
    <w:rsid w:val="00B70430"/>
    <w:rsid w:val="00B704F6"/>
    <w:rsid w:val="00B714A9"/>
    <w:rsid w:val="00B71B97"/>
    <w:rsid w:val="00B72364"/>
    <w:rsid w:val="00B72D39"/>
    <w:rsid w:val="00B730D7"/>
    <w:rsid w:val="00B7361D"/>
    <w:rsid w:val="00B7377D"/>
    <w:rsid w:val="00B74070"/>
    <w:rsid w:val="00B740CE"/>
    <w:rsid w:val="00B74A83"/>
    <w:rsid w:val="00B74CA5"/>
    <w:rsid w:val="00B7576E"/>
    <w:rsid w:val="00B75F7F"/>
    <w:rsid w:val="00B76535"/>
    <w:rsid w:val="00B76CCF"/>
    <w:rsid w:val="00B76FD9"/>
    <w:rsid w:val="00B77528"/>
    <w:rsid w:val="00B8128C"/>
    <w:rsid w:val="00B81965"/>
    <w:rsid w:val="00B819FA"/>
    <w:rsid w:val="00B81F20"/>
    <w:rsid w:val="00B81F99"/>
    <w:rsid w:val="00B82D8F"/>
    <w:rsid w:val="00B833B1"/>
    <w:rsid w:val="00B8379A"/>
    <w:rsid w:val="00B84075"/>
    <w:rsid w:val="00B8521C"/>
    <w:rsid w:val="00B85384"/>
    <w:rsid w:val="00B85979"/>
    <w:rsid w:val="00B85990"/>
    <w:rsid w:val="00B85B4A"/>
    <w:rsid w:val="00B86750"/>
    <w:rsid w:val="00B86B69"/>
    <w:rsid w:val="00B87468"/>
    <w:rsid w:val="00B87475"/>
    <w:rsid w:val="00B90943"/>
    <w:rsid w:val="00B92066"/>
    <w:rsid w:val="00B92249"/>
    <w:rsid w:val="00B93540"/>
    <w:rsid w:val="00B938E2"/>
    <w:rsid w:val="00B950F1"/>
    <w:rsid w:val="00B95268"/>
    <w:rsid w:val="00B9532E"/>
    <w:rsid w:val="00B955B1"/>
    <w:rsid w:val="00B962A5"/>
    <w:rsid w:val="00B96380"/>
    <w:rsid w:val="00B965EB"/>
    <w:rsid w:val="00B96910"/>
    <w:rsid w:val="00B97871"/>
    <w:rsid w:val="00BA12B2"/>
    <w:rsid w:val="00BA156B"/>
    <w:rsid w:val="00BA1ABA"/>
    <w:rsid w:val="00BA204B"/>
    <w:rsid w:val="00BA271F"/>
    <w:rsid w:val="00BA2DA1"/>
    <w:rsid w:val="00BA3B83"/>
    <w:rsid w:val="00BA46AF"/>
    <w:rsid w:val="00BA49FA"/>
    <w:rsid w:val="00BA4E67"/>
    <w:rsid w:val="00BA614B"/>
    <w:rsid w:val="00BA6B71"/>
    <w:rsid w:val="00BA71FD"/>
    <w:rsid w:val="00BA7486"/>
    <w:rsid w:val="00BA7586"/>
    <w:rsid w:val="00BA7B19"/>
    <w:rsid w:val="00BB1472"/>
    <w:rsid w:val="00BB1558"/>
    <w:rsid w:val="00BB26D7"/>
    <w:rsid w:val="00BB27C1"/>
    <w:rsid w:val="00BB2A3A"/>
    <w:rsid w:val="00BB2B0F"/>
    <w:rsid w:val="00BB31E2"/>
    <w:rsid w:val="00BB36F6"/>
    <w:rsid w:val="00BB3D22"/>
    <w:rsid w:val="00BB48B3"/>
    <w:rsid w:val="00BB49E6"/>
    <w:rsid w:val="00BB4D17"/>
    <w:rsid w:val="00BB5699"/>
    <w:rsid w:val="00BB5810"/>
    <w:rsid w:val="00BB60E7"/>
    <w:rsid w:val="00BB6329"/>
    <w:rsid w:val="00BB6D64"/>
    <w:rsid w:val="00BB6D94"/>
    <w:rsid w:val="00BC01C7"/>
    <w:rsid w:val="00BC128E"/>
    <w:rsid w:val="00BC1F06"/>
    <w:rsid w:val="00BC2CD5"/>
    <w:rsid w:val="00BC38D0"/>
    <w:rsid w:val="00BC3A2C"/>
    <w:rsid w:val="00BC3DB2"/>
    <w:rsid w:val="00BC3E57"/>
    <w:rsid w:val="00BC3EAC"/>
    <w:rsid w:val="00BC4001"/>
    <w:rsid w:val="00BC40A4"/>
    <w:rsid w:val="00BC4763"/>
    <w:rsid w:val="00BC48E6"/>
    <w:rsid w:val="00BC499F"/>
    <w:rsid w:val="00BC4BA9"/>
    <w:rsid w:val="00BC5831"/>
    <w:rsid w:val="00BC5B4D"/>
    <w:rsid w:val="00BC630B"/>
    <w:rsid w:val="00BD0382"/>
    <w:rsid w:val="00BD0471"/>
    <w:rsid w:val="00BD09BD"/>
    <w:rsid w:val="00BD10B1"/>
    <w:rsid w:val="00BD153F"/>
    <w:rsid w:val="00BD156C"/>
    <w:rsid w:val="00BD1F5A"/>
    <w:rsid w:val="00BD2C06"/>
    <w:rsid w:val="00BD3666"/>
    <w:rsid w:val="00BD3966"/>
    <w:rsid w:val="00BD47AF"/>
    <w:rsid w:val="00BD5E39"/>
    <w:rsid w:val="00BD6020"/>
    <w:rsid w:val="00BD74F8"/>
    <w:rsid w:val="00BD7B5A"/>
    <w:rsid w:val="00BE1208"/>
    <w:rsid w:val="00BE26C5"/>
    <w:rsid w:val="00BE28EB"/>
    <w:rsid w:val="00BE296C"/>
    <w:rsid w:val="00BE3441"/>
    <w:rsid w:val="00BE3DA0"/>
    <w:rsid w:val="00BE3E3E"/>
    <w:rsid w:val="00BE5C7C"/>
    <w:rsid w:val="00BE6B90"/>
    <w:rsid w:val="00BE6DBF"/>
    <w:rsid w:val="00BE7526"/>
    <w:rsid w:val="00BE7930"/>
    <w:rsid w:val="00BF022D"/>
    <w:rsid w:val="00BF040E"/>
    <w:rsid w:val="00BF0587"/>
    <w:rsid w:val="00BF099D"/>
    <w:rsid w:val="00BF3490"/>
    <w:rsid w:val="00BF3995"/>
    <w:rsid w:val="00BF40D0"/>
    <w:rsid w:val="00BF4920"/>
    <w:rsid w:val="00BF58D9"/>
    <w:rsid w:val="00BF5AB8"/>
    <w:rsid w:val="00BF663F"/>
    <w:rsid w:val="00BF66BA"/>
    <w:rsid w:val="00BF6D54"/>
    <w:rsid w:val="00BF6D9C"/>
    <w:rsid w:val="00BF7013"/>
    <w:rsid w:val="00BF751A"/>
    <w:rsid w:val="00C0067B"/>
    <w:rsid w:val="00C00F86"/>
    <w:rsid w:val="00C017E0"/>
    <w:rsid w:val="00C02D47"/>
    <w:rsid w:val="00C02E29"/>
    <w:rsid w:val="00C02EE9"/>
    <w:rsid w:val="00C02FAB"/>
    <w:rsid w:val="00C0313E"/>
    <w:rsid w:val="00C033FA"/>
    <w:rsid w:val="00C04454"/>
    <w:rsid w:val="00C04CD2"/>
    <w:rsid w:val="00C0591A"/>
    <w:rsid w:val="00C05B2B"/>
    <w:rsid w:val="00C05F5B"/>
    <w:rsid w:val="00C05FB7"/>
    <w:rsid w:val="00C07BAC"/>
    <w:rsid w:val="00C07CE8"/>
    <w:rsid w:val="00C07DE7"/>
    <w:rsid w:val="00C10CD9"/>
    <w:rsid w:val="00C115ED"/>
    <w:rsid w:val="00C11CE0"/>
    <w:rsid w:val="00C12195"/>
    <w:rsid w:val="00C129EA"/>
    <w:rsid w:val="00C12B1C"/>
    <w:rsid w:val="00C12F7A"/>
    <w:rsid w:val="00C13373"/>
    <w:rsid w:val="00C135E8"/>
    <w:rsid w:val="00C13E4B"/>
    <w:rsid w:val="00C171E4"/>
    <w:rsid w:val="00C21FE4"/>
    <w:rsid w:val="00C23B9B"/>
    <w:rsid w:val="00C243FC"/>
    <w:rsid w:val="00C25373"/>
    <w:rsid w:val="00C259B7"/>
    <w:rsid w:val="00C25D58"/>
    <w:rsid w:val="00C27871"/>
    <w:rsid w:val="00C27C68"/>
    <w:rsid w:val="00C323E7"/>
    <w:rsid w:val="00C323F4"/>
    <w:rsid w:val="00C32B2C"/>
    <w:rsid w:val="00C32C32"/>
    <w:rsid w:val="00C32FAB"/>
    <w:rsid w:val="00C33223"/>
    <w:rsid w:val="00C33407"/>
    <w:rsid w:val="00C33AA5"/>
    <w:rsid w:val="00C33F99"/>
    <w:rsid w:val="00C34416"/>
    <w:rsid w:val="00C34D96"/>
    <w:rsid w:val="00C36AC7"/>
    <w:rsid w:val="00C4017D"/>
    <w:rsid w:val="00C4024D"/>
    <w:rsid w:val="00C414AE"/>
    <w:rsid w:val="00C41E03"/>
    <w:rsid w:val="00C42720"/>
    <w:rsid w:val="00C440A8"/>
    <w:rsid w:val="00C442DA"/>
    <w:rsid w:val="00C44635"/>
    <w:rsid w:val="00C45147"/>
    <w:rsid w:val="00C466E2"/>
    <w:rsid w:val="00C46B5E"/>
    <w:rsid w:val="00C470A1"/>
    <w:rsid w:val="00C475EF"/>
    <w:rsid w:val="00C47B72"/>
    <w:rsid w:val="00C51B30"/>
    <w:rsid w:val="00C520EB"/>
    <w:rsid w:val="00C52DB3"/>
    <w:rsid w:val="00C539DF"/>
    <w:rsid w:val="00C53DEB"/>
    <w:rsid w:val="00C53F05"/>
    <w:rsid w:val="00C54746"/>
    <w:rsid w:val="00C54B88"/>
    <w:rsid w:val="00C54CDD"/>
    <w:rsid w:val="00C554EA"/>
    <w:rsid w:val="00C55776"/>
    <w:rsid w:val="00C57574"/>
    <w:rsid w:val="00C601D3"/>
    <w:rsid w:val="00C603D5"/>
    <w:rsid w:val="00C61098"/>
    <w:rsid w:val="00C6298E"/>
    <w:rsid w:val="00C62B46"/>
    <w:rsid w:val="00C63015"/>
    <w:rsid w:val="00C63968"/>
    <w:rsid w:val="00C65E42"/>
    <w:rsid w:val="00C66C4E"/>
    <w:rsid w:val="00C66E56"/>
    <w:rsid w:val="00C66F6B"/>
    <w:rsid w:val="00C67279"/>
    <w:rsid w:val="00C6772A"/>
    <w:rsid w:val="00C7084D"/>
    <w:rsid w:val="00C70CE4"/>
    <w:rsid w:val="00C71BD9"/>
    <w:rsid w:val="00C71ED1"/>
    <w:rsid w:val="00C7242E"/>
    <w:rsid w:val="00C728DE"/>
    <w:rsid w:val="00C73B51"/>
    <w:rsid w:val="00C73F5D"/>
    <w:rsid w:val="00C7436E"/>
    <w:rsid w:val="00C743A2"/>
    <w:rsid w:val="00C745B9"/>
    <w:rsid w:val="00C74674"/>
    <w:rsid w:val="00C749D5"/>
    <w:rsid w:val="00C74BC1"/>
    <w:rsid w:val="00C761DC"/>
    <w:rsid w:val="00C76969"/>
    <w:rsid w:val="00C76FD1"/>
    <w:rsid w:val="00C80043"/>
    <w:rsid w:val="00C80C8C"/>
    <w:rsid w:val="00C817FE"/>
    <w:rsid w:val="00C81AA3"/>
    <w:rsid w:val="00C826D8"/>
    <w:rsid w:val="00C8279A"/>
    <w:rsid w:val="00C82EE7"/>
    <w:rsid w:val="00C83358"/>
    <w:rsid w:val="00C8344A"/>
    <w:rsid w:val="00C83912"/>
    <w:rsid w:val="00C839D4"/>
    <w:rsid w:val="00C83ECB"/>
    <w:rsid w:val="00C8488B"/>
    <w:rsid w:val="00C84EDD"/>
    <w:rsid w:val="00C859D8"/>
    <w:rsid w:val="00C86C05"/>
    <w:rsid w:val="00C9006B"/>
    <w:rsid w:val="00C90B7F"/>
    <w:rsid w:val="00C92A79"/>
    <w:rsid w:val="00C9325B"/>
    <w:rsid w:val="00C943A9"/>
    <w:rsid w:val="00C94496"/>
    <w:rsid w:val="00C947ED"/>
    <w:rsid w:val="00C954B5"/>
    <w:rsid w:val="00C96F49"/>
    <w:rsid w:val="00CA0ABA"/>
    <w:rsid w:val="00CA0D8C"/>
    <w:rsid w:val="00CA130A"/>
    <w:rsid w:val="00CA1855"/>
    <w:rsid w:val="00CA214C"/>
    <w:rsid w:val="00CA39F9"/>
    <w:rsid w:val="00CA3CEE"/>
    <w:rsid w:val="00CA47A2"/>
    <w:rsid w:val="00CA48BB"/>
    <w:rsid w:val="00CA5175"/>
    <w:rsid w:val="00CA57B7"/>
    <w:rsid w:val="00CA60B3"/>
    <w:rsid w:val="00CA61FE"/>
    <w:rsid w:val="00CA6955"/>
    <w:rsid w:val="00CB06D3"/>
    <w:rsid w:val="00CB0729"/>
    <w:rsid w:val="00CB110E"/>
    <w:rsid w:val="00CB1625"/>
    <w:rsid w:val="00CB27B3"/>
    <w:rsid w:val="00CB3C0F"/>
    <w:rsid w:val="00CB46E4"/>
    <w:rsid w:val="00CB49A4"/>
    <w:rsid w:val="00CB5A1C"/>
    <w:rsid w:val="00CB5EBE"/>
    <w:rsid w:val="00CB645B"/>
    <w:rsid w:val="00CC0061"/>
    <w:rsid w:val="00CC06B5"/>
    <w:rsid w:val="00CC2B55"/>
    <w:rsid w:val="00CC3FF5"/>
    <w:rsid w:val="00CC4386"/>
    <w:rsid w:val="00CC5913"/>
    <w:rsid w:val="00CC5AF2"/>
    <w:rsid w:val="00CC5DE1"/>
    <w:rsid w:val="00CC5FEE"/>
    <w:rsid w:val="00CC60C9"/>
    <w:rsid w:val="00CC617A"/>
    <w:rsid w:val="00CC6244"/>
    <w:rsid w:val="00CC730B"/>
    <w:rsid w:val="00CD021D"/>
    <w:rsid w:val="00CD03C0"/>
    <w:rsid w:val="00CD073D"/>
    <w:rsid w:val="00CD07D3"/>
    <w:rsid w:val="00CD1B4B"/>
    <w:rsid w:val="00CD2A32"/>
    <w:rsid w:val="00CD391A"/>
    <w:rsid w:val="00CD3F73"/>
    <w:rsid w:val="00CD4640"/>
    <w:rsid w:val="00CD4A3B"/>
    <w:rsid w:val="00CD51B3"/>
    <w:rsid w:val="00CD589C"/>
    <w:rsid w:val="00CD5A02"/>
    <w:rsid w:val="00CD6664"/>
    <w:rsid w:val="00CD6D8E"/>
    <w:rsid w:val="00CD7377"/>
    <w:rsid w:val="00CD7D32"/>
    <w:rsid w:val="00CE05E2"/>
    <w:rsid w:val="00CE0AA4"/>
    <w:rsid w:val="00CE10F8"/>
    <w:rsid w:val="00CE1117"/>
    <w:rsid w:val="00CE1341"/>
    <w:rsid w:val="00CE1648"/>
    <w:rsid w:val="00CE16DA"/>
    <w:rsid w:val="00CE3DA6"/>
    <w:rsid w:val="00CE4BC9"/>
    <w:rsid w:val="00CE4E27"/>
    <w:rsid w:val="00CE59B3"/>
    <w:rsid w:val="00CE63A8"/>
    <w:rsid w:val="00CE7291"/>
    <w:rsid w:val="00CE7F19"/>
    <w:rsid w:val="00CF05F5"/>
    <w:rsid w:val="00CF0ED2"/>
    <w:rsid w:val="00CF1EDC"/>
    <w:rsid w:val="00CF2007"/>
    <w:rsid w:val="00CF2C2A"/>
    <w:rsid w:val="00CF30AB"/>
    <w:rsid w:val="00CF36D6"/>
    <w:rsid w:val="00CF3991"/>
    <w:rsid w:val="00CF3FB6"/>
    <w:rsid w:val="00CF42A1"/>
    <w:rsid w:val="00CF4770"/>
    <w:rsid w:val="00CF773B"/>
    <w:rsid w:val="00D0051A"/>
    <w:rsid w:val="00D009A1"/>
    <w:rsid w:val="00D018D7"/>
    <w:rsid w:val="00D01A40"/>
    <w:rsid w:val="00D023B2"/>
    <w:rsid w:val="00D03CCE"/>
    <w:rsid w:val="00D04FF4"/>
    <w:rsid w:val="00D05D53"/>
    <w:rsid w:val="00D062FB"/>
    <w:rsid w:val="00D0703D"/>
    <w:rsid w:val="00D07143"/>
    <w:rsid w:val="00D07424"/>
    <w:rsid w:val="00D115FC"/>
    <w:rsid w:val="00D117AA"/>
    <w:rsid w:val="00D12CE6"/>
    <w:rsid w:val="00D132B4"/>
    <w:rsid w:val="00D13EE4"/>
    <w:rsid w:val="00D1444B"/>
    <w:rsid w:val="00D14661"/>
    <w:rsid w:val="00D153E4"/>
    <w:rsid w:val="00D1568F"/>
    <w:rsid w:val="00D16088"/>
    <w:rsid w:val="00D16699"/>
    <w:rsid w:val="00D166EB"/>
    <w:rsid w:val="00D1702C"/>
    <w:rsid w:val="00D20325"/>
    <w:rsid w:val="00D20ABD"/>
    <w:rsid w:val="00D20D82"/>
    <w:rsid w:val="00D21D7D"/>
    <w:rsid w:val="00D22ED1"/>
    <w:rsid w:val="00D2302A"/>
    <w:rsid w:val="00D238A7"/>
    <w:rsid w:val="00D23963"/>
    <w:rsid w:val="00D240CC"/>
    <w:rsid w:val="00D25598"/>
    <w:rsid w:val="00D25E51"/>
    <w:rsid w:val="00D26857"/>
    <w:rsid w:val="00D26B73"/>
    <w:rsid w:val="00D2745A"/>
    <w:rsid w:val="00D27631"/>
    <w:rsid w:val="00D27BCE"/>
    <w:rsid w:val="00D30763"/>
    <w:rsid w:val="00D31081"/>
    <w:rsid w:val="00D31468"/>
    <w:rsid w:val="00D344D6"/>
    <w:rsid w:val="00D349DB"/>
    <w:rsid w:val="00D34FD9"/>
    <w:rsid w:val="00D36766"/>
    <w:rsid w:val="00D37CA2"/>
    <w:rsid w:val="00D4004A"/>
    <w:rsid w:val="00D4046D"/>
    <w:rsid w:val="00D40523"/>
    <w:rsid w:val="00D40683"/>
    <w:rsid w:val="00D4124A"/>
    <w:rsid w:val="00D41849"/>
    <w:rsid w:val="00D41C59"/>
    <w:rsid w:val="00D41EA6"/>
    <w:rsid w:val="00D4259E"/>
    <w:rsid w:val="00D43146"/>
    <w:rsid w:val="00D455D6"/>
    <w:rsid w:val="00D53122"/>
    <w:rsid w:val="00D532D7"/>
    <w:rsid w:val="00D53A2A"/>
    <w:rsid w:val="00D53D50"/>
    <w:rsid w:val="00D546A7"/>
    <w:rsid w:val="00D5726F"/>
    <w:rsid w:val="00D578BF"/>
    <w:rsid w:val="00D60F1C"/>
    <w:rsid w:val="00D61F4D"/>
    <w:rsid w:val="00D620EB"/>
    <w:rsid w:val="00D62CE1"/>
    <w:rsid w:val="00D63780"/>
    <w:rsid w:val="00D63861"/>
    <w:rsid w:val="00D63DB8"/>
    <w:rsid w:val="00D64723"/>
    <w:rsid w:val="00D64F13"/>
    <w:rsid w:val="00D65565"/>
    <w:rsid w:val="00D65AE9"/>
    <w:rsid w:val="00D65D73"/>
    <w:rsid w:val="00D66172"/>
    <w:rsid w:val="00D66C96"/>
    <w:rsid w:val="00D67681"/>
    <w:rsid w:val="00D67BEE"/>
    <w:rsid w:val="00D7013F"/>
    <w:rsid w:val="00D7060E"/>
    <w:rsid w:val="00D71AC8"/>
    <w:rsid w:val="00D72138"/>
    <w:rsid w:val="00D7333C"/>
    <w:rsid w:val="00D73832"/>
    <w:rsid w:val="00D7393B"/>
    <w:rsid w:val="00D73943"/>
    <w:rsid w:val="00D74154"/>
    <w:rsid w:val="00D74C7D"/>
    <w:rsid w:val="00D75573"/>
    <w:rsid w:val="00D75A37"/>
    <w:rsid w:val="00D77234"/>
    <w:rsid w:val="00D77526"/>
    <w:rsid w:val="00D776BE"/>
    <w:rsid w:val="00D81AF9"/>
    <w:rsid w:val="00D82314"/>
    <w:rsid w:val="00D846FE"/>
    <w:rsid w:val="00D8536B"/>
    <w:rsid w:val="00D85B7E"/>
    <w:rsid w:val="00D85E04"/>
    <w:rsid w:val="00D864A4"/>
    <w:rsid w:val="00D86562"/>
    <w:rsid w:val="00D871D5"/>
    <w:rsid w:val="00D9013C"/>
    <w:rsid w:val="00D90271"/>
    <w:rsid w:val="00D904E9"/>
    <w:rsid w:val="00D90C3F"/>
    <w:rsid w:val="00D90F5B"/>
    <w:rsid w:val="00D910DB"/>
    <w:rsid w:val="00D910F8"/>
    <w:rsid w:val="00D91111"/>
    <w:rsid w:val="00D91BF6"/>
    <w:rsid w:val="00D92202"/>
    <w:rsid w:val="00D9318C"/>
    <w:rsid w:val="00D942F8"/>
    <w:rsid w:val="00D94513"/>
    <w:rsid w:val="00D94541"/>
    <w:rsid w:val="00D94CC5"/>
    <w:rsid w:val="00D959F1"/>
    <w:rsid w:val="00D95D5C"/>
    <w:rsid w:val="00D97734"/>
    <w:rsid w:val="00D97FEC"/>
    <w:rsid w:val="00DA0697"/>
    <w:rsid w:val="00DA0713"/>
    <w:rsid w:val="00DA0BD5"/>
    <w:rsid w:val="00DA18A9"/>
    <w:rsid w:val="00DA1923"/>
    <w:rsid w:val="00DA2F8A"/>
    <w:rsid w:val="00DA30AD"/>
    <w:rsid w:val="00DA33C1"/>
    <w:rsid w:val="00DA44E2"/>
    <w:rsid w:val="00DA4D0A"/>
    <w:rsid w:val="00DA5FF1"/>
    <w:rsid w:val="00DA6090"/>
    <w:rsid w:val="00DA7546"/>
    <w:rsid w:val="00DA75C9"/>
    <w:rsid w:val="00DA7950"/>
    <w:rsid w:val="00DB0367"/>
    <w:rsid w:val="00DB14BB"/>
    <w:rsid w:val="00DB226B"/>
    <w:rsid w:val="00DB3A62"/>
    <w:rsid w:val="00DB402F"/>
    <w:rsid w:val="00DB434C"/>
    <w:rsid w:val="00DB44BD"/>
    <w:rsid w:val="00DB4807"/>
    <w:rsid w:val="00DB586F"/>
    <w:rsid w:val="00DB5D1B"/>
    <w:rsid w:val="00DB7004"/>
    <w:rsid w:val="00DB7318"/>
    <w:rsid w:val="00DB77A1"/>
    <w:rsid w:val="00DB7917"/>
    <w:rsid w:val="00DB7945"/>
    <w:rsid w:val="00DC00CE"/>
    <w:rsid w:val="00DC0E5B"/>
    <w:rsid w:val="00DC10C4"/>
    <w:rsid w:val="00DC12D6"/>
    <w:rsid w:val="00DC19A9"/>
    <w:rsid w:val="00DC2D19"/>
    <w:rsid w:val="00DC3671"/>
    <w:rsid w:val="00DC37FB"/>
    <w:rsid w:val="00DC3E45"/>
    <w:rsid w:val="00DC40A0"/>
    <w:rsid w:val="00DC48B7"/>
    <w:rsid w:val="00DC4F51"/>
    <w:rsid w:val="00DC74B3"/>
    <w:rsid w:val="00DC7698"/>
    <w:rsid w:val="00DC7C5A"/>
    <w:rsid w:val="00DD0F4E"/>
    <w:rsid w:val="00DD15B5"/>
    <w:rsid w:val="00DD18B1"/>
    <w:rsid w:val="00DD25B1"/>
    <w:rsid w:val="00DD3321"/>
    <w:rsid w:val="00DD3BC0"/>
    <w:rsid w:val="00DD554F"/>
    <w:rsid w:val="00DD669C"/>
    <w:rsid w:val="00DD7B48"/>
    <w:rsid w:val="00DE098A"/>
    <w:rsid w:val="00DE0F6F"/>
    <w:rsid w:val="00DE1067"/>
    <w:rsid w:val="00DE11A8"/>
    <w:rsid w:val="00DE1287"/>
    <w:rsid w:val="00DE1404"/>
    <w:rsid w:val="00DE344F"/>
    <w:rsid w:val="00DE34DD"/>
    <w:rsid w:val="00DE3835"/>
    <w:rsid w:val="00DE3A27"/>
    <w:rsid w:val="00DE4495"/>
    <w:rsid w:val="00DE4D8F"/>
    <w:rsid w:val="00DE7AEE"/>
    <w:rsid w:val="00DF13C1"/>
    <w:rsid w:val="00DF14DE"/>
    <w:rsid w:val="00DF1836"/>
    <w:rsid w:val="00DF1A7D"/>
    <w:rsid w:val="00DF203F"/>
    <w:rsid w:val="00DF26F9"/>
    <w:rsid w:val="00DF294A"/>
    <w:rsid w:val="00DF44B2"/>
    <w:rsid w:val="00DF4B64"/>
    <w:rsid w:val="00DF5917"/>
    <w:rsid w:val="00DF5AFD"/>
    <w:rsid w:val="00DF6094"/>
    <w:rsid w:val="00DF6236"/>
    <w:rsid w:val="00DF6E08"/>
    <w:rsid w:val="00DF7B90"/>
    <w:rsid w:val="00E0027C"/>
    <w:rsid w:val="00E0062C"/>
    <w:rsid w:val="00E0121D"/>
    <w:rsid w:val="00E014C9"/>
    <w:rsid w:val="00E015FA"/>
    <w:rsid w:val="00E01D25"/>
    <w:rsid w:val="00E01DDA"/>
    <w:rsid w:val="00E0252A"/>
    <w:rsid w:val="00E035FB"/>
    <w:rsid w:val="00E03BB4"/>
    <w:rsid w:val="00E03E5E"/>
    <w:rsid w:val="00E04198"/>
    <w:rsid w:val="00E042CE"/>
    <w:rsid w:val="00E04D41"/>
    <w:rsid w:val="00E04EED"/>
    <w:rsid w:val="00E04F86"/>
    <w:rsid w:val="00E0548E"/>
    <w:rsid w:val="00E055B8"/>
    <w:rsid w:val="00E05ABE"/>
    <w:rsid w:val="00E06032"/>
    <w:rsid w:val="00E06F0E"/>
    <w:rsid w:val="00E07A26"/>
    <w:rsid w:val="00E104AC"/>
    <w:rsid w:val="00E10926"/>
    <w:rsid w:val="00E1092F"/>
    <w:rsid w:val="00E1132C"/>
    <w:rsid w:val="00E116A0"/>
    <w:rsid w:val="00E11C24"/>
    <w:rsid w:val="00E11EEB"/>
    <w:rsid w:val="00E1221F"/>
    <w:rsid w:val="00E12D48"/>
    <w:rsid w:val="00E13E43"/>
    <w:rsid w:val="00E14999"/>
    <w:rsid w:val="00E15566"/>
    <w:rsid w:val="00E15DE0"/>
    <w:rsid w:val="00E16227"/>
    <w:rsid w:val="00E165BB"/>
    <w:rsid w:val="00E165F4"/>
    <w:rsid w:val="00E16976"/>
    <w:rsid w:val="00E16DE8"/>
    <w:rsid w:val="00E201A3"/>
    <w:rsid w:val="00E20371"/>
    <w:rsid w:val="00E210E2"/>
    <w:rsid w:val="00E2126F"/>
    <w:rsid w:val="00E2208E"/>
    <w:rsid w:val="00E22192"/>
    <w:rsid w:val="00E22E93"/>
    <w:rsid w:val="00E235F2"/>
    <w:rsid w:val="00E23933"/>
    <w:rsid w:val="00E24695"/>
    <w:rsid w:val="00E25CC1"/>
    <w:rsid w:val="00E269DA"/>
    <w:rsid w:val="00E26D52"/>
    <w:rsid w:val="00E27397"/>
    <w:rsid w:val="00E274A7"/>
    <w:rsid w:val="00E27D4D"/>
    <w:rsid w:val="00E305F5"/>
    <w:rsid w:val="00E306D9"/>
    <w:rsid w:val="00E32CFA"/>
    <w:rsid w:val="00E333DB"/>
    <w:rsid w:val="00E348E6"/>
    <w:rsid w:val="00E34E18"/>
    <w:rsid w:val="00E367D8"/>
    <w:rsid w:val="00E37077"/>
    <w:rsid w:val="00E373E3"/>
    <w:rsid w:val="00E37652"/>
    <w:rsid w:val="00E377F8"/>
    <w:rsid w:val="00E37C6C"/>
    <w:rsid w:val="00E404FB"/>
    <w:rsid w:val="00E41D4D"/>
    <w:rsid w:val="00E41E29"/>
    <w:rsid w:val="00E42173"/>
    <w:rsid w:val="00E42626"/>
    <w:rsid w:val="00E42741"/>
    <w:rsid w:val="00E43626"/>
    <w:rsid w:val="00E43DDE"/>
    <w:rsid w:val="00E44475"/>
    <w:rsid w:val="00E44E69"/>
    <w:rsid w:val="00E44FB8"/>
    <w:rsid w:val="00E45020"/>
    <w:rsid w:val="00E45442"/>
    <w:rsid w:val="00E45657"/>
    <w:rsid w:val="00E45E64"/>
    <w:rsid w:val="00E468BB"/>
    <w:rsid w:val="00E46C7F"/>
    <w:rsid w:val="00E47605"/>
    <w:rsid w:val="00E507B2"/>
    <w:rsid w:val="00E51515"/>
    <w:rsid w:val="00E52293"/>
    <w:rsid w:val="00E52339"/>
    <w:rsid w:val="00E5395E"/>
    <w:rsid w:val="00E54388"/>
    <w:rsid w:val="00E54D21"/>
    <w:rsid w:val="00E551C3"/>
    <w:rsid w:val="00E6165C"/>
    <w:rsid w:val="00E61823"/>
    <w:rsid w:val="00E62473"/>
    <w:rsid w:val="00E62FA6"/>
    <w:rsid w:val="00E63521"/>
    <w:rsid w:val="00E642C4"/>
    <w:rsid w:val="00E64869"/>
    <w:rsid w:val="00E6593B"/>
    <w:rsid w:val="00E659A6"/>
    <w:rsid w:val="00E65EE8"/>
    <w:rsid w:val="00E66820"/>
    <w:rsid w:val="00E672FD"/>
    <w:rsid w:val="00E67361"/>
    <w:rsid w:val="00E67EC5"/>
    <w:rsid w:val="00E702DC"/>
    <w:rsid w:val="00E70B8C"/>
    <w:rsid w:val="00E70EEB"/>
    <w:rsid w:val="00E72F6F"/>
    <w:rsid w:val="00E73528"/>
    <w:rsid w:val="00E73F4E"/>
    <w:rsid w:val="00E74D11"/>
    <w:rsid w:val="00E75220"/>
    <w:rsid w:val="00E754AB"/>
    <w:rsid w:val="00E762B8"/>
    <w:rsid w:val="00E764B2"/>
    <w:rsid w:val="00E76972"/>
    <w:rsid w:val="00E7699E"/>
    <w:rsid w:val="00E81AFB"/>
    <w:rsid w:val="00E81D37"/>
    <w:rsid w:val="00E826B4"/>
    <w:rsid w:val="00E827BF"/>
    <w:rsid w:val="00E82FB9"/>
    <w:rsid w:val="00E831C8"/>
    <w:rsid w:val="00E836ED"/>
    <w:rsid w:val="00E840C0"/>
    <w:rsid w:val="00E844BA"/>
    <w:rsid w:val="00E85D62"/>
    <w:rsid w:val="00E8609A"/>
    <w:rsid w:val="00E865CE"/>
    <w:rsid w:val="00E86698"/>
    <w:rsid w:val="00E866BB"/>
    <w:rsid w:val="00E86965"/>
    <w:rsid w:val="00E86F0D"/>
    <w:rsid w:val="00E90450"/>
    <w:rsid w:val="00E90BB2"/>
    <w:rsid w:val="00E92683"/>
    <w:rsid w:val="00E929C4"/>
    <w:rsid w:val="00E93073"/>
    <w:rsid w:val="00E93E78"/>
    <w:rsid w:val="00E94C7B"/>
    <w:rsid w:val="00E95EFB"/>
    <w:rsid w:val="00E9660F"/>
    <w:rsid w:val="00E979E0"/>
    <w:rsid w:val="00EA2215"/>
    <w:rsid w:val="00EA23A0"/>
    <w:rsid w:val="00EA35E6"/>
    <w:rsid w:val="00EA3C30"/>
    <w:rsid w:val="00EA4756"/>
    <w:rsid w:val="00EA4FD4"/>
    <w:rsid w:val="00EA54A1"/>
    <w:rsid w:val="00EA57DD"/>
    <w:rsid w:val="00EA5F1B"/>
    <w:rsid w:val="00EA62CD"/>
    <w:rsid w:val="00EA6463"/>
    <w:rsid w:val="00EA7C91"/>
    <w:rsid w:val="00EB02FE"/>
    <w:rsid w:val="00EB15D5"/>
    <w:rsid w:val="00EB1DFD"/>
    <w:rsid w:val="00EB2182"/>
    <w:rsid w:val="00EB3E05"/>
    <w:rsid w:val="00EB40E5"/>
    <w:rsid w:val="00EB42FE"/>
    <w:rsid w:val="00EB4E98"/>
    <w:rsid w:val="00EB6EB7"/>
    <w:rsid w:val="00EB776B"/>
    <w:rsid w:val="00EB78E9"/>
    <w:rsid w:val="00EC059A"/>
    <w:rsid w:val="00EC08AB"/>
    <w:rsid w:val="00EC1036"/>
    <w:rsid w:val="00EC20D7"/>
    <w:rsid w:val="00EC21ED"/>
    <w:rsid w:val="00EC2BF3"/>
    <w:rsid w:val="00EC3413"/>
    <w:rsid w:val="00EC4C4E"/>
    <w:rsid w:val="00EC629D"/>
    <w:rsid w:val="00EC65D4"/>
    <w:rsid w:val="00EC68AF"/>
    <w:rsid w:val="00EC7315"/>
    <w:rsid w:val="00EC7377"/>
    <w:rsid w:val="00ED0702"/>
    <w:rsid w:val="00ED0E3D"/>
    <w:rsid w:val="00ED25F2"/>
    <w:rsid w:val="00ED28CD"/>
    <w:rsid w:val="00ED3144"/>
    <w:rsid w:val="00ED316A"/>
    <w:rsid w:val="00ED34EA"/>
    <w:rsid w:val="00ED4008"/>
    <w:rsid w:val="00ED6C45"/>
    <w:rsid w:val="00EE00FF"/>
    <w:rsid w:val="00EE02E4"/>
    <w:rsid w:val="00EE0773"/>
    <w:rsid w:val="00EE0AA5"/>
    <w:rsid w:val="00EE1A28"/>
    <w:rsid w:val="00EE1DAD"/>
    <w:rsid w:val="00EE31FE"/>
    <w:rsid w:val="00EE497F"/>
    <w:rsid w:val="00EE509A"/>
    <w:rsid w:val="00EE5654"/>
    <w:rsid w:val="00EE56FF"/>
    <w:rsid w:val="00EE61D1"/>
    <w:rsid w:val="00EE71F3"/>
    <w:rsid w:val="00EE7BA3"/>
    <w:rsid w:val="00EF0941"/>
    <w:rsid w:val="00EF1B64"/>
    <w:rsid w:val="00EF2F06"/>
    <w:rsid w:val="00EF479B"/>
    <w:rsid w:val="00EF4929"/>
    <w:rsid w:val="00EF50AC"/>
    <w:rsid w:val="00EF5674"/>
    <w:rsid w:val="00EF5C59"/>
    <w:rsid w:val="00EF5DAC"/>
    <w:rsid w:val="00EF6064"/>
    <w:rsid w:val="00EF7353"/>
    <w:rsid w:val="00EF7533"/>
    <w:rsid w:val="00EF77EB"/>
    <w:rsid w:val="00F005BF"/>
    <w:rsid w:val="00F00D04"/>
    <w:rsid w:val="00F00D08"/>
    <w:rsid w:val="00F00F1B"/>
    <w:rsid w:val="00F01D1A"/>
    <w:rsid w:val="00F028EB"/>
    <w:rsid w:val="00F02E63"/>
    <w:rsid w:val="00F041F3"/>
    <w:rsid w:val="00F04588"/>
    <w:rsid w:val="00F047E0"/>
    <w:rsid w:val="00F0485D"/>
    <w:rsid w:val="00F05581"/>
    <w:rsid w:val="00F05A92"/>
    <w:rsid w:val="00F07BDE"/>
    <w:rsid w:val="00F10B06"/>
    <w:rsid w:val="00F10DE1"/>
    <w:rsid w:val="00F11666"/>
    <w:rsid w:val="00F122C4"/>
    <w:rsid w:val="00F12D71"/>
    <w:rsid w:val="00F12EB6"/>
    <w:rsid w:val="00F132C6"/>
    <w:rsid w:val="00F135D9"/>
    <w:rsid w:val="00F14F2A"/>
    <w:rsid w:val="00F179FD"/>
    <w:rsid w:val="00F20162"/>
    <w:rsid w:val="00F21233"/>
    <w:rsid w:val="00F2157C"/>
    <w:rsid w:val="00F2182E"/>
    <w:rsid w:val="00F21C63"/>
    <w:rsid w:val="00F238EB"/>
    <w:rsid w:val="00F23D49"/>
    <w:rsid w:val="00F243F3"/>
    <w:rsid w:val="00F246AC"/>
    <w:rsid w:val="00F2510C"/>
    <w:rsid w:val="00F25559"/>
    <w:rsid w:val="00F2555D"/>
    <w:rsid w:val="00F25AE5"/>
    <w:rsid w:val="00F27A86"/>
    <w:rsid w:val="00F306FE"/>
    <w:rsid w:val="00F30705"/>
    <w:rsid w:val="00F30F7D"/>
    <w:rsid w:val="00F30FA1"/>
    <w:rsid w:val="00F31BE2"/>
    <w:rsid w:val="00F32643"/>
    <w:rsid w:val="00F334AD"/>
    <w:rsid w:val="00F33A21"/>
    <w:rsid w:val="00F34B35"/>
    <w:rsid w:val="00F35106"/>
    <w:rsid w:val="00F3548D"/>
    <w:rsid w:val="00F35642"/>
    <w:rsid w:val="00F36273"/>
    <w:rsid w:val="00F36E8A"/>
    <w:rsid w:val="00F40C28"/>
    <w:rsid w:val="00F413DE"/>
    <w:rsid w:val="00F414E2"/>
    <w:rsid w:val="00F41A10"/>
    <w:rsid w:val="00F41D39"/>
    <w:rsid w:val="00F41EB2"/>
    <w:rsid w:val="00F42B89"/>
    <w:rsid w:val="00F43F7F"/>
    <w:rsid w:val="00F445DA"/>
    <w:rsid w:val="00F44B99"/>
    <w:rsid w:val="00F44F1E"/>
    <w:rsid w:val="00F45539"/>
    <w:rsid w:val="00F45659"/>
    <w:rsid w:val="00F4670C"/>
    <w:rsid w:val="00F467F9"/>
    <w:rsid w:val="00F47246"/>
    <w:rsid w:val="00F47589"/>
    <w:rsid w:val="00F47ACF"/>
    <w:rsid w:val="00F50F08"/>
    <w:rsid w:val="00F52200"/>
    <w:rsid w:val="00F53166"/>
    <w:rsid w:val="00F534D4"/>
    <w:rsid w:val="00F53FBE"/>
    <w:rsid w:val="00F547AA"/>
    <w:rsid w:val="00F54B45"/>
    <w:rsid w:val="00F54B78"/>
    <w:rsid w:val="00F6117E"/>
    <w:rsid w:val="00F63434"/>
    <w:rsid w:val="00F634DC"/>
    <w:rsid w:val="00F63CCF"/>
    <w:rsid w:val="00F64CB4"/>
    <w:rsid w:val="00F65FDF"/>
    <w:rsid w:val="00F668C9"/>
    <w:rsid w:val="00F67E26"/>
    <w:rsid w:val="00F70485"/>
    <w:rsid w:val="00F70A50"/>
    <w:rsid w:val="00F71A11"/>
    <w:rsid w:val="00F71E59"/>
    <w:rsid w:val="00F739F7"/>
    <w:rsid w:val="00F73A9D"/>
    <w:rsid w:val="00F75F80"/>
    <w:rsid w:val="00F76F68"/>
    <w:rsid w:val="00F76F8F"/>
    <w:rsid w:val="00F76FC2"/>
    <w:rsid w:val="00F7797B"/>
    <w:rsid w:val="00F817AA"/>
    <w:rsid w:val="00F82FD9"/>
    <w:rsid w:val="00F83486"/>
    <w:rsid w:val="00F83622"/>
    <w:rsid w:val="00F83BCF"/>
    <w:rsid w:val="00F83E8F"/>
    <w:rsid w:val="00F840D5"/>
    <w:rsid w:val="00F84244"/>
    <w:rsid w:val="00F862CA"/>
    <w:rsid w:val="00F86CFC"/>
    <w:rsid w:val="00F86DBB"/>
    <w:rsid w:val="00F86E9F"/>
    <w:rsid w:val="00F86EE5"/>
    <w:rsid w:val="00F8723B"/>
    <w:rsid w:val="00F876FF"/>
    <w:rsid w:val="00F9057C"/>
    <w:rsid w:val="00F90597"/>
    <w:rsid w:val="00F90B15"/>
    <w:rsid w:val="00F90D9C"/>
    <w:rsid w:val="00F9102C"/>
    <w:rsid w:val="00F91BE1"/>
    <w:rsid w:val="00F93585"/>
    <w:rsid w:val="00F93F82"/>
    <w:rsid w:val="00F94F6B"/>
    <w:rsid w:val="00F963DD"/>
    <w:rsid w:val="00F96CB0"/>
    <w:rsid w:val="00F970D1"/>
    <w:rsid w:val="00F975BB"/>
    <w:rsid w:val="00F97700"/>
    <w:rsid w:val="00F9799E"/>
    <w:rsid w:val="00FA023C"/>
    <w:rsid w:val="00FA0D12"/>
    <w:rsid w:val="00FA15DF"/>
    <w:rsid w:val="00FA1EA2"/>
    <w:rsid w:val="00FA3559"/>
    <w:rsid w:val="00FA3642"/>
    <w:rsid w:val="00FA3E0F"/>
    <w:rsid w:val="00FA4606"/>
    <w:rsid w:val="00FA543B"/>
    <w:rsid w:val="00FA58BD"/>
    <w:rsid w:val="00FA5CDE"/>
    <w:rsid w:val="00FA655A"/>
    <w:rsid w:val="00FA6985"/>
    <w:rsid w:val="00FA77B1"/>
    <w:rsid w:val="00FB0148"/>
    <w:rsid w:val="00FB0210"/>
    <w:rsid w:val="00FB05D0"/>
    <w:rsid w:val="00FB09C5"/>
    <w:rsid w:val="00FB0EA4"/>
    <w:rsid w:val="00FB0FAE"/>
    <w:rsid w:val="00FB1116"/>
    <w:rsid w:val="00FB1614"/>
    <w:rsid w:val="00FB1811"/>
    <w:rsid w:val="00FB1BED"/>
    <w:rsid w:val="00FB2374"/>
    <w:rsid w:val="00FB4E4D"/>
    <w:rsid w:val="00FB69E2"/>
    <w:rsid w:val="00FB6F56"/>
    <w:rsid w:val="00FB71F6"/>
    <w:rsid w:val="00FB7243"/>
    <w:rsid w:val="00FB73F3"/>
    <w:rsid w:val="00FB77E3"/>
    <w:rsid w:val="00FC08BD"/>
    <w:rsid w:val="00FC092B"/>
    <w:rsid w:val="00FC0BAF"/>
    <w:rsid w:val="00FC1A8D"/>
    <w:rsid w:val="00FC2617"/>
    <w:rsid w:val="00FC27DB"/>
    <w:rsid w:val="00FC3D4C"/>
    <w:rsid w:val="00FC4360"/>
    <w:rsid w:val="00FC43E4"/>
    <w:rsid w:val="00FC6600"/>
    <w:rsid w:val="00FC7254"/>
    <w:rsid w:val="00FC72BE"/>
    <w:rsid w:val="00FC757D"/>
    <w:rsid w:val="00FD0EBB"/>
    <w:rsid w:val="00FD15C3"/>
    <w:rsid w:val="00FD1BF7"/>
    <w:rsid w:val="00FD2763"/>
    <w:rsid w:val="00FD29D1"/>
    <w:rsid w:val="00FD29D5"/>
    <w:rsid w:val="00FD3098"/>
    <w:rsid w:val="00FD4A39"/>
    <w:rsid w:val="00FD4CD4"/>
    <w:rsid w:val="00FD4FBC"/>
    <w:rsid w:val="00FD4FFB"/>
    <w:rsid w:val="00FD566E"/>
    <w:rsid w:val="00FD625C"/>
    <w:rsid w:val="00FD6455"/>
    <w:rsid w:val="00FD6ED3"/>
    <w:rsid w:val="00FD7257"/>
    <w:rsid w:val="00FD757E"/>
    <w:rsid w:val="00FD76AD"/>
    <w:rsid w:val="00FE065E"/>
    <w:rsid w:val="00FE06A6"/>
    <w:rsid w:val="00FE07D5"/>
    <w:rsid w:val="00FE2252"/>
    <w:rsid w:val="00FE29EA"/>
    <w:rsid w:val="00FE2DEE"/>
    <w:rsid w:val="00FE3683"/>
    <w:rsid w:val="00FE3A7B"/>
    <w:rsid w:val="00FE3C5E"/>
    <w:rsid w:val="00FE40B6"/>
    <w:rsid w:val="00FE4353"/>
    <w:rsid w:val="00FE5564"/>
    <w:rsid w:val="00FE7507"/>
    <w:rsid w:val="00FE75F8"/>
    <w:rsid w:val="00FE768F"/>
    <w:rsid w:val="00FF1C7E"/>
    <w:rsid w:val="00FF3705"/>
    <w:rsid w:val="00FF3EFD"/>
    <w:rsid w:val="00FF6045"/>
    <w:rsid w:val="00FF6B68"/>
    <w:rsid w:val="00FF774E"/>
    <w:rsid w:val="061714F5"/>
    <w:rsid w:val="0A08E128"/>
    <w:rsid w:val="0A9E2AD1"/>
    <w:rsid w:val="1058246E"/>
    <w:rsid w:val="1214416E"/>
    <w:rsid w:val="13612A52"/>
    <w:rsid w:val="15DE722D"/>
    <w:rsid w:val="1EDB34DE"/>
    <w:rsid w:val="24548784"/>
    <w:rsid w:val="277AD775"/>
    <w:rsid w:val="2B813C45"/>
    <w:rsid w:val="2C895FE4"/>
    <w:rsid w:val="2D0F88D2"/>
    <w:rsid w:val="31389E38"/>
    <w:rsid w:val="31BE9773"/>
    <w:rsid w:val="32B1E4DC"/>
    <w:rsid w:val="35FE49C8"/>
    <w:rsid w:val="3E31F167"/>
    <w:rsid w:val="42DE480F"/>
    <w:rsid w:val="44E5541F"/>
    <w:rsid w:val="4FF8A040"/>
    <w:rsid w:val="507713B3"/>
    <w:rsid w:val="51C808D8"/>
    <w:rsid w:val="5D524A37"/>
    <w:rsid w:val="5E7FE0F0"/>
    <w:rsid w:val="5FDB2A8F"/>
    <w:rsid w:val="61529DC9"/>
    <w:rsid w:val="65E73116"/>
    <w:rsid w:val="69EEFBDC"/>
    <w:rsid w:val="73FEDD85"/>
    <w:rsid w:val="7919D167"/>
    <w:rsid w:val="7D8C6A3A"/>
    <w:rsid w:val="7ECD83B2"/>
    <w:rsid w:val="7FDFCE6B"/>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FBFF"/>
  <w15:chartTrackingRefBased/>
  <w15:docId w15:val="{216BA48D-35A1-4492-8107-D1ED52668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semiHidden/>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clear" w:pos="360"/>
        <w:tab w:val="left" w:pos="425"/>
      </w:tabs>
      <w:spacing w:after="120"/>
      <w:ind w:left="425" w:hanging="425"/>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character" w:styleId="CommentReference">
    <w:name w:val="annotation reference"/>
    <w:basedOn w:val="DefaultParagraphFont"/>
    <w:uiPriority w:val="99"/>
    <w:semiHidden/>
    <w:unhideWhenUsed/>
    <w:rsid w:val="00520F7D"/>
    <w:rPr>
      <w:sz w:val="16"/>
      <w:szCs w:val="16"/>
    </w:rPr>
  </w:style>
  <w:style w:type="paragraph" w:styleId="CommentText">
    <w:name w:val="annotation text"/>
    <w:basedOn w:val="Normal"/>
    <w:link w:val="CommentTextChar"/>
    <w:uiPriority w:val="99"/>
    <w:unhideWhenUsed/>
    <w:rsid w:val="00520F7D"/>
    <w:pPr>
      <w:spacing w:line="240" w:lineRule="auto"/>
    </w:pPr>
    <w:rPr>
      <w:sz w:val="20"/>
      <w:szCs w:val="20"/>
    </w:rPr>
  </w:style>
  <w:style w:type="character" w:customStyle="1" w:styleId="CommentTextChar">
    <w:name w:val="Comment Text Char"/>
    <w:basedOn w:val="DefaultParagraphFont"/>
    <w:link w:val="CommentText"/>
    <w:uiPriority w:val="99"/>
    <w:rsid w:val="00520F7D"/>
    <w:rPr>
      <w:sz w:val="20"/>
      <w:szCs w:val="20"/>
    </w:rPr>
  </w:style>
  <w:style w:type="paragraph" w:styleId="CommentSubject">
    <w:name w:val="annotation subject"/>
    <w:basedOn w:val="CommentText"/>
    <w:next w:val="CommentText"/>
    <w:link w:val="CommentSubjectChar"/>
    <w:uiPriority w:val="99"/>
    <w:semiHidden/>
    <w:unhideWhenUsed/>
    <w:rsid w:val="00520F7D"/>
    <w:rPr>
      <w:b/>
      <w:bCs/>
    </w:rPr>
  </w:style>
  <w:style w:type="character" w:customStyle="1" w:styleId="CommentSubjectChar">
    <w:name w:val="Comment Subject Char"/>
    <w:basedOn w:val="CommentTextChar"/>
    <w:link w:val="CommentSubject"/>
    <w:uiPriority w:val="99"/>
    <w:semiHidden/>
    <w:rsid w:val="00520F7D"/>
    <w:rPr>
      <w:b/>
      <w:bCs/>
      <w:sz w:val="20"/>
      <w:szCs w:val="20"/>
    </w:rPr>
  </w:style>
  <w:style w:type="paragraph" w:styleId="Revision">
    <w:name w:val="Revision"/>
    <w:hidden/>
    <w:uiPriority w:val="99"/>
    <w:semiHidden/>
    <w:rsid w:val="009C68FF"/>
    <w:pPr>
      <w:spacing w:after="0" w:line="240" w:lineRule="auto"/>
    </w:pPr>
    <w:rPr>
      <w:sz w:val="24"/>
    </w:rPr>
  </w:style>
  <w:style w:type="character" w:customStyle="1" w:styleId="normaltextrun">
    <w:name w:val="normaltextrun"/>
    <w:basedOn w:val="DefaultParagraphFont"/>
    <w:rsid w:val="00BB6329"/>
  </w:style>
  <w:style w:type="character" w:customStyle="1" w:styleId="eop">
    <w:name w:val="eop"/>
    <w:basedOn w:val="DefaultParagraphFont"/>
    <w:rsid w:val="00BB6329"/>
  </w:style>
  <w:style w:type="paragraph" w:styleId="ListParagraph">
    <w:name w:val="List Paragraph"/>
    <w:basedOn w:val="Normal"/>
    <w:uiPriority w:val="34"/>
    <w:semiHidden/>
    <w:qFormat/>
    <w:rsid w:val="003C7D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247669">
      <w:bodyDiv w:val="1"/>
      <w:marLeft w:val="0"/>
      <w:marRight w:val="0"/>
      <w:marTop w:val="0"/>
      <w:marBottom w:val="0"/>
      <w:divBdr>
        <w:top w:val="none" w:sz="0" w:space="0" w:color="auto"/>
        <w:left w:val="none" w:sz="0" w:space="0" w:color="auto"/>
        <w:bottom w:val="none" w:sz="0" w:space="0" w:color="auto"/>
        <w:right w:val="none" w:sz="0" w:space="0" w:color="auto"/>
      </w:divBdr>
      <w:divsChild>
        <w:div w:id="1846284763">
          <w:marLeft w:val="547"/>
          <w:marRight w:val="0"/>
          <w:marTop w:val="0"/>
          <w:marBottom w:val="0"/>
          <w:divBdr>
            <w:top w:val="none" w:sz="0" w:space="0" w:color="auto"/>
            <w:left w:val="none" w:sz="0" w:space="0" w:color="auto"/>
            <w:bottom w:val="none" w:sz="0" w:space="0" w:color="auto"/>
            <w:right w:val="none" w:sz="0" w:space="0" w:color="auto"/>
          </w:divBdr>
        </w:div>
      </w:divsChild>
    </w:div>
    <w:div w:id="460466815">
      <w:bodyDiv w:val="1"/>
      <w:marLeft w:val="0"/>
      <w:marRight w:val="0"/>
      <w:marTop w:val="0"/>
      <w:marBottom w:val="0"/>
      <w:divBdr>
        <w:top w:val="none" w:sz="0" w:space="0" w:color="auto"/>
        <w:left w:val="none" w:sz="0" w:space="0" w:color="auto"/>
        <w:bottom w:val="none" w:sz="0" w:space="0" w:color="auto"/>
        <w:right w:val="none" w:sz="0" w:space="0" w:color="auto"/>
      </w:divBdr>
      <w:divsChild>
        <w:div w:id="164370784">
          <w:marLeft w:val="994"/>
          <w:marRight w:val="0"/>
          <w:marTop w:val="20"/>
          <w:marBottom w:val="20"/>
          <w:divBdr>
            <w:top w:val="none" w:sz="0" w:space="0" w:color="auto"/>
            <w:left w:val="none" w:sz="0" w:space="0" w:color="auto"/>
            <w:bottom w:val="none" w:sz="0" w:space="0" w:color="auto"/>
            <w:right w:val="none" w:sz="0" w:space="0" w:color="auto"/>
          </w:divBdr>
        </w:div>
        <w:div w:id="407001249">
          <w:marLeft w:val="994"/>
          <w:marRight w:val="0"/>
          <w:marTop w:val="20"/>
          <w:marBottom w:val="20"/>
          <w:divBdr>
            <w:top w:val="none" w:sz="0" w:space="0" w:color="auto"/>
            <w:left w:val="none" w:sz="0" w:space="0" w:color="auto"/>
            <w:bottom w:val="none" w:sz="0" w:space="0" w:color="auto"/>
            <w:right w:val="none" w:sz="0" w:space="0" w:color="auto"/>
          </w:divBdr>
        </w:div>
        <w:div w:id="1172649029">
          <w:marLeft w:val="994"/>
          <w:marRight w:val="0"/>
          <w:marTop w:val="20"/>
          <w:marBottom w:val="20"/>
          <w:divBdr>
            <w:top w:val="none" w:sz="0" w:space="0" w:color="auto"/>
            <w:left w:val="none" w:sz="0" w:space="0" w:color="auto"/>
            <w:bottom w:val="none" w:sz="0" w:space="0" w:color="auto"/>
            <w:right w:val="none" w:sz="0" w:space="0" w:color="auto"/>
          </w:divBdr>
        </w:div>
        <w:div w:id="1748990222">
          <w:marLeft w:val="994"/>
          <w:marRight w:val="0"/>
          <w:marTop w:val="20"/>
          <w:marBottom w:val="20"/>
          <w:divBdr>
            <w:top w:val="none" w:sz="0" w:space="0" w:color="auto"/>
            <w:left w:val="none" w:sz="0" w:space="0" w:color="auto"/>
            <w:bottom w:val="none" w:sz="0" w:space="0" w:color="auto"/>
            <w:right w:val="none" w:sz="0" w:space="0" w:color="auto"/>
          </w:divBdr>
        </w:div>
        <w:div w:id="2037001890">
          <w:marLeft w:val="994"/>
          <w:marRight w:val="0"/>
          <w:marTop w:val="20"/>
          <w:marBottom w:val="20"/>
          <w:divBdr>
            <w:top w:val="none" w:sz="0" w:space="0" w:color="auto"/>
            <w:left w:val="none" w:sz="0" w:space="0" w:color="auto"/>
            <w:bottom w:val="none" w:sz="0" w:space="0" w:color="auto"/>
            <w:right w:val="none" w:sz="0" w:space="0" w:color="auto"/>
          </w:divBdr>
        </w:div>
        <w:div w:id="2059163652">
          <w:marLeft w:val="994"/>
          <w:marRight w:val="0"/>
          <w:marTop w:val="20"/>
          <w:marBottom w:val="20"/>
          <w:divBdr>
            <w:top w:val="none" w:sz="0" w:space="0" w:color="auto"/>
            <w:left w:val="none" w:sz="0" w:space="0" w:color="auto"/>
            <w:bottom w:val="none" w:sz="0" w:space="0" w:color="auto"/>
            <w:right w:val="none" w:sz="0" w:space="0" w:color="auto"/>
          </w:divBdr>
        </w:div>
        <w:div w:id="2138377197">
          <w:marLeft w:val="994"/>
          <w:marRight w:val="0"/>
          <w:marTop w:val="20"/>
          <w:marBottom w:val="20"/>
          <w:divBdr>
            <w:top w:val="none" w:sz="0" w:space="0" w:color="auto"/>
            <w:left w:val="none" w:sz="0" w:space="0" w:color="auto"/>
            <w:bottom w:val="none" w:sz="0" w:space="0" w:color="auto"/>
            <w:right w:val="none" w:sz="0" w:space="0" w:color="auto"/>
          </w:divBdr>
        </w:div>
      </w:divsChild>
    </w:div>
    <w:div w:id="495151669">
      <w:bodyDiv w:val="1"/>
      <w:marLeft w:val="0"/>
      <w:marRight w:val="0"/>
      <w:marTop w:val="0"/>
      <w:marBottom w:val="0"/>
      <w:divBdr>
        <w:top w:val="none" w:sz="0" w:space="0" w:color="auto"/>
        <w:left w:val="none" w:sz="0" w:space="0" w:color="auto"/>
        <w:bottom w:val="none" w:sz="0" w:space="0" w:color="auto"/>
        <w:right w:val="none" w:sz="0" w:space="0" w:color="auto"/>
      </w:divBdr>
    </w:div>
    <w:div w:id="594246793">
      <w:bodyDiv w:val="1"/>
      <w:marLeft w:val="0"/>
      <w:marRight w:val="0"/>
      <w:marTop w:val="0"/>
      <w:marBottom w:val="0"/>
      <w:divBdr>
        <w:top w:val="none" w:sz="0" w:space="0" w:color="auto"/>
        <w:left w:val="none" w:sz="0" w:space="0" w:color="auto"/>
        <w:bottom w:val="none" w:sz="0" w:space="0" w:color="auto"/>
        <w:right w:val="none" w:sz="0" w:space="0" w:color="auto"/>
      </w:divBdr>
    </w:div>
    <w:div w:id="684329926">
      <w:bodyDiv w:val="1"/>
      <w:marLeft w:val="0"/>
      <w:marRight w:val="0"/>
      <w:marTop w:val="0"/>
      <w:marBottom w:val="0"/>
      <w:divBdr>
        <w:top w:val="none" w:sz="0" w:space="0" w:color="auto"/>
        <w:left w:val="none" w:sz="0" w:space="0" w:color="auto"/>
        <w:bottom w:val="none" w:sz="0" w:space="0" w:color="auto"/>
        <w:right w:val="none" w:sz="0" w:space="0" w:color="auto"/>
      </w:divBdr>
    </w:div>
    <w:div w:id="914047151">
      <w:bodyDiv w:val="1"/>
      <w:marLeft w:val="0"/>
      <w:marRight w:val="0"/>
      <w:marTop w:val="0"/>
      <w:marBottom w:val="0"/>
      <w:divBdr>
        <w:top w:val="none" w:sz="0" w:space="0" w:color="auto"/>
        <w:left w:val="none" w:sz="0" w:space="0" w:color="auto"/>
        <w:bottom w:val="none" w:sz="0" w:space="0" w:color="auto"/>
        <w:right w:val="none" w:sz="0" w:space="0" w:color="auto"/>
      </w:divBdr>
    </w:div>
    <w:div w:id="973945428">
      <w:bodyDiv w:val="1"/>
      <w:marLeft w:val="0"/>
      <w:marRight w:val="0"/>
      <w:marTop w:val="0"/>
      <w:marBottom w:val="0"/>
      <w:divBdr>
        <w:top w:val="none" w:sz="0" w:space="0" w:color="auto"/>
        <w:left w:val="none" w:sz="0" w:space="0" w:color="auto"/>
        <w:bottom w:val="none" w:sz="0" w:space="0" w:color="auto"/>
        <w:right w:val="none" w:sz="0" w:space="0" w:color="auto"/>
      </w:divBdr>
      <w:divsChild>
        <w:div w:id="1530214332">
          <w:marLeft w:val="547"/>
          <w:marRight w:val="0"/>
          <w:marTop w:val="0"/>
          <w:marBottom w:val="0"/>
          <w:divBdr>
            <w:top w:val="none" w:sz="0" w:space="0" w:color="auto"/>
            <w:left w:val="none" w:sz="0" w:space="0" w:color="auto"/>
            <w:bottom w:val="none" w:sz="0" w:space="0" w:color="auto"/>
            <w:right w:val="none" w:sz="0" w:space="0" w:color="auto"/>
          </w:divBdr>
        </w:div>
      </w:divsChild>
    </w:div>
    <w:div w:id="1316765588">
      <w:bodyDiv w:val="1"/>
      <w:marLeft w:val="0"/>
      <w:marRight w:val="0"/>
      <w:marTop w:val="0"/>
      <w:marBottom w:val="0"/>
      <w:divBdr>
        <w:top w:val="none" w:sz="0" w:space="0" w:color="auto"/>
        <w:left w:val="none" w:sz="0" w:space="0" w:color="auto"/>
        <w:bottom w:val="none" w:sz="0" w:space="0" w:color="auto"/>
        <w:right w:val="none" w:sz="0" w:space="0" w:color="auto"/>
      </w:divBdr>
    </w:div>
    <w:div w:id="1364137792">
      <w:bodyDiv w:val="1"/>
      <w:marLeft w:val="0"/>
      <w:marRight w:val="0"/>
      <w:marTop w:val="0"/>
      <w:marBottom w:val="0"/>
      <w:divBdr>
        <w:top w:val="none" w:sz="0" w:space="0" w:color="auto"/>
        <w:left w:val="none" w:sz="0" w:space="0" w:color="auto"/>
        <w:bottom w:val="none" w:sz="0" w:space="0" w:color="auto"/>
        <w:right w:val="none" w:sz="0" w:space="0" w:color="auto"/>
      </w:divBdr>
      <w:divsChild>
        <w:div w:id="83114024">
          <w:marLeft w:val="547"/>
          <w:marRight w:val="0"/>
          <w:marTop w:val="120"/>
          <w:marBottom w:val="120"/>
          <w:divBdr>
            <w:top w:val="none" w:sz="0" w:space="0" w:color="auto"/>
            <w:left w:val="none" w:sz="0" w:space="0" w:color="auto"/>
            <w:bottom w:val="none" w:sz="0" w:space="0" w:color="auto"/>
            <w:right w:val="none" w:sz="0" w:space="0" w:color="auto"/>
          </w:divBdr>
        </w:div>
        <w:div w:id="313532514">
          <w:marLeft w:val="547"/>
          <w:marRight w:val="0"/>
          <w:marTop w:val="120"/>
          <w:marBottom w:val="120"/>
          <w:divBdr>
            <w:top w:val="none" w:sz="0" w:space="0" w:color="auto"/>
            <w:left w:val="none" w:sz="0" w:space="0" w:color="auto"/>
            <w:bottom w:val="none" w:sz="0" w:space="0" w:color="auto"/>
            <w:right w:val="none" w:sz="0" w:space="0" w:color="auto"/>
          </w:divBdr>
        </w:div>
        <w:div w:id="2124491429">
          <w:marLeft w:val="547"/>
          <w:marRight w:val="0"/>
          <w:marTop w:val="120"/>
          <w:marBottom w:val="120"/>
          <w:divBdr>
            <w:top w:val="none" w:sz="0" w:space="0" w:color="auto"/>
            <w:left w:val="none" w:sz="0" w:space="0" w:color="auto"/>
            <w:bottom w:val="none" w:sz="0" w:space="0" w:color="auto"/>
            <w:right w:val="none" w:sz="0" w:space="0" w:color="auto"/>
          </w:divBdr>
        </w:div>
      </w:divsChild>
    </w:div>
    <w:div w:id="1553271648">
      <w:bodyDiv w:val="1"/>
      <w:marLeft w:val="0"/>
      <w:marRight w:val="0"/>
      <w:marTop w:val="0"/>
      <w:marBottom w:val="0"/>
      <w:divBdr>
        <w:top w:val="none" w:sz="0" w:space="0" w:color="auto"/>
        <w:left w:val="none" w:sz="0" w:space="0" w:color="auto"/>
        <w:bottom w:val="none" w:sz="0" w:space="0" w:color="auto"/>
        <w:right w:val="none" w:sz="0" w:space="0" w:color="auto"/>
      </w:divBdr>
      <w:divsChild>
        <w:div w:id="1133060874">
          <w:marLeft w:val="994"/>
          <w:marRight w:val="0"/>
          <w:marTop w:val="20"/>
          <w:marBottom w:val="20"/>
          <w:divBdr>
            <w:top w:val="none" w:sz="0" w:space="0" w:color="auto"/>
            <w:left w:val="none" w:sz="0" w:space="0" w:color="auto"/>
            <w:bottom w:val="none" w:sz="0" w:space="0" w:color="auto"/>
            <w:right w:val="none" w:sz="0" w:space="0" w:color="auto"/>
          </w:divBdr>
        </w:div>
        <w:div w:id="1201018917">
          <w:marLeft w:val="994"/>
          <w:marRight w:val="0"/>
          <w:marTop w:val="20"/>
          <w:marBottom w:val="20"/>
          <w:divBdr>
            <w:top w:val="none" w:sz="0" w:space="0" w:color="auto"/>
            <w:left w:val="none" w:sz="0" w:space="0" w:color="auto"/>
            <w:bottom w:val="none" w:sz="0" w:space="0" w:color="auto"/>
            <w:right w:val="none" w:sz="0" w:space="0" w:color="auto"/>
          </w:divBdr>
        </w:div>
      </w:divsChild>
    </w:div>
    <w:div w:id="1707632556">
      <w:bodyDiv w:val="1"/>
      <w:marLeft w:val="0"/>
      <w:marRight w:val="0"/>
      <w:marTop w:val="0"/>
      <w:marBottom w:val="0"/>
      <w:divBdr>
        <w:top w:val="none" w:sz="0" w:space="0" w:color="auto"/>
        <w:left w:val="none" w:sz="0" w:space="0" w:color="auto"/>
        <w:bottom w:val="none" w:sz="0" w:space="0" w:color="auto"/>
        <w:right w:val="none" w:sz="0" w:space="0" w:color="auto"/>
      </w:divBdr>
    </w:div>
    <w:div w:id="1795755589">
      <w:bodyDiv w:val="1"/>
      <w:marLeft w:val="0"/>
      <w:marRight w:val="0"/>
      <w:marTop w:val="0"/>
      <w:marBottom w:val="0"/>
      <w:divBdr>
        <w:top w:val="none" w:sz="0" w:space="0" w:color="auto"/>
        <w:left w:val="none" w:sz="0" w:space="0" w:color="auto"/>
        <w:bottom w:val="none" w:sz="0" w:space="0" w:color="auto"/>
        <w:right w:val="none" w:sz="0" w:space="0" w:color="auto"/>
      </w:divBdr>
      <w:divsChild>
        <w:div w:id="516119011">
          <w:marLeft w:val="547"/>
          <w:marRight w:val="0"/>
          <w:marTop w:val="0"/>
          <w:marBottom w:val="0"/>
          <w:divBdr>
            <w:top w:val="none" w:sz="0" w:space="0" w:color="auto"/>
            <w:left w:val="none" w:sz="0" w:space="0" w:color="auto"/>
            <w:bottom w:val="none" w:sz="0" w:space="0" w:color="auto"/>
            <w:right w:val="none" w:sz="0" w:space="0" w:color="auto"/>
          </w:divBdr>
        </w:div>
      </w:divsChild>
    </w:div>
    <w:div w:id="1999839671">
      <w:bodyDiv w:val="1"/>
      <w:marLeft w:val="0"/>
      <w:marRight w:val="0"/>
      <w:marTop w:val="0"/>
      <w:marBottom w:val="0"/>
      <w:divBdr>
        <w:top w:val="none" w:sz="0" w:space="0" w:color="auto"/>
        <w:left w:val="none" w:sz="0" w:space="0" w:color="auto"/>
        <w:bottom w:val="none" w:sz="0" w:space="0" w:color="auto"/>
        <w:right w:val="none" w:sz="0" w:space="0" w:color="auto"/>
      </w:divBdr>
    </w:div>
    <w:div w:id="206768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7.png"/><Relationship Id="rId39" Type="http://schemas.microsoft.com/office/2007/relationships/diagramDrawing" Target="diagrams/drawing3.xml"/><Relationship Id="rId21" Type="http://schemas.openxmlformats.org/officeDocument/2006/relationships/diagramLayout" Target="diagrams/layout1.xml"/><Relationship Id="rId34" Type="http://schemas.openxmlformats.org/officeDocument/2006/relationships/hyperlink" Target="https://www.healthfacilityguidelines.com.au/standard-components" TargetMode="External"/><Relationship Id="rId42" Type="http://schemas.openxmlformats.org/officeDocument/2006/relationships/image" Target="media/image11.png"/><Relationship Id="rId47" Type="http://schemas.openxmlformats.org/officeDocument/2006/relationships/image" Target="media/image15.png"/><Relationship Id="rId50" Type="http://schemas.openxmlformats.org/officeDocument/2006/relationships/hyperlink" Target="https://https:/www.tewhatuora.govt.nz/preview/3c46beed8ba1130e/f928fa73a970d70d" TargetMode="Externa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diagramQuickStyle" Target="diagrams/quickStyle2.xml"/><Relationship Id="rId11" Type="http://schemas.openxmlformats.org/officeDocument/2006/relationships/footnotes" Target="footnotes.xml"/><Relationship Id="rId24" Type="http://schemas.microsoft.com/office/2007/relationships/diagramDrawing" Target="diagrams/drawing1.xml"/><Relationship Id="rId32" Type="http://schemas.openxmlformats.org/officeDocument/2006/relationships/image" Target="media/image8.png"/><Relationship Id="rId37" Type="http://schemas.openxmlformats.org/officeDocument/2006/relationships/diagramQuickStyle" Target="diagrams/quickStyle3.xml"/><Relationship Id="rId40" Type="http://schemas.openxmlformats.org/officeDocument/2006/relationships/image" Target="media/image9.png"/><Relationship Id="rId45" Type="http://schemas.openxmlformats.org/officeDocument/2006/relationships/image" Target="media/image13.png"/><Relationship Id="rId53" Type="http://schemas.openxmlformats.org/officeDocument/2006/relationships/footer" Target="footer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6.jpeg"/><Relationship Id="rId31" Type="http://schemas.microsoft.com/office/2007/relationships/diagramDrawing" Target="diagrams/drawing2.xml"/><Relationship Id="rId44" Type="http://schemas.openxmlformats.org/officeDocument/2006/relationships/hyperlink" Target="mailto:facility.design@tewhatuora.govt.nz" TargetMode="External"/><Relationship Id="rId52"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diagramQuickStyle" Target="diagrams/quickStyle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Data" Target="diagrams/data3.xml"/><Relationship Id="rId43" Type="http://schemas.openxmlformats.org/officeDocument/2006/relationships/image" Target="media/image12.png"/><Relationship Id="rId48" Type="http://schemas.openxmlformats.org/officeDocument/2006/relationships/image" Target="media/image16.png"/><Relationship Id="rId8" Type="http://schemas.openxmlformats.org/officeDocument/2006/relationships/styles" Target="styles.xml"/><Relationship Id="rId51" Type="http://schemas.openxmlformats.org/officeDocument/2006/relationships/hyperlink" Target="mailto:facility.design@tewhatuora.govt.nz"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tewhatuora.govt.nz/" TargetMode="External"/><Relationship Id="rId25" Type="http://schemas.openxmlformats.org/officeDocument/2006/relationships/hyperlink" Target="https://view.officeapps.live.com/op/view.aspx?src=https%3A%2F%2Fwww.tewhatuora.govt.nz%2Fassets%2FOur-health-system%2FInfrastructure-and-investment%2FMasterplanning-guidance-FINAL-1-1.docx&amp;wdOrigin=BROWSELINK" TargetMode="External"/><Relationship Id="rId33" Type="http://schemas.openxmlformats.org/officeDocument/2006/relationships/hyperlink" Target="https://www.healthfacilityguidelines.com.au/health-planning-units" TargetMode="External"/><Relationship Id="rId38" Type="http://schemas.openxmlformats.org/officeDocument/2006/relationships/diagramColors" Target="diagrams/colors3.xml"/><Relationship Id="rId46" Type="http://schemas.openxmlformats.org/officeDocument/2006/relationships/image" Target="media/image14.png"/><Relationship Id="rId20" Type="http://schemas.openxmlformats.org/officeDocument/2006/relationships/diagramData" Target="diagrams/data1.xml"/><Relationship Id="rId41" Type="http://schemas.openxmlformats.org/officeDocument/2006/relationships/image" Target="media/image1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diagramColors" Target="diagrams/colors1.xml"/><Relationship Id="rId28" Type="http://schemas.openxmlformats.org/officeDocument/2006/relationships/diagramLayout" Target="diagrams/layout2.xml"/><Relationship Id="rId36" Type="http://schemas.openxmlformats.org/officeDocument/2006/relationships/diagramLayout" Target="diagrams/layout3.xml"/><Relationship Id="rId49" Type="http://schemas.openxmlformats.org/officeDocument/2006/relationships/hyperlink" Target="https://https:/www.tewhatuora.govt.nz/preview/3c46beed8ba1130e/f928fa73a970d70d"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4A2B5C-7CB3-41B2-9E60-A2F44650840F}"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en-NZ"/>
        </a:p>
      </dgm:t>
    </dgm:pt>
    <dgm:pt modelId="{D7AC6E57-F844-4B35-94E0-092F3EF6EF80}">
      <dgm:prSet phldrT="[Text]" custT="1"/>
      <dgm:spPr>
        <a:solidFill>
          <a:srgbClr val="15284C"/>
        </a:solidFill>
      </dgm:spPr>
      <dgm:t>
        <a:bodyPr/>
        <a:lstStyle/>
        <a:p>
          <a:r>
            <a:rPr lang="en-NZ" sz="1600">
              <a:solidFill>
                <a:schemeClr val="bg1"/>
              </a:solidFill>
            </a:rPr>
            <a:t>Health New Zeland | Te Whatu Ora infrastructure delivery frameworks</a:t>
          </a:r>
        </a:p>
      </dgm:t>
    </dgm:pt>
    <dgm:pt modelId="{6CE4A79D-A075-48AB-B983-89325F583A57}" type="parTrans" cxnId="{F9D73DE9-4C10-4FED-8CEC-E7C32C452CF3}">
      <dgm:prSet/>
      <dgm:spPr/>
      <dgm:t>
        <a:bodyPr/>
        <a:lstStyle/>
        <a:p>
          <a:endParaRPr lang="en-NZ">
            <a:solidFill>
              <a:sysClr val="windowText" lastClr="000000"/>
            </a:solidFill>
          </a:endParaRPr>
        </a:p>
      </dgm:t>
    </dgm:pt>
    <dgm:pt modelId="{1825089C-A8E8-468F-B342-EC9E21ABFD92}" type="sibTrans" cxnId="{F9D73DE9-4C10-4FED-8CEC-E7C32C452CF3}">
      <dgm:prSet/>
      <dgm:spPr/>
      <dgm:t>
        <a:bodyPr/>
        <a:lstStyle/>
        <a:p>
          <a:endParaRPr lang="en-NZ">
            <a:solidFill>
              <a:sysClr val="windowText" lastClr="000000"/>
            </a:solidFill>
          </a:endParaRPr>
        </a:p>
      </dgm:t>
    </dgm:pt>
    <dgm:pt modelId="{D05BEE1E-8576-4EA3-A7B3-7F8BE599D313}">
      <dgm:prSet phldrT="[Text]" custT="1"/>
      <dgm:spPr>
        <a:solidFill>
          <a:srgbClr val="93A3C2"/>
        </a:solidFill>
      </dgm:spPr>
      <dgm:t>
        <a:bodyPr lIns="0" rIns="0"/>
        <a:lstStyle/>
        <a:p>
          <a:r>
            <a:rPr lang="en-NZ" sz="900">
              <a:solidFill>
                <a:sysClr val="windowText" lastClr="000000"/>
              </a:solidFill>
            </a:rPr>
            <a:t>Post Occupancy Evaluations  -- Lessons learned </a:t>
          </a:r>
        </a:p>
      </dgm:t>
    </dgm:pt>
    <dgm:pt modelId="{C89A6F8A-1D66-4AFA-B1C3-A9D2A7E8614B}" type="parTrans" cxnId="{123B15E9-4824-471B-AE32-B28301BC40BB}">
      <dgm:prSet/>
      <dgm:spPr/>
      <dgm:t>
        <a:bodyPr/>
        <a:lstStyle/>
        <a:p>
          <a:endParaRPr lang="en-NZ">
            <a:solidFill>
              <a:sysClr val="windowText" lastClr="000000"/>
            </a:solidFill>
          </a:endParaRPr>
        </a:p>
      </dgm:t>
    </dgm:pt>
    <dgm:pt modelId="{94E22A98-8876-410E-A88D-800E6A0F88B3}" type="sibTrans" cxnId="{123B15E9-4824-471B-AE32-B28301BC40BB}">
      <dgm:prSet/>
      <dgm:spPr/>
      <dgm:t>
        <a:bodyPr/>
        <a:lstStyle/>
        <a:p>
          <a:endParaRPr lang="en-NZ">
            <a:solidFill>
              <a:sysClr val="windowText" lastClr="000000"/>
            </a:solidFill>
          </a:endParaRPr>
        </a:p>
      </dgm:t>
    </dgm:pt>
    <dgm:pt modelId="{971C7B39-33AC-4B4C-9275-2D1627A4D784}">
      <dgm:prSet phldrT="[Text]" custT="1"/>
      <dgm:spPr>
        <a:solidFill>
          <a:srgbClr val="93A3C2"/>
        </a:solidFill>
      </dgm:spPr>
      <dgm:t>
        <a:bodyPr lIns="0" rIns="0"/>
        <a:lstStyle/>
        <a:p>
          <a:r>
            <a:rPr lang="en-NZ" sz="900">
              <a:solidFill>
                <a:sysClr val="windowText" lastClr="000000"/>
              </a:solidFill>
            </a:rPr>
            <a:t>Stakeholder engagement </a:t>
          </a:r>
        </a:p>
      </dgm:t>
    </dgm:pt>
    <dgm:pt modelId="{0F8D6A9A-7629-4109-AC6A-9A11BBE32137}" type="parTrans" cxnId="{F146EDAE-16BE-4D4F-84FB-FD60E83D37FE}">
      <dgm:prSet/>
      <dgm:spPr/>
      <dgm:t>
        <a:bodyPr/>
        <a:lstStyle/>
        <a:p>
          <a:endParaRPr lang="en-NZ">
            <a:solidFill>
              <a:sysClr val="windowText" lastClr="000000"/>
            </a:solidFill>
          </a:endParaRPr>
        </a:p>
      </dgm:t>
    </dgm:pt>
    <dgm:pt modelId="{5C2E8B1A-C2DA-4430-9A29-A43FFA8520A7}" type="sibTrans" cxnId="{F146EDAE-16BE-4D4F-84FB-FD60E83D37FE}">
      <dgm:prSet/>
      <dgm:spPr/>
      <dgm:t>
        <a:bodyPr/>
        <a:lstStyle/>
        <a:p>
          <a:endParaRPr lang="en-NZ">
            <a:solidFill>
              <a:sysClr val="windowText" lastClr="000000"/>
            </a:solidFill>
          </a:endParaRPr>
        </a:p>
      </dgm:t>
    </dgm:pt>
    <dgm:pt modelId="{D0200EEE-00E0-47A7-97B4-669934689FD4}">
      <dgm:prSet phldrT="[Text]" custT="1"/>
      <dgm:spPr>
        <a:solidFill>
          <a:srgbClr val="93A3C2"/>
        </a:solidFill>
      </dgm:spPr>
      <dgm:t>
        <a:bodyPr lIns="0" rIns="0"/>
        <a:lstStyle/>
        <a:p>
          <a:r>
            <a:rPr lang="en-NZ" sz="900">
              <a:solidFill>
                <a:sysClr val="windowText" lastClr="000000"/>
              </a:solidFill>
            </a:rPr>
            <a:t>Health and Safety &amp; Risk management </a:t>
          </a:r>
        </a:p>
      </dgm:t>
    </dgm:pt>
    <dgm:pt modelId="{89F9BC37-2AE4-446F-BA50-D3A5C7BEFD7A}" type="parTrans" cxnId="{4AFD2D18-C81E-47A1-9E75-70A0A1D654DC}">
      <dgm:prSet/>
      <dgm:spPr/>
      <dgm:t>
        <a:bodyPr/>
        <a:lstStyle/>
        <a:p>
          <a:endParaRPr lang="en-NZ">
            <a:solidFill>
              <a:sysClr val="windowText" lastClr="000000"/>
            </a:solidFill>
          </a:endParaRPr>
        </a:p>
      </dgm:t>
    </dgm:pt>
    <dgm:pt modelId="{2CC2EF53-8C12-437E-A4BA-8B20B4FD15AC}" type="sibTrans" cxnId="{4AFD2D18-C81E-47A1-9E75-70A0A1D654DC}">
      <dgm:prSet/>
      <dgm:spPr/>
      <dgm:t>
        <a:bodyPr/>
        <a:lstStyle/>
        <a:p>
          <a:endParaRPr lang="en-NZ">
            <a:solidFill>
              <a:sysClr val="windowText" lastClr="000000"/>
            </a:solidFill>
          </a:endParaRPr>
        </a:p>
      </dgm:t>
    </dgm:pt>
    <dgm:pt modelId="{25DAD457-8D04-45CB-BB64-C618A530B954}">
      <dgm:prSet phldrT="[Text]" custT="1"/>
      <dgm:spPr>
        <a:solidFill>
          <a:srgbClr val="93A3C2"/>
        </a:solidFill>
      </dgm:spPr>
      <dgm:t>
        <a:bodyPr lIns="0" rIns="0"/>
        <a:lstStyle/>
        <a:p>
          <a:r>
            <a:rPr lang="en-NZ" sz="900">
              <a:solidFill>
                <a:sysClr val="windowText" lastClr="000000"/>
              </a:solidFill>
            </a:rPr>
            <a:t>National Digital Facilities Framework </a:t>
          </a:r>
        </a:p>
      </dgm:t>
    </dgm:pt>
    <dgm:pt modelId="{19248C80-B2A0-40D0-8EEF-22EBE4E2C837}" type="parTrans" cxnId="{3392609A-6509-4A0E-B4A9-24BE82C96A30}">
      <dgm:prSet/>
      <dgm:spPr/>
      <dgm:t>
        <a:bodyPr/>
        <a:lstStyle/>
        <a:p>
          <a:endParaRPr lang="en-NZ">
            <a:solidFill>
              <a:sysClr val="windowText" lastClr="000000"/>
            </a:solidFill>
          </a:endParaRPr>
        </a:p>
      </dgm:t>
    </dgm:pt>
    <dgm:pt modelId="{2BDA1F27-C51E-43FA-BBA0-E203CD97D0CB}" type="sibTrans" cxnId="{3392609A-6509-4A0E-B4A9-24BE82C96A30}">
      <dgm:prSet/>
      <dgm:spPr/>
      <dgm:t>
        <a:bodyPr/>
        <a:lstStyle/>
        <a:p>
          <a:endParaRPr lang="en-NZ">
            <a:solidFill>
              <a:sysClr val="windowText" lastClr="000000"/>
            </a:solidFill>
          </a:endParaRPr>
        </a:p>
      </dgm:t>
    </dgm:pt>
    <dgm:pt modelId="{57048974-48E2-445B-9289-7860B21314BC}">
      <dgm:prSet phldrT="[Text]" custT="1"/>
      <dgm:spPr>
        <a:solidFill>
          <a:srgbClr val="93A3C2">
            <a:alpha val="50000"/>
          </a:srgbClr>
        </a:solidFill>
      </dgm:spPr>
      <dgm:t>
        <a:bodyPr lIns="0" rIns="0"/>
        <a:lstStyle/>
        <a:p>
          <a:r>
            <a:rPr lang="en-NZ" sz="900">
              <a:solidFill>
                <a:sysClr val="windowText" lastClr="000000"/>
              </a:solidFill>
            </a:rPr>
            <a:t>Health Infrastructure Plan</a:t>
          </a:r>
        </a:p>
      </dgm:t>
    </dgm:pt>
    <dgm:pt modelId="{C063C2AD-F413-4630-9D65-77F93BFEF8F2}" type="parTrans" cxnId="{B2C8974E-F470-45CF-82E8-8AE61271F52D}">
      <dgm:prSet/>
      <dgm:spPr/>
      <dgm:t>
        <a:bodyPr/>
        <a:lstStyle/>
        <a:p>
          <a:endParaRPr lang="en-NZ">
            <a:solidFill>
              <a:sysClr val="windowText" lastClr="000000"/>
            </a:solidFill>
          </a:endParaRPr>
        </a:p>
      </dgm:t>
    </dgm:pt>
    <dgm:pt modelId="{63E39A90-735F-46F6-B5B9-607991935573}" type="sibTrans" cxnId="{B2C8974E-F470-45CF-82E8-8AE61271F52D}">
      <dgm:prSet/>
      <dgm:spPr/>
      <dgm:t>
        <a:bodyPr/>
        <a:lstStyle/>
        <a:p>
          <a:endParaRPr lang="en-NZ">
            <a:solidFill>
              <a:sysClr val="windowText" lastClr="000000"/>
            </a:solidFill>
          </a:endParaRPr>
        </a:p>
      </dgm:t>
    </dgm:pt>
    <dgm:pt modelId="{8FA82524-F64C-4F99-B821-9275180F6BEE}">
      <dgm:prSet phldrT="[Text]" custT="1"/>
      <dgm:spPr>
        <a:solidFill>
          <a:srgbClr val="93A3C2">
            <a:alpha val="50000"/>
          </a:srgbClr>
        </a:solidFill>
      </dgm:spPr>
      <dgm:t>
        <a:bodyPr lIns="0" rIns="0"/>
        <a:lstStyle/>
        <a:p>
          <a:r>
            <a:rPr lang="en-NZ" sz="900">
              <a:solidFill>
                <a:sysClr val="windowText" lastClr="000000"/>
              </a:solidFill>
            </a:rPr>
            <a:t>Infrastructure Planning Framework</a:t>
          </a:r>
        </a:p>
        <a:p>
          <a:endParaRPr lang="en-NZ" sz="900" i="1">
            <a:solidFill>
              <a:sysClr val="windowText" lastClr="000000"/>
            </a:solidFill>
            <a:highlight>
              <a:srgbClr val="FFFF00"/>
            </a:highlight>
          </a:endParaRPr>
        </a:p>
      </dgm:t>
    </dgm:pt>
    <dgm:pt modelId="{7611DC49-6650-4B61-9EA1-BDA9790B52C5}" type="parTrans" cxnId="{36E8B577-45C8-4638-A05C-AB76218F3E80}">
      <dgm:prSet/>
      <dgm:spPr/>
      <dgm:t>
        <a:bodyPr/>
        <a:lstStyle/>
        <a:p>
          <a:endParaRPr lang="en-NZ">
            <a:solidFill>
              <a:sysClr val="windowText" lastClr="000000"/>
            </a:solidFill>
          </a:endParaRPr>
        </a:p>
      </dgm:t>
    </dgm:pt>
    <dgm:pt modelId="{4331E4C1-6D4B-43C5-BBA1-37F2531CC769}" type="sibTrans" cxnId="{36E8B577-45C8-4638-A05C-AB76218F3E80}">
      <dgm:prSet/>
      <dgm:spPr/>
      <dgm:t>
        <a:bodyPr/>
        <a:lstStyle/>
        <a:p>
          <a:endParaRPr lang="en-NZ">
            <a:solidFill>
              <a:sysClr val="windowText" lastClr="000000"/>
            </a:solidFill>
          </a:endParaRPr>
        </a:p>
      </dgm:t>
    </dgm:pt>
    <dgm:pt modelId="{BEFE486A-8106-422F-A48B-FAFB698D9019}">
      <dgm:prSet phldrT="[Text]" custT="1"/>
      <dgm:spPr>
        <a:solidFill>
          <a:srgbClr val="93A3C2">
            <a:alpha val="50000"/>
          </a:srgbClr>
        </a:solidFill>
      </dgm:spPr>
      <dgm:t>
        <a:bodyPr lIns="0" rIns="0"/>
        <a:lstStyle/>
        <a:p>
          <a:r>
            <a:rPr lang="en-NZ" sz="900" b="0" i="0">
              <a:solidFill>
                <a:sysClr val="windowText" lastClr="000000"/>
              </a:solidFill>
            </a:rPr>
            <a:t>National Asset Management Strategy - Infrastructure</a:t>
          </a:r>
          <a:endParaRPr lang="en-NZ" sz="900" b="0" i="1">
            <a:solidFill>
              <a:sysClr val="windowText" lastClr="000000"/>
            </a:solidFill>
          </a:endParaRPr>
        </a:p>
      </dgm:t>
    </dgm:pt>
    <dgm:pt modelId="{5F48873D-27CF-4F76-B555-E0F9379FF1D0}" type="parTrans" cxnId="{AB4C1883-9DC6-46AD-9C78-6DC2903D6288}">
      <dgm:prSet/>
      <dgm:spPr/>
      <dgm:t>
        <a:bodyPr/>
        <a:lstStyle/>
        <a:p>
          <a:endParaRPr lang="en-NZ">
            <a:solidFill>
              <a:sysClr val="windowText" lastClr="000000"/>
            </a:solidFill>
          </a:endParaRPr>
        </a:p>
      </dgm:t>
    </dgm:pt>
    <dgm:pt modelId="{9F4F2192-850D-4967-8EBB-74785766B008}" type="sibTrans" cxnId="{AB4C1883-9DC6-46AD-9C78-6DC2903D6288}">
      <dgm:prSet/>
      <dgm:spPr/>
      <dgm:t>
        <a:bodyPr/>
        <a:lstStyle/>
        <a:p>
          <a:endParaRPr lang="en-NZ">
            <a:solidFill>
              <a:sysClr val="windowText" lastClr="000000"/>
            </a:solidFill>
          </a:endParaRPr>
        </a:p>
      </dgm:t>
    </dgm:pt>
    <dgm:pt modelId="{9F49B2A7-029C-42E2-B523-6CC0F4DC25AE}">
      <dgm:prSet phldrT="[Text]" custT="1"/>
      <dgm:spPr>
        <a:solidFill>
          <a:srgbClr val="30A1AC">
            <a:alpha val="46000"/>
          </a:srgbClr>
        </a:solidFill>
      </dgm:spPr>
      <dgm:t>
        <a:bodyPr lIns="0" rIns="0"/>
        <a:lstStyle/>
        <a:p>
          <a:r>
            <a:rPr lang="en-NZ" sz="900" b="1">
              <a:solidFill>
                <a:sysClr val="windowText" lastClr="000000"/>
              </a:solidFill>
            </a:rPr>
            <a:t>Design Guidance and Assurance Framework</a:t>
          </a:r>
          <a:endParaRPr lang="en-NZ" sz="900">
            <a:solidFill>
              <a:sysClr val="windowText" lastClr="000000"/>
            </a:solidFill>
          </a:endParaRPr>
        </a:p>
      </dgm:t>
    </dgm:pt>
    <dgm:pt modelId="{5E21E80E-DF50-4D9B-AF13-8F6FE029C7B6}" type="parTrans" cxnId="{D2E507A6-23BA-4FEE-AF0E-0BA834E00AF7}">
      <dgm:prSet/>
      <dgm:spPr/>
      <dgm:t>
        <a:bodyPr/>
        <a:lstStyle/>
        <a:p>
          <a:endParaRPr lang="en-NZ">
            <a:solidFill>
              <a:sysClr val="windowText" lastClr="000000"/>
            </a:solidFill>
          </a:endParaRPr>
        </a:p>
      </dgm:t>
    </dgm:pt>
    <dgm:pt modelId="{297DC785-5112-4D33-BB76-87B85A1DCAF6}" type="sibTrans" cxnId="{D2E507A6-23BA-4FEE-AF0E-0BA834E00AF7}">
      <dgm:prSet/>
      <dgm:spPr/>
      <dgm:t>
        <a:bodyPr/>
        <a:lstStyle/>
        <a:p>
          <a:endParaRPr lang="en-NZ">
            <a:solidFill>
              <a:sysClr val="windowText" lastClr="000000"/>
            </a:solidFill>
          </a:endParaRPr>
        </a:p>
      </dgm:t>
    </dgm:pt>
    <dgm:pt modelId="{CCF8EB17-2548-4EB2-839B-52743B2F258A}" type="pres">
      <dgm:prSet presAssocID="{4C4A2B5C-7CB3-41B2-9E60-A2F44650840F}" presName="Name0" presStyleCnt="0">
        <dgm:presLayoutVars>
          <dgm:chPref val="1"/>
          <dgm:dir/>
          <dgm:animOne val="branch"/>
          <dgm:animLvl val="lvl"/>
          <dgm:resizeHandles/>
        </dgm:presLayoutVars>
      </dgm:prSet>
      <dgm:spPr/>
    </dgm:pt>
    <dgm:pt modelId="{F201F904-A827-487A-9392-75777CE0F483}" type="pres">
      <dgm:prSet presAssocID="{D7AC6E57-F844-4B35-94E0-092F3EF6EF80}" presName="vertOne" presStyleCnt="0"/>
      <dgm:spPr/>
    </dgm:pt>
    <dgm:pt modelId="{5A183A8A-D91A-46A7-91EC-6B133D72AF68}" type="pres">
      <dgm:prSet presAssocID="{D7AC6E57-F844-4B35-94E0-092F3EF6EF80}" presName="txOne" presStyleLbl="node0" presStyleIdx="0" presStyleCnt="1" custScaleY="49920">
        <dgm:presLayoutVars>
          <dgm:chPref val="3"/>
        </dgm:presLayoutVars>
      </dgm:prSet>
      <dgm:spPr/>
    </dgm:pt>
    <dgm:pt modelId="{83334532-D318-45A7-9C72-65306808CE0F}" type="pres">
      <dgm:prSet presAssocID="{D7AC6E57-F844-4B35-94E0-092F3EF6EF80}" presName="parTransOne" presStyleCnt="0"/>
      <dgm:spPr/>
    </dgm:pt>
    <dgm:pt modelId="{990E246C-CD8C-4C5B-9530-F94C03BCFD2F}" type="pres">
      <dgm:prSet presAssocID="{D7AC6E57-F844-4B35-94E0-092F3EF6EF80}" presName="horzOne" presStyleCnt="0"/>
      <dgm:spPr/>
    </dgm:pt>
    <dgm:pt modelId="{DF9DE663-3DBB-414F-AAA7-7253324F3EF3}" type="pres">
      <dgm:prSet presAssocID="{D05BEE1E-8576-4EA3-A7B3-7F8BE599D313}" presName="vertTwo" presStyleCnt="0"/>
      <dgm:spPr/>
    </dgm:pt>
    <dgm:pt modelId="{6718B21B-A555-4B40-BD2C-32D67042A626}" type="pres">
      <dgm:prSet presAssocID="{D05BEE1E-8576-4EA3-A7B3-7F8BE599D313}" presName="txTwo" presStyleLbl="node2" presStyleIdx="0" presStyleCnt="8">
        <dgm:presLayoutVars>
          <dgm:chPref val="3"/>
        </dgm:presLayoutVars>
      </dgm:prSet>
      <dgm:spPr/>
    </dgm:pt>
    <dgm:pt modelId="{326AF15C-5BF6-4D9A-A47A-598FA98FD5A4}" type="pres">
      <dgm:prSet presAssocID="{D05BEE1E-8576-4EA3-A7B3-7F8BE599D313}" presName="horzTwo" presStyleCnt="0"/>
      <dgm:spPr/>
    </dgm:pt>
    <dgm:pt modelId="{A70BB0DF-3807-4675-B3AB-A26603999C63}" type="pres">
      <dgm:prSet presAssocID="{94E22A98-8876-410E-A88D-800E6A0F88B3}" presName="sibSpaceTwo" presStyleCnt="0"/>
      <dgm:spPr/>
    </dgm:pt>
    <dgm:pt modelId="{8BD3B888-448A-4074-88FF-1453856D5967}" type="pres">
      <dgm:prSet presAssocID="{971C7B39-33AC-4B4C-9275-2D1627A4D784}" presName="vertTwo" presStyleCnt="0"/>
      <dgm:spPr/>
    </dgm:pt>
    <dgm:pt modelId="{238E372C-46B1-48EF-AAE0-90D134B45FD5}" type="pres">
      <dgm:prSet presAssocID="{971C7B39-33AC-4B4C-9275-2D1627A4D784}" presName="txTwo" presStyleLbl="node2" presStyleIdx="1" presStyleCnt="8">
        <dgm:presLayoutVars>
          <dgm:chPref val="3"/>
        </dgm:presLayoutVars>
      </dgm:prSet>
      <dgm:spPr/>
    </dgm:pt>
    <dgm:pt modelId="{229C8FA1-D3C8-462D-9A4A-347A88DFB5B8}" type="pres">
      <dgm:prSet presAssocID="{971C7B39-33AC-4B4C-9275-2D1627A4D784}" presName="horzTwo" presStyleCnt="0"/>
      <dgm:spPr/>
    </dgm:pt>
    <dgm:pt modelId="{A7BC7507-4DAB-41D8-91DB-5C69FEBEF239}" type="pres">
      <dgm:prSet presAssocID="{5C2E8B1A-C2DA-4430-9A29-A43FFA8520A7}" presName="sibSpaceTwo" presStyleCnt="0"/>
      <dgm:spPr/>
    </dgm:pt>
    <dgm:pt modelId="{DD9FAEEA-B6F9-4E4C-95F3-098904CE7691}" type="pres">
      <dgm:prSet presAssocID="{D0200EEE-00E0-47A7-97B4-669934689FD4}" presName="vertTwo" presStyleCnt="0"/>
      <dgm:spPr/>
    </dgm:pt>
    <dgm:pt modelId="{2DCF3268-B23E-42B1-A27B-BF1EB7CBFA61}" type="pres">
      <dgm:prSet presAssocID="{D0200EEE-00E0-47A7-97B4-669934689FD4}" presName="txTwo" presStyleLbl="node2" presStyleIdx="2" presStyleCnt="8">
        <dgm:presLayoutVars>
          <dgm:chPref val="3"/>
        </dgm:presLayoutVars>
      </dgm:prSet>
      <dgm:spPr/>
    </dgm:pt>
    <dgm:pt modelId="{7529E7CE-106B-490D-9032-23F922E76071}" type="pres">
      <dgm:prSet presAssocID="{D0200EEE-00E0-47A7-97B4-669934689FD4}" presName="horzTwo" presStyleCnt="0"/>
      <dgm:spPr/>
    </dgm:pt>
    <dgm:pt modelId="{41DFC5B0-E007-4BD2-996E-88A342C8590E}" type="pres">
      <dgm:prSet presAssocID="{2CC2EF53-8C12-437E-A4BA-8B20B4FD15AC}" presName="sibSpaceTwo" presStyleCnt="0"/>
      <dgm:spPr/>
    </dgm:pt>
    <dgm:pt modelId="{E3D377CC-3F53-4D84-A221-13100F9BF299}" type="pres">
      <dgm:prSet presAssocID="{25DAD457-8D04-45CB-BB64-C618A530B954}" presName="vertTwo" presStyleCnt="0"/>
      <dgm:spPr/>
    </dgm:pt>
    <dgm:pt modelId="{21EC9871-8677-4689-9D87-75CCF8C37B9A}" type="pres">
      <dgm:prSet presAssocID="{25DAD457-8D04-45CB-BB64-C618A530B954}" presName="txTwo" presStyleLbl="node2" presStyleIdx="3" presStyleCnt="8">
        <dgm:presLayoutVars>
          <dgm:chPref val="3"/>
        </dgm:presLayoutVars>
      </dgm:prSet>
      <dgm:spPr/>
    </dgm:pt>
    <dgm:pt modelId="{17ADB784-43A9-4D40-B4C9-A55203D435B1}" type="pres">
      <dgm:prSet presAssocID="{25DAD457-8D04-45CB-BB64-C618A530B954}" presName="horzTwo" presStyleCnt="0"/>
      <dgm:spPr/>
    </dgm:pt>
    <dgm:pt modelId="{1D8195F3-7395-4C3F-872F-6884838EA4DC}" type="pres">
      <dgm:prSet presAssocID="{2BDA1F27-C51E-43FA-BBA0-E203CD97D0CB}" presName="sibSpaceTwo" presStyleCnt="0"/>
      <dgm:spPr/>
    </dgm:pt>
    <dgm:pt modelId="{3FE9D4F0-00E0-48CB-9BA5-51695F1E7EED}" type="pres">
      <dgm:prSet presAssocID="{9F49B2A7-029C-42E2-B523-6CC0F4DC25AE}" presName="vertTwo" presStyleCnt="0"/>
      <dgm:spPr/>
    </dgm:pt>
    <dgm:pt modelId="{6E18344D-792B-425C-B3DE-AA0C07E0FA7E}" type="pres">
      <dgm:prSet presAssocID="{9F49B2A7-029C-42E2-B523-6CC0F4DC25AE}" presName="txTwo" presStyleLbl="node2" presStyleIdx="4" presStyleCnt="8">
        <dgm:presLayoutVars>
          <dgm:chPref val="3"/>
        </dgm:presLayoutVars>
      </dgm:prSet>
      <dgm:spPr>
        <a:prstGeom prst="roundRect">
          <a:avLst/>
        </a:prstGeom>
      </dgm:spPr>
    </dgm:pt>
    <dgm:pt modelId="{C7860962-E84B-49EE-B401-EFD309AA024E}" type="pres">
      <dgm:prSet presAssocID="{9F49B2A7-029C-42E2-B523-6CC0F4DC25AE}" presName="horzTwo" presStyleCnt="0"/>
      <dgm:spPr/>
    </dgm:pt>
    <dgm:pt modelId="{9B10F74D-3FFF-456C-A37C-4D998D3838FC}" type="pres">
      <dgm:prSet presAssocID="{297DC785-5112-4D33-BB76-87B85A1DCAF6}" presName="sibSpaceTwo" presStyleCnt="0"/>
      <dgm:spPr/>
    </dgm:pt>
    <dgm:pt modelId="{87393756-EB2A-45F2-9A84-BB1AF8B696F6}" type="pres">
      <dgm:prSet presAssocID="{57048974-48E2-445B-9289-7860B21314BC}" presName="vertTwo" presStyleCnt="0"/>
      <dgm:spPr/>
    </dgm:pt>
    <dgm:pt modelId="{051035FD-5EF1-436B-A311-B6DCD6EBE328}" type="pres">
      <dgm:prSet presAssocID="{57048974-48E2-445B-9289-7860B21314BC}" presName="txTwo" presStyleLbl="node2" presStyleIdx="5" presStyleCnt="8" custScaleX="107602">
        <dgm:presLayoutVars>
          <dgm:chPref val="3"/>
        </dgm:presLayoutVars>
      </dgm:prSet>
      <dgm:spPr/>
    </dgm:pt>
    <dgm:pt modelId="{1B2C4ED4-3E6E-4566-8468-3624B2D5DBD9}" type="pres">
      <dgm:prSet presAssocID="{57048974-48E2-445B-9289-7860B21314BC}" presName="horzTwo" presStyleCnt="0"/>
      <dgm:spPr/>
    </dgm:pt>
    <dgm:pt modelId="{6E6396BB-66BA-43E2-93AD-D5C4C522672B}" type="pres">
      <dgm:prSet presAssocID="{63E39A90-735F-46F6-B5B9-607991935573}" presName="sibSpaceTwo" presStyleCnt="0"/>
      <dgm:spPr/>
    </dgm:pt>
    <dgm:pt modelId="{9482AB8D-C2FB-4B57-8710-397CFEA3A518}" type="pres">
      <dgm:prSet presAssocID="{8FA82524-F64C-4F99-B821-9275180F6BEE}" presName="vertTwo" presStyleCnt="0"/>
      <dgm:spPr/>
    </dgm:pt>
    <dgm:pt modelId="{16AB08F2-4211-4C5A-89EE-952E829A072C}" type="pres">
      <dgm:prSet presAssocID="{8FA82524-F64C-4F99-B821-9275180F6BEE}" presName="txTwo" presStyleLbl="node2" presStyleIdx="6" presStyleCnt="8">
        <dgm:presLayoutVars>
          <dgm:chPref val="3"/>
        </dgm:presLayoutVars>
      </dgm:prSet>
      <dgm:spPr/>
    </dgm:pt>
    <dgm:pt modelId="{0DCBAFB0-B51A-4628-B2C7-E02FC0D80053}" type="pres">
      <dgm:prSet presAssocID="{8FA82524-F64C-4F99-B821-9275180F6BEE}" presName="horzTwo" presStyleCnt="0"/>
      <dgm:spPr/>
    </dgm:pt>
    <dgm:pt modelId="{A18344BD-A701-4DD6-A7BB-5AA6212FD725}" type="pres">
      <dgm:prSet presAssocID="{4331E4C1-6D4B-43C5-BBA1-37F2531CC769}" presName="sibSpaceTwo" presStyleCnt="0"/>
      <dgm:spPr/>
    </dgm:pt>
    <dgm:pt modelId="{8E7228F2-9B4E-4B6B-AFFA-3515F2CB46AD}" type="pres">
      <dgm:prSet presAssocID="{BEFE486A-8106-422F-A48B-FAFB698D9019}" presName="vertTwo" presStyleCnt="0"/>
      <dgm:spPr/>
    </dgm:pt>
    <dgm:pt modelId="{1630DAC8-1CCC-4DDE-B7BD-15598DC38263}" type="pres">
      <dgm:prSet presAssocID="{BEFE486A-8106-422F-A48B-FAFB698D9019}" presName="txTwo" presStyleLbl="node2" presStyleIdx="7" presStyleCnt="8" custLinFactNeighborY="788">
        <dgm:presLayoutVars>
          <dgm:chPref val="3"/>
        </dgm:presLayoutVars>
      </dgm:prSet>
      <dgm:spPr/>
    </dgm:pt>
    <dgm:pt modelId="{BDB5D026-A133-4A2B-9015-0824F6ED587F}" type="pres">
      <dgm:prSet presAssocID="{BEFE486A-8106-422F-A48B-FAFB698D9019}" presName="horzTwo" presStyleCnt="0"/>
      <dgm:spPr/>
    </dgm:pt>
  </dgm:ptLst>
  <dgm:cxnLst>
    <dgm:cxn modelId="{4AFD2D18-C81E-47A1-9E75-70A0A1D654DC}" srcId="{D7AC6E57-F844-4B35-94E0-092F3EF6EF80}" destId="{D0200EEE-00E0-47A7-97B4-669934689FD4}" srcOrd="2" destOrd="0" parTransId="{89F9BC37-2AE4-446F-BA50-D3A5C7BEFD7A}" sibTransId="{2CC2EF53-8C12-437E-A4BA-8B20B4FD15AC}"/>
    <dgm:cxn modelId="{086B2134-A195-491E-95BE-65ABFC56CF14}" type="presOf" srcId="{D7AC6E57-F844-4B35-94E0-092F3EF6EF80}" destId="{5A183A8A-D91A-46A7-91EC-6B133D72AF68}" srcOrd="0" destOrd="0" presId="urn:microsoft.com/office/officeart/2005/8/layout/hierarchy4"/>
    <dgm:cxn modelId="{2D3C2E62-063C-45DF-85D9-C2521DE25651}" type="presOf" srcId="{25DAD457-8D04-45CB-BB64-C618A530B954}" destId="{21EC9871-8677-4689-9D87-75CCF8C37B9A}" srcOrd="0" destOrd="0" presId="urn:microsoft.com/office/officeart/2005/8/layout/hierarchy4"/>
    <dgm:cxn modelId="{04BF396A-5AE2-4F85-B81C-1BB8660291DC}" type="presOf" srcId="{D05BEE1E-8576-4EA3-A7B3-7F8BE599D313}" destId="{6718B21B-A555-4B40-BD2C-32D67042A626}" srcOrd="0" destOrd="0" presId="urn:microsoft.com/office/officeart/2005/8/layout/hierarchy4"/>
    <dgm:cxn modelId="{B2C8974E-F470-45CF-82E8-8AE61271F52D}" srcId="{D7AC6E57-F844-4B35-94E0-092F3EF6EF80}" destId="{57048974-48E2-445B-9289-7860B21314BC}" srcOrd="5" destOrd="0" parTransId="{C063C2AD-F413-4630-9D65-77F93BFEF8F2}" sibTransId="{63E39A90-735F-46F6-B5B9-607991935573}"/>
    <dgm:cxn modelId="{36E8B577-45C8-4638-A05C-AB76218F3E80}" srcId="{D7AC6E57-F844-4B35-94E0-092F3EF6EF80}" destId="{8FA82524-F64C-4F99-B821-9275180F6BEE}" srcOrd="6" destOrd="0" parTransId="{7611DC49-6650-4B61-9EA1-BDA9790B52C5}" sibTransId="{4331E4C1-6D4B-43C5-BBA1-37F2531CC769}"/>
    <dgm:cxn modelId="{AB4C1883-9DC6-46AD-9C78-6DC2903D6288}" srcId="{D7AC6E57-F844-4B35-94E0-092F3EF6EF80}" destId="{BEFE486A-8106-422F-A48B-FAFB698D9019}" srcOrd="7" destOrd="0" parTransId="{5F48873D-27CF-4F76-B555-E0F9379FF1D0}" sibTransId="{9F4F2192-850D-4967-8EBB-74785766B008}"/>
    <dgm:cxn modelId="{E25D4C85-4B13-4DC6-BC42-1CD700C84A9E}" type="presOf" srcId="{57048974-48E2-445B-9289-7860B21314BC}" destId="{051035FD-5EF1-436B-A311-B6DCD6EBE328}" srcOrd="0" destOrd="0" presId="urn:microsoft.com/office/officeart/2005/8/layout/hierarchy4"/>
    <dgm:cxn modelId="{E206F793-85ED-4D8E-BF36-82C04F73AD58}" type="presOf" srcId="{4C4A2B5C-7CB3-41B2-9E60-A2F44650840F}" destId="{CCF8EB17-2548-4EB2-839B-52743B2F258A}" srcOrd="0" destOrd="0" presId="urn:microsoft.com/office/officeart/2005/8/layout/hierarchy4"/>
    <dgm:cxn modelId="{3392609A-6509-4A0E-B4A9-24BE82C96A30}" srcId="{D7AC6E57-F844-4B35-94E0-092F3EF6EF80}" destId="{25DAD457-8D04-45CB-BB64-C618A530B954}" srcOrd="3" destOrd="0" parTransId="{19248C80-B2A0-40D0-8EEF-22EBE4E2C837}" sibTransId="{2BDA1F27-C51E-43FA-BBA0-E203CD97D0CB}"/>
    <dgm:cxn modelId="{D2E507A6-23BA-4FEE-AF0E-0BA834E00AF7}" srcId="{D7AC6E57-F844-4B35-94E0-092F3EF6EF80}" destId="{9F49B2A7-029C-42E2-B523-6CC0F4DC25AE}" srcOrd="4" destOrd="0" parTransId="{5E21E80E-DF50-4D9B-AF13-8F6FE029C7B6}" sibTransId="{297DC785-5112-4D33-BB76-87B85A1DCAF6}"/>
    <dgm:cxn modelId="{46C78EA7-4BA4-4EDE-9520-4012B1F35A72}" type="presOf" srcId="{8FA82524-F64C-4F99-B821-9275180F6BEE}" destId="{16AB08F2-4211-4C5A-89EE-952E829A072C}" srcOrd="0" destOrd="0" presId="urn:microsoft.com/office/officeart/2005/8/layout/hierarchy4"/>
    <dgm:cxn modelId="{F146EDAE-16BE-4D4F-84FB-FD60E83D37FE}" srcId="{D7AC6E57-F844-4B35-94E0-092F3EF6EF80}" destId="{971C7B39-33AC-4B4C-9275-2D1627A4D784}" srcOrd="1" destOrd="0" parTransId="{0F8D6A9A-7629-4109-AC6A-9A11BBE32137}" sibTransId="{5C2E8B1A-C2DA-4430-9A29-A43FFA8520A7}"/>
    <dgm:cxn modelId="{746543B1-2208-4A45-99D1-EEFC00A2D449}" type="presOf" srcId="{D0200EEE-00E0-47A7-97B4-669934689FD4}" destId="{2DCF3268-B23E-42B1-A27B-BF1EB7CBFA61}" srcOrd="0" destOrd="0" presId="urn:microsoft.com/office/officeart/2005/8/layout/hierarchy4"/>
    <dgm:cxn modelId="{61DBB8D5-6FCE-42BE-AF73-6C70D1CF96DB}" type="presOf" srcId="{971C7B39-33AC-4B4C-9275-2D1627A4D784}" destId="{238E372C-46B1-48EF-AAE0-90D134B45FD5}" srcOrd="0" destOrd="0" presId="urn:microsoft.com/office/officeart/2005/8/layout/hierarchy4"/>
    <dgm:cxn modelId="{F49FACDB-F4A6-431C-A2E8-C198F4211001}" type="presOf" srcId="{9F49B2A7-029C-42E2-B523-6CC0F4DC25AE}" destId="{6E18344D-792B-425C-B3DE-AA0C07E0FA7E}" srcOrd="0" destOrd="0" presId="urn:microsoft.com/office/officeart/2005/8/layout/hierarchy4"/>
    <dgm:cxn modelId="{66ADFCDF-8FCF-46ED-9FD4-BCAB688F6398}" type="presOf" srcId="{BEFE486A-8106-422F-A48B-FAFB698D9019}" destId="{1630DAC8-1CCC-4DDE-B7BD-15598DC38263}" srcOrd="0" destOrd="0" presId="urn:microsoft.com/office/officeart/2005/8/layout/hierarchy4"/>
    <dgm:cxn modelId="{123B15E9-4824-471B-AE32-B28301BC40BB}" srcId="{D7AC6E57-F844-4B35-94E0-092F3EF6EF80}" destId="{D05BEE1E-8576-4EA3-A7B3-7F8BE599D313}" srcOrd="0" destOrd="0" parTransId="{C89A6F8A-1D66-4AFA-B1C3-A9D2A7E8614B}" sibTransId="{94E22A98-8876-410E-A88D-800E6A0F88B3}"/>
    <dgm:cxn modelId="{F9D73DE9-4C10-4FED-8CEC-E7C32C452CF3}" srcId="{4C4A2B5C-7CB3-41B2-9E60-A2F44650840F}" destId="{D7AC6E57-F844-4B35-94E0-092F3EF6EF80}" srcOrd="0" destOrd="0" parTransId="{6CE4A79D-A075-48AB-B983-89325F583A57}" sibTransId="{1825089C-A8E8-468F-B342-EC9E21ABFD92}"/>
    <dgm:cxn modelId="{805BD0B4-B038-4F9F-AD35-408863F6E19C}" type="presParOf" srcId="{CCF8EB17-2548-4EB2-839B-52743B2F258A}" destId="{F201F904-A827-487A-9392-75777CE0F483}" srcOrd="0" destOrd="0" presId="urn:microsoft.com/office/officeart/2005/8/layout/hierarchy4"/>
    <dgm:cxn modelId="{DF62CA3A-E0AB-491F-8DFB-361B76C88394}" type="presParOf" srcId="{F201F904-A827-487A-9392-75777CE0F483}" destId="{5A183A8A-D91A-46A7-91EC-6B133D72AF68}" srcOrd="0" destOrd="0" presId="urn:microsoft.com/office/officeart/2005/8/layout/hierarchy4"/>
    <dgm:cxn modelId="{1D75A397-FC6B-44B7-912B-D9F822C51425}" type="presParOf" srcId="{F201F904-A827-487A-9392-75777CE0F483}" destId="{83334532-D318-45A7-9C72-65306808CE0F}" srcOrd="1" destOrd="0" presId="urn:microsoft.com/office/officeart/2005/8/layout/hierarchy4"/>
    <dgm:cxn modelId="{2EA446A8-2A40-469E-A8C9-93FD5DDDA952}" type="presParOf" srcId="{F201F904-A827-487A-9392-75777CE0F483}" destId="{990E246C-CD8C-4C5B-9530-F94C03BCFD2F}" srcOrd="2" destOrd="0" presId="urn:microsoft.com/office/officeart/2005/8/layout/hierarchy4"/>
    <dgm:cxn modelId="{87D8850C-8212-46B1-9B37-84995CA5EE20}" type="presParOf" srcId="{990E246C-CD8C-4C5B-9530-F94C03BCFD2F}" destId="{DF9DE663-3DBB-414F-AAA7-7253324F3EF3}" srcOrd="0" destOrd="0" presId="urn:microsoft.com/office/officeart/2005/8/layout/hierarchy4"/>
    <dgm:cxn modelId="{AE73E8E6-3A6D-44B7-A608-BABBEAF76156}" type="presParOf" srcId="{DF9DE663-3DBB-414F-AAA7-7253324F3EF3}" destId="{6718B21B-A555-4B40-BD2C-32D67042A626}" srcOrd="0" destOrd="0" presId="urn:microsoft.com/office/officeart/2005/8/layout/hierarchy4"/>
    <dgm:cxn modelId="{62A9B6CB-1BEA-441F-BFB1-5E7F1FC048D4}" type="presParOf" srcId="{DF9DE663-3DBB-414F-AAA7-7253324F3EF3}" destId="{326AF15C-5BF6-4D9A-A47A-598FA98FD5A4}" srcOrd="1" destOrd="0" presId="urn:microsoft.com/office/officeart/2005/8/layout/hierarchy4"/>
    <dgm:cxn modelId="{3048A461-D2C9-48CD-8965-401BBC4013AB}" type="presParOf" srcId="{990E246C-CD8C-4C5B-9530-F94C03BCFD2F}" destId="{A70BB0DF-3807-4675-B3AB-A26603999C63}" srcOrd="1" destOrd="0" presId="urn:microsoft.com/office/officeart/2005/8/layout/hierarchy4"/>
    <dgm:cxn modelId="{51D1E1D2-3345-4F1B-883E-35C81B40D2B8}" type="presParOf" srcId="{990E246C-CD8C-4C5B-9530-F94C03BCFD2F}" destId="{8BD3B888-448A-4074-88FF-1453856D5967}" srcOrd="2" destOrd="0" presId="urn:microsoft.com/office/officeart/2005/8/layout/hierarchy4"/>
    <dgm:cxn modelId="{7A71D4D5-50A4-45CE-9102-3B0F0F5296C8}" type="presParOf" srcId="{8BD3B888-448A-4074-88FF-1453856D5967}" destId="{238E372C-46B1-48EF-AAE0-90D134B45FD5}" srcOrd="0" destOrd="0" presId="urn:microsoft.com/office/officeart/2005/8/layout/hierarchy4"/>
    <dgm:cxn modelId="{49B49F8C-CD23-48D2-9036-9D92285C5A92}" type="presParOf" srcId="{8BD3B888-448A-4074-88FF-1453856D5967}" destId="{229C8FA1-D3C8-462D-9A4A-347A88DFB5B8}" srcOrd="1" destOrd="0" presId="urn:microsoft.com/office/officeart/2005/8/layout/hierarchy4"/>
    <dgm:cxn modelId="{030793DE-B614-4031-A78D-C43B202DFDC3}" type="presParOf" srcId="{990E246C-CD8C-4C5B-9530-F94C03BCFD2F}" destId="{A7BC7507-4DAB-41D8-91DB-5C69FEBEF239}" srcOrd="3" destOrd="0" presId="urn:microsoft.com/office/officeart/2005/8/layout/hierarchy4"/>
    <dgm:cxn modelId="{DBF3003E-4B30-4F2A-9CD4-3ECE415CFEB4}" type="presParOf" srcId="{990E246C-CD8C-4C5B-9530-F94C03BCFD2F}" destId="{DD9FAEEA-B6F9-4E4C-95F3-098904CE7691}" srcOrd="4" destOrd="0" presId="urn:microsoft.com/office/officeart/2005/8/layout/hierarchy4"/>
    <dgm:cxn modelId="{EF6C0977-64D4-4DCA-8AA5-5C2924A0AE41}" type="presParOf" srcId="{DD9FAEEA-B6F9-4E4C-95F3-098904CE7691}" destId="{2DCF3268-B23E-42B1-A27B-BF1EB7CBFA61}" srcOrd="0" destOrd="0" presId="urn:microsoft.com/office/officeart/2005/8/layout/hierarchy4"/>
    <dgm:cxn modelId="{016146E2-B787-48D6-9793-5B3FD2121216}" type="presParOf" srcId="{DD9FAEEA-B6F9-4E4C-95F3-098904CE7691}" destId="{7529E7CE-106B-490D-9032-23F922E76071}" srcOrd="1" destOrd="0" presId="urn:microsoft.com/office/officeart/2005/8/layout/hierarchy4"/>
    <dgm:cxn modelId="{52FCE04E-6D96-41F5-8C32-26BC4BECF483}" type="presParOf" srcId="{990E246C-CD8C-4C5B-9530-F94C03BCFD2F}" destId="{41DFC5B0-E007-4BD2-996E-88A342C8590E}" srcOrd="5" destOrd="0" presId="urn:microsoft.com/office/officeart/2005/8/layout/hierarchy4"/>
    <dgm:cxn modelId="{E0BA7696-D15A-4811-9239-C9547E667CB8}" type="presParOf" srcId="{990E246C-CD8C-4C5B-9530-F94C03BCFD2F}" destId="{E3D377CC-3F53-4D84-A221-13100F9BF299}" srcOrd="6" destOrd="0" presId="urn:microsoft.com/office/officeart/2005/8/layout/hierarchy4"/>
    <dgm:cxn modelId="{F6E02451-3948-45A6-89FB-4295E62CF07E}" type="presParOf" srcId="{E3D377CC-3F53-4D84-A221-13100F9BF299}" destId="{21EC9871-8677-4689-9D87-75CCF8C37B9A}" srcOrd="0" destOrd="0" presId="urn:microsoft.com/office/officeart/2005/8/layout/hierarchy4"/>
    <dgm:cxn modelId="{D53957D1-2B45-4B69-82EE-01DBFA29E5CB}" type="presParOf" srcId="{E3D377CC-3F53-4D84-A221-13100F9BF299}" destId="{17ADB784-43A9-4D40-B4C9-A55203D435B1}" srcOrd="1" destOrd="0" presId="urn:microsoft.com/office/officeart/2005/8/layout/hierarchy4"/>
    <dgm:cxn modelId="{DF53EFE6-393B-47EA-9DDF-EDDCA9FCBA4B}" type="presParOf" srcId="{990E246C-CD8C-4C5B-9530-F94C03BCFD2F}" destId="{1D8195F3-7395-4C3F-872F-6884838EA4DC}" srcOrd="7" destOrd="0" presId="urn:microsoft.com/office/officeart/2005/8/layout/hierarchy4"/>
    <dgm:cxn modelId="{D8C1D4C8-13C2-46DB-9491-0119BD438CB4}" type="presParOf" srcId="{990E246C-CD8C-4C5B-9530-F94C03BCFD2F}" destId="{3FE9D4F0-00E0-48CB-9BA5-51695F1E7EED}" srcOrd="8" destOrd="0" presId="urn:microsoft.com/office/officeart/2005/8/layout/hierarchy4"/>
    <dgm:cxn modelId="{7A4F87CD-C149-4DC1-B060-BACCF75EB7C3}" type="presParOf" srcId="{3FE9D4F0-00E0-48CB-9BA5-51695F1E7EED}" destId="{6E18344D-792B-425C-B3DE-AA0C07E0FA7E}" srcOrd="0" destOrd="0" presId="urn:microsoft.com/office/officeart/2005/8/layout/hierarchy4"/>
    <dgm:cxn modelId="{C7A4D3FC-6CE3-48AE-A8C6-6632FFACC695}" type="presParOf" srcId="{3FE9D4F0-00E0-48CB-9BA5-51695F1E7EED}" destId="{C7860962-E84B-49EE-B401-EFD309AA024E}" srcOrd="1" destOrd="0" presId="urn:microsoft.com/office/officeart/2005/8/layout/hierarchy4"/>
    <dgm:cxn modelId="{66643C3B-6F07-41A3-A08F-28E0CEF43302}" type="presParOf" srcId="{990E246C-CD8C-4C5B-9530-F94C03BCFD2F}" destId="{9B10F74D-3FFF-456C-A37C-4D998D3838FC}" srcOrd="9" destOrd="0" presId="urn:microsoft.com/office/officeart/2005/8/layout/hierarchy4"/>
    <dgm:cxn modelId="{B04EC5FB-977D-4708-99FF-20AD03582630}" type="presParOf" srcId="{990E246C-CD8C-4C5B-9530-F94C03BCFD2F}" destId="{87393756-EB2A-45F2-9A84-BB1AF8B696F6}" srcOrd="10" destOrd="0" presId="urn:microsoft.com/office/officeart/2005/8/layout/hierarchy4"/>
    <dgm:cxn modelId="{BBB3B499-3C85-401F-A495-6E179BB71F0B}" type="presParOf" srcId="{87393756-EB2A-45F2-9A84-BB1AF8B696F6}" destId="{051035FD-5EF1-436B-A311-B6DCD6EBE328}" srcOrd="0" destOrd="0" presId="urn:microsoft.com/office/officeart/2005/8/layout/hierarchy4"/>
    <dgm:cxn modelId="{B200D08E-A80F-480A-B503-78B1528777C3}" type="presParOf" srcId="{87393756-EB2A-45F2-9A84-BB1AF8B696F6}" destId="{1B2C4ED4-3E6E-4566-8468-3624B2D5DBD9}" srcOrd="1" destOrd="0" presId="urn:microsoft.com/office/officeart/2005/8/layout/hierarchy4"/>
    <dgm:cxn modelId="{52816412-3812-4377-B52B-916476811C0B}" type="presParOf" srcId="{990E246C-CD8C-4C5B-9530-F94C03BCFD2F}" destId="{6E6396BB-66BA-43E2-93AD-D5C4C522672B}" srcOrd="11" destOrd="0" presId="urn:microsoft.com/office/officeart/2005/8/layout/hierarchy4"/>
    <dgm:cxn modelId="{1DACB035-1339-4F2F-841C-32339AE0A4DB}" type="presParOf" srcId="{990E246C-CD8C-4C5B-9530-F94C03BCFD2F}" destId="{9482AB8D-C2FB-4B57-8710-397CFEA3A518}" srcOrd="12" destOrd="0" presId="urn:microsoft.com/office/officeart/2005/8/layout/hierarchy4"/>
    <dgm:cxn modelId="{C1828CCF-DAD4-4B27-8497-B346E9FD122A}" type="presParOf" srcId="{9482AB8D-C2FB-4B57-8710-397CFEA3A518}" destId="{16AB08F2-4211-4C5A-89EE-952E829A072C}" srcOrd="0" destOrd="0" presId="urn:microsoft.com/office/officeart/2005/8/layout/hierarchy4"/>
    <dgm:cxn modelId="{D2491553-A841-46FD-99A6-2D54D226A79A}" type="presParOf" srcId="{9482AB8D-C2FB-4B57-8710-397CFEA3A518}" destId="{0DCBAFB0-B51A-4628-B2C7-E02FC0D80053}" srcOrd="1" destOrd="0" presId="urn:microsoft.com/office/officeart/2005/8/layout/hierarchy4"/>
    <dgm:cxn modelId="{AE512E47-83E9-44E7-B5D5-38185796B431}" type="presParOf" srcId="{990E246C-CD8C-4C5B-9530-F94C03BCFD2F}" destId="{A18344BD-A701-4DD6-A7BB-5AA6212FD725}" srcOrd="13" destOrd="0" presId="urn:microsoft.com/office/officeart/2005/8/layout/hierarchy4"/>
    <dgm:cxn modelId="{6D0FA33A-80B5-4773-B0DC-8CE749FA36DC}" type="presParOf" srcId="{990E246C-CD8C-4C5B-9530-F94C03BCFD2F}" destId="{8E7228F2-9B4E-4B6B-AFFA-3515F2CB46AD}" srcOrd="14" destOrd="0" presId="urn:microsoft.com/office/officeart/2005/8/layout/hierarchy4"/>
    <dgm:cxn modelId="{86818D70-2490-4FA4-9FAD-E1021C319CA7}" type="presParOf" srcId="{8E7228F2-9B4E-4B6B-AFFA-3515F2CB46AD}" destId="{1630DAC8-1CCC-4DDE-B7BD-15598DC38263}" srcOrd="0" destOrd="0" presId="urn:microsoft.com/office/officeart/2005/8/layout/hierarchy4"/>
    <dgm:cxn modelId="{5C5911EB-B0F7-4342-9C96-212D663A30C3}" type="presParOf" srcId="{8E7228F2-9B4E-4B6B-AFFA-3515F2CB46AD}" destId="{BDB5D026-A133-4A2B-9015-0824F6ED587F}" srcOrd="1" destOrd="0" presId="urn:microsoft.com/office/officeart/2005/8/layout/hierarchy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F9DD7D-5270-466B-94E2-069857EA0380}" type="doc">
      <dgm:prSet loTypeId="urn:microsoft.com/office/officeart/2005/8/layout/pyramid1" loCatId="pyramid" qsTypeId="urn:microsoft.com/office/officeart/2005/8/quickstyle/simple1" qsCatId="simple" csTypeId="urn:microsoft.com/office/officeart/2005/8/colors/accent1_2" csCatId="accent1" phldr="1"/>
      <dgm:spPr/>
    </dgm:pt>
    <dgm:pt modelId="{F077C181-4A5E-442C-B506-7651C9D4EA20}">
      <dgm:prSet phldrT="[Text]" custT="1"/>
      <dgm:spPr>
        <a:solidFill>
          <a:srgbClr val="93A3C2"/>
        </a:solidFill>
      </dgm:spPr>
      <dgm:t>
        <a:bodyPr/>
        <a:lstStyle/>
        <a:p>
          <a:pPr algn="ctr"/>
          <a:endParaRPr lang="en-NZ" sz="1050"/>
        </a:p>
        <a:p>
          <a:pPr algn="ctr"/>
          <a:endParaRPr lang="en-NZ" sz="1050"/>
        </a:p>
        <a:p>
          <a:pPr algn="ctr"/>
          <a:r>
            <a:rPr lang="en-NZ" sz="1050" b="1">
              <a:solidFill>
                <a:schemeClr val="bg1"/>
              </a:solidFill>
            </a:rPr>
            <a:t>Project </a:t>
          </a:r>
        </a:p>
        <a:p>
          <a:pPr algn="ctr"/>
          <a:r>
            <a:rPr lang="en-NZ" sz="1050" b="1">
              <a:solidFill>
                <a:schemeClr val="bg1"/>
              </a:solidFill>
            </a:rPr>
            <a:t>specific design </a:t>
          </a:r>
        </a:p>
        <a:p>
          <a:pPr algn="ctr"/>
          <a:r>
            <a:rPr lang="en-NZ" sz="1050" b="1">
              <a:solidFill>
                <a:schemeClr val="bg1"/>
              </a:solidFill>
            </a:rPr>
            <a:t>requirements </a:t>
          </a:r>
        </a:p>
      </dgm:t>
    </dgm:pt>
    <dgm:pt modelId="{59D1E788-8BFB-4FFD-AB3C-659A931DEFC8}" type="parTrans" cxnId="{C233E362-1BBC-4012-A5A9-72AA5BE30290}">
      <dgm:prSet/>
      <dgm:spPr/>
      <dgm:t>
        <a:bodyPr/>
        <a:lstStyle/>
        <a:p>
          <a:pPr algn="ctr"/>
          <a:endParaRPr lang="en-NZ" sz="2400"/>
        </a:p>
      </dgm:t>
    </dgm:pt>
    <dgm:pt modelId="{4A21C7FD-7D26-4BA0-BC77-CEBBBDC4A2E7}" type="sibTrans" cxnId="{C233E362-1BBC-4012-A5A9-72AA5BE30290}">
      <dgm:prSet/>
      <dgm:spPr/>
      <dgm:t>
        <a:bodyPr/>
        <a:lstStyle/>
        <a:p>
          <a:pPr algn="ctr"/>
          <a:endParaRPr lang="en-NZ" sz="2400"/>
        </a:p>
      </dgm:t>
    </dgm:pt>
    <dgm:pt modelId="{A9516156-6C17-49AA-BD6A-D4344874AE11}">
      <dgm:prSet phldrT="[Text]" custT="1"/>
      <dgm:spPr>
        <a:solidFill>
          <a:srgbClr val="5D7296"/>
        </a:solidFill>
      </dgm:spPr>
      <dgm:t>
        <a:bodyPr/>
        <a:lstStyle/>
        <a:p>
          <a:pPr algn="ctr"/>
          <a:r>
            <a:rPr lang="en-NZ" sz="1050" b="1">
              <a:solidFill>
                <a:schemeClr val="bg1"/>
              </a:solidFill>
            </a:rPr>
            <a:t>Australasian Health Facility Design Guidelines</a:t>
          </a:r>
        </a:p>
      </dgm:t>
    </dgm:pt>
    <dgm:pt modelId="{176415DD-E044-487B-9546-112EA4C6E0E8}" type="parTrans" cxnId="{9D9217A9-1112-40A0-BFDC-66D5FD7A46A4}">
      <dgm:prSet/>
      <dgm:spPr/>
      <dgm:t>
        <a:bodyPr/>
        <a:lstStyle/>
        <a:p>
          <a:pPr algn="ctr"/>
          <a:endParaRPr lang="en-NZ" sz="2400"/>
        </a:p>
      </dgm:t>
    </dgm:pt>
    <dgm:pt modelId="{A1EF2CD8-42B9-4ABD-9822-F585127A80B3}" type="sibTrans" cxnId="{9D9217A9-1112-40A0-BFDC-66D5FD7A46A4}">
      <dgm:prSet/>
      <dgm:spPr/>
      <dgm:t>
        <a:bodyPr/>
        <a:lstStyle/>
        <a:p>
          <a:pPr algn="ctr"/>
          <a:endParaRPr lang="en-NZ" sz="2400"/>
        </a:p>
      </dgm:t>
    </dgm:pt>
    <dgm:pt modelId="{782A68B4-6097-444E-90A3-F6731AB26E61}">
      <dgm:prSet phldrT="[Text]" custT="1"/>
      <dgm:spPr>
        <a:solidFill>
          <a:srgbClr val="15284C"/>
        </a:solidFill>
      </dgm:spPr>
      <dgm:t>
        <a:bodyPr/>
        <a:lstStyle/>
        <a:p>
          <a:pPr algn="ctr"/>
          <a:r>
            <a:rPr lang="en-NZ" sz="1050" b="1">
              <a:solidFill>
                <a:schemeClr val="bg1"/>
              </a:solidFill>
            </a:rPr>
            <a:t>Legislation and associated regulations (including the New Zealand Building Code)</a:t>
          </a:r>
        </a:p>
      </dgm:t>
    </dgm:pt>
    <dgm:pt modelId="{5C8C7E3A-E540-4157-9A5A-F4F4174EB29E}" type="parTrans" cxnId="{3D2FD9A4-D933-41CF-BDF2-CFA07AA83536}">
      <dgm:prSet/>
      <dgm:spPr/>
      <dgm:t>
        <a:bodyPr/>
        <a:lstStyle/>
        <a:p>
          <a:pPr algn="ctr"/>
          <a:endParaRPr lang="en-NZ" sz="2400"/>
        </a:p>
      </dgm:t>
    </dgm:pt>
    <dgm:pt modelId="{7BFFD4DF-BC43-47B8-BEC9-85721387642E}" type="sibTrans" cxnId="{3D2FD9A4-D933-41CF-BDF2-CFA07AA83536}">
      <dgm:prSet/>
      <dgm:spPr/>
      <dgm:t>
        <a:bodyPr/>
        <a:lstStyle/>
        <a:p>
          <a:pPr algn="ctr"/>
          <a:endParaRPr lang="en-NZ" sz="2400"/>
        </a:p>
      </dgm:t>
    </dgm:pt>
    <dgm:pt modelId="{C876A643-18BC-41EF-9556-0521A28F8890}">
      <dgm:prSet phldrT="[Text]" custT="1"/>
      <dgm:spPr>
        <a:solidFill>
          <a:srgbClr val="768AAF"/>
        </a:solidFill>
      </dgm:spPr>
      <dgm:t>
        <a:bodyPr/>
        <a:lstStyle/>
        <a:p>
          <a:pPr algn="ctr"/>
          <a:r>
            <a:rPr lang="en-NZ" sz="1050" b="1">
              <a:solidFill>
                <a:schemeClr val="bg1"/>
              </a:solidFill>
            </a:rPr>
            <a:t>New Zealand specific design guidance</a:t>
          </a:r>
        </a:p>
      </dgm:t>
    </dgm:pt>
    <dgm:pt modelId="{8B99954B-7FE1-431A-B4BB-D29E637B51FD}" type="parTrans" cxnId="{5E5C4EE2-00D6-4A3F-BAE1-20F8CDD2FF19}">
      <dgm:prSet/>
      <dgm:spPr/>
      <dgm:t>
        <a:bodyPr/>
        <a:lstStyle/>
        <a:p>
          <a:pPr algn="ctr"/>
          <a:endParaRPr lang="en-NZ" sz="2400"/>
        </a:p>
      </dgm:t>
    </dgm:pt>
    <dgm:pt modelId="{0113AFEE-3DD4-499E-AA9E-AB8823FF1AD0}" type="sibTrans" cxnId="{5E5C4EE2-00D6-4A3F-BAE1-20F8CDD2FF19}">
      <dgm:prSet/>
      <dgm:spPr/>
      <dgm:t>
        <a:bodyPr/>
        <a:lstStyle/>
        <a:p>
          <a:pPr algn="ctr"/>
          <a:endParaRPr lang="en-NZ" sz="2400"/>
        </a:p>
      </dgm:t>
    </dgm:pt>
    <dgm:pt modelId="{04B52756-D502-4624-80D6-B6ADBD3765EC}" type="pres">
      <dgm:prSet presAssocID="{54F9DD7D-5270-466B-94E2-069857EA0380}" presName="Name0" presStyleCnt="0">
        <dgm:presLayoutVars>
          <dgm:dir/>
          <dgm:animLvl val="lvl"/>
          <dgm:resizeHandles val="exact"/>
        </dgm:presLayoutVars>
      </dgm:prSet>
      <dgm:spPr/>
    </dgm:pt>
    <dgm:pt modelId="{16606D90-C71C-4F2D-8104-4410F4C546FE}" type="pres">
      <dgm:prSet presAssocID="{F077C181-4A5E-442C-B506-7651C9D4EA20}" presName="Name8" presStyleCnt="0"/>
      <dgm:spPr/>
    </dgm:pt>
    <dgm:pt modelId="{89D25037-D649-4D6C-A67F-39F31AB77A8E}" type="pres">
      <dgm:prSet presAssocID="{F077C181-4A5E-442C-B506-7651C9D4EA20}" presName="level" presStyleLbl="node1" presStyleIdx="0" presStyleCnt="4" custScaleY="79950">
        <dgm:presLayoutVars>
          <dgm:chMax val="1"/>
          <dgm:bulletEnabled val="1"/>
        </dgm:presLayoutVars>
      </dgm:prSet>
      <dgm:spPr/>
    </dgm:pt>
    <dgm:pt modelId="{4182C5C0-B018-4EF1-AD06-344AB0743670}" type="pres">
      <dgm:prSet presAssocID="{F077C181-4A5E-442C-B506-7651C9D4EA20}" presName="levelTx" presStyleLbl="revTx" presStyleIdx="0" presStyleCnt="0">
        <dgm:presLayoutVars>
          <dgm:chMax val="1"/>
          <dgm:bulletEnabled val="1"/>
        </dgm:presLayoutVars>
      </dgm:prSet>
      <dgm:spPr/>
    </dgm:pt>
    <dgm:pt modelId="{3E30E647-7847-48C3-8764-3ACB49B16B48}" type="pres">
      <dgm:prSet presAssocID="{C876A643-18BC-41EF-9556-0521A28F8890}" presName="Name8" presStyleCnt="0"/>
      <dgm:spPr/>
    </dgm:pt>
    <dgm:pt modelId="{36EEEE22-F6FF-4FBF-930E-3A1E972E1E72}" type="pres">
      <dgm:prSet presAssocID="{C876A643-18BC-41EF-9556-0521A28F8890}" presName="level" presStyleLbl="node1" presStyleIdx="1" presStyleCnt="4" custScaleY="54095">
        <dgm:presLayoutVars>
          <dgm:chMax val="1"/>
          <dgm:bulletEnabled val="1"/>
        </dgm:presLayoutVars>
      </dgm:prSet>
      <dgm:spPr/>
    </dgm:pt>
    <dgm:pt modelId="{C3833CC1-2D49-403D-86C4-D920B08D2C67}" type="pres">
      <dgm:prSet presAssocID="{C876A643-18BC-41EF-9556-0521A28F8890}" presName="levelTx" presStyleLbl="revTx" presStyleIdx="0" presStyleCnt="0">
        <dgm:presLayoutVars>
          <dgm:chMax val="1"/>
          <dgm:bulletEnabled val="1"/>
        </dgm:presLayoutVars>
      </dgm:prSet>
      <dgm:spPr/>
    </dgm:pt>
    <dgm:pt modelId="{E24CEA5D-6503-452A-AC56-6950085D5776}" type="pres">
      <dgm:prSet presAssocID="{A9516156-6C17-49AA-BD6A-D4344874AE11}" presName="Name8" presStyleCnt="0"/>
      <dgm:spPr/>
    </dgm:pt>
    <dgm:pt modelId="{D14F9355-0F24-4D05-8190-6743914D83C3}" type="pres">
      <dgm:prSet presAssocID="{A9516156-6C17-49AA-BD6A-D4344874AE11}" presName="level" presStyleLbl="node1" presStyleIdx="2" presStyleCnt="4" custScaleY="57193">
        <dgm:presLayoutVars>
          <dgm:chMax val="1"/>
          <dgm:bulletEnabled val="1"/>
        </dgm:presLayoutVars>
      </dgm:prSet>
      <dgm:spPr/>
    </dgm:pt>
    <dgm:pt modelId="{2618BC43-4098-4AD9-8E58-5186E0990312}" type="pres">
      <dgm:prSet presAssocID="{A9516156-6C17-49AA-BD6A-D4344874AE11}" presName="levelTx" presStyleLbl="revTx" presStyleIdx="0" presStyleCnt="0">
        <dgm:presLayoutVars>
          <dgm:chMax val="1"/>
          <dgm:bulletEnabled val="1"/>
        </dgm:presLayoutVars>
      </dgm:prSet>
      <dgm:spPr/>
    </dgm:pt>
    <dgm:pt modelId="{CD80814D-A633-4889-90E2-519458094FA6}" type="pres">
      <dgm:prSet presAssocID="{782A68B4-6097-444E-90A3-F6731AB26E61}" presName="Name8" presStyleCnt="0"/>
      <dgm:spPr/>
    </dgm:pt>
    <dgm:pt modelId="{208E44D2-50AA-4722-B7DB-7251C5FF10AD}" type="pres">
      <dgm:prSet presAssocID="{782A68B4-6097-444E-90A3-F6731AB26E61}" presName="level" presStyleLbl="node1" presStyleIdx="3" presStyleCnt="4" custScaleY="36946">
        <dgm:presLayoutVars>
          <dgm:chMax val="1"/>
          <dgm:bulletEnabled val="1"/>
        </dgm:presLayoutVars>
      </dgm:prSet>
      <dgm:spPr/>
    </dgm:pt>
    <dgm:pt modelId="{962ED5B7-7857-43AE-82D3-AA93BAEFDD20}" type="pres">
      <dgm:prSet presAssocID="{782A68B4-6097-444E-90A3-F6731AB26E61}" presName="levelTx" presStyleLbl="revTx" presStyleIdx="0" presStyleCnt="0">
        <dgm:presLayoutVars>
          <dgm:chMax val="1"/>
          <dgm:bulletEnabled val="1"/>
        </dgm:presLayoutVars>
      </dgm:prSet>
      <dgm:spPr/>
    </dgm:pt>
  </dgm:ptLst>
  <dgm:cxnLst>
    <dgm:cxn modelId="{37F9523D-B369-4CC9-983C-C886646A274D}" type="presOf" srcId="{F077C181-4A5E-442C-B506-7651C9D4EA20}" destId="{4182C5C0-B018-4EF1-AD06-344AB0743670}" srcOrd="1" destOrd="0" presId="urn:microsoft.com/office/officeart/2005/8/layout/pyramid1"/>
    <dgm:cxn modelId="{E62A2062-CC33-42F5-8292-2A8C8642ECBB}" type="presOf" srcId="{A9516156-6C17-49AA-BD6A-D4344874AE11}" destId="{D14F9355-0F24-4D05-8190-6743914D83C3}" srcOrd="0" destOrd="0" presId="urn:microsoft.com/office/officeart/2005/8/layout/pyramid1"/>
    <dgm:cxn modelId="{C233E362-1BBC-4012-A5A9-72AA5BE30290}" srcId="{54F9DD7D-5270-466B-94E2-069857EA0380}" destId="{F077C181-4A5E-442C-B506-7651C9D4EA20}" srcOrd="0" destOrd="0" parTransId="{59D1E788-8BFB-4FFD-AB3C-659A931DEFC8}" sibTransId="{4A21C7FD-7D26-4BA0-BC77-CEBBBDC4A2E7}"/>
    <dgm:cxn modelId="{2250C157-FBB6-4DE2-8346-55A2D23D91D2}" type="presOf" srcId="{A9516156-6C17-49AA-BD6A-D4344874AE11}" destId="{2618BC43-4098-4AD9-8E58-5186E0990312}" srcOrd="1" destOrd="0" presId="urn:microsoft.com/office/officeart/2005/8/layout/pyramid1"/>
    <dgm:cxn modelId="{1C75A659-84CD-45C2-871B-EBFA084D404C}" type="presOf" srcId="{C876A643-18BC-41EF-9556-0521A28F8890}" destId="{C3833CC1-2D49-403D-86C4-D920B08D2C67}" srcOrd="1" destOrd="0" presId="urn:microsoft.com/office/officeart/2005/8/layout/pyramid1"/>
    <dgm:cxn modelId="{452ADB7A-2C4B-49B2-9524-348A1F469AC8}" type="presOf" srcId="{F077C181-4A5E-442C-B506-7651C9D4EA20}" destId="{89D25037-D649-4D6C-A67F-39F31AB77A8E}" srcOrd="0" destOrd="0" presId="urn:microsoft.com/office/officeart/2005/8/layout/pyramid1"/>
    <dgm:cxn modelId="{83FE1E94-A2E9-4066-B66E-662CED1B4CE5}" type="presOf" srcId="{782A68B4-6097-444E-90A3-F6731AB26E61}" destId="{208E44D2-50AA-4722-B7DB-7251C5FF10AD}" srcOrd="0" destOrd="0" presId="urn:microsoft.com/office/officeart/2005/8/layout/pyramid1"/>
    <dgm:cxn modelId="{5B693799-ECB7-407A-A596-A2FA3BD44650}" type="presOf" srcId="{54F9DD7D-5270-466B-94E2-069857EA0380}" destId="{04B52756-D502-4624-80D6-B6ADBD3765EC}" srcOrd="0" destOrd="0" presId="urn:microsoft.com/office/officeart/2005/8/layout/pyramid1"/>
    <dgm:cxn modelId="{3D2FD9A4-D933-41CF-BDF2-CFA07AA83536}" srcId="{54F9DD7D-5270-466B-94E2-069857EA0380}" destId="{782A68B4-6097-444E-90A3-F6731AB26E61}" srcOrd="3" destOrd="0" parTransId="{5C8C7E3A-E540-4157-9A5A-F4F4174EB29E}" sibTransId="{7BFFD4DF-BC43-47B8-BEC9-85721387642E}"/>
    <dgm:cxn modelId="{9D9217A9-1112-40A0-BFDC-66D5FD7A46A4}" srcId="{54F9DD7D-5270-466B-94E2-069857EA0380}" destId="{A9516156-6C17-49AA-BD6A-D4344874AE11}" srcOrd="2" destOrd="0" parTransId="{176415DD-E044-487B-9546-112EA4C6E0E8}" sibTransId="{A1EF2CD8-42B9-4ABD-9822-F585127A80B3}"/>
    <dgm:cxn modelId="{49BACEB7-77C4-4077-AEF9-D2FFB25A1BA5}" type="presOf" srcId="{782A68B4-6097-444E-90A3-F6731AB26E61}" destId="{962ED5B7-7857-43AE-82D3-AA93BAEFDD20}" srcOrd="1" destOrd="0" presId="urn:microsoft.com/office/officeart/2005/8/layout/pyramid1"/>
    <dgm:cxn modelId="{5E5C4EE2-00D6-4A3F-BAE1-20F8CDD2FF19}" srcId="{54F9DD7D-5270-466B-94E2-069857EA0380}" destId="{C876A643-18BC-41EF-9556-0521A28F8890}" srcOrd="1" destOrd="0" parTransId="{8B99954B-7FE1-431A-B4BB-D29E637B51FD}" sibTransId="{0113AFEE-3DD4-499E-AA9E-AB8823FF1AD0}"/>
    <dgm:cxn modelId="{F1E0BFE8-B322-4F00-B414-49806993DBC2}" type="presOf" srcId="{C876A643-18BC-41EF-9556-0521A28F8890}" destId="{36EEEE22-F6FF-4FBF-930E-3A1E972E1E72}" srcOrd="0" destOrd="0" presId="urn:microsoft.com/office/officeart/2005/8/layout/pyramid1"/>
    <dgm:cxn modelId="{B7D070FB-99DE-4C17-9D5C-5920B40AD417}" type="presParOf" srcId="{04B52756-D502-4624-80D6-B6ADBD3765EC}" destId="{16606D90-C71C-4F2D-8104-4410F4C546FE}" srcOrd="0" destOrd="0" presId="urn:microsoft.com/office/officeart/2005/8/layout/pyramid1"/>
    <dgm:cxn modelId="{9F7ABEAF-050D-4124-AA6C-0881E23A1161}" type="presParOf" srcId="{16606D90-C71C-4F2D-8104-4410F4C546FE}" destId="{89D25037-D649-4D6C-A67F-39F31AB77A8E}" srcOrd="0" destOrd="0" presId="urn:microsoft.com/office/officeart/2005/8/layout/pyramid1"/>
    <dgm:cxn modelId="{1D2B7CDE-F538-4177-8007-E15FF726E4A9}" type="presParOf" srcId="{16606D90-C71C-4F2D-8104-4410F4C546FE}" destId="{4182C5C0-B018-4EF1-AD06-344AB0743670}" srcOrd="1" destOrd="0" presId="urn:microsoft.com/office/officeart/2005/8/layout/pyramid1"/>
    <dgm:cxn modelId="{7EE3A734-4E52-4CBD-BD99-46482B1B5C45}" type="presParOf" srcId="{04B52756-D502-4624-80D6-B6ADBD3765EC}" destId="{3E30E647-7847-48C3-8764-3ACB49B16B48}" srcOrd="1" destOrd="0" presId="urn:microsoft.com/office/officeart/2005/8/layout/pyramid1"/>
    <dgm:cxn modelId="{53511DCE-779C-462F-B8D7-63E2CEED50F9}" type="presParOf" srcId="{3E30E647-7847-48C3-8764-3ACB49B16B48}" destId="{36EEEE22-F6FF-4FBF-930E-3A1E972E1E72}" srcOrd="0" destOrd="0" presId="urn:microsoft.com/office/officeart/2005/8/layout/pyramid1"/>
    <dgm:cxn modelId="{DCE9BE8B-2194-45E1-9020-7848C2E956C6}" type="presParOf" srcId="{3E30E647-7847-48C3-8764-3ACB49B16B48}" destId="{C3833CC1-2D49-403D-86C4-D920B08D2C67}" srcOrd="1" destOrd="0" presId="urn:microsoft.com/office/officeart/2005/8/layout/pyramid1"/>
    <dgm:cxn modelId="{4390E224-FE4E-4C3A-81E8-29EB0B76C83D}" type="presParOf" srcId="{04B52756-D502-4624-80D6-B6ADBD3765EC}" destId="{E24CEA5D-6503-452A-AC56-6950085D5776}" srcOrd="2" destOrd="0" presId="urn:microsoft.com/office/officeart/2005/8/layout/pyramid1"/>
    <dgm:cxn modelId="{407D6DDF-029D-4ACD-A78E-0ABC49A7D5CF}" type="presParOf" srcId="{E24CEA5D-6503-452A-AC56-6950085D5776}" destId="{D14F9355-0F24-4D05-8190-6743914D83C3}" srcOrd="0" destOrd="0" presId="urn:microsoft.com/office/officeart/2005/8/layout/pyramid1"/>
    <dgm:cxn modelId="{3ADEE863-106E-4110-906D-6C6EA93328EB}" type="presParOf" srcId="{E24CEA5D-6503-452A-AC56-6950085D5776}" destId="{2618BC43-4098-4AD9-8E58-5186E0990312}" srcOrd="1" destOrd="0" presId="urn:microsoft.com/office/officeart/2005/8/layout/pyramid1"/>
    <dgm:cxn modelId="{1493B323-A0A1-4EBC-B29F-1445238C49EC}" type="presParOf" srcId="{04B52756-D502-4624-80D6-B6ADBD3765EC}" destId="{CD80814D-A633-4889-90E2-519458094FA6}" srcOrd="3" destOrd="0" presId="urn:microsoft.com/office/officeart/2005/8/layout/pyramid1"/>
    <dgm:cxn modelId="{A6A415C5-2705-4487-ACC1-7A9A23E93554}" type="presParOf" srcId="{CD80814D-A633-4889-90E2-519458094FA6}" destId="{208E44D2-50AA-4722-B7DB-7251C5FF10AD}" srcOrd="0" destOrd="0" presId="urn:microsoft.com/office/officeart/2005/8/layout/pyramid1"/>
    <dgm:cxn modelId="{E38F7886-0626-4921-8554-E986617D99B5}" type="presParOf" srcId="{CD80814D-A633-4889-90E2-519458094FA6}" destId="{962ED5B7-7857-43AE-82D3-AA93BAEFDD20}" srcOrd="1" destOrd="0" presId="urn:microsoft.com/office/officeart/2005/8/layout/pyramid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6A4B3AC-22BF-4778-8194-ACCCB8FEABAC}" type="doc">
      <dgm:prSet loTypeId="urn:microsoft.com/office/officeart/2005/8/layout/chevron2" loCatId="list" qsTypeId="urn:microsoft.com/office/officeart/2005/8/quickstyle/simple1" qsCatId="simple" csTypeId="urn:microsoft.com/office/officeart/2005/8/colors/accent1_4" csCatId="accent1" phldr="1"/>
      <dgm:spPr/>
      <dgm:t>
        <a:bodyPr/>
        <a:lstStyle/>
        <a:p>
          <a:endParaRPr lang="en-NZ"/>
        </a:p>
      </dgm:t>
    </dgm:pt>
    <dgm:pt modelId="{385C1C0B-9F65-4B0E-B889-70888E34AB1F}">
      <dgm:prSet phldrT="[Text]" custT="1"/>
      <dgm:spPr/>
      <dgm:t>
        <a:bodyPr/>
        <a:lstStyle/>
        <a:p>
          <a:r>
            <a:rPr lang="en-NZ" sz="800" b="1"/>
            <a:t>Need identified</a:t>
          </a:r>
        </a:p>
      </dgm:t>
    </dgm:pt>
    <dgm:pt modelId="{824361E6-FBF1-41BE-81C3-06FF11AD785D}" type="parTrans" cxnId="{08014939-E79D-4F1C-8796-AF6FEC157C19}">
      <dgm:prSet/>
      <dgm:spPr/>
      <dgm:t>
        <a:bodyPr/>
        <a:lstStyle/>
        <a:p>
          <a:endParaRPr lang="en-NZ" sz="2000"/>
        </a:p>
      </dgm:t>
    </dgm:pt>
    <dgm:pt modelId="{A6F81200-4306-4BF0-96A1-12111C604B60}" type="sibTrans" cxnId="{08014939-E79D-4F1C-8796-AF6FEC157C19}">
      <dgm:prSet/>
      <dgm:spPr/>
      <dgm:t>
        <a:bodyPr/>
        <a:lstStyle/>
        <a:p>
          <a:endParaRPr lang="en-NZ" sz="2000"/>
        </a:p>
      </dgm:t>
    </dgm:pt>
    <dgm:pt modelId="{0C2EF7F2-D4D2-40BB-BF43-6E6B59CF358E}">
      <dgm:prSet phldrT="[Text]" custT="1"/>
      <dgm:spPr/>
      <dgm:t>
        <a:bodyPr/>
        <a:lstStyle/>
        <a:p>
          <a:r>
            <a:rPr lang="en-NZ" sz="1050">
              <a:latin typeface="Calibri" panose="020F0502020204030204" pitchFamily="34" charset="0"/>
              <a:cs typeface="Calibri" panose="020F0502020204030204" pitchFamily="34" charset="0"/>
            </a:rPr>
            <a:t>Resources are allocated to develop new design guidance where: there is a gap in the existing suite of design guidance (potentially suggested by users), the pipeline of development indicates a need.</a:t>
          </a:r>
        </a:p>
      </dgm:t>
    </dgm:pt>
    <dgm:pt modelId="{19979C14-7ABA-4D13-93B3-EF00F2A78238}" type="parTrans" cxnId="{A939D85B-5B90-471D-8BE8-62B667363E06}">
      <dgm:prSet/>
      <dgm:spPr/>
      <dgm:t>
        <a:bodyPr/>
        <a:lstStyle/>
        <a:p>
          <a:endParaRPr lang="en-NZ" sz="2000"/>
        </a:p>
      </dgm:t>
    </dgm:pt>
    <dgm:pt modelId="{6A9FD0CF-C76E-4528-B4D6-55CC6CE517BF}" type="sibTrans" cxnId="{A939D85B-5B90-471D-8BE8-62B667363E06}">
      <dgm:prSet/>
      <dgm:spPr/>
      <dgm:t>
        <a:bodyPr/>
        <a:lstStyle/>
        <a:p>
          <a:endParaRPr lang="en-NZ" sz="2000"/>
        </a:p>
      </dgm:t>
    </dgm:pt>
    <dgm:pt modelId="{37ECD6DF-574C-490D-A09D-EE6009962D23}">
      <dgm:prSet phldrT="[Text]" custT="1"/>
      <dgm:spPr/>
      <dgm:t>
        <a:bodyPr/>
        <a:lstStyle/>
        <a:p>
          <a:r>
            <a:rPr lang="en-NZ" sz="700" b="1"/>
            <a:t>Draft</a:t>
          </a:r>
        </a:p>
        <a:p>
          <a:r>
            <a:rPr lang="en-NZ" sz="700" b="1"/>
            <a:t>guidance </a:t>
          </a:r>
        </a:p>
      </dgm:t>
    </dgm:pt>
    <dgm:pt modelId="{84660CBB-AB2C-4254-96B0-489F300900C0}" type="parTrans" cxnId="{82EC8DFB-4724-4019-A40E-5F38C7783C4B}">
      <dgm:prSet/>
      <dgm:spPr/>
      <dgm:t>
        <a:bodyPr/>
        <a:lstStyle/>
        <a:p>
          <a:endParaRPr lang="en-NZ" sz="2000"/>
        </a:p>
      </dgm:t>
    </dgm:pt>
    <dgm:pt modelId="{652F1A61-3DEC-41C7-94CB-5779FD72E5FB}" type="sibTrans" cxnId="{82EC8DFB-4724-4019-A40E-5F38C7783C4B}">
      <dgm:prSet/>
      <dgm:spPr/>
      <dgm:t>
        <a:bodyPr/>
        <a:lstStyle/>
        <a:p>
          <a:endParaRPr lang="en-NZ" sz="2000"/>
        </a:p>
      </dgm:t>
    </dgm:pt>
    <dgm:pt modelId="{B97B4976-7CE3-47FF-8DF8-E3F70B083F0D}">
      <dgm:prSet phldrT="[Text]" custT="1"/>
      <dgm:spPr/>
      <dgm:t>
        <a:bodyPr/>
        <a:lstStyle/>
        <a:p>
          <a:r>
            <a:rPr lang="en-NZ" sz="1050">
              <a:latin typeface="Calibri" panose="020F0502020204030204" pitchFamily="34" charset="0"/>
              <a:cs typeface="Calibri" panose="020F0502020204030204" pitchFamily="34" charset="0"/>
            </a:rPr>
            <a:t>Guidance is drafted based on the best evidence available.</a:t>
          </a:r>
        </a:p>
      </dgm:t>
    </dgm:pt>
    <dgm:pt modelId="{F77B30DF-31A6-4144-8210-402DB406EC90}" type="parTrans" cxnId="{00E8D741-C9A2-4C62-8735-5294D43C2840}">
      <dgm:prSet/>
      <dgm:spPr/>
      <dgm:t>
        <a:bodyPr/>
        <a:lstStyle/>
        <a:p>
          <a:endParaRPr lang="en-NZ" sz="2000"/>
        </a:p>
      </dgm:t>
    </dgm:pt>
    <dgm:pt modelId="{14F3E1FB-A810-4B05-9A7E-D3538A0D7C84}" type="sibTrans" cxnId="{00E8D741-C9A2-4C62-8735-5294D43C2840}">
      <dgm:prSet/>
      <dgm:spPr/>
      <dgm:t>
        <a:bodyPr/>
        <a:lstStyle/>
        <a:p>
          <a:endParaRPr lang="en-NZ" sz="2000"/>
        </a:p>
      </dgm:t>
    </dgm:pt>
    <dgm:pt modelId="{9A4EA07C-21DD-4280-B7C2-B7873BF2730F}">
      <dgm:prSet phldrT="[Text]" custT="1"/>
      <dgm:spPr/>
      <dgm:t>
        <a:bodyPr/>
        <a:lstStyle/>
        <a:p>
          <a:r>
            <a:rPr lang="en-NZ" sz="700" b="1"/>
            <a:t>Expert feedback</a:t>
          </a:r>
        </a:p>
      </dgm:t>
    </dgm:pt>
    <dgm:pt modelId="{967ADCD1-1047-42A6-91F7-5F1CEBF2196B}" type="parTrans" cxnId="{C0F927F4-5499-413D-ABAC-3B978A0FBE17}">
      <dgm:prSet/>
      <dgm:spPr/>
      <dgm:t>
        <a:bodyPr/>
        <a:lstStyle/>
        <a:p>
          <a:endParaRPr lang="en-NZ" sz="2000"/>
        </a:p>
      </dgm:t>
    </dgm:pt>
    <dgm:pt modelId="{01CEDD62-8A43-475C-A8CA-CA39D106DA3E}" type="sibTrans" cxnId="{C0F927F4-5499-413D-ABAC-3B978A0FBE17}">
      <dgm:prSet/>
      <dgm:spPr/>
      <dgm:t>
        <a:bodyPr/>
        <a:lstStyle/>
        <a:p>
          <a:endParaRPr lang="en-NZ" sz="2000"/>
        </a:p>
      </dgm:t>
    </dgm:pt>
    <dgm:pt modelId="{E57DB105-D320-4B44-9DD2-8D9A372D14EE}">
      <dgm:prSet phldrT="[Text]" custT="1"/>
      <dgm:spPr/>
      <dgm:t>
        <a:bodyPr/>
        <a:lstStyle/>
        <a:p>
          <a:r>
            <a:rPr lang="en-NZ" sz="1050">
              <a:latin typeface="Calibri" panose="020F0502020204030204" pitchFamily="34" charset="0"/>
              <a:cs typeface="Calibri" panose="020F0502020204030204" pitchFamily="34" charset="0"/>
            </a:rPr>
            <a:t>The draft is further developed in consultation with internal and where relevant, external input and adjusted in response  to the  considered feedback.</a:t>
          </a:r>
        </a:p>
      </dgm:t>
    </dgm:pt>
    <dgm:pt modelId="{DD18729E-7F3A-4075-A51B-078BA8194D56}" type="parTrans" cxnId="{09014BC1-5F2D-4F21-851A-6A5F5B6C1287}">
      <dgm:prSet/>
      <dgm:spPr/>
      <dgm:t>
        <a:bodyPr/>
        <a:lstStyle/>
        <a:p>
          <a:endParaRPr lang="en-NZ" sz="2000"/>
        </a:p>
      </dgm:t>
    </dgm:pt>
    <dgm:pt modelId="{D3D5E5C1-C774-478A-9A27-3A407469DCF9}" type="sibTrans" cxnId="{09014BC1-5F2D-4F21-851A-6A5F5B6C1287}">
      <dgm:prSet/>
      <dgm:spPr/>
      <dgm:t>
        <a:bodyPr/>
        <a:lstStyle/>
        <a:p>
          <a:endParaRPr lang="en-NZ" sz="2000"/>
        </a:p>
      </dgm:t>
    </dgm:pt>
    <dgm:pt modelId="{06A8DE51-C2B5-4D87-AEEC-A81D87C99D55}">
      <dgm:prSet phldrT="[Text]" custT="1"/>
      <dgm:spPr/>
      <dgm:t>
        <a:bodyPr/>
        <a:lstStyle/>
        <a:p>
          <a:endParaRPr lang="en-NZ" sz="800"/>
        </a:p>
      </dgm:t>
    </dgm:pt>
    <dgm:pt modelId="{37552685-C88A-49DB-9D5C-637691D03873}" type="parTrans" cxnId="{77220626-A93D-46E0-BFEA-CFDD544FDF3F}">
      <dgm:prSet/>
      <dgm:spPr/>
      <dgm:t>
        <a:bodyPr/>
        <a:lstStyle/>
        <a:p>
          <a:endParaRPr lang="en-NZ" sz="2000"/>
        </a:p>
      </dgm:t>
    </dgm:pt>
    <dgm:pt modelId="{ABD3DE2A-94D5-4860-B6D4-CE7FAE2439A0}" type="sibTrans" cxnId="{77220626-A93D-46E0-BFEA-CFDD544FDF3F}">
      <dgm:prSet/>
      <dgm:spPr/>
      <dgm:t>
        <a:bodyPr/>
        <a:lstStyle/>
        <a:p>
          <a:endParaRPr lang="en-NZ" sz="2000"/>
        </a:p>
      </dgm:t>
    </dgm:pt>
    <dgm:pt modelId="{DA0E21F1-73B9-4CA9-8FB4-5EF99AB95357}">
      <dgm:prSet phldrT="[Text]" custT="1"/>
      <dgm:spPr/>
      <dgm:t>
        <a:bodyPr/>
        <a:lstStyle/>
        <a:p>
          <a:r>
            <a:rPr lang="en-NZ" sz="600" b="1"/>
            <a:t>Endorsement</a:t>
          </a:r>
        </a:p>
      </dgm:t>
    </dgm:pt>
    <dgm:pt modelId="{A0E9F124-D4C8-4E1D-903F-CB71BDAAB8D2}" type="parTrans" cxnId="{5FAE5DBD-5EA2-45EA-9FCB-795FFE543B95}">
      <dgm:prSet/>
      <dgm:spPr/>
      <dgm:t>
        <a:bodyPr/>
        <a:lstStyle/>
        <a:p>
          <a:endParaRPr lang="en-NZ" sz="2000"/>
        </a:p>
      </dgm:t>
    </dgm:pt>
    <dgm:pt modelId="{4B47594E-DDF8-4732-AAF2-430B0E168D10}" type="sibTrans" cxnId="{5FAE5DBD-5EA2-45EA-9FCB-795FFE543B95}">
      <dgm:prSet/>
      <dgm:spPr/>
      <dgm:t>
        <a:bodyPr/>
        <a:lstStyle/>
        <a:p>
          <a:endParaRPr lang="en-NZ" sz="2000"/>
        </a:p>
      </dgm:t>
    </dgm:pt>
    <dgm:pt modelId="{3926CD27-B176-4382-86C6-2CBF550388FE}">
      <dgm:prSet phldrT="[Text]" custT="1"/>
      <dgm:spPr/>
      <dgm:t>
        <a:bodyPr/>
        <a:lstStyle/>
        <a:p>
          <a:r>
            <a:rPr lang="en-NZ" sz="600" b="1"/>
            <a:t>DGN published</a:t>
          </a:r>
        </a:p>
      </dgm:t>
    </dgm:pt>
    <dgm:pt modelId="{4E5EED19-45F8-441B-91B7-79966DA7927A}" type="parTrans" cxnId="{2DC4D47E-BDF6-4F8F-A879-E2882D83C4EA}">
      <dgm:prSet/>
      <dgm:spPr/>
      <dgm:t>
        <a:bodyPr/>
        <a:lstStyle/>
        <a:p>
          <a:endParaRPr lang="en-NZ" sz="2000"/>
        </a:p>
      </dgm:t>
    </dgm:pt>
    <dgm:pt modelId="{B827D22B-7A22-4014-8225-F848EE12A6AE}" type="sibTrans" cxnId="{2DC4D47E-BDF6-4F8F-A879-E2882D83C4EA}">
      <dgm:prSet/>
      <dgm:spPr/>
      <dgm:t>
        <a:bodyPr/>
        <a:lstStyle/>
        <a:p>
          <a:endParaRPr lang="en-NZ" sz="2000"/>
        </a:p>
      </dgm:t>
    </dgm:pt>
    <dgm:pt modelId="{441FCCD1-D8D6-4C1A-A90F-F35CB3764C15}">
      <dgm:prSet custT="1"/>
      <dgm:spPr/>
      <dgm:t>
        <a:bodyPr/>
        <a:lstStyle/>
        <a:p>
          <a:r>
            <a:rPr lang="en-NZ" sz="1050">
              <a:latin typeface="Calibri" panose="020F0502020204030204" pitchFamily="34" charset="0"/>
              <a:cs typeface="Calibri" panose="020F0502020204030204" pitchFamily="34" charset="0"/>
            </a:rPr>
            <a:t>The draft is provided to the Senior Leadership Team for review and endorsement. </a:t>
          </a:r>
        </a:p>
      </dgm:t>
    </dgm:pt>
    <dgm:pt modelId="{4AC1421E-684C-4735-8CC9-512C72710DDF}" type="parTrans" cxnId="{C87A067A-53BE-4419-AA5E-F06BBAD0FAD4}">
      <dgm:prSet/>
      <dgm:spPr/>
      <dgm:t>
        <a:bodyPr/>
        <a:lstStyle/>
        <a:p>
          <a:endParaRPr lang="en-NZ" sz="2000"/>
        </a:p>
      </dgm:t>
    </dgm:pt>
    <dgm:pt modelId="{39390ED9-9075-4B39-961C-33482B7525BE}" type="sibTrans" cxnId="{C87A067A-53BE-4419-AA5E-F06BBAD0FAD4}">
      <dgm:prSet/>
      <dgm:spPr/>
      <dgm:t>
        <a:bodyPr/>
        <a:lstStyle/>
        <a:p>
          <a:endParaRPr lang="en-NZ" sz="2000"/>
        </a:p>
      </dgm:t>
    </dgm:pt>
    <dgm:pt modelId="{FF3EB188-D07B-4694-97A2-3FBCEBAF40D7}">
      <dgm:prSet custT="1"/>
      <dgm:spPr/>
      <dgm:t>
        <a:bodyPr/>
        <a:lstStyle/>
        <a:p>
          <a:r>
            <a:rPr lang="en-NZ" sz="1050">
              <a:latin typeface="Calibri" panose="020F0502020204030204" pitchFamily="34" charset="0"/>
              <a:cs typeface="Calibri" panose="020F0502020204030204" pitchFamily="34" charset="0"/>
            </a:rPr>
            <a:t>The DGN is published on the external facing Health New Zeland |Te Whatu Ora website, and stakeholders will be proactively alerted.</a:t>
          </a:r>
        </a:p>
      </dgm:t>
    </dgm:pt>
    <dgm:pt modelId="{E422B2DE-86EB-4207-9CFE-84271503E16F}" type="parTrans" cxnId="{98826BBD-35A0-412F-8401-877D8D11C974}">
      <dgm:prSet/>
      <dgm:spPr/>
      <dgm:t>
        <a:bodyPr/>
        <a:lstStyle/>
        <a:p>
          <a:endParaRPr lang="en-NZ" sz="2000"/>
        </a:p>
      </dgm:t>
    </dgm:pt>
    <dgm:pt modelId="{18EBF948-3585-46F2-8E78-C9FADF56DA04}" type="sibTrans" cxnId="{98826BBD-35A0-412F-8401-877D8D11C974}">
      <dgm:prSet/>
      <dgm:spPr/>
      <dgm:t>
        <a:bodyPr/>
        <a:lstStyle/>
        <a:p>
          <a:endParaRPr lang="en-NZ" sz="2000"/>
        </a:p>
      </dgm:t>
    </dgm:pt>
    <dgm:pt modelId="{D8DC79B2-2139-4B75-B1FD-240F5271D904}" type="pres">
      <dgm:prSet presAssocID="{E6A4B3AC-22BF-4778-8194-ACCCB8FEABAC}" presName="linearFlow" presStyleCnt="0">
        <dgm:presLayoutVars>
          <dgm:dir/>
          <dgm:animLvl val="lvl"/>
          <dgm:resizeHandles val="exact"/>
        </dgm:presLayoutVars>
      </dgm:prSet>
      <dgm:spPr/>
    </dgm:pt>
    <dgm:pt modelId="{9372D513-FD76-4252-9758-2FCD6661EDC8}" type="pres">
      <dgm:prSet presAssocID="{385C1C0B-9F65-4B0E-B889-70888E34AB1F}" presName="composite" presStyleCnt="0"/>
      <dgm:spPr/>
    </dgm:pt>
    <dgm:pt modelId="{92937AAB-1FCB-43A1-B8EE-1AF11CFD6A04}" type="pres">
      <dgm:prSet presAssocID="{385C1C0B-9F65-4B0E-B889-70888E34AB1F}" presName="parentText" presStyleLbl="alignNode1" presStyleIdx="0" presStyleCnt="5">
        <dgm:presLayoutVars>
          <dgm:chMax val="1"/>
          <dgm:bulletEnabled val="1"/>
        </dgm:presLayoutVars>
      </dgm:prSet>
      <dgm:spPr/>
    </dgm:pt>
    <dgm:pt modelId="{C40B8B57-D017-4356-8632-7DC23B640B94}" type="pres">
      <dgm:prSet presAssocID="{385C1C0B-9F65-4B0E-B889-70888E34AB1F}" presName="descendantText" presStyleLbl="alignAcc1" presStyleIdx="0" presStyleCnt="5" custScaleY="140778">
        <dgm:presLayoutVars>
          <dgm:bulletEnabled val="1"/>
        </dgm:presLayoutVars>
      </dgm:prSet>
      <dgm:spPr/>
    </dgm:pt>
    <dgm:pt modelId="{54B6EE55-ED40-4D69-99AD-23E249F10EC2}" type="pres">
      <dgm:prSet presAssocID="{A6F81200-4306-4BF0-96A1-12111C604B60}" presName="sp" presStyleCnt="0"/>
      <dgm:spPr/>
    </dgm:pt>
    <dgm:pt modelId="{EA0A56AD-08E8-463D-B791-7D52A9A44591}" type="pres">
      <dgm:prSet presAssocID="{37ECD6DF-574C-490D-A09D-EE6009962D23}" presName="composite" presStyleCnt="0"/>
      <dgm:spPr/>
    </dgm:pt>
    <dgm:pt modelId="{F4A7CAD0-D004-43EF-B13B-31DF7BFF62DC}" type="pres">
      <dgm:prSet presAssocID="{37ECD6DF-574C-490D-A09D-EE6009962D23}" presName="parentText" presStyleLbl="alignNode1" presStyleIdx="1" presStyleCnt="5">
        <dgm:presLayoutVars>
          <dgm:chMax val="1"/>
          <dgm:bulletEnabled val="1"/>
        </dgm:presLayoutVars>
      </dgm:prSet>
      <dgm:spPr/>
    </dgm:pt>
    <dgm:pt modelId="{7CA19FE9-ED71-4467-9678-88E950CB7051}" type="pres">
      <dgm:prSet presAssocID="{37ECD6DF-574C-490D-A09D-EE6009962D23}" presName="descendantText" presStyleLbl="alignAcc1" presStyleIdx="1" presStyleCnt="5">
        <dgm:presLayoutVars>
          <dgm:bulletEnabled val="1"/>
        </dgm:presLayoutVars>
      </dgm:prSet>
      <dgm:spPr/>
    </dgm:pt>
    <dgm:pt modelId="{164FE85D-977A-44B8-A6A1-EA939C97097F}" type="pres">
      <dgm:prSet presAssocID="{652F1A61-3DEC-41C7-94CB-5779FD72E5FB}" presName="sp" presStyleCnt="0"/>
      <dgm:spPr/>
    </dgm:pt>
    <dgm:pt modelId="{AC0B5169-1D93-47DC-8176-24F9632AF29F}" type="pres">
      <dgm:prSet presAssocID="{9A4EA07C-21DD-4280-B7C2-B7873BF2730F}" presName="composite" presStyleCnt="0"/>
      <dgm:spPr/>
    </dgm:pt>
    <dgm:pt modelId="{D52ED6D9-D7D0-4F29-8336-D47401FDA19C}" type="pres">
      <dgm:prSet presAssocID="{9A4EA07C-21DD-4280-B7C2-B7873BF2730F}" presName="parentText" presStyleLbl="alignNode1" presStyleIdx="2" presStyleCnt="5">
        <dgm:presLayoutVars>
          <dgm:chMax val="1"/>
          <dgm:bulletEnabled val="1"/>
        </dgm:presLayoutVars>
      </dgm:prSet>
      <dgm:spPr/>
    </dgm:pt>
    <dgm:pt modelId="{DC50D291-8AE6-4AAD-865B-8A81BB13EAEC}" type="pres">
      <dgm:prSet presAssocID="{9A4EA07C-21DD-4280-B7C2-B7873BF2730F}" presName="descendantText" presStyleLbl="alignAcc1" presStyleIdx="2" presStyleCnt="5" custScaleY="123642">
        <dgm:presLayoutVars>
          <dgm:bulletEnabled val="1"/>
        </dgm:presLayoutVars>
      </dgm:prSet>
      <dgm:spPr/>
    </dgm:pt>
    <dgm:pt modelId="{F4F35681-0BB4-4DFD-A016-A5A70177CC4D}" type="pres">
      <dgm:prSet presAssocID="{01CEDD62-8A43-475C-A8CA-CA39D106DA3E}" presName="sp" presStyleCnt="0"/>
      <dgm:spPr/>
    </dgm:pt>
    <dgm:pt modelId="{B32F091E-CA4F-4AAF-BEB0-680FFCC62DE7}" type="pres">
      <dgm:prSet presAssocID="{DA0E21F1-73B9-4CA9-8FB4-5EF99AB95357}" presName="composite" presStyleCnt="0"/>
      <dgm:spPr/>
    </dgm:pt>
    <dgm:pt modelId="{224B6600-F62F-4EA7-A2F2-8043FF655F74}" type="pres">
      <dgm:prSet presAssocID="{DA0E21F1-73B9-4CA9-8FB4-5EF99AB95357}" presName="parentText" presStyleLbl="alignNode1" presStyleIdx="3" presStyleCnt="5">
        <dgm:presLayoutVars>
          <dgm:chMax val="1"/>
          <dgm:bulletEnabled val="1"/>
        </dgm:presLayoutVars>
      </dgm:prSet>
      <dgm:spPr/>
    </dgm:pt>
    <dgm:pt modelId="{EE3C1102-1E88-4C1B-AB37-B898BA360F93}" type="pres">
      <dgm:prSet presAssocID="{DA0E21F1-73B9-4CA9-8FB4-5EF99AB95357}" presName="descendantText" presStyleLbl="alignAcc1" presStyleIdx="3" presStyleCnt="5" custLinFactNeighborX="115">
        <dgm:presLayoutVars>
          <dgm:bulletEnabled val="1"/>
        </dgm:presLayoutVars>
      </dgm:prSet>
      <dgm:spPr/>
    </dgm:pt>
    <dgm:pt modelId="{1697AC24-6DE7-4A7F-8423-4ED7A85DE718}" type="pres">
      <dgm:prSet presAssocID="{4B47594E-DDF8-4732-AAF2-430B0E168D10}" presName="sp" presStyleCnt="0"/>
      <dgm:spPr/>
    </dgm:pt>
    <dgm:pt modelId="{DCA685DE-5966-491C-8495-4D2901AA41B8}" type="pres">
      <dgm:prSet presAssocID="{3926CD27-B176-4382-86C6-2CBF550388FE}" presName="composite" presStyleCnt="0"/>
      <dgm:spPr/>
    </dgm:pt>
    <dgm:pt modelId="{E2AB26FA-014C-4BE3-B97E-20912669AB6E}" type="pres">
      <dgm:prSet presAssocID="{3926CD27-B176-4382-86C6-2CBF550388FE}" presName="parentText" presStyleLbl="alignNode1" presStyleIdx="4" presStyleCnt="5">
        <dgm:presLayoutVars>
          <dgm:chMax val="1"/>
          <dgm:bulletEnabled val="1"/>
        </dgm:presLayoutVars>
      </dgm:prSet>
      <dgm:spPr/>
    </dgm:pt>
    <dgm:pt modelId="{88EEF624-6642-4068-87BD-67732FDE5FB8}" type="pres">
      <dgm:prSet presAssocID="{3926CD27-B176-4382-86C6-2CBF550388FE}" presName="descendantText" presStyleLbl="alignAcc1" presStyleIdx="4" presStyleCnt="5">
        <dgm:presLayoutVars>
          <dgm:bulletEnabled val="1"/>
        </dgm:presLayoutVars>
      </dgm:prSet>
      <dgm:spPr/>
    </dgm:pt>
  </dgm:ptLst>
  <dgm:cxnLst>
    <dgm:cxn modelId="{77220626-A93D-46E0-BFEA-CFDD544FDF3F}" srcId="{9A4EA07C-21DD-4280-B7C2-B7873BF2730F}" destId="{06A8DE51-C2B5-4D87-AEEC-A81D87C99D55}" srcOrd="1" destOrd="0" parTransId="{37552685-C88A-49DB-9D5C-637691D03873}" sibTransId="{ABD3DE2A-94D5-4860-B6D4-CE7FAE2439A0}"/>
    <dgm:cxn modelId="{A6724737-6E1B-4562-9D01-BDEE6C086F86}" type="presOf" srcId="{B97B4976-7CE3-47FF-8DF8-E3F70B083F0D}" destId="{7CA19FE9-ED71-4467-9678-88E950CB7051}" srcOrd="0" destOrd="0" presId="urn:microsoft.com/office/officeart/2005/8/layout/chevron2"/>
    <dgm:cxn modelId="{08014939-E79D-4F1C-8796-AF6FEC157C19}" srcId="{E6A4B3AC-22BF-4778-8194-ACCCB8FEABAC}" destId="{385C1C0B-9F65-4B0E-B889-70888E34AB1F}" srcOrd="0" destOrd="0" parTransId="{824361E6-FBF1-41BE-81C3-06FF11AD785D}" sibTransId="{A6F81200-4306-4BF0-96A1-12111C604B60}"/>
    <dgm:cxn modelId="{A939D85B-5B90-471D-8BE8-62B667363E06}" srcId="{385C1C0B-9F65-4B0E-B889-70888E34AB1F}" destId="{0C2EF7F2-D4D2-40BB-BF43-6E6B59CF358E}" srcOrd="0" destOrd="0" parTransId="{19979C14-7ABA-4D13-93B3-EF00F2A78238}" sibTransId="{6A9FD0CF-C76E-4528-B4D6-55CC6CE517BF}"/>
    <dgm:cxn modelId="{DA64BF61-5417-4183-B9B0-6A2AECC5583C}" type="presOf" srcId="{3926CD27-B176-4382-86C6-2CBF550388FE}" destId="{E2AB26FA-014C-4BE3-B97E-20912669AB6E}" srcOrd="0" destOrd="0" presId="urn:microsoft.com/office/officeart/2005/8/layout/chevron2"/>
    <dgm:cxn modelId="{00E8D741-C9A2-4C62-8735-5294D43C2840}" srcId="{37ECD6DF-574C-490D-A09D-EE6009962D23}" destId="{B97B4976-7CE3-47FF-8DF8-E3F70B083F0D}" srcOrd="0" destOrd="0" parTransId="{F77B30DF-31A6-4144-8210-402DB406EC90}" sibTransId="{14F3E1FB-A810-4B05-9A7E-D3538A0D7C84}"/>
    <dgm:cxn modelId="{DA0CD163-804D-471F-A8F6-851CEC2FAC01}" type="presOf" srcId="{06A8DE51-C2B5-4D87-AEEC-A81D87C99D55}" destId="{DC50D291-8AE6-4AAD-865B-8A81BB13EAEC}" srcOrd="0" destOrd="1" presId="urn:microsoft.com/office/officeart/2005/8/layout/chevron2"/>
    <dgm:cxn modelId="{C87A067A-53BE-4419-AA5E-F06BBAD0FAD4}" srcId="{DA0E21F1-73B9-4CA9-8FB4-5EF99AB95357}" destId="{441FCCD1-D8D6-4C1A-A90F-F35CB3764C15}" srcOrd="0" destOrd="0" parTransId="{4AC1421E-684C-4735-8CC9-512C72710DDF}" sibTransId="{39390ED9-9075-4B39-961C-33482B7525BE}"/>
    <dgm:cxn modelId="{2DC4D47E-BDF6-4F8F-A879-E2882D83C4EA}" srcId="{E6A4B3AC-22BF-4778-8194-ACCCB8FEABAC}" destId="{3926CD27-B176-4382-86C6-2CBF550388FE}" srcOrd="4" destOrd="0" parTransId="{4E5EED19-45F8-441B-91B7-79966DA7927A}" sibTransId="{B827D22B-7A22-4014-8225-F848EE12A6AE}"/>
    <dgm:cxn modelId="{82BBBE99-0824-4E61-BCEF-A4A9B9BC99C2}" type="presOf" srcId="{E57DB105-D320-4B44-9DD2-8D9A372D14EE}" destId="{DC50D291-8AE6-4AAD-865B-8A81BB13EAEC}" srcOrd="0" destOrd="0" presId="urn:microsoft.com/office/officeart/2005/8/layout/chevron2"/>
    <dgm:cxn modelId="{9BD80AA0-0116-4D17-B0E6-BE144F292A89}" type="presOf" srcId="{E6A4B3AC-22BF-4778-8194-ACCCB8FEABAC}" destId="{D8DC79B2-2139-4B75-B1FD-240F5271D904}" srcOrd="0" destOrd="0" presId="urn:microsoft.com/office/officeart/2005/8/layout/chevron2"/>
    <dgm:cxn modelId="{3DDEE2A2-ABC0-4158-BC5D-19684094DAC4}" type="presOf" srcId="{37ECD6DF-574C-490D-A09D-EE6009962D23}" destId="{F4A7CAD0-D004-43EF-B13B-31DF7BFF62DC}" srcOrd="0" destOrd="0" presId="urn:microsoft.com/office/officeart/2005/8/layout/chevron2"/>
    <dgm:cxn modelId="{8535FCA7-AC1E-4061-8073-9443BD6038BD}" type="presOf" srcId="{385C1C0B-9F65-4B0E-B889-70888E34AB1F}" destId="{92937AAB-1FCB-43A1-B8EE-1AF11CFD6A04}" srcOrd="0" destOrd="0" presId="urn:microsoft.com/office/officeart/2005/8/layout/chevron2"/>
    <dgm:cxn modelId="{C80D17BA-60EB-4273-B9FA-DAAB7649C210}" type="presOf" srcId="{441FCCD1-D8D6-4C1A-A90F-F35CB3764C15}" destId="{EE3C1102-1E88-4C1B-AB37-B898BA360F93}" srcOrd="0" destOrd="0" presId="urn:microsoft.com/office/officeart/2005/8/layout/chevron2"/>
    <dgm:cxn modelId="{5FAE5DBD-5EA2-45EA-9FCB-795FFE543B95}" srcId="{E6A4B3AC-22BF-4778-8194-ACCCB8FEABAC}" destId="{DA0E21F1-73B9-4CA9-8FB4-5EF99AB95357}" srcOrd="3" destOrd="0" parTransId="{A0E9F124-D4C8-4E1D-903F-CB71BDAAB8D2}" sibTransId="{4B47594E-DDF8-4732-AAF2-430B0E168D10}"/>
    <dgm:cxn modelId="{98826BBD-35A0-412F-8401-877D8D11C974}" srcId="{3926CD27-B176-4382-86C6-2CBF550388FE}" destId="{FF3EB188-D07B-4694-97A2-3FBCEBAF40D7}" srcOrd="0" destOrd="0" parTransId="{E422B2DE-86EB-4207-9CFE-84271503E16F}" sibTransId="{18EBF948-3585-46F2-8E78-C9FADF56DA04}"/>
    <dgm:cxn modelId="{09014BC1-5F2D-4F21-851A-6A5F5B6C1287}" srcId="{9A4EA07C-21DD-4280-B7C2-B7873BF2730F}" destId="{E57DB105-D320-4B44-9DD2-8D9A372D14EE}" srcOrd="0" destOrd="0" parTransId="{DD18729E-7F3A-4075-A51B-078BA8194D56}" sibTransId="{D3D5E5C1-C774-478A-9A27-3A407469DCF9}"/>
    <dgm:cxn modelId="{705E00CB-489C-49E3-A87C-2E6119BC4DAB}" type="presOf" srcId="{0C2EF7F2-D4D2-40BB-BF43-6E6B59CF358E}" destId="{C40B8B57-D017-4356-8632-7DC23B640B94}" srcOrd="0" destOrd="0" presId="urn:microsoft.com/office/officeart/2005/8/layout/chevron2"/>
    <dgm:cxn modelId="{535117E4-D39C-44CC-97FA-056B7726D18E}" type="presOf" srcId="{9A4EA07C-21DD-4280-B7C2-B7873BF2730F}" destId="{D52ED6D9-D7D0-4F29-8336-D47401FDA19C}" srcOrd="0" destOrd="0" presId="urn:microsoft.com/office/officeart/2005/8/layout/chevron2"/>
    <dgm:cxn modelId="{C0F927F4-5499-413D-ABAC-3B978A0FBE17}" srcId="{E6A4B3AC-22BF-4778-8194-ACCCB8FEABAC}" destId="{9A4EA07C-21DD-4280-B7C2-B7873BF2730F}" srcOrd="2" destOrd="0" parTransId="{967ADCD1-1047-42A6-91F7-5F1CEBF2196B}" sibTransId="{01CEDD62-8A43-475C-A8CA-CA39D106DA3E}"/>
    <dgm:cxn modelId="{BCCDACF6-A17C-42D9-9501-A7397CFA33BB}" type="presOf" srcId="{DA0E21F1-73B9-4CA9-8FB4-5EF99AB95357}" destId="{224B6600-F62F-4EA7-A2F2-8043FF655F74}" srcOrd="0" destOrd="0" presId="urn:microsoft.com/office/officeart/2005/8/layout/chevron2"/>
    <dgm:cxn modelId="{3B20D2F9-D81E-4FC3-AB66-E053D6203D18}" type="presOf" srcId="{FF3EB188-D07B-4694-97A2-3FBCEBAF40D7}" destId="{88EEF624-6642-4068-87BD-67732FDE5FB8}" srcOrd="0" destOrd="0" presId="urn:microsoft.com/office/officeart/2005/8/layout/chevron2"/>
    <dgm:cxn modelId="{82EC8DFB-4724-4019-A40E-5F38C7783C4B}" srcId="{E6A4B3AC-22BF-4778-8194-ACCCB8FEABAC}" destId="{37ECD6DF-574C-490D-A09D-EE6009962D23}" srcOrd="1" destOrd="0" parTransId="{84660CBB-AB2C-4254-96B0-489F300900C0}" sibTransId="{652F1A61-3DEC-41C7-94CB-5779FD72E5FB}"/>
    <dgm:cxn modelId="{3B5DF95E-6A10-4127-BC8F-A7A76BACA013}" type="presParOf" srcId="{D8DC79B2-2139-4B75-B1FD-240F5271D904}" destId="{9372D513-FD76-4252-9758-2FCD6661EDC8}" srcOrd="0" destOrd="0" presId="urn:microsoft.com/office/officeart/2005/8/layout/chevron2"/>
    <dgm:cxn modelId="{77BB9970-ED93-4D2A-9959-FBBAF8E27D47}" type="presParOf" srcId="{9372D513-FD76-4252-9758-2FCD6661EDC8}" destId="{92937AAB-1FCB-43A1-B8EE-1AF11CFD6A04}" srcOrd="0" destOrd="0" presId="urn:microsoft.com/office/officeart/2005/8/layout/chevron2"/>
    <dgm:cxn modelId="{C329FB70-791C-41F9-84AF-1D95F5EC49B6}" type="presParOf" srcId="{9372D513-FD76-4252-9758-2FCD6661EDC8}" destId="{C40B8B57-D017-4356-8632-7DC23B640B94}" srcOrd="1" destOrd="0" presId="urn:microsoft.com/office/officeart/2005/8/layout/chevron2"/>
    <dgm:cxn modelId="{30528D4B-AD73-4BE5-8FFE-B470B04A02FB}" type="presParOf" srcId="{D8DC79B2-2139-4B75-B1FD-240F5271D904}" destId="{54B6EE55-ED40-4D69-99AD-23E249F10EC2}" srcOrd="1" destOrd="0" presId="urn:microsoft.com/office/officeart/2005/8/layout/chevron2"/>
    <dgm:cxn modelId="{A4EE8CDB-1EBA-4B4F-9E20-DC6526411F3C}" type="presParOf" srcId="{D8DC79B2-2139-4B75-B1FD-240F5271D904}" destId="{EA0A56AD-08E8-463D-B791-7D52A9A44591}" srcOrd="2" destOrd="0" presId="urn:microsoft.com/office/officeart/2005/8/layout/chevron2"/>
    <dgm:cxn modelId="{8AEB1C75-8FEF-4036-ACC5-DE039695ADD1}" type="presParOf" srcId="{EA0A56AD-08E8-463D-B791-7D52A9A44591}" destId="{F4A7CAD0-D004-43EF-B13B-31DF7BFF62DC}" srcOrd="0" destOrd="0" presId="urn:microsoft.com/office/officeart/2005/8/layout/chevron2"/>
    <dgm:cxn modelId="{BBE5BCCC-723B-464A-AFED-CF310D208075}" type="presParOf" srcId="{EA0A56AD-08E8-463D-B791-7D52A9A44591}" destId="{7CA19FE9-ED71-4467-9678-88E950CB7051}" srcOrd="1" destOrd="0" presId="urn:microsoft.com/office/officeart/2005/8/layout/chevron2"/>
    <dgm:cxn modelId="{9AF4FC6E-10CC-4D6D-B94F-5B8CD64C1FD6}" type="presParOf" srcId="{D8DC79B2-2139-4B75-B1FD-240F5271D904}" destId="{164FE85D-977A-44B8-A6A1-EA939C97097F}" srcOrd="3" destOrd="0" presId="urn:microsoft.com/office/officeart/2005/8/layout/chevron2"/>
    <dgm:cxn modelId="{FB681465-A18D-4205-8325-7DBC1F1B45B8}" type="presParOf" srcId="{D8DC79B2-2139-4B75-B1FD-240F5271D904}" destId="{AC0B5169-1D93-47DC-8176-24F9632AF29F}" srcOrd="4" destOrd="0" presId="urn:microsoft.com/office/officeart/2005/8/layout/chevron2"/>
    <dgm:cxn modelId="{81EB1443-3A24-4EC5-80EB-4D9C28FDED4E}" type="presParOf" srcId="{AC0B5169-1D93-47DC-8176-24F9632AF29F}" destId="{D52ED6D9-D7D0-4F29-8336-D47401FDA19C}" srcOrd="0" destOrd="0" presId="urn:microsoft.com/office/officeart/2005/8/layout/chevron2"/>
    <dgm:cxn modelId="{63ED6C71-18CD-436B-9737-AECEDEC68AC9}" type="presParOf" srcId="{AC0B5169-1D93-47DC-8176-24F9632AF29F}" destId="{DC50D291-8AE6-4AAD-865B-8A81BB13EAEC}" srcOrd="1" destOrd="0" presId="urn:microsoft.com/office/officeart/2005/8/layout/chevron2"/>
    <dgm:cxn modelId="{E7F874A1-26D3-4FE0-B9C5-652D8500D029}" type="presParOf" srcId="{D8DC79B2-2139-4B75-B1FD-240F5271D904}" destId="{F4F35681-0BB4-4DFD-A016-A5A70177CC4D}" srcOrd="5" destOrd="0" presId="urn:microsoft.com/office/officeart/2005/8/layout/chevron2"/>
    <dgm:cxn modelId="{14E985BC-B9EB-449A-9B72-5E97430CCC2B}" type="presParOf" srcId="{D8DC79B2-2139-4B75-B1FD-240F5271D904}" destId="{B32F091E-CA4F-4AAF-BEB0-680FFCC62DE7}" srcOrd="6" destOrd="0" presId="urn:microsoft.com/office/officeart/2005/8/layout/chevron2"/>
    <dgm:cxn modelId="{D9AF0022-1A35-41F1-817F-1F70EB026DD6}" type="presParOf" srcId="{B32F091E-CA4F-4AAF-BEB0-680FFCC62DE7}" destId="{224B6600-F62F-4EA7-A2F2-8043FF655F74}" srcOrd="0" destOrd="0" presId="urn:microsoft.com/office/officeart/2005/8/layout/chevron2"/>
    <dgm:cxn modelId="{897BFE1A-0C3C-4CCD-B1F9-E5B9CA07F453}" type="presParOf" srcId="{B32F091E-CA4F-4AAF-BEB0-680FFCC62DE7}" destId="{EE3C1102-1E88-4C1B-AB37-B898BA360F93}" srcOrd="1" destOrd="0" presId="urn:microsoft.com/office/officeart/2005/8/layout/chevron2"/>
    <dgm:cxn modelId="{8F7C8FDD-6748-42D9-B178-D51F60C792E4}" type="presParOf" srcId="{D8DC79B2-2139-4B75-B1FD-240F5271D904}" destId="{1697AC24-6DE7-4A7F-8423-4ED7A85DE718}" srcOrd="7" destOrd="0" presId="urn:microsoft.com/office/officeart/2005/8/layout/chevron2"/>
    <dgm:cxn modelId="{64878D4B-545F-43D2-821C-E3094A26C899}" type="presParOf" srcId="{D8DC79B2-2139-4B75-B1FD-240F5271D904}" destId="{DCA685DE-5966-491C-8495-4D2901AA41B8}" srcOrd="8" destOrd="0" presId="urn:microsoft.com/office/officeart/2005/8/layout/chevron2"/>
    <dgm:cxn modelId="{D10B4084-C346-43AB-B1E7-3D57C9B76238}" type="presParOf" srcId="{DCA685DE-5966-491C-8495-4D2901AA41B8}" destId="{E2AB26FA-014C-4BE3-B97E-20912669AB6E}" srcOrd="0" destOrd="0" presId="urn:microsoft.com/office/officeart/2005/8/layout/chevron2"/>
    <dgm:cxn modelId="{97E19F19-6A63-4DB1-9D99-64A9E7683028}" type="presParOf" srcId="{DCA685DE-5966-491C-8495-4D2901AA41B8}" destId="{88EEF624-6642-4068-87BD-67732FDE5FB8}" srcOrd="1" destOrd="0" presId="urn:microsoft.com/office/officeart/2005/8/layout/chevron2"/>
  </dgm:cxnLst>
  <dgm:bg/>
  <dgm:whole/>
  <dgm:extLst>
    <a:ext uri="http://schemas.microsoft.com/office/drawing/2008/diagram">
      <dsp:dataModelExt xmlns:dsp="http://schemas.microsoft.com/office/drawing/2008/diagram" relId="rId3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183A8A-D91A-46A7-91EC-6B133D72AF68}">
      <dsp:nvSpPr>
        <dsp:cNvPr id="0" name=""/>
        <dsp:cNvSpPr/>
      </dsp:nvSpPr>
      <dsp:spPr>
        <a:xfrm>
          <a:off x="1766" y="424"/>
          <a:ext cx="6425842" cy="534051"/>
        </a:xfrm>
        <a:prstGeom prst="roundRect">
          <a:avLst>
            <a:gd name="adj" fmla="val 10000"/>
          </a:avLst>
        </a:prstGeom>
        <a:solidFill>
          <a:srgbClr val="15284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NZ" sz="1600" kern="1200">
              <a:solidFill>
                <a:schemeClr val="bg1"/>
              </a:solidFill>
            </a:rPr>
            <a:t>Health New Zeland | Te Whatu Ora infrastructure delivery frameworks</a:t>
          </a:r>
        </a:p>
      </dsp:txBody>
      <dsp:txXfrm>
        <a:off x="17408" y="16066"/>
        <a:ext cx="6394558" cy="502767"/>
      </dsp:txXfrm>
    </dsp:sp>
    <dsp:sp modelId="{6718B21B-A555-4B40-BD2C-32D67042A626}">
      <dsp:nvSpPr>
        <dsp:cNvPr id="0" name=""/>
        <dsp:cNvSpPr/>
      </dsp:nvSpPr>
      <dsp:spPr>
        <a:xfrm>
          <a:off x="1766" y="746495"/>
          <a:ext cx="741669" cy="1069815"/>
        </a:xfrm>
        <a:prstGeom prst="roundRect">
          <a:avLst>
            <a:gd name="adj" fmla="val 10000"/>
          </a:avLst>
        </a:prstGeom>
        <a:solidFill>
          <a:srgbClr val="93A3C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3429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Text" lastClr="000000"/>
              </a:solidFill>
            </a:rPr>
            <a:t>Post Occupancy Evaluations  -- Lessons learned </a:t>
          </a:r>
        </a:p>
      </dsp:txBody>
      <dsp:txXfrm>
        <a:off x="23489" y="768218"/>
        <a:ext cx="698223" cy="1026369"/>
      </dsp:txXfrm>
    </dsp:sp>
    <dsp:sp modelId="{238E372C-46B1-48EF-AAE0-90D134B45FD5}">
      <dsp:nvSpPr>
        <dsp:cNvPr id="0" name=""/>
        <dsp:cNvSpPr/>
      </dsp:nvSpPr>
      <dsp:spPr>
        <a:xfrm>
          <a:off x="805736" y="746495"/>
          <a:ext cx="741669" cy="1069815"/>
        </a:xfrm>
        <a:prstGeom prst="roundRect">
          <a:avLst>
            <a:gd name="adj" fmla="val 10000"/>
          </a:avLst>
        </a:prstGeom>
        <a:solidFill>
          <a:srgbClr val="93A3C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3429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Text" lastClr="000000"/>
              </a:solidFill>
            </a:rPr>
            <a:t>Stakeholder engagement </a:t>
          </a:r>
        </a:p>
      </dsp:txBody>
      <dsp:txXfrm>
        <a:off x="827459" y="768218"/>
        <a:ext cx="698223" cy="1026369"/>
      </dsp:txXfrm>
    </dsp:sp>
    <dsp:sp modelId="{2DCF3268-B23E-42B1-A27B-BF1EB7CBFA61}">
      <dsp:nvSpPr>
        <dsp:cNvPr id="0" name=""/>
        <dsp:cNvSpPr/>
      </dsp:nvSpPr>
      <dsp:spPr>
        <a:xfrm>
          <a:off x="1609706" y="746495"/>
          <a:ext cx="741669" cy="1069815"/>
        </a:xfrm>
        <a:prstGeom prst="roundRect">
          <a:avLst>
            <a:gd name="adj" fmla="val 10000"/>
          </a:avLst>
        </a:prstGeom>
        <a:solidFill>
          <a:srgbClr val="93A3C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3429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Text" lastClr="000000"/>
              </a:solidFill>
            </a:rPr>
            <a:t>Health and Safety &amp; Risk management </a:t>
          </a:r>
        </a:p>
      </dsp:txBody>
      <dsp:txXfrm>
        <a:off x="1631429" y="768218"/>
        <a:ext cx="698223" cy="1026369"/>
      </dsp:txXfrm>
    </dsp:sp>
    <dsp:sp modelId="{21EC9871-8677-4689-9D87-75CCF8C37B9A}">
      <dsp:nvSpPr>
        <dsp:cNvPr id="0" name=""/>
        <dsp:cNvSpPr/>
      </dsp:nvSpPr>
      <dsp:spPr>
        <a:xfrm>
          <a:off x="2413676" y="746495"/>
          <a:ext cx="741669" cy="1069815"/>
        </a:xfrm>
        <a:prstGeom prst="roundRect">
          <a:avLst>
            <a:gd name="adj" fmla="val 10000"/>
          </a:avLst>
        </a:prstGeom>
        <a:solidFill>
          <a:srgbClr val="93A3C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3429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Text" lastClr="000000"/>
              </a:solidFill>
            </a:rPr>
            <a:t>National Digital Facilities Framework </a:t>
          </a:r>
        </a:p>
      </dsp:txBody>
      <dsp:txXfrm>
        <a:off x="2435399" y="768218"/>
        <a:ext cx="698223" cy="1026369"/>
      </dsp:txXfrm>
    </dsp:sp>
    <dsp:sp modelId="{6E18344D-792B-425C-B3DE-AA0C07E0FA7E}">
      <dsp:nvSpPr>
        <dsp:cNvPr id="0" name=""/>
        <dsp:cNvSpPr/>
      </dsp:nvSpPr>
      <dsp:spPr>
        <a:xfrm>
          <a:off x="3217646" y="746495"/>
          <a:ext cx="741669" cy="1069815"/>
        </a:xfrm>
        <a:prstGeom prst="roundRect">
          <a:avLst/>
        </a:prstGeom>
        <a:solidFill>
          <a:srgbClr val="30A1AC">
            <a:alpha val="46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34290" numCol="1" spcCol="1270" anchor="ctr" anchorCtr="0">
          <a:noAutofit/>
        </a:bodyPr>
        <a:lstStyle/>
        <a:p>
          <a:pPr marL="0" lvl="0" indent="0" algn="ctr" defTabSz="400050">
            <a:lnSpc>
              <a:spcPct val="90000"/>
            </a:lnSpc>
            <a:spcBef>
              <a:spcPct val="0"/>
            </a:spcBef>
            <a:spcAft>
              <a:spcPct val="35000"/>
            </a:spcAft>
            <a:buNone/>
          </a:pPr>
          <a:r>
            <a:rPr lang="en-NZ" sz="900" b="1" kern="1200">
              <a:solidFill>
                <a:sysClr val="windowText" lastClr="000000"/>
              </a:solidFill>
            </a:rPr>
            <a:t>Design Guidance and Assurance Framework</a:t>
          </a:r>
          <a:endParaRPr lang="en-NZ" sz="900" kern="1200">
            <a:solidFill>
              <a:sysClr val="windowText" lastClr="000000"/>
            </a:solidFill>
          </a:endParaRPr>
        </a:p>
      </dsp:txBody>
      <dsp:txXfrm>
        <a:off x="3253851" y="782700"/>
        <a:ext cx="669259" cy="997405"/>
      </dsp:txXfrm>
    </dsp:sp>
    <dsp:sp modelId="{051035FD-5EF1-436B-A311-B6DCD6EBE328}">
      <dsp:nvSpPr>
        <dsp:cNvPr id="0" name=""/>
        <dsp:cNvSpPr/>
      </dsp:nvSpPr>
      <dsp:spPr>
        <a:xfrm>
          <a:off x="4021616" y="746495"/>
          <a:ext cx="798051" cy="1069815"/>
        </a:xfrm>
        <a:prstGeom prst="roundRect">
          <a:avLst>
            <a:gd name="adj" fmla="val 10000"/>
          </a:avLst>
        </a:prstGeom>
        <a:solidFill>
          <a:srgbClr val="93A3C2">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3429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Text" lastClr="000000"/>
              </a:solidFill>
            </a:rPr>
            <a:t>Health Infrastructure Plan</a:t>
          </a:r>
        </a:p>
      </dsp:txBody>
      <dsp:txXfrm>
        <a:off x="4044990" y="769869"/>
        <a:ext cx="751303" cy="1023067"/>
      </dsp:txXfrm>
    </dsp:sp>
    <dsp:sp modelId="{16AB08F2-4211-4C5A-89EE-952E829A072C}">
      <dsp:nvSpPr>
        <dsp:cNvPr id="0" name=""/>
        <dsp:cNvSpPr/>
      </dsp:nvSpPr>
      <dsp:spPr>
        <a:xfrm>
          <a:off x="4881968" y="746495"/>
          <a:ext cx="741669" cy="1069815"/>
        </a:xfrm>
        <a:prstGeom prst="roundRect">
          <a:avLst>
            <a:gd name="adj" fmla="val 10000"/>
          </a:avLst>
        </a:prstGeom>
        <a:solidFill>
          <a:srgbClr val="93A3C2">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34290" numCol="1" spcCol="1270" anchor="ctr" anchorCtr="0">
          <a:noAutofit/>
        </a:bodyPr>
        <a:lstStyle/>
        <a:p>
          <a:pPr marL="0" lvl="0" indent="0" algn="ctr" defTabSz="400050">
            <a:lnSpc>
              <a:spcPct val="90000"/>
            </a:lnSpc>
            <a:spcBef>
              <a:spcPct val="0"/>
            </a:spcBef>
            <a:spcAft>
              <a:spcPct val="35000"/>
            </a:spcAft>
            <a:buNone/>
          </a:pPr>
          <a:r>
            <a:rPr lang="en-NZ" sz="900" kern="1200">
              <a:solidFill>
                <a:sysClr val="windowText" lastClr="000000"/>
              </a:solidFill>
            </a:rPr>
            <a:t>Infrastructure Planning Framework</a:t>
          </a:r>
        </a:p>
        <a:p>
          <a:pPr marL="0" lvl="0" indent="0" algn="ctr" defTabSz="400050">
            <a:lnSpc>
              <a:spcPct val="90000"/>
            </a:lnSpc>
            <a:spcBef>
              <a:spcPct val="0"/>
            </a:spcBef>
            <a:spcAft>
              <a:spcPct val="35000"/>
            </a:spcAft>
            <a:buNone/>
          </a:pPr>
          <a:endParaRPr lang="en-NZ" sz="900" i="1" kern="1200">
            <a:solidFill>
              <a:sysClr val="windowText" lastClr="000000"/>
            </a:solidFill>
            <a:highlight>
              <a:srgbClr val="FFFF00"/>
            </a:highlight>
          </a:endParaRPr>
        </a:p>
      </dsp:txBody>
      <dsp:txXfrm>
        <a:off x="4903691" y="768218"/>
        <a:ext cx="698223" cy="1026369"/>
      </dsp:txXfrm>
    </dsp:sp>
    <dsp:sp modelId="{1630DAC8-1CCC-4DDE-B7BD-15598DC38263}">
      <dsp:nvSpPr>
        <dsp:cNvPr id="0" name=""/>
        <dsp:cNvSpPr/>
      </dsp:nvSpPr>
      <dsp:spPr>
        <a:xfrm>
          <a:off x="5685938" y="746919"/>
          <a:ext cx="741669" cy="1069815"/>
        </a:xfrm>
        <a:prstGeom prst="roundRect">
          <a:avLst>
            <a:gd name="adj" fmla="val 10000"/>
          </a:avLst>
        </a:prstGeom>
        <a:solidFill>
          <a:srgbClr val="93A3C2">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0" bIns="34290" numCol="1" spcCol="1270" anchor="ctr" anchorCtr="0">
          <a:noAutofit/>
        </a:bodyPr>
        <a:lstStyle/>
        <a:p>
          <a:pPr marL="0" lvl="0" indent="0" algn="ctr" defTabSz="400050">
            <a:lnSpc>
              <a:spcPct val="90000"/>
            </a:lnSpc>
            <a:spcBef>
              <a:spcPct val="0"/>
            </a:spcBef>
            <a:spcAft>
              <a:spcPct val="35000"/>
            </a:spcAft>
            <a:buNone/>
          </a:pPr>
          <a:r>
            <a:rPr lang="en-NZ" sz="900" b="0" i="0" kern="1200">
              <a:solidFill>
                <a:sysClr val="windowText" lastClr="000000"/>
              </a:solidFill>
            </a:rPr>
            <a:t>National Asset Management Strategy - Infrastructure</a:t>
          </a:r>
          <a:endParaRPr lang="en-NZ" sz="900" b="0" i="1" kern="1200">
            <a:solidFill>
              <a:sysClr val="windowText" lastClr="000000"/>
            </a:solidFill>
          </a:endParaRPr>
        </a:p>
      </dsp:txBody>
      <dsp:txXfrm>
        <a:off x="5707661" y="768642"/>
        <a:ext cx="698223" cy="10263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D25037-D649-4D6C-A67F-39F31AB77A8E}">
      <dsp:nvSpPr>
        <dsp:cNvPr id="0" name=""/>
        <dsp:cNvSpPr/>
      </dsp:nvSpPr>
      <dsp:spPr>
        <a:xfrm>
          <a:off x="1930142" y="0"/>
          <a:ext cx="2082044" cy="961149"/>
        </a:xfrm>
        <a:prstGeom prst="trapezoid">
          <a:avLst>
            <a:gd name="adj" fmla="val 108310"/>
          </a:avLst>
        </a:prstGeom>
        <a:solidFill>
          <a:srgbClr val="93A3C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endParaRPr lang="en-NZ" sz="1050" kern="1200"/>
        </a:p>
        <a:p>
          <a:pPr marL="0" lvl="0" indent="0" algn="ctr" defTabSz="466725">
            <a:lnSpc>
              <a:spcPct val="90000"/>
            </a:lnSpc>
            <a:spcBef>
              <a:spcPct val="0"/>
            </a:spcBef>
            <a:spcAft>
              <a:spcPct val="35000"/>
            </a:spcAft>
            <a:buNone/>
          </a:pPr>
          <a:endParaRPr lang="en-NZ" sz="1050" kern="1200"/>
        </a:p>
        <a:p>
          <a:pPr marL="0" lvl="0" indent="0" algn="ctr" defTabSz="466725">
            <a:lnSpc>
              <a:spcPct val="90000"/>
            </a:lnSpc>
            <a:spcBef>
              <a:spcPct val="0"/>
            </a:spcBef>
            <a:spcAft>
              <a:spcPct val="35000"/>
            </a:spcAft>
            <a:buNone/>
          </a:pPr>
          <a:r>
            <a:rPr lang="en-NZ" sz="1050" b="1" kern="1200">
              <a:solidFill>
                <a:schemeClr val="bg1"/>
              </a:solidFill>
            </a:rPr>
            <a:t>Project </a:t>
          </a:r>
        </a:p>
        <a:p>
          <a:pPr marL="0" lvl="0" indent="0" algn="ctr" defTabSz="466725">
            <a:lnSpc>
              <a:spcPct val="90000"/>
            </a:lnSpc>
            <a:spcBef>
              <a:spcPct val="0"/>
            </a:spcBef>
            <a:spcAft>
              <a:spcPct val="35000"/>
            </a:spcAft>
            <a:buNone/>
          </a:pPr>
          <a:r>
            <a:rPr lang="en-NZ" sz="1050" b="1" kern="1200">
              <a:solidFill>
                <a:schemeClr val="bg1"/>
              </a:solidFill>
            </a:rPr>
            <a:t>specific design </a:t>
          </a:r>
        </a:p>
        <a:p>
          <a:pPr marL="0" lvl="0" indent="0" algn="ctr" defTabSz="466725">
            <a:lnSpc>
              <a:spcPct val="90000"/>
            </a:lnSpc>
            <a:spcBef>
              <a:spcPct val="0"/>
            </a:spcBef>
            <a:spcAft>
              <a:spcPct val="35000"/>
            </a:spcAft>
            <a:buNone/>
          </a:pPr>
          <a:r>
            <a:rPr lang="en-NZ" sz="1050" b="1" kern="1200">
              <a:solidFill>
                <a:schemeClr val="bg1"/>
              </a:solidFill>
            </a:rPr>
            <a:t>requirements </a:t>
          </a:r>
        </a:p>
      </dsp:txBody>
      <dsp:txXfrm>
        <a:off x="1930142" y="0"/>
        <a:ext cx="2082044" cy="961149"/>
      </dsp:txXfrm>
    </dsp:sp>
    <dsp:sp modelId="{36EEEE22-F6FF-4FBF-930E-3A1E972E1E72}">
      <dsp:nvSpPr>
        <dsp:cNvPr id="0" name=""/>
        <dsp:cNvSpPr/>
      </dsp:nvSpPr>
      <dsp:spPr>
        <a:xfrm>
          <a:off x="1225776" y="961149"/>
          <a:ext cx="3490777" cy="650323"/>
        </a:xfrm>
        <a:prstGeom prst="trapezoid">
          <a:avLst>
            <a:gd name="adj" fmla="val 108310"/>
          </a:avLst>
        </a:prstGeom>
        <a:solidFill>
          <a:srgbClr val="768AA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NZ" sz="1050" b="1" kern="1200">
              <a:solidFill>
                <a:schemeClr val="bg1"/>
              </a:solidFill>
            </a:rPr>
            <a:t>New Zealand specific design guidance</a:t>
          </a:r>
        </a:p>
      </dsp:txBody>
      <dsp:txXfrm>
        <a:off x="1836662" y="961149"/>
        <a:ext cx="2269005" cy="650323"/>
      </dsp:txXfrm>
    </dsp:sp>
    <dsp:sp modelId="{D14F9355-0F24-4D05-8190-6743914D83C3}">
      <dsp:nvSpPr>
        <dsp:cNvPr id="0" name=""/>
        <dsp:cNvSpPr/>
      </dsp:nvSpPr>
      <dsp:spPr>
        <a:xfrm>
          <a:off x="481070" y="1611472"/>
          <a:ext cx="4980188" cy="687567"/>
        </a:xfrm>
        <a:prstGeom prst="trapezoid">
          <a:avLst>
            <a:gd name="adj" fmla="val 108310"/>
          </a:avLst>
        </a:prstGeom>
        <a:solidFill>
          <a:srgbClr val="5D729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NZ" sz="1050" b="1" kern="1200">
              <a:solidFill>
                <a:schemeClr val="bg1"/>
              </a:solidFill>
            </a:rPr>
            <a:t>Australasian Health Facility Design Guidelines</a:t>
          </a:r>
        </a:p>
      </dsp:txBody>
      <dsp:txXfrm>
        <a:off x="1352603" y="1611472"/>
        <a:ext cx="3237122" cy="687567"/>
      </dsp:txXfrm>
    </dsp:sp>
    <dsp:sp modelId="{208E44D2-50AA-4722-B7DB-7251C5FF10AD}">
      <dsp:nvSpPr>
        <dsp:cNvPr id="0" name=""/>
        <dsp:cNvSpPr/>
      </dsp:nvSpPr>
      <dsp:spPr>
        <a:xfrm>
          <a:off x="0" y="2299039"/>
          <a:ext cx="5942330" cy="444160"/>
        </a:xfrm>
        <a:prstGeom prst="trapezoid">
          <a:avLst>
            <a:gd name="adj" fmla="val 108310"/>
          </a:avLst>
        </a:prstGeom>
        <a:solidFill>
          <a:srgbClr val="15284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n-NZ" sz="1050" b="1" kern="1200">
              <a:solidFill>
                <a:schemeClr val="bg1"/>
              </a:solidFill>
            </a:rPr>
            <a:t>Legislation and associated regulations (including the New Zealand Building Code)</a:t>
          </a:r>
        </a:p>
      </dsp:txBody>
      <dsp:txXfrm>
        <a:off x="1039907" y="2299039"/>
        <a:ext cx="3862514" cy="4441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937AAB-1FCB-43A1-B8EE-1AF11CFD6A04}">
      <dsp:nvSpPr>
        <dsp:cNvPr id="0" name=""/>
        <dsp:cNvSpPr/>
      </dsp:nvSpPr>
      <dsp:spPr>
        <a:xfrm rot="5400000">
          <a:off x="-124637" y="240258"/>
          <a:ext cx="830914" cy="581639"/>
        </a:xfrm>
        <a:prstGeom prst="chevron">
          <a:avLst/>
        </a:prstGeom>
        <a:solidFill>
          <a:schemeClr val="accent1">
            <a:shade val="5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NZ" sz="800" b="1" kern="1200"/>
            <a:t>Need identified</a:t>
          </a:r>
        </a:p>
      </dsp:txBody>
      <dsp:txXfrm rot="-5400000">
        <a:off x="1" y="406441"/>
        <a:ext cx="581639" cy="249275"/>
      </dsp:txXfrm>
    </dsp:sp>
    <dsp:sp modelId="{C40B8B57-D017-4356-8632-7DC23B640B94}">
      <dsp:nvSpPr>
        <dsp:cNvPr id="0" name=""/>
        <dsp:cNvSpPr/>
      </dsp:nvSpPr>
      <dsp:spPr>
        <a:xfrm rot="5400000">
          <a:off x="2970718" y="-2383576"/>
          <a:ext cx="760333" cy="5538490"/>
        </a:xfrm>
        <a:prstGeom prst="round2SameRect">
          <a:avLst/>
        </a:prstGeom>
        <a:solidFill>
          <a:schemeClr val="lt1">
            <a:alpha val="90000"/>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NZ" sz="1050" kern="1200">
              <a:latin typeface="Calibri" panose="020F0502020204030204" pitchFamily="34" charset="0"/>
              <a:cs typeface="Calibri" panose="020F0502020204030204" pitchFamily="34" charset="0"/>
            </a:rPr>
            <a:t>Resources are allocated to develop new design guidance where: there is a gap in the existing suite of design guidance (potentially suggested by users), the pipeline of development indicates a need.</a:t>
          </a:r>
        </a:p>
      </dsp:txBody>
      <dsp:txXfrm rot="-5400000">
        <a:off x="581640" y="42618"/>
        <a:ext cx="5501374" cy="686101"/>
      </dsp:txXfrm>
    </dsp:sp>
    <dsp:sp modelId="{F4A7CAD0-D004-43EF-B13B-31DF7BFF62DC}">
      <dsp:nvSpPr>
        <dsp:cNvPr id="0" name=""/>
        <dsp:cNvSpPr/>
      </dsp:nvSpPr>
      <dsp:spPr>
        <a:xfrm rot="5400000">
          <a:off x="-124637" y="956477"/>
          <a:ext cx="830914" cy="581639"/>
        </a:xfrm>
        <a:prstGeom prst="chevron">
          <a:avLst/>
        </a:prstGeom>
        <a:solidFill>
          <a:schemeClr val="accent1">
            <a:shade val="50000"/>
            <a:hueOff val="328888"/>
            <a:satOff val="-32630"/>
            <a:lumOff val="21964"/>
            <a:alphaOff val="0"/>
          </a:schemeClr>
        </a:solidFill>
        <a:ln w="12700" cap="flat" cmpd="sng" algn="ctr">
          <a:solidFill>
            <a:schemeClr val="accent1">
              <a:shade val="50000"/>
              <a:hueOff val="328888"/>
              <a:satOff val="-32630"/>
              <a:lumOff val="2196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NZ" sz="700" b="1" kern="1200"/>
            <a:t>Draft</a:t>
          </a:r>
        </a:p>
        <a:p>
          <a:pPr marL="0" lvl="0" indent="0" algn="ctr" defTabSz="311150">
            <a:lnSpc>
              <a:spcPct val="90000"/>
            </a:lnSpc>
            <a:spcBef>
              <a:spcPct val="0"/>
            </a:spcBef>
            <a:spcAft>
              <a:spcPct val="35000"/>
            </a:spcAft>
            <a:buNone/>
          </a:pPr>
          <a:r>
            <a:rPr lang="en-NZ" sz="700" b="1" kern="1200"/>
            <a:t>guidance </a:t>
          </a:r>
        </a:p>
      </dsp:txBody>
      <dsp:txXfrm rot="-5400000">
        <a:off x="1" y="1122660"/>
        <a:ext cx="581639" cy="249275"/>
      </dsp:txXfrm>
    </dsp:sp>
    <dsp:sp modelId="{7CA19FE9-ED71-4467-9678-88E950CB7051}">
      <dsp:nvSpPr>
        <dsp:cNvPr id="0" name=""/>
        <dsp:cNvSpPr/>
      </dsp:nvSpPr>
      <dsp:spPr>
        <a:xfrm rot="5400000">
          <a:off x="3080837" y="-1667357"/>
          <a:ext cx="540094" cy="5538490"/>
        </a:xfrm>
        <a:prstGeom prst="round2SameRect">
          <a:avLst/>
        </a:prstGeom>
        <a:solidFill>
          <a:schemeClr val="lt1">
            <a:alpha val="90000"/>
            <a:hueOff val="0"/>
            <a:satOff val="0"/>
            <a:lumOff val="0"/>
            <a:alphaOff val="0"/>
          </a:schemeClr>
        </a:solidFill>
        <a:ln w="12700" cap="flat" cmpd="sng" algn="ctr">
          <a:solidFill>
            <a:schemeClr val="accent1">
              <a:shade val="50000"/>
              <a:hueOff val="328888"/>
              <a:satOff val="-32630"/>
              <a:lumOff val="2196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NZ" sz="1050" kern="1200">
              <a:latin typeface="Calibri" panose="020F0502020204030204" pitchFamily="34" charset="0"/>
              <a:cs typeface="Calibri" panose="020F0502020204030204" pitchFamily="34" charset="0"/>
            </a:rPr>
            <a:t>Guidance is drafted based on the best evidence available.</a:t>
          </a:r>
        </a:p>
      </dsp:txBody>
      <dsp:txXfrm rot="-5400000">
        <a:off x="581640" y="858205"/>
        <a:ext cx="5512125" cy="487364"/>
      </dsp:txXfrm>
    </dsp:sp>
    <dsp:sp modelId="{D52ED6D9-D7D0-4F29-8336-D47401FDA19C}">
      <dsp:nvSpPr>
        <dsp:cNvPr id="0" name=""/>
        <dsp:cNvSpPr/>
      </dsp:nvSpPr>
      <dsp:spPr>
        <a:xfrm rot="5400000">
          <a:off x="-124637" y="1736541"/>
          <a:ext cx="830914" cy="581639"/>
        </a:xfrm>
        <a:prstGeom prst="chevron">
          <a:avLst/>
        </a:prstGeom>
        <a:solidFill>
          <a:schemeClr val="accent1">
            <a:shade val="50000"/>
            <a:hueOff val="657776"/>
            <a:satOff val="-65261"/>
            <a:lumOff val="43928"/>
            <a:alphaOff val="0"/>
          </a:schemeClr>
        </a:solidFill>
        <a:ln w="12700" cap="flat" cmpd="sng" algn="ctr">
          <a:solidFill>
            <a:schemeClr val="accent1">
              <a:shade val="50000"/>
              <a:hueOff val="657776"/>
              <a:satOff val="-65261"/>
              <a:lumOff val="439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NZ" sz="700" b="1" kern="1200"/>
            <a:t>Expert feedback</a:t>
          </a:r>
        </a:p>
      </dsp:txBody>
      <dsp:txXfrm rot="-5400000">
        <a:off x="1" y="1902724"/>
        <a:ext cx="581639" cy="249275"/>
      </dsp:txXfrm>
    </dsp:sp>
    <dsp:sp modelId="{DC50D291-8AE6-4AAD-865B-8A81BB13EAEC}">
      <dsp:nvSpPr>
        <dsp:cNvPr id="0" name=""/>
        <dsp:cNvSpPr/>
      </dsp:nvSpPr>
      <dsp:spPr>
        <a:xfrm rot="5400000">
          <a:off x="3016993" y="-887293"/>
          <a:ext cx="667783" cy="5538490"/>
        </a:xfrm>
        <a:prstGeom prst="round2SameRect">
          <a:avLst/>
        </a:prstGeom>
        <a:solidFill>
          <a:schemeClr val="lt1">
            <a:alpha val="90000"/>
            <a:hueOff val="0"/>
            <a:satOff val="0"/>
            <a:lumOff val="0"/>
            <a:alphaOff val="0"/>
          </a:schemeClr>
        </a:solidFill>
        <a:ln w="12700" cap="flat" cmpd="sng" algn="ctr">
          <a:solidFill>
            <a:schemeClr val="accent1">
              <a:shade val="50000"/>
              <a:hueOff val="657776"/>
              <a:satOff val="-65261"/>
              <a:lumOff val="43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NZ" sz="1050" kern="1200">
              <a:latin typeface="Calibri" panose="020F0502020204030204" pitchFamily="34" charset="0"/>
              <a:cs typeface="Calibri" panose="020F0502020204030204" pitchFamily="34" charset="0"/>
            </a:rPr>
            <a:t>The draft is further developed in consultation with internal and where relevant, external input and adjusted in response  to the  considered feedback.</a:t>
          </a:r>
        </a:p>
        <a:p>
          <a:pPr marL="57150" lvl="1" indent="-57150" algn="l" defTabSz="355600">
            <a:lnSpc>
              <a:spcPct val="90000"/>
            </a:lnSpc>
            <a:spcBef>
              <a:spcPct val="0"/>
            </a:spcBef>
            <a:spcAft>
              <a:spcPct val="15000"/>
            </a:spcAft>
            <a:buChar char="•"/>
          </a:pPr>
          <a:endParaRPr lang="en-NZ" sz="800" kern="1200"/>
        </a:p>
      </dsp:txBody>
      <dsp:txXfrm rot="-5400000">
        <a:off x="581640" y="1580658"/>
        <a:ext cx="5505892" cy="602587"/>
      </dsp:txXfrm>
    </dsp:sp>
    <dsp:sp modelId="{224B6600-F62F-4EA7-A2F2-8043FF655F74}">
      <dsp:nvSpPr>
        <dsp:cNvPr id="0" name=""/>
        <dsp:cNvSpPr/>
      </dsp:nvSpPr>
      <dsp:spPr>
        <a:xfrm rot="5400000">
          <a:off x="-124637" y="2452760"/>
          <a:ext cx="830914" cy="581639"/>
        </a:xfrm>
        <a:prstGeom prst="chevron">
          <a:avLst/>
        </a:prstGeom>
        <a:solidFill>
          <a:schemeClr val="accent1">
            <a:shade val="50000"/>
            <a:hueOff val="657776"/>
            <a:satOff val="-65261"/>
            <a:lumOff val="43928"/>
            <a:alphaOff val="0"/>
          </a:schemeClr>
        </a:solidFill>
        <a:ln w="12700" cap="flat" cmpd="sng" algn="ctr">
          <a:solidFill>
            <a:schemeClr val="accent1">
              <a:shade val="50000"/>
              <a:hueOff val="657776"/>
              <a:satOff val="-65261"/>
              <a:lumOff val="439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NZ" sz="600" b="1" kern="1200"/>
            <a:t>Endorsement</a:t>
          </a:r>
        </a:p>
      </dsp:txBody>
      <dsp:txXfrm rot="-5400000">
        <a:off x="1" y="2618943"/>
        <a:ext cx="581639" cy="249275"/>
      </dsp:txXfrm>
    </dsp:sp>
    <dsp:sp modelId="{EE3C1102-1E88-4C1B-AB37-B898BA360F93}">
      <dsp:nvSpPr>
        <dsp:cNvPr id="0" name=""/>
        <dsp:cNvSpPr/>
      </dsp:nvSpPr>
      <dsp:spPr>
        <a:xfrm rot="5400000">
          <a:off x="3080837" y="-171074"/>
          <a:ext cx="540094" cy="5538490"/>
        </a:xfrm>
        <a:prstGeom prst="round2SameRect">
          <a:avLst/>
        </a:prstGeom>
        <a:solidFill>
          <a:schemeClr val="lt1">
            <a:alpha val="90000"/>
            <a:hueOff val="0"/>
            <a:satOff val="0"/>
            <a:lumOff val="0"/>
            <a:alphaOff val="0"/>
          </a:schemeClr>
        </a:solidFill>
        <a:ln w="12700" cap="flat" cmpd="sng" algn="ctr">
          <a:solidFill>
            <a:schemeClr val="accent1">
              <a:shade val="50000"/>
              <a:hueOff val="657776"/>
              <a:satOff val="-65261"/>
              <a:lumOff val="439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NZ" sz="1050" kern="1200">
              <a:latin typeface="Calibri" panose="020F0502020204030204" pitchFamily="34" charset="0"/>
              <a:cs typeface="Calibri" panose="020F0502020204030204" pitchFamily="34" charset="0"/>
            </a:rPr>
            <a:t>The draft is provided to the Senior Leadership Team for review and endorsement. </a:t>
          </a:r>
        </a:p>
      </dsp:txBody>
      <dsp:txXfrm rot="-5400000">
        <a:off x="581640" y="2354488"/>
        <a:ext cx="5512125" cy="487364"/>
      </dsp:txXfrm>
    </dsp:sp>
    <dsp:sp modelId="{E2AB26FA-014C-4BE3-B97E-20912669AB6E}">
      <dsp:nvSpPr>
        <dsp:cNvPr id="0" name=""/>
        <dsp:cNvSpPr/>
      </dsp:nvSpPr>
      <dsp:spPr>
        <a:xfrm rot="5400000">
          <a:off x="-124637" y="3168979"/>
          <a:ext cx="830914" cy="581639"/>
        </a:xfrm>
        <a:prstGeom prst="chevron">
          <a:avLst/>
        </a:prstGeom>
        <a:solidFill>
          <a:schemeClr val="accent1">
            <a:shade val="50000"/>
            <a:hueOff val="328888"/>
            <a:satOff val="-32630"/>
            <a:lumOff val="21964"/>
            <a:alphaOff val="0"/>
          </a:schemeClr>
        </a:solidFill>
        <a:ln w="12700" cap="flat" cmpd="sng" algn="ctr">
          <a:solidFill>
            <a:schemeClr val="accent1">
              <a:shade val="50000"/>
              <a:hueOff val="328888"/>
              <a:satOff val="-32630"/>
              <a:lumOff val="2196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NZ" sz="600" b="1" kern="1200"/>
            <a:t>DGN published</a:t>
          </a:r>
        </a:p>
      </dsp:txBody>
      <dsp:txXfrm rot="-5400000">
        <a:off x="1" y="3335162"/>
        <a:ext cx="581639" cy="249275"/>
      </dsp:txXfrm>
    </dsp:sp>
    <dsp:sp modelId="{88EEF624-6642-4068-87BD-67732FDE5FB8}">
      <dsp:nvSpPr>
        <dsp:cNvPr id="0" name=""/>
        <dsp:cNvSpPr/>
      </dsp:nvSpPr>
      <dsp:spPr>
        <a:xfrm rot="5400000">
          <a:off x="3080837" y="545144"/>
          <a:ext cx="540094" cy="5538490"/>
        </a:xfrm>
        <a:prstGeom prst="round2SameRect">
          <a:avLst/>
        </a:prstGeom>
        <a:solidFill>
          <a:schemeClr val="lt1">
            <a:alpha val="90000"/>
            <a:hueOff val="0"/>
            <a:satOff val="0"/>
            <a:lumOff val="0"/>
            <a:alphaOff val="0"/>
          </a:schemeClr>
        </a:solidFill>
        <a:ln w="12700" cap="flat" cmpd="sng" algn="ctr">
          <a:solidFill>
            <a:schemeClr val="accent1">
              <a:shade val="50000"/>
              <a:hueOff val="328888"/>
              <a:satOff val="-32630"/>
              <a:lumOff val="2196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NZ" sz="1050" kern="1200">
              <a:latin typeface="Calibri" panose="020F0502020204030204" pitchFamily="34" charset="0"/>
              <a:cs typeface="Calibri" panose="020F0502020204030204" pitchFamily="34" charset="0"/>
            </a:rPr>
            <a:t>The DGN is published on the external facing Health New Zeland |Te Whatu Ora website, and stakeholders will be proactively alerted.</a:t>
          </a:r>
        </a:p>
      </dsp:txBody>
      <dsp:txXfrm rot="-5400000">
        <a:off x="581640" y="3070707"/>
        <a:ext cx="5512125" cy="4873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mb22360ee3e3407ca28e907eb3b7ca6b xmlns="9253c88c-d550-4ff1-afdc-d5dc691f60b0">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4dbd6f0d-7021-43d2-a391-03666245495e</TermId>
        </TermInfo>
      </Terms>
    </mb22360ee3e3407ca28e907eb3b7ca6b>
    <HNZOwner xmlns="9253c88c-d550-4ff1-afdc-d5dc691f60b0">
      <UserInfo>
        <DisplayName/>
        <AccountId xsi:nil="true"/>
        <AccountType/>
      </UserInfo>
    </HNZOwner>
    <ka9b207035bc48f2a4f6a2bfed7195b7 xmlns="9253c88c-d550-4ff1-afdc-d5dc691f60b0">
      <Terms xmlns="http://schemas.microsoft.com/office/infopath/2007/PartnerControls"/>
    </ka9b207035bc48f2a4f6a2bfed7195b7>
    <HNZReviewDate xmlns="9253c88c-d550-4ff1-afdc-d5dc691f60b0" xsi:nil="true"/>
    <f3e7f0a218d8438586e2a8545792c0ef xmlns="9253c88c-d550-4ff1-afdc-d5dc691f60b0">
      <Terms xmlns="http://schemas.microsoft.com/office/infopath/2007/PartnerControls"/>
    </f3e7f0a218d8438586e2a8545792c0ef>
    <TaxCatchAll xmlns="9253c88c-d550-4ff1-afdc-d5dc691f60b0">
      <Value>2</Value>
    </TaxCatchAll>
    <p7110e5651294189b89368865130750f xmlns="9253c88c-d550-4ff1-afdc-d5dc691f60b0">
      <Terms xmlns="http://schemas.microsoft.com/office/infopath/2007/PartnerControls"/>
    </p7110e5651294189b89368865130750f>
    <p777f0da518742b188a1f7fd5ee91810 xmlns="9253c88c-d550-4ff1-afdc-d5dc691f60b0">
      <Terms xmlns="http://schemas.microsoft.com/office/infopath/2007/PartnerControls"/>
    </p777f0da518742b188a1f7fd5ee91810>
    <_dlc_DocId xmlns="1648de66-f3f9-4d4b-aae7-60266db04554">2000091-149709563-187980</_dlc_DocId>
    <_dlc_DocIdUrl xmlns="1648de66-f3f9-4d4b-aae7-60266db04554">
      <Url>https://hauoraaotearoa.sharepoint.com/sites/2000091/_layouts/15/DocIdRedir.aspx?ID=2000091-149709563-187980</Url>
      <Description>2000091-149709563-187980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003133E322F133479C2A24F8CB8E0939" ma:contentTypeVersion="7" ma:contentTypeDescription="Create a new document." ma:contentTypeScope="" ma:versionID="ce0d4b3197dd0ac1dc3e108f5b5c206b">
  <xsd:schema xmlns:xsd="http://www.w3.org/2001/XMLSchema" xmlns:xs="http://www.w3.org/2001/XMLSchema" xmlns:p="http://schemas.microsoft.com/office/2006/metadata/properties" xmlns:ns1="http://schemas.microsoft.com/sharepoint/v3" xmlns:ns2="9253c88c-d550-4ff1-afdc-d5dc691f60b0" xmlns:ns3="1648de66-f3f9-4d4b-aae7-60266db04554" targetNamespace="http://schemas.microsoft.com/office/2006/metadata/properties" ma:root="true" ma:fieldsID="341340a07e050dbc8b63053e18546028" ns1:_="" ns2:_="" ns3:_="">
    <xsd:import namespace="http://schemas.microsoft.com/sharepoint/v3"/>
    <xsd:import namespace="9253c88c-d550-4ff1-afdc-d5dc691f60b0"/>
    <xsd:import namespace="1648de66-f3f9-4d4b-aae7-60266db04554"/>
    <xsd:element name="properties">
      <xsd:complexType>
        <xsd:sequence>
          <xsd:element name="documentManagement">
            <xsd:complexType>
              <xsd:all>
                <xsd:element ref="ns2:TaxCatchAll" minOccurs="0"/>
                <xsd:element ref="ns2:TaxCatchAllLabel" minOccurs="0"/>
                <xsd:element ref="ns2:ka9b207035bc48f2a4f6a2bfed7195b7" minOccurs="0"/>
                <xsd:element ref="ns1:Name" minOccurs="0"/>
                <xsd:element ref="ns2:f3e7f0a218d8438586e2a8545792c0ef" minOccurs="0"/>
                <xsd:element ref="ns2:mb22360ee3e3407ca28e907eb3b7ca6b" minOccurs="0"/>
                <xsd:element ref="ns2:HNZOwner" minOccurs="0"/>
                <xsd:element ref="ns2:p7110e5651294189b89368865130750f" minOccurs="0"/>
                <xsd:element ref="ns2:p777f0da518742b188a1f7fd5ee91810" minOccurs="0"/>
                <xsd:element ref="ns2:HNZReview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b61ea72-74de-432a-ab4e-fcd53b2f747b}" ma:internalName="TaxCatchAll" ma:showField="CatchAllData" ma:web="1648de66-f3f9-4d4b-aae7-60266db04554">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b61ea72-74de-432a-ab4e-fcd53b2f747b}" ma:internalName="TaxCatchAllLabel" ma:readOnly="true" ma:showField="CatchAllDataLabel" ma:web="1648de66-f3f9-4d4b-aae7-60266db04554">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taxonomy="true" ma:internalName="ka9b207035bc48f2a4f6a2bfed7195b7" ma:taxonomyFieldName="BusinessFunction" ma:displayName="Business Function" ma:default="" ma:fieldId="{4a9b2070-35bc-48f2-a4f6-a2bfed7195b7}" ma:sspId="ebf29b3f-1e51-457b-ae0c-362182e58074" ma:termSetId="411f0e66-67f8-40f8-97cc-417744de1cc0" ma:anchorId="00000000-0000-0000-0000-000000000000" ma:open="false" ma:isKeyword="false">
      <xsd:complexType>
        <xsd:sequence>
          <xsd:element ref="pc:Terms" minOccurs="0" maxOccurs="1"/>
        </xsd:sequence>
      </xsd:complexType>
    </xsd:element>
    <xsd:element name="f3e7f0a218d8438586e2a8545792c0ef" ma:index="13" nillable="true" ma:taxonomy="true" ma:internalName="f3e7f0a218d8438586e2a8545792c0ef" ma:taxonomyFieldName="HNZTopic" ma:displayName="Topic" ma:fieldId="{f3e7f0a2-18d8-4385-86e2-a8545792c0ef}" ma:taxonomyMulti="true" ma:sspId="ebf29b3f-1e51-457b-ae0c-362182e58074" ma:termSetId="6fc62df7-d99b-474b-a41d-680956366171" ma:anchorId="00000000-0000-0000-0000-000000000000" ma:open="false" ma:isKeyword="false">
      <xsd:complexType>
        <xsd:sequence>
          <xsd:element ref="pc:Terms" minOccurs="0" maxOccurs="1"/>
        </xsd:sequence>
      </xsd:complexType>
    </xsd:element>
    <xsd:element name="mb22360ee3e3407ca28e907eb3b7ca6b" ma:index="15" nillable="true" ma:taxonomy="true" ma:internalName="mb22360ee3e3407ca28e907eb3b7ca6b" ma:taxonomyFieldName="HNZStatus" ma:displayName="Status" ma:default="2;#Draft|4dbd6f0d-7021-43d2-a391-03666245495e" ma:fieldId="{6b22360e-e3e3-407c-a28e-907eb3b7ca6b}" ma:sspId="ebf29b3f-1e51-457b-ae0c-362182e58074" ma:termSetId="24ac87aa-3fa8-4daa-a27b-a4701436e34e" ma:anchorId="00000000-0000-0000-0000-000000000000" ma:open="false" ma:isKeyword="false">
      <xsd:complexType>
        <xsd:sequence>
          <xsd:element ref="pc:Terms" minOccurs="0" maxOccurs="1"/>
        </xsd:sequence>
      </xsd:complex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taxonomy="true" ma:internalName="p7110e5651294189b89368865130750f" ma:taxonomyFieldName="HNZRegion" ma:displayName="Region" ma:fieldId="{97110e56-5129-4189-b893-68865130750f}" ma:taxonomyMulti="true" ma:sspId="ebf29b3f-1e51-457b-ae0c-362182e58074" ma:termSetId="e78d2f76-fe8a-4030-92ee-8b1f3410a63d" ma:anchorId="00000000-0000-0000-0000-000000000000" ma:open="false" ma:isKeyword="false">
      <xsd:complexType>
        <xsd:sequence>
          <xsd:element ref="pc:Terms" minOccurs="0" maxOccurs="1"/>
        </xsd:sequence>
      </xsd:complexType>
    </xsd:element>
    <xsd:element name="p777f0da518742b188a1f7fd5ee91810" ma:index="20" nillable="true" ma:taxonomy="true" ma:internalName="p777f0da518742b188a1f7fd5ee91810" ma:taxonomyFieldName="HNZLocalArea" ma:displayName="Local Area" ma:fieldId="{9777f0da-5187-42b1-88a1-f7fd5ee91810}" ma:taxonomyMulti="true" ma:sspId="ebf29b3f-1e51-457b-ae0c-362182e58074" ma:termSetId="067abcc4-089e-4bdf-badc-3de5e533a37b" ma:anchorId="00000000-0000-0000-0000-000000000000" ma:open="false" ma:isKeyword="false">
      <xsd:complexType>
        <xsd:sequence>
          <xsd:element ref="pc:Terms" minOccurs="0" maxOccurs="1"/>
        </xsd:sequence>
      </xsd:complexType>
    </xsd:element>
    <xsd:element name="HNZReviewDate" ma:index="22" nillable="true" ma:displayName="Review Date" ma:description="Review Date for Intranet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648de66-f3f9-4d4b-aae7-60266db04554"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ebf29b3f-1e51-457b-ae0c-362182e58074" ContentTypeId="0x010100D5C1E13D20A8554992C24F7EE470E023"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2F43143-BD80-473B-92DD-F098F11428FE}">
  <ds:schemaRefs>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9253c88c-d550-4ff1-afdc-d5dc691f60b0"/>
    <ds:schemaRef ds:uri="http://purl.org/dc/elements/1.1/"/>
    <ds:schemaRef ds:uri="http://purl.org/dc/terms/"/>
    <ds:schemaRef ds:uri="http://schemas.microsoft.com/sharepoint/v3"/>
    <ds:schemaRef ds:uri="1648de66-f3f9-4d4b-aae7-60266db04554"/>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486E0FA-3181-46C0-8CFC-E75BB1D39D22}">
  <ds:schemaRefs>
    <ds:schemaRef ds:uri="http://schemas.microsoft.com/sharepoint/v3/contenttype/forms"/>
  </ds:schemaRefs>
</ds:datastoreItem>
</file>

<file path=customXml/itemProps3.xml><?xml version="1.0" encoding="utf-8"?>
<ds:datastoreItem xmlns:ds="http://schemas.openxmlformats.org/officeDocument/2006/customXml" ds:itemID="{4CB33E2C-1C28-41EE-AC2B-01F6E359D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1648de66-f3f9-4d4b-aae7-60266db045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customXml/itemProps5.xml><?xml version="1.0" encoding="utf-8"?>
<ds:datastoreItem xmlns:ds="http://schemas.openxmlformats.org/officeDocument/2006/customXml" ds:itemID="{FE97241B-147E-4863-B63B-2AF4739D2EBB}">
  <ds:schemaRefs>
    <ds:schemaRef ds:uri="Microsoft.SharePoint.Taxonomy.ContentTypeSync"/>
  </ds:schemaRefs>
</ds:datastoreItem>
</file>

<file path=customXml/itemProps6.xml><?xml version="1.0" encoding="utf-8"?>
<ds:datastoreItem xmlns:ds="http://schemas.openxmlformats.org/officeDocument/2006/customXml" ds:itemID="{1AB56661-3B70-4064-A445-A05FF68C7CC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5964</Words>
  <Characters>33998</Characters>
  <Application>Microsoft Office Word</Application>
  <DocSecurity>0</DocSecurity>
  <Lines>283</Lines>
  <Paragraphs>79</Paragraphs>
  <ScaleCrop>false</ScaleCrop>
  <Company/>
  <LinksUpToDate>false</LinksUpToDate>
  <CharactersWithSpaces>39883</CharactersWithSpaces>
  <SharedDoc>false</SharedDoc>
  <HLinks>
    <vt:vector size="258" baseType="variant">
      <vt:variant>
        <vt:i4>852010</vt:i4>
      </vt:variant>
      <vt:variant>
        <vt:i4>240</vt:i4>
      </vt:variant>
      <vt:variant>
        <vt:i4>0</vt:i4>
      </vt:variant>
      <vt:variant>
        <vt:i4>5</vt:i4>
      </vt:variant>
      <vt:variant>
        <vt:lpwstr>mailto:facility.design@tewhatuora.govt.nz</vt:lpwstr>
      </vt:variant>
      <vt:variant>
        <vt:lpwstr/>
      </vt:variant>
      <vt:variant>
        <vt:i4>852010</vt:i4>
      </vt:variant>
      <vt:variant>
        <vt:i4>237</vt:i4>
      </vt:variant>
      <vt:variant>
        <vt:i4>0</vt:i4>
      </vt:variant>
      <vt:variant>
        <vt:i4>5</vt:i4>
      </vt:variant>
      <vt:variant>
        <vt:lpwstr>mailto:facility.design@tewhatuora.govt.nz</vt:lpwstr>
      </vt:variant>
      <vt:variant>
        <vt:lpwstr/>
      </vt:variant>
      <vt:variant>
        <vt:i4>8257643</vt:i4>
      </vt:variant>
      <vt:variant>
        <vt:i4>234</vt:i4>
      </vt:variant>
      <vt:variant>
        <vt:i4>0</vt:i4>
      </vt:variant>
      <vt:variant>
        <vt:i4>5</vt:i4>
      </vt:variant>
      <vt:variant>
        <vt:lpwstr>https://www.healthfacilityguidelines.com.au/standard-components</vt:lpwstr>
      </vt:variant>
      <vt:variant>
        <vt:lpwstr/>
      </vt:variant>
      <vt:variant>
        <vt:i4>5636125</vt:i4>
      </vt:variant>
      <vt:variant>
        <vt:i4>231</vt:i4>
      </vt:variant>
      <vt:variant>
        <vt:i4>0</vt:i4>
      </vt:variant>
      <vt:variant>
        <vt:i4>5</vt:i4>
      </vt:variant>
      <vt:variant>
        <vt:lpwstr>https://www.healthfacilityguidelines.com.au/health-planning-units</vt:lpwstr>
      </vt:variant>
      <vt:variant>
        <vt:lpwstr/>
      </vt:variant>
      <vt:variant>
        <vt:i4>5111822</vt:i4>
      </vt:variant>
      <vt:variant>
        <vt:i4>228</vt:i4>
      </vt:variant>
      <vt:variant>
        <vt:i4>0</vt:i4>
      </vt:variant>
      <vt:variant>
        <vt:i4>5</vt:i4>
      </vt:variant>
      <vt:variant>
        <vt:lpwstr>https://view.officeapps.live.com/op/view.aspx?src=https%3A%2F%2Fwww.tewhatuora.govt.nz%2Fassets%2FOur-health-system%2FInfrastructure-and-investment%2FMasterplanning-guidance-FINAL-1-1.docx&amp;wdOrigin=BROWSELINK</vt:lpwstr>
      </vt:variant>
      <vt:variant>
        <vt:lpwstr/>
      </vt:variant>
      <vt:variant>
        <vt:i4>1245241</vt:i4>
      </vt:variant>
      <vt:variant>
        <vt:i4>221</vt:i4>
      </vt:variant>
      <vt:variant>
        <vt:i4>0</vt:i4>
      </vt:variant>
      <vt:variant>
        <vt:i4>5</vt:i4>
      </vt:variant>
      <vt:variant>
        <vt:lpwstr/>
      </vt:variant>
      <vt:variant>
        <vt:lpwstr>_Toc209602204</vt:lpwstr>
      </vt:variant>
      <vt:variant>
        <vt:i4>1245241</vt:i4>
      </vt:variant>
      <vt:variant>
        <vt:i4>215</vt:i4>
      </vt:variant>
      <vt:variant>
        <vt:i4>0</vt:i4>
      </vt:variant>
      <vt:variant>
        <vt:i4>5</vt:i4>
      </vt:variant>
      <vt:variant>
        <vt:lpwstr/>
      </vt:variant>
      <vt:variant>
        <vt:lpwstr>_Toc209602203</vt:lpwstr>
      </vt:variant>
      <vt:variant>
        <vt:i4>1245241</vt:i4>
      </vt:variant>
      <vt:variant>
        <vt:i4>209</vt:i4>
      </vt:variant>
      <vt:variant>
        <vt:i4>0</vt:i4>
      </vt:variant>
      <vt:variant>
        <vt:i4>5</vt:i4>
      </vt:variant>
      <vt:variant>
        <vt:lpwstr/>
      </vt:variant>
      <vt:variant>
        <vt:lpwstr>_Toc209602202</vt:lpwstr>
      </vt:variant>
      <vt:variant>
        <vt:i4>1245241</vt:i4>
      </vt:variant>
      <vt:variant>
        <vt:i4>203</vt:i4>
      </vt:variant>
      <vt:variant>
        <vt:i4>0</vt:i4>
      </vt:variant>
      <vt:variant>
        <vt:i4>5</vt:i4>
      </vt:variant>
      <vt:variant>
        <vt:lpwstr/>
      </vt:variant>
      <vt:variant>
        <vt:lpwstr>_Toc209602201</vt:lpwstr>
      </vt:variant>
      <vt:variant>
        <vt:i4>1245241</vt:i4>
      </vt:variant>
      <vt:variant>
        <vt:i4>197</vt:i4>
      </vt:variant>
      <vt:variant>
        <vt:i4>0</vt:i4>
      </vt:variant>
      <vt:variant>
        <vt:i4>5</vt:i4>
      </vt:variant>
      <vt:variant>
        <vt:lpwstr/>
      </vt:variant>
      <vt:variant>
        <vt:lpwstr>_Toc209602200</vt:lpwstr>
      </vt:variant>
      <vt:variant>
        <vt:i4>1703994</vt:i4>
      </vt:variant>
      <vt:variant>
        <vt:i4>191</vt:i4>
      </vt:variant>
      <vt:variant>
        <vt:i4>0</vt:i4>
      </vt:variant>
      <vt:variant>
        <vt:i4>5</vt:i4>
      </vt:variant>
      <vt:variant>
        <vt:lpwstr/>
      </vt:variant>
      <vt:variant>
        <vt:lpwstr>_Toc209602199</vt:lpwstr>
      </vt:variant>
      <vt:variant>
        <vt:i4>1703994</vt:i4>
      </vt:variant>
      <vt:variant>
        <vt:i4>185</vt:i4>
      </vt:variant>
      <vt:variant>
        <vt:i4>0</vt:i4>
      </vt:variant>
      <vt:variant>
        <vt:i4>5</vt:i4>
      </vt:variant>
      <vt:variant>
        <vt:lpwstr/>
      </vt:variant>
      <vt:variant>
        <vt:lpwstr>_Toc209602198</vt:lpwstr>
      </vt:variant>
      <vt:variant>
        <vt:i4>1703994</vt:i4>
      </vt:variant>
      <vt:variant>
        <vt:i4>179</vt:i4>
      </vt:variant>
      <vt:variant>
        <vt:i4>0</vt:i4>
      </vt:variant>
      <vt:variant>
        <vt:i4>5</vt:i4>
      </vt:variant>
      <vt:variant>
        <vt:lpwstr/>
      </vt:variant>
      <vt:variant>
        <vt:lpwstr>_Toc209602197</vt:lpwstr>
      </vt:variant>
      <vt:variant>
        <vt:i4>1703994</vt:i4>
      </vt:variant>
      <vt:variant>
        <vt:i4>173</vt:i4>
      </vt:variant>
      <vt:variant>
        <vt:i4>0</vt:i4>
      </vt:variant>
      <vt:variant>
        <vt:i4>5</vt:i4>
      </vt:variant>
      <vt:variant>
        <vt:lpwstr/>
      </vt:variant>
      <vt:variant>
        <vt:lpwstr>_Toc209602196</vt:lpwstr>
      </vt:variant>
      <vt:variant>
        <vt:i4>1703994</vt:i4>
      </vt:variant>
      <vt:variant>
        <vt:i4>167</vt:i4>
      </vt:variant>
      <vt:variant>
        <vt:i4>0</vt:i4>
      </vt:variant>
      <vt:variant>
        <vt:i4>5</vt:i4>
      </vt:variant>
      <vt:variant>
        <vt:lpwstr/>
      </vt:variant>
      <vt:variant>
        <vt:lpwstr>_Toc209602195</vt:lpwstr>
      </vt:variant>
      <vt:variant>
        <vt:i4>1703994</vt:i4>
      </vt:variant>
      <vt:variant>
        <vt:i4>161</vt:i4>
      </vt:variant>
      <vt:variant>
        <vt:i4>0</vt:i4>
      </vt:variant>
      <vt:variant>
        <vt:i4>5</vt:i4>
      </vt:variant>
      <vt:variant>
        <vt:lpwstr/>
      </vt:variant>
      <vt:variant>
        <vt:lpwstr>_Toc209602194</vt:lpwstr>
      </vt:variant>
      <vt:variant>
        <vt:i4>1703994</vt:i4>
      </vt:variant>
      <vt:variant>
        <vt:i4>155</vt:i4>
      </vt:variant>
      <vt:variant>
        <vt:i4>0</vt:i4>
      </vt:variant>
      <vt:variant>
        <vt:i4>5</vt:i4>
      </vt:variant>
      <vt:variant>
        <vt:lpwstr/>
      </vt:variant>
      <vt:variant>
        <vt:lpwstr>_Toc209602193</vt:lpwstr>
      </vt:variant>
      <vt:variant>
        <vt:i4>1703994</vt:i4>
      </vt:variant>
      <vt:variant>
        <vt:i4>149</vt:i4>
      </vt:variant>
      <vt:variant>
        <vt:i4>0</vt:i4>
      </vt:variant>
      <vt:variant>
        <vt:i4>5</vt:i4>
      </vt:variant>
      <vt:variant>
        <vt:lpwstr/>
      </vt:variant>
      <vt:variant>
        <vt:lpwstr>_Toc209602192</vt:lpwstr>
      </vt:variant>
      <vt:variant>
        <vt:i4>1703994</vt:i4>
      </vt:variant>
      <vt:variant>
        <vt:i4>143</vt:i4>
      </vt:variant>
      <vt:variant>
        <vt:i4>0</vt:i4>
      </vt:variant>
      <vt:variant>
        <vt:i4>5</vt:i4>
      </vt:variant>
      <vt:variant>
        <vt:lpwstr/>
      </vt:variant>
      <vt:variant>
        <vt:lpwstr>_Toc209602191</vt:lpwstr>
      </vt:variant>
      <vt:variant>
        <vt:i4>1703994</vt:i4>
      </vt:variant>
      <vt:variant>
        <vt:i4>137</vt:i4>
      </vt:variant>
      <vt:variant>
        <vt:i4>0</vt:i4>
      </vt:variant>
      <vt:variant>
        <vt:i4>5</vt:i4>
      </vt:variant>
      <vt:variant>
        <vt:lpwstr/>
      </vt:variant>
      <vt:variant>
        <vt:lpwstr>_Toc209602190</vt:lpwstr>
      </vt:variant>
      <vt:variant>
        <vt:i4>1769530</vt:i4>
      </vt:variant>
      <vt:variant>
        <vt:i4>131</vt:i4>
      </vt:variant>
      <vt:variant>
        <vt:i4>0</vt:i4>
      </vt:variant>
      <vt:variant>
        <vt:i4>5</vt:i4>
      </vt:variant>
      <vt:variant>
        <vt:lpwstr/>
      </vt:variant>
      <vt:variant>
        <vt:lpwstr>_Toc209602189</vt:lpwstr>
      </vt:variant>
      <vt:variant>
        <vt:i4>1769530</vt:i4>
      </vt:variant>
      <vt:variant>
        <vt:i4>125</vt:i4>
      </vt:variant>
      <vt:variant>
        <vt:i4>0</vt:i4>
      </vt:variant>
      <vt:variant>
        <vt:i4>5</vt:i4>
      </vt:variant>
      <vt:variant>
        <vt:lpwstr/>
      </vt:variant>
      <vt:variant>
        <vt:lpwstr>_Toc209602188</vt:lpwstr>
      </vt:variant>
      <vt:variant>
        <vt:i4>1769530</vt:i4>
      </vt:variant>
      <vt:variant>
        <vt:i4>119</vt:i4>
      </vt:variant>
      <vt:variant>
        <vt:i4>0</vt:i4>
      </vt:variant>
      <vt:variant>
        <vt:i4>5</vt:i4>
      </vt:variant>
      <vt:variant>
        <vt:lpwstr/>
      </vt:variant>
      <vt:variant>
        <vt:lpwstr>_Toc209602187</vt:lpwstr>
      </vt:variant>
      <vt:variant>
        <vt:i4>1769530</vt:i4>
      </vt:variant>
      <vt:variant>
        <vt:i4>113</vt:i4>
      </vt:variant>
      <vt:variant>
        <vt:i4>0</vt:i4>
      </vt:variant>
      <vt:variant>
        <vt:i4>5</vt:i4>
      </vt:variant>
      <vt:variant>
        <vt:lpwstr/>
      </vt:variant>
      <vt:variant>
        <vt:lpwstr>_Toc209602186</vt:lpwstr>
      </vt:variant>
      <vt:variant>
        <vt:i4>1769530</vt:i4>
      </vt:variant>
      <vt:variant>
        <vt:i4>107</vt:i4>
      </vt:variant>
      <vt:variant>
        <vt:i4>0</vt:i4>
      </vt:variant>
      <vt:variant>
        <vt:i4>5</vt:i4>
      </vt:variant>
      <vt:variant>
        <vt:lpwstr/>
      </vt:variant>
      <vt:variant>
        <vt:lpwstr>_Toc209602185</vt:lpwstr>
      </vt:variant>
      <vt:variant>
        <vt:i4>1769530</vt:i4>
      </vt:variant>
      <vt:variant>
        <vt:i4>101</vt:i4>
      </vt:variant>
      <vt:variant>
        <vt:i4>0</vt:i4>
      </vt:variant>
      <vt:variant>
        <vt:i4>5</vt:i4>
      </vt:variant>
      <vt:variant>
        <vt:lpwstr/>
      </vt:variant>
      <vt:variant>
        <vt:lpwstr>_Toc209602184</vt:lpwstr>
      </vt:variant>
      <vt:variant>
        <vt:i4>1769530</vt:i4>
      </vt:variant>
      <vt:variant>
        <vt:i4>95</vt:i4>
      </vt:variant>
      <vt:variant>
        <vt:i4>0</vt:i4>
      </vt:variant>
      <vt:variant>
        <vt:i4>5</vt:i4>
      </vt:variant>
      <vt:variant>
        <vt:lpwstr/>
      </vt:variant>
      <vt:variant>
        <vt:lpwstr>_Toc209602183</vt:lpwstr>
      </vt:variant>
      <vt:variant>
        <vt:i4>1769530</vt:i4>
      </vt:variant>
      <vt:variant>
        <vt:i4>89</vt:i4>
      </vt:variant>
      <vt:variant>
        <vt:i4>0</vt:i4>
      </vt:variant>
      <vt:variant>
        <vt:i4>5</vt:i4>
      </vt:variant>
      <vt:variant>
        <vt:lpwstr/>
      </vt:variant>
      <vt:variant>
        <vt:lpwstr>_Toc209602182</vt:lpwstr>
      </vt:variant>
      <vt:variant>
        <vt:i4>1769530</vt:i4>
      </vt:variant>
      <vt:variant>
        <vt:i4>83</vt:i4>
      </vt:variant>
      <vt:variant>
        <vt:i4>0</vt:i4>
      </vt:variant>
      <vt:variant>
        <vt:i4>5</vt:i4>
      </vt:variant>
      <vt:variant>
        <vt:lpwstr/>
      </vt:variant>
      <vt:variant>
        <vt:lpwstr>_Toc209602181</vt:lpwstr>
      </vt:variant>
      <vt:variant>
        <vt:i4>1769530</vt:i4>
      </vt:variant>
      <vt:variant>
        <vt:i4>77</vt:i4>
      </vt:variant>
      <vt:variant>
        <vt:i4>0</vt:i4>
      </vt:variant>
      <vt:variant>
        <vt:i4>5</vt:i4>
      </vt:variant>
      <vt:variant>
        <vt:lpwstr/>
      </vt:variant>
      <vt:variant>
        <vt:lpwstr>_Toc209602180</vt:lpwstr>
      </vt:variant>
      <vt:variant>
        <vt:i4>1310778</vt:i4>
      </vt:variant>
      <vt:variant>
        <vt:i4>71</vt:i4>
      </vt:variant>
      <vt:variant>
        <vt:i4>0</vt:i4>
      </vt:variant>
      <vt:variant>
        <vt:i4>5</vt:i4>
      </vt:variant>
      <vt:variant>
        <vt:lpwstr/>
      </vt:variant>
      <vt:variant>
        <vt:lpwstr>_Toc209602179</vt:lpwstr>
      </vt:variant>
      <vt:variant>
        <vt:i4>1310778</vt:i4>
      </vt:variant>
      <vt:variant>
        <vt:i4>65</vt:i4>
      </vt:variant>
      <vt:variant>
        <vt:i4>0</vt:i4>
      </vt:variant>
      <vt:variant>
        <vt:i4>5</vt:i4>
      </vt:variant>
      <vt:variant>
        <vt:lpwstr/>
      </vt:variant>
      <vt:variant>
        <vt:lpwstr>_Toc209602178</vt:lpwstr>
      </vt:variant>
      <vt:variant>
        <vt:i4>1310778</vt:i4>
      </vt:variant>
      <vt:variant>
        <vt:i4>59</vt:i4>
      </vt:variant>
      <vt:variant>
        <vt:i4>0</vt:i4>
      </vt:variant>
      <vt:variant>
        <vt:i4>5</vt:i4>
      </vt:variant>
      <vt:variant>
        <vt:lpwstr/>
      </vt:variant>
      <vt:variant>
        <vt:lpwstr>_Toc209602177</vt:lpwstr>
      </vt:variant>
      <vt:variant>
        <vt:i4>1310778</vt:i4>
      </vt:variant>
      <vt:variant>
        <vt:i4>53</vt:i4>
      </vt:variant>
      <vt:variant>
        <vt:i4>0</vt:i4>
      </vt:variant>
      <vt:variant>
        <vt:i4>5</vt:i4>
      </vt:variant>
      <vt:variant>
        <vt:lpwstr/>
      </vt:variant>
      <vt:variant>
        <vt:lpwstr>_Toc209602176</vt:lpwstr>
      </vt:variant>
      <vt:variant>
        <vt:i4>1310778</vt:i4>
      </vt:variant>
      <vt:variant>
        <vt:i4>47</vt:i4>
      </vt:variant>
      <vt:variant>
        <vt:i4>0</vt:i4>
      </vt:variant>
      <vt:variant>
        <vt:i4>5</vt:i4>
      </vt:variant>
      <vt:variant>
        <vt:lpwstr/>
      </vt:variant>
      <vt:variant>
        <vt:lpwstr>_Toc209602175</vt:lpwstr>
      </vt:variant>
      <vt:variant>
        <vt:i4>1310778</vt:i4>
      </vt:variant>
      <vt:variant>
        <vt:i4>41</vt:i4>
      </vt:variant>
      <vt:variant>
        <vt:i4>0</vt:i4>
      </vt:variant>
      <vt:variant>
        <vt:i4>5</vt:i4>
      </vt:variant>
      <vt:variant>
        <vt:lpwstr/>
      </vt:variant>
      <vt:variant>
        <vt:lpwstr>_Toc209602174</vt:lpwstr>
      </vt:variant>
      <vt:variant>
        <vt:i4>1310778</vt:i4>
      </vt:variant>
      <vt:variant>
        <vt:i4>35</vt:i4>
      </vt:variant>
      <vt:variant>
        <vt:i4>0</vt:i4>
      </vt:variant>
      <vt:variant>
        <vt:i4>5</vt:i4>
      </vt:variant>
      <vt:variant>
        <vt:lpwstr/>
      </vt:variant>
      <vt:variant>
        <vt:lpwstr>_Toc209602173</vt:lpwstr>
      </vt:variant>
      <vt:variant>
        <vt:i4>1310778</vt:i4>
      </vt:variant>
      <vt:variant>
        <vt:i4>29</vt:i4>
      </vt:variant>
      <vt:variant>
        <vt:i4>0</vt:i4>
      </vt:variant>
      <vt:variant>
        <vt:i4>5</vt:i4>
      </vt:variant>
      <vt:variant>
        <vt:lpwstr/>
      </vt:variant>
      <vt:variant>
        <vt:lpwstr>_Toc209602172</vt:lpwstr>
      </vt:variant>
      <vt:variant>
        <vt:i4>1310778</vt:i4>
      </vt:variant>
      <vt:variant>
        <vt:i4>23</vt:i4>
      </vt:variant>
      <vt:variant>
        <vt:i4>0</vt:i4>
      </vt:variant>
      <vt:variant>
        <vt:i4>5</vt:i4>
      </vt:variant>
      <vt:variant>
        <vt:lpwstr/>
      </vt:variant>
      <vt:variant>
        <vt:lpwstr>_Toc209602171</vt:lpwstr>
      </vt:variant>
      <vt:variant>
        <vt:i4>1310778</vt:i4>
      </vt:variant>
      <vt:variant>
        <vt:i4>17</vt:i4>
      </vt:variant>
      <vt:variant>
        <vt:i4>0</vt:i4>
      </vt:variant>
      <vt:variant>
        <vt:i4>5</vt:i4>
      </vt:variant>
      <vt:variant>
        <vt:lpwstr/>
      </vt:variant>
      <vt:variant>
        <vt:lpwstr>_Toc209602170</vt:lpwstr>
      </vt:variant>
      <vt:variant>
        <vt:i4>1376314</vt:i4>
      </vt:variant>
      <vt:variant>
        <vt:i4>11</vt:i4>
      </vt:variant>
      <vt:variant>
        <vt:i4>0</vt:i4>
      </vt:variant>
      <vt:variant>
        <vt:i4>5</vt:i4>
      </vt:variant>
      <vt:variant>
        <vt:lpwstr/>
      </vt:variant>
      <vt:variant>
        <vt:lpwstr>_Toc209602169</vt:lpwstr>
      </vt:variant>
      <vt:variant>
        <vt:i4>1376314</vt:i4>
      </vt:variant>
      <vt:variant>
        <vt:i4>5</vt:i4>
      </vt:variant>
      <vt:variant>
        <vt:i4>0</vt:i4>
      </vt:variant>
      <vt:variant>
        <vt:i4>5</vt:i4>
      </vt:variant>
      <vt:variant>
        <vt:lpwstr/>
      </vt:variant>
      <vt:variant>
        <vt:lpwstr>_Toc209602168</vt:lpwstr>
      </vt:variant>
      <vt:variant>
        <vt:i4>7995518</vt:i4>
      </vt:variant>
      <vt:variant>
        <vt:i4>0</vt:i4>
      </vt:variant>
      <vt:variant>
        <vt:i4>0</vt:i4>
      </vt:variant>
      <vt:variant>
        <vt:i4>5</vt:i4>
      </vt:variant>
      <vt:variant>
        <vt:lpwstr>https://www.tewhatuora.govt.nz/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Cooke</dc:creator>
  <cp:keywords/>
  <dc:description/>
  <cp:lastModifiedBy>Jeanette Cooke</cp:lastModifiedBy>
  <cp:revision>2</cp:revision>
  <dcterms:created xsi:type="dcterms:W3CDTF">2025-10-06T23:35:00Z</dcterms:created>
  <dcterms:modified xsi:type="dcterms:W3CDTF">2025-10-06T23:35:00Z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0x010100D5C1E13D20A8554992C24F7EE470E02300003133E322F133479C2A24F8CB8E0939</vt:lpwstr>
  </property>
  <property fmtid="{D5CDD505-2E9C-101B-9397-08002B2CF9AE}" pid="3" name="HNZStatus">
    <vt:lpwstr>2;#Draft|4dbd6f0d-7021-43d2-a391-03666245495e</vt:lpwstr>
  </property>
  <property fmtid="{D5CDD505-2E9C-101B-9397-08002B2CF9AE}" pid="4" name="BusinessFunction">
    <vt:lpwstr/>
  </property>
  <property fmtid="{D5CDD505-2E9C-101B-9397-08002B2CF9AE}" pid="5" name="MediaServiceImageTags">
    <vt:lpwstr/>
  </property>
  <property fmtid="{D5CDD505-2E9C-101B-9397-08002B2CF9AE}" pid="6" name="HNZLocalArea">
    <vt:lpwstr/>
  </property>
  <property fmtid="{D5CDD505-2E9C-101B-9397-08002B2CF9AE}" pid="7" name="HNZRegion">
    <vt:lpwstr/>
  </property>
  <property fmtid="{D5CDD505-2E9C-101B-9397-08002B2CF9AE}" pid="8" name="lcf76f155ced4ddcb4097134ff3c332f">
    <vt:lpwstr/>
  </property>
  <property fmtid="{D5CDD505-2E9C-101B-9397-08002B2CF9AE}" pid="9" name="HNZTopic">
    <vt:lpwstr/>
  </property>
  <property fmtid="{D5CDD505-2E9C-101B-9397-08002B2CF9AE}" pid="10" name="_dlc_DocIdItemGuid">
    <vt:lpwstr>8c759537-9a83-41c0-909d-e42e3c93c672</vt:lpwstr>
  </property>
</Properties>
</file>