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F200C" w14:textId="40B0BAFF" w:rsidR="00817A32" w:rsidRDefault="00077730" w:rsidP="00817A32">
      <w:pPr>
        <w:jc w:val="right"/>
      </w:pPr>
      <w:r>
        <w:rPr>
          <w:noProof/>
          <w:lang w:eastAsia="en-NZ"/>
        </w:rPr>
        <w:drawing>
          <wp:anchor distT="0" distB="0" distL="114300" distR="114300" simplePos="0" relativeHeight="251658243" behindDoc="0" locked="0" layoutInCell="1" allowOverlap="1" wp14:anchorId="13D44706" wp14:editId="0D96A34B">
            <wp:simplePos x="0" y="0"/>
            <wp:positionH relativeFrom="margin">
              <wp:posOffset>-71755</wp:posOffset>
            </wp:positionH>
            <wp:positionV relativeFrom="margin">
              <wp:posOffset>-107950</wp:posOffset>
            </wp:positionV>
            <wp:extent cx="3466800" cy="792000"/>
            <wp:effectExtent l="0" t="0" r="63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6800" cy="792000"/>
                    </a:xfrm>
                    <a:prstGeom prst="rect">
                      <a:avLst/>
                    </a:prstGeom>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58240" behindDoc="0" locked="0" layoutInCell="1" allowOverlap="1" wp14:anchorId="002F1B8C" wp14:editId="43FAD35C">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BE1C2CE" w14:textId="040C898F" w:rsidR="0087795F" w:rsidRPr="0087795F" w:rsidRDefault="00077730" w:rsidP="0087795F">
                            <w:pPr>
                              <w:pStyle w:val="Title"/>
                              <w:rPr>
                                <w:rFonts w:eastAsia="+mj-ea"/>
                              </w:rPr>
                            </w:pPr>
                            <w:r>
                              <w:rPr>
                                <w:rFonts w:eastAsia="+mj-ea"/>
                              </w:rPr>
                              <w:t>Health Information Security Framework</w:t>
                            </w:r>
                          </w:p>
                          <w:p w14:paraId="0EFB195A" w14:textId="5A7811BC" w:rsidR="00533781" w:rsidRDefault="00077730" w:rsidP="0087795F">
                            <w:pPr>
                              <w:pStyle w:val="Subtitle"/>
                              <w:rPr>
                                <w:rFonts w:eastAsia="+mj-ea"/>
                              </w:rPr>
                            </w:pPr>
                            <w:r>
                              <w:rPr>
                                <w:rFonts w:eastAsia="+mj-ea"/>
                              </w:rPr>
                              <w:t>HISO 10029:202</w:t>
                            </w:r>
                            <w:r w:rsidR="00F04838">
                              <w:rPr>
                                <w:rFonts w:eastAsia="+mj-ea"/>
                              </w:rPr>
                              <w:t>2</w:t>
                            </w:r>
                          </w:p>
                          <w:p w14:paraId="5208543B" w14:textId="091F89AA"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02F1B8C"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BE1C2CE" w14:textId="040C898F" w:rsidR="0087795F" w:rsidRPr="0087795F" w:rsidRDefault="00077730" w:rsidP="0087795F">
                      <w:pPr>
                        <w:pStyle w:val="Title"/>
                        <w:rPr>
                          <w:rFonts w:eastAsia="+mj-ea"/>
                        </w:rPr>
                      </w:pPr>
                      <w:r>
                        <w:rPr>
                          <w:rFonts w:eastAsia="+mj-ea"/>
                        </w:rPr>
                        <w:t>Health Information Security Framework</w:t>
                      </w:r>
                    </w:p>
                    <w:p w14:paraId="0EFB195A" w14:textId="5A7811BC" w:rsidR="00533781" w:rsidRDefault="00077730" w:rsidP="0087795F">
                      <w:pPr>
                        <w:pStyle w:val="Subtitle"/>
                        <w:rPr>
                          <w:rFonts w:eastAsia="+mj-ea"/>
                        </w:rPr>
                      </w:pPr>
                      <w:r>
                        <w:rPr>
                          <w:rFonts w:eastAsia="+mj-ea"/>
                        </w:rPr>
                        <w:t>HISO 10029:202</w:t>
                      </w:r>
                      <w:r w:rsidR="00F04838">
                        <w:rPr>
                          <w:rFonts w:eastAsia="+mj-ea"/>
                        </w:rPr>
                        <w:t>2</w:t>
                      </w:r>
                    </w:p>
                    <w:p w14:paraId="5208543B" w14:textId="091F89AA" w:rsidR="0087795F" w:rsidRPr="007F15E1" w:rsidRDefault="0087795F" w:rsidP="0087795F">
                      <w:pPr>
                        <w:pStyle w:val="Subtitle"/>
                      </w:pP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58241" behindDoc="0" locked="0" layoutInCell="1" allowOverlap="1" wp14:anchorId="07517B34" wp14:editId="5BF0317C">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66817C71" w14:textId="6345FBE4" w:rsidR="0087795F" w:rsidRPr="007F15E1" w:rsidRDefault="0065108B" w:rsidP="0087795F">
                            <w:pPr>
                              <w:pStyle w:val="Provider"/>
                            </w:pPr>
                            <w:r>
                              <w:t xml:space="preserve">Released </w:t>
                            </w:r>
                            <w:r w:rsidR="00F04838">
                              <w:t>December</w:t>
                            </w:r>
                            <w:r w:rsidR="000B5675">
                              <w:t xml:space="preserve"> 202</w:t>
                            </w:r>
                            <w:r w:rsidR="00F04838">
                              <w:t>2</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7B34" id="Text Box 9" o:spid="_x0000_s1027" type="#_x0000_t202" style="position:absolute;left:0;text-align:left;margin-left:1.3pt;margin-top:415.35pt;width:337.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66817C71" w14:textId="6345FBE4" w:rsidR="0087795F" w:rsidRPr="007F15E1" w:rsidRDefault="0065108B" w:rsidP="0087795F">
                      <w:pPr>
                        <w:pStyle w:val="Provider"/>
                      </w:pPr>
                      <w:r>
                        <w:t xml:space="preserve">Released </w:t>
                      </w:r>
                      <w:r w:rsidR="00F04838">
                        <w:t>December</w:t>
                      </w:r>
                      <w:r w:rsidR="000B5675">
                        <w:t xml:space="preserve"> 202</w:t>
                      </w:r>
                      <w:r w:rsidR="00F04838">
                        <w:t>2</w:t>
                      </w:r>
                    </w:p>
                  </w:txbxContent>
                </v:textbox>
                <w10:wrap type="square"/>
              </v:shape>
            </w:pict>
          </mc:Fallback>
        </mc:AlternateContent>
      </w:r>
      <w:r w:rsidR="00817A32" w:rsidRPr="00063471">
        <w:rPr>
          <w:noProof/>
        </w:rPr>
        <w:drawing>
          <wp:anchor distT="0" distB="0" distL="114300" distR="114300" simplePos="0" relativeHeight="251658244" behindDoc="1" locked="0" layoutInCell="1" allowOverlap="1" wp14:anchorId="28A759B6" wp14:editId="372951AA">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472EC997" wp14:editId="68F86FBC">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8AD4FA4" w14:textId="5E2B5D8C" w:rsidR="00817A32" w:rsidRDefault="008D78D9" w:rsidP="0087795F">
      <w:r>
        <w:rPr>
          <w:noProof/>
        </w:rPr>
        <w:drawing>
          <wp:anchor distT="0" distB="0" distL="114300" distR="114300" simplePos="0" relativeHeight="251658242" behindDoc="0" locked="0" layoutInCell="1" allowOverlap="1" wp14:anchorId="1DE35CE2" wp14:editId="366F1EEC">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3BD513E8" w14:textId="57398A7E" w:rsidR="004C2E5B" w:rsidRDefault="004C2E5B" w:rsidP="004C2E5B">
      <w:r>
        <w:lastRenderedPageBreak/>
        <w:t xml:space="preserve">Citation: </w:t>
      </w:r>
      <w:r w:rsidR="00ED4008">
        <w:t>Te Whatu Ora – Health New Zealand</w:t>
      </w:r>
      <w:r>
        <w:t xml:space="preserve">. </w:t>
      </w:r>
      <w:r w:rsidR="00077730">
        <w:t>2022</w:t>
      </w:r>
      <w:r>
        <w:t xml:space="preserve">. </w:t>
      </w:r>
      <w:r w:rsidR="00077730">
        <w:rPr>
          <w:i/>
          <w:iCs/>
        </w:rPr>
        <w:t>HISO 10029:202</w:t>
      </w:r>
      <w:r w:rsidR="00F04838">
        <w:rPr>
          <w:i/>
          <w:iCs/>
        </w:rPr>
        <w:t>2</w:t>
      </w:r>
      <w:r w:rsidR="00077730">
        <w:rPr>
          <w:i/>
          <w:iCs/>
        </w:rPr>
        <w:t xml:space="preserve"> Health Information Security Framework</w:t>
      </w:r>
      <w:r>
        <w:t xml:space="preserve">. Wellington: </w:t>
      </w:r>
      <w:r w:rsidR="00ED4008">
        <w:t>Te Whatu Ora – Health New Zealand</w:t>
      </w:r>
      <w:r>
        <w:t>.</w:t>
      </w:r>
    </w:p>
    <w:p w14:paraId="78697023" w14:textId="1CB06230" w:rsidR="004C2E5B" w:rsidRDefault="004C2E5B" w:rsidP="004C2E5B">
      <w:r>
        <w:t xml:space="preserve">Published in </w:t>
      </w:r>
      <w:r w:rsidR="00F04838">
        <w:t>December</w:t>
      </w:r>
      <w:r w:rsidR="00AA1CB9">
        <w:t xml:space="preserve"> </w:t>
      </w:r>
      <w:r w:rsidR="00077730">
        <w:t>202</w:t>
      </w:r>
      <w:r w:rsidR="00F04838">
        <w:t>2</w:t>
      </w:r>
      <w:r>
        <w:t xml:space="preserve"> by </w:t>
      </w:r>
      <w:r w:rsidR="00ED4008">
        <w:t>Te Whatu Ora – Health New Zealand</w:t>
      </w:r>
      <w:r>
        <w:br/>
        <w:t xml:space="preserve">PO Box </w:t>
      </w:r>
      <w:r w:rsidR="00F10DE1">
        <w:t>793</w:t>
      </w:r>
      <w:r>
        <w:t>, Wellington 6140, New Zealand</w:t>
      </w:r>
    </w:p>
    <w:p w14:paraId="7FFFEC24" w14:textId="0C752878" w:rsidR="004C2E5B" w:rsidRDefault="004C2E5B" w:rsidP="004C2E5B">
      <w:r w:rsidRPr="00077730">
        <w:rPr>
          <w:highlight w:val="yellow"/>
        </w:rPr>
        <w:br/>
      </w:r>
      <w:r w:rsidRPr="00FD2D5F">
        <w:t xml:space="preserve">ISBN </w:t>
      </w:r>
      <w:r w:rsidR="00FD2D5F" w:rsidRPr="00FD2D5F">
        <w:t>978-1-99-106707-4</w:t>
      </w:r>
      <w:r w:rsidRPr="00FD2D5F">
        <w:t xml:space="preserve"> (online)</w:t>
      </w:r>
    </w:p>
    <w:p w14:paraId="181323FB" w14:textId="77777777" w:rsidR="00B75F7F" w:rsidRDefault="00B75F7F" w:rsidP="004C2E5B">
      <w:r w:rsidRPr="00EF30CD">
        <w:rPr>
          <w:noProof/>
          <w:lang w:eastAsia="en-NZ"/>
        </w:rPr>
        <w:drawing>
          <wp:inline distT="0" distB="0" distL="0" distR="0" wp14:anchorId="491739B9" wp14:editId="1B0E3FBB">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31581440"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79410BF6" w14:textId="77777777" w:rsidTr="00B75F7F">
        <w:tc>
          <w:tcPr>
            <w:tcW w:w="1696" w:type="dxa"/>
            <w:vAlign w:val="center"/>
          </w:tcPr>
          <w:p w14:paraId="1B0D9A58" w14:textId="77777777" w:rsidR="00B75F7F" w:rsidRDefault="00B75F7F" w:rsidP="00B75F7F">
            <w:r w:rsidRPr="00EF30CD">
              <w:rPr>
                <w:rFonts w:cs="Segoe UI"/>
                <w:b/>
                <w:noProof/>
                <w:sz w:val="15"/>
                <w:szCs w:val="15"/>
                <w:lang w:eastAsia="en-NZ"/>
              </w:rPr>
              <w:drawing>
                <wp:inline distT="0" distB="0" distL="0" distR="0" wp14:anchorId="0CAFB464" wp14:editId="4BA8106F">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3E6D332"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remix, transform and build upon the material. You must give appropriate credit, provide a link to the licence and indicate if changes were made.</w:t>
            </w:r>
          </w:p>
        </w:tc>
      </w:tr>
    </w:tbl>
    <w:p w14:paraId="4F74E4A9" w14:textId="77777777" w:rsidR="00630DE1" w:rsidRPr="00B75F7F" w:rsidRDefault="00630DE1" w:rsidP="00B75F7F">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5DE24C05" w14:textId="77777777" w:rsidR="00630DE1" w:rsidRDefault="00630DE1" w:rsidP="00630DE1">
          <w:pPr>
            <w:pStyle w:val="TOCHeading"/>
          </w:pPr>
          <w:r w:rsidRPr="00630DE1">
            <w:t>Contents</w:t>
          </w:r>
        </w:p>
        <w:p w14:paraId="47A6A943" w14:textId="603C1B96" w:rsidR="008A7F68" w:rsidRDefault="00630DE1">
          <w:pPr>
            <w:pStyle w:val="TOC1"/>
            <w:rPr>
              <w:rFonts w:eastAsiaTheme="minorEastAsia"/>
              <w:noProof/>
              <w:sz w:val="22"/>
              <w:lang w:eastAsia="en-NZ"/>
            </w:rPr>
          </w:pPr>
          <w:r>
            <w:fldChar w:fldCharType="begin"/>
          </w:r>
          <w:r>
            <w:instrText xml:space="preserve"> TOC \o "1-2" \h \z \u </w:instrText>
          </w:r>
          <w:r>
            <w:fldChar w:fldCharType="separate"/>
          </w:r>
          <w:hyperlink w:anchor="_Toc132298220" w:history="1">
            <w:r w:rsidR="008A7F68" w:rsidRPr="00D00230">
              <w:rPr>
                <w:rStyle w:val="Hyperlink"/>
                <w:noProof/>
              </w:rPr>
              <w:t>1</w:t>
            </w:r>
            <w:r w:rsidR="008A7F68">
              <w:rPr>
                <w:rFonts w:eastAsiaTheme="minorEastAsia"/>
                <w:noProof/>
                <w:sz w:val="22"/>
                <w:lang w:eastAsia="en-NZ"/>
              </w:rPr>
              <w:tab/>
            </w:r>
            <w:r w:rsidR="008A7F68" w:rsidRPr="00D00230">
              <w:rPr>
                <w:rStyle w:val="Hyperlink"/>
                <w:noProof/>
              </w:rPr>
              <w:t>Purpose</w:t>
            </w:r>
            <w:r w:rsidR="008A7F68">
              <w:rPr>
                <w:noProof/>
                <w:webHidden/>
              </w:rPr>
              <w:tab/>
            </w:r>
            <w:r w:rsidR="008A7F68">
              <w:rPr>
                <w:noProof/>
                <w:webHidden/>
              </w:rPr>
              <w:fldChar w:fldCharType="begin"/>
            </w:r>
            <w:r w:rsidR="008A7F68">
              <w:rPr>
                <w:noProof/>
                <w:webHidden/>
              </w:rPr>
              <w:instrText xml:space="preserve"> PAGEREF _Toc132298220 \h </w:instrText>
            </w:r>
            <w:r w:rsidR="008A7F68">
              <w:rPr>
                <w:noProof/>
                <w:webHidden/>
              </w:rPr>
            </w:r>
            <w:r w:rsidR="008A7F68">
              <w:rPr>
                <w:noProof/>
                <w:webHidden/>
              </w:rPr>
              <w:fldChar w:fldCharType="separate"/>
            </w:r>
            <w:r w:rsidR="00967660">
              <w:rPr>
                <w:noProof/>
                <w:webHidden/>
              </w:rPr>
              <w:t>4</w:t>
            </w:r>
            <w:r w:rsidR="008A7F68">
              <w:rPr>
                <w:noProof/>
                <w:webHidden/>
              </w:rPr>
              <w:fldChar w:fldCharType="end"/>
            </w:r>
          </w:hyperlink>
        </w:p>
        <w:p w14:paraId="5FB84C66" w14:textId="66A6AF80" w:rsidR="008A7F68" w:rsidRDefault="002D7022">
          <w:pPr>
            <w:pStyle w:val="TOC1"/>
            <w:rPr>
              <w:rFonts w:eastAsiaTheme="minorEastAsia"/>
              <w:noProof/>
              <w:sz w:val="22"/>
              <w:lang w:eastAsia="en-NZ"/>
            </w:rPr>
          </w:pPr>
          <w:hyperlink w:anchor="_Toc132298221" w:history="1">
            <w:r w:rsidR="008A7F68" w:rsidRPr="00D00230">
              <w:rPr>
                <w:rStyle w:val="Hyperlink"/>
                <w:noProof/>
              </w:rPr>
              <w:t>2</w:t>
            </w:r>
            <w:r w:rsidR="008A7F68">
              <w:rPr>
                <w:rFonts w:eastAsiaTheme="minorEastAsia"/>
                <w:noProof/>
                <w:sz w:val="22"/>
                <w:lang w:eastAsia="en-NZ"/>
              </w:rPr>
              <w:tab/>
            </w:r>
            <w:r w:rsidR="008A7F68" w:rsidRPr="00D00230">
              <w:rPr>
                <w:rStyle w:val="Hyperlink"/>
                <w:noProof/>
              </w:rPr>
              <w:t>Scope</w:t>
            </w:r>
            <w:r w:rsidR="008A7F68">
              <w:rPr>
                <w:noProof/>
                <w:webHidden/>
              </w:rPr>
              <w:tab/>
            </w:r>
            <w:r w:rsidR="008A7F68">
              <w:rPr>
                <w:noProof/>
                <w:webHidden/>
              </w:rPr>
              <w:fldChar w:fldCharType="begin"/>
            </w:r>
            <w:r w:rsidR="008A7F68">
              <w:rPr>
                <w:noProof/>
                <w:webHidden/>
              </w:rPr>
              <w:instrText xml:space="preserve"> PAGEREF _Toc132298221 \h </w:instrText>
            </w:r>
            <w:r w:rsidR="008A7F68">
              <w:rPr>
                <w:noProof/>
                <w:webHidden/>
              </w:rPr>
            </w:r>
            <w:r w:rsidR="008A7F68">
              <w:rPr>
                <w:noProof/>
                <w:webHidden/>
              </w:rPr>
              <w:fldChar w:fldCharType="separate"/>
            </w:r>
            <w:r w:rsidR="00967660">
              <w:rPr>
                <w:noProof/>
                <w:webHidden/>
              </w:rPr>
              <w:t>5</w:t>
            </w:r>
            <w:r w:rsidR="008A7F68">
              <w:rPr>
                <w:noProof/>
                <w:webHidden/>
              </w:rPr>
              <w:fldChar w:fldCharType="end"/>
            </w:r>
          </w:hyperlink>
        </w:p>
        <w:p w14:paraId="3C57D5D3" w14:textId="723850AB" w:rsidR="008A7F68" w:rsidRDefault="002D7022">
          <w:pPr>
            <w:pStyle w:val="TOC1"/>
            <w:rPr>
              <w:rFonts w:eastAsiaTheme="minorEastAsia"/>
              <w:noProof/>
              <w:sz w:val="22"/>
              <w:lang w:eastAsia="en-NZ"/>
            </w:rPr>
          </w:pPr>
          <w:hyperlink w:anchor="_Toc132298222" w:history="1">
            <w:r w:rsidR="008A7F68" w:rsidRPr="00D00230">
              <w:rPr>
                <w:rStyle w:val="Hyperlink"/>
                <w:noProof/>
              </w:rPr>
              <w:t>3</w:t>
            </w:r>
            <w:r w:rsidR="008A7F68">
              <w:rPr>
                <w:rFonts w:eastAsiaTheme="minorEastAsia"/>
                <w:noProof/>
                <w:sz w:val="22"/>
                <w:lang w:eastAsia="en-NZ"/>
              </w:rPr>
              <w:tab/>
            </w:r>
            <w:r w:rsidR="008A7F68" w:rsidRPr="00D00230">
              <w:rPr>
                <w:rStyle w:val="Hyperlink"/>
                <w:noProof/>
              </w:rPr>
              <w:t>Background</w:t>
            </w:r>
            <w:r w:rsidR="008A7F68">
              <w:rPr>
                <w:noProof/>
                <w:webHidden/>
              </w:rPr>
              <w:tab/>
            </w:r>
            <w:r w:rsidR="008A7F68">
              <w:rPr>
                <w:noProof/>
                <w:webHidden/>
              </w:rPr>
              <w:fldChar w:fldCharType="begin"/>
            </w:r>
            <w:r w:rsidR="008A7F68">
              <w:rPr>
                <w:noProof/>
                <w:webHidden/>
              </w:rPr>
              <w:instrText xml:space="preserve"> PAGEREF _Toc132298222 \h </w:instrText>
            </w:r>
            <w:r w:rsidR="008A7F68">
              <w:rPr>
                <w:noProof/>
                <w:webHidden/>
              </w:rPr>
            </w:r>
            <w:r w:rsidR="008A7F68">
              <w:rPr>
                <w:noProof/>
                <w:webHidden/>
              </w:rPr>
              <w:fldChar w:fldCharType="separate"/>
            </w:r>
            <w:r w:rsidR="00967660">
              <w:rPr>
                <w:noProof/>
                <w:webHidden/>
              </w:rPr>
              <w:t>6</w:t>
            </w:r>
            <w:r w:rsidR="008A7F68">
              <w:rPr>
                <w:noProof/>
                <w:webHidden/>
              </w:rPr>
              <w:fldChar w:fldCharType="end"/>
            </w:r>
          </w:hyperlink>
        </w:p>
        <w:p w14:paraId="10B2C14B" w14:textId="238A4486" w:rsidR="008A7F68" w:rsidRDefault="002D7022">
          <w:pPr>
            <w:pStyle w:val="TOC1"/>
            <w:rPr>
              <w:rFonts w:eastAsiaTheme="minorEastAsia"/>
              <w:noProof/>
              <w:sz w:val="22"/>
              <w:lang w:eastAsia="en-NZ"/>
            </w:rPr>
          </w:pPr>
          <w:hyperlink w:anchor="_Toc132298223" w:history="1">
            <w:r w:rsidR="008A7F68" w:rsidRPr="00D00230">
              <w:rPr>
                <w:rStyle w:val="Hyperlink"/>
                <w:noProof/>
              </w:rPr>
              <w:t>4</w:t>
            </w:r>
            <w:r w:rsidR="008A7F68">
              <w:rPr>
                <w:rFonts w:eastAsiaTheme="minorEastAsia"/>
                <w:noProof/>
                <w:sz w:val="22"/>
                <w:lang w:eastAsia="en-NZ"/>
              </w:rPr>
              <w:tab/>
            </w:r>
            <w:r w:rsidR="008A7F68" w:rsidRPr="00D00230">
              <w:rPr>
                <w:rStyle w:val="Hyperlink"/>
                <w:noProof/>
              </w:rPr>
              <w:t>Commitment to Māori co-design</w:t>
            </w:r>
            <w:r w:rsidR="008A7F68">
              <w:rPr>
                <w:noProof/>
                <w:webHidden/>
              </w:rPr>
              <w:tab/>
            </w:r>
            <w:r w:rsidR="008A7F68">
              <w:rPr>
                <w:noProof/>
                <w:webHidden/>
              </w:rPr>
              <w:fldChar w:fldCharType="begin"/>
            </w:r>
            <w:r w:rsidR="008A7F68">
              <w:rPr>
                <w:noProof/>
                <w:webHidden/>
              </w:rPr>
              <w:instrText xml:space="preserve"> PAGEREF _Toc132298223 \h </w:instrText>
            </w:r>
            <w:r w:rsidR="008A7F68">
              <w:rPr>
                <w:noProof/>
                <w:webHidden/>
              </w:rPr>
            </w:r>
            <w:r w:rsidR="008A7F68">
              <w:rPr>
                <w:noProof/>
                <w:webHidden/>
              </w:rPr>
              <w:fldChar w:fldCharType="separate"/>
            </w:r>
            <w:r w:rsidR="00967660">
              <w:rPr>
                <w:noProof/>
                <w:webHidden/>
              </w:rPr>
              <w:t>7</w:t>
            </w:r>
            <w:r w:rsidR="008A7F68">
              <w:rPr>
                <w:noProof/>
                <w:webHidden/>
              </w:rPr>
              <w:fldChar w:fldCharType="end"/>
            </w:r>
          </w:hyperlink>
        </w:p>
        <w:p w14:paraId="34AE1238" w14:textId="0F1DB1CA" w:rsidR="008A7F68" w:rsidRDefault="002D7022">
          <w:pPr>
            <w:pStyle w:val="TOC1"/>
            <w:rPr>
              <w:rFonts w:eastAsiaTheme="minorEastAsia"/>
              <w:noProof/>
              <w:sz w:val="22"/>
              <w:lang w:eastAsia="en-NZ"/>
            </w:rPr>
          </w:pPr>
          <w:hyperlink w:anchor="_Toc132298225" w:history="1">
            <w:r w:rsidR="008A7F68" w:rsidRPr="00D00230">
              <w:rPr>
                <w:rStyle w:val="Hyperlink"/>
                <w:noProof/>
              </w:rPr>
              <w:t>5</w:t>
            </w:r>
            <w:r w:rsidR="008A7F68">
              <w:rPr>
                <w:rFonts w:eastAsiaTheme="minorEastAsia"/>
                <w:noProof/>
                <w:sz w:val="22"/>
                <w:lang w:eastAsia="en-NZ"/>
              </w:rPr>
              <w:tab/>
            </w:r>
            <w:r w:rsidR="008A7F68" w:rsidRPr="00D00230">
              <w:rPr>
                <w:rStyle w:val="Hyperlink"/>
                <w:noProof/>
              </w:rPr>
              <w:t>Framework essentials</w:t>
            </w:r>
            <w:r w:rsidR="008A7F68">
              <w:rPr>
                <w:noProof/>
                <w:webHidden/>
              </w:rPr>
              <w:tab/>
            </w:r>
            <w:r w:rsidR="008A7F68">
              <w:rPr>
                <w:noProof/>
                <w:webHidden/>
              </w:rPr>
              <w:fldChar w:fldCharType="begin"/>
            </w:r>
            <w:r w:rsidR="008A7F68">
              <w:rPr>
                <w:noProof/>
                <w:webHidden/>
              </w:rPr>
              <w:instrText xml:space="preserve"> PAGEREF _Toc132298225 \h </w:instrText>
            </w:r>
            <w:r w:rsidR="008A7F68">
              <w:rPr>
                <w:noProof/>
                <w:webHidden/>
              </w:rPr>
            </w:r>
            <w:r w:rsidR="008A7F68">
              <w:rPr>
                <w:noProof/>
                <w:webHidden/>
              </w:rPr>
              <w:fldChar w:fldCharType="separate"/>
            </w:r>
            <w:r w:rsidR="00967660">
              <w:rPr>
                <w:noProof/>
                <w:webHidden/>
              </w:rPr>
              <w:t>9</w:t>
            </w:r>
            <w:r w:rsidR="008A7F68">
              <w:rPr>
                <w:noProof/>
                <w:webHidden/>
              </w:rPr>
              <w:fldChar w:fldCharType="end"/>
            </w:r>
          </w:hyperlink>
        </w:p>
        <w:p w14:paraId="14FDBC1F" w14:textId="322CAAE4" w:rsidR="008A7F68" w:rsidRDefault="002D7022">
          <w:pPr>
            <w:pStyle w:val="TOC2"/>
            <w:tabs>
              <w:tab w:val="left" w:pos="880"/>
              <w:tab w:val="right" w:pos="9628"/>
            </w:tabs>
            <w:rPr>
              <w:rFonts w:eastAsiaTheme="minorEastAsia"/>
              <w:noProof/>
              <w:sz w:val="22"/>
              <w:lang w:eastAsia="en-NZ"/>
            </w:rPr>
          </w:pPr>
          <w:hyperlink w:anchor="_Toc132298226" w:history="1">
            <w:r w:rsidR="008A7F68" w:rsidRPr="00D00230">
              <w:rPr>
                <w:rStyle w:val="Hyperlink"/>
                <w:noProof/>
              </w:rPr>
              <w:t>5.1</w:t>
            </w:r>
            <w:r w:rsidR="008A7F68">
              <w:rPr>
                <w:rFonts w:eastAsiaTheme="minorEastAsia"/>
                <w:noProof/>
                <w:sz w:val="22"/>
                <w:lang w:eastAsia="en-NZ"/>
              </w:rPr>
              <w:tab/>
            </w:r>
            <w:r w:rsidR="008A7F68" w:rsidRPr="00D00230">
              <w:rPr>
                <w:rStyle w:val="Hyperlink"/>
                <w:noProof/>
              </w:rPr>
              <w:t>HISF Obligations</w:t>
            </w:r>
            <w:r w:rsidR="008A7F68">
              <w:rPr>
                <w:noProof/>
                <w:webHidden/>
              </w:rPr>
              <w:tab/>
            </w:r>
            <w:r w:rsidR="008A7F68">
              <w:rPr>
                <w:noProof/>
                <w:webHidden/>
              </w:rPr>
              <w:fldChar w:fldCharType="begin"/>
            </w:r>
            <w:r w:rsidR="008A7F68">
              <w:rPr>
                <w:noProof/>
                <w:webHidden/>
              </w:rPr>
              <w:instrText xml:space="preserve"> PAGEREF _Toc132298226 \h </w:instrText>
            </w:r>
            <w:r w:rsidR="008A7F68">
              <w:rPr>
                <w:noProof/>
                <w:webHidden/>
              </w:rPr>
            </w:r>
            <w:r w:rsidR="008A7F68">
              <w:rPr>
                <w:noProof/>
                <w:webHidden/>
              </w:rPr>
              <w:fldChar w:fldCharType="separate"/>
            </w:r>
            <w:r w:rsidR="00967660">
              <w:rPr>
                <w:noProof/>
                <w:webHidden/>
              </w:rPr>
              <w:t>11</w:t>
            </w:r>
            <w:r w:rsidR="008A7F68">
              <w:rPr>
                <w:noProof/>
                <w:webHidden/>
              </w:rPr>
              <w:fldChar w:fldCharType="end"/>
            </w:r>
          </w:hyperlink>
        </w:p>
        <w:p w14:paraId="6526B991" w14:textId="27A90ADA" w:rsidR="008A7F68" w:rsidRDefault="002D7022">
          <w:pPr>
            <w:pStyle w:val="TOC2"/>
            <w:tabs>
              <w:tab w:val="left" w:pos="880"/>
              <w:tab w:val="right" w:pos="9628"/>
            </w:tabs>
            <w:rPr>
              <w:rFonts w:eastAsiaTheme="minorEastAsia"/>
              <w:noProof/>
              <w:sz w:val="22"/>
              <w:lang w:eastAsia="en-NZ"/>
            </w:rPr>
          </w:pPr>
          <w:hyperlink w:anchor="_Toc132298227" w:history="1">
            <w:r w:rsidR="008A7F68" w:rsidRPr="00D00230">
              <w:rPr>
                <w:rStyle w:val="Hyperlink"/>
                <w:noProof/>
              </w:rPr>
              <w:t>5.2</w:t>
            </w:r>
            <w:r w:rsidR="008A7F68">
              <w:rPr>
                <w:rFonts w:eastAsiaTheme="minorEastAsia"/>
                <w:noProof/>
                <w:sz w:val="22"/>
                <w:lang w:eastAsia="en-NZ"/>
              </w:rPr>
              <w:tab/>
            </w:r>
            <w:r w:rsidR="008A7F68" w:rsidRPr="00D00230">
              <w:rPr>
                <w:rStyle w:val="Hyperlink"/>
                <w:noProof/>
              </w:rPr>
              <w:t>HISF Functional Processes</w:t>
            </w:r>
            <w:r w:rsidR="008A7F68">
              <w:rPr>
                <w:noProof/>
                <w:webHidden/>
              </w:rPr>
              <w:tab/>
            </w:r>
            <w:r w:rsidR="008A7F68">
              <w:rPr>
                <w:noProof/>
                <w:webHidden/>
              </w:rPr>
              <w:fldChar w:fldCharType="begin"/>
            </w:r>
            <w:r w:rsidR="008A7F68">
              <w:rPr>
                <w:noProof/>
                <w:webHidden/>
              </w:rPr>
              <w:instrText xml:space="preserve"> PAGEREF _Toc132298227 \h </w:instrText>
            </w:r>
            <w:r w:rsidR="008A7F68">
              <w:rPr>
                <w:noProof/>
                <w:webHidden/>
              </w:rPr>
            </w:r>
            <w:r w:rsidR="008A7F68">
              <w:rPr>
                <w:noProof/>
                <w:webHidden/>
              </w:rPr>
              <w:fldChar w:fldCharType="separate"/>
            </w:r>
            <w:r w:rsidR="00967660">
              <w:rPr>
                <w:noProof/>
                <w:webHidden/>
              </w:rPr>
              <w:t>12</w:t>
            </w:r>
            <w:r w:rsidR="008A7F68">
              <w:rPr>
                <w:noProof/>
                <w:webHidden/>
              </w:rPr>
              <w:fldChar w:fldCharType="end"/>
            </w:r>
          </w:hyperlink>
        </w:p>
        <w:p w14:paraId="19A9D462" w14:textId="2009319F" w:rsidR="008A7F68" w:rsidRDefault="002D7022">
          <w:pPr>
            <w:pStyle w:val="TOC2"/>
            <w:tabs>
              <w:tab w:val="left" w:pos="880"/>
              <w:tab w:val="right" w:pos="9628"/>
            </w:tabs>
            <w:rPr>
              <w:rFonts w:eastAsiaTheme="minorEastAsia"/>
              <w:noProof/>
              <w:sz w:val="22"/>
              <w:lang w:eastAsia="en-NZ"/>
            </w:rPr>
          </w:pPr>
          <w:hyperlink w:anchor="_Toc132298228" w:history="1">
            <w:r w:rsidR="008A7F68" w:rsidRPr="00D00230">
              <w:rPr>
                <w:rStyle w:val="Hyperlink"/>
                <w:noProof/>
              </w:rPr>
              <w:t>5.3</w:t>
            </w:r>
            <w:r w:rsidR="008A7F68">
              <w:rPr>
                <w:rFonts w:eastAsiaTheme="minorEastAsia"/>
                <w:noProof/>
                <w:sz w:val="22"/>
                <w:lang w:eastAsia="en-NZ"/>
              </w:rPr>
              <w:tab/>
            </w:r>
            <w:r w:rsidR="008A7F68" w:rsidRPr="00D00230">
              <w:rPr>
                <w:rStyle w:val="Hyperlink"/>
                <w:noProof/>
              </w:rPr>
              <w:t>Segmentation model</w:t>
            </w:r>
            <w:r w:rsidR="008A7F68">
              <w:rPr>
                <w:noProof/>
                <w:webHidden/>
              </w:rPr>
              <w:tab/>
            </w:r>
            <w:r w:rsidR="008A7F68">
              <w:rPr>
                <w:noProof/>
                <w:webHidden/>
              </w:rPr>
              <w:fldChar w:fldCharType="begin"/>
            </w:r>
            <w:r w:rsidR="008A7F68">
              <w:rPr>
                <w:noProof/>
                <w:webHidden/>
              </w:rPr>
              <w:instrText xml:space="preserve"> PAGEREF _Toc132298228 \h </w:instrText>
            </w:r>
            <w:r w:rsidR="008A7F68">
              <w:rPr>
                <w:noProof/>
                <w:webHidden/>
              </w:rPr>
            </w:r>
            <w:r w:rsidR="008A7F68">
              <w:rPr>
                <w:noProof/>
                <w:webHidden/>
              </w:rPr>
              <w:fldChar w:fldCharType="separate"/>
            </w:r>
            <w:r w:rsidR="00967660">
              <w:rPr>
                <w:noProof/>
                <w:webHidden/>
              </w:rPr>
              <w:t>13</w:t>
            </w:r>
            <w:r w:rsidR="008A7F68">
              <w:rPr>
                <w:noProof/>
                <w:webHidden/>
              </w:rPr>
              <w:fldChar w:fldCharType="end"/>
            </w:r>
          </w:hyperlink>
        </w:p>
        <w:p w14:paraId="23456BE0" w14:textId="62A6FB62" w:rsidR="008A7F68" w:rsidRDefault="002D7022">
          <w:pPr>
            <w:pStyle w:val="TOC2"/>
            <w:tabs>
              <w:tab w:val="left" w:pos="880"/>
              <w:tab w:val="right" w:pos="9628"/>
            </w:tabs>
            <w:rPr>
              <w:rFonts w:eastAsiaTheme="minorEastAsia"/>
              <w:noProof/>
              <w:sz w:val="22"/>
              <w:lang w:eastAsia="en-NZ"/>
            </w:rPr>
          </w:pPr>
          <w:hyperlink w:anchor="_Toc132298229" w:history="1">
            <w:r w:rsidR="008A7F68" w:rsidRPr="00D00230">
              <w:rPr>
                <w:rStyle w:val="Hyperlink"/>
                <w:noProof/>
              </w:rPr>
              <w:t>5.4</w:t>
            </w:r>
            <w:r w:rsidR="008A7F68">
              <w:rPr>
                <w:rFonts w:eastAsiaTheme="minorEastAsia"/>
                <w:noProof/>
                <w:sz w:val="22"/>
                <w:lang w:eastAsia="en-NZ"/>
              </w:rPr>
              <w:tab/>
            </w:r>
            <w:r w:rsidR="008A7F68" w:rsidRPr="00D00230">
              <w:rPr>
                <w:rStyle w:val="Hyperlink"/>
                <w:noProof/>
              </w:rPr>
              <w:t>Controls</w:t>
            </w:r>
            <w:r w:rsidR="008A7F68">
              <w:rPr>
                <w:noProof/>
                <w:webHidden/>
              </w:rPr>
              <w:tab/>
            </w:r>
            <w:r w:rsidR="008A7F68">
              <w:rPr>
                <w:noProof/>
                <w:webHidden/>
              </w:rPr>
              <w:fldChar w:fldCharType="begin"/>
            </w:r>
            <w:r w:rsidR="008A7F68">
              <w:rPr>
                <w:noProof/>
                <w:webHidden/>
              </w:rPr>
              <w:instrText xml:space="preserve"> PAGEREF _Toc132298229 \h </w:instrText>
            </w:r>
            <w:r w:rsidR="008A7F68">
              <w:rPr>
                <w:noProof/>
                <w:webHidden/>
              </w:rPr>
            </w:r>
            <w:r w:rsidR="008A7F68">
              <w:rPr>
                <w:noProof/>
                <w:webHidden/>
              </w:rPr>
              <w:fldChar w:fldCharType="separate"/>
            </w:r>
            <w:r w:rsidR="00967660">
              <w:rPr>
                <w:noProof/>
                <w:webHidden/>
              </w:rPr>
              <w:t>15</w:t>
            </w:r>
            <w:r w:rsidR="008A7F68">
              <w:rPr>
                <w:noProof/>
                <w:webHidden/>
              </w:rPr>
              <w:fldChar w:fldCharType="end"/>
            </w:r>
          </w:hyperlink>
        </w:p>
        <w:p w14:paraId="394833A9" w14:textId="0D76C65D" w:rsidR="008A7F68" w:rsidRDefault="002D7022">
          <w:pPr>
            <w:pStyle w:val="TOC2"/>
            <w:tabs>
              <w:tab w:val="left" w:pos="880"/>
              <w:tab w:val="right" w:pos="9628"/>
            </w:tabs>
            <w:rPr>
              <w:rFonts w:eastAsiaTheme="minorEastAsia"/>
              <w:noProof/>
              <w:sz w:val="22"/>
              <w:lang w:eastAsia="en-NZ"/>
            </w:rPr>
          </w:pPr>
          <w:hyperlink w:anchor="_Toc132298230" w:history="1">
            <w:r w:rsidR="008A7F68" w:rsidRPr="00D00230">
              <w:rPr>
                <w:rStyle w:val="Hyperlink"/>
                <w:noProof/>
              </w:rPr>
              <w:t>5.5</w:t>
            </w:r>
            <w:r w:rsidR="008A7F68">
              <w:rPr>
                <w:rFonts w:eastAsiaTheme="minorEastAsia"/>
                <w:noProof/>
                <w:sz w:val="22"/>
                <w:lang w:eastAsia="en-NZ"/>
              </w:rPr>
              <w:tab/>
            </w:r>
            <w:r w:rsidR="008A7F68" w:rsidRPr="00D00230">
              <w:rPr>
                <w:rStyle w:val="Hyperlink"/>
                <w:noProof/>
              </w:rPr>
              <w:t>Cyber security requirements</w:t>
            </w:r>
            <w:r w:rsidR="008A7F68">
              <w:rPr>
                <w:noProof/>
                <w:webHidden/>
              </w:rPr>
              <w:tab/>
            </w:r>
            <w:r w:rsidR="008A7F68">
              <w:rPr>
                <w:noProof/>
                <w:webHidden/>
              </w:rPr>
              <w:fldChar w:fldCharType="begin"/>
            </w:r>
            <w:r w:rsidR="008A7F68">
              <w:rPr>
                <w:noProof/>
                <w:webHidden/>
              </w:rPr>
              <w:instrText xml:space="preserve"> PAGEREF _Toc132298230 \h </w:instrText>
            </w:r>
            <w:r w:rsidR="008A7F68">
              <w:rPr>
                <w:noProof/>
                <w:webHidden/>
              </w:rPr>
            </w:r>
            <w:r w:rsidR="008A7F68">
              <w:rPr>
                <w:noProof/>
                <w:webHidden/>
              </w:rPr>
              <w:fldChar w:fldCharType="separate"/>
            </w:r>
            <w:r w:rsidR="00967660">
              <w:rPr>
                <w:noProof/>
                <w:webHidden/>
              </w:rPr>
              <w:t>16</w:t>
            </w:r>
            <w:r w:rsidR="008A7F68">
              <w:rPr>
                <w:noProof/>
                <w:webHidden/>
              </w:rPr>
              <w:fldChar w:fldCharType="end"/>
            </w:r>
          </w:hyperlink>
        </w:p>
        <w:p w14:paraId="21F2B895" w14:textId="62DE9A99" w:rsidR="008A7F68" w:rsidRDefault="002D7022">
          <w:pPr>
            <w:pStyle w:val="TOC2"/>
            <w:tabs>
              <w:tab w:val="left" w:pos="880"/>
              <w:tab w:val="right" w:pos="9628"/>
            </w:tabs>
            <w:rPr>
              <w:rFonts w:eastAsiaTheme="minorEastAsia"/>
              <w:noProof/>
              <w:sz w:val="22"/>
              <w:lang w:eastAsia="en-NZ"/>
            </w:rPr>
          </w:pPr>
          <w:hyperlink w:anchor="_Toc132298231" w:history="1">
            <w:r w:rsidR="008A7F68" w:rsidRPr="00D00230">
              <w:rPr>
                <w:rStyle w:val="Hyperlink"/>
                <w:noProof/>
              </w:rPr>
              <w:t>5.6</w:t>
            </w:r>
            <w:r w:rsidR="008A7F68">
              <w:rPr>
                <w:rFonts w:eastAsiaTheme="minorEastAsia"/>
                <w:noProof/>
                <w:sz w:val="22"/>
                <w:lang w:eastAsia="en-NZ"/>
              </w:rPr>
              <w:tab/>
            </w:r>
            <w:r w:rsidR="008A7F68" w:rsidRPr="00D00230">
              <w:rPr>
                <w:rStyle w:val="Hyperlink"/>
                <w:noProof/>
              </w:rPr>
              <w:t>Guidance</w:t>
            </w:r>
            <w:r w:rsidR="008A7F68">
              <w:rPr>
                <w:noProof/>
                <w:webHidden/>
              </w:rPr>
              <w:tab/>
            </w:r>
            <w:r w:rsidR="008A7F68">
              <w:rPr>
                <w:noProof/>
                <w:webHidden/>
              </w:rPr>
              <w:fldChar w:fldCharType="begin"/>
            </w:r>
            <w:r w:rsidR="008A7F68">
              <w:rPr>
                <w:noProof/>
                <w:webHidden/>
              </w:rPr>
              <w:instrText xml:space="preserve"> PAGEREF _Toc132298231 \h </w:instrText>
            </w:r>
            <w:r w:rsidR="008A7F68">
              <w:rPr>
                <w:noProof/>
                <w:webHidden/>
              </w:rPr>
            </w:r>
            <w:r w:rsidR="008A7F68">
              <w:rPr>
                <w:noProof/>
                <w:webHidden/>
              </w:rPr>
              <w:fldChar w:fldCharType="separate"/>
            </w:r>
            <w:r w:rsidR="00967660">
              <w:rPr>
                <w:noProof/>
                <w:webHidden/>
              </w:rPr>
              <w:t>18</w:t>
            </w:r>
            <w:r w:rsidR="008A7F68">
              <w:rPr>
                <w:noProof/>
                <w:webHidden/>
              </w:rPr>
              <w:fldChar w:fldCharType="end"/>
            </w:r>
          </w:hyperlink>
        </w:p>
        <w:p w14:paraId="779FEBF7" w14:textId="288ECE56" w:rsidR="008A7F68" w:rsidRDefault="002D7022">
          <w:pPr>
            <w:pStyle w:val="TOC2"/>
            <w:tabs>
              <w:tab w:val="left" w:pos="880"/>
              <w:tab w:val="right" w:pos="9628"/>
            </w:tabs>
            <w:rPr>
              <w:rFonts w:eastAsiaTheme="minorEastAsia"/>
              <w:noProof/>
              <w:sz w:val="22"/>
              <w:lang w:eastAsia="en-NZ"/>
            </w:rPr>
          </w:pPr>
          <w:hyperlink w:anchor="_Toc132298232" w:history="1">
            <w:r w:rsidR="008A7F68" w:rsidRPr="00D00230">
              <w:rPr>
                <w:rStyle w:val="Hyperlink"/>
                <w:noProof/>
              </w:rPr>
              <w:t>5.7</w:t>
            </w:r>
            <w:r w:rsidR="008A7F68">
              <w:rPr>
                <w:rFonts w:eastAsiaTheme="minorEastAsia"/>
                <w:noProof/>
                <w:sz w:val="22"/>
                <w:lang w:eastAsia="en-NZ"/>
              </w:rPr>
              <w:tab/>
            </w:r>
            <w:r w:rsidR="008A7F68" w:rsidRPr="00D00230">
              <w:rPr>
                <w:rStyle w:val="Hyperlink"/>
                <w:noProof/>
              </w:rPr>
              <w:t>Tools and templates</w:t>
            </w:r>
            <w:r w:rsidR="008A7F68">
              <w:rPr>
                <w:noProof/>
                <w:webHidden/>
              </w:rPr>
              <w:tab/>
            </w:r>
            <w:r w:rsidR="008A7F68">
              <w:rPr>
                <w:noProof/>
                <w:webHidden/>
              </w:rPr>
              <w:fldChar w:fldCharType="begin"/>
            </w:r>
            <w:r w:rsidR="008A7F68">
              <w:rPr>
                <w:noProof/>
                <w:webHidden/>
              </w:rPr>
              <w:instrText xml:space="preserve"> PAGEREF _Toc132298232 \h </w:instrText>
            </w:r>
            <w:r w:rsidR="008A7F68">
              <w:rPr>
                <w:noProof/>
                <w:webHidden/>
              </w:rPr>
            </w:r>
            <w:r w:rsidR="008A7F68">
              <w:rPr>
                <w:noProof/>
                <w:webHidden/>
              </w:rPr>
              <w:fldChar w:fldCharType="separate"/>
            </w:r>
            <w:r w:rsidR="00967660">
              <w:rPr>
                <w:noProof/>
                <w:webHidden/>
              </w:rPr>
              <w:t>18</w:t>
            </w:r>
            <w:r w:rsidR="008A7F68">
              <w:rPr>
                <w:noProof/>
                <w:webHidden/>
              </w:rPr>
              <w:fldChar w:fldCharType="end"/>
            </w:r>
          </w:hyperlink>
        </w:p>
        <w:p w14:paraId="4D2C59A4" w14:textId="389A18C2" w:rsidR="008A7F68" w:rsidRDefault="002D7022">
          <w:pPr>
            <w:pStyle w:val="TOC1"/>
            <w:rPr>
              <w:rFonts w:eastAsiaTheme="minorEastAsia"/>
              <w:noProof/>
              <w:sz w:val="22"/>
              <w:lang w:eastAsia="en-NZ"/>
            </w:rPr>
          </w:pPr>
          <w:hyperlink w:anchor="_Toc132298233" w:history="1">
            <w:r w:rsidR="008A7F68" w:rsidRPr="00D00230">
              <w:rPr>
                <w:rStyle w:val="Hyperlink"/>
                <w:noProof/>
              </w:rPr>
              <w:t>6</w:t>
            </w:r>
            <w:r w:rsidR="008A7F68">
              <w:rPr>
                <w:rFonts w:eastAsiaTheme="minorEastAsia"/>
                <w:noProof/>
                <w:sz w:val="22"/>
                <w:lang w:eastAsia="en-NZ"/>
              </w:rPr>
              <w:tab/>
            </w:r>
            <w:r w:rsidR="008A7F68" w:rsidRPr="00D00230">
              <w:rPr>
                <w:rStyle w:val="Hyperlink"/>
                <w:noProof/>
              </w:rPr>
              <w:t>References</w:t>
            </w:r>
            <w:r w:rsidR="008A7F68">
              <w:rPr>
                <w:noProof/>
                <w:webHidden/>
              </w:rPr>
              <w:tab/>
            </w:r>
            <w:r w:rsidR="008A7F68">
              <w:rPr>
                <w:noProof/>
                <w:webHidden/>
              </w:rPr>
              <w:fldChar w:fldCharType="begin"/>
            </w:r>
            <w:r w:rsidR="008A7F68">
              <w:rPr>
                <w:noProof/>
                <w:webHidden/>
              </w:rPr>
              <w:instrText xml:space="preserve"> PAGEREF _Toc132298233 \h </w:instrText>
            </w:r>
            <w:r w:rsidR="008A7F68">
              <w:rPr>
                <w:noProof/>
                <w:webHidden/>
              </w:rPr>
            </w:r>
            <w:r w:rsidR="008A7F68">
              <w:rPr>
                <w:noProof/>
                <w:webHidden/>
              </w:rPr>
              <w:fldChar w:fldCharType="separate"/>
            </w:r>
            <w:r w:rsidR="00967660">
              <w:rPr>
                <w:noProof/>
                <w:webHidden/>
              </w:rPr>
              <w:t>19</w:t>
            </w:r>
            <w:r w:rsidR="008A7F68">
              <w:rPr>
                <w:noProof/>
                <w:webHidden/>
              </w:rPr>
              <w:fldChar w:fldCharType="end"/>
            </w:r>
          </w:hyperlink>
        </w:p>
        <w:p w14:paraId="3977CC9C" w14:textId="4C6FE75C" w:rsidR="008A7F68" w:rsidRDefault="002D7022">
          <w:pPr>
            <w:pStyle w:val="TOC1"/>
            <w:rPr>
              <w:rFonts w:eastAsiaTheme="minorEastAsia"/>
              <w:noProof/>
              <w:sz w:val="22"/>
              <w:lang w:eastAsia="en-NZ"/>
            </w:rPr>
          </w:pPr>
          <w:hyperlink w:anchor="_Toc132298234" w:history="1">
            <w:r w:rsidR="008A7F68" w:rsidRPr="00D00230">
              <w:rPr>
                <w:rStyle w:val="Hyperlink"/>
                <w:noProof/>
              </w:rPr>
              <w:t>Appendix A – Glossary</w:t>
            </w:r>
            <w:r w:rsidR="008A7F68">
              <w:rPr>
                <w:noProof/>
                <w:webHidden/>
              </w:rPr>
              <w:tab/>
            </w:r>
            <w:r w:rsidR="008A7F68">
              <w:rPr>
                <w:noProof/>
                <w:webHidden/>
              </w:rPr>
              <w:fldChar w:fldCharType="begin"/>
            </w:r>
            <w:r w:rsidR="008A7F68">
              <w:rPr>
                <w:noProof/>
                <w:webHidden/>
              </w:rPr>
              <w:instrText xml:space="preserve"> PAGEREF _Toc132298234 \h </w:instrText>
            </w:r>
            <w:r w:rsidR="008A7F68">
              <w:rPr>
                <w:noProof/>
                <w:webHidden/>
              </w:rPr>
            </w:r>
            <w:r w:rsidR="008A7F68">
              <w:rPr>
                <w:noProof/>
                <w:webHidden/>
              </w:rPr>
              <w:fldChar w:fldCharType="separate"/>
            </w:r>
            <w:r w:rsidR="00967660">
              <w:rPr>
                <w:noProof/>
                <w:webHidden/>
              </w:rPr>
              <w:t>21</w:t>
            </w:r>
            <w:r w:rsidR="008A7F68">
              <w:rPr>
                <w:noProof/>
                <w:webHidden/>
              </w:rPr>
              <w:fldChar w:fldCharType="end"/>
            </w:r>
          </w:hyperlink>
        </w:p>
        <w:p w14:paraId="1ABEC6E8" w14:textId="5CA9CB48" w:rsidR="00630DE1" w:rsidRDefault="00630DE1">
          <w:r>
            <w:fldChar w:fldCharType="end"/>
          </w:r>
        </w:p>
      </w:sdtContent>
    </w:sdt>
    <w:p w14:paraId="2F98D8A3" w14:textId="24239147" w:rsidR="008F33CC" w:rsidRDefault="008F33CC" w:rsidP="008F33CC">
      <w:pPr>
        <w:pStyle w:val="TOCHeading"/>
      </w:pPr>
      <w:r>
        <w:t>List of Figures</w:t>
      </w:r>
    </w:p>
    <w:p w14:paraId="693AA022" w14:textId="053B3775" w:rsidR="00887BD3" w:rsidRDefault="008F33CC">
      <w:pPr>
        <w:pStyle w:val="TableofFigures"/>
        <w:tabs>
          <w:tab w:val="right" w:pos="9628"/>
        </w:tabs>
        <w:rPr>
          <w:rFonts w:eastAsiaTheme="minorEastAsia"/>
          <w:noProof/>
          <w:sz w:val="22"/>
          <w:lang w:eastAsia="en-NZ"/>
        </w:rPr>
      </w:pPr>
      <w:r>
        <w:fldChar w:fldCharType="begin"/>
      </w:r>
      <w:r>
        <w:instrText xml:space="preserve"> TOC \h \z \c "Figure" </w:instrText>
      </w:r>
      <w:r>
        <w:fldChar w:fldCharType="separate"/>
      </w:r>
      <w:hyperlink w:anchor="_Toc122434716" w:history="1">
        <w:r w:rsidR="00887BD3" w:rsidRPr="00456E5F">
          <w:rPr>
            <w:rStyle w:val="Hyperlink"/>
            <w:noProof/>
          </w:rPr>
          <w:t>Figure 1: HISF Strategy Map</w:t>
        </w:r>
        <w:r w:rsidR="00887BD3">
          <w:rPr>
            <w:noProof/>
            <w:webHidden/>
          </w:rPr>
          <w:tab/>
        </w:r>
        <w:r w:rsidR="00887BD3">
          <w:rPr>
            <w:noProof/>
            <w:webHidden/>
          </w:rPr>
          <w:fldChar w:fldCharType="begin"/>
        </w:r>
        <w:r w:rsidR="00887BD3">
          <w:rPr>
            <w:noProof/>
            <w:webHidden/>
          </w:rPr>
          <w:instrText xml:space="preserve"> PAGEREF _Toc122434716 \h </w:instrText>
        </w:r>
        <w:r w:rsidR="00887BD3">
          <w:rPr>
            <w:noProof/>
            <w:webHidden/>
          </w:rPr>
        </w:r>
        <w:r w:rsidR="00887BD3">
          <w:rPr>
            <w:noProof/>
            <w:webHidden/>
          </w:rPr>
          <w:fldChar w:fldCharType="separate"/>
        </w:r>
        <w:r w:rsidR="00967660">
          <w:rPr>
            <w:noProof/>
            <w:webHidden/>
          </w:rPr>
          <w:t>9</w:t>
        </w:r>
        <w:r w:rsidR="00887BD3">
          <w:rPr>
            <w:noProof/>
            <w:webHidden/>
          </w:rPr>
          <w:fldChar w:fldCharType="end"/>
        </w:r>
      </w:hyperlink>
    </w:p>
    <w:p w14:paraId="091E387C" w14:textId="4C73BF17" w:rsidR="00887BD3" w:rsidRDefault="002D7022">
      <w:pPr>
        <w:pStyle w:val="TableofFigures"/>
        <w:tabs>
          <w:tab w:val="right" w:pos="9628"/>
        </w:tabs>
        <w:rPr>
          <w:rFonts w:eastAsiaTheme="minorEastAsia"/>
          <w:noProof/>
          <w:sz w:val="22"/>
          <w:lang w:eastAsia="en-NZ"/>
        </w:rPr>
      </w:pPr>
      <w:hyperlink w:anchor="_Toc122434717" w:history="1">
        <w:r w:rsidR="00887BD3" w:rsidRPr="00456E5F">
          <w:rPr>
            <w:rStyle w:val="Hyperlink"/>
            <w:noProof/>
          </w:rPr>
          <w:t>Figure 2: Expected Outcomes</w:t>
        </w:r>
        <w:r w:rsidR="00887BD3">
          <w:rPr>
            <w:noProof/>
            <w:webHidden/>
          </w:rPr>
          <w:tab/>
        </w:r>
        <w:r w:rsidR="00887BD3">
          <w:rPr>
            <w:noProof/>
            <w:webHidden/>
          </w:rPr>
          <w:fldChar w:fldCharType="begin"/>
        </w:r>
        <w:r w:rsidR="00887BD3">
          <w:rPr>
            <w:noProof/>
            <w:webHidden/>
          </w:rPr>
          <w:instrText xml:space="preserve"> PAGEREF _Toc122434717 \h </w:instrText>
        </w:r>
        <w:r w:rsidR="00887BD3">
          <w:rPr>
            <w:noProof/>
            <w:webHidden/>
          </w:rPr>
        </w:r>
        <w:r w:rsidR="00887BD3">
          <w:rPr>
            <w:noProof/>
            <w:webHidden/>
          </w:rPr>
          <w:fldChar w:fldCharType="separate"/>
        </w:r>
        <w:r w:rsidR="00967660">
          <w:rPr>
            <w:noProof/>
            <w:webHidden/>
          </w:rPr>
          <w:t>10</w:t>
        </w:r>
        <w:r w:rsidR="00887BD3">
          <w:rPr>
            <w:noProof/>
            <w:webHidden/>
          </w:rPr>
          <w:fldChar w:fldCharType="end"/>
        </w:r>
      </w:hyperlink>
    </w:p>
    <w:p w14:paraId="67699163" w14:textId="57F239E9" w:rsidR="00887BD3" w:rsidRDefault="002D7022">
      <w:pPr>
        <w:pStyle w:val="TableofFigures"/>
        <w:tabs>
          <w:tab w:val="right" w:pos="9628"/>
        </w:tabs>
        <w:rPr>
          <w:rFonts w:eastAsiaTheme="minorEastAsia"/>
          <w:noProof/>
          <w:sz w:val="22"/>
          <w:lang w:eastAsia="en-NZ"/>
        </w:rPr>
      </w:pPr>
      <w:hyperlink w:anchor="_Toc122434718" w:history="1">
        <w:r w:rsidR="00887BD3" w:rsidRPr="00456E5F">
          <w:rPr>
            <w:rStyle w:val="Hyperlink"/>
            <w:noProof/>
          </w:rPr>
          <w:t>Figure 3: HISF Foundational Building Blocks</w:t>
        </w:r>
        <w:r w:rsidR="00887BD3">
          <w:rPr>
            <w:noProof/>
            <w:webHidden/>
          </w:rPr>
          <w:tab/>
        </w:r>
        <w:r w:rsidR="00887BD3">
          <w:rPr>
            <w:noProof/>
            <w:webHidden/>
          </w:rPr>
          <w:fldChar w:fldCharType="begin"/>
        </w:r>
        <w:r w:rsidR="00887BD3">
          <w:rPr>
            <w:noProof/>
            <w:webHidden/>
          </w:rPr>
          <w:instrText xml:space="preserve"> PAGEREF _Toc122434718 \h </w:instrText>
        </w:r>
        <w:r w:rsidR="00887BD3">
          <w:rPr>
            <w:noProof/>
            <w:webHidden/>
          </w:rPr>
        </w:r>
        <w:r w:rsidR="00887BD3">
          <w:rPr>
            <w:noProof/>
            <w:webHidden/>
          </w:rPr>
          <w:fldChar w:fldCharType="separate"/>
        </w:r>
        <w:r w:rsidR="00967660">
          <w:rPr>
            <w:noProof/>
            <w:webHidden/>
          </w:rPr>
          <w:t>10</w:t>
        </w:r>
        <w:r w:rsidR="00887BD3">
          <w:rPr>
            <w:noProof/>
            <w:webHidden/>
          </w:rPr>
          <w:fldChar w:fldCharType="end"/>
        </w:r>
      </w:hyperlink>
    </w:p>
    <w:p w14:paraId="57FB6079" w14:textId="7E255590" w:rsidR="00887BD3" w:rsidRDefault="002D7022">
      <w:pPr>
        <w:pStyle w:val="TableofFigures"/>
        <w:tabs>
          <w:tab w:val="right" w:pos="9628"/>
        </w:tabs>
        <w:rPr>
          <w:rFonts w:eastAsiaTheme="minorEastAsia"/>
          <w:noProof/>
          <w:sz w:val="22"/>
          <w:lang w:eastAsia="en-NZ"/>
        </w:rPr>
      </w:pPr>
      <w:hyperlink w:anchor="_Toc122434719" w:history="1">
        <w:r w:rsidR="00887BD3" w:rsidRPr="00456E5F">
          <w:rPr>
            <w:rStyle w:val="Hyperlink"/>
            <w:noProof/>
          </w:rPr>
          <w:t>Figure 4: HISF Functional Processes</w:t>
        </w:r>
        <w:r w:rsidR="00887BD3">
          <w:rPr>
            <w:noProof/>
            <w:webHidden/>
          </w:rPr>
          <w:tab/>
        </w:r>
        <w:r w:rsidR="00887BD3">
          <w:rPr>
            <w:noProof/>
            <w:webHidden/>
          </w:rPr>
          <w:fldChar w:fldCharType="begin"/>
        </w:r>
        <w:r w:rsidR="00887BD3">
          <w:rPr>
            <w:noProof/>
            <w:webHidden/>
          </w:rPr>
          <w:instrText xml:space="preserve"> PAGEREF _Toc122434719 \h </w:instrText>
        </w:r>
        <w:r w:rsidR="00887BD3">
          <w:rPr>
            <w:noProof/>
            <w:webHidden/>
          </w:rPr>
        </w:r>
        <w:r w:rsidR="00887BD3">
          <w:rPr>
            <w:noProof/>
            <w:webHidden/>
          </w:rPr>
          <w:fldChar w:fldCharType="separate"/>
        </w:r>
        <w:r w:rsidR="00967660">
          <w:rPr>
            <w:noProof/>
            <w:webHidden/>
          </w:rPr>
          <w:t>12</w:t>
        </w:r>
        <w:r w:rsidR="00887BD3">
          <w:rPr>
            <w:noProof/>
            <w:webHidden/>
          </w:rPr>
          <w:fldChar w:fldCharType="end"/>
        </w:r>
      </w:hyperlink>
    </w:p>
    <w:p w14:paraId="61B0F62B" w14:textId="2070FDEB" w:rsidR="00887BD3" w:rsidRDefault="002D7022">
      <w:pPr>
        <w:pStyle w:val="TableofFigures"/>
        <w:tabs>
          <w:tab w:val="right" w:pos="9628"/>
        </w:tabs>
        <w:rPr>
          <w:rFonts w:eastAsiaTheme="minorEastAsia"/>
          <w:noProof/>
          <w:sz w:val="22"/>
          <w:lang w:eastAsia="en-NZ"/>
        </w:rPr>
      </w:pPr>
      <w:hyperlink w:anchor="_Toc122434720" w:history="1">
        <w:r w:rsidR="00887BD3" w:rsidRPr="00456E5F">
          <w:rPr>
            <w:rStyle w:val="Hyperlink"/>
            <w:noProof/>
          </w:rPr>
          <w:t>Figure 5: Segmentation with risk characteristics</w:t>
        </w:r>
        <w:r w:rsidR="00887BD3">
          <w:rPr>
            <w:noProof/>
            <w:webHidden/>
          </w:rPr>
          <w:tab/>
        </w:r>
        <w:r w:rsidR="00887BD3">
          <w:rPr>
            <w:noProof/>
            <w:webHidden/>
          </w:rPr>
          <w:fldChar w:fldCharType="begin"/>
        </w:r>
        <w:r w:rsidR="00887BD3">
          <w:rPr>
            <w:noProof/>
            <w:webHidden/>
          </w:rPr>
          <w:instrText xml:space="preserve"> PAGEREF _Toc122434720 \h </w:instrText>
        </w:r>
        <w:r w:rsidR="00887BD3">
          <w:rPr>
            <w:noProof/>
            <w:webHidden/>
          </w:rPr>
        </w:r>
        <w:r w:rsidR="00887BD3">
          <w:rPr>
            <w:noProof/>
            <w:webHidden/>
          </w:rPr>
          <w:fldChar w:fldCharType="separate"/>
        </w:r>
        <w:r w:rsidR="00967660">
          <w:rPr>
            <w:noProof/>
            <w:webHidden/>
          </w:rPr>
          <w:t>13</w:t>
        </w:r>
        <w:r w:rsidR="00887BD3">
          <w:rPr>
            <w:noProof/>
            <w:webHidden/>
          </w:rPr>
          <w:fldChar w:fldCharType="end"/>
        </w:r>
      </w:hyperlink>
    </w:p>
    <w:p w14:paraId="5CE0C542" w14:textId="41B0DC66" w:rsidR="00887BD3" w:rsidRDefault="002D7022">
      <w:pPr>
        <w:pStyle w:val="TableofFigures"/>
        <w:tabs>
          <w:tab w:val="right" w:pos="9628"/>
        </w:tabs>
        <w:rPr>
          <w:rFonts w:eastAsiaTheme="minorEastAsia"/>
          <w:noProof/>
          <w:sz w:val="22"/>
          <w:lang w:eastAsia="en-NZ"/>
        </w:rPr>
      </w:pPr>
      <w:hyperlink w:anchor="_Toc122434721" w:history="1">
        <w:r w:rsidR="00887BD3" w:rsidRPr="00456E5F">
          <w:rPr>
            <w:rStyle w:val="Hyperlink"/>
            <w:noProof/>
          </w:rPr>
          <w:t>Figure 6: HISF Maturity Assessment Scale</w:t>
        </w:r>
        <w:r w:rsidR="00887BD3">
          <w:rPr>
            <w:noProof/>
            <w:webHidden/>
          </w:rPr>
          <w:tab/>
        </w:r>
        <w:r w:rsidR="00887BD3">
          <w:rPr>
            <w:noProof/>
            <w:webHidden/>
          </w:rPr>
          <w:fldChar w:fldCharType="begin"/>
        </w:r>
        <w:r w:rsidR="00887BD3">
          <w:rPr>
            <w:noProof/>
            <w:webHidden/>
          </w:rPr>
          <w:instrText xml:space="preserve"> PAGEREF _Toc122434721 \h </w:instrText>
        </w:r>
        <w:r w:rsidR="00887BD3">
          <w:rPr>
            <w:noProof/>
            <w:webHidden/>
          </w:rPr>
        </w:r>
        <w:r w:rsidR="00887BD3">
          <w:rPr>
            <w:noProof/>
            <w:webHidden/>
          </w:rPr>
          <w:fldChar w:fldCharType="separate"/>
        </w:r>
        <w:r w:rsidR="00967660">
          <w:rPr>
            <w:noProof/>
            <w:webHidden/>
          </w:rPr>
          <w:t>15</w:t>
        </w:r>
        <w:r w:rsidR="00887BD3">
          <w:rPr>
            <w:noProof/>
            <w:webHidden/>
          </w:rPr>
          <w:fldChar w:fldCharType="end"/>
        </w:r>
      </w:hyperlink>
    </w:p>
    <w:p w14:paraId="35FC558F" w14:textId="68CB1ABF" w:rsidR="00887BD3" w:rsidRDefault="002D7022">
      <w:pPr>
        <w:pStyle w:val="TableofFigures"/>
        <w:tabs>
          <w:tab w:val="right" w:pos="9628"/>
        </w:tabs>
        <w:rPr>
          <w:rFonts w:eastAsiaTheme="minorEastAsia"/>
          <w:noProof/>
          <w:sz w:val="22"/>
          <w:lang w:eastAsia="en-NZ"/>
        </w:rPr>
      </w:pPr>
      <w:hyperlink w:anchor="_Toc122434722" w:history="1">
        <w:r w:rsidR="00887BD3" w:rsidRPr="00456E5F">
          <w:rPr>
            <w:rStyle w:val="Hyperlink"/>
            <w:noProof/>
          </w:rPr>
          <w:t>Figure 7: Refreshed HISF Framework</w:t>
        </w:r>
        <w:r w:rsidR="00887BD3">
          <w:rPr>
            <w:noProof/>
            <w:webHidden/>
          </w:rPr>
          <w:tab/>
        </w:r>
        <w:r w:rsidR="00887BD3">
          <w:rPr>
            <w:noProof/>
            <w:webHidden/>
          </w:rPr>
          <w:fldChar w:fldCharType="begin"/>
        </w:r>
        <w:r w:rsidR="00887BD3">
          <w:rPr>
            <w:noProof/>
            <w:webHidden/>
          </w:rPr>
          <w:instrText xml:space="preserve"> PAGEREF _Toc122434722 \h </w:instrText>
        </w:r>
        <w:r w:rsidR="00887BD3">
          <w:rPr>
            <w:noProof/>
            <w:webHidden/>
          </w:rPr>
        </w:r>
        <w:r w:rsidR="00887BD3">
          <w:rPr>
            <w:noProof/>
            <w:webHidden/>
          </w:rPr>
          <w:fldChar w:fldCharType="separate"/>
        </w:r>
        <w:r w:rsidR="00967660">
          <w:rPr>
            <w:noProof/>
            <w:webHidden/>
          </w:rPr>
          <w:t>16</w:t>
        </w:r>
        <w:r w:rsidR="00887BD3">
          <w:rPr>
            <w:noProof/>
            <w:webHidden/>
          </w:rPr>
          <w:fldChar w:fldCharType="end"/>
        </w:r>
      </w:hyperlink>
    </w:p>
    <w:p w14:paraId="2C6B2DF6" w14:textId="418958F3" w:rsidR="00887BD3" w:rsidRDefault="002D7022">
      <w:pPr>
        <w:pStyle w:val="TableofFigures"/>
        <w:tabs>
          <w:tab w:val="right" w:pos="9628"/>
        </w:tabs>
        <w:rPr>
          <w:rFonts w:eastAsiaTheme="minorEastAsia"/>
          <w:noProof/>
          <w:sz w:val="22"/>
          <w:lang w:eastAsia="en-NZ"/>
        </w:rPr>
      </w:pPr>
      <w:hyperlink w:anchor="_Toc122434723" w:history="1">
        <w:r w:rsidR="00887BD3" w:rsidRPr="00456E5F">
          <w:rPr>
            <w:rStyle w:val="Hyperlink"/>
            <w:noProof/>
          </w:rPr>
          <w:t>Figure 8: Five HISF functional processes with sub-categories</w:t>
        </w:r>
        <w:r w:rsidR="00887BD3">
          <w:rPr>
            <w:noProof/>
            <w:webHidden/>
          </w:rPr>
          <w:tab/>
        </w:r>
        <w:r w:rsidR="00887BD3">
          <w:rPr>
            <w:noProof/>
            <w:webHidden/>
          </w:rPr>
          <w:fldChar w:fldCharType="begin"/>
        </w:r>
        <w:r w:rsidR="00887BD3">
          <w:rPr>
            <w:noProof/>
            <w:webHidden/>
          </w:rPr>
          <w:instrText xml:space="preserve"> PAGEREF _Toc122434723 \h </w:instrText>
        </w:r>
        <w:r w:rsidR="00887BD3">
          <w:rPr>
            <w:noProof/>
            <w:webHidden/>
          </w:rPr>
        </w:r>
        <w:r w:rsidR="00887BD3">
          <w:rPr>
            <w:noProof/>
            <w:webHidden/>
          </w:rPr>
          <w:fldChar w:fldCharType="separate"/>
        </w:r>
        <w:r w:rsidR="00967660">
          <w:rPr>
            <w:noProof/>
            <w:webHidden/>
          </w:rPr>
          <w:t>17</w:t>
        </w:r>
        <w:r w:rsidR="00887BD3">
          <w:rPr>
            <w:noProof/>
            <w:webHidden/>
          </w:rPr>
          <w:fldChar w:fldCharType="end"/>
        </w:r>
      </w:hyperlink>
    </w:p>
    <w:p w14:paraId="47265657" w14:textId="26CEF622" w:rsidR="008F33CC" w:rsidRDefault="008F33CC" w:rsidP="00630DE1">
      <w:r>
        <w:fldChar w:fldCharType="end"/>
      </w:r>
    </w:p>
    <w:p w14:paraId="1DA9DFDE" w14:textId="4CBA09CD" w:rsidR="00B75F7F" w:rsidRDefault="00CA4EF8" w:rsidP="00077730">
      <w:pPr>
        <w:pStyle w:val="NumberedHeading1"/>
      </w:pPr>
      <w:bookmarkStart w:id="0" w:name="_Toc132298220"/>
      <w:r>
        <w:lastRenderedPageBreak/>
        <w:t>Purpose</w:t>
      </w:r>
      <w:bookmarkEnd w:id="0"/>
    </w:p>
    <w:p w14:paraId="6117E6BC" w14:textId="53267374" w:rsidR="00077730" w:rsidRDefault="00077730" w:rsidP="00077730">
      <w:r w:rsidDel="00B95D11">
        <w:t>The Health Information Security Framework (framework</w:t>
      </w:r>
      <w:r w:rsidR="00646CF6">
        <w:t>)</w:t>
      </w:r>
      <w:r>
        <w:t xml:space="preserve"> is a set of materials published to guide the New Zealand health sector in the secure use and management of health information and information technology.</w:t>
      </w:r>
    </w:p>
    <w:p w14:paraId="0EEF8088" w14:textId="77BBBABF" w:rsidR="00077730" w:rsidRDefault="00341DFA" w:rsidP="00E85D08">
      <w:r>
        <w:t xml:space="preserve">The </w:t>
      </w:r>
      <w:r w:rsidR="00AE7F1C">
        <w:t>HISO 10029:202</w:t>
      </w:r>
      <w:r>
        <w:t>3</w:t>
      </w:r>
      <w:r w:rsidR="00AE7F1C">
        <w:t xml:space="preserve"> Health Information Security Framework is the latest edition, </w:t>
      </w:r>
      <w:r w:rsidR="00077730">
        <w:t xml:space="preserve">designed for the reshaped operating environment introduced by the 2022 health reforms. The framework provides </w:t>
      </w:r>
      <w:r w:rsidR="00AA0640">
        <w:t xml:space="preserve">a way to approach cyber </w:t>
      </w:r>
      <w:r w:rsidR="00696637">
        <w:t>security that</w:t>
      </w:r>
      <w:r w:rsidR="00077730">
        <w:t xml:space="preserve"> can be easily understood and </w:t>
      </w:r>
      <w:r w:rsidR="00D468D6">
        <w:t>adopted</w:t>
      </w:r>
      <w:r w:rsidR="00077730">
        <w:t xml:space="preserve"> across the broad spectrum of health organisations and their industry partners.</w:t>
      </w:r>
    </w:p>
    <w:p w14:paraId="15229197" w14:textId="5CA334B0" w:rsidR="00077730" w:rsidRDefault="00AE7F1C" w:rsidP="00077730">
      <w:r>
        <w:t>The framework</w:t>
      </w:r>
      <w:r w:rsidR="00077730">
        <w:t xml:space="preserve"> supports health system investments that will:</w:t>
      </w:r>
    </w:p>
    <w:p w14:paraId="6A37F976" w14:textId="05168AF5" w:rsidR="00077730" w:rsidRDefault="00077730" w:rsidP="00077730">
      <w:pPr>
        <w:pStyle w:val="ListBullet"/>
      </w:pPr>
      <w:r>
        <w:t>improve system resilience by addressing issues resulting from technology infrastructure and systems that are out-of-support and no longer fit</w:t>
      </w:r>
      <w:r w:rsidR="00154D0F">
        <w:t xml:space="preserve"> </w:t>
      </w:r>
      <w:r>
        <w:t>for</w:t>
      </w:r>
      <w:r w:rsidR="00154D0F">
        <w:t xml:space="preserve"> </w:t>
      </w:r>
      <w:r>
        <w:t>purpose</w:t>
      </w:r>
    </w:p>
    <w:p w14:paraId="006A1922" w14:textId="1E9AC093" w:rsidR="00077730" w:rsidRDefault="00077730" w:rsidP="00077730">
      <w:pPr>
        <w:pStyle w:val="ListBullet"/>
      </w:pPr>
      <w:r>
        <w:t>improve data and analytics capability across the health system so that equity issues can be targeted more effectively and to drive the development of new models of care</w:t>
      </w:r>
    </w:p>
    <w:p w14:paraId="0152EB19" w14:textId="31DA8ECF" w:rsidR="00077730" w:rsidRDefault="00077730" w:rsidP="00077730">
      <w:pPr>
        <w:pStyle w:val="ListBullet"/>
      </w:pPr>
      <w:r>
        <w:t xml:space="preserve">improve information sharing between providers to facilitate greater collaboration and coordination of care </w:t>
      </w:r>
    </w:p>
    <w:p w14:paraId="05587099" w14:textId="41DD583D" w:rsidR="00077730" w:rsidRDefault="00077730" w:rsidP="00077730">
      <w:pPr>
        <w:pStyle w:val="ListBullet"/>
      </w:pPr>
      <w:r>
        <w:t>empower New Zealanders to better manage their own health and wellbeing by providing more digital options for accessing care and information.</w:t>
      </w:r>
    </w:p>
    <w:p w14:paraId="442CBBF3" w14:textId="37A6A863" w:rsidR="00077730" w:rsidRDefault="00077730">
      <w:pPr>
        <w:spacing w:before="0" w:after="160" w:line="259" w:lineRule="auto"/>
      </w:pPr>
      <w:r>
        <w:br w:type="page"/>
      </w:r>
    </w:p>
    <w:p w14:paraId="3F336C1B" w14:textId="5C1246A3" w:rsidR="00077730" w:rsidRDefault="00077730" w:rsidP="00077730">
      <w:pPr>
        <w:pStyle w:val="NumberedHeading1"/>
      </w:pPr>
      <w:bookmarkStart w:id="1" w:name="_Toc132298221"/>
      <w:r>
        <w:lastRenderedPageBreak/>
        <w:t>Scope</w:t>
      </w:r>
      <w:bookmarkEnd w:id="1"/>
    </w:p>
    <w:p w14:paraId="794CF760" w14:textId="32691797" w:rsidR="00291F3C" w:rsidRDefault="00C503F4" w:rsidP="00077730">
      <w:r w:rsidRPr="0010452F">
        <w:t>Th</w:t>
      </w:r>
      <w:r>
        <w:t>is</w:t>
      </w:r>
      <w:r w:rsidRPr="0010452F">
        <w:t xml:space="preserve"> </w:t>
      </w:r>
      <w:r>
        <w:t>f</w:t>
      </w:r>
      <w:r w:rsidR="0048129F">
        <w:t>ramework</w:t>
      </w:r>
      <w:r w:rsidR="00077730" w:rsidRPr="0010452F">
        <w:t xml:space="preserve"> </w:t>
      </w:r>
      <w:r w:rsidR="00CD35FE">
        <w:t>covers</w:t>
      </w:r>
      <w:r w:rsidR="00077730" w:rsidRPr="0010452F">
        <w:t xml:space="preserve"> the security of </w:t>
      </w:r>
      <w:r w:rsidR="00CD35FE">
        <w:t>all h</w:t>
      </w:r>
      <w:r w:rsidR="00077730" w:rsidRPr="0010452F">
        <w:t xml:space="preserve">ealth </w:t>
      </w:r>
      <w:r w:rsidR="00CD35FE">
        <w:t>i</w:t>
      </w:r>
      <w:r w:rsidR="00077730" w:rsidRPr="0010452F">
        <w:t xml:space="preserve">nformation </w:t>
      </w:r>
      <w:r w:rsidR="00B50799">
        <w:rPr>
          <w:iCs/>
        </w:rPr>
        <w:t>that</w:t>
      </w:r>
      <w:r w:rsidR="00077730" w:rsidRPr="00146841">
        <w:rPr>
          <w:iCs/>
        </w:rPr>
        <w:t xml:space="preserve"> </w:t>
      </w:r>
      <w:r w:rsidR="00F24007">
        <w:rPr>
          <w:iCs/>
        </w:rPr>
        <w:t>is collected</w:t>
      </w:r>
      <w:r w:rsidR="0063765F">
        <w:rPr>
          <w:iCs/>
        </w:rPr>
        <w:t xml:space="preserve"> and</w:t>
      </w:r>
      <w:r w:rsidR="00F24007">
        <w:rPr>
          <w:iCs/>
        </w:rPr>
        <w:t xml:space="preserve"> used </w:t>
      </w:r>
      <w:r w:rsidR="0063765F">
        <w:rPr>
          <w:iCs/>
        </w:rPr>
        <w:t>within New Zealand;</w:t>
      </w:r>
      <w:r w:rsidR="00077730" w:rsidDel="00FF24DD">
        <w:t xml:space="preserve"> and </w:t>
      </w:r>
      <w:r w:rsidR="0063765F">
        <w:rPr>
          <w:iCs/>
        </w:rPr>
        <w:t xml:space="preserve">wherever it is </w:t>
      </w:r>
      <w:r w:rsidR="00F24007">
        <w:rPr>
          <w:iCs/>
        </w:rPr>
        <w:t>stored</w:t>
      </w:r>
      <w:r w:rsidR="00077730" w:rsidRPr="0010452F">
        <w:t>.</w:t>
      </w:r>
      <w:r w:rsidR="00721DED">
        <w:t xml:space="preserve"> </w:t>
      </w:r>
      <w:r w:rsidR="00100817">
        <w:t xml:space="preserve">All </w:t>
      </w:r>
      <w:r w:rsidR="00332C66">
        <w:t xml:space="preserve">personal </w:t>
      </w:r>
      <w:r w:rsidR="00100817">
        <w:t>health information is treated as MEDICAL IN CONFIDENCE</w:t>
      </w:r>
      <w:r w:rsidR="007A2166">
        <w:rPr>
          <w:rStyle w:val="FootnoteReference"/>
        </w:rPr>
        <w:footnoteReference w:id="2"/>
      </w:r>
      <w:r w:rsidR="00100817">
        <w:t xml:space="preserve"> and given an equal level of protection unless otherwise classified.</w:t>
      </w:r>
    </w:p>
    <w:p w14:paraId="520647D2" w14:textId="24E51B48" w:rsidR="00C6632F" w:rsidRDefault="00C6632F" w:rsidP="00C6632F">
      <w:r>
        <w:t xml:space="preserve">The framework comprises </w:t>
      </w:r>
      <w:r w:rsidR="005B0D4D">
        <w:t>this</w:t>
      </w:r>
      <w:r w:rsidR="002438F5">
        <w:t xml:space="preserve"> umbrella</w:t>
      </w:r>
      <w:r>
        <w:t xml:space="preserve"> document and a set of </w:t>
      </w:r>
      <w:r w:rsidR="002438F5">
        <w:t>companion</w:t>
      </w:r>
      <w:r>
        <w:t xml:space="preserve"> documents </w:t>
      </w:r>
      <w:r w:rsidR="00451738">
        <w:t xml:space="preserve">that are being developed </w:t>
      </w:r>
      <w:r>
        <w:t xml:space="preserve">to provide targeted guidance </w:t>
      </w:r>
      <w:r w:rsidR="00380556">
        <w:t>for different types of</w:t>
      </w:r>
      <w:r>
        <w:t xml:space="preserve"> organisations </w:t>
      </w:r>
      <w:r w:rsidR="0052528C">
        <w:t>and</w:t>
      </w:r>
      <w:r>
        <w:t xml:space="preserve"> </w:t>
      </w:r>
      <w:r w:rsidR="0052528C">
        <w:t xml:space="preserve">different </w:t>
      </w:r>
      <w:r>
        <w:t>risk profile</w:t>
      </w:r>
      <w:r w:rsidR="0052528C">
        <w:t>s</w:t>
      </w:r>
      <w:r>
        <w:t>.</w:t>
      </w:r>
    </w:p>
    <w:p w14:paraId="55FE13B0" w14:textId="106CFACF" w:rsidR="00C6632F" w:rsidRDefault="00C6632F" w:rsidP="00C6632F">
      <w:r>
        <w:t>The framework incorporates a strategy map, set of obligations</w:t>
      </w:r>
      <w:r w:rsidR="00604264">
        <w:t xml:space="preserve"> and</w:t>
      </w:r>
      <w:r>
        <w:t xml:space="preserve"> guiding principles, with controls mapping to leading industry security frameworks, including the New Zealand Information Security Manual (NZISM), Protective Security Requirements (PSR), </w:t>
      </w:r>
      <w:proofErr w:type="spellStart"/>
      <w:r>
        <w:t>Center</w:t>
      </w:r>
      <w:proofErr w:type="spellEnd"/>
      <w:r>
        <w:t xml:space="preserve"> for Internet Security (CIS), Cloud Security Alliance (CSA) and CERT NZ Critical Controls.</w:t>
      </w:r>
    </w:p>
    <w:p w14:paraId="77E5E202" w14:textId="776C43E1" w:rsidR="00077730" w:rsidRPr="0010452F" w:rsidRDefault="00CF2CF7" w:rsidP="00077730">
      <w:r>
        <w:t>P</w:t>
      </w:r>
      <w:r w:rsidR="00077730" w:rsidRPr="0010452F">
        <w:t xml:space="preserve">rivacy is covered by the </w:t>
      </w:r>
      <w:hyperlink r:id="rId15" w:history="1">
        <w:r w:rsidR="00077730" w:rsidRPr="0010452F">
          <w:rPr>
            <w:rStyle w:val="Hyperlink"/>
            <w:rFonts w:ascii="Segoe UI" w:eastAsia="MS Mincho" w:hAnsi="Segoe UI" w:cs="Segoe UI"/>
          </w:rPr>
          <w:t>Health Information Privacy Code</w:t>
        </w:r>
      </w:hyperlink>
      <w:r w:rsidR="00077730">
        <w:rPr>
          <w:rStyle w:val="Hyperlink"/>
          <w:rFonts w:ascii="Segoe UI" w:eastAsia="MS Mincho" w:hAnsi="Segoe UI" w:cs="Segoe UI"/>
        </w:rPr>
        <w:t xml:space="preserve"> 2020</w:t>
      </w:r>
      <w:r w:rsidR="00077730" w:rsidRPr="0010452F">
        <w:t xml:space="preserve"> and is not within the scope of this </w:t>
      </w:r>
      <w:r w:rsidR="00077730">
        <w:t>framework</w:t>
      </w:r>
      <w:r w:rsidR="00077730" w:rsidRPr="0010452F">
        <w:t>.</w:t>
      </w:r>
      <w:r w:rsidR="00F94D7E">
        <w:t xml:space="preserve"> </w:t>
      </w:r>
    </w:p>
    <w:p w14:paraId="711749B9" w14:textId="2682D05E" w:rsidR="00E23E78" w:rsidRDefault="00DC5EC6" w:rsidP="00077730">
      <w:r>
        <w:t>The f</w:t>
      </w:r>
      <w:r w:rsidR="00E23E78">
        <w:t>orthcoming parts of the framework</w:t>
      </w:r>
      <w:r>
        <w:t xml:space="preserve"> are</w:t>
      </w:r>
      <w:r w:rsidR="00E23E78">
        <w:t>:</w:t>
      </w:r>
    </w:p>
    <w:p w14:paraId="1BCD06A9" w14:textId="48EBD6D8" w:rsidR="00E23E78" w:rsidRPr="00E23E78" w:rsidRDefault="00E23E78" w:rsidP="00E23E78">
      <w:pPr>
        <w:pStyle w:val="ListParagraph"/>
        <w:numPr>
          <w:ilvl w:val="0"/>
          <w:numId w:val="8"/>
        </w:numPr>
      </w:pPr>
      <w:r w:rsidRPr="00E23E78">
        <w:rPr>
          <w:lang w:val="en-US"/>
        </w:rPr>
        <w:t xml:space="preserve">HISO 10029.1:2023 Health Information Security Framework </w:t>
      </w:r>
      <w:r w:rsidR="000A76A6">
        <w:rPr>
          <w:lang w:val="en-US"/>
        </w:rPr>
        <w:t xml:space="preserve">Guidance </w:t>
      </w:r>
      <w:r w:rsidR="004167C8">
        <w:rPr>
          <w:lang w:val="en-US"/>
        </w:rPr>
        <w:t>for</w:t>
      </w:r>
      <w:r w:rsidR="004167C8" w:rsidRPr="00E23E78">
        <w:rPr>
          <w:lang w:val="en-US"/>
        </w:rPr>
        <w:t xml:space="preserve"> </w:t>
      </w:r>
      <w:r w:rsidRPr="00E23E78">
        <w:rPr>
          <w:lang w:val="en-US"/>
        </w:rPr>
        <w:t>Hospitals</w:t>
      </w:r>
    </w:p>
    <w:p w14:paraId="238536BF" w14:textId="38F666C3" w:rsidR="00E23E78" w:rsidRPr="00E23E78" w:rsidRDefault="00E23E78" w:rsidP="00E23E78">
      <w:pPr>
        <w:pStyle w:val="ListParagraph"/>
        <w:numPr>
          <w:ilvl w:val="0"/>
          <w:numId w:val="8"/>
        </w:numPr>
      </w:pPr>
      <w:r w:rsidRPr="00E23E78">
        <w:rPr>
          <w:lang w:val="en-US"/>
        </w:rPr>
        <w:t xml:space="preserve">HISO 10029.2:2023 Health Information Security Framework </w:t>
      </w:r>
      <w:r w:rsidR="000A76A6">
        <w:rPr>
          <w:lang w:val="en-US"/>
        </w:rPr>
        <w:t xml:space="preserve">Guidance </w:t>
      </w:r>
      <w:r w:rsidR="004167C8">
        <w:rPr>
          <w:lang w:val="en-US"/>
        </w:rPr>
        <w:t xml:space="preserve">for </w:t>
      </w:r>
      <w:r w:rsidR="00CB38F4">
        <w:rPr>
          <w:lang w:val="en-US"/>
        </w:rPr>
        <w:t xml:space="preserve">Micro to Small </w:t>
      </w:r>
      <w:proofErr w:type="spellStart"/>
      <w:r w:rsidR="00CB38F4">
        <w:rPr>
          <w:lang w:val="en-US"/>
        </w:rPr>
        <w:t>Organisations</w:t>
      </w:r>
      <w:proofErr w:type="spellEnd"/>
    </w:p>
    <w:p w14:paraId="4891FD73" w14:textId="70E8D288" w:rsidR="00E23E78" w:rsidRPr="00E23E78" w:rsidRDefault="00E23E78" w:rsidP="00E23E78">
      <w:pPr>
        <w:pStyle w:val="ListParagraph"/>
        <w:numPr>
          <w:ilvl w:val="0"/>
          <w:numId w:val="8"/>
        </w:numPr>
      </w:pPr>
      <w:r w:rsidRPr="00E23E78">
        <w:rPr>
          <w:lang w:val="en-US"/>
        </w:rPr>
        <w:t xml:space="preserve">HISO 10029.3:2023 Health Information Security Framework </w:t>
      </w:r>
      <w:r w:rsidR="000A76A6">
        <w:rPr>
          <w:lang w:val="en-US"/>
        </w:rPr>
        <w:t xml:space="preserve">Guidance for </w:t>
      </w:r>
      <w:r w:rsidR="00985988">
        <w:rPr>
          <w:lang w:val="en-US"/>
        </w:rPr>
        <w:t xml:space="preserve">Medium to Large </w:t>
      </w:r>
      <w:proofErr w:type="spellStart"/>
      <w:r w:rsidR="00985988">
        <w:rPr>
          <w:lang w:val="en-US"/>
        </w:rPr>
        <w:t>Or</w:t>
      </w:r>
      <w:r w:rsidR="00344944">
        <w:rPr>
          <w:lang w:val="en-US"/>
        </w:rPr>
        <w:t>ganisations</w:t>
      </w:r>
      <w:proofErr w:type="spellEnd"/>
    </w:p>
    <w:p w14:paraId="23B50A3B" w14:textId="2EE1A817" w:rsidR="00E23E78" w:rsidRPr="00E23E78" w:rsidRDefault="00E23E78" w:rsidP="00E23E78">
      <w:pPr>
        <w:pStyle w:val="ListParagraph"/>
        <w:numPr>
          <w:ilvl w:val="0"/>
          <w:numId w:val="8"/>
        </w:numPr>
      </w:pPr>
      <w:r w:rsidRPr="00E23E78">
        <w:rPr>
          <w:lang w:val="en-US"/>
        </w:rPr>
        <w:t xml:space="preserve">HISO 10029.4:2023 Health Information Security Framework </w:t>
      </w:r>
      <w:r w:rsidR="000A76A6">
        <w:rPr>
          <w:lang w:val="en-US"/>
        </w:rPr>
        <w:t>Guidance for</w:t>
      </w:r>
      <w:r w:rsidR="000A76A6" w:rsidRPr="00E23E78">
        <w:rPr>
          <w:lang w:val="en-US"/>
        </w:rPr>
        <w:t xml:space="preserve"> </w:t>
      </w:r>
      <w:r w:rsidRPr="00E23E78">
        <w:rPr>
          <w:lang w:val="en-US"/>
        </w:rPr>
        <w:t>Suppliers</w:t>
      </w:r>
    </w:p>
    <w:p w14:paraId="0A53323F" w14:textId="77777777" w:rsidR="00E23E78" w:rsidRPr="0062613A" w:rsidDel="00344944" w:rsidRDefault="00E23E78" w:rsidP="008430C9">
      <w:pPr>
        <w:pStyle w:val="ListParagraph"/>
        <w:ind w:left="360"/>
      </w:pPr>
    </w:p>
    <w:p w14:paraId="33A80FE8" w14:textId="77777777" w:rsidR="00B95D11" w:rsidRPr="00AE7F1C" w:rsidRDefault="00B95D11" w:rsidP="00BD3AAC">
      <w:pPr>
        <w:pStyle w:val="NumberedHeading1"/>
      </w:pPr>
      <w:bookmarkStart w:id="2" w:name="_Toc105593747"/>
      <w:bookmarkStart w:id="3" w:name="_Toc132298222"/>
      <w:r w:rsidRPr="00B95D11">
        <w:lastRenderedPageBreak/>
        <w:t>Background</w:t>
      </w:r>
      <w:bookmarkEnd w:id="2"/>
      <w:bookmarkEnd w:id="3"/>
    </w:p>
    <w:p w14:paraId="5F124CDB" w14:textId="08D2D509" w:rsidR="00B95D11" w:rsidRDefault="00B95D11" w:rsidP="00B95D11">
      <w:r>
        <w:t xml:space="preserve">The first edition of the </w:t>
      </w:r>
      <w:r w:rsidR="00BD3AAC">
        <w:t>Health Information Security Framework</w:t>
      </w:r>
      <w:r>
        <w:t xml:space="preserve"> published in 2009 covered security essentials and included a set of security policies and procedures. A technical specifications register was added in 2013. In 2015, a fully revised second edition was published to bring the framework up-to-date with the </w:t>
      </w:r>
      <w:r w:rsidR="00D52E51">
        <w:t>International Organisation for Standardization</w:t>
      </w:r>
      <w:r w:rsidR="00DF19BC">
        <w:t xml:space="preserve"> (ISO)</w:t>
      </w:r>
      <w:r>
        <w:t>.</w:t>
      </w:r>
    </w:p>
    <w:p w14:paraId="1FDC2B38" w14:textId="714556CA" w:rsidR="00B95D11" w:rsidRDefault="00B95D11" w:rsidP="00B95D11">
      <w:r>
        <w:t xml:space="preserve">In a rapidly changing security environment, the 2015 edition </w:t>
      </w:r>
      <w:r w:rsidR="00BD3AAC">
        <w:t>became</w:t>
      </w:r>
      <w:r>
        <w:t xml:space="preserve"> no longer fit for purpose, having proven challenging for health providers and their industry partners to understand, adopt and use</w:t>
      </w:r>
      <w:r w:rsidR="00BD3AAC">
        <w:t xml:space="preserve"> – </w:t>
      </w:r>
      <w:r>
        <w:t xml:space="preserve">particularly smaller organisations </w:t>
      </w:r>
      <w:r w:rsidR="00BD3AAC">
        <w:t>with</w:t>
      </w:r>
      <w:r>
        <w:t xml:space="preserve"> limited access to information security expertise. The ever-changing information security landscape, including the increasing adoption of cloud-based solutions, mean</w:t>
      </w:r>
      <w:r w:rsidR="00BD3AAC">
        <w:t>t</w:t>
      </w:r>
      <w:r>
        <w:t xml:space="preserve"> that new and heightened cyber</w:t>
      </w:r>
      <w:r w:rsidR="00D22F6C">
        <w:t xml:space="preserve"> </w:t>
      </w:r>
      <w:r>
        <w:t>security risks need</w:t>
      </w:r>
      <w:r w:rsidR="00BD3AAC">
        <w:t>ed</w:t>
      </w:r>
      <w:r>
        <w:t xml:space="preserve"> to be addressed. </w:t>
      </w:r>
      <w:r w:rsidR="00BD3AAC">
        <w:t>T</w:t>
      </w:r>
      <w:r>
        <w:t xml:space="preserve">he 2015 edition </w:t>
      </w:r>
      <w:r w:rsidR="00BD3AAC">
        <w:t>also did</w:t>
      </w:r>
      <w:r>
        <w:t xml:space="preserve"> not directly cater for </w:t>
      </w:r>
      <w:r w:rsidR="00BD3AAC">
        <w:t>H</w:t>
      </w:r>
      <w:r>
        <w:t>auora Māori.</w:t>
      </w:r>
    </w:p>
    <w:p w14:paraId="37AB8A29" w14:textId="2CC39B4F" w:rsidR="00B95D11" w:rsidRDefault="00B95D11" w:rsidP="00B95D11">
      <w:r>
        <w:t>The new framework presented here switches its focus from the ISO-centric model used previously to the development of a National Institute of Standards and Technology (NIST) Cybersecurity Framework-based model for Aotearoa. This provides a better fit, more aligned to national and international best practice, without losing sight of ISO standards. NIST is the</w:t>
      </w:r>
      <w:r w:rsidR="4AA04B6D">
        <w:t xml:space="preserve"> National Institute of Standards and Technology</w:t>
      </w:r>
      <w:r>
        <w:t xml:space="preserve"> in the United States.</w:t>
      </w:r>
    </w:p>
    <w:p w14:paraId="481C20AE" w14:textId="66A65EFC" w:rsidR="00077730" w:rsidRPr="00DB6FB7" w:rsidRDefault="009C530F" w:rsidP="00566F21">
      <w:pPr>
        <w:pStyle w:val="NumberedHeading1"/>
        <w:tabs>
          <w:tab w:val="clear" w:pos="1021"/>
          <w:tab w:val="left" w:pos="0"/>
        </w:tabs>
        <w:rPr>
          <w:rFonts w:ascii="Arial" w:eastAsia="Times New Roman" w:hAnsi="Arial" w:cs="Segoe UI"/>
          <w:color w:val="1C2549"/>
          <w:szCs w:val="24"/>
          <w:lang w:eastAsia="en-GB"/>
        </w:rPr>
      </w:pPr>
      <w:bookmarkStart w:id="4" w:name="_Toc132298223"/>
      <w:r w:rsidRPr="00DB6FB7">
        <w:rPr>
          <w:rFonts w:ascii="Arial" w:eastAsia="Times New Roman" w:hAnsi="Arial" w:cs="Segoe UI"/>
          <w:color w:val="1C2549"/>
          <w:szCs w:val="24"/>
          <w:lang w:eastAsia="en-GB"/>
        </w:rPr>
        <w:lastRenderedPageBreak/>
        <w:t xml:space="preserve">Commitment to </w:t>
      </w:r>
      <w:r w:rsidR="00077730" w:rsidRPr="00DB6FB7">
        <w:rPr>
          <w:rFonts w:ascii="Arial" w:eastAsia="Times New Roman" w:hAnsi="Arial" w:cs="Segoe UI"/>
          <w:color w:val="1C2549"/>
          <w:szCs w:val="24"/>
          <w:lang w:eastAsia="en-GB"/>
        </w:rPr>
        <w:t xml:space="preserve">Māori </w:t>
      </w:r>
      <w:r w:rsidR="61237D30" w:rsidRPr="00DB6FB7">
        <w:rPr>
          <w:rFonts w:ascii="Arial" w:eastAsia="Times New Roman" w:hAnsi="Arial" w:cs="Segoe UI"/>
          <w:color w:val="1C2549"/>
          <w:szCs w:val="24"/>
          <w:lang w:eastAsia="en-GB"/>
        </w:rPr>
        <w:t>c</w:t>
      </w:r>
      <w:r w:rsidR="3856190D" w:rsidRPr="00DB6FB7">
        <w:rPr>
          <w:rFonts w:ascii="Arial" w:eastAsia="Times New Roman" w:hAnsi="Arial" w:cs="Segoe UI"/>
          <w:color w:val="1C2549"/>
          <w:szCs w:val="24"/>
          <w:lang w:eastAsia="en-GB"/>
        </w:rPr>
        <w:t>o</w:t>
      </w:r>
      <w:r w:rsidR="00077730" w:rsidRPr="00DB6FB7">
        <w:rPr>
          <w:rFonts w:ascii="Arial" w:eastAsia="Times New Roman" w:hAnsi="Arial" w:cs="Segoe UI"/>
          <w:color w:val="1C2549"/>
          <w:szCs w:val="24"/>
          <w:lang w:eastAsia="en-GB"/>
        </w:rPr>
        <w:t>-design</w:t>
      </w:r>
      <w:bookmarkEnd w:id="4"/>
    </w:p>
    <w:p w14:paraId="641E2F1A" w14:textId="48443878" w:rsidR="00666606" w:rsidRPr="00F70D0D" w:rsidRDefault="00F70D0D" w:rsidP="00F70D0D">
      <w:r>
        <w:t xml:space="preserve">There is commitment to Māori co-design in producing, maintaining and driving adoption of the </w:t>
      </w:r>
      <w:r w:rsidR="00DB6FB7">
        <w:t>f</w:t>
      </w:r>
      <w:r>
        <w:t>ramework. This commitment is part of ensuring we meet our obligations under the Ministry of Health’s Te Tiriti o Waitangi Framework.</w:t>
      </w:r>
    </w:p>
    <w:p w14:paraId="2263649E" w14:textId="2E589033" w:rsidR="00077730" w:rsidRDefault="001A4555" w:rsidP="00077730">
      <w:pPr>
        <w:pStyle w:val="Heading3"/>
      </w:pPr>
      <w:r>
        <w:t>E</w:t>
      </w:r>
      <w:r w:rsidR="00077730">
        <w:t>xpression of Te Tiriti</w:t>
      </w:r>
    </w:p>
    <w:p w14:paraId="05430037" w14:textId="77777777" w:rsidR="00077730" w:rsidRDefault="00077730" w:rsidP="00077730">
      <w:r>
        <w:t xml:space="preserve">The text of Te Tiriti, including the preamble and the three articles, along with the </w:t>
      </w:r>
      <w:proofErr w:type="spellStart"/>
      <w:r>
        <w:t>Ritenga</w:t>
      </w:r>
      <w:proofErr w:type="spellEnd"/>
      <w:r>
        <w:t xml:space="preserve"> Māori declaration, are the enduring foundation of our approach. Based on these foundations, we will strive to achieve the following four goals, each expressed in terms of mana. </w:t>
      </w:r>
    </w:p>
    <w:p w14:paraId="5ED25E63" w14:textId="458FF371" w:rsidR="00077730" w:rsidRDefault="00077730" w:rsidP="00077730">
      <w:pPr>
        <w:pStyle w:val="ListBullet"/>
      </w:pPr>
      <w:r w:rsidRPr="00DB6FB7">
        <w:rPr>
          <w:b/>
        </w:rPr>
        <w:t xml:space="preserve">Mana </w:t>
      </w:r>
      <w:proofErr w:type="spellStart"/>
      <w:r w:rsidRPr="00DB6FB7">
        <w:rPr>
          <w:b/>
        </w:rPr>
        <w:t>whakahaere</w:t>
      </w:r>
      <w:proofErr w:type="spellEnd"/>
      <w:r>
        <w:t xml:space="preserve">: </w:t>
      </w:r>
      <w:r>
        <w:br/>
        <w:t xml:space="preserve">The effective and appropriate stewardship or </w:t>
      </w:r>
      <w:proofErr w:type="spellStart"/>
      <w:r>
        <w:t>kaitiakitanga</w:t>
      </w:r>
      <w:proofErr w:type="spellEnd"/>
      <w:r>
        <w:t xml:space="preserve"> over the health and disability system. This goes beyond the management of assets or resources.</w:t>
      </w:r>
    </w:p>
    <w:p w14:paraId="7794B12C" w14:textId="3E7B2219" w:rsidR="00077730" w:rsidRDefault="00077730" w:rsidP="00077730">
      <w:pPr>
        <w:pStyle w:val="ListBullet"/>
      </w:pPr>
      <w:r w:rsidRPr="00DB6FB7">
        <w:rPr>
          <w:b/>
        </w:rPr>
        <w:t>Mana motuhake</w:t>
      </w:r>
      <w:r>
        <w:t xml:space="preserve">: </w:t>
      </w:r>
      <w:r>
        <w:br/>
        <w:t>Enabling the right for Māori to be Māori (Māori self-determination); to exercise their authority over their lives, and to live on Māori terms and according to Māori philosophies, values and practices including tikanga Māori.</w:t>
      </w:r>
    </w:p>
    <w:p w14:paraId="13F1AB65" w14:textId="14D7F014" w:rsidR="00077730" w:rsidRDefault="00077730" w:rsidP="00077730">
      <w:pPr>
        <w:pStyle w:val="ListBullet"/>
      </w:pPr>
      <w:r w:rsidRPr="00DB6FB7">
        <w:rPr>
          <w:b/>
        </w:rPr>
        <w:t>Mana tangata</w:t>
      </w:r>
      <w:r>
        <w:t xml:space="preserve">: </w:t>
      </w:r>
      <w:r>
        <w:br/>
        <w:t>Achieving equity in health and disability outcomes for Māori across the life course and contributing to Māori wellness.</w:t>
      </w:r>
    </w:p>
    <w:p w14:paraId="15B8E25B" w14:textId="16A0B8F1" w:rsidR="00077730" w:rsidRDefault="00077730" w:rsidP="00077730">
      <w:pPr>
        <w:pStyle w:val="ListBullet"/>
      </w:pPr>
      <w:r w:rsidRPr="00DB6FB7">
        <w:rPr>
          <w:b/>
        </w:rPr>
        <w:t>Mana Māori</w:t>
      </w:r>
      <w:r>
        <w:t xml:space="preserve">: </w:t>
      </w:r>
      <w:r>
        <w:br/>
        <w:t xml:space="preserve">Enabling </w:t>
      </w:r>
      <w:proofErr w:type="spellStart"/>
      <w:r>
        <w:t>Ritenga</w:t>
      </w:r>
      <w:proofErr w:type="spellEnd"/>
      <w:r>
        <w:t xml:space="preserve"> Māori (Māori customary rituals) which are framed by </w:t>
      </w:r>
      <w:proofErr w:type="spellStart"/>
      <w:r>
        <w:t>te</w:t>
      </w:r>
      <w:proofErr w:type="spellEnd"/>
      <w:r>
        <w:t xml:space="preserve"> </w:t>
      </w:r>
      <w:proofErr w:type="spellStart"/>
      <w:r>
        <w:t>ao</w:t>
      </w:r>
      <w:proofErr w:type="spellEnd"/>
      <w:r>
        <w:t xml:space="preserve"> Māori (the Māori world), enacted through tikanga Māori (Māori philosophy </w:t>
      </w:r>
      <w:r w:rsidR="00671341">
        <w:t xml:space="preserve">and </w:t>
      </w:r>
      <w:r>
        <w:t>customary practices) and encapsulated within mātauranga Māori (Māori knowledge).</w:t>
      </w:r>
    </w:p>
    <w:p w14:paraId="09E1D14E" w14:textId="2EE3A2CF" w:rsidR="00077730" w:rsidRDefault="0062479E" w:rsidP="00077730">
      <w:pPr>
        <w:pStyle w:val="Heading3"/>
      </w:pPr>
      <w:r>
        <w:t>A</w:t>
      </w:r>
      <w:r w:rsidR="00077730">
        <w:t>pproach to achieving these goals</w:t>
      </w:r>
    </w:p>
    <w:p w14:paraId="37275FCC" w14:textId="6DE9ADF2" w:rsidR="00077730" w:rsidRDefault="00077730" w:rsidP="00077730">
      <w:r>
        <w:t>The principles of Te Tiriti o Waitangi, as articulated by the Courts and the Waitangi Tribunal, provide the framework for how we will meet our obligations under Te Tiriti in our day-to-day work.</w:t>
      </w:r>
    </w:p>
    <w:p w14:paraId="2C8F4A52" w14:textId="28C42D80" w:rsidR="00077730" w:rsidRDefault="00077730" w:rsidP="00077730">
      <w:pPr>
        <w:pStyle w:val="ListBullet"/>
      </w:pPr>
      <w:r w:rsidRPr="00DB6FB7">
        <w:rPr>
          <w:b/>
        </w:rPr>
        <w:t>Tino rangatiratanga</w:t>
      </w:r>
      <w:r>
        <w:t xml:space="preserve">: </w:t>
      </w:r>
      <w:r>
        <w:br/>
        <w:t xml:space="preserve">The guarantee of </w:t>
      </w:r>
      <w:proofErr w:type="spellStart"/>
      <w:r>
        <w:t>tino</w:t>
      </w:r>
      <w:proofErr w:type="spellEnd"/>
      <w:r>
        <w:t xml:space="preserve"> rangatiratanga, which provides for Māori self-determination and mana motuhake in the design, delivery, and monitoring of health and disability services.</w:t>
      </w:r>
    </w:p>
    <w:p w14:paraId="289C1A2F" w14:textId="09124984" w:rsidR="00077730" w:rsidRDefault="00077730" w:rsidP="00077730">
      <w:pPr>
        <w:pStyle w:val="ListBullet"/>
      </w:pPr>
      <w:r w:rsidRPr="00DB6FB7">
        <w:rPr>
          <w:b/>
        </w:rPr>
        <w:lastRenderedPageBreak/>
        <w:t>Equity</w:t>
      </w:r>
      <w:r>
        <w:t xml:space="preserve">: </w:t>
      </w:r>
      <w:r>
        <w:br/>
        <w:t>The principle of equity, which requires the Crown to commit to achieving equitable health outcomes for Māori.</w:t>
      </w:r>
    </w:p>
    <w:p w14:paraId="67E55BA6" w14:textId="1D9B0CE8" w:rsidR="00077730" w:rsidRDefault="00077730" w:rsidP="00077730">
      <w:pPr>
        <w:pStyle w:val="ListBullet"/>
      </w:pPr>
      <w:r w:rsidRPr="00DB6FB7">
        <w:rPr>
          <w:b/>
        </w:rPr>
        <w:t>Active protection</w:t>
      </w:r>
      <w:r>
        <w:t xml:space="preserve">: </w:t>
      </w:r>
      <w:r>
        <w:br/>
        <w:t>The principle of active protection, which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p>
    <w:p w14:paraId="633DE1B5" w14:textId="604AE819" w:rsidR="00077730" w:rsidRDefault="00077730" w:rsidP="00077730">
      <w:pPr>
        <w:pStyle w:val="ListBullet"/>
      </w:pPr>
      <w:r w:rsidRPr="00DB6FB7">
        <w:rPr>
          <w:b/>
        </w:rPr>
        <w:t>Options</w:t>
      </w:r>
      <w:r>
        <w:t xml:space="preserve">: </w:t>
      </w:r>
      <w:r>
        <w:br/>
        <w:t xml:space="preserve">The principle of options, which requires the Crown to provide for and properly resource kaupapa Māori health and disability services. Furthermore, the Crown is obliged to ensure that all health and disability services are provided in a culturally appropriate way that recognises and supports the expression of </w:t>
      </w:r>
      <w:proofErr w:type="spellStart"/>
      <w:r>
        <w:t>hauora</w:t>
      </w:r>
      <w:proofErr w:type="spellEnd"/>
      <w:r>
        <w:t xml:space="preserve"> Māori models of care.</w:t>
      </w:r>
    </w:p>
    <w:p w14:paraId="622E80B9" w14:textId="38C31972" w:rsidR="00077730" w:rsidRDefault="00077730" w:rsidP="00077730">
      <w:pPr>
        <w:pStyle w:val="ListBullet"/>
      </w:pPr>
      <w:r w:rsidRPr="00DB6FB7">
        <w:rPr>
          <w:b/>
        </w:rPr>
        <w:t>Partnership</w:t>
      </w:r>
      <w:r>
        <w:t xml:space="preserve">: </w:t>
      </w:r>
      <w:r>
        <w:br/>
        <w:t>The principle of partnership, which requires the Crown and Māori to work in partnership in the governance, design, delivery, and monitoring of health and disability services. Māori must be co-designers, with the Crown, of the health system for Māori.</w:t>
      </w:r>
    </w:p>
    <w:p w14:paraId="5B11B0AD" w14:textId="528387F9" w:rsidR="00077730" w:rsidRDefault="00077730" w:rsidP="00077730">
      <w:pPr>
        <w:pStyle w:val="NumberedHeading1"/>
      </w:pPr>
      <w:bookmarkStart w:id="5" w:name="_Toc132298225"/>
      <w:r>
        <w:lastRenderedPageBreak/>
        <w:t>Framework</w:t>
      </w:r>
      <w:r w:rsidR="0023461A">
        <w:t xml:space="preserve"> essentials</w:t>
      </w:r>
      <w:bookmarkEnd w:id="5"/>
    </w:p>
    <w:p w14:paraId="7447D8E5" w14:textId="32132F8C" w:rsidR="00142FF7" w:rsidRDefault="00077730" w:rsidP="00077730">
      <w:r>
        <w:t xml:space="preserve">The </w:t>
      </w:r>
      <w:r w:rsidR="00833B91">
        <w:t>f</w:t>
      </w:r>
      <w:r>
        <w:t xml:space="preserve">ramework is an approach </w:t>
      </w:r>
      <w:r w:rsidR="00E8604D">
        <w:t>to cyber</w:t>
      </w:r>
      <w:r w:rsidR="00D22F6C">
        <w:t xml:space="preserve"> </w:t>
      </w:r>
      <w:r w:rsidR="00E8604D">
        <w:t xml:space="preserve">security </w:t>
      </w:r>
      <w:r>
        <w:t>rather than a ‘yes’ and ‘no’ standard. It is more about how we think</w:t>
      </w:r>
      <w:r w:rsidR="008709CE">
        <w:t xml:space="preserve"> as we </w:t>
      </w:r>
      <w:r w:rsidR="00A04658">
        <w:t>implement</w:t>
      </w:r>
      <w:r w:rsidR="008709CE">
        <w:t xml:space="preserve"> Te Pae Tata</w:t>
      </w:r>
      <w:r w:rsidR="00FE11B7">
        <w:t xml:space="preserve"> Interim New Zealand Health Plan 2022</w:t>
      </w:r>
      <w:r w:rsidR="00A04658">
        <w:t xml:space="preserve"> and</w:t>
      </w:r>
      <w:r>
        <w:t xml:space="preserve"> Te Whatu Ora’s operating model. </w:t>
      </w:r>
    </w:p>
    <w:p w14:paraId="417FA92B" w14:textId="23535F29" w:rsidR="00077730" w:rsidRPr="0025748D" w:rsidRDefault="0025748D" w:rsidP="00077730">
      <w:pPr>
        <w:rPr>
          <w:rFonts w:asciiTheme="majorHAnsi" w:eastAsiaTheme="majorEastAsia" w:hAnsiTheme="majorHAnsi" w:cstheme="majorBidi"/>
          <w:b/>
          <w:color w:val="1C2549" w:themeColor="text2"/>
          <w:sz w:val="36"/>
          <w:szCs w:val="36"/>
        </w:rPr>
      </w:pPr>
      <w:r w:rsidRPr="00E439C9">
        <w:t xml:space="preserve">The framework </w:t>
      </w:r>
      <w:r w:rsidRPr="006842E4">
        <w:t xml:space="preserve">is designed to </w:t>
      </w:r>
      <w:r w:rsidRPr="00833B91">
        <w:t>motivate, build capability and remove barriers for health care providers</w:t>
      </w:r>
      <w:r w:rsidR="15669987">
        <w:t>.</w:t>
      </w:r>
    </w:p>
    <w:p w14:paraId="5989AE36" w14:textId="0CC9AC19" w:rsidR="00077730" w:rsidRDefault="00077730" w:rsidP="00077730">
      <w:pPr>
        <w:pStyle w:val="Heading3"/>
      </w:pPr>
      <w:r>
        <w:t xml:space="preserve">Strategy </w:t>
      </w:r>
      <w:r w:rsidR="005277AB">
        <w:t>m</w:t>
      </w:r>
      <w:r>
        <w:t>ap</w:t>
      </w:r>
    </w:p>
    <w:p w14:paraId="6262B681" w14:textId="1C019685" w:rsidR="00077730" w:rsidRDefault="00F317F2" w:rsidP="00077730">
      <w:r>
        <w:t>Our</w:t>
      </w:r>
      <w:r w:rsidR="00077730">
        <w:t xml:space="preserve"> strategy map details </w:t>
      </w:r>
      <w:r w:rsidR="002A0DD6">
        <w:t>the s</w:t>
      </w:r>
      <w:r w:rsidR="00077730">
        <w:t>ector and user outcomes that the framework supports</w:t>
      </w:r>
      <w:r w:rsidR="007C4D89">
        <w:t>,</w:t>
      </w:r>
      <w:r w:rsidR="00077730">
        <w:t xml:space="preserve"> the behaviour change levers the framework will employ</w:t>
      </w:r>
      <w:r w:rsidR="007C4D89">
        <w:t>,</w:t>
      </w:r>
      <w:r w:rsidR="00077730">
        <w:t xml:space="preserve"> the foundation</w:t>
      </w:r>
      <w:r w:rsidR="00F07A09">
        <w:t>al building blocks</w:t>
      </w:r>
      <w:r w:rsidR="00077730">
        <w:t xml:space="preserve"> of </w:t>
      </w:r>
      <w:r w:rsidR="00F07A09">
        <w:t>the</w:t>
      </w:r>
      <w:r w:rsidR="00077730">
        <w:t xml:space="preserve"> framework, and the </w:t>
      </w:r>
      <w:r w:rsidR="002C47D2">
        <w:t xml:space="preserve">implementation </w:t>
      </w:r>
      <w:r w:rsidR="00077730">
        <w:t>support activities required to sustain it. The</w:t>
      </w:r>
      <w:r w:rsidR="00077730" w:rsidDel="00556FE5">
        <w:t xml:space="preserve"> </w:t>
      </w:r>
      <w:r w:rsidR="00077730">
        <w:t>strategy was developed through a co-design process with representatives from organisations across the health and disability sector.</w:t>
      </w:r>
      <w:r w:rsidR="00077730" w:rsidDel="00F94D7E">
        <w:t xml:space="preserve"> </w:t>
      </w:r>
      <w:r w:rsidR="00077730">
        <w:t>The</w:t>
      </w:r>
      <w:r w:rsidR="00077730" w:rsidDel="000B5F1B">
        <w:t xml:space="preserve"> </w:t>
      </w:r>
      <w:r w:rsidR="00077730">
        <w:t>strategy is one pillar of Te Whatu Ora’s three-year Cyber Security Uplift Programme (2022-2024). The programme is designed to uplift cyber security within three workstreams: Leadership Capability and Assurance, Sector Protect and Sector Detect, Respond Recover.</w:t>
      </w:r>
    </w:p>
    <w:p w14:paraId="7C0E7221" w14:textId="74E67DF1" w:rsidR="00077730" w:rsidRDefault="00077730" w:rsidP="00077730">
      <w:r>
        <w:rPr>
          <w:noProof/>
        </w:rPr>
        <w:drawing>
          <wp:inline distT="0" distB="0" distL="0" distR="0" wp14:anchorId="5C8ABF40" wp14:editId="6DAF308D">
            <wp:extent cx="6120130" cy="270891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stretch>
                      <a:fillRect/>
                    </a:stretch>
                  </pic:blipFill>
                  <pic:spPr>
                    <a:xfrm>
                      <a:off x="0" y="0"/>
                      <a:ext cx="6120130" cy="2708910"/>
                    </a:xfrm>
                    <a:prstGeom prst="rect">
                      <a:avLst/>
                    </a:prstGeom>
                  </pic:spPr>
                </pic:pic>
              </a:graphicData>
            </a:graphic>
          </wp:inline>
        </w:drawing>
      </w:r>
    </w:p>
    <w:p w14:paraId="497A75F8" w14:textId="70A4002D" w:rsidR="00077730" w:rsidRDefault="00077730" w:rsidP="00077730">
      <w:pPr>
        <w:pStyle w:val="Caption"/>
      </w:pPr>
      <w:bookmarkStart w:id="6" w:name="_Toc122434716"/>
      <w:r>
        <w:t xml:space="preserve">Figure </w:t>
      </w:r>
      <w:r>
        <w:fldChar w:fldCharType="begin"/>
      </w:r>
      <w:r>
        <w:instrText>SEQ Figure \* ARABIC</w:instrText>
      </w:r>
      <w:r>
        <w:fldChar w:fldCharType="separate"/>
      </w:r>
      <w:r w:rsidR="00967660">
        <w:rPr>
          <w:noProof/>
        </w:rPr>
        <w:t>1</w:t>
      </w:r>
      <w:r>
        <w:fldChar w:fldCharType="end"/>
      </w:r>
      <w:r>
        <w:t xml:space="preserve">: Strategy </w:t>
      </w:r>
      <w:bookmarkEnd w:id="6"/>
      <w:r w:rsidR="00A748AE">
        <w:t>m</w:t>
      </w:r>
      <w:r>
        <w:t>ap</w:t>
      </w:r>
    </w:p>
    <w:p w14:paraId="4C9B92B2" w14:textId="4A7B0856" w:rsidR="00077730" w:rsidRDefault="002829D8" w:rsidP="00E06CEF">
      <w:pPr>
        <w:pageBreakBefore/>
        <w:spacing w:before="0" w:after="160" w:line="259" w:lineRule="auto"/>
      </w:pPr>
      <w:r>
        <w:lastRenderedPageBreak/>
        <w:t>Our</w:t>
      </w:r>
      <w:r w:rsidR="00077730" w:rsidRPr="00077730">
        <w:t xml:space="preserve"> strategy map supports the following outcomes:</w:t>
      </w:r>
    </w:p>
    <w:tbl>
      <w:tblPr>
        <w:tblStyle w:val="TeWhatuOra"/>
        <w:tblW w:w="0" w:type="auto"/>
        <w:tblLook w:val="0420" w:firstRow="1" w:lastRow="0" w:firstColumn="0" w:lastColumn="0" w:noHBand="0" w:noVBand="1"/>
      </w:tblPr>
      <w:tblGrid>
        <w:gridCol w:w="4814"/>
        <w:gridCol w:w="4814"/>
      </w:tblGrid>
      <w:tr w:rsidR="00077730" w14:paraId="52C3BBF7" w14:textId="77777777" w:rsidTr="5F3E9838">
        <w:trPr>
          <w:cnfStyle w:val="100000000000" w:firstRow="1" w:lastRow="0" w:firstColumn="0" w:lastColumn="0" w:oddVBand="0" w:evenVBand="0" w:oddHBand="0" w:evenHBand="0" w:firstRowFirstColumn="0" w:firstRowLastColumn="0" w:lastRowFirstColumn="0" w:lastRowLastColumn="0"/>
        </w:trPr>
        <w:tc>
          <w:tcPr>
            <w:tcW w:w="4814" w:type="dxa"/>
          </w:tcPr>
          <w:p w14:paraId="512EE3EA" w14:textId="75AC8B42" w:rsidR="00077730" w:rsidRDefault="00077730" w:rsidP="00077730">
            <w:r>
              <w:t>Outcomes sought</w:t>
            </w:r>
          </w:p>
        </w:tc>
        <w:tc>
          <w:tcPr>
            <w:tcW w:w="4814" w:type="dxa"/>
          </w:tcPr>
          <w:p w14:paraId="0EEA6F7D" w14:textId="4C064F89" w:rsidR="00077730" w:rsidRDefault="00077730" w:rsidP="00077730">
            <w:r>
              <w:t>This could be observed by</w:t>
            </w:r>
          </w:p>
        </w:tc>
      </w:tr>
      <w:tr w:rsidR="00077730" w:rsidRPr="00077730" w14:paraId="51059D04" w14:textId="77777777" w:rsidTr="5F3E9838">
        <w:tc>
          <w:tcPr>
            <w:tcW w:w="4814" w:type="dxa"/>
          </w:tcPr>
          <w:p w14:paraId="0759700D" w14:textId="77777777" w:rsidR="00077730" w:rsidRDefault="00077730" w:rsidP="00077730">
            <w:pPr>
              <w:pStyle w:val="ListBullet"/>
            </w:pPr>
            <w:r>
              <w:t>Improve health information security</w:t>
            </w:r>
          </w:p>
          <w:p w14:paraId="42394BEE" w14:textId="055F4A37" w:rsidR="00077730" w:rsidRDefault="00077730" w:rsidP="00077730">
            <w:pPr>
              <w:pStyle w:val="ListBullet"/>
            </w:pPr>
            <w:r>
              <w:t xml:space="preserve">Enable sharing </w:t>
            </w:r>
            <w:r w:rsidR="2B7E1708">
              <w:t xml:space="preserve">of </w:t>
            </w:r>
            <w:r>
              <w:t xml:space="preserve">personal health information to </w:t>
            </w:r>
            <w:r w:rsidR="00552A9D">
              <w:t>collaborate with</w:t>
            </w:r>
            <w:r>
              <w:t xml:space="preserve"> organisations</w:t>
            </w:r>
          </w:p>
          <w:p w14:paraId="3A0EDD5B" w14:textId="45F6CAA6" w:rsidR="00077730" w:rsidRPr="00077730" w:rsidRDefault="00077730" w:rsidP="00077730">
            <w:pPr>
              <w:pStyle w:val="ListBullet"/>
            </w:pPr>
            <w:r>
              <w:t>Build trust and confidence in the health sector’s ability to secure information</w:t>
            </w:r>
          </w:p>
        </w:tc>
        <w:tc>
          <w:tcPr>
            <w:tcW w:w="4814" w:type="dxa"/>
          </w:tcPr>
          <w:p w14:paraId="7BDC82B0" w14:textId="77777777" w:rsidR="00077730" w:rsidRPr="00764A2B" w:rsidRDefault="00077730" w:rsidP="00764A2B">
            <w:pPr>
              <w:pStyle w:val="ListBullet"/>
            </w:pPr>
            <w:r>
              <w:t>Better incident res</w:t>
            </w:r>
            <w:r w:rsidR="00C45522">
              <w:t>ponse and more visible reporting</w:t>
            </w:r>
          </w:p>
          <w:p w14:paraId="30147EF1" w14:textId="77777777" w:rsidR="00C45522" w:rsidRPr="00764A2B" w:rsidRDefault="00C45522" w:rsidP="00764A2B">
            <w:pPr>
              <w:pStyle w:val="ListBullet"/>
            </w:pPr>
            <w:r>
              <w:t>Improved patient wellbeing and clinical outcomes</w:t>
            </w:r>
          </w:p>
          <w:p w14:paraId="674EB1BD" w14:textId="16EC29FB" w:rsidR="00C45522" w:rsidRPr="00077730" w:rsidRDefault="00C45522" w:rsidP="00764A2B">
            <w:pPr>
              <w:pStyle w:val="ListBullet"/>
            </w:pPr>
            <w:r>
              <w:t xml:space="preserve">Improved engagement and wide adoptions of </w:t>
            </w:r>
            <w:r w:rsidR="75942B6C">
              <w:t>the</w:t>
            </w:r>
            <w:r w:rsidR="000B4654">
              <w:t xml:space="preserve"> framework</w:t>
            </w:r>
          </w:p>
        </w:tc>
      </w:tr>
    </w:tbl>
    <w:p w14:paraId="18B47719" w14:textId="0D63C5FD" w:rsidR="00077730" w:rsidRDefault="00C45522" w:rsidP="00C45522">
      <w:pPr>
        <w:pStyle w:val="Caption"/>
      </w:pPr>
      <w:bookmarkStart w:id="7" w:name="_Toc122434717"/>
      <w:r>
        <w:t xml:space="preserve">Figure </w:t>
      </w:r>
      <w:r>
        <w:fldChar w:fldCharType="begin"/>
      </w:r>
      <w:r>
        <w:instrText>SEQ Figure \* ARABIC</w:instrText>
      </w:r>
      <w:r>
        <w:fldChar w:fldCharType="separate"/>
      </w:r>
      <w:r w:rsidR="00967660">
        <w:rPr>
          <w:noProof/>
        </w:rPr>
        <w:t>2</w:t>
      </w:r>
      <w:r>
        <w:fldChar w:fldCharType="end"/>
      </w:r>
      <w:r>
        <w:t xml:space="preserve">: Expected </w:t>
      </w:r>
      <w:bookmarkEnd w:id="7"/>
      <w:r w:rsidR="000B4654">
        <w:t>o</w:t>
      </w:r>
      <w:r>
        <w:t>utcomes</w:t>
      </w:r>
    </w:p>
    <w:p w14:paraId="57485C51" w14:textId="77777777" w:rsidR="00C45522" w:rsidRDefault="00C45522" w:rsidP="00C45522">
      <w:r>
        <w:t xml:space="preserve">Successful implementation of this framework will require the participants to: </w:t>
      </w:r>
    </w:p>
    <w:p w14:paraId="0E0A71E3" w14:textId="48963542" w:rsidR="00C45522" w:rsidRDefault="00C45522" w:rsidP="00C45522">
      <w:pPr>
        <w:pStyle w:val="ListBullet"/>
      </w:pPr>
      <w:r>
        <w:t>use the</w:t>
      </w:r>
      <w:r w:rsidDel="00C45522">
        <w:t xml:space="preserve"> </w:t>
      </w:r>
      <w:r w:rsidR="000B4654">
        <w:t xml:space="preserve">framework </w:t>
      </w:r>
      <w:r>
        <w:t>as a key mechanism for assessing and improving information security maturity, and manage the organisation’s risk profile</w:t>
      </w:r>
    </w:p>
    <w:p w14:paraId="41BFB881" w14:textId="1097A54D" w:rsidR="00C45522" w:rsidRDefault="00C45522" w:rsidP="00C45522">
      <w:pPr>
        <w:pStyle w:val="ListBullet"/>
      </w:pPr>
      <w:r>
        <w:t>acknowledge their obligations, assess themselves and share their level of maturity</w:t>
      </w:r>
      <w:r w:rsidR="009F7FE7">
        <w:t>,</w:t>
      </w:r>
      <w:r>
        <w:t xml:space="preserve"> allowing Te Whatu Ora and other key stakeholders to measure and manage security uplift.</w:t>
      </w:r>
    </w:p>
    <w:p w14:paraId="6A27864A" w14:textId="6AC8B5A0" w:rsidR="00C45522" w:rsidRDefault="00C45522" w:rsidP="00C45522">
      <w:r>
        <w:t xml:space="preserve">The </w:t>
      </w:r>
      <w:r w:rsidR="00ED63E8">
        <w:t>framework has</w:t>
      </w:r>
      <w:r>
        <w:t xml:space="preserve"> the following seven foundational building blocks:</w:t>
      </w:r>
    </w:p>
    <w:tbl>
      <w:tblPr>
        <w:tblStyle w:val="TeWhatuOra"/>
        <w:tblW w:w="0" w:type="auto"/>
        <w:tblLook w:val="04A0" w:firstRow="1" w:lastRow="0" w:firstColumn="1" w:lastColumn="0" w:noHBand="0" w:noVBand="1"/>
      </w:tblPr>
      <w:tblGrid>
        <w:gridCol w:w="1980"/>
        <w:gridCol w:w="7648"/>
      </w:tblGrid>
      <w:tr w:rsidR="00C45522" w14:paraId="7C8CB983" w14:textId="77777777" w:rsidTr="00C4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87588E" w14:textId="76E28587" w:rsidR="00C45522" w:rsidRDefault="00C45522" w:rsidP="00C45522">
            <w:r>
              <w:t>Building Block</w:t>
            </w:r>
          </w:p>
        </w:tc>
        <w:tc>
          <w:tcPr>
            <w:tcW w:w="7648" w:type="dxa"/>
          </w:tcPr>
          <w:p w14:paraId="6E5CE366" w14:textId="480689C3" w:rsidR="00C45522" w:rsidRDefault="00C45522" w:rsidP="00C45522">
            <w:pPr>
              <w:cnfStyle w:val="100000000000" w:firstRow="1" w:lastRow="0" w:firstColumn="0" w:lastColumn="0" w:oddVBand="0" w:evenVBand="0" w:oddHBand="0" w:evenHBand="0" w:firstRowFirstColumn="0" w:firstRowLastColumn="0" w:lastRowFirstColumn="0" w:lastRowLastColumn="0"/>
            </w:pPr>
            <w:r>
              <w:t>Description</w:t>
            </w:r>
          </w:p>
        </w:tc>
      </w:tr>
      <w:tr w:rsidR="00C45522" w14:paraId="0EFBA468"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DB5C15D" w14:textId="0EFFB7E3" w:rsidR="00C45522" w:rsidRDefault="00C45522" w:rsidP="00C45522">
            <w:r>
              <w:t>Obligations</w:t>
            </w:r>
          </w:p>
        </w:tc>
        <w:tc>
          <w:tcPr>
            <w:tcW w:w="7648" w:type="dxa"/>
          </w:tcPr>
          <w:p w14:paraId="00C7E07C" w14:textId="3055D42B" w:rsidR="00C45522" w:rsidRDefault="00C45522" w:rsidP="00C45522">
            <w:pPr>
              <w:cnfStyle w:val="000000000000" w:firstRow="0" w:lastRow="0" w:firstColumn="0" w:lastColumn="0" w:oddVBand="0" w:evenVBand="0" w:oddHBand="0" w:evenHBand="0" w:firstRowFirstColumn="0" w:firstRowLastColumn="0" w:lastRowFirstColumn="0" w:lastRowLastColumn="0"/>
            </w:pPr>
            <w:r>
              <w:t xml:space="preserve">To uphold and maintain adherence to the </w:t>
            </w:r>
            <w:proofErr w:type="spellStart"/>
            <w:r>
              <w:t>wairua</w:t>
            </w:r>
            <w:proofErr w:type="spellEnd"/>
            <w:r>
              <w:t xml:space="preserve"> or spirit and intent of the information security principles, in all endeavo</w:t>
            </w:r>
            <w:r w:rsidR="00ED63E8">
              <w:t>u</w:t>
            </w:r>
            <w:r>
              <w:t>rs to achieve and maintain health information security.</w:t>
            </w:r>
          </w:p>
        </w:tc>
      </w:tr>
      <w:tr w:rsidR="00C45522" w14:paraId="3786372D"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66DED577" w14:textId="1FFDD3FC" w:rsidR="00C45522" w:rsidRDefault="00C45522" w:rsidP="00C45522">
            <w:r>
              <w:t>Functional Processes</w:t>
            </w:r>
          </w:p>
        </w:tc>
        <w:tc>
          <w:tcPr>
            <w:tcW w:w="7648" w:type="dxa"/>
          </w:tcPr>
          <w:p w14:paraId="0DB0179A" w14:textId="2A44914D" w:rsidR="00C45522" w:rsidRDefault="00C45522" w:rsidP="00C45522">
            <w:pPr>
              <w:cnfStyle w:val="000000000000" w:firstRow="0" w:lastRow="0" w:firstColumn="0" w:lastColumn="0" w:oddVBand="0" w:evenVBand="0" w:oddHBand="0" w:evenHBand="0" w:firstRowFirstColumn="0" w:firstRowLastColumn="0" w:lastRowFirstColumn="0" w:lastRowLastColumn="0"/>
            </w:pPr>
            <w:r>
              <w:t>Provide strategic guidance on how an organisation can protect their systems and data from cyber threats.</w:t>
            </w:r>
          </w:p>
        </w:tc>
      </w:tr>
      <w:tr w:rsidR="00C45522" w14:paraId="37470FE0"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2FF9716" w14:textId="2DE04D46" w:rsidR="00C45522" w:rsidRDefault="00C45522" w:rsidP="00C45522">
            <w:r>
              <w:t>Segmentation Model</w:t>
            </w:r>
          </w:p>
        </w:tc>
        <w:tc>
          <w:tcPr>
            <w:tcW w:w="7648" w:type="dxa"/>
          </w:tcPr>
          <w:p w14:paraId="1253E363" w14:textId="30ECA394" w:rsidR="00C45522" w:rsidRDefault="00C45522" w:rsidP="00C45522">
            <w:pPr>
              <w:cnfStyle w:val="000000000000" w:firstRow="0" w:lastRow="0" w:firstColumn="0" w:lastColumn="0" w:oddVBand="0" w:evenVBand="0" w:oddHBand="0" w:evenHBand="0" w:firstRowFirstColumn="0" w:firstRowLastColumn="0" w:lastRowFirstColumn="0" w:lastRowLastColumn="0"/>
            </w:pPr>
            <w:r>
              <w:t xml:space="preserve">Health sector segments so </w:t>
            </w:r>
            <w:r w:rsidR="009B3410">
              <w:t xml:space="preserve">that </w:t>
            </w:r>
            <w:r>
              <w:t xml:space="preserve">the </w:t>
            </w:r>
            <w:r w:rsidR="009B3410">
              <w:t xml:space="preserve">framework </w:t>
            </w:r>
            <w:r>
              <w:t>is tailored appropriately to different types of organisations and audiences.</w:t>
            </w:r>
          </w:p>
        </w:tc>
      </w:tr>
      <w:tr w:rsidR="00C45522" w14:paraId="33740F94"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C38E615" w14:textId="5AF37749" w:rsidR="00C45522" w:rsidRDefault="00C45522" w:rsidP="00C45522">
            <w:r>
              <w:t>Controls</w:t>
            </w:r>
          </w:p>
        </w:tc>
        <w:tc>
          <w:tcPr>
            <w:tcW w:w="7648" w:type="dxa"/>
          </w:tcPr>
          <w:p w14:paraId="6DDF8812" w14:textId="014C2056" w:rsidR="00C45522" w:rsidRDefault="00C45522" w:rsidP="00832CE1">
            <w:pPr>
              <w:spacing w:before="100" w:after="100"/>
              <w:cnfStyle w:val="000000000000" w:firstRow="0" w:lastRow="0" w:firstColumn="0" w:lastColumn="0" w:oddVBand="0" w:evenVBand="0" w:oddHBand="0" w:evenHBand="0" w:firstRowFirstColumn="0" w:firstRowLastColumn="0" w:lastRowFirstColumn="0" w:lastRowLastColumn="0"/>
            </w:pPr>
            <w:r w:rsidRPr="00C45522">
              <w:t>Safeguards or countermeasure</w:t>
            </w:r>
            <w:r w:rsidR="00617BDA">
              <w:t>s</w:t>
            </w:r>
            <w:r w:rsidRPr="00C45522">
              <w:t xml:space="preserve"> prescribed for an information system or an organisation</w:t>
            </w:r>
            <w:r w:rsidR="00617BDA">
              <w:t>,</w:t>
            </w:r>
            <w:r w:rsidRPr="00C45522">
              <w:t xml:space="preserve"> designed to protect the confidentiality, integrity, and availability of the system and its information.</w:t>
            </w:r>
          </w:p>
        </w:tc>
      </w:tr>
      <w:tr w:rsidR="00C45522" w14:paraId="701256E1"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0686701E" w14:textId="561C8FBC" w:rsidR="00C45522" w:rsidRDefault="00C45522" w:rsidP="00C45522">
            <w:r>
              <w:t>Requirements</w:t>
            </w:r>
          </w:p>
        </w:tc>
        <w:tc>
          <w:tcPr>
            <w:tcW w:w="7648" w:type="dxa"/>
          </w:tcPr>
          <w:p w14:paraId="6E87F015" w14:textId="5A7007BF" w:rsidR="00C45522" w:rsidRDefault="00C45522" w:rsidP="00C45522">
            <w:pPr>
              <w:cnfStyle w:val="000000000000" w:firstRow="0" w:lastRow="0" w:firstColumn="0" w:lastColumn="0" w:oddVBand="0" w:evenVBand="0" w:oddHBand="0" w:evenHBand="0" w:firstRowFirstColumn="0" w:firstRowLastColumn="0" w:lastRowFirstColumn="0" w:lastRowLastColumn="0"/>
            </w:pPr>
            <w:r>
              <w:t>Plain</w:t>
            </w:r>
            <w:r w:rsidDel="005F74B5">
              <w:t xml:space="preserve"> </w:t>
            </w:r>
            <w:r w:rsidR="005F74B5">
              <w:t xml:space="preserve">language </w:t>
            </w:r>
            <w:r>
              <w:t xml:space="preserve">descriptions of what information security practices are required and are the </w:t>
            </w:r>
            <w:r w:rsidR="00531C78">
              <w:t>c</w:t>
            </w:r>
            <w:r>
              <w:t>ore of the framework for maturity assessment.</w:t>
            </w:r>
          </w:p>
        </w:tc>
      </w:tr>
      <w:tr w:rsidR="00C45522" w14:paraId="309BFD5D"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0A9BDC52" w14:textId="0918DF10" w:rsidR="00C45522" w:rsidRDefault="00C45522" w:rsidP="00C45522">
            <w:r>
              <w:t>Guidance</w:t>
            </w:r>
          </w:p>
        </w:tc>
        <w:tc>
          <w:tcPr>
            <w:tcW w:w="7648" w:type="dxa"/>
          </w:tcPr>
          <w:p w14:paraId="185FDC88" w14:textId="626E395F" w:rsidR="00C45522" w:rsidRDefault="00C45522" w:rsidP="00C45522">
            <w:pPr>
              <w:cnfStyle w:val="000000000000" w:firstRow="0" w:lastRow="0" w:firstColumn="0" w:lastColumn="0" w:oddVBand="0" w:evenVBand="0" w:oddHBand="0" w:evenHBand="0" w:firstRowFirstColumn="0" w:firstRowLastColumn="0" w:lastRowFirstColumn="0" w:lastRowLastColumn="0"/>
            </w:pPr>
            <w:r w:rsidRPr="00C45522">
              <w:t>The activities the organisation need</w:t>
            </w:r>
            <w:r w:rsidR="00531C78">
              <w:t>s</w:t>
            </w:r>
            <w:r w:rsidRPr="00C45522">
              <w:t xml:space="preserve"> to implement to meet the requirement.</w:t>
            </w:r>
          </w:p>
        </w:tc>
      </w:tr>
      <w:tr w:rsidR="00C45522" w14:paraId="70517DE6" w14:textId="77777777" w:rsidTr="00C45522">
        <w:tc>
          <w:tcPr>
            <w:cnfStyle w:val="001000000000" w:firstRow="0" w:lastRow="0" w:firstColumn="1" w:lastColumn="0" w:oddVBand="0" w:evenVBand="0" w:oddHBand="0" w:evenHBand="0" w:firstRowFirstColumn="0" w:firstRowLastColumn="0" w:lastRowFirstColumn="0" w:lastRowLastColumn="0"/>
            <w:tcW w:w="1980" w:type="dxa"/>
          </w:tcPr>
          <w:p w14:paraId="31764BC7" w14:textId="25E82DCD" w:rsidR="00C45522" w:rsidRDefault="00C45522" w:rsidP="00C45522">
            <w:r>
              <w:t>Tools and Templates</w:t>
            </w:r>
          </w:p>
        </w:tc>
        <w:tc>
          <w:tcPr>
            <w:tcW w:w="7648" w:type="dxa"/>
          </w:tcPr>
          <w:p w14:paraId="2245F194" w14:textId="152AECDE" w:rsidR="00C45522" w:rsidRDefault="00C45522" w:rsidP="00C45522">
            <w:pPr>
              <w:cnfStyle w:val="000000000000" w:firstRow="0" w:lastRow="0" w:firstColumn="0" w:lastColumn="0" w:oddVBand="0" w:evenVBand="0" w:oddHBand="0" w:evenHBand="0" w:firstRowFirstColumn="0" w:firstRowLastColumn="0" w:lastRowFirstColumn="0" w:lastRowLastColumn="0"/>
            </w:pPr>
            <w:r>
              <w:t>Segment-specific toolkits and templates will be available for reference.</w:t>
            </w:r>
          </w:p>
        </w:tc>
      </w:tr>
    </w:tbl>
    <w:p w14:paraId="76E615AB" w14:textId="067BC827" w:rsidR="00C45522" w:rsidRDefault="00C45522" w:rsidP="00C45522">
      <w:pPr>
        <w:pStyle w:val="Caption"/>
      </w:pPr>
      <w:bookmarkStart w:id="8" w:name="_Toc122434718"/>
      <w:r>
        <w:t xml:space="preserve">Figure </w:t>
      </w:r>
      <w:r>
        <w:fldChar w:fldCharType="begin"/>
      </w:r>
      <w:r>
        <w:instrText>SEQ Figure \* ARABIC</w:instrText>
      </w:r>
      <w:r>
        <w:fldChar w:fldCharType="separate"/>
      </w:r>
      <w:r w:rsidR="00967660">
        <w:rPr>
          <w:noProof/>
        </w:rPr>
        <w:t>3</w:t>
      </w:r>
      <w:r>
        <w:fldChar w:fldCharType="end"/>
      </w:r>
      <w:r>
        <w:t xml:space="preserve">: Foundational </w:t>
      </w:r>
      <w:bookmarkEnd w:id="8"/>
      <w:r w:rsidR="00531C78">
        <w:t>b</w:t>
      </w:r>
      <w:r>
        <w:t xml:space="preserve">uilding </w:t>
      </w:r>
      <w:r w:rsidR="00531C78">
        <w:t>b</w:t>
      </w:r>
      <w:r>
        <w:t>locks</w:t>
      </w:r>
    </w:p>
    <w:p w14:paraId="56A2BBEA" w14:textId="5C779558" w:rsidR="00C45522" w:rsidRDefault="00C45522" w:rsidP="00C45522">
      <w:r w:rsidRPr="00C45522">
        <w:lastRenderedPageBreak/>
        <w:t>The four implementation support elements underpin these foundational building blocks. Namely</w:t>
      </w:r>
      <w:r w:rsidRPr="00B57584">
        <w:t xml:space="preserve">, </w:t>
      </w:r>
      <w:r w:rsidRPr="00C547C5">
        <w:t xml:space="preserve">marketing </w:t>
      </w:r>
      <w:r w:rsidR="0019756D" w:rsidRPr="00C547C5">
        <w:t xml:space="preserve">and </w:t>
      </w:r>
      <w:r w:rsidRPr="00C547C5">
        <w:t xml:space="preserve">user support, monitoring </w:t>
      </w:r>
      <w:r w:rsidR="0019756D" w:rsidRPr="00C547C5">
        <w:t xml:space="preserve">and </w:t>
      </w:r>
      <w:r w:rsidRPr="00C547C5">
        <w:t xml:space="preserve">measurement, maintenance </w:t>
      </w:r>
      <w:r w:rsidR="0019756D" w:rsidRPr="00C547C5">
        <w:t xml:space="preserve">and </w:t>
      </w:r>
      <w:r w:rsidRPr="00C547C5">
        <w:t>governance, and funding</w:t>
      </w:r>
      <w:r w:rsidRPr="00B57584">
        <w:t>.</w:t>
      </w:r>
    </w:p>
    <w:p w14:paraId="0987D1AE" w14:textId="72A939F1" w:rsidR="00C45522" w:rsidRDefault="00C45522" w:rsidP="00C45522">
      <w:pPr>
        <w:pStyle w:val="NumberedHeading2"/>
      </w:pPr>
      <w:bookmarkStart w:id="9" w:name="_Toc132298226"/>
      <w:r>
        <w:t>Obligations</w:t>
      </w:r>
      <w:bookmarkEnd w:id="9"/>
    </w:p>
    <w:p w14:paraId="5C720991" w14:textId="55016087" w:rsidR="00C45522" w:rsidRDefault="00C45522" w:rsidP="00C45522">
      <w:r>
        <w:t xml:space="preserve">All organisations that collect, process or store personal health information </w:t>
      </w:r>
      <w:r w:rsidR="00A870C1">
        <w:t>(PHI)</w:t>
      </w:r>
      <w:r w:rsidR="00163051">
        <w:t xml:space="preserve"> and</w:t>
      </w:r>
      <w:r w:rsidR="00A870C1">
        <w:t xml:space="preserve"> patient personally identifiable information (PPII)</w:t>
      </w:r>
      <w:r>
        <w:t xml:space="preserve"> related to New Zealanders have the following obligations</w:t>
      </w:r>
      <w:r w:rsidR="00861CBB">
        <w:t xml:space="preserve"> under our framework</w:t>
      </w:r>
      <w:r>
        <w:t>:</w:t>
      </w:r>
    </w:p>
    <w:p w14:paraId="1704410C" w14:textId="01F523DB" w:rsidR="00C45522" w:rsidRDefault="00C45522" w:rsidP="00C45522">
      <w:pPr>
        <w:pStyle w:val="ListBullet"/>
      </w:pPr>
      <w:r w:rsidRPr="5F3E9838">
        <w:rPr>
          <w:b/>
          <w:bCs/>
        </w:rPr>
        <w:t>Te Tiriti o Waitangi</w:t>
      </w:r>
      <w:r>
        <w:br/>
        <w:t xml:space="preserve">ensure the application of the framework progresses the health and well-being of Māori, does not place undue burden on the Māori health sector and that Māori data is collected, stored, and transferred in ways that enable and reinforces the capacity of Māori to exercise </w:t>
      </w:r>
      <w:proofErr w:type="spellStart"/>
      <w:r>
        <w:t>kaitiakitanga</w:t>
      </w:r>
      <w:proofErr w:type="spellEnd"/>
      <w:r>
        <w:t xml:space="preserve"> over Māori data.</w:t>
      </w:r>
    </w:p>
    <w:p w14:paraId="4FB28078" w14:textId="346D47A6" w:rsidR="00C45522" w:rsidRDefault="00C45522" w:rsidP="00C45522">
      <w:pPr>
        <w:pStyle w:val="ListBullet"/>
      </w:pPr>
      <w:r w:rsidRPr="5F3E9838">
        <w:rPr>
          <w:b/>
          <w:bCs/>
        </w:rPr>
        <w:t>Confidentiality</w:t>
      </w:r>
      <w:r>
        <w:br/>
        <w:t>ensure personal health information is accessible to those authorised for access.</w:t>
      </w:r>
    </w:p>
    <w:p w14:paraId="648CB562" w14:textId="5F6282E6" w:rsidR="00C45522" w:rsidRDefault="00C45522" w:rsidP="00C45522">
      <w:pPr>
        <w:pStyle w:val="ListBullet"/>
      </w:pPr>
      <w:r w:rsidRPr="5F3E9838">
        <w:rPr>
          <w:b/>
          <w:bCs/>
        </w:rPr>
        <w:t>Integrity</w:t>
      </w:r>
      <w:r>
        <w:br/>
        <w:t>ensure the safeguarding, the accuracy and completeness of information, its handling and processing.</w:t>
      </w:r>
    </w:p>
    <w:p w14:paraId="21329F79" w14:textId="1D487781" w:rsidR="00C45522" w:rsidRDefault="00C45522" w:rsidP="00C45522">
      <w:pPr>
        <w:pStyle w:val="ListBullet"/>
      </w:pPr>
      <w:r w:rsidRPr="5F3E9838">
        <w:rPr>
          <w:b/>
          <w:bCs/>
        </w:rPr>
        <w:t>Availability</w:t>
      </w:r>
      <w:r>
        <w:br/>
        <w:t>ensure authorised users have access to personal health information when required.</w:t>
      </w:r>
    </w:p>
    <w:p w14:paraId="001D53AD" w14:textId="20BBC1A2" w:rsidR="00C45522" w:rsidRDefault="00C45522" w:rsidP="00493335">
      <w:pPr>
        <w:pStyle w:val="NumberedHeading2"/>
        <w:keepNext w:val="0"/>
        <w:keepLines w:val="0"/>
        <w:pageBreakBefore/>
      </w:pPr>
      <w:bookmarkStart w:id="10" w:name="_Toc132298227"/>
      <w:r>
        <w:lastRenderedPageBreak/>
        <w:t xml:space="preserve">Functional </w:t>
      </w:r>
      <w:bookmarkEnd w:id="10"/>
      <w:r w:rsidR="007E6A9C">
        <w:t>p</w:t>
      </w:r>
      <w:r>
        <w:t>rocesses</w:t>
      </w:r>
    </w:p>
    <w:p w14:paraId="7E5BFC36" w14:textId="47AA85CF" w:rsidR="00C45522" w:rsidRDefault="007E6A9C" w:rsidP="00C45522">
      <w:r>
        <w:t xml:space="preserve">Our framework </w:t>
      </w:r>
      <w:r w:rsidR="005F3897">
        <w:t>defines</w:t>
      </w:r>
      <w:r w:rsidR="00C45522" w:rsidRPr="00C45522">
        <w:t xml:space="preserve"> five</w:t>
      </w:r>
      <w:r w:rsidR="00C45522" w:rsidRPr="00C45522" w:rsidDel="007E6A9C">
        <w:t xml:space="preserve"> </w:t>
      </w:r>
      <w:r w:rsidR="00C45522" w:rsidRPr="00C45522">
        <w:t>functional processes (Plan, Identify, Protect, Detect, and Respond) that support the four obligations as described in the previous section.</w:t>
      </w:r>
    </w:p>
    <w:p w14:paraId="4683F8F9" w14:textId="6E4FCE4B" w:rsidR="00C45522" w:rsidRDefault="00C45522" w:rsidP="00C45522">
      <w:r>
        <w:rPr>
          <w:noProof/>
        </w:rPr>
        <w:drawing>
          <wp:inline distT="0" distB="0" distL="0" distR="0" wp14:anchorId="400CE8C2" wp14:editId="2E437E44">
            <wp:extent cx="6120130" cy="338927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89278"/>
                    </a:xfrm>
                    <a:prstGeom prst="rect">
                      <a:avLst/>
                    </a:prstGeom>
                  </pic:spPr>
                </pic:pic>
              </a:graphicData>
            </a:graphic>
          </wp:inline>
        </w:drawing>
      </w:r>
    </w:p>
    <w:p w14:paraId="06A9FA0D" w14:textId="768130E2" w:rsidR="00C45522" w:rsidRDefault="00C45522" w:rsidP="00C45522">
      <w:pPr>
        <w:pStyle w:val="Caption"/>
      </w:pPr>
      <w:bookmarkStart w:id="11" w:name="_Toc122434719"/>
      <w:r>
        <w:t xml:space="preserve">Figure </w:t>
      </w:r>
      <w:r>
        <w:fldChar w:fldCharType="begin"/>
      </w:r>
      <w:r>
        <w:instrText>SEQ Figure \* ARABIC</w:instrText>
      </w:r>
      <w:r>
        <w:fldChar w:fldCharType="separate"/>
      </w:r>
      <w:r w:rsidR="00967660">
        <w:rPr>
          <w:noProof/>
        </w:rPr>
        <w:t>4</w:t>
      </w:r>
      <w:r>
        <w:fldChar w:fldCharType="end"/>
      </w:r>
      <w:r>
        <w:t>: HISF Functional Processes</w:t>
      </w:r>
      <w:bookmarkEnd w:id="11"/>
    </w:p>
    <w:p w14:paraId="2A3A1C53" w14:textId="2AC0E06E" w:rsidR="00C45522" w:rsidRDefault="00C45522" w:rsidP="00C45522">
      <w:r>
        <w:t>The five functional processes are a high-level grouping of the elements that represent the primary pillars for a successful and holistic cyber</w:t>
      </w:r>
      <w:r w:rsidR="00CF6189">
        <w:t xml:space="preserve"> </w:t>
      </w:r>
      <w:r>
        <w:t xml:space="preserve">security </w:t>
      </w:r>
      <w:r w:rsidR="00332298">
        <w:t>framework</w:t>
      </w:r>
      <w:r w:rsidR="00642BCE">
        <w:t>,</w:t>
      </w:r>
      <w:r w:rsidR="00332298">
        <w:t xml:space="preserve"> </w:t>
      </w:r>
      <w:r>
        <w:t>adapted from the NIST Cybersecurity Framework</w:t>
      </w:r>
      <w:r>
        <w:rPr>
          <w:rStyle w:val="FootnoteReference"/>
        </w:rPr>
        <w:footnoteReference w:id="3"/>
      </w:r>
      <w:r>
        <w:t>.</w:t>
      </w:r>
    </w:p>
    <w:p w14:paraId="125D64E9" w14:textId="77777777" w:rsidR="00C45522" w:rsidRDefault="00C45522" w:rsidP="00C45522">
      <w:r>
        <w:t>Overall, the functional processes are designed to reinforce the continuous nature of organisational behaviour and practice with respect to information security as well as:</w:t>
      </w:r>
    </w:p>
    <w:p w14:paraId="23F5006F" w14:textId="6A22D35D" w:rsidR="00C45522" w:rsidRDefault="00C45522" w:rsidP="00C45522">
      <w:pPr>
        <w:pStyle w:val="ListBullet"/>
      </w:pPr>
      <w:r>
        <w:t xml:space="preserve">describe required organisational capabilities to manage information security </w:t>
      </w:r>
    </w:p>
    <w:p w14:paraId="091E683C" w14:textId="551379D7" w:rsidR="00C45522" w:rsidRDefault="00C45522" w:rsidP="00C45522">
      <w:pPr>
        <w:pStyle w:val="ListBullet"/>
      </w:pPr>
      <w:r>
        <w:t>be understandable to everyone</w:t>
      </w:r>
    </w:p>
    <w:p w14:paraId="6E918B54" w14:textId="67360BE3" w:rsidR="00C45522" w:rsidRDefault="00C45522" w:rsidP="00C45522">
      <w:pPr>
        <w:pStyle w:val="ListBullet"/>
      </w:pPr>
      <w:r>
        <w:t>be applicable to any size or type of organisation and their information security risk profile</w:t>
      </w:r>
    </w:p>
    <w:p w14:paraId="22088A30" w14:textId="1915F7AB" w:rsidR="00C45522" w:rsidRDefault="00C45522" w:rsidP="00C45522">
      <w:pPr>
        <w:pStyle w:val="ListBullet"/>
      </w:pPr>
      <w:r>
        <w:t>span both prevention and response to vulnerabilities and threats.</w:t>
      </w:r>
    </w:p>
    <w:p w14:paraId="7ACB1BB5" w14:textId="568452F5" w:rsidR="00C45522" w:rsidRDefault="00C45522" w:rsidP="00C45522">
      <w:pPr>
        <w:pStyle w:val="NumberedHeading2"/>
      </w:pPr>
      <w:bookmarkStart w:id="12" w:name="_Toc132298228"/>
      <w:r>
        <w:lastRenderedPageBreak/>
        <w:t>Segmentation model</w:t>
      </w:r>
      <w:bookmarkEnd w:id="12"/>
    </w:p>
    <w:p w14:paraId="4D41E088" w14:textId="77777777" w:rsidR="00C45522" w:rsidRDefault="00C45522" w:rsidP="00C45522">
      <w:r>
        <w:t>The segmentation model conceptualises types of health sector organisations that share similar information security risk profiles and thus similar requirements for managing information security risk.</w:t>
      </w:r>
    </w:p>
    <w:p w14:paraId="2D6F584C" w14:textId="3B514A62" w:rsidR="00C45522" w:rsidRDefault="00C45522" w:rsidP="00C45522">
      <w:r>
        <w:t>The purpose of the segmentation model is to make it easier for health care providers to recognise the nature of information security risk they face and to easily find the guidance and controls most appropriate to them.</w:t>
      </w:r>
    </w:p>
    <w:p w14:paraId="389F5364" w14:textId="5483BABB" w:rsidR="00C45522" w:rsidRDefault="00C45522" w:rsidP="00C45522">
      <w:r w:rsidRPr="00C45522">
        <w:t>The model recognises diversity and the broad spectrum of organisations that comprise the New Zealand health and disability sector with varying risk profiles (</w:t>
      </w:r>
      <w:proofErr w:type="spellStart"/>
      <w:r w:rsidRPr="00C45522">
        <w:t>ie</w:t>
      </w:r>
      <w:proofErr w:type="spellEnd"/>
      <w:r w:rsidRPr="00C45522">
        <w:t>, likelihood of risks and potential impacts/ consequences).</w:t>
      </w:r>
    </w:p>
    <w:p w14:paraId="5C9F73CB" w14:textId="302B80DA" w:rsidR="00C45522" w:rsidRDefault="005514E2" w:rsidP="005514E2">
      <w:pPr>
        <w:pStyle w:val="NumberedHeading3"/>
      </w:pPr>
      <w:r>
        <w:t>Common risk characteristics</w:t>
      </w:r>
    </w:p>
    <w:p w14:paraId="0FFB075C" w14:textId="4A485D6A" w:rsidR="005514E2" w:rsidRDefault="005514E2" w:rsidP="005514E2">
      <w:r w:rsidRPr="005514E2">
        <w:t>Based on the co-design approach, the risk characteristics below are identified as common across each segment. Controls are designed based on the implementation capabilities and areas of expertise across each segment.</w:t>
      </w:r>
    </w:p>
    <w:p w14:paraId="0D5A3F5B" w14:textId="5534906F" w:rsidR="005514E2" w:rsidRDefault="005514E2" w:rsidP="005514E2"/>
    <w:p w14:paraId="358D66D2" w14:textId="677F92FF" w:rsidR="7005607B" w:rsidRDefault="79D1B43F" w:rsidP="5F3E9838">
      <w:r>
        <w:rPr>
          <w:noProof/>
        </w:rPr>
        <w:drawing>
          <wp:inline distT="0" distB="0" distL="0" distR="0" wp14:anchorId="7319FD47" wp14:editId="0F3477A1">
            <wp:extent cx="6143625" cy="2409825"/>
            <wp:effectExtent l="0" t="0" r="0" b="0"/>
            <wp:docPr id="1222222063" name="Picture 122222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43625" cy="2409825"/>
                    </a:xfrm>
                    <a:prstGeom prst="rect">
                      <a:avLst/>
                    </a:prstGeom>
                  </pic:spPr>
                </pic:pic>
              </a:graphicData>
            </a:graphic>
          </wp:inline>
        </w:drawing>
      </w:r>
    </w:p>
    <w:p w14:paraId="2C5F5532" w14:textId="13C126B4" w:rsidR="005514E2" w:rsidRDefault="005514E2" w:rsidP="005514E2">
      <w:pPr>
        <w:pStyle w:val="Caption"/>
      </w:pPr>
      <w:bookmarkStart w:id="13" w:name="_Toc122434720"/>
      <w:r>
        <w:t xml:space="preserve">Figure </w:t>
      </w:r>
      <w:r>
        <w:fldChar w:fldCharType="begin"/>
      </w:r>
      <w:r>
        <w:instrText>SEQ Figure \* ARABIC</w:instrText>
      </w:r>
      <w:r>
        <w:fldChar w:fldCharType="separate"/>
      </w:r>
      <w:r w:rsidR="00967660">
        <w:rPr>
          <w:noProof/>
        </w:rPr>
        <w:t>5</w:t>
      </w:r>
      <w:r>
        <w:fldChar w:fldCharType="end"/>
      </w:r>
      <w:r>
        <w:t>: Segmentation with risk characteristics</w:t>
      </w:r>
      <w:bookmarkEnd w:id="13"/>
    </w:p>
    <w:p w14:paraId="56763408" w14:textId="2DB10113" w:rsidR="005514E2" w:rsidRDefault="0023386E" w:rsidP="005514E2">
      <w:r>
        <w:t>T</w:t>
      </w:r>
      <w:r w:rsidR="005514E2">
        <w:t>he key health segments are grouped vertically. Definitions of the horizontal grouping of risk characteristics are as follows:</w:t>
      </w:r>
    </w:p>
    <w:p w14:paraId="7C8E6F65" w14:textId="0D857716" w:rsidR="005514E2" w:rsidRDefault="005514E2" w:rsidP="005514E2">
      <w:pPr>
        <w:pStyle w:val="ListBullet"/>
      </w:pPr>
      <w:r w:rsidRPr="5F3E9838">
        <w:rPr>
          <w:b/>
          <w:bCs/>
        </w:rPr>
        <w:t>Information asset value/sensitivity</w:t>
      </w:r>
      <w:r>
        <w:br/>
      </w:r>
      <w:r w:rsidR="00CD6B7E">
        <w:t xml:space="preserve"> </w:t>
      </w:r>
      <w:r>
        <w:t>is the nature of the personal health information captured, processed, stored, or transmitted by an organisation and how valuable it may be considered by the individuals who provide it to an organisation.</w:t>
      </w:r>
    </w:p>
    <w:p w14:paraId="64BA7544" w14:textId="7156AB2D" w:rsidR="005514E2" w:rsidRDefault="005514E2" w:rsidP="005514E2">
      <w:pPr>
        <w:pStyle w:val="ListBullet"/>
      </w:pPr>
      <w:r w:rsidRPr="5F3E9838">
        <w:rPr>
          <w:b/>
          <w:bCs/>
        </w:rPr>
        <w:t>Information volume</w:t>
      </w:r>
      <w:r w:rsidR="00CD6B7E" w:rsidRPr="5F3E9838">
        <w:rPr>
          <w:b/>
          <w:bCs/>
        </w:rPr>
        <w:t xml:space="preserve"> </w:t>
      </w:r>
      <w:r>
        <w:br/>
        <w:t xml:space="preserve">is the absolute quantity of personal health information captured, processed, stored, or </w:t>
      </w:r>
      <w:r>
        <w:lastRenderedPageBreak/>
        <w:t>transmitted by an organisation. This would include the total number of individual records held and the number of health information data points for each individual.</w:t>
      </w:r>
      <w:r w:rsidDel="005514E2">
        <w:t xml:space="preserve"> </w:t>
      </w:r>
    </w:p>
    <w:p w14:paraId="34E0600C" w14:textId="30E10631" w:rsidR="005514E2" w:rsidRDefault="005514E2" w:rsidP="005514E2">
      <w:pPr>
        <w:pStyle w:val="ListBullet"/>
      </w:pPr>
      <w:r w:rsidRPr="5F3E9838">
        <w:rPr>
          <w:b/>
          <w:bCs/>
        </w:rPr>
        <w:t>Size of surface area</w:t>
      </w:r>
      <w:r w:rsidR="00CD6B7E" w:rsidRPr="5F3E9838">
        <w:rPr>
          <w:b/>
          <w:bCs/>
        </w:rPr>
        <w:t xml:space="preserve"> </w:t>
      </w:r>
      <w:r>
        <w:br/>
        <w:t>this relates to the number of endpoints (</w:t>
      </w:r>
      <w:r w:rsidR="00DB1727">
        <w:t>e.g.</w:t>
      </w:r>
      <w:r w:rsidR="40043777">
        <w:t>,</w:t>
      </w:r>
      <w:r>
        <w:t xml:space="preserve"> devices, APIs, servers, systems, and platforms) that an organisation is responsible for managing and therefore securing.</w:t>
      </w:r>
    </w:p>
    <w:p w14:paraId="63C45ED6" w14:textId="43B755E6" w:rsidR="005514E2" w:rsidRDefault="005514E2" w:rsidP="005514E2">
      <w:pPr>
        <w:pStyle w:val="ListBullet"/>
      </w:pPr>
      <w:r w:rsidRPr="5F3E9838">
        <w:rPr>
          <w:b/>
          <w:bCs/>
        </w:rPr>
        <w:t>Information security architecture risk</w:t>
      </w:r>
      <w:r w:rsidR="00CD6B7E" w:rsidRPr="5F3E9838">
        <w:rPr>
          <w:b/>
          <w:bCs/>
        </w:rPr>
        <w:t xml:space="preserve"> </w:t>
      </w:r>
      <w:r>
        <w:br/>
        <w:t>this relates to the nature of the information systems that an organisation is responsible for securing (</w:t>
      </w:r>
      <w:r w:rsidR="00DB1727">
        <w:t>e.g.</w:t>
      </w:r>
      <w:r w:rsidR="40043777">
        <w:t>,</w:t>
      </w:r>
      <w:r>
        <w:t xml:space="preserve"> on-premises infrastructure, cloud-based platforms and software as a service and use of third-party vendors for services and security).</w:t>
      </w:r>
    </w:p>
    <w:p w14:paraId="21478AA1" w14:textId="61746B22" w:rsidR="005514E2" w:rsidRDefault="005514E2" w:rsidP="005514E2">
      <w:pPr>
        <w:pStyle w:val="NumberedHeading3"/>
      </w:pPr>
      <w:r>
        <w:t>Segmentation and maturity</w:t>
      </w:r>
    </w:p>
    <w:p w14:paraId="4F067306" w14:textId="77777777" w:rsidR="005514E2" w:rsidRDefault="005514E2" w:rsidP="005514E2">
      <w:r>
        <w:t xml:space="preserve">The maturity of the practices and behaviours of health and disability organisations in regard to the functional processes described by the HISF varies both between segments and within segments. </w:t>
      </w:r>
    </w:p>
    <w:p w14:paraId="45779FD2" w14:textId="4A9194DF" w:rsidR="005514E2" w:rsidRDefault="00610664" w:rsidP="005514E2">
      <w:r>
        <w:t>We</w:t>
      </w:r>
      <w:r w:rsidR="005514E2">
        <w:t xml:space="preserve"> recognise varying levels of maturity across the health sector in two ways:</w:t>
      </w:r>
    </w:p>
    <w:p w14:paraId="193B11AF" w14:textId="04BA34C1" w:rsidR="005514E2" w:rsidRDefault="005514E2" w:rsidP="005514E2">
      <w:pPr>
        <w:pStyle w:val="ListBullet"/>
      </w:pPr>
      <w:r>
        <w:t>Providing different guidance and requirements for organisations in each segment. Some segments will have a comprehensive implementation guide, while others will have a simplified guide based on the nature of the audience. The guidance will contain ideal practices that are articulated by the combination of requirements and controls defined under each of the five functional processes for organisations in a specific segment.</w:t>
      </w:r>
    </w:p>
    <w:p w14:paraId="0A222A9D" w14:textId="76868A54" w:rsidR="005514E2" w:rsidRDefault="005514E2" w:rsidP="005514E2">
      <w:pPr>
        <w:pStyle w:val="ListBullet"/>
      </w:pPr>
      <w:r>
        <w:t>Providing a maturity assessment model to allow organisations to assess maturity against the guidance and requirements for organisations in each segment.</w:t>
      </w:r>
    </w:p>
    <w:p w14:paraId="4A3EE75E" w14:textId="42E57F85" w:rsidR="00D44A02" w:rsidRDefault="00610664" w:rsidP="005514E2">
      <w:r>
        <w:t>Our</w:t>
      </w:r>
      <w:r w:rsidR="005514E2">
        <w:t xml:space="preserve"> maturity assessment model uses a rating scale to assess the extent to which requirements or security controls are implemented. A self-assessment at an organisational level against each requirement per segment will be included with the </w:t>
      </w:r>
      <w:r w:rsidR="00DB1727">
        <w:t xml:space="preserve">framework </w:t>
      </w:r>
      <w:r w:rsidR="005514E2">
        <w:t xml:space="preserve">in future. The maturity assessment below </w:t>
      </w:r>
      <w:r w:rsidR="00DD0C37">
        <w:t xml:space="preserve">contains </w:t>
      </w:r>
      <w:r w:rsidR="005514E2">
        <w:t>a scale of 1 to 5.</w:t>
      </w:r>
    </w:p>
    <w:p w14:paraId="55B88DFD" w14:textId="77777777" w:rsidR="00D44A02" w:rsidRDefault="00D44A02">
      <w:pPr>
        <w:spacing w:before="0" w:after="160" w:line="259" w:lineRule="auto"/>
      </w:pPr>
      <w:r>
        <w:br w:type="page"/>
      </w:r>
    </w:p>
    <w:tbl>
      <w:tblPr>
        <w:tblStyle w:val="TeWhatuOra"/>
        <w:tblW w:w="0" w:type="auto"/>
        <w:tblLook w:val="0420" w:firstRow="1" w:lastRow="0" w:firstColumn="0" w:lastColumn="0" w:noHBand="0" w:noVBand="1"/>
      </w:tblPr>
      <w:tblGrid>
        <w:gridCol w:w="1925"/>
        <w:gridCol w:w="1925"/>
        <w:gridCol w:w="1926"/>
        <w:gridCol w:w="1926"/>
        <w:gridCol w:w="1926"/>
      </w:tblGrid>
      <w:tr w:rsidR="00FB7E18" w:rsidRPr="00D44A02" w14:paraId="4277604C" w14:textId="77777777" w:rsidTr="00FB7E18">
        <w:trPr>
          <w:cnfStyle w:val="100000000000" w:firstRow="1" w:lastRow="0" w:firstColumn="0" w:lastColumn="0" w:oddVBand="0" w:evenVBand="0" w:oddHBand="0" w:evenHBand="0" w:firstRowFirstColumn="0" w:firstRowLastColumn="0" w:lastRowFirstColumn="0" w:lastRowLastColumn="0"/>
        </w:trPr>
        <w:tc>
          <w:tcPr>
            <w:tcW w:w="9628" w:type="dxa"/>
            <w:gridSpan w:val="5"/>
          </w:tcPr>
          <w:p w14:paraId="7A7DAD89" w14:textId="49855AA5" w:rsidR="00FB7E18" w:rsidRPr="00D44A02" w:rsidRDefault="00FB7E18" w:rsidP="00FB7E18">
            <w:pPr>
              <w:jc w:val="center"/>
              <w:rPr>
                <w:szCs w:val="24"/>
              </w:rPr>
            </w:pPr>
            <w:r w:rsidRPr="00D44A02">
              <w:rPr>
                <w:szCs w:val="24"/>
              </w:rPr>
              <w:lastRenderedPageBreak/>
              <w:t>Maturity Assessment Scale</w:t>
            </w:r>
          </w:p>
        </w:tc>
      </w:tr>
      <w:tr w:rsidR="00FB7E18" w:rsidRPr="00D44A02" w14:paraId="27939F48" w14:textId="77777777" w:rsidTr="00FB7E18">
        <w:tc>
          <w:tcPr>
            <w:tcW w:w="1925" w:type="dxa"/>
            <w:shd w:val="clear" w:color="auto" w:fill="D9D9D9" w:themeFill="background1" w:themeFillShade="D9"/>
          </w:tcPr>
          <w:p w14:paraId="78B62371" w14:textId="0F0CE8B3" w:rsidR="00FB7E18" w:rsidRPr="00D44A02" w:rsidRDefault="00FB7E18" w:rsidP="005514E2">
            <w:pPr>
              <w:rPr>
                <w:b/>
                <w:bCs/>
                <w:szCs w:val="24"/>
              </w:rPr>
            </w:pPr>
            <w:r w:rsidRPr="00D44A02">
              <w:rPr>
                <w:b/>
                <w:bCs/>
                <w:szCs w:val="24"/>
              </w:rPr>
              <w:t>1-None</w:t>
            </w:r>
          </w:p>
        </w:tc>
        <w:tc>
          <w:tcPr>
            <w:tcW w:w="1925" w:type="dxa"/>
            <w:shd w:val="clear" w:color="auto" w:fill="D9D9D9" w:themeFill="background1" w:themeFillShade="D9"/>
          </w:tcPr>
          <w:p w14:paraId="7E7A8C1A" w14:textId="0FB64FC1" w:rsidR="00FB7E18" w:rsidRPr="00D44A02" w:rsidRDefault="00FB7E18" w:rsidP="005514E2">
            <w:pPr>
              <w:rPr>
                <w:b/>
                <w:bCs/>
                <w:szCs w:val="24"/>
              </w:rPr>
            </w:pPr>
            <w:r w:rsidRPr="00D44A02">
              <w:rPr>
                <w:b/>
                <w:bCs/>
                <w:szCs w:val="24"/>
              </w:rPr>
              <w:t>2-Emerging</w:t>
            </w:r>
          </w:p>
        </w:tc>
        <w:tc>
          <w:tcPr>
            <w:tcW w:w="1926" w:type="dxa"/>
            <w:shd w:val="clear" w:color="auto" w:fill="D9D9D9" w:themeFill="background1" w:themeFillShade="D9"/>
          </w:tcPr>
          <w:p w14:paraId="3E5DAA92" w14:textId="2F13D426" w:rsidR="00FB7E18" w:rsidRPr="00D44A02" w:rsidRDefault="00FB7E18" w:rsidP="005514E2">
            <w:pPr>
              <w:rPr>
                <w:b/>
                <w:bCs/>
                <w:szCs w:val="24"/>
              </w:rPr>
            </w:pPr>
            <w:r w:rsidRPr="00D44A02">
              <w:rPr>
                <w:b/>
                <w:bCs/>
                <w:szCs w:val="24"/>
              </w:rPr>
              <w:t>3-Partially Applied</w:t>
            </w:r>
          </w:p>
        </w:tc>
        <w:tc>
          <w:tcPr>
            <w:tcW w:w="1926" w:type="dxa"/>
            <w:shd w:val="clear" w:color="auto" w:fill="D9D9D9" w:themeFill="background1" w:themeFillShade="D9"/>
          </w:tcPr>
          <w:p w14:paraId="2A6576E3" w14:textId="7D50BD2C" w:rsidR="00FB7E18" w:rsidRPr="00D44A02" w:rsidRDefault="00FB7E18" w:rsidP="005514E2">
            <w:pPr>
              <w:rPr>
                <w:b/>
                <w:bCs/>
                <w:szCs w:val="24"/>
              </w:rPr>
            </w:pPr>
            <w:r w:rsidRPr="00D44A02">
              <w:rPr>
                <w:b/>
                <w:bCs/>
                <w:szCs w:val="24"/>
              </w:rPr>
              <w:t>4-Maturing</w:t>
            </w:r>
          </w:p>
        </w:tc>
        <w:tc>
          <w:tcPr>
            <w:tcW w:w="1926" w:type="dxa"/>
            <w:shd w:val="clear" w:color="auto" w:fill="D9D9D9" w:themeFill="background1" w:themeFillShade="D9"/>
          </w:tcPr>
          <w:p w14:paraId="118E9FC2" w14:textId="6A2E8E44" w:rsidR="00FB7E18" w:rsidRPr="00D44A02" w:rsidRDefault="00FB7E18" w:rsidP="005514E2">
            <w:pPr>
              <w:rPr>
                <w:b/>
                <w:bCs/>
                <w:szCs w:val="24"/>
              </w:rPr>
            </w:pPr>
            <w:r w:rsidRPr="00D44A02">
              <w:rPr>
                <w:b/>
                <w:bCs/>
                <w:szCs w:val="24"/>
              </w:rPr>
              <w:t>5-Embedded</w:t>
            </w:r>
          </w:p>
        </w:tc>
      </w:tr>
      <w:tr w:rsidR="00FB7E18" w:rsidRPr="00D44A02" w14:paraId="456D561A" w14:textId="77777777" w:rsidTr="00FB7E18">
        <w:tc>
          <w:tcPr>
            <w:tcW w:w="1925" w:type="dxa"/>
          </w:tcPr>
          <w:p w14:paraId="655263C5" w14:textId="704EB487" w:rsidR="00FB7E18" w:rsidRPr="00D44A02" w:rsidRDefault="00FB7E18" w:rsidP="00AD7688">
            <w:pPr>
              <w:spacing w:before="100" w:after="100" w:line="240" w:lineRule="auto"/>
              <w:rPr>
                <w:szCs w:val="24"/>
              </w:rPr>
            </w:pPr>
            <w:r w:rsidRPr="00D44A02">
              <w:rPr>
                <w:szCs w:val="24"/>
              </w:rPr>
              <w:t>No understanding of this cyber security concept and/or no control is in place to support the requirement.</w:t>
            </w:r>
          </w:p>
        </w:tc>
        <w:tc>
          <w:tcPr>
            <w:tcW w:w="1925" w:type="dxa"/>
          </w:tcPr>
          <w:p w14:paraId="7A098EEE" w14:textId="77777777" w:rsidR="00E97024" w:rsidRDefault="00943E72" w:rsidP="00AD7688">
            <w:pPr>
              <w:spacing w:before="100" w:after="100" w:line="240" w:lineRule="auto"/>
              <w:rPr>
                <w:szCs w:val="24"/>
              </w:rPr>
            </w:pPr>
            <w:r w:rsidRPr="00D44A02">
              <w:rPr>
                <w:szCs w:val="24"/>
              </w:rPr>
              <w:t>Not formally in place but some form of controls exists to support the requirement.</w:t>
            </w:r>
          </w:p>
          <w:p w14:paraId="24CA7BDF" w14:textId="7959E190" w:rsidR="00FB7E18" w:rsidRPr="00D44A02" w:rsidRDefault="00943E72" w:rsidP="00AD7688">
            <w:pPr>
              <w:spacing w:before="100" w:after="100" w:line="240" w:lineRule="auto"/>
              <w:rPr>
                <w:szCs w:val="24"/>
              </w:rPr>
            </w:pPr>
            <w:r w:rsidRPr="00D44A02">
              <w:rPr>
                <w:szCs w:val="24"/>
              </w:rPr>
              <w:t>These are not documented, and/or there are significant gaps in their application to areas or systems.</w:t>
            </w:r>
          </w:p>
        </w:tc>
        <w:tc>
          <w:tcPr>
            <w:tcW w:w="1926" w:type="dxa"/>
          </w:tcPr>
          <w:p w14:paraId="06FEE4CB" w14:textId="79EA8D3D" w:rsidR="00FB7E18" w:rsidRPr="00D44A02" w:rsidRDefault="00000F85" w:rsidP="00AD7688">
            <w:pPr>
              <w:spacing w:before="100" w:after="100" w:line="240" w:lineRule="auto"/>
              <w:rPr>
                <w:szCs w:val="24"/>
              </w:rPr>
            </w:pPr>
            <w:r w:rsidRPr="00D44A02">
              <w:rPr>
                <w:szCs w:val="24"/>
              </w:rPr>
              <w:t>Controls exist and are applied, but they are not thoroughly formalised or documented, and/or they are not consistently applied to all functional areas or systems.</w:t>
            </w:r>
          </w:p>
        </w:tc>
        <w:tc>
          <w:tcPr>
            <w:tcW w:w="1926" w:type="dxa"/>
          </w:tcPr>
          <w:p w14:paraId="2CD95D64" w14:textId="77777777" w:rsidR="00E97024" w:rsidRDefault="00550AC9" w:rsidP="00AD7688">
            <w:pPr>
              <w:spacing w:before="100" w:after="100" w:line="240" w:lineRule="auto"/>
              <w:rPr>
                <w:szCs w:val="24"/>
              </w:rPr>
            </w:pPr>
            <w:r w:rsidRPr="00D44A02">
              <w:rPr>
                <w:szCs w:val="24"/>
              </w:rPr>
              <w:t xml:space="preserve">Controls exist and are formally documented. </w:t>
            </w:r>
          </w:p>
          <w:p w14:paraId="28B74CC3" w14:textId="77777777" w:rsidR="00E97024" w:rsidRDefault="00550AC9" w:rsidP="00AD7688">
            <w:pPr>
              <w:spacing w:before="100" w:after="100" w:line="240" w:lineRule="auto"/>
              <w:rPr>
                <w:szCs w:val="24"/>
              </w:rPr>
            </w:pPr>
            <w:r w:rsidRPr="00D44A02">
              <w:rPr>
                <w:szCs w:val="24"/>
              </w:rPr>
              <w:t xml:space="preserve">They are regularly applied across most functional areas and systems. </w:t>
            </w:r>
          </w:p>
          <w:p w14:paraId="7B9BFDDC" w14:textId="29E09B6C" w:rsidR="00550AC9" w:rsidRPr="00D44A02" w:rsidRDefault="00550AC9" w:rsidP="00AD7688">
            <w:pPr>
              <w:spacing w:before="100" w:after="100" w:line="240" w:lineRule="auto"/>
              <w:rPr>
                <w:szCs w:val="24"/>
              </w:rPr>
            </w:pPr>
            <w:r w:rsidRPr="00D44A02">
              <w:rPr>
                <w:szCs w:val="24"/>
              </w:rPr>
              <w:t>There is some monitoring of control effectiveness and attempts at control improvement.</w:t>
            </w:r>
          </w:p>
        </w:tc>
        <w:tc>
          <w:tcPr>
            <w:tcW w:w="1926" w:type="dxa"/>
          </w:tcPr>
          <w:p w14:paraId="3373454E" w14:textId="77777777" w:rsidR="00E97024" w:rsidRDefault="00AD7688" w:rsidP="00AD7688">
            <w:pPr>
              <w:spacing w:before="100" w:after="100" w:line="240" w:lineRule="auto"/>
              <w:rPr>
                <w:szCs w:val="24"/>
              </w:rPr>
            </w:pPr>
            <w:r w:rsidRPr="00D44A02">
              <w:rPr>
                <w:szCs w:val="24"/>
              </w:rPr>
              <w:t xml:space="preserve">Robust controls are in place with documentation. </w:t>
            </w:r>
          </w:p>
          <w:p w14:paraId="0D73D27F" w14:textId="77777777" w:rsidR="00E97024" w:rsidRDefault="00AD7688" w:rsidP="00AD7688">
            <w:pPr>
              <w:spacing w:before="100" w:after="100" w:line="240" w:lineRule="auto"/>
              <w:rPr>
                <w:szCs w:val="24"/>
              </w:rPr>
            </w:pPr>
            <w:r w:rsidRPr="00D44A02">
              <w:rPr>
                <w:szCs w:val="24"/>
              </w:rPr>
              <w:t xml:space="preserve">They cover all functional areas and systems and are periodically reviewed for monitoring and continuous improvement. </w:t>
            </w:r>
          </w:p>
          <w:p w14:paraId="2A66D104" w14:textId="68367D5A" w:rsidR="00FB7E18" w:rsidRPr="00D44A02" w:rsidRDefault="00AD7688" w:rsidP="00AD7688">
            <w:pPr>
              <w:spacing w:before="100" w:after="100" w:line="240" w:lineRule="auto"/>
              <w:rPr>
                <w:szCs w:val="24"/>
              </w:rPr>
            </w:pPr>
            <w:r w:rsidRPr="00D44A02">
              <w:rPr>
                <w:szCs w:val="24"/>
              </w:rPr>
              <w:t>The requirement is completely met.</w:t>
            </w:r>
          </w:p>
        </w:tc>
      </w:tr>
    </w:tbl>
    <w:p w14:paraId="1A029398" w14:textId="29006246" w:rsidR="005514E2" w:rsidRDefault="009056D0" w:rsidP="009056D0">
      <w:pPr>
        <w:pStyle w:val="Caption"/>
      </w:pPr>
      <w:bookmarkStart w:id="14" w:name="_Toc122434721"/>
      <w:r>
        <w:t xml:space="preserve">Figure </w:t>
      </w:r>
      <w:r>
        <w:fldChar w:fldCharType="begin"/>
      </w:r>
      <w:r>
        <w:instrText>SEQ Figure \* ARABIC</w:instrText>
      </w:r>
      <w:r>
        <w:fldChar w:fldCharType="separate"/>
      </w:r>
      <w:r w:rsidR="00967660">
        <w:rPr>
          <w:noProof/>
        </w:rPr>
        <w:t>6</w:t>
      </w:r>
      <w:r>
        <w:fldChar w:fldCharType="end"/>
      </w:r>
      <w:r>
        <w:t>: Maturity Assessment Scale</w:t>
      </w:r>
      <w:bookmarkEnd w:id="14"/>
    </w:p>
    <w:p w14:paraId="4B1222AD" w14:textId="2BBD77E9" w:rsidR="009056D0" w:rsidRDefault="009056D0" w:rsidP="009056D0">
      <w:pPr>
        <w:pStyle w:val="NumberedHeading2"/>
      </w:pPr>
      <w:bookmarkStart w:id="15" w:name="_Toc132298229"/>
      <w:r>
        <w:t>Controls</w:t>
      </w:r>
      <w:bookmarkEnd w:id="15"/>
    </w:p>
    <w:p w14:paraId="65E205A0" w14:textId="16D32CA4" w:rsidR="00D35298" w:rsidRDefault="00D35298" w:rsidP="00D35298">
      <w:r>
        <w:t xml:space="preserve">Controls are safeguards or countermeasures to detect, avoid, mitigate, or reduce organisational, people, physical and technology risks. </w:t>
      </w:r>
    </w:p>
    <w:p w14:paraId="2AFEB0F4" w14:textId="0752C474" w:rsidR="00D35298" w:rsidRDefault="007912F0" w:rsidP="00D35298">
      <w:pPr>
        <w:pStyle w:val="Heading3"/>
      </w:pPr>
      <w:r>
        <w:t>M</w:t>
      </w:r>
      <w:r w:rsidR="00D35298">
        <w:t>appings to control catalogues</w:t>
      </w:r>
    </w:p>
    <w:p w14:paraId="07D754B7" w14:textId="7A210547" w:rsidR="00D35298" w:rsidRDefault="007912F0" w:rsidP="00D35298">
      <w:r>
        <w:t xml:space="preserve">Our </w:t>
      </w:r>
      <w:r w:rsidR="001641A4">
        <w:t>framework</w:t>
      </w:r>
      <w:r w:rsidR="00D35298">
        <w:t xml:space="preserve"> does not create a duplicate of relevant ISO standards. Rather it </w:t>
      </w:r>
      <w:r w:rsidR="002D07CE">
        <w:t>maps</w:t>
      </w:r>
      <w:r w:rsidR="00D35298">
        <w:t xml:space="preserve"> to the relevant and dominant control catalogues </w:t>
      </w:r>
      <w:r w:rsidR="004F0303">
        <w:t>such as</w:t>
      </w:r>
      <w:r w:rsidR="00D35298">
        <w:t xml:space="preserve"> NZISM, </w:t>
      </w:r>
      <w:proofErr w:type="spellStart"/>
      <w:r w:rsidR="00D35298">
        <w:t>Center</w:t>
      </w:r>
      <w:proofErr w:type="spellEnd"/>
      <w:r w:rsidR="00D35298">
        <w:t xml:space="preserve"> for Internet Security (CIS), Cloud Controls Matrix (CSA), ISO 27002, ISO 27799, HIPAA, PSR and CERT NZ Top Ten.</w:t>
      </w:r>
      <w:r w:rsidR="00F94D7E">
        <w:t xml:space="preserve"> </w:t>
      </w:r>
    </w:p>
    <w:p w14:paraId="6AD99C50" w14:textId="574BD3F2" w:rsidR="00D35298" w:rsidRDefault="00D35298" w:rsidP="00D35298">
      <w:r>
        <w:t xml:space="preserve">The </w:t>
      </w:r>
      <w:r w:rsidR="007912F0">
        <w:t>framework</w:t>
      </w:r>
      <w:r>
        <w:t xml:space="preserve"> is a medium through which the guidance to organisations about relevant controls for each is tailored based on their risk segment and maturity levels.</w:t>
      </w:r>
    </w:p>
    <w:p w14:paraId="1EADFFC9" w14:textId="7C15C875" w:rsidR="009056D0" w:rsidRDefault="007C2769" w:rsidP="00D35298">
      <w:r>
        <w:t>M</w:t>
      </w:r>
      <w:r w:rsidR="00D35298">
        <w:t>apping</w:t>
      </w:r>
      <w:r>
        <w:t>s</w:t>
      </w:r>
      <w:r w:rsidR="00D35298">
        <w:t xml:space="preserve"> </w:t>
      </w:r>
      <w:r>
        <w:t>between the relevant controls,</w:t>
      </w:r>
      <w:r w:rsidR="00D35298">
        <w:t xml:space="preserve"> </w:t>
      </w:r>
      <w:r>
        <w:t xml:space="preserve">the </w:t>
      </w:r>
      <w:r w:rsidR="00277C59">
        <w:t>requirement</w:t>
      </w:r>
      <w:r w:rsidR="00AF78B8">
        <w:t>s to</w:t>
      </w:r>
      <w:r>
        <w:t xml:space="preserve"> various control catalogues are</w:t>
      </w:r>
      <w:r w:rsidR="00D35298">
        <w:t xml:space="preserve"> as follows:</w:t>
      </w:r>
    </w:p>
    <w:p w14:paraId="1F8E40BE" w14:textId="15D75833" w:rsidR="00D35298" w:rsidRDefault="00236A43" w:rsidP="00D35298">
      <w:r>
        <w:rPr>
          <w:noProof/>
        </w:rPr>
        <w:lastRenderedPageBreak/>
        <w:drawing>
          <wp:inline distT="0" distB="0" distL="0" distR="0" wp14:anchorId="7D41B054" wp14:editId="34615A70">
            <wp:extent cx="612013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43250"/>
                    </a:xfrm>
                    <a:prstGeom prst="rect">
                      <a:avLst/>
                    </a:prstGeom>
                  </pic:spPr>
                </pic:pic>
              </a:graphicData>
            </a:graphic>
          </wp:inline>
        </w:drawing>
      </w:r>
    </w:p>
    <w:p w14:paraId="015F6A62" w14:textId="3E3766BC" w:rsidR="00236A43" w:rsidRDefault="00236A43" w:rsidP="00236A43">
      <w:pPr>
        <w:pStyle w:val="Caption"/>
      </w:pPr>
      <w:bookmarkStart w:id="16" w:name="_Toc122434722"/>
      <w:r>
        <w:t xml:space="preserve">Figure </w:t>
      </w:r>
      <w:r>
        <w:fldChar w:fldCharType="begin"/>
      </w:r>
      <w:r>
        <w:instrText>SEQ Figure \* ARABIC</w:instrText>
      </w:r>
      <w:r>
        <w:fldChar w:fldCharType="separate"/>
      </w:r>
      <w:r w:rsidR="00967660">
        <w:rPr>
          <w:noProof/>
        </w:rPr>
        <w:t>7</w:t>
      </w:r>
      <w:r>
        <w:fldChar w:fldCharType="end"/>
      </w:r>
      <w:r>
        <w:t xml:space="preserve">: </w:t>
      </w:r>
      <w:bookmarkEnd w:id="16"/>
      <w:r w:rsidR="005C45BE">
        <w:t>Control catalogues</w:t>
      </w:r>
    </w:p>
    <w:p w14:paraId="1BB616CD" w14:textId="5EFEB255" w:rsidR="002166BE" w:rsidRDefault="00E677B7" w:rsidP="00E677B7">
      <w:r>
        <w:t xml:space="preserve">The ‘Obligations’ and ‘Principles’ of </w:t>
      </w:r>
      <w:r w:rsidR="00AE4BAD">
        <w:t>our framework</w:t>
      </w:r>
      <w:r>
        <w:t xml:space="preserve"> are overarching and apply to all health organisations</w:t>
      </w:r>
      <w:r w:rsidR="00AF78B8">
        <w:t xml:space="preserve"> within New Zealand</w:t>
      </w:r>
      <w:r>
        <w:t xml:space="preserve">. </w:t>
      </w:r>
    </w:p>
    <w:p w14:paraId="6109BC5E" w14:textId="6AB82D1B" w:rsidR="00E677B7" w:rsidRDefault="00E677B7" w:rsidP="00E677B7">
      <w:r>
        <w:t xml:space="preserve">‘Segments’ defined within the </w:t>
      </w:r>
      <w:r w:rsidR="002166BE">
        <w:t xml:space="preserve">framework </w:t>
      </w:r>
      <w:r>
        <w:t>allow ‘Requirements’ to be tailored to varying levels of information security risk across segments.</w:t>
      </w:r>
      <w:r w:rsidDel="00F94D7E">
        <w:t xml:space="preserve"> </w:t>
      </w:r>
      <w:r>
        <w:t>The requirements may change in response to changes in the threat environment and evolving maturity of a segment.</w:t>
      </w:r>
    </w:p>
    <w:p w14:paraId="1833C718" w14:textId="48C78424" w:rsidR="00E677B7" w:rsidRDefault="00E677B7" w:rsidP="00E677B7">
      <w:r>
        <w:t xml:space="preserve">The control catalogues describe specific safeguards that can be implemented to meet </w:t>
      </w:r>
      <w:r w:rsidR="00836AFB">
        <w:t>our documented r</w:t>
      </w:r>
      <w:r>
        <w:t xml:space="preserve">equirements. The control catalogues described in Figure 7 have been mapped to the </w:t>
      </w:r>
      <w:r w:rsidR="00FA072B">
        <w:t>r</w:t>
      </w:r>
      <w:r>
        <w:t xml:space="preserve">equirements for each </w:t>
      </w:r>
      <w:r w:rsidR="00FA072B">
        <w:t>s</w:t>
      </w:r>
      <w:r>
        <w:t xml:space="preserve">egment. An organisation can choose the relevant guidance for it to meet the specified </w:t>
      </w:r>
      <w:r w:rsidR="00A60634">
        <w:t>r</w:t>
      </w:r>
      <w:r>
        <w:t xml:space="preserve">equirements and overall obligations. As control catalogues are updated regularly, these are mapped rather than replicated within the </w:t>
      </w:r>
      <w:r w:rsidR="0082415F">
        <w:t>framework</w:t>
      </w:r>
      <w:r>
        <w:t>. The mapping</w:t>
      </w:r>
      <w:r w:rsidR="0082415F">
        <w:t>s</w:t>
      </w:r>
      <w:r>
        <w:t xml:space="preserve"> will be updated periodically.</w:t>
      </w:r>
    </w:p>
    <w:p w14:paraId="34CF635F" w14:textId="6C36CE09" w:rsidR="001641A4" w:rsidRDefault="00E677B7" w:rsidP="00E677B7">
      <w:r>
        <w:t xml:space="preserve"> ‘Guidance’</w:t>
      </w:r>
      <w:r w:rsidDel="00FD487D">
        <w:t xml:space="preserve"> </w:t>
      </w:r>
      <w:r w:rsidR="00D1166A">
        <w:t xml:space="preserve">is published in living </w:t>
      </w:r>
      <w:r w:rsidR="0016505E">
        <w:t>documents</w:t>
      </w:r>
      <w:r w:rsidR="001A7AE2">
        <w:t xml:space="preserve"> </w:t>
      </w:r>
      <w:r w:rsidR="00D1166A">
        <w:t xml:space="preserve">that </w:t>
      </w:r>
      <w:r>
        <w:t xml:space="preserve">provide recommended capabilities and practices for organisations to meet the specified </w:t>
      </w:r>
      <w:r w:rsidR="00025A0E">
        <w:t>r</w:t>
      </w:r>
      <w:r>
        <w:t xml:space="preserve">equirements and obligations. </w:t>
      </w:r>
    </w:p>
    <w:p w14:paraId="68BE9295" w14:textId="639A62DB" w:rsidR="00236A43" w:rsidRDefault="00E677B7" w:rsidP="00E677B7">
      <w:r>
        <w:t>To help the relevant segments based on their capabilities, standard operating procedures and workflows will be provided as part of ‘Tools and Templates’.</w:t>
      </w:r>
    </w:p>
    <w:p w14:paraId="5204B988" w14:textId="2C16EFD5" w:rsidR="00E677B7" w:rsidRDefault="00E677B7" w:rsidP="00E677B7">
      <w:pPr>
        <w:pStyle w:val="NumberedHeading2"/>
      </w:pPr>
      <w:bookmarkStart w:id="17" w:name="_Toc132298230"/>
      <w:r>
        <w:t xml:space="preserve">Cyber </w:t>
      </w:r>
      <w:r w:rsidR="0082415F">
        <w:t>s</w:t>
      </w:r>
      <w:r>
        <w:t xml:space="preserve">ecurity </w:t>
      </w:r>
      <w:r w:rsidR="0082415F">
        <w:t>r</w:t>
      </w:r>
      <w:r>
        <w:t>equirements</w:t>
      </w:r>
      <w:bookmarkEnd w:id="17"/>
    </w:p>
    <w:p w14:paraId="322AB4EF" w14:textId="3E7C447A" w:rsidR="00D44A02" w:rsidRDefault="00D44A02" w:rsidP="00D44A02">
      <w:r>
        <w:t xml:space="preserve">The functional processes are underpinned by </w:t>
      </w:r>
      <w:r w:rsidRPr="00696637">
        <w:t>cyber security requirements</w:t>
      </w:r>
      <w:r>
        <w:t>. Requirements are high level state</w:t>
      </w:r>
      <w:r w:rsidDel="00764B27">
        <w:t>m</w:t>
      </w:r>
      <w:r>
        <w:t>ents which act as a checklist for the organisation to determine their compliance status</w:t>
      </w:r>
      <w:r w:rsidR="00FE5D3A">
        <w:t xml:space="preserve"> with respect to the framework</w:t>
      </w:r>
      <w:r>
        <w:t>. They are also the statements which provide a foundation for a defence-in-depth protection.</w:t>
      </w:r>
    </w:p>
    <w:p w14:paraId="239936D4" w14:textId="405BD603" w:rsidR="00E677B7" w:rsidRDefault="00D44A02" w:rsidP="00D44A02">
      <w:r>
        <w:lastRenderedPageBreak/>
        <w:t>The requirements are grouped according to the five functional processes with sub-categories as defined below. The sub-categories are an organising construct to group the more detailed requirements into areas of common practice and capability.</w:t>
      </w:r>
    </w:p>
    <w:tbl>
      <w:tblPr>
        <w:tblStyle w:val="TeWhatuOra"/>
        <w:tblW w:w="0" w:type="auto"/>
        <w:tblLook w:val="0420" w:firstRow="1" w:lastRow="0" w:firstColumn="0" w:lastColumn="0" w:noHBand="0" w:noVBand="1"/>
      </w:tblPr>
      <w:tblGrid>
        <w:gridCol w:w="1925"/>
        <w:gridCol w:w="1925"/>
        <w:gridCol w:w="1926"/>
        <w:gridCol w:w="1926"/>
        <w:gridCol w:w="1926"/>
      </w:tblGrid>
      <w:tr w:rsidR="00A506B3" w14:paraId="1BE435A1" w14:textId="77777777" w:rsidTr="0076794F">
        <w:trPr>
          <w:cnfStyle w:val="100000000000" w:firstRow="1" w:lastRow="0" w:firstColumn="0" w:lastColumn="0" w:oddVBand="0" w:evenVBand="0" w:oddHBand="0" w:evenHBand="0" w:firstRowFirstColumn="0" w:firstRowLastColumn="0" w:lastRowFirstColumn="0" w:lastRowLastColumn="0"/>
        </w:trPr>
        <w:tc>
          <w:tcPr>
            <w:tcW w:w="1925" w:type="dxa"/>
            <w:shd w:val="clear" w:color="auto" w:fill="B5E1FF" w:themeFill="accent1" w:themeFillTint="33"/>
          </w:tcPr>
          <w:p w14:paraId="4FE8E205" w14:textId="463F55A2" w:rsidR="00A506B3" w:rsidRDefault="00A506B3" w:rsidP="00D44A02">
            <w:r>
              <w:t>PLAN</w:t>
            </w:r>
          </w:p>
        </w:tc>
        <w:tc>
          <w:tcPr>
            <w:tcW w:w="1925" w:type="dxa"/>
            <w:shd w:val="clear" w:color="auto" w:fill="6BC4FF" w:themeFill="accent1" w:themeFillTint="66"/>
          </w:tcPr>
          <w:p w14:paraId="3433B814" w14:textId="79C5AEB0" w:rsidR="00A506B3" w:rsidRDefault="00A506B3" w:rsidP="00D44A02">
            <w:r>
              <w:t>IDENTIFY</w:t>
            </w:r>
          </w:p>
        </w:tc>
        <w:tc>
          <w:tcPr>
            <w:tcW w:w="1926" w:type="dxa"/>
            <w:shd w:val="clear" w:color="auto" w:fill="21A7FF" w:themeFill="accent1" w:themeFillTint="99"/>
          </w:tcPr>
          <w:p w14:paraId="3F299E13" w14:textId="38668076" w:rsidR="00A506B3" w:rsidRDefault="00A506B3" w:rsidP="00D44A02">
            <w:r>
              <w:t>PROTECT</w:t>
            </w:r>
          </w:p>
        </w:tc>
        <w:tc>
          <w:tcPr>
            <w:tcW w:w="1926" w:type="dxa"/>
            <w:shd w:val="clear" w:color="auto" w:fill="00558C" w:themeFill="accent1"/>
          </w:tcPr>
          <w:p w14:paraId="3AA20B54" w14:textId="46EAA037" w:rsidR="00A506B3" w:rsidRDefault="00A506B3" w:rsidP="00D44A02">
            <w:r w:rsidRPr="0076794F">
              <w:rPr>
                <w:color w:val="FFFFFF" w:themeColor="background1"/>
              </w:rPr>
              <w:t>DETECT</w:t>
            </w:r>
          </w:p>
        </w:tc>
        <w:tc>
          <w:tcPr>
            <w:tcW w:w="1926" w:type="dxa"/>
            <w:shd w:val="clear" w:color="auto" w:fill="1C2549" w:themeFill="text2"/>
          </w:tcPr>
          <w:p w14:paraId="759979D7" w14:textId="4D1E78A3" w:rsidR="00A506B3" w:rsidRDefault="00A506B3" w:rsidP="00D44A02">
            <w:r>
              <w:t>RESPOND</w:t>
            </w:r>
          </w:p>
        </w:tc>
      </w:tr>
      <w:tr w:rsidR="00A506B3" w14:paraId="36C27BEB" w14:textId="77777777" w:rsidTr="00A506B3">
        <w:tc>
          <w:tcPr>
            <w:tcW w:w="1925" w:type="dxa"/>
          </w:tcPr>
          <w:p w14:paraId="1CEA132B" w14:textId="59E00D10" w:rsidR="00A506B3" w:rsidRDefault="00862A79" w:rsidP="00D44A02">
            <w:r w:rsidRPr="00862A79">
              <w:t>Acknowledge your obligations and put in place effective governance and plans to protect the security of health information.</w:t>
            </w:r>
          </w:p>
        </w:tc>
        <w:tc>
          <w:tcPr>
            <w:tcW w:w="1925" w:type="dxa"/>
          </w:tcPr>
          <w:p w14:paraId="5AEE1C81" w14:textId="16A00961" w:rsidR="00A506B3" w:rsidRDefault="00C07175" w:rsidP="00D44A02">
            <w:r w:rsidRPr="00C07175">
              <w:t>Identify your information assets and understand the risks to information security and your organisation’s capability to manage those risks (consistent with its risk management strategy and business needs)</w:t>
            </w:r>
          </w:p>
        </w:tc>
        <w:tc>
          <w:tcPr>
            <w:tcW w:w="1926" w:type="dxa"/>
          </w:tcPr>
          <w:p w14:paraId="7BC8706E" w14:textId="0258C15F" w:rsidR="00A506B3" w:rsidRDefault="009B7159" w:rsidP="00D44A02">
            <w:r w:rsidRPr="009B7159">
              <w:t>Implement reasonable and appropriate safeguards covering people, process, procurement and technology risk</w:t>
            </w:r>
          </w:p>
        </w:tc>
        <w:tc>
          <w:tcPr>
            <w:tcW w:w="1926" w:type="dxa"/>
          </w:tcPr>
          <w:p w14:paraId="538E178F" w14:textId="2495B0F0" w:rsidR="00A506B3" w:rsidRDefault="00A067F4" w:rsidP="00D44A02">
            <w:r w:rsidRPr="00A067F4">
              <w:t>Continually test safeguards, detect threats, review and updat</w:t>
            </w:r>
            <w:r w:rsidR="00FE3D4F">
              <w:t>e</w:t>
            </w:r>
            <w:r w:rsidRPr="00A067F4">
              <w:t xml:space="preserve"> plans and policies for emerging information security risks</w:t>
            </w:r>
          </w:p>
        </w:tc>
        <w:tc>
          <w:tcPr>
            <w:tcW w:w="1926" w:type="dxa"/>
          </w:tcPr>
          <w:p w14:paraId="0D2A9C7F" w14:textId="27788BA5" w:rsidR="00A506B3" w:rsidRDefault="000E6F65" w:rsidP="00D44A02">
            <w:r w:rsidRPr="000E6F65">
              <w:t>Respond to information security incidents by activating business continuity, communication and information recovery procedures and by addressing identified vulnerabilities.</w:t>
            </w:r>
          </w:p>
        </w:tc>
      </w:tr>
      <w:tr w:rsidR="00A506B3" w:rsidRPr="00473391" w14:paraId="22CD8A54" w14:textId="77777777" w:rsidTr="00A506B3">
        <w:tc>
          <w:tcPr>
            <w:tcW w:w="1925" w:type="dxa"/>
          </w:tcPr>
          <w:p w14:paraId="5E18C0A8" w14:textId="37CD48C1" w:rsidR="00A506B3" w:rsidRPr="00473391" w:rsidRDefault="006A50BE" w:rsidP="00D44A02">
            <w:pPr>
              <w:rPr>
                <w:b/>
                <w:bCs/>
              </w:rPr>
            </w:pPr>
            <w:r w:rsidRPr="00473391">
              <w:rPr>
                <w:b/>
                <w:bCs/>
              </w:rPr>
              <w:t>Establish governance</w:t>
            </w:r>
          </w:p>
        </w:tc>
        <w:tc>
          <w:tcPr>
            <w:tcW w:w="1925" w:type="dxa"/>
          </w:tcPr>
          <w:p w14:paraId="76A3E883" w14:textId="4CEDABEF" w:rsidR="00A506B3" w:rsidRPr="00473391" w:rsidRDefault="006A50BE" w:rsidP="00D44A02">
            <w:pPr>
              <w:rPr>
                <w:b/>
                <w:bCs/>
              </w:rPr>
            </w:pPr>
            <w:r w:rsidRPr="00473391">
              <w:rPr>
                <w:b/>
                <w:bCs/>
              </w:rPr>
              <w:t>Identify risk</w:t>
            </w:r>
          </w:p>
        </w:tc>
        <w:tc>
          <w:tcPr>
            <w:tcW w:w="1926" w:type="dxa"/>
          </w:tcPr>
          <w:p w14:paraId="091BD09F" w14:textId="39979282" w:rsidR="00A506B3" w:rsidRPr="00473391" w:rsidRDefault="006A50BE" w:rsidP="00D44A02">
            <w:pPr>
              <w:rPr>
                <w:b/>
                <w:bCs/>
              </w:rPr>
            </w:pPr>
            <w:r w:rsidRPr="00473391">
              <w:rPr>
                <w:b/>
                <w:bCs/>
              </w:rPr>
              <w:t>People risk</w:t>
            </w:r>
          </w:p>
        </w:tc>
        <w:tc>
          <w:tcPr>
            <w:tcW w:w="1926" w:type="dxa"/>
          </w:tcPr>
          <w:p w14:paraId="0B1F0DF3" w14:textId="14FA6090" w:rsidR="00A506B3" w:rsidRPr="00473391" w:rsidRDefault="00892E90" w:rsidP="00D44A02">
            <w:pPr>
              <w:rPr>
                <w:b/>
                <w:bCs/>
              </w:rPr>
            </w:pPr>
            <w:r w:rsidRPr="00473391">
              <w:rPr>
                <w:b/>
                <w:bCs/>
              </w:rPr>
              <w:t>Test safeguards</w:t>
            </w:r>
          </w:p>
        </w:tc>
        <w:tc>
          <w:tcPr>
            <w:tcW w:w="1926" w:type="dxa"/>
          </w:tcPr>
          <w:p w14:paraId="4166E0DE" w14:textId="03594EA5" w:rsidR="00A506B3" w:rsidRPr="00473391" w:rsidRDefault="00892E90" w:rsidP="00D44A02">
            <w:pPr>
              <w:rPr>
                <w:b/>
                <w:bCs/>
              </w:rPr>
            </w:pPr>
            <w:r w:rsidRPr="00473391">
              <w:rPr>
                <w:b/>
                <w:bCs/>
              </w:rPr>
              <w:t>Activate plans</w:t>
            </w:r>
          </w:p>
        </w:tc>
      </w:tr>
      <w:tr w:rsidR="00A506B3" w:rsidRPr="00473391" w14:paraId="52698ADB" w14:textId="77777777" w:rsidTr="00473391">
        <w:tc>
          <w:tcPr>
            <w:tcW w:w="1925" w:type="dxa"/>
            <w:tcBorders>
              <w:bottom w:val="single" w:sz="4" w:space="0" w:color="auto"/>
            </w:tcBorders>
          </w:tcPr>
          <w:p w14:paraId="42407EA6" w14:textId="39A2EF13" w:rsidR="00A506B3" w:rsidRPr="00473391" w:rsidRDefault="006A50BE" w:rsidP="00D44A02">
            <w:pPr>
              <w:rPr>
                <w:b/>
                <w:bCs/>
              </w:rPr>
            </w:pPr>
            <w:r w:rsidRPr="00473391">
              <w:rPr>
                <w:b/>
                <w:bCs/>
              </w:rPr>
              <w:t>Plans &amp; Policies in place</w:t>
            </w:r>
          </w:p>
        </w:tc>
        <w:tc>
          <w:tcPr>
            <w:tcW w:w="1925" w:type="dxa"/>
          </w:tcPr>
          <w:p w14:paraId="3F4780BE" w14:textId="44E13351" w:rsidR="00A506B3" w:rsidRPr="00473391" w:rsidRDefault="006A50BE" w:rsidP="00D44A02">
            <w:pPr>
              <w:rPr>
                <w:b/>
                <w:bCs/>
              </w:rPr>
            </w:pPr>
            <w:r w:rsidRPr="00473391">
              <w:rPr>
                <w:b/>
                <w:bCs/>
              </w:rPr>
              <w:t>Determine capability</w:t>
            </w:r>
          </w:p>
        </w:tc>
        <w:tc>
          <w:tcPr>
            <w:tcW w:w="1926" w:type="dxa"/>
          </w:tcPr>
          <w:p w14:paraId="3522DC14" w14:textId="09D40C35" w:rsidR="00A506B3" w:rsidRPr="00473391" w:rsidRDefault="006A50BE" w:rsidP="00D44A02">
            <w:pPr>
              <w:rPr>
                <w:b/>
                <w:bCs/>
              </w:rPr>
            </w:pPr>
            <w:r w:rsidRPr="00473391">
              <w:rPr>
                <w:b/>
                <w:bCs/>
              </w:rPr>
              <w:t>Process risk</w:t>
            </w:r>
          </w:p>
        </w:tc>
        <w:tc>
          <w:tcPr>
            <w:tcW w:w="1926" w:type="dxa"/>
          </w:tcPr>
          <w:p w14:paraId="1561CA0E" w14:textId="48FB8E04" w:rsidR="00A506B3" w:rsidRPr="00473391" w:rsidRDefault="00892E90" w:rsidP="00D44A02">
            <w:pPr>
              <w:rPr>
                <w:b/>
                <w:bCs/>
              </w:rPr>
            </w:pPr>
            <w:r w:rsidRPr="00473391">
              <w:rPr>
                <w:b/>
                <w:bCs/>
              </w:rPr>
              <w:t>Review and update</w:t>
            </w:r>
          </w:p>
        </w:tc>
        <w:tc>
          <w:tcPr>
            <w:tcW w:w="1926" w:type="dxa"/>
          </w:tcPr>
          <w:p w14:paraId="639125F1" w14:textId="251FE0AA" w:rsidR="00A506B3" w:rsidRPr="00473391" w:rsidRDefault="00892E90" w:rsidP="00D44A02">
            <w:pPr>
              <w:rPr>
                <w:b/>
                <w:bCs/>
              </w:rPr>
            </w:pPr>
            <w:r w:rsidRPr="00473391">
              <w:rPr>
                <w:b/>
                <w:bCs/>
              </w:rPr>
              <w:t>Address vulnerabilities</w:t>
            </w:r>
          </w:p>
        </w:tc>
      </w:tr>
      <w:tr w:rsidR="00473391" w:rsidRPr="00473391" w14:paraId="722FA0EE" w14:textId="77777777" w:rsidTr="00473391">
        <w:tc>
          <w:tcPr>
            <w:tcW w:w="1925" w:type="dxa"/>
            <w:tcBorders>
              <w:left w:val="nil"/>
              <w:bottom w:val="nil"/>
              <w:right w:val="nil"/>
            </w:tcBorders>
          </w:tcPr>
          <w:p w14:paraId="3600DA83" w14:textId="77777777" w:rsidR="00473391" w:rsidRPr="00473391" w:rsidRDefault="00473391" w:rsidP="00D44A02">
            <w:pPr>
              <w:rPr>
                <w:b/>
                <w:bCs/>
              </w:rPr>
            </w:pPr>
          </w:p>
        </w:tc>
        <w:tc>
          <w:tcPr>
            <w:tcW w:w="1925" w:type="dxa"/>
            <w:tcBorders>
              <w:left w:val="nil"/>
              <w:bottom w:val="nil"/>
            </w:tcBorders>
          </w:tcPr>
          <w:p w14:paraId="59CB9D18" w14:textId="77777777" w:rsidR="00473391" w:rsidRPr="00473391" w:rsidRDefault="00473391" w:rsidP="00D44A02">
            <w:pPr>
              <w:rPr>
                <w:b/>
                <w:bCs/>
              </w:rPr>
            </w:pPr>
          </w:p>
        </w:tc>
        <w:tc>
          <w:tcPr>
            <w:tcW w:w="1926" w:type="dxa"/>
          </w:tcPr>
          <w:p w14:paraId="735682D3" w14:textId="7D101DA1" w:rsidR="00473391" w:rsidRPr="00473391" w:rsidRDefault="00473391" w:rsidP="00D44A02">
            <w:pPr>
              <w:rPr>
                <w:b/>
                <w:bCs/>
              </w:rPr>
            </w:pPr>
            <w:r w:rsidRPr="00473391">
              <w:rPr>
                <w:b/>
                <w:bCs/>
              </w:rPr>
              <w:t>Technology risk</w:t>
            </w:r>
          </w:p>
        </w:tc>
        <w:tc>
          <w:tcPr>
            <w:tcW w:w="1926" w:type="dxa"/>
          </w:tcPr>
          <w:p w14:paraId="58E5C213" w14:textId="7274A115" w:rsidR="00473391" w:rsidRPr="00473391" w:rsidRDefault="00473391" w:rsidP="00D44A02">
            <w:pPr>
              <w:rPr>
                <w:b/>
                <w:bCs/>
              </w:rPr>
            </w:pPr>
            <w:r w:rsidRPr="00473391">
              <w:rPr>
                <w:b/>
                <w:bCs/>
              </w:rPr>
              <w:t>Monitor for events</w:t>
            </w:r>
          </w:p>
        </w:tc>
        <w:tc>
          <w:tcPr>
            <w:tcW w:w="1926" w:type="dxa"/>
          </w:tcPr>
          <w:p w14:paraId="015342A0" w14:textId="20F17ECE" w:rsidR="00473391" w:rsidRPr="00473391" w:rsidRDefault="00473391" w:rsidP="00D44A02">
            <w:pPr>
              <w:rPr>
                <w:b/>
                <w:bCs/>
              </w:rPr>
            </w:pPr>
            <w:r w:rsidRPr="00473391">
              <w:rPr>
                <w:b/>
                <w:bCs/>
              </w:rPr>
              <w:t>Recover</w:t>
            </w:r>
          </w:p>
        </w:tc>
      </w:tr>
      <w:tr w:rsidR="00473391" w:rsidRPr="00473391" w14:paraId="0ED51EBC" w14:textId="77777777" w:rsidTr="00473391">
        <w:trPr>
          <w:gridAfter w:val="2"/>
          <w:wAfter w:w="3852" w:type="dxa"/>
        </w:trPr>
        <w:tc>
          <w:tcPr>
            <w:tcW w:w="1925" w:type="dxa"/>
            <w:tcBorders>
              <w:top w:val="nil"/>
              <w:left w:val="nil"/>
              <w:bottom w:val="nil"/>
              <w:right w:val="nil"/>
            </w:tcBorders>
          </w:tcPr>
          <w:p w14:paraId="283DBC21" w14:textId="77777777" w:rsidR="00473391" w:rsidRPr="00473391" w:rsidRDefault="00473391" w:rsidP="00D44A02">
            <w:pPr>
              <w:rPr>
                <w:b/>
                <w:bCs/>
              </w:rPr>
            </w:pPr>
          </w:p>
        </w:tc>
        <w:tc>
          <w:tcPr>
            <w:tcW w:w="1925" w:type="dxa"/>
            <w:tcBorders>
              <w:top w:val="nil"/>
              <w:left w:val="nil"/>
              <w:bottom w:val="nil"/>
            </w:tcBorders>
          </w:tcPr>
          <w:p w14:paraId="63671222" w14:textId="77777777" w:rsidR="00473391" w:rsidRPr="00473391" w:rsidRDefault="00473391" w:rsidP="00D44A02">
            <w:pPr>
              <w:rPr>
                <w:b/>
                <w:bCs/>
              </w:rPr>
            </w:pPr>
          </w:p>
        </w:tc>
        <w:tc>
          <w:tcPr>
            <w:tcW w:w="1926" w:type="dxa"/>
          </w:tcPr>
          <w:p w14:paraId="042F7B85" w14:textId="5A85AD96" w:rsidR="00473391" w:rsidRPr="00473391" w:rsidRDefault="00473391" w:rsidP="00D44A02">
            <w:pPr>
              <w:rPr>
                <w:b/>
                <w:bCs/>
              </w:rPr>
            </w:pPr>
            <w:r w:rsidRPr="00473391">
              <w:rPr>
                <w:b/>
                <w:bCs/>
              </w:rPr>
              <w:t>Procurement risk</w:t>
            </w:r>
          </w:p>
        </w:tc>
      </w:tr>
    </w:tbl>
    <w:p w14:paraId="5C3065FF" w14:textId="51AEC585" w:rsidR="00301B52" w:rsidRDefault="0076794F" w:rsidP="0076794F">
      <w:pPr>
        <w:pStyle w:val="Caption"/>
      </w:pPr>
      <w:bookmarkStart w:id="18" w:name="_Toc122434723"/>
      <w:r>
        <w:t xml:space="preserve">Figure </w:t>
      </w:r>
      <w:r>
        <w:fldChar w:fldCharType="begin"/>
      </w:r>
      <w:r>
        <w:instrText>SEQ Figure \* ARABIC</w:instrText>
      </w:r>
      <w:r>
        <w:fldChar w:fldCharType="separate"/>
      </w:r>
      <w:r w:rsidR="00967660">
        <w:rPr>
          <w:noProof/>
        </w:rPr>
        <w:t>8</w:t>
      </w:r>
      <w:r>
        <w:fldChar w:fldCharType="end"/>
      </w:r>
      <w:r>
        <w:t>: Five functional processes with sub-categories</w:t>
      </w:r>
      <w:bookmarkEnd w:id="18"/>
    </w:p>
    <w:p w14:paraId="4B1A8D84" w14:textId="77777777" w:rsidR="005A32F9" w:rsidRDefault="005A32F9" w:rsidP="005A32F9">
      <w:r>
        <w:t xml:space="preserve">The complete set of </w:t>
      </w:r>
      <w:r w:rsidRPr="005A32F9">
        <w:rPr>
          <w:i/>
          <w:iCs/>
        </w:rPr>
        <w:t>proposed</w:t>
      </w:r>
      <w:r>
        <w:t xml:space="preserve"> requirements can be found in respective guidance documents for each segment. </w:t>
      </w:r>
    </w:p>
    <w:p w14:paraId="38707A11" w14:textId="5396336B" w:rsidR="00FF0EB9" w:rsidRDefault="005A32F9" w:rsidP="005A32F9">
      <w:r>
        <w:t>The requirements presented in the respective guidance documents represent a common set of activities for managing cyber</w:t>
      </w:r>
      <w:r w:rsidR="00D22F6C">
        <w:t xml:space="preserve"> </w:t>
      </w:r>
      <w:r>
        <w:t>security risk. While it is not exhaustive, it is extensible, allowing organisations, sectors, and other entities to use subcategories and informative references that are cost-effective and efficient and that enable them to manage their cyber</w:t>
      </w:r>
      <w:r w:rsidR="00D22F6C">
        <w:t xml:space="preserve"> </w:t>
      </w:r>
      <w:r>
        <w:t>security risks.</w:t>
      </w:r>
    </w:p>
    <w:p w14:paraId="71887B12" w14:textId="1F50C93F" w:rsidR="005A32F9" w:rsidRDefault="005A32F9" w:rsidP="005A32F9">
      <w:pPr>
        <w:pStyle w:val="NumberedHeading2"/>
      </w:pPr>
      <w:bookmarkStart w:id="19" w:name="_Toc132298231"/>
      <w:r>
        <w:lastRenderedPageBreak/>
        <w:t>Guidance</w:t>
      </w:r>
      <w:bookmarkEnd w:id="19"/>
    </w:p>
    <w:p w14:paraId="77755C43" w14:textId="77777777" w:rsidR="0031285A" w:rsidRPr="0031285A" w:rsidRDefault="0031285A" w:rsidP="0031285A">
      <w:r w:rsidRPr="0031285A">
        <w:t xml:space="preserve">Guidance indicates the detailed level of implementation activities which the organisation needs to achieve control effectiveness. The implementation details are to be followed as appropriate to the organisation and system under consideration. </w:t>
      </w:r>
    </w:p>
    <w:p w14:paraId="79453772" w14:textId="7011C8A8" w:rsidR="005A32F9" w:rsidRDefault="0031285A" w:rsidP="0031285A">
      <w:pPr>
        <w:pStyle w:val="NumberedHeading2"/>
      </w:pPr>
      <w:bookmarkStart w:id="20" w:name="_Toc132298232"/>
      <w:r>
        <w:t xml:space="preserve">Tools and </w:t>
      </w:r>
      <w:bookmarkEnd w:id="20"/>
      <w:r w:rsidR="00CE2D94">
        <w:t>t</w:t>
      </w:r>
      <w:r>
        <w:t>emplates</w:t>
      </w:r>
    </w:p>
    <w:p w14:paraId="2B5EDE7A" w14:textId="05747EAD" w:rsidR="00985EF7" w:rsidRDefault="00985EF7" w:rsidP="00985EF7">
      <w:r>
        <w:t xml:space="preserve">A separate set of documents which are a combination of checklists and guides will be provided to the sector entities where there is limited or no documentation available to assist with the implementation activities of </w:t>
      </w:r>
      <w:r w:rsidR="00492C4D">
        <w:t>our framework</w:t>
      </w:r>
      <w:r>
        <w:t xml:space="preserve">. These documents </w:t>
      </w:r>
      <w:r w:rsidR="00CB3DB0">
        <w:t xml:space="preserve">can </w:t>
      </w:r>
      <w:r>
        <w:t>be tailored to the needs and requirements</w:t>
      </w:r>
      <w:r w:rsidR="001B7ADA">
        <w:t xml:space="preserve"> of the respective entities</w:t>
      </w:r>
      <w:r>
        <w:t xml:space="preserve">. </w:t>
      </w:r>
    </w:p>
    <w:p w14:paraId="1B4D36A7" w14:textId="4E0CFBDA" w:rsidR="0031285A" w:rsidRDefault="00985EF7" w:rsidP="00985EF7">
      <w:r>
        <w:t>They also consist of a self-completion questionnaire using appropriate questions for organisations in each segment. Evidence confirming the implementation for each requirement may be used for reporting and planning of any cyber security initiatives.</w:t>
      </w:r>
    </w:p>
    <w:p w14:paraId="6326A9D8" w14:textId="5D4EA087" w:rsidR="00985EF7" w:rsidRDefault="00985EF7">
      <w:pPr>
        <w:spacing w:before="0" w:after="160" w:line="259" w:lineRule="auto"/>
      </w:pPr>
      <w:r>
        <w:br w:type="page"/>
      </w:r>
    </w:p>
    <w:p w14:paraId="2C714BD0" w14:textId="7524E8AF" w:rsidR="00985EF7" w:rsidRDefault="00985EF7" w:rsidP="00985EF7">
      <w:pPr>
        <w:pStyle w:val="NumberedHeading1"/>
      </w:pPr>
      <w:bookmarkStart w:id="21" w:name="_Toc132298233"/>
      <w:r>
        <w:lastRenderedPageBreak/>
        <w:t>References</w:t>
      </w:r>
      <w:bookmarkEnd w:id="21"/>
    </w:p>
    <w:p w14:paraId="3B82FDB9" w14:textId="77777777" w:rsidR="00CA3E75" w:rsidRDefault="00CA3E75" w:rsidP="00CA3E75">
      <w:r>
        <w:t>When looking at each of the references below, ensure that the most recent version is identified and used:</w:t>
      </w:r>
    </w:p>
    <w:p w14:paraId="2F7C32D4" w14:textId="612C546A" w:rsidR="00CA3E75" w:rsidRDefault="002D7022" w:rsidP="00CA3E75">
      <w:pPr>
        <w:pStyle w:val="ListBullet"/>
      </w:pPr>
      <w:hyperlink r:id="rId20">
        <w:proofErr w:type="spellStart"/>
        <w:r w:rsidR="008B1F3D" w:rsidRPr="5F3E9838">
          <w:rPr>
            <w:rStyle w:val="Hyperlink"/>
          </w:rPr>
          <w:t>Center</w:t>
        </w:r>
        <w:proofErr w:type="spellEnd"/>
        <w:r w:rsidR="008B1F3D" w:rsidRPr="5F3E9838">
          <w:rPr>
            <w:rStyle w:val="Hyperlink"/>
          </w:rPr>
          <w:t xml:space="preserve"> for Internet Security (CIS):</w:t>
        </w:r>
        <w:r w:rsidR="006A22A3">
          <w:br/>
        </w:r>
      </w:hyperlink>
      <w:r w:rsidR="22FFF05D">
        <w:t>D</w:t>
      </w:r>
      <w:r w:rsidR="42ECA430">
        <w:t>esigned</w:t>
      </w:r>
      <w:r w:rsidR="00CA3E75">
        <w:t xml:space="preserve"> to support the NIST framework developed in the USA and seen by many local information security practitioners to provide up-to-date guidance on international best practice.</w:t>
      </w:r>
    </w:p>
    <w:p w14:paraId="5D33BA0C" w14:textId="6420D332" w:rsidR="00CA3E75" w:rsidRDefault="002D7022" w:rsidP="00CA3E75">
      <w:pPr>
        <w:pStyle w:val="ListBullet"/>
      </w:pPr>
      <w:hyperlink r:id="rId21">
        <w:r w:rsidR="00D938E0" w:rsidRPr="5F3E9838">
          <w:rPr>
            <w:rStyle w:val="Hyperlink"/>
          </w:rPr>
          <w:t>CERT NZ Top Ten:</w:t>
        </w:r>
        <w:r w:rsidR="006A22A3">
          <w:br/>
        </w:r>
      </w:hyperlink>
      <w:r w:rsidR="00CA3E75">
        <w:t>Intended to help organisations decide what to spend the time and money on based on the assessment of 10 most critical controls.</w:t>
      </w:r>
    </w:p>
    <w:p w14:paraId="3F41D67A" w14:textId="7CAF4EBB" w:rsidR="00CA3E75" w:rsidRDefault="002D7022" w:rsidP="00CA3E75">
      <w:pPr>
        <w:pStyle w:val="ListBullet"/>
      </w:pPr>
      <w:hyperlink r:id="rId22">
        <w:r w:rsidR="00164712" w:rsidRPr="5F3E9838">
          <w:rPr>
            <w:rStyle w:val="Hyperlink"/>
          </w:rPr>
          <w:t>Cloud Security Alliance (CSA) Cloud Controls Matrix:</w:t>
        </w:r>
        <w:r w:rsidR="006A22A3">
          <w:br/>
        </w:r>
      </w:hyperlink>
      <w:r w:rsidR="00CA3E75">
        <w:t>The Cloud Security Alliance controls are regarded as best-practice from organisations that have adopted as-a-service computing.</w:t>
      </w:r>
      <w:r w:rsidR="006A22A3" w:rsidDel="00CA3E75">
        <w:t xml:space="preserve"> </w:t>
      </w:r>
      <w:r w:rsidR="00CA3E75">
        <w:t>Given the trajectory for the adoption of cloud computing services will continue to grow in the NZ health sector, the CSA controls provide international best-practice for controls in cloud computing environments.</w:t>
      </w:r>
    </w:p>
    <w:p w14:paraId="03541FA0" w14:textId="61C4C4E7" w:rsidR="00CA3E75" w:rsidRDefault="002D7022" w:rsidP="00CA3E75">
      <w:pPr>
        <w:pStyle w:val="ListBullet"/>
      </w:pPr>
      <w:hyperlink r:id="rId23">
        <w:r w:rsidR="00FB298C" w:rsidRPr="5F3E9838">
          <w:rPr>
            <w:rStyle w:val="Hyperlink"/>
          </w:rPr>
          <w:t>Health Insurance Portability and Accountability Act (HIPAA) (US):</w:t>
        </w:r>
        <w:r w:rsidR="006A22A3">
          <w:br/>
        </w:r>
      </w:hyperlink>
      <w:r w:rsidR="00CA3E75">
        <w:t>US based federal law that required the creation of national standards (HIPAA Security Rule) to protect sensitive patient health information from being disclosed without the patient’s consent or knowledge.</w:t>
      </w:r>
    </w:p>
    <w:p w14:paraId="3F3FB636" w14:textId="6C6C4F2C" w:rsidR="00CA3E75" w:rsidRDefault="002D7022" w:rsidP="00CA3E75">
      <w:pPr>
        <w:pStyle w:val="ListBullet"/>
      </w:pPr>
      <w:hyperlink r:id="rId24">
        <w:r w:rsidR="00F510CB" w:rsidRPr="5F3E9838">
          <w:rPr>
            <w:rStyle w:val="Hyperlink"/>
          </w:rPr>
          <w:t>ISO 27001 Information Security Management Standard:</w:t>
        </w:r>
        <w:r w:rsidR="006A22A3">
          <w:br/>
        </w:r>
      </w:hyperlink>
      <w:r w:rsidR="00CA3E75">
        <w:t xml:space="preserve">An </w:t>
      </w:r>
      <w:r w:rsidR="3911012B">
        <w:t>I</w:t>
      </w:r>
      <w:r w:rsidR="42ECA430">
        <w:t>nformation</w:t>
      </w:r>
      <w:r w:rsidR="00CA3E75">
        <w:t xml:space="preserve"> Security Standard that provides requirements for an information security management system (ISMS).</w:t>
      </w:r>
    </w:p>
    <w:p w14:paraId="07ECC3D0" w14:textId="0C391F52" w:rsidR="00CA3E75" w:rsidRDefault="002D7022" w:rsidP="00CA3E75">
      <w:pPr>
        <w:pStyle w:val="ListBullet"/>
      </w:pPr>
      <w:hyperlink r:id="rId25">
        <w:r w:rsidR="00000636" w:rsidRPr="5F3E9838">
          <w:rPr>
            <w:rStyle w:val="Hyperlink"/>
          </w:rPr>
          <w:t>ISO 27002 Information Technology – Security Techniques – Code of practice for information security controls:</w:t>
        </w:r>
        <w:r w:rsidR="006A22A3">
          <w:br/>
        </w:r>
      </w:hyperlink>
      <w:r w:rsidR="00CA3E75">
        <w:t>An Information Security Standard that provides guidance on implementing ISO 27001:2022 Information Security Management System (ISMS).</w:t>
      </w:r>
    </w:p>
    <w:p w14:paraId="7DBB1D66" w14:textId="089174B4" w:rsidR="00CA3E75" w:rsidRDefault="002D7022" w:rsidP="00CA3E75">
      <w:pPr>
        <w:pStyle w:val="ListBullet"/>
      </w:pPr>
      <w:hyperlink r:id="rId26">
        <w:r w:rsidR="00C6232F" w:rsidRPr="5F3E9838">
          <w:rPr>
            <w:rStyle w:val="Hyperlink"/>
          </w:rPr>
          <w:t>ISO 27799 Health informatics – Information Security Management in health using ISO/IEC 27002:</w:t>
        </w:r>
        <w:r w:rsidR="006A22A3">
          <w:br/>
        </w:r>
      </w:hyperlink>
      <w:r w:rsidR="00CA3E75">
        <w:t xml:space="preserve">The </w:t>
      </w:r>
      <w:r w:rsidR="138CFC10">
        <w:t>h</w:t>
      </w:r>
      <w:r w:rsidR="42ECA430">
        <w:t>ealth</w:t>
      </w:r>
      <w:r w:rsidR="00CA3E75">
        <w:t xml:space="preserve"> information specific version of the ISO 27002:2013 standard upon which the </w:t>
      </w:r>
      <w:r w:rsidR="006A5D74">
        <w:t>f</w:t>
      </w:r>
      <w:r w:rsidR="57C25DD9">
        <w:t>ramework</w:t>
      </w:r>
      <w:r w:rsidR="00CA3E75">
        <w:t xml:space="preserve"> was initially based.</w:t>
      </w:r>
    </w:p>
    <w:p w14:paraId="24C873B2" w14:textId="63B16071" w:rsidR="00CA3E75" w:rsidRDefault="002D7022" w:rsidP="00CA3E75">
      <w:pPr>
        <w:pStyle w:val="ListBullet"/>
      </w:pPr>
      <w:hyperlink r:id="rId27">
        <w:r w:rsidR="00CA3E75" w:rsidRPr="5F3E9838">
          <w:rPr>
            <w:rStyle w:val="Hyperlink"/>
          </w:rPr>
          <w:t>New Zealand Information Security Manual (NZISM):</w:t>
        </w:r>
        <w:r w:rsidR="006A22A3">
          <w:br/>
        </w:r>
      </w:hyperlink>
      <w:r w:rsidR="00CA3E75">
        <w:t>The dominant New Zealand information security framework provides the assurance of providing best-practice controls in a local context and reflects internationally accepted standards and controls.</w:t>
      </w:r>
    </w:p>
    <w:p w14:paraId="7F955775" w14:textId="7AB82749" w:rsidR="00CA3E75" w:rsidRDefault="002D7022" w:rsidP="00CA3E75">
      <w:pPr>
        <w:pStyle w:val="ListBullet"/>
      </w:pPr>
      <w:hyperlink r:id="rId28">
        <w:r w:rsidR="00CA3E75" w:rsidRPr="5F3E9838">
          <w:rPr>
            <w:rStyle w:val="Hyperlink"/>
          </w:rPr>
          <w:t>Protective Security Requirements (PSR):</w:t>
        </w:r>
        <w:r w:rsidR="006A22A3">
          <w:br/>
        </w:r>
      </w:hyperlink>
      <w:r w:rsidR="00CA3E75">
        <w:t>Outlines the New Zealand government’s expectations for security governance and for personnel, information and physical security.</w:t>
      </w:r>
    </w:p>
    <w:p w14:paraId="531F919B" w14:textId="2D08BF66" w:rsidR="00CA3E75" w:rsidRDefault="002D7022" w:rsidP="00CA3E75">
      <w:pPr>
        <w:pStyle w:val="ListBullet"/>
      </w:pPr>
      <w:hyperlink r:id="rId29">
        <w:r w:rsidR="00CA3E75" w:rsidRPr="5F3E9838">
          <w:rPr>
            <w:rStyle w:val="Hyperlink"/>
          </w:rPr>
          <w:t>Secure Controls Framework (SCF):</w:t>
        </w:r>
        <w:r w:rsidR="006A22A3">
          <w:br/>
        </w:r>
      </w:hyperlink>
      <w:r w:rsidR="00CA3E75">
        <w:t xml:space="preserve">Contains a collection of </w:t>
      </w:r>
      <w:r w:rsidR="42ECA430">
        <w:t>control</w:t>
      </w:r>
      <w:r w:rsidR="00CA3E75">
        <w:t xml:space="preserve"> catalogues compiled by an organisation called the Secure Controls Framework Council, LLC.</w:t>
      </w:r>
    </w:p>
    <w:p w14:paraId="168517BE" w14:textId="43A37D6D" w:rsidR="00CA3E75" w:rsidRDefault="002D7022" w:rsidP="00CA3E75">
      <w:pPr>
        <w:pStyle w:val="ListBullet"/>
      </w:pPr>
      <w:hyperlink r:id="rId30">
        <w:r w:rsidR="00CA3E75" w:rsidRPr="5F3E9838">
          <w:rPr>
            <w:rStyle w:val="Hyperlink"/>
          </w:rPr>
          <w:t>UK National Health Service assertions:</w:t>
        </w:r>
        <w:r w:rsidR="006A22A3">
          <w:br/>
        </w:r>
      </w:hyperlink>
      <w:r w:rsidR="00CA3E75">
        <w:t xml:space="preserve">A UK based Data Security and Protection Toolkit is an online self -assessment tool that allows organisations to measure their performance against the National Data </w:t>
      </w:r>
      <w:r w:rsidR="2E608D18">
        <w:t>G</w:t>
      </w:r>
      <w:r w:rsidR="42ECA430">
        <w:t>uardian’s</w:t>
      </w:r>
      <w:r w:rsidR="00CA3E75">
        <w:t xml:space="preserve"> 10 data security standards. It comprises of several assertions and evidence items.</w:t>
      </w:r>
    </w:p>
    <w:p w14:paraId="23FF6695" w14:textId="34D484D4" w:rsidR="00985EF7" w:rsidRDefault="002D7022" w:rsidP="00CA3E75">
      <w:pPr>
        <w:pStyle w:val="ListBullet"/>
      </w:pPr>
      <w:hyperlink r:id="rId31">
        <w:r w:rsidR="00CA3E75" w:rsidRPr="5F3E9838">
          <w:rPr>
            <w:rStyle w:val="Hyperlink"/>
          </w:rPr>
          <w:t>US National Institute of Standards and Technology (NIST):</w:t>
        </w:r>
      </w:hyperlink>
      <w:r w:rsidR="00CA3E75">
        <w:t xml:space="preserve"> </w:t>
      </w:r>
      <w:r w:rsidR="006A22A3">
        <w:br/>
      </w:r>
      <w:r w:rsidR="00CA3E75">
        <w:t>A US based framework for improving critical infrastructure cyber security.</w:t>
      </w:r>
    </w:p>
    <w:p w14:paraId="537A0397" w14:textId="77777777" w:rsidR="00DD74D0" w:rsidRDefault="00DD74D0" w:rsidP="00DD74D0">
      <w:pPr>
        <w:pStyle w:val="Heading3"/>
      </w:pPr>
      <w:r>
        <w:t>New Zealand Legislation</w:t>
      </w:r>
    </w:p>
    <w:p w14:paraId="0AE89FB6" w14:textId="77777777" w:rsidR="00DD74D0" w:rsidRDefault="00DD74D0" w:rsidP="00DD74D0">
      <w:r>
        <w:t xml:space="preserve">The following Acts of Parliament and Regulations have specific relevance to this standard. Readers must consider other Acts and Regulations and any amendments that are relevant to their own organisation when implementing or using this standard: </w:t>
      </w:r>
    </w:p>
    <w:p w14:paraId="1943B328" w14:textId="413FD722" w:rsidR="00DD74D0" w:rsidRDefault="00DD74D0" w:rsidP="00DD74D0">
      <w:pPr>
        <w:pStyle w:val="ListBullet"/>
      </w:pPr>
      <w:r>
        <w:t>Crimes Act 1961</w:t>
      </w:r>
    </w:p>
    <w:p w14:paraId="553CB52F" w14:textId="492D03F9" w:rsidR="00DD74D0" w:rsidRDefault="00DD74D0" w:rsidP="00DD74D0">
      <w:pPr>
        <w:pStyle w:val="ListBullet"/>
      </w:pPr>
      <w:r>
        <w:t>Electronic Transactions Act 2002</w:t>
      </w:r>
    </w:p>
    <w:p w14:paraId="14FFB9FF" w14:textId="5EFE5261" w:rsidR="00DD74D0" w:rsidRDefault="00DD74D0" w:rsidP="00DD74D0">
      <w:pPr>
        <w:pStyle w:val="ListBullet"/>
      </w:pPr>
      <w:r>
        <w:t>Health Act 1956</w:t>
      </w:r>
    </w:p>
    <w:p w14:paraId="318F3106" w14:textId="5DAB34CB" w:rsidR="00DD74D0" w:rsidRDefault="00DD74D0" w:rsidP="00DD74D0">
      <w:pPr>
        <w:pStyle w:val="ListBullet"/>
      </w:pPr>
      <w:r>
        <w:t>Health and Disability Commissioner (Code of Health and Disability Services Consumers’ Rights) Regulations 1996</w:t>
      </w:r>
    </w:p>
    <w:p w14:paraId="5D586E4C" w14:textId="0C153C9F" w:rsidR="00DD74D0" w:rsidRDefault="00DD74D0" w:rsidP="00DD74D0">
      <w:pPr>
        <w:pStyle w:val="ListBullet"/>
      </w:pPr>
      <w:r>
        <w:t>Health Information Privacy Code 2020</w:t>
      </w:r>
    </w:p>
    <w:p w14:paraId="248C3F84" w14:textId="25C35051" w:rsidR="00DD74D0" w:rsidRDefault="00DD74D0" w:rsidP="00DD74D0">
      <w:pPr>
        <w:pStyle w:val="ListBullet"/>
      </w:pPr>
      <w:r>
        <w:t>Health Practitioners Competence Assurance Act 2003</w:t>
      </w:r>
    </w:p>
    <w:p w14:paraId="336D5FA1" w14:textId="50ED01E0" w:rsidR="00DD74D0" w:rsidRDefault="00DD74D0" w:rsidP="00DD74D0">
      <w:pPr>
        <w:pStyle w:val="ListBullet"/>
      </w:pPr>
      <w:r>
        <w:t>Injury Prevention, Rehabilitation, and Compensation Act 2001</w:t>
      </w:r>
    </w:p>
    <w:p w14:paraId="05FA7191" w14:textId="2F6DCF09" w:rsidR="00DD74D0" w:rsidRDefault="00DD74D0" w:rsidP="00DD74D0">
      <w:pPr>
        <w:pStyle w:val="ListBullet"/>
      </w:pPr>
      <w:r>
        <w:t>Mental Health (Compulsory Assessment and Treatment) Act 1992</w:t>
      </w:r>
    </w:p>
    <w:p w14:paraId="73E3857D" w14:textId="22AC4BE3" w:rsidR="00DD74D0" w:rsidRDefault="00DD74D0" w:rsidP="00DD74D0">
      <w:pPr>
        <w:pStyle w:val="ListBullet"/>
      </w:pPr>
      <w:r>
        <w:t>Pae Ora (Healthy Futures) Act 2022</w:t>
      </w:r>
    </w:p>
    <w:p w14:paraId="7A8506FD" w14:textId="46E7FF1C" w:rsidR="00DD74D0" w:rsidRDefault="00DD74D0" w:rsidP="00DD74D0">
      <w:pPr>
        <w:pStyle w:val="ListBullet"/>
      </w:pPr>
      <w:r>
        <w:t>Public Records Act 2005</w:t>
      </w:r>
    </w:p>
    <w:p w14:paraId="57F88092" w14:textId="2A0F732E" w:rsidR="00100EAA" w:rsidRDefault="00DD74D0" w:rsidP="00DD74D0">
      <w:pPr>
        <w:pStyle w:val="ListBullet"/>
      </w:pPr>
      <w:r>
        <w:t>Privacy Act 2020</w:t>
      </w:r>
    </w:p>
    <w:p w14:paraId="2DC27C69" w14:textId="789EAAE1" w:rsidR="00DD74D0" w:rsidRDefault="00DD74D0">
      <w:pPr>
        <w:spacing w:before="0" w:after="160" w:line="259" w:lineRule="auto"/>
      </w:pPr>
      <w:r>
        <w:br w:type="page"/>
      </w:r>
    </w:p>
    <w:p w14:paraId="7A0E71FF" w14:textId="28C150C3" w:rsidR="00DD74D0" w:rsidRDefault="00DD74D0" w:rsidP="00DD74D0">
      <w:pPr>
        <w:pStyle w:val="Heading1"/>
      </w:pPr>
      <w:bookmarkStart w:id="22" w:name="_Toc132298234"/>
      <w:r>
        <w:lastRenderedPageBreak/>
        <w:t>Appendix A – Glossary</w:t>
      </w:r>
      <w:bookmarkEnd w:id="22"/>
    </w:p>
    <w:tbl>
      <w:tblPr>
        <w:tblStyle w:val="TeWhatuOra"/>
        <w:tblW w:w="0" w:type="auto"/>
        <w:tblLook w:val="0420" w:firstRow="1" w:lastRow="0" w:firstColumn="0" w:lastColumn="0" w:noHBand="0" w:noVBand="1"/>
      </w:tblPr>
      <w:tblGrid>
        <w:gridCol w:w="2405"/>
        <w:gridCol w:w="7223"/>
      </w:tblGrid>
      <w:tr w:rsidR="00DD74D0" w14:paraId="0076C583" w14:textId="77777777" w:rsidTr="00696637">
        <w:trPr>
          <w:cnfStyle w:val="100000000000" w:firstRow="1" w:lastRow="0" w:firstColumn="0" w:lastColumn="0" w:oddVBand="0" w:evenVBand="0" w:oddHBand="0" w:evenHBand="0" w:firstRowFirstColumn="0" w:firstRowLastColumn="0" w:lastRowFirstColumn="0" w:lastRowLastColumn="0"/>
          <w:tblHeader/>
        </w:trPr>
        <w:tc>
          <w:tcPr>
            <w:tcW w:w="0" w:type="dxa"/>
          </w:tcPr>
          <w:p w14:paraId="622B2210" w14:textId="0382C5A1" w:rsidR="00DD74D0" w:rsidRDefault="00DD74D0" w:rsidP="00DD74D0">
            <w:r>
              <w:t>Term</w:t>
            </w:r>
          </w:p>
        </w:tc>
        <w:tc>
          <w:tcPr>
            <w:tcW w:w="0" w:type="dxa"/>
          </w:tcPr>
          <w:p w14:paraId="2BC6B0BB" w14:textId="7EC6B139" w:rsidR="00DD74D0" w:rsidRDefault="00DD74D0" w:rsidP="00DD74D0">
            <w:r>
              <w:t>Definition</w:t>
            </w:r>
          </w:p>
        </w:tc>
      </w:tr>
      <w:tr w:rsidR="00DD74D0" w14:paraId="6F2D1A26" w14:textId="77777777" w:rsidTr="5F3E9838">
        <w:tc>
          <w:tcPr>
            <w:tcW w:w="2405" w:type="dxa"/>
          </w:tcPr>
          <w:p w14:paraId="6783E251" w14:textId="2EFF1B07" w:rsidR="00DD74D0" w:rsidRDefault="00DD74D0" w:rsidP="00DD74D0">
            <w:r>
              <w:t>Health Information / Personal Health Information</w:t>
            </w:r>
          </w:p>
        </w:tc>
        <w:tc>
          <w:tcPr>
            <w:tcW w:w="7223" w:type="dxa"/>
          </w:tcPr>
          <w:p w14:paraId="76A537EF" w14:textId="720FA279" w:rsidR="00826AA3" w:rsidRDefault="00826AA3" w:rsidP="00826AA3">
            <w:r>
              <w:t xml:space="preserve">Health information is defined, broadly, in clause 4 of the Health Information Privacy Code </w:t>
            </w:r>
            <w:r w:rsidR="002F37D2">
              <w:t xml:space="preserve">2020 </w:t>
            </w:r>
            <w:r>
              <w:t>and includes any information about the health of an identifiable individual, or any health or disability services provided to him or her. It also includes any information collected incidentally to providing services, such as appointment times and demographic data. It does not include anonymous data as it must be about an identifiable individual.</w:t>
            </w:r>
          </w:p>
          <w:p w14:paraId="498E3251" w14:textId="5CD90107" w:rsidR="00DD74D0" w:rsidRDefault="00826AA3" w:rsidP="00826AA3">
            <w:r>
              <w:t xml:space="preserve">This document focuses on the sharing of health information as defined above. For </w:t>
            </w:r>
            <w:r w:rsidR="006A22A3">
              <w:t>clarity</w:t>
            </w:r>
            <w:r>
              <w:t>, we have referred to any information about the health of an identifiable individual as personal health information.</w:t>
            </w:r>
          </w:p>
        </w:tc>
      </w:tr>
      <w:tr w:rsidR="00DD74D0" w14:paraId="14A02C51" w14:textId="77777777" w:rsidTr="5F3E9838">
        <w:tc>
          <w:tcPr>
            <w:tcW w:w="2405" w:type="dxa"/>
          </w:tcPr>
          <w:p w14:paraId="30512402" w14:textId="30745A68" w:rsidR="00DD74D0" w:rsidRDefault="00DD74D0" w:rsidP="00DD74D0">
            <w:r>
              <w:t>Information Security Architecture</w:t>
            </w:r>
          </w:p>
        </w:tc>
        <w:tc>
          <w:tcPr>
            <w:tcW w:w="7223" w:type="dxa"/>
          </w:tcPr>
          <w:p w14:paraId="33DF3279" w14:textId="7B62E3DD" w:rsidR="00DD74D0" w:rsidRDefault="007439D5" w:rsidP="00DD74D0">
            <w:r w:rsidRPr="007439D5">
              <w:t>A description of the structure and behaviour for an enterprise's security processes, information security systems, personnel and organisational sub-units, showing their alignment with the enterprise's mission and strategic plans.</w:t>
            </w:r>
          </w:p>
        </w:tc>
      </w:tr>
      <w:tr w:rsidR="00DD74D0" w14:paraId="30E89A3A" w14:textId="77777777" w:rsidTr="5F3E9838">
        <w:tc>
          <w:tcPr>
            <w:tcW w:w="2405" w:type="dxa"/>
          </w:tcPr>
          <w:p w14:paraId="5FD0E987" w14:textId="0C9B1F17" w:rsidR="00DD74D0" w:rsidRDefault="00DD74D0" w:rsidP="00DD74D0">
            <w:r>
              <w:t>NGO</w:t>
            </w:r>
          </w:p>
        </w:tc>
        <w:tc>
          <w:tcPr>
            <w:tcW w:w="7223" w:type="dxa"/>
          </w:tcPr>
          <w:p w14:paraId="6C9BD288" w14:textId="4162B3E9" w:rsidR="00DD74D0" w:rsidRDefault="002B65D0" w:rsidP="00DD74D0">
            <w:r w:rsidRPr="002B65D0">
              <w:t>An NGO (Non-government organisation) is a non-profit, independent, community organisation that is not affiliated with central or local government, although they may receive financial and/or other support from the Government.</w:t>
            </w:r>
          </w:p>
        </w:tc>
      </w:tr>
      <w:tr w:rsidR="00DD74D0" w14:paraId="437C307F" w14:textId="77777777" w:rsidTr="5F3E9838">
        <w:tc>
          <w:tcPr>
            <w:tcW w:w="2405" w:type="dxa"/>
          </w:tcPr>
          <w:p w14:paraId="66716F6C" w14:textId="5A1D2B57" w:rsidR="00DD74D0" w:rsidRDefault="00DD74D0" w:rsidP="00DD74D0">
            <w:r>
              <w:t>Personnel</w:t>
            </w:r>
          </w:p>
        </w:tc>
        <w:tc>
          <w:tcPr>
            <w:tcW w:w="7223" w:type="dxa"/>
          </w:tcPr>
          <w:p w14:paraId="28CC5F99" w14:textId="1BF4C23A" w:rsidR="00DD74D0" w:rsidRDefault="002B65D0" w:rsidP="00DD74D0">
            <w:r>
              <w:t>Includes permanent, fixed term and temporary staff, contractors, consultants, volunteers, locums, and suppliers.</w:t>
            </w:r>
          </w:p>
        </w:tc>
      </w:tr>
      <w:tr w:rsidR="00DD74D0" w14:paraId="339EA98E" w14:textId="77777777" w:rsidTr="5F3E9838">
        <w:tc>
          <w:tcPr>
            <w:tcW w:w="2405" w:type="dxa"/>
          </w:tcPr>
          <w:p w14:paraId="0E5D4FA8" w14:textId="66449595" w:rsidR="00DD74D0" w:rsidRDefault="00DD74D0" w:rsidP="00DD74D0">
            <w:r>
              <w:t>PSR</w:t>
            </w:r>
          </w:p>
        </w:tc>
        <w:tc>
          <w:tcPr>
            <w:tcW w:w="7223" w:type="dxa"/>
          </w:tcPr>
          <w:p w14:paraId="2CC59981" w14:textId="2D9C439D" w:rsidR="00DD74D0" w:rsidRDefault="009243C7" w:rsidP="008945D7">
            <w:r>
              <w:t xml:space="preserve">Protective Security Requirements (PSR) outlines the Government's expectations for managing personnel, physical and information security. </w:t>
            </w:r>
          </w:p>
        </w:tc>
      </w:tr>
      <w:tr w:rsidR="00DD74D0" w14:paraId="1F7E575A" w14:textId="77777777" w:rsidTr="5F3E9838">
        <w:tc>
          <w:tcPr>
            <w:tcW w:w="2405" w:type="dxa"/>
          </w:tcPr>
          <w:p w14:paraId="68DB6F32" w14:textId="772623AD" w:rsidR="00DD74D0" w:rsidRDefault="00DD74D0" w:rsidP="00DD74D0">
            <w:r>
              <w:t>Risk</w:t>
            </w:r>
          </w:p>
        </w:tc>
        <w:tc>
          <w:tcPr>
            <w:tcW w:w="7223" w:type="dxa"/>
          </w:tcPr>
          <w:p w14:paraId="15F7E2CE" w14:textId="77777777" w:rsidR="00DD74D0" w:rsidRDefault="00C93E7D" w:rsidP="00DD74D0">
            <w:r w:rsidRPr="00C93E7D">
              <w:t>A measure of the extent to which an entity is threatened by a potential circumstance or event, and typically a function of:</w:t>
            </w:r>
          </w:p>
          <w:p w14:paraId="6C2A7457" w14:textId="77777777" w:rsidR="00C93E7D" w:rsidRDefault="6CDE044D" w:rsidP="00C93E7D">
            <w:pPr>
              <w:pStyle w:val="ListBullet"/>
            </w:pPr>
            <w:r>
              <w:t>The adverse impacts that would arise if the circumstance or event occurs; and</w:t>
            </w:r>
          </w:p>
          <w:p w14:paraId="4545BD5C" w14:textId="73202EEF" w:rsidR="00C93E7D" w:rsidRDefault="6CDE044D" w:rsidP="00C93E7D">
            <w:pPr>
              <w:pStyle w:val="ListBullet"/>
            </w:pPr>
            <w:r>
              <w:t>The likelihood of occurrence.</w:t>
            </w:r>
          </w:p>
        </w:tc>
      </w:tr>
      <w:tr w:rsidR="00DD74D0" w14:paraId="06906EEC" w14:textId="77777777" w:rsidTr="5F3E9838">
        <w:tc>
          <w:tcPr>
            <w:tcW w:w="2405" w:type="dxa"/>
          </w:tcPr>
          <w:p w14:paraId="4CE9E4DF" w14:textId="78905329" w:rsidR="00DD74D0" w:rsidRDefault="00DD74D0" w:rsidP="00DD74D0">
            <w:r>
              <w:t>Supplier</w:t>
            </w:r>
          </w:p>
        </w:tc>
        <w:tc>
          <w:tcPr>
            <w:tcW w:w="7223" w:type="dxa"/>
          </w:tcPr>
          <w:p w14:paraId="43FE1C4C" w14:textId="63AD2DF7" w:rsidR="00DD74D0" w:rsidRDefault="008D3CE5" w:rsidP="00DD74D0">
            <w:r w:rsidRPr="008D3CE5">
              <w:t xml:space="preserve">Organisation or an individual that enters into an agreement with the acquirer for the supply of a product or service. This includes all suppliers in the supply chain, developers or manufacturers of </w:t>
            </w:r>
            <w:r w:rsidRPr="008D3CE5">
              <w:lastRenderedPageBreak/>
              <w:t>systems, system components, or system services; systems integrators; suppliers; product resellers; and third-party partners.</w:t>
            </w:r>
          </w:p>
        </w:tc>
      </w:tr>
      <w:tr w:rsidR="00DD74D0" w14:paraId="110390FC" w14:textId="77777777" w:rsidTr="5F3E9838">
        <w:tc>
          <w:tcPr>
            <w:tcW w:w="2405" w:type="dxa"/>
          </w:tcPr>
          <w:p w14:paraId="16E9791B" w14:textId="7294553D" w:rsidR="00DD74D0" w:rsidRDefault="00DD74D0" w:rsidP="00DD74D0">
            <w:r>
              <w:lastRenderedPageBreak/>
              <w:t>User</w:t>
            </w:r>
          </w:p>
        </w:tc>
        <w:tc>
          <w:tcPr>
            <w:tcW w:w="7223" w:type="dxa"/>
          </w:tcPr>
          <w:p w14:paraId="15D7C093" w14:textId="2715A34E" w:rsidR="00DD74D0" w:rsidRDefault="008D3CE5" w:rsidP="00DD74D0">
            <w:r>
              <w:t>A user is a person issued with a unique user ID who is authorised to use a computer system.</w:t>
            </w:r>
          </w:p>
        </w:tc>
      </w:tr>
    </w:tbl>
    <w:p w14:paraId="050CBC20" w14:textId="77777777" w:rsidR="00DD74D0" w:rsidRPr="00DD74D0" w:rsidRDefault="00DD74D0" w:rsidP="00DD74D0"/>
    <w:sectPr w:rsidR="00DD74D0" w:rsidRPr="00DD74D0" w:rsidSect="001C37CA">
      <w:footerReference w:type="default" r:id="rId32"/>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1B7B5" w14:textId="77777777" w:rsidR="002D7022" w:rsidRDefault="002D7022" w:rsidP="00817A32">
      <w:pPr>
        <w:spacing w:before="0" w:after="0" w:line="240" w:lineRule="auto"/>
      </w:pPr>
      <w:r>
        <w:separator/>
      </w:r>
    </w:p>
  </w:endnote>
  <w:endnote w:type="continuationSeparator" w:id="0">
    <w:p w14:paraId="795BEF95" w14:textId="77777777" w:rsidR="002D7022" w:rsidRDefault="002D7022" w:rsidP="00817A32">
      <w:pPr>
        <w:spacing w:before="0" w:after="0" w:line="240" w:lineRule="auto"/>
      </w:pPr>
      <w:r>
        <w:continuationSeparator/>
      </w:r>
    </w:p>
  </w:endnote>
  <w:endnote w:type="continuationNotice" w:id="1">
    <w:p w14:paraId="2F987329" w14:textId="77777777" w:rsidR="002D7022" w:rsidRDefault="002D70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3EBE" w14:textId="129D3068" w:rsidR="00222274" w:rsidRPr="00630DE1" w:rsidRDefault="001C5724"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10029:202</w:t>
    </w:r>
    <w:r w:rsidR="00F04838">
      <w:rPr>
        <w:rFonts w:ascii="Arial" w:eastAsia="Calibri" w:hAnsi="Arial" w:cs="Arial"/>
        <w:noProof/>
        <w:szCs w:val="24"/>
      </w:rPr>
      <w:t>2</w:t>
    </w:r>
    <w:r>
      <w:rPr>
        <w:rFonts w:ascii="Arial" w:eastAsia="Calibri" w:hAnsi="Arial" w:cs="Arial"/>
        <w:noProof/>
        <w:szCs w:val="24"/>
      </w:rPr>
      <w:t xml:space="preserve"> Health Information Security Framework</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1807" w14:textId="77777777" w:rsidR="002D7022" w:rsidRDefault="002D7022" w:rsidP="00817A32">
      <w:pPr>
        <w:spacing w:before="0" w:after="0" w:line="240" w:lineRule="auto"/>
      </w:pPr>
    </w:p>
  </w:footnote>
  <w:footnote w:type="continuationSeparator" w:id="0">
    <w:p w14:paraId="6AB7E40E" w14:textId="77777777" w:rsidR="002D7022" w:rsidRDefault="002D7022" w:rsidP="00817A32">
      <w:pPr>
        <w:spacing w:before="0" w:after="0" w:line="240" w:lineRule="auto"/>
      </w:pPr>
      <w:r>
        <w:continuationSeparator/>
      </w:r>
    </w:p>
  </w:footnote>
  <w:footnote w:type="continuationNotice" w:id="1">
    <w:p w14:paraId="53FDA437" w14:textId="77777777" w:rsidR="002D7022" w:rsidRDefault="002D7022">
      <w:pPr>
        <w:spacing w:before="0" w:after="0" w:line="240" w:lineRule="auto"/>
      </w:pPr>
    </w:p>
  </w:footnote>
  <w:footnote w:id="2">
    <w:p w14:paraId="5A3B472B" w14:textId="77777777" w:rsidR="007A2166" w:rsidRPr="00F823E0" w:rsidRDefault="007A2166" w:rsidP="007A2166">
      <w:pPr>
        <w:pStyle w:val="FootnoteText"/>
        <w:rPr>
          <w:rFonts w:cstheme="minorHAnsi"/>
        </w:rPr>
      </w:pPr>
      <w:r>
        <w:rPr>
          <w:rStyle w:val="FootnoteReference"/>
        </w:rPr>
        <w:footnoteRef/>
      </w:r>
      <w:r>
        <w:t xml:space="preserve"> </w:t>
      </w:r>
      <w:r w:rsidRPr="00F823E0">
        <w:rPr>
          <w:rStyle w:val="FootnoteReference"/>
          <w:rFonts w:cstheme="minorHAnsi"/>
        </w:rPr>
        <w:footnoteRef/>
      </w:r>
      <w:r w:rsidRPr="00F823E0">
        <w:rPr>
          <w:rFonts w:cstheme="minorHAnsi"/>
        </w:rPr>
        <w:t xml:space="preserve"> The New Zealand government defines ‘IN CONFIDENCE’ as information that if released “would be likely to prejudice the maintenance of law and order, impede the effective conduct of government in New Zealand or affect adversely the privacy of its citizens”. Department of Prime Minister and Cabinet, Cabinet Office Circular CO (08) 01 </w:t>
      </w:r>
      <w:hyperlink r:id="rId1" w:history="1">
        <w:r w:rsidRPr="00F823E0">
          <w:rPr>
            <w:rStyle w:val="Hyperlink"/>
            <w:rFonts w:cstheme="minorHAnsi"/>
          </w:rPr>
          <w:t>http://www.dpmc.govt.nz/cabinet/circulars/co08/1</w:t>
        </w:r>
      </w:hyperlink>
    </w:p>
    <w:p w14:paraId="56786F5B" w14:textId="2F262FF0" w:rsidR="007A2166" w:rsidRPr="007A2166" w:rsidRDefault="007A2166" w:rsidP="007A2166">
      <w:pPr>
        <w:pStyle w:val="FootnoteText"/>
        <w:rPr>
          <w:lang w:val="mi-NZ"/>
        </w:rPr>
      </w:pPr>
      <w:r w:rsidRPr="00F823E0">
        <w:rPr>
          <w:rFonts w:cstheme="minorHAnsi"/>
        </w:rPr>
        <w:tab/>
      </w:r>
      <w:r w:rsidRPr="1C369E95">
        <w:t>From a practitioner viewpoint, IN CONFIDENCE mirrors doctor patient confidentiality and means that a person’s health information won’t be disclosed unless consented to or authorised by that person (eg, through a privacy fact sheet), by another authorised person, under statutory authority or by a legal instrument (eg, an Approved Information Sharing Agreement).</w:t>
      </w:r>
    </w:p>
  </w:footnote>
  <w:footnote w:id="3">
    <w:p w14:paraId="7454A4A9" w14:textId="1F2E88DE" w:rsidR="00C45522" w:rsidRDefault="00C45522">
      <w:pPr>
        <w:pStyle w:val="FootnoteText"/>
      </w:pPr>
      <w:r>
        <w:rPr>
          <w:rStyle w:val="FootnoteReference"/>
        </w:rPr>
        <w:footnoteRef/>
      </w:r>
      <w:r>
        <w:t xml:space="preserve"> </w:t>
      </w:r>
      <w:hyperlink r:id="rId2" w:history="1">
        <w:r w:rsidRPr="00335DFE">
          <w:rPr>
            <w:rStyle w:val="Hyperlink"/>
          </w:rPr>
          <w:t>https://www.nist.gov/cyberframework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0497E80"/>
    <w:multiLevelType w:val="hybridMultilevel"/>
    <w:tmpl w:val="721400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AE58B9"/>
    <w:multiLevelType w:val="hybridMultilevel"/>
    <w:tmpl w:val="CDF01D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3"/>
  </w:num>
  <w:num w:numId="6">
    <w:abstractNumId w:val="0"/>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730"/>
    <w:rsid w:val="00000636"/>
    <w:rsid w:val="00000F85"/>
    <w:rsid w:val="00014BB0"/>
    <w:rsid w:val="00016CC0"/>
    <w:rsid w:val="000256AE"/>
    <w:rsid w:val="00025A0E"/>
    <w:rsid w:val="000265A7"/>
    <w:rsid w:val="0003485E"/>
    <w:rsid w:val="00041364"/>
    <w:rsid w:val="000506EF"/>
    <w:rsid w:val="000568AF"/>
    <w:rsid w:val="0006627A"/>
    <w:rsid w:val="000676CA"/>
    <w:rsid w:val="00077730"/>
    <w:rsid w:val="000812F7"/>
    <w:rsid w:val="00087DF1"/>
    <w:rsid w:val="00090137"/>
    <w:rsid w:val="000960F6"/>
    <w:rsid w:val="000A5357"/>
    <w:rsid w:val="000A76A6"/>
    <w:rsid w:val="000B02A8"/>
    <w:rsid w:val="000B4654"/>
    <w:rsid w:val="000B5675"/>
    <w:rsid w:val="000B5F1B"/>
    <w:rsid w:val="000C5A3D"/>
    <w:rsid w:val="000D0501"/>
    <w:rsid w:val="000E6F65"/>
    <w:rsid w:val="000F0991"/>
    <w:rsid w:val="00100817"/>
    <w:rsid w:val="00100EAA"/>
    <w:rsid w:val="00103A2C"/>
    <w:rsid w:val="00103AB8"/>
    <w:rsid w:val="00111A20"/>
    <w:rsid w:val="001266C8"/>
    <w:rsid w:val="0013125A"/>
    <w:rsid w:val="00142FF7"/>
    <w:rsid w:val="00146841"/>
    <w:rsid w:val="00151575"/>
    <w:rsid w:val="00154D0F"/>
    <w:rsid w:val="00156AD9"/>
    <w:rsid w:val="00163051"/>
    <w:rsid w:val="001634E5"/>
    <w:rsid w:val="001641A4"/>
    <w:rsid w:val="00164712"/>
    <w:rsid w:val="0016505E"/>
    <w:rsid w:val="001705ED"/>
    <w:rsid w:val="00173D3E"/>
    <w:rsid w:val="00193930"/>
    <w:rsid w:val="0019756D"/>
    <w:rsid w:val="001A4555"/>
    <w:rsid w:val="001A7AE2"/>
    <w:rsid w:val="001B5367"/>
    <w:rsid w:val="001B7ADA"/>
    <w:rsid w:val="001C129A"/>
    <w:rsid w:val="001C299F"/>
    <w:rsid w:val="001C37CA"/>
    <w:rsid w:val="001C5724"/>
    <w:rsid w:val="001D4603"/>
    <w:rsid w:val="001E4273"/>
    <w:rsid w:val="001E7049"/>
    <w:rsid w:val="001E7F78"/>
    <w:rsid w:val="001E7FA4"/>
    <w:rsid w:val="002166BE"/>
    <w:rsid w:val="00220ACB"/>
    <w:rsid w:val="00222274"/>
    <w:rsid w:val="0023386E"/>
    <w:rsid w:val="0023461A"/>
    <w:rsid w:val="00236403"/>
    <w:rsid w:val="00236676"/>
    <w:rsid w:val="00236A43"/>
    <w:rsid w:val="002438F5"/>
    <w:rsid w:val="0024477B"/>
    <w:rsid w:val="0025033C"/>
    <w:rsid w:val="0025748D"/>
    <w:rsid w:val="0025758E"/>
    <w:rsid w:val="00257AFE"/>
    <w:rsid w:val="0027434F"/>
    <w:rsid w:val="00277098"/>
    <w:rsid w:val="00277C59"/>
    <w:rsid w:val="002829D8"/>
    <w:rsid w:val="00290365"/>
    <w:rsid w:val="00291F3C"/>
    <w:rsid w:val="002A0DD6"/>
    <w:rsid w:val="002A379D"/>
    <w:rsid w:val="002B4083"/>
    <w:rsid w:val="002B65D0"/>
    <w:rsid w:val="002C47D2"/>
    <w:rsid w:val="002D07CE"/>
    <w:rsid w:val="002D7022"/>
    <w:rsid w:val="002D7907"/>
    <w:rsid w:val="002E2D66"/>
    <w:rsid w:val="002E5163"/>
    <w:rsid w:val="002F37D2"/>
    <w:rsid w:val="00301B52"/>
    <w:rsid w:val="00302363"/>
    <w:rsid w:val="00302B67"/>
    <w:rsid w:val="0031285A"/>
    <w:rsid w:val="00332298"/>
    <w:rsid w:val="00332C66"/>
    <w:rsid w:val="00332DA5"/>
    <w:rsid w:val="003332B0"/>
    <w:rsid w:val="00341DFA"/>
    <w:rsid w:val="00344944"/>
    <w:rsid w:val="003572D0"/>
    <w:rsid w:val="00365E05"/>
    <w:rsid w:val="00373B60"/>
    <w:rsid w:val="00377D3F"/>
    <w:rsid w:val="00380556"/>
    <w:rsid w:val="003828BE"/>
    <w:rsid w:val="0039403B"/>
    <w:rsid w:val="003B1502"/>
    <w:rsid w:val="003C340E"/>
    <w:rsid w:val="003D0372"/>
    <w:rsid w:val="003D15AA"/>
    <w:rsid w:val="003D3B94"/>
    <w:rsid w:val="003E35E3"/>
    <w:rsid w:val="003F28F6"/>
    <w:rsid w:val="00407875"/>
    <w:rsid w:val="004133B9"/>
    <w:rsid w:val="004167C8"/>
    <w:rsid w:val="00422623"/>
    <w:rsid w:val="0044229B"/>
    <w:rsid w:val="00442D12"/>
    <w:rsid w:val="00451738"/>
    <w:rsid w:val="004546B5"/>
    <w:rsid w:val="00473391"/>
    <w:rsid w:val="00474F4E"/>
    <w:rsid w:val="004753F0"/>
    <w:rsid w:val="0048129F"/>
    <w:rsid w:val="00486E12"/>
    <w:rsid w:val="00487CAD"/>
    <w:rsid w:val="00492C4D"/>
    <w:rsid w:val="00493335"/>
    <w:rsid w:val="004A1078"/>
    <w:rsid w:val="004A4389"/>
    <w:rsid w:val="004C2E5B"/>
    <w:rsid w:val="004D2D03"/>
    <w:rsid w:val="004D67EB"/>
    <w:rsid w:val="004E5CE9"/>
    <w:rsid w:val="004F0303"/>
    <w:rsid w:val="004F1BE9"/>
    <w:rsid w:val="004F2002"/>
    <w:rsid w:val="004F20E0"/>
    <w:rsid w:val="00502836"/>
    <w:rsid w:val="00517767"/>
    <w:rsid w:val="0052528C"/>
    <w:rsid w:val="005277AB"/>
    <w:rsid w:val="00531C78"/>
    <w:rsid w:val="00533781"/>
    <w:rsid w:val="00536AE4"/>
    <w:rsid w:val="00536FD2"/>
    <w:rsid w:val="0054100C"/>
    <w:rsid w:val="00544A8B"/>
    <w:rsid w:val="005476DD"/>
    <w:rsid w:val="00550AC9"/>
    <w:rsid w:val="005514E2"/>
    <w:rsid w:val="00552A9D"/>
    <w:rsid w:val="005561E4"/>
    <w:rsid w:val="00556FE5"/>
    <w:rsid w:val="00560F08"/>
    <w:rsid w:val="00566F21"/>
    <w:rsid w:val="00572BC2"/>
    <w:rsid w:val="00574582"/>
    <w:rsid w:val="005938BD"/>
    <w:rsid w:val="005A32F9"/>
    <w:rsid w:val="005B0D4D"/>
    <w:rsid w:val="005B0D80"/>
    <w:rsid w:val="005B29EF"/>
    <w:rsid w:val="005B6E95"/>
    <w:rsid w:val="005C45BE"/>
    <w:rsid w:val="005C7A02"/>
    <w:rsid w:val="005D1C07"/>
    <w:rsid w:val="005E2788"/>
    <w:rsid w:val="005F3897"/>
    <w:rsid w:val="005F5F36"/>
    <w:rsid w:val="005F74B5"/>
    <w:rsid w:val="00600405"/>
    <w:rsid w:val="0060372B"/>
    <w:rsid w:val="00603B88"/>
    <w:rsid w:val="00604264"/>
    <w:rsid w:val="006059C1"/>
    <w:rsid w:val="00610664"/>
    <w:rsid w:val="00611137"/>
    <w:rsid w:val="00614A21"/>
    <w:rsid w:val="00617BDA"/>
    <w:rsid w:val="006207C0"/>
    <w:rsid w:val="0062479E"/>
    <w:rsid w:val="0062613A"/>
    <w:rsid w:val="00630DE1"/>
    <w:rsid w:val="006365F1"/>
    <w:rsid w:val="0063765F"/>
    <w:rsid w:val="00642BCE"/>
    <w:rsid w:val="00646CF6"/>
    <w:rsid w:val="006478D7"/>
    <w:rsid w:val="0065108B"/>
    <w:rsid w:val="00661CA0"/>
    <w:rsid w:val="00666606"/>
    <w:rsid w:val="00671341"/>
    <w:rsid w:val="00677557"/>
    <w:rsid w:val="00677EF4"/>
    <w:rsid w:val="00682EB0"/>
    <w:rsid w:val="006842E4"/>
    <w:rsid w:val="00694DA2"/>
    <w:rsid w:val="0069646A"/>
    <w:rsid w:val="00696637"/>
    <w:rsid w:val="006978B4"/>
    <w:rsid w:val="006A22A3"/>
    <w:rsid w:val="006A50BE"/>
    <w:rsid w:val="006A5D74"/>
    <w:rsid w:val="006A7BA8"/>
    <w:rsid w:val="006B22DB"/>
    <w:rsid w:val="006E26B4"/>
    <w:rsid w:val="006E2841"/>
    <w:rsid w:val="006F19C6"/>
    <w:rsid w:val="006F4A39"/>
    <w:rsid w:val="006F5670"/>
    <w:rsid w:val="0071225D"/>
    <w:rsid w:val="00721DED"/>
    <w:rsid w:val="0073247B"/>
    <w:rsid w:val="00743729"/>
    <w:rsid w:val="007439D5"/>
    <w:rsid w:val="0075602A"/>
    <w:rsid w:val="0075743D"/>
    <w:rsid w:val="00757865"/>
    <w:rsid w:val="00762813"/>
    <w:rsid w:val="00764A2B"/>
    <w:rsid w:val="00764B27"/>
    <w:rsid w:val="0076794F"/>
    <w:rsid w:val="0078055A"/>
    <w:rsid w:val="00782705"/>
    <w:rsid w:val="007912F0"/>
    <w:rsid w:val="007A177F"/>
    <w:rsid w:val="007A2166"/>
    <w:rsid w:val="007A2B86"/>
    <w:rsid w:val="007A69A3"/>
    <w:rsid w:val="007B2F00"/>
    <w:rsid w:val="007C2769"/>
    <w:rsid w:val="007C4D89"/>
    <w:rsid w:val="007D2720"/>
    <w:rsid w:val="007E0D78"/>
    <w:rsid w:val="007E2710"/>
    <w:rsid w:val="007E44D6"/>
    <w:rsid w:val="007E6A9C"/>
    <w:rsid w:val="00800BA4"/>
    <w:rsid w:val="0080282D"/>
    <w:rsid w:val="00810C4E"/>
    <w:rsid w:val="00817A32"/>
    <w:rsid w:val="0082415F"/>
    <w:rsid w:val="00826AA3"/>
    <w:rsid w:val="00832CE1"/>
    <w:rsid w:val="00833B91"/>
    <w:rsid w:val="00836AFB"/>
    <w:rsid w:val="00842DD8"/>
    <w:rsid w:val="008430C9"/>
    <w:rsid w:val="0085060D"/>
    <w:rsid w:val="00852A28"/>
    <w:rsid w:val="00860292"/>
    <w:rsid w:val="0086199B"/>
    <w:rsid w:val="00861CBB"/>
    <w:rsid w:val="00862A79"/>
    <w:rsid w:val="008709CE"/>
    <w:rsid w:val="0087795F"/>
    <w:rsid w:val="00877F07"/>
    <w:rsid w:val="00881995"/>
    <w:rsid w:val="00883B86"/>
    <w:rsid w:val="008855D6"/>
    <w:rsid w:val="00886765"/>
    <w:rsid w:val="00887BD3"/>
    <w:rsid w:val="00892E90"/>
    <w:rsid w:val="008945D7"/>
    <w:rsid w:val="00895826"/>
    <w:rsid w:val="008A7F68"/>
    <w:rsid w:val="008B1646"/>
    <w:rsid w:val="008B1F3D"/>
    <w:rsid w:val="008C4C6C"/>
    <w:rsid w:val="008D15C3"/>
    <w:rsid w:val="008D3CE5"/>
    <w:rsid w:val="008D78D9"/>
    <w:rsid w:val="008F33CC"/>
    <w:rsid w:val="00904127"/>
    <w:rsid w:val="009056D0"/>
    <w:rsid w:val="00911A16"/>
    <w:rsid w:val="0092286A"/>
    <w:rsid w:val="009243C7"/>
    <w:rsid w:val="00934365"/>
    <w:rsid w:val="00942B3E"/>
    <w:rsid w:val="00943E72"/>
    <w:rsid w:val="00957A06"/>
    <w:rsid w:val="00967660"/>
    <w:rsid w:val="00980979"/>
    <w:rsid w:val="00982008"/>
    <w:rsid w:val="00984DEA"/>
    <w:rsid w:val="00985988"/>
    <w:rsid w:val="00985EF7"/>
    <w:rsid w:val="00987A8C"/>
    <w:rsid w:val="00997B42"/>
    <w:rsid w:val="009A053F"/>
    <w:rsid w:val="009A3064"/>
    <w:rsid w:val="009B3410"/>
    <w:rsid w:val="009B7159"/>
    <w:rsid w:val="009C155A"/>
    <w:rsid w:val="009C256C"/>
    <w:rsid w:val="009C530F"/>
    <w:rsid w:val="009D143E"/>
    <w:rsid w:val="009F0EB6"/>
    <w:rsid w:val="009F7FE7"/>
    <w:rsid w:val="00A04658"/>
    <w:rsid w:val="00A05BDF"/>
    <w:rsid w:val="00A067F4"/>
    <w:rsid w:val="00A067F5"/>
    <w:rsid w:val="00A506B3"/>
    <w:rsid w:val="00A60634"/>
    <w:rsid w:val="00A61F24"/>
    <w:rsid w:val="00A669AA"/>
    <w:rsid w:val="00A73203"/>
    <w:rsid w:val="00A748AE"/>
    <w:rsid w:val="00A813E8"/>
    <w:rsid w:val="00A86ECF"/>
    <w:rsid w:val="00A870C1"/>
    <w:rsid w:val="00A933E0"/>
    <w:rsid w:val="00A95E2E"/>
    <w:rsid w:val="00A97653"/>
    <w:rsid w:val="00AA0640"/>
    <w:rsid w:val="00AA1CB9"/>
    <w:rsid w:val="00AA723A"/>
    <w:rsid w:val="00AB3849"/>
    <w:rsid w:val="00AB62F8"/>
    <w:rsid w:val="00AC0F22"/>
    <w:rsid w:val="00AC2153"/>
    <w:rsid w:val="00AC4CA7"/>
    <w:rsid w:val="00AD6567"/>
    <w:rsid w:val="00AD7688"/>
    <w:rsid w:val="00AE0B6C"/>
    <w:rsid w:val="00AE4BAD"/>
    <w:rsid w:val="00AE525F"/>
    <w:rsid w:val="00AE7F1C"/>
    <w:rsid w:val="00AF78B8"/>
    <w:rsid w:val="00B045F2"/>
    <w:rsid w:val="00B11475"/>
    <w:rsid w:val="00B11817"/>
    <w:rsid w:val="00B22C43"/>
    <w:rsid w:val="00B2518A"/>
    <w:rsid w:val="00B3390D"/>
    <w:rsid w:val="00B34B7F"/>
    <w:rsid w:val="00B354F5"/>
    <w:rsid w:val="00B37FC1"/>
    <w:rsid w:val="00B506C8"/>
    <w:rsid w:val="00B50799"/>
    <w:rsid w:val="00B5316B"/>
    <w:rsid w:val="00B55EA0"/>
    <w:rsid w:val="00B57584"/>
    <w:rsid w:val="00B63893"/>
    <w:rsid w:val="00B74710"/>
    <w:rsid w:val="00B74EE0"/>
    <w:rsid w:val="00B75F7F"/>
    <w:rsid w:val="00B930C3"/>
    <w:rsid w:val="00B94CD4"/>
    <w:rsid w:val="00B95D11"/>
    <w:rsid w:val="00BA4FD9"/>
    <w:rsid w:val="00BC6C19"/>
    <w:rsid w:val="00BD3AAC"/>
    <w:rsid w:val="00BE34C4"/>
    <w:rsid w:val="00BE7810"/>
    <w:rsid w:val="00C0313E"/>
    <w:rsid w:val="00C033FA"/>
    <w:rsid w:val="00C07175"/>
    <w:rsid w:val="00C26FBC"/>
    <w:rsid w:val="00C31106"/>
    <w:rsid w:val="00C3238D"/>
    <w:rsid w:val="00C33E3F"/>
    <w:rsid w:val="00C45522"/>
    <w:rsid w:val="00C503F4"/>
    <w:rsid w:val="00C547C5"/>
    <w:rsid w:val="00C60451"/>
    <w:rsid w:val="00C6232F"/>
    <w:rsid w:val="00C63197"/>
    <w:rsid w:val="00C655B5"/>
    <w:rsid w:val="00C6632F"/>
    <w:rsid w:val="00C8010F"/>
    <w:rsid w:val="00C86644"/>
    <w:rsid w:val="00C93E7D"/>
    <w:rsid w:val="00CA0FE1"/>
    <w:rsid w:val="00CA35CF"/>
    <w:rsid w:val="00CA3E75"/>
    <w:rsid w:val="00CA4747"/>
    <w:rsid w:val="00CA4EF8"/>
    <w:rsid w:val="00CB38F4"/>
    <w:rsid w:val="00CB3DB0"/>
    <w:rsid w:val="00CD35FE"/>
    <w:rsid w:val="00CD6B7E"/>
    <w:rsid w:val="00CE293B"/>
    <w:rsid w:val="00CE2D94"/>
    <w:rsid w:val="00CE47F9"/>
    <w:rsid w:val="00CE57F7"/>
    <w:rsid w:val="00CF070E"/>
    <w:rsid w:val="00CF1ED1"/>
    <w:rsid w:val="00CF2CF7"/>
    <w:rsid w:val="00CF6189"/>
    <w:rsid w:val="00D03664"/>
    <w:rsid w:val="00D06548"/>
    <w:rsid w:val="00D0703D"/>
    <w:rsid w:val="00D1166A"/>
    <w:rsid w:val="00D22646"/>
    <w:rsid w:val="00D22F6C"/>
    <w:rsid w:val="00D245BF"/>
    <w:rsid w:val="00D35298"/>
    <w:rsid w:val="00D42B5D"/>
    <w:rsid w:val="00D44A02"/>
    <w:rsid w:val="00D468D6"/>
    <w:rsid w:val="00D47EFB"/>
    <w:rsid w:val="00D52E51"/>
    <w:rsid w:val="00D565F0"/>
    <w:rsid w:val="00D604EC"/>
    <w:rsid w:val="00D73014"/>
    <w:rsid w:val="00D852FA"/>
    <w:rsid w:val="00D938E0"/>
    <w:rsid w:val="00D956D6"/>
    <w:rsid w:val="00DB1727"/>
    <w:rsid w:val="00DB3E56"/>
    <w:rsid w:val="00DB6FB7"/>
    <w:rsid w:val="00DC1F45"/>
    <w:rsid w:val="00DC5EC6"/>
    <w:rsid w:val="00DD0C37"/>
    <w:rsid w:val="00DD3111"/>
    <w:rsid w:val="00DD3C42"/>
    <w:rsid w:val="00DD74D0"/>
    <w:rsid w:val="00DE728B"/>
    <w:rsid w:val="00DF19BC"/>
    <w:rsid w:val="00E06CEF"/>
    <w:rsid w:val="00E1470E"/>
    <w:rsid w:val="00E160F2"/>
    <w:rsid w:val="00E1641D"/>
    <w:rsid w:val="00E16860"/>
    <w:rsid w:val="00E16976"/>
    <w:rsid w:val="00E23E78"/>
    <w:rsid w:val="00E25EC6"/>
    <w:rsid w:val="00E34459"/>
    <w:rsid w:val="00E40428"/>
    <w:rsid w:val="00E41945"/>
    <w:rsid w:val="00E439C9"/>
    <w:rsid w:val="00E50898"/>
    <w:rsid w:val="00E53A89"/>
    <w:rsid w:val="00E677B7"/>
    <w:rsid w:val="00E70494"/>
    <w:rsid w:val="00E715EB"/>
    <w:rsid w:val="00E83218"/>
    <w:rsid w:val="00E85D08"/>
    <w:rsid w:val="00E8604D"/>
    <w:rsid w:val="00E866BB"/>
    <w:rsid w:val="00E97024"/>
    <w:rsid w:val="00E97034"/>
    <w:rsid w:val="00EA422B"/>
    <w:rsid w:val="00ED0E3D"/>
    <w:rsid w:val="00ED4008"/>
    <w:rsid w:val="00ED456E"/>
    <w:rsid w:val="00ED63E8"/>
    <w:rsid w:val="00EE72A2"/>
    <w:rsid w:val="00EF5DF8"/>
    <w:rsid w:val="00EF733D"/>
    <w:rsid w:val="00F045EE"/>
    <w:rsid w:val="00F04838"/>
    <w:rsid w:val="00F06AA6"/>
    <w:rsid w:val="00F07A09"/>
    <w:rsid w:val="00F10DE1"/>
    <w:rsid w:val="00F16158"/>
    <w:rsid w:val="00F23677"/>
    <w:rsid w:val="00F24007"/>
    <w:rsid w:val="00F317F2"/>
    <w:rsid w:val="00F40E48"/>
    <w:rsid w:val="00F42B6A"/>
    <w:rsid w:val="00F510CB"/>
    <w:rsid w:val="00F57720"/>
    <w:rsid w:val="00F604F2"/>
    <w:rsid w:val="00F70D0D"/>
    <w:rsid w:val="00F720D4"/>
    <w:rsid w:val="00F7347D"/>
    <w:rsid w:val="00F823E0"/>
    <w:rsid w:val="00F87B7F"/>
    <w:rsid w:val="00F91113"/>
    <w:rsid w:val="00F94D7E"/>
    <w:rsid w:val="00F9793F"/>
    <w:rsid w:val="00FA072B"/>
    <w:rsid w:val="00FA2059"/>
    <w:rsid w:val="00FB298C"/>
    <w:rsid w:val="00FB7E18"/>
    <w:rsid w:val="00FD2D5F"/>
    <w:rsid w:val="00FD487D"/>
    <w:rsid w:val="00FD7A1F"/>
    <w:rsid w:val="00FE11B7"/>
    <w:rsid w:val="00FE2A8C"/>
    <w:rsid w:val="00FE3D4F"/>
    <w:rsid w:val="00FE5D3A"/>
    <w:rsid w:val="00FE5DE7"/>
    <w:rsid w:val="00FE730C"/>
    <w:rsid w:val="00FF0EB9"/>
    <w:rsid w:val="00FF24DD"/>
    <w:rsid w:val="00FF40DB"/>
    <w:rsid w:val="0A776C0D"/>
    <w:rsid w:val="0A91401F"/>
    <w:rsid w:val="0E138900"/>
    <w:rsid w:val="0F17EF8E"/>
    <w:rsid w:val="0F3F10D1"/>
    <w:rsid w:val="138CFC10"/>
    <w:rsid w:val="147719B5"/>
    <w:rsid w:val="15669987"/>
    <w:rsid w:val="1C2B3301"/>
    <w:rsid w:val="1C369E95"/>
    <w:rsid w:val="1DCB28B3"/>
    <w:rsid w:val="22FFF05D"/>
    <w:rsid w:val="27C38B97"/>
    <w:rsid w:val="27E821BC"/>
    <w:rsid w:val="29485412"/>
    <w:rsid w:val="2A6A684A"/>
    <w:rsid w:val="2AFEE9F6"/>
    <w:rsid w:val="2B7E1708"/>
    <w:rsid w:val="2E608D18"/>
    <w:rsid w:val="2EE7AA12"/>
    <w:rsid w:val="32970641"/>
    <w:rsid w:val="36D6A4E5"/>
    <w:rsid w:val="3856190D"/>
    <w:rsid w:val="387CBF0E"/>
    <w:rsid w:val="3911012B"/>
    <w:rsid w:val="39F61F54"/>
    <w:rsid w:val="3AFE1590"/>
    <w:rsid w:val="3CD37C95"/>
    <w:rsid w:val="40043777"/>
    <w:rsid w:val="41C517D6"/>
    <w:rsid w:val="42ECA430"/>
    <w:rsid w:val="48B44849"/>
    <w:rsid w:val="4AA04B6D"/>
    <w:rsid w:val="5691F909"/>
    <w:rsid w:val="56BC7C22"/>
    <w:rsid w:val="57C25DD9"/>
    <w:rsid w:val="58DF2833"/>
    <w:rsid w:val="5ECFC9EC"/>
    <w:rsid w:val="5F3E9838"/>
    <w:rsid w:val="60BF0B90"/>
    <w:rsid w:val="61237D30"/>
    <w:rsid w:val="6AFC6875"/>
    <w:rsid w:val="6CDE044D"/>
    <w:rsid w:val="7005607B"/>
    <w:rsid w:val="70F7E787"/>
    <w:rsid w:val="717C6A61"/>
    <w:rsid w:val="732FE079"/>
    <w:rsid w:val="7335ED55"/>
    <w:rsid w:val="75942B6C"/>
    <w:rsid w:val="77D1FBE6"/>
    <w:rsid w:val="78B1BDFC"/>
    <w:rsid w:val="79D1B43F"/>
    <w:rsid w:val="7A20225E"/>
    <w:rsid w:val="7A98F952"/>
    <w:rsid w:val="7AE8E08C"/>
    <w:rsid w:val="7EEBC8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E3C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3CC"/>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4F20E0"/>
    <w:pPr>
      <w:pageBreakBefore/>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8A7F68"/>
    <w:pPr>
      <w:tabs>
        <w:tab w:val="left" w:pos="480"/>
        <w:tab w:val="right" w:pos="9628"/>
      </w:tabs>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aption">
    <w:name w:val="caption"/>
    <w:basedOn w:val="Normal"/>
    <w:next w:val="Normal"/>
    <w:uiPriority w:val="35"/>
    <w:unhideWhenUsed/>
    <w:qFormat/>
    <w:rsid w:val="00C45522"/>
    <w:pPr>
      <w:spacing w:after="200" w:line="240" w:lineRule="auto"/>
    </w:pPr>
    <w:rPr>
      <w:i/>
      <w:iCs/>
      <w:color w:val="000000" w:themeColor="text1"/>
      <w:sz w:val="18"/>
      <w:szCs w:val="18"/>
    </w:rPr>
  </w:style>
  <w:style w:type="paragraph" w:styleId="TableofFigures">
    <w:name w:val="table of figures"/>
    <w:basedOn w:val="Normal"/>
    <w:next w:val="Normal"/>
    <w:uiPriority w:val="99"/>
    <w:unhideWhenUsed/>
    <w:rsid w:val="008F33CC"/>
    <w:pPr>
      <w:spacing w:after="0"/>
    </w:pPr>
  </w:style>
  <w:style w:type="paragraph" w:styleId="ListParagraph">
    <w:name w:val="List Paragraph"/>
    <w:basedOn w:val="Normal"/>
    <w:uiPriority w:val="34"/>
    <w:semiHidden/>
    <w:qFormat/>
    <w:rsid w:val="00E23E78"/>
    <w:pPr>
      <w:ind w:left="720"/>
      <w:contextualSpacing/>
    </w:pPr>
  </w:style>
  <w:style w:type="character" w:styleId="PlaceholderText">
    <w:name w:val="Placeholder Text"/>
    <w:basedOn w:val="DefaultParagraphFont"/>
    <w:uiPriority w:val="99"/>
    <w:semiHidden/>
    <w:rsid w:val="00193930"/>
    <w:rPr>
      <w:color w:val="808080"/>
    </w:rPr>
  </w:style>
  <w:style w:type="character" w:customStyle="1" w:styleId="ui-provider">
    <w:name w:val="ui-provider"/>
    <w:basedOn w:val="DefaultParagraphFont"/>
    <w:rsid w:val="00A933E0"/>
  </w:style>
  <w:style w:type="character" w:styleId="CommentReference">
    <w:name w:val="annotation reference"/>
    <w:basedOn w:val="DefaultParagraphFont"/>
    <w:uiPriority w:val="99"/>
    <w:semiHidden/>
    <w:unhideWhenUsed/>
    <w:rsid w:val="00B5316B"/>
    <w:rPr>
      <w:sz w:val="16"/>
      <w:szCs w:val="16"/>
    </w:rPr>
  </w:style>
  <w:style w:type="paragraph" w:styleId="CommentText">
    <w:name w:val="annotation text"/>
    <w:basedOn w:val="Normal"/>
    <w:link w:val="CommentTextChar"/>
    <w:uiPriority w:val="99"/>
    <w:semiHidden/>
    <w:unhideWhenUsed/>
    <w:rsid w:val="00B5316B"/>
    <w:pPr>
      <w:spacing w:line="240" w:lineRule="auto"/>
    </w:pPr>
    <w:rPr>
      <w:sz w:val="20"/>
      <w:szCs w:val="20"/>
    </w:rPr>
  </w:style>
  <w:style w:type="character" w:customStyle="1" w:styleId="CommentTextChar">
    <w:name w:val="Comment Text Char"/>
    <w:basedOn w:val="DefaultParagraphFont"/>
    <w:link w:val="CommentText"/>
    <w:uiPriority w:val="99"/>
    <w:semiHidden/>
    <w:rsid w:val="00B5316B"/>
    <w:rPr>
      <w:sz w:val="20"/>
      <w:szCs w:val="20"/>
    </w:rPr>
  </w:style>
  <w:style w:type="paragraph" w:styleId="CommentSubject">
    <w:name w:val="annotation subject"/>
    <w:basedOn w:val="CommentText"/>
    <w:next w:val="CommentText"/>
    <w:link w:val="CommentSubjectChar"/>
    <w:uiPriority w:val="99"/>
    <w:semiHidden/>
    <w:unhideWhenUsed/>
    <w:rsid w:val="00B5316B"/>
    <w:rPr>
      <w:b/>
      <w:bCs/>
    </w:rPr>
  </w:style>
  <w:style w:type="character" w:customStyle="1" w:styleId="CommentSubjectChar">
    <w:name w:val="Comment Subject Char"/>
    <w:basedOn w:val="CommentTextChar"/>
    <w:link w:val="CommentSubject"/>
    <w:uiPriority w:val="99"/>
    <w:semiHidden/>
    <w:rsid w:val="00B5316B"/>
    <w:rPr>
      <w:b/>
      <w:bCs/>
      <w:sz w:val="20"/>
      <w:szCs w:val="20"/>
    </w:rPr>
  </w:style>
  <w:style w:type="paragraph" w:styleId="Revision">
    <w:name w:val="Revision"/>
    <w:hidden/>
    <w:uiPriority w:val="99"/>
    <w:semiHidden/>
    <w:rsid w:val="0071225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0140">
      <w:bodyDiv w:val="1"/>
      <w:marLeft w:val="0"/>
      <w:marRight w:val="0"/>
      <w:marTop w:val="0"/>
      <w:marBottom w:val="0"/>
      <w:divBdr>
        <w:top w:val="none" w:sz="0" w:space="0" w:color="auto"/>
        <w:left w:val="none" w:sz="0" w:space="0" w:color="auto"/>
        <w:bottom w:val="none" w:sz="0" w:space="0" w:color="auto"/>
        <w:right w:val="none" w:sz="0" w:space="0" w:color="auto"/>
      </w:divBdr>
    </w:div>
    <w:div w:id="178789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whatuora.govt.nz/" TargetMode="External"/><Relationship Id="rId18" Type="http://schemas.openxmlformats.org/officeDocument/2006/relationships/image" Target="media/image9.png"/><Relationship Id="rId26" Type="http://schemas.openxmlformats.org/officeDocument/2006/relationships/hyperlink" Target="https://www.iso.org/standard/62777.html" TargetMode="External"/><Relationship Id="rId3" Type="http://schemas.openxmlformats.org/officeDocument/2006/relationships/styles" Target="styles.xml"/><Relationship Id="rId21" Type="http://schemas.openxmlformats.org/officeDocument/2006/relationships/hyperlink" Target="https://www.cert.govt.nz/it-specialists/critical-controls/10-critical-control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iso.org/standard/75652.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isecurity.org/controls/v8" TargetMode="External"/><Relationship Id="rId29" Type="http://schemas.openxmlformats.org/officeDocument/2006/relationships/hyperlink" Target="https://www.securecontrolsframewor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so.org/isoiec-27001-information-security.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ivacy.org.nz/privacy-act-2020/codes-of-practice/hipc2020/" TargetMode="External"/><Relationship Id="rId23" Type="http://schemas.openxmlformats.org/officeDocument/2006/relationships/hyperlink" Target="https://www.cdc.gov/phlp/publications/topic/hipaa.html" TargetMode="External"/><Relationship Id="rId28" Type="http://schemas.openxmlformats.org/officeDocument/2006/relationships/hyperlink" Target="https://www.protectivesecurity.govt.nz/"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nist.gov/cyber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loudsecurityalliance.org/research/cloud-controls-matrix/" TargetMode="External"/><Relationship Id="rId27" Type="http://schemas.openxmlformats.org/officeDocument/2006/relationships/hyperlink" Target="https://www.nzism.gcsb.govt.nz/ism-document/" TargetMode="External"/><Relationship Id="rId30" Type="http://schemas.openxmlformats.org/officeDocument/2006/relationships/hyperlink" Target="https://www.dsptoolkit.nhs.uk/New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ist.gov/cyberframework" TargetMode="External"/><Relationship Id="rId1" Type="http://schemas.openxmlformats.org/officeDocument/2006/relationships/hyperlink" Target="http://www.dpmc.govt.nz/cabinet/circulars/co08/1"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4550</Words>
  <Characters>25936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2023-04-30T21:52:00Z</dcterms:created>
  <dcterms:modified xsi:type="dcterms:W3CDTF">2023-04-30T21:53:00Z</dcterms:modified>
</cp:coreProperties>
</file>