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2481" w14:textId="24DE750E" w:rsidR="00043011" w:rsidRDefault="21CE8470" w:rsidP="0EC81CE9">
      <w:pPr>
        <w:rPr>
          <w:rFonts w:ascii="Arial" w:hAnsi="Arial" w:cs="Arial"/>
          <w:b/>
          <w:bCs/>
          <w:color w:val="15284C"/>
          <w:sz w:val="44"/>
          <w:szCs w:val="44"/>
        </w:rPr>
      </w:pPr>
      <w:r w:rsidRPr="00043011">
        <w:rPr>
          <w:rFonts w:ascii="Arial" w:hAnsi="Arial" w:cs="Arial"/>
          <w:b/>
          <w:bCs/>
          <w:color w:val="15284C"/>
          <w:sz w:val="44"/>
          <w:szCs w:val="44"/>
        </w:rPr>
        <w:t>D</w:t>
      </w:r>
      <w:r w:rsidR="35F34105" w:rsidRPr="00043011">
        <w:rPr>
          <w:rFonts w:ascii="Arial" w:hAnsi="Arial" w:cs="Arial"/>
          <w:b/>
          <w:bCs/>
          <w:color w:val="15284C"/>
          <w:sz w:val="44"/>
          <w:szCs w:val="44"/>
        </w:rPr>
        <w:t>ata sheet</w:t>
      </w:r>
    </w:p>
    <w:p w14:paraId="092862AE" w14:textId="20A0D7D2" w:rsidR="5DC93234" w:rsidRPr="00B070CC" w:rsidRDefault="00043011" w:rsidP="0EC81CE9">
      <w:pPr>
        <w:rPr>
          <w:rFonts w:ascii="Arial" w:hAnsi="Arial" w:cs="Arial"/>
          <w:b/>
          <w:bCs/>
          <w:color w:val="15284C"/>
          <w:sz w:val="28"/>
          <w:szCs w:val="28"/>
        </w:rPr>
      </w:pPr>
      <w:r w:rsidRPr="00B070CC">
        <w:rPr>
          <w:rFonts w:ascii="Arial" w:hAnsi="Arial" w:cs="Arial"/>
          <w:b/>
          <w:bCs/>
          <w:color w:val="15284C"/>
          <w:sz w:val="28"/>
          <w:szCs w:val="28"/>
        </w:rPr>
        <w:t>U</w:t>
      </w:r>
      <w:r w:rsidR="35F34105" w:rsidRPr="00B070CC">
        <w:rPr>
          <w:rFonts w:ascii="Arial" w:hAnsi="Arial" w:cs="Arial"/>
          <w:b/>
          <w:bCs/>
          <w:color w:val="15284C"/>
          <w:sz w:val="28"/>
          <w:szCs w:val="28"/>
        </w:rPr>
        <w:t>pdate to HISF Guidance for Suppliers</w:t>
      </w:r>
    </w:p>
    <w:p w14:paraId="28D71E72" w14:textId="32F4E84D" w:rsidR="4343960D" w:rsidRPr="00965D1A" w:rsidRDefault="4343960D" w:rsidP="0EC81CE9">
      <w:pPr>
        <w:rPr>
          <w:rFonts w:ascii="Arial" w:hAnsi="Arial" w:cs="Arial"/>
          <w:sz w:val="22"/>
          <w:szCs w:val="22"/>
        </w:rPr>
      </w:pPr>
      <w:r w:rsidRPr="00965D1A">
        <w:rPr>
          <w:rFonts w:ascii="Arial" w:hAnsi="Arial" w:cs="Arial"/>
          <w:sz w:val="22"/>
          <w:szCs w:val="22"/>
        </w:rPr>
        <w:t xml:space="preserve">This </w:t>
      </w:r>
      <w:r w:rsidRPr="0040556B">
        <w:rPr>
          <w:rFonts w:ascii="Arial" w:hAnsi="Arial" w:cs="Arial"/>
          <w:sz w:val="22"/>
          <w:szCs w:val="22"/>
        </w:rPr>
        <w:t>datasheet outlines the alterations made in the</w:t>
      </w:r>
      <w:r w:rsidR="53A74ADF" w:rsidRPr="0040556B">
        <w:rPr>
          <w:rFonts w:ascii="Arial" w:hAnsi="Arial" w:cs="Arial"/>
          <w:sz w:val="22"/>
          <w:szCs w:val="22"/>
        </w:rPr>
        <w:t xml:space="preserve"> updated</w:t>
      </w:r>
      <w:r w:rsidRPr="0040556B">
        <w:rPr>
          <w:rFonts w:ascii="Arial" w:hAnsi="Arial" w:cs="Arial"/>
          <w:sz w:val="22"/>
          <w:szCs w:val="22"/>
        </w:rPr>
        <w:t xml:space="preserve"> 2025 re</w:t>
      </w:r>
      <w:r w:rsidR="63554429" w:rsidRPr="0040556B">
        <w:rPr>
          <w:rFonts w:ascii="Arial" w:hAnsi="Arial" w:cs="Arial"/>
          <w:sz w:val="22"/>
          <w:szCs w:val="22"/>
        </w:rPr>
        <w:t xml:space="preserve">lease of the </w:t>
      </w:r>
      <w:hyperlink r:id="rId11">
        <w:r w:rsidR="63554429" w:rsidRPr="0040556B">
          <w:rPr>
            <w:rStyle w:val="Hyperlink"/>
            <w:rFonts w:ascii="Arial" w:hAnsi="Arial" w:cs="Arial"/>
            <w:color w:val="auto"/>
            <w:sz w:val="22"/>
            <w:szCs w:val="22"/>
          </w:rPr>
          <w:t>HISO 10029</w:t>
        </w:r>
        <w:r w:rsidR="2135BEF0" w:rsidRPr="0040556B">
          <w:rPr>
            <w:rStyle w:val="Hyperlink"/>
            <w:rFonts w:ascii="Arial" w:hAnsi="Arial" w:cs="Arial"/>
            <w:color w:val="auto"/>
            <w:sz w:val="22"/>
            <w:szCs w:val="22"/>
          </w:rPr>
          <w:t>.</w:t>
        </w:r>
        <w:r w:rsidR="63554429" w:rsidRPr="0040556B">
          <w:rPr>
            <w:rStyle w:val="Hyperlink"/>
            <w:rFonts w:ascii="Arial" w:hAnsi="Arial" w:cs="Arial"/>
            <w:color w:val="auto"/>
            <w:sz w:val="22"/>
            <w:szCs w:val="22"/>
          </w:rPr>
          <w:t>4:2023 HISF Guidance for Suppliers</w:t>
        </w:r>
      </w:hyperlink>
      <w:r w:rsidR="63554429" w:rsidRPr="0040556B">
        <w:rPr>
          <w:rFonts w:ascii="Arial" w:hAnsi="Arial" w:cs="Arial"/>
          <w:sz w:val="22"/>
          <w:szCs w:val="22"/>
        </w:rPr>
        <w:t>.</w:t>
      </w:r>
    </w:p>
    <w:tbl>
      <w:tblPr>
        <w:tblStyle w:val="TableGrid"/>
        <w:tblW w:w="9070" w:type="dxa"/>
        <w:tblLayout w:type="fixed"/>
        <w:tblLook w:val="06A0" w:firstRow="1" w:lastRow="0" w:firstColumn="1" w:lastColumn="0" w:noHBand="1" w:noVBand="1"/>
      </w:tblPr>
      <w:tblGrid>
        <w:gridCol w:w="4535"/>
        <w:gridCol w:w="4535"/>
      </w:tblGrid>
      <w:tr w:rsidR="5DC93234" w:rsidRPr="00965D1A" w14:paraId="78F56F95" w14:textId="77777777" w:rsidTr="00635884">
        <w:trPr>
          <w:trHeight w:val="501"/>
        </w:trPr>
        <w:tc>
          <w:tcPr>
            <w:tcW w:w="4535" w:type="dxa"/>
            <w:tcBorders>
              <w:top w:val="single" w:sz="4" w:space="0" w:color="156082" w:themeColor="accent1"/>
              <w:left w:val="nil"/>
              <w:bottom w:val="single" w:sz="4" w:space="0" w:color="156082" w:themeColor="accent1"/>
              <w:right w:val="single" w:sz="4" w:space="0" w:color="A5C9EB" w:themeColor="text2" w:themeTint="40"/>
            </w:tcBorders>
            <w:shd w:val="clear" w:color="auto" w:fill="F2F2F2" w:themeFill="background1" w:themeFillShade="F2"/>
            <w:vAlign w:val="center"/>
          </w:tcPr>
          <w:p w14:paraId="4B921825" w14:textId="0B14E8BB" w:rsidR="0068D737" w:rsidRPr="00965D1A" w:rsidRDefault="0068D737" w:rsidP="00635884">
            <w:pPr>
              <w:rPr>
                <w:rFonts w:ascii="Arial" w:hAnsi="Arial" w:cs="Arial"/>
                <w:b/>
                <w:bCs/>
                <w:sz w:val="22"/>
                <w:szCs w:val="22"/>
              </w:rPr>
            </w:pPr>
            <w:r w:rsidRPr="00965D1A">
              <w:rPr>
                <w:rFonts w:ascii="Arial" w:hAnsi="Arial" w:cs="Arial"/>
                <w:b/>
                <w:bCs/>
                <w:sz w:val="22"/>
                <w:szCs w:val="22"/>
              </w:rPr>
              <w:t>Section/</w:t>
            </w:r>
            <w:r w:rsidR="729FE700" w:rsidRPr="00965D1A">
              <w:rPr>
                <w:rFonts w:ascii="Arial" w:hAnsi="Arial" w:cs="Arial"/>
                <w:b/>
                <w:bCs/>
                <w:sz w:val="22"/>
                <w:szCs w:val="22"/>
              </w:rPr>
              <w:t>Requirement</w:t>
            </w:r>
            <w:r w:rsidR="63F12345" w:rsidRPr="00965D1A">
              <w:rPr>
                <w:rFonts w:ascii="Arial" w:hAnsi="Arial" w:cs="Arial"/>
                <w:b/>
                <w:bCs/>
                <w:sz w:val="22"/>
                <w:szCs w:val="22"/>
              </w:rPr>
              <w:t xml:space="preserve"> of HISF document</w:t>
            </w:r>
          </w:p>
        </w:tc>
        <w:tc>
          <w:tcPr>
            <w:tcW w:w="4535" w:type="dxa"/>
            <w:tcBorders>
              <w:top w:val="single" w:sz="4" w:space="0" w:color="156082" w:themeColor="accent1"/>
              <w:left w:val="single" w:sz="4" w:space="0" w:color="A5C9EB" w:themeColor="text2" w:themeTint="40"/>
              <w:bottom w:val="single" w:sz="4" w:space="0" w:color="156082" w:themeColor="accent1"/>
              <w:right w:val="nil"/>
            </w:tcBorders>
            <w:shd w:val="clear" w:color="auto" w:fill="F2F2F2" w:themeFill="background1" w:themeFillShade="F2"/>
            <w:vAlign w:val="center"/>
          </w:tcPr>
          <w:p w14:paraId="7C953488" w14:textId="4AD1C4FB" w:rsidR="0068D737" w:rsidRPr="00965D1A" w:rsidRDefault="0068D737" w:rsidP="00635884">
            <w:pPr>
              <w:rPr>
                <w:rFonts w:ascii="Arial" w:hAnsi="Arial" w:cs="Arial"/>
                <w:b/>
                <w:bCs/>
                <w:sz w:val="22"/>
                <w:szCs w:val="22"/>
              </w:rPr>
            </w:pPr>
            <w:r w:rsidRPr="00965D1A">
              <w:rPr>
                <w:rFonts w:ascii="Arial" w:hAnsi="Arial" w:cs="Arial"/>
                <w:b/>
                <w:bCs/>
                <w:sz w:val="22"/>
                <w:szCs w:val="22"/>
              </w:rPr>
              <w:t>Update</w:t>
            </w:r>
          </w:p>
        </w:tc>
      </w:tr>
      <w:tr w:rsidR="0EC81CE9" w:rsidRPr="00965D1A" w14:paraId="5D2D5A33" w14:textId="77777777" w:rsidTr="00455A8F">
        <w:trPr>
          <w:trHeight w:val="847"/>
        </w:trPr>
        <w:tc>
          <w:tcPr>
            <w:tcW w:w="4535" w:type="dxa"/>
            <w:tcBorders>
              <w:top w:val="single" w:sz="4" w:space="0" w:color="156082" w:themeColor="accent1"/>
              <w:left w:val="nil"/>
              <w:bottom w:val="single" w:sz="4" w:space="0" w:color="A5C9EB" w:themeColor="text2" w:themeTint="40"/>
              <w:right w:val="single" w:sz="4" w:space="0" w:color="A5C9EB" w:themeColor="text2" w:themeTint="40"/>
            </w:tcBorders>
            <w:vAlign w:val="center"/>
          </w:tcPr>
          <w:p w14:paraId="126B6490" w14:textId="6DC2D31F" w:rsidR="0068D737" w:rsidRPr="00965D1A" w:rsidRDefault="0068D737" w:rsidP="00455A8F">
            <w:pPr>
              <w:rPr>
                <w:rFonts w:ascii="Arial" w:hAnsi="Arial" w:cs="Arial"/>
                <w:sz w:val="22"/>
                <w:szCs w:val="22"/>
              </w:rPr>
            </w:pPr>
            <w:r w:rsidRPr="00965D1A">
              <w:rPr>
                <w:rFonts w:ascii="Arial" w:hAnsi="Arial" w:cs="Arial"/>
                <w:sz w:val="22"/>
                <w:szCs w:val="22"/>
              </w:rPr>
              <w:t>Purpose</w:t>
            </w:r>
          </w:p>
        </w:tc>
        <w:tc>
          <w:tcPr>
            <w:tcW w:w="4535" w:type="dxa"/>
            <w:tcBorders>
              <w:top w:val="single" w:sz="4" w:space="0" w:color="156082" w:themeColor="accent1"/>
              <w:left w:val="single" w:sz="4" w:space="0" w:color="A5C9EB" w:themeColor="text2" w:themeTint="40"/>
              <w:bottom w:val="single" w:sz="4" w:space="0" w:color="A5C9EB" w:themeColor="text2" w:themeTint="40"/>
              <w:right w:val="nil"/>
            </w:tcBorders>
            <w:vAlign w:val="center"/>
          </w:tcPr>
          <w:p w14:paraId="01277AB3" w14:textId="57F48F37" w:rsidR="14D029DB" w:rsidRPr="00965D1A" w:rsidRDefault="14D029DB" w:rsidP="00455A8F">
            <w:pPr>
              <w:rPr>
                <w:rFonts w:ascii="Arial" w:hAnsi="Arial" w:cs="Arial"/>
                <w:sz w:val="22"/>
                <w:szCs w:val="22"/>
              </w:rPr>
            </w:pPr>
            <w:r w:rsidRPr="00965D1A">
              <w:rPr>
                <w:rFonts w:ascii="Arial" w:hAnsi="Arial" w:cs="Arial"/>
                <w:sz w:val="22"/>
                <w:szCs w:val="22"/>
              </w:rPr>
              <w:t xml:space="preserve">Definition of suppliers was enhanced to include a broader aspect of the health sector. </w:t>
            </w:r>
          </w:p>
        </w:tc>
      </w:tr>
      <w:tr w:rsidR="5DC93234" w:rsidRPr="00965D1A" w14:paraId="42E5F7E4" w14:textId="77777777" w:rsidTr="00455A8F">
        <w:trPr>
          <w:trHeight w:val="646"/>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4B3D9B51" w14:textId="521E3DEA" w:rsidR="5DC93234" w:rsidRPr="00965D1A" w:rsidRDefault="0068D737" w:rsidP="00455A8F">
            <w:pPr>
              <w:rPr>
                <w:rFonts w:ascii="Arial" w:hAnsi="Arial" w:cs="Arial"/>
                <w:sz w:val="22"/>
                <w:szCs w:val="22"/>
              </w:rPr>
            </w:pPr>
            <w:r w:rsidRPr="00965D1A">
              <w:rPr>
                <w:rFonts w:ascii="Arial" w:hAnsi="Arial" w:cs="Arial"/>
                <w:sz w:val="22"/>
                <w:szCs w:val="22"/>
              </w:rPr>
              <w:t>Purpose</w:t>
            </w: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4E1B43B6" w14:textId="19B734BD" w:rsidR="5DC93234" w:rsidRPr="00965D1A" w:rsidRDefault="0068D737" w:rsidP="00455A8F">
            <w:pPr>
              <w:rPr>
                <w:rFonts w:ascii="Arial" w:hAnsi="Arial" w:cs="Arial"/>
                <w:sz w:val="22"/>
                <w:szCs w:val="22"/>
              </w:rPr>
            </w:pPr>
            <w:r w:rsidRPr="00965D1A">
              <w:rPr>
                <w:rFonts w:ascii="Arial" w:hAnsi="Arial" w:cs="Arial"/>
                <w:sz w:val="22"/>
                <w:szCs w:val="22"/>
              </w:rPr>
              <w:t>Reference to Secure Control Framework (SCF) and links</w:t>
            </w:r>
            <w:r w:rsidR="13872FE1" w:rsidRPr="00965D1A">
              <w:rPr>
                <w:rFonts w:ascii="Arial" w:hAnsi="Arial" w:cs="Arial"/>
                <w:sz w:val="22"/>
                <w:szCs w:val="22"/>
              </w:rPr>
              <w:t xml:space="preserve"> were added.</w:t>
            </w:r>
          </w:p>
        </w:tc>
      </w:tr>
      <w:tr w:rsidR="5DC93234" w:rsidRPr="00965D1A" w14:paraId="20E24C36" w14:textId="77777777" w:rsidTr="00455A8F">
        <w:trPr>
          <w:trHeight w:val="2599"/>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06944B98" w14:textId="51026396" w:rsidR="5DC93234" w:rsidRPr="00965D1A" w:rsidRDefault="6EE7380E" w:rsidP="00455A8F">
            <w:pPr>
              <w:rPr>
                <w:rFonts w:ascii="Arial" w:hAnsi="Arial" w:cs="Arial"/>
                <w:color w:val="000000" w:themeColor="text1"/>
                <w:sz w:val="22"/>
                <w:szCs w:val="22"/>
              </w:rPr>
            </w:pPr>
            <w:r w:rsidRPr="00965D1A">
              <w:rPr>
                <w:rFonts w:ascii="Arial" w:hAnsi="Arial" w:cs="Arial"/>
                <w:sz w:val="22"/>
                <w:szCs w:val="22"/>
              </w:rPr>
              <w:t xml:space="preserve">HSUP08:  </w:t>
            </w:r>
            <w:r w:rsidRPr="00965D1A">
              <w:rPr>
                <w:rFonts w:ascii="Arial" w:hAnsi="Arial" w:cs="Arial"/>
                <w:color w:val="000000" w:themeColor="text1"/>
                <w:sz w:val="22"/>
                <w:szCs w:val="22"/>
              </w:rPr>
              <w:t xml:space="preserve">Organisations have documented, approved, business continuity and disaster recovery management, operational resilience policies and procedures in place. </w:t>
            </w:r>
          </w:p>
          <w:p w14:paraId="20F07F26" w14:textId="1CA2764D" w:rsidR="5DC93234" w:rsidRPr="00965D1A" w:rsidRDefault="6EE7380E" w:rsidP="00455A8F">
            <w:pPr>
              <w:rPr>
                <w:rFonts w:ascii="Arial" w:hAnsi="Arial" w:cs="Arial"/>
                <w:sz w:val="22"/>
                <w:szCs w:val="22"/>
              </w:rPr>
            </w:pPr>
            <w:r w:rsidRPr="00965D1A">
              <w:rPr>
                <w:rFonts w:ascii="Arial" w:hAnsi="Arial" w:cs="Arial"/>
                <w:sz w:val="22"/>
                <w:szCs w:val="22"/>
              </w:rPr>
              <w:t xml:space="preserve"> </w:t>
            </w:r>
          </w:p>
          <w:p w14:paraId="275D5F6E" w14:textId="4CC50B88" w:rsidR="00455A8F" w:rsidRPr="00965D1A" w:rsidRDefault="7E137B6F" w:rsidP="00455A8F">
            <w:pPr>
              <w:rPr>
                <w:rFonts w:ascii="Arial" w:hAnsi="Arial" w:cs="Arial"/>
                <w:sz w:val="22"/>
                <w:szCs w:val="22"/>
              </w:rPr>
            </w:pPr>
            <w:r w:rsidRPr="00965D1A">
              <w:rPr>
                <w:rFonts w:ascii="Arial" w:hAnsi="Arial" w:cs="Arial"/>
                <w:sz w:val="22"/>
                <w:szCs w:val="22"/>
              </w:rPr>
              <w:t xml:space="preserve">HSUP31: In the event of a disruption or failure, critical information or services are identified, and measures are taken for the continuity of services.  </w:t>
            </w: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63DF46ED" w14:textId="3AC9B530" w:rsidR="5DC93234" w:rsidRPr="00965D1A" w:rsidRDefault="6EE7380E" w:rsidP="00455A8F">
            <w:pPr>
              <w:rPr>
                <w:rFonts w:ascii="Arial" w:hAnsi="Arial" w:cs="Arial"/>
                <w:sz w:val="22"/>
                <w:szCs w:val="22"/>
              </w:rPr>
            </w:pPr>
            <w:r w:rsidRPr="00965D1A">
              <w:rPr>
                <w:rFonts w:ascii="Arial" w:hAnsi="Arial" w:cs="Arial"/>
                <w:sz w:val="22"/>
                <w:szCs w:val="22"/>
              </w:rPr>
              <w:t xml:space="preserve">Added </w:t>
            </w:r>
            <w:r w:rsidR="4253EE6D" w:rsidRPr="00965D1A">
              <w:rPr>
                <w:rFonts w:ascii="Arial" w:hAnsi="Arial" w:cs="Arial"/>
                <w:sz w:val="22"/>
                <w:szCs w:val="22"/>
              </w:rPr>
              <w:t xml:space="preserve">more details </w:t>
            </w:r>
            <w:r w:rsidRPr="00965D1A">
              <w:rPr>
                <w:rFonts w:ascii="Arial" w:hAnsi="Arial" w:cs="Arial"/>
                <w:sz w:val="22"/>
                <w:szCs w:val="22"/>
              </w:rPr>
              <w:t>relating to Service Level Agreements (SLAs)</w:t>
            </w:r>
          </w:p>
        </w:tc>
      </w:tr>
      <w:tr w:rsidR="5DC93234" w:rsidRPr="00965D1A" w14:paraId="3BF753B4" w14:textId="77777777" w:rsidTr="00455A8F">
        <w:trPr>
          <w:trHeight w:val="1673"/>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7C106C26" w14:textId="23D734B0" w:rsidR="5DC93234" w:rsidRPr="00965D1A" w:rsidRDefault="032D193E" w:rsidP="00455A8F">
            <w:pPr>
              <w:spacing w:line="276" w:lineRule="auto"/>
              <w:rPr>
                <w:rFonts w:ascii="Arial" w:hAnsi="Arial" w:cs="Arial"/>
                <w:sz w:val="22"/>
                <w:szCs w:val="22"/>
              </w:rPr>
            </w:pPr>
            <w:r w:rsidRPr="00965D1A">
              <w:rPr>
                <w:rFonts w:ascii="Arial" w:hAnsi="Arial" w:cs="Arial"/>
                <w:color w:val="000000" w:themeColor="text1"/>
                <w:sz w:val="22"/>
                <w:szCs w:val="22"/>
                <w:lang w:val="en-NZ"/>
              </w:rPr>
              <w:t>HSUP56: The lessons learned from business continuity and disaster recovery testing are reflected in the established and implemented information security controls.</w:t>
            </w:r>
          </w:p>
          <w:p w14:paraId="24530DEB" w14:textId="1668AE1C" w:rsidR="5DC93234" w:rsidRPr="00965D1A" w:rsidRDefault="5DC93234" w:rsidP="00455A8F">
            <w:pPr>
              <w:rPr>
                <w:rFonts w:ascii="Arial" w:hAnsi="Arial" w:cs="Arial"/>
                <w:sz w:val="22"/>
                <w:szCs w:val="22"/>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7D47F0D6" w14:textId="700DA0BD" w:rsidR="5DC93234" w:rsidRPr="00965D1A" w:rsidRDefault="45634963" w:rsidP="00455A8F">
            <w:pPr>
              <w:rPr>
                <w:rFonts w:ascii="Arial" w:hAnsi="Arial" w:cs="Arial"/>
                <w:sz w:val="22"/>
                <w:szCs w:val="22"/>
              </w:rPr>
            </w:pPr>
            <w:r w:rsidRPr="00965D1A">
              <w:rPr>
                <w:rFonts w:ascii="Arial" w:hAnsi="Arial" w:cs="Arial"/>
                <w:sz w:val="22"/>
                <w:szCs w:val="22"/>
              </w:rPr>
              <w:t>Example of testing plan, including corrective actions for lessons learned.</w:t>
            </w:r>
          </w:p>
        </w:tc>
      </w:tr>
      <w:tr w:rsidR="5DC93234" w:rsidRPr="00965D1A" w14:paraId="75CFE8DD" w14:textId="77777777" w:rsidTr="00455A8F">
        <w:trPr>
          <w:trHeight w:val="1405"/>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02BAF927" w14:textId="5B42FE83" w:rsidR="5DC93234" w:rsidRPr="00965D1A" w:rsidRDefault="45634963" w:rsidP="00455A8F">
            <w:pPr>
              <w:spacing w:line="276" w:lineRule="auto"/>
              <w:rPr>
                <w:rFonts w:ascii="Arial" w:hAnsi="Arial" w:cs="Arial"/>
                <w:sz w:val="22"/>
                <w:szCs w:val="22"/>
              </w:rPr>
            </w:pPr>
            <w:r w:rsidRPr="00965D1A">
              <w:rPr>
                <w:rFonts w:ascii="Arial" w:hAnsi="Arial" w:cs="Arial"/>
                <w:color w:val="000000" w:themeColor="text1"/>
                <w:sz w:val="22"/>
                <w:szCs w:val="22"/>
                <w:lang w:val="en-NZ"/>
              </w:rPr>
              <w:t>HSUP32: Rules for effective use of cryptography, including encryption, and key management are defined and implemented.</w:t>
            </w:r>
          </w:p>
          <w:p w14:paraId="0FA13882" w14:textId="6C0C3053" w:rsidR="5DC93234" w:rsidRPr="00965D1A" w:rsidRDefault="5DC93234" w:rsidP="00455A8F">
            <w:pPr>
              <w:rPr>
                <w:rFonts w:ascii="Arial" w:hAnsi="Arial" w:cs="Arial"/>
                <w:sz w:val="22"/>
                <w:szCs w:val="22"/>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56332B4F" w14:textId="7413E620" w:rsidR="5DC93234" w:rsidRPr="00965D1A" w:rsidRDefault="4E6065AE" w:rsidP="00455A8F">
            <w:pPr>
              <w:rPr>
                <w:rFonts w:ascii="Arial" w:hAnsi="Arial" w:cs="Arial"/>
                <w:sz w:val="22"/>
                <w:szCs w:val="22"/>
              </w:rPr>
            </w:pPr>
            <w:r w:rsidRPr="00965D1A">
              <w:rPr>
                <w:rFonts w:ascii="Arial" w:hAnsi="Arial" w:cs="Arial"/>
                <w:sz w:val="22"/>
                <w:szCs w:val="22"/>
              </w:rPr>
              <w:t>W</w:t>
            </w:r>
            <w:r w:rsidR="45634963" w:rsidRPr="00965D1A">
              <w:rPr>
                <w:rFonts w:ascii="Arial" w:hAnsi="Arial" w:cs="Arial"/>
                <w:sz w:val="22"/>
                <w:szCs w:val="22"/>
              </w:rPr>
              <w:t>ording change to enhance the requirement for encryption for data at rest.</w:t>
            </w:r>
          </w:p>
        </w:tc>
      </w:tr>
      <w:tr w:rsidR="5DC93234" w:rsidRPr="00965D1A" w14:paraId="418D991F" w14:textId="77777777" w:rsidTr="00455A8F">
        <w:trPr>
          <w:trHeight w:val="1566"/>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3429EB2D" w14:textId="24386CC3" w:rsidR="5DC93234" w:rsidRPr="00965D1A" w:rsidRDefault="45634963" w:rsidP="00455A8F">
            <w:pPr>
              <w:tabs>
                <w:tab w:val="left" w:pos="1890"/>
              </w:tabs>
              <w:spacing w:line="276" w:lineRule="auto"/>
              <w:rPr>
                <w:rFonts w:ascii="Arial" w:hAnsi="Arial" w:cs="Arial"/>
                <w:sz w:val="22"/>
                <w:szCs w:val="22"/>
              </w:rPr>
            </w:pPr>
            <w:r w:rsidRPr="00965D1A">
              <w:rPr>
                <w:rFonts w:ascii="Arial" w:hAnsi="Arial" w:cs="Arial"/>
                <w:color w:val="000000" w:themeColor="text1"/>
                <w:sz w:val="22"/>
                <w:szCs w:val="22"/>
                <w:lang w:val="en-NZ"/>
              </w:rPr>
              <w:t>HSUP33: The complete lifecycle of the account(s) being used to access, process, or manage information and services is managed.</w:t>
            </w:r>
          </w:p>
          <w:p w14:paraId="6DEF5B8B" w14:textId="74504F23" w:rsidR="5DC93234" w:rsidRPr="00965D1A" w:rsidRDefault="5DC93234" w:rsidP="00455A8F">
            <w:pPr>
              <w:rPr>
                <w:rFonts w:ascii="Arial" w:hAnsi="Arial" w:cs="Arial"/>
                <w:sz w:val="22"/>
                <w:szCs w:val="22"/>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4ADA63C5" w14:textId="467B5080" w:rsidR="5DC93234" w:rsidRPr="00965D1A" w:rsidRDefault="45634963" w:rsidP="00455A8F">
            <w:pPr>
              <w:rPr>
                <w:rFonts w:ascii="Arial" w:hAnsi="Arial" w:cs="Arial"/>
                <w:sz w:val="22"/>
                <w:szCs w:val="22"/>
              </w:rPr>
            </w:pPr>
            <w:r w:rsidRPr="00965D1A">
              <w:rPr>
                <w:rFonts w:ascii="Arial" w:hAnsi="Arial" w:cs="Arial"/>
                <w:sz w:val="22"/>
                <w:szCs w:val="22"/>
              </w:rPr>
              <w:t>More examples relating to Role-Based Access Control and Privileged Account Management</w:t>
            </w:r>
          </w:p>
        </w:tc>
      </w:tr>
      <w:tr w:rsidR="5DC93234" w:rsidRPr="00965D1A" w14:paraId="7ABF3B9E" w14:textId="77777777" w:rsidTr="00455A8F">
        <w:trPr>
          <w:trHeight w:val="300"/>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4758DF36" w14:textId="3FEB8E20" w:rsidR="5DC93234" w:rsidRPr="00965D1A" w:rsidRDefault="45634963" w:rsidP="00455A8F">
            <w:pPr>
              <w:spacing w:line="276" w:lineRule="auto"/>
              <w:rPr>
                <w:rFonts w:ascii="Arial" w:hAnsi="Arial" w:cs="Arial"/>
                <w:sz w:val="22"/>
                <w:szCs w:val="22"/>
              </w:rPr>
            </w:pPr>
            <w:r w:rsidRPr="00965D1A">
              <w:rPr>
                <w:rFonts w:ascii="Arial" w:hAnsi="Arial" w:cs="Arial"/>
                <w:color w:val="000000" w:themeColor="text1"/>
                <w:sz w:val="22"/>
                <w:szCs w:val="22"/>
                <w:lang w:val="en-NZ"/>
              </w:rPr>
              <w:t>HSUP34: User accounts are authenticated and circumventing the authentication process is prevented.</w:t>
            </w:r>
          </w:p>
          <w:p w14:paraId="3200727B" w14:textId="07FCC3E6" w:rsidR="5DC93234" w:rsidRPr="00965D1A" w:rsidRDefault="5DC93234" w:rsidP="00455A8F">
            <w:pPr>
              <w:rPr>
                <w:rFonts w:ascii="Arial" w:hAnsi="Arial" w:cs="Arial"/>
                <w:sz w:val="22"/>
                <w:szCs w:val="22"/>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75E6FE92" w14:textId="68F37FF6" w:rsidR="5DC93234" w:rsidRPr="00965D1A" w:rsidRDefault="45634963" w:rsidP="00455A8F">
            <w:pPr>
              <w:rPr>
                <w:rFonts w:ascii="Arial" w:hAnsi="Arial" w:cs="Arial"/>
                <w:sz w:val="22"/>
                <w:szCs w:val="22"/>
              </w:rPr>
            </w:pPr>
            <w:r w:rsidRPr="00965D1A">
              <w:rPr>
                <w:rFonts w:ascii="Arial" w:hAnsi="Arial" w:cs="Arial"/>
                <w:sz w:val="22"/>
                <w:szCs w:val="22"/>
              </w:rPr>
              <w:t>Clarification about the technical nature of these controls</w:t>
            </w:r>
          </w:p>
        </w:tc>
      </w:tr>
      <w:tr w:rsidR="5DC93234" w:rsidRPr="00965D1A" w14:paraId="23798C31" w14:textId="77777777" w:rsidTr="00455A8F">
        <w:trPr>
          <w:trHeight w:val="2221"/>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371F0820" w14:textId="76B037BE" w:rsidR="5DC93234" w:rsidRPr="00965D1A" w:rsidRDefault="45634963" w:rsidP="00455A8F">
            <w:pPr>
              <w:spacing w:line="276" w:lineRule="auto"/>
              <w:ind w:left="-4" w:right="34"/>
              <w:rPr>
                <w:rFonts w:ascii="Arial" w:hAnsi="Arial" w:cs="Arial"/>
                <w:sz w:val="22"/>
                <w:szCs w:val="22"/>
              </w:rPr>
            </w:pPr>
            <w:r w:rsidRPr="00965D1A">
              <w:rPr>
                <w:rFonts w:ascii="Arial" w:hAnsi="Arial" w:cs="Arial"/>
                <w:color w:val="000000" w:themeColor="text1"/>
                <w:sz w:val="22"/>
                <w:szCs w:val="22"/>
                <w:lang w:val="en-NZ"/>
              </w:rPr>
              <w:lastRenderedPageBreak/>
              <w:t>HSUP35: Access to information and its associated assets is defined and authorised according to the business, customer, and security requirements by adhering to the organisation’s identity and access management policy or procedures.</w:t>
            </w:r>
          </w:p>
          <w:p w14:paraId="0F3D747B" w14:textId="2E2E0222" w:rsidR="5DC93234" w:rsidRPr="00965D1A" w:rsidRDefault="5DC93234" w:rsidP="00455A8F">
            <w:pPr>
              <w:rPr>
                <w:rFonts w:ascii="Arial" w:hAnsi="Arial" w:cs="Arial"/>
                <w:sz w:val="22"/>
                <w:szCs w:val="22"/>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3F079A0F" w14:textId="77777777" w:rsidR="5DC93234" w:rsidRPr="00965D1A" w:rsidRDefault="45634963" w:rsidP="00455A8F">
            <w:pPr>
              <w:rPr>
                <w:rFonts w:ascii="Arial" w:hAnsi="Arial" w:cs="Arial"/>
                <w:sz w:val="22"/>
                <w:szCs w:val="22"/>
              </w:rPr>
            </w:pPr>
            <w:r w:rsidRPr="00965D1A">
              <w:rPr>
                <w:rFonts w:ascii="Arial" w:hAnsi="Arial" w:cs="Arial"/>
                <w:sz w:val="22"/>
                <w:szCs w:val="22"/>
              </w:rPr>
              <w:t>Clarification about the business (administrative) nature of these controls (more about processes.)</w:t>
            </w:r>
          </w:p>
        </w:tc>
      </w:tr>
      <w:tr w:rsidR="0EC81CE9" w:rsidRPr="00965D1A" w14:paraId="5ECBB605" w14:textId="77777777" w:rsidTr="00455A8F">
        <w:trPr>
          <w:trHeight w:val="1698"/>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2ABD0714" w14:textId="2B4FB0F0" w:rsidR="45634963" w:rsidRPr="00965D1A" w:rsidRDefault="45634963" w:rsidP="00455A8F">
            <w:pPr>
              <w:spacing w:line="276" w:lineRule="auto"/>
              <w:ind w:left="-4" w:right="34"/>
              <w:rPr>
                <w:rFonts w:ascii="Arial" w:hAnsi="Arial" w:cs="Arial"/>
                <w:sz w:val="22"/>
                <w:szCs w:val="22"/>
                <w:lang w:val="en-NZ"/>
              </w:rPr>
            </w:pPr>
            <w:r w:rsidRPr="00965D1A">
              <w:rPr>
                <w:rFonts w:ascii="Arial" w:hAnsi="Arial" w:cs="Arial"/>
                <w:color w:val="000000" w:themeColor="text1"/>
                <w:sz w:val="22"/>
                <w:szCs w:val="22"/>
                <w:lang w:val="en-NZ"/>
              </w:rPr>
              <w:t>HSUP36: Organisations are to ensure that only authorised users, software components and services are provided with privileged access rights.</w:t>
            </w:r>
          </w:p>
          <w:p w14:paraId="3487C0AF" w14:textId="4BAEAB3D" w:rsidR="0EC81CE9" w:rsidRPr="00965D1A" w:rsidRDefault="0EC81CE9" w:rsidP="00455A8F">
            <w:pPr>
              <w:spacing w:line="276" w:lineRule="auto"/>
              <w:rPr>
                <w:rFonts w:ascii="Arial" w:hAnsi="Arial" w:cs="Arial"/>
                <w:color w:val="000000" w:themeColor="text1"/>
                <w:sz w:val="22"/>
                <w:szCs w:val="22"/>
                <w:lang w:val="en-NZ"/>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07BB1539" w14:textId="505A3851" w:rsidR="45634963" w:rsidRPr="00965D1A" w:rsidRDefault="45634963" w:rsidP="00455A8F">
            <w:pPr>
              <w:rPr>
                <w:rFonts w:ascii="Arial" w:hAnsi="Arial" w:cs="Arial"/>
                <w:sz w:val="22"/>
                <w:szCs w:val="22"/>
              </w:rPr>
            </w:pPr>
            <w:r w:rsidRPr="00965D1A">
              <w:rPr>
                <w:rFonts w:ascii="Arial" w:hAnsi="Arial" w:cs="Arial"/>
                <w:sz w:val="22"/>
                <w:szCs w:val="22"/>
              </w:rPr>
              <w:t>Additional notes about third party risks and controls for this requirement.</w:t>
            </w:r>
          </w:p>
        </w:tc>
      </w:tr>
      <w:tr w:rsidR="0EC81CE9" w:rsidRPr="00965D1A" w14:paraId="67983A9B" w14:textId="77777777" w:rsidTr="00455A8F">
        <w:trPr>
          <w:trHeight w:val="1680"/>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666470BE" w14:textId="01CB729E" w:rsidR="45634963" w:rsidRPr="00965D1A" w:rsidRDefault="45634963" w:rsidP="00455A8F">
            <w:pPr>
              <w:spacing w:line="276" w:lineRule="auto"/>
              <w:rPr>
                <w:rFonts w:ascii="Arial" w:hAnsi="Arial" w:cs="Arial"/>
                <w:sz w:val="22"/>
                <w:szCs w:val="22"/>
                <w:lang w:val="en-NZ"/>
              </w:rPr>
            </w:pPr>
            <w:r w:rsidRPr="00965D1A">
              <w:rPr>
                <w:rFonts w:ascii="Arial" w:hAnsi="Arial" w:cs="Arial"/>
                <w:color w:val="000000" w:themeColor="text1"/>
                <w:sz w:val="22"/>
                <w:szCs w:val="22"/>
                <w:lang w:val="en-NZ"/>
              </w:rPr>
              <w:t>HSUP62: The information processing systems, applications, devices, and services are synchronised to an approved time source.</w:t>
            </w:r>
          </w:p>
          <w:p w14:paraId="708589AA" w14:textId="0B348F41" w:rsidR="0EC81CE9" w:rsidRPr="00965D1A" w:rsidRDefault="0EC81CE9" w:rsidP="00455A8F">
            <w:pPr>
              <w:spacing w:line="276" w:lineRule="auto"/>
              <w:rPr>
                <w:rFonts w:ascii="Arial" w:hAnsi="Arial" w:cs="Arial"/>
                <w:color w:val="000000" w:themeColor="text1"/>
                <w:sz w:val="22"/>
                <w:szCs w:val="22"/>
                <w:lang w:val="en-NZ"/>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50862135" w14:textId="7C8AE889" w:rsidR="45634963" w:rsidRPr="00965D1A" w:rsidRDefault="45634963" w:rsidP="00455A8F">
            <w:pPr>
              <w:rPr>
                <w:rFonts w:ascii="Arial" w:hAnsi="Arial" w:cs="Arial"/>
                <w:sz w:val="22"/>
                <w:szCs w:val="22"/>
              </w:rPr>
            </w:pPr>
            <w:r w:rsidRPr="00965D1A">
              <w:rPr>
                <w:rFonts w:ascii="Arial" w:hAnsi="Arial" w:cs="Arial"/>
                <w:sz w:val="22"/>
                <w:szCs w:val="22"/>
              </w:rPr>
              <w:t>Additional information about the requirement’s applicability to medical devices.</w:t>
            </w:r>
          </w:p>
        </w:tc>
      </w:tr>
      <w:tr w:rsidR="0EC81CE9" w:rsidRPr="00965D1A" w14:paraId="04184549" w14:textId="77777777" w:rsidTr="00455A8F">
        <w:trPr>
          <w:trHeight w:val="1704"/>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475A42BB" w14:textId="2F6349F9" w:rsidR="0AE3D0AB" w:rsidRPr="00965D1A" w:rsidRDefault="0AE3D0AB" w:rsidP="00455A8F">
            <w:pPr>
              <w:spacing w:line="276" w:lineRule="auto"/>
              <w:rPr>
                <w:rFonts w:ascii="Arial" w:hAnsi="Arial" w:cs="Arial"/>
                <w:sz w:val="22"/>
                <w:szCs w:val="22"/>
                <w:lang w:val="en-NZ"/>
              </w:rPr>
            </w:pPr>
            <w:r w:rsidRPr="00965D1A">
              <w:rPr>
                <w:rFonts w:ascii="Arial" w:hAnsi="Arial" w:cs="Arial"/>
                <w:sz w:val="22"/>
                <w:szCs w:val="22"/>
                <w:lang w:val="en-NZ"/>
              </w:rPr>
              <w:t>HSUP67: Suppliers are to be systematically evaluated, and their information security activities are reviewed before and after onboarding of their systems and services.</w:t>
            </w:r>
          </w:p>
          <w:p w14:paraId="7F72AFC1" w14:textId="5680F0DD" w:rsidR="0EC81CE9" w:rsidRPr="00965D1A" w:rsidRDefault="0EC81CE9" w:rsidP="00455A8F">
            <w:pPr>
              <w:spacing w:line="276" w:lineRule="auto"/>
              <w:rPr>
                <w:rFonts w:ascii="Arial" w:hAnsi="Arial" w:cs="Arial"/>
                <w:color w:val="000000" w:themeColor="text1"/>
                <w:sz w:val="22"/>
                <w:szCs w:val="22"/>
                <w:lang w:val="en-NZ"/>
              </w:rPr>
            </w:pP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2D5B1975" w14:textId="0E7A3B97" w:rsidR="0AE3D0AB" w:rsidRPr="00965D1A" w:rsidRDefault="0AE3D0AB" w:rsidP="00455A8F">
            <w:pPr>
              <w:rPr>
                <w:rFonts w:ascii="Arial" w:hAnsi="Arial" w:cs="Arial"/>
                <w:sz w:val="22"/>
                <w:szCs w:val="22"/>
              </w:rPr>
            </w:pPr>
            <w:r w:rsidRPr="00965D1A">
              <w:rPr>
                <w:rFonts w:ascii="Arial" w:hAnsi="Arial" w:cs="Arial"/>
                <w:sz w:val="22"/>
                <w:szCs w:val="22"/>
              </w:rPr>
              <w:t>Requirement is new for the Guidance for Suppliers – it was already included in Medium-Large and Hospital guidance.</w:t>
            </w:r>
          </w:p>
        </w:tc>
      </w:tr>
      <w:tr w:rsidR="0EC81CE9" w:rsidRPr="00965D1A" w14:paraId="608BC5B3" w14:textId="77777777" w:rsidTr="00455A8F">
        <w:trPr>
          <w:trHeight w:val="300"/>
        </w:trPr>
        <w:tc>
          <w:tcPr>
            <w:tcW w:w="4535" w:type="dxa"/>
            <w:tcBorders>
              <w:top w:val="single" w:sz="4" w:space="0" w:color="A5C9EB" w:themeColor="text2" w:themeTint="40"/>
              <w:left w:val="nil"/>
              <w:bottom w:val="single" w:sz="4" w:space="0" w:color="A5C9EB" w:themeColor="text2" w:themeTint="40"/>
              <w:right w:val="single" w:sz="4" w:space="0" w:color="A5C9EB" w:themeColor="text2" w:themeTint="40"/>
            </w:tcBorders>
            <w:vAlign w:val="center"/>
          </w:tcPr>
          <w:p w14:paraId="45B54802" w14:textId="65175B8D" w:rsidR="0AE3D0AB" w:rsidRPr="00965D1A" w:rsidRDefault="0AE3D0AB" w:rsidP="00455A8F">
            <w:pPr>
              <w:rPr>
                <w:rFonts w:ascii="Arial" w:hAnsi="Arial" w:cs="Arial"/>
                <w:sz w:val="22"/>
                <w:szCs w:val="22"/>
                <w:lang w:val="en-NZ"/>
              </w:rPr>
            </w:pPr>
            <w:r w:rsidRPr="00965D1A">
              <w:rPr>
                <w:rFonts w:ascii="Arial" w:hAnsi="Arial" w:cs="Arial"/>
                <w:sz w:val="22"/>
                <w:szCs w:val="22"/>
                <w:lang w:val="en-NZ"/>
              </w:rPr>
              <w:t>HSUP68: The organisation's information security requirements are to be included in the agreements with the suppliers.</w:t>
            </w:r>
          </w:p>
        </w:tc>
        <w:tc>
          <w:tcPr>
            <w:tcW w:w="4535" w:type="dxa"/>
            <w:tcBorders>
              <w:top w:val="single" w:sz="4" w:space="0" w:color="A5C9EB" w:themeColor="text2" w:themeTint="40"/>
              <w:left w:val="single" w:sz="4" w:space="0" w:color="A5C9EB" w:themeColor="text2" w:themeTint="40"/>
              <w:bottom w:val="single" w:sz="4" w:space="0" w:color="A5C9EB" w:themeColor="text2" w:themeTint="40"/>
              <w:right w:val="nil"/>
            </w:tcBorders>
            <w:vAlign w:val="center"/>
          </w:tcPr>
          <w:p w14:paraId="4B8EC764" w14:textId="0E7A3B97" w:rsidR="0AE3D0AB" w:rsidRPr="00965D1A" w:rsidRDefault="0AE3D0AB" w:rsidP="00455A8F">
            <w:pPr>
              <w:rPr>
                <w:rFonts w:ascii="Arial" w:hAnsi="Arial" w:cs="Arial"/>
                <w:sz w:val="22"/>
                <w:szCs w:val="22"/>
              </w:rPr>
            </w:pPr>
            <w:r w:rsidRPr="00965D1A">
              <w:rPr>
                <w:rFonts w:ascii="Arial" w:hAnsi="Arial" w:cs="Arial"/>
                <w:sz w:val="22"/>
                <w:szCs w:val="22"/>
              </w:rPr>
              <w:t>Requirement is new for the Guidance for Suppliers – it was already included in Medium-Large and Hospital guidance.</w:t>
            </w:r>
          </w:p>
          <w:p w14:paraId="04ACDA49" w14:textId="3978BE5B" w:rsidR="0EC81CE9" w:rsidRPr="00965D1A" w:rsidRDefault="0EC81CE9" w:rsidP="00455A8F">
            <w:pPr>
              <w:rPr>
                <w:rFonts w:ascii="Arial" w:hAnsi="Arial" w:cs="Arial"/>
                <w:sz w:val="22"/>
                <w:szCs w:val="22"/>
              </w:rPr>
            </w:pPr>
          </w:p>
        </w:tc>
      </w:tr>
    </w:tbl>
    <w:p w14:paraId="10B69830" w14:textId="446966C5" w:rsidR="5DC93234" w:rsidRDefault="5DC93234"/>
    <w:sectPr w:rsidR="5DC9323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15E7" w14:textId="77777777" w:rsidR="0016789F" w:rsidRDefault="0016789F">
      <w:pPr>
        <w:spacing w:after="0" w:line="240" w:lineRule="auto"/>
      </w:pPr>
      <w:r>
        <w:separator/>
      </w:r>
    </w:p>
  </w:endnote>
  <w:endnote w:type="continuationSeparator" w:id="0">
    <w:p w14:paraId="17F322E0" w14:textId="77777777" w:rsidR="0016789F" w:rsidRDefault="0016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116CF7" w14:paraId="38A29B78" w14:textId="77777777" w:rsidTr="76116CF7">
      <w:trPr>
        <w:trHeight w:val="300"/>
      </w:trPr>
      <w:tc>
        <w:tcPr>
          <w:tcW w:w="3120" w:type="dxa"/>
        </w:tcPr>
        <w:p w14:paraId="62B31145" w14:textId="72177368" w:rsidR="76116CF7" w:rsidRDefault="76116CF7" w:rsidP="76116CF7">
          <w:pPr>
            <w:pStyle w:val="Header"/>
            <w:ind w:left="-115"/>
          </w:pPr>
        </w:p>
      </w:tc>
      <w:tc>
        <w:tcPr>
          <w:tcW w:w="3120" w:type="dxa"/>
        </w:tcPr>
        <w:p w14:paraId="374AF9C8" w14:textId="3013D5A4" w:rsidR="76116CF7" w:rsidRDefault="76116CF7" w:rsidP="76116CF7">
          <w:pPr>
            <w:pStyle w:val="Header"/>
            <w:jc w:val="center"/>
          </w:pPr>
        </w:p>
      </w:tc>
      <w:tc>
        <w:tcPr>
          <w:tcW w:w="3120" w:type="dxa"/>
        </w:tcPr>
        <w:p w14:paraId="4C69486D" w14:textId="05566E5A" w:rsidR="76116CF7" w:rsidRDefault="76116CF7" w:rsidP="76116CF7">
          <w:pPr>
            <w:pStyle w:val="Header"/>
            <w:ind w:right="-115"/>
            <w:jc w:val="right"/>
          </w:pPr>
        </w:p>
      </w:tc>
    </w:tr>
  </w:tbl>
  <w:p w14:paraId="663E1AD5" w14:textId="3B071FC3" w:rsidR="00965D1A" w:rsidRPr="00274ECC" w:rsidRDefault="00BA580E" w:rsidP="00965D1A">
    <w:pPr>
      <w:tabs>
        <w:tab w:val="left" w:pos="7230"/>
      </w:tabs>
      <w:spacing w:before="120" w:after="240" w:line="288" w:lineRule="auto"/>
      <w:rPr>
        <w:rFonts w:eastAsia="Arial" w:cs="Times New Roman"/>
        <w:color w:val="15284C"/>
        <w:lang w:val="en-NZ"/>
      </w:rPr>
    </w:pPr>
    <w:r>
      <w:rPr>
        <w:noProof/>
      </w:rPr>
      <w:drawing>
        <wp:anchor distT="0" distB="0" distL="114300" distR="114300" simplePos="0" relativeHeight="251662336" behindDoc="0" locked="0" layoutInCell="1" allowOverlap="1" wp14:anchorId="116C560E" wp14:editId="1E2BEB16">
          <wp:simplePos x="0" y="0"/>
          <wp:positionH relativeFrom="margin">
            <wp:posOffset>-463389</wp:posOffset>
          </wp:positionH>
          <wp:positionV relativeFrom="bottomMargin">
            <wp:posOffset>109276</wp:posOffset>
          </wp:positionV>
          <wp:extent cx="1665027" cy="381050"/>
          <wp:effectExtent l="0" t="0" r="0" b="0"/>
          <wp:wrapNone/>
          <wp:docPr id="6" name="Picture 6" descr="A blue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ig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5027" cy="381050"/>
                  </a:xfrm>
                  <a:prstGeom prst="rect">
                    <a:avLst/>
                  </a:prstGeom>
                </pic:spPr>
              </pic:pic>
            </a:graphicData>
          </a:graphic>
          <wp14:sizeRelH relativeFrom="margin">
            <wp14:pctWidth>0</wp14:pctWidth>
          </wp14:sizeRelH>
          <wp14:sizeRelV relativeFrom="margin">
            <wp14:pctHeight>0</wp14:pctHeight>
          </wp14:sizeRelV>
        </wp:anchor>
      </w:drawing>
    </w:r>
    <w:r w:rsidR="00965D1A" w:rsidRPr="00965D1A">
      <w:rPr>
        <w:rFonts w:eastAsia="Arial" w:cs="Times New Roman"/>
        <w:color w:val="15284C"/>
        <w:lang w:val="en-NZ"/>
      </w:rPr>
      <w:t xml:space="preserve"> </w:t>
    </w:r>
    <w:sdt>
      <w:sdtPr>
        <w:rPr>
          <w:rFonts w:eastAsia="Arial" w:cs="Times New Roman"/>
          <w:color w:val="15284C"/>
          <w:lang w:val="en-NZ"/>
        </w:rPr>
        <w:id w:val="994370493"/>
        <w:docPartObj>
          <w:docPartGallery w:val="Page Numbers (Bottom of Page)"/>
          <w:docPartUnique/>
        </w:docPartObj>
      </w:sdtPr>
      <w:sdtContent>
        <w:r w:rsidR="00965D1A" w:rsidRPr="00274ECC">
          <w:rPr>
            <w:rFonts w:eastAsia="Arial" w:cs="Times New Roman"/>
            <w:color w:val="15284C"/>
            <w:lang w:val="en-NZ"/>
          </w:rPr>
          <w:tab/>
          <w:t xml:space="preserve">       </w:t>
        </w:r>
        <w:r w:rsidR="00965D1A">
          <w:rPr>
            <w:rFonts w:eastAsia="Arial" w:cs="Times New Roman"/>
            <w:color w:val="15284C"/>
            <w:lang w:val="en-NZ"/>
          </w:rPr>
          <w:t xml:space="preserve"> </w:t>
        </w:r>
        <w:r w:rsidR="00965D1A" w:rsidRPr="00274ECC">
          <w:rPr>
            <w:rFonts w:eastAsia="Arial" w:cs="Times New Roman"/>
            <w:color w:val="15284C"/>
            <w:lang w:val="en-NZ"/>
          </w:rPr>
          <w:t xml:space="preserve">            </w:t>
        </w:r>
        <w:r w:rsidR="00965D1A" w:rsidRPr="00274ECC">
          <w:rPr>
            <w:rFonts w:eastAsia="Arial" w:cs="Times New Roman"/>
            <w:b/>
            <w:color w:val="15284C"/>
            <w:lang w:val="en-NZ"/>
          </w:rPr>
          <w:t xml:space="preserve">Page | </w:t>
        </w:r>
        <w:r w:rsidR="00965D1A" w:rsidRPr="00274ECC">
          <w:rPr>
            <w:rFonts w:eastAsia="Arial" w:cs="Times New Roman"/>
            <w:b/>
            <w:color w:val="15284C"/>
            <w:lang w:val="en-NZ"/>
          </w:rPr>
          <w:fldChar w:fldCharType="begin"/>
        </w:r>
        <w:r w:rsidR="00965D1A" w:rsidRPr="00274ECC">
          <w:rPr>
            <w:rFonts w:eastAsia="Arial" w:cs="Times New Roman"/>
            <w:b/>
            <w:color w:val="15284C"/>
            <w:lang w:val="en-NZ"/>
          </w:rPr>
          <w:instrText xml:space="preserve"> PAGE   \* MERGEFORMAT </w:instrText>
        </w:r>
        <w:r w:rsidR="00965D1A" w:rsidRPr="00274ECC">
          <w:rPr>
            <w:rFonts w:eastAsia="Arial" w:cs="Times New Roman"/>
            <w:b/>
            <w:color w:val="15284C"/>
            <w:lang w:val="en-NZ"/>
          </w:rPr>
          <w:fldChar w:fldCharType="separate"/>
        </w:r>
        <w:r w:rsidR="00965D1A">
          <w:rPr>
            <w:rFonts w:eastAsia="Arial"/>
            <w:b/>
            <w:color w:val="15284C"/>
          </w:rPr>
          <w:t>1</w:t>
        </w:r>
        <w:r w:rsidR="00965D1A" w:rsidRPr="00274ECC">
          <w:rPr>
            <w:rFonts w:eastAsia="Arial" w:cs="Times New Roman"/>
            <w:b/>
            <w:noProof/>
            <w:color w:val="15284C"/>
            <w:lang w:val="en-NZ"/>
          </w:rPr>
          <w:fldChar w:fldCharType="end"/>
        </w:r>
        <w:r w:rsidR="00965D1A" w:rsidRPr="00274ECC">
          <w:rPr>
            <w:rFonts w:eastAsia="Arial" w:cs="Times New Roman"/>
            <w:color w:val="15284C"/>
            <w:lang w:val="en-NZ"/>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F18B" w14:textId="77777777" w:rsidR="0016789F" w:rsidRDefault="0016789F">
      <w:pPr>
        <w:spacing w:after="0" w:line="240" w:lineRule="auto"/>
      </w:pPr>
      <w:r>
        <w:separator/>
      </w:r>
    </w:p>
  </w:footnote>
  <w:footnote w:type="continuationSeparator" w:id="0">
    <w:p w14:paraId="537F22E1" w14:textId="77777777" w:rsidR="0016789F" w:rsidRDefault="00167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116CF7" w14:paraId="36E7F9F0" w14:textId="77777777" w:rsidTr="76116CF7">
      <w:trPr>
        <w:trHeight w:val="300"/>
      </w:trPr>
      <w:tc>
        <w:tcPr>
          <w:tcW w:w="3120" w:type="dxa"/>
        </w:tcPr>
        <w:p w14:paraId="1DAEC309" w14:textId="48311D63" w:rsidR="76116CF7" w:rsidRDefault="76116CF7" w:rsidP="76116CF7">
          <w:pPr>
            <w:pStyle w:val="Header"/>
            <w:ind w:left="-115"/>
          </w:pPr>
        </w:p>
      </w:tc>
      <w:tc>
        <w:tcPr>
          <w:tcW w:w="3120" w:type="dxa"/>
        </w:tcPr>
        <w:p w14:paraId="1967ADAD" w14:textId="66F69C7B" w:rsidR="76116CF7" w:rsidRDefault="76116CF7" w:rsidP="76116CF7">
          <w:pPr>
            <w:pStyle w:val="Header"/>
            <w:jc w:val="center"/>
          </w:pPr>
        </w:p>
      </w:tc>
      <w:tc>
        <w:tcPr>
          <w:tcW w:w="3120" w:type="dxa"/>
        </w:tcPr>
        <w:p w14:paraId="7E161834" w14:textId="5BD577CD" w:rsidR="76116CF7" w:rsidRDefault="76116CF7" w:rsidP="76116CF7">
          <w:pPr>
            <w:pStyle w:val="Header"/>
            <w:ind w:right="-115"/>
            <w:jc w:val="right"/>
          </w:pPr>
        </w:p>
      </w:tc>
    </w:tr>
  </w:tbl>
  <w:p w14:paraId="2FA41E67" w14:textId="59EB40EF" w:rsidR="76116CF7" w:rsidRDefault="006040CE" w:rsidP="76116CF7">
    <w:pPr>
      <w:pStyle w:val="Header"/>
    </w:pPr>
    <w:r w:rsidRPr="00554C10">
      <w:rPr>
        <w:sz w:val="28"/>
        <w:szCs w:val="28"/>
      </w:rPr>
      <w:drawing>
        <wp:anchor distT="0" distB="0" distL="114300" distR="114300" simplePos="0" relativeHeight="251660288" behindDoc="1" locked="0" layoutInCell="1" allowOverlap="1" wp14:anchorId="259F1BBB" wp14:editId="18A2AD70">
          <wp:simplePos x="0" y="0"/>
          <wp:positionH relativeFrom="margin">
            <wp:posOffset>4547320</wp:posOffset>
          </wp:positionH>
          <wp:positionV relativeFrom="paragraph">
            <wp:posOffset>180207</wp:posOffset>
          </wp:positionV>
          <wp:extent cx="1760220" cy="309245"/>
          <wp:effectExtent l="0" t="0" r="0" b="0"/>
          <wp:wrapTight wrapText="bothSides">
            <wp:wrapPolygon edited="0">
              <wp:start x="0" y="0"/>
              <wp:lineTo x="0" y="19959"/>
              <wp:lineTo x="12156" y="19959"/>
              <wp:lineTo x="21273" y="10645"/>
              <wp:lineTo x="21273"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oppins" w:eastAsia="Roboto" w:hAnsi="Poppins" w:cs="Poppins"/>
        <w:b/>
        <w:bCs/>
        <w:kern w:val="22"/>
        <w:sz w:val="20"/>
        <w:szCs w:val="20"/>
      </w:rPr>
      <w:drawing>
        <wp:anchor distT="0" distB="0" distL="114300" distR="114300" simplePos="0" relativeHeight="251659264" behindDoc="1" locked="0" layoutInCell="1" allowOverlap="1" wp14:anchorId="2466B53D" wp14:editId="64001636">
          <wp:simplePos x="0" y="0"/>
          <wp:positionH relativeFrom="column">
            <wp:posOffset>-627455</wp:posOffset>
          </wp:positionH>
          <wp:positionV relativeFrom="page">
            <wp:posOffset>163299</wp:posOffset>
          </wp:positionV>
          <wp:extent cx="7200000" cy="540000"/>
          <wp:effectExtent l="0" t="0" r="1270" b="0"/>
          <wp:wrapNone/>
          <wp:docPr id="55397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7744" name="Picture 553977744"/>
                  <pic:cNvPicPr/>
                </pic:nvPicPr>
                <pic:blipFill>
                  <a:blip r:embed="rId2">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E0jlu5X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53B4EA"/>
    <w:rsid w:val="00043011"/>
    <w:rsid w:val="00143022"/>
    <w:rsid w:val="00167801"/>
    <w:rsid w:val="0016789F"/>
    <w:rsid w:val="0040556B"/>
    <w:rsid w:val="00455A8F"/>
    <w:rsid w:val="006040CE"/>
    <w:rsid w:val="00635884"/>
    <w:rsid w:val="0068D737"/>
    <w:rsid w:val="008A54A1"/>
    <w:rsid w:val="00965D1A"/>
    <w:rsid w:val="009817BA"/>
    <w:rsid w:val="00B070CC"/>
    <w:rsid w:val="00BA580E"/>
    <w:rsid w:val="00BB0281"/>
    <w:rsid w:val="01917BFE"/>
    <w:rsid w:val="032D193E"/>
    <w:rsid w:val="09C9AC68"/>
    <w:rsid w:val="0AA815F5"/>
    <w:rsid w:val="0AE3D0AB"/>
    <w:rsid w:val="0BA9C416"/>
    <w:rsid w:val="0E880783"/>
    <w:rsid w:val="0EC81CE9"/>
    <w:rsid w:val="0F4E091D"/>
    <w:rsid w:val="1212F3C4"/>
    <w:rsid w:val="13872FE1"/>
    <w:rsid w:val="14D029DB"/>
    <w:rsid w:val="155D9D6F"/>
    <w:rsid w:val="2135BEF0"/>
    <w:rsid w:val="21CE8470"/>
    <w:rsid w:val="223CC99E"/>
    <w:rsid w:val="265B9644"/>
    <w:rsid w:val="2900D2CC"/>
    <w:rsid w:val="2F53B4EA"/>
    <w:rsid w:val="326171FA"/>
    <w:rsid w:val="3293A500"/>
    <w:rsid w:val="35F34105"/>
    <w:rsid w:val="37180EB7"/>
    <w:rsid w:val="3A110ED5"/>
    <w:rsid w:val="3B1788BE"/>
    <w:rsid w:val="3B1E9465"/>
    <w:rsid w:val="3C7CD6BA"/>
    <w:rsid w:val="4253EE6D"/>
    <w:rsid w:val="42CF6535"/>
    <w:rsid w:val="4343960D"/>
    <w:rsid w:val="4451824C"/>
    <w:rsid w:val="45634963"/>
    <w:rsid w:val="4565C04B"/>
    <w:rsid w:val="46780D29"/>
    <w:rsid w:val="4E6065AE"/>
    <w:rsid w:val="5181CB07"/>
    <w:rsid w:val="518692E4"/>
    <w:rsid w:val="53A74ADF"/>
    <w:rsid w:val="55971527"/>
    <w:rsid w:val="56D88C31"/>
    <w:rsid w:val="596862D9"/>
    <w:rsid w:val="5D996F12"/>
    <w:rsid w:val="5DC93234"/>
    <w:rsid w:val="63554429"/>
    <w:rsid w:val="63F12345"/>
    <w:rsid w:val="661288D5"/>
    <w:rsid w:val="6AAFE6B2"/>
    <w:rsid w:val="6EE7380E"/>
    <w:rsid w:val="729FE700"/>
    <w:rsid w:val="76116CF7"/>
    <w:rsid w:val="7A9AD41F"/>
    <w:rsid w:val="7E137B6F"/>
    <w:rsid w:val="7EEFC683"/>
    <w:rsid w:val="7FAC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3B4EA"/>
  <w15:chartTrackingRefBased/>
  <w15:docId w15:val="{3C232E61-E975-45B2-B33A-E61204E5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EC81CE9"/>
    <w:rPr>
      <w:color w:val="467886"/>
      <w:u w:val="single"/>
    </w:rPr>
  </w:style>
  <w:style w:type="paragraph" w:styleId="Header">
    <w:name w:val="header"/>
    <w:basedOn w:val="Normal"/>
    <w:uiPriority w:val="99"/>
    <w:unhideWhenUsed/>
    <w:rsid w:val="76116CF7"/>
    <w:pPr>
      <w:tabs>
        <w:tab w:val="center" w:pos="4680"/>
        <w:tab w:val="right" w:pos="9360"/>
      </w:tabs>
      <w:spacing w:after="0" w:line="240" w:lineRule="auto"/>
    </w:pPr>
  </w:style>
  <w:style w:type="paragraph" w:styleId="Footer">
    <w:name w:val="footer"/>
    <w:basedOn w:val="Normal"/>
    <w:uiPriority w:val="99"/>
    <w:unhideWhenUsed/>
    <w:rsid w:val="76116CF7"/>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whatuora.govt.nz/publications/hiso-10029-42023-health-information-security-framework-guidance-for-supplier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e0ef-4594-4ef8-9301-f9e90fc25e48">
      <Terms xmlns="http://schemas.microsoft.com/office/infopath/2007/PartnerControls"/>
    </lcf76f155ced4ddcb4097134ff3c332f>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FormerEntity xmlns="3eaf6ec6-8a21-4b7f-8fb7-81d8f812d549">Ministry of Health</FormerEntity>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Data and Digital</TermName>
          <TermId xmlns="http://schemas.microsoft.com/office/infopath/2007/PartnerControls">ef9a4370-25c3-4066-808a-4b43838af95e</TermId>
        </TermInfo>
      </Terms>
    </ka9b207035bc48f2a4f6a2bfed7195b7>
    <HNZReviewDate xmlns="9253c88c-d550-4ff1-afdc-d5dc691f60b0" xsi:nil="true"/>
    <f3e7f0a218d8438586e2a8545792c0ef xmlns="9253c88c-d550-4ff1-afdc-d5dc691f60b0">
      <Terms xmlns="http://schemas.microsoft.com/office/infopath/2007/PartnerControls"/>
    </f3e7f0a218d8438586e2a8545792c0ef>
    <TaxCatchAll xmlns="9253c88c-d550-4ff1-afdc-d5dc691f60b0">
      <Value>2</Value>
      <Value>1</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3eaf6ec6-8a21-4b7f-8fb7-81d8f812d549">001221-542575511-2696</_dlc_DocId>
    <_dlc_DocIdUrl xmlns="3eaf6ec6-8a21-4b7f-8fb7-81d8f812d549">
      <Url>https://hauoraaotearoa.sharepoint.com/sites/001221/_layouts/15/DocIdRedir.aspx?ID=001221-542575511-2696</Url>
      <Description>001221-542575511-2696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9A191CB257996E4FA8F9AE938CE90F57" ma:contentTypeVersion="15" ma:contentTypeDescription="Create a new document." ma:contentTypeScope="" ma:versionID="cdc00288dfd9221cb2942dbceebd2678">
  <xsd:schema xmlns:xsd="http://www.w3.org/2001/XMLSchema" xmlns:xs="http://www.w3.org/2001/XMLSchema" xmlns:p="http://schemas.microsoft.com/office/2006/metadata/properties" xmlns:ns1="http://schemas.microsoft.com/sharepoint/v3" xmlns:ns2="9253c88c-d550-4ff1-afdc-d5dc691f60b0" xmlns:ns3="3eaf6ec6-8a21-4b7f-8fb7-81d8f812d549" xmlns:ns4="8305e0ef-4594-4ef8-9301-f9e90fc25e48" targetNamespace="http://schemas.microsoft.com/office/2006/metadata/properties" ma:root="true" ma:fieldsID="061bde1de72ebf26744d1ad3d4e59d0f" ns1:_="" ns2:_="" ns3:_="" ns4:_="">
    <xsd:import namespace="http://schemas.microsoft.com/sharepoint/v3"/>
    <xsd:import namespace="9253c88c-d550-4ff1-afdc-d5dc691f60b0"/>
    <xsd:import namespace="3eaf6ec6-8a21-4b7f-8fb7-81d8f812d549"/>
    <xsd:import namespace="8305e0ef-4594-4ef8-9301-f9e90fc25e48"/>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FormerEntity"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5"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c7ec71e8-e4d8-4607-b69e-606ff649ed71}" ma:internalName="TaxCatchAll" ma:showField="CatchAllData"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7ec71e8-e4d8-4607-b69e-606ff649ed71}" ma:internalName="TaxCatchAllLabel" ma:readOnly="true" ma:showField="CatchAllDataLabel"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3" nillable="true" ma:taxonomy="true" ma:internalName="ka9b207035bc48f2a4f6a2bfed7195b7" ma:taxonomyFieldName="BusinessFunction" ma:displayName="Business Function" ma:default="2;#Data and Digital|ef9a4370-25c3-4066-808a-4b43838af95e"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6"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8" nillable="true" ma:taxonomy="true" ma:internalName="mb22360ee3e3407ca28e907eb3b7ca6b" ma:taxonomyFieldName="HNZStatus" ma:displayName="Status" ma:default="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20"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21"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3"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5"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f6ec6-8a21-4b7f-8fb7-81d8f812d54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FormerEntity" ma:index="26" nillable="true" ma:displayName="Former Entity" ma:default="Ministry of Health" ma:internalName="Former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5e0ef-4594-4ef8-9301-f9e90fc25e4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Props1.xml><?xml version="1.0" encoding="utf-8"?>
<ds:datastoreItem xmlns:ds="http://schemas.openxmlformats.org/officeDocument/2006/customXml" ds:itemID="{B7C7E44F-BD3A-48E2-A74E-527A3F11E7F9}">
  <ds:schemaRefs>
    <ds:schemaRef ds:uri="http://schemas.microsoft.com/sharepoint/events"/>
  </ds:schemaRefs>
</ds:datastoreItem>
</file>

<file path=customXml/itemProps2.xml><?xml version="1.0" encoding="utf-8"?>
<ds:datastoreItem xmlns:ds="http://schemas.openxmlformats.org/officeDocument/2006/customXml" ds:itemID="{15970B15-908B-4D1D-B36C-E511D896CF4D}">
  <ds:schemaRefs>
    <ds:schemaRef ds:uri="http://schemas.microsoft.com/office/2006/metadata/properties"/>
    <ds:schemaRef ds:uri="http://schemas.microsoft.com/office/infopath/2007/PartnerControls"/>
    <ds:schemaRef ds:uri="8305e0ef-4594-4ef8-9301-f9e90fc25e48"/>
    <ds:schemaRef ds:uri="9253c88c-d550-4ff1-afdc-d5dc691f60b0"/>
    <ds:schemaRef ds:uri="3eaf6ec6-8a21-4b7f-8fb7-81d8f812d549"/>
  </ds:schemaRefs>
</ds:datastoreItem>
</file>

<file path=customXml/itemProps3.xml><?xml version="1.0" encoding="utf-8"?>
<ds:datastoreItem xmlns:ds="http://schemas.openxmlformats.org/officeDocument/2006/customXml" ds:itemID="{3333ED7D-8E69-477A-A7A6-8BD84404A64D}">
  <ds:schemaRefs>
    <ds:schemaRef ds:uri="http://schemas.microsoft.com/sharepoint/v3/contenttype/forms"/>
  </ds:schemaRefs>
</ds:datastoreItem>
</file>

<file path=customXml/itemProps4.xml><?xml version="1.0" encoding="utf-8"?>
<ds:datastoreItem xmlns:ds="http://schemas.openxmlformats.org/officeDocument/2006/customXml" ds:itemID="{204BDBFD-A0A8-4CCF-B355-174F30EE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3eaf6ec6-8a21-4b7f-8fb7-81d8f812d549"/>
    <ds:schemaRef ds:uri="8305e0ef-4594-4ef8-9301-f9e90fc25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94AE2-BE1C-4BD2-ACD2-B2A1ECDB9C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Schoff</dc:creator>
  <cp:keywords/>
  <dc:description/>
  <cp:lastModifiedBy>Demi Meiklejohn</cp:lastModifiedBy>
  <cp:revision>12</cp:revision>
  <dcterms:created xsi:type="dcterms:W3CDTF">2025-03-05T00:24:00Z</dcterms:created>
  <dcterms:modified xsi:type="dcterms:W3CDTF">2025-03-26T20:27:00Z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0x010100D5C1E13D20A8554992C24F7EE470E023009A191CB257996E4FA8F9AE938CE90F57</vt:lpwstr>
  </property>
  <property fmtid="{D5CDD505-2E9C-101B-9397-08002B2CF9AE}" pid="3" name="MediaServiceImageTags">
    <vt:lpwstr/>
  </property>
  <property fmtid="{D5CDD505-2E9C-101B-9397-08002B2CF9AE}" pid="4" name="BusinessFunction">
    <vt:lpwstr>2;#Data and Digital|ef9a4370-25c3-4066-808a-4b43838af95e</vt:lpwstr>
  </property>
  <property fmtid="{D5CDD505-2E9C-101B-9397-08002B2CF9AE}" pid="5" name="HNZStatus">
    <vt:lpwstr>1;#Draft|4dbd6f0d-7021-43d2-a391-03666245495e</vt:lpwstr>
  </property>
  <property fmtid="{D5CDD505-2E9C-101B-9397-08002B2CF9AE}" pid="6" name="_dlc_DocIdItemGuid">
    <vt:lpwstr>af1bc8a5-2720-4558-bd1d-44e4538a73ac</vt:lpwstr>
  </property>
  <property fmtid="{D5CDD505-2E9C-101B-9397-08002B2CF9AE}" pid="7" name="HNZTopic">
    <vt:lpwstr/>
  </property>
  <property fmtid="{D5CDD505-2E9C-101B-9397-08002B2CF9AE}" pid="8" name="HNZLocalArea">
    <vt:lpwstr/>
  </property>
  <property fmtid="{D5CDD505-2E9C-101B-9397-08002B2CF9AE}" pid="9" name="HNZRegion">
    <vt:lpwstr/>
  </property>
</Properties>
</file>